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spacing w:before="100" w:beforeAutospacing="1" w:afterAutospacing="0" w:line="240" w:lineRule="atLeast"/>
        <w:jc w:val="center"/>
        <w:textAlignment w:val="baseline"/>
        <w:rPr>
          <w:rFonts w:hint="eastAsia" w:ascii="黑体" w:hAnsi="黑体" w:eastAsia="黑体" w:cs="黑体"/>
          <w:b/>
          <w:bCs/>
          <w:color w:val="C00000"/>
          <w:sz w:val="52"/>
          <w:szCs w:val="52"/>
          <w:lang w:val="en-US" w:eastAsia="zh-CN"/>
        </w:rPr>
      </w:pPr>
      <w:bookmarkStart w:id="0" w:name="_Toc480967869"/>
      <w:bookmarkStart w:id="1" w:name="_Toc51233861"/>
      <w:bookmarkStart w:id="2" w:name="_Toc485393183"/>
      <w:r>
        <w:rPr>
          <w:rFonts w:hint="eastAsia" w:ascii="黑体" w:hAnsi="黑体" w:eastAsia="黑体" w:cs="黑体"/>
          <w:b/>
          <w:bCs/>
          <w:color w:val="C00000"/>
          <w:sz w:val="52"/>
          <w:szCs w:val="52"/>
          <w:lang w:val="en-US" w:eastAsia="zh-CN"/>
        </w:rPr>
        <w:t>四川省久源房地产土地估价有限公司</w:t>
      </w:r>
    </w:p>
    <w:p>
      <w:pPr>
        <w:keepNext w:val="0"/>
        <w:keepLines w:val="0"/>
        <w:pageBreakBefore w:val="0"/>
        <w:widowControl w:val="0"/>
        <w:kinsoku/>
        <w:wordWrap/>
        <w:overflowPunct/>
        <w:topLinePunct w:val="0"/>
        <w:autoSpaceDE/>
        <w:autoSpaceDN/>
        <w:bidi w:val="0"/>
        <w:adjustRightInd w:val="0"/>
        <w:snapToGrid/>
        <w:spacing w:before="112" w:beforeLines="35" w:beforeAutospacing="0" w:after="111" w:afterLines="35" w:afterAutospacing="0" w:line="240" w:lineRule="atLeast"/>
        <w:jc w:val="center"/>
        <w:textAlignment w:val="baseline"/>
        <w:rPr>
          <w:rFonts w:hint="eastAsia" w:ascii="黑体" w:hAnsi="黑体" w:eastAsia="黑体" w:cs="黑体"/>
          <w:b/>
          <w:bCs/>
          <w:color w:val="000000"/>
          <w:kern w:val="28"/>
          <w:sz w:val="21"/>
          <w:szCs w:val="21"/>
          <w:lang w:eastAsia="zh-CN"/>
        </w:rPr>
      </w:pPr>
      <w:r>
        <w:rPr>
          <w:rFonts w:hint="eastAsia" w:ascii="黑体" w:hAnsi="黑体" w:eastAsia="黑体" w:cs="黑体"/>
          <w:b/>
          <w:bCs/>
          <w:color w:val="000000"/>
          <w:kern w:val="28"/>
          <w:sz w:val="21"/>
          <w:szCs w:val="21"/>
          <w:lang w:eastAsia="zh-CN"/>
        </w:rPr>
        <w:t>久源房估（2022）字第543号</w:t>
      </w:r>
    </w:p>
    <w:p>
      <w:pPr>
        <w:keepNext w:val="0"/>
        <w:keepLines w:val="0"/>
        <w:pageBreakBefore w:val="0"/>
        <w:widowControl w:val="0"/>
        <w:kinsoku/>
        <w:wordWrap/>
        <w:overflowPunct/>
        <w:topLinePunct w:val="0"/>
        <w:autoSpaceDE/>
        <w:autoSpaceDN/>
        <w:bidi w:val="0"/>
        <w:adjustRightInd w:val="0"/>
        <w:snapToGrid/>
        <w:spacing w:before="112" w:beforeLines="35" w:beforeAutospacing="0" w:after="111" w:afterLines="35" w:afterAutospacing="0" w:line="240" w:lineRule="atLeast"/>
        <w:jc w:val="both"/>
        <w:textAlignment w:val="baseline"/>
        <w:rPr>
          <w:rFonts w:hint="default" w:ascii="宋体" w:hAnsi="宋体" w:eastAsia="宋体"/>
          <w:b/>
          <w:bCs/>
          <w:color w:val="C00000"/>
          <w:kern w:val="28"/>
          <w:sz w:val="21"/>
          <w:szCs w:val="21"/>
          <w:u w:val="thick"/>
          <w:lang w:val="en-US" w:eastAsia="zh-CN"/>
        </w:rPr>
      </w:pPr>
      <w:r>
        <w:rPr>
          <w:rFonts w:hint="eastAsia" w:ascii="宋体" w:hAnsi="宋体" w:eastAsia="宋体"/>
          <w:b/>
          <w:bCs/>
          <w:color w:val="C00000"/>
          <w:kern w:val="28"/>
          <w:sz w:val="21"/>
          <w:szCs w:val="21"/>
          <w:u w:val="thick"/>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before="100" w:beforeAutospacing="1" w:after="625" w:afterLines="200" w:line="480" w:lineRule="auto"/>
        <w:jc w:val="center"/>
        <w:textAlignment w:val="baseline"/>
        <w:rPr>
          <w:rFonts w:hint="eastAsia" w:ascii="宋体" w:hAnsi="宋体" w:eastAsia="宋体" w:cs="宋体"/>
          <w:b/>
          <w:color w:val="000000"/>
          <w:spacing w:val="1968"/>
          <w:kern w:val="0"/>
          <w:sz w:val="28"/>
          <w:szCs w:val="28"/>
          <w:highlight w:val="none"/>
          <w:fitText w:val="2248" w:id="0"/>
        </w:rPr>
      </w:pPr>
      <w:r>
        <w:rPr>
          <w:rFonts w:hint="eastAsia" w:ascii="宋体" w:hAnsi="宋体" w:cs="宋体"/>
          <w:b/>
          <w:color w:val="000000"/>
          <w:kern w:val="2"/>
          <w:sz w:val="52"/>
          <w:szCs w:val="52"/>
          <w:highlight w:val="none"/>
          <w:lang w:val="en-US" w:eastAsia="zh-CN"/>
        </w:rPr>
        <w:t>涉执</w:t>
      </w:r>
      <w:r>
        <w:rPr>
          <w:rFonts w:hint="eastAsia" w:ascii="宋体" w:hAnsi="宋体" w:eastAsia="宋体" w:cs="宋体"/>
          <w:b/>
          <w:color w:val="000000"/>
          <w:kern w:val="2"/>
          <w:sz w:val="52"/>
          <w:szCs w:val="52"/>
          <w:highlight w:val="none"/>
        </w:rPr>
        <w:t>房地产</w:t>
      </w:r>
      <w:r>
        <w:rPr>
          <w:rFonts w:hint="eastAsia" w:ascii="宋体" w:hAnsi="宋体" w:cs="宋体"/>
          <w:b/>
          <w:color w:val="000000"/>
          <w:kern w:val="2"/>
          <w:sz w:val="52"/>
          <w:szCs w:val="52"/>
          <w:highlight w:val="none"/>
          <w:lang w:val="en-US" w:eastAsia="zh-CN"/>
        </w:rPr>
        <w:t>处置司法评估</w:t>
      </w:r>
      <w:r>
        <w:rPr>
          <w:rFonts w:hint="eastAsia" w:ascii="宋体" w:hAnsi="宋体" w:eastAsia="宋体" w:cs="宋体"/>
          <w:b/>
          <w:color w:val="000000"/>
          <w:kern w:val="2"/>
          <w:sz w:val="52"/>
          <w:szCs w:val="52"/>
          <w:highlight w:val="none"/>
        </w:rPr>
        <w:t>报告</w:t>
      </w:r>
    </w:p>
    <w:p>
      <w:pPr>
        <w:tabs>
          <w:tab w:val="left" w:pos="5220"/>
        </w:tabs>
        <w:wordWrap/>
        <w:adjustRightInd/>
        <w:spacing w:before="312" w:beforeLines="100" w:after="312" w:afterLines="100" w:line="240" w:lineRule="auto"/>
        <w:ind w:left="2283" w:hanging="2297" w:hangingChars="698"/>
        <w:jc w:val="left"/>
        <w:textAlignment w:val="auto"/>
        <w:rPr>
          <w:rFonts w:ascii="宋体" w:hAnsi="宋体" w:eastAsia="宋体"/>
          <w:color w:val="000000"/>
          <w:kern w:val="28"/>
          <w:sz w:val="28"/>
          <w:szCs w:val="28"/>
        </w:rPr>
      </w:pPr>
      <w:r>
        <w:rPr>
          <w:rFonts w:hint="eastAsia" w:ascii="宋体" w:hAnsi="宋体" w:eastAsia="宋体" w:cs="仿宋_GB2312"/>
          <w:b/>
          <w:color w:val="000000"/>
          <w:spacing w:val="24"/>
          <w:w w:val="100"/>
          <w:kern w:val="0"/>
          <w:sz w:val="28"/>
          <w:szCs w:val="28"/>
          <w:fitText w:val="2248" w:id="187989736"/>
        </w:rPr>
        <w:t>估价项目名称</w:t>
      </w:r>
      <w:r>
        <w:rPr>
          <w:rFonts w:hint="eastAsia" w:ascii="宋体" w:hAnsi="宋体" w:eastAsia="宋体" w:cs="仿宋_GB2312"/>
          <w:b/>
          <w:color w:val="000000"/>
          <w:spacing w:val="0"/>
          <w:w w:val="100"/>
          <w:kern w:val="0"/>
          <w:sz w:val="28"/>
          <w:szCs w:val="28"/>
          <w:fitText w:val="2248" w:id="187989736"/>
        </w:rPr>
        <w:t>：</w:t>
      </w:r>
      <w:r>
        <w:rPr>
          <w:rFonts w:hint="eastAsia" w:ascii="宋体" w:hAnsi="宋体"/>
          <w:color w:val="000000"/>
          <w:kern w:val="28"/>
          <w:sz w:val="28"/>
          <w:szCs w:val="28"/>
          <w:lang w:val="en-US" w:eastAsia="zh-CN"/>
        </w:rPr>
        <w:t>犍为县人民法院</w:t>
      </w:r>
      <w:r>
        <w:rPr>
          <w:rFonts w:hint="eastAsia" w:ascii="宋体" w:hAnsi="宋体" w:eastAsia="宋体"/>
          <w:color w:val="000000"/>
          <w:kern w:val="28"/>
          <w:sz w:val="28"/>
          <w:szCs w:val="28"/>
          <w:lang w:val="en-US" w:eastAsia="zh-CN"/>
        </w:rPr>
        <w:t>执行案件涉及位于</w:t>
      </w:r>
      <w:r>
        <w:rPr>
          <w:rFonts w:hint="eastAsia" w:ascii="宋体" w:hAnsi="宋体"/>
          <w:color w:val="000000"/>
          <w:kern w:val="28"/>
          <w:sz w:val="28"/>
          <w:szCs w:val="28"/>
          <w:lang w:eastAsia="zh-CN"/>
        </w:rPr>
        <w:t>犍为县玉津镇滨江路南段2号4幢1单元801号</w:t>
      </w:r>
      <w:r>
        <w:rPr>
          <w:rFonts w:hint="eastAsia" w:ascii="宋体" w:hAnsi="宋体" w:eastAsia="宋体"/>
          <w:color w:val="000000"/>
          <w:kern w:val="28"/>
          <w:sz w:val="28"/>
          <w:szCs w:val="28"/>
          <w:lang w:eastAsia="zh-CN"/>
        </w:rPr>
        <w:t>住宅</w:t>
      </w:r>
      <w:r>
        <w:rPr>
          <w:rFonts w:ascii="宋体" w:hAnsi="宋体" w:eastAsia="宋体"/>
          <w:color w:val="000000"/>
          <w:kern w:val="28"/>
          <w:sz w:val="28"/>
          <w:szCs w:val="28"/>
        </w:rPr>
        <w:t>房地产市场价值评估</w:t>
      </w:r>
    </w:p>
    <w:p>
      <w:pPr>
        <w:tabs>
          <w:tab w:val="left" w:pos="5220"/>
        </w:tabs>
        <w:wordWrap/>
        <w:adjustRightInd/>
        <w:spacing w:before="312" w:beforeLines="100" w:after="312" w:afterLines="100" w:line="240" w:lineRule="auto"/>
        <w:ind w:left="1938" w:hanging="2720" w:hangingChars="692"/>
        <w:jc w:val="left"/>
        <w:textAlignment w:val="auto"/>
        <w:rPr>
          <w:rFonts w:hint="default" w:ascii="宋体" w:hAnsi="宋体" w:eastAsia="宋体"/>
          <w:color w:val="000000"/>
          <w:kern w:val="28"/>
          <w:sz w:val="28"/>
          <w:szCs w:val="28"/>
          <w:lang w:val="en-US" w:eastAsia="zh-CN"/>
        </w:rPr>
      </w:pPr>
      <w:r>
        <w:rPr>
          <w:rFonts w:hint="eastAsia" w:ascii="宋体" w:hAnsi="宋体"/>
          <w:b/>
          <w:bCs/>
          <w:color w:val="000000"/>
          <w:spacing w:val="56"/>
          <w:kern w:val="0"/>
          <w:sz w:val="28"/>
          <w:szCs w:val="28"/>
          <w:fitText w:val="2248" w:id="1281951773"/>
        </w:rPr>
        <w:t>估价委托人</w:t>
      </w:r>
      <w:r>
        <w:rPr>
          <w:rFonts w:hint="eastAsia" w:ascii="宋体" w:hAnsi="宋体"/>
          <w:b/>
          <w:bCs/>
          <w:color w:val="000000"/>
          <w:spacing w:val="4"/>
          <w:kern w:val="0"/>
          <w:sz w:val="28"/>
          <w:szCs w:val="28"/>
          <w:fitText w:val="2248" w:id="1281951773"/>
        </w:rPr>
        <w:t>：</w:t>
      </w:r>
      <w:r>
        <w:rPr>
          <w:rFonts w:hint="eastAsia" w:ascii="宋体" w:hAnsi="宋体"/>
          <w:color w:val="000000"/>
          <w:kern w:val="28"/>
          <w:sz w:val="28"/>
          <w:szCs w:val="28"/>
          <w:lang w:eastAsia="zh-CN"/>
        </w:rPr>
        <w:t>犍为县人民法院</w:t>
      </w:r>
    </w:p>
    <w:p>
      <w:pPr>
        <w:tabs>
          <w:tab w:val="left" w:pos="2268"/>
          <w:tab w:val="left" w:pos="5220"/>
        </w:tabs>
        <w:wordWrap/>
        <w:adjustRightInd/>
        <w:spacing w:before="312" w:beforeLines="100" w:after="312" w:afterLines="100" w:line="240" w:lineRule="auto"/>
        <w:ind w:left="1930" w:hanging="1945" w:hangingChars="692"/>
        <w:jc w:val="left"/>
        <w:textAlignment w:val="auto"/>
        <w:rPr>
          <w:rFonts w:ascii="宋体" w:hAnsi="宋体" w:eastAsia="宋体"/>
          <w:color w:val="000000"/>
          <w:kern w:val="28"/>
          <w:sz w:val="28"/>
          <w:szCs w:val="28"/>
        </w:rPr>
      </w:pPr>
      <w:r>
        <w:rPr>
          <w:rFonts w:hint="eastAsia" w:ascii="宋体" w:hAnsi="宋体" w:eastAsia="宋体" w:cs="仿宋_GB2312"/>
          <w:b/>
          <w:color w:val="000000"/>
          <w:spacing w:val="0"/>
          <w:w w:val="100"/>
          <w:kern w:val="0"/>
          <w:sz w:val="28"/>
          <w:szCs w:val="28"/>
          <w:fitText w:val="2248" w:id="640036126"/>
        </w:rPr>
        <w:t>房地产估价机构：</w:t>
      </w:r>
      <w:r>
        <w:rPr>
          <w:rFonts w:hint="eastAsia" w:ascii="宋体" w:hAnsi="宋体" w:eastAsia="宋体"/>
          <w:color w:val="000000"/>
          <w:sz w:val="28"/>
          <w:szCs w:val="28"/>
        </w:rPr>
        <w:t>四川省久源房地产土地估价有限公司</w:t>
      </w:r>
    </w:p>
    <w:p>
      <w:pPr>
        <w:tabs>
          <w:tab w:val="left" w:pos="5220"/>
        </w:tabs>
        <w:wordWrap/>
        <w:adjustRightInd/>
        <w:spacing w:before="312" w:beforeLines="100" w:after="312" w:afterLines="100" w:line="240" w:lineRule="auto"/>
        <w:ind w:left="2212" w:hanging="2206" w:hangingChars="900"/>
        <w:jc w:val="left"/>
        <w:textAlignment w:val="auto"/>
        <w:rPr>
          <w:rFonts w:hint="eastAsia" w:ascii="宋体" w:hAnsi="宋体" w:eastAsia="宋体" w:cs="仿宋_GB2312"/>
          <w:b/>
          <w:bCs/>
          <w:color w:val="000000"/>
          <w:sz w:val="28"/>
          <w:szCs w:val="28"/>
        </w:rPr>
      </w:pPr>
      <w:r>
        <w:rPr>
          <w:rFonts w:hint="eastAsia" w:ascii="宋体" w:hAnsi="宋体" w:eastAsia="宋体" w:cs="仿宋_GB2312"/>
          <w:b/>
          <w:bCs/>
          <w:color w:val="000000"/>
          <w:spacing w:val="2"/>
          <w:w w:val="86"/>
          <w:sz w:val="28"/>
          <w:szCs w:val="28"/>
        </w:rPr>
        <w:t>注册房地产估价</w:t>
      </w:r>
      <w:r>
        <w:rPr>
          <w:rFonts w:hint="eastAsia" w:ascii="宋体" w:hAnsi="宋体" w:eastAsia="宋体" w:cs="仿宋_GB2312"/>
          <w:b/>
          <w:bCs/>
          <w:color w:val="000000"/>
          <w:spacing w:val="-6"/>
          <w:w w:val="86"/>
          <w:sz w:val="28"/>
          <w:szCs w:val="28"/>
        </w:rPr>
        <w:t>师</w:t>
      </w:r>
      <w:r>
        <w:rPr>
          <w:rFonts w:hint="eastAsia" w:ascii="宋体" w:hAnsi="宋体" w:eastAsia="宋体" w:cs="仿宋_GB2312"/>
          <w:b/>
          <w:bCs/>
          <w:color w:val="000000"/>
          <w:sz w:val="28"/>
          <w:szCs w:val="28"/>
        </w:rPr>
        <w:t>：</w:t>
      </w:r>
      <w:r>
        <w:rPr>
          <w:rFonts w:hint="eastAsia" w:ascii="宋体" w:hAnsi="宋体" w:eastAsia="宋体"/>
          <w:color w:val="000000"/>
          <w:kern w:val="28"/>
          <w:sz w:val="28"/>
          <w:szCs w:val="28"/>
        </w:rPr>
        <w:t>袁</w:t>
      </w:r>
      <w:r>
        <w:rPr>
          <w:rFonts w:hint="eastAsia" w:ascii="宋体" w:hAnsi="宋体" w:eastAsia="宋体"/>
          <w:color w:val="000000"/>
          <w:kern w:val="28"/>
          <w:sz w:val="28"/>
          <w:szCs w:val="28"/>
          <w:lang w:val="en-US" w:eastAsia="zh-CN"/>
        </w:rPr>
        <w:t xml:space="preserve">  </w:t>
      </w:r>
      <w:r>
        <w:rPr>
          <w:rFonts w:hint="eastAsia" w:ascii="宋体" w:hAnsi="宋体" w:eastAsia="宋体"/>
          <w:color w:val="000000"/>
          <w:kern w:val="28"/>
          <w:sz w:val="28"/>
          <w:szCs w:val="28"/>
        </w:rPr>
        <w:t>宇（注册号：5120090024）</w:t>
      </w:r>
    </w:p>
    <w:p>
      <w:pPr>
        <w:tabs>
          <w:tab w:val="left" w:pos="5220"/>
        </w:tabs>
        <w:wordWrap/>
        <w:adjustRightInd/>
        <w:spacing w:before="312" w:beforeLines="100" w:after="312" w:afterLines="100" w:line="240" w:lineRule="auto"/>
        <w:ind w:left="2514" w:leftChars="1064" w:hanging="280" w:hangingChars="100"/>
        <w:jc w:val="left"/>
        <w:textAlignment w:val="auto"/>
        <w:rPr>
          <w:rFonts w:ascii="宋体" w:hAnsi="宋体" w:eastAsia="宋体"/>
          <w:color w:val="000000"/>
          <w:kern w:val="28"/>
          <w:sz w:val="28"/>
          <w:szCs w:val="28"/>
        </w:rPr>
      </w:pPr>
      <w:r>
        <w:rPr>
          <w:rFonts w:hint="eastAsia" w:ascii="宋体" w:hAnsi="宋体" w:eastAsia="宋体"/>
          <w:color w:val="000000"/>
          <w:kern w:val="28"/>
          <w:sz w:val="28"/>
          <w:szCs w:val="28"/>
          <w:lang w:eastAsia="zh-CN"/>
        </w:rPr>
        <w:t>张洋敏</w:t>
      </w:r>
      <w:r>
        <w:rPr>
          <w:rFonts w:hint="eastAsia" w:ascii="宋体" w:hAnsi="宋体" w:eastAsia="宋体"/>
          <w:color w:val="000000"/>
          <w:kern w:val="28"/>
          <w:sz w:val="28"/>
          <w:szCs w:val="28"/>
        </w:rPr>
        <w:t>（注册号：</w:t>
      </w:r>
      <w:r>
        <w:rPr>
          <w:rFonts w:hint="eastAsia" w:ascii="宋体" w:hAnsi="宋体" w:eastAsia="宋体"/>
          <w:color w:val="000000"/>
          <w:kern w:val="28"/>
          <w:sz w:val="28"/>
          <w:szCs w:val="28"/>
          <w:lang w:eastAsia="zh-CN"/>
        </w:rPr>
        <w:t>5320140006</w:t>
      </w:r>
      <w:r>
        <w:rPr>
          <w:rFonts w:hint="eastAsia" w:ascii="宋体" w:hAnsi="宋体" w:eastAsia="宋体"/>
          <w:color w:val="000000"/>
          <w:kern w:val="28"/>
          <w:sz w:val="28"/>
          <w:szCs w:val="28"/>
        </w:rPr>
        <w:t>）</w:t>
      </w:r>
    </w:p>
    <w:p>
      <w:pPr>
        <w:tabs>
          <w:tab w:val="left" w:pos="5220"/>
        </w:tabs>
        <w:wordWrap/>
        <w:adjustRightInd/>
        <w:spacing w:before="312" w:beforeLines="100" w:after="312" w:afterLines="100" w:line="240" w:lineRule="auto"/>
        <w:ind w:left="0" w:leftChars="0" w:firstLine="0" w:firstLineChars="0"/>
        <w:jc w:val="left"/>
        <w:textAlignment w:val="auto"/>
        <w:rPr>
          <w:rFonts w:hint="eastAsia" w:ascii="宋体" w:hAnsi="宋体" w:eastAsia="宋体"/>
          <w:b/>
          <w:color w:val="000000"/>
          <w:kern w:val="28"/>
          <w:sz w:val="28"/>
          <w:szCs w:val="28"/>
          <w:lang w:eastAsia="zh-CN"/>
        </w:rPr>
      </w:pPr>
      <w:r>
        <w:rPr>
          <w:rFonts w:hint="eastAsia" w:ascii="宋体" w:hAnsi="宋体" w:eastAsia="宋体" w:cs="仿宋_GB2312"/>
          <w:b/>
          <w:color w:val="000000"/>
          <w:spacing w:val="2"/>
          <w:w w:val="86"/>
          <w:sz w:val="28"/>
          <w:szCs w:val="28"/>
        </w:rPr>
        <w:t>估价报告出具日期</w:t>
      </w:r>
      <w:r>
        <w:rPr>
          <w:rFonts w:hint="eastAsia" w:ascii="宋体" w:hAnsi="宋体" w:eastAsia="宋体" w:cs="仿宋_GB2312"/>
          <w:b/>
          <w:color w:val="000000"/>
          <w:sz w:val="28"/>
          <w:szCs w:val="28"/>
        </w:rPr>
        <w:t>：</w:t>
      </w:r>
      <w:r>
        <w:rPr>
          <w:rFonts w:hint="eastAsia" w:ascii="宋体" w:hAnsi="宋体"/>
          <w:color w:val="auto"/>
          <w:kern w:val="28"/>
          <w:sz w:val="28"/>
          <w:szCs w:val="28"/>
          <w:lang w:eastAsia="zh-CN"/>
        </w:rPr>
        <w:t>2022年8月29日</w:t>
      </w:r>
    </w:p>
    <w:p>
      <w:pPr>
        <w:tabs>
          <w:tab w:val="left" w:pos="2410"/>
          <w:tab w:val="left" w:pos="2552"/>
          <w:tab w:val="left" w:pos="2694"/>
          <w:tab w:val="left" w:pos="5220"/>
        </w:tabs>
        <w:wordWrap/>
        <w:adjustRightInd/>
        <w:spacing w:before="312" w:beforeLines="100" w:after="312" w:afterLines="100" w:line="240" w:lineRule="auto"/>
        <w:ind w:left="2266" w:hanging="2266" w:hangingChars="697"/>
        <w:jc w:val="left"/>
        <w:textAlignment w:val="auto"/>
        <w:rPr>
          <w:rFonts w:hint="eastAsia" w:ascii="宋体" w:hAnsi="宋体" w:eastAsia="宋体"/>
          <w:color w:val="000000"/>
          <w:kern w:val="28"/>
          <w:sz w:val="28"/>
          <w:szCs w:val="28"/>
          <w:lang w:eastAsia="zh-CN"/>
        </w:rPr>
      </w:pPr>
      <w:r>
        <w:rPr>
          <w:rFonts w:ascii="宋体" w:hAnsi="宋体" w:eastAsia="宋体"/>
          <w:b/>
          <w:color w:val="000000"/>
          <w:spacing w:val="22"/>
          <w:sz w:val="28"/>
          <w:szCs w:val="28"/>
        </w:rPr>
        <w:t>估价报告编号：</w:t>
      </w:r>
      <w:r>
        <w:rPr>
          <w:rFonts w:hint="eastAsia" w:ascii="宋体" w:hAnsi="宋体"/>
          <w:color w:val="000000"/>
          <w:kern w:val="28"/>
          <w:sz w:val="28"/>
          <w:szCs w:val="28"/>
          <w:lang w:eastAsia="zh-CN"/>
        </w:rPr>
        <w:t>久源房估（2022）字第543号</w:t>
      </w:r>
    </w:p>
    <w:p>
      <w:pPr>
        <w:pStyle w:val="2"/>
        <w:rPr>
          <w:rFonts w:hint="eastAsia" w:ascii="宋体" w:hAnsi="宋体" w:eastAsia="宋体"/>
          <w:color w:val="000000"/>
          <w:kern w:val="28"/>
          <w:sz w:val="28"/>
          <w:szCs w:val="28"/>
          <w:lang w:eastAsia="zh-CN"/>
        </w:rPr>
      </w:pPr>
    </w:p>
    <w:p>
      <w:pPr>
        <w:rPr>
          <w:rFonts w:hint="eastAsia" w:ascii="宋体" w:hAnsi="宋体" w:eastAsia="宋体"/>
          <w:color w:val="000000"/>
          <w:kern w:val="28"/>
          <w:sz w:val="28"/>
          <w:szCs w:val="28"/>
          <w:lang w:eastAsia="zh-CN"/>
        </w:rPr>
      </w:pPr>
    </w:p>
    <w:p>
      <w:pPr>
        <w:pStyle w:val="2"/>
        <w:rPr>
          <w:rFonts w:hint="eastAsia" w:ascii="宋体" w:hAnsi="宋体" w:eastAsia="宋体"/>
          <w:color w:val="000000"/>
          <w:kern w:val="28"/>
          <w:sz w:val="28"/>
          <w:szCs w:val="28"/>
          <w:lang w:eastAsia="zh-CN"/>
        </w:rPr>
      </w:pPr>
    </w:p>
    <w:p>
      <w:pPr>
        <w:rPr>
          <w:rFonts w:hint="eastAsia"/>
          <w:lang w:eastAsia="zh-CN"/>
        </w:rPr>
      </w:pPr>
    </w:p>
    <w:p>
      <w:pPr>
        <w:pStyle w:val="2"/>
      </w:pPr>
    </w:p>
    <w:p>
      <w:pPr>
        <w:tabs>
          <w:tab w:val="left" w:pos="142"/>
          <w:tab w:val="left" w:pos="1560"/>
          <w:tab w:val="left" w:pos="1843"/>
          <w:tab w:val="left" w:pos="1985"/>
        </w:tabs>
        <w:wordWrap/>
        <w:adjustRightInd/>
        <w:snapToGrid w:val="0"/>
        <w:spacing w:before="1092" w:beforeLines="350" w:line="240" w:lineRule="auto"/>
        <w:jc w:val="center"/>
        <w:textAlignment w:val="auto"/>
        <w:rPr>
          <w:rFonts w:ascii="宋体" w:hAnsi="宋体" w:eastAsia="宋体" w:cs="Arial"/>
          <w:color w:val="000000"/>
          <w:szCs w:val="21"/>
        </w:rPr>
      </w:pPr>
      <w:r>
        <w:rPr>
          <w:rFonts w:ascii="宋体" w:hAnsi="宋体" w:eastAsia="宋体"/>
          <w:b/>
          <w:color w:val="000000"/>
          <w:kern w:val="2"/>
          <w:sz w:val="32"/>
          <w:szCs w:val="32"/>
        </w:rPr>
        <w:t>致</w:t>
      </w:r>
      <w:r>
        <w:rPr>
          <w:rFonts w:hint="eastAsia" w:ascii="宋体" w:hAnsi="宋体" w:eastAsia="宋体"/>
          <w:b/>
          <w:color w:val="000000"/>
          <w:kern w:val="2"/>
          <w:sz w:val="32"/>
          <w:szCs w:val="32"/>
        </w:rPr>
        <w:t>估价</w:t>
      </w:r>
      <w:r>
        <w:rPr>
          <w:rFonts w:ascii="宋体" w:hAnsi="宋体" w:eastAsia="宋体"/>
          <w:b/>
          <w:color w:val="000000"/>
          <w:kern w:val="2"/>
          <w:sz w:val="32"/>
          <w:szCs w:val="32"/>
        </w:rPr>
        <w:t>委托</w:t>
      </w:r>
      <w:r>
        <w:rPr>
          <w:rFonts w:hint="eastAsia" w:ascii="宋体" w:hAnsi="宋体" w:eastAsia="宋体"/>
          <w:b/>
          <w:color w:val="000000"/>
          <w:kern w:val="2"/>
          <w:sz w:val="32"/>
          <w:szCs w:val="32"/>
        </w:rPr>
        <w:t>人</w:t>
      </w:r>
      <w:r>
        <w:rPr>
          <w:rFonts w:ascii="宋体" w:hAnsi="宋体" w:eastAsia="宋体"/>
          <w:b/>
          <w:color w:val="000000"/>
          <w:kern w:val="2"/>
          <w:sz w:val="32"/>
          <w:szCs w:val="32"/>
        </w:rPr>
        <w:t>函</w:t>
      </w:r>
    </w:p>
    <w:p>
      <w:pPr>
        <w:wordWrap/>
        <w:snapToGrid w:val="0"/>
        <w:spacing w:line="460" w:lineRule="exact"/>
        <w:ind w:right="-67" w:rightChars="-32"/>
        <w:rPr>
          <w:rFonts w:hint="eastAsia" w:ascii="宋体" w:hAnsi="宋体" w:eastAsia="宋体" w:cs="宋体"/>
          <w:bCs/>
          <w:color w:val="000000"/>
          <w:sz w:val="24"/>
          <w:szCs w:val="24"/>
        </w:rPr>
      </w:pPr>
      <w:r>
        <w:rPr>
          <w:rFonts w:hint="eastAsia" w:ascii="宋体" w:hAnsi="宋体" w:cs="宋体"/>
          <w:b/>
          <w:color w:val="000000"/>
          <w:sz w:val="24"/>
          <w:szCs w:val="24"/>
          <w:lang w:eastAsia="zh-CN"/>
        </w:rPr>
        <w:t>犍为县人民法院</w:t>
      </w:r>
      <w:r>
        <w:rPr>
          <w:rFonts w:hint="eastAsia" w:ascii="宋体" w:hAnsi="宋体" w:eastAsia="宋体" w:cs="宋体"/>
          <w:bCs/>
          <w:color w:val="000000"/>
          <w:sz w:val="24"/>
          <w:szCs w:val="24"/>
        </w:rPr>
        <w:t>：</w:t>
      </w:r>
    </w:p>
    <w:p>
      <w:pPr>
        <w:tabs>
          <w:tab w:val="left" w:pos="567"/>
        </w:tabs>
        <w:wordWrap/>
        <w:topLinePunct/>
        <w:spacing w:line="460" w:lineRule="exact"/>
        <w:ind w:firstLine="480" w:firstLineChars="200"/>
        <w:rPr>
          <w:rFonts w:hint="eastAsia" w:ascii="宋体" w:hAnsi="宋体" w:eastAsia="宋体" w:cs="宋体"/>
          <w:sz w:val="24"/>
          <w:szCs w:val="24"/>
          <w:lang w:eastAsia="zh-CN"/>
        </w:rPr>
      </w:pPr>
      <w:r>
        <w:rPr>
          <w:rFonts w:hint="eastAsia" w:ascii="宋体" w:hAnsi="宋体" w:cs="宋体"/>
          <w:sz w:val="24"/>
          <w:szCs w:val="24"/>
        </w:rPr>
        <w:t>承蒙委托，本公司注册房地产估价师依据《房地产估价规范》</w:t>
      </w:r>
      <w:r>
        <w:rPr>
          <w:rFonts w:hint="eastAsia" w:ascii="宋体" w:hAnsi="宋体" w:eastAsia="宋体" w:cs="宋体"/>
          <w:sz w:val="24"/>
          <w:szCs w:val="24"/>
        </w:rPr>
        <w:t>〖</w:t>
      </w:r>
      <w:r>
        <w:rPr>
          <w:rFonts w:ascii="宋体" w:hAnsi="宋体" w:cs="宋体"/>
          <w:sz w:val="24"/>
          <w:szCs w:val="24"/>
        </w:rPr>
        <w:t>GB/T50291-2015</w:t>
      </w:r>
      <w:r>
        <w:rPr>
          <w:rFonts w:hint="eastAsia" w:ascii="宋体" w:hAnsi="宋体" w:eastAsia="宋体" w:cs="宋体"/>
          <w:sz w:val="24"/>
          <w:szCs w:val="24"/>
        </w:rPr>
        <w:t>〗</w:t>
      </w:r>
      <w:r>
        <w:rPr>
          <w:rFonts w:hint="eastAsia" w:ascii="宋体" w:hAnsi="宋体" w:cs="宋体"/>
          <w:sz w:val="24"/>
          <w:szCs w:val="24"/>
        </w:rPr>
        <w:t>、《房地产估价基本术语标准》</w:t>
      </w:r>
      <w:r>
        <w:rPr>
          <w:rFonts w:hint="eastAsia" w:ascii="宋体" w:hAnsi="宋体" w:eastAsia="宋体" w:cs="宋体"/>
          <w:sz w:val="24"/>
          <w:szCs w:val="24"/>
        </w:rPr>
        <w:t>〖</w:t>
      </w:r>
      <w:r>
        <w:rPr>
          <w:rFonts w:ascii="宋体" w:hAnsi="宋体" w:cs="宋体"/>
          <w:sz w:val="24"/>
          <w:szCs w:val="24"/>
        </w:rPr>
        <w:t>GB/T50899—2013</w:t>
      </w:r>
      <w:r>
        <w:rPr>
          <w:rFonts w:hint="eastAsia" w:ascii="宋体" w:hAnsi="宋体" w:eastAsia="宋体" w:cs="宋体"/>
          <w:sz w:val="24"/>
          <w:szCs w:val="24"/>
        </w:rPr>
        <w:t>〗</w:t>
      </w:r>
      <w:r>
        <w:rPr>
          <w:rFonts w:hint="eastAsia" w:ascii="宋体" w:hAnsi="宋体" w:cs="宋体"/>
          <w:sz w:val="24"/>
          <w:szCs w:val="24"/>
        </w:rPr>
        <w:t>及国家相关法律、法规，完成了</w:t>
      </w:r>
      <w:r>
        <w:rPr>
          <w:rFonts w:hint="eastAsia" w:ascii="宋体" w:hAnsi="宋体" w:cs="宋体"/>
          <w:sz w:val="24"/>
          <w:szCs w:val="24"/>
          <w:lang w:val="en-US" w:eastAsia="zh-CN"/>
        </w:rPr>
        <w:t>委</w:t>
      </w:r>
      <w:r>
        <w:rPr>
          <w:rFonts w:hint="eastAsia" w:ascii="宋体" w:hAnsi="宋体" w:cs="宋体"/>
          <w:sz w:val="24"/>
          <w:szCs w:val="24"/>
        </w:rPr>
        <w:t>估</w:t>
      </w:r>
      <w:r>
        <w:rPr>
          <w:rFonts w:hint="eastAsia" w:ascii="宋体" w:hAnsi="宋体" w:cs="宋体"/>
          <w:sz w:val="24"/>
          <w:szCs w:val="24"/>
          <w:lang w:val="en-US" w:eastAsia="zh-CN"/>
        </w:rPr>
        <w:t>房地产市场价值评估</w:t>
      </w:r>
      <w:r>
        <w:rPr>
          <w:rFonts w:hint="eastAsia" w:ascii="宋体" w:hAnsi="宋体" w:cs="宋体"/>
          <w:sz w:val="24"/>
          <w:szCs w:val="24"/>
        </w:rPr>
        <w:t>工作</w:t>
      </w:r>
      <w:r>
        <w:rPr>
          <w:rFonts w:hint="eastAsia" w:ascii="宋体" w:hAnsi="宋体" w:cs="宋体"/>
          <w:sz w:val="24"/>
          <w:szCs w:val="24"/>
          <w:lang w:eastAsia="zh-CN"/>
        </w:rPr>
        <w:t>。</w:t>
      </w:r>
    </w:p>
    <w:p>
      <w:pPr>
        <w:tabs>
          <w:tab w:val="left" w:pos="567"/>
        </w:tabs>
        <w:wordWrap/>
        <w:topLinePunct/>
        <w:spacing w:line="460" w:lineRule="exact"/>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一、</w:t>
      </w:r>
      <w:r>
        <w:rPr>
          <w:rFonts w:hint="eastAsia" w:ascii="宋体" w:hAnsi="宋体" w:eastAsia="宋体" w:cs="宋体"/>
          <w:b/>
          <w:color w:val="000000"/>
          <w:sz w:val="24"/>
          <w:szCs w:val="24"/>
        </w:rPr>
        <w:t>估价目的：</w:t>
      </w:r>
      <w:r>
        <w:rPr>
          <w:rFonts w:hint="eastAsia" w:ascii="宋体" w:hAnsi="宋体" w:eastAsia="宋体" w:cs="宋体"/>
          <w:color w:val="000000"/>
          <w:sz w:val="24"/>
          <w:szCs w:val="24"/>
          <w:lang w:eastAsia="zh-CN"/>
        </w:rPr>
        <w:t>为人民法院确定财产处置参考价提供参考依据</w:t>
      </w:r>
      <w:r>
        <w:rPr>
          <w:rFonts w:hint="eastAsia" w:ascii="宋体" w:hAnsi="宋体" w:eastAsia="宋体" w:cs="宋体"/>
          <w:color w:val="000000"/>
          <w:sz w:val="24"/>
          <w:szCs w:val="24"/>
        </w:rPr>
        <w:t>。</w:t>
      </w:r>
    </w:p>
    <w:p>
      <w:pPr>
        <w:tabs>
          <w:tab w:val="left" w:pos="567"/>
        </w:tabs>
        <w:wordWrap/>
        <w:topLinePunct/>
        <w:spacing w:line="460" w:lineRule="exact"/>
        <w:ind w:firstLine="482" w:firstLineChars="200"/>
        <w:jc w:val="left"/>
        <w:rPr>
          <w:rFonts w:hint="eastAsia" w:ascii="宋体" w:hAnsi="宋体" w:eastAsia="宋体" w:cs="宋体"/>
          <w:color w:val="000000"/>
          <w:sz w:val="24"/>
          <w:szCs w:val="24"/>
        </w:rPr>
      </w:pPr>
      <w:r>
        <w:rPr>
          <w:rFonts w:hint="eastAsia" w:ascii="宋体" w:hAnsi="宋体" w:eastAsia="宋体" w:cs="宋体"/>
          <w:b/>
          <w:color w:val="000000"/>
          <w:sz w:val="24"/>
          <w:szCs w:val="24"/>
        </w:rPr>
        <w:t>二、</w:t>
      </w:r>
      <w:r>
        <w:rPr>
          <w:rFonts w:hint="eastAsia" w:ascii="宋体" w:hAnsi="宋体" w:eastAsia="宋体" w:cs="宋体"/>
          <w:b/>
          <w:bCs/>
          <w:color w:val="000000"/>
          <w:sz w:val="24"/>
          <w:szCs w:val="24"/>
        </w:rPr>
        <w:t>估价对象</w:t>
      </w:r>
      <w:r>
        <w:rPr>
          <w:rFonts w:hint="eastAsia" w:ascii="宋体" w:hAnsi="宋体" w:eastAsia="宋体" w:cs="宋体"/>
          <w:bCs/>
          <w:color w:val="000000"/>
          <w:sz w:val="24"/>
          <w:szCs w:val="24"/>
        </w:rPr>
        <w:t>：</w:t>
      </w:r>
      <w:r>
        <w:rPr>
          <w:rFonts w:hint="eastAsia" w:ascii="宋体" w:hAnsi="宋体" w:eastAsia="宋体" w:cs="宋体"/>
          <w:color w:val="000000"/>
          <w:sz w:val="24"/>
          <w:szCs w:val="24"/>
        </w:rPr>
        <w:t>估价对象为</w:t>
      </w:r>
      <w:r>
        <w:rPr>
          <w:rFonts w:hint="eastAsia" w:ascii="宋体" w:hAnsi="宋体" w:cs="宋体"/>
          <w:color w:val="000000"/>
          <w:sz w:val="24"/>
          <w:szCs w:val="24"/>
          <w:lang w:val="en-US" w:eastAsia="zh-CN"/>
        </w:rPr>
        <w:t>周玉芬、曾定均</w:t>
      </w:r>
      <w:r>
        <w:rPr>
          <w:rFonts w:hint="eastAsia" w:ascii="宋体" w:hAnsi="宋体" w:eastAsia="宋体" w:cs="宋体"/>
          <w:color w:val="000000"/>
          <w:sz w:val="24"/>
          <w:szCs w:val="24"/>
          <w:lang w:val="en-US" w:eastAsia="zh-CN"/>
        </w:rPr>
        <w:t>名下</w:t>
      </w:r>
      <w:r>
        <w:rPr>
          <w:rFonts w:hint="eastAsia" w:ascii="宋体" w:hAnsi="宋体" w:eastAsia="宋体" w:cs="宋体"/>
          <w:color w:val="000000"/>
          <w:sz w:val="24"/>
          <w:szCs w:val="24"/>
        </w:rPr>
        <w:t>的位于</w:t>
      </w:r>
      <w:r>
        <w:rPr>
          <w:rFonts w:hint="eastAsia" w:ascii="宋体" w:hAnsi="宋体" w:cs="宋体"/>
          <w:color w:val="000000"/>
          <w:sz w:val="24"/>
          <w:szCs w:val="24"/>
          <w:lang w:eastAsia="zh-CN"/>
        </w:rPr>
        <w:t>犍为县玉津镇滨江路南段2号4幢1单元801号</w:t>
      </w:r>
      <w:r>
        <w:rPr>
          <w:rFonts w:hint="eastAsia" w:ascii="宋体" w:hAnsi="宋体" w:eastAsia="宋体" w:cs="宋体"/>
          <w:color w:val="000000"/>
          <w:sz w:val="24"/>
          <w:szCs w:val="24"/>
        </w:rPr>
        <w:t>的</w:t>
      </w:r>
      <w:r>
        <w:rPr>
          <w:rFonts w:hint="eastAsia" w:ascii="宋体" w:hAnsi="宋体" w:eastAsia="宋体" w:cs="宋体"/>
          <w:color w:val="000000"/>
          <w:sz w:val="24"/>
          <w:szCs w:val="24"/>
          <w:lang w:val="en-US" w:eastAsia="zh-CN"/>
        </w:rPr>
        <w:t>住宅</w:t>
      </w:r>
      <w:r>
        <w:rPr>
          <w:rFonts w:hint="eastAsia" w:ascii="宋体" w:hAnsi="宋体" w:eastAsia="宋体" w:cs="宋体"/>
          <w:color w:val="000000"/>
          <w:sz w:val="24"/>
          <w:szCs w:val="24"/>
        </w:rPr>
        <w:t>房地产(</w:t>
      </w:r>
      <w:r>
        <w:rPr>
          <w:rFonts w:hint="eastAsia" w:ascii="宋体" w:hAnsi="宋体" w:eastAsia="宋体" w:cs="宋体"/>
          <w:color w:val="000000"/>
          <w:sz w:val="24"/>
          <w:szCs w:val="24"/>
          <w:lang w:eastAsia="zh-CN"/>
        </w:rPr>
        <w:t>含其</w:t>
      </w:r>
      <w:r>
        <w:rPr>
          <w:rFonts w:hint="eastAsia" w:ascii="宋体" w:hAnsi="宋体" w:eastAsia="宋体" w:cs="宋体"/>
          <w:color w:val="000000"/>
          <w:sz w:val="24"/>
          <w:szCs w:val="24"/>
          <w:lang w:val="en-US" w:eastAsia="zh-CN"/>
        </w:rPr>
        <w:t>房屋所有权、</w:t>
      </w:r>
      <w:r>
        <w:rPr>
          <w:rFonts w:hint="eastAsia" w:ascii="宋体" w:hAnsi="宋体" w:eastAsia="宋体" w:cs="宋体"/>
          <w:color w:val="000000"/>
          <w:sz w:val="24"/>
          <w:szCs w:val="24"/>
          <w:lang w:eastAsia="zh-CN"/>
        </w:rPr>
        <w:t>相应分摊的国有建设用地土地使用权</w:t>
      </w:r>
      <w:r>
        <w:rPr>
          <w:rFonts w:hint="eastAsia" w:ascii="宋体" w:hAnsi="宋体" w:eastAsia="宋体" w:cs="宋体"/>
          <w:color w:val="000000"/>
          <w:sz w:val="24"/>
          <w:szCs w:val="24"/>
          <w:lang w:val="en-US" w:eastAsia="zh-CN"/>
        </w:rPr>
        <w:t>及与建筑物功能配套的相关设施设备、</w:t>
      </w:r>
      <w:r>
        <w:rPr>
          <w:rFonts w:hint="eastAsia" w:ascii="宋体" w:hAnsi="宋体" w:cs="宋体"/>
          <w:color w:val="000000"/>
          <w:sz w:val="24"/>
          <w:szCs w:val="24"/>
          <w:lang w:val="en-US" w:eastAsia="zh-CN"/>
        </w:rPr>
        <w:t>不可剥离的</w:t>
      </w:r>
      <w:r>
        <w:rPr>
          <w:rFonts w:hint="eastAsia" w:ascii="宋体" w:hAnsi="宋体" w:eastAsia="宋体" w:cs="宋体"/>
          <w:color w:val="000000"/>
          <w:sz w:val="24"/>
          <w:szCs w:val="24"/>
          <w:lang w:val="en-US" w:eastAsia="zh-CN"/>
        </w:rPr>
        <w:t>装饰装修</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估价对象</w:t>
      </w:r>
      <w:r>
        <w:rPr>
          <w:rFonts w:hint="eastAsia" w:ascii="宋体" w:hAnsi="宋体" w:eastAsia="宋体" w:cs="宋体"/>
          <w:color w:val="000000"/>
          <w:sz w:val="24"/>
          <w:szCs w:val="24"/>
        </w:rPr>
        <w:t>建筑面积为</w:t>
      </w:r>
      <w:r>
        <w:rPr>
          <w:rFonts w:hint="eastAsia" w:ascii="宋体" w:hAnsi="宋体" w:cs="宋体"/>
          <w:color w:val="000000"/>
          <w:sz w:val="24"/>
          <w:szCs w:val="24"/>
          <w:lang w:val="en-US" w:eastAsia="zh-CN"/>
        </w:rPr>
        <w:t>112.17</w:t>
      </w:r>
      <w:r>
        <w:rPr>
          <w:rFonts w:hint="eastAsia" w:ascii="宋体" w:hAnsi="宋体" w:eastAsia="宋体" w:cs="宋体"/>
          <w:color w:val="000000"/>
          <w:sz w:val="24"/>
          <w:szCs w:val="24"/>
        </w:rPr>
        <w:t>平方米，规划用途为</w:t>
      </w:r>
      <w:r>
        <w:rPr>
          <w:rFonts w:hint="eastAsia" w:ascii="宋体" w:hAnsi="宋体" w:eastAsia="宋体" w:cs="宋体"/>
          <w:color w:val="000000"/>
          <w:sz w:val="24"/>
          <w:szCs w:val="24"/>
          <w:lang w:val="en-US" w:eastAsia="zh-CN"/>
        </w:rPr>
        <w:t>住宅</w:t>
      </w:r>
      <w:r>
        <w:rPr>
          <w:rFonts w:hint="eastAsia" w:ascii="宋体" w:hAnsi="宋体" w:eastAsia="宋体" w:cs="宋体"/>
          <w:color w:val="000000"/>
          <w:sz w:val="24"/>
          <w:szCs w:val="24"/>
        </w:rPr>
        <w:t>，实际用途为</w:t>
      </w:r>
      <w:r>
        <w:rPr>
          <w:rFonts w:hint="eastAsia" w:ascii="宋体" w:hAnsi="宋体" w:eastAsia="宋体" w:cs="宋体"/>
          <w:color w:val="000000"/>
          <w:sz w:val="24"/>
          <w:szCs w:val="24"/>
          <w:lang w:val="en-US" w:eastAsia="zh-CN"/>
        </w:rPr>
        <w:t>住宅</w:t>
      </w:r>
      <w:r>
        <w:rPr>
          <w:rFonts w:hint="eastAsia" w:ascii="宋体" w:hAnsi="宋体" w:eastAsia="宋体" w:cs="宋体"/>
          <w:color w:val="000000"/>
          <w:sz w:val="24"/>
          <w:szCs w:val="24"/>
        </w:rPr>
        <w:t>，</w:t>
      </w:r>
      <w:r>
        <w:rPr>
          <w:rFonts w:hint="eastAsia" w:ascii="宋体" w:hAnsi="宋体" w:cs="宋体"/>
          <w:color w:val="000000"/>
          <w:sz w:val="24"/>
          <w:szCs w:val="24"/>
          <w:lang w:eastAsia="zh-CN"/>
        </w:rPr>
        <w:t>分摊土地使用权面积为38.59平方米</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土地性质为出让，用途为住宅用地，使用</w:t>
      </w:r>
      <w:r>
        <w:rPr>
          <w:rFonts w:hint="eastAsia" w:ascii="宋体" w:hAnsi="宋体" w:cs="宋体"/>
          <w:color w:val="000000"/>
          <w:sz w:val="24"/>
          <w:szCs w:val="24"/>
          <w:lang w:val="en-US" w:eastAsia="zh-CN"/>
        </w:rPr>
        <w:t>期限为2010-01-26起2080-01-25止</w:t>
      </w:r>
      <w:r>
        <w:rPr>
          <w:rFonts w:hint="eastAsia" w:ascii="宋体" w:hAnsi="宋体" w:eastAsia="宋体" w:cs="宋体"/>
          <w:color w:val="000000"/>
          <w:sz w:val="24"/>
          <w:szCs w:val="24"/>
        </w:rPr>
        <w:t>。</w:t>
      </w:r>
    </w:p>
    <w:p>
      <w:pPr>
        <w:tabs>
          <w:tab w:val="left" w:pos="567"/>
        </w:tabs>
        <w:wordWrap/>
        <w:topLinePunct/>
        <w:spacing w:line="460" w:lineRule="exact"/>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三、价值时点：</w:t>
      </w:r>
      <w:r>
        <w:rPr>
          <w:rFonts w:hint="eastAsia" w:ascii="宋体" w:hAnsi="宋体" w:cs="宋体"/>
          <w:color w:val="000000"/>
          <w:sz w:val="24"/>
          <w:szCs w:val="24"/>
          <w:lang w:eastAsia="zh-CN"/>
        </w:rPr>
        <w:t>2022年8月10日</w:t>
      </w:r>
      <w:r>
        <w:rPr>
          <w:rFonts w:hint="eastAsia" w:ascii="宋体" w:hAnsi="宋体" w:eastAsia="宋体" w:cs="宋体"/>
          <w:color w:val="000000"/>
          <w:sz w:val="24"/>
          <w:szCs w:val="24"/>
        </w:rPr>
        <w:t>。</w:t>
      </w:r>
      <w:r>
        <w:rPr>
          <w:rFonts w:hint="eastAsia" w:ascii="宋体" w:hAnsi="宋体" w:eastAsia="宋体" w:cs="宋体"/>
          <w:color w:val="auto"/>
          <w:sz w:val="24"/>
          <w:szCs w:val="24"/>
        </w:rPr>
        <w:t>（依据估价委托人的委托目的及要求，本次评估以注册房地产估价师进行实地查看日期为价值时点）</w:t>
      </w:r>
      <w:r>
        <w:rPr>
          <w:rFonts w:hint="eastAsia" w:ascii="宋体" w:hAnsi="宋体" w:eastAsia="宋体" w:cs="宋体"/>
          <w:sz w:val="24"/>
          <w:szCs w:val="24"/>
        </w:rPr>
        <w:t>。</w:t>
      </w:r>
    </w:p>
    <w:p>
      <w:pPr>
        <w:wordWrap/>
        <w:spacing w:line="460" w:lineRule="exact"/>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四、价值类型：</w:t>
      </w:r>
      <w:r>
        <w:rPr>
          <w:rFonts w:hint="eastAsia" w:ascii="宋体" w:hAnsi="宋体" w:eastAsia="宋体" w:cs="宋体"/>
          <w:snapToGrid w:val="0"/>
          <w:color w:val="000000"/>
          <w:kern w:val="24"/>
          <w:sz w:val="24"/>
          <w:szCs w:val="24"/>
          <w:lang w:eastAsia="zh-CN"/>
        </w:rPr>
        <w:t>市场</w:t>
      </w:r>
      <w:r>
        <w:rPr>
          <w:rFonts w:hint="eastAsia" w:ascii="宋体" w:hAnsi="宋体" w:eastAsia="宋体" w:cs="宋体"/>
          <w:snapToGrid w:val="0"/>
          <w:color w:val="000000"/>
          <w:kern w:val="24"/>
          <w:sz w:val="24"/>
          <w:szCs w:val="24"/>
          <w:lang w:val="en-US" w:eastAsia="zh-CN"/>
        </w:rPr>
        <w:t>价格</w:t>
      </w:r>
      <w:r>
        <w:rPr>
          <w:rFonts w:hint="eastAsia" w:ascii="宋体" w:hAnsi="宋体" w:eastAsia="宋体" w:cs="宋体"/>
          <w:color w:val="000000"/>
          <w:sz w:val="24"/>
          <w:szCs w:val="24"/>
        </w:rPr>
        <w:t>。</w:t>
      </w:r>
    </w:p>
    <w:p>
      <w:pPr>
        <w:wordWrap/>
        <w:spacing w:line="460" w:lineRule="exact"/>
        <w:ind w:firstLine="482" w:firstLineChars="200"/>
        <w:jc w:val="left"/>
        <w:rPr>
          <w:rFonts w:hint="default" w:ascii="宋体" w:hAnsi="宋体" w:eastAsia="宋体" w:cs="宋体"/>
          <w:color w:val="000000"/>
          <w:sz w:val="24"/>
          <w:szCs w:val="24"/>
          <w:lang w:val="en-US" w:eastAsia="zh-CN"/>
        </w:rPr>
      </w:pPr>
      <w:r>
        <w:rPr>
          <w:rFonts w:hint="eastAsia" w:ascii="宋体" w:hAnsi="宋体" w:eastAsia="宋体" w:cs="宋体"/>
          <w:b/>
          <w:color w:val="000000"/>
          <w:sz w:val="24"/>
          <w:szCs w:val="24"/>
        </w:rPr>
        <w:t>五、估价方法：</w:t>
      </w:r>
      <w:r>
        <w:rPr>
          <w:rFonts w:hint="eastAsia" w:ascii="宋体" w:hAnsi="宋体" w:eastAsia="宋体" w:cs="宋体"/>
          <w:snapToGrid w:val="0"/>
          <w:color w:val="000000"/>
          <w:kern w:val="24"/>
          <w:sz w:val="24"/>
          <w:szCs w:val="24"/>
          <w:lang w:val="en-US" w:eastAsia="zh-CN"/>
        </w:rPr>
        <w:t>比较法。</w:t>
      </w:r>
    </w:p>
    <w:p>
      <w:pPr>
        <w:wordWrap/>
        <w:spacing w:line="460" w:lineRule="exact"/>
        <w:ind w:firstLine="482" w:firstLineChars="200"/>
        <w:jc w:val="left"/>
        <w:rPr>
          <w:rFonts w:hint="eastAsia" w:ascii="宋体" w:hAnsi="宋体" w:eastAsia="宋体" w:cs="宋体"/>
          <w:b/>
          <w:color w:val="000000"/>
          <w:sz w:val="24"/>
          <w:szCs w:val="24"/>
        </w:rPr>
      </w:pPr>
      <w:r>
        <w:rPr>
          <w:rFonts w:hint="eastAsia" w:ascii="宋体" w:hAnsi="宋体" w:eastAsia="宋体" w:cs="宋体"/>
          <w:b/>
          <w:color w:val="000000"/>
          <w:sz w:val="24"/>
          <w:szCs w:val="24"/>
        </w:rPr>
        <w:t>六、估价结果：</w:t>
      </w:r>
    </w:p>
    <w:p>
      <w:pPr>
        <w:wordWrap/>
        <w:spacing w:line="460" w:lineRule="exact"/>
        <w:ind w:firstLine="480" w:firstLineChars="20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估价对象在满足全部假设和限制条件下于价值时点</w:t>
      </w:r>
      <w:r>
        <w:rPr>
          <w:rFonts w:hint="eastAsia" w:ascii="宋体" w:hAnsi="宋体" w:cs="宋体"/>
          <w:color w:val="000000"/>
          <w:sz w:val="24"/>
          <w:szCs w:val="24"/>
          <w:lang w:eastAsia="zh-CN"/>
        </w:rPr>
        <w:t>2022年8月10日</w:t>
      </w:r>
      <w:r>
        <w:rPr>
          <w:rFonts w:hint="eastAsia" w:ascii="宋体" w:hAnsi="宋体" w:eastAsia="宋体" w:cs="宋体"/>
          <w:color w:val="000000"/>
          <w:sz w:val="24"/>
          <w:szCs w:val="24"/>
        </w:rPr>
        <w:t>的估价结果</w:t>
      </w:r>
      <w:r>
        <w:rPr>
          <w:rFonts w:hint="eastAsia" w:ascii="宋体" w:hAnsi="宋体" w:eastAsia="宋体" w:cs="宋体"/>
          <w:color w:val="000000"/>
          <w:sz w:val="24"/>
          <w:szCs w:val="24"/>
          <w:lang w:val="en-US" w:eastAsia="zh-CN"/>
        </w:rPr>
        <w:t>如下（详见《估价结果汇总表》）：</w:t>
      </w:r>
    </w:p>
    <w:p>
      <w:pPr>
        <w:wordWrap/>
        <w:spacing w:line="46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币    种：人民币</w:t>
      </w:r>
    </w:p>
    <w:p>
      <w:pPr>
        <w:wordWrap/>
        <w:spacing w:line="46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市场价值：</w:t>
      </w:r>
      <w:r>
        <w:rPr>
          <w:rFonts w:hint="eastAsia" w:ascii="宋体" w:hAnsi="宋体" w:cs="宋体"/>
          <w:color w:val="000000"/>
          <w:sz w:val="24"/>
          <w:szCs w:val="24"/>
          <w:lang w:val="en-US" w:eastAsia="zh-CN"/>
        </w:rPr>
        <w:t>62.09</w:t>
      </w:r>
      <w:r>
        <w:rPr>
          <w:rFonts w:hint="eastAsia" w:ascii="宋体" w:hAnsi="宋体" w:eastAsia="宋体" w:cs="宋体"/>
          <w:color w:val="000000"/>
          <w:sz w:val="24"/>
          <w:szCs w:val="24"/>
        </w:rPr>
        <w:t>万元</w:t>
      </w:r>
    </w:p>
    <w:p>
      <w:pPr>
        <w:wordWrap/>
        <w:spacing w:line="460" w:lineRule="exact"/>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大    写：</w:t>
      </w:r>
      <w:r>
        <w:rPr>
          <w:rFonts w:hint="eastAsia" w:ascii="宋体" w:hAnsi="宋体" w:cs="宋体"/>
          <w:color w:val="000000"/>
          <w:sz w:val="24"/>
          <w:szCs w:val="24"/>
          <w:lang w:val="en-US" w:eastAsia="zh-CN"/>
        </w:rPr>
        <w:t>陆拾贰万零玖佰元整</w:t>
      </w:r>
    </w:p>
    <w:p>
      <w:pPr>
        <w:keepNext w:val="0"/>
        <w:keepLines w:val="0"/>
        <w:pageBreakBefore w:val="0"/>
        <w:kinsoku/>
        <w:wordWrap/>
        <w:overflowPunct/>
        <w:topLinePunct w:val="0"/>
        <w:autoSpaceDE/>
        <w:autoSpaceDN/>
        <w:bidi w:val="0"/>
        <w:adjustRightInd w:val="0"/>
        <w:snapToGrid/>
        <w:spacing w:line="460" w:lineRule="exact"/>
        <w:ind w:right="103" w:rightChars="49" w:firstLine="482" w:firstLineChars="200"/>
        <w:textAlignment w:val="baseline"/>
        <w:rPr>
          <w:rFonts w:hint="eastAsia" w:ascii="宋体" w:hAnsi="宋体" w:eastAsia="宋体" w:cs="宋体"/>
          <w:b/>
          <w:color w:val="000000"/>
          <w:sz w:val="24"/>
          <w:szCs w:val="24"/>
        </w:rPr>
      </w:pPr>
      <w:r>
        <w:rPr>
          <w:rFonts w:hint="eastAsia" w:ascii="宋体" w:hAnsi="宋体" w:eastAsia="宋体" w:cs="宋体"/>
          <w:b/>
          <w:color w:val="000000"/>
          <w:sz w:val="24"/>
          <w:szCs w:val="24"/>
        </w:rPr>
        <w:t>特别提示：</w:t>
      </w:r>
    </w:p>
    <w:p>
      <w:pPr>
        <w:numPr>
          <w:ilvl w:val="0"/>
          <w:numId w:val="0"/>
        </w:numPr>
        <w:wordWrap/>
        <w:spacing w:line="460" w:lineRule="exact"/>
        <w:ind w:left="0" w:leftChars="0" w:right="103" w:rightChars="49"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lang w:val="en-US" w:eastAsia="zh-CN"/>
        </w:rPr>
        <w:t>1.</w:t>
      </w:r>
      <w:r>
        <w:rPr>
          <w:rFonts w:hint="eastAsia" w:ascii="宋体" w:hAnsi="宋体" w:eastAsia="宋体" w:cs="宋体"/>
          <w:bCs/>
          <w:color w:val="000000"/>
          <w:sz w:val="24"/>
          <w:szCs w:val="24"/>
        </w:rPr>
        <w:t>本报告估价结果仅作为在本报告估价目的下的参考依据，对估价目的的实现不具有强制力。</w:t>
      </w:r>
    </w:p>
    <w:p>
      <w:pPr>
        <w:numPr>
          <w:ilvl w:val="0"/>
          <w:numId w:val="0"/>
        </w:numPr>
        <w:wordWrap/>
        <w:spacing w:line="460" w:lineRule="exact"/>
        <w:ind w:left="0" w:leftChars="0" w:right="103" w:rightChars="49"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因本次评估为司法鉴定评估，不考虑抵押、查封等因素的影响，</w:t>
      </w:r>
      <w:r>
        <w:rPr>
          <w:rFonts w:hint="eastAsia" w:ascii="宋体" w:hAnsi="宋体" w:eastAsia="宋体" w:cs="宋体"/>
          <w:b/>
          <w:bCs w:val="0"/>
          <w:color w:val="000000"/>
          <w:sz w:val="24"/>
          <w:szCs w:val="24"/>
        </w:rPr>
        <w:t>在此提醒报告使用者注意</w:t>
      </w:r>
      <w:r>
        <w:rPr>
          <w:rFonts w:hint="eastAsia" w:ascii="宋体" w:hAnsi="宋体" w:eastAsia="宋体" w:cs="宋体"/>
          <w:bCs/>
          <w:color w:val="000000"/>
          <w:sz w:val="24"/>
          <w:szCs w:val="24"/>
        </w:rPr>
        <w:t>。</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480" w:firstLineChars="200"/>
        <w:jc w:val="left"/>
        <w:textAlignment w:val="auto"/>
        <w:rPr>
          <w:rFonts w:hint="default"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3.</w:t>
      </w:r>
      <w:r>
        <w:rPr>
          <w:rFonts w:hint="eastAsia" w:ascii="宋体" w:hAnsi="宋体" w:eastAsia="宋体" w:cs="宋体"/>
          <w:sz w:val="24"/>
          <w:szCs w:val="24"/>
          <w:lang w:val="en-US" w:eastAsia="zh-CN"/>
        </w:rPr>
        <w:t>估价委托人未提供估价对象房地产税金及相关费用，包括税收、物业费、水电气费等及其滞纳金缴纳的相关资料，委托人也未明确前述费用是否由买受人承担。本次估价未考虑该事项对估价结果的影响。买受人应充分调查是否存在上述费用及其承担方式，正确使用本次估价结果。</w:t>
      </w:r>
    </w:p>
    <w:p>
      <w:pPr>
        <w:keepNext w:val="0"/>
        <w:keepLines w:val="0"/>
        <w:pageBreakBefore w:val="0"/>
        <w:numPr>
          <w:ilvl w:val="0"/>
          <w:numId w:val="0"/>
        </w:numPr>
        <w:kinsoku/>
        <w:wordWrap/>
        <w:overflowPunct/>
        <w:topLinePunct w:val="0"/>
        <w:autoSpaceDE/>
        <w:autoSpaceDN/>
        <w:bidi w:val="0"/>
        <w:adjustRightInd w:val="0"/>
        <w:snapToGrid/>
        <w:spacing w:line="460" w:lineRule="exact"/>
        <w:ind w:left="0" w:leftChars="0" w:firstLine="480" w:firstLineChars="200"/>
        <w:jc w:val="left"/>
        <w:textAlignment w:val="baseline"/>
        <w:rPr>
          <w:rFonts w:hint="eastAsia" w:ascii="宋体" w:hAnsi="宋体" w:eastAsia="宋体" w:cs="宋体"/>
          <w:bCs/>
          <w:color w:val="000000"/>
          <w:sz w:val="24"/>
          <w:szCs w:val="24"/>
        </w:rPr>
      </w:pPr>
      <w:r>
        <w:rPr>
          <w:rFonts w:hint="eastAsia" w:ascii="宋体" w:hAnsi="宋体" w:eastAsia="宋体" w:cs="宋体"/>
          <w:bCs/>
          <w:color w:val="000000"/>
          <w:sz w:val="24"/>
          <w:szCs w:val="24"/>
          <w:lang w:val="en-US" w:eastAsia="zh-CN"/>
        </w:rPr>
        <w:t>4.</w:t>
      </w:r>
      <w:r>
        <w:rPr>
          <w:rFonts w:hint="eastAsia" w:ascii="宋体" w:hAnsi="宋体" w:eastAsia="宋体" w:cs="宋体"/>
          <w:bCs/>
          <w:color w:val="000000"/>
          <w:sz w:val="24"/>
          <w:szCs w:val="24"/>
        </w:rPr>
        <w:t>请报告使用人完整阅读并正确理解本报告，对因错误理解或仅使用本报告中部分内容而导致的损失，本估价机构不承担责任。</w:t>
      </w:r>
    </w:p>
    <w:p>
      <w:pPr>
        <w:keepNext w:val="0"/>
        <w:keepLines w:val="0"/>
        <w:pageBreakBefore w:val="0"/>
        <w:kinsoku/>
        <w:wordWrap/>
        <w:overflowPunct/>
        <w:topLinePunct w:val="0"/>
        <w:autoSpaceDE/>
        <w:autoSpaceDN/>
        <w:bidi w:val="0"/>
        <w:adjustRightInd w:val="0"/>
        <w:snapToGrid/>
        <w:spacing w:line="460" w:lineRule="exact"/>
        <w:jc w:val="center"/>
        <w:textAlignment w:val="baseline"/>
        <w:rPr>
          <w:rFonts w:hint="eastAsia" w:ascii="宋体" w:hAnsi="宋体" w:eastAsia="宋体"/>
          <w:b/>
          <w:color w:val="000000"/>
          <w:sz w:val="28"/>
          <w:szCs w:val="28"/>
          <w:lang w:eastAsia="zh-CN"/>
        </w:rPr>
      </w:pPr>
      <w:r>
        <w:rPr>
          <w:rFonts w:hint="eastAsia" w:ascii="宋体" w:hAnsi="宋体" w:eastAsia="宋体"/>
          <w:b/>
          <w:color w:val="000000"/>
          <w:sz w:val="24"/>
          <w:szCs w:val="24"/>
          <w:lang w:eastAsia="zh-CN"/>
        </w:rPr>
        <w:t>估价结果</w:t>
      </w:r>
      <w:r>
        <w:rPr>
          <w:rFonts w:hint="eastAsia" w:ascii="宋体" w:hAnsi="宋体" w:eastAsia="宋体"/>
          <w:b/>
          <w:color w:val="000000"/>
          <w:sz w:val="24"/>
          <w:szCs w:val="24"/>
          <w:highlight w:val="none"/>
          <w:lang w:eastAsia="zh-CN"/>
        </w:rPr>
        <w:t>汇总</w:t>
      </w:r>
      <w:r>
        <w:rPr>
          <w:rFonts w:hint="eastAsia" w:ascii="宋体" w:hAnsi="宋体" w:eastAsia="宋体"/>
          <w:b/>
          <w:color w:val="000000"/>
          <w:sz w:val="24"/>
          <w:szCs w:val="24"/>
          <w:lang w:eastAsia="zh-CN"/>
        </w:rPr>
        <w:t>表</w:t>
      </w:r>
    </w:p>
    <w:p>
      <w:pPr>
        <w:keepNext w:val="0"/>
        <w:keepLines w:val="0"/>
        <w:pageBreakBefore w:val="0"/>
        <w:kinsoku/>
        <w:wordWrap/>
        <w:overflowPunct/>
        <w:topLinePunct w:val="0"/>
        <w:autoSpaceDE/>
        <w:autoSpaceDN/>
        <w:bidi w:val="0"/>
        <w:adjustRightInd w:val="0"/>
        <w:snapToGrid/>
        <w:spacing w:line="460" w:lineRule="exact"/>
        <w:ind w:firstLine="211" w:firstLineChars="100"/>
        <w:jc w:val="left"/>
        <w:textAlignment w:val="baseline"/>
        <w:rPr>
          <w:rFonts w:hint="eastAsia" w:ascii="宋体" w:hAnsi="宋体" w:eastAsia="宋体" w:cs="宋体"/>
          <w:b/>
          <w:color w:val="000000"/>
          <w:szCs w:val="21"/>
        </w:rPr>
      </w:pPr>
      <w:r>
        <w:rPr>
          <w:rFonts w:hint="eastAsia" w:ascii="宋体" w:hAnsi="宋体" w:eastAsia="宋体" w:cs="宋体"/>
          <w:b/>
          <w:color w:val="000000"/>
          <w:szCs w:val="21"/>
          <w:lang w:val="en-US" w:eastAsia="zh-CN"/>
        </w:rPr>
        <w:t xml:space="preserve">                                                                       </w:t>
      </w:r>
      <w:r>
        <w:rPr>
          <w:rFonts w:hint="eastAsia" w:ascii="宋体" w:hAnsi="宋体" w:eastAsia="宋体" w:cs="宋体"/>
          <w:b/>
          <w:color w:val="000000"/>
          <w:szCs w:val="21"/>
        </w:rPr>
        <w:t>币种：人民币</w:t>
      </w:r>
    </w:p>
    <w:tbl>
      <w:tblPr>
        <w:tblStyle w:val="9"/>
        <w:tblW w:w="9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2167"/>
        <w:gridCol w:w="767"/>
        <w:gridCol w:w="889"/>
        <w:gridCol w:w="1577"/>
        <w:gridCol w:w="863"/>
        <w:gridCol w:w="1033"/>
        <w:gridCol w:w="1000"/>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46"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序</w:t>
            </w:r>
          </w:p>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号</w:t>
            </w:r>
          </w:p>
        </w:tc>
        <w:tc>
          <w:tcPr>
            <w:tcW w:w="2167"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估价对象</w:t>
            </w:r>
          </w:p>
        </w:tc>
        <w:tc>
          <w:tcPr>
            <w:tcW w:w="767"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实际</w:t>
            </w:r>
          </w:p>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用途</w:t>
            </w:r>
          </w:p>
        </w:tc>
        <w:tc>
          <w:tcPr>
            <w:tcW w:w="889"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楼层/</w:t>
            </w:r>
          </w:p>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总楼层</w:t>
            </w:r>
          </w:p>
        </w:tc>
        <w:tc>
          <w:tcPr>
            <w:tcW w:w="1577"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权证号</w:t>
            </w:r>
          </w:p>
        </w:tc>
        <w:tc>
          <w:tcPr>
            <w:tcW w:w="863"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建筑面</w:t>
            </w:r>
          </w:p>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积(㎡)</w:t>
            </w:r>
          </w:p>
        </w:tc>
        <w:tc>
          <w:tcPr>
            <w:tcW w:w="1033"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评估单价（元/㎡）</w:t>
            </w:r>
          </w:p>
        </w:tc>
        <w:tc>
          <w:tcPr>
            <w:tcW w:w="1000"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评估总值</w:t>
            </w:r>
          </w:p>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kern w:val="0"/>
                <w:sz w:val="18"/>
                <w:szCs w:val="18"/>
              </w:rPr>
              <w:t>万元</w:t>
            </w:r>
            <w:r>
              <w:rPr>
                <w:rFonts w:hint="eastAsia" w:ascii="宋体" w:hAnsi="宋体" w:eastAsia="宋体" w:cs="宋体"/>
                <w:color w:val="000000"/>
                <w:kern w:val="0"/>
                <w:sz w:val="18"/>
                <w:szCs w:val="18"/>
              </w:rPr>
              <w:t>)</w:t>
            </w:r>
          </w:p>
        </w:tc>
        <w:tc>
          <w:tcPr>
            <w:tcW w:w="660"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1</w:t>
            </w:r>
          </w:p>
        </w:tc>
        <w:tc>
          <w:tcPr>
            <w:tcW w:w="2167"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犍为县玉津镇滨江路南段2号4幢1单元801号</w:t>
            </w:r>
          </w:p>
        </w:tc>
        <w:tc>
          <w:tcPr>
            <w:tcW w:w="7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住宅</w:t>
            </w:r>
          </w:p>
        </w:tc>
        <w:tc>
          <w:tcPr>
            <w:tcW w:w="8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8</w:t>
            </w:r>
            <w:r>
              <w:rPr>
                <w:rFonts w:hint="eastAsia" w:ascii="宋体" w:hAnsi="宋体" w:eastAsia="宋体" w:cs="宋体"/>
                <w:color w:val="000000"/>
                <w:kern w:val="0"/>
                <w:sz w:val="18"/>
                <w:szCs w:val="18"/>
                <w:lang w:val="en-US" w:eastAsia="zh-CN"/>
              </w:rPr>
              <w:t>/15</w:t>
            </w:r>
          </w:p>
        </w:tc>
        <w:tc>
          <w:tcPr>
            <w:tcW w:w="15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2013101300194、犍国用（2013）第（一）-33540号</w:t>
            </w:r>
          </w:p>
        </w:tc>
        <w:tc>
          <w:tcPr>
            <w:tcW w:w="8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112.17</w:t>
            </w:r>
          </w:p>
        </w:tc>
        <w:tc>
          <w:tcPr>
            <w:tcW w:w="1033"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5535.00</w:t>
            </w:r>
          </w:p>
        </w:tc>
        <w:tc>
          <w:tcPr>
            <w:tcW w:w="1000"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62.09</w:t>
            </w:r>
          </w:p>
        </w:tc>
        <w:tc>
          <w:tcPr>
            <w:tcW w:w="660"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46"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rPr>
              <w:t>总价大写</w:t>
            </w:r>
          </w:p>
        </w:tc>
        <w:tc>
          <w:tcPr>
            <w:tcW w:w="3556"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陆拾贰万零玖佰元整</w:t>
            </w:r>
          </w:p>
        </w:tc>
      </w:tr>
    </w:tbl>
    <w:p>
      <w:pPr>
        <w:pStyle w:val="2"/>
        <w:rPr>
          <w:rFonts w:hint="eastAsia" w:ascii="宋体" w:hAnsi="宋体" w:eastAsia="宋体" w:cs="宋体"/>
          <w:b/>
          <w:color w:val="000000"/>
          <w:szCs w:val="21"/>
        </w:rPr>
      </w:pPr>
    </w:p>
    <w:p>
      <w:pPr>
        <w:wordWrap/>
        <w:spacing w:line="460" w:lineRule="exact"/>
        <w:ind w:right="103" w:rightChars="49" w:firstLine="482" w:firstLineChars="200"/>
        <w:rPr>
          <w:rFonts w:hint="eastAsia" w:ascii="宋体" w:hAnsi="宋体" w:eastAsia="宋体" w:cs="宋体"/>
          <w:b/>
          <w:color w:val="000000"/>
          <w:sz w:val="24"/>
          <w:szCs w:val="24"/>
        </w:rPr>
      </w:pPr>
    </w:p>
    <w:p>
      <w:pPr>
        <w:wordWrap/>
        <w:spacing w:before="312" w:beforeLines="100" w:line="360" w:lineRule="auto"/>
        <w:ind w:firstLine="2880" w:firstLineChars="1200"/>
        <w:jc w:val="left"/>
        <w:rPr>
          <w:rFonts w:hint="eastAsia" w:ascii="宋体" w:hAnsi="宋体" w:eastAsia="宋体" w:cs="宋体"/>
          <w:color w:val="000000"/>
          <w:kern w:val="2"/>
          <w:sz w:val="24"/>
          <w:szCs w:val="24"/>
        </w:rPr>
      </w:pPr>
      <w:r>
        <w:rPr>
          <w:rFonts w:hint="eastAsia" w:ascii="宋体" w:hAnsi="宋体" w:eastAsia="宋体" w:cs="宋体"/>
          <w:color w:val="000000"/>
          <w:sz w:val="24"/>
          <w:szCs w:val="24"/>
        </w:rPr>
        <w:t>四川省久源房地产土地估价有限公司</w:t>
      </w:r>
    </w:p>
    <w:p>
      <w:pPr>
        <w:wordWrap/>
        <w:spacing w:line="360" w:lineRule="auto"/>
        <w:ind w:right="1120" w:firstLine="2880" w:firstLineChars="1200"/>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法定代表人：</w:t>
      </w:r>
    </w:p>
    <w:p>
      <w:pPr>
        <w:wordWrap/>
        <w:spacing w:line="360" w:lineRule="auto"/>
        <w:ind w:right="560" w:firstLine="2880" w:firstLineChars="1200"/>
        <w:rPr>
          <w:rFonts w:hint="eastAsia" w:ascii="宋体" w:hAnsi="宋体" w:eastAsia="宋体" w:cs="宋体"/>
          <w:color w:val="000000"/>
          <w:kern w:val="2"/>
          <w:sz w:val="24"/>
          <w:szCs w:val="24"/>
          <w:lang w:val="en-US" w:eastAsia="zh-CN"/>
        </w:rPr>
      </w:pPr>
      <w:r>
        <w:rPr>
          <w:rFonts w:hint="eastAsia" w:ascii="宋体" w:hAnsi="宋体" w:cs="宋体"/>
          <w:color w:val="000000" w:themeColor="text1"/>
          <w:kern w:val="2"/>
          <w:sz w:val="24"/>
          <w:szCs w:val="24"/>
          <w:lang w:val="en-US" w:eastAsia="zh-CN"/>
          <w14:textFill>
            <w14:solidFill>
              <w14:schemeClr w14:val="tx1"/>
            </w14:solidFill>
          </w14:textFill>
        </w:rPr>
        <w:t>2022年8月29日</w:t>
      </w:r>
    </w:p>
    <w:p>
      <w:pPr>
        <w:pStyle w:val="2"/>
        <w:rPr>
          <w:rFonts w:hint="eastAsia" w:ascii="宋体" w:hAnsi="宋体" w:eastAsia="宋体" w:cs="宋体"/>
          <w:color w:val="000000"/>
          <w:kern w:val="2"/>
          <w:sz w:val="24"/>
          <w:szCs w:val="24"/>
          <w:lang w:val="en-US" w:eastAsia="zh-CN"/>
        </w:rPr>
      </w:pPr>
    </w:p>
    <w:p>
      <w:pPr>
        <w:rPr>
          <w:rFonts w:hint="eastAsia" w:ascii="宋体" w:hAnsi="宋体" w:eastAsia="宋体" w:cs="宋体"/>
          <w:color w:val="000000"/>
          <w:kern w:val="2"/>
          <w:sz w:val="24"/>
          <w:szCs w:val="24"/>
          <w:lang w:val="en-US" w:eastAsia="zh-CN"/>
        </w:rPr>
      </w:pPr>
    </w:p>
    <w:p>
      <w:pPr>
        <w:pStyle w:val="2"/>
        <w:rPr>
          <w:rFonts w:hint="eastAsia" w:ascii="宋体" w:hAnsi="宋体" w:eastAsia="宋体" w:cs="宋体"/>
          <w:color w:val="000000"/>
          <w:kern w:val="2"/>
          <w:sz w:val="24"/>
          <w:szCs w:val="24"/>
          <w:lang w:val="en-US" w:eastAsia="zh-CN"/>
        </w:rPr>
      </w:pPr>
    </w:p>
    <w:p>
      <w:pPr>
        <w:rPr>
          <w:rFonts w:hint="eastAsia" w:ascii="宋体" w:hAnsi="宋体" w:eastAsia="宋体" w:cs="宋体"/>
          <w:color w:val="000000"/>
          <w:kern w:val="2"/>
          <w:sz w:val="24"/>
          <w:szCs w:val="24"/>
          <w:lang w:val="en-US" w:eastAsia="zh-CN"/>
        </w:rPr>
      </w:pPr>
    </w:p>
    <w:p>
      <w:pPr>
        <w:pStyle w:val="2"/>
        <w:rPr>
          <w:rFonts w:hint="eastAsia" w:ascii="宋体" w:hAnsi="宋体" w:eastAsia="宋体" w:cs="宋体"/>
          <w:color w:val="000000"/>
          <w:kern w:val="2"/>
          <w:sz w:val="24"/>
          <w:szCs w:val="24"/>
          <w:lang w:val="en-US" w:eastAsia="zh-CN"/>
        </w:rPr>
      </w:pPr>
    </w:p>
    <w:p>
      <w:pPr>
        <w:rPr>
          <w:rFonts w:hint="eastAsia" w:ascii="宋体" w:hAnsi="宋体" w:eastAsia="宋体" w:cs="宋体"/>
          <w:color w:val="000000"/>
          <w:kern w:val="2"/>
          <w:sz w:val="24"/>
          <w:szCs w:val="24"/>
          <w:lang w:val="en-US" w:eastAsia="zh-CN"/>
        </w:rPr>
      </w:pPr>
    </w:p>
    <w:p>
      <w:pPr>
        <w:pStyle w:val="2"/>
        <w:rPr>
          <w:rFonts w:hint="eastAsia" w:ascii="宋体" w:hAnsi="宋体" w:eastAsia="宋体" w:cs="宋体"/>
          <w:color w:val="000000"/>
          <w:kern w:val="2"/>
          <w:sz w:val="24"/>
          <w:szCs w:val="24"/>
          <w:lang w:val="en-US" w:eastAsia="zh-CN"/>
        </w:rPr>
      </w:pPr>
    </w:p>
    <w:p>
      <w:pPr>
        <w:rPr>
          <w:rFonts w:hint="eastAsia" w:ascii="宋体" w:hAnsi="宋体" w:eastAsia="宋体" w:cs="宋体"/>
          <w:color w:val="000000"/>
          <w:kern w:val="2"/>
          <w:sz w:val="24"/>
          <w:szCs w:val="24"/>
          <w:lang w:val="en-US" w:eastAsia="zh-CN"/>
        </w:rPr>
      </w:pPr>
    </w:p>
    <w:p>
      <w:pPr>
        <w:pStyle w:val="2"/>
        <w:rPr>
          <w:rFonts w:hint="eastAsia" w:ascii="宋体" w:hAnsi="宋体" w:eastAsia="宋体" w:cs="宋体"/>
          <w:color w:val="000000"/>
          <w:kern w:val="2"/>
          <w:sz w:val="24"/>
          <w:szCs w:val="24"/>
          <w:lang w:val="en-US" w:eastAsia="zh-CN"/>
        </w:rPr>
      </w:pPr>
    </w:p>
    <w:p>
      <w:pPr>
        <w:rPr>
          <w:rFonts w:hint="eastAsia" w:ascii="宋体" w:hAnsi="宋体" w:eastAsia="宋体" w:cs="宋体"/>
          <w:color w:val="000000"/>
          <w:kern w:val="2"/>
          <w:sz w:val="24"/>
          <w:szCs w:val="24"/>
          <w:lang w:val="en-US" w:eastAsia="zh-CN"/>
        </w:rPr>
      </w:pPr>
    </w:p>
    <w:p>
      <w:pPr>
        <w:pStyle w:val="2"/>
        <w:rPr>
          <w:rFonts w:hint="eastAsia" w:ascii="宋体" w:hAnsi="宋体" w:eastAsia="宋体" w:cs="宋体"/>
          <w:color w:val="000000"/>
          <w:kern w:val="2"/>
          <w:sz w:val="24"/>
          <w:szCs w:val="24"/>
          <w:lang w:val="en-US" w:eastAsia="zh-CN"/>
        </w:rPr>
      </w:pPr>
    </w:p>
    <w:p>
      <w:pPr>
        <w:rPr>
          <w:rFonts w:hint="eastAsia" w:ascii="宋体" w:hAnsi="宋体" w:eastAsia="宋体" w:cs="宋体"/>
          <w:color w:val="000000"/>
          <w:kern w:val="2"/>
          <w:sz w:val="24"/>
          <w:szCs w:val="24"/>
          <w:lang w:val="en-US" w:eastAsia="zh-CN"/>
        </w:rPr>
      </w:pPr>
    </w:p>
    <w:p>
      <w:pPr>
        <w:pStyle w:val="2"/>
        <w:rPr>
          <w:rFonts w:hint="eastAsia" w:ascii="宋体" w:hAnsi="宋体" w:eastAsia="宋体" w:cs="宋体"/>
          <w:color w:val="000000"/>
          <w:kern w:val="2"/>
          <w:sz w:val="24"/>
          <w:szCs w:val="24"/>
          <w:lang w:val="en-US" w:eastAsia="zh-CN"/>
        </w:rPr>
      </w:pPr>
    </w:p>
    <w:p>
      <w:pPr>
        <w:rPr>
          <w:rFonts w:hint="eastAsia" w:ascii="宋体" w:hAnsi="宋体" w:eastAsia="宋体" w:cs="宋体"/>
          <w:color w:val="000000"/>
          <w:kern w:val="2"/>
          <w:sz w:val="24"/>
          <w:szCs w:val="24"/>
          <w:lang w:val="en-US" w:eastAsia="zh-CN"/>
        </w:rPr>
      </w:pPr>
    </w:p>
    <w:p>
      <w:pPr>
        <w:pStyle w:val="2"/>
        <w:rPr>
          <w:rFonts w:hint="eastAsia" w:ascii="宋体" w:hAnsi="宋体" w:eastAsia="宋体" w:cs="宋体"/>
          <w:color w:val="000000"/>
          <w:kern w:val="2"/>
          <w:sz w:val="24"/>
          <w:szCs w:val="24"/>
          <w:lang w:val="en-US" w:eastAsia="zh-CN"/>
        </w:rPr>
      </w:pPr>
    </w:p>
    <w:p>
      <w:pPr>
        <w:rPr>
          <w:rFonts w:hint="eastAsia" w:ascii="宋体" w:hAnsi="宋体" w:eastAsia="宋体" w:cs="宋体"/>
          <w:color w:val="000000"/>
          <w:kern w:val="2"/>
          <w:sz w:val="24"/>
          <w:szCs w:val="24"/>
          <w:lang w:val="en-US" w:eastAsia="zh-CN"/>
        </w:rPr>
      </w:pPr>
    </w:p>
    <w:p>
      <w:pPr>
        <w:pStyle w:val="2"/>
        <w:rPr>
          <w:rFonts w:hint="eastAsia" w:ascii="宋体" w:hAnsi="宋体" w:eastAsia="宋体" w:cs="宋体"/>
          <w:color w:val="000000"/>
          <w:kern w:val="2"/>
          <w:sz w:val="24"/>
          <w:szCs w:val="24"/>
          <w:lang w:val="en-US" w:eastAsia="zh-CN"/>
        </w:rPr>
      </w:pPr>
    </w:p>
    <w:p>
      <w:pPr>
        <w:rPr>
          <w:rFonts w:hint="eastAsia" w:ascii="宋体" w:hAnsi="宋体" w:eastAsia="宋体" w:cs="宋体"/>
          <w:color w:val="000000"/>
          <w:kern w:val="2"/>
          <w:sz w:val="24"/>
          <w:szCs w:val="24"/>
          <w:lang w:val="en-US" w:eastAsia="zh-CN"/>
        </w:rPr>
      </w:pPr>
    </w:p>
    <w:p>
      <w:pPr>
        <w:pStyle w:val="2"/>
        <w:rPr>
          <w:rFonts w:hint="eastAsia" w:ascii="宋体" w:hAnsi="宋体" w:eastAsia="宋体" w:cs="宋体"/>
          <w:color w:val="000000"/>
          <w:kern w:val="2"/>
          <w:sz w:val="24"/>
          <w:szCs w:val="24"/>
          <w:lang w:val="en-US" w:eastAsia="zh-CN"/>
        </w:rPr>
      </w:pPr>
    </w:p>
    <w:p>
      <w:pPr>
        <w:rPr>
          <w:rFonts w:hint="eastAsia" w:ascii="宋体" w:hAnsi="宋体" w:eastAsia="宋体" w:cs="宋体"/>
          <w:color w:val="000000"/>
          <w:kern w:val="2"/>
          <w:sz w:val="24"/>
          <w:szCs w:val="24"/>
          <w:lang w:val="en-US" w:eastAsia="zh-CN"/>
        </w:rPr>
      </w:pPr>
    </w:p>
    <w:p>
      <w:pPr>
        <w:pStyle w:val="2"/>
        <w:rPr>
          <w:rFonts w:hint="eastAsia" w:ascii="宋体" w:hAnsi="宋体" w:eastAsia="宋体" w:cs="宋体"/>
          <w:color w:val="000000"/>
          <w:kern w:val="2"/>
          <w:sz w:val="24"/>
          <w:szCs w:val="24"/>
          <w:lang w:val="en-US" w:eastAsia="zh-CN"/>
        </w:rPr>
      </w:pPr>
    </w:p>
    <w:p/>
    <w:p>
      <w:pPr>
        <w:pStyle w:val="2"/>
      </w:pPr>
    </w:p>
    <w:p>
      <w:pPr>
        <w:wordWrap/>
        <w:spacing w:before="156" w:beforeLines="50" w:line="240" w:lineRule="auto"/>
        <w:jc w:val="center"/>
        <w:rPr>
          <w:rFonts w:ascii="宋体" w:hAnsi="宋体" w:eastAsia="宋体"/>
          <w:b/>
          <w:color w:val="000000"/>
          <w:sz w:val="32"/>
          <w:szCs w:val="32"/>
        </w:rPr>
      </w:pPr>
      <w:r>
        <w:rPr>
          <w:rFonts w:hint="eastAsia" w:ascii="宋体" w:hAnsi="宋体" w:eastAsia="宋体"/>
          <w:b/>
          <w:color w:val="000000"/>
          <w:sz w:val="32"/>
          <w:szCs w:val="32"/>
        </w:rPr>
        <w:t>目录</w:t>
      </w:r>
    </w:p>
    <w:p>
      <w:pPr>
        <w:pStyle w:val="7"/>
        <w:tabs>
          <w:tab w:val="right" w:leader="dot" w:pos="9071"/>
        </w:tabs>
      </w:pPr>
      <w:r>
        <w:rPr>
          <w:rFonts w:ascii="宋体" w:hAnsi="宋体" w:eastAsia="宋体"/>
          <w:b w:val="0"/>
          <w:bCs w:val="0"/>
          <w:caps w:val="0"/>
          <w:color w:val="000000"/>
          <w:szCs w:val="24"/>
        </w:rPr>
        <w:fldChar w:fldCharType="begin"/>
      </w:r>
      <w:r>
        <w:rPr>
          <w:rFonts w:ascii="宋体" w:hAnsi="宋体" w:eastAsia="宋体"/>
          <w:b w:val="0"/>
          <w:bCs w:val="0"/>
          <w:caps w:val="0"/>
          <w:color w:val="000000"/>
          <w:szCs w:val="24"/>
        </w:rPr>
        <w:instrText xml:space="preserve"> TOC \o "1-2" \h \z \u </w:instrText>
      </w:r>
      <w:r>
        <w:rPr>
          <w:rFonts w:ascii="宋体" w:hAnsi="宋体" w:eastAsia="宋体"/>
          <w:b w:val="0"/>
          <w:bCs w:val="0"/>
          <w:caps w:val="0"/>
          <w:color w:val="000000"/>
          <w:szCs w:val="24"/>
        </w:rPr>
        <w:fldChar w:fldCharType="separate"/>
      </w:r>
      <w:r>
        <w:rPr>
          <w:rFonts w:ascii="宋体" w:hAnsi="宋体" w:eastAsia="宋体"/>
          <w:bCs/>
          <w:caps/>
          <w:color w:val="000000"/>
          <w:szCs w:val="24"/>
        </w:rPr>
        <w:fldChar w:fldCharType="begin"/>
      </w:r>
      <w:r>
        <w:rPr>
          <w:rFonts w:ascii="宋体" w:hAnsi="宋体" w:eastAsia="宋体"/>
          <w:bCs/>
          <w:caps/>
          <w:szCs w:val="24"/>
        </w:rPr>
        <w:instrText xml:space="preserve"> HYPERLINK \l _Toc13993 </w:instrText>
      </w:r>
      <w:r>
        <w:rPr>
          <w:rFonts w:ascii="宋体" w:hAnsi="宋体" w:eastAsia="宋体"/>
          <w:bCs/>
          <w:caps/>
          <w:szCs w:val="24"/>
        </w:rPr>
        <w:fldChar w:fldCharType="separate"/>
      </w:r>
      <w:r>
        <w:rPr>
          <w:rFonts w:hint="eastAsia" w:ascii="宋体" w:hAnsi="宋体" w:eastAsia="宋体" w:cs="宋体"/>
          <w:szCs w:val="32"/>
        </w:rPr>
        <w:t>估价师声明</w:t>
      </w:r>
      <w:r>
        <w:tab/>
      </w:r>
      <w:r>
        <w:fldChar w:fldCharType="begin"/>
      </w:r>
      <w:r>
        <w:instrText xml:space="preserve"> PAGEREF _Toc13993 \h </w:instrText>
      </w:r>
      <w:r>
        <w:fldChar w:fldCharType="separate"/>
      </w:r>
      <w:r>
        <w:t>1</w:t>
      </w:r>
      <w:r>
        <w:fldChar w:fldCharType="end"/>
      </w:r>
      <w:r>
        <w:rPr>
          <w:rFonts w:ascii="宋体" w:hAnsi="宋体" w:eastAsia="宋体"/>
          <w:bCs/>
          <w:caps/>
          <w:color w:val="000000"/>
          <w:szCs w:val="24"/>
        </w:rPr>
        <w:fldChar w:fldCharType="end"/>
      </w:r>
    </w:p>
    <w:p>
      <w:pPr>
        <w:pStyle w:val="7"/>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_Toc21985 </w:instrText>
      </w:r>
      <w:r>
        <w:rPr>
          <w:rFonts w:ascii="宋体" w:hAnsi="宋体" w:eastAsia="宋体"/>
          <w:bCs/>
          <w:caps/>
          <w:szCs w:val="24"/>
        </w:rPr>
        <w:fldChar w:fldCharType="separate"/>
      </w:r>
      <w:r>
        <w:rPr>
          <w:rFonts w:hint="eastAsia"/>
        </w:rPr>
        <w:t>估价假设和限制条件</w:t>
      </w:r>
      <w:r>
        <w:tab/>
      </w:r>
      <w:r>
        <w:fldChar w:fldCharType="begin"/>
      </w:r>
      <w:r>
        <w:instrText xml:space="preserve"> PAGEREF _Toc21985 \h </w:instrText>
      </w:r>
      <w:r>
        <w:fldChar w:fldCharType="separate"/>
      </w:r>
      <w:r>
        <w:t>2</w:t>
      </w:r>
      <w:r>
        <w:fldChar w:fldCharType="end"/>
      </w:r>
      <w:r>
        <w:rPr>
          <w:rFonts w:ascii="宋体" w:hAnsi="宋体" w:eastAsia="宋体"/>
          <w:bCs/>
          <w:caps/>
          <w:color w:val="000000"/>
          <w:szCs w:val="24"/>
        </w:rPr>
        <w:fldChar w:fldCharType="end"/>
      </w:r>
    </w:p>
    <w:p>
      <w:pPr>
        <w:pStyle w:val="8"/>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_Toc5391 </w:instrText>
      </w:r>
      <w:r>
        <w:rPr>
          <w:rFonts w:ascii="宋体" w:hAnsi="宋体" w:eastAsia="宋体"/>
          <w:bCs/>
          <w:caps/>
          <w:szCs w:val="24"/>
        </w:rPr>
        <w:fldChar w:fldCharType="separate"/>
      </w:r>
      <w:r>
        <w:rPr>
          <w:rFonts w:hint="eastAsia" w:ascii="宋体" w:hAnsi="宋体" w:eastAsia="宋体" w:cs="宋体"/>
          <w:szCs w:val="24"/>
          <w:lang w:val="en-US" w:eastAsia="zh-CN"/>
        </w:rPr>
        <w:t>一、</w:t>
      </w:r>
      <w:r>
        <w:rPr>
          <w:rFonts w:hint="eastAsia" w:ascii="宋体" w:hAnsi="宋体" w:eastAsia="宋体" w:cs="宋体"/>
          <w:szCs w:val="24"/>
        </w:rPr>
        <w:t>估价的假设条件</w:t>
      </w:r>
      <w:r>
        <w:tab/>
      </w:r>
      <w:r>
        <w:fldChar w:fldCharType="begin"/>
      </w:r>
      <w:r>
        <w:instrText xml:space="preserve"> PAGEREF _Toc5391 \h </w:instrText>
      </w:r>
      <w:r>
        <w:fldChar w:fldCharType="separate"/>
      </w:r>
      <w:r>
        <w:t>2</w:t>
      </w:r>
      <w:r>
        <w:fldChar w:fldCharType="end"/>
      </w:r>
      <w:r>
        <w:rPr>
          <w:rFonts w:ascii="宋体" w:hAnsi="宋体" w:eastAsia="宋体"/>
          <w:bCs/>
          <w:caps/>
          <w:color w:val="000000"/>
          <w:szCs w:val="24"/>
        </w:rPr>
        <w:fldChar w:fldCharType="end"/>
      </w:r>
    </w:p>
    <w:p>
      <w:pPr>
        <w:pStyle w:val="8"/>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_Toc22074 </w:instrText>
      </w:r>
      <w:r>
        <w:rPr>
          <w:rFonts w:ascii="宋体" w:hAnsi="宋体" w:eastAsia="宋体"/>
          <w:bCs/>
          <w:caps/>
          <w:szCs w:val="24"/>
        </w:rPr>
        <w:fldChar w:fldCharType="separate"/>
      </w:r>
      <w:r>
        <w:rPr>
          <w:rFonts w:hint="eastAsia" w:ascii="宋体" w:hAnsi="宋体" w:eastAsia="宋体" w:cs="宋体"/>
          <w:szCs w:val="24"/>
          <w:lang w:val="en-US" w:eastAsia="zh-CN"/>
        </w:rPr>
        <w:t>二、</w:t>
      </w:r>
      <w:r>
        <w:rPr>
          <w:rFonts w:hint="eastAsia" w:ascii="宋体" w:hAnsi="宋体" w:eastAsia="宋体" w:cs="宋体"/>
          <w:szCs w:val="24"/>
        </w:rPr>
        <w:t>本估价报告使用的限制条件</w:t>
      </w:r>
      <w:r>
        <w:tab/>
      </w:r>
      <w:r>
        <w:fldChar w:fldCharType="begin"/>
      </w:r>
      <w:r>
        <w:instrText xml:space="preserve"> PAGEREF _Toc22074 \h </w:instrText>
      </w:r>
      <w:r>
        <w:fldChar w:fldCharType="separate"/>
      </w:r>
      <w:r>
        <w:t>4</w:t>
      </w:r>
      <w:r>
        <w:fldChar w:fldCharType="end"/>
      </w:r>
      <w:r>
        <w:rPr>
          <w:rFonts w:ascii="宋体" w:hAnsi="宋体" w:eastAsia="宋体"/>
          <w:bCs/>
          <w:caps/>
          <w:color w:val="000000"/>
          <w:szCs w:val="24"/>
        </w:rPr>
        <w:fldChar w:fldCharType="end"/>
      </w:r>
    </w:p>
    <w:p>
      <w:pPr>
        <w:pStyle w:val="7"/>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_Toc22280 </w:instrText>
      </w:r>
      <w:r>
        <w:rPr>
          <w:rFonts w:ascii="宋体" w:hAnsi="宋体" w:eastAsia="宋体"/>
          <w:bCs/>
          <w:caps/>
          <w:szCs w:val="24"/>
        </w:rPr>
        <w:fldChar w:fldCharType="separate"/>
      </w:r>
      <w:r>
        <w:t>估价结果报告</w:t>
      </w:r>
      <w:r>
        <w:tab/>
      </w:r>
      <w:r>
        <w:fldChar w:fldCharType="begin"/>
      </w:r>
      <w:r>
        <w:instrText xml:space="preserve"> PAGEREF _Toc22280 \h </w:instrText>
      </w:r>
      <w:r>
        <w:fldChar w:fldCharType="separate"/>
      </w:r>
      <w:r>
        <w:t>6</w:t>
      </w:r>
      <w:r>
        <w:fldChar w:fldCharType="end"/>
      </w:r>
      <w:r>
        <w:rPr>
          <w:rFonts w:ascii="宋体" w:hAnsi="宋体" w:eastAsia="宋体"/>
          <w:bCs/>
          <w:caps/>
          <w:color w:val="000000"/>
          <w:szCs w:val="24"/>
        </w:rPr>
        <w:fldChar w:fldCharType="end"/>
      </w:r>
    </w:p>
    <w:p>
      <w:pPr>
        <w:pStyle w:val="8"/>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_Toc1629 </w:instrText>
      </w:r>
      <w:r>
        <w:rPr>
          <w:rFonts w:ascii="宋体" w:hAnsi="宋体" w:eastAsia="宋体"/>
          <w:bCs/>
          <w:caps/>
          <w:szCs w:val="24"/>
        </w:rPr>
        <w:fldChar w:fldCharType="separate"/>
      </w:r>
      <w:r>
        <w:rPr>
          <w:rFonts w:hint="eastAsia" w:ascii="宋体" w:hAnsi="宋体" w:eastAsia="宋体" w:cs="宋体"/>
          <w:szCs w:val="24"/>
          <w:lang w:val="en-US" w:eastAsia="zh-CN"/>
        </w:rPr>
        <w:t>一、</w:t>
      </w:r>
      <w:r>
        <w:rPr>
          <w:rFonts w:hint="eastAsia" w:ascii="宋体" w:hAnsi="宋体" w:eastAsia="宋体" w:cs="宋体"/>
          <w:szCs w:val="24"/>
        </w:rPr>
        <w:t>估价委托人</w:t>
      </w:r>
      <w:r>
        <w:tab/>
      </w:r>
      <w:r>
        <w:fldChar w:fldCharType="begin"/>
      </w:r>
      <w:r>
        <w:instrText xml:space="preserve"> PAGEREF _Toc1629 \h </w:instrText>
      </w:r>
      <w:r>
        <w:fldChar w:fldCharType="separate"/>
      </w:r>
      <w:r>
        <w:t>6</w:t>
      </w:r>
      <w:r>
        <w:fldChar w:fldCharType="end"/>
      </w:r>
      <w:r>
        <w:rPr>
          <w:rFonts w:ascii="宋体" w:hAnsi="宋体" w:eastAsia="宋体"/>
          <w:bCs/>
          <w:caps/>
          <w:color w:val="000000"/>
          <w:szCs w:val="24"/>
        </w:rPr>
        <w:fldChar w:fldCharType="end"/>
      </w:r>
    </w:p>
    <w:p>
      <w:pPr>
        <w:pStyle w:val="8"/>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_Toc9999 </w:instrText>
      </w:r>
      <w:r>
        <w:rPr>
          <w:rFonts w:ascii="宋体" w:hAnsi="宋体" w:eastAsia="宋体"/>
          <w:bCs/>
          <w:caps/>
          <w:szCs w:val="24"/>
        </w:rPr>
        <w:fldChar w:fldCharType="separate"/>
      </w:r>
      <w:r>
        <w:rPr>
          <w:rFonts w:hint="eastAsia" w:ascii="宋体" w:hAnsi="宋体" w:eastAsia="宋体" w:cs="宋体"/>
          <w:szCs w:val="24"/>
          <w:lang w:val="en-US" w:eastAsia="zh-CN"/>
        </w:rPr>
        <w:t>二、</w:t>
      </w:r>
      <w:r>
        <w:rPr>
          <w:rFonts w:hint="eastAsia" w:ascii="宋体" w:hAnsi="宋体" w:eastAsia="宋体" w:cs="宋体"/>
          <w:szCs w:val="24"/>
        </w:rPr>
        <w:t>房地产估价机构</w:t>
      </w:r>
      <w:r>
        <w:tab/>
      </w:r>
      <w:r>
        <w:fldChar w:fldCharType="begin"/>
      </w:r>
      <w:r>
        <w:instrText xml:space="preserve"> PAGEREF _Toc9999 \h </w:instrText>
      </w:r>
      <w:r>
        <w:fldChar w:fldCharType="separate"/>
      </w:r>
      <w:r>
        <w:t>6</w:t>
      </w:r>
      <w:r>
        <w:fldChar w:fldCharType="end"/>
      </w:r>
      <w:r>
        <w:rPr>
          <w:rFonts w:ascii="宋体" w:hAnsi="宋体" w:eastAsia="宋体"/>
          <w:bCs/>
          <w:caps/>
          <w:color w:val="000000"/>
          <w:szCs w:val="24"/>
        </w:rPr>
        <w:fldChar w:fldCharType="end"/>
      </w:r>
    </w:p>
    <w:p>
      <w:pPr>
        <w:pStyle w:val="8"/>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_Toc11547 </w:instrText>
      </w:r>
      <w:r>
        <w:rPr>
          <w:rFonts w:ascii="宋体" w:hAnsi="宋体" w:eastAsia="宋体"/>
          <w:bCs/>
          <w:caps/>
          <w:szCs w:val="24"/>
        </w:rPr>
        <w:fldChar w:fldCharType="separate"/>
      </w:r>
      <w:r>
        <w:rPr>
          <w:rFonts w:hint="eastAsia" w:ascii="宋体" w:hAnsi="宋体" w:eastAsia="宋体" w:cs="宋体"/>
          <w:szCs w:val="24"/>
          <w:lang w:val="en-US" w:eastAsia="zh-CN"/>
        </w:rPr>
        <w:t>三、</w:t>
      </w:r>
      <w:r>
        <w:rPr>
          <w:rFonts w:hint="eastAsia" w:ascii="宋体" w:hAnsi="宋体" w:eastAsia="宋体" w:cs="宋体"/>
          <w:szCs w:val="24"/>
        </w:rPr>
        <w:t>估价目的</w:t>
      </w:r>
      <w:r>
        <w:tab/>
      </w:r>
      <w:r>
        <w:fldChar w:fldCharType="begin"/>
      </w:r>
      <w:r>
        <w:instrText xml:space="preserve"> PAGEREF _Toc11547 \h </w:instrText>
      </w:r>
      <w:r>
        <w:fldChar w:fldCharType="separate"/>
      </w:r>
      <w:r>
        <w:t>6</w:t>
      </w:r>
      <w:r>
        <w:fldChar w:fldCharType="end"/>
      </w:r>
      <w:r>
        <w:rPr>
          <w:rFonts w:ascii="宋体" w:hAnsi="宋体" w:eastAsia="宋体"/>
          <w:bCs/>
          <w:caps/>
          <w:color w:val="000000"/>
          <w:szCs w:val="24"/>
        </w:rPr>
        <w:fldChar w:fldCharType="end"/>
      </w:r>
    </w:p>
    <w:p>
      <w:pPr>
        <w:pStyle w:val="8"/>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_Toc17921 </w:instrText>
      </w:r>
      <w:r>
        <w:rPr>
          <w:rFonts w:ascii="宋体" w:hAnsi="宋体" w:eastAsia="宋体"/>
          <w:bCs/>
          <w:caps/>
          <w:szCs w:val="24"/>
        </w:rPr>
        <w:fldChar w:fldCharType="separate"/>
      </w:r>
      <w:r>
        <w:rPr>
          <w:rFonts w:hint="eastAsia" w:ascii="宋体" w:hAnsi="宋体" w:eastAsia="宋体" w:cs="宋体"/>
          <w:szCs w:val="24"/>
          <w:lang w:val="en-US" w:eastAsia="zh-CN"/>
        </w:rPr>
        <w:t>四、</w:t>
      </w:r>
      <w:r>
        <w:rPr>
          <w:rFonts w:hint="eastAsia" w:ascii="宋体" w:hAnsi="宋体" w:eastAsia="宋体" w:cs="宋体"/>
          <w:szCs w:val="24"/>
        </w:rPr>
        <w:t>估价对象</w:t>
      </w:r>
      <w:r>
        <w:tab/>
      </w:r>
      <w:r>
        <w:fldChar w:fldCharType="begin"/>
      </w:r>
      <w:r>
        <w:instrText xml:space="preserve"> PAGEREF _Toc17921 \h </w:instrText>
      </w:r>
      <w:r>
        <w:fldChar w:fldCharType="separate"/>
      </w:r>
      <w:r>
        <w:t>6</w:t>
      </w:r>
      <w:r>
        <w:fldChar w:fldCharType="end"/>
      </w:r>
      <w:r>
        <w:rPr>
          <w:rFonts w:ascii="宋体" w:hAnsi="宋体" w:eastAsia="宋体"/>
          <w:bCs/>
          <w:caps/>
          <w:color w:val="000000"/>
          <w:szCs w:val="24"/>
        </w:rPr>
        <w:fldChar w:fldCharType="end"/>
      </w:r>
    </w:p>
    <w:p>
      <w:pPr>
        <w:pStyle w:val="8"/>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_Toc4066 </w:instrText>
      </w:r>
      <w:r>
        <w:rPr>
          <w:rFonts w:ascii="宋体" w:hAnsi="宋体" w:eastAsia="宋体"/>
          <w:bCs/>
          <w:caps/>
          <w:szCs w:val="24"/>
        </w:rPr>
        <w:fldChar w:fldCharType="separate"/>
      </w:r>
      <w:r>
        <w:rPr>
          <w:rFonts w:hint="eastAsia" w:ascii="宋体" w:hAnsi="宋体" w:eastAsia="宋体" w:cs="宋体"/>
          <w:szCs w:val="24"/>
          <w:lang w:val="en-US" w:eastAsia="zh-CN"/>
        </w:rPr>
        <w:t>五、</w:t>
      </w:r>
      <w:r>
        <w:rPr>
          <w:rFonts w:hint="eastAsia" w:ascii="宋体" w:hAnsi="宋体" w:eastAsia="宋体" w:cs="宋体"/>
          <w:szCs w:val="24"/>
        </w:rPr>
        <w:t>价值时点</w:t>
      </w:r>
      <w:r>
        <w:tab/>
      </w:r>
      <w:r>
        <w:fldChar w:fldCharType="begin"/>
      </w:r>
      <w:r>
        <w:instrText xml:space="preserve"> PAGEREF _Toc4066 \h </w:instrText>
      </w:r>
      <w:r>
        <w:fldChar w:fldCharType="separate"/>
      </w:r>
      <w:r>
        <w:t>9</w:t>
      </w:r>
      <w:r>
        <w:fldChar w:fldCharType="end"/>
      </w:r>
      <w:r>
        <w:rPr>
          <w:rFonts w:ascii="宋体" w:hAnsi="宋体" w:eastAsia="宋体"/>
          <w:bCs/>
          <w:caps/>
          <w:color w:val="000000"/>
          <w:szCs w:val="24"/>
        </w:rPr>
        <w:fldChar w:fldCharType="end"/>
      </w:r>
      <w:bookmarkStart w:id="404" w:name="_GoBack"/>
      <w:bookmarkEnd w:id="404"/>
    </w:p>
    <w:p>
      <w:pPr>
        <w:pStyle w:val="8"/>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_Toc29556 </w:instrText>
      </w:r>
      <w:r>
        <w:rPr>
          <w:rFonts w:ascii="宋体" w:hAnsi="宋体" w:eastAsia="宋体"/>
          <w:bCs/>
          <w:caps/>
          <w:szCs w:val="24"/>
        </w:rPr>
        <w:fldChar w:fldCharType="separate"/>
      </w:r>
      <w:r>
        <w:rPr>
          <w:rFonts w:hint="eastAsia" w:ascii="宋体" w:hAnsi="宋体" w:eastAsia="宋体" w:cs="宋体"/>
          <w:szCs w:val="24"/>
          <w:lang w:val="en-US" w:eastAsia="zh-CN"/>
        </w:rPr>
        <w:t>六、</w:t>
      </w:r>
      <w:r>
        <w:rPr>
          <w:rFonts w:hint="eastAsia" w:ascii="宋体" w:hAnsi="宋体" w:eastAsia="宋体" w:cs="宋体"/>
          <w:szCs w:val="24"/>
        </w:rPr>
        <w:t>价值类型</w:t>
      </w:r>
      <w:r>
        <w:tab/>
      </w:r>
      <w:r>
        <w:fldChar w:fldCharType="begin"/>
      </w:r>
      <w:r>
        <w:instrText xml:space="preserve"> PAGEREF _Toc29556 \h </w:instrText>
      </w:r>
      <w:r>
        <w:fldChar w:fldCharType="separate"/>
      </w:r>
      <w:r>
        <w:t>9</w:t>
      </w:r>
      <w:r>
        <w:fldChar w:fldCharType="end"/>
      </w:r>
      <w:r>
        <w:rPr>
          <w:rFonts w:ascii="宋体" w:hAnsi="宋体" w:eastAsia="宋体"/>
          <w:bCs/>
          <w:caps/>
          <w:color w:val="000000"/>
          <w:szCs w:val="24"/>
        </w:rPr>
        <w:fldChar w:fldCharType="end"/>
      </w:r>
    </w:p>
    <w:p>
      <w:pPr>
        <w:pStyle w:val="8"/>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_Toc18507 </w:instrText>
      </w:r>
      <w:r>
        <w:rPr>
          <w:rFonts w:ascii="宋体" w:hAnsi="宋体" w:eastAsia="宋体"/>
          <w:bCs/>
          <w:caps/>
          <w:szCs w:val="24"/>
        </w:rPr>
        <w:fldChar w:fldCharType="separate"/>
      </w:r>
      <w:r>
        <w:rPr>
          <w:rFonts w:hint="eastAsia" w:ascii="宋体" w:hAnsi="宋体" w:eastAsia="宋体" w:cs="宋体"/>
          <w:szCs w:val="24"/>
          <w:lang w:val="en-US" w:eastAsia="zh-CN"/>
        </w:rPr>
        <w:t>七、</w:t>
      </w:r>
      <w:r>
        <w:rPr>
          <w:rFonts w:hint="eastAsia" w:ascii="宋体" w:hAnsi="宋体" w:eastAsia="宋体" w:cs="宋体"/>
          <w:szCs w:val="24"/>
        </w:rPr>
        <w:t>估价原则</w:t>
      </w:r>
      <w:r>
        <w:tab/>
      </w:r>
      <w:r>
        <w:fldChar w:fldCharType="begin"/>
      </w:r>
      <w:r>
        <w:instrText xml:space="preserve"> PAGEREF _Toc18507 \h </w:instrText>
      </w:r>
      <w:r>
        <w:fldChar w:fldCharType="separate"/>
      </w:r>
      <w:r>
        <w:t>10</w:t>
      </w:r>
      <w:r>
        <w:fldChar w:fldCharType="end"/>
      </w:r>
      <w:r>
        <w:rPr>
          <w:rFonts w:ascii="宋体" w:hAnsi="宋体" w:eastAsia="宋体"/>
          <w:bCs/>
          <w:caps/>
          <w:color w:val="000000"/>
          <w:szCs w:val="24"/>
        </w:rPr>
        <w:fldChar w:fldCharType="end"/>
      </w:r>
    </w:p>
    <w:p>
      <w:pPr>
        <w:pStyle w:val="8"/>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_Toc16789 </w:instrText>
      </w:r>
      <w:r>
        <w:rPr>
          <w:rFonts w:ascii="宋体" w:hAnsi="宋体" w:eastAsia="宋体"/>
          <w:bCs/>
          <w:caps/>
          <w:szCs w:val="24"/>
        </w:rPr>
        <w:fldChar w:fldCharType="separate"/>
      </w:r>
      <w:r>
        <w:rPr>
          <w:rFonts w:hint="eastAsia" w:ascii="宋体" w:hAnsi="宋体" w:eastAsia="宋体" w:cs="宋体"/>
          <w:szCs w:val="24"/>
          <w:lang w:val="en-US" w:eastAsia="zh-CN"/>
        </w:rPr>
        <w:t>八、</w:t>
      </w:r>
      <w:r>
        <w:rPr>
          <w:rFonts w:hint="eastAsia" w:ascii="宋体" w:hAnsi="宋体" w:eastAsia="宋体" w:cs="宋体"/>
          <w:szCs w:val="24"/>
        </w:rPr>
        <w:t>估价依据</w:t>
      </w:r>
      <w:r>
        <w:tab/>
      </w:r>
      <w:r>
        <w:fldChar w:fldCharType="begin"/>
      </w:r>
      <w:r>
        <w:instrText xml:space="preserve"> PAGEREF _Toc16789 \h </w:instrText>
      </w:r>
      <w:r>
        <w:fldChar w:fldCharType="separate"/>
      </w:r>
      <w:r>
        <w:t>11</w:t>
      </w:r>
      <w:r>
        <w:fldChar w:fldCharType="end"/>
      </w:r>
      <w:r>
        <w:rPr>
          <w:rFonts w:ascii="宋体" w:hAnsi="宋体" w:eastAsia="宋体"/>
          <w:bCs/>
          <w:caps/>
          <w:color w:val="000000"/>
          <w:szCs w:val="24"/>
        </w:rPr>
        <w:fldChar w:fldCharType="end"/>
      </w:r>
    </w:p>
    <w:p>
      <w:pPr>
        <w:pStyle w:val="8"/>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_Toc19191 </w:instrText>
      </w:r>
      <w:r>
        <w:rPr>
          <w:rFonts w:ascii="宋体" w:hAnsi="宋体" w:eastAsia="宋体"/>
          <w:bCs/>
          <w:caps/>
          <w:szCs w:val="24"/>
        </w:rPr>
        <w:fldChar w:fldCharType="separate"/>
      </w:r>
      <w:r>
        <w:rPr>
          <w:rFonts w:hint="eastAsia" w:ascii="宋体" w:hAnsi="宋体" w:eastAsia="宋体" w:cs="宋体"/>
          <w:szCs w:val="24"/>
          <w:lang w:val="en-US" w:eastAsia="zh-CN"/>
        </w:rPr>
        <w:t>九、</w:t>
      </w:r>
      <w:r>
        <w:rPr>
          <w:rFonts w:hint="eastAsia" w:ascii="宋体" w:hAnsi="宋体" w:eastAsia="宋体" w:cs="宋体"/>
          <w:szCs w:val="24"/>
        </w:rPr>
        <w:t>估价方法</w:t>
      </w:r>
      <w:r>
        <w:tab/>
      </w:r>
      <w:r>
        <w:fldChar w:fldCharType="begin"/>
      </w:r>
      <w:r>
        <w:instrText xml:space="preserve"> PAGEREF _Toc19191 \h </w:instrText>
      </w:r>
      <w:r>
        <w:fldChar w:fldCharType="separate"/>
      </w:r>
      <w:r>
        <w:t>12</w:t>
      </w:r>
      <w:r>
        <w:fldChar w:fldCharType="end"/>
      </w:r>
      <w:r>
        <w:rPr>
          <w:rFonts w:ascii="宋体" w:hAnsi="宋体" w:eastAsia="宋体"/>
          <w:bCs/>
          <w:caps/>
          <w:color w:val="000000"/>
          <w:szCs w:val="24"/>
        </w:rPr>
        <w:fldChar w:fldCharType="end"/>
      </w:r>
    </w:p>
    <w:p>
      <w:pPr>
        <w:pStyle w:val="8"/>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_Toc30972 </w:instrText>
      </w:r>
      <w:r>
        <w:rPr>
          <w:rFonts w:ascii="宋体" w:hAnsi="宋体" w:eastAsia="宋体"/>
          <w:bCs/>
          <w:caps/>
          <w:szCs w:val="24"/>
        </w:rPr>
        <w:fldChar w:fldCharType="separate"/>
      </w:r>
      <w:r>
        <w:rPr>
          <w:rFonts w:hint="eastAsia" w:ascii="宋体" w:hAnsi="宋体" w:eastAsia="宋体"/>
          <w:szCs w:val="24"/>
        </w:rPr>
        <w:t xml:space="preserve">十一、 </w:t>
      </w:r>
      <w:r>
        <w:rPr>
          <w:rFonts w:ascii="宋体" w:hAnsi="宋体" w:eastAsia="宋体"/>
          <w:szCs w:val="24"/>
        </w:rPr>
        <w:t>注册房地产估价师</w:t>
      </w:r>
      <w:r>
        <w:tab/>
      </w:r>
      <w:r>
        <w:fldChar w:fldCharType="begin"/>
      </w:r>
      <w:r>
        <w:instrText xml:space="preserve"> PAGEREF _Toc30972 \h </w:instrText>
      </w:r>
      <w:r>
        <w:fldChar w:fldCharType="separate"/>
      </w:r>
      <w:r>
        <w:t>15</w:t>
      </w:r>
      <w:r>
        <w:fldChar w:fldCharType="end"/>
      </w:r>
      <w:r>
        <w:rPr>
          <w:rFonts w:ascii="宋体" w:hAnsi="宋体" w:eastAsia="宋体"/>
          <w:bCs/>
          <w:caps/>
          <w:color w:val="000000"/>
          <w:szCs w:val="24"/>
        </w:rPr>
        <w:fldChar w:fldCharType="end"/>
      </w:r>
    </w:p>
    <w:p>
      <w:pPr>
        <w:pStyle w:val="8"/>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_Toc21150 </w:instrText>
      </w:r>
      <w:r>
        <w:rPr>
          <w:rFonts w:ascii="宋体" w:hAnsi="宋体" w:eastAsia="宋体"/>
          <w:bCs/>
          <w:caps/>
          <w:szCs w:val="24"/>
        </w:rPr>
        <w:fldChar w:fldCharType="separate"/>
      </w:r>
      <w:r>
        <w:rPr>
          <w:rFonts w:hint="eastAsia" w:ascii="宋体" w:hAnsi="宋体" w:eastAsia="宋体"/>
          <w:szCs w:val="24"/>
          <w:lang w:val="en-US" w:eastAsia="zh-CN"/>
        </w:rPr>
        <w:t>十二、</w:t>
      </w:r>
      <w:r>
        <w:rPr>
          <w:rFonts w:ascii="宋体" w:hAnsi="宋体" w:eastAsia="宋体"/>
          <w:szCs w:val="24"/>
        </w:rPr>
        <w:t>实地查勘期</w:t>
      </w:r>
      <w:r>
        <w:tab/>
      </w:r>
      <w:r>
        <w:fldChar w:fldCharType="begin"/>
      </w:r>
      <w:r>
        <w:instrText xml:space="preserve"> PAGEREF _Toc21150 \h </w:instrText>
      </w:r>
      <w:r>
        <w:fldChar w:fldCharType="separate"/>
      </w:r>
      <w:r>
        <w:t>15</w:t>
      </w:r>
      <w:r>
        <w:fldChar w:fldCharType="end"/>
      </w:r>
      <w:r>
        <w:rPr>
          <w:rFonts w:ascii="宋体" w:hAnsi="宋体" w:eastAsia="宋体"/>
          <w:bCs/>
          <w:caps/>
          <w:color w:val="000000"/>
          <w:szCs w:val="24"/>
        </w:rPr>
        <w:fldChar w:fldCharType="end"/>
      </w:r>
    </w:p>
    <w:p>
      <w:pPr>
        <w:pStyle w:val="8"/>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_Toc5145 </w:instrText>
      </w:r>
      <w:r>
        <w:rPr>
          <w:rFonts w:ascii="宋体" w:hAnsi="宋体" w:eastAsia="宋体"/>
          <w:bCs/>
          <w:caps/>
          <w:szCs w:val="24"/>
        </w:rPr>
        <w:fldChar w:fldCharType="separate"/>
      </w:r>
      <w:r>
        <w:rPr>
          <w:rFonts w:hint="eastAsia" w:ascii="宋体" w:hAnsi="宋体" w:eastAsia="宋体"/>
          <w:szCs w:val="24"/>
          <w:lang w:val="en-US" w:eastAsia="zh-CN"/>
        </w:rPr>
        <w:t>十三、</w:t>
      </w:r>
      <w:r>
        <w:rPr>
          <w:rFonts w:ascii="宋体" w:hAnsi="宋体" w:eastAsia="宋体"/>
          <w:szCs w:val="24"/>
        </w:rPr>
        <w:t>估价作业期</w:t>
      </w:r>
      <w:r>
        <w:tab/>
      </w:r>
      <w:r>
        <w:fldChar w:fldCharType="begin"/>
      </w:r>
      <w:r>
        <w:instrText xml:space="preserve"> PAGEREF _Toc5145 \h </w:instrText>
      </w:r>
      <w:r>
        <w:fldChar w:fldCharType="separate"/>
      </w:r>
      <w:r>
        <w:t>15</w:t>
      </w:r>
      <w:r>
        <w:fldChar w:fldCharType="end"/>
      </w:r>
      <w:r>
        <w:rPr>
          <w:rFonts w:ascii="宋体" w:hAnsi="宋体" w:eastAsia="宋体"/>
          <w:bCs/>
          <w:caps/>
          <w:color w:val="000000"/>
          <w:szCs w:val="24"/>
        </w:rPr>
        <w:fldChar w:fldCharType="end"/>
      </w:r>
    </w:p>
    <w:p>
      <w:pPr>
        <w:pStyle w:val="7"/>
        <w:tabs>
          <w:tab w:val="right" w:leader="dot" w:pos="9071"/>
        </w:tabs>
      </w:pPr>
      <w:r>
        <w:rPr>
          <w:rFonts w:ascii="宋体" w:hAnsi="宋体" w:eastAsia="宋体"/>
          <w:bCs/>
          <w:caps/>
          <w:color w:val="000000"/>
          <w:szCs w:val="24"/>
        </w:rPr>
        <w:fldChar w:fldCharType="begin"/>
      </w:r>
      <w:r>
        <w:rPr>
          <w:rFonts w:ascii="宋体" w:hAnsi="宋体" w:eastAsia="宋体"/>
          <w:bCs/>
          <w:caps/>
          <w:szCs w:val="24"/>
        </w:rPr>
        <w:instrText xml:space="preserve"> HYPERLINK \l _Toc14388 </w:instrText>
      </w:r>
      <w:r>
        <w:rPr>
          <w:rFonts w:ascii="宋体" w:hAnsi="宋体" w:eastAsia="宋体"/>
          <w:bCs/>
          <w:caps/>
          <w:szCs w:val="24"/>
        </w:rPr>
        <w:fldChar w:fldCharType="separate"/>
      </w:r>
      <w:r>
        <w:t>附   件</w:t>
      </w:r>
      <w:r>
        <w:tab/>
      </w:r>
      <w:r>
        <w:fldChar w:fldCharType="begin"/>
      </w:r>
      <w:r>
        <w:instrText xml:space="preserve"> PAGEREF _Toc14388 \h </w:instrText>
      </w:r>
      <w:r>
        <w:fldChar w:fldCharType="separate"/>
      </w:r>
      <w:r>
        <w:t>16</w:t>
      </w:r>
      <w:r>
        <w:fldChar w:fldCharType="end"/>
      </w:r>
      <w:r>
        <w:rPr>
          <w:rFonts w:ascii="宋体" w:hAnsi="宋体" w:eastAsia="宋体"/>
          <w:bCs/>
          <w:caps/>
          <w:color w:val="000000"/>
          <w:szCs w:val="24"/>
        </w:rPr>
        <w:fldChar w:fldCharType="end"/>
      </w:r>
    </w:p>
    <w:p>
      <w:pPr>
        <w:snapToGrid w:val="0"/>
        <w:spacing w:line="240" w:lineRule="auto"/>
        <w:rPr>
          <w:rFonts w:ascii="宋体" w:hAnsi="宋体" w:eastAsia="宋体"/>
          <w:b/>
          <w:bCs/>
          <w:caps/>
          <w:color w:val="000000"/>
          <w:sz w:val="10"/>
          <w:szCs w:val="10"/>
        </w:rPr>
      </w:pPr>
      <w:r>
        <w:rPr>
          <w:rFonts w:ascii="宋体" w:hAnsi="宋体" w:eastAsia="宋体"/>
          <w:bCs/>
          <w:caps/>
          <w:color w:val="000000"/>
          <w:szCs w:val="24"/>
        </w:rPr>
        <w:fldChar w:fldCharType="end"/>
      </w:r>
    </w:p>
    <w:p>
      <w:pPr>
        <w:spacing w:line="240" w:lineRule="auto"/>
        <w:ind w:firstLine="247" w:firstLineChars="118"/>
        <w:jc w:val="left"/>
        <w:rPr>
          <w:rFonts w:hint="eastAsia" w:ascii="宋体" w:hAnsi="宋体" w:eastAsia="宋体" w:cs="宋体"/>
          <w:bCs/>
          <w:color w:val="000000"/>
          <w:sz w:val="21"/>
          <w:szCs w:val="21"/>
        </w:rPr>
      </w:pPr>
      <w:r>
        <w:rPr>
          <w:rFonts w:hint="eastAsia" w:ascii="宋体" w:hAnsi="宋体" w:eastAsia="宋体" w:cs="宋体"/>
          <w:bCs/>
          <w:color w:val="000000"/>
          <w:sz w:val="21"/>
          <w:szCs w:val="21"/>
        </w:rPr>
        <w:t>1.估价对象内外部状况照片及地理位置图</w:t>
      </w:r>
    </w:p>
    <w:p>
      <w:pPr>
        <w:spacing w:line="240" w:lineRule="auto"/>
        <w:ind w:firstLine="247" w:firstLineChars="118"/>
        <w:jc w:val="left"/>
        <w:rPr>
          <w:rFonts w:hint="eastAsia" w:ascii="宋体" w:hAnsi="宋体" w:eastAsia="宋体" w:cs="宋体"/>
          <w:bCs/>
          <w:color w:val="000000"/>
          <w:sz w:val="21"/>
          <w:szCs w:val="21"/>
          <w:lang w:eastAsia="zh-CN"/>
        </w:rPr>
      </w:pPr>
      <w:r>
        <w:rPr>
          <w:rFonts w:hint="eastAsia" w:ascii="宋体" w:hAnsi="宋体" w:eastAsia="宋体" w:cs="宋体"/>
          <w:bCs/>
          <w:color w:val="000000"/>
          <w:sz w:val="21"/>
          <w:szCs w:val="21"/>
        </w:rPr>
        <w:t>2.</w:t>
      </w:r>
      <w:r>
        <w:rPr>
          <w:rFonts w:hint="eastAsia" w:ascii="宋体" w:hAnsi="宋体" w:eastAsia="宋体" w:cs="宋体"/>
          <w:bCs/>
          <w:color w:val="000000"/>
          <w:sz w:val="21"/>
          <w:szCs w:val="21"/>
          <w:lang w:eastAsia="zh-CN"/>
        </w:rPr>
        <w:t>《</w:t>
      </w:r>
      <w:r>
        <w:rPr>
          <w:rFonts w:hint="eastAsia" w:ascii="宋体" w:hAnsi="宋体" w:cs="宋体"/>
          <w:bCs/>
          <w:color w:val="000000"/>
          <w:sz w:val="21"/>
          <w:szCs w:val="21"/>
          <w:lang w:eastAsia="zh-CN"/>
        </w:rPr>
        <w:t>犍为县人民法院</w:t>
      </w:r>
      <w:r>
        <w:rPr>
          <w:rFonts w:hint="eastAsia" w:ascii="宋体" w:hAnsi="宋体" w:eastAsia="宋体" w:cs="宋体"/>
          <w:bCs/>
          <w:color w:val="000000"/>
          <w:sz w:val="21"/>
          <w:szCs w:val="21"/>
          <w:lang w:eastAsia="zh-CN"/>
        </w:rPr>
        <w:t>委托书》</w:t>
      </w:r>
      <w:r>
        <w:rPr>
          <w:rFonts w:hint="eastAsia" w:ascii="宋体" w:hAnsi="宋体" w:cs="宋体"/>
          <w:bCs/>
          <w:color w:val="000000"/>
          <w:sz w:val="21"/>
          <w:szCs w:val="21"/>
          <w:lang w:eastAsia="zh-CN"/>
        </w:rPr>
        <w:t>（2022）川1123执恢219号</w:t>
      </w:r>
      <w:r>
        <w:rPr>
          <w:rFonts w:hint="eastAsia" w:ascii="宋体" w:hAnsi="宋体" w:eastAsia="宋体" w:cs="宋体"/>
          <w:bCs/>
          <w:color w:val="000000"/>
          <w:sz w:val="21"/>
          <w:szCs w:val="21"/>
          <w:lang w:eastAsia="zh-CN"/>
        </w:rPr>
        <w:t>复印件</w:t>
      </w:r>
    </w:p>
    <w:p>
      <w:pPr>
        <w:spacing w:line="240" w:lineRule="auto"/>
        <w:ind w:firstLine="247" w:firstLineChars="118"/>
        <w:jc w:val="left"/>
        <w:rPr>
          <w:rFonts w:hint="eastAsia" w:ascii="宋体" w:hAnsi="宋体" w:eastAsia="宋体" w:cs="宋体"/>
          <w:bCs/>
          <w:color w:val="000000"/>
          <w:sz w:val="21"/>
          <w:szCs w:val="21"/>
        </w:rPr>
      </w:pPr>
      <w:r>
        <w:rPr>
          <w:rFonts w:hint="eastAsia" w:ascii="宋体" w:hAnsi="宋体" w:eastAsia="宋体" w:cs="宋体"/>
          <w:bCs/>
          <w:color w:val="000000"/>
          <w:sz w:val="21"/>
          <w:szCs w:val="21"/>
        </w:rPr>
        <w:t>3.</w:t>
      </w:r>
      <w:r>
        <w:rPr>
          <w:rFonts w:hint="eastAsia" w:ascii="宋体" w:hAnsi="宋体" w:cs="宋体"/>
          <w:bCs/>
          <w:color w:val="000000"/>
          <w:sz w:val="21"/>
          <w:szCs w:val="21"/>
          <w:lang w:eastAsia="zh-CN"/>
        </w:rPr>
        <w:t>《不动产登记信息查询结果单》</w:t>
      </w:r>
      <w:r>
        <w:rPr>
          <w:rFonts w:hint="eastAsia" w:ascii="宋体" w:hAnsi="宋体" w:eastAsia="宋体" w:cs="宋体"/>
          <w:bCs/>
          <w:color w:val="000000"/>
          <w:sz w:val="21"/>
          <w:szCs w:val="21"/>
        </w:rPr>
        <w:t>复印件</w:t>
      </w:r>
    </w:p>
    <w:p>
      <w:pPr>
        <w:spacing w:line="240" w:lineRule="auto"/>
        <w:ind w:firstLine="247" w:firstLineChars="118"/>
        <w:jc w:val="left"/>
        <w:rPr>
          <w:rFonts w:hint="eastAsia" w:ascii="宋体" w:hAnsi="宋体" w:eastAsia="宋体" w:cs="宋体"/>
          <w:bCs/>
          <w:color w:val="000000"/>
          <w:sz w:val="21"/>
          <w:szCs w:val="21"/>
        </w:rPr>
      </w:pPr>
      <w:r>
        <w:rPr>
          <w:rFonts w:hint="eastAsia" w:ascii="宋体" w:hAnsi="宋体" w:eastAsia="宋体" w:cs="宋体"/>
          <w:bCs/>
          <w:color w:val="000000"/>
          <w:sz w:val="21"/>
          <w:szCs w:val="21"/>
        </w:rPr>
        <w:t>4.房地产估价机构营业执照复印件</w:t>
      </w:r>
    </w:p>
    <w:p>
      <w:pPr>
        <w:spacing w:line="240" w:lineRule="auto"/>
        <w:ind w:firstLine="247" w:firstLineChars="118"/>
        <w:jc w:val="left"/>
        <w:rPr>
          <w:rFonts w:hint="eastAsia" w:ascii="宋体" w:hAnsi="宋体" w:eastAsia="宋体" w:cs="宋体"/>
          <w:bCs/>
          <w:color w:val="000000"/>
          <w:sz w:val="21"/>
          <w:szCs w:val="21"/>
        </w:rPr>
      </w:pPr>
      <w:r>
        <w:rPr>
          <w:rFonts w:hint="eastAsia" w:ascii="宋体" w:hAnsi="宋体" w:eastAsia="宋体" w:cs="宋体"/>
          <w:bCs/>
          <w:color w:val="000000"/>
          <w:sz w:val="21"/>
          <w:szCs w:val="21"/>
          <w:lang w:val="en-US" w:eastAsia="zh-CN"/>
        </w:rPr>
        <w:t>5</w:t>
      </w:r>
      <w:r>
        <w:rPr>
          <w:rFonts w:hint="eastAsia" w:ascii="宋体" w:hAnsi="宋体" w:eastAsia="宋体" w:cs="宋体"/>
          <w:bCs/>
          <w:color w:val="000000"/>
          <w:sz w:val="21"/>
          <w:szCs w:val="21"/>
        </w:rPr>
        <w:t>.房地产估价机构备案证书复印件</w:t>
      </w:r>
    </w:p>
    <w:p>
      <w:pPr>
        <w:spacing w:line="240" w:lineRule="auto"/>
        <w:ind w:firstLine="247" w:firstLineChars="118"/>
        <w:jc w:val="left"/>
        <w:rPr>
          <w:rFonts w:hint="eastAsia" w:ascii="仿宋" w:hAnsi="仿宋" w:eastAsia="仿宋" w:cs="仿宋"/>
          <w:color w:val="000000"/>
          <w:sz w:val="24"/>
          <w:szCs w:val="24"/>
        </w:rPr>
      </w:pPr>
      <w:r>
        <w:rPr>
          <w:rFonts w:hint="eastAsia" w:ascii="宋体" w:hAnsi="宋体" w:cs="宋体"/>
          <w:bCs/>
          <w:color w:val="000000"/>
          <w:sz w:val="21"/>
          <w:szCs w:val="21"/>
          <w:lang w:val="en-US" w:eastAsia="zh-CN"/>
        </w:rPr>
        <w:t>6</w:t>
      </w:r>
      <w:r>
        <w:rPr>
          <w:rFonts w:hint="eastAsia" w:ascii="宋体" w:hAnsi="宋体" w:eastAsia="宋体" w:cs="宋体"/>
          <w:bCs/>
          <w:color w:val="000000"/>
          <w:sz w:val="21"/>
          <w:szCs w:val="21"/>
        </w:rPr>
        <w:t>.注册房地产估价师注册证书复印件</w:t>
      </w:r>
    </w:p>
    <w:p>
      <w:pPr>
        <w:wordWrap/>
        <w:spacing w:before="93" w:beforeLines="30" w:after="93" w:afterLines="30" w:line="240" w:lineRule="auto"/>
        <w:rPr>
          <w:rFonts w:hint="eastAsia" w:ascii="仿宋" w:hAnsi="仿宋" w:eastAsia="仿宋" w:cs="仿宋"/>
          <w:color w:val="000000"/>
          <w:szCs w:val="21"/>
        </w:rPr>
        <w:sectPr>
          <w:footerReference r:id="rId6" w:type="first"/>
          <w:headerReference r:id="rId5" w:type="default"/>
          <w:pgSz w:w="11906" w:h="16838"/>
          <w:pgMar w:top="1134" w:right="1134" w:bottom="1134" w:left="1134" w:header="397" w:footer="907" w:gutter="567"/>
          <w:pgBorders>
            <w:top w:val="none" w:sz="0" w:space="0"/>
            <w:left w:val="none" w:sz="0" w:space="0"/>
            <w:bottom w:val="none" w:sz="0" w:space="0"/>
            <w:right w:val="none" w:sz="0" w:space="0"/>
          </w:pgBorders>
          <w:pgNumType w:start="1"/>
          <w:cols w:space="720" w:num="1"/>
          <w:docGrid w:type="lines" w:linePitch="312" w:charSpace="0"/>
        </w:sectPr>
      </w:pPr>
    </w:p>
    <w:p>
      <w:pPr>
        <w:pStyle w:val="3"/>
        <w:wordWrap/>
        <w:spacing w:before="292"/>
        <w:rPr>
          <w:rFonts w:hint="eastAsia" w:ascii="宋体" w:hAnsi="宋体" w:eastAsia="宋体" w:cs="宋体"/>
          <w:color w:val="000000"/>
          <w:sz w:val="32"/>
          <w:szCs w:val="32"/>
        </w:rPr>
      </w:pPr>
      <w:bookmarkStart w:id="3" w:name="_Toc23035"/>
      <w:bookmarkStart w:id="4" w:name="_Toc705"/>
      <w:bookmarkStart w:id="5" w:name="_Toc24661"/>
      <w:bookmarkStart w:id="6" w:name="_Toc14931"/>
      <w:bookmarkStart w:id="7" w:name="_Toc22099"/>
      <w:bookmarkStart w:id="8" w:name="_Toc6179"/>
      <w:bookmarkStart w:id="9" w:name="_Toc25578"/>
      <w:bookmarkStart w:id="10" w:name="_Toc26274"/>
      <w:bookmarkStart w:id="11" w:name="_Toc10325"/>
      <w:bookmarkStart w:id="12" w:name="_Toc31363"/>
      <w:bookmarkStart w:id="13" w:name="_Toc20051"/>
      <w:bookmarkStart w:id="14" w:name="_Toc10821"/>
      <w:bookmarkStart w:id="15" w:name="_Toc5906"/>
      <w:bookmarkStart w:id="16" w:name="_Toc17990"/>
      <w:bookmarkStart w:id="17" w:name="_Toc20970"/>
      <w:bookmarkStart w:id="18" w:name="_Toc8791"/>
      <w:bookmarkStart w:id="19" w:name="_Toc8343"/>
      <w:bookmarkStart w:id="20" w:name="_Toc18952"/>
      <w:bookmarkStart w:id="21" w:name="_Toc32362"/>
      <w:bookmarkStart w:id="22" w:name="_Toc13993"/>
      <w:r>
        <w:rPr>
          <w:rFonts w:hint="eastAsia" w:ascii="宋体" w:hAnsi="宋体" w:eastAsia="宋体" w:cs="宋体"/>
          <w:color w:val="000000"/>
          <w:sz w:val="32"/>
          <w:szCs w:val="32"/>
        </w:rPr>
        <w:t>估价师声明</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pPr>
        <w:widowControl/>
        <w:wordWrap/>
        <w:adjustRightInd/>
        <w:spacing w:line="44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bCs/>
          <w:sz w:val="24"/>
          <w:szCs w:val="24"/>
        </w:rPr>
        <w:t>我们根据自己的专业知识和职业道德，在此郑重声明：</w:t>
      </w:r>
    </w:p>
    <w:p>
      <w:pPr>
        <w:widowControl/>
        <w:wordWrap/>
        <w:adjustRightInd/>
        <w:spacing w:line="44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rPr>
        <w:t>我们在本估价报告中对事实的说明是真实</w:t>
      </w:r>
      <w:r>
        <w:rPr>
          <w:rFonts w:hint="eastAsia" w:ascii="宋体" w:hAnsi="宋体" w:eastAsia="宋体" w:cs="宋体"/>
          <w:sz w:val="24"/>
          <w:szCs w:val="24"/>
          <w:lang w:eastAsia="zh-CN"/>
        </w:rPr>
        <w:t>和</w:t>
      </w:r>
      <w:r>
        <w:rPr>
          <w:rFonts w:hint="eastAsia" w:ascii="宋体" w:hAnsi="宋体" w:eastAsia="宋体" w:cs="宋体"/>
          <w:sz w:val="24"/>
          <w:szCs w:val="24"/>
        </w:rPr>
        <w:t>准确的，没有虚假记载、误导性陈述和重大遗漏。</w:t>
      </w:r>
    </w:p>
    <w:p>
      <w:pPr>
        <w:widowControl/>
        <w:wordWrap/>
        <w:adjustRightInd/>
        <w:spacing w:line="44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sz w:val="24"/>
          <w:szCs w:val="24"/>
          <w:lang w:eastAsia="zh-CN"/>
        </w:rPr>
        <w:t>2.</w:t>
      </w:r>
      <w:r>
        <w:rPr>
          <w:rFonts w:hint="eastAsia" w:ascii="宋体" w:hAnsi="宋体" w:eastAsia="宋体" w:cs="宋体"/>
          <w:sz w:val="24"/>
          <w:szCs w:val="24"/>
        </w:rPr>
        <w:t>本估价报告中的分析、意见和结论是我们自己独立、客观、公正的专业分析、意见和结论，但受到本估价报告中已经说明的估价假设和限制条件的限制。</w:t>
      </w:r>
    </w:p>
    <w:p>
      <w:pPr>
        <w:widowControl/>
        <w:adjustRightInd/>
        <w:spacing w:line="4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3.</w:t>
      </w:r>
      <w:r>
        <w:rPr>
          <w:rFonts w:hint="eastAsia" w:ascii="宋体" w:hAnsi="宋体" w:eastAsia="宋体" w:cs="宋体"/>
          <w:sz w:val="24"/>
          <w:szCs w:val="24"/>
        </w:rPr>
        <w:t>注册房地产估价师与估价报告中的估价对象没有现实或潜在的利益，与估价委托人及估价利害关系人没有利害关系，也对估价对象、估价委托人及估价利害关系人没有偏见。</w:t>
      </w:r>
    </w:p>
    <w:p>
      <w:pPr>
        <w:widowControl/>
        <w:adjustRightInd/>
        <w:spacing w:line="44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4.</w:t>
      </w:r>
      <w:r>
        <w:rPr>
          <w:rFonts w:hint="eastAsia" w:ascii="宋体" w:hAnsi="宋体" w:eastAsia="宋体" w:cs="宋体"/>
          <w:sz w:val="24"/>
          <w:szCs w:val="24"/>
        </w:rPr>
        <w:t>注册房地产估价师依照中华人民共和国国家标准《房地产估价规范》(GB/T50291—2015)、《房地产估价基本术语标准》(GB/T50899—2013)进行分析，形成意见和结论，撰写本估价报告。</w:t>
      </w:r>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cs="宋体"/>
          <w:sz w:val="24"/>
          <w:szCs w:val="24"/>
          <w:lang w:eastAsia="zh-CN"/>
        </w:rPr>
        <w:t>5.</w:t>
      </w:r>
      <w:r>
        <w:rPr>
          <w:rFonts w:hint="eastAsia" w:ascii="宋体" w:hAnsi="宋体" w:eastAsia="宋体" w:cs="宋体"/>
          <w:sz w:val="24"/>
          <w:szCs w:val="24"/>
        </w:rPr>
        <w:t>参与本次估价项目的注册房地产估价师</w:t>
      </w:r>
      <w:r>
        <w:rPr>
          <w:rFonts w:hint="eastAsia" w:ascii="宋体" w:hAnsi="宋体"/>
          <w:sz w:val="24"/>
          <w:szCs w:val="24"/>
          <w:lang w:val="en-US" w:eastAsia="zh-CN"/>
        </w:rPr>
        <w:t>袁宇</w:t>
      </w:r>
      <w:r>
        <w:rPr>
          <w:rFonts w:hint="eastAsia" w:ascii="宋体" w:hAnsi="宋体" w:eastAsia="宋体" w:cs="宋体"/>
          <w:sz w:val="24"/>
          <w:szCs w:val="24"/>
        </w:rPr>
        <w:t>于</w:t>
      </w:r>
      <w:r>
        <w:rPr>
          <w:rFonts w:hint="eastAsia" w:ascii="宋体" w:hAnsi="宋体" w:cs="宋体"/>
          <w:bCs/>
          <w:color w:val="000000"/>
          <w:sz w:val="24"/>
          <w:szCs w:val="24"/>
          <w:lang w:eastAsia="zh-CN"/>
        </w:rPr>
        <w:t>2022年8月10日</w:t>
      </w:r>
      <w:r>
        <w:rPr>
          <w:rFonts w:hint="eastAsia" w:ascii="宋体" w:hAnsi="宋体" w:eastAsia="宋体" w:cs="宋体"/>
          <w:sz w:val="24"/>
          <w:szCs w:val="24"/>
        </w:rPr>
        <w:t>对估价对象进行了实地查勘</w:t>
      </w:r>
      <w:r>
        <w:rPr>
          <w:rFonts w:hint="eastAsia" w:ascii="宋体" w:hAnsi="宋体"/>
          <w:sz w:val="24"/>
          <w:szCs w:val="24"/>
        </w:rPr>
        <w:t>，中国注册房地产估价师</w:t>
      </w:r>
      <w:r>
        <w:rPr>
          <w:rFonts w:hint="eastAsia" w:ascii="宋体" w:hAnsi="宋体" w:cs="宋体"/>
          <w:bCs/>
          <w:color w:val="000000"/>
          <w:sz w:val="24"/>
          <w:szCs w:val="24"/>
          <w:lang w:val="en-US" w:eastAsia="zh-CN"/>
        </w:rPr>
        <w:t>张洋敏</w:t>
      </w:r>
      <w:r>
        <w:rPr>
          <w:rFonts w:hint="eastAsia" w:ascii="宋体" w:hAnsi="宋体"/>
          <w:sz w:val="24"/>
          <w:szCs w:val="24"/>
        </w:rPr>
        <w:t>参与本项目对本报告进行复核</w:t>
      </w:r>
      <w:r>
        <w:rPr>
          <w:rFonts w:hint="eastAsia" w:ascii="宋体" w:hAnsi="宋体" w:eastAsia="宋体" w:cs="宋体"/>
          <w:sz w:val="24"/>
          <w:szCs w:val="24"/>
        </w:rPr>
        <w:t>。</w:t>
      </w:r>
    </w:p>
    <w:p>
      <w:pPr>
        <w:widowControl/>
        <w:wordWrap/>
        <w:adjustRightInd/>
        <w:spacing w:line="440" w:lineRule="exact"/>
        <w:ind w:firstLine="480" w:firstLineChars="200"/>
        <w:jc w:val="left"/>
        <w:textAlignment w:val="auto"/>
        <w:rPr>
          <w:rFonts w:hint="eastAsia" w:ascii="宋体" w:hAnsi="宋体" w:cs="宋体"/>
          <w:sz w:val="24"/>
          <w:szCs w:val="24"/>
          <w:lang w:eastAsia="zh-CN"/>
        </w:rPr>
      </w:pPr>
      <w:r>
        <w:rPr>
          <w:rFonts w:hint="eastAsia" w:ascii="宋体" w:hAnsi="宋体" w:cs="宋体"/>
          <w:sz w:val="24"/>
          <w:szCs w:val="24"/>
          <w:lang w:eastAsia="zh-CN"/>
        </w:rPr>
        <w:t>6.</w:t>
      </w:r>
      <w:r>
        <w:rPr>
          <w:rFonts w:hint="eastAsia" w:ascii="宋体" w:hAnsi="宋体" w:cs="宋体"/>
          <w:kern w:val="0"/>
          <w:sz w:val="24"/>
          <w:szCs w:val="24"/>
        </w:rPr>
        <w:t>参与本次估价项目的注册房地产估价师具备相关专业知识和相应的房地产市场分析能力。</w:t>
      </w:r>
    </w:p>
    <w:p>
      <w:pPr>
        <w:widowControl/>
        <w:wordWrap/>
        <w:adjustRightInd/>
        <w:spacing w:line="440" w:lineRule="exact"/>
        <w:ind w:firstLine="480" w:firstLineChars="200"/>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7、没有人对本报告提供重要的专业帮助。</w:t>
      </w:r>
    </w:p>
    <w:p>
      <w:pPr>
        <w:widowControl/>
        <w:wordWrap/>
        <w:adjustRightInd/>
        <w:spacing w:line="44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cs="宋体"/>
          <w:sz w:val="24"/>
          <w:szCs w:val="24"/>
          <w:lang w:val="en-US" w:eastAsia="zh-CN"/>
        </w:rPr>
        <w:t>8、</w:t>
      </w:r>
      <w:r>
        <w:rPr>
          <w:rFonts w:hint="eastAsia" w:ascii="宋体" w:hAnsi="宋体" w:eastAsia="宋体" w:cs="宋体"/>
          <w:sz w:val="24"/>
          <w:szCs w:val="24"/>
        </w:rPr>
        <w:t>参与本次估价的注册房地产估价师</w:t>
      </w:r>
    </w:p>
    <w:tbl>
      <w:tblPr>
        <w:tblStyle w:val="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2377"/>
        <w:gridCol w:w="2377"/>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7" w:type="dxa"/>
            <w:noWrap w:val="0"/>
            <w:vAlign w:val="center"/>
          </w:tcPr>
          <w:p>
            <w:pPr>
              <w:snapToGrid w:val="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姓   名</w:t>
            </w:r>
          </w:p>
        </w:tc>
        <w:tc>
          <w:tcPr>
            <w:tcW w:w="2377" w:type="dxa"/>
            <w:noWrap w:val="0"/>
            <w:vAlign w:val="center"/>
          </w:tcPr>
          <w:p>
            <w:pPr>
              <w:snapToGrid w:val="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注册号</w:t>
            </w:r>
          </w:p>
        </w:tc>
        <w:tc>
          <w:tcPr>
            <w:tcW w:w="2377" w:type="dxa"/>
            <w:noWrap w:val="0"/>
            <w:vAlign w:val="center"/>
          </w:tcPr>
          <w:p>
            <w:pPr>
              <w:snapToGrid w:val="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签   名</w:t>
            </w:r>
          </w:p>
        </w:tc>
        <w:tc>
          <w:tcPr>
            <w:tcW w:w="2266" w:type="dxa"/>
            <w:noWrap w:val="0"/>
            <w:vAlign w:val="center"/>
          </w:tcPr>
          <w:p>
            <w:pPr>
              <w:snapToGrid w:val="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2267" w:type="dxa"/>
            <w:noWrap w:val="0"/>
            <w:vAlign w:val="center"/>
          </w:tcPr>
          <w:p>
            <w:pPr>
              <w:snapToGrid w:val="0"/>
              <w:jc w:val="center"/>
              <w:rPr>
                <w:rFonts w:hint="eastAsia" w:ascii="宋体" w:hAnsi="宋体" w:eastAsia="宋体" w:cs="宋体"/>
                <w:bCs/>
                <w:color w:val="000000"/>
                <w:sz w:val="21"/>
                <w:szCs w:val="21"/>
              </w:rPr>
            </w:pPr>
            <w:r>
              <w:rPr>
                <w:rFonts w:hint="eastAsia" w:ascii="宋体" w:hAnsi="宋体" w:eastAsia="宋体" w:cs="宋体"/>
                <w:sz w:val="21"/>
                <w:szCs w:val="21"/>
              </w:rPr>
              <w:t>第一报告人</w:t>
            </w:r>
          </w:p>
          <w:p>
            <w:pPr>
              <w:snapToGrid w:val="0"/>
              <w:jc w:val="center"/>
              <w:rPr>
                <w:rFonts w:hint="eastAsia" w:ascii="宋体" w:hAnsi="宋体" w:eastAsia="宋体" w:cs="宋体"/>
                <w:bCs/>
                <w:color w:val="000000"/>
                <w:sz w:val="21"/>
                <w:szCs w:val="21"/>
                <w:lang w:eastAsia="zh-CN"/>
              </w:rPr>
            </w:pPr>
            <w:r>
              <w:rPr>
                <w:rFonts w:hint="eastAsia" w:ascii="宋体" w:hAnsi="宋体" w:eastAsia="宋体" w:cs="宋体"/>
                <w:bCs/>
                <w:color w:val="000000"/>
                <w:sz w:val="21"/>
                <w:szCs w:val="21"/>
              </w:rPr>
              <w:t>袁</w:t>
            </w:r>
            <w:r>
              <w:rPr>
                <w:rFonts w:hint="eastAsia" w:ascii="宋体" w:hAnsi="宋体" w:eastAsia="宋体" w:cs="宋体"/>
                <w:bCs/>
                <w:color w:val="000000"/>
                <w:sz w:val="21"/>
                <w:szCs w:val="21"/>
                <w:lang w:val="en-US" w:eastAsia="zh-CN"/>
              </w:rPr>
              <w:t xml:space="preserve">  </w:t>
            </w:r>
            <w:r>
              <w:rPr>
                <w:rFonts w:hint="eastAsia" w:ascii="宋体" w:hAnsi="宋体" w:eastAsia="宋体" w:cs="宋体"/>
                <w:bCs/>
                <w:color w:val="000000"/>
                <w:sz w:val="21"/>
                <w:szCs w:val="21"/>
              </w:rPr>
              <w:t>宇</w:t>
            </w:r>
          </w:p>
        </w:tc>
        <w:tc>
          <w:tcPr>
            <w:tcW w:w="2377" w:type="dxa"/>
            <w:noWrap w:val="0"/>
            <w:vAlign w:val="center"/>
          </w:tcPr>
          <w:p>
            <w:pPr>
              <w:snapToGrid w:val="0"/>
              <w:jc w:val="center"/>
              <w:rPr>
                <w:rFonts w:hint="eastAsia" w:ascii="宋体" w:hAnsi="宋体" w:eastAsia="宋体" w:cs="宋体"/>
                <w:bCs/>
                <w:color w:val="000000"/>
                <w:sz w:val="21"/>
                <w:szCs w:val="21"/>
                <w:lang w:eastAsia="zh-CN"/>
              </w:rPr>
            </w:pPr>
            <w:r>
              <w:rPr>
                <w:rFonts w:hint="eastAsia" w:ascii="宋体" w:hAnsi="宋体" w:eastAsia="宋体" w:cs="宋体"/>
                <w:color w:val="000000"/>
                <w:sz w:val="21"/>
                <w:szCs w:val="21"/>
              </w:rPr>
              <w:t>5120090024</w:t>
            </w:r>
          </w:p>
        </w:tc>
        <w:tc>
          <w:tcPr>
            <w:tcW w:w="2377" w:type="dxa"/>
            <w:noWrap w:val="0"/>
            <w:vAlign w:val="center"/>
          </w:tcPr>
          <w:p>
            <w:pPr>
              <w:snapToGrid w:val="0"/>
              <w:jc w:val="center"/>
              <w:rPr>
                <w:rFonts w:hint="eastAsia" w:ascii="宋体" w:hAnsi="宋体" w:eastAsia="宋体" w:cs="宋体"/>
                <w:b/>
                <w:bCs/>
                <w:color w:val="000000"/>
                <w:sz w:val="21"/>
                <w:szCs w:val="21"/>
              </w:rPr>
            </w:pPr>
          </w:p>
        </w:tc>
        <w:tc>
          <w:tcPr>
            <w:tcW w:w="2266" w:type="dxa"/>
            <w:noWrap w:val="0"/>
            <w:vAlign w:val="center"/>
          </w:tcPr>
          <w:p>
            <w:pPr>
              <w:snapToGrid w:val="0"/>
              <w:jc w:val="center"/>
              <w:rPr>
                <w:rFonts w:hint="eastAsia" w:ascii="宋体" w:hAnsi="宋体" w:eastAsia="宋体" w:cs="宋体"/>
                <w:b/>
                <w:bCs/>
                <w:color w:val="000000"/>
                <w:sz w:val="21"/>
                <w:szCs w:val="21"/>
                <w:lang w:eastAsia="zh-CN"/>
              </w:rPr>
            </w:pPr>
            <w:r>
              <w:rPr>
                <w:rStyle w:val="12"/>
                <w:rFonts w:hint="eastAsia" w:ascii="宋体" w:hAnsi="宋体" w:cs="宋体"/>
                <w:color w:val="000000"/>
                <w:sz w:val="21"/>
                <w:szCs w:val="21"/>
                <w:lang w:eastAsia="zh-CN"/>
              </w:rPr>
              <w:t>2022年8月29日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2267" w:type="dxa"/>
            <w:noWrap w:val="0"/>
            <w:vAlign w:val="center"/>
          </w:tcPr>
          <w:p>
            <w:pPr>
              <w:snapToGrid w:val="0"/>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报告参与人</w:t>
            </w:r>
          </w:p>
          <w:p>
            <w:pPr>
              <w:snapToGrid w:val="0"/>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lang w:eastAsia="zh-CN"/>
              </w:rPr>
              <w:t>张洋敏</w:t>
            </w:r>
          </w:p>
        </w:tc>
        <w:tc>
          <w:tcPr>
            <w:tcW w:w="2377" w:type="dxa"/>
            <w:noWrap w:val="0"/>
            <w:vAlign w:val="center"/>
          </w:tcPr>
          <w:p>
            <w:pPr>
              <w:snapToGrid w:val="0"/>
              <w:jc w:val="center"/>
              <w:rPr>
                <w:rFonts w:hint="eastAsia" w:ascii="宋体" w:hAnsi="宋体" w:eastAsia="宋体" w:cs="宋体"/>
                <w:bCs/>
                <w:color w:val="000000"/>
                <w:sz w:val="21"/>
                <w:szCs w:val="21"/>
              </w:rPr>
            </w:pPr>
            <w:r>
              <w:rPr>
                <w:rFonts w:hint="eastAsia" w:ascii="宋体" w:hAnsi="宋体" w:eastAsia="宋体" w:cs="宋体"/>
                <w:color w:val="000000"/>
                <w:sz w:val="21"/>
                <w:szCs w:val="21"/>
                <w:lang w:eastAsia="zh-CN"/>
              </w:rPr>
              <w:t>5320140006</w:t>
            </w:r>
          </w:p>
        </w:tc>
        <w:tc>
          <w:tcPr>
            <w:tcW w:w="2377" w:type="dxa"/>
            <w:noWrap w:val="0"/>
            <w:vAlign w:val="center"/>
          </w:tcPr>
          <w:p>
            <w:pPr>
              <w:snapToGrid w:val="0"/>
              <w:jc w:val="center"/>
              <w:rPr>
                <w:rFonts w:hint="eastAsia" w:ascii="宋体" w:hAnsi="宋体" w:eastAsia="宋体" w:cs="宋体"/>
                <w:b/>
                <w:bCs/>
                <w:color w:val="000000"/>
                <w:sz w:val="21"/>
                <w:szCs w:val="21"/>
              </w:rPr>
            </w:pPr>
          </w:p>
        </w:tc>
        <w:tc>
          <w:tcPr>
            <w:tcW w:w="2266" w:type="dxa"/>
            <w:noWrap w:val="0"/>
            <w:vAlign w:val="center"/>
          </w:tcPr>
          <w:p>
            <w:pPr>
              <w:snapToGrid w:val="0"/>
              <w:jc w:val="center"/>
              <w:rPr>
                <w:rFonts w:hint="eastAsia" w:ascii="宋体" w:hAnsi="宋体" w:eastAsia="宋体" w:cs="宋体"/>
                <w:b/>
                <w:bCs/>
                <w:color w:val="000000"/>
                <w:sz w:val="21"/>
                <w:szCs w:val="21"/>
                <w:lang w:eastAsia="zh-CN"/>
              </w:rPr>
            </w:pPr>
            <w:r>
              <w:rPr>
                <w:rStyle w:val="12"/>
                <w:rFonts w:hint="eastAsia" w:ascii="宋体" w:hAnsi="宋体" w:cs="宋体"/>
                <w:color w:val="000000"/>
                <w:sz w:val="21"/>
                <w:szCs w:val="21"/>
                <w:lang w:eastAsia="zh-CN"/>
              </w:rPr>
              <w:t>2022年8月29日</w:t>
            </w:r>
          </w:p>
        </w:tc>
      </w:tr>
    </w:tbl>
    <w:p>
      <w:pPr>
        <w:widowControl/>
        <w:wordWrap/>
        <w:adjustRightInd/>
        <w:spacing w:line="240" w:lineRule="auto"/>
        <w:jc w:val="left"/>
        <w:textAlignment w:val="auto"/>
        <w:rPr>
          <w:rFonts w:ascii="宋体" w:hAnsi="宋体" w:eastAsia="宋体" w:cs="宋体"/>
          <w:color w:val="000000"/>
          <w:szCs w:val="21"/>
        </w:rPr>
      </w:pPr>
    </w:p>
    <w:p>
      <w:pPr>
        <w:pStyle w:val="3"/>
        <w:wordWrap/>
        <w:spacing w:before="292"/>
        <w:rPr>
          <w:color w:val="000000"/>
        </w:rPr>
      </w:pPr>
      <w:bookmarkStart w:id="23" w:name="_Toc19455"/>
      <w:bookmarkStart w:id="24" w:name="_Toc2516"/>
      <w:bookmarkStart w:id="25" w:name="_Toc9408"/>
      <w:bookmarkStart w:id="26" w:name="_Toc29877"/>
      <w:bookmarkStart w:id="27" w:name="_Toc10667"/>
      <w:bookmarkStart w:id="28" w:name="_Toc4700"/>
      <w:bookmarkStart w:id="29" w:name="_Toc14156"/>
      <w:bookmarkStart w:id="30" w:name="_Toc28448"/>
      <w:bookmarkStart w:id="31" w:name="_Toc12383"/>
      <w:bookmarkStart w:id="32" w:name="_Toc19667"/>
      <w:bookmarkStart w:id="33" w:name="_Toc27791"/>
      <w:bookmarkStart w:id="34" w:name="_Toc485393184"/>
      <w:bookmarkStart w:id="35" w:name="_Toc3422"/>
      <w:bookmarkStart w:id="36" w:name="_Toc21965"/>
      <w:bookmarkStart w:id="37" w:name="_Toc17286"/>
      <w:bookmarkStart w:id="38" w:name="_Toc32091"/>
      <w:bookmarkStart w:id="39" w:name="_Toc2196"/>
      <w:bookmarkStart w:id="40" w:name="_Toc30363"/>
      <w:bookmarkStart w:id="41" w:name="_Toc21747"/>
      <w:bookmarkStart w:id="42" w:name="_Toc31669"/>
      <w:bookmarkStart w:id="43" w:name="_Toc21985"/>
      <w:r>
        <w:rPr>
          <w:rFonts w:hint="eastAsia"/>
          <w:color w:val="000000"/>
        </w:rPr>
        <w:t>估价假设和限制条件</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pPr>
        <w:pStyle w:val="4"/>
        <w:wordWrap/>
        <w:spacing w:before="0" w:after="0" w:line="560" w:lineRule="exact"/>
        <w:rPr>
          <w:rFonts w:hint="eastAsia" w:ascii="宋体" w:hAnsi="宋体" w:eastAsia="宋体" w:cs="宋体"/>
          <w:b w:val="0"/>
          <w:color w:val="000000"/>
          <w:sz w:val="24"/>
          <w:szCs w:val="24"/>
        </w:rPr>
      </w:pPr>
      <w:bookmarkStart w:id="44" w:name="_Toc19005"/>
      <w:bookmarkStart w:id="45" w:name="_Toc14112"/>
      <w:bookmarkStart w:id="46" w:name="_Toc349"/>
      <w:bookmarkStart w:id="47" w:name="_Toc4594"/>
      <w:bookmarkStart w:id="48" w:name="_Toc26071"/>
      <w:bookmarkStart w:id="49" w:name="_Toc17019"/>
      <w:bookmarkStart w:id="50" w:name="_Toc25392"/>
      <w:bookmarkStart w:id="51" w:name="_Toc355619684"/>
      <w:bookmarkStart w:id="52" w:name="_Toc5715"/>
      <w:bookmarkStart w:id="53" w:name="_Toc17692"/>
      <w:bookmarkStart w:id="54" w:name="_Toc2949"/>
      <w:bookmarkStart w:id="55" w:name="_Toc1744"/>
      <w:bookmarkStart w:id="56" w:name="_Toc6371"/>
      <w:bookmarkStart w:id="57" w:name="_Toc19932"/>
      <w:bookmarkStart w:id="58" w:name="_Toc21822"/>
      <w:bookmarkStart w:id="59" w:name="_Toc3879"/>
      <w:bookmarkStart w:id="60" w:name="_Toc18696"/>
      <w:bookmarkStart w:id="61" w:name="_Toc4026"/>
      <w:bookmarkStart w:id="62" w:name="_Toc360010001"/>
      <w:bookmarkStart w:id="63" w:name="_Toc3273"/>
      <w:bookmarkStart w:id="64" w:name="_Toc16752"/>
      <w:bookmarkStart w:id="65" w:name="_Toc5391"/>
      <w:r>
        <w:rPr>
          <w:rFonts w:hint="eastAsia" w:ascii="宋体" w:hAnsi="宋体" w:eastAsia="宋体" w:cs="宋体"/>
          <w:color w:val="000000"/>
          <w:sz w:val="24"/>
          <w:szCs w:val="24"/>
          <w:lang w:val="en-US" w:eastAsia="zh-CN"/>
        </w:rPr>
        <w:t>一、</w:t>
      </w:r>
      <w:r>
        <w:rPr>
          <w:rFonts w:hint="eastAsia" w:ascii="宋体" w:hAnsi="宋体" w:eastAsia="宋体" w:cs="宋体"/>
          <w:color w:val="000000"/>
          <w:sz w:val="24"/>
          <w:szCs w:val="24"/>
        </w:rPr>
        <w:t>估价的假设条件</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pPr>
        <w:suppressAutoHyphens/>
        <w:wordWrap/>
        <w:spacing w:line="560" w:lineRule="exact"/>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lang w:val="en-US" w:eastAsia="zh-CN"/>
        </w:rPr>
        <w:t>一</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一般假设</w:t>
      </w:r>
    </w:p>
    <w:p>
      <w:pPr>
        <w:wordWrap/>
        <w:snapToGrid w:val="0"/>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估价对象法定用途为</w:t>
      </w:r>
      <w:r>
        <w:rPr>
          <w:rFonts w:hint="eastAsia" w:ascii="宋体" w:hAnsi="宋体" w:eastAsia="宋体" w:cs="宋体"/>
          <w:sz w:val="24"/>
          <w:szCs w:val="24"/>
          <w:lang w:val="en-US" w:eastAsia="zh-CN"/>
        </w:rPr>
        <w:t>住宅</w:t>
      </w:r>
      <w:r>
        <w:rPr>
          <w:rFonts w:hint="eastAsia" w:ascii="宋体" w:hAnsi="宋体" w:eastAsia="宋体" w:cs="宋体"/>
          <w:sz w:val="24"/>
          <w:szCs w:val="24"/>
        </w:rPr>
        <w:t>用房，</w:t>
      </w:r>
      <w:r>
        <w:rPr>
          <w:rFonts w:hint="eastAsia" w:ascii="宋体" w:hAnsi="宋体" w:eastAsia="宋体" w:cs="宋体"/>
          <w:sz w:val="24"/>
          <w:szCs w:val="24"/>
          <w:lang w:val="en-US" w:eastAsia="zh-CN"/>
        </w:rPr>
        <w:t>现状用途为住宅</w:t>
      </w:r>
      <w:r>
        <w:rPr>
          <w:rFonts w:hint="eastAsia" w:ascii="宋体" w:hAnsi="宋体" w:eastAsia="宋体" w:cs="宋体"/>
          <w:sz w:val="24"/>
          <w:szCs w:val="24"/>
        </w:rPr>
        <w:t>用房</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本报告</w:t>
      </w:r>
      <w:r>
        <w:rPr>
          <w:rFonts w:hint="eastAsia" w:ascii="宋体" w:hAnsi="宋体" w:eastAsia="宋体" w:cs="宋体"/>
          <w:sz w:val="24"/>
          <w:szCs w:val="24"/>
        </w:rPr>
        <w:t>按</w:t>
      </w:r>
      <w:r>
        <w:rPr>
          <w:rFonts w:hint="eastAsia" w:ascii="宋体" w:hAnsi="宋体" w:eastAsia="宋体" w:cs="宋体"/>
          <w:sz w:val="24"/>
          <w:szCs w:val="24"/>
          <w:lang w:val="en-US" w:eastAsia="zh-CN"/>
        </w:rPr>
        <w:t>估价对象为住宅</w:t>
      </w:r>
      <w:r>
        <w:rPr>
          <w:rFonts w:hint="eastAsia" w:ascii="宋体" w:hAnsi="宋体" w:eastAsia="宋体" w:cs="宋体"/>
          <w:sz w:val="24"/>
          <w:szCs w:val="24"/>
        </w:rPr>
        <w:t>用房</w:t>
      </w:r>
      <w:r>
        <w:rPr>
          <w:rFonts w:hint="eastAsia" w:ascii="宋体" w:hAnsi="宋体" w:eastAsia="宋体" w:cs="宋体"/>
          <w:sz w:val="24"/>
          <w:szCs w:val="24"/>
          <w:lang w:val="en-US" w:eastAsia="zh-CN"/>
        </w:rPr>
        <w:t>持续</w:t>
      </w:r>
      <w:r>
        <w:rPr>
          <w:rFonts w:hint="eastAsia" w:ascii="宋体" w:hAnsi="宋体" w:eastAsia="宋体" w:cs="宋体"/>
          <w:sz w:val="24"/>
          <w:szCs w:val="24"/>
        </w:rPr>
        <w:t>使用</w:t>
      </w:r>
      <w:r>
        <w:rPr>
          <w:rFonts w:hint="eastAsia" w:ascii="宋体" w:hAnsi="宋体" w:eastAsia="宋体" w:cs="宋体"/>
          <w:sz w:val="24"/>
          <w:szCs w:val="24"/>
          <w:lang w:val="en-US" w:eastAsia="zh-CN"/>
        </w:rPr>
        <w:t>为估价假设</w:t>
      </w:r>
      <w:r>
        <w:rPr>
          <w:rFonts w:hint="eastAsia" w:ascii="宋体" w:hAnsi="宋体" w:eastAsia="宋体" w:cs="宋体"/>
          <w:sz w:val="24"/>
          <w:szCs w:val="24"/>
        </w:rPr>
        <w:t>前提。</w:t>
      </w:r>
    </w:p>
    <w:p>
      <w:pPr>
        <w:wordWrap/>
        <w:snapToGrid w:val="0"/>
        <w:spacing w:line="56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2.估价委托人提供的估价对象</w:t>
      </w:r>
      <w:r>
        <w:rPr>
          <w:rFonts w:hint="eastAsia" w:ascii="宋体" w:hAnsi="宋体" w:cs="宋体"/>
          <w:sz w:val="24"/>
          <w:szCs w:val="24"/>
          <w:lang w:val="en-US" w:eastAsia="zh-CN"/>
        </w:rPr>
        <w:t>《不动产登记信息查询结果单》</w:t>
      </w:r>
      <w:r>
        <w:rPr>
          <w:rFonts w:hint="eastAsia" w:ascii="宋体" w:hAnsi="宋体" w:eastAsia="宋体" w:cs="宋体"/>
          <w:sz w:val="24"/>
          <w:szCs w:val="24"/>
          <w:lang w:val="en-US" w:eastAsia="zh-CN"/>
        </w:rPr>
        <w:t>为复印件，未提供原件。注册房地产估价师在职权和能力范围内对委托方提供的估价对象的权属、用途等资料进行了尽职调查，在无理由怀疑其合法性、真实性、准确性和完整性的情况下，本次估价以委托人提供的与估价对象有关的权属证明、其它相关资料均合法、真实、准确和完整为假设前提。因估价委托人提供资料有误而造成评估值失实，估价机构和注册房地产估价师不承担责任。</w:t>
      </w:r>
    </w:p>
    <w:p>
      <w:pPr>
        <w:wordWrap/>
        <w:snapToGrid w:val="0"/>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注册房地产估价师并无国家认定的测绘资格，因此未对房屋建筑面积进行专业测量。在没有理由怀疑估价对象房屋建筑面积与</w:t>
      </w:r>
      <w:r>
        <w:rPr>
          <w:rFonts w:hint="eastAsia" w:ascii="宋体" w:hAnsi="宋体" w:cs="宋体"/>
          <w:sz w:val="24"/>
          <w:szCs w:val="24"/>
          <w:lang w:val="en-US" w:eastAsia="zh-CN"/>
        </w:rPr>
        <w:t>《不动产登记信息查询结果单》</w:t>
      </w:r>
      <w:r>
        <w:rPr>
          <w:rFonts w:hint="eastAsia" w:ascii="宋体" w:hAnsi="宋体" w:eastAsia="宋体" w:cs="宋体"/>
          <w:sz w:val="24"/>
          <w:szCs w:val="24"/>
        </w:rPr>
        <w:t>所记载面积明显不符的前提下，本次评估所取估价对象的面积根据估价委托人提供的</w:t>
      </w:r>
      <w:r>
        <w:rPr>
          <w:rFonts w:hint="eastAsia" w:ascii="宋体" w:hAnsi="宋体" w:cs="宋体"/>
          <w:sz w:val="24"/>
          <w:szCs w:val="24"/>
          <w:lang w:val="en-US" w:eastAsia="zh-CN"/>
        </w:rPr>
        <w:t>《不动产登记信息查询结果单》</w:t>
      </w:r>
      <w:r>
        <w:rPr>
          <w:rFonts w:hint="eastAsia" w:ascii="宋体" w:hAnsi="宋体" w:eastAsia="宋体" w:cs="宋体"/>
          <w:sz w:val="24"/>
          <w:szCs w:val="24"/>
        </w:rPr>
        <w:t>复印件为依据。</w:t>
      </w:r>
    </w:p>
    <w:p>
      <w:pPr>
        <w:wordWrap/>
        <w:snapToGrid w:val="0"/>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注册房地产估价师于</w:t>
      </w:r>
      <w:r>
        <w:rPr>
          <w:rFonts w:hint="eastAsia" w:ascii="宋体" w:hAnsi="宋体" w:cs="宋体"/>
          <w:sz w:val="24"/>
          <w:szCs w:val="24"/>
          <w:lang w:eastAsia="zh-CN"/>
        </w:rPr>
        <w:t>2022年8月10日</w:t>
      </w:r>
      <w:r>
        <w:rPr>
          <w:rFonts w:hint="eastAsia" w:ascii="宋体" w:hAnsi="宋体" w:eastAsia="宋体" w:cs="宋体"/>
          <w:sz w:val="24"/>
          <w:szCs w:val="24"/>
        </w:rPr>
        <w:t>对估价对象进行了实地查勘，但注册房地产估价师对估价对象的实地查勘仅限于在实地查勘时可观察到的估价对象外观和使用状况、内部布局、装修及设备情况，对于被遮盖和不能直接观察的部分，受专业能力范围限制，未做建筑物基础、结构及建筑质量等方面的专业检测和实验，因此无法确认其内部有无缺损、是否存在结构性损坏。在无理由怀疑估价对象存在安全隐患的情况下，对被遮盖、未暴露及难以接触到的建筑物基础、房屋结构及其内部设施、设备，本报告假设其无重大质量问题，符合国家有关技术、质量、验收规范，且符合国家有关安全使用标准。</w:t>
      </w:r>
    </w:p>
    <w:p>
      <w:pPr>
        <w:snapToGrid w:val="0"/>
        <w:spacing w:line="5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注册房地产估价师对影响估价对象价值的估价对象所在地块的水文地质及土壤状况、是否存在有害物质或环境污染等给予了关注，受专业能力范围限制，未进行相关的专业鉴定、检测，在无理由怀疑其存在重大问题和瑕疵的情况下，假定不存在对房地产价值有重大不利影响的水文地质及土壤状况、有害物质或环境污染。</w:t>
      </w:r>
    </w:p>
    <w:p>
      <w:pPr>
        <w:suppressAutoHyphens/>
        <w:wordWrap/>
        <w:spacing w:line="540" w:lineRule="exact"/>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lang w:val="en-US" w:eastAsia="zh-CN"/>
        </w:rPr>
        <w:t>二</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未定事项假设</w:t>
      </w:r>
    </w:p>
    <w:p>
      <w:pPr>
        <w:suppressAutoHyphens/>
        <w:wordWrap/>
        <w:spacing w:line="54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kern w:val="0"/>
          <w:sz w:val="24"/>
          <w:szCs w:val="24"/>
        </w:rPr>
        <w:t>本次估价的估价对象不存在未定事项，故本次估价不存在未定事项假设。</w:t>
      </w:r>
    </w:p>
    <w:p>
      <w:pPr>
        <w:suppressAutoHyphens/>
        <w:wordWrap/>
        <w:spacing w:line="540" w:lineRule="exact"/>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lang w:val="en-US" w:eastAsia="zh-CN"/>
        </w:rPr>
        <w:t>三</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背离实际情况假设</w:t>
      </w:r>
    </w:p>
    <w:p>
      <w:pPr>
        <w:suppressAutoHyphens/>
        <w:wordWrap/>
        <w:spacing w:line="540" w:lineRule="exact"/>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eastAsia="zh-CN"/>
        </w:rPr>
        <w:t>经</w:t>
      </w:r>
      <w:r>
        <w:rPr>
          <w:rFonts w:hint="eastAsia" w:ascii="宋体" w:hAnsi="宋体" w:eastAsia="宋体" w:cs="宋体"/>
          <w:sz w:val="24"/>
          <w:szCs w:val="24"/>
        </w:rPr>
        <w:t>估价人员调查，至价值时点，估价对象已涉及司法纠纷。根据川建房发[2011]89号四川省住房和城乡建设厅关于印发《房地产司法鉴定评估指导意见》的通知记载：“拍卖房地产上原有的抵押权及其他担保物权，通常因拍卖(变卖)而消灭，注册房地产估价师通常不考虑其对价值的影响”</w:t>
      </w:r>
      <w:r>
        <w:rPr>
          <w:rFonts w:hint="eastAsia" w:ascii="宋体" w:hAnsi="宋体" w:eastAsia="宋体" w:cs="宋体"/>
          <w:sz w:val="24"/>
          <w:szCs w:val="24"/>
          <w:lang w:eastAsia="zh-CN"/>
        </w:rPr>
        <w:t>，以及中房学【</w:t>
      </w:r>
      <w:r>
        <w:rPr>
          <w:rFonts w:hint="eastAsia" w:ascii="宋体" w:hAnsi="宋体" w:eastAsia="宋体" w:cs="宋体"/>
          <w:sz w:val="24"/>
          <w:szCs w:val="24"/>
          <w:lang w:val="en-US" w:eastAsia="zh-CN"/>
        </w:rPr>
        <w:t>2021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37号中房学关于印发</w:t>
      </w:r>
      <w:r>
        <w:rPr>
          <w:rFonts w:hint="eastAsia" w:ascii="宋体" w:hAnsi="宋体" w:eastAsia="宋体" w:cs="宋体"/>
          <w:sz w:val="24"/>
          <w:szCs w:val="24"/>
          <w:lang w:eastAsia="zh-CN"/>
        </w:rPr>
        <w:t>《涉执房地产处置司法评估指导意见（试行）》的通知第十三条记载：“涉执房地产处置司法评估结果不应当考虑评估对象被查封以及原有的担保物权和其他优先受偿款的影响”</w:t>
      </w:r>
      <w:r>
        <w:rPr>
          <w:rFonts w:hint="eastAsia" w:ascii="宋体" w:hAnsi="宋体" w:eastAsia="宋体" w:cs="宋体"/>
          <w:sz w:val="24"/>
          <w:szCs w:val="24"/>
        </w:rPr>
        <w:t>。根据本报告估价目的，本次估价设定估价对象无他项权利限制，可以依法自由交易，不考虑权属纠纷、抵押权、其他担保物权和司法机关、行政机关查封或者以其他形式限制该资产权利等情形为假设前提条件。</w:t>
      </w:r>
    </w:p>
    <w:p>
      <w:pPr>
        <w:suppressAutoHyphens/>
        <w:wordWrap/>
        <w:spacing w:line="540" w:lineRule="exact"/>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lang w:val="en-US" w:eastAsia="zh-CN"/>
        </w:rPr>
        <w:t>四</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不相一致假设</w:t>
      </w:r>
    </w:p>
    <w:p>
      <w:pPr>
        <w:suppressAutoHyphens/>
        <w:wordWrap/>
        <w:spacing w:line="540" w:lineRule="exact"/>
        <w:ind w:right="-210" w:rightChars="-100"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估价对象</w:t>
      </w:r>
      <w:r>
        <w:rPr>
          <w:rFonts w:hint="eastAsia" w:ascii="宋体" w:hAnsi="宋体" w:cs="宋体"/>
          <w:sz w:val="24"/>
          <w:szCs w:val="24"/>
          <w:lang w:val="en-US" w:eastAsia="zh-CN"/>
        </w:rPr>
        <w:t>《不动产登记信息查询结果单》</w:t>
      </w:r>
      <w:r>
        <w:rPr>
          <w:rFonts w:hint="eastAsia" w:ascii="宋体" w:hAnsi="宋体" w:eastAsia="宋体" w:cs="宋体"/>
          <w:color w:val="000000"/>
          <w:kern w:val="0"/>
          <w:sz w:val="24"/>
          <w:szCs w:val="24"/>
        </w:rPr>
        <w:t>房屋证载座落为犍为县玉津镇滨江路南段2号4幢1单元801号；实地查看时估价委托人现场指界确认位置张贴有门牌号</w:t>
      </w:r>
      <w:r>
        <w:rPr>
          <w:rFonts w:hint="eastAsia" w:ascii="宋体" w:hAnsi="宋体" w:cs="宋体"/>
          <w:color w:val="000000"/>
          <w:kern w:val="0"/>
          <w:sz w:val="24"/>
          <w:szCs w:val="24"/>
          <w:lang w:eastAsia="zh-CN"/>
        </w:rPr>
        <w:t>互河路</w:t>
      </w:r>
      <w:r>
        <w:rPr>
          <w:rFonts w:hint="eastAsia" w:ascii="宋体" w:hAnsi="宋体" w:cs="宋体"/>
          <w:color w:val="000000"/>
          <w:kern w:val="0"/>
          <w:sz w:val="24"/>
          <w:szCs w:val="24"/>
          <w:lang w:val="en-US" w:eastAsia="zh-CN"/>
        </w:rPr>
        <w:t>11号</w:t>
      </w:r>
      <w:r>
        <w:rPr>
          <w:rFonts w:hint="eastAsia" w:ascii="宋体" w:hAnsi="宋体" w:eastAsia="宋体" w:cs="宋体"/>
          <w:color w:val="000000"/>
          <w:kern w:val="0"/>
          <w:sz w:val="24"/>
          <w:szCs w:val="24"/>
        </w:rPr>
        <w:t>4幢1单元801号，本次评估以估价对象相关资料记载地址与实地查看门牌号具有同一性、唯一性为假设前提。</w:t>
      </w:r>
    </w:p>
    <w:p>
      <w:pPr>
        <w:suppressAutoHyphens/>
        <w:wordWrap/>
        <w:spacing w:line="540" w:lineRule="exact"/>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lang w:val="en-US" w:eastAsia="zh-CN"/>
        </w:rPr>
        <w:t>五</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依据不足假设</w:t>
      </w:r>
    </w:p>
    <w:p>
      <w:pPr>
        <w:suppressAutoHyphens/>
        <w:spacing w:line="540" w:lineRule="exact"/>
        <w:ind w:firstLine="480" w:firstLineChars="200"/>
        <w:rPr>
          <w:rFonts w:hint="eastAsia" w:ascii="宋体" w:hAnsi="宋体" w:cs="宋体"/>
          <w:sz w:val="24"/>
          <w:szCs w:val="24"/>
        </w:rPr>
      </w:pPr>
      <w:bookmarkStart w:id="66" w:name="_Toc29671"/>
      <w:bookmarkStart w:id="67" w:name="_Toc18770"/>
      <w:bookmarkStart w:id="68" w:name="_Toc26892"/>
      <w:bookmarkStart w:id="69" w:name="_Toc1677"/>
      <w:bookmarkStart w:id="70" w:name="_Toc1023"/>
      <w:bookmarkStart w:id="71" w:name="_Toc29903"/>
      <w:bookmarkStart w:id="72" w:name="_Toc9127"/>
      <w:bookmarkStart w:id="73" w:name="_Toc16481"/>
      <w:r>
        <w:rPr>
          <w:rFonts w:hint="eastAsia" w:ascii="宋体" w:hAnsi="宋体" w:cs="宋体"/>
          <w:sz w:val="24"/>
          <w:szCs w:val="24"/>
        </w:rPr>
        <w:t>1.估价对象</w:t>
      </w:r>
      <w:r>
        <w:rPr>
          <w:rFonts w:hint="eastAsia" w:ascii="宋体" w:hAnsi="宋体" w:cs="宋体"/>
          <w:sz w:val="24"/>
          <w:szCs w:val="24"/>
          <w:lang w:val="en-US" w:eastAsia="zh-CN"/>
        </w:rPr>
        <w:t>《不动产登记信息查询结果单》</w:t>
      </w:r>
      <w:r>
        <w:rPr>
          <w:rFonts w:hint="eastAsia" w:ascii="宋体" w:hAnsi="宋体" w:cs="宋体"/>
          <w:sz w:val="24"/>
          <w:szCs w:val="24"/>
        </w:rPr>
        <w:t>未记载估价对象房屋的建成年份，经注册房地产估价师实地调查，估价对象房屋建成年代为201</w:t>
      </w:r>
      <w:r>
        <w:rPr>
          <w:rFonts w:hint="eastAsia" w:ascii="宋体" w:hAnsi="宋体" w:cs="宋体"/>
          <w:sz w:val="24"/>
          <w:szCs w:val="24"/>
          <w:lang w:val="en-US" w:eastAsia="zh-CN"/>
        </w:rPr>
        <w:t>2</w:t>
      </w:r>
      <w:r>
        <w:rPr>
          <w:rFonts w:hint="eastAsia" w:ascii="宋体" w:hAnsi="宋体" w:cs="宋体"/>
          <w:sz w:val="24"/>
          <w:szCs w:val="24"/>
        </w:rPr>
        <w:t>年，本次估价以估价对象于201</w:t>
      </w:r>
      <w:r>
        <w:rPr>
          <w:rFonts w:hint="eastAsia" w:ascii="宋体" w:hAnsi="宋体" w:cs="宋体"/>
          <w:sz w:val="24"/>
          <w:szCs w:val="24"/>
          <w:lang w:val="en-US" w:eastAsia="zh-CN"/>
        </w:rPr>
        <w:t>2</w:t>
      </w:r>
      <w:r>
        <w:rPr>
          <w:rFonts w:hint="eastAsia" w:ascii="宋体" w:hAnsi="宋体" w:cs="宋体"/>
          <w:sz w:val="24"/>
          <w:szCs w:val="24"/>
        </w:rPr>
        <w:t>年建成为假设前提。</w:t>
      </w:r>
    </w:p>
    <w:p>
      <w:pPr>
        <w:suppressAutoHyphens/>
        <w:wordWrap/>
        <w:spacing w:line="540" w:lineRule="exact"/>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估价委托人未提供估价对象房地产税金及相关费用，包括税收、物业费、水电气费等及其滞纳金缴纳的相关资料。本次估价以无欠缴的税金及相关费用为假设前提。</w:t>
      </w:r>
    </w:p>
    <w:p>
      <w:pPr>
        <w:pStyle w:val="4"/>
        <w:wordWrap/>
        <w:spacing w:before="0" w:after="0" w:line="560" w:lineRule="exact"/>
        <w:rPr>
          <w:rFonts w:hint="eastAsia" w:ascii="宋体" w:hAnsi="宋体" w:eastAsia="宋体" w:cs="宋体"/>
          <w:b w:val="0"/>
          <w:color w:val="000000"/>
          <w:sz w:val="24"/>
          <w:szCs w:val="24"/>
        </w:rPr>
      </w:pPr>
      <w:bookmarkStart w:id="74" w:name="_Toc2446"/>
      <w:bookmarkStart w:id="75" w:name="_Toc22255"/>
      <w:bookmarkStart w:id="76" w:name="_Toc1430"/>
      <w:bookmarkStart w:id="77" w:name="_Toc29566"/>
      <w:bookmarkStart w:id="78" w:name="_Toc15205"/>
      <w:bookmarkStart w:id="79" w:name="_Toc29598"/>
      <w:bookmarkStart w:id="80" w:name="_Toc15843"/>
      <w:bookmarkStart w:id="81" w:name="_Toc25602"/>
      <w:bookmarkStart w:id="82" w:name="_Toc20942"/>
      <w:bookmarkStart w:id="83" w:name="_Toc6466"/>
      <w:bookmarkStart w:id="84" w:name="_Toc2663"/>
      <w:bookmarkStart w:id="85" w:name="_Toc22074"/>
      <w:r>
        <w:rPr>
          <w:rFonts w:hint="eastAsia" w:ascii="宋体" w:hAnsi="宋体" w:eastAsia="宋体" w:cs="宋体"/>
          <w:color w:val="000000"/>
          <w:sz w:val="24"/>
          <w:szCs w:val="24"/>
          <w:lang w:val="en-US" w:eastAsia="zh-CN"/>
        </w:rPr>
        <w:t>二、</w:t>
      </w:r>
      <w:r>
        <w:rPr>
          <w:rFonts w:hint="eastAsia" w:ascii="宋体" w:hAnsi="宋体" w:eastAsia="宋体" w:cs="宋体"/>
          <w:color w:val="000000"/>
          <w:sz w:val="24"/>
          <w:szCs w:val="24"/>
        </w:rPr>
        <w:t>本估价报告使用的限制条件</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pPr>
        <w:wordWrap/>
        <w:spacing w:line="540" w:lineRule="exact"/>
        <w:ind w:firstLine="480" w:firstLineChars="200"/>
        <w:rPr>
          <w:rFonts w:hint="eastAsia" w:ascii="宋体" w:hAnsi="宋体" w:eastAsia="宋体" w:cs="宋体"/>
          <w:color w:val="000000"/>
          <w:sz w:val="24"/>
          <w:szCs w:val="24"/>
        </w:rPr>
      </w:pPr>
      <w:r>
        <w:rPr>
          <w:rFonts w:hint="eastAsia" w:ascii="宋体" w:hAnsi="宋体" w:eastAsia="宋体" w:cs="宋体"/>
          <w:snapToGrid w:val="0"/>
          <w:kern w:val="0"/>
          <w:sz w:val="24"/>
          <w:szCs w:val="24"/>
          <w:lang w:eastAsia="zh-CN"/>
        </w:rPr>
        <w:t>1.</w:t>
      </w:r>
      <w:r>
        <w:rPr>
          <w:rFonts w:hint="eastAsia" w:ascii="宋体" w:hAnsi="宋体" w:eastAsia="宋体" w:cs="宋体"/>
          <w:sz w:val="24"/>
          <w:szCs w:val="24"/>
        </w:rPr>
        <w:t>本估价报告仅用于为人民法院确定财产处置参考价提供参考依据，不得用于其他用途。</w:t>
      </w:r>
    </w:p>
    <w:p>
      <w:pPr>
        <w:wordWrap/>
        <w:spacing w:line="5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2.</w:t>
      </w:r>
      <w:r>
        <w:rPr>
          <w:rFonts w:hint="eastAsia" w:ascii="宋体" w:hAnsi="宋体" w:eastAsia="宋体" w:cs="宋体"/>
          <w:sz w:val="24"/>
          <w:szCs w:val="24"/>
        </w:rPr>
        <w:t>本报告估价结果包括房屋及分摊的土地使用权价值。该土地使用权若与房屋分割处置，本报告结果无效。</w:t>
      </w:r>
    </w:p>
    <w:p>
      <w:pPr>
        <w:wordWrap/>
        <w:spacing w:line="540" w:lineRule="exact"/>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bCs/>
          <w:color w:val="000000"/>
          <w:sz w:val="24"/>
          <w:szCs w:val="24"/>
          <w:highlight w:val="none"/>
        </w:rPr>
        <w:t>评估结果仅为人民法院确定财产处置参考价服务</w:t>
      </w:r>
      <w:r>
        <w:rPr>
          <w:rFonts w:hint="eastAsia" w:ascii="宋体" w:hAnsi="宋体" w:eastAsia="宋体" w:cs="宋体"/>
          <w:sz w:val="24"/>
          <w:szCs w:val="24"/>
        </w:rPr>
        <w:t>，</w:t>
      </w:r>
      <w:r>
        <w:rPr>
          <w:rFonts w:hint="eastAsia" w:ascii="宋体" w:hAnsi="宋体" w:eastAsia="宋体" w:cs="宋体"/>
          <w:bCs/>
          <w:color w:val="000000"/>
          <w:sz w:val="24"/>
          <w:szCs w:val="24"/>
          <w:highlight w:val="none"/>
        </w:rPr>
        <w:t>不</w:t>
      </w:r>
      <w:r>
        <w:rPr>
          <w:rFonts w:hint="eastAsia" w:ascii="宋体" w:hAnsi="宋体" w:eastAsia="宋体" w:cs="宋体"/>
          <w:bCs/>
          <w:color w:val="000000"/>
          <w:sz w:val="24"/>
          <w:szCs w:val="24"/>
          <w:highlight w:val="none"/>
          <w:lang w:val="en-US" w:eastAsia="zh-CN"/>
        </w:rPr>
        <w:t>应视为</w:t>
      </w:r>
      <w:r>
        <w:rPr>
          <w:rFonts w:hint="eastAsia" w:ascii="宋体" w:hAnsi="宋体" w:eastAsia="宋体" w:cs="宋体"/>
          <w:bCs/>
          <w:color w:val="000000"/>
          <w:sz w:val="24"/>
          <w:szCs w:val="24"/>
          <w:highlight w:val="none"/>
        </w:rPr>
        <w:t>评估对象处置可实现的成交价格</w:t>
      </w:r>
      <w:r>
        <w:rPr>
          <w:rFonts w:hint="eastAsia" w:ascii="宋体" w:hAnsi="宋体" w:eastAsia="宋体" w:cs="宋体"/>
          <w:sz w:val="24"/>
          <w:szCs w:val="24"/>
          <w:lang w:eastAsia="zh-CN"/>
        </w:rPr>
        <w:t>，</w:t>
      </w:r>
      <w:r>
        <w:rPr>
          <w:rFonts w:hint="eastAsia" w:ascii="宋体" w:hAnsi="宋体" w:eastAsia="宋体" w:cs="宋体"/>
          <w:bCs/>
          <w:color w:val="000000"/>
          <w:sz w:val="24"/>
          <w:szCs w:val="24"/>
          <w:highlight w:val="none"/>
        </w:rPr>
        <w:t>也不应当被视为对评估对象处置成交价格的保证</w:t>
      </w:r>
      <w:r>
        <w:rPr>
          <w:rFonts w:hint="eastAsia" w:ascii="宋体" w:hAnsi="宋体" w:eastAsia="宋体" w:cs="宋体"/>
          <w:sz w:val="24"/>
          <w:szCs w:val="24"/>
        </w:rPr>
        <w:t>。</w:t>
      </w:r>
    </w:p>
    <w:p>
      <w:pPr>
        <w:wordWrap/>
        <w:spacing w:line="54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本报告使用期限自报告出具之</w:t>
      </w:r>
      <w:r>
        <w:rPr>
          <w:rFonts w:hint="eastAsia" w:ascii="宋体" w:hAnsi="宋体" w:eastAsia="宋体" w:cs="宋体"/>
          <w:color w:val="000000" w:themeColor="text1"/>
          <w:sz w:val="24"/>
          <w:szCs w:val="24"/>
          <w14:textFill>
            <w14:solidFill>
              <w14:schemeClr w14:val="tx1"/>
            </w14:solidFill>
          </w14:textFill>
        </w:rPr>
        <w:t>日起一年内(自</w:t>
      </w:r>
      <w:r>
        <w:rPr>
          <w:rFonts w:hint="eastAsia" w:ascii="宋体" w:hAnsi="宋体" w:cs="宋体"/>
          <w:color w:val="000000" w:themeColor="text1"/>
          <w:sz w:val="24"/>
          <w:szCs w:val="24"/>
          <w:lang w:eastAsia="zh-CN"/>
          <w14:textFill>
            <w14:solidFill>
              <w14:schemeClr w14:val="tx1"/>
            </w14:solidFill>
          </w14:textFill>
        </w:rPr>
        <w:t>2022年8月29日</w:t>
      </w:r>
      <w:r>
        <w:rPr>
          <w:rFonts w:hint="eastAsia" w:ascii="宋体" w:hAnsi="宋体" w:eastAsia="宋体" w:cs="宋体"/>
          <w:color w:val="000000" w:themeColor="text1"/>
          <w:sz w:val="24"/>
          <w:szCs w:val="24"/>
          <w14:textFill>
            <w14:solidFill>
              <w14:schemeClr w14:val="tx1"/>
            </w14:solidFill>
          </w14:textFill>
        </w:rPr>
        <w:t>起至</w:t>
      </w:r>
      <w:r>
        <w:rPr>
          <w:rFonts w:hint="eastAsia" w:ascii="宋体" w:hAnsi="宋体" w:eastAsia="宋体" w:cs="宋体"/>
          <w:color w:val="000000" w:themeColor="text1"/>
          <w:sz w:val="24"/>
          <w:szCs w:val="24"/>
          <w:lang w:eastAsia="zh-CN"/>
          <w14:textFill>
            <w14:solidFill>
              <w14:schemeClr w14:val="tx1"/>
            </w14:solidFill>
          </w14:textFill>
        </w:rPr>
        <w:t>2023年</w:t>
      </w:r>
      <w:r>
        <w:rPr>
          <w:rFonts w:hint="eastAsia" w:ascii="宋体" w:hAnsi="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eastAsia="zh-CN"/>
          <w14:textFill>
            <w14:solidFill>
              <w14:schemeClr w14:val="tx1"/>
            </w14:solidFill>
          </w14:textFill>
        </w:rPr>
        <w:t>月</w:t>
      </w:r>
      <w:r>
        <w:rPr>
          <w:rFonts w:hint="eastAsia" w:ascii="宋体" w:hAnsi="宋体" w:cs="宋体"/>
          <w:color w:val="000000" w:themeColor="text1"/>
          <w:sz w:val="24"/>
          <w:szCs w:val="24"/>
          <w:lang w:val="en-US" w:eastAsia="zh-CN"/>
          <w14:textFill>
            <w14:solidFill>
              <w14:schemeClr w14:val="tx1"/>
            </w14:solidFill>
          </w14:textFill>
        </w:rPr>
        <w:t>28</w:t>
      </w:r>
      <w:r>
        <w:rPr>
          <w:rFonts w:hint="eastAsia" w:ascii="宋体" w:hAnsi="宋体" w:eastAsia="宋体" w:cs="宋体"/>
          <w:color w:val="000000" w:themeColor="text1"/>
          <w:sz w:val="24"/>
          <w:szCs w:val="24"/>
          <w:lang w:eastAsia="zh-CN"/>
          <w14:textFill>
            <w14:solidFill>
              <w14:schemeClr w14:val="tx1"/>
            </w14:solidFill>
          </w14:textFill>
        </w:rPr>
        <w:t>日</w:t>
      </w:r>
      <w:r>
        <w:rPr>
          <w:rFonts w:hint="eastAsia" w:ascii="宋体" w:hAnsi="宋体" w:eastAsia="宋体" w:cs="宋体"/>
          <w:color w:val="000000" w:themeColor="text1"/>
          <w:sz w:val="24"/>
          <w:szCs w:val="24"/>
          <w14:textFill>
            <w14:solidFill>
              <w14:schemeClr w14:val="tx1"/>
            </w14:solidFill>
          </w14:textFill>
        </w:rPr>
        <w:t>止)有效，超过估价报告使用期限使用估价报</w:t>
      </w:r>
      <w:r>
        <w:rPr>
          <w:rFonts w:hint="eastAsia" w:ascii="宋体" w:hAnsi="宋体" w:eastAsia="宋体" w:cs="宋体"/>
          <w:sz w:val="24"/>
          <w:szCs w:val="24"/>
        </w:rPr>
        <w:t>告的，相关责任由使用者承担</w:t>
      </w:r>
      <w:r>
        <w:rPr>
          <w:rFonts w:hint="eastAsia" w:ascii="宋体" w:hAnsi="宋体" w:eastAsia="宋体" w:cs="宋体"/>
          <w:kern w:val="0"/>
          <w:sz w:val="24"/>
          <w:szCs w:val="24"/>
        </w:rPr>
        <w:t>。</w:t>
      </w:r>
    </w:p>
    <w:p>
      <w:pPr>
        <w:wordWrap/>
        <w:spacing w:line="540" w:lineRule="exact"/>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本估价报告必须完整使用方为有效，对仅使用本估价报告中的部分内容，所导致的损失本估价机构不承担责任。</w:t>
      </w:r>
    </w:p>
    <w:p>
      <w:pPr>
        <w:wordWrap/>
        <w:spacing w:line="540" w:lineRule="exact"/>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rPr>
        <w:t>本估价报告原件加盖本机构鲜章和在本机构注册的房地产估价师签名盖章方为有效，复印件以及缺乏鲜章、签名的报告无效。若使用复印件以及缺乏本机构鲜章、签名件的估价报告，自负所产生的一切法律后果，本估价机构及估价人员不负任何责任。</w:t>
      </w:r>
    </w:p>
    <w:p>
      <w:pPr>
        <w:wordWrap/>
        <w:spacing w:line="540" w:lineRule="exact"/>
        <w:rPr>
          <w:rFonts w:hint="eastAsia" w:ascii="宋体" w:hAnsi="宋体" w:eastAsia="宋体" w:cs="宋体"/>
          <w:color w:val="000000"/>
          <w:sz w:val="24"/>
          <w:szCs w:val="24"/>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需要特别说明事项</w:t>
      </w:r>
    </w:p>
    <w:p>
      <w:pPr>
        <w:numPr>
          <w:ilvl w:val="0"/>
          <w:numId w:val="1"/>
        </w:numPr>
        <w:wordWrap/>
        <w:spacing w:line="540" w:lineRule="exact"/>
        <w:ind w:left="20" w:leftChars="0" w:firstLine="400" w:firstLineChars="0"/>
        <w:rPr>
          <w:rFonts w:hint="eastAsia" w:ascii="宋体" w:hAnsi="宋体" w:eastAsia="宋体" w:cs="宋体"/>
          <w:color w:val="000000"/>
          <w:sz w:val="24"/>
          <w:szCs w:val="24"/>
        </w:rPr>
      </w:pPr>
      <w:r>
        <w:rPr>
          <w:rFonts w:hint="eastAsia" w:ascii="宋体" w:hAnsi="宋体" w:eastAsia="宋体" w:cs="宋体"/>
          <w:color w:val="000000"/>
          <w:spacing w:val="-2"/>
          <w:sz w:val="24"/>
          <w:szCs w:val="24"/>
        </w:rPr>
        <w:t>本估价报告是在价值时点和本次估价目的下，估价对象在保持现有使用状态以及未改变房屋结构、使用用途等情况下的估价结论。如</w:t>
      </w:r>
      <w:r>
        <w:rPr>
          <w:rFonts w:hint="eastAsia" w:ascii="宋体" w:hAnsi="宋体" w:eastAsia="宋体" w:cs="宋体"/>
          <w:bCs/>
          <w:color w:val="000000"/>
          <w:sz w:val="24"/>
          <w:szCs w:val="24"/>
          <w:highlight w:val="none"/>
        </w:rPr>
        <w:t>在评估报告使用期限或者评估结果有效期内，评估报告或者评估结果未使用之前，</w:t>
      </w:r>
      <w:r>
        <w:rPr>
          <w:rFonts w:hint="eastAsia" w:ascii="宋体" w:hAnsi="宋体" w:eastAsia="宋体" w:cs="宋体"/>
          <w:color w:val="000000"/>
          <w:spacing w:val="-2"/>
          <w:sz w:val="24"/>
          <w:szCs w:val="24"/>
        </w:rPr>
        <w:t>估价对象的面积、用途、使用年限、土地使用权取得方式、使用状态、权益状况以及估价目的、价值时点、房地产政策重大调整、市场供需状况等影响房地产价格的因素发生变化，本估价报告的估价结果应作相应调整或委托估价机构重新估价</w:t>
      </w:r>
      <w:r>
        <w:rPr>
          <w:rFonts w:hint="eastAsia" w:ascii="宋体" w:hAnsi="宋体" w:eastAsia="宋体" w:cs="宋体"/>
          <w:spacing w:val="-2"/>
          <w:sz w:val="24"/>
          <w:szCs w:val="24"/>
        </w:rPr>
        <w:t>。</w:t>
      </w:r>
    </w:p>
    <w:p>
      <w:pPr>
        <w:numPr>
          <w:ilvl w:val="0"/>
          <w:numId w:val="1"/>
        </w:numPr>
        <w:wordWrap/>
        <w:spacing w:line="540" w:lineRule="exact"/>
        <w:ind w:left="20" w:leftChars="0" w:firstLine="400" w:firstLineChars="0"/>
        <w:rPr>
          <w:rFonts w:hint="eastAsia" w:ascii="宋体" w:hAnsi="宋体" w:eastAsia="宋体" w:cs="宋体"/>
          <w:spacing w:val="-2"/>
          <w:sz w:val="24"/>
          <w:szCs w:val="24"/>
        </w:rPr>
      </w:pPr>
      <w:r>
        <w:rPr>
          <w:rFonts w:hint="eastAsia" w:ascii="宋体" w:hAnsi="宋体" w:eastAsia="宋体" w:cs="宋体"/>
          <w:color w:val="000000"/>
          <w:spacing w:val="-2"/>
          <w:sz w:val="24"/>
          <w:szCs w:val="24"/>
        </w:rPr>
        <w:t>注册房地产估价</w:t>
      </w:r>
      <w:r>
        <w:rPr>
          <w:rFonts w:hint="eastAsia" w:ascii="宋体" w:hAnsi="宋体" w:eastAsia="宋体" w:cs="宋体"/>
          <w:color w:val="000000"/>
          <w:spacing w:val="-2"/>
          <w:sz w:val="24"/>
          <w:szCs w:val="24"/>
          <w:highlight w:val="none"/>
        </w:rPr>
        <w:t>师</w:t>
      </w:r>
      <w:r>
        <w:rPr>
          <w:rFonts w:hint="eastAsia" w:ascii="宋体" w:hAnsi="宋体" w:cs="宋体"/>
          <w:color w:val="000000"/>
          <w:spacing w:val="-2"/>
          <w:sz w:val="24"/>
          <w:szCs w:val="24"/>
          <w:highlight w:val="none"/>
          <w:lang w:val="en-US" w:eastAsia="zh-CN"/>
        </w:rPr>
        <w:t>袁宇</w:t>
      </w:r>
      <w:r>
        <w:rPr>
          <w:rFonts w:hint="eastAsia" w:ascii="宋体" w:hAnsi="宋体" w:eastAsia="宋体" w:cs="宋体"/>
          <w:color w:val="000000"/>
          <w:spacing w:val="-2"/>
          <w:sz w:val="24"/>
          <w:szCs w:val="24"/>
          <w:highlight w:val="none"/>
        </w:rPr>
        <w:t>于</w:t>
      </w:r>
      <w:r>
        <w:rPr>
          <w:rFonts w:hint="eastAsia" w:ascii="宋体" w:hAnsi="宋体" w:cs="宋体"/>
          <w:color w:val="000000"/>
          <w:spacing w:val="-2"/>
          <w:sz w:val="24"/>
          <w:szCs w:val="24"/>
          <w:lang w:eastAsia="zh-CN"/>
        </w:rPr>
        <w:t>2022年8月10日</w:t>
      </w:r>
      <w:r>
        <w:rPr>
          <w:rFonts w:hint="eastAsia" w:ascii="宋体" w:hAnsi="宋体" w:eastAsia="宋体" w:cs="宋体"/>
          <w:color w:val="000000"/>
          <w:spacing w:val="-2"/>
          <w:sz w:val="24"/>
          <w:szCs w:val="24"/>
        </w:rPr>
        <w:t>对估价对象进行了实地查勘。注册房地产估价师对估价对象的查勘，仅限于估价对象的外观和使用状况。若估价对象存在需进行专业检测的内部缺陷，对估价委托人提供的相关资料进行验证后，本报告评估值应作相应的调整</w:t>
      </w:r>
      <w:r>
        <w:rPr>
          <w:rFonts w:hint="eastAsia" w:ascii="宋体" w:hAnsi="宋体" w:eastAsia="宋体" w:cs="宋体"/>
          <w:spacing w:val="-2"/>
          <w:sz w:val="24"/>
          <w:szCs w:val="24"/>
        </w:rPr>
        <w:t>。</w:t>
      </w:r>
    </w:p>
    <w:p>
      <w:pPr>
        <w:numPr>
          <w:ilvl w:val="0"/>
          <w:numId w:val="1"/>
        </w:numPr>
        <w:spacing w:line="520" w:lineRule="exact"/>
        <w:ind w:left="23" w:firstLine="403"/>
        <w:rPr>
          <w:rFonts w:hint="eastAsia" w:ascii="宋体" w:hAnsi="宋体" w:eastAsia="宋体" w:cs="宋体"/>
          <w:color w:val="000000"/>
          <w:spacing w:val="-2"/>
          <w:sz w:val="24"/>
          <w:szCs w:val="24"/>
        </w:rPr>
      </w:pPr>
      <w:r>
        <w:rPr>
          <w:rFonts w:hint="eastAsia" w:ascii="宋体" w:hAnsi="宋体" w:eastAsia="宋体" w:cs="宋体"/>
          <w:color w:val="000000"/>
          <w:spacing w:val="-2"/>
          <w:sz w:val="24"/>
          <w:szCs w:val="24"/>
        </w:rPr>
        <w:t>本次评估注册房地产估价师关注了涉执房地产处置相关的评估费、拍卖费、诉讼费、律师费等财产处置费用，</w:t>
      </w:r>
      <w:r>
        <w:rPr>
          <w:rFonts w:hint="eastAsia" w:ascii="宋体" w:hAnsi="宋体" w:cs="宋体"/>
          <w:color w:val="000000"/>
          <w:spacing w:val="-2"/>
          <w:sz w:val="24"/>
          <w:szCs w:val="24"/>
          <w:lang w:eastAsia="zh-CN"/>
        </w:rPr>
        <w:t>犍为县人民法院</w:t>
      </w:r>
      <w:r>
        <w:rPr>
          <w:rFonts w:hint="eastAsia" w:ascii="宋体" w:hAnsi="宋体" w:eastAsia="宋体" w:cs="宋体"/>
          <w:color w:val="000000"/>
          <w:spacing w:val="-2"/>
          <w:sz w:val="24"/>
          <w:szCs w:val="24"/>
        </w:rPr>
        <w:t>委托书中没有明确前述财产处置费用</w:t>
      </w:r>
      <w:r>
        <w:rPr>
          <w:rFonts w:hint="eastAsia" w:ascii="宋体" w:hAnsi="宋体" w:eastAsia="宋体" w:cs="宋体"/>
          <w:color w:val="000000"/>
          <w:spacing w:val="-2"/>
          <w:sz w:val="24"/>
          <w:szCs w:val="24"/>
          <w:lang w:val="en-US" w:eastAsia="zh-CN"/>
        </w:rPr>
        <w:t>的金额及其是否</w:t>
      </w:r>
      <w:r>
        <w:rPr>
          <w:rFonts w:hint="eastAsia" w:ascii="宋体" w:hAnsi="宋体" w:eastAsia="宋体" w:cs="宋体"/>
          <w:color w:val="000000"/>
          <w:spacing w:val="-2"/>
          <w:sz w:val="24"/>
          <w:szCs w:val="24"/>
        </w:rPr>
        <w:t>从财产处置价款中扣除，本报告评估结果未扣除前述财产处置费用。根据相关收费标准、房地产价值的大小及当事人议价能力，财产处置费用一般约为估价对象拍卖价值的</w:t>
      </w:r>
      <w:r>
        <w:rPr>
          <w:rFonts w:hint="eastAsia" w:ascii="宋体" w:hAnsi="宋体" w:eastAsia="宋体" w:cs="宋体"/>
          <w:color w:val="000000"/>
          <w:spacing w:val="-2"/>
          <w:sz w:val="24"/>
          <w:szCs w:val="24"/>
          <w:lang w:eastAsia="zh-CN"/>
        </w:rPr>
        <w:t>8</w:t>
      </w:r>
      <w:r>
        <w:rPr>
          <w:rFonts w:hint="eastAsia" w:ascii="宋体" w:hAnsi="宋体" w:eastAsia="宋体" w:cs="宋体"/>
          <w:color w:val="000000"/>
          <w:spacing w:val="-2"/>
          <w:sz w:val="24"/>
          <w:szCs w:val="24"/>
        </w:rPr>
        <w:t>％-</w:t>
      </w:r>
      <w:r>
        <w:rPr>
          <w:rFonts w:hint="eastAsia" w:ascii="宋体" w:hAnsi="宋体" w:eastAsia="宋体" w:cs="宋体"/>
          <w:color w:val="000000"/>
          <w:spacing w:val="-2"/>
          <w:sz w:val="24"/>
          <w:szCs w:val="24"/>
          <w:lang w:eastAsia="zh-CN"/>
        </w:rPr>
        <w:t>1</w:t>
      </w:r>
      <w:r>
        <w:rPr>
          <w:rFonts w:hint="eastAsia" w:ascii="宋体" w:hAnsi="宋体" w:eastAsia="宋体" w:cs="宋体"/>
          <w:color w:val="000000"/>
          <w:spacing w:val="-2"/>
          <w:sz w:val="24"/>
          <w:szCs w:val="24"/>
          <w:lang w:val="en-US" w:eastAsia="zh-CN"/>
        </w:rPr>
        <w:t>5</w:t>
      </w:r>
      <w:r>
        <w:rPr>
          <w:rFonts w:hint="eastAsia" w:ascii="宋体" w:hAnsi="宋体" w:eastAsia="宋体" w:cs="宋体"/>
          <w:color w:val="000000"/>
          <w:spacing w:val="-2"/>
          <w:sz w:val="24"/>
          <w:szCs w:val="24"/>
        </w:rPr>
        <w:t>％。</w:t>
      </w:r>
    </w:p>
    <w:p>
      <w:pPr>
        <w:numPr>
          <w:ilvl w:val="0"/>
          <w:numId w:val="1"/>
        </w:numPr>
        <w:spacing w:line="520" w:lineRule="exact"/>
        <w:ind w:left="23" w:firstLine="403"/>
        <w:rPr>
          <w:rFonts w:hint="eastAsia" w:ascii="宋体" w:hAnsi="宋体" w:eastAsia="宋体" w:cs="宋体"/>
          <w:color w:val="000000"/>
          <w:spacing w:val="-2"/>
          <w:sz w:val="24"/>
          <w:szCs w:val="24"/>
        </w:rPr>
      </w:pPr>
      <w:r>
        <w:rPr>
          <w:rFonts w:hint="eastAsia" w:ascii="宋体" w:hAnsi="宋体" w:cs="宋体"/>
          <w:color w:val="000000"/>
          <w:spacing w:val="-2"/>
          <w:sz w:val="24"/>
          <w:szCs w:val="24"/>
        </w:rPr>
        <w:t>估价委托人未明确评估对象交易税费负担方式，根据</w:t>
      </w:r>
      <w:r>
        <w:rPr>
          <w:rFonts w:hint="eastAsia" w:ascii="宋体" w:hAnsi="宋体" w:cs="宋体"/>
          <w:color w:val="000000"/>
          <w:spacing w:val="-2"/>
          <w:sz w:val="24"/>
          <w:szCs w:val="24"/>
          <w:lang w:val="en-US" w:eastAsia="zh-CN"/>
        </w:rPr>
        <w:t>犍为县人民法院</w:t>
      </w:r>
      <w:r>
        <w:rPr>
          <w:rFonts w:hint="eastAsia" w:ascii="宋体" w:hAnsi="宋体" w:cs="宋体"/>
          <w:color w:val="000000"/>
          <w:spacing w:val="-2"/>
          <w:sz w:val="24"/>
          <w:szCs w:val="24"/>
        </w:rPr>
        <w:t>以往同类涉执房地产处置惯例，拍卖交易产生的税费由被执行人、买受人依照相关法律、行政法规的规定各自承担。提请报告使用者注意。</w:t>
      </w:r>
    </w:p>
    <w:p>
      <w:pPr>
        <w:numPr>
          <w:ilvl w:val="0"/>
          <w:numId w:val="1"/>
        </w:numPr>
        <w:spacing w:line="520" w:lineRule="exact"/>
        <w:ind w:left="23" w:firstLine="403"/>
        <w:rPr>
          <w:rFonts w:hint="default" w:ascii="宋体" w:hAnsi="宋体" w:eastAsia="宋体" w:cs="宋体"/>
          <w:color w:val="000000"/>
          <w:spacing w:val="-2"/>
          <w:sz w:val="24"/>
          <w:szCs w:val="24"/>
        </w:rPr>
      </w:pPr>
      <w:r>
        <w:rPr>
          <w:rFonts w:hint="eastAsia" w:ascii="宋体" w:hAnsi="宋体" w:eastAsia="宋体" w:cs="宋体"/>
          <w:sz w:val="24"/>
          <w:szCs w:val="24"/>
          <w:lang w:val="en-US" w:eastAsia="zh-CN"/>
        </w:rPr>
        <w:t>估价委托人未提供估价对象房地产税金及相关费用，包括税收、物业费、水电气费等及其滞纳金缴纳的相关资料。本次估价以无欠缴的税金及相关费用为假设前提。</w:t>
      </w:r>
      <w:r>
        <w:rPr>
          <w:rFonts w:hint="eastAsia" w:ascii="宋体" w:hAnsi="宋体" w:cs="宋体"/>
          <w:sz w:val="24"/>
          <w:szCs w:val="24"/>
          <w:lang w:val="en-US" w:eastAsia="zh-CN"/>
        </w:rPr>
        <w:t>买受意向人在做出购房决定前，应对</w:t>
      </w:r>
      <w:r>
        <w:rPr>
          <w:rFonts w:hint="eastAsia" w:ascii="宋体" w:hAnsi="宋体" w:eastAsia="宋体" w:cs="宋体"/>
          <w:sz w:val="24"/>
          <w:szCs w:val="24"/>
          <w:lang w:val="en-US" w:eastAsia="zh-CN"/>
        </w:rPr>
        <w:t>税收、物业费、水电气费等及其滞纳金缴纳</w:t>
      </w:r>
      <w:r>
        <w:rPr>
          <w:rFonts w:hint="eastAsia" w:ascii="宋体" w:hAnsi="宋体" w:cs="宋体"/>
          <w:sz w:val="24"/>
          <w:szCs w:val="24"/>
          <w:lang w:val="en-US" w:eastAsia="zh-CN"/>
        </w:rPr>
        <w:t>等进行调查核实。</w:t>
      </w:r>
      <w:r>
        <w:rPr>
          <w:rFonts w:hint="eastAsia" w:ascii="宋体" w:hAnsi="宋体" w:cs="宋体"/>
          <w:color w:val="000000"/>
          <w:spacing w:val="-2"/>
          <w:sz w:val="24"/>
          <w:szCs w:val="24"/>
        </w:rPr>
        <w:t>提请报告使用者注意。</w:t>
      </w:r>
    </w:p>
    <w:p>
      <w:pPr>
        <w:numPr>
          <w:ilvl w:val="0"/>
          <w:numId w:val="1"/>
        </w:numPr>
        <w:spacing w:line="520" w:lineRule="exact"/>
        <w:ind w:left="23" w:firstLine="403"/>
        <w:rPr>
          <w:rFonts w:hint="default" w:ascii="宋体" w:hAnsi="宋体" w:eastAsia="宋体" w:cs="宋体"/>
          <w:color w:val="000000"/>
          <w:spacing w:val="-2"/>
          <w:sz w:val="24"/>
          <w:szCs w:val="24"/>
        </w:rPr>
      </w:pPr>
      <w:r>
        <w:rPr>
          <w:rFonts w:hint="eastAsia" w:ascii="宋体" w:hAnsi="宋体" w:eastAsia="宋体" w:cs="宋体"/>
          <w:color w:val="000000"/>
          <w:spacing w:val="-2"/>
          <w:sz w:val="24"/>
          <w:szCs w:val="24"/>
        </w:rPr>
        <w:t>本次评估注册房地产估价师关注了涉执房地产</w:t>
      </w:r>
      <w:r>
        <w:rPr>
          <w:rFonts w:hint="eastAsia" w:ascii="宋体" w:hAnsi="宋体" w:eastAsia="宋体" w:cs="宋体"/>
          <w:color w:val="000000"/>
          <w:spacing w:val="-2"/>
          <w:sz w:val="24"/>
          <w:szCs w:val="24"/>
          <w:lang w:eastAsia="zh-CN"/>
        </w:rPr>
        <w:t>被迫转让及处置后可能出现被执行人不自愿配合交付房屋的情况，但未收集到确凿依据，故未考虑该因素对估价结果的不利影响，敬请报告使用者注意。</w:t>
      </w:r>
    </w:p>
    <w:p>
      <w:pPr>
        <w:numPr>
          <w:ilvl w:val="0"/>
          <w:numId w:val="1"/>
        </w:numPr>
        <w:wordWrap/>
        <w:spacing w:line="520" w:lineRule="exact"/>
        <w:ind w:left="23" w:leftChars="0" w:right="0" w:rightChars="0" w:firstLine="403" w:firstLineChars="0"/>
        <w:rPr>
          <w:rFonts w:hint="eastAsia" w:ascii="宋体" w:hAnsi="宋体" w:eastAsia="宋体" w:cs="宋体"/>
          <w:bCs/>
          <w:color w:val="000000"/>
          <w:sz w:val="24"/>
          <w:szCs w:val="24"/>
          <w:highlight w:val="none"/>
        </w:rPr>
      </w:pPr>
      <w:r>
        <w:rPr>
          <w:rFonts w:hint="eastAsia" w:ascii="宋体" w:hAnsi="宋体" w:eastAsia="宋体" w:cs="宋体"/>
          <w:bCs w:val="0"/>
          <w:color w:val="000000"/>
          <w:spacing w:val="-2"/>
          <w:sz w:val="24"/>
          <w:szCs w:val="24"/>
          <w:highlight w:val="none"/>
          <w:lang w:val="en-US" w:eastAsia="zh-CN"/>
        </w:rPr>
        <w:t>报告使用者</w:t>
      </w:r>
      <w:r>
        <w:rPr>
          <w:rFonts w:hint="eastAsia" w:ascii="宋体" w:hAnsi="宋体" w:eastAsia="宋体" w:cs="宋体"/>
          <w:bCs w:val="0"/>
          <w:color w:val="000000"/>
          <w:spacing w:val="-2"/>
          <w:sz w:val="24"/>
          <w:szCs w:val="24"/>
          <w:highlight w:val="none"/>
        </w:rPr>
        <w:t>应</w:t>
      </w:r>
      <w:r>
        <w:rPr>
          <w:rFonts w:hint="eastAsia" w:ascii="宋体" w:hAnsi="宋体" w:eastAsia="宋体" w:cs="宋体"/>
          <w:bCs/>
          <w:color w:val="000000"/>
          <w:sz w:val="24"/>
          <w:szCs w:val="24"/>
          <w:highlight w:val="none"/>
        </w:rPr>
        <w:t>当按照法律规定和评估报告载明的用途、使用人、使用期限等使用范围使用评估报告。否则，房地产估价机构和注册房地产估价师依法不承担责任</w:t>
      </w:r>
      <w:r>
        <w:rPr>
          <w:rFonts w:hint="eastAsia" w:ascii="宋体" w:hAnsi="宋体" w:eastAsia="宋体" w:cs="宋体"/>
          <w:bCs/>
          <w:color w:val="000000"/>
          <w:sz w:val="24"/>
          <w:szCs w:val="24"/>
          <w:highlight w:val="none"/>
          <w:lang w:eastAsia="zh-CN"/>
        </w:rPr>
        <w:t>。</w:t>
      </w:r>
    </w:p>
    <w:p>
      <w:pPr>
        <w:numPr>
          <w:ilvl w:val="0"/>
          <w:numId w:val="1"/>
        </w:numPr>
        <w:spacing w:line="520" w:lineRule="exact"/>
        <w:ind w:left="23" w:firstLine="403"/>
        <w:rPr>
          <w:rFonts w:hint="eastAsia" w:ascii="宋体" w:hAnsi="宋体" w:eastAsia="宋体" w:cs="宋体"/>
          <w:color w:val="000000"/>
          <w:spacing w:val="-2"/>
          <w:sz w:val="24"/>
          <w:szCs w:val="24"/>
        </w:rPr>
      </w:pPr>
      <w:r>
        <w:rPr>
          <w:rFonts w:hint="eastAsia" w:ascii="宋体" w:hAnsi="宋体" w:eastAsia="宋体" w:cs="宋体"/>
          <w:color w:val="000000"/>
          <w:spacing w:val="-2"/>
          <w:sz w:val="24"/>
          <w:szCs w:val="24"/>
        </w:rPr>
        <w:t>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r>
        <w:rPr>
          <w:rFonts w:hint="eastAsia" w:ascii="宋体" w:hAnsi="宋体" w:eastAsia="宋体" w:cs="宋体"/>
          <w:color w:val="000000"/>
          <w:spacing w:val="-2"/>
          <w:sz w:val="24"/>
          <w:szCs w:val="24"/>
          <w:lang w:eastAsia="zh-CN"/>
        </w:rPr>
        <w:t>。</w:t>
      </w:r>
    </w:p>
    <w:p>
      <w:pPr>
        <w:numPr>
          <w:ilvl w:val="0"/>
          <w:numId w:val="1"/>
        </w:numPr>
        <w:wordWrap/>
        <w:spacing w:line="520" w:lineRule="exact"/>
        <w:ind w:left="23" w:leftChars="0" w:firstLine="403" w:firstLineChars="0"/>
        <w:rPr>
          <w:rFonts w:hint="eastAsia" w:ascii="宋体" w:hAnsi="宋体" w:eastAsia="宋体" w:cs="宋体"/>
          <w:spacing w:val="-2"/>
          <w:sz w:val="24"/>
          <w:szCs w:val="24"/>
        </w:rPr>
      </w:pPr>
      <w:r>
        <w:rPr>
          <w:rFonts w:hint="eastAsia" w:ascii="宋体" w:hAnsi="宋体" w:eastAsia="宋体" w:cs="宋体"/>
          <w:bCs/>
          <w:color w:val="000000"/>
          <w:sz w:val="24"/>
          <w:szCs w:val="24"/>
          <w:highlight w:val="none"/>
        </w:rPr>
        <w:t>当事人、利害关系人收到评估报告后五日内可对评估报告的参照标准、计算方法或者评估结果等向人民法院提出书面异议；当事人、利害关系人对评估机构作出的说明仍有异议的，可以提请人民法院委托评估行业组织进行专业技术评审</w:t>
      </w:r>
      <w:r>
        <w:rPr>
          <w:rFonts w:hint="eastAsia" w:ascii="宋体" w:hAnsi="宋体" w:eastAsia="宋体" w:cs="宋体"/>
          <w:bCs/>
          <w:color w:val="000000"/>
          <w:sz w:val="24"/>
          <w:szCs w:val="24"/>
          <w:highlight w:val="none"/>
          <w:lang w:eastAsia="zh-CN"/>
        </w:rPr>
        <w:t>。</w:t>
      </w:r>
    </w:p>
    <w:p>
      <w:pPr>
        <w:numPr>
          <w:ilvl w:val="0"/>
          <w:numId w:val="1"/>
        </w:numPr>
        <w:wordWrap/>
        <w:spacing w:line="520" w:lineRule="exact"/>
        <w:ind w:left="23" w:leftChars="0" w:firstLine="403" w:firstLineChars="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本报告使用者使用报告过程中如发现本报告内的文字、数字因校印或其它原因出现</w:t>
      </w:r>
      <w:r>
        <w:rPr>
          <w:rFonts w:hint="eastAsia" w:ascii="宋体" w:hAnsi="宋体" w:eastAsia="宋体" w:cs="宋体"/>
          <w:color w:val="000000"/>
          <w:sz w:val="24"/>
          <w:szCs w:val="24"/>
          <w:highlight w:val="none"/>
          <w:lang w:val="en-US" w:eastAsia="zh-CN"/>
        </w:rPr>
        <w:t>差错</w:t>
      </w:r>
      <w:r>
        <w:rPr>
          <w:rFonts w:hint="eastAsia" w:ascii="宋体" w:hAnsi="宋体" w:eastAsia="宋体" w:cs="宋体"/>
          <w:color w:val="000000"/>
          <w:sz w:val="24"/>
          <w:szCs w:val="24"/>
          <w:highlight w:val="none"/>
        </w:rPr>
        <w:t>时，请</w:t>
      </w:r>
      <w:r>
        <w:rPr>
          <w:rFonts w:hint="eastAsia" w:ascii="宋体" w:hAnsi="宋体" w:eastAsia="宋体" w:cs="宋体"/>
          <w:color w:val="000000"/>
          <w:sz w:val="24"/>
          <w:szCs w:val="24"/>
          <w:highlight w:val="none"/>
          <w:lang w:val="en-US" w:eastAsia="zh-CN"/>
        </w:rPr>
        <w:t>及时</w:t>
      </w:r>
      <w:r>
        <w:rPr>
          <w:rFonts w:hint="eastAsia" w:ascii="宋体" w:hAnsi="宋体" w:eastAsia="宋体" w:cs="宋体"/>
          <w:color w:val="000000"/>
          <w:sz w:val="24"/>
          <w:szCs w:val="24"/>
          <w:highlight w:val="none"/>
        </w:rPr>
        <w:t>通知本估价机构进行更正。对存在差错的文字、数字进行错误理解而造成损失的，责任由报告使用者自行承担</w:t>
      </w:r>
      <w:r>
        <w:rPr>
          <w:rFonts w:hint="eastAsia" w:ascii="宋体" w:hAnsi="宋体" w:eastAsia="宋体" w:cs="宋体"/>
          <w:color w:val="000000"/>
          <w:sz w:val="24"/>
          <w:szCs w:val="24"/>
          <w:highlight w:val="none"/>
          <w:lang w:eastAsia="zh-CN"/>
        </w:rPr>
        <w:t>。</w:t>
      </w:r>
    </w:p>
    <w:p>
      <w:pPr>
        <w:numPr>
          <w:ilvl w:val="0"/>
          <w:numId w:val="1"/>
        </w:numPr>
        <w:wordWrap/>
        <w:spacing w:line="520" w:lineRule="exact"/>
        <w:ind w:left="23" w:leftChars="0" w:firstLine="403" w:firstLineChars="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本报告解释权归四川省久源房地产土地估价有限公司。</w:t>
      </w:r>
    </w:p>
    <w:p>
      <w:pPr>
        <w:wordWrap/>
        <w:spacing w:line="560" w:lineRule="exact"/>
        <w:ind w:firstLine="480" w:firstLineChars="200"/>
        <w:rPr>
          <w:rFonts w:hint="eastAsia" w:ascii="宋体" w:hAnsi="宋体" w:eastAsia="宋体" w:cs="宋体"/>
          <w:color w:val="000000"/>
          <w:sz w:val="24"/>
          <w:szCs w:val="24"/>
          <w:highlight w:val="none"/>
          <w:lang w:val="en-US" w:eastAsia="zh-CN"/>
        </w:rPr>
      </w:pPr>
    </w:p>
    <w:p>
      <w:pPr>
        <w:pStyle w:val="3"/>
        <w:wordWrap/>
        <w:spacing w:before="292"/>
        <w:rPr>
          <w:color w:val="000000"/>
        </w:rPr>
      </w:pPr>
      <w:bookmarkStart w:id="86" w:name="_Toc14329"/>
      <w:bookmarkStart w:id="87" w:name="_Toc19670"/>
      <w:bookmarkStart w:id="88" w:name="_Toc366"/>
      <w:bookmarkStart w:id="89" w:name="_Toc2068"/>
      <w:bookmarkStart w:id="90" w:name="_Toc7456"/>
      <w:bookmarkStart w:id="91" w:name="_Toc20458"/>
      <w:bookmarkStart w:id="92" w:name="_Toc15045"/>
      <w:bookmarkStart w:id="93" w:name="_Toc12631"/>
      <w:bookmarkStart w:id="94" w:name="_Toc32501"/>
      <w:bookmarkStart w:id="95" w:name="_Toc24825"/>
      <w:bookmarkStart w:id="96" w:name="_Toc30623"/>
      <w:bookmarkStart w:id="97" w:name="_Toc26430"/>
      <w:bookmarkStart w:id="98" w:name="_Toc18050"/>
      <w:bookmarkStart w:id="99" w:name="_Toc10316"/>
      <w:bookmarkStart w:id="100" w:name="_Toc15112"/>
      <w:bookmarkStart w:id="101" w:name="_Toc485393185"/>
      <w:bookmarkStart w:id="102" w:name="_Toc22960"/>
      <w:bookmarkStart w:id="103" w:name="_Toc2409"/>
      <w:bookmarkStart w:id="104" w:name="_Toc3640"/>
      <w:bookmarkStart w:id="105" w:name="_Toc1732"/>
      <w:bookmarkStart w:id="106" w:name="_Toc22280"/>
      <w:r>
        <w:rPr>
          <w:color w:val="000000"/>
        </w:rPr>
        <w:t>估价结果报告</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pStyle w:val="4"/>
        <w:pageBreakBefore w:val="0"/>
        <w:widowControl w:val="0"/>
        <w:kinsoku/>
        <w:wordWrap/>
        <w:overflowPunct/>
        <w:topLinePunct w:val="0"/>
        <w:autoSpaceDE/>
        <w:autoSpaceDN/>
        <w:bidi w:val="0"/>
        <w:adjustRightInd w:val="0"/>
        <w:snapToGrid/>
        <w:spacing w:before="0" w:after="0" w:line="500" w:lineRule="exact"/>
        <w:rPr>
          <w:rFonts w:hint="eastAsia" w:ascii="宋体" w:hAnsi="宋体" w:eastAsia="宋体" w:cs="宋体"/>
          <w:color w:val="000000"/>
          <w:sz w:val="24"/>
          <w:szCs w:val="24"/>
        </w:rPr>
      </w:pPr>
      <w:bookmarkStart w:id="107" w:name="_Toc13623"/>
      <w:bookmarkStart w:id="108" w:name="_Toc27825"/>
      <w:bookmarkStart w:id="109" w:name="_Toc17225"/>
      <w:bookmarkStart w:id="110" w:name="_Toc26555"/>
      <w:bookmarkStart w:id="111" w:name="_Toc15333"/>
      <w:bookmarkStart w:id="112" w:name="_Toc23027"/>
      <w:bookmarkStart w:id="113" w:name="_Toc24220"/>
      <w:bookmarkStart w:id="114" w:name="_Toc26983"/>
      <w:bookmarkStart w:id="115" w:name="_Toc17911"/>
      <w:bookmarkStart w:id="116" w:name="_Toc5593"/>
      <w:bookmarkStart w:id="117" w:name="_Toc15796"/>
      <w:bookmarkStart w:id="118" w:name="_Toc13502"/>
      <w:bookmarkStart w:id="119" w:name="_Toc480967872"/>
      <w:bookmarkStart w:id="120" w:name="_Toc1297"/>
      <w:bookmarkStart w:id="121" w:name="_Toc31753"/>
      <w:bookmarkStart w:id="122" w:name="_Toc23260"/>
      <w:bookmarkStart w:id="123" w:name="_Toc5379"/>
      <w:bookmarkStart w:id="124" w:name="_Toc18227"/>
      <w:bookmarkStart w:id="125" w:name="_Toc8310"/>
      <w:bookmarkStart w:id="126" w:name="_Toc485393186"/>
      <w:bookmarkStart w:id="127" w:name="_Toc16264"/>
      <w:bookmarkStart w:id="128" w:name="_Toc1629"/>
      <w:r>
        <w:rPr>
          <w:rFonts w:hint="eastAsia" w:ascii="宋体" w:hAnsi="宋体" w:eastAsia="宋体" w:cs="宋体"/>
          <w:color w:val="000000"/>
          <w:sz w:val="24"/>
          <w:szCs w:val="24"/>
          <w:lang w:val="en-US" w:eastAsia="zh-CN"/>
        </w:rPr>
        <w:t>一、</w:t>
      </w:r>
      <w:r>
        <w:rPr>
          <w:rFonts w:hint="eastAsia" w:ascii="宋体" w:hAnsi="宋体" w:eastAsia="宋体" w:cs="宋体"/>
          <w:color w:val="000000"/>
          <w:sz w:val="24"/>
          <w:szCs w:val="24"/>
        </w:rPr>
        <w:t>估价委托人</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pPr>
        <w:pageBreakBefore w:val="0"/>
        <w:widowControl w:val="0"/>
        <w:tabs>
          <w:tab w:val="left" w:pos="1843"/>
        </w:tabs>
        <w:kinsoku/>
        <w:wordWrap/>
        <w:overflowPunct/>
        <w:topLinePunct w:val="0"/>
        <w:autoSpaceDE/>
        <w:autoSpaceDN/>
        <w:bidi w:val="0"/>
        <w:adjustRightInd w:val="0"/>
        <w:snapToGrid/>
        <w:spacing w:line="500" w:lineRule="exact"/>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rPr>
        <w:t>单位名称：</w:t>
      </w:r>
      <w:r>
        <w:rPr>
          <w:rFonts w:hint="eastAsia" w:ascii="宋体" w:hAnsi="宋体" w:cs="宋体"/>
          <w:color w:val="000000"/>
          <w:kern w:val="0"/>
          <w:sz w:val="24"/>
          <w:szCs w:val="24"/>
          <w:lang w:eastAsia="zh-CN"/>
        </w:rPr>
        <w:t>犍为县人民法院</w:t>
      </w:r>
    </w:p>
    <w:p>
      <w:pPr>
        <w:pageBreakBefore w:val="0"/>
        <w:widowControl w:val="0"/>
        <w:tabs>
          <w:tab w:val="left" w:pos="1843"/>
        </w:tabs>
        <w:kinsoku/>
        <w:wordWrap/>
        <w:overflowPunct/>
        <w:topLinePunct w:val="0"/>
        <w:autoSpaceDE/>
        <w:autoSpaceDN/>
        <w:bidi w:val="0"/>
        <w:adjustRightInd w:val="0"/>
        <w:snapToGrid/>
        <w:spacing w:line="500" w:lineRule="exact"/>
        <w:ind w:firstLine="480" w:firstLineChars="200"/>
        <w:rPr>
          <w:rFonts w:hint="default" w:ascii="宋体" w:hAnsi="宋体" w:eastAsia="宋体" w:cs="宋体"/>
          <w:color w:val="000000"/>
          <w:sz w:val="24"/>
          <w:szCs w:val="24"/>
          <w:highlight w:val="none"/>
          <w:lang w:val="en-US" w:eastAsia="zh-CN"/>
        </w:rPr>
      </w:pPr>
      <w:r>
        <w:rPr>
          <w:rFonts w:hint="eastAsia" w:ascii="宋体" w:hAnsi="宋体" w:cs="宋体"/>
          <w:color w:val="000000"/>
          <w:kern w:val="0"/>
          <w:sz w:val="24"/>
          <w:szCs w:val="24"/>
          <w:highlight w:val="none"/>
          <w:lang w:val="en-US" w:eastAsia="zh-CN"/>
        </w:rPr>
        <w:t>联系人</w:t>
      </w:r>
      <w:r>
        <w:rPr>
          <w:rFonts w:hint="eastAsia" w:ascii="宋体" w:hAnsi="宋体" w:eastAsia="宋体" w:cs="宋体"/>
          <w:color w:val="000000"/>
          <w:kern w:val="0"/>
          <w:sz w:val="24"/>
          <w:szCs w:val="24"/>
          <w:highlight w:val="none"/>
        </w:rPr>
        <w:t>：</w:t>
      </w:r>
      <w:r>
        <w:rPr>
          <w:rFonts w:hint="eastAsia" w:ascii="宋体" w:hAnsi="宋体" w:cs="宋体"/>
          <w:color w:val="000000"/>
          <w:kern w:val="0"/>
          <w:sz w:val="24"/>
          <w:szCs w:val="24"/>
          <w:highlight w:val="none"/>
          <w:lang w:val="en-US" w:eastAsia="zh-CN"/>
        </w:rPr>
        <w:t>代周奇</w:t>
      </w:r>
    </w:p>
    <w:p>
      <w:pPr>
        <w:pageBreakBefore w:val="0"/>
        <w:widowControl w:val="0"/>
        <w:tabs>
          <w:tab w:val="left" w:pos="1843"/>
        </w:tabs>
        <w:kinsoku/>
        <w:wordWrap/>
        <w:overflowPunct/>
        <w:topLinePunct w:val="0"/>
        <w:autoSpaceDE/>
        <w:autoSpaceDN/>
        <w:bidi w:val="0"/>
        <w:adjustRightInd w:val="0"/>
        <w:snapToGrid/>
        <w:spacing w:line="500" w:lineRule="exact"/>
        <w:ind w:firstLine="480" w:firstLineChars="200"/>
        <w:rPr>
          <w:rFonts w:hint="eastAsia" w:ascii="宋体" w:hAnsi="宋体" w:cs="宋体"/>
          <w:color w:val="000000"/>
          <w:kern w:val="0"/>
          <w:sz w:val="24"/>
          <w:szCs w:val="24"/>
          <w:highlight w:val="none"/>
          <w:lang w:val="en-US" w:eastAsia="zh-CN"/>
        </w:rPr>
      </w:pPr>
      <w:bookmarkStart w:id="129" w:name="_Toc485393187"/>
      <w:bookmarkStart w:id="130" w:name="_Toc480967873"/>
      <w:bookmarkStart w:id="131" w:name="_Toc19082"/>
      <w:bookmarkStart w:id="132" w:name="_Toc11788"/>
      <w:bookmarkStart w:id="133" w:name="_Toc29500"/>
      <w:bookmarkStart w:id="134" w:name="_Toc19349"/>
      <w:bookmarkStart w:id="135" w:name="_Toc311"/>
      <w:bookmarkStart w:id="136" w:name="_Toc30925"/>
      <w:bookmarkStart w:id="137" w:name="_Toc9134"/>
      <w:bookmarkStart w:id="138" w:name="_Toc32060"/>
      <w:bookmarkStart w:id="139" w:name="_Toc6591"/>
      <w:bookmarkStart w:id="140" w:name="_Toc16161"/>
      <w:bookmarkStart w:id="141" w:name="_Toc13316"/>
      <w:bookmarkStart w:id="142" w:name="_Toc21133"/>
      <w:bookmarkStart w:id="143" w:name="_Toc2307"/>
      <w:bookmarkStart w:id="144" w:name="_Toc26586"/>
      <w:bookmarkStart w:id="145" w:name="_Toc25241"/>
      <w:bookmarkStart w:id="146" w:name="_Toc13510"/>
      <w:r>
        <w:rPr>
          <w:rFonts w:hint="eastAsia" w:ascii="宋体" w:hAnsi="宋体" w:eastAsia="宋体" w:cs="宋体"/>
          <w:color w:val="000000"/>
          <w:kern w:val="0"/>
          <w:sz w:val="24"/>
          <w:szCs w:val="24"/>
          <w:highlight w:val="none"/>
          <w:lang w:val="en-US" w:eastAsia="zh-CN"/>
        </w:rPr>
        <w:t>联系电话：</w:t>
      </w:r>
      <w:r>
        <w:rPr>
          <w:rFonts w:hint="eastAsia" w:ascii="宋体" w:hAnsi="宋体" w:cs="宋体"/>
          <w:color w:val="000000"/>
          <w:kern w:val="0"/>
          <w:sz w:val="24"/>
          <w:szCs w:val="24"/>
          <w:highlight w:val="none"/>
          <w:lang w:val="en-US" w:eastAsia="zh-CN"/>
        </w:rPr>
        <w:t>0833-4256070</w:t>
      </w:r>
    </w:p>
    <w:p>
      <w:pPr>
        <w:tabs>
          <w:tab w:val="left" w:pos="1843"/>
        </w:tabs>
        <w:spacing w:line="500" w:lineRule="exact"/>
        <w:ind w:firstLine="240" w:firstLineChars="100"/>
        <w:rPr>
          <w:rFonts w:hint="default" w:ascii="宋体" w:hAnsi="宋体" w:eastAsia="宋体" w:cs="宋体"/>
          <w:color w:val="000000"/>
          <w:sz w:val="24"/>
          <w:szCs w:val="24"/>
          <w:lang w:val="en-US" w:eastAsia="zh-CN"/>
        </w:rPr>
      </w:pPr>
      <w:r>
        <w:rPr>
          <w:rFonts w:hint="eastAsia" w:ascii="宋体" w:hAnsi="宋体" w:cs="宋体"/>
          <w:color w:val="000000"/>
          <w:kern w:val="0"/>
          <w:sz w:val="24"/>
          <w:szCs w:val="24"/>
          <w:highlight w:val="none"/>
          <w:lang w:val="en-US" w:eastAsia="zh-CN"/>
        </w:rPr>
        <w:t xml:space="preserve"> </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highlight w:val="none"/>
          <w:lang w:val="en-US" w:eastAsia="zh-CN"/>
        </w:rPr>
        <w:t>地址：</w:t>
      </w:r>
      <w:r>
        <w:rPr>
          <w:rFonts w:hint="eastAsia" w:ascii="宋体" w:hAnsi="宋体" w:cs="宋体"/>
          <w:color w:val="000000"/>
          <w:kern w:val="0"/>
          <w:sz w:val="24"/>
          <w:szCs w:val="24"/>
          <w:lang w:val="en-US" w:eastAsia="zh-CN"/>
        </w:rPr>
        <w:t>犍为县玉津镇天生园街18号</w:t>
      </w:r>
    </w:p>
    <w:p>
      <w:pPr>
        <w:pStyle w:val="4"/>
        <w:pageBreakBefore w:val="0"/>
        <w:widowControl w:val="0"/>
        <w:kinsoku/>
        <w:wordWrap/>
        <w:overflowPunct/>
        <w:topLinePunct w:val="0"/>
        <w:autoSpaceDE/>
        <w:autoSpaceDN/>
        <w:bidi w:val="0"/>
        <w:adjustRightInd w:val="0"/>
        <w:snapToGrid/>
        <w:spacing w:before="0" w:after="0" w:line="500" w:lineRule="exact"/>
        <w:rPr>
          <w:rFonts w:hint="eastAsia" w:ascii="宋体" w:hAnsi="宋体" w:eastAsia="宋体" w:cs="宋体"/>
          <w:color w:val="000000"/>
          <w:sz w:val="24"/>
          <w:szCs w:val="24"/>
        </w:rPr>
      </w:pPr>
      <w:bookmarkStart w:id="147" w:name="_Toc3426"/>
      <w:bookmarkStart w:id="148" w:name="_Toc28739"/>
      <w:bookmarkStart w:id="149" w:name="_Toc16623"/>
      <w:bookmarkStart w:id="150" w:name="_Toc9999"/>
      <w:r>
        <w:rPr>
          <w:rFonts w:hint="eastAsia" w:ascii="宋体" w:hAnsi="宋体" w:eastAsia="宋体" w:cs="宋体"/>
          <w:color w:val="000000"/>
          <w:sz w:val="24"/>
          <w:szCs w:val="24"/>
          <w:lang w:val="en-US" w:eastAsia="zh-CN"/>
        </w:rPr>
        <w:t>二、</w:t>
      </w:r>
      <w:r>
        <w:rPr>
          <w:rFonts w:hint="eastAsia" w:ascii="宋体" w:hAnsi="宋体" w:eastAsia="宋体" w:cs="宋体"/>
          <w:color w:val="000000"/>
          <w:sz w:val="24"/>
          <w:szCs w:val="24"/>
        </w:rPr>
        <w:t>房地产估价机构</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pPr>
        <w:pageBreakBefore w:val="0"/>
        <w:widowControl w:val="0"/>
        <w:kinsoku/>
        <w:wordWrap/>
        <w:overflowPunct/>
        <w:topLinePunct w:val="0"/>
        <w:autoSpaceDE/>
        <w:autoSpaceDN/>
        <w:bidi w:val="0"/>
        <w:adjustRightInd w:val="0"/>
        <w:snapToGrid/>
        <w:spacing w:line="500" w:lineRule="exact"/>
        <w:ind w:firstLine="556"/>
        <w:rPr>
          <w:rFonts w:hint="eastAsia" w:ascii="宋体" w:hAnsi="宋体" w:eastAsia="宋体" w:cs="宋体"/>
          <w:color w:val="000000"/>
          <w:sz w:val="24"/>
          <w:szCs w:val="24"/>
        </w:rPr>
      </w:pPr>
      <w:r>
        <w:rPr>
          <w:rFonts w:hint="eastAsia" w:ascii="宋体" w:hAnsi="宋体" w:eastAsia="宋体" w:cs="宋体"/>
          <w:color w:val="000000"/>
          <w:spacing w:val="130"/>
          <w:kern w:val="0"/>
          <w:sz w:val="24"/>
          <w:szCs w:val="24"/>
          <w:fitText w:val="2240" w:id="841104840"/>
        </w:rPr>
        <w:t>机构名称</w:t>
      </w:r>
      <w:r>
        <w:rPr>
          <w:rFonts w:hint="eastAsia" w:ascii="宋体" w:hAnsi="宋体" w:eastAsia="宋体" w:cs="宋体"/>
          <w:color w:val="000000"/>
          <w:spacing w:val="0"/>
          <w:kern w:val="0"/>
          <w:sz w:val="24"/>
          <w:szCs w:val="24"/>
          <w:fitText w:val="2240" w:id="841104840"/>
        </w:rPr>
        <w:t>：</w:t>
      </w:r>
      <w:r>
        <w:rPr>
          <w:rFonts w:hint="eastAsia" w:ascii="宋体" w:hAnsi="宋体" w:eastAsia="宋体" w:cs="宋体"/>
          <w:kern w:val="0"/>
          <w:sz w:val="24"/>
          <w:szCs w:val="24"/>
        </w:rPr>
        <w:t>四川省久源房地产土地估价有限公司</w:t>
      </w:r>
    </w:p>
    <w:p>
      <w:pPr>
        <w:pageBreakBefore w:val="0"/>
        <w:widowControl w:val="0"/>
        <w:kinsoku/>
        <w:wordWrap/>
        <w:overflowPunct/>
        <w:topLinePunct w:val="0"/>
        <w:autoSpaceDE/>
        <w:autoSpaceDN/>
        <w:bidi w:val="0"/>
        <w:adjustRightInd w:val="0"/>
        <w:snapToGrid/>
        <w:spacing w:line="500" w:lineRule="exact"/>
        <w:ind w:firstLine="556"/>
        <w:rPr>
          <w:rFonts w:hint="eastAsia" w:ascii="宋体" w:hAnsi="宋体" w:eastAsia="宋体" w:cs="宋体"/>
          <w:color w:val="000000"/>
          <w:sz w:val="24"/>
          <w:szCs w:val="24"/>
        </w:rPr>
      </w:pPr>
      <w:r>
        <w:rPr>
          <w:rFonts w:hint="eastAsia" w:ascii="宋体" w:hAnsi="宋体" w:eastAsia="宋体" w:cs="宋体"/>
          <w:color w:val="000000"/>
          <w:spacing w:val="380"/>
          <w:kern w:val="0"/>
          <w:sz w:val="24"/>
          <w:szCs w:val="24"/>
          <w:fitText w:val="2240" w:id="2006259968"/>
        </w:rPr>
        <w:t>住所</w:t>
      </w:r>
      <w:r>
        <w:rPr>
          <w:rFonts w:hint="eastAsia" w:ascii="宋体" w:hAnsi="宋体" w:eastAsia="宋体" w:cs="宋体"/>
          <w:color w:val="000000"/>
          <w:spacing w:val="0"/>
          <w:kern w:val="0"/>
          <w:sz w:val="24"/>
          <w:szCs w:val="24"/>
          <w:fitText w:val="2240" w:id="2006259968"/>
        </w:rPr>
        <w:t>：</w:t>
      </w:r>
      <w:r>
        <w:rPr>
          <w:rFonts w:hint="eastAsia" w:ascii="宋体" w:hAnsi="宋体" w:eastAsia="宋体" w:cs="宋体"/>
          <w:sz w:val="24"/>
          <w:szCs w:val="24"/>
        </w:rPr>
        <w:t>乐山市市中区嘉兴路356号3楼</w:t>
      </w:r>
    </w:p>
    <w:p>
      <w:pPr>
        <w:pageBreakBefore w:val="0"/>
        <w:widowControl w:val="0"/>
        <w:kinsoku/>
        <w:wordWrap/>
        <w:overflowPunct/>
        <w:topLinePunct w:val="0"/>
        <w:autoSpaceDE/>
        <w:autoSpaceDN/>
        <w:bidi w:val="0"/>
        <w:adjustRightInd w:val="0"/>
        <w:snapToGrid/>
        <w:spacing w:line="500" w:lineRule="exact"/>
        <w:ind w:firstLine="556"/>
        <w:rPr>
          <w:rFonts w:hint="eastAsia" w:ascii="宋体" w:hAnsi="宋体" w:eastAsia="宋体" w:cs="宋体"/>
          <w:color w:val="000000"/>
          <w:sz w:val="24"/>
          <w:szCs w:val="24"/>
        </w:rPr>
      </w:pPr>
      <w:r>
        <w:rPr>
          <w:rFonts w:hint="eastAsia" w:ascii="宋体" w:hAnsi="宋体" w:eastAsia="宋体" w:cs="宋体"/>
          <w:color w:val="000000"/>
          <w:spacing w:val="80"/>
          <w:kern w:val="0"/>
          <w:sz w:val="24"/>
          <w:szCs w:val="24"/>
          <w:fitText w:val="2240" w:id="1968457081"/>
        </w:rPr>
        <w:t>法定代表人</w:t>
      </w:r>
      <w:r>
        <w:rPr>
          <w:rFonts w:hint="eastAsia" w:ascii="宋体" w:hAnsi="宋体" w:eastAsia="宋体" w:cs="宋体"/>
          <w:color w:val="000000"/>
          <w:spacing w:val="0"/>
          <w:kern w:val="0"/>
          <w:sz w:val="24"/>
          <w:szCs w:val="24"/>
          <w:fitText w:val="2240" w:id="1968457081"/>
        </w:rPr>
        <w:t>：</w:t>
      </w:r>
      <w:r>
        <w:rPr>
          <w:rFonts w:hint="eastAsia" w:ascii="宋体" w:hAnsi="宋体" w:eastAsia="宋体" w:cs="宋体"/>
          <w:sz w:val="24"/>
          <w:szCs w:val="24"/>
        </w:rPr>
        <w:t>马泽军</w:t>
      </w:r>
    </w:p>
    <w:p>
      <w:pPr>
        <w:pageBreakBefore w:val="0"/>
        <w:widowControl w:val="0"/>
        <w:kinsoku/>
        <w:wordWrap/>
        <w:overflowPunct/>
        <w:topLinePunct w:val="0"/>
        <w:autoSpaceDE/>
        <w:autoSpaceDN/>
        <w:bidi w:val="0"/>
        <w:adjustRightInd w:val="0"/>
        <w:snapToGrid/>
        <w:spacing w:line="500" w:lineRule="exact"/>
        <w:ind w:firstLine="556"/>
        <w:rPr>
          <w:rFonts w:hint="eastAsia" w:ascii="宋体" w:hAnsi="宋体" w:eastAsia="宋体" w:cs="宋体"/>
          <w:color w:val="000000"/>
          <w:sz w:val="24"/>
          <w:szCs w:val="24"/>
        </w:rPr>
      </w:pPr>
      <w:r>
        <w:rPr>
          <w:rFonts w:hint="eastAsia" w:ascii="宋体" w:hAnsi="宋体" w:eastAsia="宋体" w:cs="宋体"/>
          <w:color w:val="000000"/>
          <w:spacing w:val="5"/>
          <w:w w:val="100"/>
          <w:kern w:val="0"/>
          <w:sz w:val="24"/>
          <w:szCs w:val="24"/>
          <w:fitText w:val="2240" w:id="1843942876"/>
        </w:rPr>
        <w:t>估价机构</w:t>
      </w:r>
      <w:r>
        <w:rPr>
          <w:rFonts w:hint="eastAsia" w:ascii="宋体" w:hAnsi="宋体" w:eastAsia="宋体" w:cs="宋体"/>
          <w:color w:val="000000"/>
          <w:spacing w:val="5"/>
          <w:w w:val="100"/>
          <w:kern w:val="0"/>
          <w:sz w:val="24"/>
          <w:szCs w:val="24"/>
          <w:fitText w:val="2240" w:id="1843942876"/>
          <w:lang w:val="en-US" w:eastAsia="zh-CN"/>
        </w:rPr>
        <w:t>备案</w:t>
      </w:r>
      <w:r>
        <w:rPr>
          <w:rFonts w:hint="eastAsia" w:ascii="宋体" w:hAnsi="宋体" w:eastAsia="宋体" w:cs="宋体"/>
          <w:color w:val="000000"/>
          <w:spacing w:val="5"/>
          <w:w w:val="100"/>
          <w:kern w:val="0"/>
          <w:sz w:val="24"/>
          <w:szCs w:val="24"/>
          <w:fitText w:val="2240" w:id="1843942876"/>
        </w:rPr>
        <w:t>等级</w:t>
      </w:r>
      <w:r>
        <w:rPr>
          <w:rFonts w:hint="eastAsia" w:ascii="宋体" w:hAnsi="宋体" w:eastAsia="宋体" w:cs="宋体"/>
          <w:color w:val="000000"/>
          <w:spacing w:val="0"/>
          <w:w w:val="100"/>
          <w:kern w:val="0"/>
          <w:sz w:val="24"/>
          <w:szCs w:val="24"/>
          <w:fitText w:val="2240" w:id="1843942876"/>
        </w:rPr>
        <w:t>：</w:t>
      </w:r>
      <w:r>
        <w:rPr>
          <w:rFonts w:hint="eastAsia" w:ascii="宋体" w:hAnsi="宋体" w:eastAsia="宋体" w:cs="宋体"/>
          <w:sz w:val="24"/>
          <w:szCs w:val="24"/>
        </w:rPr>
        <w:t>贰级</w:t>
      </w:r>
    </w:p>
    <w:p>
      <w:pPr>
        <w:pageBreakBefore w:val="0"/>
        <w:widowControl w:val="0"/>
        <w:kinsoku/>
        <w:wordWrap/>
        <w:overflowPunct/>
        <w:topLinePunct w:val="0"/>
        <w:autoSpaceDE/>
        <w:autoSpaceDN/>
        <w:bidi w:val="0"/>
        <w:adjustRightInd w:val="0"/>
        <w:snapToGrid/>
        <w:spacing w:line="500" w:lineRule="exact"/>
        <w:ind w:firstLine="556"/>
        <w:rPr>
          <w:rFonts w:hint="eastAsia" w:ascii="宋体" w:hAnsi="宋体" w:eastAsia="宋体" w:cs="宋体"/>
          <w:sz w:val="24"/>
          <w:szCs w:val="24"/>
        </w:rPr>
      </w:pPr>
      <w:r>
        <w:rPr>
          <w:rFonts w:hint="eastAsia" w:ascii="宋体" w:hAnsi="宋体" w:eastAsia="宋体" w:cs="宋体"/>
          <w:color w:val="000000"/>
          <w:spacing w:val="46"/>
          <w:kern w:val="0"/>
          <w:sz w:val="24"/>
          <w:szCs w:val="24"/>
          <w:fitText w:val="2240" w:id="221911819"/>
        </w:rPr>
        <w:t>备案证书编号</w:t>
      </w:r>
      <w:r>
        <w:rPr>
          <w:rFonts w:hint="eastAsia" w:ascii="宋体" w:hAnsi="宋体" w:eastAsia="宋体" w:cs="宋体"/>
          <w:color w:val="000000"/>
          <w:spacing w:val="4"/>
          <w:kern w:val="0"/>
          <w:sz w:val="24"/>
          <w:szCs w:val="24"/>
          <w:fitText w:val="2240" w:id="221911819"/>
        </w:rPr>
        <w:t>：</w:t>
      </w:r>
      <w:r>
        <w:rPr>
          <w:rFonts w:hint="eastAsia" w:ascii="宋体" w:hAnsi="宋体" w:eastAsia="宋体" w:cs="宋体"/>
          <w:sz w:val="24"/>
          <w:szCs w:val="24"/>
        </w:rPr>
        <w:t>川建房估备字[2019]0222号</w:t>
      </w:r>
      <w:bookmarkStart w:id="151" w:name="_Toc25668"/>
      <w:bookmarkStart w:id="152" w:name="_Toc30"/>
      <w:bookmarkStart w:id="153" w:name="_Toc31654"/>
    </w:p>
    <w:p>
      <w:pPr>
        <w:pageBreakBefore w:val="0"/>
        <w:widowControl w:val="0"/>
        <w:kinsoku/>
        <w:wordWrap/>
        <w:overflowPunct/>
        <w:topLinePunct w:val="0"/>
        <w:autoSpaceDE/>
        <w:autoSpaceDN/>
        <w:bidi w:val="0"/>
        <w:adjustRightInd w:val="0"/>
        <w:snapToGrid/>
        <w:spacing w:line="500" w:lineRule="exact"/>
        <w:ind w:firstLine="556"/>
        <w:rPr>
          <w:rFonts w:hint="eastAsia" w:ascii="宋体" w:hAnsi="宋体"/>
          <w:sz w:val="24"/>
          <w:szCs w:val="24"/>
        </w:rPr>
      </w:pPr>
      <w:r>
        <w:rPr>
          <w:rFonts w:hint="eastAsia" w:ascii="宋体" w:hAnsi="宋体"/>
          <w:sz w:val="24"/>
          <w:szCs w:val="24"/>
        </w:rPr>
        <w:t>备案证书有效期：2022年03月17日至2025年03月17日</w:t>
      </w:r>
      <w:bookmarkEnd w:id="151"/>
      <w:bookmarkEnd w:id="152"/>
      <w:bookmarkEnd w:id="153"/>
    </w:p>
    <w:p>
      <w:pPr>
        <w:pageBreakBefore w:val="0"/>
        <w:widowControl w:val="0"/>
        <w:kinsoku/>
        <w:wordWrap/>
        <w:overflowPunct/>
        <w:topLinePunct w:val="0"/>
        <w:autoSpaceDE/>
        <w:autoSpaceDN/>
        <w:bidi w:val="0"/>
        <w:adjustRightInd w:val="0"/>
        <w:snapToGrid/>
        <w:spacing w:line="500" w:lineRule="exact"/>
        <w:ind w:firstLine="556"/>
        <w:rPr>
          <w:rFonts w:hint="eastAsia" w:ascii="宋体" w:hAnsi="宋体" w:eastAsia="宋体" w:cs="宋体"/>
          <w:color w:val="000000"/>
          <w:sz w:val="24"/>
          <w:szCs w:val="24"/>
        </w:rPr>
      </w:pPr>
      <w:r>
        <w:rPr>
          <w:rFonts w:hint="eastAsia" w:ascii="宋体" w:hAnsi="宋体" w:eastAsia="宋体" w:cs="宋体"/>
          <w:color w:val="000000"/>
          <w:spacing w:val="5"/>
          <w:w w:val="100"/>
          <w:kern w:val="0"/>
          <w:sz w:val="24"/>
          <w:szCs w:val="24"/>
          <w:fitText w:val="2240" w:id="2093972882"/>
        </w:rPr>
        <w:t>统一社会信用代码</w:t>
      </w:r>
      <w:r>
        <w:rPr>
          <w:rFonts w:hint="eastAsia" w:ascii="宋体" w:hAnsi="宋体" w:eastAsia="宋体" w:cs="宋体"/>
          <w:color w:val="000000"/>
          <w:spacing w:val="0"/>
          <w:w w:val="100"/>
          <w:kern w:val="0"/>
          <w:sz w:val="24"/>
          <w:szCs w:val="24"/>
          <w:fitText w:val="2240" w:id="2093972882"/>
        </w:rPr>
        <w:t>：</w:t>
      </w:r>
      <w:r>
        <w:rPr>
          <w:rFonts w:hint="eastAsia" w:ascii="宋体" w:hAnsi="宋体" w:eastAsia="宋体" w:cs="宋体"/>
          <w:sz w:val="24"/>
          <w:szCs w:val="24"/>
        </w:rPr>
        <w:t>915111007623305830</w:t>
      </w:r>
    </w:p>
    <w:p>
      <w:pPr>
        <w:pageBreakBefore w:val="0"/>
        <w:widowControl w:val="0"/>
        <w:kinsoku/>
        <w:wordWrap/>
        <w:overflowPunct/>
        <w:topLinePunct w:val="0"/>
        <w:autoSpaceDE/>
        <w:autoSpaceDN/>
        <w:bidi w:val="0"/>
        <w:adjustRightInd w:val="0"/>
        <w:snapToGrid/>
        <w:spacing w:line="500" w:lineRule="exact"/>
        <w:ind w:firstLine="556"/>
        <w:rPr>
          <w:rFonts w:hint="eastAsia" w:ascii="宋体" w:hAnsi="宋体" w:eastAsia="宋体" w:cs="宋体"/>
          <w:color w:val="000000"/>
          <w:sz w:val="24"/>
          <w:szCs w:val="24"/>
        </w:rPr>
      </w:pPr>
      <w:r>
        <w:rPr>
          <w:rFonts w:hint="eastAsia" w:ascii="宋体" w:hAnsi="宋体" w:eastAsia="宋体" w:cs="宋体"/>
          <w:color w:val="000000"/>
          <w:spacing w:val="130"/>
          <w:kern w:val="0"/>
          <w:sz w:val="24"/>
          <w:szCs w:val="24"/>
          <w:fitText w:val="2240" w:id="1654808448"/>
        </w:rPr>
        <w:t>联系电话</w:t>
      </w:r>
      <w:r>
        <w:rPr>
          <w:rFonts w:hint="eastAsia" w:ascii="宋体" w:hAnsi="宋体" w:eastAsia="宋体" w:cs="宋体"/>
          <w:color w:val="000000"/>
          <w:spacing w:val="0"/>
          <w:kern w:val="0"/>
          <w:sz w:val="24"/>
          <w:szCs w:val="24"/>
          <w:fitText w:val="2240" w:id="1654808448"/>
        </w:rPr>
        <w:t>：</w:t>
      </w:r>
      <w:r>
        <w:rPr>
          <w:rFonts w:hint="eastAsia" w:ascii="宋体" w:hAnsi="宋体" w:eastAsia="宋体" w:cs="宋体"/>
          <w:sz w:val="24"/>
          <w:szCs w:val="24"/>
        </w:rPr>
        <w:t>(0833)2427896</w:t>
      </w:r>
    </w:p>
    <w:p>
      <w:pPr>
        <w:pStyle w:val="4"/>
        <w:pageBreakBefore w:val="0"/>
        <w:widowControl w:val="0"/>
        <w:kinsoku/>
        <w:wordWrap/>
        <w:overflowPunct/>
        <w:topLinePunct w:val="0"/>
        <w:autoSpaceDE/>
        <w:autoSpaceDN/>
        <w:bidi w:val="0"/>
        <w:adjustRightInd w:val="0"/>
        <w:snapToGrid/>
        <w:spacing w:before="0" w:after="0" w:line="500" w:lineRule="exact"/>
        <w:rPr>
          <w:rFonts w:hint="eastAsia" w:ascii="宋体" w:hAnsi="宋体" w:eastAsia="宋体" w:cs="宋体"/>
          <w:color w:val="000000"/>
          <w:sz w:val="24"/>
          <w:szCs w:val="24"/>
        </w:rPr>
      </w:pPr>
      <w:bookmarkStart w:id="154" w:name="_Toc27123"/>
      <w:bookmarkStart w:id="155" w:name="_Toc480967874"/>
      <w:bookmarkStart w:id="156" w:name="_Toc6175"/>
      <w:bookmarkStart w:id="157" w:name="_Toc27966"/>
      <w:bookmarkStart w:id="158" w:name="_Toc29414"/>
      <w:bookmarkStart w:id="159" w:name="_Toc11504"/>
      <w:bookmarkStart w:id="160" w:name="_Toc23904"/>
      <w:bookmarkStart w:id="161" w:name="_Toc28294"/>
      <w:bookmarkStart w:id="162" w:name="_Toc485393188"/>
      <w:bookmarkStart w:id="163" w:name="_Toc20522"/>
      <w:bookmarkStart w:id="164" w:name="_Toc6206"/>
      <w:bookmarkStart w:id="165" w:name="_Toc23471"/>
      <w:bookmarkStart w:id="166" w:name="_Toc17513"/>
      <w:bookmarkStart w:id="167" w:name="_Toc30802"/>
      <w:bookmarkStart w:id="168" w:name="_Toc3772"/>
      <w:bookmarkStart w:id="169" w:name="_Toc8722"/>
      <w:bookmarkStart w:id="170" w:name="_Toc8853"/>
      <w:bookmarkStart w:id="171" w:name="_Toc26487"/>
      <w:bookmarkStart w:id="172" w:name="_Toc12105"/>
      <w:bookmarkStart w:id="173" w:name="_Toc15552"/>
      <w:bookmarkStart w:id="174" w:name="_Toc26176"/>
      <w:bookmarkStart w:id="175" w:name="_Toc11547"/>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估价目的</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pPr>
        <w:pageBreakBefore w:val="0"/>
        <w:widowControl w:val="0"/>
        <w:kinsoku/>
        <w:wordWrap/>
        <w:overflowPunct/>
        <w:topLinePunct w:val="0"/>
        <w:autoSpaceDE/>
        <w:autoSpaceDN/>
        <w:bidi w:val="0"/>
        <w:adjustRightInd w:val="0"/>
        <w:snapToGrid/>
        <w:spacing w:line="5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为人民法院确定财产处置参考价提供参考依据</w:t>
      </w:r>
      <w:r>
        <w:rPr>
          <w:rFonts w:hint="eastAsia" w:ascii="宋体" w:hAnsi="宋体" w:eastAsia="宋体" w:cs="宋体"/>
          <w:color w:val="000000"/>
          <w:sz w:val="24"/>
          <w:szCs w:val="24"/>
        </w:rPr>
        <w:t>。</w:t>
      </w:r>
    </w:p>
    <w:p>
      <w:pPr>
        <w:pStyle w:val="4"/>
        <w:pageBreakBefore w:val="0"/>
        <w:widowControl w:val="0"/>
        <w:tabs>
          <w:tab w:val="left" w:pos="426"/>
        </w:tabs>
        <w:kinsoku/>
        <w:wordWrap/>
        <w:overflowPunct/>
        <w:topLinePunct w:val="0"/>
        <w:autoSpaceDE/>
        <w:autoSpaceDN/>
        <w:bidi w:val="0"/>
        <w:adjustRightInd w:val="0"/>
        <w:snapToGrid/>
        <w:spacing w:before="0" w:after="0" w:line="500" w:lineRule="exact"/>
        <w:rPr>
          <w:rFonts w:hint="eastAsia" w:ascii="宋体" w:hAnsi="宋体" w:eastAsia="宋体" w:cs="宋体"/>
          <w:color w:val="000000"/>
          <w:sz w:val="24"/>
          <w:szCs w:val="24"/>
        </w:rPr>
      </w:pPr>
      <w:bookmarkStart w:id="176" w:name="_Toc9888"/>
      <w:bookmarkStart w:id="177" w:name="_Toc17336"/>
      <w:bookmarkStart w:id="178" w:name="_Toc18080"/>
      <w:bookmarkStart w:id="179" w:name="_Toc13724"/>
      <w:bookmarkStart w:id="180" w:name="_Toc14883"/>
      <w:bookmarkStart w:id="181" w:name="_Toc22683"/>
      <w:bookmarkStart w:id="182" w:name="_Toc18276"/>
      <w:bookmarkStart w:id="183" w:name="_Toc27915"/>
      <w:bookmarkStart w:id="184" w:name="_Toc14949"/>
      <w:bookmarkStart w:id="185" w:name="_Toc22121"/>
      <w:bookmarkStart w:id="186" w:name="_Toc32349"/>
      <w:bookmarkStart w:id="187" w:name="_Toc29106"/>
      <w:bookmarkStart w:id="188" w:name="_Toc1645"/>
      <w:bookmarkStart w:id="189" w:name="_Toc1672"/>
      <w:bookmarkStart w:id="190" w:name="_Toc485393189"/>
      <w:bookmarkStart w:id="191" w:name="_Toc492"/>
      <w:bookmarkStart w:id="192" w:name="_Toc12292"/>
      <w:bookmarkStart w:id="193" w:name="_Toc480967875"/>
      <w:bookmarkStart w:id="194" w:name="_Toc28407"/>
      <w:bookmarkStart w:id="195" w:name="_Toc31791"/>
      <w:bookmarkStart w:id="196" w:name="_Toc18961"/>
      <w:bookmarkStart w:id="197" w:name="_Toc17921"/>
      <w:r>
        <w:rPr>
          <w:rFonts w:hint="eastAsia" w:ascii="宋体" w:hAnsi="宋体" w:eastAsia="宋体" w:cs="宋体"/>
          <w:color w:val="000000"/>
          <w:sz w:val="24"/>
          <w:szCs w:val="24"/>
          <w:lang w:val="en-US" w:eastAsia="zh-CN"/>
        </w:rPr>
        <w:t>四、</w:t>
      </w:r>
      <w:r>
        <w:rPr>
          <w:rFonts w:hint="eastAsia" w:ascii="宋体" w:hAnsi="宋体" w:eastAsia="宋体" w:cs="宋体"/>
          <w:color w:val="000000"/>
          <w:sz w:val="24"/>
          <w:szCs w:val="24"/>
        </w:rPr>
        <w:t>估价对象</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pageBreakBefore w:val="0"/>
        <w:widowControl w:val="0"/>
        <w:suppressAutoHyphens/>
        <w:kinsoku/>
        <w:wordWrap/>
        <w:overflowPunct/>
        <w:topLinePunct w:val="0"/>
        <w:autoSpaceDE/>
        <w:autoSpaceDN/>
        <w:bidi w:val="0"/>
        <w:adjustRightInd w:val="0"/>
        <w:snapToGrid/>
        <w:spacing w:line="500" w:lineRule="exact"/>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lang w:val="en-US" w:eastAsia="zh-CN"/>
        </w:rPr>
        <w:t>一</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估价对象财产范围</w:t>
      </w:r>
    </w:p>
    <w:p>
      <w:pPr>
        <w:pageBreakBefore w:val="0"/>
        <w:widowControl w:val="0"/>
        <w:kinsoku/>
        <w:wordWrap/>
        <w:overflowPunct/>
        <w:topLinePunct w:val="0"/>
        <w:autoSpaceDE/>
        <w:autoSpaceDN/>
        <w:bidi w:val="0"/>
        <w:adjustRightInd w:val="0"/>
        <w:snapToGrid/>
        <w:spacing w:line="5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估价对象为</w:t>
      </w:r>
      <w:r>
        <w:rPr>
          <w:rFonts w:hint="eastAsia" w:ascii="宋体" w:hAnsi="宋体" w:cs="宋体"/>
          <w:color w:val="000000"/>
          <w:sz w:val="24"/>
          <w:szCs w:val="24"/>
          <w:lang w:val="en-US" w:eastAsia="zh-CN"/>
        </w:rPr>
        <w:t>周玉芬、曾定均</w:t>
      </w:r>
      <w:r>
        <w:rPr>
          <w:rFonts w:hint="eastAsia" w:ascii="宋体" w:hAnsi="宋体" w:eastAsia="宋体" w:cs="宋体"/>
          <w:color w:val="000000"/>
          <w:sz w:val="24"/>
          <w:szCs w:val="24"/>
          <w:lang w:val="en-US" w:eastAsia="zh-CN"/>
        </w:rPr>
        <w:t>名下</w:t>
      </w:r>
      <w:r>
        <w:rPr>
          <w:rFonts w:hint="eastAsia" w:ascii="宋体" w:hAnsi="宋体" w:eastAsia="宋体" w:cs="宋体"/>
          <w:color w:val="000000"/>
          <w:sz w:val="24"/>
          <w:szCs w:val="24"/>
        </w:rPr>
        <w:t>的位于</w:t>
      </w:r>
      <w:r>
        <w:rPr>
          <w:rFonts w:hint="eastAsia" w:ascii="宋体" w:hAnsi="宋体" w:cs="宋体"/>
          <w:color w:val="000000"/>
          <w:sz w:val="24"/>
          <w:szCs w:val="24"/>
          <w:lang w:eastAsia="zh-CN"/>
        </w:rPr>
        <w:t>犍为县玉津镇滨江路南段2号4幢1单元801号</w:t>
      </w:r>
      <w:r>
        <w:rPr>
          <w:rFonts w:hint="eastAsia" w:ascii="宋体" w:hAnsi="宋体" w:eastAsia="宋体" w:cs="宋体"/>
          <w:color w:val="000000"/>
          <w:sz w:val="24"/>
          <w:szCs w:val="24"/>
        </w:rPr>
        <w:t>的</w:t>
      </w:r>
      <w:r>
        <w:rPr>
          <w:rFonts w:hint="eastAsia" w:ascii="宋体" w:hAnsi="宋体" w:eastAsia="宋体" w:cs="宋体"/>
          <w:color w:val="000000"/>
          <w:sz w:val="24"/>
          <w:szCs w:val="24"/>
          <w:lang w:val="en-US" w:eastAsia="zh-CN"/>
        </w:rPr>
        <w:t>住宅</w:t>
      </w:r>
      <w:r>
        <w:rPr>
          <w:rFonts w:hint="eastAsia" w:ascii="宋体" w:hAnsi="宋体" w:eastAsia="宋体" w:cs="宋体"/>
          <w:color w:val="000000"/>
          <w:sz w:val="24"/>
          <w:szCs w:val="24"/>
        </w:rPr>
        <w:t>房地产(</w:t>
      </w:r>
      <w:r>
        <w:rPr>
          <w:rFonts w:hint="eastAsia" w:ascii="宋体" w:hAnsi="宋体" w:eastAsia="宋体" w:cs="宋体"/>
          <w:color w:val="000000"/>
          <w:sz w:val="24"/>
          <w:szCs w:val="24"/>
          <w:lang w:eastAsia="zh-CN"/>
        </w:rPr>
        <w:t>含其</w:t>
      </w:r>
      <w:r>
        <w:rPr>
          <w:rFonts w:hint="eastAsia" w:ascii="宋体" w:hAnsi="宋体" w:eastAsia="宋体" w:cs="宋体"/>
          <w:color w:val="000000"/>
          <w:sz w:val="24"/>
          <w:szCs w:val="24"/>
          <w:lang w:val="en-US" w:eastAsia="zh-CN"/>
        </w:rPr>
        <w:t>房屋所有权、</w:t>
      </w:r>
      <w:r>
        <w:rPr>
          <w:rFonts w:hint="eastAsia" w:ascii="宋体" w:hAnsi="宋体" w:eastAsia="宋体" w:cs="宋体"/>
          <w:color w:val="000000"/>
          <w:sz w:val="24"/>
          <w:szCs w:val="24"/>
          <w:lang w:eastAsia="zh-CN"/>
        </w:rPr>
        <w:t>相应分摊的国有建设用地土地使用权</w:t>
      </w:r>
      <w:r>
        <w:rPr>
          <w:rFonts w:hint="eastAsia" w:ascii="宋体" w:hAnsi="宋体" w:eastAsia="宋体" w:cs="宋体"/>
          <w:color w:val="000000"/>
          <w:sz w:val="24"/>
          <w:szCs w:val="24"/>
          <w:lang w:val="en-US" w:eastAsia="zh-CN"/>
        </w:rPr>
        <w:t>及与建筑物功能配套的相关设施设备、</w:t>
      </w:r>
      <w:r>
        <w:rPr>
          <w:rFonts w:hint="eastAsia" w:ascii="宋体" w:hAnsi="宋体" w:cs="宋体"/>
          <w:color w:val="000000"/>
          <w:sz w:val="24"/>
          <w:szCs w:val="24"/>
          <w:lang w:val="en-US" w:eastAsia="zh-CN"/>
        </w:rPr>
        <w:t>不可剥离的</w:t>
      </w:r>
      <w:r>
        <w:rPr>
          <w:rFonts w:hint="eastAsia" w:ascii="宋体" w:hAnsi="宋体" w:eastAsia="宋体" w:cs="宋体"/>
          <w:color w:val="000000"/>
          <w:sz w:val="24"/>
          <w:szCs w:val="24"/>
          <w:lang w:val="en-US" w:eastAsia="zh-CN"/>
        </w:rPr>
        <w:t>装饰装修</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估价对象</w:t>
      </w:r>
      <w:r>
        <w:rPr>
          <w:rFonts w:hint="eastAsia" w:ascii="宋体" w:hAnsi="宋体" w:eastAsia="宋体" w:cs="宋体"/>
          <w:color w:val="000000"/>
          <w:sz w:val="24"/>
          <w:szCs w:val="24"/>
        </w:rPr>
        <w:t>建筑面积为</w:t>
      </w:r>
      <w:r>
        <w:rPr>
          <w:rFonts w:hint="eastAsia" w:ascii="宋体" w:hAnsi="宋体" w:cs="宋体"/>
          <w:color w:val="000000"/>
          <w:sz w:val="24"/>
          <w:szCs w:val="24"/>
          <w:lang w:val="en-US" w:eastAsia="zh-CN"/>
        </w:rPr>
        <w:t>112.17</w:t>
      </w:r>
      <w:r>
        <w:rPr>
          <w:rFonts w:hint="eastAsia" w:ascii="宋体" w:hAnsi="宋体" w:eastAsia="宋体" w:cs="宋体"/>
          <w:color w:val="000000"/>
          <w:sz w:val="24"/>
          <w:szCs w:val="24"/>
        </w:rPr>
        <w:t>平方米，规划用途为</w:t>
      </w:r>
      <w:r>
        <w:rPr>
          <w:rFonts w:hint="eastAsia" w:ascii="宋体" w:hAnsi="宋体" w:eastAsia="宋体" w:cs="宋体"/>
          <w:color w:val="000000"/>
          <w:sz w:val="24"/>
          <w:szCs w:val="24"/>
          <w:lang w:val="en-US" w:eastAsia="zh-CN"/>
        </w:rPr>
        <w:t>住宅</w:t>
      </w:r>
      <w:r>
        <w:rPr>
          <w:rFonts w:hint="eastAsia" w:ascii="宋体" w:hAnsi="宋体" w:eastAsia="宋体" w:cs="宋体"/>
          <w:color w:val="000000"/>
          <w:sz w:val="24"/>
          <w:szCs w:val="24"/>
        </w:rPr>
        <w:t>，实际用途为</w:t>
      </w:r>
      <w:r>
        <w:rPr>
          <w:rFonts w:hint="eastAsia" w:ascii="宋体" w:hAnsi="宋体" w:cs="宋体"/>
          <w:color w:val="000000"/>
          <w:sz w:val="24"/>
          <w:szCs w:val="24"/>
          <w:lang w:val="en-US" w:eastAsia="zh-CN"/>
        </w:rPr>
        <w:t>住宅</w:t>
      </w:r>
      <w:r>
        <w:rPr>
          <w:rFonts w:hint="eastAsia" w:ascii="宋体" w:hAnsi="宋体" w:cs="宋体"/>
          <w:color w:val="000000"/>
          <w:sz w:val="24"/>
          <w:szCs w:val="24"/>
          <w:lang w:eastAsia="zh-CN"/>
        </w:rPr>
        <w:t>，分摊土地使用权面积为38.59平方米，</w:t>
      </w:r>
      <w:r>
        <w:rPr>
          <w:rFonts w:hint="eastAsia" w:ascii="宋体" w:hAnsi="宋体" w:cs="宋体"/>
          <w:color w:val="000000"/>
          <w:sz w:val="24"/>
          <w:szCs w:val="24"/>
          <w:lang w:val="en-US" w:eastAsia="zh-CN"/>
        </w:rPr>
        <w:t>土地性质为出让，用途为住宅用地，使用期限为2010-01-26起2080-01-25止</w:t>
      </w:r>
      <w:r>
        <w:rPr>
          <w:rFonts w:hint="eastAsia" w:ascii="宋体" w:hAnsi="宋体" w:cs="宋体"/>
          <w:color w:val="000000"/>
          <w:sz w:val="24"/>
          <w:szCs w:val="24"/>
          <w:lang w:eastAsia="zh-CN"/>
        </w:rPr>
        <w:t>。</w:t>
      </w:r>
    </w:p>
    <w:p>
      <w:pPr>
        <w:pageBreakBefore w:val="0"/>
        <w:widowControl w:val="0"/>
        <w:kinsoku/>
        <w:wordWrap/>
        <w:overflowPunct/>
        <w:topLinePunct w:val="0"/>
        <w:autoSpaceDE/>
        <w:autoSpaceDN/>
        <w:bidi w:val="0"/>
        <w:adjustRightInd w:val="0"/>
        <w:snapToGrid/>
        <w:spacing w:line="500" w:lineRule="exact"/>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lang w:val="en-US" w:eastAsia="zh-CN"/>
        </w:rPr>
        <w:t>二</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估价对象名称</w:t>
      </w:r>
    </w:p>
    <w:p>
      <w:pPr>
        <w:pageBreakBefore w:val="0"/>
        <w:widowControl w:val="0"/>
        <w:kinsoku/>
        <w:wordWrap/>
        <w:overflowPunct/>
        <w:topLinePunct w:val="0"/>
        <w:autoSpaceDE/>
        <w:autoSpaceDN/>
        <w:bidi w:val="0"/>
        <w:adjustRightInd w:val="0"/>
        <w:snapToGrid/>
        <w:spacing w:line="500" w:lineRule="exact"/>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eastAsia="zh-CN"/>
        </w:rPr>
        <w:t>犍为县玉津镇滨江路南段2号4幢1单元801号</w:t>
      </w:r>
      <w:r>
        <w:rPr>
          <w:rFonts w:hint="eastAsia" w:ascii="宋体" w:hAnsi="宋体" w:eastAsia="宋体" w:cs="宋体"/>
          <w:color w:val="000000"/>
          <w:sz w:val="24"/>
          <w:szCs w:val="24"/>
          <w:lang w:eastAsia="zh-CN"/>
        </w:rPr>
        <w:t>住宅</w:t>
      </w:r>
      <w:r>
        <w:rPr>
          <w:rFonts w:hint="eastAsia" w:ascii="宋体" w:hAnsi="宋体" w:eastAsia="宋体" w:cs="宋体"/>
          <w:color w:val="000000"/>
          <w:sz w:val="24"/>
          <w:szCs w:val="24"/>
        </w:rPr>
        <w:t>房地产。</w:t>
      </w:r>
    </w:p>
    <w:p>
      <w:pPr>
        <w:pageBreakBefore w:val="0"/>
        <w:widowControl w:val="0"/>
        <w:kinsoku/>
        <w:wordWrap/>
        <w:overflowPunct/>
        <w:topLinePunct w:val="0"/>
        <w:autoSpaceDE/>
        <w:autoSpaceDN/>
        <w:bidi w:val="0"/>
        <w:adjustRightInd w:val="0"/>
        <w:snapToGrid/>
        <w:spacing w:line="500" w:lineRule="exact"/>
        <w:ind w:left="0" w:leftChars="0" w:firstLine="422" w:firstLineChars="175"/>
        <w:rPr>
          <w:rFonts w:hint="eastAsia" w:ascii="宋体" w:hAnsi="宋体" w:eastAsia="宋体" w:cs="宋体"/>
          <w:b/>
          <w:color w:val="000000"/>
          <w:sz w:val="24"/>
          <w:szCs w:val="24"/>
        </w:rPr>
      </w:pP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lang w:val="en-US" w:eastAsia="zh-CN"/>
        </w:rPr>
        <w:t>三</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估价对象坐落</w:t>
      </w:r>
    </w:p>
    <w:p>
      <w:pPr>
        <w:pageBreakBefore w:val="0"/>
        <w:widowControl w:val="0"/>
        <w:kinsoku/>
        <w:wordWrap/>
        <w:overflowPunct/>
        <w:topLinePunct w:val="0"/>
        <w:autoSpaceDE/>
        <w:autoSpaceDN/>
        <w:bidi w:val="0"/>
        <w:adjustRightInd w:val="0"/>
        <w:snapToGrid/>
        <w:spacing w:line="500" w:lineRule="exact"/>
        <w:ind w:left="0" w:leftChars="0" w:firstLine="420" w:firstLineChars="175"/>
        <w:rPr>
          <w:rFonts w:hint="eastAsia" w:ascii="宋体" w:hAnsi="宋体" w:eastAsia="宋体" w:cs="宋体"/>
          <w:color w:val="000000"/>
          <w:sz w:val="24"/>
          <w:szCs w:val="24"/>
        </w:rPr>
      </w:pPr>
      <w:r>
        <w:rPr>
          <w:rFonts w:hint="eastAsia" w:ascii="宋体" w:hAnsi="宋体" w:cs="宋体"/>
          <w:color w:val="000000"/>
          <w:sz w:val="24"/>
          <w:szCs w:val="24"/>
          <w:lang w:eastAsia="zh-CN"/>
        </w:rPr>
        <w:t>犍为县玉津镇滨江路南段2号4幢1单元801号</w:t>
      </w:r>
      <w:r>
        <w:rPr>
          <w:rFonts w:hint="eastAsia" w:ascii="宋体" w:hAnsi="宋体" w:eastAsia="宋体" w:cs="宋体"/>
          <w:color w:val="000000"/>
          <w:sz w:val="24"/>
          <w:szCs w:val="24"/>
          <w:lang w:eastAsia="zh-CN"/>
        </w:rPr>
        <w:t>。</w:t>
      </w:r>
    </w:p>
    <w:p>
      <w:pPr>
        <w:pageBreakBefore w:val="0"/>
        <w:widowControl w:val="0"/>
        <w:numPr>
          <w:ilvl w:val="0"/>
          <w:numId w:val="2"/>
        </w:numPr>
        <w:suppressAutoHyphens/>
        <w:kinsoku/>
        <w:wordWrap/>
        <w:overflowPunct/>
        <w:topLinePunct w:val="0"/>
        <w:autoSpaceDE/>
        <w:autoSpaceDN/>
        <w:bidi w:val="0"/>
        <w:adjustRightInd w:val="0"/>
        <w:snapToGrid/>
        <w:spacing w:line="500" w:lineRule="exact"/>
        <w:ind w:left="0" w:leftChars="0" w:firstLine="422" w:firstLineChars="175"/>
        <w:rPr>
          <w:rFonts w:hint="eastAsia" w:ascii="宋体" w:hAnsi="宋体" w:eastAsia="宋体" w:cs="宋体"/>
          <w:b/>
          <w:color w:val="000000"/>
          <w:sz w:val="24"/>
          <w:szCs w:val="24"/>
        </w:rPr>
      </w:pPr>
      <w:r>
        <w:rPr>
          <w:rFonts w:hint="eastAsia" w:ascii="宋体" w:hAnsi="宋体" w:eastAsia="宋体" w:cs="宋体"/>
          <w:b/>
          <w:color w:val="000000"/>
          <w:sz w:val="24"/>
          <w:szCs w:val="24"/>
        </w:rPr>
        <w:t>估价对象基本状况</w:t>
      </w:r>
    </w:p>
    <w:p>
      <w:pPr>
        <w:keepNext w:val="0"/>
        <w:keepLines w:val="0"/>
        <w:pageBreakBefore w:val="0"/>
        <w:widowControl w:val="0"/>
        <w:kinsoku/>
        <w:wordWrap/>
        <w:overflowPunct/>
        <w:topLinePunct w:val="0"/>
        <w:autoSpaceDE/>
        <w:autoSpaceDN/>
        <w:bidi w:val="0"/>
        <w:adjustRightInd w:val="0"/>
        <w:snapToGrid/>
        <w:spacing w:line="500" w:lineRule="exact"/>
        <w:ind w:firstLine="360" w:firstLineChars="15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1、土地基本状况</w:t>
      </w:r>
    </w:p>
    <w:tbl>
      <w:tblPr>
        <w:tblStyle w:val="9"/>
        <w:tblpPr w:leftFromText="180" w:rightFromText="180" w:vertAnchor="text" w:horzAnchor="page" w:tblpXSpec="center" w:tblpY="276"/>
        <w:tblOverlap w:val="never"/>
        <w:tblW w:w="9635" w:type="dxa"/>
        <w:jc w:val="center"/>
        <w:tblLayout w:type="fixed"/>
        <w:tblCellMar>
          <w:top w:w="0" w:type="dxa"/>
          <w:left w:w="108" w:type="dxa"/>
          <w:bottom w:w="0" w:type="dxa"/>
          <w:right w:w="108" w:type="dxa"/>
        </w:tblCellMar>
      </w:tblPr>
      <w:tblGrid>
        <w:gridCol w:w="1296"/>
        <w:gridCol w:w="1634"/>
        <w:gridCol w:w="1507"/>
        <w:gridCol w:w="1695"/>
        <w:gridCol w:w="1455"/>
        <w:gridCol w:w="2048"/>
      </w:tblGrid>
      <w:tr>
        <w:tblPrEx>
          <w:tblCellMar>
            <w:top w:w="0" w:type="dxa"/>
            <w:left w:w="108" w:type="dxa"/>
            <w:bottom w:w="0" w:type="dxa"/>
            <w:right w:w="108" w:type="dxa"/>
          </w:tblCellMar>
        </w:tblPrEx>
        <w:trPr>
          <w:trHeight w:val="420" w:hRule="atLeast"/>
          <w:jc w:val="center"/>
        </w:trPr>
        <w:tc>
          <w:tcPr>
            <w:tcW w:w="129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Tahoma"/>
                <w:kern w:val="0"/>
                <w:sz w:val="18"/>
                <w:szCs w:val="18"/>
              </w:rPr>
            </w:pPr>
            <w:r>
              <w:rPr>
                <w:rFonts w:hint="eastAsia" w:ascii="宋体" w:hAnsi="宋体" w:cs="Tahoma"/>
                <w:color w:val="000000"/>
                <w:kern w:val="0"/>
                <w:sz w:val="18"/>
                <w:szCs w:val="18"/>
              </w:rPr>
              <w:t>坐落</w:t>
            </w:r>
          </w:p>
        </w:tc>
        <w:tc>
          <w:tcPr>
            <w:tcW w:w="8339" w:type="dxa"/>
            <w:gridSpan w:val="5"/>
            <w:tcBorders>
              <w:top w:val="single" w:color="auto" w:sz="8" w:space="0"/>
              <w:left w:val="nil"/>
              <w:bottom w:val="single" w:color="auto" w:sz="8" w:space="0"/>
              <w:right w:val="single" w:color="auto" w:sz="8" w:space="0"/>
            </w:tcBorders>
            <w:noWrap w:val="0"/>
            <w:vAlign w:val="center"/>
          </w:tcPr>
          <w:p>
            <w:pPr>
              <w:widowControl/>
              <w:jc w:val="center"/>
              <w:rPr>
                <w:rFonts w:hint="default" w:ascii="宋体" w:hAnsi="宋体" w:eastAsia="宋体" w:cs="Tahoma"/>
                <w:kern w:val="0"/>
                <w:sz w:val="18"/>
                <w:szCs w:val="18"/>
                <w:lang w:val="en-US" w:eastAsia="zh-CN"/>
              </w:rPr>
            </w:pPr>
            <w:r>
              <w:rPr>
                <w:rFonts w:hint="eastAsia" w:ascii="宋体" w:hAnsi="宋体" w:cs="Tahoma"/>
                <w:kern w:val="0"/>
                <w:sz w:val="18"/>
                <w:szCs w:val="18"/>
                <w:lang w:val="en-US" w:eastAsia="zh-CN"/>
              </w:rPr>
              <w:t>犍为县玉津镇滨江路南段2号4幢1单元801号</w:t>
            </w:r>
          </w:p>
        </w:tc>
      </w:tr>
      <w:tr>
        <w:tblPrEx>
          <w:tblCellMar>
            <w:top w:w="0" w:type="dxa"/>
            <w:left w:w="108" w:type="dxa"/>
            <w:bottom w:w="0" w:type="dxa"/>
            <w:right w:w="108" w:type="dxa"/>
          </w:tblCellMar>
        </w:tblPrEx>
        <w:trPr>
          <w:trHeight w:val="629" w:hRule="atLeast"/>
          <w:jc w:val="center"/>
        </w:trPr>
        <w:tc>
          <w:tcPr>
            <w:tcW w:w="129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hint="eastAsia" w:ascii="宋体" w:hAnsi="宋体" w:eastAsia="宋体" w:cs="Tahoma"/>
                <w:kern w:val="0"/>
                <w:sz w:val="18"/>
                <w:szCs w:val="18"/>
                <w:lang w:val="en-US" w:eastAsia="zh-CN"/>
              </w:rPr>
            </w:pPr>
            <w:r>
              <w:rPr>
                <w:rFonts w:hint="eastAsia" w:ascii="宋体" w:hAnsi="宋体" w:cs="Tahoma"/>
                <w:kern w:val="0"/>
                <w:sz w:val="18"/>
                <w:szCs w:val="18"/>
                <w:lang w:val="en-US" w:eastAsia="zh-CN"/>
              </w:rPr>
              <w:t>权利人</w:t>
            </w:r>
          </w:p>
        </w:tc>
        <w:tc>
          <w:tcPr>
            <w:tcW w:w="1634" w:type="dxa"/>
            <w:tcBorders>
              <w:top w:val="single" w:color="auto" w:sz="8" w:space="0"/>
              <w:left w:val="nil"/>
              <w:bottom w:val="single" w:color="auto" w:sz="8" w:space="0"/>
              <w:right w:val="single" w:color="auto" w:sz="8" w:space="0"/>
            </w:tcBorders>
            <w:noWrap w:val="0"/>
            <w:vAlign w:val="center"/>
          </w:tcPr>
          <w:p>
            <w:pPr>
              <w:widowControl/>
              <w:jc w:val="center"/>
              <w:rPr>
                <w:rFonts w:hint="default" w:ascii="宋体" w:hAnsi="宋体" w:eastAsia="宋体" w:cs="Tahoma"/>
                <w:kern w:val="0"/>
                <w:sz w:val="18"/>
                <w:szCs w:val="18"/>
                <w:lang w:val="en-US" w:eastAsia="zh-CN"/>
              </w:rPr>
            </w:pPr>
            <w:r>
              <w:rPr>
                <w:rFonts w:hint="eastAsia" w:ascii="宋体" w:hAnsi="宋体" w:cs="Tahoma"/>
                <w:kern w:val="0"/>
                <w:sz w:val="18"/>
                <w:szCs w:val="18"/>
                <w:lang w:val="en-US" w:eastAsia="zh-CN"/>
              </w:rPr>
              <w:t>周玉芬、曾定均</w:t>
            </w:r>
          </w:p>
        </w:tc>
        <w:tc>
          <w:tcPr>
            <w:tcW w:w="1507"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Tahoma"/>
                <w:kern w:val="0"/>
                <w:sz w:val="18"/>
                <w:szCs w:val="18"/>
              </w:rPr>
            </w:pPr>
            <w:r>
              <w:rPr>
                <w:rFonts w:hint="eastAsia" w:ascii="宋体" w:hAnsi="宋体" w:cs="Tahoma"/>
                <w:kern w:val="0"/>
                <w:sz w:val="18"/>
                <w:szCs w:val="18"/>
                <w:lang w:val="en-US" w:eastAsia="zh-CN"/>
              </w:rPr>
              <w:t>分摊土地使用权面积（㎡）</w:t>
            </w:r>
          </w:p>
        </w:tc>
        <w:tc>
          <w:tcPr>
            <w:tcW w:w="1695" w:type="dxa"/>
            <w:tcBorders>
              <w:top w:val="single" w:color="auto" w:sz="8" w:space="0"/>
              <w:left w:val="nil"/>
              <w:bottom w:val="single" w:color="auto" w:sz="8" w:space="0"/>
              <w:right w:val="single" w:color="auto" w:sz="8" w:space="0"/>
            </w:tcBorders>
            <w:noWrap w:val="0"/>
            <w:vAlign w:val="center"/>
          </w:tcPr>
          <w:p>
            <w:pPr>
              <w:widowControl/>
              <w:jc w:val="center"/>
              <w:rPr>
                <w:rFonts w:hint="default" w:ascii="宋体" w:hAnsi="宋体" w:eastAsia="宋体" w:cs="Tahoma"/>
                <w:kern w:val="0"/>
                <w:sz w:val="18"/>
                <w:szCs w:val="18"/>
                <w:lang w:val="en-US" w:eastAsia="zh-CN"/>
              </w:rPr>
            </w:pPr>
            <w:r>
              <w:rPr>
                <w:rFonts w:hint="eastAsia" w:ascii="宋体" w:hAnsi="宋体" w:cs="Tahoma"/>
                <w:kern w:val="0"/>
                <w:sz w:val="18"/>
                <w:szCs w:val="18"/>
                <w:lang w:val="en-US" w:eastAsia="zh-CN"/>
              </w:rPr>
              <w:t>38.59</w:t>
            </w:r>
          </w:p>
        </w:tc>
        <w:tc>
          <w:tcPr>
            <w:tcW w:w="1455"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Tahoma"/>
                <w:kern w:val="0"/>
                <w:sz w:val="18"/>
                <w:szCs w:val="18"/>
              </w:rPr>
            </w:pPr>
            <w:r>
              <w:rPr>
                <w:rFonts w:hint="eastAsia" w:ascii="宋体" w:hAnsi="宋体" w:cs="Tahoma"/>
                <w:kern w:val="0"/>
                <w:sz w:val="18"/>
                <w:szCs w:val="18"/>
              </w:rPr>
              <w:t>使用权类型</w:t>
            </w:r>
          </w:p>
        </w:tc>
        <w:tc>
          <w:tcPr>
            <w:tcW w:w="2048"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eastAsia="宋体" w:cs="Tahoma"/>
                <w:kern w:val="0"/>
                <w:sz w:val="18"/>
                <w:szCs w:val="18"/>
                <w:lang w:eastAsia="zh-CN"/>
              </w:rPr>
            </w:pPr>
            <w:r>
              <w:rPr>
                <w:rFonts w:hint="eastAsia" w:ascii="宋体" w:hAnsi="宋体" w:cs="Tahoma"/>
                <w:kern w:val="0"/>
                <w:sz w:val="18"/>
                <w:szCs w:val="18"/>
                <w:lang w:val="en-US" w:eastAsia="zh-CN"/>
              </w:rPr>
              <w:t>出让</w:t>
            </w:r>
          </w:p>
        </w:tc>
      </w:tr>
      <w:tr>
        <w:tblPrEx>
          <w:tblCellMar>
            <w:top w:w="0" w:type="dxa"/>
            <w:left w:w="108" w:type="dxa"/>
            <w:bottom w:w="0" w:type="dxa"/>
            <w:right w:w="108" w:type="dxa"/>
          </w:tblCellMar>
        </w:tblPrEx>
        <w:trPr>
          <w:trHeight w:val="520" w:hRule="atLeast"/>
          <w:jc w:val="center"/>
        </w:trPr>
        <w:tc>
          <w:tcPr>
            <w:tcW w:w="1296" w:type="dxa"/>
            <w:tcBorders>
              <w:top w:val="single" w:color="auto" w:sz="8" w:space="0"/>
              <w:left w:val="single" w:color="auto" w:sz="8" w:space="0"/>
              <w:bottom w:val="single" w:color="auto" w:sz="8" w:space="0"/>
              <w:right w:val="single" w:color="auto" w:sz="8" w:space="0"/>
            </w:tcBorders>
            <w:noWrap w:val="0"/>
            <w:vAlign w:val="center"/>
          </w:tcPr>
          <w:p>
            <w:pPr>
              <w:spacing w:line="380" w:lineRule="exact"/>
              <w:jc w:val="center"/>
              <w:rPr>
                <w:rFonts w:hint="default" w:ascii="宋体" w:hAnsi="宋体" w:eastAsia="宋体" w:cs="Tahoma"/>
                <w:kern w:val="0"/>
                <w:sz w:val="18"/>
                <w:szCs w:val="18"/>
                <w:lang w:val="en-US" w:eastAsia="zh-CN"/>
              </w:rPr>
            </w:pPr>
            <w:r>
              <w:rPr>
                <w:rFonts w:hint="eastAsia" w:ascii="宋体" w:hAnsi="宋体"/>
                <w:sz w:val="18"/>
                <w:szCs w:val="18"/>
                <w:lang w:val="en-US" w:eastAsia="zh-CN"/>
              </w:rPr>
              <w:t>土地用途</w:t>
            </w:r>
          </w:p>
        </w:tc>
        <w:tc>
          <w:tcPr>
            <w:tcW w:w="1634" w:type="dxa"/>
            <w:tcBorders>
              <w:top w:val="single" w:color="auto" w:sz="8" w:space="0"/>
              <w:left w:val="nil"/>
              <w:bottom w:val="single" w:color="auto" w:sz="8" w:space="0"/>
              <w:right w:val="single" w:color="auto" w:sz="8" w:space="0"/>
            </w:tcBorders>
            <w:noWrap w:val="0"/>
            <w:vAlign w:val="center"/>
          </w:tcPr>
          <w:p>
            <w:pPr>
              <w:spacing w:line="380" w:lineRule="exact"/>
              <w:jc w:val="center"/>
              <w:rPr>
                <w:rFonts w:hint="default" w:ascii="宋体" w:hAnsi="宋体" w:eastAsia="宋体" w:cs="Tahoma"/>
                <w:kern w:val="0"/>
                <w:sz w:val="18"/>
                <w:szCs w:val="18"/>
                <w:lang w:val="en-US" w:eastAsia="zh-CN"/>
              </w:rPr>
            </w:pPr>
            <w:r>
              <w:rPr>
                <w:rFonts w:hint="eastAsia" w:ascii="宋体" w:hAnsi="宋体"/>
                <w:sz w:val="18"/>
                <w:szCs w:val="18"/>
                <w:lang w:val="en-US" w:eastAsia="zh-CN"/>
              </w:rPr>
              <w:t>城镇住宅用地</w:t>
            </w:r>
          </w:p>
        </w:tc>
        <w:tc>
          <w:tcPr>
            <w:tcW w:w="1507"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Tahoma"/>
                <w:kern w:val="0"/>
                <w:sz w:val="18"/>
                <w:szCs w:val="18"/>
              </w:rPr>
            </w:pPr>
            <w:r>
              <w:rPr>
                <w:rFonts w:hint="eastAsia" w:ascii="宋体" w:hAnsi="宋体" w:cs="Tahoma"/>
                <w:kern w:val="0"/>
                <w:sz w:val="18"/>
                <w:szCs w:val="18"/>
              </w:rPr>
              <w:t>实际用途</w:t>
            </w:r>
          </w:p>
        </w:tc>
        <w:tc>
          <w:tcPr>
            <w:tcW w:w="1695"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Tahoma"/>
                <w:kern w:val="0"/>
                <w:sz w:val="18"/>
                <w:szCs w:val="18"/>
              </w:rPr>
            </w:pPr>
            <w:r>
              <w:rPr>
                <w:rFonts w:hint="eastAsia" w:ascii="宋体" w:hAnsi="宋体"/>
                <w:sz w:val="18"/>
                <w:szCs w:val="18"/>
              </w:rPr>
              <w:t>住宅</w:t>
            </w:r>
          </w:p>
        </w:tc>
        <w:tc>
          <w:tcPr>
            <w:tcW w:w="1455"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Tahoma"/>
                <w:kern w:val="0"/>
                <w:sz w:val="18"/>
                <w:szCs w:val="18"/>
              </w:rPr>
            </w:pPr>
            <w:r>
              <w:rPr>
                <w:rFonts w:hint="eastAsia" w:ascii="宋体" w:hAnsi="宋体" w:cs="Tahoma"/>
                <w:kern w:val="0"/>
                <w:sz w:val="18"/>
                <w:szCs w:val="18"/>
                <w:lang w:val="en-US" w:eastAsia="zh-CN"/>
              </w:rPr>
              <w:t>土地</w:t>
            </w:r>
            <w:r>
              <w:rPr>
                <w:rFonts w:hint="eastAsia" w:ascii="宋体" w:hAnsi="宋体" w:eastAsia="宋体"/>
                <w:color w:val="auto"/>
                <w:kern w:val="0"/>
                <w:sz w:val="18"/>
                <w:szCs w:val="18"/>
              </w:rPr>
              <w:t>使用期限</w:t>
            </w:r>
          </w:p>
        </w:tc>
        <w:tc>
          <w:tcPr>
            <w:tcW w:w="2048" w:type="dxa"/>
            <w:tcBorders>
              <w:top w:val="single" w:color="auto" w:sz="8" w:space="0"/>
              <w:left w:val="nil"/>
              <w:bottom w:val="single" w:color="auto" w:sz="8" w:space="0"/>
              <w:right w:val="single" w:color="auto" w:sz="8" w:space="0"/>
            </w:tcBorders>
            <w:noWrap w:val="0"/>
            <w:vAlign w:val="center"/>
          </w:tcPr>
          <w:p>
            <w:pPr>
              <w:widowControl/>
              <w:jc w:val="center"/>
              <w:rPr>
                <w:rFonts w:hint="default" w:ascii="宋体" w:hAnsi="宋体" w:eastAsia="宋体"/>
                <w:snapToGrid w:val="0"/>
                <w:kern w:val="0"/>
                <w:sz w:val="18"/>
                <w:szCs w:val="18"/>
                <w:lang w:val="en-US" w:eastAsia="zh-CN"/>
              </w:rPr>
            </w:pPr>
            <w:r>
              <w:rPr>
                <w:rFonts w:hint="eastAsia" w:ascii="宋体" w:hAnsi="宋体" w:cs="宋体"/>
                <w:color w:val="auto"/>
                <w:sz w:val="18"/>
                <w:szCs w:val="18"/>
              </w:rPr>
              <w:t>2010-01-26起2080-01-25止</w:t>
            </w:r>
          </w:p>
        </w:tc>
      </w:tr>
      <w:tr>
        <w:tblPrEx>
          <w:tblCellMar>
            <w:top w:w="0" w:type="dxa"/>
            <w:left w:w="108" w:type="dxa"/>
            <w:bottom w:w="0" w:type="dxa"/>
            <w:right w:w="108" w:type="dxa"/>
          </w:tblCellMar>
        </w:tblPrEx>
        <w:trPr>
          <w:trHeight w:val="523" w:hRule="atLeast"/>
          <w:jc w:val="center"/>
        </w:trPr>
        <w:tc>
          <w:tcPr>
            <w:tcW w:w="129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Tahoma"/>
                <w:kern w:val="0"/>
                <w:sz w:val="18"/>
                <w:szCs w:val="18"/>
                <w:highlight w:val="yellow"/>
              </w:rPr>
            </w:pPr>
            <w:r>
              <w:rPr>
                <w:rFonts w:hint="eastAsia" w:ascii="宋体" w:hAnsi="宋体" w:cs="Tahoma"/>
                <w:kern w:val="0"/>
                <w:sz w:val="18"/>
                <w:szCs w:val="18"/>
              </w:rPr>
              <w:t>地形</w:t>
            </w:r>
          </w:p>
        </w:tc>
        <w:tc>
          <w:tcPr>
            <w:tcW w:w="1634"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eastAsia="宋体" w:cs="Tahoma"/>
                <w:kern w:val="0"/>
                <w:sz w:val="18"/>
                <w:szCs w:val="18"/>
                <w:highlight w:val="yellow"/>
                <w:lang w:val="en-US" w:eastAsia="zh-CN"/>
              </w:rPr>
            </w:pPr>
            <w:r>
              <w:rPr>
                <w:rFonts w:hint="eastAsia" w:ascii="宋体" w:hAnsi="宋体" w:cs="Tahoma"/>
                <w:kern w:val="0"/>
                <w:sz w:val="18"/>
                <w:szCs w:val="18"/>
              </w:rPr>
              <w:t>较规则</w:t>
            </w:r>
            <w:r>
              <w:rPr>
                <w:rFonts w:hint="eastAsia" w:ascii="宋体" w:hAnsi="宋体" w:cs="Tahoma"/>
                <w:kern w:val="0"/>
                <w:sz w:val="18"/>
                <w:szCs w:val="18"/>
                <w:lang w:val="en-US" w:eastAsia="zh-CN"/>
              </w:rPr>
              <w:t>多边形</w:t>
            </w:r>
          </w:p>
        </w:tc>
        <w:tc>
          <w:tcPr>
            <w:tcW w:w="1507"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sz w:val="18"/>
                <w:szCs w:val="18"/>
              </w:rPr>
            </w:pPr>
            <w:r>
              <w:rPr>
                <w:rFonts w:hint="eastAsia" w:ascii="宋体" w:hAnsi="宋体" w:cs="Tahoma"/>
                <w:kern w:val="0"/>
                <w:sz w:val="18"/>
                <w:szCs w:val="18"/>
              </w:rPr>
              <w:t>地势</w:t>
            </w:r>
          </w:p>
        </w:tc>
        <w:tc>
          <w:tcPr>
            <w:tcW w:w="1695" w:type="dxa"/>
            <w:tcBorders>
              <w:top w:val="single" w:color="auto" w:sz="8" w:space="0"/>
              <w:left w:val="nil"/>
              <w:bottom w:val="single" w:color="auto" w:sz="8" w:space="0"/>
              <w:right w:val="single" w:color="auto" w:sz="8" w:space="0"/>
            </w:tcBorders>
            <w:noWrap w:val="0"/>
            <w:vAlign w:val="center"/>
          </w:tcPr>
          <w:p>
            <w:pPr>
              <w:widowControl/>
              <w:jc w:val="center"/>
              <w:rPr>
                <w:rFonts w:hint="default" w:ascii="宋体" w:hAnsi="宋体" w:eastAsia="宋体"/>
                <w:sz w:val="18"/>
                <w:szCs w:val="18"/>
                <w:lang w:val="en-US" w:eastAsia="zh-CN"/>
              </w:rPr>
            </w:pPr>
            <w:r>
              <w:rPr>
                <w:rFonts w:hint="eastAsia" w:ascii="宋体" w:hAnsi="宋体" w:cs="Tahoma"/>
                <w:color w:val="auto"/>
                <w:kern w:val="0"/>
                <w:sz w:val="18"/>
                <w:szCs w:val="18"/>
              </w:rPr>
              <w:t>平坦</w:t>
            </w:r>
            <w:r>
              <w:rPr>
                <w:rFonts w:hint="eastAsia" w:ascii="宋体" w:hAnsi="宋体" w:cs="Tahoma"/>
                <w:color w:val="auto"/>
                <w:kern w:val="0"/>
                <w:sz w:val="18"/>
                <w:szCs w:val="18"/>
                <w:lang w:eastAsia="zh-CN"/>
              </w:rPr>
              <w:t>，</w:t>
            </w:r>
            <w:r>
              <w:rPr>
                <w:rFonts w:hint="eastAsia" w:ascii="宋体" w:hAnsi="宋体" w:cs="Tahoma"/>
                <w:color w:val="auto"/>
                <w:kern w:val="0"/>
                <w:sz w:val="18"/>
                <w:szCs w:val="18"/>
                <w:lang w:val="en-US" w:eastAsia="zh-CN"/>
              </w:rPr>
              <w:t>与相邻地块无明显地势差</w:t>
            </w:r>
          </w:p>
        </w:tc>
        <w:tc>
          <w:tcPr>
            <w:tcW w:w="1455"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Tahoma"/>
                <w:kern w:val="0"/>
                <w:sz w:val="18"/>
                <w:szCs w:val="18"/>
                <w:highlight w:val="yellow"/>
              </w:rPr>
            </w:pPr>
            <w:r>
              <w:rPr>
                <w:rFonts w:hint="eastAsia" w:ascii="宋体" w:hAnsi="宋体" w:cs="Tahoma"/>
                <w:kern w:val="0"/>
                <w:sz w:val="18"/>
                <w:szCs w:val="18"/>
              </w:rPr>
              <w:t>地质</w:t>
            </w:r>
          </w:p>
        </w:tc>
        <w:tc>
          <w:tcPr>
            <w:tcW w:w="2048" w:type="dxa"/>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eastAsia="宋体" w:cs="Tahoma"/>
                <w:kern w:val="0"/>
                <w:sz w:val="18"/>
                <w:szCs w:val="18"/>
                <w:highlight w:val="yellow"/>
                <w:lang w:eastAsia="zh-CN"/>
              </w:rPr>
            </w:pPr>
            <w:r>
              <w:rPr>
                <w:rFonts w:hint="eastAsia" w:ascii="宋体" w:hAnsi="宋体" w:cs="Tahoma"/>
                <w:kern w:val="0"/>
                <w:sz w:val="18"/>
                <w:szCs w:val="18"/>
              </w:rPr>
              <w:t>良好</w:t>
            </w:r>
            <w:r>
              <w:rPr>
                <w:rFonts w:hint="eastAsia" w:ascii="宋体" w:hAnsi="宋体" w:cs="Tahoma"/>
                <w:kern w:val="0"/>
                <w:sz w:val="18"/>
                <w:szCs w:val="18"/>
                <w:lang w:eastAsia="zh-CN"/>
              </w:rPr>
              <w:t>，未发现地基不均匀沉降</w:t>
            </w:r>
          </w:p>
        </w:tc>
      </w:tr>
      <w:tr>
        <w:tblPrEx>
          <w:tblCellMar>
            <w:top w:w="0" w:type="dxa"/>
            <w:left w:w="108" w:type="dxa"/>
            <w:bottom w:w="0" w:type="dxa"/>
            <w:right w:w="108" w:type="dxa"/>
          </w:tblCellMar>
        </w:tblPrEx>
        <w:trPr>
          <w:trHeight w:val="403" w:hRule="atLeast"/>
          <w:jc w:val="center"/>
        </w:trPr>
        <w:tc>
          <w:tcPr>
            <w:tcW w:w="129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Tahoma"/>
                <w:kern w:val="0"/>
                <w:sz w:val="18"/>
                <w:szCs w:val="18"/>
              </w:rPr>
            </w:pPr>
            <w:r>
              <w:rPr>
                <w:rFonts w:hint="eastAsia" w:ascii="宋体" w:hAnsi="宋体" w:cs="Tahoma"/>
                <w:kern w:val="0"/>
                <w:sz w:val="18"/>
                <w:szCs w:val="18"/>
              </w:rPr>
              <w:t>开发程度</w:t>
            </w:r>
          </w:p>
        </w:tc>
        <w:tc>
          <w:tcPr>
            <w:tcW w:w="8339" w:type="dxa"/>
            <w:gridSpan w:val="5"/>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Tahoma"/>
                <w:kern w:val="0"/>
                <w:sz w:val="18"/>
                <w:szCs w:val="18"/>
              </w:rPr>
            </w:pPr>
            <w:r>
              <w:rPr>
                <w:rFonts w:hint="eastAsia" w:ascii="宋体" w:hAnsi="宋体" w:cs="Tahoma"/>
                <w:kern w:val="0"/>
                <w:sz w:val="18"/>
                <w:szCs w:val="18"/>
              </w:rPr>
              <w:t>“六通一平”，即：通上水、下水、通电、通气、通讯、通道路，场地平整。</w:t>
            </w:r>
          </w:p>
        </w:tc>
      </w:tr>
      <w:tr>
        <w:tblPrEx>
          <w:tblCellMar>
            <w:top w:w="0" w:type="dxa"/>
            <w:left w:w="108" w:type="dxa"/>
            <w:bottom w:w="0" w:type="dxa"/>
            <w:right w:w="108" w:type="dxa"/>
          </w:tblCellMar>
        </w:tblPrEx>
        <w:trPr>
          <w:trHeight w:val="463" w:hRule="atLeast"/>
          <w:jc w:val="center"/>
        </w:trPr>
        <w:tc>
          <w:tcPr>
            <w:tcW w:w="1296"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Tahoma"/>
                <w:kern w:val="0"/>
                <w:sz w:val="18"/>
                <w:szCs w:val="18"/>
              </w:rPr>
            </w:pPr>
            <w:r>
              <w:rPr>
                <w:rFonts w:hint="eastAsia" w:ascii="宋体" w:hAnsi="宋体" w:cs="Tahoma"/>
                <w:kern w:val="0"/>
                <w:sz w:val="18"/>
                <w:szCs w:val="18"/>
              </w:rPr>
              <w:t>宗地四至</w:t>
            </w:r>
          </w:p>
        </w:tc>
        <w:tc>
          <w:tcPr>
            <w:tcW w:w="8339" w:type="dxa"/>
            <w:gridSpan w:val="5"/>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Tahoma"/>
                <w:kern w:val="0"/>
                <w:sz w:val="18"/>
                <w:szCs w:val="18"/>
              </w:rPr>
            </w:pPr>
            <w:r>
              <w:rPr>
                <w:rFonts w:hint="eastAsia" w:ascii="宋体" w:hAnsi="宋体"/>
                <w:snapToGrid w:val="0"/>
                <w:kern w:val="0"/>
                <w:sz w:val="18"/>
                <w:szCs w:val="18"/>
                <w:lang w:val="en-US" w:eastAsia="zh-CN"/>
              </w:rPr>
              <w:t>东至滨江中路，南至住宅区、犍为县妇幼保健院，西至南阳路，北至互和路</w:t>
            </w:r>
            <w:r>
              <w:rPr>
                <w:rFonts w:hint="eastAsia" w:ascii="宋体" w:hAnsi="宋体"/>
                <w:snapToGrid w:val="0"/>
                <w:kern w:val="0"/>
                <w:sz w:val="18"/>
                <w:szCs w:val="18"/>
                <w:lang w:eastAsia="zh-CN"/>
              </w:rPr>
              <w:t>。</w:t>
            </w:r>
          </w:p>
        </w:tc>
      </w:tr>
    </w:tbl>
    <w:p>
      <w:pPr>
        <w:keepNext w:val="0"/>
        <w:keepLines w:val="0"/>
        <w:pageBreakBefore w:val="0"/>
        <w:widowControl w:val="0"/>
        <w:kinsoku/>
        <w:wordWrap/>
        <w:overflowPunct/>
        <w:topLinePunct w:val="0"/>
        <w:autoSpaceDE/>
        <w:autoSpaceDN/>
        <w:bidi w:val="0"/>
        <w:adjustRightInd w:val="0"/>
        <w:snapToGrid/>
        <w:spacing w:line="48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2、建筑物基本状况</w:t>
      </w:r>
    </w:p>
    <w:p>
      <w:pPr>
        <w:keepNext w:val="0"/>
        <w:keepLines w:val="0"/>
        <w:pageBreakBefore w:val="0"/>
        <w:widowControl w:val="0"/>
        <w:kinsoku/>
        <w:wordWrap/>
        <w:overflowPunct/>
        <w:topLinePunct w:val="0"/>
        <w:autoSpaceDE/>
        <w:autoSpaceDN/>
        <w:bidi w:val="0"/>
        <w:adjustRightInd w:val="0"/>
        <w:snapToGrid/>
        <w:spacing w:line="48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(1)建筑功能：房屋为市场化商品房建筑，</w:t>
      </w:r>
      <w:r>
        <w:rPr>
          <w:rFonts w:hint="eastAsia" w:ascii="宋体" w:hAnsi="宋体" w:cs="宋体"/>
          <w:sz w:val="24"/>
          <w:szCs w:val="24"/>
          <w:lang w:val="en-US" w:eastAsia="zh-CN"/>
        </w:rPr>
        <w:t>住宅</w:t>
      </w:r>
      <w:r>
        <w:rPr>
          <w:rFonts w:hint="eastAsia" w:ascii="宋体" w:hAnsi="宋体" w:cs="宋体"/>
          <w:sz w:val="24"/>
          <w:szCs w:val="24"/>
          <w:lang w:eastAsia="zh-CN"/>
        </w:rPr>
        <w:t>户型</w:t>
      </w:r>
      <w:r>
        <w:rPr>
          <w:rFonts w:hint="eastAsia" w:ascii="宋体" w:hAnsi="宋体" w:eastAsia="宋体" w:cs="宋体"/>
          <w:sz w:val="24"/>
          <w:szCs w:val="24"/>
        </w:rPr>
        <w:t>为</w:t>
      </w:r>
      <w:r>
        <w:rPr>
          <w:rFonts w:hint="eastAsia" w:ascii="宋体" w:hAnsi="宋体" w:eastAsia="宋体" w:cs="宋体"/>
          <w:bCs/>
          <w:color w:val="000000"/>
          <w:sz w:val="24"/>
          <w:szCs w:val="24"/>
          <w:lang w:val="en-US" w:eastAsia="zh-CN"/>
        </w:rPr>
        <w:t>平层</w:t>
      </w:r>
      <w:r>
        <w:rPr>
          <w:rFonts w:hint="eastAsia" w:ascii="宋体" w:hAnsi="宋体" w:cs="宋体"/>
          <w:bCs/>
          <w:color w:val="000000"/>
          <w:sz w:val="24"/>
          <w:szCs w:val="24"/>
          <w:lang w:val="en-US" w:eastAsia="zh-CN"/>
        </w:rPr>
        <w:t>结构</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val="0"/>
        <w:snapToGrid/>
        <w:spacing w:line="48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(2)规模：估价对象建筑面积</w:t>
      </w:r>
      <w:r>
        <w:rPr>
          <w:rFonts w:hint="eastAsia" w:ascii="宋体" w:hAnsi="宋体" w:cs="宋体"/>
          <w:sz w:val="24"/>
          <w:szCs w:val="24"/>
          <w:lang w:val="en-US" w:eastAsia="zh-CN"/>
        </w:rPr>
        <w:t>112.17</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val="0"/>
        <w:snapToGrid/>
        <w:spacing w:line="48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(3)用途：</w:t>
      </w:r>
      <w:r>
        <w:rPr>
          <w:rFonts w:hint="eastAsia" w:ascii="宋体" w:hAnsi="宋体" w:cs="宋体"/>
          <w:sz w:val="24"/>
          <w:szCs w:val="24"/>
          <w:lang w:eastAsia="zh-CN"/>
        </w:rPr>
        <w:t>规划用途为住宅</w:t>
      </w:r>
      <w:r>
        <w:rPr>
          <w:rFonts w:hint="eastAsia" w:ascii="宋体" w:hAnsi="宋体" w:eastAsia="宋体" w:cs="宋体"/>
          <w:sz w:val="24"/>
          <w:szCs w:val="24"/>
        </w:rPr>
        <w:t>，</w:t>
      </w:r>
      <w:r>
        <w:rPr>
          <w:rFonts w:hint="eastAsia" w:ascii="宋体" w:hAnsi="宋体" w:cs="宋体"/>
          <w:sz w:val="24"/>
          <w:szCs w:val="24"/>
          <w:lang w:eastAsia="zh-CN"/>
        </w:rPr>
        <w:t>实际用途为住宅</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val="0"/>
        <w:snapToGrid/>
        <w:spacing w:line="48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(4)建成年代及成新率：于20</w:t>
      </w:r>
      <w:r>
        <w:rPr>
          <w:rFonts w:hint="eastAsia" w:ascii="宋体" w:hAnsi="宋体" w:cs="宋体"/>
          <w:sz w:val="24"/>
          <w:szCs w:val="24"/>
          <w:lang w:val="en-US" w:eastAsia="zh-CN"/>
        </w:rPr>
        <w:t>12</w:t>
      </w:r>
      <w:r>
        <w:rPr>
          <w:rFonts w:hint="eastAsia" w:ascii="宋体" w:hAnsi="宋体" w:eastAsia="宋体" w:cs="宋体"/>
          <w:sz w:val="24"/>
          <w:szCs w:val="24"/>
        </w:rPr>
        <w:t>年建成，至价值时点已有</w:t>
      </w:r>
      <w:r>
        <w:rPr>
          <w:rFonts w:hint="eastAsia" w:ascii="宋体" w:hAnsi="宋体" w:cs="宋体"/>
          <w:sz w:val="24"/>
          <w:szCs w:val="24"/>
          <w:lang w:val="en-US" w:eastAsia="zh-CN"/>
        </w:rPr>
        <w:t>10</w:t>
      </w:r>
      <w:r>
        <w:rPr>
          <w:rFonts w:hint="eastAsia" w:ascii="宋体" w:hAnsi="宋体" w:eastAsia="宋体" w:cs="宋体"/>
          <w:sz w:val="24"/>
          <w:szCs w:val="24"/>
        </w:rPr>
        <w:t>年，根据国家有关同类结构房屋的经济耐用年限的规定和估价对象已使用的年限，结合评估人员实地对估价对象建筑物进行勘察，确定</w:t>
      </w:r>
      <w:r>
        <w:rPr>
          <w:rFonts w:hint="eastAsia" w:ascii="宋体" w:hAnsi="宋体" w:eastAsia="宋体" w:cs="宋体"/>
          <w:sz w:val="24"/>
          <w:szCs w:val="24"/>
          <w:lang w:eastAsia="zh-CN"/>
        </w:rPr>
        <w:t>综合成新率</w:t>
      </w:r>
      <w:r>
        <w:rPr>
          <w:rFonts w:hint="eastAsia" w:ascii="宋体" w:hAnsi="宋体" w:eastAsia="宋体" w:cs="宋体"/>
          <w:sz w:val="24"/>
          <w:szCs w:val="24"/>
        </w:rPr>
        <w:t>为</w:t>
      </w:r>
      <w:r>
        <w:rPr>
          <w:rFonts w:hint="eastAsia" w:ascii="宋体" w:hAnsi="宋体" w:cs="宋体"/>
          <w:sz w:val="24"/>
          <w:szCs w:val="24"/>
          <w:lang w:val="en-US" w:eastAsia="zh-CN"/>
        </w:rPr>
        <w:t>80</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val="0"/>
        <w:snapToGrid/>
        <w:spacing w:line="48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(5)权属：</w:t>
      </w:r>
      <w:r>
        <w:rPr>
          <w:rFonts w:hint="eastAsia" w:ascii="宋体" w:hAnsi="宋体" w:cs="宋体"/>
          <w:sz w:val="24"/>
          <w:szCs w:val="24"/>
          <w:lang w:val="en-US" w:eastAsia="zh-CN"/>
        </w:rPr>
        <w:t>权利人为周玉芬、曾定均</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val="0"/>
        <w:snapToGrid/>
        <w:spacing w:line="48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(6)工程质量：该建筑物工程质量未见瑕疵。</w:t>
      </w:r>
    </w:p>
    <w:p>
      <w:pPr>
        <w:keepNext w:val="0"/>
        <w:keepLines w:val="0"/>
        <w:pageBreakBefore w:val="0"/>
        <w:widowControl w:val="0"/>
        <w:kinsoku/>
        <w:wordWrap/>
        <w:overflowPunct/>
        <w:topLinePunct w:val="0"/>
        <w:autoSpaceDE/>
        <w:autoSpaceDN/>
        <w:bidi w:val="0"/>
        <w:adjustRightInd w:val="0"/>
        <w:snapToGrid/>
        <w:spacing w:line="48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(7)建筑结构：估价对象</w:t>
      </w:r>
      <w:r>
        <w:rPr>
          <w:rFonts w:hint="eastAsia" w:ascii="宋体" w:hAnsi="宋体" w:cs="宋体"/>
          <w:sz w:val="24"/>
          <w:szCs w:val="24"/>
          <w:lang w:eastAsia="zh-CN"/>
        </w:rPr>
        <w:t>为钢筋混凝土结构，</w:t>
      </w:r>
      <w:r>
        <w:rPr>
          <w:rFonts w:hint="eastAsia" w:ascii="宋体" w:hAnsi="宋体" w:eastAsia="宋体" w:cs="宋体"/>
          <w:sz w:val="24"/>
          <w:szCs w:val="24"/>
        </w:rPr>
        <w:t>建筑物外立面主要以外墙墙砖为主。</w:t>
      </w:r>
    </w:p>
    <w:p>
      <w:pPr>
        <w:keepNext w:val="0"/>
        <w:keepLines w:val="0"/>
        <w:pageBreakBefore w:val="0"/>
        <w:widowControl w:val="0"/>
        <w:kinsoku/>
        <w:wordWrap/>
        <w:overflowPunct/>
        <w:topLinePunct w:val="0"/>
        <w:autoSpaceDE/>
        <w:autoSpaceDN/>
        <w:bidi w:val="0"/>
        <w:adjustRightInd w:val="0"/>
        <w:snapToGrid/>
        <w:spacing w:line="480" w:lineRule="exact"/>
        <w:ind w:firstLine="360" w:firstLineChars="15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rPr>
        <w:t>(8)装饰装修：</w:t>
      </w:r>
      <w:r>
        <w:rPr>
          <w:rFonts w:hint="eastAsia" w:ascii="宋体" w:hAnsi="宋体" w:eastAsia="宋体" w:cs="宋体"/>
          <w:sz w:val="24"/>
          <w:szCs w:val="24"/>
          <w:lang w:val="en-US" w:eastAsia="zh-CN" w:bidi="ar-SA"/>
        </w:rPr>
        <w:t>入户门为防盗门；窗为塑钢窗；客厅：地砖地面，内墙面刷乳胶漆，天面为</w:t>
      </w:r>
      <w:r>
        <w:rPr>
          <w:rFonts w:hint="eastAsia" w:ascii="宋体" w:hAnsi="宋体" w:cs="宋体"/>
          <w:sz w:val="24"/>
          <w:szCs w:val="24"/>
          <w:lang w:val="en-US" w:eastAsia="zh-CN" w:bidi="ar-SA"/>
        </w:rPr>
        <w:t>石膏板</w:t>
      </w:r>
      <w:r>
        <w:rPr>
          <w:rFonts w:hint="eastAsia" w:ascii="宋体" w:hAnsi="宋体" w:eastAsia="宋体" w:cs="宋体"/>
          <w:sz w:val="24"/>
          <w:szCs w:val="24"/>
          <w:lang w:val="en-US" w:eastAsia="zh-CN" w:bidi="ar-SA"/>
        </w:rPr>
        <w:t>吊顶</w:t>
      </w:r>
      <w:r>
        <w:rPr>
          <w:rFonts w:hint="eastAsia" w:ascii="宋体" w:hAnsi="宋体" w:cs="宋体"/>
          <w:sz w:val="24"/>
          <w:szCs w:val="24"/>
          <w:lang w:val="en-US" w:eastAsia="zh-CN" w:bidi="ar-SA"/>
        </w:rPr>
        <w:t>乳胶漆饰面</w:t>
      </w:r>
      <w:r>
        <w:rPr>
          <w:rFonts w:hint="eastAsia" w:ascii="宋体" w:hAnsi="宋体" w:eastAsia="宋体" w:cs="宋体"/>
          <w:sz w:val="24"/>
          <w:szCs w:val="24"/>
          <w:lang w:val="en-US" w:eastAsia="zh-CN" w:bidi="ar-SA"/>
        </w:rPr>
        <w:t>；卧室：门为实木门，</w:t>
      </w:r>
      <w:r>
        <w:rPr>
          <w:rFonts w:hint="eastAsia" w:ascii="宋体" w:hAnsi="宋体" w:cs="宋体"/>
          <w:sz w:val="24"/>
          <w:szCs w:val="24"/>
          <w:lang w:val="en-US" w:eastAsia="zh-CN" w:bidi="ar-SA"/>
        </w:rPr>
        <w:t>木地板</w:t>
      </w:r>
      <w:r>
        <w:rPr>
          <w:rFonts w:hint="eastAsia" w:ascii="宋体" w:hAnsi="宋体" w:eastAsia="宋体" w:cs="宋体"/>
          <w:sz w:val="24"/>
          <w:szCs w:val="24"/>
          <w:lang w:val="en-US" w:eastAsia="zh-CN" w:bidi="ar-SA"/>
        </w:rPr>
        <w:t>地面，墙面刷乳胶漆，天面刷乳胶漆；厨房：地砖地面，墙面贴瓷砖，天面为</w:t>
      </w:r>
      <w:r>
        <w:rPr>
          <w:rFonts w:hint="eastAsia" w:ascii="宋体" w:hAnsi="宋体" w:cs="宋体"/>
          <w:sz w:val="24"/>
          <w:szCs w:val="24"/>
          <w:lang w:val="en-US" w:eastAsia="zh-CN" w:bidi="ar-SA"/>
        </w:rPr>
        <w:t>铝扣板</w:t>
      </w:r>
      <w:r>
        <w:rPr>
          <w:rFonts w:hint="eastAsia" w:ascii="宋体" w:hAnsi="宋体" w:eastAsia="宋体" w:cs="宋体"/>
          <w:sz w:val="24"/>
          <w:szCs w:val="24"/>
          <w:lang w:val="en-US" w:eastAsia="zh-CN" w:bidi="ar-SA"/>
        </w:rPr>
        <w:t>吊顶，卫生间：地砖地面，墙面贴瓷砖，天面为</w:t>
      </w:r>
      <w:r>
        <w:rPr>
          <w:rFonts w:hint="eastAsia" w:ascii="宋体" w:hAnsi="宋体" w:cs="宋体"/>
          <w:sz w:val="24"/>
          <w:szCs w:val="24"/>
          <w:lang w:val="en-US" w:eastAsia="zh-CN" w:bidi="ar-SA"/>
        </w:rPr>
        <w:t>铝扣板</w:t>
      </w:r>
      <w:r>
        <w:rPr>
          <w:rFonts w:hint="eastAsia" w:ascii="宋体" w:hAnsi="宋体" w:eastAsia="宋体" w:cs="宋体"/>
          <w:sz w:val="24"/>
          <w:szCs w:val="24"/>
          <w:lang w:val="en-US" w:eastAsia="zh-CN" w:bidi="ar-SA"/>
        </w:rPr>
        <w:t>吊顶；室内水电均为暗敷。</w:t>
      </w:r>
    </w:p>
    <w:p>
      <w:pPr>
        <w:keepNext w:val="0"/>
        <w:keepLines w:val="0"/>
        <w:pageBreakBefore w:val="0"/>
        <w:widowControl w:val="0"/>
        <w:kinsoku/>
        <w:wordWrap/>
        <w:overflowPunct/>
        <w:topLinePunct w:val="0"/>
        <w:autoSpaceDE/>
        <w:autoSpaceDN/>
        <w:bidi w:val="0"/>
        <w:adjustRightInd w:val="0"/>
        <w:snapToGrid/>
        <w:spacing w:line="48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(9)设施设备：该建筑物配有</w:t>
      </w:r>
      <w:r>
        <w:rPr>
          <w:rFonts w:hint="eastAsia" w:ascii="宋体" w:hAnsi="宋体" w:cs="宋体"/>
          <w:sz w:val="24"/>
          <w:szCs w:val="24"/>
          <w:lang w:val="en-US" w:eastAsia="zh-CN"/>
        </w:rPr>
        <w:t>电梯、</w:t>
      </w:r>
      <w:r>
        <w:rPr>
          <w:rFonts w:hint="eastAsia" w:ascii="宋体" w:hAnsi="宋体" w:eastAsia="宋体" w:cs="宋体"/>
          <w:sz w:val="24"/>
          <w:szCs w:val="24"/>
          <w:lang w:val="en-US" w:eastAsia="zh-CN"/>
        </w:rPr>
        <w:t>步梯</w:t>
      </w:r>
      <w:r>
        <w:rPr>
          <w:rFonts w:hint="eastAsia" w:ascii="宋体" w:hAnsi="宋体" w:eastAsia="宋体" w:cs="宋体"/>
          <w:sz w:val="24"/>
          <w:szCs w:val="24"/>
        </w:rPr>
        <w:t>、供水、排水、电力、</w:t>
      </w:r>
      <w:r>
        <w:rPr>
          <w:rFonts w:hint="eastAsia" w:ascii="宋体" w:hAnsi="宋体" w:cs="宋体"/>
          <w:sz w:val="24"/>
          <w:szCs w:val="24"/>
          <w:lang w:val="en-US" w:eastAsia="zh-CN"/>
        </w:rPr>
        <w:t>燃气、</w:t>
      </w:r>
      <w:r>
        <w:rPr>
          <w:rFonts w:hint="eastAsia" w:ascii="宋体" w:hAnsi="宋体" w:eastAsia="宋体" w:cs="宋体"/>
          <w:sz w:val="24"/>
          <w:szCs w:val="24"/>
        </w:rPr>
        <w:t>网络、消防设施等。其中供水、排水、强电、弱电</w:t>
      </w:r>
      <w:r>
        <w:rPr>
          <w:rFonts w:hint="eastAsia" w:ascii="宋体" w:hAnsi="宋体" w:cs="宋体"/>
          <w:sz w:val="24"/>
          <w:szCs w:val="24"/>
          <w:lang w:eastAsia="zh-CN"/>
        </w:rPr>
        <w:t>、</w:t>
      </w:r>
      <w:r>
        <w:rPr>
          <w:rFonts w:hint="eastAsia" w:ascii="宋体" w:hAnsi="宋体" w:cs="宋体"/>
          <w:sz w:val="24"/>
          <w:szCs w:val="24"/>
          <w:lang w:val="en-US" w:eastAsia="zh-CN"/>
        </w:rPr>
        <w:t>燃气</w:t>
      </w:r>
      <w:r>
        <w:rPr>
          <w:rFonts w:hint="eastAsia" w:ascii="宋体" w:hAnsi="宋体" w:eastAsia="宋体" w:cs="宋体"/>
          <w:sz w:val="24"/>
          <w:szCs w:val="24"/>
        </w:rPr>
        <w:t>均接入市政管网，保障率高；楼栋设有逃生通道。</w:t>
      </w:r>
    </w:p>
    <w:p>
      <w:pPr>
        <w:keepNext w:val="0"/>
        <w:keepLines w:val="0"/>
        <w:pageBreakBefore w:val="0"/>
        <w:widowControl w:val="0"/>
        <w:kinsoku/>
        <w:wordWrap/>
        <w:overflowPunct/>
        <w:topLinePunct w:val="0"/>
        <w:autoSpaceDE/>
        <w:autoSpaceDN/>
        <w:bidi w:val="0"/>
        <w:adjustRightInd w:val="0"/>
        <w:snapToGrid/>
        <w:spacing w:line="48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(10)</w:t>
      </w:r>
      <w:r>
        <w:rPr>
          <w:rFonts w:hint="eastAsia" w:ascii="宋体" w:hAnsi="宋体" w:cs="宋体"/>
          <w:sz w:val="24"/>
          <w:szCs w:val="24"/>
          <w:lang w:eastAsia="zh-CN"/>
        </w:rPr>
        <w:t>层高</w:t>
      </w:r>
      <w:r>
        <w:rPr>
          <w:rFonts w:hint="eastAsia" w:ascii="宋体" w:hAnsi="宋体" w:eastAsia="宋体" w:cs="宋体"/>
          <w:sz w:val="24"/>
          <w:szCs w:val="24"/>
        </w:rPr>
        <w:t>：估价对象</w:t>
      </w:r>
      <w:r>
        <w:rPr>
          <w:rFonts w:hint="eastAsia" w:ascii="宋体" w:hAnsi="宋体" w:cs="宋体"/>
          <w:sz w:val="24"/>
          <w:szCs w:val="24"/>
          <w:lang w:eastAsia="zh-CN"/>
        </w:rPr>
        <w:t>层高</w:t>
      </w:r>
      <w:r>
        <w:rPr>
          <w:rFonts w:hint="eastAsia" w:ascii="宋体" w:hAnsi="宋体" w:eastAsia="宋体" w:cs="宋体"/>
          <w:sz w:val="24"/>
          <w:szCs w:val="24"/>
        </w:rPr>
        <w:t>约为</w:t>
      </w:r>
      <w:r>
        <w:rPr>
          <w:rFonts w:hint="eastAsia" w:ascii="宋体" w:hAnsi="宋体" w:cs="宋体"/>
          <w:sz w:val="24"/>
          <w:szCs w:val="24"/>
          <w:lang w:val="en-US" w:eastAsia="zh-CN"/>
        </w:rPr>
        <w:t>3</w:t>
      </w:r>
      <w:r>
        <w:rPr>
          <w:rFonts w:hint="eastAsia" w:ascii="宋体" w:hAnsi="宋体" w:eastAsia="宋体" w:cs="宋体"/>
          <w:sz w:val="24"/>
          <w:szCs w:val="24"/>
        </w:rPr>
        <w:t>米。</w:t>
      </w:r>
    </w:p>
    <w:p>
      <w:pPr>
        <w:keepNext w:val="0"/>
        <w:keepLines w:val="0"/>
        <w:pageBreakBefore w:val="0"/>
        <w:widowControl w:val="0"/>
        <w:kinsoku/>
        <w:wordWrap/>
        <w:overflowPunct/>
        <w:topLinePunct w:val="0"/>
        <w:autoSpaceDE/>
        <w:autoSpaceDN/>
        <w:bidi w:val="0"/>
        <w:adjustRightInd w:val="0"/>
        <w:snapToGrid/>
        <w:spacing w:line="48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(11)楼梯类型：</w:t>
      </w:r>
      <w:r>
        <w:rPr>
          <w:rFonts w:hint="eastAsia" w:ascii="宋体" w:hAnsi="宋体" w:cs="宋体"/>
          <w:sz w:val="24"/>
          <w:szCs w:val="24"/>
          <w:lang w:val="en-US" w:eastAsia="zh-CN"/>
        </w:rPr>
        <w:t>电梯</w:t>
      </w:r>
      <w:r>
        <w:rPr>
          <w:rFonts w:hint="eastAsia" w:ascii="宋体" w:hAnsi="宋体" w:cs="宋体"/>
          <w:sz w:val="24"/>
          <w:szCs w:val="24"/>
          <w:lang w:eastAsia="zh-CN"/>
        </w:rPr>
        <w:t>、</w:t>
      </w:r>
      <w:r>
        <w:rPr>
          <w:rFonts w:hint="eastAsia" w:ascii="宋体" w:hAnsi="宋体" w:eastAsia="宋体" w:cs="宋体"/>
          <w:sz w:val="24"/>
          <w:szCs w:val="24"/>
        </w:rPr>
        <w:t>步梯。</w:t>
      </w:r>
    </w:p>
    <w:p>
      <w:pPr>
        <w:keepNext w:val="0"/>
        <w:keepLines w:val="0"/>
        <w:pageBreakBefore w:val="0"/>
        <w:widowControl w:val="0"/>
        <w:kinsoku/>
        <w:wordWrap/>
        <w:overflowPunct/>
        <w:topLinePunct w:val="0"/>
        <w:autoSpaceDE/>
        <w:autoSpaceDN/>
        <w:bidi w:val="0"/>
        <w:adjustRightInd w:val="0"/>
        <w:snapToGrid/>
        <w:spacing w:line="48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(12)空间布局：估价对象为</w:t>
      </w:r>
      <w:r>
        <w:rPr>
          <w:rFonts w:hint="eastAsia" w:ascii="宋体" w:hAnsi="宋体" w:cs="宋体"/>
          <w:sz w:val="24"/>
          <w:szCs w:val="24"/>
          <w:lang w:val="en-US" w:eastAsia="zh-CN"/>
        </w:rPr>
        <w:t>平层</w:t>
      </w:r>
      <w:r>
        <w:rPr>
          <w:rFonts w:hint="eastAsia" w:ascii="宋体" w:hAnsi="宋体" w:cs="宋体"/>
          <w:color w:val="000000"/>
          <w:sz w:val="24"/>
          <w:szCs w:val="24"/>
        </w:rPr>
        <w:t>结构</w:t>
      </w:r>
      <w:r>
        <w:rPr>
          <w:rFonts w:hint="eastAsia" w:ascii="宋体" w:hAnsi="宋体" w:cs="宋体"/>
          <w:sz w:val="24"/>
          <w:szCs w:val="24"/>
          <w:lang w:val="en-US" w:eastAsia="zh-CN"/>
        </w:rPr>
        <w:t>，户型结构为三室两厅一厨两卫一阳台</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val="0"/>
        <w:snapToGrid/>
        <w:spacing w:line="480" w:lineRule="exact"/>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(13)外观维修养护情况：估价对象所在建筑外观维护保养情况较好，地面、墙面、门窗无破损，维护保养状况较好。</w:t>
      </w:r>
    </w:p>
    <w:p>
      <w:pPr>
        <w:pageBreakBefore w:val="0"/>
        <w:widowControl w:val="0"/>
        <w:kinsoku/>
        <w:wordWrap/>
        <w:overflowPunct/>
        <w:topLinePunct w:val="0"/>
        <w:autoSpaceDE/>
        <w:autoSpaceDN/>
        <w:bidi w:val="0"/>
        <w:adjustRightInd w:val="0"/>
        <w:snapToGrid/>
        <w:spacing w:line="500" w:lineRule="exact"/>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lang w:val="en-US" w:eastAsia="zh-CN"/>
        </w:rPr>
        <w:t>五</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估价对象权益状况</w:t>
      </w:r>
    </w:p>
    <w:p>
      <w:pPr>
        <w:pageBreakBefore w:val="0"/>
        <w:widowControl w:val="0"/>
        <w:kinsoku/>
        <w:wordWrap/>
        <w:overflowPunct/>
        <w:topLinePunct w:val="0"/>
        <w:autoSpaceDE/>
        <w:autoSpaceDN/>
        <w:bidi w:val="0"/>
        <w:adjustRightInd w:val="0"/>
        <w:snapToGrid/>
        <w:spacing w:line="5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估价对象登记状况</w:t>
      </w:r>
    </w:p>
    <w:p>
      <w:pPr>
        <w:pageBreakBefore w:val="0"/>
        <w:widowControl w:val="0"/>
        <w:kinsoku/>
        <w:wordWrap/>
        <w:overflowPunct/>
        <w:topLinePunct w:val="0"/>
        <w:autoSpaceDE/>
        <w:autoSpaceDN/>
        <w:bidi w:val="0"/>
        <w:adjustRightInd w:val="0"/>
        <w:snapToGrid/>
        <w:spacing w:line="500" w:lineRule="exact"/>
        <w:ind w:firstLine="480" w:firstLineChars="200"/>
        <w:rPr>
          <w:rFonts w:hint="eastAsia" w:ascii="宋体" w:hAnsi="宋体" w:eastAsia="宋体" w:cs="宋体"/>
          <w:color w:val="000000"/>
          <w:sz w:val="24"/>
          <w:szCs w:val="24"/>
          <w:lang w:eastAsia="zh-CN"/>
        </w:rPr>
      </w:pPr>
      <w:r>
        <w:rPr>
          <w:rFonts w:hint="eastAsia" w:ascii="宋体" w:hAnsi="宋体" w:eastAsia="宋体" w:cs="宋体"/>
          <w:sz w:val="24"/>
          <w:szCs w:val="24"/>
        </w:rPr>
        <w:t>根据委托方提供的</w:t>
      </w:r>
      <w:r>
        <w:rPr>
          <w:rFonts w:hint="eastAsia" w:ascii="宋体" w:hAnsi="宋体" w:cs="宋体"/>
          <w:sz w:val="24"/>
          <w:szCs w:val="24"/>
          <w:lang w:val="en-US" w:eastAsia="zh-CN"/>
        </w:rPr>
        <w:t>《不动产登记信息查询结果单》</w:t>
      </w:r>
      <w:r>
        <w:rPr>
          <w:rFonts w:hint="eastAsia" w:ascii="宋体" w:hAnsi="宋体" w:eastAsia="宋体" w:cs="宋体"/>
          <w:sz w:val="24"/>
          <w:szCs w:val="24"/>
        </w:rPr>
        <w:t>复印件，</w:t>
      </w:r>
      <w:r>
        <w:rPr>
          <w:rFonts w:hint="eastAsia" w:ascii="宋体" w:hAnsi="宋体" w:eastAsia="宋体" w:cs="宋体"/>
          <w:color w:val="000000"/>
          <w:sz w:val="24"/>
          <w:szCs w:val="24"/>
        </w:rPr>
        <w:t>估价对象的权属登记状况</w:t>
      </w:r>
      <w:r>
        <w:rPr>
          <w:rFonts w:hint="eastAsia" w:ascii="宋体" w:hAnsi="宋体" w:eastAsia="宋体" w:cs="宋体"/>
          <w:color w:val="000000"/>
          <w:sz w:val="24"/>
          <w:szCs w:val="24"/>
          <w:lang w:val="en-US" w:eastAsia="zh-CN"/>
        </w:rPr>
        <w:t>如下</w:t>
      </w:r>
      <w:r>
        <w:rPr>
          <w:rFonts w:hint="eastAsia" w:ascii="宋体" w:hAnsi="宋体" w:eastAsia="宋体" w:cs="宋体"/>
          <w:color w:val="000000"/>
          <w:sz w:val="24"/>
          <w:szCs w:val="24"/>
          <w:lang w:eastAsia="zh-CN"/>
        </w:rPr>
        <w:t>：</w:t>
      </w:r>
    </w:p>
    <w:p>
      <w:pPr>
        <w:pStyle w:val="2"/>
        <w:jc w:val="right"/>
        <w:rPr>
          <w:rFonts w:hint="eastAsia"/>
          <w:sz w:val="21"/>
          <w:szCs w:val="21"/>
          <w:lang w:eastAsia="zh-CN"/>
        </w:rPr>
      </w:pPr>
      <w:r>
        <w:rPr>
          <w:rFonts w:hint="eastAsia" w:ascii="宋体" w:hAnsi="宋体" w:eastAsia="宋体" w:cs="宋体"/>
          <w:color w:val="000000"/>
          <w:sz w:val="18"/>
          <w:szCs w:val="18"/>
          <w:lang w:eastAsia="zh-CN"/>
        </w:rPr>
        <w:t>面积：平方米</w:t>
      </w:r>
    </w:p>
    <w:tbl>
      <w:tblPr>
        <w:tblStyle w:val="10"/>
        <w:tblW w:w="10455" w:type="dxa"/>
        <w:tblInd w:w="-5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949"/>
        <w:gridCol w:w="960"/>
        <w:gridCol w:w="795"/>
        <w:gridCol w:w="329"/>
        <w:gridCol w:w="1439"/>
        <w:gridCol w:w="1548"/>
        <w:gridCol w:w="930"/>
        <w:gridCol w:w="450"/>
        <w:gridCol w:w="48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10" w:type="dxa"/>
            <w:vMerge w:val="restart"/>
            <w:vAlign w:val="center"/>
          </w:tcPr>
          <w:p>
            <w:pPr>
              <w:wordWrap/>
              <w:spacing w:line="560" w:lineRule="exact"/>
              <w:jc w:val="center"/>
              <w:rPr>
                <w:rFonts w:hint="eastAsia" w:ascii="宋体" w:hAnsi="宋体" w:eastAsia="宋体" w:cs="宋体"/>
                <w:b/>
                <w:bCs/>
                <w:sz w:val="18"/>
                <w:szCs w:val="18"/>
                <w:vertAlign w:val="baseline"/>
                <w:lang w:val="en-US" w:eastAsia="zh-CN"/>
              </w:rPr>
            </w:pPr>
          </w:p>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cs="宋体"/>
                <w:b/>
                <w:bCs/>
                <w:color w:val="auto"/>
                <w:sz w:val="18"/>
                <w:szCs w:val="18"/>
                <w:vertAlign w:val="baseline"/>
                <w:lang w:val="en-US" w:eastAsia="zh-CN"/>
              </w:rPr>
              <w:t>不</w:t>
            </w:r>
          </w:p>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cs="宋体"/>
                <w:b/>
                <w:bCs/>
                <w:color w:val="auto"/>
                <w:sz w:val="18"/>
                <w:szCs w:val="18"/>
                <w:vertAlign w:val="baseline"/>
                <w:lang w:val="en-US" w:eastAsia="zh-CN"/>
              </w:rPr>
              <w:t>动</w:t>
            </w:r>
          </w:p>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cs="宋体"/>
                <w:b/>
                <w:bCs/>
                <w:color w:val="auto"/>
                <w:sz w:val="18"/>
                <w:szCs w:val="18"/>
                <w:vertAlign w:val="baseline"/>
                <w:lang w:val="en-US" w:eastAsia="zh-CN"/>
              </w:rPr>
              <w:t>产</w:t>
            </w:r>
          </w:p>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cs="宋体"/>
                <w:b/>
                <w:bCs/>
                <w:color w:val="auto"/>
                <w:sz w:val="18"/>
                <w:szCs w:val="18"/>
                <w:vertAlign w:val="baseline"/>
                <w:lang w:val="en-US" w:eastAsia="zh-CN"/>
              </w:rPr>
              <w:t>单</w:t>
            </w:r>
          </w:p>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cs="宋体"/>
                <w:b/>
                <w:bCs/>
                <w:color w:val="auto"/>
                <w:sz w:val="18"/>
                <w:szCs w:val="18"/>
                <w:vertAlign w:val="baseline"/>
                <w:lang w:val="en-US" w:eastAsia="zh-CN"/>
              </w:rPr>
              <w:t>元</w:t>
            </w:r>
          </w:p>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cs="宋体"/>
                <w:b/>
                <w:bCs/>
                <w:color w:val="auto"/>
                <w:sz w:val="18"/>
                <w:szCs w:val="18"/>
                <w:vertAlign w:val="baseline"/>
                <w:lang w:val="en-US" w:eastAsia="zh-CN"/>
              </w:rPr>
              <w:t>信</w:t>
            </w:r>
          </w:p>
          <w:p>
            <w:pPr>
              <w:wordWrap/>
              <w:spacing w:line="560" w:lineRule="exact"/>
              <w:jc w:val="center"/>
              <w:rPr>
                <w:rFonts w:hint="eastAsia" w:ascii="宋体" w:hAnsi="宋体" w:eastAsia="宋体" w:cs="宋体"/>
                <w:b/>
                <w:bCs/>
                <w:color w:val="000000"/>
                <w:sz w:val="18"/>
                <w:szCs w:val="18"/>
                <w:vertAlign w:val="baseline"/>
                <w:lang w:val="en-US" w:eastAsia="zh-CN"/>
              </w:rPr>
            </w:pPr>
            <w:r>
              <w:rPr>
                <w:rFonts w:hint="eastAsia" w:ascii="宋体" w:hAnsi="宋体" w:cs="宋体"/>
                <w:b/>
                <w:bCs/>
                <w:color w:val="auto"/>
                <w:sz w:val="18"/>
                <w:szCs w:val="18"/>
                <w:vertAlign w:val="baseline"/>
                <w:lang w:val="en-US" w:eastAsia="zh-CN"/>
              </w:rPr>
              <w:t>息</w:t>
            </w:r>
          </w:p>
        </w:tc>
        <w:tc>
          <w:tcPr>
            <w:tcW w:w="1949" w:type="dxa"/>
            <w:vAlign w:val="center"/>
          </w:tcPr>
          <w:p>
            <w:pPr>
              <w:wordWrap/>
              <w:spacing w:line="560" w:lineRule="exact"/>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sz w:val="18"/>
                <w:szCs w:val="18"/>
                <w:vertAlign w:val="baseline"/>
                <w:lang w:val="en-US" w:eastAsia="zh-CN"/>
              </w:rPr>
              <w:t>不动产单元类型</w:t>
            </w:r>
          </w:p>
        </w:tc>
        <w:tc>
          <w:tcPr>
            <w:tcW w:w="3523" w:type="dxa"/>
            <w:gridSpan w:val="4"/>
            <w:vAlign w:val="center"/>
          </w:tcPr>
          <w:p>
            <w:pPr>
              <w:wordWrap/>
              <w:spacing w:line="560" w:lineRule="exact"/>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sz w:val="18"/>
                <w:szCs w:val="18"/>
                <w:vertAlign w:val="baseline"/>
                <w:lang w:val="en-US" w:eastAsia="zh-CN"/>
              </w:rPr>
              <w:t>国有建设用地使用权/房屋所有权</w:t>
            </w:r>
          </w:p>
        </w:tc>
        <w:tc>
          <w:tcPr>
            <w:tcW w:w="1548" w:type="dxa"/>
            <w:vAlign w:val="center"/>
          </w:tcPr>
          <w:p>
            <w:pPr>
              <w:wordWrap/>
              <w:spacing w:line="560" w:lineRule="exact"/>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b/>
                <w:bCs/>
                <w:sz w:val="18"/>
                <w:szCs w:val="18"/>
                <w:vertAlign w:val="baseline"/>
                <w:lang w:val="en-US" w:eastAsia="zh-CN"/>
              </w:rPr>
              <w:t>不动产单元号</w:t>
            </w:r>
          </w:p>
        </w:tc>
        <w:tc>
          <w:tcPr>
            <w:tcW w:w="2925" w:type="dxa"/>
            <w:gridSpan w:val="4"/>
            <w:vAlign w:val="center"/>
          </w:tcPr>
          <w:p>
            <w:pPr>
              <w:wordWrap/>
              <w:spacing w:line="560" w:lineRule="exact"/>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sz w:val="18"/>
                <w:szCs w:val="18"/>
                <w:vertAlign w:val="baseline"/>
                <w:lang w:val="en-US" w:eastAsia="zh-CN"/>
              </w:rPr>
              <w:t>511123100004GB00005F00030028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10" w:type="dxa"/>
            <w:vMerge w:val="continue"/>
            <w:vAlign w:val="center"/>
          </w:tcPr>
          <w:p>
            <w:pPr>
              <w:wordWrap/>
              <w:spacing w:line="560" w:lineRule="exact"/>
              <w:jc w:val="center"/>
              <w:rPr>
                <w:rFonts w:hint="eastAsia" w:ascii="宋体" w:hAnsi="宋体" w:eastAsia="宋体" w:cs="宋体"/>
                <w:b/>
                <w:bCs/>
                <w:color w:val="000000"/>
                <w:sz w:val="24"/>
                <w:szCs w:val="24"/>
                <w:vertAlign w:val="baseline"/>
                <w:lang w:val="en-US" w:eastAsia="zh-CN"/>
              </w:rPr>
            </w:pPr>
          </w:p>
        </w:tc>
        <w:tc>
          <w:tcPr>
            <w:tcW w:w="1949" w:type="dxa"/>
            <w:vAlign w:val="center"/>
          </w:tcPr>
          <w:p>
            <w:pPr>
              <w:wordWrap/>
              <w:spacing w:line="560" w:lineRule="exact"/>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sz w:val="18"/>
                <w:szCs w:val="18"/>
                <w:vertAlign w:val="baseline"/>
                <w:lang w:val="en-US" w:eastAsia="zh-CN"/>
              </w:rPr>
              <w:t>房屋坐落</w:t>
            </w:r>
          </w:p>
        </w:tc>
        <w:tc>
          <w:tcPr>
            <w:tcW w:w="7996" w:type="dxa"/>
            <w:gridSpan w:val="9"/>
            <w:vAlign w:val="center"/>
          </w:tcPr>
          <w:p>
            <w:pPr>
              <w:wordWrap/>
              <w:spacing w:line="560" w:lineRule="exact"/>
              <w:jc w:val="center"/>
              <w:rPr>
                <w:rFonts w:hint="eastAsia" w:ascii="宋体" w:hAnsi="宋体" w:eastAsia="宋体" w:cs="宋体"/>
                <w:color w:val="auto"/>
                <w:sz w:val="18"/>
                <w:szCs w:val="18"/>
                <w:vertAlign w:val="baseline"/>
                <w:lang w:val="en-US" w:eastAsia="zh-CN"/>
              </w:rPr>
            </w:pPr>
            <w:r>
              <w:rPr>
                <w:rFonts w:hint="eastAsia" w:ascii="宋体" w:hAnsi="宋体" w:cs="宋体"/>
                <w:sz w:val="18"/>
                <w:szCs w:val="18"/>
              </w:rPr>
              <w:t>犍为县玉津镇滨江路南段2号4幢1单元801号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10" w:type="dxa"/>
            <w:vMerge w:val="continue"/>
            <w:vAlign w:val="center"/>
          </w:tcPr>
          <w:p>
            <w:pPr>
              <w:wordWrap/>
              <w:spacing w:line="560" w:lineRule="exact"/>
              <w:jc w:val="center"/>
              <w:rPr>
                <w:rFonts w:hint="eastAsia" w:ascii="宋体" w:hAnsi="宋体" w:eastAsia="宋体" w:cs="宋体"/>
                <w:b/>
                <w:bCs/>
                <w:color w:val="000000"/>
                <w:sz w:val="24"/>
                <w:szCs w:val="24"/>
                <w:vertAlign w:val="baseline"/>
                <w:lang w:val="en-US" w:eastAsia="zh-CN"/>
              </w:rPr>
            </w:pPr>
          </w:p>
        </w:tc>
        <w:tc>
          <w:tcPr>
            <w:tcW w:w="1949" w:type="dxa"/>
            <w:vAlign w:val="center"/>
          </w:tcPr>
          <w:p>
            <w:pPr>
              <w:wordWrap/>
              <w:spacing w:line="560" w:lineRule="exact"/>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sz w:val="18"/>
                <w:szCs w:val="18"/>
                <w:vertAlign w:val="baseline"/>
                <w:lang w:val="en-US" w:eastAsia="zh-CN"/>
              </w:rPr>
              <w:t>实测（预测）建筑面积</w:t>
            </w:r>
          </w:p>
        </w:tc>
        <w:tc>
          <w:tcPr>
            <w:tcW w:w="2084" w:type="dxa"/>
            <w:gridSpan w:val="3"/>
            <w:vAlign w:val="center"/>
          </w:tcPr>
          <w:p>
            <w:pPr>
              <w:wordWrap/>
              <w:spacing w:line="560" w:lineRule="exact"/>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sz w:val="18"/>
                <w:szCs w:val="18"/>
                <w:vertAlign w:val="baseline"/>
                <w:lang w:val="en-US" w:eastAsia="zh-CN"/>
              </w:rPr>
              <w:t>112.17</w:t>
            </w:r>
          </w:p>
        </w:tc>
        <w:tc>
          <w:tcPr>
            <w:tcW w:w="1439" w:type="dxa"/>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自然幢号</w:t>
            </w:r>
          </w:p>
        </w:tc>
        <w:tc>
          <w:tcPr>
            <w:tcW w:w="1548" w:type="dxa"/>
            <w:vAlign w:val="center"/>
          </w:tcPr>
          <w:p>
            <w:pPr>
              <w:wordWrap/>
              <w:spacing w:line="560" w:lineRule="exact"/>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sz w:val="18"/>
                <w:szCs w:val="18"/>
                <w:vertAlign w:val="baseline"/>
                <w:lang w:val="en-US" w:eastAsia="zh-CN"/>
              </w:rPr>
              <w:t>4幢</w:t>
            </w:r>
          </w:p>
        </w:tc>
        <w:tc>
          <w:tcPr>
            <w:tcW w:w="1380" w:type="dxa"/>
            <w:gridSpan w:val="2"/>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单元号</w:t>
            </w:r>
          </w:p>
        </w:tc>
        <w:tc>
          <w:tcPr>
            <w:tcW w:w="1545" w:type="dxa"/>
            <w:gridSpan w:val="2"/>
            <w:vAlign w:val="center"/>
          </w:tcPr>
          <w:p>
            <w:pPr>
              <w:wordWrap/>
              <w:spacing w:line="560" w:lineRule="exact"/>
              <w:jc w:val="center"/>
              <w:rPr>
                <w:rFonts w:hint="eastAsia" w:ascii="宋体" w:hAnsi="宋体" w:eastAsia="宋体" w:cs="宋体"/>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10" w:type="dxa"/>
            <w:vMerge w:val="continue"/>
            <w:vAlign w:val="center"/>
          </w:tcPr>
          <w:p>
            <w:pPr>
              <w:wordWrap/>
              <w:spacing w:line="560" w:lineRule="exact"/>
              <w:jc w:val="center"/>
              <w:rPr>
                <w:rFonts w:hint="eastAsia" w:ascii="宋体" w:hAnsi="宋体" w:eastAsia="宋体" w:cs="宋体"/>
                <w:b/>
                <w:bCs/>
                <w:color w:val="000000"/>
                <w:sz w:val="24"/>
                <w:szCs w:val="24"/>
                <w:vertAlign w:val="baseline"/>
                <w:lang w:val="en-US" w:eastAsia="zh-CN"/>
              </w:rPr>
            </w:pPr>
          </w:p>
        </w:tc>
        <w:tc>
          <w:tcPr>
            <w:tcW w:w="1949" w:type="dxa"/>
            <w:vAlign w:val="center"/>
          </w:tcPr>
          <w:p>
            <w:pPr>
              <w:wordWrap/>
              <w:spacing w:line="560" w:lineRule="exact"/>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sz w:val="18"/>
                <w:szCs w:val="18"/>
                <w:vertAlign w:val="baseline"/>
                <w:lang w:val="en-US" w:eastAsia="zh-CN"/>
              </w:rPr>
              <w:t>套内建筑面积</w:t>
            </w:r>
          </w:p>
        </w:tc>
        <w:tc>
          <w:tcPr>
            <w:tcW w:w="2084" w:type="dxa"/>
            <w:gridSpan w:val="3"/>
            <w:vAlign w:val="center"/>
          </w:tcPr>
          <w:p>
            <w:pPr>
              <w:wordWrap/>
              <w:spacing w:line="560" w:lineRule="exact"/>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sz w:val="18"/>
                <w:szCs w:val="18"/>
                <w:vertAlign w:val="baseline"/>
                <w:lang w:val="en-US" w:eastAsia="zh-CN"/>
              </w:rPr>
              <w:t>93.87</w:t>
            </w:r>
          </w:p>
        </w:tc>
        <w:tc>
          <w:tcPr>
            <w:tcW w:w="1439" w:type="dxa"/>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规划用途</w:t>
            </w:r>
          </w:p>
        </w:tc>
        <w:tc>
          <w:tcPr>
            <w:tcW w:w="1548" w:type="dxa"/>
            <w:vAlign w:val="center"/>
          </w:tcPr>
          <w:p>
            <w:pPr>
              <w:wordWrap/>
              <w:spacing w:line="560" w:lineRule="exact"/>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sz w:val="18"/>
                <w:szCs w:val="18"/>
                <w:vertAlign w:val="baseline"/>
                <w:lang w:val="en-US" w:eastAsia="zh-CN"/>
              </w:rPr>
              <w:t>住宅</w:t>
            </w:r>
          </w:p>
        </w:tc>
        <w:tc>
          <w:tcPr>
            <w:tcW w:w="1380" w:type="dxa"/>
            <w:gridSpan w:val="2"/>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层号</w:t>
            </w:r>
          </w:p>
        </w:tc>
        <w:tc>
          <w:tcPr>
            <w:tcW w:w="1545" w:type="dxa"/>
            <w:gridSpan w:val="2"/>
            <w:vAlign w:val="center"/>
          </w:tcPr>
          <w:p>
            <w:pPr>
              <w:wordWrap/>
              <w:spacing w:line="560" w:lineRule="exact"/>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sz w:val="18"/>
                <w:szCs w:val="18"/>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10" w:type="dxa"/>
            <w:vMerge w:val="continue"/>
            <w:vAlign w:val="center"/>
          </w:tcPr>
          <w:p>
            <w:pPr>
              <w:wordWrap/>
              <w:spacing w:line="560" w:lineRule="exact"/>
              <w:jc w:val="center"/>
              <w:rPr>
                <w:rFonts w:hint="eastAsia" w:ascii="宋体" w:hAnsi="宋体" w:eastAsia="宋体" w:cs="宋体"/>
                <w:b/>
                <w:bCs/>
                <w:color w:val="000000"/>
                <w:sz w:val="24"/>
                <w:szCs w:val="24"/>
                <w:vertAlign w:val="baseline"/>
                <w:lang w:val="en-US" w:eastAsia="zh-CN"/>
              </w:rPr>
            </w:pPr>
          </w:p>
        </w:tc>
        <w:tc>
          <w:tcPr>
            <w:tcW w:w="1949" w:type="dxa"/>
            <w:vAlign w:val="center"/>
          </w:tcPr>
          <w:p>
            <w:pPr>
              <w:wordWrap/>
              <w:spacing w:line="560" w:lineRule="exact"/>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sz w:val="18"/>
                <w:szCs w:val="18"/>
                <w:vertAlign w:val="baseline"/>
                <w:lang w:val="en-US" w:eastAsia="zh-CN"/>
              </w:rPr>
              <w:t>分摊建筑面积</w:t>
            </w:r>
          </w:p>
        </w:tc>
        <w:tc>
          <w:tcPr>
            <w:tcW w:w="2084" w:type="dxa"/>
            <w:gridSpan w:val="3"/>
            <w:vAlign w:val="center"/>
          </w:tcPr>
          <w:p>
            <w:pPr>
              <w:wordWrap/>
              <w:spacing w:line="560" w:lineRule="exact"/>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sz w:val="18"/>
                <w:szCs w:val="18"/>
                <w:vertAlign w:val="baseline"/>
                <w:lang w:val="en-US" w:eastAsia="zh-CN"/>
              </w:rPr>
              <w:t>18.3</w:t>
            </w:r>
          </w:p>
        </w:tc>
        <w:tc>
          <w:tcPr>
            <w:tcW w:w="1439" w:type="dxa"/>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房屋结构</w:t>
            </w:r>
          </w:p>
        </w:tc>
        <w:tc>
          <w:tcPr>
            <w:tcW w:w="1548" w:type="dxa"/>
            <w:vAlign w:val="center"/>
          </w:tcPr>
          <w:p>
            <w:pPr>
              <w:wordWrap/>
              <w:spacing w:line="560" w:lineRule="exact"/>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sz w:val="18"/>
                <w:szCs w:val="18"/>
                <w:vertAlign w:val="baseline"/>
                <w:lang w:val="en-US" w:eastAsia="zh-CN"/>
              </w:rPr>
              <w:t>钢筋混凝土结构</w:t>
            </w:r>
          </w:p>
        </w:tc>
        <w:tc>
          <w:tcPr>
            <w:tcW w:w="1380" w:type="dxa"/>
            <w:gridSpan w:val="2"/>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起始层</w:t>
            </w:r>
          </w:p>
        </w:tc>
        <w:tc>
          <w:tcPr>
            <w:tcW w:w="1545" w:type="dxa"/>
            <w:gridSpan w:val="2"/>
            <w:vAlign w:val="center"/>
          </w:tcPr>
          <w:p>
            <w:pPr>
              <w:wordWrap/>
              <w:spacing w:line="560" w:lineRule="exact"/>
              <w:jc w:val="center"/>
              <w:rPr>
                <w:rFonts w:hint="eastAsia" w:ascii="宋体" w:hAnsi="宋体" w:eastAsia="宋体" w:cs="宋体"/>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10" w:type="dxa"/>
            <w:vMerge w:val="continue"/>
            <w:vAlign w:val="center"/>
          </w:tcPr>
          <w:p>
            <w:pPr>
              <w:wordWrap/>
              <w:spacing w:line="560" w:lineRule="exact"/>
              <w:jc w:val="center"/>
              <w:rPr>
                <w:rFonts w:hint="eastAsia" w:ascii="宋体" w:hAnsi="宋体" w:eastAsia="宋体" w:cs="宋体"/>
                <w:b/>
                <w:bCs/>
                <w:color w:val="000000"/>
                <w:sz w:val="24"/>
                <w:szCs w:val="24"/>
                <w:vertAlign w:val="baseline"/>
                <w:lang w:val="en-US" w:eastAsia="zh-CN"/>
              </w:rPr>
            </w:pPr>
          </w:p>
        </w:tc>
        <w:tc>
          <w:tcPr>
            <w:tcW w:w="1949" w:type="dxa"/>
            <w:vAlign w:val="center"/>
          </w:tcPr>
          <w:p>
            <w:pPr>
              <w:wordWrap/>
              <w:spacing w:line="560" w:lineRule="exact"/>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sz w:val="18"/>
                <w:szCs w:val="18"/>
                <w:vertAlign w:val="baseline"/>
                <w:lang w:val="en-US" w:eastAsia="zh-CN"/>
              </w:rPr>
              <w:t>土地用途（户）</w:t>
            </w:r>
          </w:p>
        </w:tc>
        <w:tc>
          <w:tcPr>
            <w:tcW w:w="2084" w:type="dxa"/>
            <w:gridSpan w:val="3"/>
            <w:vAlign w:val="center"/>
          </w:tcPr>
          <w:p>
            <w:pPr>
              <w:wordWrap/>
              <w:spacing w:line="560" w:lineRule="exact"/>
              <w:jc w:val="center"/>
              <w:rPr>
                <w:rFonts w:hint="eastAsia" w:ascii="宋体" w:hAnsi="宋体" w:eastAsia="宋体" w:cs="宋体"/>
                <w:color w:val="auto"/>
                <w:sz w:val="18"/>
                <w:szCs w:val="18"/>
                <w:vertAlign w:val="baseline"/>
                <w:lang w:val="en-US" w:eastAsia="zh-CN"/>
              </w:rPr>
            </w:pPr>
            <w:r>
              <w:rPr>
                <w:rFonts w:hint="eastAsia" w:ascii="宋体" w:hAnsi="宋体" w:cs="宋体"/>
                <w:color w:val="auto"/>
                <w:sz w:val="18"/>
                <w:szCs w:val="18"/>
                <w:vertAlign w:val="baseline"/>
                <w:lang w:val="en-US" w:eastAsia="zh-CN"/>
              </w:rPr>
              <w:t>住宅</w:t>
            </w:r>
          </w:p>
        </w:tc>
        <w:tc>
          <w:tcPr>
            <w:tcW w:w="1439" w:type="dxa"/>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房屋类型</w:t>
            </w:r>
          </w:p>
        </w:tc>
        <w:tc>
          <w:tcPr>
            <w:tcW w:w="1548" w:type="dxa"/>
            <w:vAlign w:val="center"/>
          </w:tcPr>
          <w:p>
            <w:pPr>
              <w:wordWrap/>
              <w:spacing w:line="560" w:lineRule="exact"/>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sz w:val="18"/>
                <w:szCs w:val="18"/>
                <w:vertAlign w:val="baseline"/>
                <w:lang w:val="en-US" w:eastAsia="zh-CN"/>
              </w:rPr>
              <w:t>住宅</w:t>
            </w:r>
          </w:p>
        </w:tc>
        <w:tc>
          <w:tcPr>
            <w:tcW w:w="1380" w:type="dxa"/>
            <w:gridSpan w:val="2"/>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终止层</w:t>
            </w:r>
          </w:p>
        </w:tc>
        <w:tc>
          <w:tcPr>
            <w:tcW w:w="1545" w:type="dxa"/>
            <w:gridSpan w:val="2"/>
            <w:vAlign w:val="center"/>
          </w:tcPr>
          <w:p>
            <w:pPr>
              <w:wordWrap/>
              <w:spacing w:line="560" w:lineRule="exact"/>
              <w:jc w:val="center"/>
              <w:rPr>
                <w:rFonts w:hint="eastAsia" w:ascii="宋体" w:hAnsi="宋体" w:eastAsia="宋体" w:cs="宋体"/>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10" w:type="dxa"/>
            <w:vMerge w:val="continue"/>
            <w:vAlign w:val="center"/>
          </w:tcPr>
          <w:p>
            <w:pPr>
              <w:wordWrap/>
              <w:spacing w:line="560" w:lineRule="exact"/>
              <w:jc w:val="center"/>
              <w:rPr>
                <w:rFonts w:hint="eastAsia" w:ascii="宋体" w:hAnsi="宋体" w:eastAsia="宋体" w:cs="宋体"/>
                <w:b/>
                <w:bCs/>
                <w:color w:val="000000"/>
                <w:sz w:val="24"/>
                <w:szCs w:val="24"/>
                <w:vertAlign w:val="baseline"/>
                <w:lang w:val="en-US" w:eastAsia="zh-CN"/>
              </w:rPr>
            </w:pPr>
          </w:p>
        </w:tc>
        <w:tc>
          <w:tcPr>
            <w:tcW w:w="1949" w:type="dxa"/>
            <w:vAlign w:val="center"/>
          </w:tcPr>
          <w:p>
            <w:pPr>
              <w:wordWrap/>
              <w:spacing w:line="560" w:lineRule="exact"/>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sz w:val="18"/>
                <w:szCs w:val="18"/>
                <w:vertAlign w:val="baseline"/>
                <w:lang w:val="en-US" w:eastAsia="zh-CN"/>
              </w:rPr>
              <w:t>土地性质（户）</w:t>
            </w:r>
          </w:p>
        </w:tc>
        <w:tc>
          <w:tcPr>
            <w:tcW w:w="2084" w:type="dxa"/>
            <w:gridSpan w:val="3"/>
            <w:vAlign w:val="center"/>
          </w:tcPr>
          <w:p>
            <w:pPr>
              <w:wordWrap/>
              <w:spacing w:line="560" w:lineRule="exact"/>
              <w:jc w:val="center"/>
              <w:rPr>
                <w:rFonts w:hint="eastAsia" w:ascii="宋体" w:hAnsi="宋体" w:eastAsia="宋体" w:cs="宋体"/>
                <w:color w:val="auto"/>
                <w:sz w:val="18"/>
                <w:szCs w:val="18"/>
                <w:vertAlign w:val="baseline"/>
                <w:lang w:val="en-US" w:eastAsia="zh-CN"/>
              </w:rPr>
            </w:pPr>
            <w:r>
              <w:rPr>
                <w:rFonts w:hint="eastAsia" w:ascii="宋体" w:hAnsi="宋体" w:cs="宋体"/>
                <w:color w:val="auto"/>
                <w:sz w:val="18"/>
                <w:szCs w:val="18"/>
                <w:vertAlign w:val="baseline"/>
                <w:lang w:val="en-US" w:eastAsia="zh-CN"/>
              </w:rPr>
              <w:t>出让</w:t>
            </w:r>
          </w:p>
        </w:tc>
        <w:tc>
          <w:tcPr>
            <w:tcW w:w="1439" w:type="dxa"/>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总层数</w:t>
            </w:r>
          </w:p>
        </w:tc>
        <w:tc>
          <w:tcPr>
            <w:tcW w:w="1548" w:type="dxa"/>
            <w:vAlign w:val="center"/>
          </w:tcPr>
          <w:p>
            <w:pPr>
              <w:wordWrap/>
              <w:spacing w:line="560" w:lineRule="exact"/>
              <w:jc w:val="center"/>
              <w:rPr>
                <w:rFonts w:hint="default" w:ascii="宋体" w:hAnsi="宋体" w:eastAsia="宋体" w:cs="宋体"/>
                <w:color w:val="auto"/>
                <w:sz w:val="18"/>
                <w:szCs w:val="18"/>
                <w:vertAlign w:val="baseline"/>
                <w:lang w:val="en-US" w:eastAsia="zh-CN"/>
              </w:rPr>
            </w:pPr>
            <w:r>
              <w:rPr>
                <w:rFonts w:hint="eastAsia" w:ascii="宋体" w:hAnsi="宋体" w:cs="宋体"/>
                <w:color w:val="auto"/>
                <w:sz w:val="18"/>
                <w:szCs w:val="18"/>
                <w:vertAlign w:val="baseline"/>
                <w:lang w:val="en-US" w:eastAsia="zh-CN"/>
              </w:rPr>
              <w:t>15</w:t>
            </w:r>
          </w:p>
        </w:tc>
        <w:tc>
          <w:tcPr>
            <w:tcW w:w="1380" w:type="dxa"/>
            <w:gridSpan w:val="2"/>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所在层</w:t>
            </w:r>
          </w:p>
        </w:tc>
        <w:tc>
          <w:tcPr>
            <w:tcW w:w="1545" w:type="dxa"/>
            <w:gridSpan w:val="2"/>
            <w:vAlign w:val="center"/>
          </w:tcPr>
          <w:p>
            <w:pPr>
              <w:wordWrap/>
              <w:spacing w:line="560" w:lineRule="exact"/>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sz w:val="18"/>
                <w:szCs w:val="18"/>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10" w:type="dxa"/>
            <w:vMerge w:val="continue"/>
            <w:vAlign w:val="center"/>
          </w:tcPr>
          <w:p>
            <w:pPr>
              <w:wordWrap/>
              <w:spacing w:line="560" w:lineRule="exact"/>
              <w:jc w:val="center"/>
              <w:rPr>
                <w:rFonts w:hint="eastAsia" w:ascii="宋体" w:hAnsi="宋体" w:eastAsia="宋体" w:cs="宋体"/>
                <w:b/>
                <w:bCs/>
                <w:color w:val="000000"/>
                <w:sz w:val="24"/>
                <w:szCs w:val="24"/>
                <w:vertAlign w:val="baseline"/>
                <w:lang w:val="en-US" w:eastAsia="zh-CN"/>
              </w:rPr>
            </w:pPr>
          </w:p>
        </w:tc>
        <w:tc>
          <w:tcPr>
            <w:tcW w:w="1949" w:type="dxa"/>
            <w:vAlign w:val="center"/>
          </w:tcPr>
          <w:p>
            <w:pPr>
              <w:wordWrap/>
              <w:spacing w:line="560" w:lineRule="exact"/>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sz w:val="18"/>
                <w:szCs w:val="18"/>
                <w:vertAlign w:val="baseline"/>
                <w:lang w:val="en-US" w:eastAsia="zh-CN"/>
              </w:rPr>
              <w:t>分摊土地面积</w:t>
            </w:r>
          </w:p>
        </w:tc>
        <w:tc>
          <w:tcPr>
            <w:tcW w:w="2084" w:type="dxa"/>
            <w:gridSpan w:val="3"/>
            <w:vAlign w:val="center"/>
          </w:tcPr>
          <w:p>
            <w:pPr>
              <w:wordWrap/>
              <w:spacing w:line="560" w:lineRule="exact"/>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sz w:val="18"/>
                <w:szCs w:val="18"/>
                <w:vertAlign w:val="baseline"/>
                <w:lang w:val="en-US" w:eastAsia="zh-CN"/>
              </w:rPr>
              <w:t>38.59</w:t>
            </w:r>
          </w:p>
        </w:tc>
        <w:tc>
          <w:tcPr>
            <w:tcW w:w="1439" w:type="dxa"/>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宗地面积</w:t>
            </w:r>
          </w:p>
        </w:tc>
        <w:tc>
          <w:tcPr>
            <w:tcW w:w="1548" w:type="dxa"/>
            <w:vAlign w:val="center"/>
          </w:tcPr>
          <w:p>
            <w:pPr>
              <w:wordWrap/>
              <w:spacing w:line="560" w:lineRule="exact"/>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sz w:val="18"/>
                <w:szCs w:val="18"/>
                <w:vertAlign w:val="baseline"/>
                <w:lang w:val="en-US" w:eastAsia="zh-CN"/>
              </w:rPr>
              <w:t>24800.90</w:t>
            </w:r>
          </w:p>
        </w:tc>
        <w:tc>
          <w:tcPr>
            <w:tcW w:w="1380" w:type="dxa"/>
            <w:gridSpan w:val="2"/>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房号</w:t>
            </w:r>
          </w:p>
        </w:tc>
        <w:tc>
          <w:tcPr>
            <w:tcW w:w="1545" w:type="dxa"/>
            <w:gridSpan w:val="2"/>
            <w:vAlign w:val="center"/>
          </w:tcPr>
          <w:p>
            <w:pPr>
              <w:wordWrap/>
              <w:spacing w:line="560" w:lineRule="exact"/>
              <w:jc w:val="center"/>
              <w:rPr>
                <w:rFonts w:hint="default" w:ascii="宋体" w:hAnsi="宋体" w:eastAsia="宋体" w:cs="宋体"/>
                <w:color w:val="auto"/>
                <w:sz w:val="18"/>
                <w:szCs w:val="18"/>
                <w:vertAlign w:val="baseline"/>
                <w:lang w:val="en-US" w:eastAsia="zh-CN"/>
              </w:rPr>
            </w:pPr>
            <w:r>
              <w:rPr>
                <w:rFonts w:hint="eastAsia" w:ascii="宋体" w:hAnsi="宋体" w:eastAsia="宋体" w:cs="宋体"/>
                <w:sz w:val="18"/>
                <w:szCs w:val="18"/>
                <w:vertAlign w:val="baseline"/>
                <w:lang w:val="en-US" w:eastAsia="zh-CN"/>
              </w:rPr>
              <w:t>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10" w:type="dxa"/>
            <w:vMerge w:val="continue"/>
            <w:vAlign w:val="center"/>
          </w:tcPr>
          <w:p>
            <w:pPr>
              <w:wordWrap/>
              <w:spacing w:line="560" w:lineRule="exact"/>
              <w:jc w:val="center"/>
              <w:rPr>
                <w:rFonts w:hint="eastAsia" w:ascii="宋体" w:hAnsi="宋体" w:eastAsia="宋体" w:cs="宋体"/>
                <w:b/>
                <w:bCs/>
                <w:color w:val="000000"/>
                <w:sz w:val="24"/>
                <w:szCs w:val="24"/>
                <w:vertAlign w:val="baseline"/>
                <w:lang w:val="en-US" w:eastAsia="zh-CN"/>
              </w:rPr>
            </w:pPr>
          </w:p>
        </w:tc>
        <w:tc>
          <w:tcPr>
            <w:tcW w:w="1949" w:type="dxa"/>
            <w:vAlign w:val="center"/>
          </w:tcPr>
          <w:p>
            <w:pPr>
              <w:wordWrap/>
              <w:spacing w:line="560" w:lineRule="exact"/>
              <w:jc w:val="center"/>
              <w:rPr>
                <w:rFonts w:hint="eastAsia" w:ascii="宋体" w:hAnsi="宋体" w:eastAsia="宋体" w:cs="宋体"/>
                <w:b/>
                <w:bCs/>
                <w:color w:val="auto"/>
                <w:sz w:val="18"/>
                <w:szCs w:val="18"/>
                <w:vertAlign w:val="baseline"/>
                <w:lang w:val="en-US" w:eastAsia="zh-CN"/>
              </w:rPr>
            </w:pPr>
            <w:r>
              <w:rPr>
                <w:rFonts w:hint="eastAsia" w:ascii="宋体" w:hAnsi="宋体" w:eastAsia="宋体" w:cs="宋体"/>
                <w:b/>
                <w:bCs/>
                <w:sz w:val="18"/>
                <w:szCs w:val="18"/>
                <w:vertAlign w:val="baseline"/>
                <w:lang w:val="en-US" w:eastAsia="zh-CN"/>
              </w:rPr>
              <w:t>土地起始日期</w:t>
            </w:r>
          </w:p>
        </w:tc>
        <w:tc>
          <w:tcPr>
            <w:tcW w:w="3523" w:type="dxa"/>
            <w:gridSpan w:val="4"/>
            <w:vAlign w:val="center"/>
          </w:tcPr>
          <w:p>
            <w:pPr>
              <w:wordWrap/>
              <w:spacing w:line="560" w:lineRule="exact"/>
              <w:jc w:val="center"/>
              <w:rPr>
                <w:rFonts w:hint="eastAsia" w:ascii="宋体" w:hAnsi="宋体" w:eastAsia="宋体" w:cs="宋体"/>
                <w:color w:val="auto"/>
                <w:sz w:val="18"/>
                <w:szCs w:val="18"/>
                <w:vertAlign w:val="baseline"/>
                <w:lang w:val="en-US" w:eastAsia="zh-CN"/>
              </w:rPr>
            </w:pPr>
            <w:r>
              <w:rPr>
                <w:rFonts w:hint="eastAsia" w:ascii="宋体" w:hAnsi="宋体" w:cs="宋体"/>
                <w:sz w:val="18"/>
                <w:szCs w:val="18"/>
              </w:rPr>
              <w:t>2010-01-26</w:t>
            </w:r>
          </w:p>
        </w:tc>
        <w:tc>
          <w:tcPr>
            <w:tcW w:w="1548" w:type="dxa"/>
            <w:vAlign w:val="center"/>
          </w:tcPr>
          <w:p>
            <w:pPr>
              <w:wordWrap/>
              <w:spacing w:line="560" w:lineRule="exact"/>
              <w:jc w:val="center"/>
              <w:rPr>
                <w:rFonts w:hint="eastAsia" w:ascii="宋体" w:hAnsi="宋体" w:eastAsia="宋体" w:cs="宋体"/>
                <w:color w:val="auto"/>
                <w:sz w:val="18"/>
                <w:szCs w:val="18"/>
                <w:vertAlign w:val="baseline"/>
                <w:lang w:val="en-US" w:eastAsia="zh-CN"/>
              </w:rPr>
            </w:pPr>
            <w:r>
              <w:rPr>
                <w:rFonts w:hint="eastAsia" w:ascii="宋体" w:hAnsi="宋体" w:eastAsia="宋体" w:cs="宋体"/>
                <w:b/>
                <w:bCs/>
                <w:sz w:val="18"/>
                <w:szCs w:val="18"/>
                <w:vertAlign w:val="baseline"/>
                <w:lang w:val="en-US" w:eastAsia="zh-CN"/>
              </w:rPr>
              <w:t>土地终止日期</w:t>
            </w:r>
          </w:p>
        </w:tc>
        <w:tc>
          <w:tcPr>
            <w:tcW w:w="2925" w:type="dxa"/>
            <w:gridSpan w:val="4"/>
            <w:vAlign w:val="center"/>
          </w:tcPr>
          <w:p>
            <w:pPr>
              <w:wordWrap/>
              <w:spacing w:line="560" w:lineRule="exact"/>
              <w:jc w:val="center"/>
              <w:rPr>
                <w:rFonts w:hint="eastAsia" w:ascii="宋体" w:hAnsi="宋体" w:eastAsia="宋体" w:cs="宋体"/>
                <w:color w:val="auto"/>
                <w:sz w:val="18"/>
                <w:szCs w:val="18"/>
                <w:vertAlign w:val="baseline"/>
                <w:lang w:val="en-US" w:eastAsia="zh-CN"/>
              </w:rPr>
            </w:pPr>
            <w:r>
              <w:rPr>
                <w:rFonts w:hint="eastAsia" w:ascii="宋体" w:hAnsi="宋体" w:cs="宋体"/>
                <w:sz w:val="18"/>
                <w:szCs w:val="18"/>
              </w:rPr>
              <w:t>2080-01-25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510" w:type="dxa"/>
            <w:vMerge w:val="restart"/>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权</w:t>
            </w:r>
          </w:p>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利</w:t>
            </w:r>
          </w:p>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人</w:t>
            </w:r>
          </w:p>
        </w:tc>
        <w:tc>
          <w:tcPr>
            <w:tcW w:w="1949" w:type="dxa"/>
            <w:vMerge w:val="restart"/>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权利人</w:t>
            </w:r>
          </w:p>
        </w:tc>
        <w:tc>
          <w:tcPr>
            <w:tcW w:w="960" w:type="dxa"/>
            <w:vAlign w:val="center"/>
          </w:tcPr>
          <w:p>
            <w:pPr>
              <w:wordWrap/>
              <w:spacing w:line="560" w:lineRule="exact"/>
              <w:jc w:val="center"/>
              <w:rPr>
                <w:rFonts w:hint="eastAsia" w:ascii="宋体" w:hAnsi="宋体" w:eastAsia="宋体" w:cs="宋体"/>
                <w:sz w:val="18"/>
                <w:szCs w:val="18"/>
                <w:lang w:eastAsia="zh-CN"/>
              </w:rPr>
            </w:pPr>
            <w:r>
              <w:rPr>
                <w:rFonts w:hint="eastAsia" w:ascii="宋体" w:hAnsi="宋体" w:cs="宋体"/>
                <w:sz w:val="18"/>
                <w:szCs w:val="18"/>
                <w:lang w:eastAsia="zh-CN"/>
              </w:rPr>
              <w:t>周玉芬</w:t>
            </w:r>
          </w:p>
        </w:tc>
        <w:tc>
          <w:tcPr>
            <w:tcW w:w="795" w:type="dxa"/>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cs="宋体"/>
                <w:b/>
                <w:bCs/>
                <w:sz w:val="18"/>
                <w:szCs w:val="18"/>
                <w:vertAlign w:val="baseline"/>
                <w:lang w:val="en-US" w:eastAsia="zh-CN"/>
              </w:rPr>
              <w:t>权证号</w:t>
            </w:r>
          </w:p>
        </w:tc>
        <w:tc>
          <w:tcPr>
            <w:tcW w:w="1768" w:type="dxa"/>
            <w:gridSpan w:val="2"/>
            <w:vAlign w:val="center"/>
          </w:tcPr>
          <w:p>
            <w:pPr>
              <w:wordWrap/>
              <w:spacing w:line="560" w:lineRule="exact"/>
              <w:jc w:val="center"/>
              <w:rPr>
                <w:rFonts w:hint="eastAsia" w:ascii="宋体" w:hAnsi="宋体" w:cs="宋体"/>
                <w:sz w:val="18"/>
                <w:szCs w:val="18"/>
              </w:rPr>
            </w:pPr>
            <w:r>
              <w:rPr>
                <w:rFonts w:hint="eastAsia" w:ascii="宋体" w:hAnsi="宋体" w:cs="宋体"/>
                <w:color w:val="000000"/>
                <w:kern w:val="0"/>
                <w:sz w:val="18"/>
                <w:szCs w:val="18"/>
                <w:lang w:val="en-US" w:eastAsia="zh-CN"/>
              </w:rPr>
              <w:t>2013101300194、犍国用（2013）第（一）-33540号</w:t>
            </w:r>
          </w:p>
        </w:tc>
        <w:tc>
          <w:tcPr>
            <w:tcW w:w="1548" w:type="dxa"/>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cs="宋体"/>
                <w:b/>
                <w:bCs/>
                <w:sz w:val="18"/>
                <w:szCs w:val="18"/>
                <w:vertAlign w:val="baseline"/>
                <w:lang w:val="en-US" w:eastAsia="zh-CN"/>
              </w:rPr>
              <w:t>证件种类</w:t>
            </w:r>
          </w:p>
        </w:tc>
        <w:tc>
          <w:tcPr>
            <w:tcW w:w="930" w:type="dxa"/>
            <w:vAlign w:val="center"/>
          </w:tcPr>
          <w:p>
            <w:pPr>
              <w:wordWrap/>
              <w:spacing w:line="560" w:lineRule="exact"/>
              <w:jc w:val="center"/>
              <w:rPr>
                <w:rFonts w:hint="eastAsia" w:ascii="宋体" w:hAnsi="宋体" w:eastAsia="宋体" w:cs="宋体"/>
                <w:sz w:val="18"/>
                <w:szCs w:val="18"/>
                <w:lang w:eastAsia="zh-CN"/>
              </w:rPr>
            </w:pPr>
            <w:r>
              <w:rPr>
                <w:rFonts w:hint="eastAsia" w:ascii="宋体" w:hAnsi="宋体" w:cs="宋体"/>
                <w:sz w:val="18"/>
                <w:szCs w:val="18"/>
                <w:lang w:eastAsia="zh-CN"/>
              </w:rPr>
              <w:t>身份证</w:t>
            </w:r>
          </w:p>
        </w:tc>
        <w:tc>
          <w:tcPr>
            <w:tcW w:w="930" w:type="dxa"/>
            <w:gridSpan w:val="2"/>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cs="宋体"/>
                <w:b/>
                <w:bCs/>
                <w:sz w:val="18"/>
                <w:szCs w:val="18"/>
                <w:vertAlign w:val="baseline"/>
                <w:lang w:val="en-US" w:eastAsia="zh-CN"/>
              </w:rPr>
              <w:t>证件号</w:t>
            </w:r>
          </w:p>
        </w:tc>
        <w:tc>
          <w:tcPr>
            <w:tcW w:w="1065" w:type="dxa"/>
            <w:vAlign w:val="center"/>
          </w:tcPr>
          <w:p>
            <w:pPr>
              <w:wordWrap/>
              <w:spacing w:line="560" w:lineRule="exact"/>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511123197306060667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10" w:type="dxa"/>
            <w:vMerge w:val="continue"/>
            <w:vAlign w:val="center"/>
          </w:tcPr>
          <w:p>
            <w:pPr>
              <w:wordWrap/>
              <w:spacing w:line="560" w:lineRule="exact"/>
              <w:jc w:val="center"/>
              <w:rPr>
                <w:rFonts w:hint="eastAsia" w:ascii="宋体" w:hAnsi="宋体" w:eastAsia="宋体" w:cs="宋体"/>
                <w:color w:val="000000"/>
                <w:sz w:val="18"/>
                <w:szCs w:val="18"/>
                <w:vertAlign w:val="baseline"/>
                <w:lang w:val="en-US" w:eastAsia="zh-CN"/>
              </w:rPr>
            </w:pPr>
          </w:p>
        </w:tc>
        <w:tc>
          <w:tcPr>
            <w:tcW w:w="1949" w:type="dxa"/>
            <w:vMerge w:val="continue"/>
            <w:vAlign w:val="center"/>
          </w:tcPr>
          <w:p>
            <w:pPr>
              <w:wordWrap/>
              <w:spacing w:line="560" w:lineRule="exact"/>
              <w:jc w:val="center"/>
              <w:rPr>
                <w:rFonts w:hint="eastAsia" w:ascii="宋体" w:hAnsi="宋体" w:eastAsia="宋体" w:cs="宋体"/>
                <w:sz w:val="18"/>
                <w:szCs w:val="18"/>
                <w:vertAlign w:val="baseline"/>
                <w:lang w:val="en-US" w:eastAsia="zh-CN"/>
              </w:rPr>
            </w:pPr>
          </w:p>
        </w:tc>
        <w:tc>
          <w:tcPr>
            <w:tcW w:w="960" w:type="dxa"/>
            <w:vAlign w:val="center"/>
          </w:tcPr>
          <w:p>
            <w:pPr>
              <w:wordWrap/>
              <w:spacing w:line="560" w:lineRule="exact"/>
              <w:jc w:val="center"/>
              <w:rPr>
                <w:rFonts w:hint="eastAsia" w:ascii="宋体" w:hAnsi="宋体" w:eastAsia="宋体" w:cs="宋体"/>
                <w:sz w:val="18"/>
                <w:szCs w:val="18"/>
                <w:lang w:eastAsia="zh-CN"/>
              </w:rPr>
            </w:pPr>
            <w:r>
              <w:rPr>
                <w:rFonts w:hint="eastAsia" w:ascii="宋体" w:hAnsi="宋体" w:cs="宋体"/>
                <w:sz w:val="18"/>
                <w:szCs w:val="18"/>
                <w:lang w:eastAsia="zh-CN"/>
              </w:rPr>
              <w:t>曾定均</w:t>
            </w:r>
          </w:p>
        </w:tc>
        <w:tc>
          <w:tcPr>
            <w:tcW w:w="795" w:type="dxa"/>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cs="宋体"/>
                <w:b/>
                <w:bCs/>
                <w:sz w:val="18"/>
                <w:szCs w:val="18"/>
                <w:vertAlign w:val="baseline"/>
                <w:lang w:val="en-US" w:eastAsia="zh-CN"/>
              </w:rPr>
              <w:t>权证号</w:t>
            </w:r>
          </w:p>
        </w:tc>
        <w:tc>
          <w:tcPr>
            <w:tcW w:w="1768" w:type="dxa"/>
            <w:gridSpan w:val="2"/>
            <w:vAlign w:val="center"/>
          </w:tcPr>
          <w:p>
            <w:pPr>
              <w:wordWrap/>
              <w:spacing w:line="560" w:lineRule="exact"/>
              <w:jc w:val="center"/>
              <w:rPr>
                <w:rFonts w:hint="eastAsia" w:ascii="宋体" w:hAnsi="宋体" w:cs="宋体"/>
                <w:sz w:val="18"/>
                <w:szCs w:val="18"/>
              </w:rPr>
            </w:pPr>
            <w:r>
              <w:rPr>
                <w:rFonts w:hint="eastAsia" w:ascii="宋体" w:hAnsi="宋体" w:cs="宋体"/>
                <w:color w:val="000000"/>
                <w:kern w:val="0"/>
                <w:sz w:val="18"/>
                <w:szCs w:val="18"/>
                <w:lang w:val="en-US" w:eastAsia="zh-CN"/>
              </w:rPr>
              <w:t>2013101300194、犍国用（2013）第（一）-33540号</w:t>
            </w:r>
          </w:p>
        </w:tc>
        <w:tc>
          <w:tcPr>
            <w:tcW w:w="1548" w:type="dxa"/>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cs="宋体"/>
                <w:b/>
                <w:bCs/>
                <w:sz w:val="18"/>
                <w:szCs w:val="18"/>
                <w:vertAlign w:val="baseline"/>
                <w:lang w:val="en-US" w:eastAsia="zh-CN"/>
              </w:rPr>
              <w:t>证件种类</w:t>
            </w:r>
          </w:p>
        </w:tc>
        <w:tc>
          <w:tcPr>
            <w:tcW w:w="930" w:type="dxa"/>
            <w:vAlign w:val="center"/>
          </w:tcPr>
          <w:p>
            <w:pPr>
              <w:wordWrap/>
              <w:spacing w:line="560" w:lineRule="exact"/>
              <w:jc w:val="center"/>
              <w:rPr>
                <w:rFonts w:hint="eastAsia" w:ascii="宋体" w:hAnsi="宋体" w:cs="宋体"/>
                <w:sz w:val="18"/>
                <w:szCs w:val="18"/>
              </w:rPr>
            </w:pPr>
            <w:r>
              <w:rPr>
                <w:rFonts w:hint="eastAsia" w:ascii="宋体" w:hAnsi="宋体" w:cs="宋体"/>
                <w:sz w:val="18"/>
                <w:szCs w:val="18"/>
                <w:lang w:eastAsia="zh-CN"/>
              </w:rPr>
              <w:t>身份证</w:t>
            </w:r>
          </w:p>
        </w:tc>
        <w:tc>
          <w:tcPr>
            <w:tcW w:w="930" w:type="dxa"/>
            <w:gridSpan w:val="2"/>
            <w:vAlign w:val="center"/>
          </w:tcPr>
          <w:p>
            <w:pPr>
              <w:wordWrap/>
              <w:spacing w:line="560" w:lineRule="exact"/>
              <w:jc w:val="center"/>
              <w:rPr>
                <w:rFonts w:hint="eastAsia" w:ascii="宋体" w:hAnsi="宋体" w:eastAsia="宋体" w:cs="宋体"/>
                <w:b/>
                <w:bCs/>
                <w:sz w:val="18"/>
                <w:szCs w:val="18"/>
                <w:vertAlign w:val="baseline"/>
                <w:lang w:val="en-US" w:eastAsia="zh-CN"/>
              </w:rPr>
            </w:pPr>
            <w:r>
              <w:rPr>
                <w:rFonts w:hint="eastAsia" w:ascii="宋体" w:hAnsi="宋体" w:cs="宋体"/>
                <w:b/>
                <w:bCs/>
                <w:sz w:val="18"/>
                <w:szCs w:val="18"/>
                <w:vertAlign w:val="baseline"/>
                <w:lang w:val="en-US" w:eastAsia="zh-CN"/>
              </w:rPr>
              <w:t>证件号</w:t>
            </w:r>
          </w:p>
        </w:tc>
        <w:tc>
          <w:tcPr>
            <w:tcW w:w="1065" w:type="dxa"/>
            <w:vAlign w:val="center"/>
          </w:tcPr>
          <w:p>
            <w:pPr>
              <w:wordWrap/>
              <w:spacing w:line="560" w:lineRule="exact"/>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511123197202020310</w:t>
            </w:r>
          </w:p>
        </w:tc>
      </w:tr>
    </w:tbl>
    <w:p>
      <w:pPr>
        <w:wordWrap/>
        <w:spacing w:line="56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2.他项</w:t>
      </w:r>
      <w:r>
        <w:rPr>
          <w:rFonts w:hint="eastAsia" w:ascii="宋体" w:hAnsi="宋体" w:eastAsia="宋体" w:cs="宋体"/>
          <w:color w:val="000000"/>
          <w:sz w:val="24"/>
          <w:szCs w:val="24"/>
        </w:rPr>
        <w:t>权益状况</w:t>
      </w:r>
    </w:p>
    <w:p>
      <w:pPr>
        <w:numPr>
          <w:ilvl w:val="0"/>
          <w:numId w:val="0"/>
        </w:numPr>
        <w:spacing w:line="520" w:lineRule="exact"/>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（1）担保物权设立情况：</w:t>
      </w:r>
      <w:r>
        <w:rPr>
          <w:rFonts w:hint="eastAsia" w:ascii="宋体" w:hAnsi="宋体" w:cs="宋体"/>
          <w:color w:val="000000" w:themeColor="text1"/>
          <w:sz w:val="24"/>
          <w:szCs w:val="24"/>
          <w:lang w:val="en-US" w:eastAsia="zh-CN"/>
          <w14:textFill>
            <w14:solidFill>
              <w14:schemeClr w14:val="tx1"/>
            </w14:solidFill>
          </w14:textFill>
        </w:rPr>
        <w:t>未设立抵押。</w:t>
      </w:r>
    </w:p>
    <w:p>
      <w:pPr>
        <w:numPr>
          <w:ilvl w:val="0"/>
          <w:numId w:val="0"/>
        </w:numPr>
        <w:spacing w:line="520" w:lineRule="exact"/>
        <w:ind w:firstLine="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    （2）查封和权利限制情况：已查封</w:t>
      </w:r>
      <w:r>
        <w:rPr>
          <w:rFonts w:hint="eastAsia" w:ascii="宋体" w:hAnsi="宋体" w:eastAsia="宋体" w:cs="宋体"/>
          <w:color w:val="000000"/>
          <w:sz w:val="24"/>
          <w:szCs w:val="24"/>
        </w:rPr>
        <w:t>。</w:t>
      </w:r>
    </w:p>
    <w:p>
      <w:pPr>
        <w:numPr>
          <w:ilvl w:val="0"/>
          <w:numId w:val="0"/>
        </w:numPr>
        <w:wordWrap/>
        <w:spacing w:line="52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（3）租</w:t>
      </w:r>
      <w:r>
        <w:rPr>
          <w:rFonts w:hint="eastAsia" w:ascii="宋体" w:hAnsi="宋体" w:eastAsia="宋体" w:cs="宋体"/>
          <w:color w:val="000000"/>
          <w:sz w:val="24"/>
          <w:szCs w:val="24"/>
        </w:rPr>
        <w:t>赁情况</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未出租。</w:t>
      </w:r>
    </w:p>
    <w:p>
      <w:pPr>
        <w:numPr>
          <w:ilvl w:val="0"/>
          <w:numId w:val="0"/>
        </w:numPr>
        <w:wordWrap/>
        <w:spacing w:line="52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（4）拖欠税费情况：未提供估价对象是否存在欠缴税费情况。</w:t>
      </w:r>
    </w:p>
    <w:p>
      <w:pPr>
        <w:numPr>
          <w:ilvl w:val="0"/>
          <w:numId w:val="0"/>
        </w:numPr>
        <w:spacing w:line="520" w:lineRule="exact"/>
        <w:rPr>
          <w:rFonts w:hint="eastAsia" w:ascii="宋体" w:hAnsi="宋体" w:cs="宋体"/>
          <w:color w:val="000000"/>
          <w:sz w:val="24"/>
          <w:szCs w:val="24"/>
          <w:lang w:val="en-US" w:eastAsia="zh-CN"/>
        </w:rPr>
      </w:pPr>
      <w:r>
        <w:rPr>
          <w:rFonts w:hint="eastAsia" w:ascii="宋体" w:hAnsi="宋体" w:eastAsia="宋体" w:cs="宋体"/>
          <w:color w:val="000000"/>
          <w:sz w:val="24"/>
          <w:szCs w:val="24"/>
          <w:lang w:val="en-US" w:eastAsia="zh-CN"/>
        </w:rPr>
        <w:t xml:space="preserve">    （5）居住权情况：无。</w:t>
      </w:r>
    </w:p>
    <w:p>
      <w:pPr>
        <w:wordWrap/>
        <w:spacing w:line="520" w:lineRule="exact"/>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(六）</w:t>
      </w:r>
      <w:r>
        <w:rPr>
          <w:rFonts w:hint="eastAsia" w:ascii="宋体" w:hAnsi="宋体" w:eastAsia="宋体" w:cs="宋体"/>
          <w:b/>
          <w:color w:val="000000"/>
          <w:sz w:val="24"/>
          <w:szCs w:val="24"/>
        </w:rPr>
        <w:t>估价对象区位状况</w:t>
      </w:r>
    </w:p>
    <w:tbl>
      <w:tblPr>
        <w:tblStyle w:val="9"/>
        <w:tblW w:w="9417"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875"/>
        <w:gridCol w:w="6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35" w:type="dxa"/>
            <w:vMerge w:val="restart"/>
            <w:noWrap w:val="0"/>
            <w:vAlign w:val="center"/>
          </w:tcPr>
          <w:p>
            <w:pPr>
              <w:widowControl/>
              <w:jc w:val="center"/>
              <w:rPr>
                <w:rFonts w:hint="eastAsia" w:ascii="宋体" w:hAnsi="宋体" w:eastAsia="宋体" w:cs="宋体"/>
                <w:kern w:val="0"/>
                <w:sz w:val="18"/>
                <w:szCs w:val="18"/>
                <w:lang w:eastAsia="zh-CN"/>
              </w:rPr>
            </w:pPr>
          </w:p>
          <w:p>
            <w:pPr>
              <w:widowControl/>
              <w:jc w:val="center"/>
              <w:rPr>
                <w:rFonts w:hint="eastAsia" w:ascii="宋体" w:hAnsi="宋体" w:eastAsia="宋体" w:cs="宋体"/>
                <w:kern w:val="0"/>
                <w:sz w:val="18"/>
                <w:szCs w:val="18"/>
                <w:lang w:eastAsia="zh-CN"/>
              </w:rPr>
            </w:pPr>
          </w:p>
          <w:p>
            <w:pPr>
              <w:widowControl/>
              <w:jc w:val="center"/>
              <w:rPr>
                <w:rFonts w:hint="eastAsia" w:ascii="宋体" w:hAnsi="宋体" w:eastAsia="宋体" w:cs="宋体"/>
                <w:kern w:val="0"/>
                <w:sz w:val="18"/>
                <w:szCs w:val="18"/>
                <w:lang w:eastAsia="zh-CN"/>
              </w:rPr>
            </w:pPr>
          </w:p>
          <w:p>
            <w:pPr>
              <w:widowControl/>
              <w:jc w:val="center"/>
              <w:rPr>
                <w:rFonts w:hint="eastAsia" w:ascii="宋体" w:hAnsi="宋体" w:eastAsia="宋体" w:cs="宋体"/>
                <w:kern w:val="0"/>
                <w:sz w:val="18"/>
                <w:szCs w:val="18"/>
                <w:lang w:eastAsia="zh-CN"/>
              </w:rPr>
            </w:pPr>
          </w:p>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位</w:t>
            </w:r>
          </w:p>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置</w:t>
            </w: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坐落</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坐落于</w:t>
            </w:r>
            <w:r>
              <w:rPr>
                <w:rFonts w:hint="eastAsia" w:ascii="宋体" w:hAnsi="宋体" w:cs="宋体"/>
                <w:kern w:val="0"/>
                <w:sz w:val="18"/>
                <w:szCs w:val="18"/>
                <w:lang w:val="en-US" w:eastAsia="zh-CN"/>
              </w:rPr>
              <w:t>犍为县玉津镇滨江路南段2号4幢1单元801号</w:t>
            </w:r>
            <w:r>
              <w:rPr>
                <w:rFonts w:hint="eastAsia" w:ascii="宋体" w:hAnsi="宋体" w:eastAsia="宋体" w:cs="宋体"/>
                <w:kern w:val="0"/>
                <w:sz w:val="18"/>
                <w:szCs w:val="18"/>
                <w:lang w:eastAsia="zh-CN"/>
              </w:rPr>
              <w:t>，</w:t>
            </w:r>
            <w:r>
              <w:rPr>
                <w:rFonts w:hint="eastAsia" w:ascii="宋体" w:hAnsi="宋体" w:cs="宋体"/>
                <w:kern w:val="0"/>
                <w:sz w:val="18"/>
                <w:szCs w:val="18"/>
                <w:lang w:eastAsia="zh-CN"/>
              </w:rPr>
              <w:t>属</w:t>
            </w:r>
            <w:r>
              <w:rPr>
                <w:rFonts w:hint="eastAsia" w:ascii="宋体" w:hAnsi="宋体" w:cs="宋体"/>
                <w:kern w:val="0"/>
                <w:sz w:val="18"/>
                <w:szCs w:val="18"/>
                <w:lang w:val="en-US" w:eastAsia="zh-CN"/>
              </w:rPr>
              <w:t>犍为县玉津镇范围</w:t>
            </w:r>
            <w:r>
              <w:rPr>
                <w:rFonts w:hint="eastAsia" w:ascii="宋体" w:hAnsi="宋体" w:eastAsia="宋体" w:cs="宋体"/>
                <w:kern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35" w:type="dxa"/>
            <w:vMerge w:val="continue"/>
            <w:noWrap w:val="0"/>
            <w:vAlign w:val="center"/>
          </w:tcPr>
          <w:p>
            <w:pPr>
              <w:widowControl/>
              <w:jc w:val="center"/>
              <w:rPr>
                <w:rFonts w:hint="eastAsia" w:ascii="宋体" w:hAnsi="宋体" w:eastAsia="宋体" w:cs="宋体"/>
                <w:kern w:val="0"/>
                <w:sz w:val="18"/>
                <w:szCs w:val="18"/>
                <w:lang w:eastAsia="zh-CN"/>
              </w:rPr>
            </w:pP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与相关场所的距离</w:t>
            </w:r>
          </w:p>
        </w:tc>
        <w:tc>
          <w:tcPr>
            <w:tcW w:w="6807" w:type="dxa"/>
            <w:noWrap w:val="0"/>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eastAsia="zh-CN"/>
              </w:rPr>
              <w:t>距</w:t>
            </w:r>
            <w:r>
              <w:rPr>
                <w:rFonts w:hint="eastAsia" w:ascii="宋体" w:hAnsi="宋体" w:cs="宋体"/>
                <w:kern w:val="0"/>
                <w:sz w:val="18"/>
                <w:szCs w:val="18"/>
                <w:lang w:val="en-US" w:eastAsia="zh-CN"/>
              </w:rPr>
              <w:t>犍为县妇幼保健院约200米</w:t>
            </w:r>
            <w:r>
              <w:rPr>
                <w:rFonts w:hint="eastAsia" w:ascii="宋体" w:hAnsi="宋体" w:eastAsia="宋体" w:cs="宋体"/>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5" w:type="dxa"/>
            <w:vMerge w:val="continue"/>
            <w:noWrap w:val="0"/>
            <w:vAlign w:val="center"/>
          </w:tcPr>
          <w:p>
            <w:pPr>
              <w:widowControl/>
              <w:jc w:val="center"/>
              <w:rPr>
                <w:rFonts w:hint="eastAsia" w:ascii="宋体" w:hAnsi="宋体" w:eastAsia="宋体" w:cs="宋体"/>
                <w:kern w:val="0"/>
                <w:sz w:val="18"/>
                <w:szCs w:val="18"/>
                <w:lang w:eastAsia="zh-CN"/>
              </w:rPr>
            </w:pP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居住聚集度</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所在区域内分布有</w:t>
            </w:r>
            <w:r>
              <w:rPr>
                <w:rFonts w:hint="eastAsia" w:ascii="宋体" w:hAnsi="宋体" w:cs="宋体"/>
                <w:kern w:val="0"/>
                <w:sz w:val="18"/>
                <w:szCs w:val="18"/>
                <w:lang w:val="en-US" w:eastAsia="zh-CN"/>
              </w:rPr>
              <w:t>逸兴苑、水亭雅居、世纪阳光-A区</w:t>
            </w:r>
            <w:r>
              <w:rPr>
                <w:rFonts w:hint="eastAsia" w:ascii="宋体" w:hAnsi="宋体" w:eastAsia="宋体" w:cs="宋体"/>
                <w:kern w:val="0"/>
                <w:sz w:val="18"/>
                <w:szCs w:val="18"/>
                <w:lang w:eastAsia="zh-CN"/>
              </w:rPr>
              <w:t>等多个住宅小区，整体居住聚集度</w:t>
            </w:r>
            <w:r>
              <w:rPr>
                <w:rFonts w:hint="eastAsia" w:ascii="宋体" w:hAnsi="宋体" w:cs="宋体"/>
                <w:kern w:val="0"/>
                <w:sz w:val="18"/>
                <w:szCs w:val="18"/>
                <w:lang w:val="en-US" w:eastAsia="zh-CN"/>
              </w:rPr>
              <w:t>较好</w:t>
            </w:r>
            <w:r>
              <w:rPr>
                <w:rFonts w:hint="eastAsia" w:ascii="宋体" w:hAnsi="宋体" w:eastAsia="宋体" w:cs="宋体"/>
                <w:kern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35" w:type="dxa"/>
            <w:vMerge w:val="continue"/>
            <w:noWrap w:val="0"/>
            <w:vAlign w:val="center"/>
          </w:tcPr>
          <w:p>
            <w:pPr>
              <w:widowControl/>
              <w:jc w:val="center"/>
              <w:rPr>
                <w:rFonts w:hint="eastAsia" w:ascii="宋体" w:hAnsi="宋体" w:eastAsia="宋体" w:cs="宋体"/>
                <w:kern w:val="0"/>
                <w:sz w:val="18"/>
                <w:szCs w:val="18"/>
                <w:lang w:eastAsia="zh-CN"/>
              </w:rPr>
            </w:pP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临街状况</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735" w:type="dxa"/>
            <w:vMerge w:val="continue"/>
            <w:noWrap w:val="0"/>
            <w:vAlign w:val="center"/>
          </w:tcPr>
          <w:p>
            <w:pPr>
              <w:widowControl/>
              <w:jc w:val="center"/>
              <w:rPr>
                <w:rFonts w:hint="eastAsia" w:ascii="宋体" w:hAnsi="宋体" w:eastAsia="宋体" w:cs="宋体"/>
                <w:kern w:val="0"/>
                <w:sz w:val="18"/>
                <w:szCs w:val="18"/>
                <w:lang w:eastAsia="zh-CN"/>
              </w:rPr>
            </w:pP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楼层</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color w:val="000000" w:themeColor="text1"/>
                <w:kern w:val="0"/>
                <w:sz w:val="18"/>
                <w:szCs w:val="18"/>
                <w:lang w:eastAsia="zh-CN"/>
                <w14:textFill>
                  <w14:solidFill>
                    <w14:schemeClr w14:val="tx1"/>
                  </w14:solidFill>
                </w14:textFill>
              </w:rPr>
              <w:t>总楼层为</w:t>
            </w:r>
            <w:r>
              <w:rPr>
                <w:rFonts w:hint="eastAsia" w:ascii="宋体" w:hAnsi="宋体" w:cs="宋体"/>
                <w:color w:val="000000" w:themeColor="text1"/>
                <w:kern w:val="0"/>
                <w:sz w:val="18"/>
                <w:szCs w:val="18"/>
                <w:lang w:val="en-US" w:eastAsia="zh-CN"/>
                <w14:textFill>
                  <w14:solidFill>
                    <w14:schemeClr w14:val="tx1"/>
                  </w14:solidFill>
                </w14:textFill>
              </w:rPr>
              <w:t>15</w:t>
            </w:r>
            <w:r>
              <w:rPr>
                <w:rFonts w:hint="eastAsia" w:ascii="宋体" w:hAnsi="宋体" w:eastAsia="宋体" w:cs="宋体"/>
                <w:color w:val="000000" w:themeColor="text1"/>
                <w:kern w:val="0"/>
                <w:sz w:val="18"/>
                <w:szCs w:val="18"/>
                <w:lang w:eastAsia="zh-CN"/>
                <w14:textFill>
                  <w14:solidFill>
                    <w14:schemeClr w14:val="tx1"/>
                  </w14:solidFill>
                </w14:textFill>
              </w:rPr>
              <w:t>层，所在楼层为</w:t>
            </w:r>
            <w:r>
              <w:rPr>
                <w:rFonts w:hint="eastAsia" w:ascii="宋体" w:hAnsi="宋体" w:cs="宋体"/>
                <w:color w:val="000000" w:themeColor="text1"/>
                <w:kern w:val="0"/>
                <w:sz w:val="18"/>
                <w:szCs w:val="18"/>
                <w:lang w:val="en-US" w:eastAsia="zh-CN"/>
                <w14:textFill>
                  <w14:solidFill>
                    <w14:schemeClr w14:val="tx1"/>
                  </w14:solidFill>
                </w14:textFill>
              </w:rPr>
              <w:t>8</w:t>
            </w:r>
            <w:r>
              <w:rPr>
                <w:rFonts w:hint="eastAsia" w:ascii="宋体" w:hAnsi="宋体" w:eastAsia="宋体" w:cs="宋体"/>
                <w:color w:val="000000" w:themeColor="text1"/>
                <w:kern w:val="0"/>
                <w:sz w:val="18"/>
                <w:szCs w:val="18"/>
                <w:lang w:eastAsia="zh-CN"/>
                <w14:textFill>
                  <w14:solidFill>
                    <w14:schemeClr w14:val="tx1"/>
                  </w14:solidFill>
                </w14:textFill>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dxa"/>
            <w:vMerge w:val="restart"/>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交通条件</w:t>
            </w: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道路等级及路网条件</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估价对象所在区域</w:t>
            </w:r>
            <w:r>
              <w:rPr>
                <w:rFonts w:hint="eastAsia" w:ascii="宋体" w:hAnsi="宋体" w:cs="宋体"/>
                <w:kern w:val="0"/>
                <w:sz w:val="18"/>
                <w:szCs w:val="18"/>
                <w:lang w:val="en-US" w:eastAsia="zh-CN"/>
              </w:rPr>
              <w:t>由互和路、滨江中路</w:t>
            </w:r>
            <w:r>
              <w:rPr>
                <w:rFonts w:hint="eastAsia" w:ascii="宋体" w:hAnsi="宋体" w:eastAsia="宋体" w:cs="宋体"/>
                <w:kern w:val="0"/>
                <w:sz w:val="18"/>
                <w:szCs w:val="18"/>
                <w:lang w:eastAsia="zh-CN"/>
              </w:rPr>
              <w:t>等构成该区域主要交通路网，道路通达度良好。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35" w:type="dxa"/>
            <w:vMerge w:val="continue"/>
            <w:noWrap w:val="0"/>
            <w:vAlign w:val="center"/>
          </w:tcPr>
          <w:p>
            <w:pPr>
              <w:widowControl/>
              <w:jc w:val="center"/>
              <w:rPr>
                <w:rFonts w:hint="eastAsia" w:ascii="宋体" w:hAnsi="宋体" w:eastAsia="宋体" w:cs="宋体"/>
                <w:kern w:val="0"/>
                <w:sz w:val="18"/>
                <w:szCs w:val="18"/>
                <w:lang w:eastAsia="zh-CN"/>
              </w:rPr>
            </w:pP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公共交通及对内交通状况</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距</w:t>
            </w:r>
            <w:r>
              <w:rPr>
                <w:rFonts w:hint="eastAsia" w:ascii="宋体" w:hAnsi="宋体" w:cs="宋体"/>
                <w:kern w:val="0"/>
                <w:sz w:val="18"/>
                <w:szCs w:val="18"/>
                <w:lang w:val="en-US" w:eastAsia="zh-CN"/>
              </w:rPr>
              <w:t>晶蓝湾公交车站约100</w:t>
            </w:r>
            <w:r>
              <w:rPr>
                <w:rFonts w:hint="eastAsia" w:ascii="宋体" w:hAnsi="宋体" w:eastAsia="宋体" w:cs="宋体"/>
                <w:kern w:val="0"/>
                <w:sz w:val="18"/>
                <w:szCs w:val="18"/>
                <w:lang w:eastAsia="zh-CN"/>
              </w:rPr>
              <w:t>米，区域内分布有公共交通车</w:t>
            </w:r>
            <w:r>
              <w:rPr>
                <w:rFonts w:hint="eastAsia" w:ascii="宋体" w:hAnsi="宋体" w:cs="宋体"/>
                <w:kern w:val="0"/>
                <w:sz w:val="18"/>
                <w:szCs w:val="18"/>
                <w:lang w:val="en-US" w:eastAsia="zh-CN"/>
              </w:rPr>
              <w:t>1</w:t>
            </w:r>
            <w:r>
              <w:rPr>
                <w:rFonts w:hint="eastAsia" w:ascii="宋体" w:hAnsi="宋体" w:eastAsia="宋体" w:cs="宋体"/>
                <w:kern w:val="0"/>
                <w:sz w:val="18"/>
                <w:szCs w:val="18"/>
                <w:lang w:eastAsia="zh-CN"/>
              </w:rPr>
              <w:t>路;</w:t>
            </w:r>
            <w:r>
              <w:rPr>
                <w:rFonts w:hint="eastAsia" w:ascii="宋体" w:hAnsi="宋体" w:cs="宋体"/>
                <w:kern w:val="0"/>
                <w:sz w:val="18"/>
                <w:szCs w:val="18"/>
                <w:lang w:val="en-US" w:eastAsia="zh-CN"/>
              </w:rPr>
              <w:t>2</w:t>
            </w:r>
            <w:r>
              <w:rPr>
                <w:rFonts w:hint="eastAsia" w:ascii="宋体" w:hAnsi="宋体" w:eastAsia="宋体" w:cs="宋体"/>
                <w:kern w:val="0"/>
                <w:sz w:val="18"/>
                <w:szCs w:val="18"/>
                <w:lang w:eastAsia="zh-CN"/>
              </w:rPr>
              <w:t>路;</w:t>
            </w:r>
            <w:r>
              <w:rPr>
                <w:rFonts w:hint="eastAsia" w:ascii="宋体" w:hAnsi="宋体" w:cs="宋体"/>
                <w:kern w:val="0"/>
                <w:sz w:val="18"/>
                <w:szCs w:val="18"/>
                <w:lang w:val="en-US" w:eastAsia="zh-CN"/>
              </w:rPr>
              <w:t>4</w:t>
            </w:r>
            <w:r>
              <w:rPr>
                <w:rFonts w:hint="eastAsia" w:ascii="宋体" w:hAnsi="宋体" w:eastAsia="宋体" w:cs="宋体"/>
                <w:kern w:val="0"/>
                <w:sz w:val="18"/>
                <w:szCs w:val="18"/>
                <w:lang w:eastAsia="zh-CN"/>
              </w:rPr>
              <w:t>路;</w:t>
            </w:r>
            <w:r>
              <w:rPr>
                <w:rFonts w:hint="eastAsia" w:ascii="宋体" w:hAnsi="宋体" w:cs="宋体"/>
                <w:kern w:val="0"/>
                <w:sz w:val="18"/>
                <w:szCs w:val="18"/>
                <w:lang w:val="en-US" w:eastAsia="zh-CN"/>
              </w:rPr>
              <w:t>10</w:t>
            </w:r>
            <w:r>
              <w:rPr>
                <w:rFonts w:hint="eastAsia" w:ascii="宋体" w:hAnsi="宋体" w:eastAsia="宋体" w:cs="宋体"/>
                <w:kern w:val="0"/>
                <w:sz w:val="18"/>
                <w:szCs w:val="18"/>
                <w:lang w:eastAsia="zh-CN"/>
              </w:rPr>
              <w:t>路;</w:t>
            </w:r>
            <w:r>
              <w:rPr>
                <w:rFonts w:hint="eastAsia" w:ascii="宋体" w:hAnsi="宋体" w:cs="宋体"/>
                <w:kern w:val="0"/>
                <w:sz w:val="18"/>
                <w:szCs w:val="18"/>
                <w:lang w:val="en-US" w:eastAsia="zh-CN"/>
              </w:rPr>
              <w:t>601</w:t>
            </w:r>
            <w:r>
              <w:rPr>
                <w:rFonts w:hint="eastAsia" w:ascii="宋体" w:hAnsi="宋体" w:eastAsia="宋体" w:cs="宋体"/>
                <w:kern w:val="0"/>
                <w:sz w:val="18"/>
                <w:szCs w:val="18"/>
                <w:lang w:eastAsia="zh-CN"/>
              </w:rPr>
              <w:t>路等经过该区域，公交便捷度较好。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35" w:type="dxa"/>
            <w:vMerge w:val="continue"/>
            <w:noWrap w:val="0"/>
            <w:vAlign w:val="center"/>
          </w:tcPr>
          <w:p>
            <w:pPr>
              <w:widowControl/>
              <w:jc w:val="center"/>
              <w:rPr>
                <w:rFonts w:hint="eastAsia" w:ascii="宋体" w:hAnsi="宋体" w:eastAsia="宋体" w:cs="宋体"/>
                <w:kern w:val="0"/>
                <w:sz w:val="18"/>
                <w:szCs w:val="18"/>
                <w:lang w:eastAsia="zh-CN"/>
              </w:rPr>
            </w:pP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对外交通状况</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距</w:t>
            </w:r>
            <w:r>
              <w:rPr>
                <w:rFonts w:hint="eastAsia" w:ascii="宋体" w:hAnsi="宋体" w:cs="宋体"/>
                <w:kern w:val="0"/>
                <w:sz w:val="18"/>
                <w:szCs w:val="18"/>
                <w:lang w:val="en-US" w:eastAsia="zh-CN"/>
              </w:rPr>
              <w:t>犍为客运中心站约1.0公里，距清溪客运站约5.8公里</w:t>
            </w:r>
            <w:r>
              <w:rPr>
                <w:rFonts w:hint="eastAsia" w:ascii="宋体" w:hAnsi="宋体" w:eastAsia="宋体" w:cs="宋体"/>
                <w:kern w:val="0"/>
                <w:sz w:val="18"/>
                <w:szCs w:val="18"/>
                <w:lang w:eastAsia="zh-CN"/>
              </w:rPr>
              <w:t>，对外交通便捷度较好。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35" w:type="dxa"/>
            <w:vMerge w:val="continue"/>
            <w:noWrap w:val="0"/>
            <w:vAlign w:val="center"/>
          </w:tcPr>
          <w:p>
            <w:pPr>
              <w:widowControl/>
              <w:jc w:val="center"/>
              <w:rPr>
                <w:rFonts w:hint="eastAsia" w:ascii="宋体" w:hAnsi="宋体" w:eastAsia="宋体" w:cs="宋体"/>
                <w:kern w:val="0"/>
                <w:sz w:val="18"/>
                <w:szCs w:val="18"/>
                <w:lang w:eastAsia="zh-CN"/>
              </w:rPr>
            </w:pP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交通管制情况</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无交通管制情况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35" w:type="dxa"/>
            <w:vMerge w:val="continue"/>
            <w:noWrap w:val="0"/>
            <w:vAlign w:val="center"/>
          </w:tcPr>
          <w:p>
            <w:pPr>
              <w:widowControl/>
              <w:jc w:val="center"/>
              <w:rPr>
                <w:rFonts w:hint="eastAsia" w:ascii="宋体" w:hAnsi="宋体" w:eastAsia="宋体" w:cs="宋体"/>
                <w:kern w:val="0"/>
                <w:sz w:val="18"/>
                <w:szCs w:val="18"/>
                <w:lang w:eastAsia="zh-CN"/>
              </w:rPr>
            </w:pP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停车方便程度</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估价对象区域</w:t>
            </w:r>
            <w:r>
              <w:rPr>
                <w:rFonts w:hint="eastAsia" w:ascii="宋体" w:hAnsi="宋体" w:cs="宋体"/>
                <w:kern w:val="0"/>
                <w:sz w:val="18"/>
                <w:szCs w:val="18"/>
                <w:lang w:val="en-US" w:eastAsia="zh-CN"/>
              </w:rPr>
              <w:t>内、</w:t>
            </w:r>
            <w:r>
              <w:rPr>
                <w:rFonts w:hint="eastAsia" w:ascii="宋体" w:hAnsi="宋体" w:eastAsia="宋体" w:cs="宋体"/>
                <w:kern w:val="0"/>
                <w:sz w:val="18"/>
                <w:szCs w:val="18"/>
                <w:lang w:eastAsia="zh-CN"/>
              </w:rPr>
              <w:t>外</w:t>
            </w:r>
            <w:r>
              <w:rPr>
                <w:rFonts w:hint="eastAsia" w:ascii="宋体" w:hAnsi="宋体" w:cs="宋体"/>
                <w:kern w:val="0"/>
                <w:sz w:val="18"/>
                <w:szCs w:val="18"/>
                <w:lang w:eastAsia="zh-CN"/>
              </w:rPr>
              <w:t>，</w:t>
            </w:r>
            <w:r>
              <w:rPr>
                <w:rFonts w:hint="eastAsia" w:ascii="宋体" w:hAnsi="宋体" w:eastAsia="宋体" w:cs="宋体"/>
                <w:kern w:val="0"/>
                <w:sz w:val="18"/>
                <w:szCs w:val="18"/>
                <w:lang w:eastAsia="zh-CN"/>
              </w:rPr>
              <w:t>地上</w:t>
            </w:r>
            <w:r>
              <w:rPr>
                <w:rFonts w:hint="eastAsia" w:ascii="宋体" w:hAnsi="宋体" w:cs="宋体"/>
                <w:kern w:val="0"/>
                <w:sz w:val="18"/>
                <w:szCs w:val="18"/>
                <w:lang w:eastAsia="zh-CN"/>
              </w:rPr>
              <w:t>、地下</w:t>
            </w:r>
            <w:r>
              <w:rPr>
                <w:rFonts w:hint="eastAsia" w:ascii="宋体" w:hAnsi="宋体" w:eastAsia="宋体" w:cs="宋体"/>
                <w:kern w:val="0"/>
                <w:sz w:val="18"/>
                <w:szCs w:val="18"/>
                <w:lang w:eastAsia="zh-CN"/>
              </w:rPr>
              <w:t>停车位较</w:t>
            </w:r>
            <w:r>
              <w:rPr>
                <w:rFonts w:hint="eastAsia" w:ascii="宋体" w:hAnsi="宋体" w:cs="宋体"/>
                <w:kern w:val="0"/>
                <w:sz w:val="18"/>
                <w:szCs w:val="18"/>
                <w:lang w:eastAsia="zh-CN"/>
              </w:rPr>
              <w:t>多</w:t>
            </w:r>
            <w:r>
              <w:rPr>
                <w:rFonts w:hint="eastAsia" w:ascii="宋体" w:hAnsi="宋体" w:eastAsia="宋体" w:cs="宋体"/>
                <w:kern w:val="0"/>
                <w:sz w:val="18"/>
                <w:szCs w:val="18"/>
                <w:lang w:eastAsia="zh-CN"/>
              </w:rPr>
              <w:t>，停车方便程度</w:t>
            </w:r>
            <w:r>
              <w:rPr>
                <w:rFonts w:hint="eastAsia" w:ascii="宋体" w:hAnsi="宋体" w:cs="宋体"/>
                <w:kern w:val="0"/>
                <w:sz w:val="18"/>
                <w:szCs w:val="18"/>
                <w:lang w:val="en-US" w:eastAsia="zh-CN"/>
              </w:rPr>
              <w:t>较好</w:t>
            </w:r>
            <w:r>
              <w:rPr>
                <w:rFonts w:hint="eastAsia" w:ascii="宋体" w:hAnsi="宋体" w:eastAsia="宋体" w:cs="宋体"/>
                <w:kern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35" w:type="dxa"/>
            <w:vMerge w:val="restart"/>
            <w:noWrap w:val="0"/>
            <w:vAlign w:val="center"/>
          </w:tcPr>
          <w:p>
            <w:pPr>
              <w:widowControl/>
              <w:jc w:val="center"/>
              <w:rPr>
                <w:rFonts w:hint="eastAsia" w:ascii="宋体" w:hAnsi="宋体" w:eastAsia="宋体" w:cs="宋体"/>
                <w:kern w:val="0"/>
                <w:sz w:val="18"/>
                <w:szCs w:val="18"/>
                <w:lang w:eastAsia="zh-CN"/>
              </w:rPr>
            </w:pPr>
          </w:p>
          <w:p>
            <w:pPr>
              <w:widowControl/>
              <w:jc w:val="center"/>
              <w:rPr>
                <w:rFonts w:hint="eastAsia" w:ascii="宋体" w:hAnsi="宋体" w:eastAsia="宋体" w:cs="宋体"/>
                <w:kern w:val="0"/>
                <w:sz w:val="18"/>
                <w:szCs w:val="18"/>
                <w:lang w:eastAsia="zh-CN"/>
              </w:rPr>
            </w:pPr>
          </w:p>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外部配套设施</w:t>
            </w: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城市基础设施</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估价对象所在区域内的水、电、气、讯、路、视等城市基础设施配套较完善。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vMerge w:val="continue"/>
            <w:noWrap w:val="0"/>
            <w:vAlign w:val="center"/>
          </w:tcPr>
          <w:p>
            <w:pPr>
              <w:widowControl/>
              <w:jc w:val="center"/>
              <w:rPr>
                <w:rFonts w:hint="eastAsia" w:ascii="宋体" w:hAnsi="宋体" w:eastAsia="宋体" w:cs="宋体"/>
                <w:kern w:val="0"/>
                <w:sz w:val="18"/>
                <w:szCs w:val="18"/>
                <w:lang w:eastAsia="zh-CN"/>
              </w:rPr>
            </w:pP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银行</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估价对象所在区域内分布有</w:t>
            </w:r>
            <w:r>
              <w:rPr>
                <w:rFonts w:hint="eastAsia" w:ascii="宋体" w:hAnsi="宋体" w:cs="宋体"/>
                <w:kern w:val="0"/>
                <w:sz w:val="18"/>
                <w:szCs w:val="18"/>
                <w:lang w:val="en-US" w:eastAsia="zh-CN"/>
              </w:rPr>
              <w:t>犍为中成村镇银行、中国工商银行(犍为新城支行)、中国邮政储蓄银行(犍为县支行)</w:t>
            </w:r>
            <w:r>
              <w:rPr>
                <w:rFonts w:hint="eastAsia" w:ascii="宋体" w:hAnsi="宋体" w:eastAsia="宋体" w:cs="宋体"/>
                <w:kern w:val="0"/>
                <w:sz w:val="18"/>
                <w:szCs w:val="18"/>
                <w:lang w:eastAsia="zh-CN"/>
              </w:rPr>
              <w:t>等营业网点。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35" w:type="dxa"/>
            <w:vMerge w:val="continue"/>
            <w:noWrap w:val="0"/>
            <w:vAlign w:val="center"/>
          </w:tcPr>
          <w:p>
            <w:pPr>
              <w:widowControl/>
              <w:jc w:val="center"/>
              <w:rPr>
                <w:rFonts w:hint="eastAsia" w:ascii="宋体" w:hAnsi="宋体" w:eastAsia="宋体" w:cs="宋体"/>
                <w:kern w:val="0"/>
                <w:sz w:val="18"/>
                <w:szCs w:val="18"/>
                <w:lang w:eastAsia="zh-CN"/>
              </w:rPr>
            </w:pP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教育文化</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估价对象所在区域内分布有启程幼儿园</w:t>
            </w:r>
            <w:r>
              <w:rPr>
                <w:rFonts w:hint="eastAsia" w:ascii="宋体" w:hAnsi="宋体" w:cs="宋体"/>
                <w:kern w:val="0"/>
                <w:sz w:val="18"/>
                <w:szCs w:val="18"/>
                <w:lang w:eastAsia="zh-CN"/>
              </w:rPr>
              <w:t>、金蓓蕾幼儿园(南阳路)、</w:t>
            </w:r>
            <w:r>
              <w:rPr>
                <w:rFonts w:hint="eastAsia" w:ascii="宋体" w:hAnsi="宋体" w:cs="宋体"/>
                <w:kern w:val="0"/>
                <w:sz w:val="18"/>
                <w:szCs w:val="18"/>
                <w:lang w:val="en-US" w:eastAsia="zh-CN"/>
              </w:rPr>
              <w:t>犍为县新城小学、犍为县南门小学等</w:t>
            </w:r>
            <w:r>
              <w:rPr>
                <w:rFonts w:hint="eastAsia" w:ascii="宋体" w:hAnsi="宋体" w:eastAsia="宋体" w:cs="宋体"/>
                <w:kern w:val="0"/>
                <w:sz w:val="18"/>
                <w:szCs w:val="18"/>
                <w:lang w:eastAsia="zh-CN"/>
              </w:rPr>
              <w:t>教育机构，教育设施较齐全。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35" w:type="dxa"/>
            <w:vMerge w:val="continue"/>
            <w:noWrap w:val="0"/>
            <w:vAlign w:val="center"/>
          </w:tcPr>
          <w:p>
            <w:pPr>
              <w:widowControl/>
              <w:jc w:val="center"/>
              <w:rPr>
                <w:rFonts w:hint="eastAsia" w:ascii="宋体" w:hAnsi="宋体" w:eastAsia="宋体" w:cs="宋体"/>
                <w:kern w:val="0"/>
                <w:sz w:val="18"/>
                <w:szCs w:val="18"/>
                <w:lang w:eastAsia="zh-CN"/>
              </w:rPr>
            </w:pP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医疗卫生</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估价对象所在区域内分布有</w:t>
            </w:r>
            <w:r>
              <w:rPr>
                <w:rFonts w:hint="eastAsia" w:ascii="宋体" w:hAnsi="宋体" w:cs="宋体"/>
                <w:kern w:val="0"/>
                <w:sz w:val="18"/>
                <w:szCs w:val="18"/>
                <w:lang w:val="en-US" w:eastAsia="zh-CN"/>
              </w:rPr>
              <w:t>犍为县妇幼保健院、犍为新城医院、犍为家和医院</w:t>
            </w:r>
            <w:r>
              <w:rPr>
                <w:rFonts w:hint="eastAsia" w:ascii="宋体" w:hAnsi="宋体" w:eastAsia="宋体" w:cs="宋体"/>
                <w:kern w:val="0"/>
                <w:sz w:val="18"/>
                <w:szCs w:val="18"/>
                <w:lang w:eastAsia="zh-CN"/>
              </w:rPr>
              <w:t>等医疗机构，就医方便程度</w:t>
            </w:r>
            <w:r>
              <w:rPr>
                <w:rFonts w:hint="eastAsia" w:ascii="宋体" w:hAnsi="宋体" w:cs="宋体"/>
                <w:kern w:val="0"/>
                <w:sz w:val="18"/>
                <w:szCs w:val="18"/>
                <w:lang w:val="en-US" w:eastAsia="zh-CN"/>
              </w:rPr>
              <w:t>较好</w:t>
            </w:r>
            <w:r>
              <w:rPr>
                <w:rFonts w:hint="eastAsia" w:ascii="宋体" w:hAnsi="宋体" w:eastAsia="宋体" w:cs="宋体"/>
                <w:kern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35" w:type="dxa"/>
            <w:vMerge w:val="continue"/>
            <w:noWrap w:val="0"/>
            <w:vAlign w:val="center"/>
          </w:tcPr>
          <w:p>
            <w:pPr>
              <w:widowControl/>
              <w:jc w:val="center"/>
              <w:rPr>
                <w:rFonts w:hint="eastAsia" w:ascii="宋体" w:hAnsi="宋体" w:eastAsia="宋体" w:cs="宋体"/>
                <w:kern w:val="0"/>
                <w:sz w:val="18"/>
                <w:szCs w:val="18"/>
                <w:lang w:eastAsia="zh-CN"/>
              </w:rPr>
            </w:pP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娱乐休闲及购物</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估价对象所在区域内分布有</w:t>
            </w:r>
            <w:r>
              <w:rPr>
                <w:rFonts w:hint="eastAsia" w:ascii="宋体" w:hAnsi="宋体" w:cs="宋体"/>
                <w:kern w:val="0"/>
                <w:sz w:val="18"/>
                <w:szCs w:val="18"/>
                <w:lang w:val="en-US" w:eastAsia="zh-CN"/>
              </w:rPr>
              <w:t>蓝湾超市</w:t>
            </w:r>
            <w:r>
              <w:rPr>
                <w:rFonts w:hint="eastAsia" w:ascii="宋体" w:hAnsi="宋体" w:eastAsia="宋体" w:cs="宋体"/>
                <w:kern w:val="0"/>
                <w:sz w:val="18"/>
                <w:szCs w:val="18"/>
                <w:lang w:eastAsia="zh-CN"/>
              </w:rPr>
              <w:t>、</w:t>
            </w:r>
            <w:r>
              <w:rPr>
                <w:rFonts w:hint="eastAsia" w:ascii="宋体" w:hAnsi="宋体" w:cs="宋体"/>
                <w:kern w:val="0"/>
                <w:sz w:val="18"/>
                <w:szCs w:val="18"/>
                <w:lang w:val="en-US" w:eastAsia="zh-CN"/>
              </w:rPr>
              <w:t>黄家超市(瑞雪店)、皇家超市、金犍巴辣鱼捞(犍为店)、盛世蓉和酒楼(犍为店)、金井生态羊肉、7天优品酒店(丰业财富中心店)、珀丽花园酒店、犍为蓝色海岸度假酒店</w:t>
            </w:r>
            <w:r>
              <w:rPr>
                <w:rFonts w:hint="eastAsia" w:ascii="宋体" w:hAnsi="宋体" w:eastAsia="宋体" w:cs="宋体"/>
                <w:kern w:val="0"/>
                <w:sz w:val="18"/>
                <w:szCs w:val="18"/>
                <w:lang w:eastAsia="zh-CN"/>
              </w:rPr>
              <w:t>等商业机构，商服繁华度较好。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35" w:type="dxa"/>
            <w:vMerge w:val="restart"/>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周围环境和景观</w:t>
            </w: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自然环境</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估价对象所在区域内无固定污染源，无明显粉尘和噪音污染，周边环境较好，</w:t>
            </w:r>
            <w:r>
              <w:rPr>
                <w:rFonts w:hint="eastAsia" w:ascii="宋体" w:hAnsi="宋体" w:cs="宋体"/>
                <w:kern w:val="0"/>
                <w:sz w:val="18"/>
                <w:szCs w:val="18"/>
                <w:lang w:val="en-US" w:eastAsia="zh-CN"/>
              </w:rPr>
              <w:t>有公园及大量绿地，</w:t>
            </w:r>
            <w:r>
              <w:rPr>
                <w:rFonts w:hint="eastAsia" w:ascii="宋体" w:hAnsi="宋体" w:eastAsia="宋体" w:cs="宋体"/>
                <w:kern w:val="0"/>
                <w:sz w:val="18"/>
                <w:szCs w:val="18"/>
                <w:lang w:eastAsia="zh-CN"/>
              </w:rPr>
              <w:t>绿化及空气质量较好。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35" w:type="dxa"/>
            <w:vMerge w:val="continue"/>
            <w:noWrap w:val="0"/>
            <w:vAlign w:val="top"/>
          </w:tcPr>
          <w:p>
            <w:pPr>
              <w:widowControl/>
              <w:jc w:val="center"/>
              <w:rPr>
                <w:rFonts w:hint="eastAsia" w:ascii="宋体" w:hAnsi="宋体" w:eastAsia="宋体" w:cs="宋体"/>
                <w:kern w:val="0"/>
                <w:sz w:val="18"/>
                <w:szCs w:val="18"/>
                <w:lang w:eastAsia="zh-CN"/>
              </w:rPr>
            </w:pP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人文环境</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人口密度</w:t>
            </w:r>
            <w:r>
              <w:rPr>
                <w:rFonts w:hint="eastAsia" w:ascii="宋体" w:hAnsi="宋体" w:cs="宋体"/>
                <w:kern w:val="0"/>
                <w:sz w:val="18"/>
                <w:szCs w:val="18"/>
                <w:lang w:val="en-US" w:eastAsia="zh-CN"/>
              </w:rPr>
              <w:t>一般</w:t>
            </w:r>
            <w:r>
              <w:rPr>
                <w:rFonts w:hint="eastAsia" w:ascii="宋体" w:hAnsi="宋体" w:eastAsia="宋体" w:cs="宋体"/>
                <w:kern w:val="0"/>
                <w:sz w:val="18"/>
                <w:szCs w:val="18"/>
                <w:lang w:eastAsia="zh-CN"/>
              </w:rPr>
              <w:t>，人文景观较好，社会治安较好。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35" w:type="dxa"/>
            <w:vMerge w:val="continue"/>
            <w:noWrap w:val="0"/>
            <w:vAlign w:val="top"/>
          </w:tcPr>
          <w:p>
            <w:pPr>
              <w:widowControl/>
              <w:jc w:val="center"/>
              <w:rPr>
                <w:rFonts w:hint="eastAsia" w:ascii="宋体" w:hAnsi="宋体" w:eastAsia="宋体" w:cs="宋体"/>
                <w:kern w:val="0"/>
                <w:sz w:val="18"/>
                <w:szCs w:val="18"/>
                <w:lang w:eastAsia="zh-CN"/>
              </w:rPr>
            </w:pPr>
          </w:p>
        </w:tc>
        <w:tc>
          <w:tcPr>
            <w:tcW w:w="1875"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景观</w:t>
            </w:r>
          </w:p>
        </w:tc>
        <w:tc>
          <w:tcPr>
            <w:tcW w:w="6807" w:type="dxa"/>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街头绿化，城市绿化景观。</w:t>
            </w:r>
          </w:p>
        </w:tc>
      </w:tr>
    </w:tbl>
    <w:p>
      <w:pPr>
        <w:pStyle w:val="4"/>
        <w:keepNext w:val="0"/>
        <w:keepLines w:val="0"/>
        <w:pageBreakBefore w:val="0"/>
        <w:widowControl w:val="0"/>
        <w:kinsoku/>
        <w:wordWrap/>
        <w:overflowPunct/>
        <w:topLinePunct w:val="0"/>
        <w:autoSpaceDE/>
        <w:autoSpaceDN/>
        <w:bidi w:val="0"/>
        <w:adjustRightInd w:val="0"/>
        <w:spacing w:before="0" w:after="0" w:line="520" w:lineRule="exact"/>
        <w:textAlignment w:val="baseline"/>
        <w:rPr>
          <w:rFonts w:hint="eastAsia" w:ascii="宋体" w:hAnsi="宋体" w:eastAsia="宋体" w:cs="宋体"/>
          <w:color w:val="000000"/>
          <w:sz w:val="24"/>
          <w:szCs w:val="24"/>
        </w:rPr>
      </w:pPr>
      <w:bookmarkStart w:id="198" w:name="_Toc20435"/>
      <w:bookmarkStart w:id="199" w:name="_Toc22745"/>
      <w:bookmarkStart w:id="200" w:name="_Toc5648"/>
      <w:bookmarkStart w:id="201" w:name="_Toc480967876"/>
      <w:bookmarkStart w:id="202" w:name="_Toc17925"/>
      <w:bookmarkStart w:id="203" w:name="_Toc27106"/>
      <w:bookmarkStart w:id="204" w:name="_Toc18384"/>
      <w:bookmarkStart w:id="205" w:name="_Toc15248"/>
      <w:bookmarkStart w:id="206" w:name="_Toc8509"/>
      <w:bookmarkStart w:id="207" w:name="_Toc18806"/>
      <w:bookmarkStart w:id="208" w:name="_Toc21188"/>
      <w:bookmarkStart w:id="209" w:name="_Toc12272"/>
      <w:bookmarkStart w:id="210" w:name="_Toc485393190"/>
      <w:bookmarkStart w:id="211" w:name="_Toc15232"/>
      <w:bookmarkStart w:id="212" w:name="_Toc29189"/>
      <w:bookmarkStart w:id="213" w:name="_Toc32365"/>
      <w:bookmarkStart w:id="214" w:name="_Toc18505"/>
      <w:bookmarkStart w:id="215" w:name="_Toc3075"/>
      <w:bookmarkStart w:id="216" w:name="_Toc25782"/>
      <w:bookmarkStart w:id="217" w:name="_Toc27593"/>
      <w:bookmarkStart w:id="218" w:name="_Toc9279"/>
      <w:bookmarkStart w:id="219" w:name="_Toc4066"/>
      <w:r>
        <w:rPr>
          <w:rFonts w:hint="eastAsia" w:ascii="宋体" w:hAnsi="宋体" w:eastAsia="宋体" w:cs="宋体"/>
          <w:color w:val="000000"/>
          <w:sz w:val="24"/>
          <w:szCs w:val="24"/>
          <w:lang w:val="en-US" w:eastAsia="zh-CN"/>
        </w:rPr>
        <w:t>五、</w:t>
      </w:r>
      <w:r>
        <w:rPr>
          <w:rFonts w:hint="eastAsia" w:ascii="宋体" w:hAnsi="宋体" w:eastAsia="宋体" w:cs="宋体"/>
          <w:color w:val="000000"/>
          <w:sz w:val="24"/>
          <w:szCs w:val="24"/>
        </w:rPr>
        <w:t>价值时点</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pPr>
        <w:pageBreakBefore w:val="0"/>
        <w:widowControl w:val="0"/>
        <w:kinsoku/>
        <w:wordWrap/>
        <w:overflowPunct/>
        <w:topLinePunct w:val="0"/>
        <w:autoSpaceDE/>
        <w:autoSpaceDN/>
        <w:bidi w:val="0"/>
        <w:adjustRightInd w:val="0"/>
        <w:spacing w:line="520" w:lineRule="exact"/>
        <w:ind w:firstLine="480"/>
        <w:textAlignment w:val="baseline"/>
        <w:rPr>
          <w:rFonts w:hint="eastAsia" w:ascii="宋体" w:hAnsi="宋体" w:eastAsia="宋体" w:cs="宋体"/>
          <w:sz w:val="24"/>
          <w:szCs w:val="24"/>
        </w:rPr>
      </w:pPr>
      <w:r>
        <w:rPr>
          <w:rFonts w:hint="eastAsia" w:ascii="宋体" w:hAnsi="宋体" w:cs="宋体"/>
          <w:sz w:val="24"/>
          <w:szCs w:val="24"/>
          <w:lang w:eastAsia="zh-CN"/>
        </w:rPr>
        <w:t>2022年8月10日</w:t>
      </w:r>
      <w:r>
        <w:rPr>
          <w:rFonts w:hint="eastAsia" w:ascii="宋体" w:hAnsi="宋体" w:eastAsia="宋体" w:cs="宋体"/>
          <w:sz w:val="24"/>
          <w:szCs w:val="24"/>
        </w:rPr>
        <w:t>。</w:t>
      </w:r>
      <w:r>
        <w:rPr>
          <w:rFonts w:hint="eastAsia" w:ascii="宋体" w:hAnsi="宋体" w:eastAsia="宋体" w:cs="宋体"/>
          <w:color w:val="auto"/>
          <w:sz w:val="24"/>
          <w:szCs w:val="24"/>
        </w:rPr>
        <w:t>（依据估价委托人的委托目的及要求，本次评估以注册房地产估价师进行实地查看日期为价值时点）</w:t>
      </w:r>
      <w:r>
        <w:rPr>
          <w:rFonts w:hint="eastAsia" w:ascii="宋体" w:hAnsi="宋体" w:eastAsia="宋体" w:cs="宋体"/>
          <w:sz w:val="24"/>
          <w:szCs w:val="24"/>
        </w:rPr>
        <w:t>。</w:t>
      </w:r>
    </w:p>
    <w:p>
      <w:pPr>
        <w:pStyle w:val="4"/>
        <w:keepNext w:val="0"/>
        <w:keepLines w:val="0"/>
        <w:pageBreakBefore w:val="0"/>
        <w:widowControl w:val="0"/>
        <w:kinsoku/>
        <w:wordWrap/>
        <w:overflowPunct/>
        <w:topLinePunct w:val="0"/>
        <w:autoSpaceDE/>
        <w:autoSpaceDN/>
        <w:bidi w:val="0"/>
        <w:adjustRightInd w:val="0"/>
        <w:spacing w:before="0" w:after="0" w:line="520" w:lineRule="exact"/>
        <w:jc w:val="left"/>
        <w:textAlignment w:val="baseline"/>
        <w:rPr>
          <w:rFonts w:hint="eastAsia" w:ascii="宋体" w:hAnsi="宋体" w:eastAsia="宋体" w:cs="宋体"/>
          <w:color w:val="000000"/>
          <w:sz w:val="24"/>
          <w:szCs w:val="24"/>
        </w:rPr>
      </w:pPr>
      <w:bookmarkStart w:id="220" w:name="_Toc154"/>
      <w:bookmarkStart w:id="221" w:name="_Toc2406"/>
      <w:bookmarkStart w:id="222" w:name="_Toc4107"/>
      <w:bookmarkStart w:id="223" w:name="_Toc3144"/>
      <w:bookmarkStart w:id="224" w:name="_Toc18920"/>
      <w:bookmarkStart w:id="225" w:name="_Toc14029"/>
      <w:bookmarkStart w:id="226" w:name="_Toc484869468"/>
      <w:bookmarkStart w:id="227" w:name="_Toc20534"/>
      <w:bookmarkStart w:id="228" w:name="_Toc29939"/>
      <w:bookmarkStart w:id="229" w:name="_Toc25591"/>
      <w:bookmarkStart w:id="230" w:name="_Toc16442"/>
      <w:bookmarkStart w:id="231" w:name="_Toc832"/>
      <w:bookmarkStart w:id="232" w:name="_Toc27665"/>
      <w:bookmarkStart w:id="233" w:name="_Toc28755"/>
      <w:bookmarkStart w:id="234" w:name="_Toc5519"/>
      <w:bookmarkStart w:id="235" w:name="_Toc32194"/>
      <w:bookmarkStart w:id="236" w:name="_Toc28429"/>
      <w:bookmarkStart w:id="237" w:name="_Toc278"/>
      <w:bookmarkStart w:id="238" w:name="_Toc8989"/>
      <w:bookmarkStart w:id="239" w:name="_Toc3681"/>
      <w:bookmarkStart w:id="240" w:name="_Toc19133"/>
      <w:bookmarkStart w:id="241" w:name="_Toc29556"/>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价值类型</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pPr>
        <w:pageBreakBefore w:val="0"/>
        <w:widowControl w:val="0"/>
        <w:suppressAutoHyphens/>
        <w:kinsoku/>
        <w:wordWrap/>
        <w:overflowPunct/>
        <w:topLinePunct w:val="0"/>
        <w:autoSpaceDE/>
        <w:autoSpaceDN/>
        <w:bidi w:val="0"/>
        <w:adjustRightInd w:val="0"/>
        <w:spacing w:line="520" w:lineRule="exact"/>
        <w:ind w:firstLine="480" w:firstLineChars="200"/>
        <w:textAlignment w:val="baseline"/>
        <w:rPr>
          <w:rFonts w:hint="eastAsia" w:ascii="宋体" w:hAnsi="宋体" w:eastAsia="宋体" w:cs="宋体"/>
          <w:color w:val="auto"/>
          <w:sz w:val="24"/>
          <w:szCs w:val="24"/>
          <w:highlight w:val="none"/>
        </w:rPr>
      </w:pPr>
      <w:bookmarkStart w:id="242" w:name="_Toc8304"/>
      <w:bookmarkStart w:id="243" w:name="_Toc5705"/>
      <w:bookmarkStart w:id="244" w:name="_Toc11651"/>
      <w:bookmarkStart w:id="245" w:name="_Toc485393192"/>
      <w:bookmarkStart w:id="246" w:name="_Toc297"/>
      <w:bookmarkStart w:id="247" w:name="_Toc28098"/>
      <w:bookmarkStart w:id="248" w:name="_Toc3483"/>
      <w:bookmarkStart w:id="249" w:name="_Toc29315"/>
      <w:bookmarkStart w:id="250" w:name="_Toc14698"/>
      <w:bookmarkStart w:id="251" w:name="_Toc22115"/>
      <w:bookmarkStart w:id="252" w:name="_Toc21911"/>
      <w:bookmarkStart w:id="253" w:name="_Toc11611"/>
      <w:bookmarkStart w:id="254" w:name="_Toc3761"/>
      <w:bookmarkStart w:id="255" w:name="_Toc480967878"/>
      <w:bookmarkStart w:id="256" w:name="_Toc19032"/>
      <w:bookmarkStart w:id="257" w:name="_Toc28247"/>
      <w:bookmarkStart w:id="258" w:name="_Toc32100"/>
      <w:r>
        <w:rPr>
          <w:rFonts w:hint="eastAsia" w:ascii="宋体" w:hAnsi="宋体" w:eastAsia="宋体" w:cs="宋体"/>
          <w:color w:val="auto"/>
          <w:sz w:val="24"/>
          <w:szCs w:val="24"/>
          <w:highlight w:val="none"/>
          <w:lang w:eastAsia="zh-CN"/>
        </w:rPr>
        <w:t>1.价值定义：本次为司法处置估价，选用市场价格作为本次估价的价值类型。市场价格简称市场价或市价，是一般价格（平均价格），是现实市场状况下较多成交价格经综合处理后的正常、一般交易价格，即市场价格是对现实市场状况下正常成交价格的反映。</w:t>
      </w:r>
    </w:p>
    <w:p>
      <w:pPr>
        <w:pageBreakBefore w:val="0"/>
        <w:widowControl w:val="0"/>
        <w:suppressAutoHyphens/>
        <w:kinsoku/>
        <w:wordWrap/>
        <w:overflowPunct/>
        <w:topLinePunct w:val="0"/>
        <w:autoSpaceDE/>
        <w:autoSpaceDN/>
        <w:bidi w:val="0"/>
        <w:adjustRightInd w:val="0"/>
        <w:spacing w:line="52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价值内涵：</w:t>
      </w:r>
    </w:p>
    <w:p>
      <w:pPr>
        <w:pageBreakBefore w:val="0"/>
        <w:widowControl w:val="0"/>
        <w:suppressAutoHyphens/>
        <w:kinsoku/>
        <w:wordWrap/>
        <w:overflowPunct/>
        <w:topLinePunct w:val="0"/>
        <w:autoSpaceDE/>
        <w:autoSpaceDN/>
        <w:bidi w:val="0"/>
        <w:adjustRightInd w:val="0"/>
        <w:spacing w:line="52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（1）在价值时点，满足本报告“估价假设和限制条件”，包含房屋所有权及其占用范围内应分摊的国有土地使用权、配套设施</w:t>
      </w:r>
      <w:r>
        <w:rPr>
          <w:rFonts w:hint="eastAsia" w:ascii="宋体" w:hAnsi="宋体" w:eastAsia="宋体" w:cs="宋体"/>
          <w:color w:val="auto"/>
          <w:sz w:val="24"/>
          <w:szCs w:val="24"/>
          <w:highlight w:val="none"/>
          <w:lang w:val="en-US" w:eastAsia="zh-CN"/>
        </w:rPr>
        <w:t>设备及</w:t>
      </w:r>
      <w:r>
        <w:rPr>
          <w:rFonts w:hint="eastAsia" w:ascii="宋体" w:hAnsi="宋体" w:eastAsia="宋体" w:cs="宋体"/>
          <w:color w:val="auto"/>
          <w:sz w:val="24"/>
          <w:szCs w:val="24"/>
          <w:highlight w:val="none"/>
        </w:rPr>
        <w:t>房屋室内装饰装修等的</w:t>
      </w:r>
      <w:r>
        <w:rPr>
          <w:rFonts w:hint="eastAsia" w:ascii="宋体" w:hAnsi="宋体" w:eastAsia="宋体" w:cs="宋体"/>
          <w:color w:val="auto"/>
          <w:sz w:val="24"/>
          <w:szCs w:val="24"/>
          <w:highlight w:val="none"/>
          <w:lang w:eastAsia="zh-CN"/>
        </w:rPr>
        <w:t>价格</w:t>
      </w:r>
      <w:r>
        <w:rPr>
          <w:rFonts w:hint="eastAsia" w:ascii="宋体" w:hAnsi="宋体" w:eastAsia="宋体" w:cs="宋体"/>
          <w:color w:val="auto"/>
          <w:sz w:val="24"/>
          <w:szCs w:val="24"/>
          <w:highlight w:val="none"/>
        </w:rPr>
        <w:t>，不含动产、特许经营权等的</w:t>
      </w:r>
      <w:r>
        <w:rPr>
          <w:rFonts w:hint="eastAsia" w:ascii="宋体" w:hAnsi="宋体" w:eastAsia="宋体" w:cs="宋体"/>
          <w:color w:val="auto"/>
          <w:sz w:val="24"/>
          <w:szCs w:val="24"/>
          <w:highlight w:val="none"/>
          <w:lang w:eastAsia="zh-CN"/>
        </w:rPr>
        <w:t>价格</w:t>
      </w:r>
      <w:r>
        <w:rPr>
          <w:rFonts w:hint="eastAsia" w:ascii="宋体" w:hAnsi="宋体" w:eastAsia="宋体" w:cs="宋体"/>
          <w:color w:val="auto"/>
          <w:sz w:val="24"/>
          <w:szCs w:val="24"/>
          <w:highlight w:val="none"/>
        </w:rPr>
        <w:t>；</w:t>
      </w:r>
    </w:p>
    <w:p>
      <w:pPr>
        <w:pageBreakBefore w:val="0"/>
        <w:widowControl w:val="0"/>
        <w:suppressAutoHyphens/>
        <w:kinsoku/>
        <w:wordWrap/>
        <w:overflowPunct/>
        <w:topLinePunct w:val="0"/>
        <w:autoSpaceDE/>
        <w:autoSpaceDN/>
        <w:bidi w:val="0"/>
        <w:adjustRightInd w:val="0"/>
        <w:spacing w:line="52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（2）交易双方依法承担交易过程中各自应缴纳的税费；</w:t>
      </w:r>
    </w:p>
    <w:p>
      <w:pPr>
        <w:pageBreakBefore w:val="0"/>
        <w:widowControl w:val="0"/>
        <w:suppressAutoHyphens/>
        <w:kinsoku/>
        <w:wordWrap/>
        <w:overflowPunct/>
        <w:topLinePunct w:val="0"/>
        <w:autoSpaceDE/>
        <w:autoSpaceDN/>
        <w:bidi w:val="0"/>
        <w:adjustRightInd w:val="0"/>
        <w:spacing w:line="52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（3）未考虑设定抵押权、司法查封等限制条件对房地产</w:t>
      </w:r>
      <w:r>
        <w:rPr>
          <w:rFonts w:hint="eastAsia" w:ascii="宋体" w:hAnsi="宋体" w:eastAsia="宋体" w:cs="宋体"/>
          <w:color w:val="auto"/>
          <w:sz w:val="24"/>
          <w:szCs w:val="24"/>
          <w:highlight w:val="none"/>
          <w:lang w:eastAsia="zh-CN"/>
        </w:rPr>
        <w:t>价格</w:t>
      </w:r>
      <w:r>
        <w:rPr>
          <w:rFonts w:hint="eastAsia" w:ascii="宋体" w:hAnsi="宋体" w:eastAsia="宋体" w:cs="宋体"/>
          <w:color w:val="auto"/>
          <w:sz w:val="24"/>
          <w:szCs w:val="24"/>
          <w:highlight w:val="none"/>
        </w:rPr>
        <w:t>的影响；</w:t>
      </w:r>
    </w:p>
    <w:p>
      <w:pPr>
        <w:pageBreakBefore w:val="0"/>
        <w:widowControl w:val="0"/>
        <w:suppressAutoHyphens/>
        <w:kinsoku/>
        <w:wordWrap/>
        <w:overflowPunct/>
        <w:topLinePunct w:val="0"/>
        <w:autoSpaceDE/>
        <w:autoSpaceDN/>
        <w:bidi w:val="0"/>
        <w:adjustRightInd w:val="0"/>
        <w:spacing w:line="52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cs="宋体"/>
          <w:color w:val="auto"/>
          <w:sz w:val="24"/>
          <w:szCs w:val="24"/>
          <w:highlight w:val="none"/>
          <w:lang w:val="en-US" w:eastAsia="zh-CN"/>
        </w:rPr>
        <w:t>币种：人民币；货币单位：元</w:t>
      </w:r>
      <w:r>
        <w:rPr>
          <w:rFonts w:hint="eastAsia" w:ascii="宋体" w:hAnsi="宋体" w:eastAsia="宋体" w:cs="宋体"/>
          <w:color w:val="auto"/>
          <w:sz w:val="24"/>
          <w:szCs w:val="24"/>
          <w:highlight w:val="none"/>
        </w:rPr>
        <w:t>。</w:t>
      </w:r>
    </w:p>
    <w:p>
      <w:pPr>
        <w:pageBreakBefore w:val="0"/>
        <w:widowControl w:val="0"/>
        <w:kinsoku/>
        <w:wordWrap/>
        <w:overflowPunct/>
        <w:topLinePunct w:val="0"/>
        <w:autoSpaceDE/>
        <w:autoSpaceDN/>
        <w:bidi w:val="0"/>
        <w:adjustRightInd w:val="0"/>
        <w:spacing w:line="520" w:lineRule="exact"/>
        <w:ind w:firstLine="480" w:firstLineChars="200"/>
        <w:textAlignment w:val="baseline"/>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本报告评估价格为增值税含税价格。</w:t>
      </w:r>
    </w:p>
    <w:p>
      <w:pPr>
        <w:pStyle w:val="4"/>
        <w:keepNext w:val="0"/>
        <w:keepLines w:val="0"/>
        <w:pageBreakBefore w:val="0"/>
        <w:widowControl w:val="0"/>
        <w:kinsoku/>
        <w:wordWrap/>
        <w:overflowPunct/>
        <w:topLinePunct w:val="0"/>
        <w:autoSpaceDE/>
        <w:autoSpaceDN/>
        <w:bidi w:val="0"/>
        <w:adjustRightInd w:val="0"/>
        <w:spacing w:before="0" w:after="0" w:line="520" w:lineRule="exact"/>
        <w:textAlignment w:val="baseline"/>
        <w:rPr>
          <w:rFonts w:hint="eastAsia" w:ascii="宋体" w:hAnsi="宋体" w:eastAsia="宋体" w:cs="宋体"/>
          <w:color w:val="000000"/>
          <w:sz w:val="24"/>
          <w:szCs w:val="24"/>
        </w:rPr>
      </w:pPr>
      <w:bookmarkStart w:id="259" w:name="_Toc13646"/>
      <w:bookmarkStart w:id="260" w:name="_Toc31457"/>
      <w:bookmarkStart w:id="261" w:name="_Toc32693"/>
      <w:bookmarkStart w:id="262" w:name="_Toc28114"/>
      <w:bookmarkStart w:id="263" w:name="_Toc18507"/>
      <w:r>
        <w:rPr>
          <w:rFonts w:hint="eastAsia" w:ascii="宋体" w:hAnsi="宋体" w:eastAsia="宋体" w:cs="宋体"/>
          <w:color w:val="000000"/>
          <w:sz w:val="24"/>
          <w:szCs w:val="24"/>
          <w:lang w:val="en-US" w:eastAsia="zh-CN"/>
        </w:rPr>
        <w:t>七、</w:t>
      </w:r>
      <w:r>
        <w:rPr>
          <w:rFonts w:hint="eastAsia" w:ascii="宋体" w:hAnsi="宋体" w:eastAsia="宋体" w:cs="宋体"/>
          <w:color w:val="000000"/>
          <w:sz w:val="24"/>
          <w:szCs w:val="24"/>
        </w:rPr>
        <w:t>估价原则</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pPr>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本次估价遵循</w:t>
      </w:r>
      <w:r>
        <w:rPr>
          <w:rFonts w:hint="eastAsia" w:ascii="宋体" w:hAnsi="宋体" w:eastAsia="宋体" w:cs="宋体"/>
          <w:color w:val="000000"/>
          <w:sz w:val="24"/>
          <w:szCs w:val="24"/>
          <w:lang w:val="en-US" w:eastAsia="zh-CN"/>
        </w:rPr>
        <w:t>以下</w:t>
      </w:r>
      <w:r>
        <w:rPr>
          <w:rFonts w:hint="eastAsia" w:ascii="宋体" w:hAnsi="宋体" w:eastAsia="宋体" w:cs="宋体"/>
          <w:color w:val="000000"/>
          <w:sz w:val="24"/>
          <w:szCs w:val="24"/>
        </w:rPr>
        <w:t>估价原则：</w:t>
      </w:r>
    </w:p>
    <w:p>
      <w:pPr>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1.</w:t>
      </w:r>
      <w:r>
        <w:rPr>
          <w:rFonts w:hint="eastAsia" w:ascii="宋体" w:hAnsi="宋体" w:eastAsia="宋体" w:cs="宋体"/>
          <w:color w:val="000000"/>
          <w:sz w:val="24"/>
          <w:szCs w:val="24"/>
        </w:rPr>
        <w:t>独立、客观、公正原则</w:t>
      </w:r>
    </w:p>
    <w:p>
      <w:pPr>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独立、客观、公正原则是要求房地产估价师站在中立的立场上，实事求是、公平正直地评估出对各方估价利害关系人均是公平合理的价值或价格。</w:t>
      </w:r>
    </w:p>
    <w:p>
      <w:pPr>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2.</w:t>
      </w:r>
      <w:r>
        <w:rPr>
          <w:rFonts w:hint="eastAsia" w:ascii="宋体" w:hAnsi="宋体" w:eastAsia="宋体" w:cs="宋体"/>
          <w:color w:val="000000"/>
          <w:sz w:val="24"/>
          <w:szCs w:val="24"/>
        </w:rPr>
        <w:t>合法原则</w:t>
      </w:r>
    </w:p>
    <w:p>
      <w:pPr>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所谓合法，是指符合国家的法律、法规和当地政府的有关规定，其权益才能受法律保护，并体现其权益价值。在考虑估价对象的用途时，应以合法利用、合法交易、合法处置为前提。评估报告充分考虑了估价对象权属合法取得、合法使用以及今后合法处分，并以此作为本项评估的前提。</w:t>
      </w:r>
    </w:p>
    <w:p>
      <w:pPr>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3.</w:t>
      </w:r>
      <w:r>
        <w:rPr>
          <w:rFonts w:hint="eastAsia" w:ascii="宋体" w:hAnsi="宋体" w:eastAsia="宋体" w:cs="宋体"/>
          <w:color w:val="000000"/>
          <w:sz w:val="24"/>
          <w:szCs w:val="24"/>
        </w:rPr>
        <w:t>价值时点原则</w:t>
      </w:r>
    </w:p>
    <w:p>
      <w:pPr>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房地产市场处于不断变化之中，其价格具有很强的时间性。本次估价对房地产的市场情况及其本身状况的界定，均以其在价值时点的状况为准。</w:t>
      </w:r>
    </w:p>
    <w:p>
      <w:pPr>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4.</w:t>
      </w:r>
      <w:r>
        <w:rPr>
          <w:rFonts w:hint="eastAsia" w:ascii="宋体" w:hAnsi="宋体" w:eastAsia="宋体" w:cs="宋体"/>
          <w:color w:val="000000"/>
          <w:sz w:val="24"/>
          <w:szCs w:val="24"/>
        </w:rPr>
        <w:t>替代原则</w:t>
      </w:r>
    </w:p>
    <w:p>
      <w:pPr>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根据市场运行规律，在同一商品市场中，商品或提供服务的效用相同或大致相似时，价格低者吸引需求，即有两个以上互有替代性的商品或服务同时存在时，商品或服务的价格是经过相互影响与比较之后来决定的。在房地产市场中也是如此，即在同一市场供需圈内，可以通过调查近期发生交易的、与待估房地产有替代可能的房地产价格和条件，通过与待估房地产进行比较，然后对其间的差别作适当的修正，确定待估房地产的市场价值。</w:t>
      </w:r>
    </w:p>
    <w:p>
      <w:pPr>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5.</w:t>
      </w:r>
      <w:r>
        <w:rPr>
          <w:rFonts w:hint="eastAsia" w:ascii="宋体" w:hAnsi="宋体" w:eastAsia="宋体" w:cs="宋体"/>
          <w:color w:val="000000"/>
          <w:sz w:val="24"/>
          <w:szCs w:val="24"/>
        </w:rPr>
        <w:t>最高最佳利用原则</w:t>
      </w:r>
    </w:p>
    <w:p>
      <w:pPr>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房地产估价中所确定的客观合理价格或价值，其实质是房地产的经济价值，它体现在房地产的使用过程中。在考虑估价对象的用途时，应取其最高最佳利用状态，是指法律上允许、技术上可能、经济上可行、能使估价对象发挥最高价值的利用状态。</w:t>
      </w:r>
    </w:p>
    <w:p>
      <w:pPr>
        <w:pStyle w:val="4"/>
        <w:keepNext w:val="0"/>
        <w:keepLines w:val="0"/>
        <w:pageBreakBefore w:val="0"/>
        <w:widowControl w:val="0"/>
        <w:kinsoku/>
        <w:wordWrap/>
        <w:overflowPunct/>
        <w:topLinePunct w:val="0"/>
        <w:autoSpaceDE/>
        <w:autoSpaceDN/>
        <w:bidi w:val="0"/>
        <w:adjustRightInd w:val="0"/>
        <w:spacing w:before="0" w:after="0" w:line="520" w:lineRule="exact"/>
        <w:textAlignment w:val="baseline"/>
        <w:rPr>
          <w:rFonts w:hint="eastAsia" w:ascii="宋体" w:hAnsi="宋体" w:eastAsia="宋体" w:cs="宋体"/>
          <w:color w:val="000000"/>
          <w:sz w:val="24"/>
          <w:szCs w:val="24"/>
        </w:rPr>
      </w:pPr>
      <w:bookmarkStart w:id="264" w:name="_Toc30774"/>
      <w:bookmarkStart w:id="265" w:name="_Toc6721"/>
      <w:bookmarkStart w:id="266" w:name="_Toc15597"/>
      <w:bookmarkStart w:id="267" w:name="_Toc29510"/>
      <w:bookmarkStart w:id="268" w:name="_Toc2211"/>
      <w:bookmarkStart w:id="269" w:name="_Toc18704"/>
      <w:bookmarkStart w:id="270" w:name="_Toc10035"/>
      <w:bookmarkStart w:id="271" w:name="_Toc5672"/>
      <w:bookmarkStart w:id="272" w:name="_Toc31404"/>
      <w:bookmarkStart w:id="273" w:name="_Toc365"/>
      <w:bookmarkStart w:id="274" w:name="_Toc20414"/>
      <w:bookmarkStart w:id="275" w:name="_Toc27806"/>
      <w:bookmarkStart w:id="276" w:name="_Toc22772"/>
      <w:bookmarkStart w:id="277" w:name="_Toc29079"/>
      <w:bookmarkStart w:id="278" w:name="_Toc27589"/>
      <w:bookmarkStart w:id="279" w:name="_Toc2639"/>
      <w:bookmarkStart w:id="280" w:name="_Toc32722"/>
      <w:bookmarkStart w:id="281" w:name="_Toc32121"/>
      <w:bookmarkStart w:id="282" w:name="_Toc24822"/>
      <w:bookmarkStart w:id="283" w:name="_Toc16789"/>
      <w:r>
        <w:rPr>
          <w:rFonts w:hint="eastAsia" w:ascii="宋体" w:hAnsi="宋体" w:eastAsia="宋体" w:cs="宋体"/>
          <w:color w:val="000000"/>
          <w:sz w:val="24"/>
          <w:szCs w:val="24"/>
          <w:lang w:val="en-US" w:eastAsia="zh-CN"/>
        </w:rPr>
        <w:t>八、</w:t>
      </w:r>
      <w:r>
        <w:rPr>
          <w:rFonts w:hint="eastAsia" w:ascii="宋体" w:hAnsi="宋体" w:eastAsia="宋体" w:cs="宋体"/>
          <w:color w:val="000000"/>
          <w:sz w:val="24"/>
          <w:szCs w:val="24"/>
        </w:rPr>
        <w:t>估价依据</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pPr>
        <w:pageBreakBefore w:val="0"/>
        <w:widowControl w:val="0"/>
        <w:kinsoku/>
        <w:wordWrap/>
        <w:overflowPunct/>
        <w:topLinePunct w:val="0"/>
        <w:autoSpaceDE/>
        <w:autoSpaceDN/>
        <w:bidi w:val="0"/>
        <w:adjustRightInd w:val="0"/>
        <w:spacing w:line="52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lang w:eastAsia="zh-CN"/>
        </w:rPr>
        <w:t>1.</w:t>
      </w:r>
      <w:r>
        <w:rPr>
          <w:rFonts w:hint="eastAsia" w:ascii="宋体" w:hAnsi="宋体" w:eastAsia="宋体" w:cs="宋体"/>
          <w:spacing w:val="-8"/>
          <w:sz w:val="24"/>
          <w:szCs w:val="24"/>
        </w:rPr>
        <w:t>本次估价所依据的有关法律、法规、司法解释和部门规章</w:t>
      </w:r>
    </w:p>
    <w:p>
      <w:pPr>
        <w:pageBreakBefore w:val="0"/>
        <w:widowControl w:val="0"/>
        <w:kinsoku/>
        <w:wordWrap/>
        <w:overflowPunct/>
        <w:topLinePunct w:val="0"/>
        <w:autoSpaceDE/>
        <w:autoSpaceDN/>
        <w:bidi w:val="0"/>
        <w:adjustRightInd w:val="0"/>
        <w:spacing w:line="52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(1)《中华人民共和国民法典》(中华人民共和国主席令第四十五号，自2021年1月1日施行)；</w:t>
      </w:r>
    </w:p>
    <w:p>
      <w:pPr>
        <w:pageBreakBefore w:val="0"/>
        <w:widowControl w:val="0"/>
        <w:kinsoku/>
        <w:wordWrap/>
        <w:overflowPunct/>
        <w:topLinePunct w:val="0"/>
        <w:autoSpaceDE/>
        <w:autoSpaceDN/>
        <w:bidi w:val="0"/>
        <w:adjustRightInd w:val="0"/>
        <w:spacing w:line="52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(2)《中华人民共和国城市房地产管理法》(中华人民共和国主席令第32号、2019年8月26日修正，2020年1月1日起实施)；</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(3)《中华人民共和国土地管理法》(中华人民共和国主席令第32号、2019年8月26日修正，2020年1月1日起实施)；</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(4)《最高人民法院关于人民法院委托评估、拍卖和变卖工作的若干规定》(2009年8月24日法释(2009)16号)；</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(5)《中华人民共和国资产评估法》(2016年7月2日第十二届全国人民代表大会常务委员会第二十一次会议通过)；</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(6)《中华人民共和国民事诉讼法》(主席令第75号)；</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(7)《最高人民法院关于审理建筑物区分所有权纠纷案件具体应用法律若干问题的解释》(法释[2009]7号)；</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(8)《中华人民共和国城镇国有土地使用权出让和转让暂行条例》(国务院令第55号)；</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(9)《不动产登记暂行条例》(国务院令第656号，</w:t>
      </w:r>
      <w:r>
        <w:rPr>
          <w:rFonts w:hint="eastAsia" w:ascii="宋体" w:hAnsi="宋体" w:eastAsia="宋体" w:cs="宋体"/>
          <w:spacing w:val="-8"/>
          <w:sz w:val="24"/>
          <w:szCs w:val="24"/>
          <w:lang w:eastAsia="zh-CN"/>
        </w:rPr>
        <w:t>201</w:t>
      </w:r>
      <w:r>
        <w:rPr>
          <w:rFonts w:hint="eastAsia" w:ascii="宋体" w:hAnsi="宋体" w:eastAsia="宋体" w:cs="宋体"/>
          <w:spacing w:val="-8"/>
          <w:sz w:val="24"/>
          <w:szCs w:val="24"/>
          <w:lang w:val="en-US" w:eastAsia="zh-CN"/>
        </w:rPr>
        <w:t>5</w:t>
      </w:r>
      <w:r>
        <w:rPr>
          <w:rFonts w:hint="eastAsia" w:ascii="宋体" w:hAnsi="宋体" w:eastAsia="宋体" w:cs="宋体"/>
          <w:spacing w:val="-8"/>
          <w:sz w:val="24"/>
          <w:szCs w:val="24"/>
          <w:lang w:eastAsia="zh-CN"/>
        </w:rPr>
        <w:t>年</w:t>
      </w:r>
      <w:r>
        <w:rPr>
          <w:rFonts w:hint="eastAsia" w:ascii="宋体" w:hAnsi="宋体" w:eastAsia="宋体" w:cs="宋体"/>
          <w:spacing w:val="-8"/>
          <w:sz w:val="24"/>
          <w:szCs w:val="24"/>
        </w:rPr>
        <w:t>3月1日起实施)；</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(10)《不动产登记暂行条例实施细则》(国土资源部令63号，2016年1月1日起实施)；</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(11)《最高人民法院关于民事诉讼证据的若干规定》(2013年4月1日施行)；</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(12)《全国人大常委会关于司法鉴定管理问题的决定》(2005年10月1日施行)；</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(13)《司法鉴定程序通则》(司法部132号令、2016年5月1日起施行)；</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(14)《最高人民法院关于人民法院委托评估、拍卖和变卖工作的若干规定》(法释〔2009〕16号)；</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(15)《最高人民法院关于人民法院民事执行中拍卖、变卖财产的规定》(法释[2004]16号)；</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(16)《最高人民法院对外委托鉴定、评估、拍卖等工作管理规定》(法办发[2007]5号)；</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(17)《四川省高级人民法院、四川省住房和城乡建设厅关于规范房地产司法鉴定评估工作的通知》(川高法[2011]99号)；</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(18)其他相关法律、法规、规章、规范性文件及司法解释。</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lang w:eastAsia="zh-CN"/>
        </w:rPr>
        <w:t>2.</w:t>
      </w:r>
      <w:r>
        <w:rPr>
          <w:rFonts w:hint="eastAsia" w:ascii="宋体" w:hAnsi="宋体" w:eastAsia="宋体" w:cs="宋体"/>
          <w:spacing w:val="-8"/>
          <w:sz w:val="24"/>
          <w:szCs w:val="24"/>
        </w:rPr>
        <w:t>本次估价采用的技术规范、规程及指导意见</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(1)中华人民共和国国家标准GB/T50291-2015《房地产估价规范》；</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(2)中华人民共和国国家标准GB/T50899-2013《房地产估价基本术语标准》；</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spacing w:val="-8"/>
          <w:sz w:val="24"/>
          <w:szCs w:val="24"/>
          <w:lang w:val="en-US" w:eastAsia="zh-CN"/>
        </w:rPr>
      </w:pPr>
      <w:r>
        <w:rPr>
          <w:rFonts w:hint="eastAsia" w:ascii="宋体" w:hAnsi="宋体" w:eastAsia="宋体" w:cs="宋体"/>
          <w:spacing w:val="-8"/>
          <w:sz w:val="24"/>
          <w:szCs w:val="24"/>
          <w:lang w:val="en-US" w:eastAsia="zh-CN"/>
        </w:rPr>
        <w:t>(3)</w:t>
      </w:r>
      <w:r>
        <w:rPr>
          <w:rFonts w:hint="eastAsia" w:ascii="宋体" w:hAnsi="宋体" w:eastAsia="宋体" w:cs="宋体"/>
          <w:color w:val="auto"/>
          <w:sz w:val="24"/>
          <w:szCs w:val="24"/>
          <w:lang w:eastAsia="zh-CN"/>
        </w:rPr>
        <w:t>中华人民共和国国家标准《城镇土地估价规程》（GB/T18508-201</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spacing w:val="-8"/>
          <w:sz w:val="24"/>
          <w:szCs w:val="24"/>
          <w:lang w:eastAsia="zh-CN"/>
        </w:rPr>
      </w:pPr>
      <w:r>
        <w:rPr>
          <w:rFonts w:hint="eastAsia" w:ascii="宋体" w:hAnsi="宋体" w:eastAsia="宋体" w:cs="宋体"/>
          <w:spacing w:val="-8"/>
          <w:sz w:val="24"/>
          <w:szCs w:val="24"/>
        </w:rPr>
        <w:t>(</w:t>
      </w:r>
      <w:r>
        <w:rPr>
          <w:rFonts w:hint="eastAsia" w:ascii="宋体" w:hAnsi="宋体" w:eastAsia="宋体" w:cs="宋体"/>
          <w:spacing w:val="-8"/>
          <w:sz w:val="24"/>
          <w:szCs w:val="24"/>
          <w:lang w:val="en-US" w:eastAsia="zh-CN"/>
        </w:rPr>
        <w:t>4</w:t>
      </w:r>
      <w:r>
        <w:rPr>
          <w:rFonts w:hint="eastAsia" w:ascii="宋体" w:hAnsi="宋体" w:eastAsia="宋体" w:cs="宋体"/>
          <w:spacing w:val="-8"/>
          <w:sz w:val="24"/>
          <w:szCs w:val="24"/>
        </w:rPr>
        <w:t>)《房地产司法鉴定评估指导意见》(试行)(川建房发[2011]89号)</w:t>
      </w:r>
      <w:r>
        <w:rPr>
          <w:rFonts w:hint="eastAsia" w:ascii="宋体" w:hAnsi="宋体" w:eastAsia="宋体" w:cs="宋体"/>
          <w:spacing w:val="-8"/>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w:t>
      </w:r>
      <w:r>
        <w:rPr>
          <w:rFonts w:hint="eastAsia" w:ascii="宋体" w:hAnsi="宋体" w:eastAsia="宋体" w:cs="宋体"/>
          <w:spacing w:val="-8"/>
          <w:sz w:val="24"/>
          <w:szCs w:val="24"/>
          <w:lang w:val="en-US" w:eastAsia="zh-CN"/>
        </w:rPr>
        <w:t>5</w:t>
      </w:r>
      <w:r>
        <w:rPr>
          <w:rFonts w:hint="eastAsia" w:ascii="宋体" w:hAnsi="宋体" w:eastAsia="宋体" w:cs="宋体"/>
          <w:spacing w:val="-8"/>
          <w:sz w:val="24"/>
          <w:szCs w:val="24"/>
        </w:rPr>
        <w:t>)</w:t>
      </w:r>
      <w:r>
        <w:rPr>
          <w:rFonts w:hint="eastAsia" w:ascii="宋体" w:hAnsi="宋体" w:eastAsia="宋体" w:cs="宋体"/>
          <w:spacing w:val="-8"/>
          <w:sz w:val="24"/>
          <w:szCs w:val="24"/>
          <w:lang w:eastAsia="zh-CN"/>
        </w:rPr>
        <w:t>中房学关于印发《涉执房地产处置司法评估指导意见（试行）》的通知（中房学【2021】37号）</w:t>
      </w:r>
      <w:r>
        <w:rPr>
          <w:rFonts w:hint="eastAsia" w:ascii="宋体" w:hAnsi="宋体" w:eastAsia="宋体" w:cs="宋体"/>
          <w:spacing w:val="-8"/>
          <w:sz w:val="24"/>
          <w:szCs w:val="24"/>
        </w:rPr>
        <w:t>。</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lang w:eastAsia="zh-CN"/>
        </w:rPr>
        <w:t>3.</w:t>
      </w:r>
      <w:r>
        <w:rPr>
          <w:rFonts w:hint="eastAsia" w:ascii="宋体" w:hAnsi="宋体" w:eastAsia="宋体" w:cs="宋体"/>
          <w:spacing w:val="-8"/>
          <w:sz w:val="24"/>
          <w:szCs w:val="24"/>
        </w:rPr>
        <w:t>估价委托人提供的有关资料</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spacing w:val="-8"/>
          <w:sz w:val="24"/>
          <w:szCs w:val="24"/>
        </w:rPr>
      </w:pPr>
      <w:r>
        <w:rPr>
          <w:rFonts w:hint="eastAsia" w:ascii="宋体" w:hAnsi="宋体" w:eastAsia="宋体" w:cs="宋体"/>
          <w:spacing w:val="-8"/>
          <w:sz w:val="24"/>
          <w:szCs w:val="24"/>
        </w:rPr>
        <w:t>(1)</w:t>
      </w:r>
      <w:r>
        <w:rPr>
          <w:rFonts w:hint="eastAsia" w:ascii="宋体" w:hAnsi="宋体" w:cs="宋体"/>
          <w:spacing w:val="-8"/>
          <w:sz w:val="24"/>
          <w:szCs w:val="24"/>
          <w:lang w:eastAsia="zh-CN"/>
        </w:rPr>
        <w:t>犍为县人民法院</w:t>
      </w:r>
      <w:r>
        <w:rPr>
          <w:rFonts w:hint="eastAsia" w:ascii="宋体" w:hAnsi="宋体" w:eastAsia="宋体" w:cs="宋体"/>
          <w:spacing w:val="-8"/>
          <w:sz w:val="24"/>
          <w:szCs w:val="24"/>
        </w:rPr>
        <w:t>委托书</w:t>
      </w:r>
      <w:r>
        <w:rPr>
          <w:rFonts w:hint="eastAsia" w:ascii="宋体" w:hAnsi="宋体" w:cs="宋体"/>
          <w:spacing w:val="-8"/>
          <w:sz w:val="24"/>
          <w:szCs w:val="24"/>
          <w:lang w:eastAsia="zh-CN"/>
        </w:rPr>
        <w:t>（2022）川1123执恢219号</w:t>
      </w:r>
      <w:r>
        <w:rPr>
          <w:rFonts w:hint="eastAsia" w:ascii="宋体" w:hAnsi="宋体" w:eastAsia="宋体" w:cs="宋体"/>
          <w:spacing w:val="-8"/>
          <w:sz w:val="24"/>
          <w:szCs w:val="24"/>
          <w:lang w:eastAsia="zh-CN"/>
        </w:rPr>
        <w:t>原件</w:t>
      </w:r>
      <w:r>
        <w:rPr>
          <w:rFonts w:hint="eastAsia" w:ascii="宋体" w:hAnsi="宋体" w:eastAsia="宋体" w:cs="宋体"/>
          <w:spacing w:val="-8"/>
          <w:sz w:val="24"/>
          <w:szCs w:val="24"/>
        </w:rPr>
        <w:t>；</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(2)</w:t>
      </w:r>
      <w:r>
        <w:rPr>
          <w:rFonts w:hint="eastAsia" w:ascii="宋体" w:hAnsi="宋体" w:cs="宋体"/>
          <w:snapToGrid w:val="0"/>
          <w:color w:val="000000"/>
          <w:kern w:val="24"/>
          <w:sz w:val="24"/>
          <w:szCs w:val="24"/>
          <w:lang w:eastAsia="zh-CN"/>
        </w:rPr>
        <w:t>《不动产登记信息查询结果单》</w:t>
      </w:r>
      <w:r>
        <w:rPr>
          <w:rFonts w:hint="eastAsia" w:ascii="宋体" w:hAnsi="宋体" w:eastAsia="宋体" w:cs="宋体"/>
          <w:spacing w:val="-8"/>
          <w:sz w:val="24"/>
          <w:szCs w:val="24"/>
        </w:rPr>
        <w:t>复印件</w:t>
      </w:r>
      <w:r>
        <w:rPr>
          <w:rFonts w:hint="eastAsia" w:ascii="宋体" w:hAnsi="宋体" w:eastAsia="宋体" w:cs="宋体"/>
          <w:spacing w:val="-8"/>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lang w:eastAsia="zh-CN"/>
        </w:rPr>
        <w:t>4.</w:t>
      </w:r>
      <w:r>
        <w:rPr>
          <w:rFonts w:hint="eastAsia" w:ascii="宋体" w:hAnsi="宋体" w:eastAsia="宋体" w:cs="宋体"/>
          <w:spacing w:val="-8"/>
          <w:sz w:val="24"/>
          <w:szCs w:val="24"/>
        </w:rPr>
        <w:t>估价机构和注册房地产估价师所搜集掌握的其他有关资料。</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(1)估价人员实地查勘收集整理的相关资料；</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(2)估价对象所在区域的土地、房地产市场状况及同类房地产市场交易等数据资料；</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(3)估价对象所在区域行政规划、地理环境、经济发展等相关资料；</w:t>
      </w:r>
    </w:p>
    <w:p>
      <w:pPr>
        <w:keepNext w:val="0"/>
        <w:keepLines w:val="0"/>
        <w:pageBreakBefore w:val="0"/>
        <w:widowControl w:val="0"/>
        <w:kinsoku/>
        <w:wordWrap/>
        <w:overflowPunct/>
        <w:topLinePunct w:val="0"/>
        <w:autoSpaceDE/>
        <w:autoSpaceDN/>
        <w:bidi w:val="0"/>
        <w:adjustRightInd w:val="0"/>
        <w:snapToGrid/>
        <w:spacing w:line="500" w:lineRule="exact"/>
        <w:ind w:firstLine="448" w:firstLineChars="200"/>
        <w:textAlignment w:val="baseline"/>
        <w:rPr>
          <w:rFonts w:hint="eastAsia" w:ascii="宋体" w:hAnsi="宋体" w:eastAsia="宋体" w:cs="宋体"/>
          <w:color w:val="000000"/>
          <w:sz w:val="24"/>
          <w:szCs w:val="24"/>
        </w:rPr>
      </w:pPr>
      <w:r>
        <w:rPr>
          <w:rFonts w:hint="eastAsia" w:ascii="宋体" w:hAnsi="宋体" w:eastAsia="宋体" w:cs="宋体"/>
          <w:spacing w:val="-8"/>
          <w:sz w:val="24"/>
          <w:szCs w:val="24"/>
        </w:rPr>
        <w:t>(4)其他相关资料。</w:t>
      </w:r>
    </w:p>
    <w:p>
      <w:pPr>
        <w:pStyle w:val="4"/>
        <w:keepNext w:val="0"/>
        <w:keepLines w:val="0"/>
        <w:pageBreakBefore w:val="0"/>
        <w:widowControl w:val="0"/>
        <w:kinsoku/>
        <w:wordWrap/>
        <w:overflowPunct/>
        <w:topLinePunct w:val="0"/>
        <w:autoSpaceDE/>
        <w:autoSpaceDN/>
        <w:bidi w:val="0"/>
        <w:adjustRightInd w:val="0"/>
        <w:snapToGrid/>
        <w:spacing w:before="0" w:after="0" w:line="500" w:lineRule="exact"/>
        <w:textAlignment w:val="baseline"/>
        <w:rPr>
          <w:rFonts w:hint="eastAsia" w:ascii="宋体" w:hAnsi="宋体" w:eastAsia="宋体" w:cs="宋体"/>
          <w:color w:val="000000"/>
          <w:sz w:val="24"/>
          <w:szCs w:val="24"/>
          <w:lang w:val="en-US" w:eastAsia="zh-CN"/>
        </w:rPr>
      </w:pPr>
      <w:bookmarkStart w:id="284" w:name="_Toc27855"/>
      <w:bookmarkStart w:id="285" w:name="_Toc26853"/>
      <w:bookmarkStart w:id="286" w:name="_Toc17588"/>
      <w:bookmarkStart w:id="287" w:name="_Toc480967880"/>
      <w:bookmarkStart w:id="288" w:name="_Toc123"/>
      <w:bookmarkStart w:id="289" w:name="_Toc27554"/>
      <w:bookmarkStart w:id="290" w:name="_Toc6152"/>
      <w:bookmarkStart w:id="291" w:name="_Toc2758"/>
      <w:bookmarkStart w:id="292" w:name="_Toc9616"/>
      <w:bookmarkStart w:id="293" w:name="_Toc2532"/>
      <w:bookmarkStart w:id="294" w:name="_Toc27845"/>
      <w:bookmarkStart w:id="295" w:name="_Toc140"/>
      <w:bookmarkStart w:id="296" w:name="_Toc31629"/>
      <w:bookmarkStart w:id="297" w:name="_Toc25055"/>
      <w:bookmarkStart w:id="298" w:name="_Toc485393194"/>
      <w:bookmarkStart w:id="299" w:name="_Toc31876"/>
      <w:bookmarkStart w:id="300" w:name="_Toc10805"/>
      <w:bookmarkStart w:id="301" w:name="_Toc25186"/>
      <w:bookmarkStart w:id="302" w:name="_Toc7041"/>
      <w:bookmarkStart w:id="303" w:name="_Toc32055"/>
      <w:bookmarkStart w:id="304" w:name="_Toc18928"/>
      <w:bookmarkStart w:id="305" w:name="_Toc19191"/>
      <w:r>
        <w:rPr>
          <w:rFonts w:hint="eastAsia" w:ascii="宋体" w:hAnsi="宋体" w:eastAsia="宋体" w:cs="宋体"/>
          <w:color w:val="000000"/>
          <w:sz w:val="24"/>
          <w:szCs w:val="24"/>
          <w:lang w:val="en-US" w:eastAsia="zh-CN"/>
        </w:rPr>
        <w:t>九、</w:t>
      </w:r>
      <w:r>
        <w:rPr>
          <w:rFonts w:hint="eastAsia" w:ascii="宋体" w:hAnsi="宋体" w:eastAsia="宋体" w:cs="宋体"/>
          <w:color w:val="000000"/>
          <w:sz w:val="24"/>
          <w:szCs w:val="24"/>
        </w:rPr>
        <w:t>估价方法</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eastAsia="zh-CN" w:bidi="ar"/>
        </w:rPr>
        <w:t>（</w:t>
      </w:r>
      <w:r>
        <w:rPr>
          <w:rFonts w:hint="eastAsia" w:ascii="宋体" w:hAnsi="宋体" w:eastAsia="宋体" w:cs="宋体"/>
          <w:b w:val="0"/>
          <w:bCs/>
          <w:color w:val="auto"/>
          <w:sz w:val="24"/>
          <w:szCs w:val="24"/>
          <w:lang w:val="en-US" w:eastAsia="zh-CN" w:bidi="ar"/>
        </w:rPr>
        <w:t>一</w:t>
      </w:r>
      <w:r>
        <w:rPr>
          <w:rFonts w:hint="eastAsia" w:ascii="宋体" w:hAnsi="宋体" w:eastAsia="宋体" w:cs="宋体"/>
          <w:b w:val="0"/>
          <w:bCs/>
          <w:color w:val="auto"/>
          <w:sz w:val="24"/>
          <w:szCs w:val="24"/>
          <w:lang w:eastAsia="zh-CN" w:bidi="ar"/>
        </w:rPr>
        <w:t>）</w:t>
      </w:r>
      <w:r>
        <w:rPr>
          <w:rFonts w:hint="eastAsia" w:ascii="宋体" w:hAnsi="宋体" w:eastAsia="宋体" w:cs="宋体"/>
          <w:b w:val="0"/>
          <w:bCs/>
          <w:color w:val="auto"/>
          <w:sz w:val="24"/>
          <w:szCs w:val="24"/>
          <w:lang w:bidi="ar"/>
        </w:rPr>
        <w:t>估价方法</w:t>
      </w:r>
      <w:r>
        <w:rPr>
          <w:rFonts w:hint="eastAsia" w:ascii="宋体" w:hAnsi="宋体" w:eastAsia="宋体" w:cs="宋体"/>
          <w:b w:val="0"/>
          <w:bCs/>
          <w:color w:val="auto"/>
          <w:sz w:val="24"/>
          <w:szCs w:val="24"/>
          <w:lang w:val="en-US" w:eastAsia="zh-CN" w:bidi="ar"/>
        </w:rPr>
        <w:t>的</w:t>
      </w:r>
      <w:r>
        <w:rPr>
          <w:rFonts w:hint="eastAsia" w:ascii="宋体" w:hAnsi="宋体" w:cs="宋体"/>
          <w:b w:val="0"/>
          <w:bCs/>
          <w:color w:val="auto"/>
          <w:sz w:val="24"/>
          <w:szCs w:val="24"/>
          <w:lang w:val="en-US" w:eastAsia="zh-Hans" w:bidi="ar"/>
        </w:rPr>
        <w:t>定义</w:t>
      </w:r>
    </w:p>
    <w:p>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ascii="宋体" w:hAnsi="宋体" w:eastAsia="宋体" w:cs="Arial"/>
          <w:color w:val="auto"/>
          <w:sz w:val="24"/>
          <w:szCs w:val="24"/>
        </w:rPr>
      </w:pPr>
      <w:r>
        <w:rPr>
          <w:rFonts w:hint="eastAsia" w:ascii="宋体" w:hAnsi="宋体" w:cs="宋体"/>
          <w:color w:val="auto"/>
          <w:sz w:val="24"/>
          <w:szCs w:val="24"/>
        </w:rPr>
        <w:t>按照中华人民共和国国家标准《房地产估价规范》(GB/T50291-2015)房地产估价的常用方法有比较法、收益法、成本法、假设开发法等。</w:t>
      </w:r>
    </w:p>
    <w:p>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ascii="宋体" w:hAnsi="宋体" w:eastAsia="宋体" w:cs="Arial"/>
          <w:color w:val="auto"/>
          <w:sz w:val="24"/>
          <w:szCs w:val="24"/>
        </w:rPr>
      </w:pPr>
      <w:r>
        <w:rPr>
          <w:rFonts w:hint="eastAsia" w:ascii="宋体" w:hAnsi="宋体" w:cs="宋体"/>
          <w:color w:val="auto"/>
          <w:sz w:val="24"/>
          <w:szCs w:val="24"/>
        </w:rPr>
        <w:t>比较法是选取一定数量的可比实例，将它们与估价对象进行比较，根据其间的差异对可比实例成交价格进行处理后得到估价对象价值或价格的方法。该方法适用于同类房地产数量较多、经常发生交易且具有一定可比性的房地产。</w:t>
      </w:r>
    </w:p>
    <w:p>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ascii="宋体" w:hAnsi="宋体" w:eastAsia="宋体" w:cs="Arial"/>
          <w:color w:val="auto"/>
          <w:sz w:val="24"/>
          <w:szCs w:val="24"/>
        </w:rPr>
      </w:pPr>
      <w:r>
        <w:rPr>
          <w:rFonts w:hint="eastAsia" w:ascii="宋体" w:hAnsi="宋体" w:cs="宋体"/>
          <w:color w:val="auto"/>
          <w:sz w:val="24"/>
          <w:szCs w:val="24"/>
        </w:rPr>
        <w:t>收益法是预测估价对象的未来收益，利用报酬率或资本化率、收益乘数将未来收益转换为价值得到估价对象价值或价格的方法。该方法适用于估价对象或其同类房地产通常有租金等经济收入的收益性房地产估价。</w:t>
      </w:r>
    </w:p>
    <w:p>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ascii="宋体" w:hAnsi="宋体" w:eastAsia="宋体" w:cs="Arial"/>
          <w:color w:val="auto"/>
          <w:sz w:val="24"/>
          <w:szCs w:val="24"/>
        </w:rPr>
      </w:pPr>
      <w:r>
        <w:rPr>
          <w:rFonts w:hint="eastAsia" w:ascii="宋体" w:hAnsi="宋体" w:cs="宋体"/>
          <w:color w:val="auto"/>
          <w:sz w:val="24"/>
          <w:szCs w:val="24"/>
        </w:rPr>
        <w:t>成本法是测算估价对象在价值时点的重置成本或重建成本和折旧，将重置成本或重建成本减去折旧得到估价对象价值或价格的方法。该方法适用于无市场依据或市场依据不充分而不宜采用比较法、收益法、假设开发法进行估价的情况下的房地产估价。</w:t>
      </w:r>
    </w:p>
    <w:p>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ascii="宋体" w:hAnsi="宋体" w:eastAsia="宋体" w:cs="Arial"/>
          <w:color w:val="auto"/>
          <w:sz w:val="24"/>
          <w:szCs w:val="24"/>
        </w:rPr>
      </w:pPr>
      <w:r>
        <w:rPr>
          <w:rFonts w:hint="eastAsia" w:ascii="宋体" w:hAnsi="宋体" w:cs="宋体"/>
          <w:color w:val="auto"/>
          <w:sz w:val="24"/>
          <w:szCs w:val="24"/>
        </w:rPr>
        <w:t>假设开发法是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该方法适用于具有开发或再开发潜力且开发完成后的价值可以采用比较法、收益法等成本法以外的方法测算的房地产进行估价。</w:t>
      </w:r>
    </w:p>
    <w:p>
      <w:pPr>
        <w:keepNext w:val="0"/>
        <w:keepLines w:val="0"/>
        <w:pageBreakBefore w:val="0"/>
        <w:widowControl w:val="0"/>
        <w:numPr>
          <w:ilvl w:val="0"/>
          <w:numId w:val="3"/>
        </w:numPr>
        <w:kinsoku/>
        <w:wordWrap/>
        <w:overflowPunct/>
        <w:topLinePunct w:val="0"/>
        <w:autoSpaceDE/>
        <w:autoSpaceDN/>
        <w:bidi w:val="0"/>
        <w:adjustRightInd w:val="0"/>
        <w:snapToGrid/>
        <w:spacing w:line="520" w:lineRule="exact"/>
        <w:ind w:firstLine="480" w:firstLineChars="200"/>
        <w:textAlignment w:val="baseline"/>
        <w:rPr>
          <w:rFonts w:ascii="宋体" w:hAnsi="宋体" w:eastAsia="宋体" w:cs="Arial"/>
          <w:color w:val="auto"/>
          <w:sz w:val="24"/>
          <w:szCs w:val="24"/>
        </w:rPr>
      </w:pPr>
      <w:r>
        <w:rPr>
          <w:rFonts w:hint="eastAsia" w:ascii="宋体" w:hAnsi="宋体" w:cs="宋体"/>
          <w:color w:val="auto"/>
          <w:sz w:val="24"/>
          <w:szCs w:val="24"/>
        </w:rPr>
        <w:t>选择估价方法的理由</w:t>
      </w:r>
    </w:p>
    <w:p>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textAlignment w:val="baseline"/>
        <w:rPr>
          <w:rFonts w:hint="eastAsia" w:ascii="宋体" w:hAnsi="宋体" w:cs="宋体"/>
          <w:color w:val="auto"/>
          <w:sz w:val="24"/>
          <w:szCs w:val="24"/>
        </w:rPr>
      </w:pPr>
      <w:r>
        <w:rPr>
          <w:rFonts w:hint="eastAsia" w:ascii="宋体" w:hAnsi="宋体" w:cs="宋体"/>
          <w:color w:val="auto"/>
          <w:sz w:val="24"/>
          <w:szCs w:val="24"/>
        </w:rPr>
        <w:t>本次测算在估价方法的选择上，根据估价对象具体情况，列出各种估价方法的适用性分析，</w:t>
      </w:r>
      <w:r>
        <w:rPr>
          <w:rFonts w:hint="eastAsia" w:ascii="宋体" w:hAnsi="宋体" w:cs="宋体"/>
          <w:color w:val="auto"/>
          <w:sz w:val="24"/>
          <w:szCs w:val="24"/>
          <w:lang w:val="en-US" w:eastAsia="zh-CN"/>
        </w:rPr>
        <w:t>估价对象均为住宅房地产，估价方法选择利用</w:t>
      </w:r>
      <w:r>
        <w:rPr>
          <w:rFonts w:hint="eastAsia" w:ascii="宋体" w:hAnsi="宋体" w:cs="宋体"/>
          <w:color w:val="auto"/>
          <w:sz w:val="24"/>
          <w:szCs w:val="24"/>
        </w:rPr>
        <w:t>详见下表：</w:t>
      </w:r>
    </w:p>
    <w:p>
      <w:pPr>
        <w:pageBreakBefore w:val="0"/>
        <w:widowControl w:val="0"/>
        <w:kinsoku/>
        <w:wordWrap/>
        <w:overflowPunct/>
        <w:topLinePunct w:val="0"/>
        <w:autoSpaceDE/>
        <w:autoSpaceDN/>
        <w:bidi w:val="0"/>
        <w:adjustRightInd w:val="0"/>
        <w:spacing w:line="520" w:lineRule="exact"/>
        <w:ind w:firstLine="480" w:firstLineChars="200"/>
        <w:jc w:val="center"/>
        <w:textAlignment w:val="baseline"/>
        <w:rPr>
          <w:rFonts w:ascii="宋体" w:hAnsi="宋体" w:eastAsia="宋体" w:cs="Arial"/>
          <w:color w:val="auto"/>
          <w:sz w:val="24"/>
          <w:szCs w:val="24"/>
        </w:rPr>
      </w:pPr>
      <w:r>
        <w:rPr>
          <w:rFonts w:hint="eastAsia" w:ascii="宋体" w:hAnsi="宋体" w:cs="宋体"/>
          <w:color w:val="auto"/>
          <w:sz w:val="24"/>
          <w:szCs w:val="24"/>
        </w:rPr>
        <w:t>估价方法选择表</w:t>
      </w:r>
    </w:p>
    <w:tbl>
      <w:tblPr>
        <w:tblStyle w:val="9"/>
        <w:tblW w:w="9454" w:type="dxa"/>
        <w:tblInd w:w="-1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489"/>
        <w:gridCol w:w="1477"/>
        <w:gridCol w:w="5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45" w:type="dxa"/>
            <w:tcBorders>
              <w:tl2br w:val="nil"/>
              <w:tr2bl w:val="nil"/>
            </w:tcBorders>
            <w:noWrap w:val="0"/>
            <w:vAlign w:val="center"/>
          </w:tcPr>
          <w:p>
            <w:pPr>
              <w:pageBreakBefore w:val="0"/>
              <w:widowControl/>
              <w:kinsoku/>
              <w:overflowPunct/>
              <w:topLinePunct w:val="0"/>
              <w:autoSpaceDE/>
              <w:autoSpaceDN/>
              <w:bidi w:val="0"/>
              <w:spacing w:line="520" w:lineRule="exact"/>
              <w:jc w:val="center"/>
              <w:textAlignment w:val="top"/>
              <w:rPr>
                <w:rFonts w:ascii="宋体" w:hAnsi="宋体" w:eastAsia="宋体" w:cs="宋体"/>
                <w:color w:val="auto"/>
                <w:kern w:val="0"/>
                <w:sz w:val="18"/>
                <w:szCs w:val="18"/>
                <w:lang w:bidi="ar"/>
              </w:rPr>
            </w:pPr>
            <w:r>
              <w:rPr>
                <w:rFonts w:hint="eastAsia" w:ascii="宋体" w:hAnsi="宋体" w:eastAsia="宋体"/>
                <w:color w:val="auto"/>
                <w:kern w:val="0"/>
                <w:sz w:val="18"/>
                <w:szCs w:val="18"/>
                <w:lang w:bidi="ar"/>
              </w:rPr>
              <w:t>估价方法</w:t>
            </w:r>
          </w:p>
        </w:tc>
        <w:tc>
          <w:tcPr>
            <w:tcW w:w="1489" w:type="dxa"/>
            <w:tcBorders>
              <w:tl2br w:val="nil"/>
              <w:tr2bl w:val="nil"/>
            </w:tcBorders>
            <w:noWrap w:val="0"/>
            <w:vAlign w:val="center"/>
          </w:tcPr>
          <w:p>
            <w:pPr>
              <w:pageBreakBefore w:val="0"/>
              <w:widowControl/>
              <w:kinsoku/>
              <w:overflowPunct/>
              <w:topLinePunct w:val="0"/>
              <w:autoSpaceDE/>
              <w:autoSpaceDN/>
              <w:bidi w:val="0"/>
              <w:spacing w:line="520" w:lineRule="exact"/>
              <w:jc w:val="center"/>
              <w:textAlignment w:val="top"/>
              <w:rPr>
                <w:rFonts w:ascii="宋体" w:hAnsi="宋体" w:eastAsia="宋体" w:cs="宋体"/>
                <w:color w:val="auto"/>
                <w:kern w:val="0"/>
                <w:sz w:val="18"/>
                <w:szCs w:val="18"/>
                <w:lang w:bidi="ar"/>
              </w:rPr>
            </w:pPr>
            <w:r>
              <w:rPr>
                <w:rFonts w:hint="eastAsia" w:ascii="宋体" w:hAnsi="宋体" w:eastAsia="宋体"/>
                <w:color w:val="auto"/>
                <w:kern w:val="0"/>
                <w:sz w:val="18"/>
                <w:szCs w:val="18"/>
                <w:lang w:bidi="ar"/>
              </w:rPr>
              <w:t>理论上是否适用</w:t>
            </w:r>
          </w:p>
        </w:tc>
        <w:tc>
          <w:tcPr>
            <w:tcW w:w="1477" w:type="dxa"/>
            <w:tcBorders>
              <w:tl2br w:val="nil"/>
              <w:tr2bl w:val="nil"/>
            </w:tcBorders>
            <w:noWrap w:val="0"/>
            <w:vAlign w:val="center"/>
          </w:tcPr>
          <w:p>
            <w:pPr>
              <w:pageBreakBefore w:val="0"/>
              <w:widowControl/>
              <w:kinsoku/>
              <w:overflowPunct/>
              <w:topLinePunct w:val="0"/>
              <w:autoSpaceDE/>
              <w:autoSpaceDN/>
              <w:bidi w:val="0"/>
              <w:spacing w:line="520" w:lineRule="exact"/>
              <w:jc w:val="center"/>
              <w:textAlignment w:val="top"/>
              <w:rPr>
                <w:rFonts w:ascii="宋体" w:hAnsi="宋体" w:eastAsia="宋体" w:cs="宋体"/>
                <w:color w:val="auto"/>
                <w:kern w:val="0"/>
                <w:sz w:val="18"/>
                <w:szCs w:val="18"/>
                <w:lang w:bidi="ar"/>
              </w:rPr>
            </w:pPr>
            <w:r>
              <w:rPr>
                <w:rFonts w:hint="eastAsia" w:ascii="宋体" w:hAnsi="宋体" w:eastAsia="宋体"/>
                <w:color w:val="auto"/>
                <w:kern w:val="0"/>
                <w:sz w:val="18"/>
                <w:szCs w:val="18"/>
                <w:lang w:bidi="ar"/>
              </w:rPr>
              <w:t>客观上是否适用</w:t>
            </w:r>
          </w:p>
        </w:tc>
        <w:tc>
          <w:tcPr>
            <w:tcW w:w="5343" w:type="dxa"/>
            <w:tcBorders>
              <w:tl2br w:val="nil"/>
              <w:tr2bl w:val="nil"/>
            </w:tcBorders>
            <w:noWrap w:val="0"/>
            <w:vAlign w:val="center"/>
          </w:tcPr>
          <w:p>
            <w:pPr>
              <w:pageBreakBefore w:val="0"/>
              <w:widowControl/>
              <w:kinsoku/>
              <w:overflowPunct/>
              <w:topLinePunct w:val="0"/>
              <w:autoSpaceDE/>
              <w:autoSpaceDN/>
              <w:bidi w:val="0"/>
              <w:spacing w:line="520" w:lineRule="exact"/>
              <w:jc w:val="center"/>
              <w:textAlignment w:val="top"/>
              <w:rPr>
                <w:rFonts w:ascii="宋体" w:hAnsi="宋体" w:cs="宋体"/>
                <w:color w:val="auto"/>
                <w:sz w:val="18"/>
                <w:szCs w:val="18"/>
              </w:rPr>
            </w:pPr>
            <w:r>
              <w:rPr>
                <w:rFonts w:hint="eastAsia" w:ascii="宋体" w:hAnsi="宋体" w:eastAsia="宋体"/>
                <w:color w:val="auto"/>
                <w:kern w:val="0"/>
                <w:sz w:val="18"/>
                <w:szCs w:val="18"/>
                <w:lang w:bidi="ar"/>
              </w:rPr>
              <w:t>选取/不选取的理由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45" w:type="dxa"/>
            <w:tcBorders>
              <w:tl2br w:val="nil"/>
              <w:tr2bl w:val="nil"/>
            </w:tcBorders>
            <w:noWrap w:val="0"/>
            <w:vAlign w:val="center"/>
          </w:tcPr>
          <w:p>
            <w:pPr>
              <w:pageBreakBefore w:val="0"/>
              <w:widowControl/>
              <w:kinsoku/>
              <w:overflowPunct/>
              <w:topLinePunct w:val="0"/>
              <w:autoSpaceDE/>
              <w:autoSpaceDN/>
              <w:bidi w:val="0"/>
              <w:spacing w:line="520" w:lineRule="exact"/>
              <w:jc w:val="center"/>
              <w:textAlignment w:val="top"/>
              <w:rPr>
                <w:rFonts w:ascii="宋体" w:hAnsi="宋体" w:eastAsia="宋体" w:cs="宋体"/>
                <w:color w:val="auto"/>
                <w:kern w:val="0"/>
                <w:sz w:val="18"/>
                <w:szCs w:val="18"/>
                <w:lang w:bidi="ar"/>
              </w:rPr>
            </w:pPr>
            <w:r>
              <w:rPr>
                <w:rFonts w:hint="eastAsia" w:ascii="宋体" w:hAnsi="宋体" w:eastAsia="宋体"/>
                <w:color w:val="auto"/>
                <w:kern w:val="0"/>
                <w:sz w:val="18"/>
                <w:szCs w:val="18"/>
                <w:lang w:bidi="ar"/>
              </w:rPr>
              <w:t>比较法</w:t>
            </w:r>
          </w:p>
        </w:tc>
        <w:tc>
          <w:tcPr>
            <w:tcW w:w="1489" w:type="dxa"/>
            <w:tcBorders>
              <w:tl2br w:val="nil"/>
              <w:tr2bl w:val="nil"/>
            </w:tcBorders>
            <w:noWrap w:val="0"/>
            <w:vAlign w:val="center"/>
          </w:tcPr>
          <w:p>
            <w:pPr>
              <w:pageBreakBefore w:val="0"/>
              <w:widowControl/>
              <w:kinsoku/>
              <w:overflowPunct/>
              <w:topLinePunct w:val="0"/>
              <w:autoSpaceDE/>
              <w:autoSpaceDN/>
              <w:bidi w:val="0"/>
              <w:spacing w:line="520" w:lineRule="exact"/>
              <w:jc w:val="center"/>
              <w:textAlignment w:val="top"/>
              <w:rPr>
                <w:rFonts w:ascii="宋体" w:hAnsi="宋体" w:cs="宋体"/>
                <w:color w:val="auto"/>
                <w:sz w:val="18"/>
                <w:szCs w:val="18"/>
              </w:rPr>
            </w:pPr>
            <w:r>
              <w:rPr>
                <w:rFonts w:hint="eastAsia" w:ascii="宋体" w:hAnsi="宋体" w:eastAsia="宋体"/>
                <w:color w:val="auto"/>
                <w:kern w:val="0"/>
                <w:sz w:val="18"/>
                <w:szCs w:val="18"/>
                <w:lang w:bidi="ar"/>
              </w:rPr>
              <w:t>适用</w:t>
            </w:r>
          </w:p>
        </w:tc>
        <w:tc>
          <w:tcPr>
            <w:tcW w:w="1477" w:type="dxa"/>
            <w:tcBorders>
              <w:tl2br w:val="nil"/>
              <w:tr2bl w:val="nil"/>
            </w:tcBorders>
            <w:noWrap w:val="0"/>
            <w:vAlign w:val="center"/>
          </w:tcPr>
          <w:p>
            <w:pPr>
              <w:pageBreakBefore w:val="0"/>
              <w:widowControl/>
              <w:kinsoku/>
              <w:overflowPunct/>
              <w:topLinePunct w:val="0"/>
              <w:autoSpaceDE/>
              <w:autoSpaceDN/>
              <w:bidi w:val="0"/>
              <w:spacing w:line="520" w:lineRule="exact"/>
              <w:jc w:val="center"/>
              <w:textAlignment w:val="top"/>
              <w:rPr>
                <w:rFonts w:ascii="宋体" w:hAnsi="宋体" w:cs="宋体"/>
                <w:color w:val="auto"/>
                <w:sz w:val="18"/>
                <w:szCs w:val="18"/>
              </w:rPr>
            </w:pPr>
            <w:r>
              <w:rPr>
                <w:rFonts w:hint="eastAsia" w:ascii="宋体" w:hAnsi="宋体" w:eastAsia="宋体"/>
                <w:color w:val="auto"/>
                <w:kern w:val="0"/>
                <w:sz w:val="18"/>
                <w:szCs w:val="18"/>
                <w:lang w:bidi="ar"/>
              </w:rPr>
              <w:t>适用</w:t>
            </w:r>
          </w:p>
        </w:tc>
        <w:tc>
          <w:tcPr>
            <w:tcW w:w="5343" w:type="dxa"/>
            <w:tcBorders>
              <w:tl2br w:val="nil"/>
              <w:tr2bl w:val="nil"/>
            </w:tcBorders>
            <w:noWrap w:val="0"/>
            <w:vAlign w:val="center"/>
          </w:tcPr>
          <w:p>
            <w:pPr>
              <w:widowControl/>
              <w:jc w:val="left"/>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估价对象区域内</w:t>
            </w:r>
            <w:r>
              <w:rPr>
                <w:rFonts w:hint="eastAsia" w:ascii="宋体" w:hAnsi="宋体" w:eastAsia="宋体" w:cs="宋体"/>
                <w:kern w:val="0"/>
                <w:sz w:val="18"/>
                <w:szCs w:val="18"/>
                <w:lang w:val="en-US" w:eastAsia="zh-CN"/>
              </w:rPr>
              <w:t>住宅</w:t>
            </w:r>
            <w:r>
              <w:rPr>
                <w:rFonts w:hint="eastAsia" w:ascii="宋体" w:hAnsi="宋体" w:eastAsia="宋体" w:cs="宋体"/>
                <w:kern w:val="0"/>
                <w:sz w:val="18"/>
                <w:szCs w:val="18"/>
                <w:lang w:eastAsia="zh-CN"/>
              </w:rPr>
              <w:t>用房交易情况较</w:t>
            </w:r>
            <w:r>
              <w:rPr>
                <w:rFonts w:hint="eastAsia" w:ascii="宋体" w:hAnsi="宋体" w:eastAsia="宋体" w:cs="宋体"/>
                <w:kern w:val="0"/>
                <w:sz w:val="18"/>
                <w:szCs w:val="18"/>
                <w:lang w:val="en-US" w:eastAsia="zh-CN"/>
              </w:rPr>
              <w:t>多</w:t>
            </w:r>
            <w:r>
              <w:rPr>
                <w:rFonts w:hint="eastAsia" w:ascii="宋体" w:hAnsi="宋体" w:eastAsia="宋体" w:cs="宋体"/>
                <w:kern w:val="0"/>
                <w:sz w:val="18"/>
                <w:szCs w:val="18"/>
                <w:lang w:eastAsia="zh-CN"/>
              </w:rPr>
              <w:t>，房地产市场交易活跃，与估价对象类似房地产可比实例易</w:t>
            </w:r>
            <w:r>
              <w:rPr>
                <w:rFonts w:hint="eastAsia" w:ascii="宋体" w:hAnsi="宋体" w:eastAsia="宋体" w:cs="宋体"/>
                <w:kern w:val="0"/>
                <w:sz w:val="18"/>
                <w:szCs w:val="18"/>
                <w:lang w:val="en-US" w:eastAsia="zh-CN"/>
              </w:rPr>
              <w:t>于</w:t>
            </w:r>
            <w:r>
              <w:rPr>
                <w:rFonts w:hint="eastAsia" w:ascii="宋体" w:hAnsi="宋体" w:eastAsia="宋体" w:cs="宋体"/>
                <w:kern w:val="0"/>
                <w:sz w:val="18"/>
                <w:szCs w:val="18"/>
                <w:lang w:eastAsia="zh-CN"/>
              </w:rPr>
              <w:t>获取，故本次评估</w:t>
            </w:r>
            <w:r>
              <w:rPr>
                <w:rFonts w:hint="eastAsia" w:ascii="宋体" w:hAnsi="宋体" w:eastAsia="宋体" w:cs="宋体"/>
                <w:kern w:val="0"/>
                <w:sz w:val="18"/>
                <w:szCs w:val="18"/>
                <w:lang w:val="en-US" w:eastAsia="zh-CN"/>
              </w:rPr>
              <w:t>可</w:t>
            </w:r>
            <w:r>
              <w:rPr>
                <w:rFonts w:hint="eastAsia" w:ascii="宋体" w:hAnsi="宋体" w:eastAsia="宋体" w:cs="宋体"/>
                <w:kern w:val="0"/>
                <w:sz w:val="18"/>
                <w:szCs w:val="18"/>
                <w:lang w:eastAsia="zh-CN"/>
              </w:rPr>
              <w:t>采取比较法对估价对象进行评估。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45" w:type="dxa"/>
            <w:tcBorders>
              <w:tl2br w:val="nil"/>
              <w:tr2bl w:val="nil"/>
            </w:tcBorders>
            <w:noWrap w:val="0"/>
            <w:vAlign w:val="center"/>
          </w:tcPr>
          <w:p>
            <w:pPr>
              <w:pageBreakBefore w:val="0"/>
              <w:widowControl/>
              <w:kinsoku/>
              <w:overflowPunct/>
              <w:topLinePunct w:val="0"/>
              <w:autoSpaceDE/>
              <w:autoSpaceDN/>
              <w:bidi w:val="0"/>
              <w:spacing w:line="520" w:lineRule="exact"/>
              <w:jc w:val="center"/>
              <w:textAlignment w:val="top"/>
              <w:rPr>
                <w:rFonts w:ascii="宋体" w:hAnsi="宋体" w:cs="宋体"/>
                <w:color w:val="auto"/>
                <w:sz w:val="18"/>
                <w:szCs w:val="18"/>
              </w:rPr>
            </w:pPr>
            <w:r>
              <w:rPr>
                <w:rFonts w:hint="eastAsia" w:ascii="宋体" w:hAnsi="宋体" w:eastAsia="宋体"/>
                <w:color w:val="auto"/>
                <w:kern w:val="0"/>
                <w:sz w:val="18"/>
                <w:szCs w:val="18"/>
                <w:lang w:bidi="ar"/>
              </w:rPr>
              <w:t>收益法</w:t>
            </w:r>
          </w:p>
        </w:tc>
        <w:tc>
          <w:tcPr>
            <w:tcW w:w="1489" w:type="dxa"/>
            <w:tcBorders>
              <w:tl2br w:val="nil"/>
              <w:tr2bl w:val="nil"/>
            </w:tcBorders>
            <w:noWrap w:val="0"/>
            <w:vAlign w:val="center"/>
          </w:tcPr>
          <w:p>
            <w:pPr>
              <w:pageBreakBefore w:val="0"/>
              <w:widowControl/>
              <w:kinsoku/>
              <w:overflowPunct/>
              <w:topLinePunct w:val="0"/>
              <w:autoSpaceDE/>
              <w:autoSpaceDN/>
              <w:bidi w:val="0"/>
              <w:spacing w:line="520" w:lineRule="exact"/>
              <w:jc w:val="center"/>
              <w:textAlignment w:val="top"/>
              <w:rPr>
                <w:rFonts w:ascii="宋体" w:hAnsi="宋体" w:cs="宋体"/>
                <w:color w:val="auto"/>
                <w:sz w:val="18"/>
                <w:szCs w:val="18"/>
              </w:rPr>
            </w:pPr>
            <w:r>
              <w:rPr>
                <w:rFonts w:hint="eastAsia" w:ascii="宋体" w:hAnsi="宋体" w:eastAsia="宋体"/>
                <w:color w:val="auto"/>
                <w:kern w:val="0"/>
                <w:sz w:val="18"/>
                <w:szCs w:val="18"/>
                <w:lang w:bidi="ar"/>
              </w:rPr>
              <w:t>适用</w:t>
            </w:r>
          </w:p>
        </w:tc>
        <w:tc>
          <w:tcPr>
            <w:tcW w:w="1477" w:type="dxa"/>
            <w:tcBorders>
              <w:tl2br w:val="nil"/>
              <w:tr2bl w:val="nil"/>
            </w:tcBorders>
            <w:noWrap w:val="0"/>
            <w:vAlign w:val="center"/>
          </w:tcPr>
          <w:p>
            <w:pPr>
              <w:pageBreakBefore w:val="0"/>
              <w:widowControl/>
              <w:kinsoku/>
              <w:overflowPunct/>
              <w:topLinePunct w:val="0"/>
              <w:autoSpaceDE/>
              <w:autoSpaceDN/>
              <w:bidi w:val="0"/>
              <w:spacing w:line="520" w:lineRule="exact"/>
              <w:jc w:val="center"/>
              <w:textAlignment w:val="top"/>
              <w:rPr>
                <w:rFonts w:ascii="宋体" w:hAnsi="宋体" w:cs="宋体"/>
                <w:color w:val="auto"/>
                <w:sz w:val="18"/>
                <w:szCs w:val="18"/>
              </w:rPr>
            </w:pPr>
            <w:r>
              <w:rPr>
                <w:rFonts w:hint="eastAsia" w:ascii="宋体" w:hAnsi="宋体" w:eastAsia="宋体"/>
                <w:color w:val="auto"/>
                <w:kern w:val="0"/>
                <w:sz w:val="18"/>
                <w:szCs w:val="18"/>
                <w:lang w:val="en-US" w:eastAsia="zh-CN" w:bidi="ar"/>
              </w:rPr>
              <w:t>不</w:t>
            </w:r>
            <w:r>
              <w:rPr>
                <w:rFonts w:hint="eastAsia" w:ascii="宋体" w:hAnsi="宋体" w:eastAsia="宋体"/>
                <w:color w:val="auto"/>
                <w:kern w:val="0"/>
                <w:sz w:val="18"/>
                <w:szCs w:val="18"/>
                <w:lang w:bidi="ar"/>
              </w:rPr>
              <w:t>适用</w:t>
            </w:r>
          </w:p>
        </w:tc>
        <w:tc>
          <w:tcPr>
            <w:tcW w:w="5343" w:type="dxa"/>
            <w:tcBorders>
              <w:tl2br w:val="nil"/>
              <w:tr2bl w:val="nil"/>
            </w:tcBorders>
            <w:noWrap w:val="0"/>
            <w:vAlign w:val="center"/>
          </w:tcPr>
          <w:p>
            <w:pPr>
              <w:widowControl/>
              <w:jc w:val="left"/>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估价对象所在区域有住宅用房出租实例。但当地市场住宅用房租售比严重背离，且住房租金受是否装修、是否带家具的直接影响，估价师建立租赁价格可比基础的主观性较强，因此本次估价不适宜采用收益法进行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45" w:type="dxa"/>
            <w:tcBorders>
              <w:tl2br w:val="nil"/>
              <w:tr2bl w:val="nil"/>
            </w:tcBorders>
            <w:noWrap w:val="0"/>
            <w:vAlign w:val="center"/>
          </w:tcPr>
          <w:p>
            <w:pPr>
              <w:pageBreakBefore w:val="0"/>
              <w:widowControl/>
              <w:kinsoku/>
              <w:overflowPunct/>
              <w:topLinePunct w:val="0"/>
              <w:autoSpaceDE/>
              <w:autoSpaceDN/>
              <w:bidi w:val="0"/>
              <w:spacing w:line="520" w:lineRule="exact"/>
              <w:jc w:val="center"/>
              <w:textAlignment w:val="top"/>
              <w:rPr>
                <w:rFonts w:ascii="宋体" w:hAnsi="宋体" w:cs="宋体"/>
                <w:color w:val="auto"/>
                <w:sz w:val="18"/>
                <w:szCs w:val="18"/>
              </w:rPr>
            </w:pPr>
            <w:r>
              <w:rPr>
                <w:rFonts w:hint="eastAsia" w:ascii="宋体" w:hAnsi="宋体" w:eastAsia="宋体"/>
                <w:color w:val="auto"/>
                <w:kern w:val="0"/>
                <w:sz w:val="18"/>
                <w:szCs w:val="18"/>
                <w:lang w:bidi="ar"/>
              </w:rPr>
              <w:t>成本法</w:t>
            </w:r>
          </w:p>
        </w:tc>
        <w:tc>
          <w:tcPr>
            <w:tcW w:w="1489" w:type="dxa"/>
            <w:tcBorders>
              <w:tl2br w:val="nil"/>
              <w:tr2bl w:val="nil"/>
            </w:tcBorders>
            <w:noWrap w:val="0"/>
            <w:vAlign w:val="center"/>
          </w:tcPr>
          <w:p>
            <w:pPr>
              <w:pageBreakBefore w:val="0"/>
              <w:widowControl/>
              <w:kinsoku/>
              <w:overflowPunct/>
              <w:topLinePunct w:val="0"/>
              <w:autoSpaceDE/>
              <w:autoSpaceDN/>
              <w:bidi w:val="0"/>
              <w:spacing w:line="520" w:lineRule="exact"/>
              <w:jc w:val="center"/>
              <w:textAlignment w:val="top"/>
              <w:rPr>
                <w:rFonts w:ascii="宋体" w:hAnsi="宋体" w:cs="宋体"/>
                <w:color w:val="auto"/>
                <w:sz w:val="18"/>
                <w:szCs w:val="18"/>
              </w:rPr>
            </w:pPr>
            <w:r>
              <w:rPr>
                <w:rFonts w:hint="eastAsia" w:ascii="宋体" w:hAnsi="宋体" w:eastAsia="宋体"/>
                <w:color w:val="auto"/>
                <w:kern w:val="0"/>
                <w:sz w:val="18"/>
                <w:szCs w:val="18"/>
                <w:lang w:bidi="ar"/>
              </w:rPr>
              <w:t>不适用</w:t>
            </w:r>
          </w:p>
        </w:tc>
        <w:tc>
          <w:tcPr>
            <w:tcW w:w="1477" w:type="dxa"/>
            <w:tcBorders>
              <w:tl2br w:val="nil"/>
              <w:tr2bl w:val="nil"/>
            </w:tcBorders>
            <w:noWrap w:val="0"/>
            <w:vAlign w:val="center"/>
          </w:tcPr>
          <w:p>
            <w:pPr>
              <w:pageBreakBefore w:val="0"/>
              <w:widowControl/>
              <w:kinsoku/>
              <w:overflowPunct/>
              <w:topLinePunct w:val="0"/>
              <w:autoSpaceDE/>
              <w:autoSpaceDN/>
              <w:bidi w:val="0"/>
              <w:spacing w:line="520" w:lineRule="exact"/>
              <w:jc w:val="center"/>
              <w:textAlignment w:val="top"/>
              <w:rPr>
                <w:rFonts w:ascii="宋体" w:hAnsi="宋体" w:cs="宋体"/>
                <w:color w:val="auto"/>
                <w:sz w:val="18"/>
                <w:szCs w:val="18"/>
              </w:rPr>
            </w:pPr>
            <w:r>
              <w:rPr>
                <w:rFonts w:hint="eastAsia" w:ascii="宋体" w:hAnsi="宋体" w:eastAsia="宋体"/>
                <w:color w:val="auto"/>
                <w:kern w:val="0"/>
                <w:sz w:val="18"/>
                <w:szCs w:val="18"/>
                <w:lang w:bidi="ar"/>
              </w:rPr>
              <w:t>不适用</w:t>
            </w:r>
          </w:p>
        </w:tc>
        <w:tc>
          <w:tcPr>
            <w:tcW w:w="5343" w:type="dxa"/>
            <w:tcBorders>
              <w:tl2br w:val="nil"/>
              <w:tr2bl w:val="nil"/>
            </w:tcBorders>
            <w:noWrap w:val="0"/>
            <w:vAlign w:val="center"/>
          </w:tcPr>
          <w:p>
            <w:pPr>
              <w:widowControl/>
              <w:jc w:val="left"/>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估价对象为成熟商住区的住宅房地产，单纯采用成本积算的方法测算出来的房地产价格不能客观体现城市运营带来的房地产增值，故本次估价不采用成本法。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45" w:type="dxa"/>
            <w:tcBorders>
              <w:tl2br w:val="nil"/>
              <w:tr2bl w:val="nil"/>
            </w:tcBorders>
            <w:noWrap w:val="0"/>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假设开发法</w:t>
            </w:r>
          </w:p>
        </w:tc>
        <w:tc>
          <w:tcPr>
            <w:tcW w:w="1489" w:type="dxa"/>
            <w:tcBorders>
              <w:tl2br w:val="nil"/>
              <w:tr2bl w:val="nil"/>
            </w:tcBorders>
            <w:noWrap w:val="0"/>
            <w:vAlign w:val="center"/>
          </w:tcPr>
          <w:p>
            <w:pPr>
              <w:pageBreakBefore w:val="0"/>
              <w:widowControl/>
              <w:kinsoku/>
              <w:overflowPunct/>
              <w:topLinePunct w:val="0"/>
              <w:autoSpaceDE/>
              <w:autoSpaceDN/>
              <w:bidi w:val="0"/>
              <w:spacing w:line="520" w:lineRule="exact"/>
              <w:jc w:val="center"/>
              <w:textAlignment w:val="top"/>
              <w:rPr>
                <w:rFonts w:hint="eastAsia" w:ascii="宋体" w:hAnsi="宋体" w:eastAsia="宋体" w:cs="宋体"/>
                <w:color w:val="auto"/>
                <w:sz w:val="18"/>
                <w:szCs w:val="18"/>
                <w:lang w:eastAsia="zh-CN"/>
              </w:rPr>
            </w:pPr>
            <w:r>
              <w:rPr>
                <w:rFonts w:hint="eastAsia" w:ascii="宋体" w:hAnsi="宋体" w:cs="宋体"/>
                <w:color w:val="auto"/>
                <w:sz w:val="18"/>
                <w:szCs w:val="18"/>
                <w:lang w:eastAsia="zh-CN"/>
              </w:rPr>
              <w:t>不适用</w:t>
            </w:r>
          </w:p>
        </w:tc>
        <w:tc>
          <w:tcPr>
            <w:tcW w:w="1477" w:type="dxa"/>
            <w:tcBorders>
              <w:tl2br w:val="nil"/>
              <w:tr2bl w:val="nil"/>
            </w:tcBorders>
            <w:noWrap w:val="0"/>
            <w:vAlign w:val="center"/>
          </w:tcPr>
          <w:p>
            <w:pPr>
              <w:pageBreakBefore w:val="0"/>
              <w:widowControl/>
              <w:kinsoku/>
              <w:overflowPunct/>
              <w:topLinePunct w:val="0"/>
              <w:autoSpaceDE/>
              <w:autoSpaceDN/>
              <w:bidi w:val="0"/>
              <w:spacing w:line="520" w:lineRule="exact"/>
              <w:jc w:val="center"/>
              <w:textAlignment w:val="top"/>
              <w:rPr>
                <w:rFonts w:ascii="宋体" w:hAnsi="宋体" w:cs="宋体"/>
                <w:color w:val="auto"/>
                <w:sz w:val="18"/>
                <w:szCs w:val="18"/>
              </w:rPr>
            </w:pPr>
            <w:r>
              <w:rPr>
                <w:rFonts w:hint="eastAsia" w:ascii="宋体" w:hAnsi="宋体" w:eastAsia="宋体"/>
                <w:color w:val="auto"/>
                <w:kern w:val="0"/>
                <w:sz w:val="18"/>
                <w:szCs w:val="18"/>
                <w:lang w:bidi="ar"/>
              </w:rPr>
              <w:t>不适用</w:t>
            </w:r>
          </w:p>
        </w:tc>
        <w:tc>
          <w:tcPr>
            <w:tcW w:w="5343" w:type="dxa"/>
            <w:tcBorders>
              <w:tl2br w:val="nil"/>
              <w:tr2bl w:val="nil"/>
            </w:tcBorders>
            <w:noWrap w:val="0"/>
            <w:vAlign w:val="center"/>
          </w:tcPr>
          <w:p>
            <w:pPr>
              <w:widowControl/>
              <w:jc w:val="left"/>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估价对象为已建成并投入使用的房地产，且依据前面最高最佳利用分析，估价对象在维持现状持续使用条件下价值最大化，故不宜采用假设开发法进行估价。</w:t>
            </w:r>
          </w:p>
        </w:tc>
      </w:tr>
    </w:tbl>
    <w:p>
      <w:pPr>
        <w:keepNext w:val="0"/>
        <w:keepLines w:val="0"/>
        <w:pageBreakBefore w:val="0"/>
        <w:widowControl w:val="0"/>
        <w:kinsoku/>
        <w:wordWrap/>
        <w:overflowPunct/>
        <w:topLinePunct w:val="0"/>
        <w:autoSpaceDE/>
        <w:autoSpaceDN/>
        <w:bidi w:val="0"/>
        <w:adjustRightInd w:val="0"/>
        <w:snapToGrid/>
        <w:spacing w:line="540" w:lineRule="exact"/>
        <w:ind w:firstLine="480" w:firstLineChars="200"/>
        <w:textAlignment w:val="baseline"/>
        <w:rPr>
          <w:rFonts w:hint="eastAsia" w:ascii="宋体" w:hAnsi="宋体" w:cs="宋体"/>
          <w:color w:val="auto"/>
          <w:spacing w:val="-10"/>
          <w:sz w:val="24"/>
          <w:szCs w:val="24"/>
          <w:lang w:val="en-US" w:eastAsia="zh-Hans" w:bidi="ar"/>
        </w:rPr>
      </w:pPr>
      <w:r>
        <w:rPr>
          <w:rFonts w:hint="eastAsia" w:ascii="宋体" w:hAnsi="宋体" w:cs="宋体"/>
          <w:color w:val="auto"/>
          <w:sz w:val="24"/>
          <w:szCs w:val="24"/>
        </w:rPr>
        <w:t>因此，根据估价对象的特点和估价目的，结合房地产估价师收集的资料情况，确定本次估价</w:t>
      </w:r>
      <w:r>
        <w:rPr>
          <w:rFonts w:hint="eastAsia" w:ascii="宋体" w:hAnsi="宋体" w:cs="宋体"/>
          <w:color w:val="auto"/>
          <w:sz w:val="24"/>
          <w:szCs w:val="24"/>
          <w:lang w:val="en-US" w:eastAsia="zh-CN"/>
        </w:rPr>
        <w:t>对估价对象采用比较法</w:t>
      </w:r>
      <w:r>
        <w:rPr>
          <w:rFonts w:hint="eastAsia" w:ascii="宋体" w:hAnsi="宋体" w:cs="宋体"/>
          <w:color w:val="auto"/>
          <w:sz w:val="24"/>
          <w:szCs w:val="24"/>
        </w:rPr>
        <w:t>进行评估。</w:t>
      </w:r>
    </w:p>
    <w:p>
      <w:pPr>
        <w:keepNext w:val="0"/>
        <w:keepLines w:val="0"/>
        <w:pageBreakBefore w:val="0"/>
        <w:widowControl w:val="0"/>
        <w:numPr>
          <w:ilvl w:val="0"/>
          <w:numId w:val="3"/>
        </w:numPr>
        <w:kinsoku/>
        <w:wordWrap/>
        <w:overflowPunct/>
        <w:topLinePunct w:val="0"/>
        <w:autoSpaceDE/>
        <w:autoSpaceDN/>
        <w:bidi w:val="0"/>
        <w:adjustRightInd w:val="0"/>
        <w:snapToGrid/>
        <w:spacing w:line="540" w:lineRule="exact"/>
        <w:ind w:firstLine="480" w:firstLineChars="200"/>
        <w:textAlignment w:val="baseline"/>
        <w:rPr>
          <w:rFonts w:hint="eastAsia" w:ascii="宋体" w:hAnsi="宋体" w:eastAsia="宋体" w:cs="宋体"/>
          <w:b w:val="0"/>
          <w:bCs/>
          <w:color w:val="000000"/>
          <w:sz w:val="24"/>
          <w:szCs w:val="24"/>
          <w:highlight w:val="none"/>
          <w:lang w:val="en-US" w:eastAsia="zh-CN" w:bidi="ar"/>
        </w:rPr>
      </w:pPr>
      <w:r>
        <w:rPr>
          <w:rFonts w:hint="eastAsia" w:ascii="宋体" w:hAnsi="宋体" w:eastAsia="宋体" w:cs="宋体"/>
          <w:b w:val="0"/>
          <w:bCs/>
          <w:color w:val="000000"/>
          <w:sz w:val="24"/>
          <w:szCs w:val="24"/>
          <w:highlight w:val="none"/>
          <w:lang w:val="en-US" w:eastAsia="zh-CN" w:bidi="ar"/>
        </w:rPr>
        <w:t>测算过程简介</w:t>
      </w:r>
    </w:p>
    <w:p>
      <w:pPr>
        <w:keepNext w:val="0"/>
        <w:keepLines w:val="0"/>
        <w:pageBreakBefore w:val="0"/>
        <w:widowControl w:val="0"/>
        <w:kinsoku/>
        <w:wordWrap/>
        <w:overflowPunct/>
        <w:topLinePunct w:val="0"/>
        <w:autoSpaceDE/>
        <w:autoSpaceDN/>
        <w:bidi w:val="0"/>
        <w:adjustRightInd w:val="0"/>
        <w:snapToGrid/>
        <w:spacing w:line="560" w:lineRule="exact"/>
        <w:ind w:firstLine="440" w:firstLineChars="200"/>
        <w:textAlignment w:val="baseline"/>
        <w:rPr>
          <w:rFonts w:hint="eastAsia" w:ascii="宋体" w:hAnsi="宋体" w:eastAsia="宋体" w:cs="宋体"/>
          <w:color w:val="000000"/>
          <w:spacing w:val="-10"/>
          <w:sz w:val="24"/>
          <w:szCs w:val="24"/>
          <w:lang w:bidi="ar"/>
        </w:rPr>
      </w:pPr>
      <w:r>
        <w:rPr>
          <w:rFonts w:hint="eastAsia" w:ascii="宋体" w:hAnsi="宋体" w:eastAsia="宋体" w:cs="宋体"/>
          <w:color w:val="000000"/>
          <w:spacing w:val="-10"/>
          <w:sz w:val="24"/>
          <w:szCs w:val="24"/>
          <w:lang w:val="en-US" w:eastAsia="zh-CN" w:bidi="ar"/>
        </w:rPr>
        <w:t>1.</w:t>
      </w:r>
      <w:r>
        <w:rPr>
          <w:rFonts w:hint="eastAsia" w:ascii="宋体" w:hAnsi="宋体" w:eastAsia="宋体" w:cs="宋体"/>
          <w:color w:val="000000"/>
          <w:spacing w:val="-10"/>
          <w:sz w:val="24"/>
          <w:szCs w:val="24"/>
          <w:lang w:bidi="ar"/>
        </w:rPr>
        <w:t>方法定义</w:t>
      </w:r>
    </w:p>
    <w:p>
      <w:pPr>
        <w:keepNext w:val="0"/>
        <w:keepLines w:val="0"/>
        <w:pageBreakBefore w:val="0"/>
        <w:widowControl w:val="0"/>
        <w:kinsoku/>
        <w:wordWrap/>
        <w:overflowPunct/>
        <w:topLinePunct w:val="0"/>
        <w:autoSpaceDE/>
        <w:autoSpaceDN/>
        <w:bidi w:val="0"/>
        <w:adjustRightInd w:val="0"/>
        <w:snapToGrid/>
        <w:spacing w:line="560" w:lineRule="exact"/>
        <w:ind w:firstLine="440" w:firstLineChars="200"/>
        <w:textAlignment w:val="baseline"/>
        <w:rPr>
          <w:rFonts w:hint="eastAsia" w:ascii="宋体" w:hAnsi="宋体" w:eastAsia="宋体" w:cs="宋体"/>
          <w:color w:val="000000"/>
          <w:spacing w:val="-10"/>
          <w:sz w:val="24"/>
          <w:szCs w:val="24"/>
          <w:lang w:bidi="ar"/>
        </w:rPr>
      </w:pPr>
      <w:r>
        <w:rPr>
          <w:rFonts w:hint="eastAsia" w:ascii="宋体" w:hAnsi="宋体" w:eastAsia="宋体" w:cs="宋体"/>
          <w:color w:val="000000"/>
          <w:spacing w:val="-10"/>
          <w:sz w:val="24"/>
          <w:szCs w:val="24"/>
          <w:lang w:bidi="ar"/>
        </w:rPr>
        <w:t>比较法是选取一定数量的可比实例，将它们与估价对象进行比较，根据其间的差异对可比实例成交价格进行处理后得到估价对象价值或价格的方法。</w:t>
      </w:r>
    </w:p>
    <w:p>
      <w:pPr>
        <w:keepNext w:val="0"/>
        <w:keepLines w:val="0"/>
        <w:pageBreakBefore w:val="0"/>
        <w:widowControl w:val="0"/>
        <w:kinsoku/>
        <w:wordWrap/>
        <w:overflowPunct/>
        <w:topLinePunct w:val="0"/>
        <w:autoSpaceDE/>
        <w:autoSpaceDN/>
        <w:bidi w:val="0"/>
        <w:adjustRightInd w:val="0"/>
        <w:snapToGrid/>
        <w:spacing w:line="560" w:lineRule="exact"/>
        <w:ind w:firstLine="440" w:firstLineChars="200"/>
        <w:textAlignment w:val="baseline"/>
        <w:rPr>
          <w:rFonts w:hint="eastAsia" w:ascii="宋体" w:hAnsi="宋体" w:eastAsia="宋体" w:cs="宋体"/>
          <w:color w:val="000000"/>
          <w:spacing w:val="-10"/>
          <w:sz w:val="24"/>
          <w:szCs w:val="24"/>
          <w:lang w:bidi="ar"/>
        </w:rPr>
      </w:pPr>
      <w:r>
        <w:rPr>
          <w:rFonts w:hint="eastAsia" w:ascii="宋体" w:hAnsi="宋体" w:eastAsia="宋体" w:cs="宋体"/>
          <w:color w:val="000000"/>
          <w:spacing w:val="-10"/>
          <w:sz w:val="24"/>
          <w:szCs w:val="24"/>
          <w:lang w:bidi="ar"/>
        </w:rPr>
        <w:t>待估房地产价格计算公式：</w:t>
      </w:r>
    </w:p>
    <w:p>
      <w:pPr>
        <w:keepNext w:val="0"/>
        <w:keepLines w:val="0"/>
        <w:pageBreakBefore w:val="0"/>
        <w:widowControl w:val="0"/>
        <w:kinsoku/>
        <w:wordWrap/>
        <w:overflowPunct/>
        <w:topLinePunct w:val="0"/>
        <w:autoSpaceDE/>
        <w:autoSpaceDN/>
        <w:bidi w:val="0"/>
        <w:adjustRightInd w:val="0"/>
        <w:snapToGrid/>
        <w:spacing w:line="560" w:lineRule="exact"/>
        <w:ind w:firstLine="440" w:firstLineChars="200"/>
        <w:textAlignment w:val="baseline"/>
        <w:rPr>
          <w:rFonts w:hint="eastAsia" w:ascii="宋体" w:hAnsi="宋体" w:eastAsia="宋体" w:cs="宋体"/>
          <w:color w:val="000000"/>
          <w:spacing w:val="-10"/>
          <w:sz w:val="24"/>
          <w:szCs w:val="24"/>
          <w:lang w:bidi="ar"/>
        </w:rPr>
      </w:pPr>
      <w:r>
        <w:rPr>
          <w:rFonts w:hint="eastAsia" w:ascii="宋体" w:hAnsi="宋体" w:eastAsia="宋体" w:cs="宋体"/>
          <w:color w:val="000000"/>
          <w:spacing w:val="-10"/>
          <w:sz w:val="24"/>
          <w:szCs w:val="24"/>
          <w:lang w:bidi="ar"/>
        </w:rPr>
        <w:t>V=比较实例价格×</w:t>
      </w:r>
      <w:r>
        <w:rPr>
          <w:rFonts w:hint="eastAsia" w:ascii="宋体" w:hAnsi="宋体" w:eastAsia="宋体" w:cs="宋体"/>
          <w:color w:val="000000"/>
          <w:spacing w:val="-10"/>
          <w:sz w:val="24"/>
          <w:szCs w:val="24"/>
          <w:lang w:val="en-US" w:eastAsia="zh-CN" w:bidi="ar"/>
        </w:rPr>
        <w:t>交易情况修正系数×市场状况修正系数×房地产状况修正系数</w:t>
      </w:r>
      <w:r>
        <w:rPr>
          <w:rFonts w:hint="eastAsia" w:ascii="宋体" w:hAnsi="宋体" w:eastAsia="宋体" w:cs="宋体"/>
          <w:color w:val="000000"/>
          <w:spacing w:val="-10"/>
          <w:sz w:val="24"/>
          <w:szCs w:val="24"/>
          <w:lang w:bidi="ar"/>
        </w:rPr>
        <w:t xml:space="preserve">   </w:t>
      </w:r>
    </w:p>
    <w:p>
      <w:pPr>
        <w:keepNext w:val="0"/>
        <w:keepLines w:val="0"/>
        <w:pageBreakBefore w:val="0"/>
        <w:widowControl w:val="0"/>
        <w:kinsoku/>
        <w:wordWrap/>
        <w:overflowPunct/>
        <w:topLinePunct w:val="0"/>
        <w:autoSpaceDE/>
        <w:autoSpaceDN/>
        <w:bidi w:val="0"/>
        <w:adjustRightInd w:val="0"/>
        <w:snapToGrid/>
        <w:spacing w:line="560" w:lineRule="exact"/>
        <w:ind w:firstLine="440" w:firstLineChars="200"/>
        <w:textAlignment w:val="baseline"/>
        <w:rPr>
          <w:rFonts w:hint="eastAsia" w:ascii="宋体" w:hAnsi="宋体" w:eastAsia="宋体" w:cs="宋体"/>
          <w:color w:val="000000"/>
          <w:spacing w:val="-10"/>
          <w:sz w:val="24"/>
          <w:szCs w:val="24"/>
          <w:lang w:bidi="ar"/>
        </w:rPr>
      </w:pPr>
      <w:r>
        <w:rPr>
          <w:rFonts w:hint="eastAsia" w:ascii="宋体" w:hAnsi="宋体" w:eastAsia="宋体" w:cs="宋体"/>
          <w:color w:val="000000"/>
          <w:spacing w:val="-10"/>
          <w:sz w:val="24"/>
          <w:szCs w:val="24"/>
          <w:lang w:val="en-US" w:eastAsia="zh-CN" w:bidi="ar"/>
        </w:rPr>
        <w:t>2.</w:t>
      </w:r>
      <w:r>
        <w:rPr>
          <w:rFonts w:hint="eastAsia" w:ascii="宋体" w:hAnsi="宋体" w:eastAsia="宋体" w:cs="宋体"/>
          <w:color w:val="000000"/>
          <w:spacing w:val="-10"/>
          <w:sz w:val="24"/>
          <w:szCs w:val="24"/>
          <w:lang w:bidi="ar"/>
        </w:rPr>
        <w:t>估价</w:t>
      </w:r>
      <w:r>
        <w:rPr>
          <w:rFonts w:hint="eastAsia" w:ascii="宋体" w:hAnsi="宋体" w:eastAsia="宋体" w:cs="宋体"/>
          <w:color w:val="000000"/>
          <w:spacing w:val="-10"/>
          <w:sz w:val="24"/>
          <w:szCs w:val="24"/>
          <w:lang w:val="en-US" w:eastAsia="zh-CN" w:bidi="ar"/>
        </w:rPr>
        <w:t>步骤</w:t>
      </w:r>
      <w:r>
        <w:rPr>
          <w:rFonts w:hint="eastAsia" w:ascii="宋体" w:hAnsi="宋体" w:eastAsia="宋体" w:cs="宋体"/>
          <w:color w:val="000000"/>
          <w:spacing w:val="-10"/>
          <w:sz w:val="24"/>
          <w:szCs w:val="24"/>
          <w:lang w:bidi="ar"/>
        </w:rPr>
        <w:t>：</w:t>
      </w:r>
    </w:p>
    <w:p>
      <w:pPr>
        <w:keepNext w:val="0"/>
        <w:keepLines w:val="0"/>
        <w:pageBreakBefore w:val="0"/>
        <w:widowControl w:val="0"/>
        <w:kinsoku/>
        <w:wordWrap/>
        <w:overflowPunct/>
        <w:topLinePunct w:val="0"/>
        <w:autoSpaceDE/>
        <w:autoSpaceDN/>
        <w:bidi w:val="0"/>
        <w:adjustRightInd w:val="0"/>
        <w:snapToGrid/>
        <w:spacing w:line="560" w:lineRule="exact"/>
        <w:ind w:firstLine="440" w:firstLineChars="200"/>
        <w:textAlignment w:val="baseline"/>
        <w:rPr>
          <w:rFonts w:hint="eastAsia" w:ascii="宋体" w:hAnsi="宋体" w:eastAsia="宋体" w:cs="宋体"/>
          <w:color w:val="000000"/>
          <w:spacing w:val="-10"/>
          <w:sz w:val="24"/>
          <w:szCs w:val="24"/>
          <w:lang w:bidi="ar"/>
        </w:rPr>
      </w:pPr>
      <w:r>
        <w:rPr>
          <w:rFonts w:hint="eastAsia" w:ascii="宋体" w:hAnsi="宋体" w:eastAsia="宋体" w:cs="宋体"/>
          <w:color w:val="000000"/>
          <w:spacing w:val="-10"/>
          <w:sz w:val="24"/>
          <w:szCs w:val="24"/>
          <w:lang w:bidi="ar"/>
        </w:rPr>
        <w:t>A、搜集交易实例；</w:t>
      </w:r>
    </w:p>
    <w:p>
      <w:pPr>
        <w:keepNext w:val="0"/>
        <w:keepLines w:val="0"/>
        <w:pageBreakBefore w:val="0"/>
        <w:widowControl w:val="0"/>
        <w:kinsoku/>
        <w:wordWrap/>
        <w:overflowPunct/>
        <w:topLinePunct w:val="0"/>
        <w:autoSpaceDE/>
        <w:autoSpaceDN/>
        <w:bidi w:val="0"/>
        <w:adjustRightInd w:val="0"/>
        <w:snapToGrid/>
        <w:spacing w:line="560" w:lineRule="exact"/>
        <w:ind w:firstLine="440" w:firstLineChars="200"/>
        <w:textAlignment w:val="baseline"/>
        <w:rPr>
          <w:rFonts w:hint="eastAsia" w:ascii="宋体" w:hAnsi="宋体" w:eastAsia="宋体" w:cs="宋体"/>
          <w:color w:val="000000"/>
          <w:spacing w:val="-10"/>
          <w:sz w:val="24"/>
          <w:szCs w:val="24"/>
          <w:lang w:bidi="ar"/>
        </w:rPr>
      </w:pPr>
      <w:r>
        <w:rPr>
          <w:rFonts w:hint="eastAsia" w:ascii="宋体" w:hAnsi="宋体" w:eastAsia="宋体" w:cs="宋体"/>
          <w:color w:val="000000"/>
          <w:spacing w:val="-10"/>
          <w:sz w:val="24"/>
          <w:szCs w:val="24"/>
          <w:lang w:bidi="ar"/>
        </w:rPr>
        <w:t>B、选取可比实例；</w:t>
      </w:r>
    </w:p>
    <w:p>
      <w:pPr>
        <w:keepNext w:val="0"/>
        <w:keepLines w:val="0"/>
        <w:pageBreakBefore w:val="0"/>
        <w:widowControl w:val="0"/>
        <w:kinsoku/>
        <w:wordWrap/>
        <w:overflowPunct/>
        <w:topLinePunct w:val="0"/>
        <w:autoSpaceDE/>
        <w:autoSpaceDN/>
        <w:bidi w:val="0"/>
        <w:adjustRightInd w:val="0"/>
        <w:snapToGrid/>
        <w:spacing w:line="560" w:lineRule="exact"/>
        <w:ind w:firstLine="440" w:firstLineChars="200"/>
        <w:textAlignment w:val="baseline"/>
        <w:rPr>
          <w:rFonts w:hint="eastAsia" w:ascii="宋体" w:hAnsi="宋体" w:eastAsia="宋体" w:cs="宋体"/>
          <w:color w:val="000000"/>
          <w:spacing w:val="-10"/>
          <w:sz w:val="24"/>
          <w:szCs w:val="24"/>
          <w:lang w:bidi="ar"/>
        </w:rPr>
      </w:pPr>
      <w:r>
        <w:rPr>
          <w:rFonts w:hint="eastAsia" w:ascii="宋体" w:hAnsi="宋体" w:eastAsia="宋体" w:cs="宋体"/>
          <w:color w:val="000000"/>
          <w:spacing w:val="-10"/>
          <w:sz w:val="24"/>
          <w:szCs w:val="24"/>
          <w:lang w:bidi="ar"/>
        </w:rPr>
        <w:t>C、建立比较基础；</w:t>
      </w:r>
    </w:p>
    <w:p>
      <w:pPr>
        <w:keepNext w:val="0"/>
        <w:keepLines w:val="0"/>
        <w:pageBreakBefore w:val="0"/>
        <w:widowControl w:val="0"/>
        <w:kinsoku/>
        <w:wordWrap/>
        <w:overflowPunct/>
        <w:topLinePunct w:val="0"/>
        <w:autoSpaceDE/>
        <w:autoSpaceDN/>
        <w:bidi w:val="0"/>
        <w:adjustRightInd w:val="0"/>
        <w:snapToGrid/>
        <w:spacing w:line="560" w:lineRule="exact"/>
        <w:ind w:firstLine="440" w:firstLineChars="200"/>
        <w:textAlignment w:val="baseline"/>
        <w:rPr>
          <w:rFonts w:hint="eastAsia" w:ascii="宋体" w:hAnsi="宋体" w:eastAsia="宋体" w:cs="宋体"/>
          <w:color w:val="000000"/>
          <w:spacing w:val="-10"/>
          <w:sz w:val="24"/>
          <w:szCs w:val="24"/>
          <w:lang w:bidi="ar"/>
        </w:rPr>
      </w:pPr>
      <w:r>
        <w:rPr>
          <w:rFonts w:hint="eastAsia" w:ascii="宋体" w:hAnsi="宋体" w:eastAsia="宋体" w:cs="宋体"/>
          <w:color w:val="000000"/>
          <w:spacing w:val="-10"/>
          <w:sz w:val="24"/>
          <w:szCs w:val="24"/>
          <w:lang w:bidi="ar"/>
        </w:rPr>
        <w:t>D、进行交易情况修正；</w:t>
      </w:r>
    </w:p>
    <w:p>
      <w:pPr>
        <w:keepNext w:val="0"/>
        <w:keepLines w:val="0"/>
        <w:pageBreakBefore w:val="0"/>
        <w:widowControl w:val="0"/>
        <w:kinsoku/>
        <w:wordWrap/>
        <w:overflowPunct/>
        <w:topLinePunct w:val="0"/>
        <w:autoSpaceDE/>
        <w:autoSpaceDN/>
        <w:bidi w:val="0"/>
        <w:adjustRightInd w:val="0"/>
        <w:snapToGrid/>
        <w:spacing w:line="560" w:lineRule="exact"/>
        <w:ind w:firstLine="440" w:firstLineChars="200"/>
        <w:textAlignment w:val="baseline"/>
        <w:rPr>
          <w:rFonts w:hint="eastAsia" w:ascii="宋体" w:hAnsi="宋体" w:eastAsia="宋体" w:cs="宋体"/>
          <w:color w:val="000000"/>
          <w:spacing w:val="-10"/>
          <w:sz w:val="24"/>
          <w:szCs w:val="24"/>
          <w:lang w:bidi="ar"/>
        </w:rPr>
      </w:pPr>
      <w:r>
        <w:rPr>
          <w:rFonts w:hint="eastAsia" w:ascii="宋体" w:hAnsi="宋体" w:eastAsia="宋体" w:cs="宋体"/>
          <w:color w:val="000000"/>
          <w:spacing w:val="-10"/>
          <w:sz w:val="24"/>
          <w:szCs w:val="24"/>
          <w:lang w:bidi="ar"/>
        </w:rPr>
        <w:t>E、进行市场状况调整；</w:t>
      </w:r>
    </w:p>
    <w:p>
      <w:pPr>
        <w:keepNext w:val="0"/>
        <w:keepLines w:val="0"/>
        <w:pageBreakBefore w:val="0"/>
        <w:widowControl w:val="0"/>
        <w:kinsoku/>
        <w:wordWrap/>
        <w:overflowPunct/>
        <w:topLinePunct w:val="0"/>
        <w:autoSpaceDE/>
        <w:autoSpaceDN/>
        <w:bidi w:val="0"/>
        <w:adjustRightInd w:val="0"/>
        <w:snapToGrid/>
        <w:spacing w:line="560" w:lineRule="exact"/>
        <w:ind w:firstLine="440" w:firstLineChars="200"/>
        <w:textAlignment w:val="baseline"/>
        <w:rPr>
          <w:rFonts w:hint="eastAsia" w:ascii="宋体" w:hAnsi="宋体" w:eastAsia="宋体" w:cs="宋体"/>
          <w:color w:val="000000"/>
          <w:spacing w:val="-10"/>
          <w:sz w:val="24"/>
          <w:szCs w:val="24"/>
          <w:lang w:bidi="ar"/>
        </w:rPr>
      </w:pPr>
      <w:r>
        <w:rPr>
          <w:rFonts w:hint="eastAsia" w:ascii="宋体" w:hAnsi="宋体" w:eastAsia="宋体" w:cs="宋体"/>
          <w:color w:val="000000"/>
          <w:spacing w:val="-10"/>
          <w:sz w:val="24"/>
          <w:szCs w:val="24"/>
          <w:lang w:bidi="ar"/>
        </w:rPr>
        <w:t>F、进行房地产状况调整；</w:t>
      </w:r>
    </w:p>
    <w:p>
      <w:pPr>
        <w:keepNext w:val="0"/>
        <w:keepLines w:val="0"/>
        <w:pageBreakBefore w:val="0"/>
        <w:widowControl w:val="0"/>
        <w:kinsoku/>
        <w:wordWrap/>
        <w:overflowPunct/>
        <w:topLinePunct w:val="0"/>
        <w:autoSpaceDE/>
        <w:autoSpaceDN/>
        <w:bidi w:val="0"/>
        <w:adjustRightInd w:val="0"/>
        <w:snapToGrid/>
        <w:spacing w:line="560" w:lineRule="exact"/>
        <w:ind w:firstLine="440" w:firstLineChars="200"/>
        <w:textAlignment w:val="baseline"/>
        <w:rPr>
          <w:rFonts w:hint="eastAsia" w:ascii="宋体" w:hAnsi="宋体" w:eastAsia="宋体" w:cs="宋体"/>
          <w:color w:val="000000"/>
          <w:spacing w:val="-10"/>
          <w:sz w:val="24"/>
          <w:szCs w:val="24"/>
          <w:lang w:bidi="ar"/>
        </w:rPr>
      </w:pPr>
      <w:r>
        <w:rPr>
          <w:rFonts w:hint="eastAsia" w:ascii="宋体" w:hAnsi="宋体" w:eastAsia="宋体" w:cs="宋体"/>
          <w:color w:val="000000"/>
          <w:spacing w:val="-10"/>
          <w:sz w:val="24"/>
          <w:szCs w:val="24"/>
          <w:lang w:bidi="ar"/>
        </w:rPr>
        <w:t>G、计算比较价值。</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400" w:firstLine="0"/>
        <w:textAlignment w:val="baseline"/>
        <w:rPr>
          <w:rFonts w:hint="eastAsia" w:ascii="宋体" w:hAnsi="宋体" w:eastAsia="宋体" w:cs="宋体"/>
          <w:color w:val="000000"/>
          <w:spacing w:val="-10"/>
          <w:sz w:val="24"/>
          <w:szCs w:val="24"/>
          <w:lang w:val="en-US" w:eastAsia="zh-CN" w:bidi="ar"/>
        </w:rPr>
      </w:pPr>
      <w:bookmarkStart w:id="306" w:name="_Toc11319"/>
      <w:bookmarkStart w:id="307" w:name="_Toc5495"/>
      <w:bookmarkStart w:id="308" w:name="_Toc4500"/>
      <w:bookmarkStart w:id="309" w:name="_Toc31078"/>
      <w:bookmarkStart w:id="310" w:name="_Toc16067"/>
      <w:bookmarkStart w:id="311" w:name="_Toc8918"/>
      <w:bookmarkStart w:id="312" w:name="_Toc7910"/>
      <w:r>
        <w:rPr>
          <w:rFonts w:hint="eastAsia" w:ascii="宋体" w:hAnsi="宋体" w:eastAsia="宋体" w:cs="宋体"/>
          <w:b/>
          <w:bCs/>
          <w:color w:val="000000"/>
          <w:spacing w:val="-10"/>
          <w:sz w:val="24"/>
          <w:szCs w:val="24"/>
          <w:lang w:val="en-US" w:eastAsia="zh-CN" w:bidi="ar"/>
        </w:rPr>
        <w:t>十、估价结果的确定</w:t>
      </w:r>
      <w:bookmarkEnd w:id="306"/>
      <w:bookmarkEnd w:id="307"/>
      <w:bookmarkEnd w:id="308"/>
      <w:bookmarkEnd w:id="309"/>
      <w:bookmarkEnd w:id="310"/>
      <w:bookmarkEnd w:id="311"/>
      <w:bookmarkEnd w:id="312"/>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400" w:firstLine="440" w:firstLineChars="200"/>
        <w:textAlignment w:val="baseline"/>
        <w:rPr>
          <w:rFonts w:hint="eastAsia" w:ascii="宋体" w:hAnsi="宋体" w:eastAsia="宋体" w:cs="宋体"/>
          <w:color w:val="000000"/>
          <w:spacing w:val="-10"/>
          <w:sz w:val="24"/>
          <w:szCs w:val="24"/>
          <w:lang w:eastAsia="zh-CN" w:bidi="ar"/>
        </w:rPr>
      </w:pPr>
      <w:bookmarkStart w:id="313" w:name="_Toc485393196"/>
      <w:bookmarkStart w:id="314" w:name="_Toc480967882"/>
      <w:r>
        <w:rPr>
          <w:rFonts w:hint="eastAsia" w:ascii="宋体" w:hAnsi="宋体" w:eastAsia="宋体" w:cs="宋体"/>
          <w:color w:val="000000"/>
          <w:spacing w:val="-10"/>
          <w:sz w:val="24"/>
          <w:szCs w:val="24"/>
          <w:lang w:bidi="ar"/>
        </w:rPr>
        <w:t>根据本次估价目的，遵循估价原则，按照估价程序，在认真分析现有资料的基础上，采用</w:t>
      </w:r>
      <w:r>
        <w:rPr>
          <w:rFonts w:hint="eastAsia" w:ascii="宋体" w:hAnsi="宋体" w:eastAsia="宋体" w:cs="宋体"/>
          <w:color w:val="000000"/>
          <w:spacing w:val="-10"/>
          <w:sz w:val="24"/>
          <w:szCs w:val="24"/>
          <w:lang w:eastAsia="zh-CN" w:bidi="ar"/>
        </w:rPr>
        <w:t>比较</w:t>
      </w:r>
      <w:r>
        <w:rPr>
          <w:rFonts w:hint="eastAsia" w:ascii="宋体" w:hAnsi="宋体" w:eastAsia="宋体" w:cs="宋体"/>
          <w:color w:val="000000"/>
          <w:spacing w:val="-10"/>
          <w:sz w:val="24"/>
          <w:szCs w:val="24"/>
          <w:lang w:bidi="ar"/>
        </w:rPr>
        <w:t>法进行评估。经过测算，结合估价经验与对影响房地产市场价格因素的分析，确定估价对象在满足本次估价的全部假设和限制条件下的估价结果</w:t>
      </w:r>
      <w:r>
        <w:rPr>
          <w:rFonts w:hint="eastAsia" w:ascii="宋体" w:hAnsi="宋体" w:eastAsia="宋体" w:cs="宋体"/>
          <w:color w:val="000000"/>
          <w:spacing w:val="-10"/>
          <w:sz w:val="24"/>
          <w:szCs w:val="24"/>
          <w:lang w:eastAsia="zh-CN" w:bidi="ar"/>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left="400" w:firstLine="0" w:firstLineChars="0"/>
        <w:jc w:val="center"/>
        <w:textAlignment w:val="baseline"/>
        <w:rPr>
          <w:rFonts w:hint="eastAsia" w:ascii="宋体" w:hAnsi="宋体" w:eastAsia="宋体" w:cs="宋体"/>
          <w:color w:val="000000"/>
          <w:spacing w:val="-10"/>
          <w:sz w:val="24"/>
          <w:szCs w:val="24"/>
          <w:lang w:eastAsia="zh-CN" w:bidi="ar"/>
        </w:rPr>
      </w:pPr>
      <w:r>
        <w:rPr>
          <w:rFonts w:hint="eastAsia" w:ascii="宋体" w:hAnsi="宋体" w:eastAsia="宋体" w:cs="宋体"/>
          <w:b/>
          <w:bCs/>
          <w:color w:val="000000"/>
          <w:spacing w:val="-10"/>
          <w:sz w:val="24"/>
          <w:szCs w:val="24"/>
          <w:lang w:eastAsia="zh-CN" w:bidi="ar"/>
        </w:rPr>
        <w:t>估价结果汇总表</w:t>
      </w:r>
    </w:p>
    <w:p>
      <w:pPr>
        <w:pageBreakBefore w:val="0"/>
        <w:widowControl w:val="0"/>
        <w:kinsoku/>
        <w:wordWrap/>
        <w:overflowPunct/>
        <w:topLinePunct w:val="0"/>
        <w:autoSpaceDE/>
        <w:autoSpaceDN/>
        <w:bidi w:val="0"/>
        <w:adjustRightInd w:val="0"/>
        <w:spacing w:line="520" w:lineRule="exact"/>
        <w:jc w:val="right"/>
        <w:textAlignment w:val="baseline"/>
        <w:rPr>
          <w:rFonts w:hint="eastAsia" w:ascii="宋体" w:hAnsi="宋体" w:eastAsia="宋体" w:cs="宋体"/>
          <w:b/>
          <w:color w:val="000000"/>
          <w:szCs w:val="21"/>
        </w:rPr>
      </w:pPr>
      <w:r>
        <w:rPr>
          <w:rFonts w:hint="eastAsia" w:ascii="宋体" w:hAnsi="宋体" w:eastAsia="宋体" w:cs="宋体"/>
          <w:b/>
          <w:color w:val="000000"/>
          <w:szCs w:val="21"/>
        </w:rPr>
        <w:t>币种：人民币</w:t>
      </w:r>
    </w:p>
    <w:tbl>
      <w:tblPr>
        <w:tblStyle w:val="9"/>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2200"/>
        <w:gridCol w:w="822"/>
        <w:gridCol w:w="844"/>
        <w:gridCol w:w="1654"/>
        <w:gridCol w:w="885"/>
        <w:gridCol w:w="1050"/>
        <w:gridCol w:w="1020"/>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82"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序</w:t>
            </w:r>
          </w:p>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号</w:t>
            </w:r>
          </w:p>
        </w:tc>
        <w:tc>
          <w:tcPr>
            <w:tcW w:w="2200"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估价对象</w:t>
            </w:r>
          </w:p>
        </w:tc>
        <w:tc>
          <w:tcPr>
            <w:tcW w:w="822"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实际</w:t>
            </w:r>
          </w:p>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用途</w:t>
            </w:r>
          </w:p>
        </w:tc>
        <w:tc>
          <w:tcPr>
            <w:tcW w:w="844"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楼层/</w:t>
            </w:r>
          </w:p>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themeColor="text1"/>
                <w:kern w:val="0"/>
                <w:sz w:val="18"/>
                <w:szCs w:val="18"/>
                <w14:textFill>
                  <w14:solidFill>
                    <w14:schemeClr w14:val="tx1"/>
                  </w14:solidFill>
                </w14:textFill>
              </w:rPr>
            </w:pPr>
            <w:r>
              <w:rPr>
                <w:rFonts w:hint="eastAsia" w:ascii="宋体" w:hAnsi="宋体" w:eastAsia="宋体" w:cs="宋体"/>
                <w:color w:val="000000" w:themeColor="text1"/>
                <w:kern w:val="0"/>
                <w:sz w:val="18"/>
                <w:szCs w:val="18"/>
                <w14:textFill>
                  <w14:solidFill>
                    <w14:schemeClr w14:val="tx1"/>
                  </w14:solidFill>
                </w14:textFill>
              </w:rPr>
              <w:t>总楼层</w:t>
            </w:r>
          </w:p>
        </w:tc>
        <w:tc>
          <w:tcPr>
            <w:tcW w:w="1654"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权证号</w:t>
            </w:r>
          </w:p>
        </w:tc>
        <w:tc>
          <w:tcPr>
            <w:tcW w:w="885"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建筑面</w:t>
            </w:r>
          </w:p>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积(㎡)</w:t>
            </w:r>
          </w:p>
        </w:tc>
        <w:tc>
          <w:tcPr>
            <w:tcW w:w="1050"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评估单价（元/㎡）</w:t>
            </w:r>
          </w:p>
        </w:tc>
        <w:tc>
          <w:tcPr>
            <w:tcW w:w="1020"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评估总值</w:t>
            </w:r>
          </w:p>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w:t>
            </w:r>
            <w:r>
              <w:rPr>
                <w:rFonts w:hint="eastAsia" w:ascii="宋体" w:hAnsi="宋体" w:eastAsia="宋体" w:cs="宋体"/>
                <w:kern w:val="0"/>
                <w:sz w:val="18"/>
                <w:szCs w:val="18"/>
              </w:rPr>
              <w:t>万元</w:t>
            </w:r>
            <w:r>
              <w:rPr>
                <w:rFonts w:hint="eastAsia" w:ascii="宋体" w:hAnsi="宋体" w:eastAsia="宋体" w:cs="宋体"/>
                <w:color w:val="000000"/>
                <w:kern w:val="0"/>
                <w:sz w:val="18"/>
                <w:szCs w:val="18"/>
              </w:rPr>
              <w:t>)</w:t>
            </w:r>
          </w:p>
        </w:tc>
        <w:tc>
          <w:tcPr>
            <w:tcW w:w="681" w:type="dxa"/>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cs="宋体"/>
                <w:color w:val="000000"/>
                <w:kern w:val="0"/>
                <w:sz w:val="18"/>
                <w:szCs w:val="18"/>
              </w:rPr>
            </w:pPr>
            <w:r>
              <w:rPr>
                <w:rFonts w:hint="eastAsia" w:ascii="宋体" w:hAnsi="宋体" w:eastAsia="宋体" w:cs="宋体"/>
                <w:color w:val="000000"/>
                <w:kern w:val="0"/>
                <w:sz w:val="18"/>
                <w:szCs w:val="18"/>
              </w:rPr>
              <w:t>1</w:t>
            </w:r>
          </w:p>
        </w:tc>
        <w:tc>
          <w:tcPr>
            <w:tcW w:w="2200"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犍为县玉津镇滨江路南段2号4幢1单元801号</w:t>
            </w:r>
          </w:p>
        </w:tc>
        <w:tc>
          <w:tcPr>
            <w:tcW w:w="8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住宅</w:t>
            </w:r>
          </w:p>
        </w:tc>
        <w:tc>
          <w:tcPr>
            <w:tcW w:w="8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8/15</w:t>
            </w:r>
          </w:p>
        </w:tc>
        <w:tc>
          <w:tcPr>
            <w:tcW w:w="16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2013101300194、犍国用（2013）第（一）-33540号</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112.17</w:t>
            </w:r>
          </w:p>
        </w:tc>
        <w:tc>
          <w:tcPr>
            <w:tcW w:w="1050"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5535.00</w:t>
            </w:r>
          </w:p>
        </w:tc>
        <w:tc>
          <w:tcPr>
            <w:tcW w:w="1020"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62.09</w:t>
            </w:r>
          </w:p>
        </w:tc>
        <w:tc>
          <w:tcPr>
            <w:tcW w:w="681" w:type="dxa"/>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color w:val="000000"/>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02"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rPr>
              <w:t>总价大写</w:t>
            </w:r>
          </w:p>
        </w:tc>
        <w:tc>
          <w:tcPr>
            <w:tcW w:w="3636"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jc w:val="center"/>
              <w:textAlignment w:val="baseline"/>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陆拾贰万零玖佰元整</w:t>
            </w:r>
          </w:p>
        </w:tc>
      </w:tr>
    </w:tbl>
    <w:p>
      <w:pPr>
        <w:pStyle w:val="4"/>
        <w:numPr>
          <w:ilvl w:val="0"/>
          <w:numId w:val="4"/>
        </w:numPr>
        <w:wordWrap/>
        <w:spacing w:before="0" w:after="0" w:line="560" w:lineRule="exact"/>
        <w:rPr>
          <w:rFonts w:ascii="宋体" w:hAnsi="宋体" w:eastAsia="宋体"/>
          <w:color w:val="000000"/>
          <w:sz w:val="24"/>
          <w:szCs w:val="24"/>
        </w:rPr>
      </w:pPr>
      <w:bookmarkStart w:id="315" w:name="_Toc24631"/>
      <w:bookmarkStart w:id="316" w:name="_Toc5324"/>
      <w:bookmarkStart w:id="317" w:name="_Toc1448"/>
      <w:bookmarkStart w:id="318" w:name="_Toc10349"/>
      <w:bookmarkStart w:id="319" w:name="_Toc18030"/>
      <w:bookmarkStart w:id="320" w:name="_Toc12475"/>
      <w:bookmarkStart w:id="321" w:name="_Toc40"/>
      <w:bookmarkStart w:id="322" w:name="_Toc29167"/>
      <w:bookmarkStart w:id="323" w:name="_Toc32626"/>
      <w:bookmarkStart w:id="324" w:name="_Toc8756"/>
      <w:bookmarkStart w:id="325" w:name="_Toc23412"/>
      <w:bookmarkStart w:id="326" w:name="_Toc4491"/>
      <w:bookmarkStart w:id="327" w:name="_Toc29766"/>
      <w:bookmarkStart w:id="328" w:name="_Toc27490"/>
      <w:bookmarkStart w:id="329" w:name="_Toc17545"/>
      <w:bookmarkStart w:id="330" w:name="_Toc22467"/>
      <w:bookmarkStart w:id="331" w:name="_Toc17809"/>
      <w:bookmarkStart w:id="332" w:name="_Toc11991"/>
      <w:bookmarkStart w:id="333" w:name="_Toc5706"/>
      <w:bookmarkStart w:id="334" w:name="_Toc30972"/>
      <w:r>
        <w:rPr>
          <w:rFonts w:ascii="宋体" w:hAnsi="宋体" w:eastAsia="宋体"/>
          <w:color w:val="000000"/>
          <w:sz w:val="24"/>
          <w:szCs w:val="24"/>
        </w:rPr>
        <w:t>注册房地产估价师</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tbl>
      <w:tblPr>
        <w:tblStyle w:val="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2377"/>
        <w:gridCol w:w="2377"/>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2267" w:type="dxa"/>
            <w:noWrap w:val="0"/>
            <w:vAlign w:val="center"/>
          </w:tcPr>
          <w:p>
            <w:pPr>
              <w:snapToGrid w:val="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姓   名</w:t>
            </w:r>
          </w:p>
        </w:tc>
        <w:tc>
          <w:tcPr>
            <w:tcW w:w="2377" w:type="dxa"/>
            <w:noWrap w:val="0"/>
            <w:vAlign w:val="center"/>
          </w:tcPr>
          <w:p>
            <w:pPr>
              <w:snapToGrid w:val="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注册号</w:t>
            </w:r>
          </w:p>
        </w:tc>
        <w:tc>
          <w:tcPr>
            <w:tcW w:w="2377" w:type="dxa"/>
            <w:noWrap w:val="0"/>
            <w:vAlign w:val="center"/>
          </w:tcPr>
          <w:p>
            <w:pPr>
              <w:snapToGrid w:val="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签   名</w:t>
            </w:r>
          </w:p>
        </w:tc>
        <w:tc>
          <w:tcPr>
            <w:tcW w:w="2266" w:type="dxa"/>
            <w:noWrap w:val="0"/>
            <w:vAlign w:val="center"/>
          </w:tcPr>
          <w:p>
            <w:pPr>
              <w:snapToGrid w:val="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2267" w:type="dxa"/>
            <w:noWrap w:val="0"/>
            <w:vAlign w:val="center"/>
          </w:tcPr>
          <w:p>
            <w:pPr>
              <w:snapToGrid w:val="0"/>
              <w:jc w:val="center"/>
              <w:rPr>
                <w:rFonts w:hint="eastAsia" w:ascii="宋体" w:hAnsi="宋体" w:eastAsia="宋体" w:cs="宋体"/>
                <w:bCs/>
                <w:color w:val="000000"/>
                <w:sz w:val="21"/>
                <w:szCs w:val="21"/>
              </w:rPr>
            </w:pPr>
            <w:r>
              <w:rPr>
                <w:rFonts w:hint="eastAsia" w:ascii="宋体" w:hAnsi="宋体" w:eastAsia="宋体" w:cs="宋体"/>
                <w:sz w:val="21"/>
                <w:szCs w:val="21"/>
              </w:rPr>
              <w:t>第一报告人</w:t>
            </w:r>
          </w:p>
          <w:p>
            <w:pPr>
              <w:snapToGrid w:val="0"/>
              <w:jc w:val="center"/>
              <w:rPr>
                <w:rFonts w:hint="eastAsia" w:ascii="宋体" w:hAnsi="宋体" w:eastAsia="宋体" w:cs="宋体"/>
                <w:bCs/>
                <w:color w:val="000000"/>
                <w:sz w:val="21"/>
                <w:szCs w:val="21"/>
                <w:lang w:eastAsia="zh-CN"/>
              </w:rPr>
            </w:pPr>
            <w:r>
              <w:rPr>
                <w:rFonts w:hint="eastAsia" w:ascii="宋体" w:hAnsi="宋体" w:eastAsia="宋体" w:cs="宋体"/>
                <w:bCs/>
                <w:color w:val="000000"/>
                <w:sz w:val="21"/>
                <w:szCs w:val="21"/>
              </w:rPr>
              <w:t>袁</w:t>
            </w:r>
            <w:r>
              <w:rPr>
                <w:rFonts w:hint="eastAsia" w:ascii="宋体" w:hAnsi="宋体" w:eastAsia="宋体" w:cs="宋体"/>
                <w:bCs/>
                <w:color w:val="000000"/>
                <w:sz w:val="21"/>
                <w:szCs w:val="21"/>
                <w:lang w:val="en-US" w:eastAsia="zh-CN"/>
              </w:rPr>
              <w:t xml:space="preserve">  </w:t>
            </w:r>
            <w:r>
              <w:rPr>
                <w:rFonts w:hint="eastAsia" w:ascii="宋体" w:hAnsi="宋体" w:eastAsia="宋体" w:cs="宋体"/>
                <w:bCs/>
                <w:color w:val="000000"/>
                <w:sz w:val="21"/>
                <w:szCs w:val="21"/>
              </w:rPr>
              <w:t>宇</w:t>
            </w:r>
          </w:p>
        </w:tc>
        <w:tc>
          <w:tcPr>
            <w:tcW w:w="2377" w:type="dxa"/>
            <w:noWrap w:val="0"/>
            <w:vAlign w:val="center"/>
          </w:tcPr>
          <w:p>
            <w:pPr>
              <w:snapToGrid w:val="0"/>
              <w:jc w:val="center"/>
              <w:rPr>
                <w:rFonts w:hint="eastAsia" w:ascii="宋体" w:hAnsi="宋体" w:eastAsia="宋体" w:cs="宋体"/>
                <w:bCs/>
                <w:color w:val="000000"/>
                <w:sz w:val="21"/>
                <w:szCs w:val="21"/>
                <w:lang w:eastAsia="zh-CN"/>
              </w:rPr>
            </w:pPr>
            <w:r>
              <w:rPr>
                <w:rFonts w:hint="eastAsia" w:ascii="宋体" w:hAnsi="宋体" w:eastAsia="宋体" w:cs="宋体"/>
                <w:color w:val="000000"/>
                <w:sz w:val="21"/>
                <w:szCs w:val="21"/>
              </w:rPr>
              <w:t>5120090024</w:t>
            </w:r>
          </w:p>
        </w:tc>
        <w:tc>
          <w:tcPr>
            <w:tcW w:w="2377" w:type="dxa"/>
            <w:noWrap w:val="0"/>
            <w:vAlign w:val="center"/>
          </w:tcPr>
          <w:p>
            <w:pPr>
              <w:snapToGrid w:val="0"/>
              <w:jc w:val="center"/>
              <w:rPr>
                <w:rFonts w:hint="eastAsia" w:ascii="宋体" w:hAnsi="宋体" w:eastAsia="宋体" w:cs="宋体"/>
                <w:b/>
                <w:bCs/>
                <w:color w:val="000000"/>
                <w:sz w:val="21"/>
                <w:szCs w:val="21"/>
              </w:rPr>
            </w:pPr>
          </w:p>
        </w:tc>
        <w:tc>
          <w:tcPr>
            <w:tcW w:w="2266" w:type="dxa"/>
            <w:noWrap w:val="0"/>
            <w:vAlign w:val="center"/>
          </w:tcPr>
          <w:p>
            <w:pPr>
              <w:snapToGrid w:val="0"/>
              <w:jc w:val="center"/>
              <w:rPr>
                <w:rFonts w:hint="eastAsia" w:ascii="宋体" w:hAnsi="宋体" w:eastAsia="宋体" w:cs="宋体"/>
                <w:b/>
                <w:bCs/>
                <w:color w:val="000000"/>
                <w:sz w:val="21"/>
                <w:szCs w:val="21"/>
                <w:lang w:eastAsia="zh-CN"/>
              </w:rPr>
            </w:pPr>
            <w:r>
              <w:rPr>
                <w:rStyle w:val="12"/>
                <w:rFonts w:hint="eastAsia" w:ascii="宋体" w:hAnsi="宋体" w:cs="宋体"/>
                <w:color w:val="000000"/>
                <w:sz w:val="21"/>
                <w:szCs w:val="21"/>
                <w:lang w:eastAsia="zh-CN"/>
              </w:rPr>
              <w:t>2022年8月29日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2267" w:type="dxa"/>
            <w:noWrap w:val="0"/>
            <w:vAlign w:val="center"/>
          </w:tcPr>
          <w:p>
            <w:pPr>
              <w:snapToGrid w:val="0"/>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报告参与人</w:t>
            </w:r>
          </w:p>
          <w:p>
            <w:pPr>
              <w:snapToGrid w:val="0"/>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lang w:eastAsia="zh-CN"/>
              </w:rPr>
              <w:t>张洋敏</w:t>
            </w:r>
          </w:p>
        </w:tc>
        <w:tc>
          <w:tcPr>
            <w:tcW w:w="2377" w:type="dxa"/>
            <w:noWrap w:val="0"/>
            <w:vAlign w:val="center"/>
          </w:tcPr>
          <w:p>
            <w:pPr>
              <w:snapToGrid w:val="0"/>
              <w:jc w:val="center"/>
              <w:rPr>
                <w:rFonts w:hint="eastAsia" w:ascii="宋体" w:hAnsi="宋体" w:eastAsia="宋体" w:cs="宋体"/>
                <w:bCs/>
                <w:color w:val="000000"/>
                <w:sz w:val="21"/>
                <w:szCs w:val="21"/>
              </w:rPr>
            </w:pPr>
            <w:r>
              <w:rPr>
                <w:rFonts w:hint="eastAsia" w:ascii="宋体" w:hAnsi="宋体" w:eastAsia="宋体" w:cs="宋体"/>
                <w:color w:val="000000"/>
                <w:sz w:val="21"/>
                <w:szCs w:val="21"/>
                <w:lang w:eastAsia="zh-CN"/>
              </w:rPr>
              <w:t>5320140006</w:t>
            </w:r>
          </w:p>
        </w:tc>
        <w:tc>
          <w:tcPr>
            <w:tcW w:w="2377" w:type="dxa"/>
            <w:noWrap w:val="0"/>
            <w:vAlign w:val="center"/>
          </w:tcPr>
          <w:p>
            <w:pPr>
              <w:snapToGrid w:val="0"/>
              <w:jc w:val="center"/>
              <w:rPr>
                <w:rFonts w:hint="eastAsia" w:ascii="宋体" w:hAnsi="宋体" w:eastAsia="宋体" w:cs="宋体"/>
                <w:b/>
                <w:bCs/>
                <w:color w:val="000000"/>
                <w:sz w:val="21"/>
                <w:szCs w:val="21"/>
              </w:rPr>
            </w:pPr>
          </w:p>
        </w:tc>
        <w:tc>
          <w:tcPr>
            <w:tcW w:w="2266" w:type="dxa"/>
            <w:noWrap w:val="0"/>
            <w:vAlign w:val="center"/>
          </w:tcPr>
          <w:p>
            <w:pPr>
              <w:snapToGrid w:val="0"/>
              <w:jc w:val="center"/>
              <w:rPr>
                <w:rFonts w:hint="eastAsia" w:ascii="宋体" w:hAnsi="宋体" w:eastAsia="宋体" w:cs="宋体"/>
                <w:b/>
                <w:bCs/>
                <w:color w:val="000000"/>
                <w:sz w:val="21"/>
                <w:szCs w:val="21"/>
                <w:lang w:eastAsia="zh-CN"/>
              </w:rPr>
            </w:pPr>
            <w:r>
              <w:rPr>
                <w:rStyle w:val="12"/>
                <w:rFonts w:hint="eastAsia" w:ascii="宋体" w:hAnsi="宋体" w:cs="宋体"/>
                <w:color w:val="000000"/>
                <w:sz w:val="21"/>
                <w:szCs w:val="21"/>
                <w:lang w:eastAsia="zh-CN"/>
              </w:rPr>
              <w:t>2022年8月29日</w:t>
            </w:r>
          </w:p>
        </w:tc>
      </w:tr>
    </w:tbl>
    <w:p>
      <w:pPr>
        <w:pStyle w:val="4"/>
        <w:wordWrap/>
        <w:spacing w:before="0" w:after="0" w:line="560" w:lineRule="exact"/>
        <w:rPr>
          <w:rFonts w:ascii="宋体" w:hAnsi="宋体" w:eastAsia="宋体"/>
          <w:color w:val="000000"/>
          <w:sz w:val="24"/>
          <w:szCs w:val="24"/>
        </w:rPr>
      </w:pPr>
      <w:bookmarkStart w:id="335" w:name="_Toc12237"/>
      <w:bookmarkStart w:id="336" w:name="_Toc6655"/>
      <w:bookmarkStart w:id="337" w:name="_Toc26035"/>
      <w:bookmarkStart w:id="338" w:name="_Toc28451"/>
      <w:bookmarkStart w:id="339" w:name="_Toc12277"/>
      <w:bookmarkStart w:id="340" w:name="_Toc13704"/>
      <w:bookmarkStart w:id="341" w:name="_Toc480967883"/>
      <w:bookmarkStart w:id="342" w:name="_Toc14261"/>
      <w:bookmarkStart w:id="343" w:name="_Toc11959"/>
      <w:bookmarkStart w:id="344" w:name="_Toc30008"/>
      <w:bookmarkStart w:id="345" w:name="_Toc5761"/>
      <w:bookmarkStart w:id="346" w:name="_Toc15054"/>
      <w:bookmarkStart w:id="347" w:name="_Toc21262"/>
      <w:bookmarkStart w:id="348" w:name="_Toc4507"/>
      <w:bookmarkStart w:id="349" w:name="_Toc17"/>
      <w:bookmarkStart w:id="350" w:name="_Toc6669"/>
      <w:bookmarkStart w:id="351" w:name="_Toc1627"/>
      <w:bookmarkStart w:id="352" w:name="_Toc5469"/>
      <w:bookmarkStart w:id="353" w:name="_Toc16968"/>
      <w:bookmarkStart w:id="354" w:name="_Toc485393197"/>
      <w:bookmarkStart w:id="355" w:name="_Toc23259"/>
      <w:bookmarkStart w:id="356" w:name="_Toc21150"/>
      <w:r>
        <w:rPr>
          <w:rFonts w:hint="eastAsia" w:ascii="宋体" w:hAnsi="宋体" w:eastAsia="宋体"/>
          <w:color w:val="000000"/>
          <w:sz w:val="24"/>
          <w:szCs w:val="24"/>
          <w:lang w:val="en-US" w:eastAsia="zh-CN"/>
        </w:rPr>
        <w:t>十二、</w:t>
      </w:r>
      <w:r>
        <w:rPr>
          <w:rFonts w:ascii="宋体" w:hAnsi="宋体" w:eastAsia="宋体"/>
          <w:color w:val="000000"/>
          <w:sz w:val="24"/>
          <w:szCs w:val="24"/>
        </w:rPr>
        <w:t>实地查勘期</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pPr>
        <w:wordWrap/>
        <w:spacing w:line="560" w:lineRule="exact"/>
        <w:ind w:firstLine="480" w:firstLineChars="200"/>
        <w:rPr>
          <w:rFonts w:hint="eastAsia" w:ascii="宋体" w:hAnsi="宋体" w:eastAsia="宋体" w:cs="Arial"/>
          <w:color w:val="000000"/>
          <w:sz w:val="24"/>
          <w:szCs w:val="24"/>
          <w:lang w:eastAsia="zh-CN"/>
        </w:rPr>
      </w:pPr>
      <w:r>
        <w:rPr>
          <w:rFonts w:hint="eastAsia" w:ascii="宋体" w:hAnsi="宋体" w:cs="Arial"/>
          <w:color w:val="000000"/>
          <w:sz w:val="24"/>
          <w:szCs w:val="24"/>
          <w:lang w:eastAsia="zh-CN"/>
        </w:rPr>
        <w:t>2022年8月10日</w:t>
      </w:r>
    </w:p>
    <w:p>
      <w:pPr>
        <w:pStyle w:val="4"/>
        <w:wordWrap/>
        <w:spacing w:before="0" w:after="0" w:line="560" w:lineRule="exact"/>
        <w:rPr>
          <w:rFonts w:ascii="宋体" w:hAnsi="宋体" w:eastAsia="宋体"/>
          <w:color w:val="000000"/>
          <w:sz w:val="24"/>
          <w:szCs w:val="24"/>
        </w:rPr>
      </w:pPr>
      <w:bookmarkStart w:id="357" w:name="_Toc2156"/>
      <w:bookmarkStart w:id="358" w:name="_Toc14948"/>
      <w:bookmarkStart w:id="359" w:name="_Toc23509"/>
      <w:bookmarkStart w:id="360" w:name="_Toc480967884"/>
      <w:bookmarkStart w:id="361" w:name="_Toc19328"/>
      <w:bookmarkStart w:id="362" w:name="_Toc29053"/>
      <w:bookmarkStart w:id="363" w:name="_Toc24919"/>
      <w:bookmarkStart w:id="364" w:name="_Toc2646"/>
      <w:bookmarkStart w:id="365" w:name="_Toc29515"/>
      <w:bookmarkStart w:id="366" w:name="_Toc27437"/>
      <w:bookmarkStart w:id="367" w:name="_Toc32363"/>
      <w:bookmarkStart w:id="368" w:name="_Toc24064"/>
      <w:bookmarkStart w:id="369" w:name="_Toc27873"/>
      <w:bookmarkStart w:id="370" w:name="_Toc14009"/>
      <w:bookmarkStart w:id="371" w:name="_Toc485393198"/>
      <w:bookmarkStart w:id="372" w:name="_Toc1173"/>
      <w:bookmarkStart w:id="373" w:name="_Toc16181"/>
      <w:bookmarkStart w:id="374" w:name="_Toc13218"/>
      <w:bookmarkStart w:id="375" w:name="_Toc3122"/>
      <w:bookmarkStart w:id="376" w:name="_Toc9131"/>
      <w:bookmarkStart w:id="377" w:name="_Toc16639"/>
      <w:bookmarkStart w:id="378" w:name="_Toc5145"/>
      <w:r>
        <w:rPr>
          <w:rFonts w:hint="eastAsia" w:ascii="宋体" w:hAnsi="宋体" w:eastAsia="宋体"/>
          <w:color w:val="000000"/>
          <w:sz w:val="24"/>
          <w:szCs w:val="24"/>
          <w:lang w:val="en-US" w:eastAsia="zh-CN"/>
        </w:rPr>
        <w:t>十三、</w:t>
      </w:r>
      <w:r>
        <w:rPr>
          <w:rFonts w:ascii="宋体" w:hAnsi="宋体" w:eastAsia="宋体"/>
          <w:color w:val="000000"/>
          <w:sz w:val="24"/>
          <w:szCs w:val="24"/>
        </w:rPr>
        <w:t>估价作业期</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wordWrap/>
        <w:spacing w:before="0" w:beforeLines="0" w:line="240" w:lineRule="auto"/>
        <w:ind w:firstLine="480" w:firstLineChars="200"/>
        <w:jc w:val="left"/>
        <w:rPr>
          <w:rFonts w:hint="eastAsia" w:ascii="宋体" w:hAnsi="宋体" w:eastAsia="宋体" w:cs="Arial"/>
          <w:color w:val="000000"/>
          <w:sz w:val="24"/>
          <w:szCs w:val="24"/>
          <w:lang w:eastAsia="zh-CN"/>
        </w:rPr>
      </w:pPr>
      <w:r>
        <w:rPr>
          <w:rFonts w:hint="eastAsia" w:ascii="宋体" w:hAnsi="宋体" w:cs="Arial"/>
          <w:color w:val="000000"/>
          <w:sz w:val="24"/>
          <w:szCs w:val="24"/>
          <w:lang w:eastAsia="zh-CN"/>
        </w:rPr>
        <w:t>2022年8月10日</w:t>
      </w:r>
      <w:r>
        <w:rPr>
          <w:rFonts w:ascii="宋体" w:hAnsi="宋体" w:eastAsia="宋体" w:cs="Arial"/>
          <w:color w:val="000000"/>
          <w:sz w:val="24"/>
          <w:szCs w:val="24"/>
        </w:rPr>
        <w:t>—</w:t>
      </w:r>
      <w:r>
        <w:rPr>
          <w:rFonts w:hint="eastAsia" w:ascii="宋体" w:hAnsi="宋体" w:cs="Arial"/>
          <w:color w:val="000000"/>
          <w:sz w:val="24"/>
          <w:szCs w:val="24"/>
          <w:lang w:eastAsia="zh-CN"/>
        </w:rPr>
        <w:t>2022年8月29日</w:t>
      </w:r>
    </w:p>
    <w:p>
      <w:pPr>
        <w:pStyle w:val="2"/>
        <w:rPr>
          <w:rFonts w:hint="eastAsia" w:ascii="宋体" w:hAnsi="宋体" w:eastAsia="宋体" w:cs="Arial"/>
          <w:color w:val="000000"/>
          <w:sz w:val="24"/>
          <w:szCs w:val="24"/>
          <w:lang w:eastAsia="zh-CN"/>
        </w:rPr>
      </w:pPr>
    </w:p>
    <w:p>
      <w:pPr>
        <w:rPr>
          <w:rFonts w:hint="eastAsia"/>
        </w:rPr>
      </w:pPr>
    </w:p>
    <w:p>
      <w:pPr>
        <w:wordWrap/>
        <w:spacing w:line="560" w:lineRule="exact"/>
        <w:ind w:firstLine="480" w:firstLineChars="200"/>
        <w:jc w:val="right"/>
        <w:rPr>
          <w:rFonts w:hint="eastAsia" w:ascii="宋体" w:hAnsi="宋体" w:eastAsia="宋体" w:cs="Arial"/>
          <w:color w:val="000000"/>
          <w:sz w:val="24"/>
          <w:szCs w:val="24"/>
          <w:lang w:eastAsia="zh-CN"/>
        </w:rPr>
      </w:pPr>
      <w:r>
        <w:rPr>
          <w:rFonts w:hint="eastAsia" w:ascii="宋体" w:hAnsi="宋体" w:eastAsia="宋体" w:cs="Arial"/>
          <w:color w:val="000000"/>
          <w:sz w:val="24"/>
          <w:szCs w:val="24"/>
          <w:lang w:eastAsia="zh-CN"/>
        </w:rPr>
        <w:t>四川省久源房地产土地估价有限公司</w:t>
      </w:r>
    </w:p>
    <w:p>
      <w:pPr>
        <w:wordWrap/>
        <w:spacing w:line="560" w:lineRule="exact"/>
        <w:ind w:firstLine="480" w:firstLineChars="200"/>
        <w:jc w:val="right"/>
        <w:rPr>
          <w:rFonts w:hint="eastAsia" w:ascii="宋体" w:hAnsi="宋体" w:eastAsia="宋体" w:cs="Arial"/>
          <w:color w:val="000000"/>
          <w:sz w:val="24"/>
          <w:szCs w:val="24"/>
          <w:lang w:eastAsia="zh-CN"/>
        </w:rPr>
      </w:pPr>
      <w:r>
        <w:rPr>
          <w:rFonts w:hint="eastAsia" w:ascii="宋体" w:hAnsi="宋体" w:cs="Arial"/>
          <w:color w:val="000000"/>
          <w:sz w:val="24"/>
          <w:szCs w:val="24"/>
          <w:lang w:val="en-US" w:eastAsia="zh-CN"/>
        </w:rPr>
        <w:t>2022年8月29日</w:t>
      </w:r>
    </w:p>
    <w:p>
      <w:pPr>
        <w:pStyle w:val="2"/>
        <w:rPr>
          <w:rFonts w:hint="eastAsia" w:ascii="宋体" w:hAnsi="宋体" w:eastAsia="宋体" w:cs="Arial"/>
          <w:color w:val="000000"/>
          <w:sz w:val="24"/>
          <w:szCs w:val="24"/>
          <w:lang w:eastAsia="zh-CN"/>
        </w:rPr>
      </w:pPr>
    </w:p>
    <w:p>
      <w:pPr>
        <w:rPr>
          <w:rFonts w:hint="eastAsia" w:ascii="宋体" w:hAnsi="宋体" w:eastAsia="宋体" w:cs="Arial"/>
          <w:color w:val="000000"/>
          <w:sz w:val="24"/>
          <w:szCs w:val="24"/>
          <w:lang w:eastAsia="zh-CN"/>
        </w:rPr>
      </w:pPr>
    </w:p>
    <w:p>
      <w:pPr>
        <w:pStyle w:val="2"/>
        <w:rPr>
          <w:rFonts w:hint="eastAsia" w:ascii="宋体" w:hAnsi="宋体" w:eastAsia="宋体" w:cs="Arial"/>
          <w:color w:val="000000"/>
          <w:sz w:val="24"/>
          <w:szCs w:val="24"/>
          <w:lang w:eastAsia="zh-CN"/>
        </w:rPr>
      </w:pPr>
    </w:p>
    <w:p>
      <w:pPr>
        <w:rPr>
          <w:rFonts w:hint="eastAsia" w:ascii="宋体" w:hAnsi="宋体" w:eastAsia="宋体" w:cs="Arial"/>
          <w:color w:val="000000"/>
          <w:sz w:val="24"/>
          <w:szCs w:val="24"/>
          <w:lang w:eastAsia="zh-CN"/>
        </w:rPr>
      </w:pPr>
    </w:p>
    <w:p>
      <w:pPr>
        <w:pStyle w:val="2"/>
        <w:rPr>
          <w:rFonts w:hint="eastAsia" w:ascii="宋体" w:hAnsi="宋体" w:eastAsia="宋体" w:cs="Arial"/>
          <w:color w:val="000000"/>
          <w:sz w:val="24"/>
          <w:szCs w:val="24"/>
          <w:lang w:eastAsia="zh-CN"/>
        </w:rPr>
      </w:pPr>
    </w:p>
    <w:p>
      <w:pPr>
        <w:rPr>
          <w:rFonts w:hint="eastAsia" w:ascii="宋体" w:hAnsi="宋体" w:eastAsia="宋体" w:cs="Arial"/>
          <w:color w:val="000000"/>
          <w:sz w:val="24"/>
          <w:szCs w:val="24"/>
          <w:lang w:eastAsia="zh-CN"/>
        </w:rPr>
      </w:pPr>
    </w:p>
    <w:p>
      <w:pPr>
        <w:pStyle w:val="2"/>
        <w:rPr>
          <w:rFonts w:hint="eastAsia" w:ascii="宋体" w:hAnsi="宋体" w:eastAsia="宋体" w:cs="Arial"/>
          <w:color w:val="000000"/>
          <w:sz w:val="24"/>
          <w:szCs w:val="24"/>
          <w:lang w:eastAsia="zh-CN"/>
        </w:rPr>
      </w:pPr>
    </w:p>
    <w:p>
      <w:pPr>
        <w:rPr>
          <w:rFonts w:hint="eastAsia" w:ascii="宋体" w:hAnsi="宋体" w:eastAsia="宋体" w:cs="Arial"/>
          <w:color w:val="000000"/>
          <w:sz w:val="24"/>
          <w:szCs w:val="24"/>
          <w:lang w:eastAsia="zh-CN"/>
        </w:rPr>
      </w:pPr>
    </w:p>
    <w:p>
      <w:pPr>
        <w:pStyle w:val="2"/>
        <w:rPr>
          <w:rFonts w:hint="eastAsia" w:ascii="宋体" w:hAnsi="宋体" w:eastAsia="宋体" w:cs="Arial"/>
          <w:color w:val="000000"/>
          <w:sz w:val="24"/>
          <w:szCs w:val="24"/>
          <w:lang w:eastAsia="zh-CN"/>
        </w:rPr>
      </w:pPr>
    </w:p>
    <w:p>
      <w:pPr>
        <w:rPr>
          <w:rFonts w:hint="eastAsia" w:ascii="宋体" w:hAnsi="宋体" w:eastAsia="宋体" w:cs="Arial"/>
          <w:color w:val="000000"/>
          <w:sz w:val="24"/>
          <w:szCs w:val="24"/>
          <w:lang w:eastAsia="zh-CN"/>
        </w:rPr>
      </w:pPr>
    </w:p>
    <w:p>
      <w:pPr>
        <w:pStyle w:val="2"/>
        <w:rPr>
          <w:rFonts w:hint="eastAsia" w:ascii="宋体" w:hAnsi="宋体" w:eastAsia="宋体" w:cs="Arial"/>
          <w:color w:val="000000"/>
          <w:sz w:val="24"/>
          <w:szCs w:val="24"/>
          <w:lang w:eastAsia="zh-CN"/>
        </w:rPr>
      </w:pPr>
    </w:p>
    <w:p>
      <w:pPr>
        <w:rPr>
          <w:rFonts w:hint="eastAsia" w:ascii="宋体" w:hAnsi="宋体" w:eastAsia="宋体" w:cs="Arial"/>
          <w:color w:val="000000"/>
          <w:sz w:val="24"/>
          <w:szCs w:val="24"/>
          <w:lang w:eastAsia="zh-CN"/>
        </w:rPr>
      </w:pPr>
    </w:p>
    <w:p>
      <w:pPr>
        <w:pStyle w:val="2"/>
        <w:rPr>
          <w:rFonts w:hint="eastAsia" w:ascii="宋体" w:hAnsi="宋体" w:eastAsia="宋体" w:cs="Arial"/>
          <w:color w:val="000000"/>
          <w:sz w:val="24"/>
          <w:szCs w:val="24"/>
          <w:lang w:eastAsia="zh-CN"/>
        </w:rPr>
      </w:pPr>
    </w:p>
    <w:p>
      <w:pPr>
        <w:rPr>
          <w:rFonts w:hint="eastAsia" w:ascii="宋体" w:hAnsi="宋体" w:eastAsia="宋体" w:cs="Arial"/>
          <w:color w:val="000000"/>
          <w:sz w:val="24"/>
          <w:szCs w:val="24"/>
          <w:lang w:eastAsia="zh-CN"/>
        </w:rPr>
      </w:pPr>
    </w:p>
    <w:p>
      <w:pPr>
        <w:pStyle w:val="2"/>
        <w:rPr>
          <w:rFonts w:hint="eastAsia" w:ascii="宋体" w:hAnsi="宋体" w:eastAsia="宋体" w:cs="Arial"/>
          <w:color w:val="000000"/>
          <w:sz w:val="24"/>
          <w:szCs w:val="24"/>
          <w:lang w:eastAsia="zh-CN"/>
        </w:rPr>
      </w:pPr>
    </w:p>
    <w:p>
      <w:pPr>
        <w:rPr>
          <w:rFonts w:hint="eastAsia"/>
          <w:lang w:eastAsia="zh-CN"/>
        </w:rPr>
      </w:pPr>
    </w:p>
    <w:p>
      <w:pPr>
        <w:pStyle w:val="2"/>
        <w:rPr>
          <w:rFonts w:hint="eastAsia"/>
          <w:lang w:eastAsia="zh-CN"/>
        </w:rPr>
      </w:pPr>
    </w:p>
    <w:p>
      <w:pPr>
        <w:rPr>
          <w:rFonts w:hint="eastAsia"/>
          <w:lang w:eastAsia="zh-CN"/>
        </w:rPr>
      </w:pPr>
    </w:p>
    <w:bookmarkEnd w:id="0"/>
    <w:bookmarkEnd w:id="1"/>
    <w:bookmarkEnd w:id="2"/>
    <w:p>
      <w:pPr>
        <w:widowControl/>
        <w:wordWrap w:val="0"/>
        <w:adjustRightInd/>
        <w:spacing w:line="240" w:lineRule="auto"/>
        <w:ind w:firstLine="4819" w:firstLineChars="1500"/>
        <w:jc w:val="left"/>
        <w:textAlignment w:val="auto"/>
        <w:rPr>
          <w:rFonts w:ascii="宋体" w:hAnsi="宋体" w:eastAsia="宋体" w:cs="Arial"/>
          <w:b/>
          <w:bCs/>
          <w:color w:val="000000"/>
          <w:kern w:val="2"/>
          <w:sz w:val="32"/>
          <w:szCs w:val="32"/>
        </w:rPr>
      </w:pPr>
      <w:r>
        <w:rPr>
          <w:rFonts w:ascii="宋体" w:hAnsi="宋体" w:eastAsia="宋体" w:cs="Arial"/>
          <w:b/>
          <w:bCs/>
          <w:color w:val="000000"/>
          <w:kern w:val="2"/>
          <w:sz w:val="32"/>
          <w:szCs w:val="32"/>
        </w:rPr>
        <w:br w:type="page"/>
      </w:r>
    </w:p>
    <w:p>
      <w:pPr>
        <w:wordWrap w:val="0"/>
        <w:rPr>
          <w:color w:val="000000"/>
        </w:rPr>
      </w:pPr>
      <w:bookmarkStart w:id="379" w:name="_Toc485393210"/>
    </w:p>
    <w:bookmarkEnd w:id="379"/>
    <w:p>
      <w:pPr>
        <w:pStyle w:val="3"/>
        <w:wordWrap/>
        <w:spacing w:before="292"/>
        <w:rPr>
          <w:color w:val="000000"/>
        </w:rPr>
      </w:pPr>
      <w:bookmarkStart w:id="380" w:name="_Toc21399"/>
      <w:bookmarkStart w:id="381" w:name="_Toc23166"/>
      <w:bookmarkStart w:id="382" w:name="_Toc27278"/>
      <w:bookmarkStart w:id="383" w:name="_Toc8394"/>
      <w:bookmarkStart w:id="384" w:name="_Toc4216"/>
      <w:bookmarkStart w:id="385" w:name="_Toc8637"/>
      <w:bookmarkStart w:id="386" w:name="_Toc25714"/>
      <w:bookmarkStart w:id="387" w:name="_Toc7096"/>
      <w:bookmarkStart w:id="388" w:name="_Toc21014"/>
      <w:bookmarkStart w:id="389" w:name="_Toc8403"/>
      <w:bookmarkStart w:id="390" w:name="_Toc10858"/>
      <w:bookmarkStart w:id="391" w:name="_Toc16448"/>
      <w:bookmarkStart w:id="392" w:name="_Toc32596"/>
      <w:bookmarkStart w:id="393" w:name="_Toc10122"/>
      <w:bookmarkStart w:id="394" w:name="_Toc5103"/>
      <w:bookmarkStart w:id="395" w:name="_Toc24453"/>
      <w:bookmarkStart w:id="396" w:name="_Toc12141"/>
      <w:bookmarkStart w:id="397" w:name="_Toc15895"/>
      <w:bookmarkStart w:id="398" w:name="_Toc16172"/>
      <w:bookmarkStart w:id="399" w:name="_Toc6557"/>
      <w:bookmarkStart w:id="400" w:name="_Toc14388"/>
      <w:r>
        <w:rPr>
          <w:color w:val="000000"/>
        </w:rPr>
        <w:t>附   件</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pPr>
        <w:numPr>
          <w:ilvl w:val="0"/>
          <w:numId w:val="5"/>
        </w:numPr>
        <w:spacing w:line="560" w:lineRule="exact"/>
        <w:ind w:hanging="5"/>
        <w:jc w:val="left"/>
        <w:rPr>
          <w:rFonts w:ascii="宋体" w:hAnsi="宋体" w:cs="宋体"/>
          <w:bCs/>
          <w:sz w:val="24"/>
          <w:szCs w:val="24"/>
        </w:rPr>
      </w:pPr>
      <w:r>
        <w:rPr>
          <w:rFonts w:hint="eastAsia" w:ascii="宋体" w:hAnsi="宋体" w:cs="宋体"/>
          <w:bCs/>
          <w:sz w:val="24"/>
          <w:szCs w:val="24"/>
        </w:rPr>
        <w:t>估价对象内外部状况照片及地理位置图</w:t>
      </w:r>
    </w:p>
    <w:p>
      <w:pPr>
        <w:numPr>
          <w:ilvl w:val="0"/>
          <w:numId w:val="5"/>
        </w:numPr>
        <w:spacing w:line="560" w:lineRule="exact"/>
        <w:ind w:hanging="5"/>
        <w:jc w:val="left"/>
        <w:rPr>
          <w:rFonts w:ascii="宋体" w:hAnsi="宋体" w:eastAsia="宋体"/>
          <w:sz w:val="24"/>
          <w:szCs w:val="24"/>
        </w:rPr>
      </w:pPr>
      <w:r>
        <w:rPr>
          <w:rFonts w:hint="eastAsia" w:ascii="宋体" w:hAnsi="宋体" w:eastAsia="宋体" w:cs="宋体"/>
          <w:bCs/>
          <w:sz w:val="24"/>
          <w:szCs w:val="24"/>
          <w:lang w:eastAsia="zh-CN"/>
        </w:rPr>
        <w:t>《</w:t>
      </w:r>
      <w:r>
        <w:rPr>
          <w:rFonts w:hint="eastAsia" w:ascii="宋体" w:hAnsi="宋体" w:cs="宋体"/>
          <w:bCs/>
          <w:sz w:val="24"/>
          <w:szCs w:val="24"/>
          <w:lang w:eastAsia="zh-CN"/>
        </w:rPr>
        <w:t>犍为县人民法院</w:t>
      </w:r>
      <w:r>
        <w:rPr>
          <w:rFonts w:hint="eastAsia" w:ascii="宋体" w:hAnsi="宋体" w:eastAsia="宋体" w:cs="宋体"/>
          <w:bCs/>
          <w:sz w:val="24"/>
          <w:szCs w:val="24"/>
          <w:lang w:eastAsia="zh-CN"/>
        </w:rPr>
        <w:t>委托书》</w:t>
      </w:r>
      <w:r>
        <w:rPr>
          <w:rFonts w:hint="eastAsia" w:ascii="宋体" w:hAnsi="宋体" w:cs="宋体"/>
          <w:bCs/>
          <w:sz w:val="24"/>
          <w:szCs w:val="24"/>
          <w:lang w:eastAsia="zh-CN"/>
        </w:rPr>
        <w:t>（2022）川1123执恢219号</w:t>
      </w:r>
      <w:r>
        <w:rPr>
          <w:rFonts w:hint="eastAsia" w:ascii="宋体" w:hAnsi="宋体" w:eastAsia="宋体" w:cs="宋体"/>
          <w:bCs/>
          <w:sz w:val="24"/>
          <w:szCs w:val="24"/>
          <w:lang w:eastAsia="zh-CN"/>
        </w:rPr>
        <w:t>复印件</w:t>
      </w:r>
    </w:p>
    <w:p>
      <w:pPr>
        <w:numPr>
          <w:ilvl w:val="0"/>
          <w:numId w:val="5"/>
        </w:numPr>
        <w:spacing w:line="560" w:lineRule="exact"/>
        <w:ind w:hanging="5"/>
        <w:jc w:val="left"/>
        <w:rPr>
          <w:rFonts w:hint="eastAsia" w:ascii="宋体" w:hAnsi="宋体" w:eastAsia="宋体" w:cs="宋体"/>
          <w:bCs/>
          <w:sz w:val="24"/>
          <w:szCs w:val="24"/>
          <w:lang w:eastAsia="zh-CN"/>
        </w:rPr>
      </w:pPr>
      <w:r>
        <w:rPr>
          <w:rFonts w:hint="eastAsia" w:ascii="宋体" w:hAnsi="宋体" w:eastAsia="宋体" w:cs="宋体"/>
          <w:bCs/>
          <w:sz w:val="24"/>
          <w:szCs w:val="24"/>
          <w:lang w:eastAsia="zh-CN"/>
        </w:rPr>
        <w:t>《不动产登记信息查询结果单》复印件</w:t>
      </w:r>
    </w:p>
    <w:p>
      <w:pPr>
        <w:numPr>
          <w:ilvl w:val="0"/>
          <w:numId w:val="5"/>
        </w:numPr>
        <w:spacing w:line="560" w:lineRule="exact"/>
        <w:ind w:hanging="5"/>
        <w:jc w:val="left"/>
        <w:rPr>
          <w:rFonts w:ascii="宋体" w:hAnsi="宋体" w:eastAsia="宋体"/>
          <w:sz w:val="24"/>
          <w:szCs w:val="24"/>
        </w:rPr>
      </w:pPr>
      <w:r>
        <w:rPr>
          <w:rFonts w:hint="eastAsia" w:ascii="宋体" w:hAnsi="宋体" w:cs="宋体"/>
          <w:bCs/>
          <w:sz w:val="24"/>
          <w:szCs w:val="24"/>
        </w:rPr>
        <w:t>房地产估价机构营业执照复印件</w:t>
      </w:r>
    </w:p>
    <w:p>
      <w:pPr>
        <w:numPr>
          <w:ilvl w:val="0"/>
          <w:numId w:val="5"/>
        </w:numPr>
        <w:spacing w:line="560" w:lineRule="exact"/>
        <w:ind w:hanging="5"/>
        <w:jc w:val="left"/>
        <w:rPr>
          <w:rFonts w:ascii="宋体" w:hAnsi="宋体" w:eastAsia="宋体"/>
          <w:color w:val="000000"/>
          <w:sz w:val="24"/>
          <w:szCs w:val="24"/>
        </w:rPr>
      </w:pPr>
      <w:r>
        <w:rPr>
          <w:rFonts w:hint="eastAsia" w:ascii="宋体" w:hAnsi="宋体" w:cs="宋体"/>
          <w:bCs/>
          <w:sz w:val="24"/>
          <w:szCs w:val="24"/>
        </w:rPr>
        <w:t>房地产估价机构</w:t>
      </w:r>
      <w:r>
        <w:rPr>
          <w:rFonts w:hint="eastAsia" w:ascii="宋体" w:hAnsi="宋体" w:cs="宋体"/>
          <w:sz w:val="24"/>
          <w:szCs w:val="24"/>
        </w:rPr>
        <w:t>备案</w:t>
      </w:r>
      <w:r>
        <w:rPr>
          <w:rFonts w:hint="eastAsia" w:ascii="宋体" w:hAnsi="宋体" w:cs="宋体"/>
          <w:bCs/>
          <w:sz w:val="24"/>
          <w:szCs w:val="24"/>
        </w:rPr>
        <w:t>证书复印件</w:t>
      </w:r>
    </w:p>
    <w:p>
      <w:pPr>
        <w:numPr>
          <w:ilvl w:val="0"/>
          <w:numId w:val="5"/>
        </w:numPr>
        <w:spacing w:line="560" w:lineRule="exact"/>
        <w:ind w:hanging="5"/>
        <w:jc w:val="left"/>
        <w:rPr>
          <w:rFonts w:ascii="宋体" w:hAnsi="宋体" w:eastAsia="宋体"/>
          <w:color w:val="000000"/>
          <w:sz w:val="28"/>
          <w:szCs w:val="28"/>
        </w:rPr>
      </w:pPr>
      <w:r>
        <w:rPr>
          <w:rFonts w:hint="eastAsia" w:ascii="宋体" w:hAnsi="宋体" w:cs="宋体"/>
          <w:bCs/>
          <w:sz w:val="24"/>
          <w:szCs w:val="24"/>
        </w:rPr>
        <w:t>注册房地产估价师注册证书复印件</w:t>
      </w:r>
    </w:p>
    <w:p>
      <w:pPr>
        <w:rPr>
          <w:rFonts w:ascii="宋体" w:hAnsi="宋体" w:eastAsia="宋体"/>
          <w:color w:val="000000"/>
          <w:sz w:val="28"/>
          <w:szCs w:val="28"/>
        </w:rPr>
      </w:pPr>
      <w:r>
        <w:rPr>
          <w:rFonts w:ascii="宋体" w:hAnsi="宋体" w:eastAsia="宋体"/>
          <w:color w:val="000000"/>
          <w:sz w:val="28"/>
          <w:szCs w:val="28"/>
        </w:rPr>
        <w:br w:type="page"/>
      </w:r>
    </w:p>
    <w:p>
      <w:pPr>
        <w:jc w:val="center"/>
        <w:rPr>
          <w:rFonts w:ascii="宋体" w:hAnsi="宋体"/>
          <w:b/>
          <w:sz w:val="24"/>
        </w:rPr>
      </w:pPr>
      <w:r>
        <w:rPr>
          <w:rFonts w:hint="eastAsia" w:ascii="宋体" w:hAnsi="宋体"/>
          <w:b/>
          <w:sz w:val="24"/>
        </w:rPr>
        <w:t>现场查勘照片</w:t>
      </w:r>
    </w:p>
    <w:tbl>
      <w:tblPr>
        <w:tblStyle w:val="9"/>
        <w:tblW w:w="100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40"/>
        <w:gridCol w:w="5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5040" w:type="dxa"/>
            <w:noWrap w:val="0"/>
            <w:vAlign w:val="center"/>
          </w:tcPr>
          <w:p>
            <w:pPr>
              <w:jc w:val="center"/>
              <w:rPr>
                <w:rFonts w:hint="eastAsia" w:eastAsia="宋体"/>
                <w:b/>
                <w:lang w:eastAsia="zh-CN"/>
              </w:rPr>
            </w:pPr>
            <w:r>
              <w:rPr>
                <w:rFonts w:hint="eastAsia" w:eastAsia="宋体"/>
                <w:b/>
                <w:lang w:eastAsia="zh-CN"/>
              </w:rPr>
              <w:drawing>
                <wp:inline distT="0" distB="0" distL="114300" distR="114300">
                  <wp:extent cx="3021330" cy="2265045"/>
                  <wp:effectExtent l="0" t="0" r="7620" b="1905"/>
                  <wp:docPr id="4" name="图片 1" descr="C:\Users\Administrator\Desktop\犍为司法\微信图片_202208101501321.jpg微信图片_20220810150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犍为司法\微信图片_202208101501321.jpg微信图片_202208101501321"/>
                          <pic:cNvPicPr>
                            <a:picLocks noChangeAspect="1"/>
                          </pic:cNvPicPr>
                        </pic:nvPicPr>
                        <pic:blipFill>
                          <a:blip r:embed="rId9">
                            <a:lum bright="23999"/>
                          </a:blip>
                          <a:srcRect/>
                          <a:stretch>
                            <a:fillRect/>
                          </a:stretch>
                        </pic:blipFill>
                        <pic:spPr>
                          <a:xfrm>
                            <a:off x="0" y="0"/>
                            <a:ext cx="3021330" cy="2265045"/>
                          </a:xfrm>
                          <a:prstGeom prst="rect">
                            <a:avLst/>
                          </a:prstGeom>
                          <a:noFill/>
                          <a:ln>
                            <a:noFill/>
                          </a:ln>
                        </pic:spPr>
                      </pic:pic>
                    </a:graphicData>
                  </a:graphic>
                </wp:inline>
              </w:drawing>
            </w:r>
          </w:p>
        </w:tc>
        <w:tc>
          <w:tcPr>
            <w:tcW w:w="5040" w:type="dxa"/>
            <w:noWrap w:val="0"/>
            <w:vAlign w:val="center"/>
          </w:tcPr>
          <w:p>
            <w:pPr>
              <w:jc w:val="center"/>
              <w:rPr>
                <w:rFonts w:hint="eastAsia" w:eastAsia="宋体"/>
                <w:b/>
                <w:lang w:eastAsia="zh-CN"/>
              </w:rPr>
            </w:pPr>
            <w:r>
              <w:rPr>
                <w:rFonts w:hint="eastAsia" w:eastAsia="宋体"/>
                <w:b/>
                <w:lang w:eastAsia="zh-CN"/>
              </w:rPr>
              <w:drawing>
                <wp:inline distT="0" distB="0" distL="114300" distR="114300">
                  <wp:extent cx="3058795" cy="2293620"/>
                  <wp:effectExtent l="0" t="0" r="8255" b="11430"/>
                  <wp:docPr id="13" name="图片 2" descr="C:\Users\Administrator\Desktop\犍为司法\微信图片_20220810150132.jpg微信图片_2022081015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Administrator\Desktop\犍为司法\微信图片_20220810150132.jpg微信图片_20220810150132"/>
                          <pic:cNvPicPr>
                            <a:picLocks noChangeAspect="1"/>
                          </pic:cNvPicPr>
                        </pic:nvPicPr>
                        <pic:blipFill>
                          <a:blip r:embed="rId10">
                            <a:lum bright="17999"/>
                          </a:blip>
                          <a:srcRect/>
                          <a:stretch>
                            <a:fillRect/>
                          </a:stretch>
                        </pic:blipFill>
                        <pic:spPr>
                          <a:xfrm>
                            <a:off x="0" y="0"/>
                            <a:ext cx="3058795" cy="22936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5040" w:type="dxa"/>
            <w:noWrap w:val="0"/>
            <w:vAlign w:val="center"/>
          </w:tcPr>
          <w:p>
            <w:pPr>
              <w:jc w:val="center"/>
              <w:rPr>
                <w:rFonts w:hint="eastAsia" w:eastAsia="宋体"/>
                <w:b/>
                <w:lang w:val="en-US" w:eastAsia="zh-CN"/>
              </w:rPr>
            </w:pPr>
            <w:r>
              <w:rPr>
                <w:rFonts w:hint="eastAsia"/>
                <w:b/>
                <w:lang w:val="en-US" w:eastAsia="zh-CN"/>
              </w:rPr>
              <w:t>街景</w:t>
            </w:r>
          </w:p>
        </w:tc>
        <w:tc>
          <w:tcPr>
            <w:tcW w:w="5040" w:type="dxa"/>
            <w:noWrap w:val="0"/>
            <w:vAlign w:val="center"/>
          </w:tcPr>
          <w:p>
            <w:pPr>
              <w:jc w:val="center"/>
              <w:rPr>
                <w:rFonts w:hint="default" w:eastAsia="宋体"/>
                <w:b/>
                <w:lang w:val="en-US" w:eastAsia="zh-CN"/>
              </w:rPr>
            </w:pPr>
            <w:r>
              <w:rPr>
                <w:rFonts w:hint="eastAsia"/>
                <w:b/>
                <w:lang w:val="en-US" w:eastAsia="zh-CN"/>
              </w:rPr>
              <w:t>街景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5040" w:type="dxa"/>
            <w:noWrap w:val="0"/>
            <w:vAlign w:val="center"/>
          </w:tcPr>
          <w:p>
            <w:pPr>
              <w:jc w:val="center"/>
              <w:rPr>
                <w:rFonts w:hint="eastAsia" w:ascii="Times New Roman" w:hAnsi="Times New Roman" w:eastAsia="宋体" w:cs="Times New Roman"/>
                <w:b/>
                <w:sz w:val="21"/>
                <w:lang w:val="en-US" w:eastAsia="zh-CN" w:bidi="ar-SA"/>
              </w:rPr>
            </w:pPr>
            <w:r>
              <w:rPr>
                <w:rFonts w:hint="eastAsia" w:ascii="Times New Roman" w:hAnsi="Times New Roman" w:eastAsia="宋体" w:cs="Times New Roman"/>
                <w:b/>
                <w:sz w:val="21"/>
                <w:lang w:val="en-US" w:eastAsia="zh-CN" w:bidi="ar-SA"/>
              </w:rPr>
              <w:drawing>
                <wp:inline distT="0" distB="0" distL="114300" distR="114300">
                  <wp:extent cx="3053080" cy="2289175"/>
                  <wp:effectExtent l="0" t="0" r="13970" b="15875"/>
                  <wp:docPr id="14" name="图片 3" descr="C:\Users\Administrator\Desktop\犍为司法\微信图片_202208101501322.jpg微信图片_20220810150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strator\Desktop\犍为司法\微信图片_202208101501322.jpg微信图片_202208101501322"/>
                          <pic:cNvPicPr>
                            <a:picLocks noChangeAspect="1"/>
                          </pic:cNvPicPr>
                        </pic:nvPicPr>
                        <pic:blipFill>
                          <a:blip r:embed="rId11">
                            <a:lum bright="17999"/>
                          </a:blip>
                          <a:srcRect/>
                          <a:stretch>
                            <a:fillRect/>
                          </a:stretch>
                        </pic:blipFill>
                        <pic:spPr>
                          <a:xfrm>
                            <a:off x="0" y="0"/>
                            <a:ext cx="3053080" cy="2289175"/>
                          </a:xfrm>
                          <a:prstGeom prst="rect">
                            <a:avLst/>
                          </a:prstGeom>
                          <a:noFill/>
                          <a:ln>
                            <a:noFill/>
                          </a:ln>
                        </pic:spPr>
                      </pic:pic>
                    </a:graphicData>
                  </a:graphic>
                </wp:inline>
              </w:drawing>
            </w:r>
          </w:p>
        </w:tc>
        <w:tc>
          <w:tcPr>
            <w:tcW w:w="5040" w:type="dxa"/>
            <w:noWrap w:val="0"/>
            <w:vAlign w:val="center"/>
          </w:tcPr>
          <w:p>
            <w:pPr>
              <w:jc w:val="center"/>
              <w:rPr>
                <w:rFonts w:hint="eastAsia" w:ascii="Times New Roman" w:hAnsi="Times New Roman" w:eastAsia="宋体" w:cs="Times New Roman"/>
                <w:b/>
                <w:sz w:val="21"/>
                <w:lang w:val="en-US" w:eastAsia="zh-CN" w:bidi="ar-SA"/>
              </w:rPr>
            </w:pPr>
            <w:r>
              <w:rPr>
                <w:rFonts w:hint="eastAsia" w:ascii="Times New Roman" w:hAnsi="Times New Roman" w:eastAsia="宋体" w:cs="Times New Roman"/>
                <w:b/>
                <w:sz w:val="21"/>
                <w:lang w:val="en-US" w:eastAsia="zh-CN" w:bidi="ar-SA"/>
              </w:rPr>
              <w:drawing>
                <wp:inline distT="0" distB="0" distL="114300" distR="114300">
                  <wp:extent cx="3058795" cy="2276475"/>
                  <wp:effectExtent l="0" t="0" r="8255" b="9525"/>
                  <wp:docPr id="9" name="图片 4" descr="C:\Users\Administrator\Desktop\犍为司法\微信图片_2022081015013216.jpg微信图片_202208101501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Administrator\Desktop\犍为司法\微信图片_2022081015013216.jpg微信图片_2022081015013216"/>
                          <pic:cNvPicPr>
                            <a:picLocks noChangeAspect="1"/>
                          </pic:cNvPicPr>
                        </pic:nvPicPr>
                        <pic:blipFill>
                          <a:blip r:embed="rId12"/>
                          <a:srcRect/>
                          <a:stretch>
                            <a:fillRect/>
                          </a:stretch>
                        </pic:blipFill>
                        <pic:spPr>
                          <a:xfrm>
                            <a:off x="0" y="0"/>
                            <a:ext cx="3058795" cy="22764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5040" w:type="dxa"/>
            <w:noWrap w:val="0"/>
            <w:vAlign w:val="center"/>
          </w:tcPr>
          <w:p>
            <w:pPr>
              <w:jc w:val="center"/>
              <w:rPr>
                <w:rFonts w:hint="default" w:ascii="Times New Roman" w:hAnsi="Times New Roman" w:eastAsia="宋体" w:cs="Times New Roman"/>
                <w:b/>
                <w:sz w:val="21"/>
                <w:lang w:val="en-US" w:eastAsia="zh-CN" w:bidi="ar-SA"/>
              </w:rPr>
            </w:pPr>
            <w:r>
              <w:rPr>
                <w:rFonts w:hint="eastAsia"/>
                <w:b/>
                <w:lang w:val="en-US" w:eastAsia="zh-CN"/>
              </w:rPr>
              <w:t>街牌号</w:t>
            </w:r>
          </w:p>
        </w:tc>
        <w:tc>
          <w:tcPr>
            <w:tcW w:w="5040" w:type="dxa"/>
            <w:noWrap w:val="0"/>
            <w:vAlign w:val="center"/>
          </w:tcPr>
          <w:p>
            <w:pPr>
              <w:jc w:val="center"/>
              <w:rPr>
                <w:rFonts w:hint="eastAsia" w:ascii="Times New Roman" w:hAnsi="Times New Roman" w:eastAsia="宋体" w:cs="Times New Roman"/>
                <w:b/>
                <w:sz w:val="21"/>
                <w:lang w:val="en-US" w:eastAsia="zh-CN" w:bidi="ar-SA"/>
              </w:rPr>
            </w:pPr>
            <w:r>
              <w:rPr>
                <w:rFonts w:hint="eastAsia"/>
                <w:b/>
                <w:lang w:val="en-US" w:eastAsia="zh-CN"/>
              </w:rPr>
              <w:t>小区大门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5040" w:type="dxa"/>
            <w:noWrap w:val="0"/>
            <w:vAlign w:val="center"/>
          </w:tcPr>
          <w:p>
            <w:pPr>
              <w:jc w:val="center"/>
              <w:rPr>
                <w:rFonts w:hint="eastAsia" w:eastAsia="宋体"/>
                <w:b/>
                <w:lang w:eastAsia="zh-CN"/>
              </w:rPr>
            </w:pPr>
            <w:r>
              <w:rPr>
                <w:rFonts w:hint="eastAsia" w:ascii="Times New Roman" w:hAnsi="Times New Roman" w:eastAsia="宋体" w:cs="Times New Roman"/>
                <w:b/>
                <w:sz w:val="21"/>
                <w:lang w:val="en-US" w:eastAsia="zh-CN" w:bidi="ar-SA"/>
              </w:rPr>
              <w:drawing>
                <wp:inline distT="0" distB="0" distL="114300" distR="114300">
                  <wp:extent cx="3058160" cy="2292350"/>
                  <wp:effectExtent l="0" t="0" r="8890" b="12700"/>
                  <wp:docPr id="11" name="图片 5" descr="C:\Users\Administrator\Desktop\犍为司法\微信图片_2022081015013217.jpg微信图片_202208101501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Administrator\Desktop\犍为司法\微信图片_2022081015013217.jpg微信图片_2022081015013217"/>
                          <pic:cNvPicPr>
                            <a:picLocks noChangeAspect="1"/>
                          </pic:cNvPicPr>
                        </pic:nvPicPr>
                        <pic:blipFill>
                          <a:blip r:embed="rId13"/>
                          <a:srcRect/>
                          <a:stretch>
                            <a:fillRect/>
                          </a:stretch>
                        </pic:blipFill>
                        <pic:spPr>
                          <a:xfrm>
                            <a:off x="0" y="0"/>
                            <a:ext cx="3058160" cy="2292350"/>
                          </a:xfrm>
                          <a:prstGeom prst="rect">
                            <a:avLst/>
                          </a:prstGeom>
                          <a:noFill/>
                          <a:ln>
                            <a:noFill/>
                          </a:ln>
                        </pic:spPr>
                      </pic:pic>
                    </a:graphicData>
                  </a:graphic>
                </wp:inline>
              </w:drawing>
            </w:r>
          </w:p>
        </w:tc>
        <w:tc>
          <w:tcPr>
            <w:tcW w:w="5040" w:type="dxa"/>
            <w:noWrap w:val="0"/>
            <w:vAlign w:val="center"/>
          </w:tcPr>
          <w:p>
            <w:pPr>
              <w:jc w:val="center"/>
              <w:rPr>
                <w:rFonts w:hint="eastAsia" w:eastAsia="宋体"/>
                <w:b/>
                <w:lang w:eastAsia="zh-CN"/>
              </w:rPr>
            </w:pPr>
            <w:r>
              <w:rPr>
                <w:rFonts w:hint="eastAsia" w:eastAsia="宋体"/>
                <w:b/>
                <w:lang w:eastAsia="zh-CN"/>
              </w:rPr>
              <w:drawing>
                <wp:inline distT="0" distB="0" distL="114300" distR="114300">
                  <wp:extent cx="3058160" cy="2292350"/>
                  <wp:effectExtent l="0" t="0" r="8890" b="12700"/>
                  <wp:docPr id="10" name="图片 6" descr="C:\Users\Administrator\Desktop\犍为司法\微信图片_202208101501324.jpg微信图片_20220810150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Administrator\Desktop\犍为司法\微信图片_202208101501324.jpg微信图片_202208101501324"/>
                          <pic:cNvPicPr>
                            <a:picLocks noChangeAspect="1"/>
                          </pic:cNvPicPr>
                        </pic:nvPicPr>
                        <pic:blipFill>
                          <a:blip r:embed="rId14"/>
                          <a:srcRect/>
                          <a:stretch>
                            <a:fillRect/>
                          </a:stretch>
                        </pic:blipFill>
                        <pic:spPr>
                          <a:xfrm>
                            <a:off x="0" y="0"/>
                            <a:ext cx="3058160" cy="22923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5040" w:type="dxa"/>
            <w:noWrap w:val="0"/>
            <w:vAlign w:val="center"/>
          </w:tcPr>
          <w:p>
            <w:pPr>
              <w:jc w:val="center"/>
              <w:rPr>
                <w:rFonts w:hint="eastAsia" w:eastAsia="宋体"/>
                <w:b/>
                <w:lang w:val="en-US" w:eastAsia="zh-CN"/>
              </w:rPr>
            </w:pPr>
            <w:r>
              <w:rPr>
                <w:rFonts w:hint="eastAsia"/>
                <w:b/>
                <w:lang w:val="en-US" w:eastAsia="zh-CN"/>
              </w:rPr>
              <w:t>小区环境</w:t>
            </w:r>
          </w:p>
        </w:tc>
        <w:tc>
          <w:tcPr>
            <w:tcW w:w="5040" w:type="dxa"/>
            <w:noWrap w:val="0"/>
            <w:vAlign w:val="center"/>
          </w:tcPr>
          <w:p>
            <w:pPr>
              <w:jc w:val="center"/>
              <w:rPr>
                <w:rFonts w:hint="default" w:eastAsia="宋体"/>
                <w:b/>
                <w:lang w:val="en-US" w:eastAsia="zh-CN"/>
              </w:rPr>
            </w:pPr>
            <w:r>
              <w:rPr>
                <w:rFonts w:hint="eastAsia"/>
                <w:b/>
                <w:lang w:val="en-US" w:eastAsia="zh-CN"/>
              </w:rPr>
              <w:t>楼幢外观</w:t>
            </w:r>
          </w:p>
        </w:tc>
      </w:tr>
    </w:tbl>
    <w:p>
      <w:pPr>
        <w:jc w:val="center"/>
        <w:rPr>
          <w:rFonts w:hint="eastAsia" w:ascii="宋体" w:hAnsi="宋体"/>
          <w:b/>
          <w:sz w:val="24"/>
          <w:lang w:eastAsia="zh-CN"/>
        </w:rPr>
      </w:pPr>
    </w:p>
    <w:p>
      <w:pPr>
        <w:jc w:val="center"/>
        <w:rPr>
          <w:rFonts w:hint="eastAsia" w:ascii="宋体" w:hAnsi="宋体"/>
          <w:b/>
          <w:sz w:val="24"/>
          <w:lang w:eastAsia="zh-CN"/>
        </w:rPr>
      </w:pPr>
    </w:p>
    <w:p>
      <w:pPr>
        <w:jc w:val="center"/>
        <w:rPr>
          <w:rFonts w:hint="eastAsia" w:ascii="宋体" w:hAnsi="宋体"/>
          <w:b/>
          <w:sz w:val="24"/>
          <w:lang w:eastAsia="zh-CN"/>
        </w:rPr>
      </w:pPr>
    </w:p>
    <w:p>
      <w:pPr>
        <w:pStyle w:val="2"/>
        <w:rPr>
          <w:rFonts w:hint="eastAsia"/>
          <w:lang w:eastAsia="zh-CN"/>
        </w:rPr>
      </w:pPr>
    </w:p>
    <w:p>
      <w:pPr>
        <w:jc w:val="center"/>
        <w:rPr>
          <w:rFonts w:hint="eastAsia" w:ascii="宋体" w:hAnsi="宋体"/>
          <w:b/>
          <w:sz w:val="24"/>
          <w:lang w:eastAsia="zh-CN"/>
        </w:rPr>
      </w:pPr>
    </w:p>
    <w:p>
      <w:pPr>
        <w:jc w:val="center"/>
        <w:rPr>
          <w:rFonts w:ascii="宋体" w:hAnsi="宋体"/>
          <w:b/>
          <w:sz w:val="24"/>
        </w:rPr>
      </w:pPr>
      <w:r>
        <w:rPr>
          <w:rFonts w:hint="eastAsia" w:ascii="宋体" w:hAnsi="宋体"/>
          <w:b/>
          <w:sz w:val="24"/>
        </w:rPr>
        <w:t>现场查勘照片</w:t>
      </w:r>
    </w:p>
    <w:tbl>
      <w:tblPr>
        <w:tblStyle w:val="9"/>
        <w:tblW w:w="100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40"/>
        <w:gridCol w:w="5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5040" w:type="dxa"/>
            <w:noWrap w:val="0"/>
            <w:vAlign w:val="center"/>
          </w:tcPr>
          <w:p>
            <w:pPr>
              <w:jc w:val="center"/>
              <w:rPr>
                <w:rFonts w:hint="eastAsia" w:eastAsia="宋体"/>
                <w:b/>
                <w:lang w:eastAsia="zh-CN"/>
              </w:rPr>
            </w:pPr>
            <w:r>
              <w:rPr>
                <w:rFonts w:hint="eastAsia" w:eastAsia="宋体"/>
                <w:b/>
                <w:lang w:eastAsia="zh-CN"/>
              </w:rPr>
              <w:drawing>
                <wp:inline distT="0" distB="0" distL="114300" distR="114300">
                  <wp:extent cx="3058160" cy="2292350"/>
                  <wp:effectExtent l="0" t="0" r="8890" b="12700"/>
                  <wp:docPr id="8" name="图片 7" descr="C:\Users\Administrator\Desktop\犍为司法\微信图片_202208101501326.jpg微信图片_20220810150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Administrator\Desktop\犍为司法\微信图片_202208101501326.jpg微信图片_202208101501326"/>
                          <pic:cNvPicPr>
                            <a:picLocks noChangeAspect="1"/>
                          </pic:cNvPicPr>
                        </pic:nvPicPr>
                        <pic:blipFill>
                          <a:blip r:embed="rId15"/>
                          <a:srcRect/>
                          <a:stretch>
                            <a:fillRect/>
                          </a:stretch>
                        </pic:blipFill>
                        <pic:spPr>
                          <a:xfrm>
                            <a:off x="0" y="0"/>
                            <a:ext cx="3058160" cy="2292350"/>
                          </a:xfrm>
                          <a:prstGeom prst="rect">
                            <a:avLst/>
                          </a:prstGeom>
                          <a:noFill/>
                          <a:ln>
                            <a:noFill/>
                          </a:ln>
                        </pic:spPr>
                      </pic:pic>
                    </a:graphicData>
                  </a:graphic>
                </wp:inline>
              </w:drawing>
            </w:r>
          </w:p>
        </w:tc>
        <w:tc>
          <w:tcPr>
            <w:tcW w:w="5040" w:type="dxa"/>
            <w:noWrap w:val="0"/>
            <w:vAlign w:val="center"/>
          </w:tcPr>
          <w:p>
            <w:pPr>
              <w:jc w:val="center"/>
              <w:rPr>
                <w:rFonts w:hint="eastAsia" w:eastAsia="宋体"/>
                <w:b/>
                <w:lang w:eastAsia="zh-CN"/>
              </w:rPr>
            </w:pPr>
            <w:r>
              <w:rPr>
                <w:rFonts w:hint="eastAsia" w:eastAsia="宋体"/>
                <w:b/>
                <w:lang w:eastAsia="zh-CN"/>
              </w:rPr>
              <w:drawing>
                <wp:inline distT="0" distB="0" distL="114300" distR="114300">
                  <wp:extent cx="3058160" cy="2292350"/>
                  <wp:effectExtent l="0" t="0" r="8890" b="12700"/>
                  <wp:docPr id="6" name="图片 8" descr="C:\Users\Administrator\Desktop\犍为司法\微信图片_202208101501329.jpg微信图片_20220810150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C:\Users\Administrator\Desktop\犍为司法\微信图片_202208101501329.jpg微信图片_202208101501329"/>
                          <pic:cNvPicPr>
                            <a:picLocks noChangeAspect="1"/>
                          </pic:cNvPicPr>
                        </pic:nvPicPr>
                        <pic:blipFill>
                          <a:blip r:embed="rId16"/>
                          <a:srcRect/>
                          <a:stretch>
                            <a:fillRect/>
                          </a:stretch>
                        </pic:blipFill>
                        <pic:spPr>
                          <a:xfrm>
                            <a:off x="0" y="0"/>
                            <a:ext cx="3058160" cy="22923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5040" w:type="dxa"/>
            <w:noWrap w:val="0"/>
            <w:vAlign w:val="center"/>
          </w:tcPr>
          <w:p>
            <w:pPr>
              <w:jc w:val="center"/>
              <w:rPr>
                <w:rFonts w:hint="eastAsia" w:eastAsia="宋体"/>
                <w:b/>
                <w:lang w:val="en-US" w:eastAsia="zh-CN"/>
              </w:rPr>
            </w:pPr>
            <w:r>
              <w:rPr>
                <w:rFonts w:hint="eastAsia"/>
                <w:b/>
                <w:lang w:val="en-US" w:eastAsia="zh-CN"/>
              </w:rPr>
              <w:t>单元号</w:t>
            </w:r>
          </w:p>
        </w:tc>
        <w:tc>
          <w:tcPr>
            <w:tcW w:w="5040" w:type="dxa"/>
            <w:noWrap w:val="0"/>
            <w:vAlign w:val="center"/>
          </w:tcPr>
          <w:p>
            <w:pPr>
              <w:jc w:val="center"/>
              <w:rPr>
                <w:rFonts w:hint="default" w:eastAsia="宋体"/>
                <w:b/>
                <w:lang w:val="en-US" w:eastAsia="zh-CN"/>
              </w:rPr>
            </w:pPr>
            <w:r>
              <w:rPr>
                <w:rFonts w:hint="eastAsia"/>
                <w:b/>
                <w:lang w:val="en-US" w:eastAsia="zh-CN"/>
              </w:rPr>
              <w:t>入户门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5040" w:type="dxa"/>
            <w:noWrap w:val="0"/>
            <w:vAlign w:val="center"/>
          </w:tcPr>
          <w:p>
            <w:pPr>
              <w:jc w:val="center"/>
              <w:rPr>
                <w:rFonts w:hint="eastAsia" w:eastAsia="宋体"/>
                <w:b/>
                <w:lang w:eastAsia="zh-CN"/>
              </w:rPr>
            </w:pPr>
            <w:bookmarkStart w:id="401" w:name="_Toc481820292"/>
            <w:bookmarkStart w:id="402" w:name="_Toc481821354"/>
            <w:bookmarkStart w:id="403" w:name="_Toc481917784"/>
            <w:r>
              <w:rPr>
                <w:rFonts w:hint="eastAsia" w:eastAsia="宋体"/>
                <w:b/>
                <w:lang w:eastAsia="zh-CN"/>
              </w:rPr>
              <w:drawing>
                <wp:inline distT="0" distB="0" distL="114300" distR="114300">
                  <wp:extent cx="2995295" cy="2245995"/>
                  <wp:effectExtent l="0" t="0" r="14605" b="1905"/>
                  <wp:docPr id="5" name="图片 9" descr="C:\Users\Administrator\Desktop\犍为司法\微信图片_2022081015013212.jpg微信图片_202208101501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C:\Users\Administrator\Desktop\犍为司法\微信图片_2022081015013212.jpg微信图片_2022081015013212"/>
                          <pic:cNvPicPr>
                            <a:picLocks noChangeAspect="1"/>
                          </pic:cNvPicPr>
                        </pic:nvPicPr>
                        <pic:blipFill>
                          <a:blip r:embed="rId17"/>
                          <a:srcRect/>
                          <a:stretch>
                            <a:fillRect/>
                          </a:stretch>
                        </pic:blipFill>
                        <pic:spPr>
                          <a:xfrm>
                            <a:off x="0" y="0"/>
                            <a:ext cx="2995295" cy="2245995"/>
                          </a:xfrm>
                          <a:prstGeom prst="rect">
                            <a:avLst/>
                          </a:prstGeom>
                          <a:noFill/>
                          <a:ln>
                            <a:noFill/>
                          </a:ln>
                        </pic:spPr>
                      </pic:pic>
                    </a:graphicData>
                  </a:graphic>
                </wp:inline>
              </w:drawing>
            </w:r>
          </w:p>
        </w:tc>
        <w:tc>
          <w:tcPr>
            <w:tcW w:w="5040" w:type="dxa"/>
            <w:noWrap w:val="0"/>
            <w:vAlign w:val="center"/>
          </w:tcPr>
          <w:p>
            <w:pPr>
              <w:jc w:val="center"/>
              <w:rPr>
                <w:rFonts w:hint="eastAsia" w:eastAsia="宋体"/>
                <w:b/>
                <w:lang w:eastAsia="zh-CN"/>
              </w:rPr>
            </w:pPr>
            <w:r>
              <w:rPr>
                <w:rFonts w:hint="eastAsia" w:eastAsia="宋体"/>
                <w:b/>
                <w:lang w:eastAsia="zh-CN"/>
              </w:rPr>
              <w:drawing>
                <wp:inline distT="0" distB="0" distL="114300" distR="114300">
                  <wp:extent cx="3021965" cy="2265680"/>
                  <wp:effectExtent l="0" t="0" r="6985" b="1270"/>
                  <wp:docPr id="17" name="图片 10" descr="C:\Users\Administrator\Desktop\犍为司法\微信图片_202208101501327.jpg微信图片_20220810150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Administrator\Desktop\犍为司法\微信图片_202208101501327.jpg微信图片_202208101501327"/>
                          <pic:cNvPicPr>
                            <a:picLocks noChangeAspect="1"/>
                          </pic:cNvPicPr>
                        </pic:nvPicPr>
                        <pic:blipFill>
                          <a:blip r:embed="rId18"/>
                          <a:srcRect/>
                          <a:stretch>
                            <a:fillRect/>
                          </a:stretch>
                        </pic:blipFill>
                        <pic:spPr>
                          <a:xfrm>
                            <a:off x="0" y="0"/>
                            <a:ext cx="3021965" cy="22656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5040" w:type="dxa"/>
            <w:noWrap w:val="0"/>
            <w:vAlign w:val="center"/>
          </w:tcPr>
          <w:p>
            <w:pPr>
              <w:jc w:val="center"/>
              <w:rPr>
                <w:rFonts w:hint="eastAsia" w:eastAsia="宋体"/>
                <w:b/>
                <w:lang w:eastAsia="zh-CN"/>
              </w:rPr>
            </w:pPr>
            <w:r>
              <w:rPr>
                <w:rFonts w:hint="eastAsia"/>
                <w:b/>
                <w:lang w:val="en-US" w:eastAsia="zh-CN"/>
              </w:rPr>
              <w:t>内环境</w:t>
            </w:r>
          </w:p>
        </w:tc>
        <w:tc>
          <w:tcPr>
            <w:tcW w:w="5040" w:type="dxa"/>
            <w:noWrap w:val="0"/>
            <w:vAlign w:val="center"/>
          </w:tcPr>
          <w:p>
            <w:pPr>
              <w:jc w:val="center"/>
              <w:rPr>
                <w:rFonts w:hint="eastAsia" w:eastAsia="宋体"/>
                <w:b/>
                <w:lang w:eastAsia="zh-CN"/>
              </w:rPr>
            </w:pPr>
            <w:r>
              <w:rPr>
                <w:rFonts w:hint="eastAsia"/>
                <w:b/>
                <w:lang w:val="en-US" w:eastAsia="zh-CN"/>
              </w:rPr>
              <w:t>内环境</w:t>
            </w:r>
          </w:p>
        </w:tc>
      </w:tr>
      <w:bookmarkEnd w:id="401"/>
      <w:bookmarkEnd w:id="402"/>
      <w:bookmarkEnd w:id="403"/>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5040" w:type="dxa"/>
            <w:noWrap w:val="0"/>
            <w:vAlign w:val="center"/>
          </w:tcPr>
          <w:p>
            <w:pPr>
              <w:jc w:val="center"/>
              <w:rPr>
                <w:rFonts w:hint="eastAsia" w:eastAsia="宋体"/>
                <w:b/>
                <w:lang w:eastAsia="zh-CN"/>
              </w:rPr>
            </w:pPr>
            <w:r>
              <w:rPr>
                <w:rFonts w:hint="eastAsia" w:eastAsia="宋体"/>
                <w:b/>
                <w:lang w:eastAsia="zh-CN"/>
              </w:rPr>
              <w:drawing>
                <wp:inline distT="0" distB="0" distL="114300" distR="114300">
                  <wp:extent cx="3058160" cy="2292350"/>
                  <wp:effectExtent l="0" t="0" r="8890" b="12700"/>
                  <wp:docPr id="16" name="图片 11" descr="C:\Users\Administrator\Desktop\犍为司法\微信图片_202208101501328.jpg微信图片_20220810150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C:\Users\Administrator\Desktop\犍为司法\微信图片_202208101501328.jpg微信图片_202208101501328"/>
                          <pic:cNvPicPr>
                            <a:picLocks noChangeAspect="1"/>
                          </pic:cNvPicPr>
                        </pic:nvPicPr>
                        <pic:blipFill>
                          <a:blip r:embed="rId19"/>
                          <a:srcRect/>
                          <a:stretch>
                            <a:fillRect/>
                          </a:stretch>
                        </pic:blipFill>
                        <pic:spPr>
                          <a:xfrm>
                            <a:off x="0" y="0"/>
                            <a:ext cx="3058160" cy="2292350"/>
                          </a:xfrm>
                          <a:prstGeom prst="rect">
                            <a:avLst/>
                          </a:prstGeom>
                          <a:noFill/>
                          <a:ln>
                            <a:noFill/>
                          </a:ln>
                        </pic:spPr>
                      </pic:pic>
                    </a:graphicData>
                  </a:graphic>
                </wp:inline>
              </w:drawing>
            </w:r>
          </w:p>
        </w:tc>
        <w:tc>
          <w:tcPr>
            <w:tcW w:w="5040" w:type="dxa"/>
            <w:noWrap w:val="0"/>
            <w:vAlign w:val="center"/>
          </w:tcPr>
          <w:p>
            <w:pPr>
              <w:jc w:val="center"/>
              <w:rPr>
                <w:rFonts w:hint="eastAsia" w:eastAsia="宋体"/>
                <w:b/>
                <w:lang w:eastAsia="zh-CN"/>
              </w:rPr>
            </w:pPr>
            <w:r>
              <w:rPr>
                <w:rFonts w:hint="eastAsia" w:eastAsia="宋体"/>
                <w:b/>
                <w:lang w:eastAsia="zh-CN"/>
              </w:rPr>
              <w:drawing>
                <wp:inline distT="0" distB="0" distL="114300" distR="114300">
                  <wp:extent cx="3058160" cy="2292350"/>
                  <wp:effectExtent l="0" t="0" r="8890" b="12700"/>
                  <wp:docPr id="18" name="图片 12" descr="C:\Users\Administrator\Desktop\犍为司法\微信图片_2022081015013213.jpg微信图片_202208101501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C:\Users\Administrator\Desktop\犍为司法\微信图片_2022081015013213.jpg微信图片_2022081015013213"/>
                          <pic:cNvPicPr>
                            <a:picLocks noChangeAspect="1"/>
                          </pic:cNvPicPr>
                        </pic:nvPicPr>
                        <pic:blipFill>
                          <a:blip r:embed="rId20"/>
                          <a:srcRect/>
                          <a:stretch>
                            <a:fillRect/>
                          </a:stretch>
                        </pic:blipFill>
                        <pic:spPr>
                          <a:xfrm>
                            <a:off x="0" y="0"/>
                            <a:ext cx="3058160" cy="22923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5040" w:type="dxa"/>
            <w:noWrap w:val="0"/>
            <w:vAlign w:val="center"/>
          </w:tcPr>
          <w:p>
            <w:pPr>
              <w:jc w:val="center"/>
              <w:rPr>
                <w:rFonts w:hint="eastAsia" w:eastAsia="宋体"/>
                <w:b/>
                <w:lang w:eastAsia="zh-CN"/>
              </w:rPr>
            </w:pPr>
            <w:r>
              <w:rPr>
                <w:rFonts w:hint="eastAsia"/>
                <w:b/>
                <w:lang w:val="en-US" w:eastAsia="zh-CN"/>
              </w:rPr>
              <w:t>内环境</w:t>
            </w:r>
          </w:p>
        </w:tc>
        <w:tc>
          <w:tcPr>
            <w:tcW w:w="5040" w:type="dxa"/>
            <w:noWrap w:val="0"/>
            <w:vAlign w:val="center"/>
          </w:tcPr>
          <w:p>
            <w:pPr>
              <w:jc w:val="center"/>
              <w:rPr>
                <w:rFonts w:hint="eastAsia" w:eastAsia="宋体"/>
                <w:b/>
                <w:lang w:eastAsia="zh-CN"/>
              </w:rPr>
            </w:pPr>
            <w:r>
              <w:rPr>
                <w:rFonts w:hint="eastAsia"/>
                <w:b/>
                <w:lang w:val="en-US" w:eastAsia="zh-CN"/>
              </w:rPr>
              <w:t>内环境</w:t>
            </w:r>
          </w:p>
        </w:tc>
      </w:tr>
    </w:tbl>
    <w:p>
      <w:pPr>
        <w:wordWrap w:val="0"/>
        <w:spacing w:line="560" w:lineRule="exact"/>
        <w:ind w:firstLine="1205" w:firstLineChars="500"/>
        <w:jc w:val="right"/>
        <w:rPr>
          <w:rFonts w:hint="eastAsia" w:ascii="宋体" w:hAnsi="宋体" w:cs="宋体"/>
          <w:b/>
          <w:color w:val="000000"/>
          <w:sz w:val="24"/>
        </w:rPr>
      </w:pPr>
    </w:p>
    <w:p>
      <w:pPr>
        <w:pStyle w:val="2"/>
        <w:rPr>
          <w:rFonts w:hint="eastAsia"/>
        </w:rPr>
      </w:pPr>
    </w:p>
    <w:p>
      <w:pPr>
        <w:wordWrap w:val="0"/>
        <w:spacing w:line="560" w:lineRule="exact"/>
        <w:ind w:firstLine="1205" w:firstLineChars="500"/>
        <w:jc w:val="right"/>
        <w:rPr>
          <w:rFonts w:hint="eastAsia" w:ascii="宋体" w:hAnsi="宋体" w:cs="宋体"/>
          <w:b/>
          <w:color w:val="000000"/>
          <w:sz w:val="24"/>
          <w:lang w:eastAsia="zh-CN"/>
        </w:rPr>
      </w:pPr>
      <w:r>
        <w:rPr>
          <w:rFonts w:hint="eastAsia" w:ascii="宋体" w:hAnsi="宋体" w:cs="宋体"/>
          <w:b/>
          <w:color w:val="000000"/>
          <w:sz w:val="24"/>
        </w:rPr>
        <w:t>拍摄</w:t>
      </w:r>
      <w:r>
        <w:rPr>
          <w:rFonts w:ascii="宋体" w:hAnsi="宋体" w:cs="宋体"/>
          <w:b/>
          <w:color w:val="000000"/>
          <w:sz w:val="24"/>
        </w:rPr>
        <w:t>日期：</w:t>
      </w:r>
      <w:r>
        <w:rPr>
          <w:rFonts w:hint="eastAsia" w:ascii="宋体" w:hAnsi="宋体" w:cs="宋体"/>
          <w:b/>
          <w:color w:val="000000"/>
          <w:sz w:val="24"/>
          <w:lang w:eastAsia="zh-CN"/>
        </w:rPr>
        <w:t>2022年8月10日</w:t>
      </w:r>
    </w:p>
    <w:p>
      <w:pPr>
        <w:rPr>
          <w:rFonts w:hint="eastAsia" w:ascii="宋体" w:hAnsi="宋体" w:cs="宋体"/>
          <w:b/>
          <w:color w:val="000000"/>
          <w:sz w:val="24"/>
          <w:lang w:eastAsia="zh-CN"/>
        </w:rPr>
      </w:pPr>
      <w:r>
        <w:rPr>
          <w:rFonts w:hint="eastAsia" w:ascii="宋体" w:hAnsi="宋体" w:cs="宋体"/>
          <w:b/>
          <w:color w:val="000000"/>
          <w:sz w:val="24"/>
          <w:lang w:eastAsia="zh-CN"/>
        </w:rPr>
        <w:br w:type="page"/>
      </w:r>
    </w:p>
    <w:p>
      <w:pPr>
        <w:jc w:val="center"/>
        <w:rPr>
          <w:rFonts w:hint="eastAsia" w:ascii="宋体" w:hAnsi="宋体"/>
          <w:b/>
          <w:sz w:val="36"/>
          <w:szCs w:val="36"/>
          <w:lang w:val="en-US" w:eastAsia="zh-CN"/>
        </w:rPr>
      </w:pPr>
    </w:p>
    <w:p>
      <w:pPr>
        <w:jc w:val="center"/>
        <w:rPr>
          <w:rFonts w:ascii="宋体" w:hAnsi="宋体"/>
          <w:b/>
          <w:sz w:val="36"/>
          <w:szCs w:val="36"/>
        </w:rPr>
      </w:pPr>
      <w:r>
        <w:rPr>
          <w:rFonts w:hint="eastAsia" w:ascii="宋体" w:hAnsi="宋体"/>
          <w:b/>
          <w:sz w:val="36"/>
          <w:szCs w:val="36"/>
          <w:lang w:val="en-US" w:eastAsia="zh-CN"/>
        </w:rPr>
        <w:t>估价对象</w:t>
      </w:r>
      <w:r>
        <w:rPr>
          <w:rFonts w:hint="eastAsia" w:ascii="宋体" w:hAnsi="宋体"/>
          <w:b/>
          <w:sz w:val="36"/>
          <w:szCs w:val="36"/>
        </w:rPr>
        <w:t>位置示意</w:t>
      </w:r>
      <w:r>
        <w:rPr>
          <w:rFonts w:ascii="宋体" w:hAnsi="宋体"/>
          <w:b/>
          <w:sz w:val="36"/>
          <w:szCs w:val="36"/>
        </w:rPr>
        <w:t>图</w:t>
      </w:r>
    </w:p>
    <w:p>
      <w:pPr>
        <w:pStyle w:val="2"/>
      </w:pPr>
    </w:p>
    <w:p>
      <w:pPr>
        <w:spacing w:line="240" w:lineRule="auto"/>
        <w:jc w:val="center"/>
        <w:rPr>
          <w:rFonts w:hint="eastAsia" w:ascii="宋体" w:hAnsi="宋体" w:eastAsia="宋体" w:cs="宋体"/>
          <w:b/>
          <w:color w:val="000000"/>
          <w:sz w:val="24"/>
          <w:lang w:eastAsia="zh-CN"/>
        </w:rPr>
      </w:pPr>
      <w:r>
        <w:rPr>
          <w:rFonts w:hint="eastAsia" w:ascii="宋体" w:hAnsi="宋体" w:eastAsia="宋体" w:cs="宋体"/>
          <w:b/>
          <w:color w:val="000000"/>
          <w:sz w:val="24"/>
          <w:lang w:eastAsia="zh-CN"/>
        </w:rPr>
        <w:drawing>
          <wp:inline distT="0" distB="0" distL="114300" distR="114300">
            <wp:extent cx="5763260" cy="3621405"/>
            <wp:effectExtent l="0" t="0" r="8890" b="17145"/>
            <wp:docPr id="12" name="图片 13" descr="C:\Users\Administrator\Desktop\犍为司法\微信截图_20220811141013.png微信截图_2022081114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C:\Users\Administrator\Desktop\犍为司法\微信截图_20220811141013.png微信截图_20220811141013"/>
                    <pic:cNvPicPr>
                      <a:picLocks noChangeAspect="1"/>
                    </pic:cNvPicPr>
                  </pic:nvPicPr>
                  <pic:blipFill>
                    <a:blip r:embed="rId21"/>
                    <a:srcRect/>
                    <a:stretch>
                      <a:fillRect/>
                    </a:stretch>
                  </pic:blipFill>
                  <pic:spPr>
                    <a:xfrm>
                      <a:off x="0" y="0"/>
                      <a:ext cx="5763260" cy="3621405"/>
                    </a:xfrm>
                    <a:prstGeom prst="rect">
                      <a:avLst/>
                    </a:prstGeom>
                    <a:noFill/>
                    <a:ln>
                      <a:noFill/>
                    </a:ln>
                  </pic:spPr>
                </pic:pic>
              </a:graphicData>
            </a:graphic>
          </wp:inline>
        </w:drawing>
      </w:r>
    </w:p>
    <w:p>
      <w:pPr>
        <w:jc w:val="center"/>
        <w:rPr>
          <w:rFonts w:ascii="宋体" w:hAnsi="宋体" w:cs="宋体"/>
          <w:b/>
          <w:color w:val="000000"/>
          <w:sz w:val="24"/>
        </w:rPr>
      </w:pPr>
      <w:r>
        <w:rPr>
          <w:rFonts w:hint="eastAsia" w:ascii="宋体" w:hAnsi="宋体" w:cs="宋体"/>
          <w:b/>
          <w:color w:val="000000"/>
          <w:sz w:val="24"/>
        </w:rPr>
        <w:t>估价对象</w:t>
      </w:r>
      <w:r>
        <w:rPr>
          <w:rFonts w:ascii="宋体" w:hAnsi="宋体" w:cs="宋体"/>
          <w:b/>
          <w:color w:val="000000"/>
          <w:sz w:val="24"/>
        </w:rPr>
        <w:t>所在位置示意图</w:t>
      </w:r>
    </w:p>
    <w:p>
      <w:pPr>
        <w:spacing w:line="240" w:lineRule="auto"/>
        <w:jc w:val="center"/>
        <w:rPr>
          <w:rFonts w:hint="eastAsia" w:ascii="宋体" w:hAnsi="宋体" w:eastAsia="宋体" w:cs="宋体"/>
          <w:b/>
          <w:color w:val="000000"/>
          <w:sz w:val="24"/>
          <w:lang w:eastAsia="zh-CN"/>
        </w:rPr>
      </w:pPr>
      <w:r>
        <w:rPr>
          <w:rFonts w:hint="eastAsia" w:ascii="宋体" w:hAnsi="宋体" w:eastAsia="宋体" w:cs="宋体"/>
          <w:b/>
          <w:color w:val="000000"/>
          <w:sz w:val="24"/>
          <w:lang w:eastAsia="zh-CN"/>
        </w:rPr>
        <w:drawing>
          <wp:inline distT="0" distB="0" distL="114300" distR="114300">
            <wp:extent cx="5755005" cy="3631565"/>
            <wp:effectExtent l="0" t="0" r="17145" b="6985"/>
            <wp:docPr id="7" name="图片 14" descr="C:\Users\Administrator\Desktop\犍为司法\微信截图_20220811140934.png微信截图_2022081114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C:\Users\Administrator\Desktop\犍为司法\微信截图_20220811140934.png微信截图_20220811140934"/>
                    <pic:cNvPicPr>
                      <a:picLocks noChangeAspect="1"/>
                    </pic:cNvPicPr>
                  </pic:nvPicPr>
                  <pic:blipFill>
                    <a:blip r:embed="rId22"/>
                    <a:srcRect/>
                    <a:stretch>
                      <a:fillRect/>
                    </a:stretch>
                  </pic:blipFill>
                  <pic:spPr>
                    <a:xfrm>
                      <a:off x="0" y="0"/>
                      <a:ext cx="5755005" cy="3631565"/>
                    </a:xfrm>
                    <a:prstGeom prst="rect">
                      <a:avLst/>
                    </a:prstGeom>
                    <a:noFill/>
                    <a:ln>
                      <a:noFill/>
                    </a:ln>
                  </pic:spPr>
                </pic:pic>
              </a:graphicData>
            </a:graphic>
          </wp:inline>
        </w:drawing>
      </w:r>
    </w:p>
    <w:p>
      <w:pPr>
        <w:widowControl/>
        <w:jc w:val="center"/>
      </w:pPr>
      <w:r>
        <w:rPr>
          <w:rFonts w:hint="eastAsia" w:ascii="宋体" w:hAnsi="宋体" w:cs="宋体"/>
          <w:b/>
          <w:color w:val="000000"/>
          <w:sz w:val="24"/>
        </w:rPr>
        <w:t>估价</w:t>
      </w:r>
      <w:r>
        <w:rPr>
          <w:rFonts w:ascii="宋体" w:hAnsi="宋体" w:cs="宋体"/>
          <w:b/>
          <w:color w:val="000000"/>
          <w:sz w:val="24"/>
        </w:rPr>
        <w:t>对象位置详图</w:t>
      </w:r>
    </w:p>
    <w:sectPr>
      <w:footerReference r:id="rId7" w:type="default"/>
      <w:pgSz w:w="11906" w:h="16838"/>
      <w:pgMar w:top="1134" w:right="1134" w:bottom="1134" w:left="1134" w:header="283" w:footer="850" w:gutter="567"/>
      <w:pgBorders>
        <w:top w:val="none" w:sz="0" w:space="0"/>
        <w:left w:val="none" w:sz="0" w:space="0"/>
        <w:bottom w:val="none" w:sz="0" w:space="0"/>
        <w:right w:val="none" w:sz="0" w:space="0"/>
      </w:pgBorders>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pPr>
                          <w:r>
                            <w:rPr>
                              <w:color w:val="000000"/>
                            </w:rPr>
                            <w:fldChar w:fldCharType="begin"/>
                          </w:r>
                          <w:r>
                            <w:rPr>
                              <w:color w:val="000000"/>
                            </w:rPr>
                            <w:instrText xml:space="preserve">PAGE   \* MERGEFORMAT</w:instrText>
                          </w:r>
                          <w:r>
                            <w:rPr>
                              <w:color w:val="000000"/>
                            </w:rPr>
                            <w:fldChar w:fldCharType="separate"/>
                          </w:r>
                          <w:r>
                            <w:rPr>
                              <w:color w:val="000000"/>
                              <w:lang w:val="zh-CN"/>
                            </w:rPr>
                            <w:t>7</w:t>
                          </w:r>
                          <w:r>
                            <w:rPr>
                              <w:color w:val="00000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pPr>
                      <w:pStyle w:val="5"/>
                    </w:pPr>
                    <w:r>
                      <w:rPr>
                        <w:color w:val="000000"/>
                      </w:rPr>
                      <w:fldChar w:fldCharType="begin"/>
                    </w:r>
                    <w:r>
                      <w:rPr>
                        <w:color w:val="000000"/>
                      </w:rPr>
                      <w:instrText xml:space="preserve">PAGE   \* MERGEFORMAT</w:instrText>
                    </w:r>
                    <w:r>
                      <w:rPr>
                        <w:color w:val="000000"/>
                      </w:rPr>
                      <w:fldChar w:fldCharType="separate"/>
                    </w:r>
                    <w:r>
                      <w:rPr>
                        <w:color w:val="000000"/>
                        <w:lang w:val="zh-CN"/>
                      </w:rPr>
                      <w:t>7</w:t>
                    </w:r>
                    <w:r>
                      <w:rPr>
                        <w:color w:val="00000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9"/>
      <w:tblW w:w="9081" w:type="dxa"/>
      <w:tblInd w:w="0" w:type="dxa"/>
      <w:tblLayout w:type="fixed"/>
      <w:tblCellMar>
        <w:top w:w="0" w:type="dxa"/>
        <w:left w:w="0" w:type="dxa"/>
        <w:bottom w:w="0" w:type="dxa"/>
        <w:right w:w="0" w:type="dxa"/>
      </w:tblCellMar>
    </w:tblPr>
    <w:tblGrid>
      <w:gridCol w:w="963"/>
      <w:gridCol w:w="1232"/>
      <w:gridCol w:w="6886"/>
    </w:tblGrid>
    <w:tr>
      <w:tblPrEx>
        <w:tblCellMar>
          <w:top w:w="0" w:type="dxa"/>
          <w:left w:w="0" w:type="dxa"/>
          <w:bottom w:w="0" w:type="dxa"/>
          <w:right w:w="0" w:type="dxa"/>
        </w:tblCellMar>
      </w:tblPrEx>
      <w:trPr>
        <w:trHeight w:val="389" w:hRule="atLeast"/>
      </w:trPr>
      <w:tc>
        <w:tcPr>
          <w:tcW w:w="963" w:type="dxa"/>
          <w:vMerge w:val="restart"/>
          <w:tcBorders>
            <w:top w:val="nil"/>
            <w:left w:val="nil"/>
            <w:bottom w:val="nil"/>
            <w:right w:val="nil"/>
          </w:tcBorders>
          <w:noWrap/>
          <w:tcMar>
            <w:top w:w="12" w:type="dxa"/>
            <w:left w:w="12" w:type="dxa"/>
            <w:right w:w="12" w:type="dxa"/>
          </w:tcMar>
          <w:vAlign w:val="center"/>
        </w:tcPr>
        <w:p>
          <w:pPr>
            <w:keepNext w:val="0"/>
            <w:keepLines w:val="0"/>
            <w:widowControl/>
            <w:suppressLineNumbers w:val="0"/>
            <w:pBdr>
              <w:bottom w:val="none" w:color="auto" w:sz="0" w:space="0"/>
            </w:pBdr>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anchor distT="0" distB="0" distL="114300" distR="114300" simplePos="0" relativeHeight="251660288" behindDoc="0" locked="0" layoutInCell="1" allowOverlap="1">
                <wp:simplePos x="0" y="0"/>
                <wp:positionH relativeFrom="column">
                  <wp:posOffset>129540</wp:posOffset>
                </wp:positionH>
                <wp:positionV relativeFrom="paragraph">
                  <wp:posOffset>-15240</wp:posOffset>
                </wp:positionV>
                <wp:extent cx="510540" cy="459105"/>
                <wp:effectExtent l="0" t="0" r="3810" b="17145"/>
                <wp:wrapNone/>
                <wp:docPr id="3" name="Picture_1"/>
                <wp:cNvGraphicFramePr/>
                <a:graphic xmlns:a="http://schemas.openxmlformats.org/drawingml/2006/main">
                  <a:graphicData uri="http://schemas.openxmlformats.org/drawingml/2006/picture">
                    <pic:pic xmlns:pic="http://schemas.openxmlformats.org/drawingml/2006/picture">
                      <pic:nvPicPr>
                        <pic:cNvPr id="3" name="Picture_1"/>
                        <pic:cNvPicPr/>
                      </pic:nvPicPr>
                      <pic:blipFill>
                        <a:blip r:embed="rId1"/>
                        <a:stretch>
                          <a:fillRect/>
                        </a:stretch>
                      </pic:blipFill>
                      <pic:spPr>
                        <a:xfrm>
                          <a:off x="0" y="0"/>
                          <a:ext cx="510540" cy="459105"/>
                        </a:xfrm>
                        <a:prstGeom prst="rect">
                          <a:avLst/>
                        </a:prstGeom>
                        <a:noFill/>
                        <a:ln>
                          <a:noFill/>
                        </a:ln>
                      </pic:spPr>
                    </pic:pic>
                  </a:graphicData>
                </a:graphic>
              </wp:anchor>
            </w:drawing>
          </w:r>
          <w:r>
            <w:rPr>
              <w:rFonts w:hint="eastAsia" w:ascii="宋体" w:hAnsi="宋体" w:eastAsia="宋体" w:cs="宋体"/>
              <w:i w:val="0"/>
              <w:color w:val="000000"/>
              <w:kern w:val="0"/>
              <w:sz w:val="22"/>
              <w:szCs w:val="22"/>
              <w:u w:val="none"/>
              <w:lang w:val="en-US" w:eastAsia="zh-CN" w:bidi="ar"/>
            </w:rPr>
            <w:drawing>
              <wp:anchor distT="0" distB="0" distL="114300" distR="114300" simplePos="0" relativeHeight="251661312" behindDoc="0" locked="0" layoutInCell="1" allowOverlap="1">
                <wp:simplePos x="0" y="0"/>
                <wp:positionH relativeFrom="column">
                  <wp:posOffset>129540</wp:posOffset>
                </wp:positionH>
                <wp:positionV relativeFrom="paragraph">
                  <wp:posOffset>266700</wp:posOffset>
                </wp:positionV>
                <wp:extent cx="510540" cy="0"/>
                <wp:effectExtent l="0" t="0" r="0" b="0"/>
                <wp:wrapNone/>
                <wp:docPr id="2" name="Picture_1_SpCnt_1"/>
                <wp:cNvGraphicFramePr/>
                <a:graphic xmlns:a="http://schemas.openxmlformats.org/drawingml/2006/main">
                  <a:graphicData uri="http://schemas.openxmlformats.org/drawingml/2006/picture">
                    <pic:pic xmlns:pic="http://schemas.openxmlformats.org/drawingml/2006/picture">
                      <pic:nvPicPr>
                        <pic:cNvPr id="2" name="Picture_1_SpCnt_1"/>
                        <pic:cNvPicPr/>
                      </pic:nvPicPr>
                      <pic:blipFill>
                        <a:blip r:embed="rId2"/>
                        <a:stretch>
                          <a:fillRect/>
                        </a:stretch>
                      </pic:blipFill>
                      <pic:spPr>
                        <a:xfrm>
                          <a:off x="0" y="0"/>
                          <a:ext cx="510540" cy="0"/>
                        </a:xfrm>
                        <a:prstGeom prst="rect">
                          <a:avLst/>
                        </a:prstGeom>
                        <a:noFill/>
                        <a:ln>
                          <a:noFill/>
                        </a:ln>
                      </pic:spPr>
                    </pic:pic>
                  </a:graphicData>
                </a:graphic>
              </wp:anchor>
            </w:drawing>
          </w:r>
        </w:p>
      </w:tc>
      <w:tc>
        <w:tcPr>
          <w:tcW w:w="1232" w:type="dxa"/>
          <w:tcBorders>
            <w:top w:val="nil"/>
            <w:left w:val="nil"/>
            <w:bottom w:val="nil"/>
            <w:right w:val="nil"/>
          </w:tcBorders>
          <w:noWrap/>
          <w:tcMar>
            <w:top w:w="12" w:type="dxa"/>
            <w:left w:w="12" w:type="dxa"/>
            <w:right w:w="12" w:type="dxa"/>
          </w:tcMar>
          <w:vAlign w:val="center"/>
        </w:tcPr>
        <w:p>
          <w:pPr>
            <w:keepNext w:val="0"/>
            <w:keepLines w:val="0"/>
            <w:widowControl/>
            <w:suppressLineNumbers w:val="0"/>
            <w:pBdr>
              <w:bottom w:val="none" w:color="auto" w:sz="0" w:space="0"/>
            </w:pBdr>
            <w:jc w:val="center"/>
            <w:textAlignment w:val="center"/>
            <w:rPr>
              <w:rFonts w:ascii="黑体" w:hAnsi="宋体" w:eastAsia="黑体" w:cs="黑体"/>
              <w:i w:val="0"/>
              <w:color w:val="000000"/>
              <w:sz w:val="18"/>
              <w:szCs w:val="18"/>
              <w:u w:val="none"/>
            </w:rPr>
          </w:pPr>
          <w:r>
            <w:rPr>
              <w:rFonts w:hint="eastAsia" w:ascii="黑体" w:hAnsi="宋体" w:eastAsia="黑体" w:cs="黑体"/>
              <w:b/>
              <w:bCs/>
              <w:i w:val="0"/>
              <w:color w:val="000000"/>
              <w:kern w:val="0"/>
              <w:sz w:val="28"/>
              <w:szCs w:val="28"/>
              <w:u w:val="none"/>
              <w:lang w:val="en-US" w:eastAsia="zh-CN" w:bidi="ar"/>
            </w:rPr>
            <w:t>久源评估</w:t>
          </w:r>
        </w:p>
      </w:tc>
      <w:tc>
        <w:tcPr>
          <w:tcW w:w="6886" w:type="dxa"/>
          <w:tcBorders>
            <w:top w:val="nil"/>
            <w:left w:val="nil"/>
            <w:bottom w:val="nil"/>
            <w:right w:val="nil"/>
          </w:tcBorders>
          <w:noWrap/>
          <w:tcMar>
            <w:top w:w="12" w:type="dxa"/>
            <w:left w:w="12" w:type="dxa"/>
            <w:right w:w="12" w:type="dxa"/>
          </w:tcMar>
          <w:vAlign w:val="center"/>
        </w:tcPr>
        <w:p>
          <w:pPr>
            <w:keepNext w:val="0"/>
            <w:keepLines w:val="0"/>
            <w:widowControl/>
            <w:suppressLineNumbers w:val="0"/>
            <w:pBdr>
              <w:bottom w:val="none" w:color="auto" w:sz="0" w:space="0"/>
            </w:pBdr>
            <w:jc w:val="center"/>
            <w:textAlignment w:val="center"/>
            <w:rPr>
              <w:rFonts w:hint="default" w:ascii="黑体" w:hAnsi="宋体" w:eastAsia="黑体" w:cs="黑体"/>
              <w:b/>
              <w:bCs/>
              <w:i w:val="0"/>
              <w:color w:val="000000"/>
              <w:kern w:val="0"/>
              <w:sz w:val="28"/>
              <w:szCs w:val="28"/>
              <w:u w:val="none"/>
              <w:lang w:val="en-US" w:eastAsia="zh-CN" w:bidi="ar"/>
            </w:rPr>
          </w:pPr>
          <w:r>
            <w:rPr>
              <w:rFonts w:hint="eastAsia" w:ascii="黑体" w:hAnsi="宋体" w:eastAsia="黑体" w:cs="黑体"/>
              <w:b/>
              <w:bCs/>
              <w:i w:val="0"/>
              <w:color w:val="000000"/>
              <w:kern w:val="0"/>
              <w:sz w:val="18"/>
              <w:szCs w:val="18"/>
              <w:u w:val="none"/>
              <w:lang w:val="en-US" w:eastAsia="zh-CN" w:bidi="ar"/>
            </w:rPr>
            <w:t xml:space="preserve">                                           </w:t>
          </w:r>
          <w:r>
            <w:rPr>
              <w:rFonts w:hint="eastAsia" w:ascii="黑体" w:hAnsi="宋体" w:eastAsia="黑体" w:cs="黑体"/>
              <w:b w:val="0"/>
              <w:bCs w:val="0"/>
              <w:i w:val="0"/>
              <w:color w:val="000000"/>
              <w:kern w:val="0"/>
              <w:sz w:val="15"/>
              <w:szCs w:val="15"/>
              <w:u w:val="none"/>
              <w:lang w:val="en-US" w:eastAsia="zh-CN" w:bidi="ar"/>
            </w:rPr>
            <w:t>地址：乐山市市中区嘉兴路356号3楼</w:t>
          </w:r>
        </w:p>
      </w:tc>
    </w:tr>
    <w:tr>
      <w:tblPrEx>
        <w:tblCellMar>
          <w:top w:w="0" w:type="dxa"/>
          <w:left w:w="0" w:type="dxa"/>
          <w:bottom w:w="0" w:type="dxa"/>
          <w:right w:w="0" w:type="dxa"/>
        </w:tblCellMar>
      </w:tblPrEx>
      <w:trPr>
        <w:trHeight w:val="300" w:hRule="atLeast"/>
      </w:trPr>
      <w:tc>
        <w:tcPr>
          <w:tcW w:w="963" w:type="dxa"/>
          <w:vMerge w:val="continue"/>
          <w:tcBorders>
            <w:top w:val="nil"/>
            <w:left w:val="nil"/>
            <w:bottom w:val="nil"/>
            <w:right w:val="nil"/>
          </w:tcBorders>
          <w:noWrap/>
          <w:tcMar>
            <w:top w:w="12" w:type="dxa"/>
            <w:left w:w="12" w:type="dxa"/>
            <w:right w:w="12" w:type="dxa"/>
          </w:tcMar>
          <w:vAlign w:val="center"/>
        </w:tcPr>
        <w:p>
          <w:pPr>
            <w:pBdr>
              <w:bottom w:val="none" w:color="auto" w:sz="0" w:space="0"/>
            </w:pBdr>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地址地址</w:t>
          </w:r>
          <w:r>
            <w:rPr>
              <w:rFonts w:hint="eastAsia" w:ascii="宋体" w:hAnsi="宋体" w:eastAsia="宋体" w:cs="宋体"/>
              <w:i w:val="0"/>
              <w:color w:val="000000"/>
              <w:sz w:val="22"/>
              <w:szCs w:val="22"/>
              <w:u w:val="none"/>
              <w:lang w:eastAsia="zh-CN"/>
            </w:rPr>
            <w:t xml:space="preserve"> </w:t>
          </w:r>
          <w:r>
            <w:rPr>
              <w:rFonts w:hint="eastAsia" w:ascii="宋体" w:hAnsi="宋体" w:eastAsia="宋体" w:cs="宋体"/>
              <w:i w:val="0"/>
              <w:color w:val="000000"/>
              <w:sz w:val="22"/>
              <w:szCs w:val="22"/>
              <w:u w:val="none"/>
              <w:lang w:val="en-US" w:eastAsia="zh-CN"/>
            </w:rPr>
            <w:t xml:space="preserve">  </w:t>
          </w:r>
          <w:r>
            <w:rPr>
              <w:rFonts w:hint="eastAsia" w:ascii="宋体" w:hAnsi="宋体" w:eastAsia="宋体" w:cs="宋体"/>
              <w:i w:val="0"/>
              <w:color w:val="000000"/>
              <w:sz w:val="22"/>
              <w:szCs w:val="22"/>
              <w:u w:val="none"/>
              <w:lang w:eastAsia="zh-CN"/>
            </w:rPr>
            <w:t xml:space="preserve"> </w:t>
          </w:r>
          <w:r>
            <w:rPr>
              <w:rFonts w:hint="eastAsia" w:ascii="宋体" w:hAnsi="宋体" w:eastAsia="宋体" w:cs="宋体"/>
              <w:i w:val="0"/>
              <w:color w:val="000000"/>
              <w:sz w:val="22"/>
              <w:szCs w:val="22"/>
              <w:u w:val="none"/>
              <w:lang w:val="en-US" w:eastAsia="zh-CN"/>
            </w:rPr>
            <w:t xml:space="preserve">   </w:t>
          </w:r>
        </w:p>
      </w:tc>
      <w:tc>
        <w:tcPr>
          <w:tcW w:w="1232" w:type="dxa"/>
          <w:tcBorders>
            <w:top w:val="nil"/>
            <w:left w:val="nil"/>
            <w:bottom w:val="nil"/>
            <w:right w:val="nil"/>
          </w:tcBorders>
          <w:noWrap/>
          <w:tcMar>
            <w:top w:w="12" w:type="dxa"/>
            <w:left w:w="12" w:type="dxa"/>
            <w:right w:w="12" w:type="dxa"/>
          </w:tcMar>
          <w:vAlign w:val="center"/>
        </w:tcPr>
        <w:p>
          <w:pPr>
            <w:keepNext w:val="0"/>
            <w:keepLines w:val="0"/>
            <w:widowControl/>
            <w:suppressLineNumbers w:val="0"/>
            <w:pBdr>
              <w:bottom w:val="none" w:color="auto" w:sz="0" w:space="0"/>
            </w:pBdr>
            <w:jc w:val="center"/>
            <w:textAlignment w:val="center"/>
            <w:rPr>
              <w:rFonts w:hint="eastAsia" w:ascii="黑体" w:hAnsi="宋体" w:eastAsia="黑体" w:cs="黑体"/>
              <w:i w:val="0"/>
              <w:color w:val="000000"/>
              <w:sz w:val="18"/>
              <w:szCs w:val="18"/>
              <w:u w:val="none"/>
            </w:rPr>
          </w:pPr>
          <w:r>
            <w:rPr>
              <w:rFonts w:hint="eastAsia" w:ascii="黑体" w:hAnsi="宋体" w:eastAsia="黑体"/>
              <w:bCs/>
              <w:sz w:val="11"/>
              <w:szCs w:val="11"/>
            </w:rPr>
            <w:t>Real Estate Appraisal</w:t>
          </w:r>
        </w:p>
      </w:tc>
      <w:tc>
        <w:tcPr>
          <w:tcW w:w="6886" w:type="dxa"/>
          <w:tcBorders>
            <w:top w:val="nil"/>
            <w:left w:val="nil"/>
            <w:bottom w:val="nil"/>
            <w:right w:val="nil"/>
          </w:tcBorders>
          <w:noWrap/>
          <w:tcMar>
            <w:top w:w="12" w:type="dxa"/>
            <w:left w:w="12" w:type="dxa"/>
            <w:right w:w="12" w:type="dxa"/>
          </w:tcMar>
          <w:vAlign w:val="center"/>
        </w:tcPr>
        <w:p>
          <w:pPr>
            <w:keepNext w:val="0"/>
            <w:keepLines w:val="0"/>
            <w:widowControl/>
            <w:suppressLineNumbers w:val="0"/>
            <w:pBdr>
              <w:bottom w:val="none" w:color="auto" w:sz="0" w:space="0"/>
            </w:pBdr>
            <w:jc w:val="right"/>
            <w:textAlignment w:val="center"/>
            <w:rPr>
              <w:rFonts w:hint="default" w:ascii="黑体" w:hAnsi="宋体" w:eastAsia="黑体"/>
              <w:bCs/>
              <w:sz w:val="11"/>
              <w:szCs w:val="11"/>
              <w:lang w:val="en-US" w:eastAsia="zh-CN"/>
            </w:rPr>
          </w:pPr>
          <w:r>
            <w:rPr>
              <w:rFonts w:hint="eastAsia" w:ascii="黑体" w:hAnsi="宋体" w:eastAsia="黑体"/>
              <w:bCs/>
              <w:sz w:val="11"/>
              <w:szCs w:val="11"/>
              <w:lang w:val="en-US" w:eastAsia="zh-CN"/>
            </w:rPr>
            <w:t xml:space="preserve">                                                    </w:t>
          </w:r>
          <w:r>
            <w:rPr>
              <w:rFonts w:hint="eastAsia" w:ascii="黑体" w:hAnsi="宋体" w:eastAsia="黑体"/>
              <w:bCs/>
              <w:sz w:val="15"/>
              <w:szCs w:val="15"/>
              <w:lang w:val="en-US" w:eastAsia="zh-CN"/>
            </w:rPr>
            <w:t>电话：0833-2427896 传真：0833-2427896</w:t>
          </w:r>
        </w:p>
      </w:tc>
    </w:tr>
  </w:tbl>
  <w:p>
    <w:pPr>
      <w:pStyle w:val="6"/>
      <w:pBdr>
        <w:bottom w:val="double" w:color="auto" w:sz="8" w:space="1"/>
      </w:pBdr>
      <w:tabs>
        <w:tab w:val="left" w:pos="7325"/>
        <w:tab w:val="clear" w:pos="4153"/>
      </w:tabs>
      <w:jc w:val="both"/>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3EEC06"/>
    <w:multiLevelType w:val="singleLevel"/>
    <w:tmpl w:val="BE3EEC06"/>
    <w:lvl w:ilvl="0" w:tentative="0">
      <w:start w:val="11"/>
      <w:numFmt w:val="chineseCounting"/>
      <w:suff w:val="nothing"/>
      <w:lvlText w:val="%1、"/>
      <w:lvlJc w:val="left"/>
      <w:rPr>
        <w:rFonts w:hint="eastAsia"/>
      </w:rPr>
    </w:lvl>
  </w:abstractNum>
  <w:abstractNum w:abstractNumId="1">
    <w:nsid w:val="F2C8C8EA"/>
    <w:multiLevelType w:val="singleLevel"/>
    <w:tmpl w:val="F2C8C8EA"/>
    <w:lvl w:ilvl="0" w:tentative="0">
      <w:start w:val="1"/>
      <w:numFmt w:val="decimal"/>
      <w:lvlText w:val="%1."/>
      <w:lvlJc w:val="left"/>
      <w:pPr>
        <w:ind w:left="425" w:hanging="425"/>
      </w:pPr>
      <w:rPr>
        <w:rFonts w:hint="default"/>
      </w:rPr>
    </w:lvl>
  </w:abstractNum>
  <w:abstractNum w:abstractNumId="2">
    <w:nsid w:val="F4F56682"/>
    <w:multiLevelType w:val="singleLevel"/>
    <w:tmpl w:val="F4F56682"/>
    <w:lvl w:ilvl="0" w:tentative="0">
      <w:start w:val="4"/>
      <w:numFmt w:val="chineseCounting"/>
      <w:suff w:val="nothing"/>
      <w:lvlText w:val="（%1）"/>
      <w:lvlJc w:val="left"/>
      <w:rPr>
        <w:rFonts w:hint="eastAsia"/>
      </w:rPr>
    </w:lvl>
  </w:abstractNum>
  <w:abstractNum w:abstractNumId="3">
    <w:nsid w:val="65EB7137"/>
    <w:multiLevelType w:val="singleLevel"/>
    <w:tmpl w:val="65EB7137"/>
    <w:lvl w:ilvl="0" w:tentative="0">
      <w:start w:val="2"/>
      <w:numFmt w:val="chineseCounting"/>
      <w:suff w:val="nothing"/>
      <w:lvlText w:val="（%1）"/>
      <w:lvlJc w:val="left"/>
      <w:rPr>
        <w:rFonts w:hint="eastAsia"/>
      </w:rPr>
    </w:lvl>
  </w:abstractNum>
  <w:abstractNum w:abstractNumId="4">
    <w:nsid w:val="72737FA3"/>
    <w:multiLevelType w:val="singleLevel"/>
    <w:tmpl w:val="72737FA3"/>
    <w:lvl w:ilvl="0" w:tentative="0">
      <w:start w:val="1"/>
      <w:numFmt w:val="decimal"/>
      <w:suff w:val="nothing"/>
      <w:lvlText w:val="%1．"/>
      <w:lvlJc w:val="left"/>
      <w:pPr>
        <w:ind w:left="20" w:firstLine="400"/>
      </w:pPr>
      <w:rPr>
        <w:rFont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3NTQ1Nzc1YzcwOTc2ODk3MDIxYmE1NmM0MmI1NWYifQ=="/>
  </w:docVars>
  <w:rsids>
    <w:rsidRoot w:val="3B3532C6"/>
    <w:rsid w:val="00DF57F6"/>
    <w:rsid w:val="00FC0D5E"/>
    <w:rsid w:val="03743FF9"/>
    <w:rsid w:val="04FF57DE"/>
    <w:rsid w:val="0D1D3396"/>
    <w:rsid w:val="0EFC3672"/>
    <w:rsid w:val="10C663A3"/>
    <w:rsid w:val="11453ECD"/>
    <w:rsid w:val="14627AEC"/>
    <w:rsid w:val="14DB7F08"/>
    <w:rsid w:val="164A5AB1"/>
    <w:rsid w:val="1AF73C6C"/>
    <w:rsid w:val="1E8404A5"/>
    <w:rsid w:val="27765780"/>
    <w:rsid w:val="2A135BAE"/>
    <w:rsid w:val="2BFD5A59"/>
    <w:rsid w:val="2FE37E4F"/>
    <w:rsid w:val="31D56941"/>
    <w:rsid w:val="34845C02"/>
    <w:rsid w:val="384A6C3F"/>
    <w:rsid w:val="38580812"/>
    <w:rsid w:val="385F1D2C"/>
    <w:rsid w:val="38CA2ACC"/>
    <w:rsid w:val="39490A91"/>
    <w:rsid w:val="39534219"/>
    <w:rsid w:val="3B3532C6"/>
    <w:rsid w:val="40C64C62"/>
    <w:rsid w:val="43755416"/>
    <w:rsid w:val="43CC2C3D"/>
    <w:rsid w:val="448315C2"/>
    <w:rsid w:val="449C4CC6"/>
    <w:rsid w:val="45B11308"/>
    <w:rsid w:val="490241A3"/>
    <w:rsid w:val="49671721"/>
    <w:rsid w:val="53177C0E"/>
    <w:rsid w:val="55EC00A8"/>
    <w:rsid w:val="563A7B9E"/>
    <w:rsid w:val="5C4B1054"/>
    <w:rsid w:val="665B3079"/>
    <w:rsid w:val="686607F9"/>
    <w:rsid w:val="6AA01467"/>
    <w:rsid w:val="6D6104D7"/>
    <w:rsid w:val="6ED8194F"/>
    <w:rsid w:val="77D52C20"/>
    <w:rsid w:val="78832E47"/>
    <w:rsid w:val="798E31EF"/>
    <w:rsid w:val="7EBC0E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styleId="3">
    <w:name w:val="heading 1"/>
    <w:basedOn w:val="1"/>
    <w:next w:val="1"/>
    <w:qFormat/>
    <w:uiPriority w:val="0"/>
    <w:pPr>
      <w:keepNext/>
      <w:keepLines/>
      <w:topLinePunct/>
      <w:adjustRightInd/>
      <w:spacing w:before="312" w:beforeLines="100" w:line="240" w:lineRule="auto"/>
      <w:jc w:val="center"/>
      <w:textAlignment w:val="auto"/>
      <w:outlineLvl w:val="0"/>
    </w:pPr>
    <w:rPr>
      <w:rFonts w:ascii="宋体" w:hAnsi="宋体" w:eastAsia="宋体" w:cs="Arial"/>
      <w:b/>
      <w:bCs/>
      <w:kern w:val="2"/>
      <w:sz w:val="32"/>
      <w:szCs w:val="32"/>
    </w:rPr>
  </w:style>
  <w:style w:type="paragraph" w:styleId="4">
    <w:name w:val="heading 2"/>
    <w:basedOn w:val="1"/>
    <w:next w:val="1"/>
    <w:unhideWhenUsed/>
    <w:qFormat/>
    <w:uiPriority w:val="9"/>
    <w:pPr>
      <w:keepNext/>
      <w:keepLines/>
      <w:spacing w:before="260" w:after="260" w:line="416" w:lineRule="atLeast"/>
      <w:outlineLvl w:val="1"/>
    </w:pPr>
    <w:rPr>
      <w:rFonts w:ascii="Cambria" w:hAnsi="Cambria" w:eastAsia="宋体" w:cs="Times New Roman"/>
      <w:b/>
      <w:bCs/>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rFonts w:ascii="仿宋_GB2312" w:eastAsia="仿宋_GB2312"/>
      <w:sz w:val="18"/>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spacing w:line="400" w:lineRule="atLeast"/>
      <w:jc w:val="left"/>
    </w:pPr>
    <w:rPr>
      <w:rFonts w:ascii="Calibri" w:hAnsi="Calibri"/>
      <w:b/>
      <w:bCs/>
      <w:caps/>
      <w:sz w:val="24"/>
    </w:rPr>
  </w:style>
  <w:style w:type="paragraph" w:styleId="8">
    <w:name w:val="toc 2"/>
    <w:basedOn w:val="1"/>
    <w:next w:val="1"/>
    <w:unhideWhenUsed/>
    <w:qFormat/>
    <w:uiPriority w:val="39"/>
    <w:pPr>
      <w:spacing w:line="400" w:lineRule="atLeast"/>
      <w:ind w:left="210"/>
      <w:jc w:val="left"/>
    </w:pPr>
    <w:rPr>
      <w:rFonts w:ascii="Calibri" w:hAnsi="Calibri"/>
      <w:smallCaps/>
      <w:sz w:val="24"/>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content1"/>
    <w:qFormat/>
    <w:uiPriority w:val="0"/>
    <w:rPr>
      <w:color w:val="000000"/>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久源</Company>
  <Pages>23</Pages>
  <Words>11144</Words>
  <Characters>12107</Characters>
  <Lines>0</Lines>
  <Paragraphs>0</Paragraphs>
  <TotalTime>1</TotalTime>
  <ScaleCrop>false</ScaleCrop>
  <LinksUpToDate>false</LinksUpToDate>
  <CharactersWithSpaces>12351</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2022-07-20T03:21:00Z</dcterms:created>
  <dc:creator>啊哈骞</dc:creator>
  <cp:lastModifiedBy>啊哈骞</cp:lastModifiedBy>
  <dcterms:modified xsi:type="dcterms:W3CDTF">2022-09-01T01:15:21Z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14523F79DAE343D8A95616C4D11C86E8</vt:lpwstr>
  </property>
</Properties>
</file>