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sz w:val="36"/>
          <w:szCs w:val="36"/>
        </w:rPr>
        <w:tab/>
      </w:r>
      <w:r>
        <w:rPr>
          <w:rFonts w:hint="eastAsia" w:ascii="宋体" w:hAnsi="宋体"/>
          <w:b/>
          <w:sz w:val="44"/>
          <w:szCs w:val="44"/>
        </w:rPr>
        <w:t>拟拍卖房地产询价报告书</w:t>
      </w:r>
    </w:p>
    <w:p>
      <w:pPr>
        <w:spacing w:before="156" w:after="156" w:line="5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sz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8"/>
        </w:rPr>
        <w:t>烟天元咨评字（202</w:t>
      </w:r>
      <w:r>
        <w:rPr>
          <w:rFonts w:hint="eastAsia" w:ascii="宋体" w:hAnsi="宋体"/>
          <w:b/>
          <w:bCs/>
          <w:sz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</w:rPr>
        <w:t>）第</w:t>
      </w:r>
      <w:r>
        <w:rPr>
          <w:rFonts w:hint="eastAsia" w:ascii="宋体" w:hAnsi="宋体"/>
          <w:b/>
          <w:bCs/>
          <w:sz w:val="28"/>
          <w:lang w:val="en-US" w:eastAsia="zh-CN"/>
        </w:rPr>
        <w:t>016</w:t>
      </w:r>
      <w:r>
        <w:rPr>
          <w:rFonts w:hint="eastAsia" w:ascii="宋体" w:hAnsi="宋体"/>
          <w:b/>
          <w:bCs/>
          <w:sz w:val="28"/>
        </w:rPr>
        <w:t>号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委托人：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山东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海洋产权交易中心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目的：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为网络司法拍卖提供价值参考。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三、价值时点：202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日。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依据：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1、《中华人民共和国价格法》；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2、《中华人民共和国城市房地产管理法》；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3、《中华人民共和国土地管理法》；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4、《山东省涉案物品价格鉴证条例》；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5、《山东省价格鉴证操作规范》；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6、《房地产估价规范》（GB/T 50291-2015）；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7、《房地产估价基本术语标准》（GB/T 50899-2013）；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8、《城镇土地估价规程》（GB/T 18508-2014）；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、《资产评估基本准则》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财资〔2017〕43号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、委托人提供的相关资料；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、其他与本次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相关的法律、法规；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评估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人员现场查勘和市场调查所获得的相关资料。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对象：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1、询价对象范围：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询价对象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烟台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牟平区北关大街530号1-1502号房产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【产权证号：鲁（2018）烟台市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不动产权第00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2834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号】。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询价对象区位状况：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经现场勘查，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房地产位于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牟平区北关大街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东关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路交汇处，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牟平区北关大街530号汇龙湾1-1502号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。估价对象所处位置为商住混合区，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附近有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604、608、631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等多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路公交车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经过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，交通便捷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附近有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牟平区实验小学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育英艺术中学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等教育设施，教育资源较好；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金茂商厦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东关批发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市场等购物场所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，生活方便；基础设施完善，达到“七通一平”。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询价对象权属及实物状况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根据委托方提供的鲁（2018）烟台市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不动产权第00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2834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号证件显示，权利人：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郭耀生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单独所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有，坐落：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牟平区北关大街530号1-1502号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，不动产单元号：3706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001001GB00001F00010118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，用途：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城镇住宅用地/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住宅，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共有宗地面积:6549平方米/房屋建筑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面积：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.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，使用期限：2004年9月1日起2074年8月31日止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实地查勘建筑物总层数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层，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-1-4层为商业，5层以上住宅。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一梯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电梯一部，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步梯水泥踏步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，不锈钢扶手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。询价对象位于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16层南东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东向，两室一厅一厨一卫，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入户防盗门，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塑钢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窗，室内地面铺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复合地板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地暖，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墙面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刷乳胶漆。厨卫地面磁砖，墙砖至顶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铝塑板吊顶，无天然气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。  </w:t>
      </w:r>
    </w:p>
    <w:p>
      <w:pPr>
        <w:numPr>
          <w:ilvl w:val="0"/>
          <w:numId w:val="1"/>
        </w:num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价值类型：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市场价值。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即估价对象在价值时点时公开的市场价值。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方法：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市场比较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法。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估价对象为市场化商品房，目前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类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房地产市场交易实例较多，附近类似房屋有市场交易，用市场比较法足以反映估价对象市场价值，所以本次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采用市场比较法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进行评估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求取一宗待估房地产的价格时，根据替代原则，将待估房地产与类似房地产实例加以比较对照，并依据后者已知的价格，参照该房地产的交易情况、市场状况、房地产状况（包括区位状况、实物状况、权益状况三方面）等差别，修正调整得出估价对象于价值时点的房地产现时市场价值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结果：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烟台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牟平区北关大街530号1-1502号房产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【产权证号：鲁（2018）烟台市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牟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不动产权第00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2834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号】在询价时点的市场价值为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360,349.92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（人民币大写：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instrText xml:space="preserve"> = 360349 \* CHINESENUM4 \* MERGEFORMAT </w:instrTex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fldChar w:fldCharType="separate"/>
      </w:r>
      <w:r>
        <w:rPr>
          <w:b/>
          <w:bCs/>
          <w:sz w:val="28"/>
          <w:szCs w:val="28"/>
        </w:rPr>
        <w:t>叁拾陆万零叁佰肆拾玖元</w:t>
      </w:r>
      <w:r>
        <w:rPr>
          <w:rFonts w:hint="eastAsia"/>
          <w:b/>
          <w:bCs/>
          <w:sz w:val="28"/>
          <w:szCs w:val="28"/>
          <w:lang w:val="en-US" w:eastAsia="zh-CN"/>
        </w:rPr>
        <w:t>玖角贰分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）。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5107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元/㎡×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70.56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㎡=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360349.92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元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九、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假设和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限制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条件：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1、委估标的权属无异议；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2、各方所提供的资料是客观、真实的。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十、声明：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1、本次询价报告中所陈述的事实是真实的和准确的，所提供资料的真实性由提供方负责；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2、本询价结论是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评估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人员通过客观、公正的专业分析、计算所得的结论，但受本报告中的假设和限制条件的限制；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评估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人员与本次委估标的没有利害关系，也与有关当事人没有利害关系或偏见；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4、本次询价结论仅对本次委托有效，不作他用；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5、本次询价结果受评估人员调查范围、专业技术能力和特殊交易方式的影响；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6、本次询价结果仅为拍卖参考底价，不具有法律强制性，也不代表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询价对象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最终能实现的成交价格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十一、报告有效期：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报告有效期为12个月，自报告出具之日起开始计算。</w:t>
      </w:r>
    </w:p>
    <w:p>
      <w:pPr>
        <w:bidi w:val="0"/>
        <w:ind w:firstLine="562" w:firstLineChars="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十二、附件：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、不动产权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证书复印件；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询价对象现场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照片复印件；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、评估机构营业执照、评估机构资质登记证书复印件；</w:t>
      </w:r>
    </w:p>
    <w:p>
      <w:pPr>
        <w:bidi w:val="0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评估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人员执业登记证书复印件。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562" w:firstLineChars="200"/>
        <w:textAlignment w:val="baseline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十三、价格评估人员：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snapToGrid/>
        <w:spacing w:line="500" w:lineRule="exact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kern w:val="2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姓  名  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执业资格名称     资格证号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</w:rPr>
        <w:t xml:space="preserve">签    </w:t>
      </w:r>
      <w:r>
        <w:rPr>
          <w:rFonts w:hint="eastAsia" w:ascii="宋体" w:hAnsi="宋体" w:eastAsia="宋体" w:cs="宋体"/>
          <w:b w:val="0"/>
          <w:bCs w:val="0"/>
          <w:kern w:val="20"/>
          <w:sz w:val="28"/>
          <w:szCs w:val="28"/>
          <w:lang w:eastAsia="zh-CN"/>
        </w:rPr>
        <w:t>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孙珊娜        价格鉴证师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 w:color="000000"/>
          <w:lang w:val="en-US" w:eastAsia="zh-CN" w:bidi="ar-SA"/>
        </w:rPr>
        <w:t>3720200268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00" w:lineRule="exact"/>
        <w:ind w:left="0" w:leftChars="0" w:firstLine="843" w:firstLineChars="300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刘卫娜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     价格鉴证师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u w:val="none" w:color="000000"/>
          <w:lang w:val="en-US" w:eastAsia="zh-CN" w:bidi="ar-SA"/>
        </w:rPr>
        <w:t>3720210110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firstLine="4779" w:firstLineChars="1700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烟台天元价格评估有限公司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80" w:lineRule="exact"/>
        <w:ind w:right="281"/>
        <w:jc w:val="right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二0二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0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C715B0"/>
    <w:multiLevelType w:val="singleLevel"/>
    <w:tmpl w:val="DCC715B0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03A8F"/>
    <w:rsid w:val="0BF03A8F"/>
    <w:rsid w:val="5FBE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宋体" w:hAnsi="宋体" w:cs="宋体"/>
      <w:szCs w:val="24"/>
      <w:lang w:val="zh-CN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正文文字 2"/>
    <w:basedOn w:val="1"/>
    <w:qFormat/>
    <w:uiPriority w:val="0"/>
    <w:pPr>
      <w:spacing w:line="1094" w:lineRule="atLeast"/>
      <w:ind w:firstLine="419"/>
      <w:jc w:val="center"/>
    </w:pPr>
    <w:rPr>
      <w:b/>
      <w:sz w:val="8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2022-04-29T01:12:00Z</dcterms:created>
  <dc:creator>COCO</dc:creator>
  <cp:lastModifiedBy>COCO</cp:lastModifiedBy>
  <dcterms:modified xsi:type="dcterms:W3CDTF">2022-05-06T09:00:04Z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