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楷体"/>
          <w:b/>
          <w:bCs/>
          <w:color w:val="000000" w:themeColor="text1"/>
          <w:sz w:val="52"/>
          <w:szCs w:val="52"/>
        </w:rPr>
      </w:pPr>
      <w:r>
        <w:rPr>
          <w:rFonts w:hint="eastAsia" w:ascii="楷体" w:hAnsi="楷体" w:eastAsia="楷体" w:cs="楷体"/>
          <w:b/>
          <w:bCs/>
          <w:color w:val="000000" w:themeColor="text1"/>
          <w:sz w:val="52"/>
          <w:szCs w:val="52"/>
        </w:rPr>
        <w:t xml:space="preserve">                                                                                                                    </w:t>
      </w:r>
    </w:p>
    <w:p>
      <w:pPr>
        <w:jc w:val="center"/>
        <w:rPr>
          <w:rFonts w:eastAsia="黑体"/>
          <w:b/>
          <w:sz w:val="44"/>
        </w:rPr>
      </w:pPr>
      <w:bookmarkStart w:id="0" w:name="_Toc28208"/>
      <w:bookmarkStart w:id="1" w:name="_Toc76"/>
      <w:bookmarkStart w:id="2" w:name="_Toc29133"/>
      <w:bookmarkStart w:id="3" w:name="_Toc243366088"/>
    </w:p>
    <w:p>
      <w:pPr>
        <w:jc w:val="center"/>
        <w:rPr>
          <w:rFonts w:eastAsia="黑体"/>
          <w:b/>
          <w:sz w:val="44"/>
        </w:rPr>
      </w:pPr>
    </w:p>
    <w:bookmarkEnd w:id="0"/>
    <w:bookmarkEnd w:id="1"/>
    <w:bookmarkEnd w:id="2"/>
    <w:p>
      <w:pPr>
        <w:spacing w:line="630" w:lineRule="exact"/>
        <w:jc w:val="center"/>
        <w:rPr>
          <w:rFonts w:eastAsia="黑体"/>
          <w:b/>
          <w:sz w:val="44"/>
        </w:rPr>
      </w:pPr>
      <w:bookmarkStart w:id="4" w:name="_Toc456096203"/>
      <w:bookmarkStart w:id="5" w:name="_Toc20347"/>
      <w:bookmarkStart w:id="6" w:name="_Toc452629514"/>
      <w:bookmarkStart w:id="7" w:name="_Toc4856"/>
      <w:bookmarkStart w:id="8" w:name="_Toc4789"/>
      <w:bookmarkStart w:id="9" w:name="_Toc980"/>
      <w:bookmarkStart w:id="10" w:name="_Toc25007"/>
      <w:r>
        <w:rPr>
          <w:rFonts w:hint="eastAsia" w:eastAsia="黑体"/>
          <w:b/>
          <w:sz w:val="44"/>
        </w:rPr>
        <w:t>房地产估价报告</w:t>
      </w:r>
    </w:p>
    <w:p>
      <w:pPr>
        <w:spacing w:line="630" w:lineRule="exact"/>
      </w:pPr>
    </w:p>
    <w:p>
      <w:pPr>
        <w:spacing w:line="630" w:lineRule="exact"/>
        <w:rPr>
          <w:b/>
          <w:sz w:val="28"/>
        </w:rPr>
      </w:pPr>
    </w:p>
    <w:p>
      <w:pPr>
        <w:spacing w:line="630" w:lineRule="exact"/>
        <w:rPr>
          <w:rFonts w:eastAsia="楷体"/>
          <w:color w:val="auto"/>
          <w:sz w:val="28"/>
          <w:highlight w:val="none"/>
        </w:rPr>
      </w:pPr>
      <w:r>
        <w:rPr>
          <w:rFonts w:hint="eastAsia" w:eastAsia="楷体"/>
          <w:b/>
          <w:sz w:val="28"/>
        </w:rPr>
        <w:t>估价报告编号</w:t>
      </w:r>
      <w:r>
        <w:rPr>
          <w:rFonts w:hint="eastAsia" w:eastAsia="楷体"/>
          <w:sz w:val="28"/>
        </w:rPr>
        <w:t>：杭天平</w:t>
      </w:r>
      <w:r>
        <w:rPr>
          <w:rFonts w:hint="eastAsia" w:eastAsia="楷体"/>
          <w:color w:val="auto"/>
          <w:sz w:val="28"/>
        </w:rPr>
        <w:t>房</w:t>
      </w:r>
      <w:r>
        <w:rPr>
          <w:rFonts w:hint="eastAsia" w:eastAsia="楷体"/>
          <w:color w:val="auto"/>
          <w:sz w:val="28"/>
          <w:highlight w:val="none"/>
        </w:rPr>
        <w:t>估（</w:t>
      </w:r>
      <w:r>
        <w:rPr>
          <w:rFonts w:ascii="楷体" w:hAnsi="楷体" w:eastAsia="楷体"/>
          <w:color w:val="auto"/>
          <w:sz w:val="28"/>
          <w:highlight w:val="none"/>
        </w:rPr>
        <w:t>202</w:t>
      </w:r>
      <w:r>
        <w:rPr>
          <w:rFonts w:hint="eastAsia" w:ascii="楷体" w:hAnsi="楷体" w:eastAsia="楷体"/>
          <w:color w:val="auto"/>
          <w:sz w:val="28"/>
          <w:highlight w:val="none"/>
          <w:lang w:val="en-US" w:eastAsia="zh-CN"/>
        </w:rPr>
        <w:t>2</w:t>
      </w:r>
      <w:r>
        <w:rPr>
          <w:rFonts w:hint="eastAsia" w:eastAsia="楷体"/>
          <w:color w:val="auto"/>
          <w:sz w:val="28"/>
          <w:highlight w:val="none"/>
        </w:rPr>
        <w:t>）字第</w:t>
      </w:r>
      <w:r>
        <w:rPr>
          <w:rFonts w:hint="eastAsia" w:ascii="楷体" w:hAnsi="楷体" w:eastAsia="楷体" w:cs="楷体"/>
          <w:color w:val="auto"/>
          <w:sz w:val="28"/>
          <w:highlight w:val="none"/>
          <w:lang w:val="en-US" w:eastAsia="zh-CN"/>
        </w:rPr>
        <w:t>1330</w:t>
      </w:r>
      <w:r>
        <w:rPr>
          <w:rFonts w:hint="eastAsia" w:ascii="楷体" w:hAnsi="楷体" w:eastAsia="楷体"/>
          <w:color w:val="auto"/>
          <w:sz w:val="28"/>
          <w:highlight w:val="none"/>
        </w:rPr>
        <w:t>号</w:t>
      </w:r>
    </w:p>
    <w:p>
      <w:pPr>
        <w:spacing w:line="630" w:lineRule="exact"/>
        <w:rPr>
          <w:rFonts w:eastAsia="楷体"/>
          <w:sz w:val="28"/>
        </w:rPr>
      </w:pPr>
    </w:p>
    <w:p>
      <w:pPr>
        <w:spacing w:line="630" w:lineRule="exact"/>
        <w:ind w:left="1968" w:hanging="1968" w:hangingChars="700"/>
        <w:rPr>
          <w:rFonts w:hint="eastAsia" w:ascii="楷体" w:hAnsi="楷体" w:eastAsia="楷体"/>
          <w:b w:val="0"/>
          <w:bCs/>
          <w:spacing w:val="-6"/>
          <w:sz w:val="28"/>
          <w:szCs w:val="28"/>
          <w:lang w:val="en-US" w:eastAsia="zh-CN"/>
        </w:rPr>
      </w:pPr>
      <w:r>
        <w:rPr>
          <w:rFonts w:hint="eastAsia" w:eastAsia="楷体"/>
          <w:b/>
          <w:sz w:val="28"/>
        </w:rPr>
        <w:t>估价项目名称：</w:t>
      </w:r>
      <w:r>
        <w:rPr>
          <w:rFonts w:hint="eastAsia" w:eastAsia="楷体"/>
          <w:b w:val="0"/>
          <w:bCs/>
          <w:sz w:val="28"/>
          <w:lang w:val="en-US" w:eastAsia="zh-CN"/>
        </w:rPr>
        <w:t>淳安县千岛湖镇</w:t>
      </w:r>
      <w:r>
        <w:rPr>
          <w:rFonts w:hint="eastAsia" w:ascii="楷体" w:hAnsi="楷体" w:eastAsia="楷体"/>
          <w:b w:val="0"/>
          <w:bCs/>
          <w:spacing w:val="-6"/>
          <w:sz w:val="28"/>
          <w:szCs w:val="28"/>
          <w:lang w:val="en-US" w:eastAsia="zh-CN"/>
        </w:rPr>
        <w:t>新安东路5号10841室（号）住宅</w:t>
      </w:r>
    </w:p>
    <w:p>
      <w:pPr>
        <w:spacing w:line="630" w:lineRule="exact"/>
        <w:ind w:left="1892" w:leftChars="901" w:firstLine="0" w:firstLineChars="0"/>
        <w:rPr>
          <w:rFonts w:ascii="楷体" w:hAnsi="楷体" w:eastAsia="楷体"/>
          <w:b w:val="0"/>
          <w:bCs/>
          <w:spacing w:val="-6"/>
          <w:sz w:val="28"/>
          <w:szCs w:val="28"/>
        </w:rPr>
      </w:pPr>
      <w:r>
        <w:rPr>
          <w:rFonts w:hint="eastAsia" w:eastAsia="楷体"/>
          <w:b w:val="0"/>
          <w:bCs/>
          <w:spacing w:val="-6"/>
          <w:sz w:val="28"/>
        </w:rPr>
        <w:t xml:space="preserve">房地产司法估价 </w:t>
      </w:r>
    </w:p>
    <w:p>
      <w:pPr>
        <w:spacing w:line="630" w:lineRule="exact"/>
        <w:ind w:left="1968" w:hanging="1968" w:hangingChars="700"/>
        <w:rPr>
          <w:rFonts w:eastAsia="楷体"/>
          <w:b/>
          <w:sz w:val="28"/>
        </w:rPr>
      </w:pPr>
    </w:p>
    <w:p>
      <w:pPr>
        <w:spacing w:line="630" w:lineRule="exact"/>
        <w:ind w:left="1968" w:hanging="1968" w:hangingChars="700"/>
        <w:rPr>
          <w:rFonts w:hint="eastAsia" w:eastAsia="楷体"/>
          <w:sz w:val="28"/>
          <w:lang w:eastAsia="zh-CN"/>
        </w:rPr>
      </w:pPr>
      <w:r>
        <w:rPr>
          <w:rFonts w:hint="eastAsia" w:eastAsia="楷体"/>
          <w:b/>
          <w:sz w:val="28"/>
        </w:rPr>
        <w:t>估价委托人：</w:t>
      </w:r>
      <w:r>
        <w:rPr>
          <w:rFonts w:hint="eastAsia" w:ascii="楷体" w:hAnsi="楷体" w:eastAsia="楷体"/>
          <w:sz w:val="28"/>
          <w:lang w:eastAsia="zh-CN"/>
        </w:rPr>
        <w:t>淳安县人民法院</w:t>
      </w:r>
    </w:p>
    <w:p>
      <w:pPr>
        <w:spacing w:line="630" w:lineRule="exact"/>
        <w:rPr>
          <w:rFonts w:eastAsia="楷体"/>
          <w:b/>
          <w:sz w:val="28"/>
        </w:rPr>
      </w:pPr>
    </w:p>
    <w:p>
      <w:pPr>
        <w:spacing w:line="630" w:lineRule="exact"/>
        <w:rPr>
          <w:rFonts w:eastAsia="楷体"/>
          <w:sz w:val="28"/>
        </w:rPr>
      </w:pPr>
      <w:r>
        <w:rPr>
          <w:rFonts w:hint="eastAsia" w:eastAsia="楷体"/>
          <w:b/>
          <w:sz w:val="28"/>
        </w:rPr>
        <w:t>房地产估价机构：</w:t>
      </w:r>
      <w:r>
        <w:rPr>
          <w:rFonts w:hint="eastAsia" w:eastAsia="楷体"/>
          <w:sz w:val="28"/>
        </w:rPr>
        <w:t>杭州天平房地产评估有限公司</w:t>
      </w:r>
    </w:p>
    <w:p>
      <w:pPr>
        <w:spacing w:line="630" w:lineRule="exact"/>
        <w:rPr>
          <w:rFonts w:eastAsia="楷体"/>
          <w:b/>
          <w:sz w:val="28"/>
        </w:rPr>
      </w:pPr>
    </w:p>
    <w:p>
      <w:pPr>
        <w:spacing w:line="630" w:lineRule="exact"/>
        <w:rPr>
          <w:rFonts w:ascii="楷体" w:hAnsi="楷体" w:eastAsia="楷体" w:cs="楷体"/>
          <w:sz w:val="28"/>
        </w:rPr>
      </w:pPr>
      <w:r>
        <w:rPr>
          <w:rFonts w:hint="eastAsia" w:eastAsia="楷体"/>
          <w:b/>
          <w:sz w:val="28"/>
        </w:rPr>
        <w:t>注册房地产估价师：</w:t>
      </w:r>
      <w:r>
        <w:rPr>
          <w:rFonts w:hint="eastAsia" w:eastAsia="楷体"/>
          <w:sz w:val="28"/>
          <w:lang w:val="en-US" w:eastAsia="zh-CN"/>
        </w:rPr>
        <w:t>郑  玺</w:t>
      </w:r>
      <w:r>
        <w:rPr>
          <w:rFonts w:hint="eastAsia" w:eastAsia="楷体"/>
          <w:sz w:val="28"/>
        </w:rPr>
        <w:t xml:space="preserve">  </w:t>
      </w:r>
      <w:r>
        <w:rPr>
          <w:rFonts w:hint="eastAsia" w:eastAsia="楷体"/>
          <w:sz w:val="28"/>
          <w:szCs w:val="28"/>
        </w:rPr>
        <w:t>（注册号：</w:t>
      </w:r>
      <w:r>
        <w:rPr>
          <w:rFonts w:hint="eastAsia" w:ascii="楷体" w:hAnsi="楷体" w:eastAsia="楷体" w:cs="楷体"/>
          <w:sz w:val="28"/>
          <w:szCs w:val="28"/>
        </w:rPr>
        <w:t>33201</w:t>
      </w:r>
      <w:r>
        <w:rPr>
          <w:rFonts w:hint="eastAsia" w:ascii="楷体" w:hAnsi="楷体" w:eastAsia="楷体" w:cs="楷体"/>
          <w:sz w:val="28"/>
          <w:szCs w:val="28"/>
          <w:lang w:val="en-US" w:eastAsia="zh-CN"/>
        </w:rPr>
        <w:t>3</w:t>
      </w:r>
      <w:r>
        <w:rPr>
          <w:rFonts w:hint="eastAsia" w:ascii="楷体" w:hAnsi="楷体" w:eastAsia="楷体" w:cs="楷体"/>
          <w:sz w:val="28"/>
          <w:szCs w:val="28"/>
        </w:rPr>
        <w:t>0</w:t>
      </w:r>
      <w:r>
        <w:rPr>
          <w:rFonts w:hint="eastAsia" w:ascii="楷体" w:hAnsi="楷体" w:eastAsia="楷体" w:cs="楷体"/>
          <w:sz w:val="28"/>
          <w:szCs w:val="28"/>
          <w:lang w:val="en-US" w:eastAsia="zh-CN"/>
        </w:rPr>
        <w:t>035</w:t>
      </w:r>
      <w:bookmarkStart w:id="112" w:name="_GoBack"/>
      <w:bookmarkEnd w:id="112"/>
      <w:r>
        <w:rPr>
          <w:rFonts w:hint="eastAsia" w:ascii="楷体" w:hAnsi="楷体" w:eastAsia="楷体" w:cs="楷体"/>
          <w:sz w:val="28"/>
          <w:szCs w:val="28"/>
        </w:rPr>
        <w:t>）</w:t>
      </w:r>
    </w:p>
    <w:p>
      <w:pPr>
        <w:tabs>
          <w:tab w:val="left" w:pos="1701"/>
          <w:tab w:val="left" w:pos="1843"/>
          <w:tab w:val="left" w:pos="1985"/>
          <w:tab w:val="left" w:pos="2127"/>
          <w:tab w:val="left" w:pos="2410"/>
          <w:tab w:val="left" w:pos="2552"/>
        </w:tabs>
        <w:spacing w:line="630" w:lineRule="exact"/>
        <w:ind w:firstLine="2520" w:firstLineChars="900"/>
        <w:rPr>
          <w:rFonts w:ascii="楷体" w:hAnsi="楷体" w:eastAsia="楷体" w:cs="楷体"/>
          <w:sz w:val="28"/>
        </w:rPr>
      </w:pPr>
    </w:p>
    <w:p>
      <w:pPr>
        <w:tabs>
          <w:tab w:val="left" w:pos="1701"/>
          <w:tab w:val="left" w:pos="1843"/>
          <w:tab w:val="left" w:pos="1985"/>
          <w:tab w:val="left" w:pos="2127"/>
          <w:tab w:val="left" w:pos="2410"/>
          <w:tab w:val="left" w:pos="2552"/>
        </w:tabs>
        <w:spacing w:line="630" w:lineRule="exact"/>
        <w:ind w:firstLine="2520" w:firstLineChars="900"/>
        <w:rPr>
          <w:rFonts w:ascii="宋体" w:hAnsi="宋体" w:eastAsia="楷体"/>
          <w:b/>
          <w:sz w:val="28"/>
        </w:rPr>
      </w:pPr>
      <w:r>
        <w:rPr>
          <w:rFonts w:hint="eastAsia" w:ascii="楷体" w:hAnsi="楷体" w:eastAsia="楷体" w:cs="楷体"/>
          <w:sz w:val="28"/>
        </w:rPr>
        <w:t xml:space="preserve">秦振贤  </w:t>
      </w:r>
      <w:r>
        <w:rPr>
          <w:rFonts w:hint="eastAsia" w:ascii="楷体" w:hAnsi="楷体" w:eastAsia="楷体" w:cs="楷体"/>
          <w:sz w:val="28"/>
          <w:szCs w:val="28"/>
        </w:rPr>
        <w:t>（注册号：3320190188）</w:t>
      </w:r>
    </w:p>
    <w:p>
      <w:pPr>
        <w:spacing w:line="630" w:lineRule="exact"/>
        <w:rPr>
          <w:rFonts w:eastAsia="楷体"/>
          <w:sz w:val="28"/>
        </w:rPr>
      </w:pPr>
    </w:p>
    <w:p>
      <w:pPr>
        <w:spacing w:line="630" w:lineRule="exact"/>
        <w:ind w:left="2238" w:hanging="2238" w:hangingChars="796"/>
        <w:rPr>
          <w:rFonts w:eastAsia="楷体"/>
          <w:sz w:val="28"/>
          <w:highlight w:val="none"/>
        </w:rPr>
      </w:pPr>
      <w:r>
        <w:rPr>
          <w:rFonts w:hint="eastAsia" w:eastAsia="楷体"/>
          <w:b/>
          <w:sz w:val="28"/>
        </w:rPr>
        <w:t>估价报告出具日期</w:t>
      </w:r>
      <w:r>
        <w:rPr>
          <w:rFonts w:hint="eastAsia" w:ascii="仿宋_GB2312" w:hAnsi="宋体" w:eastAsia="楷体"/>
          <w:b/>
          <w:sz w:val="28"/>
          <w:szCs w:val="28"/>
        </w:rPr>
        <w:t>：</w:t>
      </w:r>
      <w:r>
        <w:rPr>
          <w:rFonts w:hint="eastAsia" w:eastAsia="楷体"/>
          <w:sz w:val="28"/>
          <w:highlight w:val="none"/>
        </w:rPr>
        <w:t xml:space="preserve"> 二Ο二</w:t>
      </w:r>
      <w:r>
        <w:rPr>
          <w:rFonts w:hint="eastAsia" w:eastAsia="楷体"/>
          <w:sz w:val="28"/>
          <w:highlight w:val="none"/>
          <w:lang w:val="en-US" w:eastAsia="zh-CN"/>
        </w:rPr>
        <w:t>二</w:t>
      </w:r>
      <w:r>
        <w:rPr>
          <w:rFonts w:hint="eastAsia" w:eastAsia="楷体"/>
          <w:sz w:val="28"/>
          <w:highlight w:val="none"/>
        </w:rPr>
        <w:t>年</w:t>
      </w:r>
      <w:r>
        <w:rPr>
          <w:rFonts w:hint="eastAsia" w:eastAsia="楷体"/>
          <w:sz w:val="28"/>
          <w:highlight w:val="none"/>
          <w:lang w:val="en-US" w:eastAsia="zh-CN"/>
        </w:rPr>
        <w:t>八</w:t>
      </w:r>
      <w:r>
        <w:rPr>
          <w:rFonts w:hint="eastAsia" w:eastAsia="楷体"/>
          <w:sz w:val="28"/>
          <w:highlight w:val="none"/>
        </w:rPr>
        <w:t>月</w:t>
      </w:r>
      <w:r>
        <w:rPr>
          <w:rFonts w:hint="eastAsia" w:eastAsia="楷体"/>
          <w:sz w:val="28"/>
          <w:highlight w:val="none"/>
          <w:lang w:val="en-US" w:eastAsia="zh-CN"/>
        </w:rPr>
        <w:t>十五</w:t>
      </w:r>
      <w:r>
        <w:rPr>
          <w:rFonts w:hint="eastAsia" w:eastAsia="楷体"/>
          <w:sz w:val="28"/>
          <w:highlight w:val="none"/>
        </w:rPr>
        <w:t>日</w:t>
      </w:r>
    </w:p>
    <w:p>
      <w:pPr>
        <w:spacing w:line="630" w:lineRule="exact"/>
        <w:jc w:val="center"/>
        <w:rPr>
          <w:rFonts w:ascii="楷体" w:hAnsi="楷体" w:eastAsia="楷体" w:cs="楷体"/>
          <w:color w:val="000000" w:themeColor="text1"/>
          <w:spacing w:val="20"/>
          <w:sz w:val="28"/>
          <w:szCs w:val="28"/>
          <w:highlight w:val="none"/>
        </w:rPr>
      </w:pPr>
    </w:p>
    <w:p>
      <w:pPr>
        <w:spacing w:line="630" w:lineRule="exact"/>
        <w:jc w:val="center"/>
        <w:rPr>
          <w:rFonts w:ascii="楷体" w:hAnsi="楷体" w:eastAsia="楷体" w:cs="楷体"/>
          <w:color w:val="000000" w:themeColor="text1"/>
          <w:spacing w:val="20"/>
          <w:sz w:val="28"/>
          <w:szCs w:val="28"/>
        </w:rPr>
      </w:pPr>
    </w:p>
    <w:p>
      <w:pPr>
        <w:jc w:val="center"/>
        <w:rPr>
          <w:rFonts w:ascii="楷体" w:hAnsi="楷体" w:eastAsia="楷体" w:cs="楷体"/>
          <w:color w:val="000000" w:themeColor="text1"/>
          <w:spacing w:val="20"/>
          <w:sz w:val="28"/>
          <w:szCs w:val="28"/>
        </w:rPr>
      </w:pPr>
    </w:p>
    <w:p>
      <w:pPr>
        <w:jc w:val="center"/>
        <w:rPr>
          <w:rFonts w:ascii="楷体" w:hAnsi="楷体" w:eastAsia="楷体" w:cs="楷体"/>
          <w:color w:val="000000" w:themeColor="text1"/>
          <w:spacing w:val="20"/>
          <w:sz w:val="28"/>
          <w:szCs w:val="28"/>
        </w:rPr>
      </w:pPr>
    </w:p>
    <w:p>
      <w:pPr>
        <w:rPr>
          <w:rFonts w:ascii="楷体" w:hAnsi="楷体" w:eastAsia="楷体" w:cs="楷体"/>
          <w:color w:val="000000" w:themeColor="text1"/>
          <w:sz w:val="28"/>
          <w:szCs w:val="28"/>
        </w:rPr>
        <w:sectPr>
          <w:headerReference r:id="rId3" w:type="first"/>
          <w:pgSz w:w="11906" w:h="16838"/>
          <w:pgMar w:top="1276" w:right="1797" w:bottom="1134" w:left="1797" w:header="907" w:footer="992" w:gutter="0"/>
          <w:pgNumType w:start="1"/>
          <w:cols w:space="720" w:num="1"/>
          <w:titlePg/>
        </w:sectPr>
      </w:pPr>
    </w:p>
    <w:p>
      <w:pPr>
        <w:keepNext w:val="0"/>
        <w:keepLines w:val="0"/>
        <w:pageBreakBefore w:val="0"/>
        <w:widowControl w:val="0"/>
        <w:kinsoku/>
        <w:wordWrap/>
        <w:overflowPunct/>
        <w:topLinePunct w:val="0"/>
        <w:autoSpaceDE/>
        <w:autoSpaceDN/>
        <w:bidi w:val="0"/>
        <w:adjustRightInd/>
        <w:snapToGrid/>
        <w:spacing w:before="0" w:beforeLines="50" w:line="630" w:lineRule="exact"/>
        <w:jc w:val="center"/>
        <w:textAlignment w:val="auto"/>
        <w:rPr>
          <w:rFonts w:ascii="楷体" w:hAnsi="楷体" w:eastAsia="楷体" w:cs="楷体"/>
          <w:b/>
          <w:bCs/>
          <w:color w:val="000000" w:themeColor="text1"/>
          <w:sz w:val="44"/>
          <w:szCs w:val="44"/>
        </w:rPr>
      </w:pPr>
      <w:bookmarkStart w:id="11" w:name="_Toc243366084"/>
      <w:r>
        <w:rPr>
          <w:rFonts w:hint="eastAsia" w:ascii="黑体" w:hAnsi="黑体" w:eastAsia="黑体" w:cs="黑体"/>
          <w:b/>
          <w:bCs/>
          <w:color w:val="000000" w:themeColor="text1"/>
          <w:sz w:val="32"/>
          <w:szCs w:val="32"/>
        </w:rPr>
        <w:t>致估价委托人函</w:t>
      </w:r>
      <w:bookmarkEnd w:id="11"/>
    </w:p>
    <w:p>
      <w:pPr>
        <w:keepNext w:val="0"/>
        <w:keepLines w:val="0"/>
        <w:pageBreakBefore w:val="0"/>
        <w:widowControl w:val="0"/>
        <w:kinsoku/>
        <w:wordWrap/>
        <w:overflowPunct/>
        <w:topLinePunct w:val="0"/>
        <w:autoSpaceDN/>
        <w:bidi w:val="0"/>
        <w:adjustRightInd/>
        <w:snapToGrid/>
        <w:spacing w:line="580" w:lineRule="exact"/>
        <w:rPr>
          <w:rFonts w:eastAsia="楷体"/>
          <w:sz w:val="28"/>
        </w:rPr>
      </w:pPr>
      <w:r>
        <w:rPr>
          <w:rFonts w:hint="eastAsia" w:ascii="楷体" w:hAnsi="楷体" w:eastAsia="楷体"/>
          <w:sz w:val="28"/>
          <w:szCs w:val="28"/>
          <w:lang w:eastAsia="zh-CN"/>
        </w:rPr>
        <w:t>淳安县人民法院</w:t>
      </w:r>
      <w:r>
        <w:rPr>
          <w:rFonts w:hint="eastAsia" w:eastAsia="楷体"/>
          <w:sz w:val="28"/>
        </w:rPr>
        <w:t>：</w:t>
      </w:r>
    </w:p>
    <w:p>
      <w:pPr>
        <w:keepNext w:val="0"/>
        <w:keepLines w:val="0"/>
        <w:pageBreakBefore w:val="0"/>
        <w:widowControl w:val="0"/>
        <w:kinsoku/>
        <w:wordWrap/>
        <w:overflowPunct/>
        <w:topLinePunct w:val="0"/>
        <w:autoSpaceDE w:val="0"/>
        <w:autoSpaceDN/>
        <w:bidi w:val="0"/>
        <w:adjustRightInd/>
        <w:snapToGrid/>
        <w:spacing w:line="580" w:lineRule="exact"/>
        <w:ind w:firstLine="560" w:firstLineChars="200"/>
        <w:textAlignment w:val="bottom"/>
        <w:rPr>
          <w:rFonts w:ascii="楷体" w:hAnsi="楷体" w:eastAsia="楷体" w:cs="楷体"/>
          <w:color w:val="000000"/>
          <w:sz w:val="28"/>
          <w:szCs w:val="28"/>
        </w:rPr>
      </w:pPr>
      <w:r>
        <w:rPr>
          <w:rFonts w:hint="eastAsia" w:ascii="楷体" w:hAnsi="楷体" w:eastAsia="楷体" w:cs="楷体"/>
          <w:color w:val="000000"/>
          <w:sz w:val="28"/>
          <w:szCs w:val="28"/>
        </w:rPr>
        <w:t>受贵方委托，</w:t>
      </w:r>
      <w:r>
        <w:rPr>
          <w:rFonts w:hint="eastAsia" w:ascii="楷体" w:hAnsi="楷体" w:eastAsia="楷体" w:cs="楷体"/>
          <w:color w:val="000000"/>
          <w:sz w:val="28"/>
          <w:szCs w:val="28"/>
          <w:highlight w:val="none"/>
          <w:lang w:val="en-US" w:eastAsia="zh-CN"/>
        </w:rPr>
        <w:t>根据（2022）浙0127委评字第107号《资产价格评估委托书》</w:t>
      </w:r>
      <w:r>
        <w:rPr>
          <w:rFonts w:hint="eastAsia" w:ascii="楷体" w:hAnsi="楷体" w:eastAsia="楷体" w:cs="楷体"/>
          <w:sz w:val="28"/>
          <w:szCs w:val="28"/>
          <w:highlight w:val="none"/>
        </w:rPr>
        <w:t>，</w:t>
      </w:r>
      <w:r>
        <w:rPr>
          <w:rFonts w:hint="eastAsia" w:ascii="楷体" w:hAnsi="楷体" w:eastAsia="楷体" w:cs="楷体"/>
          <w:color w:val="000000"/>
          <w:sz w:val="28"/>
          <w:szCs w:val="28"/>
        </w:rPr>
        <w:t>我们按照估价程序，遵照《中华人民共和国城市房地产管理法》、《房地产估价规范》、</w:t>
      </w:r>
      <w:r>
        <w:rPr>
          <w:rFonts w:hint="eastAsia" w:ascii="楷体" w:hAnsi="楷体" w:eastAsia="楷体"/>
          <w:sz w:val="28"/>
          <w:szCs w:val="28"/>
        </w:rPr>
        <w:t>《最高人民法院关于人民法院确定财产处置参考价若干问题的规定》</w:t>
      </w:r>
      <w:r>
        <w:rPr>
          <w:rFonts w:hint="eastAsia" w:ascii="楷体" w:hAnsi="楷体" w:eastAsia="楷体" w:cs="楷体"/>
          <w:color w:val="000000"/>
          <w:sz w:val="28"/>
          <w:szCs w:val="28"/>
        </w:rPr>
        <w:t xml:space="preserve">等法律法规和技术标准对委托房地产进行了分析、测算和判断，现将估价结果报告如下： </w:t>
      </w:r>
    </w:p>
    <w:p>
      <w:pPr>
        <w:keepNext w:val="0"/>
        <w:keepLines w:val="0"/>
        <w:pageBreakBefore w:val="0"/>
        <w:widowControl w:val="0"/>
        <w:kinsoku/>
        <w:wordWrap/>
        <w:overflowPunct/>
        <w:topLinePunct w:val="0"/>
        <w:autoSpaceDE w:val="0"/>
        <w:autoSpaceDN/>
        <w:bidi w:val="0"/>
        <w:adjustRightInd/>
        <w:snapToGrid/>
        <w:spacing w:line="580" w:lineRule="exact"/>
        <w:ind w:firstLine="560" w:firstLineChars="200"/>
        <w:textAlignment w:val="bottom"/>
        <w:rPr>
          <w:rFonts w:hint="eastAsia" w:ascii="楷体" w:hAnsi="楷体" w:eastAsia="楷体"/>
          <w:sz w:val="28"/>
          <w:szCs w:val="28"/>
        </w:rPr>
      </w:pPr>
      <w:r>
        <w:rPr>
          <w:rFonts w:hint="eastAsia" w:ascii="楷体" w:hAnsi="楷体" w:eastAsia="楷体" w:cs="楷体"/>
          <w:color w:val="000000"/>
          <w:sz w:val="28"/>
          <w:szCs w:val="28"/>
        </w:rPr>
        <w:t>【估价对象】</w:t>
      </w:r>
      <w:r>
        <w:rPr>
          <w:rFonts w:hint="eastAsia" w:ascii="楷体" w:hAnsi="楷体" w:eastAsia="楷体" w:cs="楷体"/>
          <w:color w:val="000000"/>
          <w:sz w:val="28"/>
          <w:szCs w:val="28"/>
          <w:lang w:val="en-US" w:eastAsia="zh-CN"/>
        </w:rPr>
        <w:t>吴成燕、但昌轩所有</w:t>
      </w:r>
      <w:r>
        <w:rPr>
          <w:rFonts w:hint="eastAsia" w:ascii="楷体" w:hAnsi="楷体" w:eastAsia="楷体"/>
          <w:sz w:val="28"/>
          <w:szCs w:val="28"/>
        </w:rPr>
        <w:t>位于</w:t>
      </w:r>
      <w:r>
        <w:rPr>
          <w:rFonts w:hint="eastAsia" w:ascii="楷体" w:hAnsi="楷体" w:eastAsia="楷体"/>
          <w:spacing w:val="-6"/>
          <w:sz w:val="28"/>
          <w:szCs w:val="28"/>
          <w:lang w:eastAsia="zh-CN"/>
        </w:rPr>
        <w:t>淳安县千岛湖镇新安东路5号10841室（号）</w:t>
      </w:r>
      <w:r>
        <w:rPr>
          <w:rFonts w:hint="eastAsia" w:ascii="楷体" w:hAnsi="楷体" w:eastAsia="楷体"/>
          <w:sz w:val="28"/>
          <w:szCs w:val="28"/>
        </w:rPr>
        <w:t>住宅房地产（包含估价对象房屋所有权、国有土地使用权</w:t>
      </w:r>
      <w:r>
        <w:rPr>
          <w:rFonts w:hint="eastAsia" w:ascii="楷体" w:hAnsi="楷体" w:eastAsia="楷体"/>
          <w:sz w:val="28"/>
          <w:szCs w:val="28"/>
          <w:lang w:val="en-US" w:eastAsia="zh-CN"/>
        </w:rPr>
        <w:t>及室内固定装修</w:t>
      </w:r>
      <w:r>
        <w:rPr>
          <w:rFonts w:hint="eastAsia" w:ascii="楷体" w:hAnsi="楷体" w:eastAsia="楷体"/>
          <w:sz w:val="28"/>
          <w:szCs w:val="28"/>
        </w:rPr>
        <w:t>）。估价对象房屋</w:t>
      </w:r>
      <w:r>
        <w:rPr>
          <w:rFonts w:hint="eastAsia" w:ascii="楷体" w:hAnsi="楷体" w:eastAsia="楷体"/>
          <w:sz w:val="28"/>
          <w:szCs w:val="28"/>
          <w:lang w:eastAsia="zh-CN"/>
        </w:rPr>
        <w:t>建筑面积100.23平方米</w:t>
      </w:r>
      <w:r>
        <w:rPr>
          <w:rFonts w:hint="eastAsia" w:ascii="楷体" w:hAnsi="楷体" w:eastAsia="楷体"/>
          <w:sz w:val="28"/>
          <w:szCs w:val="28"/>
        </w:rPr>
        <w:t>，</w:t>
      </w:r>
      <w:r>
        <w:rPr>
          <w:rFonts w:hint="eastAsia" w:ascii="楷体" w:hAnsi="楷体" w:eastAsia="楷体"/>
          <w:sz w:val="28"/>
          <w:szCs w:val="28"/>
          <w:lang w:val="en-US" w:eastAsia="zh-CN"/>
        </w:rPr>
        <w:t>土地使用权面积13.29平方米，共有情况为共同共有，</w:t>
      </w:r>
      <w:r>
        <w:rPr>
          <w:rFonts w:hint="eastAsia" w:ascii="楷体" w:hAnsi="楷体" w:eastAsia="楷体"/>
          <w:sz w:val="28"/>
          <w:szCs w:val="28"/>
          <w:lang w:eastAsia="zh-CN"/>
        </w:rPr>
        <w:t>权利类型为国有建设用地使用权/房屋所有权</w:t>
      </w:r>
      <w:r>
        <w:rPr>
          <w:rFonts w:hint="eastAsia" w:ascii="楷体" w:hAnsi="楷体" w:eastAsia="楷体"/>
          <w:sz w:val="28"/>
          <w:szCs w:val="28"/>
        </w:rPr>
        <w:t>，权利性质为</w:t>
      </w:r>
      <w:r>
        <w:rPr>
          <w:rFonts w:hint="eastAsia" w:ascii="楷体" w:hAnsi="楷体" w:eastAsia="楷体"/>
          <w:sz w:val="28"/>
          <w:szCs w:val="28"/>
          <w:lang w:val="en-US" w:eastAsia="zh-CN"/>
        </w:rPr>
        <w:t>出让/存量房产</w:t>
      </w:r>
      <w:r>
        <w:rPr>
          <w:rFonts w:hint="eastAsia" w:ascii="楷体" w:hAnsi="楷体" w:eastAsia="楷体"/>
          <w:sz w:val="28"/>
          <w:szCs w:val="28"/>
        </w:rPr>
        <w:t>。</w:t>
      </w:r>
    </w:p>
    <w:p>
      <w:pPr>
        <w:keepNext w:val="0"/>
        <w:keepLines w:val="0"/>
        <w:pageBreakBefore w:val="0"/>
        <w:widowControl w:val="0"/>
        <w:kinsoku/>
        <w:wordWrap/>
        <w:overflowPunct/>
        <w:topLinePunct w:val="0"/>
        <w:autoSpaceDE w:val="0"/>
        <w:autoSpaceDN/>
        <w:bidi w:val="0"/>
        <w:adjustRightInd/>
        <w:snapToGrid/>
        <w:spacing w:line="580" w:lineRule="exact"/>
        <w:ind w:firstLine="560" w:firstLineChars="200"/>
        <w:textAlignment w:val="bottom"/>
        <w:rPr>
          <w:rFonts w:ascii="楷体" w:hAnsi="楷体" w:eastAsia="楷体" w:cs="楷体"/>
          <w:color w:val="000000"/>
          <w:sz w:val="28"/>
          <w:szCs w:val="28"/>
        </w:rPr>
      </w:pPr>
      <w:r>
        <w:rPr>
          <w:rFonts w:hint="eastAsia" w:ascii="楷体" w:hAnsi="楷体" w:eastAsia="楷体" w:cs="楷体"/>
          <w:color w:val="000000"/>
          <w:sz w:val="28"/>
          <w:szCs w:val="28"/>
        </w:rPr>
        <w:t>【估价目的】</w:t>
      </w:r>
      <w:r>
        <w:rPr>
          <w:rFonts w:hint="eastAsia" w:ascii="楷体" w:hAnsi="楷体" w:eastAsia="楷体"/>
          <w:sz w:val="28"/>
        </w:rPr>
        <w:t>为人民法院确定财产处置参考价提供参考依据。</w:t>
      </w:r>
    </w:p>
    <w:p>
      <w:pPr>
        <w:keepNext w:val="0"/>
        <w:keepLines w:val="0"/>
        <w:pageBreakBefore w:val="0"/>
        <w:widowControl w:val="0"/>
        <w:kinsoku/>
        <w:wordWrap/>
        <w:overflowPunct/>
        <w:topLinePunct w:val="0"/>
        <w:autoSpaceDE w:val="0"/>
        <w:autoSpaceDN/>
        <w:bidi w:val="0"/>
        <w:adjustRightInd/>
        <w:snapToGrid/>
        <w:spacing w:line="580" w:lineRule="exact"/>
        <w:ind w:firstLine="560" w:firstLineChars="200"/>
        <w:textAlignment w:val="bottom"/>
        <w:rPr>
          <w:rFonts w:ascii="楷体" w:hAnsi="楷体" w:eastAsia="楷体" w:cs="楷体"/>
          <w:color w:val="000000"/>
          <w:sz w:val="28"/>
          <w:szCs w:val="28"/>
        </w:rPr>
      </w:pPr>
      <w:r>
        <w:rPr>
          <w:rFonts w:hint="eastAsia" w:ascii="楷体" w:hAnsi="楷体" w:eastAsia="楷体" w:cs="楷体"/>
          <w:color w:val="000000"/>
          <w:sz w:val="28"/>
          <w:szCs w:val="28"/>
        </w:rPr>
        <w:t>【价值时点】</w:t>
      </w:r>
      <w:r>
        <w:rPr>
          <w:rFonts w:hint="eastAsia" w:ascii="楷体" w:hAnsi="楷体" w:eastAsia="楷体" w:cs="楷体"/>
          <w:color w:val="000000"/>
          <w:sz w:val="28"/>
          <w:szCs w:val="28"/>
          <w:lang w:eastAsia="zh-CN"/>
        </w:rPr>
        <w:t>二Ο二二年八月八日</w:t>
      </w:r>
      <w:r>
        <w:rPr>
          <w:rFonts w:hint="eastAsia" w:ascii="楷体" w:hAnsi="楷体" w:eastAsia="楷体" w:cs="楷体"/>
          <w:color w:val="000000"/>
          <w:sz w:val="28"/>
          <w:szCs w:val="28"/>
        </w:rPr>
        <w:t>(实地查勘</w:t>
      </w:r>
      <w:r>
        <w:rPr>
          <w:rFonts w:hint="eastAsia" w:ascii="楷体" w:hAnsi="楷体" w:eastAsia="楷体" w:cs="楷体"/>
          <w:color w:val="000000"/>
          <w:sz w:val="28"/>
          <w:szCs w:val="28"/>
          <w:lang w:val="en-US" w:eastAsia="zh-CN"/>
        </w:rPr>
        <w:t>之</w:t>
      </w:r>
      <w:r>
        <w:rPr>
          <w:rFonts w:hint="eastAsia" w:ascii="楷体" w:hAnsi="楷体" w:eastAsia="楷体" w:cs="楷体"/>
          <w:color w:val="000000"/>
          <w:sz w:val="28"/>
          <w:szCs w:val="28"/>
        </w:rPr>
        <w:t>日)。</w:t>
      </w:r>
    </w:p>
    <w:p>
      <w:pPr>
        <w:keepNext w:val="0"/>
        <w:keepLines w:val="0"/>
        <w:pageBreakBefore w:val="0"/>
        <w:widowControl w:val="0"/>
        <w:kinsoku/>
        <w:wordWrap/>
        <w:overflowPunct/>
        <w:topLinePunct w:val="0"/>
        <w:autoSpaceDE w:val="0"/>
        <w:autoSpaceDN/>
        <w:bidi w:val="0"/>
        <w:adjustRightInd/>
        <w:snapToGrid/>
        <w:spacing w:line="580" w:lineRule="exact"/>
        <w:ind w:firstLine="560" w:firstLineChars="200"/>
        <w:textAlignment w:val="bottom"/>
        <w:rPr>
          <w:rFonts w:ascii="楷体" w:hAnsi="楷体" w:eastAsia="楷体" w:cs="楷体"/>
          <w:color w:val="000000"/>
          <w:sz w:val="28"/>
          <w:szCs w:val="28"/>
        </w:rPr>
      </w:pPr>
      <w:r>
        <w:rPr>
          <w:rFonts w:hint="eastAsia" w:ascii="楷体" w:hAnsi="楷体" w:eastAsia="楷体" w:cs="楷体"/>
          <w:color w:val="000000"/>
          <w:sz w:val="28"/>
          <w:szCs w:val="28"/>
        </w:rPr>
        <w:t>【价值类型】本次估价结果为估价对象在价值时点的市场价值。</w:t>
      </w:r>
    </w:p>
    <w:p>
      <w:pPr>
        <w:keepNext w:val="0"/>
        <w:keepLines w:val="0"/>
        <w:pageBreakBefore w:val="0"/>
        <w:widowControl w:val="0"/>
        <w:kinsoku/>
        <w:wordWrap/>
        <w:overflowPunct/>
        <w:topLinePunct w:val="0"/>
        <w:autoSpaceDE w:val="0"/>
        <w:autoSpaceDN/>
        <w:bidi w:val="0"/>
        <w:adjustRightInd/>
        <w:snapToGrid/>
        <w:spacing w:line="580" w:lineRule="exact"/>
        <w:ind w:firstLine="560" w:firstLineChars="200"/>
        <w:textAlignment w:val="bottom"/>
        <w:rPr>
          <w:rFonts w:ascii="楷体" w:hAnsi="楷体" w:eastAsia="楷体" w:cs="楷体"/>
          <w:color w:val="000000"/>
          <w:sz w:val="28"/>
          <w:szCs w:val="28"/>
        </w:rPr>
      </w:pPr>
      <w:r>
        <w:rPr>
          <w:rFonts w:hint="eastAsia" w:ascii="楷体" w:hAnsi="楷体" w:eastAsia="楷体" w:cs="楷体"/>
          <w:color w:val="000000"/>
          <w:sz w:val="28"/>
          <w:szCs w:val="28"/>
        </w:rPr>
        <w:t>【估价方法】采用比较法</w:t>
      </w:r>
      <w:r>
        <w:rPr>
          <w:rFonts w:hint="eastAsia" w:ascii="楷体" w:hAnsi="楷体" w:eastAsia="楷体" w:cs="楷体"/>
          <w:color w:val="000000"/>
          <w:sz w:val="28"/>
          <w:szCs w:val="28"/>
          <w:lang w:val="en-US" w:eastAsia="zh-CN"/>
        </w:rPr>
        <w:t>和</w:t>
      </w:r>
      <w:r>
        <w:rPr>
          <w:rFonts w:hint="eastAsia" w:ascii="楷体" w:hAnsi="楷体" w:eastAsia="楷体" w:cs="楷体"/>
          <w:color w:val="000000"/>
          <w:sz w:val="28"/>
          <w:szCs w:val="28"/>
        </w:rPr>
        <w:t>收益法对估价对象进行测算。</w:t>
      </w:r>
    </w:p>
    <w:p>
      <w:pPr>
        <w:keepNext w:val="0"/>
        <w:keepLines w:val="0"/>
        <w:pageBreakBefore w:val="0"/>
        <w:widowControl w:val="0"/>
        <w:kinsoku/>
        <w:wordWrap/>
        <w:overflowPunct/>
        <w:topLinePunct w:val="0"/>
        <w:autoSpaceDN/>
        <w:bidi w:val="0"/>
        <w:adjustRightInd/>
        <w:snapToGrid/>
        <w:spacing w:line="580" w:lineRule="exact"/>
        <w:ind w:firstLine="560" w:firstLineChars="200"/>
        <w:rPr>
          <w:rFonts w:ascii="楷体" w:hAnsi="楷体" w:eastAsia="楷体"/>
          <w:bCs/>
          <w:sz w:val="28"/>
          <w:szCs w:val="22"/>
          <w:highlight w:val="none"/>
        </w:rPr>
      </w:pPr>
      <w:r>
        <w:rPr>
          <w:rFonts w:hint="eastAsia" w:ascii="楷体" w:hAnsi="楷体" w:eastAsia="楷体" w:cs="楷体"/>
          <w:color w:val="000000"/>
          <w:sz w:val="28"/>
          <w:szCs w:val="28"/>
        </w:rPr>
        <w:t>【估价结果】估价对象受本报告估价目的与</w:t>
      </w:r>
      <w:r>
        <w:rPr>
          <w:rFonts w:hint="eastAsia" w:ascii="楷体" w:hAnsi="楷体" w:eastAsia="楷体" w:cs="楷体"/>
          <w:color w:val="000000"/>
          <w:sz w:val="28"/>
          <w:szCs w:val="28"/>
          <w:lang w:val="en-US" w:eastAsia="zh-CN"/>
        </w:rPr>
        <w:t>估价</w:t>
      </w:r>
      <w:r>
        <w:rPr>
          <w:rFonts w:hint="eastAsia" w:ascii="楷体" w:hAnsi="楷体" w:eastAsia="楷体" w:cs="楷体"/>
          <w:color w:val="000000"/>
          <w:sz w:val="28"/>
          <w:szCs w:val="28"/>
        </w:rPr>
        <w:t>假设</w:t>
      </w:r>
      <w:r>
        <w:rPr>
          <w:rFonts w:hint="eastAsia" w:ascii="楷体" w:hAnsi="楷体" w:eastAsia="楷体" w:cs="楷体"/>
          <w:color w:val="000000"/>
          <w:sz w:val="28"/>
          <w:szCs w:val="28"/>
          <w:lang w:val="en-US" w:eastAsia="zh-CN"/>
        </w:rPr>
        <w:t>和</w:t>
      </w:r>
      <w:r>
        <w:rPr>
          <w:rFonts w:hint="eastAsia" w:ascii="楷体" w:hAnsi="楷体" w:eastAsia="楷体" w:cs="楷体"/>
          <w:color w:val="000000"/>
          <w:sz w:val="28"/>
          <w:szCs w:val="28"/>
        </w:rPr>
        <w:t>限制条件制约，于价值时</w:t>
      </w:r>
      <w:r>
        <w:rPr>
          <w:rFonts w:hint="eastAsia" w:ascii="楷体" w:hAnsi="楷体" w:eastAsia="楷体" w:cs="楷体"/>
          <w:color w:val="000000"/>
          <w:sz w:val="28"/>
          <w:szCs w:val="28"/>
          <w:highlight w:val="none"/>
        </w:rPr>
        <w:t>点</w:t>
      </w:r>
      <w:r>
        <w:rPr>
          <w:rFonts w:hint="eastAsia" w:ascii="楷体" w:hAnsi="楷体" w:eastAsia="楷体" w:cs="楷体"/>
          <w:color w:val="000000"/>
          <w:sz w:val="28"/>
          <w:szCs w:val="28"/>
          <w:highlight w:val="none"/>
          <w:lang w:val="en-US" w:eastAsia="zh-CN"/>
        </w:rPr>
        <w:t>的</w:t>
      </w:r>
      <w:r>
        <w:rPr>
          <w:rFonts w:hint="eastAsia" w:ascii="楷体" w:hAnsi="楷体" w:eastAsia="楷体"/>
          <w:sz w:val="28"/>
          <w:highlight w:val="none"/>
        </w:rPr>
        <w:t>市场价值</w:t>
      </w:r>
      <w:r>
        <w:rPr>
          <w:rFonts w:hint="eastAsia" w:ascii="楷体" w:hAnsi="楷体" w:eastAsia="楷体"/>
          <w:sz w:val="28"/>
          <w:highlight w:val="none"/>
          <w:lang w:val="en-US" w:eastAsia="zh-CN"/>
        </w:rPr>
        <w:t>取整</w:t>
      </w:r>
      <w:r>
        <w:rPr>
          <w:rFonts w:hint="eastAsia" w:ascii="楷体" w:hAnsi="楷体" w:eastAsia="楷体"/>
          <w:sz w:val="28"/>
          <w:highlight w:val="none"/>
        </w:rPr>
        <w:t>为</w:t>
      </w:r>
      <w:r>
        <w:rPr>
          <w:rFonts w:hint="eastAsia" w:ascii="楷体" w:hAnsi="楷体" w:eastAsia="楷体"/>
          <w:b/>
          <w:sz w:val="28"/>
          <w:highlight w:val="none"/>
          <w:lang w:val="en-US" w:eastAsia="zh-CN"/>
        </w:rPr>
        <w:t>人民币121万元整（单价12100元/平方米），大写为人民币壹佰贰拾壹万元整。</w:t>
      </w:r>
    </w:p>
    <w:p>
      <w:pPr>
        <w:pStyle w:val="10"/>
        <w:keepNext w:val="0"/>
        <w:keepLines w:val="0"/>
        <w:pageBreakBefore w:val="0"/>
        <w:widowControl w:val="0"/>
        <w:kinsoku/>
        <w:wordWrap/>
        <w:overflowPunct/>
        <w:topLinePunct w:val="0"/>
        <w:autoSpaceDE/>
        <w:autoSpaceDN/>
        <w:bidi w:val="0"/>
        <w:adjustRightInd/>
        <w:snapToGrid/>
        <w:spacing w:before="0" w:after="0" w:afterLines="50" w:line="580" w:lineRule="exact"/>
        <w:ind w:firstLine="560" w:firstLineChars="200"/>
        <w:jc w:val="left"/>
        <w:textAlignment w:val="baseline"/>
        <w:rPr>
          <w:rFonts w:hint="eastAsia" w:ascii="楷体" w:hAnsi="楷体" w:eastAsia="楷体" w:cs="楷体"/>
          <w:color w:val="000000" w:themeColor="text1"/>
          <w:kern w:val="2"/>
          <w:szCs w:val="28"/>
          <w:highlight w:val="none"/>
        </w:rPr>
      </w:pPr>
      <w:r>
        <w:rPr>
          <w:rFonts w:hint="eastAsia" w:ascii="楷体" w:hAnsi="楷体" w:eastAsia="楷体" w:cs="楷体"/>
          <w:color w:val="000000" w:themeColor="text1"/>
          <w:kern w:val="2"/>
          <w:szCs w:val="28"/>
          <w:highlight w:val="none"/>
        </w:rPr>
        <w:t>特此函告！</w:t>
      </w:r>
    </w:p>
    <w:p>
      <w:pPr>
        <w:keepNext w:val="0"/>
        <w:keepLines w:val="0"/>
        <w:pageBreakBefore w:val="0"/>
        <w:widowControl w:val="0"/>
        <w:kinsoku/>
        <w:wordWrap/>
        <w:overflowPunct/>
        <w:topLinePunct w:val="0"/>
        <w:autoSpaceDN/>
        <w:bidi w:val="0"/>
        <w:adjustRightInd/>
        <w:snapToGrid/>
        <w:spacing w:line="580" w:lineRule="exact"/>
        <w:jc w:val="right"/>
        <w:rPr>
          <w:rFonts w:ascii="楷体" w:hAnsi="楷体" w:eastAsia="楷体" w:cs="楷体"/>
          <w:color w:val="000000" w:themeColor="text1"/>
          <w:sz w:val="28"/>
          <w:szCs w:val="28"/>
          <w:highlight w:val="none"/>
        </w:rPr>
      </w:pPr>
      <w:r>
        <w:rPr>
          <w:rFonts w:hint="eastAsia" w:ascii="楷体" w:hAnsi="楷体" w:eastAsia="楷体" w:cs="楷体"/>
          <w:color w:val="000000" w:themeColor="text1"/>
          <w:sz w:val="28"/>
          <w:szCs w:val="28"/>
          <w:highlight w:val="none"/>
        </w:rPr>
        <w:t>杭州天平房地产评估有限公司</w:t>
      </w:r>
    </w:p>
    <w:p>
      <w:pPr>
        <w:keepNext w:val="0"/>
        <w:keepLines w:val="0"/>
        <w:pageBreakBefore w:val="0"/>
        <w:widowControl w:val="0"/>
        <w:kinsoku/>
        <w:wordWrap/>
        <w:overflowPunct/>
        <w:topLinePunct w:val="0"/>
        <w:autoSpaceDN/>
        <w:bidi w:val="0"/>
        <w:adjustRightInd/>
        <w:snapToGrid/>
        <w:spacing w:line="580" w:lineRule="exact"/>
        <w:ind w:firstLine="5880" w:firstLineChars="2100"/>
        <w:jc w:val="left"/>
        <w:rPr>
          <w:rFonts w:ascii="楷体" w:hAnsi="楷体" w:eastAsia="楷体" w:cs="楷体"/>
          <w:color w:val="000000" w:themeColor="text1"/>
          <w:sz w:val="28"/>
          <w:szCs w:val="28"/>
          <w:highlight w:val="none"/>
        </w:rPr>
      </w:pPr>
      <w:r>
        <w:rPr>
          <w:rFonts w:hint="eastAsia" w:ascii="楷体" w:hAnsi="楷体" w:eastAsia="楷体" w:cs="楷体"/>
          <w:color w:val="000000" w:themeColor="text1"/>
          <w:sz w:val="28"/>
          <w:szCs w:val="28"/>
          <w:highlight w:val="none"/>
        </w:rPr>
        <w:t>法定代表人：</w:t>
      </w:r>
      <w:r>
        <w:rPr>
          <w:rFonts w:hint="eastAsia" w:eastAsia="楷体"/>
          <w:sz w:val="28"/>
          <w:szCs w:val="28"/>
          <w:highlight w:val="none"/>
        </w:rPr>
        <w:t>杨甦</w:t>
      </w:r>
    </w:p>
    <w:p>
      <w:pPr>
        <w:keepNext w:val="0"/>
        <w:keepLines w:val="0"/>
        <w:pageBreakBefore w:val="0"/>
        <w:widowControl w:val="0"/>
        <w:kinsoku/>
        <w:wordWrap/>
        <w:overflowPunct/>
        <w:topLinePunct w:val="0"/>
        <w:autoSpaceDN/>
        <w:bidi w:val="0"/>
        <w:adjustRightInd/>
        <w:snapToGrid/>
        <w:spacing w:line="580" w:lineRule="exact"/>
        <w:jc w:val="right"/>
        <w:rPr>
          <w:rFonts w:hint="eastAsia" w:ascii="楷体" w:hAnsi="楷体" w:eastAsia="楷体" w:cs="楷体"/>
          <w:b w:val="0"/>
          <w:bCs w:val="0"/>
          <w:sz w:val="28"/>
          <w:highlight w:val="none"/>
        </w:rPr>
      </w:pPr>
      <w:r>
        <w:rPr>
          <w:rFonts w:hint="eastAsia" w:ascii="楷体" w:hAnsi="楷体" w:eastAsia="楷体" w:cs="楷体"/>
          <w:color w:val="000000" w:themeColor="text1"/>
          <w:sz w:val="28"/>
          <w:szCs w:val="28"/>
          <w:highlight w:val="none"/>
        </w:rPr>
        <w:t xml:space="preserve">                  </w:t>
      </w:r>
      <w:r>
        <w:rPr>
          <w:rFonts w:hint="eastAsia"/>
          <w:sz w:val="28"/>
          <w:highlight w:val="none"/>
        </w:rPr>
        <w:t xml:space="preserve">             </w:t>
      </w:r>
      <w:r>
        <w:rPr>
          <w:rFonts w:hint="eastAsia" w:ascii="楷体" w:hAnsi="楷体" w:eastAsia="楷体" w:cs="楷体"/>
          <w:b w:val="0"/>
          <w:bCs w:val="0"/>
          <w:sz w:val="28"/>
          <w:highlight w:val="none"/>
        </w:rPr>
        <w:t>二Ο二二年</w:t>
      </w:r>
      <w:r>
        <w:rPr>
          <w:rFonts w:hint="eastAsia" w:ascii="楷体" w:hAnsi="楷体" w:eastAsia="楷体" w:cs="楷体"/>
          <w:b w:val="0"/>
          <w:bCs w:val="0"/>
          <w:sz w:val="28"/>
          <w:highlight w:val="none"/>
          <w:lang w:val="en-US" w:eastAsia="zh-CN"/>
        </w:rPr>
        <w:t>八</w:t>
      </w:r>
      <w:r>
        <w:rPr>
          <w:rFonts w:hint="eastAsia" w:ascii="楷体" w:hAnsi="楷体" w:eastAsia="楷体" w:cs="楷体"/>
          <w:b w:val="0"/>
          <w:bCs w:val="0"/>
          <w:sz w:val="28"/>
          <w:highlight w:val="none"/>
        </w:rPr>
        <w:t>月</w:t>
      </w:r>
      <w:r>
        <w:rPr>
          <w:rFonts w:hint="eastAsia" w:ascii="楷体" w:hAnsi="楷体" w:eastAsia="楷体" w:cs="楷体"/>
          <w:b w:val="0"/>
          <w:bCs w:val="0"/>
          <w:sz w:val="28"/>
          <w:highlight w:val="none"/>
          <w:lang w:val="en-US" w:eastAsia="zh-CN"/>
        </w:rPr>
        <w:t>十五</w:t>
      </w:r>
      <w:r>
        <w:rPr>
          <w:rFonts w:hint="eastAsia" w:ascii="楷体" w:hAnsi="楷体" w:eastAsia="楷体" w:cs="楷体"/>
          <w:b w:val="0"/>
          <w:bCs w:val="0"/>
          <w:sz w:val="28"/>
          <w:highlight w:val="none"/>
        </w:rPr>
        <w:t>日</w:t>
      </w:r>
    </w:p>
    <w:p>
      <w:pPr>
        <w:jc w:val="left"/>
        <w:rPr>
          <w:rFonts w:hint="eastAsia" w:ascii="楷体" w:hAnsi="楷体" w:eastAsia="楷体" w:cs="楷体"/>
          <w:color w:val="000000" w:themeColor="text1"/>
          <w:sz w:val="28"/>
          <w:szCs w:val="28"/>
          <w:highlight w:val="none"/>
        </w:rPr>
      </w:pPr>
    </w:p>
    <w:p>
      <w:pPr>
        <w:keepNext w:val="0"/>
        <w:keepLines w:val="0"/>
        <w:pageBreakBefore w:val="0"/>
        <w:widowControl w:val="0"/>
        <w:kinsoku/>
        <w:wordWrap/>
        <w:overflowPunct/>
        <w:topLinePunct w:val="0"/>
        <w:autoSpaceDE/>
        <w:autoSpaceDN/>
        <w:bidi w:val="0"/>
        <w:adjustRightInd/>
        <w:snapToGrid/>
        <w:spacing w:line="630" w:lineRule="exact"/>
        <w:jc w:val="left"/>
        <w:textAlignment w:val="auto"/>
        <w:rPr>
          <w:rFonts w:hint="eastAsia" w:ascii="楷体" w:hAnsi="楷体" w:eastAsia="楷体" w:cs="楷体"/>
          <w:b/>
          <w:bCs/>
          <w:sz w:val="28"/>
          <w:highlight w:val="none"/>
        </w:rPr>
      </w:pPr>
      <w:r>
        <w:rPr>
          <w:rFonts w:hint="eastAsia" w:ascii="楷体" w:hAnsi="楷体" w:eastAsia="楷体" w:cs="楷体"/>
          <w:b/>
          <w:bCs/>
          <w:color w:val="000000" w:themeColor="text1"/>
          <w:sz w:val="28"/>
          <w:szCs w:val="28"/>
          <w:highlight w:val="none"/>
        </w:rPr>
        <w:t>特别提示：</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1、</w:t>
      </w:r>
      <w:r>
        <w:rPr>
          <w:rFonts w:hint="eastAsia" w:ascii="楷体" w:hAnsi="楷体" w:eastAsia="楷体" w:cs="楷体"/>
          <w:b w:val="0"/>
          <w:bCs w:val="0"/>
          <w:sz w:val="28"/>
          <w:highlight w:val="none"/>
        </w:rPr>
        <w:t>以上内容摘自房地产估价报告，请认真阅读房地产估价报告全文。本估价结果受到本估价报告中说明的估价假设和限制条件的制约。本估价报告自出具之日起使用期限壹年。</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2、</w:t>
      </w:r>
      <w:r>
        <w:rPr>
          <w:rFonts w:hint="eastAsia" w:ascii="楷体" w:hAnsi="楷体" w:eastAsia="楷体" w:cs="楷体"/>
          <w:b w:val="0"/>
          <w:bCs w:val="0"/>
          <w:sz w:val="28"/>
          <w:highlight w:val="none"/>
        </w:rPr>
        <w:t>应当按照法律规定和评估报告载明的用途、使用人、使用期限等使用范围使用评估报告。否则，房地产估价机构和注册房地产估价师依法不承担责任；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3、估价</w:t>
      </w:r>
      <w:r>
        <w:rPr>
          <w:rFonts w:hint="eastAsia" w:ascii="楷体" w:hAnsi="楷体" w:eastAsia="楷体" w:cs="楷体"/>
          <w:b w:val="0"/>
          <w:bCs w:val="0"/>
          <w:sz w:val="28"/>
          <w:highlight w:val="none"/>
        </w:rPr>
        <w:t>结果仅为人民法院确定财产处置参考价服务，不是</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对象处置可实现的成交价格，也不应当被视为对</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对象处置成交价格的保证；</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4、</w:t>
      </w:r>
      <w:r>
        <w:rPr>
          <w:rFonts w:hint="eastAsia" w:ascii="楷体" w:hAnsi="楷体" w:eastAsia="楷体" w:cs="楷体"/>
          <w:b w:val="0"/>
          <w:bCs w:val="0"/>
          <w:sz w:val="28"/>
          <w:highlight w:val="none"/>
        </w:rPr>
        <w:t>财产拍卖或者变卖之日与价值时点不一致，可能导致</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结果对应的</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对象状况、房地产市场状况、欠缴税费状况等与财产拍卖或者变卖时的相应状况不一致，发生明显变化的，</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结果应当进行相应调整后才可使用；</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5、</w:t>
      </w:r>
      <w:r>
        <w:rPr>
          <w:rFonts w:hint="eastAsia" w:ascii="楷体" w:hAnsi="楷体" w:eastAsia="楷体" w:cs="楷体"/>
          <w:b w:val="0"/>
          <w:bCs w:val="0"/>
          <w:sz w:val="28"/>
          <w:highlight w:val="none"/>
        </w:rPr>
        <w:t>在</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报告使用期限或者</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结果有效期内，</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报告或者</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结果未使用之前，如果</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对象状况或者房地产市场状况发生明显变化的，</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结果应当进行相应调整后才可使用；</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6、</w:t>
      </w:r>
      <w:r>
        <w:rPr>
          <w:rFonts w:hint="eastAsia" w:ascii="楷体" w:hAnsi="楷体" w:eastAsia="楷体" w:cs="楷体"/>
          <w:b w:val="0"/>
          <w:bCs w:val="0"/>
          <w:sz w:val="28"/>
          <w:highlight w:val="none"/>
        </w:rPr>
        <w:t>当事人、利害关系人收到</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报告后五日内可对</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报告的参照标准、计算方法或者</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结果等向人民法院提出书面异议，本公司将根据异议进行复核并作出书面说明。</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Chars="0" w:firstLine="560" w:firstLineChars="200"/>
        <w:jc w:val="left"/>
        <w:textAlignment w:val="auto"/>
        <w:rPr>
          <w:rFonts w:hint="eastAsia" w:ascii="楷体" w:hAnsi="楷体" w:eastAsia="楷体" w:cs="楷体"/>
          <w:b w:val="0"/>
          <w:bCs w:val="0"/>
          <w:sz w:val="28"/>
          <w:highlight w:val="none"/>
        </w:rPr>
      </w:pPr>
    </w:p>
    <w:p>
      <w:pPr>
        <w:keepNext w:val="0"/>
        <w:keepLines w:val="0"/>
        <w:pageBreakBefore w:val="0"/>
        <w:widowControl w:val="0"/>
        <w:kinsoku/>
        <w:wordWrap/>
        <w:overflowPunct/>
        <w:topLinePunct w:val="0"/>
        <w:autoSpaceDE/>
        <w:autoSpaceDN/>
        <w:bidi w:val="0"/>
        <w:adjustRightInd/>
        <w:snapToGrid/>
        <w:spacing w:line="630" w:lineRule="exact"/>
        <w:jc w:val="left"/>
        <w:textAlignment w:val="auto"/>
        <w:rPr>
          <w:rFonts w:hint="eastAsia" w:ascii="楷体" w:hAnsi="楷体" w:eastAsia="楷体" w:cs="楷体"/>
          <w:b w:val="0"/>
          <w:bCs w:val="0"/>
          <w:sz w:val="28"/>
          <w:highlight w:val="yellow"/>
        </w:rPr>
      </w:pPr>
    </w:p>
    <w:p>
      <w:pPr>
        <w:jc w:val="right"/>
        <w:rPr>
          <w:rFonts w:hint="eastAsia" w:ascii="楷体" w:hAnsi="楷体" w:eastAsia="楷体" w:cs="楷体"/>
          <w:b w:val="0"/>
          <w:bCs w:val="0"/>
          <w:sz w:val="28"/>
          <w:highlight w:val="yellow"/>
        </w:rPr>
      </w:pPr>
    </w:p>
    <w:sdt>
      <w:sdtPr>
        <w:rPr>
          <w:rFonts w:ascii="宋体" w:hAnsi="宋体"/>
          <w:b w:val="0"/>
          <w:bCs w:val="0"/>
          <w:sz w:val="21"/>
          <w:szCs w:val="24"/>
        </w:rPr>
        <w:id w:val="147476667"/>
        <w:docPartObj>
          <w:docPartGallery w:val="Table of Contents"/>
          <w:docPartUnique/>
        </w:docPartObj>
      </w:sdtPr>
      <w:sdtEndPr>
        <w:rPr>
          <w:rFonts w:hint="eastAsia" w:ascii="楷体" w:hAnsi="楷体" w:eastAsia="楷体" w:cs="楷体"/>
          <w:b w:val="0"/>
          <w:bCs w:val="0"/>
          <w:color w:val="000000" w:themeColor="text1"/>
          <w:spacing w:val="20"/>
          <w:sz w:val="28"/>
          <w:szCs w:val="28"/>
        </w:rPr>
      </w:sdtEndPr>
      <w:sdtContent>
        <w:p>
          <w:pPr>
            <w:pStyle w:val="3"/>
            <w:keepNext/>
            <w:keepLines/>
            <w:pageBreakBefore w:val="0"/>
            <w:widowControl w:val="0"/>
            <w:kinsoku/>
            <w:wordWrap/>
            <w:overflowPunct/>
            <w:topLinePunct w:val="0"/>
            <w:autoSpaceDE/>
            <w:autoSpaceDN/>
            <w:bidi w:val="0"/>
            <w:adjustRightInd/>
            <w:snapToGrid w:val="0"/>
            <w:spacing w:before="0" w:beforeLines="50" w:after="0" w:afterLines="50" w:line="630" w:lineRule="exact"/>
            <w:jc w:val="center"/>
            <w:textAlignment w:val="auto"/>
            <w:rPr>
              <w:rFonts w:ascii="楷体" w:hAnsi="楷体" w:cs="楷体"/>
              <w:sz w:val="32"/>
              <w:szCs w:val="40"/>
            </w:rPr>
          </w:pPr>
          <w:bookmarkStart w:id="12" w:name="_Toc25990"/>
          <w:r>
            <w:rPr>
              <w:rFonts w:hint="eastAsia" w:ascii="黑体" w:hAnsi="黑体" w:eastAsia="黑体" w:cs="黑体"/>
              <w:color w:val="000000" w:themeColor="text1"/>
              <w:kern w:val="44"/>
              <w:sz w:val="32"/>
            </w:rPr>
            <w:t>目</w:t>
          </w:r>
          <w:r>
            <w:rPr>
              <w:rFonts w:hint="eastAsia" w:ascii="黑体" w:hAnsi="黑体" w:eastAsia="黑体" w:cs="黑体"/>
              <w:color w:val="000000" w:themeColor="text1"/>
              <w:kern w:val="44"/>
              <w:sz w:val="32"/>
              <w:lang w:val="en-US" w:eastAsia="zh-CN"/>
            </w:rPr>
            <w:t xml:space="preserve">  </w:t>
          </w:r>
          <w:r>
            <w:rPr>
              <w:rFonts w:hint="eastAsia" w:ascii="黑体" w:hAnsi="黑体" w:eastAsia="黑体" w:cs="黑体"/>
              <w:color w:val="000000" w:themeColor="text1"/>
              <w:kern w:val="44"/>
              <w:sz w:val="32"/>
            </w:rPr>
            <w:t>录</w:t>
          </w:r>
          <w:bookmarkEnd w:id="12"/>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4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color w:val="000000" w:themeColor="text1"/>
              <w:spacing w:val="20"/>
              <w:sz w:val="28"/>
              <w:szCs w:val="28"/>
            </w:rPr>
            <w:instrText xml:space="preserve">TOC \o "1-2" \h \u </w:instrText>
          </w:r>
          <w:r>
            <w:rPr>
              <w:rFonts w:hint="eastAsia" w:ascii="楷体" w:hAnsi="楷体" w:eastAsia="楷体" w:cs="楷体"/>
              <w:color w:val="000000" w:themeColor="text1"/>
              <w:spacing w:val="20"/>
              <w:sz w:val="28"/>
              <w:szCs w:val="28"/>
            </w:rPr>
            <w:fldChar w:fldCharType="separate"/>
          </w:r>
        </w:p>
        <w:p>
          <w:pPr>
            <w:pStyle w:val="14"/>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_Toc4397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注册房地产估价师声明</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_Toc4397 </w:instrText>
          </w:r>
          <w:r>
            <w:rPr>
              <w:rFonts w:hint="eastAsia" w:ascii="楷体" w:hAnsi="楷体" w:eastAsia="楷体" w:cs="楷体"/>
              <w:sz w:val="28"/>
              <w:szCs w:val="28"/>
            </w:rPr>
            <w:fldChar w:fldCharType="separate"/>
          </w:r>
          <w:r>
            <w:rPr>
              <w:rFonts w:hint="eastAsia" w:ascii="楷体" w:hAnsi="楷体" w:eastAsia="楷体" w:cs="楷体"/>
              <w:sz w:val="28"/>
              <w:szCs w:val="28"/>
            </w:rPr>
            <w:t>1</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4"/>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_Toc13041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估价假设和限制条件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_Toc13041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4"/>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_Toc26082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估价结果报告</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_Toc26082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_Toc27359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一、估价委托人</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_Toc27359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_Toc3612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二、房地产估价机构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_Toc3612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_Toc25339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三、估价目的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_Toc25339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_Toc26892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四、估价对象</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_Toc26892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_Toc14512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五、价值时点</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_Toc14512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_Toc32275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六、价值类型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_Toc32275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_Toc14677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七、估价原则</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_Toc14677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_Toc23485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八、估价依据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_Toc23485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_Toc21672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九、估价方法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_Toc21672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_Toc27098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十、估价结果</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_Toc27098 </w:instrText>
          </w:r>
          <w:r>
            <w:rPr>
              <w:rFonts w:hint="eastAsia" w:ascii="楷体" w:hAnsi="楷体" w:eastAsia="楷体" w:cs="楷体"/>
              <w:sz w:val="28"/>
              <w:szCs w:val="28"/>
            </w:rPr>
            <w:fldChar w:fldCharType="separate"/>
          </w:r>
          <w:r>
            <w:rPr>
              <w:rFonts w:hint="eastAsia" w:ascii="楷体" w:hAnsi="楷体" w:eastAsia="楷体" w:cs="楷体"/>
              <w:sz w:val="28"/>
              <w:szCs w:val="28"/>
            </w:rPr>
            <w:t>15</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_Toc7064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十一、注册房地产估价师</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_Toc7064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_Toc7944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十二、实地查勘期</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_Toc7944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_Toc15337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十三、估价作业日期</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_Toc15337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_Toc23590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十四、估价报告的</w:t>
          </w:r>
          <w:r>
            <w:rPr>
              <w:rFonts w:hint="eastAsia" w:ascii="楷体" w:hAnsi="楷体" w:cs="楷体"/>
              <w:sz w:val="28"/>
              <w:szCs w:val="28"/>
              <w:lang w:val="en-US" w:eastAsia="zh-CN"/>
            </w:rPr>
            <w:t>使用期限</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_Toc23590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4"/>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_Toc4481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附  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_Toc4481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cs="楷体"/>
              <w:color w:val="000000" w:themeColor="text1"/>
              <w:spacing w:val="20"/>
              <w:sz w:val="28"/>
              <w:szCs w:val="28"/>
            </w:rPr>
            <w:fldChar w:fldCharType="end"/>
          </w:r>
          <w:r>
            <w:rPr>
              <w:rFonts w:hint="eastAsia" w:ascii="楷体" w:hAnsi="楷体" w:eastAsia="楷体"/>
              <w:sz w:val="28"/>
              <w:szCs w:val="28"/>
              <w:lang w:eastAsia="zh-CN"/>
            </w:rPr>
            <w:t>《资产价格评估委托书》</w:t>
          </w:r>
          <w:r>
            <w:rPr>
              <w:rFonts w:hint="eastAsia" w:ascii="楷体" w:hAnsi="楷体" w:eastAsia="楷体"/>
              <w:sz w:val="28"/>
              <w:szCs w:val="28"/>
            </w:rPr>
            <w:t>复印件</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估价对象位置图</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估价对象实景照片</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淳安县不动产权属信息查询记录</w:t>
          </w:r>
          <w:r>
            <w:rPr>
              <w:rFonts w:hint="eastAsia" w:ascii="楷体" w:hAnsi="楷体" w:eastAsia="楷体"/>
              <w:sz w:val="28"/>
              <w:szCs w:val="28"/>
            </w:rPr>
            <w:t>》复印件</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估价机构营业执照</w:t>
          </w:r>
          <w:r>
            <w:rPr>
              <w:rFonts w:hint="eastAsia" w:ascii="楷体" w:hAnsi="楷体" w:eastAsia="楷体"/>
              <w:sz w:val="28"/>
              <w:szCs w:val="28"/>
              <w:lang w:val="en-US" w:eastAsia="zh-CN"/>
            </w:rPr>
            <w:t>影</w:t>
          </w:r>
          <w:r>
            <w:rPr>
              <w:rFonts w:hint="eastAsia" w:ascii="楷体" w:hAnsi="楷体" w:eastAsia="楷体"/>
              <w:sz w:val="28"/>
              <w:szCs w:val="28"/>
            </w:rPr>
            <w:t>印件</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估价机构备案证书</w:t>
          </w:r>
          <w:r>
            <w:rPr>
              <w:rFonts w:hint="eastAsia" w:ascii="楷体" w:hAnsi="楷体" w:eastAsia="楷体"/>
              <w:sz w:val="28"/>
              <w:szCs w:val="28"/>
              <w:lang w:val="en-US" w:eastAsia="zh-CN"/>
            </w:rPr>
            <w:t>影</w:t>
          </w:r>
          <w:r>
            <w:rPr>
              <w:rFonts w:hint="eastAsia" w:ascii="楷体" w:hAnsi="楷体" w:eastAsia="楷体"/>
              <w:sz w:val="28"/>
              <w:szCs w:val="28"/>
            </w:rPr>
            <w:t>印件</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房地产估价师注册证</w:t>
          </w:r>
          <w:r>
            <w:rPr>
              <w:rFonts w:hint="eastAsia" w:ascii="楷体" w:hAnsi="楷体" w:eastAsia="楷体"/>
              <w:sz w:val="28"/>
              <w:szCs w:val="28"/>
              <w:lang w:val="en-US" w:eastAsia="zh-CN"/>
            </w:rPr>
            <w:t>影</w:t>
          </w:r>
          <w:r>
            <w:rPr>
              <w:rFonts w:hint="eastAsia" w:ascii="楷体" w:hAnsi="楷体" w:eastAsia="楷体"/>
              <w:sz w:val="28"/>
              <w:szCs w:val="28"/>
            </w:rPr>
            <w:t>印件</w:t>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630" w:lineRule="exact"/>
            <w:ind w:left="0" w:leftChars="0"/>
            <w:jc w:val="left"/>
            <w:textAlignment w:val="auto"/>
            <w:outlineLvl w:val="0"/>
            <w:rPr>
              <w:rFonts w:hint="eastAsia" w:ascii="楷体" w:hAnsi="楷体" w:eastAsia="楷体" w:cs="楷体"/>
              <w:color w:val="000000" w:themeColor="text1"/>
              <w:spacing w:val="20"/>
              <w:sz w:val="28"/>
              <w:szCs w:val="28"/>
            </w:rPr>
            <w:sectPr>
              <w:headerReference r:id="rId4" w:type="default"/>
              <w:footerReference r:id="rId5" w:type="default"/>
              <w:pgSz w:w="11906" w:h="16838"/>
              <w:pgMar w:top="1276" w:right="1701" w:bottom="1276" w:left="1797" w:header="907" w:footer="992" w:gutter="0"/>
              <w:pgNumType w:start="1"/>
              <w:cols w:space="0" w:num="1"/>
            </w:sectPr>
          </w:pPr>
        </w:p>
      </w:sdtContent>
    </w:sdt>
    <w:p>
      <w:pPr>
        <w:pStyle w:val="2"/>
        <w:keepNext/>
        <w:keepLines/>
        <w:pageBreakBefore w:val="0"/>
        <w:widowControl w:val="0"/>
        <w:kinsoku/>
        <w:wordWrap/>
        <w:overflowPunct/>
        <w:topLinePunct w:val="0"/>
        <w:autoSpaceDE/>
        <w:autoSpaceDN/>
        <w:bidi w:val="0"/>
        <w:adjustRightInd/>
        <w:snapToGrid/>
        <w:spacing w:before="0" w:beforeLines="50" w:after="0" w:afterLines="50" w:line="630" w:lineRule="exact"/>
        <w:textAlignment w:val="auto"/>
        <w:rPr>
          <w:rFonts w:ascii="黑体" w:hAnsi="黑体" w:eastAsia="黑体" w:cs="黑体"/>
          <w:color w:val="000000" w:themeColor="text1"/>
          <w:szCs w:val="32"/>
        </w:rPr>
      </w:pPr>
      <w:bookmarkStart w:id="13" w:name="_Toc4397"/>
      <w:bookmarkStart w:id="14" w:name="_Toc24170"/>
      <w:bookmarkStart w:id="15" w:name="_Toc5981"/>
      <w:r>
        <w:rPr>
          <w:rFonts w:hint="eastAsia" w:ascii="黑体" w:hAnsi="黑体" w:eastAsia="黑体" w:cs="黑体"/>
          <w:color w:val="000000" w:themeColor="text1"/>
          <w:szCs w:val="32"/>
        </w:rPr>
        <w:t>注册房地产估价师声明</w:t>
      </w:r>
      <w:bookmarkEnd w:id="13"/>
      <w:bookmarkEnd w:id="14"/>
      <w:bookmarkEnd w:id="15"/>
    </w:p>
    <w:p>
      <w:pPr>
        <w:spacing w:line="630" w:lineRule="exact"/>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我们郑重声明：</w:t>
      </w:r>
    </w:p>
    <w:p>
      <w:pPr>
        <w:numPr>
          <w:ilvl w:val="0"/>
          <w:numId w:val="2"/>
        </w:numPr>
        <w:spacing w:line="630" w:lineRule="exact"/>
        <w:ind w:firstLine="560" w:firstLineChars="200"/>
        <w:rPr>
          <w:rFonts w:ascii="楷体" w:hAnsi="楷体" w:eastAsia="楷体"/>
          <w:sz w:val="28"/>
        </w:rPr>
      </w:pPr>
      <w:bookmarkStart w:id="16" w:name="_Toc14494"/>
      <w:r>
        <w:rPr>
          <w:rFonts w:hint="eastAsia" w:ascii="楷体" w:hAnsi="楷体" w:eastAsia="楷体"/>
          <w:sz w:val="28"/>
        </w:rPr>
        <w:t>注册房地产估价师在本估价报告中对事实的说明是真实的和准确的，没有虚假记载、误导性陈述和重大遗漏。</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本估价报告中的分析、意见和结论是注册房地产估价师独立、客观、公正的专业分析、意见和结论，但受到本估价报告中已说明的假设和限制条件的限制。</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注册房地产估价师与估价报告中的估价对象没有现实或潜在的利益，与估价委托人及估价利害关系人没有利害关系，也对估价对象、估价委托人及估价利害关系人没有偏见。</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我们依照中华人民共和国国家标准《房地产估价规范》</w:t>
      </w:r>
      <w:r>
        <w:rPr>
          <w:rFonts w:hint="eastAsia" w:ascii="楷体" w:hAnsi="楷体" w:eastAsia="楷体"/>
          <w:sz w:val="28"/>
          <w:lang w:eastAsia="zh-CN"/>
        </w:rPr>
        <w:t>（</w:t>
      </w:r>
      <w:r>
        <w:rPr>
          <w:rFonts w:hint="eastAsia" w:ascii="楷体" w:hAnsi="楷体" w:eastAsia="楷体"/>
          <w:sz w:val="28"/>
          <w:lang w:val="en-US" w:eastAsia="zh-CN"/>
        </w:rPr>
        <w:t>GB/T 50291-2015</w:t>
      </w:r>
      <w:r>
        <w:rPr>
          <w:rFonts w:hint="eastAsia" w:ascii="楷体" w:hAnsi="楷体" w:eastAsia="楷体"/>
          <w:sz w:val="28"/>
          <w:lang w:eastAsia="zh-CN"/>
        </w:rPr>
        <w:t>）、</w:t>
      </w:r>
      <w:r>
        <w:rPr>
          <w:rFonts w:hint="eastAsia" w:ascii="楷体" w:hAnsi="楷体" w:eastAsia="楷体"/>
          <w:sz w:val="28"/>
        </w:rPr>
        <w:t>《房地产估价基本术语标准》</w:t>
      </w:r>
      <w:r>
        <w:rPr>
          <w:rFonts w:hint="eastAsia" w:ascii="楷体" w:hAnsi="楷体" w:eastAsia="楷体"/>
          <w:sz w:val="28"/>
          <w:lang w:eastAsia="zh-CN"/>
        </w:rPr>
        <w:t>（</w:t>
      </w:r>
      <w:r>
        <w:rPr>
          <w:rFonts w:hint="eastAsia" w:ascii="楷体" w:hAnsi="楷体" w:eastAsia="楷体"/>
          <w:sz w:val="28"/>
          <w:lang w:val="en-US" w:eastAsia="zh-CN"/>
        </w:rPr>
        <w:t>GB/T 50889-2013</w:t>
      </w:r>
      <w:r>
        <w:rPr>
          <w:rFonts w:hint="eastAsia" w:ascii="楷体" w:hAnsi="楷体" w:eastAsia="楷体"/>
          <w:sz w:val="28"/>
          <w:lang w:eastAsia="zh-CN"/>
        </w:rPr>
        <w:t>）</w:t>
      </w:r>
      <w:r>
        <w:rPr>
          <w:rFonts w:hint="eastAsia" w:ascii="楷体" w:hAnsi="楷体" w:eastAsia="楷体"/>
          <w:sz w:val="28"/>
          <w:lang w:val="en-US" w:eastAsia="zh-CN"/>
        </w:rPr>
        <w:t>及《涉执房地产处置司法评估指导意见（试行）》（中房学[2021]37号）</w:t>
      </w:r>
      <w:r>
        <w:rPr>
          <w:rFonts w:hint="eastAsia" w:ascii="楷体" w:hAnsi="楷体" w:eastAsia="楷体"/>
          <w:sz w:val="28"/>
        </w:rPr>
        <w:t>进行分析,形成意见和结论,撰写估价报告。</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注册房地产估价</w:t>
      </w:r>
      <w:r>
        <w:rPr>
          <w:rFonts w:hint="eastAsia" w:ascii="楷体" w:hAnsi="楷体" w:eastAsia="楷体"/>
          <w:sz w:val="28"/>
          <w:highlight w:val="none"/>
        </w:rPr>
        <w:t>师</w:t>
      </w:r>
      <w:r>
        <w:rPr>
          <w:rFonts w:hint="eastAsia" w:ascii="楷体" w:hAnsi="楷体" w:eastAsia="楷体"/>
          <w:sz w:val="28"/>
          <w:highlight w:val="none"/>
          <w:lang w:val="en-US" w:eastAsia="zh-CN"/>
        </w:rPr>
        <w:t>秦振贤</w:t>
      </w:r>
      <w:r>
        <w:rPr>
          <w:rFonts w:hint="eastAsia" w:ascii="楷体" w:hAnsi="楷体" w:eastAsia="楷体"/>
          <w:sz w:val="28"/>
          <w:highlight w:val="none"/>
        </w:rPr>
        <w:t>已于</w:t>
      </w:r>
      <w:r>
        <w:rPr>
          <w:rFonts w:hint="eastAsia" w:ascii="楷体" w:hAnsi="楷体" w:eastAsia="楷体"/>
          <w:sz w:val="28"/>
          <w:highlight w:val="none"/>
          <w:lang w:eastAsia="zh-CN"/>
        </w:rPr>
        <w:t>二Ο二二年八月八日</w:t>
      </w:r>
      <w:r>
        <w:rPr>
          <w:rFonts w:hint="eastAsia" w:ascii="楷体" w:hAnsi="楷体" w:eastAsia="楷体"/>
          <w:sz w:val="28"/>
          <w:highlight w:val="none"/>
        </w:rPr>
        <w:t>对本估</w:t>
      </w:r>
      <w:r>
        <w:rPr>
          <w:rFonts w:hint="eastAsia" w:ascii="楷体" w:hAnsi="楷体" w:eastAsia="楷体"/>
          <w:sz w:val="28"/>
        </w:rPr>
        <w:t>价报告中的估价对象进行了实地查勘。</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没有外部专家和单位对本报告提供重要专业帮助。</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本估价报告由杭州天平房地产评估有限公司负责解释。</w:t>
      </w:r>
    </w:p>
    <w:p>
      <w:pPr>
        <w:pStyle w:val="2"/>
        <w:keepNext/>
        <w:keepLines/>
        <w:pageBreakBefore w:val="0"/>
        <w:widowControl w:val="0"/>
        <w:kinsoku/>
        <w:wordWrap/>
        <w:overflowPunct/>
        <w:topLinePunct w:val="0"/>
        <w:autoSpaceDE/>
        <w:autoSpaceDN/>
        <w:bidi w:val="0"/>
        <w:adjustRightInd/>
        <w:snapToGrid/>
        <w:spacing w:before="0" w:beforeLines="50" w:after="0" w:afterLines="50" w:line="630" w:lineRule="exact"/>
        <w:textAlignment w:val="auto"/>
        <w:rPr>
          <w:rFonts w:ascii="黑体" w:hAnsi="黑体" w:eastAsia="黑体" w:cs="黑体"/>
          <w:color w:val="000000" w:themeColor="text1"/>
          <w:szCs w:val="32"/>
        </w:rPr>
      </w:pPr>
      <w:r>
        <w:rPr>
          <w:rFonts w:hint="eastAsia" w:ascii="楷体" w:hAnsi="楷体" w:eastAsia="楷体" w:cs="楷体"/>
          <w:color w:val="000000" w:themeColor="text1"/>
        </w:rPr>
        <w:br w:type="page"/>
      </w:r>
      <w:bookmarkStart w:id="17" w:name="_Toc25102"/>
      <w:bookmarkStart w:id="18" w:name="_Toc13041"/>
      <w:bookmarkStart w:id="19" w:name="_Toc2702"/>
      <w:r>
        <w:rPr>
          <w:rFonts w:hint="eastAsia" w:ascii="黑体" w:hAnsi="黑体" w:eastAsia="黑体" w:cs="黑体"/>
          <w:color w:val="000000" w:themeColor="text1"/>
          <w:szCs w:val="32"/>
        </w:rPr>
        <w:t>估价假设和限制条件</w:t>
      </w:r>
      <w:bookmarkEnd w:id="16"/>
      <w:bookmarkEnd w:id="17"/>
      <w:bookmarkEnd w:id="18"/>
      <w:bookmarkEnd w:id="19"/>
    </w:p>
    <w:p>
      <w:pPr>
        <w:spacing w:line="630" w:lineRule="exact"/>
        <w:ind w:firstLine="562" w:firstLineChars="200"/>
        <w:outlineLvl w:val="0"/>
        <w:rPr>
          <w:rFonts w:ascii="楷体" w:hAnsi="楷体" w:eastAsia="楷体" w:cs="楷体"/>
          <w:b/>
          <w:color w:val="000000" w:themeColor="text1"/>
          <w:sz w:val="28"/>
          <w:szCs w:val="28"/>
        </w:rPr>
      </w:pPr>
      <w:bookmarkStart w:id="20" w:name="_Toc22254"/>
      <w:bookmarkStart w:id="21" w:name="_Toc30421"/>
      <w:r>
        <w:rPr>
          <w:rFonts w:hint="eastAsia" w:ascii="楷体" w:hAnsi="楷体" w:eastAsia="楷体" w:cs="楷体"/>
          <w:b/>
          <w:color w:val="000000" w:themeColor="text1"/>
          <w:sz w:val="28"/>
          <w:szCs w:val="28"/>
        </w:rPr>
        <w:t>一、一般假设</w:t>
      </w:r>
      <w:bookmarkEnd w:id="20"/>
      <w:bookmarkEnd w:id="21"/>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估价对象在价值时点的房地产市场为公开、平等、自愿的交易市场，即能满足以下条件：1、交易双方自愿地进行交易；2、交易双方处于利己动机进行交易；3、交易双方精明、谨慎行事，并了解交易对象、知晓市场行情；4、交易双方有较充裕的时间进行交易；5、不存在买者因特殊兴趣而给予附加出价。</w:t>
      </w:r>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sz w:val="28"/>
          <w:highlight w:val="none"/>
          <w:lang w:val="en-US" w:eastAsia="zh-CN"/>
        </w:rPr>
        <w:t>淳安县规划和自然资源局</w:t>
      </w:r>
      <w:r>
        <w:rPr>
          <w:rFonts w:hint="eastAsia" w:ascii="楷体" w:hAnsi="楷体" w:eastAsia="楷体" w:cs="楷体"/>
          <w:color w:val="000000" w:themeColor="text1"/>
          <w:sz w:val="28"/>
          <w:szCs w:val="28"/>
        </w:rPr>
        <w:t>提供了估价对象的</w:t>
      </w:r>
      <w:r>
        <w:rPr>
          <w:rFonts w:hint="eastAsia" w:ascii="楷体" w:hAnsi="楷体" w:eastAsia="楷体" w:cs="楷体"/>
          <w:color w:val="000000" w:themeColor="text1"/>
          <w:sz w:val="28"/>
          <w:szCs w:val="28"/>
          <w:highlight w:val="none"/>
        </w:rPr>
        <w:t>《</w:t>
      </w:r>
      <w:r>
        <w:rPr>
          <w:rFonts w:hint="eastAsia" w:ascii="楷体" w:hAnsi="楷体" w:eastAsia="楷体" w:cs="楷体"/>
          <w:color w:val="000000" w:themeColor="text1"/>
          <w:sz w:val="28"/>
          <w:szCs w:val="28"/>
          <w:highlight w:val="none"/>
          <w:lang w:eastAsia="zh-CN"/>
        </w:rPr>
        <w:t>淳安县不动产权属信息查询记录</w:t>
      </w:r>
      <w:r>
        <w:rPr>
          <w:rFonts w:hint="eastAsia" w:ascii="楷体" w:hAnsi="楷体" w:eastAsia="楷体" w:cs="楷体"/>
          <w:color w:val="000000" w:themeColor="text1"/>
          <w:sz w:val="28"/>
          <w:szCs w:val="28"/>
          <w:highlight w:val="none"/>
        </w:rPr>
        <w:t>》</w:t>
      </w:r>
      <w:r>
        <w:rPr>
          <w:rFonts w:hint="eastAsia" w:ascii="楷体" w:hAnsi="楷体" w:eastAsia="楷体" w:cs="楷体"/>
          <w:color w:val="000000" w:themeColor="text1"/>
          <w:sz w:val="28"/>
          <w:szCs w:val="28"/>
          <w:highlight w:val="none"/>
          <w:lang w:eastAsia="zh-CN"/>
        </w:rPr>
        <w:t>，</w:t>
      </w:r>
      <w:r>
        <w:rPr>
          <w:rFonts w:hint="eastAsia" w:ascii="楷体" w:hAnsi="楷体" w:eastAsia="楷体" w:cs="楷体"/>
          <w:color w:val="000000" w:themeColor="text1"/>
          <w:sz w:val="28"/>
          <w:szCs w:val="28"/>
        </w:rPr>
        <w:t>我们进行了认真的核对，在无理由怀疑其合法性、真实性、准确性和完整性的情况下，假定</w:t>
      </w:r>
      <w:r>
        <w:rPr>
          <w:rFonts w:hint="eastAsia" w:ascii="楷体" w:hAnsi="楷体" w:eastAsia="楷体" w:cs="楷体"/>
          <w:color w:val="000000" w:themeColor="text1"/>
          <w:sz w:val="28"/>
          <w:szCs w:val="28"/>
          <w:lang w:val="en-US" w:eastAsia="zh-CN"/>
        </w:rPr>
        <w:t>该</w:t>
      </w:r>
      <w:r>
        <w:rPr>
          <w:rFonts w:hint="eastAsia" w:ascii="楷体" w:hAnsi="楷体" w:eastAsia="楷体" w:cs="楷体"/>
          <w:color w:val="000000" w:themeColor="text1"/>
          <w:sz w:val="28"/>
          <w:szCs w:val="28"/>
        </w:rPr>
        <w:t>资料合法、真实、准确、完整。</w:t>
      </w:r>
    </w:p>
    <w:p>
      <w:pPr>
        <w:numPr>
          <w:ilvl w:val="0"/>
          <w:numId w:val="3"/>
        </w:numPr>
        <w:spacing w:line="630" w:lineRule="exact"/>
        <w:rPr>
          <w:rFonts w:ascii="楷体" w:hAnsi="楷体" w:eastAsia="楷体" w:cs="楷体"/>
          <w:color w:val="000000" w:themeColor="text1"/>
          <w:sz w:val="28"/>
          <w:szCs w:val="28"/>
        </w:rPr>
      </w:pPr>
      <w:r>
        <w:rPr>
          <w:rFonts w:hint="eastAsia" w:ascii="楷体_GB2312" w:hAnsi="宋体" w:eastAsia="楷体_GB2312"/>
          <w:sz w:val="28"/>
          <w:szCs w:val="28"/>
        </w:rPr>
        <w:t>注册房地产估价师实地查勘时，对房屋质量安全、环境污染等影响估价对象价值或价格的重大因素给予了关注，但由于受到专业的限制，注册房地产估价师未对其做建筑物基础、房屋结构上的测量和实验。在无理由怀疑估价对象存在安全隐患且无相应的专业机构进行鉴定、检测的情况下，本次估价假设其无建筑物基础、结构等方面的重大质量问题，不存在影响估价对象价值或价格的房屋安全、环境污染等重大不利因素。</w:t>
      </w:r>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注册房地产估价师未对房屋建筑面积进行专业测量，经实地查勘，估价对象房屋建筑面积</w:t>
      </w:r>
      <w:r>
        <w:rPr>
          <w:rFonts w:hint="eastAsia" w:ascii="楷体" w:hAnsi="楷体" w:eastAsia="楷体" w:cs="楷体"/>
          <w:color w:val="000000" w:themeColor="text1"/>
          <w:sz w:val="28"/>
          <w:szCs w:val="28"/>
          <w:lang w:val="en-US" w:eastAsia="zh-CN"/>
        </w:rPr>
        <w:t>与</w:t>
      </w:r>
      <w:r>
        <w:rPr>
          <w:rFonts w:hint="eastAsia" w:ascii="楷体" w:hAnsi="楷体" w:eastAsia="楷体" w:cs="楷体"/>
          <w:color w:val="000000" w:themeColor="text1"/>
          <w:sz w:val="28"/>
          <w:szCs w:val="28"/>
          <w:highlight w:val="none"/>
          <w:lang w:eastAsia="zh-CN"/>
        </w:rPr>
        <w:t>《淳安县不动产权属信息查询记录》</w:t>
      </w:r>
      <w:r>
        <w:rPr>
          <w:rFonts w:hint="eastAsia" w:ascii="楷体" w:hAnsi="楷体" w:eastAsia="楷体" w:cs="楷体"/>
          <w:color w:val="000000" w:themeColor="text1"/>
          <w:sz w:val="28"/>
          <w:szCs w:val="28"/>
          <w:highlight w:val="none"/>
        </w:rPr>
        <w:t>记</w:t>
      </w:r>
      <w:r>
        <w:rPr>
          <w:rFonts w:hint="eastAsia" w:ascii="楷体" w:hAnsi="楷体" w:eastAsia="楷体" w:cs="楷体"/>
          <w:color w:val="000000" w:themeColor="text1"/>
          <w:sz w:val="28"/>
          <w:szCs w:val="28"/>
        </w:rPr>
        <w:t>载建筑面积</w:t>
      </w:r>
      <w:r>
        <w:rPr>
          <w:rFonts w:hint="eastAsia" w:ascii="楷体" w:hAnsi="楷体" w:eastAsia="楷体" w:cs="楷体"/>
          <w:color w:val="000000" w:themeColor="text1"/>
          <w:sz w:val="28"/>
          <w:szCs w:val="28"/>
          <w:lang w:val="en-US" w:eastAsia="zh-CN"/>
        </w:rPr>
        <w:t>大体相当</w:t>
      </w:r>
      <w:r>
        <w:rPr>
          <w:rFonts w:hint="eastAsia" w:ascii="楷体" w:hAnsi="楷体" w:eastAsia="楷体" w:cs="楷体"/>
          <w:color w:val="000000" w:themeColor="text1"/>
          <w:sz w:val="28"/>
          <w:szCs w:val="28"/>
        </w:rPr>
        <w:t>。</w:t>
      </w:r>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任何有关估价对象的运作方式、程序符合国家、地方的有关法律、法规、文件、政策等，特别是符合建设、规划、房地产主管部门所颁布的法律、法规、文件、政策等，不存在也不涉及任何法律纠纷及权属争议、不受任何权利限制、可以在公开市场上合法地进行转让为假定前提。</w:t>
      </w:r>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 xml:space="preserve">估价对象应享有公共部位的通行权及共用设施的使用权。 </w:t>
      </w:r>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cs="楷体"/>
          <w:color w:val="000000"/>
          <w:sz w:val="28"/>
          <w:szCs w:val="28"/>
        </w:rPr>
        <w:t>本次估价</w:t>
      </w:r>
      <w:r>
        <w:rPr>
          <w:rFonts w:hint="eastAsia" w:ascii="楷体" w:hAnsi="楷体" w:eastAsia="楷体" w:cs="楷体"/>
          <w:color w:val="000000"/>
          <w:sz w:val="28"/>
          <w:szCs w:val="28"/>
          <w:lang w:val="en-US" w:eastAsia="zh-CN"/>
        </w:rPr>
        <w:t>房地产市场价值</w:t>
      </w:r>
      <w:r>
        <w:rPr>
          <w:rFonts w:hint="eastAsia" w:ascii="楷体" w:hAnsi="楷体" w:eastAsia="楷体" w:cs="楷体"/>
          <w:color w:val="000000"/>
          <w:sz w:val="28"/>
          <w:szCs w:val="28"/>
        </w:rPr>
        <w:t>采用比较法和收益法进行估价。其中收益法采用报酬资本化法。</w:t>
      </w:r>
      <w:r>
        <w:rPr>
          <w:rFonts w:hint="eastAsia" w:ascii="楷体" w:hAnsi="楷体" w:eastAsia="楷体" w:cs="楷体"/>
          <w:sz w:val="28"/>
        </w:rPr>
        <w:t>根据《房地产估价规范》4.3.2条款内容“报酬资本化法估价时，应区分全剩余寿命模式和持有加转售模式。当收益期较长，难以预测该期限内各年净收益时，宜选用持有加转售模式”。故本次估价收益法采用持有加转售模式。</w:t>
      </w:r>
    </w:p>
    <w:p>
      <w:pPr>
        <w:spacing w:line="630" w:lineRule="exact"/>
        <w:ind w:firstLine="562" w:firstLineChars="200"/>
        <w:outlineLvl w:val="0"/>
        <w:rPr>
          <w:rFonts w:ascii="楷体" w:hAnsi="楷体" w:eastAsia="楷体" w:cs="楷体"/>
          <w:b/>
          <w:color w:val="000000" w:themeColor="text1"/>
          <w:sz w:val="28"/>
          <w:szCs w:val="28"/>
        </w:rPr>
      </w:pPr>
      <w:bookmarkStart w:id="22" w:name="_Toc10440"/>
      <w:bookmarkStart w:id="23" w:name="_Toc32696"/>
      <w:r>
        <w:rPr>
          <w:rFonts w:hint="eastAsia" w:ascii="楷体" w:hAnsi="楷体" w:eastAsia="楷体" w:cs="楷体"/>
          <w:b/>
          <w:color w:val="000000" w:themeColor="text1"/>
          <w:sz w:val="28"/>
          <w:szCs w:val="28"/>
        </w:rPr>
        <w:t>二、未定事项假设：</w:t>
      </w:r>
      <w:bookmarkEnd w:id="22"/>
      <w:bookmarkEnd w:id="23"/>
    </w:p>
    <w:p>
      <w:pPr>
        <w:spacing w:line="630" w:lineRule="exact"/>
        <w:ind w:firstLine="560" w:firstLineChars="20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本报告中无未定事项假设。</w:t>
      </w:r>
    </w:p>
    <w:p>
      <w:pPr>
        <w:spacing w:line="630" w:lineRule="exact"/>
        <w:ind w:firstLine="562" w:firstLineChars="200"/>
        <w:outlineLvl w:val="0"/>
        <w:rPr>
          <w:rFonts w:ascii="楷体" w:hAnsi="楷体" w:eastAsia="楷体" w:cs="楷体"/>
          <w:b/>
          <w:color w:val="000000" w:themeColor="text1"/>
          <w:sz w:val="28"/>
          <w:szCs w:val="28"/>
        </w:rPr>
      </w:pPr>
      <w:bookmarkStart w:id="24" w:name="_Toc29869"/>
      <w:bookmarkStart w:id="25" w:name="_Toc11451"/>
      <w:r>
        <w:rPr>
          <w:rFonts w:hint="eastAsia" w:ascii="楷体" w:hAnsi="楷体" w:eastAsia="楷体" w:cs="楷体"/>
          <w:b/>
          <w:color w:val="000000" w:themeColor="text1"/>
          <w:sz w:val="28"/>
          <w:szCs w:val="28"/>
        </w:rPr>
        <w:t>三、背离事实假设</w:t>
      </w:r>
      <w:bookmarkEnd w:id="24"/>
      <w:bookmarkEnd w:id="25"/>
    </w:p>
    <w:p>
      <w:pPr>
        <w:spacing w:line="630" w:lineRule="exact"/>
        <w:ind w:firstLine="560" w:firstLineChars="200"/>
        <w:outlineLvl w:val="0"/>
        <w:rPr>
          <w:rFonts w:hint="eastAsia" w:ascii="楷体" w:hAnsi="楷体" w:eastAsia="楷体"/>
          <w:sz w:val="28"/>
        </w:rPr>
      </w:pPr>
      <w:bookmarkStart w:id="26" w:name="_Toc26995"/>
      <w:bookmarkStart w:id="27" w:name="_Toc2916"/>
      <w:r>
        <w:rPr>
          <w:rFonts w:hint="eastAsia" w:ascii="楷体" w:hAnsi="楷体" w:eastAsia="楷体"/>
          <w:sz w:val="28"/>
        </w:rPr>
        <w:t>根据《</w:t>
      </w:r>
      <w:r>
        <w:rPr>
          <w:rFonts w:hint="eastAsia" w:ascii="楷体" w:hAnsi="楷体" w:eastAsia="楷体"/>
          <w:sz w:val="28"/>
          <w:lang w:eastAsia="zh-CN"/>
        </w:rPr>
        <w:t>淳安县不动产权属信息查询记录</w:t>
      </w:r>
      <w:r>
        <w:rPr>
          <w:rFonts w:hint="eastAsia" w:ascii="楷体" w:hAnsi="楷体" w:eastAsia="楷体"/>
          <w:sz w:val="28"/>
        </w:rPr>
        <w:t>》记载，至价值时点，估价对象</w:t>
      </w:r>
      <w:r>
        <w:rPr>
          <w:rFonts w:hint="eastAsia" w:ascii="楷体" w:hAnsi="楷体" w:eastAsia="楷体"/>
          <w:sz w:val="28"/>
          <w:lang w:val="en-US" w:eastAsia="zh-CN"/>
        </w:rPr>
        <w:t>已设定抵押、已被司法机关查封，</w:t>
      </w:r>
      <w:r>
        <w:rPr>
          <w:rFonts w:hint="eastAsia" w:ascii="楷体" w:hAnsi="楷体" w:eastAsia="楷体"/>
          <w:sz w:val="28"/>
        </w:rPr>
        <w:t>根据估价目的，本次估价不考虑估价对象</w:t>
      </w:r>
      <w:r>
        <w:rPr>
          <w:rFonts w:hint="eastAsia" w:ascii="楷体" w:hAnsi="楷体" w:eastAsia="楷体"/>
          <w:sz w:val="28"/>
          <w:lang w:val="en-US" w:eastAsia="zh-CN"/>
        </w:rPr>
        <w:t>抵押、查封</w:t>
      </w:r>
      <w:r>
        <w:rPr>
          <w:rFonts w:hint="eastAsia" w:ascii="楷体" w:hAnsi="楷体" w:eastAsia="楷体"/>
          <w:sz w:val="28"/>
        </w:rPr>
        <w:t>状况对房地产市场价值的影响。</w:t>
      </w:r>
      <w:bookmarkEnd w:id="26"/>
    </w:p>
    <w:p>
      <w:pPr>
        <w:spacing w:line="630" w:lineRule="exact"/>
        <w:ind w:firstLine="562" w:firstLineChars="200"/>
        <w:outlineLvl w:val="0"/>
        <w:rPr>
          <w:rFonts w:ascii="楷体" w:hAnsi="楷体" w:eastAsia="楷体" w:cs="楷体"/>
          <w:b/>
          <w:color w:val="000000" w:themeColor="text1"/>
          <w:sz w:val="28"/>
          <w:szCs w:val="28"/>
        </w:rPr>
      </w:pPr>
      <w:bookmarkStart w:id="28" w:name="_Toc20824"/>
      <w:r>
        <w:rPr>
          <w:rFonts w:hint="eastAsia" w:ascii="楷体" w:hAnsi="楷体" w:eastAsia="楷体" w:cs="楷体"/>
          <w:b/>
          <w:color w:val="000000" w:themeColor="text1"/>
          <w:sz w:val="28"/>
          <w:szCs w:val="28"/>
        </w:rPr>
        <w:t>四、不相一致假设</w:t>
      </w:r>
      <w:bookmarkEnd w:id="27"/>
      <w:bookmarkEnd w:id="28"/>
    </w:p>
    <w:p>
      <w:pPr>
        <w:spacing w:line="630" w:lineRule="exact"/>
        <w:ind w:firstLine="560" w:firstLineChars="20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本报告中无不相一致假设。</w:t>
      </w:r>
    </w:p>
    <w:p>
      <w:pPr>
        <w:spacing w:line="630" w:lineRule="exact"/>
        <w:ind w:firstLine="562" w:firstLineChars="200"/>
        <w:outlineLvl w:val="0"/>
        <w:rPr>
          <w:rFonts w:ascii="楷体" w:hAnsi="楷体" w:eastAsia="楷体" w:cs="楷体"/>
          <w:b/>
          <w:color w:val="000000" w:themeColor="text1"/>
          <w:sz w:val="28"/>
          <w:szCs w:val="28"/>
        </w:rPr>
      </w:pPr>
      <w:bookmarkStart w:id="29" w:name="_Toc749"/>
      <w:bookmarkStart w:id="30" w:name="_Toc14640"/>
      <w:r>
        <w:rPr>
          <w:rFonts w:hint="eastAsia" w:ascii="楷体" w:hAnsi="楷体" w:eastAsia="楷体" w:cs="楷体"/>
          <w:b/>
          <w:color w:val="000000" w:themeColor="text1"/>
          <w:sz w:val="28"/>
          <w:szCs w:val="28"/>
        </w:rPr>
        <w:t>五、依据不足假设</w:t>
      </w:r>
      <w:bookmarkEnd w:id="29"/>
      <w:bookmarkEnd w:id="30"/>
    </w:p>
    <w:p>
      <w:pPr>
        <w:spacing w:line="630" w:lineRule="exact"/>
        <w:ind w:firstLine="560" w:firstLineChars="20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本报告中无依据不足假设。</w:t>
      </w:r>
    </w:p>
    <w:p>
      <w:pPr>
        <w:spacing w:line="630" w:lineRule="exact"/>
        <w:ind w:firstLine="562" w:firstLineChars="200"/>
        <w:outlineLvl w:val="0"/>
        <w:rPr>
          <w:rFonts w:hint="default" w:ascii="楷体" w:hAnsi="楷体" w:eastAsia="楷体" w:cs="楷体"/>
          <w:b/>
          <w:color w:val="000000" w:themeColor="text1"/>
          <w:sz w:val="28"/>
          <w:szCs w:val="28"/>
          <w:highlight w:val="yellow"/>
          <w:lang w:val="en-US" w:eastAsia="zh-CN"/>
        </w:rPr>
      </w:pPr>
      <w:bookmarkStart w:id="31" w:name="_Toc8679"/>
      <w:bookmarkStart w:id="32" w:name="_Toc6291"/>
      <w:r>
        <w:rPr>
          <w:rFonts w:hint="eastAsia" w:ascii="楷体" w:hAnsi="楷体" w:eastAsia="楷体" w:cs="楷体"/>
          <w:b/>
          <w:color w:val="000000" w:themeColor="text1"/>
          <w:sz w:val="28"/>
          <w:szCs w:val="28"/>
        </w:rPr>
        <w:t>六、</w:t>
      </w:r>
      <w:bookmarkEnd w:id="31"/>
      <w:r>
        <w:rPr>
          <w:rFonts w:hint="eastAsia" w:ascii="楷体" w:hAnsi="楷体" w:eastAsia="楷体" w:cs="楷体"/>
          <w:b/>
          <w:bCs/>
          <w:sz w:val="28"/>
          <w:szCs w:val="28"/>
        </w:rPr>
        <w:t>估价报告使用限制</w:t>
      </w:r>
      <w:bookmarkEnd w:id="32"/>
      <w:r>
        <w:rPr>
          <w:rFonts w:hint="eastAsia" w:ascii="楷体" w:hAnsi="楷体" w:eastAsia="楷体" w:cs="楷体"/>
          <w:b/>
          <w:bCs/>
          <w:sz w:val="28"/>
          <w:szCs w:val="28"/>
        </w:rPr>
        <w:t>和特殊事项说明</w:t>
      </w:r>
    </w:p>
    <w:p>
      <w:pPr>
        <w:pageBreakBefore w:val="0"/>
        <w:numPr>
          <w:ilvl w:val="0"/>
          <w:numId w:val="4"/>
        </w:numPr>
        <w:kinsoku/>
        <w:wordWrap/>
        <w:overflowPunct/>
        <w:bidi w:val="0"/>
        <w:spacing w:line="630" w:lineRule="exact"/>
        <w:ind w:left="0" w:leftChars="0" w:firstLine="420" w:firstLineChars="0"/>
        <w:rPr>
          <w:rFonts w:ascii="楷体" w:hAnsi="楷体" w:eastAsia="楷体" w:cs="楷体"/>
          <w:color w:val="000000"/>
          <w:w w:val="98"/>
          <w:sz w:val="28"/>
          <w:szCs w:val="28"/>
        </w:rPr>
      </w:pPr>
      <w:bookmarkStart w:id="33" w:name="_Toc17727"/>
      <w:bookmarkStart w:id="34" w:name="_Toc243366087"/>
      <w:r>
        <w:rPr>
          <w:rFonts w:ascii="楷体" w:hAnsi="楷体" w:eastAsia="楷体"/>
          <w:w w:val="98"/>
          <w:sz w:val="28"/>
        </w:rPr>
        <w:t>本次估价结果仅</w:t>
      </w:r>
      <w:r>
        <w:rPr>
          <w:rFonts w:hint="eastAsia" w:ascii="楷体" w:hAnsi="楷体" w:eastAsia="楷体"/>
          <w:w w:val="98"/>
          <w:sz w:val="28"/>
        </w:rPr>
        <w:t>为人民法院确定财产处置参考价提供参考依据</w:t>
      </w:r>
      <w:r>
        <w:rPr>
          <w:rFonts w:ascii="楷体" w:hAnsi="楷体" w:eastAsia="楷体"/>
          <w:w w:val="98"/>
          <w:sz w:val="28"/>
        </w:rPr>
        <w:t>，</w:t>
      </w:r>
      <w:r>
        <w:rPr>
          <w:rFonts w:hint="eastAsia" w:ascii="楷体" w:hAnsi="楷体" w:eastAsia="楷体"/>
          <w:w w:val="98"/>
          <w:sz w:val="28"/>
        </w:rPr>
        <w:t>如</w:t>
      </w:r>
      <w:r>
        <w:rPr>
          <w:rFonts w:ascii="楷体" w:hAnsi="楷体" w:eastAsia="楷体"/>
          <w:w w:val="98"/>
          <w:sz w:val="28"/>
        </w:rPr>
        <w:t>超出此范围</w:t>
      </w:r>
      <w:r>
        <w:rPr>
          <w:rFonts w:hint="eastAsia" w:ascii="楷体" w:hAnsi="楷体" w:eastAsia="楷体"/>
          <w:w w:val="98"/>
          <w:sz w:val="28"/>
        </w:rPr>
        <w:t>则估价结果</w:t>
      </w:r>
      <w:r>
        <w:rPr>
          <w:rFonts w:ascii="楷体" w:hAnsi="楷体" w:eastAsia="楷体"/>
          <w:w w:val="98"/>
          <w:sz w:val="28"/>
        </w:rPr>
        <w:t>无效，本</w:t>
      </w:r>
      <w:r>
        <w:rPr>
          <w:rFonts w:hint="eastAsia" w:ascii="楷体" w:hAnsi="楷体" w:eastAsia="楷体"/>
          <w:w w:val="98"/>
          <w:sz w:val="28"/>
          <w:lang w:eastAsia="zh-CN"/>
        </w:rPr>
        <w:t>估价</w:t>
      </w:r>
      <w:r>
        <w:rPr>
          <w:rFonts w:ascii="楷体" w:hAnsi="楷体" w:eastAsia="楷体"/>
          <w:w w:val="98"/>
          <w:sz w:val="28"/>
        </w:rPr>
        <w:t>机构不负</w:t>
      </w:r>
      <w:r>
        <w:rPr>
          <w:rFonts w:hint="eastAsia" w:ascii="楷体" w:hAnsi="楷体" w:eastAsia="楷体"/>
          <w:w w:val="98"/>
          <w:sz w:val="28"/>
        </w:rPr>
        <w:t>相应的</w:t>
      </w:r>
      <w:r>
        <w:rPr>
          <w:rFonts w:ascii="楷体" w:hAnsi="楷体" w:eastAsia="楷体"/>
          <w:w w:val="98"/>
          <w:sz w:val="28"/>
        </w:rPr>
        <w:t>法律责任。</w:t>
      </w:r>
    </w:p>
    <w:p>
      <w:pPr>
        <w:numPr>
          <w:ilvl w:val="0"/>
          <w:numId w:val="4"/>
        </w:numPr>
        <w:spacing w:line="630" w:lineRule="exact"/>
        <w:rPr>
          <w:rFonts w:ascii="楷体" w:hAnsi="楷体" w:eastAsia="楷体" w:cs="楷体"/>
          <w:color w:val="000000"/>
          <w:sz w:val="28"/>
          <w:szCs w:val="28"/>
        </w:rPr>
      </w:pPr>
      <w:r>
        <w:rPr>
          <w:rFonts w:hint="eastAsia" w:ascii="楷体" w:hAnsi="楷体" w:eastAsia="楷体" w:cs="楷体"/>
          <w:color w:val="000000"/>
          <w:sz w:val="28"/>
          <w:szCs w:val="28"/>
        </w:rPr>
        <w:t>本估价报告仅对估价对象房地产的价值做出合理估测，不作为其权属方面确认的依据，有关权属界定以有关部门认定的为准。</w:t>
      </w:r>
    </w:p>
    <w:p>
      <w:pPr>
        <w:numPr>
          <w:ilvl w:val="0"/>
          <w:numId w:val="4"/>
        </w:numPr>
        <w:spacing w:line="630" w:lineRule="exact"/>
        <w:rPr>
          <w:rFonts w:ascii="楷体" w:hAnsi="楷体" w:eastAsia="楷体" w:cs="楷体"/>
          <w:color w:val="000000"/>
          <w:sz w:val="28"/>
          <w:szCs w:val="28"/>
        </w:rPr>
      </w:pPr>
      <w:r>
        <w:rPr>
          <w:rFonts w:hint="eastAsia" w:ascii="楷体" w:hAnsi="楷体" w:eastAsia="楷体" w:cs="楷体"/>
          <w:color w:val="000000"/>
          <w:sz w:val="28"/>
          <w:szCs w:val="28"/>
        </w:rPr>
        <w:t>本估价报告必须完整使用方为有效，对仅使用本报告中部分内容导致的损失本公司不负任何责任。</w:t>
      </w:r>
    </w:p>
    <w:p>
      <w:pPr>
        <w:numPr>
          <w:ilvl w:val="0"/>
          <w:numId w:val="4"/>
        </w:numPr>
        <w:spacing w:line="630" w:lineRule="exact"/>
        <w:rPr>
          <w:rFonts w:ascii="楷体" w:hAnsi="楷体" w:eastAsia="楷体" w:cs="楷体"/>
          <w:color w:val="000000"/>
          <w:sz w:val="28"/>
          <w:szCs w:val="28"/>
          <w:highlight w:val="none"/>
        </w:rPr>
      </w:pPr>
      <w:r>
        <w:rPr>
          <w:rFonts w:hint="eastAsia" w:ascii="楷体" w:hAnsi="楷体" w:eastAsia="楷体" w:cs="楷体"/>
          <w:color w:val="000000"/>
          <w:sz w:val="28"/>
          <w:szCs w:val="28"/>
        </w:rPr>
        <w:t>本报</w:t>
      </w:r>
      <w:r>
        <w:rPr>
          <w:rFonts w:hint="eastAsia" w:ascii="楷体" w:hAnsi="楷体" w:eastAsia="楷体" w:cs="楷体"/>
          <w:color w:val="000000"/>
          <w:sz w:val="28"/>
          <w:szCs w:val="28"/>
          <w:highlight w:val="none"/>
        </w:rPr>
        <w:t>告</w:t>
      </w:r>
      <w:r>
        <w:rPr>
          <w:rFonts w:hint="eastAsia" w:ascii="楷体" w:hAnsi="楷体" w:eastAsia="楷体" w:cs="楷体"/>
          <w:color w:val="000000"/>
          <w:sz w:val="28"/>
          <w:szCs w:val="28"/>
          <w:highlight w:val="none"/>
          <w:lang w:val="en-US" w:eastAsia="zh-CN"/>
        </w:rPr>
        <w:t>须在估价报告</w:t>
      </w:r>
      <w:r>
        <w:rPr>
          <w:rFonts w:hint="eastAsia" w:ascii="楷体" w:hAnsi="楷体" w:eastAsia="楷体" w:cs="楷体"/>
          <w:color w:val="000000"/>
          <w:sz w:val="28"/>
          <w:szCs w:val="28"/>
          <w:highlight w:val="none"/>
        </w:rPr>
        <w:t>使用期限</w:t>
      </w:r>
      <w:r>
        <w:rPr>
          <w:rFonts w:hint="eastAsia" w:ascii="楷体" w:hAnsi="楷体" w:eastAsia="楷体" w:cs="楷体"/>
          <w:color w:val="000000"/>
          <w:sz w:val="28"/>
          <w:szCs w:val="28"/>
          <w:highlight w:val="none"/>
          <w:lang w:val="en-US" w:eastAsia="zh-CN"/>
        </w:rPr>
        <w:t>内使用。本报告使用期限为</w:t>
      </w:r>
      <w:r>
        <w:rPr>
          <w:rFonts w:hint="eastAsia" w:ascii="楷体" w:hAnsi="楷体" w:eastAsia="楷体" w:cs="楷体"/>
          <w:color w:val="000000"/>
          <w:sz w:val="28"/>
          <w:szCs w:val="28"/>
          <w:highlight w:val="none"/>
        </w:rPr>
        <w:t>壹年（自</w:t>
      </w:r>
      <w:r>
        <w:rPr>
          <w:rFonts w:hint="eastAsia" w:eastAsia="楷体"/>
          <w:sz w:val="28"/>
          <w:highlight w:val="none"/>
        </w:rPr>
        <w:t>二Ο二</w:t>
      </w:r>
      <w:r>
        <w:rPr>
          <w:rFonts w:hint="eastAsia" w:eastAsia="楷体"/>
          <w:sz w:val="28"/>
          <w:highlight w:val="none"/>
          <w:lang w:val="en-US" w:eastAsia="zh-CN"/>
        </w:rPr>
        <w:t>二</w:t>
      </w:r>
      <w:r>
        <w:rPr>
          <w:rFonts w:hint="eastAsia" w:eastAsia="楷体"/>
          <w:sz w:val="28"/>
          <w:highlight w:val="none"/>
        </w:rPr>
        <w:t>年</w:t>
      </w:r>
      <w:r>
        <w:rPr>
          <w:rFonts w:hint="eastAsia" w:eastAsia="楷体"/>
          <w:sz w:val="28"/>
          <w:highlight w:val="none"/>
          <w:lang w:val="en-US" w:eastAsia="zh-CN"/>
        </w:rPr>
        <w:t>八</w:t>
      </w:r>
      <w:r>
        <w:rPr>
          <w:rFonts w:hint="eastAsia" w:eastAsia="楷体"/>
          <w:sz w:val="28"/>
          <w:highlight w:val="none"/>
        </w:rPr>
        <w:t>月</w:t>
      </w:r>
      <w:r>
        <w:rPr>
          <w:rFonts w:hint="eastAsia" w:eastAsia="楷体"/>
          <w:sz w:val="28"/>
          <w:highlight w:val="none"/>
          <w:lang w:val="en-US" w:eastAsia="zh-CN"/>
        </w:rPr>
        <w:t>十五</w:t>
      </w:r>
      <w:r>
        <w:rPr>
          <w:rFonts w:hint="eastAsia" w:eastAsia="楷体"/>
          <w:sz w:val="28"/>
          <w:highlight w:val="none"/>
        </w:rPr>
        <w:t>日</w:t>
      </w:r>
      <w:r>
        <w:rPr>
          <w:rFonts w:hint="eastAsia" w:ascii="楷体" w:hAnsi="楷体" w:eastAsia="楷体" w:cs="楷体"/>
          <w:color w:val="000000"/>
          <w:sz w:val="28"/>
          <w:szCs w:val="28"/>
          <w:highlight w:val="none"/>
        </w:rPr>
        <w:t>至二Ο二</w:t>
      </w:r>
      <w:r>
        <w:rPr>
          <w:rFonts w:hint="eastAsia" w:ascii="楷体" w:hAnsi="楷体" w:eastAsia="楷体" w:cs="楷体"/>
          <w:color w:val="000000"/>
          <w:sz w:val="28"/>
          <w:szCs w:val="28"/>
          <w:highlight w:val="none"/>
          <w:lang w:val="en-US" w:eastAsia="zh-CN"/>
        </w:rPr>
        <w:t>三</w:t>
      </w:r>
      <w:r>
        <w:rPr>
          <w:rFonts w:hint="eastAsia" w:ascii="楷体" w:hAnsi="楷体" w:eastAsia="楷体" w:cs="楷体"/>
          <w:color w:val="000000"/>
          <w:sz w:val="28"/>
          <w:szCs w:val="28"/>
          <w:highlight w:val="none"/>
        </w:rPr>
        <w:t>年</w:t>
      </w:r>
      <w:r>
        <w:rPr>
          <w:rFonts w:hint="eastAsia" w:ascii="楷体" w:hAnsi="楷体" w:eastAsia="楷体" w:cs="楷体"/>
          <w:color w:val="000000"/>
          <w:sz w:val="28"/>
          <w:szCs w:val="28"/>
          <w:highlight w:val="none"/>
          <w:lang w:val="en-US" w:eastAsia="zh-CN"/>
        </w:rPr>
        <w:t>八</w:t>
      </w:r>
      <w:r>
        <w:rPr>
          <w:rFonts w:hint="eastAsia" w:ascii="楷体" w:hAnsi="楷体" w:eastAsia="楷体" w:cs="楷体"/>
          <w:color w:val="000000"/>
          <w:sz w:val="28"/>
          <w:szCs w:val="28"/>
          <w:highlight w:val="none"/>
        </w:rPr>
        <w:t>月</w:t>
      </w:r>
      <w:r>
        <w:rPr>
          <w:rFonts w:hint="eastAsia" w:ascii="楷体" w:hAnsi="楷体" w:eastAsia="楷体" w:cs="楷体"/>
          <w:color w:val="000000"/>
          <w:sz w:val="28"/>
          <w:szCs w:val="28"/>
          <w:highlight w:val="none"/>
          <w:lang w:val="en-US" w:eastAsia="zh-CN"/>
        </w:rPr>
        <w:t>十四</w:t>
      </w:r>
      <w:r>
        <w:rPr>
          <w:rFonts w:hint="eastAsia" w:ascii="楷体" w:hAnsi="楷体" w:eastAsia="楷体" w:cs="楷体"/>
          <w:color w:val="000000"/>
          <w:sz w:val="28"/>
          <w:szCs w:val="28"/>
          <w:highlight w:val="none"/>
        </w:rPr>
        <w:t>日止）。</w:t>
      </w:r>
      <w:r>
        <w:rPr>
          <w:rFonts w:hint="eastAsia" w:ascii="楷体" w:hAnsi="楷体" w:eastAsia="楷体"/>
          <w:sz w:val="28"/>
          <w:highlight w:val="none"/>
        </w:rPr>
        <w:t>在评估报告使用期限内，估价报告或者估价结果未使用之前，如果估价对象</w:t>
      </w:r>
      <w:r>
        <w:rPr>
          <w:rFonts w:hint="eastAsia" w:ascii="楷体" w:hAnsi="楷体" w:eastAsia="楷体"/>
          <w:sz w:val="28"/>
          <w:highlight w:val="none"/>
          <w:lang w:val="en-US" w:eastAsia="zh-CN"/>
        </w:rPr>
        <w:t>实体、法律权属</w:t>
      </w:r>
      <w:r>
        <w:rPr>
          <w:rFonts w:hint="eastAsia" w:ascii="楷体" w:hAnsi="楷体" w:eastAsia="楷体"/>
          <w:sz w:val="28"/>
          <w:highlight w:val="none"/>
        </w:rPr>
        <w:t>状况或者房地产市场状况发生明显变化的，估价结果应当进行相应调整后才可使用</w:t>
      </w:r>
      <w:r>
        <w:rPr>
          <w:rFonts w:ascii="楷体" w:hAnsi="楷体" w:eastAsia="楷体"/>
          <w:sz w:val="28"/>
          <w:highlight w:val="none"/>
        </w:rPr>
        <w:t>。</w:t>
      </w:r>
    </w:p>
    <w:p>
      <w:pPr>
        <w:numPr>
          <w:ilvl w:val="0"/>
          <w:numId w:val="4"/>
        </w:numPr>
        <w:spacing w:line="630" w:lineRule="exact"/>
        <w:rPr>
          <w:rFonts w:ascii="楷体" w:hAnsi="楷体" w:eastAsia="楷体" w:cs="楷体"/>
          <w:color w:val="000000"/>
          <w:sz w:val="28"/>
          <w:szCs w:val="28"/>
          <w:highlight w:val="none"/>
        </w:rPr>
      </w:pPr>
      <w:r>
        <w:rPr>
          <w:rFonts w:hint="eastAsia" w:ascii="楷体" w:hAnsi="楷体" w:eastAsia="楷体" w:cs="楷体"/>
          <w:color w:val="000000"/>
          <w:sz w:val="28"/>
          <w:szCs w:val="28"/>
          <w:highlight w:val="none"/>
        </w:rPr>
        <w:t>本估价报告估价结果在满足全部假设与限制条件下成立。</w:t>
      </w:r>
    </w:p>
    <w:p>
      <w:pPr>
        <w:numPr>
          <w:ilvl w:val="0"/>
          <w:numId w:val="4"/>
        </w:numPr>
        <w:spacing w:line="630" w:lineRule="exact"/>
        <w:rPr>
          <w:rFonts w:ascii="楷体" w:hAnsi="楷体" w:eastAsia="楷体" w:cs="楷体"/>
          <w:color w:val="000000"/>
          <w:sz w:val="28"/>
          <w:szCs w:val="28"/>
        </w:rPr>
      </w:pPr>
      <w:r>
        <w:rPr>
          <w:rFonts w:hint="eastAsia" w:ascii="楷体" w:hAnsi="楷体" w:eastAsia="楷体" w:cs="楷体"/>
          <w:color w:val="000000"/>
          <w:sz w:val="28"/>
          <w:szCs w:val="28"/>
        </w:rPr>
        <w:t>对于本次</w:t>
      </w:r>
      <w:r>
        <w:rPr>
          <w:rFonts w:hint="eastAsia" w:ascii="楷体" w:hAnsi="楷体" w:eastAsia="楷体" w:cs="楷体"/>
          <w:color w:val="000000"/>
          <w:sz w:val="28"/>
          <w:szCs w:val="28"/>
          <w:lang w:val="en-US" w:eastAsia="zh-CN"/>
        </w:rPr>
        <w:t>交易</w:t>
      </w:r>
      <w:r>
        <w:rPr>
          <w:rFonts w:hint="eastAsia" w:ascii="楷体" w:hAnsi="楷体" w:eastAsia="楷体" w:cs="楷体"/>
          <w:color w:val="000000"/>
          <w:sz w:val="28"/>
          <w:szCs w:val="28"/>
        </w:rPr>
        <w:t>卖</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rPr>
        <w:t>买方应负担的税费具体涉及税种及计算方法如下：</w:t>
      </w:r>
    </w:p>
    <w:tbl>
      <w:tblPr>
        <w:tblStyle w:val="19"/>
        <w:tblW w:w="4998" w:type="pct"/>
        <w:jc w:val="center"/>
        <w:shd w:val="clear" w:color="auto" w:fill="auto"/>
        <w:tblLayout w:type="autofit"/>
        <w:tblCellMar>
          <w:top w:w="0" w:type="dxa"/>
          <w:left w:w="0" w:type="dxa"/>
          <w:bottom w:w="0" w:type="dxa"/>
          <w:right w:w="0" w:type="dxa"/>
        </w:tblCellMar>
      </w:tblPr>
      <w:tblGrid>
        <w:gridCol w:w="1020"/>
        <w:gridCol w:w="1220"/>
        <w:gridCol w:w="2925"/>
        <w:gridCol w:w="1139"/>
        <w:gridCol w:w="2121"/>
      </w:tblGrid>
      <w:tr>
        <w:tblPrEx>
          <w:shd w:val="clear" w:color="auto" w:fill="auto"/>
          <w:tblCellMar>
            <w:top w:w="0" w:type="dxa"/>
            <w:left w:w="0" w:type="dxa"/>
            <w:bottom w:w="0" w:type="dxa"/>
            <w:right w:w="0" w:type="dxa"/>
          </w:tblCellMar>
        </w:tblPrEx>
        <w:trPr>
          <w:trHeight w:val="340" w:hRule="atLeast"/>
          <w:jc w:val="center"/>
        </w:trPr>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税费种类</w:t>
            </w: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税率及计算方法</w:t>
            </w:r>
          </w:p>
        </w:tc>
      </w:tr>
      <w:tr>
        <w:tblPrEx>
          <w:shd w:val="clear" w:color="auto" w:fill="auto"/>
          <w:tblCellMar>
            <w:top w:w="0" w:type="dxa"/>
            <w:left w:w="0" w:type="dxa"/>
            <w:bottom w:w="0" w:type="dxa"/>
            <w:right w:w="0" w:type="dxa"/>
          </w:tblCellMar>
        </w:tblPrEx>
        <w:trPr>
          <w:trHeight w:val="340" w:hRule="atLeast"/>
          <w:jc w:val="center"/>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kern w:val="0"/>
                <w:sz w:val="20"/>
                <w:szCs w:val="20"/>
                <w:highlight w:val="none"/>
                <w:u w:val="none"/>
                <w:lang w:val="en-US" w:eastAsia="zh-CN" w:bidi="ar"/>
              </w:rPr>
            </w:pPr>
            <w:r>
              <w:rPr>
                <w:rFonts w:hint="eastAsia" w:ascii="楷体" w:hAnsi="楷体" w:eastAsia="楷体" w:cs="楷体"/>
                <w:b w:val="0"/>
                <w:bCs w:val="0"/>
                <w:i w:val="0"/>
                <w:color w:val="000000"/>
                <w:kern w:val="0"/>
                <w:sz w:val="20"/>
                <w:szCs w:val="20"/>
                <w:highlight w:val="none"/>
                <w:u w:val="none"/>
                <w:lang w:val="en-US" w:eastAsia="zh-CN" w:bidi="ar"/>
              </w:rPr>
              <w:t>交易时卖方</w:t>
            </w:r>
          </w:p>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应缴纳税费</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增值税及附加</w:t>
            </w: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未满2年，不含税收入</w:t>
            </w:r>
            <w:r>
              <w:rPr>
                <w:rStyle w:val="32"/>
                <w:rFonts w:hint="eastAsia" w:ascii="楷体" w:hAnsi="楷体" w:eastAsia="楷体" w:cs="楷体"/>
                <w:b w:val="0"/>
                <w:bCs w:val="0"/>
                <w:sz w:val="20"/>
                <w:szCs w:val="20"/>
                <w:highlight w:val="none"/>
                <w:lang w:val="en-US" w:eastAsia="zh-CN" w:bidi="ar"/>
              </w:rPr>
              <w:t>×</w:t>
            </w:r>
            <w:r>
              <w:rPr>
                <w:rStyle w:val="47"/>
                <w:rFonts w:hint="eastAsia" w:ascii="楷体" w:hAnsi="楷体" w:eastAsia="楷体" w:cs="楷体"/>
                <w:b w:val="0"/>
                <w:bCs w:val="0"/>
                <w:sz w:val="20"/>
                <w:szCs w:val="20"/>
                <w:highlight w:val="none"/>
                <w:lang w:val="en-US" w:eastAsia="zh-CN" w:bidi="ar"/>
              </w:rPr>
              <w:t>5.25%</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超过2年（含），免征</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个人所得税</w:t>
            </w: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转让五年家庭唯一生活住房免征</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（转让收入-房屋原值-合理费用-转让过程中缴纳的税金）</w:t>
            </w:r>
            <w:r>
              <w:rPr>
                <w:rStyle w:val="32"/>
                <w:rFonts w:hint="eastAsia" w:ascii="楷体" w:hAnsi="楷体" w:eastAsia="楷体" w:cs="楷体"/>
                <w:b w:val="0"/>
                <w:bCs w:val="0"/>
                <w:sz w:val="20"/>
                <w:szCs w:val="20"/>
                <w:highlight w:val="none"/>
                <w:lang w:val="en-US" w:eastAsia="zh-CN" w:bidi="ar"/>
              </w:rPr>
              <w:t>×</w:t>
            </w:r>
            <w:r>
              <w:rPr>
                <w:rStyle w:val="47"/>
                <w:rFonts w:hint="eastAsia" w:ascii="楷体" w:hAnsi="楷体" w:eastAsia="楷体" w:cs="楷体"/>
                <w:b w:val="0"/>
                <w:bCs w:val="0"/>
                <w:sz w:val="20"/>
                <w:szCs w:val="20"/>
                <w:highlight w:val="none"/>
                <w:lang w:val="en-US" w:eastAsia="zh-CN" w:bidi="ar"/>
              </w:rPr>
              <w:t>20%</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拍卖住宅未提供完整、准确的房屋原值凭证，按房屋转让收入的3%核定征收</w:t>
            </w:r>
          </w:p>
        </w:tc>
      </w:tr>
      <w:tr>
        <w:tblPrEx>
          <w:shd w:val="clear" w:color="auto" w:fill="auto"/>
          <w:tblCellMar>
            <w:top w:w="0" w:type="dxa"/>
            <w:left w:w="0" w:type="dxa"/>
            <w:bottom w:w="0" w:type="dxa"/>
            <w:right w:w="0" w:type="dxa"/>
          </w:tblCellMar>
        </w:tblPrEx>
        <w:trPr>
          <w:trHeight w:val="340" w:hRule="atLeast"/>
          <w:jc w:val="center"/>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kern w:val="0"/>
                <w:sz w:val="20"/>
                <w:szCs w:val="20"/>
                <w:highlight w:val="none"/>
                <w:u w:val="none"/>
                <w:lang w:val="en-US" w:eastAsia="zh-CN" w:bidi="ar"/>
              </w:rPr>
            </w:pPr>
            <w:r>
              <w:rPr>
                <w:rFonts w:hint="eastAsia" w:ascii="楷体" w:hAnsi="楷体" w:eastAsia="楷体" w:cs="楷体"/>
                <w:b w:val="0"/>
                <w:bCs w:val="0"/>
                <w:i w:val="0"/>
                <w:color w:val="000000"/>
                <w:kern w:val="0"/>
                <w:sz w:val="20"/>
                <w:szCs w:val="20"/>
                <w:highlight w:val="none"/>
                <w:u w:val="none"/>
                <w:lang w:val="en-US" w:eastAsia="zh-CN" w:bidi="ar"/>
              </w:rPr>
              <w:t>交易时买方</w:t>
            </w:r>
          </w:p>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应缴纳税费</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契税</w:t>
            </w:r>
          </w:p>
        </w:tc>
        <w:tc>
          <w:tcPr>
            <w:tcW w:w="173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家庭唯一住房</w:t>
            </w:r>
          </w:p>
        </w:tc>
        <w:tc>
          <w:tcPr>
            <w:tcW w:w="675" w:type="pc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90㎡</w:t>
            </w:r>
            <w:r>
              <w:rPr>
                <w:rStyle w:val="47"/>
                <w:rFonts w:hint="eastAsia" w:ascii="楷体" w:hAnsi="楷体" w:eastAsia="楷体" w:cs="楷体"/>
                <w:b w:val="0"/>
                <w:bCs w:val="0"/>
                <w:sz w:val="20"/>
                <w:szCs w:val="20"/>
                <w:highlight w:val="none"/>
                <w:lang w:val="en-US" w:eastAsia="zh-CN" w:bidi="ar"/>
              </w:rPr>
              <w:t>以上</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成交价格</w:t>
            </w:r>
            <w:r>
              <w:rPr>
                <w:rStyle w:val="32"/>
                <w:rFonts w:hint="eastAsia" w:ascii="楷体" w:hAnsi="楷体" w:eastAsia="楷体" w:cs="楷体"/>
                <w:b w:val="0"/>
                <w:bCs w:val="0"/>
                <w:sz w:val="20"/>
                <w:szCs w:val="20"/>
                <w:highlight w:val="none"/>
                <w:lang w:val="en-US" w:eastAsia="zh-CN" w:bidi="ar"/>
              </w:rPr>
              <w:t>×</w:t>
            </w:r>
            <w:r>
              <w:rPr>
                <w:rStyle w:val="47"/>
                <w:rFonts w:hint="eastAsia" w:ascii="楷体" w:hAnsi="楷体" w:eastAsia="楷体" w:cs="楷体"/>
                <w:b w:val="0"/>
                <w:bCs w:val="0"/>
                <w:sz w:val="20"/>
                <w:szCs w:val="20"/>
                <w:highlight w:val="none"/>
                <w:lang w:val="en-US" w:eastAsia="zh-CN" w:bidi="ar"/>
              </w:rPr>
              <w:t>1.5%</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17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家庭第二套改善性住房</w:t>
            </w:r>
          </w:p>
        </w:tc>
        <w:tc>
          <w:tcPr>
            <w:tcW w:w="675" w:type="pc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90㎡</w:t>
            </w:r>
            <w:r>
              <w:rPr>
                <w:rStyle w:val="47"/>
                <w:rFonts w:hint="eastAsia" w:ascii="楷体" w:hAnsi="楷体" w:eastAsia="楷体" w:cs="楷体"/>
                <w:b w:val="0"/>
                <w:bCs w:val="0"/>
                <w:sz w:val="20"/>
                <w:szCs w:val="20"/>
                <w:highlight w:val="none"/>
                <w:lang w:val="en-US" w:eastAsia="zh-CN" w:bidi="ar"/>
              </w:rPr>
              <w:t>以上</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成交价格</w:t>
            </w:r>
            <w:r>
              <w:rPr>
                <w:rStyle w:val="32"/>
                <w:rFonts w:hint="eastAsia" w:ascii="楷体" w:hAnsi="楷体" w:eastAsia="楷体" w:cs="楷体"/>
                <w:b w:val="0"/>
                <w:bCs w:val="0"/>
                <w:sz w:val="20"/>
                <w:szCs w:val="20"/>
                <w:highlight w:val="none"/>
                <w:lang w:val="en-US" w:eastAsia="zh-CN" w:bidi="ar"/>
              </w:rPr>
              <w:t>×</w:t>
            </w:r>
            <w:r>
              <w:rPr>
                <w:rStyle w:val="47"/>
                <w:rFonts w:hint="eastAsia" w:ascii="楷体" w:hAnsi="楷体" w:eastAsia="楷体" w:cs="楷体"/>
                <w:b w:val="0"/>
                <w:bCs w:val="0"/>
                <w:sz w:val="20"/>
                <w:szCs w:val="20"/>
                <w:highlight w:val="none"/>
                <w:lang w:val="en-US" w:eastAsia="zh-CN" w:bidi="ar"/>
              </w:rPr>
              <w:t>2%</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241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其他</w:t>
            </w:r>
          </w:p>
        </w:tc>
        <w:tc>
          <w:tcPr>
            <w:tcW w:w="125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成交价格</w:t>
            </w:r>
            <w:r>
              <w:rPr>
                <w:rStyle w:val="32"/>
                <w:rFonts w:hint="eastAsia" w:ascii="楷体" w:hAnsi="楷体" w:eastAsia="楷体" w:cs="楷体"/>
                <w:b w:val="0"/>
                <w:bCs w:val="0"/>
                <w:sz w:val="20"/>
                <w:szCs w:val="20"/>
                <w:highlight w:val="none"/>
                <w:lang w:val="en-US" w:eastAsia="zh-CN" w:bidi="ar"/>
              </w:rPr>
              <w:t>×</w:t>
            </w:r>
            <w:r>
              <w:rPr>
                <w:rStyle w:val="47"/>
                <w:rFonts w:hint="eastAsia" w:ascii="楷体" w:hAnsi="楷体" w:eastAsia="楷体" w:cs="楷体"/>
                <w:b w:val="0"/>
                <w:bCs w:val="0"/>
                <w:sz w:val="20"/>
                <w:szCs w:val="20"/>
                <w:highlight w:val="none"/>
                <w:lang w:val="en-US" w:eastAsia="zh-CN" w:bidi="ar"/>
              </w:rPr>
              <w:t>3%</w:t>
            </w:r>
          </w:p>
        </w:tc>
      </w:tr>
      <w:tr>
        <w:tblPrEx>
          <w:shd w:val="clear" w:color="auto" w:fill="auto"/>
          <w:tblCellMar>
            <w:top w:w="0" w:type="dxa"/>
            <w:left w:w="0" w:type="dxa"/>
            <w:bottom w:w="0" w:type="dxa"/>
            <w:right w:w="0" w:type="dxa"/>
          </w:tblCellMar>
        </w:tblPrEx>
        <w:trPr>
          <w:trHeight w:val="34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kern w:val="0"/>
                <w:sz w:val="20"/>
                <w:szCs w:val="20"/>
                <w:highlight w:val="none"/>
                <w:u w:val="none"/>
                <w:lang w:val="en-US" w:eastAsia="zh-CN" w:bidi="ar"/>
              </w:rPr>
            </w:pPr>
            <w:r>
              <w:rPr>
                <w:rFonts w:hint="eastAsia" w:ascii="楷体" w:hAnsi="楷体" w:eastAsia="楷体" w:cs="楷体"/>
                <w:b w:val="0"/>
                <w:bCs w:val="0"/>
                <w:i w:val="0"/>
                <w:color w:val="000000"/>
                <w:kern w:val="0"/>
                <w:sz w:val="20"/>
                <w:szCs w:val="20"/>
                <w:highlight w:val="none"/>
                <w:u w:val="none"/>
                <w:lang w:val="en-US" w:eastAsia="zh-CN" w:bidi="ar"/>
              </w:rPr>
              <w:t>备注：仅供参考，具体税费数额以税务部门实际计算为准。</w:t>
            </w:r>
          </w:p>
        </w:tc>
      </w:tr>
    </w:tbl>
    <w:p>
      <w:pPr>
        <w:numPr>
          <w:ilvl w:val="0"/>
          <w:numId w:val="4"/>
        </w:numPr>
        <w:spacing w:line="630" w:lineRule="exact"/>
        <w:rPr>
          <w:rFonts w:ascii="楷体" w:hAnsi="楷体" w:eastAsia="楷体" w:cs="楷体"/>
          <w:color w:val="000000"/>
          <w:sz w:val="28"/>
          <w:szCs w:val="28"/>
          <w:highlight w:val="none"/>
        </w:rPr>
      </w:pPr>
      <w:r>
        <w:rPr>
          <w:rFonts w:hint="eastAsia" w:ascii="楷体" w:hAnsi="楷体" w:eastAsia="楷体" w:cs="楷体"/>
          <w:color w:val="000000"/>
          <w:sz w:val="28"/>
          <w:szCs w:val="28"/>
          <w:lang w:val="en-US" w:eastAsia="zh-CN"/>
        </w:rPr>
        <w:t>根据估价对象所在物业公司提供数据，</w:t>
      </w:r>
      <w:r>
        <w:rPr>
          <w:rFonts w:hint="eastAsia" w:ascii="楷体" w:hAnsi="楷体" w:eastAsia="楷体" w:cs="楷体"/>
          <w:color w:val="000000"/>
          <w:sz w:val="28"/>
          <w:szCs w:val="28"/>
          <w:highlight w:val="none"/>
        </w:rPr>
        <w:t>至价值时点估价对象</w:t>
      </w:r>
      <w:r>
        <w:rPr>
          <w:rFonts w:hint="eastAsia" w:ascii="楷体" w:hAnsi="楷体" w:eastAsia="楷体" w:cs="楷体"/>
          <w:color w:val="000000"/>
          <w:sz w:val="28"/>
          <w:szCs w:val="28"/>
          <w:highlight w:val="none"/>
          <w:lang w:val="en-US" w:eastAsia="zh-CN"/>
        </w:rPr>
        <w:t>无欠</w:t>
      </w:r>
      <w:r>
        <w:rPr>
          <w:rFonts w:hint="eastAsia" w:ascii="楷体" w:hAnsi="楷体" w:eastAsia="楷体" w:cs="楷体"/>
          <w:color w:val="000000"/>
          <w:sz w:val="28"/>
          <w:szCs w:val="28"/>
          <w:highlight w:val="none"/>
        </w:rPr>
        <w:t>缴</w:t>
      </w:r>
      <w:r>
        <w:rPr>
          <w:rFonts w:hint="eastAsia" w:ascii="楷体" w:hAnsi="楷体" w:eastAsia="楷体" w:cs="楷体"/>
          <w:color w:val="000000"/>
          <w:sz w:val="28"/>
          <w:szCs w:val="28"/>
          <w:highlight w:val="none"/>
          <w:lang w:val="en-US" w:eastAsia="zh-CN"/>
        </w:rPr>
        <w:t>物业费记录，物业费缴纳情况以物业公司实际核算数据为准，</w:t>
      </w:r>
      <w:r>
        <w:rPr>
          <w:rFonts w:hint="eastAsia" w:ascii="楷体" w:hAnsi="楷体" w:eastAsia="楷体" w:cs="楷体"/>
          <w:color w:val="000000"/>
          <w:sz w:val="28"/>
          <w:szCs w:val="28"/>
          <w:highlight w:val="none"/>
        </w:rPr>
        <w:t>提请报告使用人关注。</w:t>
      </w:r>
    </w:p>
    <w:p>
      <w:pPr>
        <w:numPr>
          <w:ilvl w:val="0"/>
          <w:numId w:val="4"/>
        </w:numPr>
        <w:spacing w:line="630" w:lineRule="exact"/>
        <w:rPr>
          <w:rFonts w:ascii="楷体" w:hAnsi="楷体" w:eastAsia="楷体" w:cs="楷体"/>
          <w:color w:val="000000"/>
          <w:sz w:val="28"/>
          <w:szCs w:val="28"/>
        </w:rPr>
      </w:pPr>
      <w:r>
        <w:rPr>
          <w:rFonts w:hint="eastAsia" w:ascii="楷体" w:hAnsi="楷体" w:eastAsia="楷体" w:cs="楷体"/>
          <w:color w:val="000000"/>
          <w:sz w:val="28"/>
          <w:szCs w:val="28"/>
          <w:highlight w:val="none"/>
        </w:rPr>
        <w:t>本估价报告须经本公司盖章及注册房地产估价师签字盖章</w:t>
      </w:r>
      <w:r>
        <w:rPr>
          <w:rFonts w:hint="eastAsia" w:ascii="楷体" w:hAnsi="楷体" w:eastAsia="楷体" w:cs="楷体"/>
          <w:color w:val="000000"/>
          <w:sz w:val="28"/>
          <w:szCs w:val="28"/>
        </w:rPr>
        <w:t>后方为有效，否则，本估价报告的全部或部分复印件均无效。</w:t>
      </w:r>
    </w:p>
    <w:p>
      <w:pPr>
        <w:numPr>
          <w:ilvl w:val="0"/>
          <w:numId w:val="4"/>
        </w:numPr>
        <w:spacing w:line="630" w:lineRule="exact"/>
        <w:ind w:left="0" w:leftChars="0" w:firstLine="420" w:firstLineChars="0"/>
        <w:rPr>
          <w:rFonts w:ascii="楷体" w:hAnsi="楷体" w:eastAsia="楷体" w:cs="楷体"/>
          <w:color w:val="000000"/>
          <w:sz w:val="28"/>
          <w:szCs w:val="28"/>
        </w:rPr>
      </w:pPr>
      <w:r>
        <w:rPr>
          <w:rFonts w:hint="eastAsia" w:ascii="楷体" w:hAnsi="楷体" w:eastAsia="楷体" w:cs="楷体"/>
          <w:color w:val="000000"/>
          <w:sz w:val="28"/>
          <w:szCs w:val="28"/>
        </w:rPr>
        <w:t>本估价报告中数据全部采用电算化连续计算得出，由于在报告中计算的数据均按四舍五入保留两位小数或取整，因此，可能会出现个别等式左右不完全相等的情况，但不影响评估结论的准确性；本次估价报告估价结果以总价为准。</w:t>
      </w:r>
    </w:p>
    <w:p>
      <w:pPr>
        <w:numPr>
          <w:ilvl w:val="0"/>
          <w:numId w:val="4"/>
        </w:numPr>
        <w:spacing w:line="630" w:lineRule="exact"/>
        <w:ind w:left="0" w:leftChars="0" w:firstLine="420" w:firstLineChars="0"/>
        <w:rPr>
          <w:rFonts w:ascii="楷体" w:hAnsi="楷体" w:eastAsia="楷体" w:cs="楷体"/>
          <w:color w:val="000000"/>
          <w:sz w:val="28"/>
          <w:szCs w:val="28"/>
        </w:rPr>
      </w:pPr>
      <w:r>
        <w:rPr>
          <w:rFonts w:hint="eastAsia" w:ascii="楷体" w:hAnsi="楷体" w:eastAsia="楷体" w:cs="楷体"/>
          <w:color w:val="000000"/>
          <w:sz w:val="28"/>
          <w:szCs w:val="28"/>
        </w:rPr>
        <w:t>本估价报告的内容及评估价值等事宜，由本公司负责解释。</w:t>
      </w:r>
    </w:p>
    <w:p>
      <w:pPr>
        <w:spacing w:line="630" w:lineRule="exact"/>
        <w:ind w:firstLine="560" w:firstLineChars="200"/>
        <w:rPr>
          <w:rFonts w:ascii="楷体" w:hAnsi="楷体" w:eastAsia="楷体" w:cs="楷体"/>
          <w:color w:val="000000" w:themeColor="text1"/>
          <w:sz w:val="28"/>
        </w:rPr>
        <w:sectPr>
          <w:footerReference r:id="rId6" w:type="default"/>
          <w:pgSz w:w="11906" w:h="16838"/>
          <w:pgMar w:top="1276" w:right="1701" w:bottom="1276" w:left="1797" w:header="907" w:footer="992" w:gutter="0"/>
          <w:pgNumType w:start="1"/>
          <w:cols w:space="0" w:num="1"/>
        </w:sectPr>
      </w:pPr>
    </w:p>
    <w:p>
      <w:pPr>
        <w:pStyle w:val="2"/>
        <w:keepNext/>
        <w:keepLines/>
        <w:pageBreakBefore w:val="0"/>
        <w:widowControl w:val="0"/>
        <w:kinsoku/>
        <w:wordWrap/>
        <w:overflowPunct/>
        <w:topLinePunct w:val="0"/>
        <w:autoSpaceDE/>
        <w:autoSpaceDN/>
        <w:bidi w:val="0"/>
        <w:adjustRightInd/>
        <w:snapToGrid/>
        <w:spacing w:before="0" w:after="0" w:line="160" w:lineRule="exact"/>
        <w:textAlignment w:val="auto"/>
        <w:rPr>
          <w:rFonts w:hint="eastAsia" w:ascii="黑体" w:hAnsi="黑体" w:eastAsia="黑体" w:cs="黑体"/>
        </w:rPr>
      </w:pPr>
      <w:bookmarkStart w:id="35" w:name="_Toc7440"/>
      <w:bookmarkStart w:id="36" w:name="_Toc24475"/>
      <w:bookmarkStart w:id="37" w:name="_Toc26082"/>
    </w:p>
    <w:p>
      <w:pPr>
        <w:pStyle w:val="2"/>
        <w:keepNext/>
        <w:keepLines/>
        <w:pageBreakBefore w:val="0"/>
        <w:widowControl w:val="0"/>
        <w:kinsoku/>
        <w:wordWrap/>
        <w:overflowPunct/>
        <w:topLinePunct w:val="0"/>
        <w:autoSpaceDE/>
        <w:autoSpaceDN/>
        <w:bidi w:val="0"/>
        <w:adjustRightInd/>
        <w:snapToGrid/>
        <w:spacing w:before="0" w:after="10" w:line="630" w:lineRule="exact"/>
        <w:textAlignment w:val="auto"/>
        <w:rPr>
          <w:rFonts w:hint="eastAsia" w:ascii="黑体" w:hAnsi="黑体" w:eastAsia="黑体" w:cs="黑体"/>
        </w:rPr>
      </w:pPr>
      <w:r>
        <w:rPr>
          <w:rFonts w:hint="eastAsia" w:ascii="黑体" w:hAnsi="黑体" w:eastAsia="黑体" w:cs="黑体"/>
        </w:rPr>
        <w:t>估价结果报告</w:t>
      </w:r>
      <w:bookmarkEnd w:id="33"/>
      <w:bookmarkEnd w:id="34"/>
      <w:bookmarkEnd w:id="35"/>
      <w:bookmarkEnd w:id="36"/>
      <w:bookmarkEnd w:id="37"/>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jc w:val="both"/>
        <w:textAlignment w:val="auto"/>
      </w:pPr>
      <w:bookmarkStart w:id="38" w:name="_Toc451175947"/>
      <w:bookmarkStart w:id="39" w:name="_Toc27359"/>
      <w:bookmarkStart w:id="40" w:name="_Toc19702"/>
      <w:bookmarkStart w:id="41" w:name="_Toc15674"/>
      <w:bookmarkStart w:id="42" w:name="_Toc19004"/>
      <w:bookmarkStart w:id="43" w:name="_Toc404781976"/>
      <w:r>
        <w:rPr>
          <w:rFonts w:hint="eastAsia"/>
        </w:rPr>
        <w:t>估价委托人</w:t>
      </w:r>
      <w:bookmarkEnd w:id="38"/>
      <w:bookmarkEnd w:id="39"/>
      <w:bookmarkEnd w:id="40"/>
      <w:bookmarkEnd w:id="41"/>
    </w:p>
    <w:p>
      <w:pPr>
        <w:spacing w:line="630" w:lineRule="exact"/>
        <w:ind w:left="570"/>
        <w:rPr>
          <w:rFonts w:hint="eastAsia" w:ascii="楷体" w:hAnsi="楷体" w:eastAsia="楷体"/>
          <w:sz w:val="28"/>
          <w:szCs w:val="28"/>
          <w:lang w:eastAsia="zh-CN"/>
        </w:rPr>
      </w:pPr>
      <w:r>
        <w:rPr>
          <w:rFonts w:hint="eastAsia" w:eastAsia="楷体"/>
          <w:b/>
          <w:bCs/>
          <w:sz w:val="28"/>
          <w:lang w:val="en-US" w:eastAsia="zh-CN"/>
        </w:rPr>
        <w:t>名称</w:t>
      </w:r>
      <w:r>
        <w:rPr>
          <w:rFonts w:hint="eastAsia" w:eastAsia="楷体"/>
          <w:sz w:val="28"/>
        </w:rPr>
        <w:t>：</w:t>
      </w:r>
      <w:r>
        <w:rPr>
          <w:rFonts w:hint="eastAsia" w:ascii="楷体" w:hAnsi="楷体" w:eastAsia="楷体"/>
          <w:sz w:val="28"/>
          <w:szCs w:val="28"/>
          <w:lang w:eastAsia="zh-CN"/>
        </w:rPr>
        <w:t>淳安县人民法院</w:t>
      </w:r>
    </w:p>
    <w:p>
      <w:pPr>
        <w:spacing w:line="630" w:lineRule="exact"/>
        <w:ind w:left="570"/>
        <w:rPr>
          <w:rFonts w:hint="default" w:ascii="楷体" w:hAnsi="楷体" w:eastAsia="楷体"/>
          <w:b/>
          <w:bCs/>
          <w:sz w:val="28"/>
          <w:szCs w:val="28"/>
          <w:lang w:val="en-US" w:eastAsia="zh-CN"/>
        </w:rPr>
      </w:pPr>
      <w:r>
        <w:rPr>
          <w:rFonts w:hint="eastAsia" w:ascii="楷体" w:hAnsi="楷体" w:eastAsia="楷体"/>
          <w:b/>
          <w:bCs/>
          <w:sz w:val="28"/>
          <w:szCs w:val="28"/>
          <w:lang w:val="en-US" w:eastAsia="zh-CN"/>
        </w:rPr>
        <w:t>地址:</w:t>
      </w:r>
      <w:r>
        <w:rPr>
          <w:rFonts w:hint="eastAsia" w:ascii="楷体" w:hAnsi="楷体" w:eastAsia="楷体"/>
          <w:b w:val="0"/>
          <w:bCs w:val="0"/>
          <w:sz w:val="28"/>
          <w:szCs w:val="28"/>
          <w:lang w:val="en-US" w:eastAsia="zh-CN"/>
        </w:rPr>
        <w:t>淳安县千岛湖镇曙光路59号</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44" w:name="_Toc451175948"/>
      <w:bookmarkStart w:id="45" w:name="_Toc4727"/>
      <w:bookmarkStart w:id="46" w:name="_Toc3612"/>
      <w:bookmarkStart w:id="47" w:name="_Toc17397"/>
      <w:r>
        <w:rPr>
          <w:rFonts w:hint="eastAsia"/>
        </w:rPr>
        <w:t>房地产估价机构</w:t>
      </w:r>
      <w:bookmarkEnd w:id="44"/>
      <w:bookmarkEnd w:id="45"/>
      <w:bookmarkEnd w:id="46"/>
      <w:bookmarkEnd w:id="47"/>
    </w:p>
    <w:p>
      <w:pPr>
        <w:spacing w:line="630" w:lineRule="exact"/>
        <w:ind w:firstLine="562" w:firstLineChars="200"/>
        <w:rPr>
          <w:rFonts w:ascii="楷体" w:hAnsi="楷体" w:eastAsia="楷体" w:cs="楷体"/>
          <w:sz w:val="28"/>
        </w:rPr>
      </w:pPr>
      <w:r>
        <w:rPr>
          <w:rFonts w:hint="eastAsia" w:ascii="楷体" w:hAnsi="楷体" w:eastAsia="楷体" w:cs="楷体"/>
          <w:b/>
          <w:sz w:val="28"/>
        </w:rPr>
        <w:t>估价机构名称：</w:t>
      </w:r>
      <w:r>
        <w:rPr>
          <w:rFonts w:hint="eastAsia" w:eastAsia="楷体"/>
          <w:sz w:val="28"/>
        </w:rPr>
        <w:t>杭州天平房地产评估有限公司</w:t>
      </w:r>
    </w:p>
    <w:p>
      <w:pPr>
        <w:spacing w:line="630" w:lineRule="exact"/>
        <w:ind w:firstLine="562" w:firstLineChars="200"/>
        <w:rPr>
          <w:rFonts w:ascii="楷体" w:hAnsi="楷体" w:eastAsia="楷体" w:cs="楷体"/>
          <w:sz w:val="28"/>
        </w:rPr>
      </w:pPr>
      <w:r>
        <w:rPr>
          <w:rFonts w:hint="eastAsia" w:ascii="楷体" w:hAnsi="楷体" w:eastAsia="楷体" w:cs="楷体"/>
          <w:b/>
          <w:sz w:val="28"/>
        </w:rPr>
        <w:t>法定代表人：</w:t>
      </w:r>
      <w:r>
        <w:rPr>
          <w:rFonts w:hint="eastAsia" w:eastAsia="楷体"/>
          <w:sz w:val="28"/>
        </w:rPr>
        <w:t>杨甦</w:t>
      </w:r>
    </w:p>
    <w:p>
      <w:pPr>
        <w:spacing w:line="630" w:lineRule="exact"/>
        <w:ind w:firstLine="562" w:firstLineChars="200"/>
        <w:rPr>
          <w:rFonts w:ascii="楷体" w:hAnsi="楷体" w:eastAsia="楷体" w:cs="楷体"/>
          <w:sz w:val="28"/>
        </w:rPr>
      </w:pPr>
      <w:r>
        <w:rPr>
          <w:rFonts w:hint="eastAsia" w:ascii="楷体" w:hAnsi="楷体" w:eastAsia="楷体" w:cs="楷体"/>
          <w:b/>
          <w:sz w:val="28"/>
        </w:rPr>
        <w:t>住所：</w:t>
      </w:r>
      <w:r>
        <w:rPr>
          <w:rFonts w:hint="eastAsia" w:eastAsia="楷体"/>
          <w:sz w:val="28"/>
        </w:rPr>
        <w:t>浙江省</w:t>
      </w:r>
      <w:r>
        <w:rPr>
          <w:rFonts w:hint="eastAsia" w:ascii="楷体" w:hAnsi="楷体" w:eastAsia="楷体"/>
          <w:sz w:val="28"/>
        </w:rPr>
        <w:t>杭州市下城区凤起商务大厦2319室</w:t>
      </w:r>
    </w:p>
    <w:p>
      <w:pPr>
        <w:spacing w:line="630" w:lineRule="exact"/>
        <w:ind w:firstLine="562" w:firstLineChars="200"/>
        <w:rPr>
          <w:rFonts w:ascii="楷体" w:hAnsi="楷体" w:eastAsia="楷体" w:cs="楷体"/>
          <w:sz w:val="28"/>
        </w:rPr>
      </w:pPr>
      <w:r>
        <w:rPr>
          <w:rFonts w:hint="eastAsia" w:ascii="楷体" w:hAnsi="楷体" w:eastAsia="楷体" w:cs="楷体"/>
          <w:b/>
          <w:sz w:val="28"/>
        </w:rPr>
        <w:t>备案等级：</w:t>
      </w:r>
      <w:r>
        <w:rPr>
          <w:rFonts w:hint="eastAsia" w:ascii="楷体" w:hAnsi="楷体" w:eastAsia="楷体" w:cs="楷体"/>
          <w:sz w:val="28"/>
        </w:rPr>
        <w:t>壹级</w:t>
      </w:r>
    </w:p>
    <w:p>
      <w:pPr>
        <w:spacing w:line="630" w:lineRule="exact"/>
        <w:ind w:firstLine="562" w:firstLineChars="200"/>
        <w:rPr>
          <w:rFonts w:ascii="楷体" w:hAnsi="楷体" w:eastAsia="楷体" w:cs="楷体"/>
          <w:sz w:val="28"/>
        </w:rPr>
      </w:pPr>
      <w:r>
        <w:rPr>
          <w:rFonts w:hint="eastAsia" w:ascii="楷体" w:hAnsi="楷体" w:eastAsia="楷体" w:cs="楷体"/>
          <w:b/>
          <w:bCs/>
          <w:sz w:val="28"/>
          <w:lang w:val="en-US" w:eastAsia="zh-CN"/>
        </w:rPr>
        <w:t>资信等级</w:t>
      </w:r>
      <w:r>
        <w:rPr>
          <w:rFonts w:hint="eastAsia" w:ascii="楷体" w:hAnsi="楷体" w:eastAsia="楷体" w:cs="楷体"/>
          <w:b/>
          <w:bCs/>
          <w:sz w:val="28"/>
        </w:rPr>
        <w:t>：</w:t>
      </w:r>
      <w:r>
        <w:rPr>
          <w:rFonts w:hint="eastAsia" w:ascii="楷体" w:hAnsi="楷体" w:eastAsia="楷体" w:cs="楷体"/>
          <w:sz w:val="28"/>
        </w:rPr>
        <w:t>AAA</w:t>
      </w:r>
    </w:p>
    <w:p>
      <w:pPr>
        <w:spacing w:line="630" w:lineRule="exact"/>
        <w:ind w:firstLine="562" w:firstLineChars="200"/>
        <w:rPr>
          <w:rFonts w:ascii="楷体" w:hAnsi="楷体" w:eastAsia="楷体" w:cs="楷体"/>
          <w:sz w:val="28"/>
        </w:rPr>
      </w:pPr>
      <w:r>
        <w:rPr>
          <w:rFonts w:hint="eastAsia" w:ascii="楷体" w:hAnsi="楷体" w:eastAsia="楷体" w:cs="楷体"/>
          <w:b/>
          <w:sz w:val="28"/>
        </w:rPr>
        <w:t>备案证书编号：</w:t>
      </w:r>
      <w:r>
        <w:rPr>
          <w:rFonts w:hint="eastAsia" w:eastAsia="楷体"/>
          <w:sz w:val="28"/>
        </w:rPr>
        <w:t>浙建房估证字[</w:t>
      </w:r>
      <w:r>
        <w:rPr>
          <w:rFonts w:hint="eastAsia" w:ascii="楷体" w:hAnsi="楷体" w:eastAsia="楷体"/>
          <w:sz w:val="28"/>
        </w:rPr>
        <w:t>2010</w:t>
      </w:r>
      <w:r>
        <w:rPr>
          <w:rFonts w:hint="eastAsia" w:eastAsia="楷体"/>
          <w:sz w:val="28"/>
        </w:rPr>
        <w:t>]</w:t>
      </w:r>
      <w:r>
        <w:rPr>
          <w:rFonts w:hint="eastAsia" w:ascii="楷体" w:hAnsi="楷体" w:eastAsia="楷体"/>
          <w:sz w:val="28"/>
        </w:rPr>
        <w:t>020</w:t>
      </w:r>
      <w:r>
        <w:rPr>
          <w:rFonts w:hint="eastAsia" w:eastAsia="楷体"/>
          <w:sz w:val="28"/>
        </w:rPr>
        <w:t>号</w:t>
      </w:r>
    </w:p>
    <w:p>
      <w:pPr>
        <w:spacing w:line="630" w:lineRule="exact"/>
        <w:ind w:firstLine="562" w:firstLineChars="200"/>
        <w:rPr>
          <w:rFonts w:ascii="楷体" w:hAnsi="楷体" w:eastAsia="楷体" w:cs="楷体"/>
          <w:sz w:val="28"/>
        </w:rPr>
      </w:pPr>
      <w:r>
        <w:rPr>
          <w:rFonts w:hint="eastAsia" w:ascii="楷体" w:hAnsi="楷体" w:eastAsia="楷体" w:cs="楷体"/>
          <w:b/>
          <w:sz w:val="28"/>
        </w:rPr>
        <w:t>联系电话：</w:t>
      </w:r>
      <w:r>
        <w:rPr>
          <w:rFonts w:hint="eastAsia" w:ascii="楷体" w:hAnsi="楷体" w:eastAsia="楷体"/>
          <w:sz w:val="28"/>
        </w:rPr>
        <w:t>0571－87293537</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48" w:name="_Toc25339"/>
      <w:bookmarkStart w:id="49" w:name="_Toc451175949"/>
      <w:bookmarkStart w:id="50" w:name="_Toc21527"/>
      <w:bookmarkStart w:id="51" w:name="_Toc13731"/>
      <w:r>
        <w:rPr>
          <w:rFonts w:hint="eastAsia"/>
        </w:rPr>
        <w:t>估价目的</w:t>
      </w:r>
      <w:bookmarkEnd w:id="48"/>
      <w:bookmarkEnd w:id="49"/>
      <w:bookmarkEnd w:id="50"/>
      <w:bookmarkEnd w:id="51"/>
    </w:p>
    <w:p>
      <w:pPr>
        <w:spacing w:line="630" w:lineRule="exact"/>
        <w:ind w:firstLine="560" w:firstLineChars="200"/>
        <w:rPr>
          <w:rFonts w:ascii="楷体" w:hAnsi="楷体" w:eastAsia="楷体"/>
          <w:sz w:val="28"/>
        </w:rPr>
      </w:pPr>
      <w:r>
        <w:rPr>
          <w:rFonts w:hint="eastAsia" w:ascii="楷体" w:hAnsi="楷体" w:eastAsia="楷体"/>
          <w:sz w:val="28"/>
        </w:rPr>
        <w:t>为人民法院确定财产处置参考价提供参考依据。</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52" w:name="_Toc451175950"/>
      <w:bookmarkStart w:id="53" w:name="_Toc26820"/>
      <w:bookmarkStart w:id="54" w:name="_Toc23526"/>
      <w:bookmarkStart w:id="55" w:name="_Toc26892"/>
      <w:r>
        <w:rPr>
          <w:rFonts w:hint="eastAsia"/>
        </w:rPr>
        <w:t>估价对象</w:t>
      </w:r>
      <w:bookmarkEnd w:id="52"/>
      <w:bookmarkEnd w:id="53"/>
      <w:bookmarkEnd w:id="54"/>
      <w:bookmarkEnd w:id="55"/>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jc w:val="left"/>
        <w:textAlignment w:val="bottom"/>
        <w:outlineLvl w:val="9"/>
        <w:rPr>
          <w:rFonts w:ascii="楷体" w:hAnsi="楷体" w:eastAsia="楷体" w:cs="楷体"/>
          <w:sz w:val="28"/>
        </w:rPr>
      </w:pPr>
      <w:bookmarkStart w:id="56" w:name="_Toc18298"/>
      <w:bookmarkStart w:id="57" w:name="_Toc4405"/>
      <w:r>
        <w:rPr>
          <w:rFonts w:hint="eastAsia" w:ascii="楷体" w:hAnsi="楷体" w:eastAsia="楷体" w:cs="楷体"/>
          <w:sz w:val="28"/>
        </w:rPr>
        <w:t>（一）估价对象界定</w:t>
      </w:r>
      <w:bookmarkEnd w:id="56"/>
      <w:bookmarkEnd w:id="57"/>
    </w:p>
    <w:p>
      <w:pPr>
        <w:spacing w:line="630" w:lineRule="exact"/>
        <w:ind w:firstLine="560" w:firstLineChars="200"/>
        <w:rPr>
          <w:rFonts w:ascii="楷体_GB2312" w:hAnsi="宋体" w:eastAsia="楷体"/>
          <w:sz w:val="28"/>
          <w:szCs w:val="28"/>
        </w:rPr>
      </w:pPr>
      <w:bookmarkStart w:id="58" w:name="_Toc27062"/>
      <w:r>
        <w:rPr>
          <w:rFonts w:hint="eastAsia" w:eastAsia="楷体"/>
          <w:sz w:val="28"/>
        </w:rPr>
        <w:t>估价对象位</w:t>
      </w:r>
      <w:r>
        <w:rPr>
          <w:rFonts w:hint="eastAsia" w:ascii="楷体" w:hAnsi="楷体" w:eastAsia="楷体" w:cs="楷体"/>
          <w:sz w:val="28"/>
        </w:rPr>
        <w:t>于</w:t>
      </w:r>
      <w:r>
        <w:rPr>
          <w:rFonts w:hint="eastAsia" w:ascii="楷体" w:hAnsi="楷体" w:eastAsia="楷体"/>
          <w:spacing w:val="-6"/>
          <w:sz w:val="28"/>
          <w:szCs w:val="28"/>
          <w:lang w:eastAsia="zh-CN"/>
        </w:rPr>
        <w:t>淳安县千岛湖镇新安东路5号10841室（号）</w:t>
      </w:r>
      <w:r>
        <w:rPr>
          <w:rFonts w:hint="eastAsia" w:ascii="楷体" w:hAnsi="楷体" w:eastAsia="楷体" w:cs="楷体"/>
          <w:sz w:val="28"/>
        </w:rPr>
        <w:t>，房屋</w:t>
      </w:r>
      <w:r>
        <w:rPr>
          <w:rFonts w:hint="eastAsia" w:ascii="楷体" w:hAnsi="楷体" w:eastAsia="楷体" w:cs="楷体"/>
          <w:sz w:val="28"/>
          <w:lang w:eastAsia="zh-CN"/>
        </w:rPr>
        <w:t>建筑面积100.23平方米，</w:t>
      </w:r>
      <w:r>
        <w:rPr>
          <w:rFonts w:hint="eastAsia" w:ascii="楷体" w:hAnsi="楷体" w:eastAsia="楷体" w:cs="楷体"/>
          <w:sz w:val="28"/>
          <w:lang w:val="en-US" w:eastAsia="zh-CN"/>
        </w:rPr>
        <w:t>土地使用权面积13.29平方米</w:t>
      </w:r>
      <w:r>
        <w:rPr>
          <w:rFonts w:hint="eastAsia" w:ascii="楷体" w:hAnsi="楷体" w:eastAsia="楷体" w:cs="楷体"/>
          <w:sz w:val="28"/>
        </w:rPr>
        <w:t>。估价对象范围</w:t>
      </w:r>
      <w:r>
        <w:rPr>
          <w:rFonts w:hint="eastAsia" w:eastAsia="楷体"/>
          <w:sz w:val="28"/>
        </w:rPr>
        <w:t>包含估价对象房屋所有权、国有土地使用权</w:t>
      </w:r>
      <w:r>
        <w:rPr>
          <w:rFonts w:hint="eastAsia" w:eastAsia="楷体"/>
          <w:sz w:val="28"/>
          <w:lang w:val="en-US" w:eastAsia="zh-CN"/>
        </w:rPr>
        <w:t>及</w:t>
      </w:r>
      <w:r>
        <w:rPr>
          <w:rFonts w:hint="eastAsia" w:eastAsia="楷体"/>
          <w:sz w:val="28"/>
        </w:rPr>
        <w:t>室内</w:t>
      </w:r>
      <w:r>
        <w:rPr>
          <w:rFonts w:hint="eastAsia" w:eastAsia="楷体"/>
          <w:sz w:val="28"/>
          <w:lang w:val="en-US" w:eastAsia="zh-CN"/>
        </w:rPr>
        <w:t>固定</w:t>
      </w:r>
      <w:r>
        <w:rPr>
          <w:rFonts w:hint="eastAsia" w:eastAsia="楷体"/>
          <w:sz w:val="28"/>
        </w:rPr>
        <w:t>装修</w:t>
      </w:r>
      <w:r>
        <w:rPr>
          <w:rFonts w:hint="eastAsia" w:eastAsia="楷体"/>
          <w:sz w:val="28"/>
          <w:lang w:eastAsia="zh-CN"/>
        </w:rPr>
        <w:t>，</w:t>
      </w:r>
      <w:r>
        <w:rPr>
          <w:rFonts w:hint="eastAsia" w:eastAsia="楷体"/>
          <w:sz w:val="28"/>
          <w:lang w:val="en-US" w:eastAsia="zh-CN"/>
        </w:rPr>
        <w:t>不包含室内动产、</w:t>
      </w:r>
      <w:r>
        <w:rPr>
          <w:rFonts w:hint="eastAsia" w:eastAsia="楷体"/>
          <w:sz w:val="28"/>
        </w:rPr>
        <w:t>债权债务、特许经营等其他财产权利</w:t>
      </w:r>
      <w:r>
        <w:rPr>
          <w:rFonts w:hint="eastAsia" w:ascii="楷体" w:hAnsi="楷体" w:eastAsia="楷体"/>
          <w:sz w:val="28"/>
        </w:rPr>
        <w:t>。</w:t>
      </w:r>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jc w:val="left"/>
        <w:textAlignment w:val="bottom"/>
        <w:outlineLvl w:val="9"/>
        <w:rPr>
          <w:rFonts w:ascii="楷体" w:hAnsi="楷体" w:eastAsia="楷体"/>
          <w:sz w:val="28"/>
        </w:rPr>
      </w:pPr>
      <w:bookmarkStart w:id="59" w:name="_Toc7744"/>
      <w:r>
        <w:rPr>
          <w:rFonts w:hint="eastAsia" w:ascii="楷体" w:hAnsi="楷体" w:eastAsia="楷体"/>
          <w:sz w:val="28"/>
        </w:rPr>
        <w:t>（二）</w:t>
      </w:r>
      <w:r>
        <w:rPr>
          <w:rFonts w:hint="eastAsia" w:ascii="楷体" w:hAnsi="楷体" w:eastAsia="楷体"/>
          <w:sz w:val="28"/>
          <w:lang w:val="en-US" w:eastAsia="zh-CN"/>
        </w:rPr>
        <w:t>房地产</w:t>
      </w:r>
      <w:r>
        <w:rPr>
          <w:rFonts w:hint="eastAsia" w:ascii="楷体" w:hAnsi="楷体" w:eastAsia="楷体"/>
          <w:sz w:val="28"/>
        </w:rPr>
        <w:t>权利状况</w:t>
      </w:r>
      <w:bookmarkEnd w:id="58"/>
      <w:bookmarkEnd w:id="59"/>
    </w:p>
    <w:p>
      <w:pPr>
        <w:keepNext w:val="0"/>
        <w:keepLines w:val="0"/>
        <w:pageBreakBefore w:val="0"/>
        <w:widowControl w:val="0"/>
        <w:kinsoku/>
        <w:wordWrap/>
        <w:overflowPunct/>
        <w:topLinePunct w:val="0"/>
        <w:autoSpaceDN/>
        <w:bidi w:val="0"/>
        <w:adjustRightInd/>
        <w:spacing w:line="630" w:lineRule="exact"/>
        <w:ind w:firstLine="560" w:firstLineChars="200"/>
        <w:rPr>
          <w:rFonts w:ascii="楷体" w:hAnsi="楷体" w:eastAsia="楷体"/>
          <w:sz w:val="28"/>
        </w:rPr>
      </w:pPr>
      <w:bookmarkStart w:id="60" w:name="_Toc22249"/>
      <w:r>
        <w:rPr>
          <w:rFonts w:hint="eastAsia" w:ascii="楷体" w:hAnsi="楷体" w:eastAsia="楷体"/>
          <w:sz w:val="28"/>
        </w:rPr>
        <w:t>1、</w:t>
      </w:r>
      <w:r>
        <w:rPr>
          <w:rFonts w:hint="eastAsia" w:ascii="楷体" w:hAnsi="楷体" w:eastAsia="楷体"/>
          <w:sz w:val="28"/>
          <w:lang w:val="en-US" w:eastAsia="zh-CN"/>
        </w:rPr>
        <w:t>房地产</w:t>
      </w:r>
      <w:r>
        <w:rPr>
          <w:rFonts w:hint="eastAsia" w:ascii="楷体" w:hAnsi="楷体" w:eastAsia="楷体"/>
          <w:sz w:val="28"/>
        </w:rPr>
        <w:t>权利状况</w:t>
      </w:r>
    </w:p>
    <w:p>
      <w:pPr>
        <w:keepNext w:val="0"/>
        <w:keepLines w:val="0"/>
        <w:pageBreakBefore w:val="0"/>
        <w:widowControl w:val="0"/>
        <w:kinsoku/>
        <w:wordWrap/>
        <w:overflowPunct/>
        <w:topLinePunct w:val="0"/>
        <w:autoSpaceDN/>
        <w:bidi w:val="0"/>
        <w:adjustRightInd/>
        <w:spacing w:line="630" w:lineRule="exact"/>
        <w:ind w:firstLine="560" w:firstLineChars="200"/>
        <w:rPr>
          <w:rFonts w:hint="default" w:ascii="楷体_GB2312" w:hAnsi="宋体" w:eastAsia="楷体"/>
          <w:sz w:val="28"/>
          <w:szCs w:val="28"/>
          <w:lang w:val="en-US"/>
        </w:rPr>
      </w:pPr>
      <w:r>
        <w:rPr>
          <w:rFonts w:hint="eastAsia" w:ascii="楷体_GB2312" w:hAnsi="宋体" w:eastAsia="楷体"/>
          <w:sz w:val="28"/>
          <w:szCs w:val="28"/>
          <w:highlight w:val="none"/>
        </w:rPr>
        <w:t>根据《</w:t>
      </w:r>
      <w:r>
        <w:rPr>
          <w:rFonts w:hint="eastAsia" w:ascii="楷体_GB2312" w:hAnsi="宋体" w:eastAsia="楷体"/>
          <w:sz w:val="28"/>
          <w:szCs w:val="28"/>
          <w:highlight w:val="none"/>
          <w:lang w:eastAsia="zh-CN"/>
        </w:rPr>
        <w:t>淳安县不动产权属信息查询记录</w:t>
      </w:r>
      <w:r>
        <w:rPr>
          <w:rFonts w:hint="eastAsia" w:ascii="楷体_GB2312" w:hAnsi="宋体" w:eastAsia="楷体"/>
          <w:sz w:val="28"/>
          <w:szCs w:val="28"/>
          <w:highlight w:val="none"/>
        </w:rPr>
        <w:t>》记载，估价对象权利人为</w:t>
      </w:r>
      <w:r>
        <w:rPr>
          <w:rFonts w:hint="eastAsia" w:ascii="楷体_GB2312" w:hAnsi="宋体" w:eastAsia="楷体"/>
          <w:sz w:val="28"/>
          <w:szCs w:val="28"/>
          <w:highlight w:val="none"/>
          <w:lang w:val="en-US" w:eastAsia="zh-CN"/>
        </w:rPr>
        <w:t>吴成燕、但昌轩</w:t>
      </w:r>
      <w:r>
        <w:rPr>
          <w:rFonts w:hint="eastAsia" w:ascii="楷体_GB2312" w:hAnsi="宋体" w:eastAsia="楷体"/>
          <w:sz w:val="28"/>
          <w:szCs w:val="28"/>
          <w:highlight w:val="none"/>
        </w:rPr>
        <w:t>，权证号（证明号）为</w:t>
      </w:r>
      <w:r>
        <w:rPr>
          <w:rFonts w:hint="eastAsia" w:ascii="楷体_GB2312" w:hAnsi="宋体" w:eastAsia="楷体"/>
          <w:sz w:val="28"/>
          <w:szCs w:val="28"/>
          <w:highlight w:val="none"/>
          <w:lang w:val="en-US" w:eastAsia="zh-CN"/>
        </w:rPr>
        <w:t>浙（2020）淳安县不动产权第0008211号</w:t>
      </w:r>
      <w:r>
        <w:rPr>
          <w:rFonts w:hint="eastAsia" w:ascii="楷体_GB2312" w:hAnsi="宋体" w:eastAsia="楷体"/>
          <w:sz w:val="28"/>
          <w:szCs w:val="28"/>
        </w:rPr>
        <w:t>，</w:t>
      </w:r>
      <w:r>
        <w:rPr>
          <w:rFonts w:hint="eastAsia" w:ascii="楷体_GB2312" w:hAnsi="宋体" w:eastAsia="楷体"/>
          <w:sz w:val="28"/>
          <w:szCs w:val="28"/>
          <w:lang w:val="en-US" w:eastAsia="zh-CN"/>
        </w:rPr>
        <w:t>坐落为</w:t>
      </w:r>
      <w:r>
        <w:rPr>
          <w:rFonts w:hint="eastAsia" w:ascii="楷体" w:hAnsi="楷体" w:eastAsia="楷体"/>
          <w:spacing w:val="-6"/>
          <w:sz w:val="28"/>
          <w:szCs w:val="28"/>
          <w:lang w:eastAsia="zh-CN"/>
        </w:rPr>
        <w:t>新安东路5号10841室（号）</w:t>
      </w:r>
      <w:r>
        <w:rPr>
          <w:rFonts w:hint="eastAsia" w:ascii="楷体_GB2312" w:hAnsi="宋体" w:eastAsia="楷体"/>
          <w:sz w:val="28"/>
          <w:szCs w:val="28"/>
          <w:lang w:val="en-US" w:eastAsia="zh-CN"/>
        </w:rPr>
        <w:t>，</w:t>
      </w:r>
      <w:r>
        <w:rPr>
          <w:rFonts w:hint="eastAsia" w:ascii="楷体_GB2312" w:hAnsi="宋体" w:eastAsia="楷体"/>
          <w:sz w:val="28"/>
          <w:szCs w:val="28"/>
          <w:lang w:eastAsia="zh-CN"/>
        </w:rPr>
        <w:t>共有情况为共同共有</w:t>
      </w:r>
      <w:r>
        <w:rPr>
          <w:rFonts w:hint="eastAsia" w:ascii="楷体_GB2312" w:hAnsi="宋体" w:eastAsia="楷体"/>
          <w:sz w:val="28"/>
          <w:szCs w:val="28"/>
        </w:rPr>
        <w:t>，房屋</w:t>
      </w:r>
      <w:r>
        <w:rPr>
          <w:rFonts w:hint="eastAsia" w:ascii="楷体_GB2312" w:hAnsi="宋体" w:eastAsia="楷体"/>
          <w:sz w:val="28"/>
          <w:szCs w:val="28"/>
          <w:lang w:eastAsia="zh-CN"/>
        </w:rPr>
        <w:t>建筑面积100.23平方米</w:t>
      </w:r>
      <w:r>
        <w:rPr>
          <w:rFonts w:hint="eastAsia" w:ascii="楷体_GB2312" w:hAnsi="宋体" w:eastAsia="楷体"/>
          <w:sz w:val="28"/>
          <w:szCs w:val="28"/>
        </w:rPr>
        <w:t>，</w:t>
      </w:r>
      <w:r>
        <w:rPr>
          <w:rFonts w:hint="eastAsia" w:ascii="楷体_GB2312" w:hAnsi="宋体" w:eastAsia="楷体"/>
          <w:sz w:val="28"/>
          <w:szCs w:val="28"/>
          <w:lang w:val="en-US" w:eastAsia="zh-CN"/>
        </w:rPr>
        <w:t>土地使用权面积13.29平方米，</w:t>
      </w:r>
      <w:r>
        <w:rPr>
          <w:rFonts w:hint="eastAsia" w:ascii="楷体_GB2312" w:hAnsi="宋体" w:eastAsia="楷体"/>
          <w:sz w:val="28"/>
          <w:szCs w:val="28"/>
          <w:lang w:eastAsia="zh-CN"/>
        </w:rPr>
        <w:t>权利类型为国有建设用地使用权/房屋所有权</w:t>
      </w:r>
      <w:r>
        <w:rPr>
          <w:rFonts w:hint="eastAsia" w:ascii="楷体_GB2312" w:hAnsi="宋体" w:eastAsia="楷体"/>
          <w:sz w:val="28"/>
          <w:szCs w:val="28"/>
        </w:rPr>
        <w:t>，权利性质为</w:t>
      </w:r>
      <w:r>
        <w:rPr>
          <w:rFonts w:hint="eastAsia" w:ascii="楷体_GB2312" w:hAnsi="宋体" w:eastAsia="楷体"/>
          <w:sz w:val="28"/>
          <w:szCs w:val="28"/>
          <w:lang w:val="en-US" w:eastAsia="zh-CN"/>
        </w:rPr>
        <w:t>出让/存量房产</w:t>
      </w:r>
      <w:r>
        <w:rPr>
          <w:rFonts w:hint="eastAsia" w:ascii="楷体_GB2312" w:hAnsi="宋体" w:eastAsia="楷体"/>
          <w:sz w:val="28"/>
          <w:szCs w:val="28"/>
        </w:rPr>
        <w:t>，</w:t>
      </w:r>
      <w:r>
        <w:rPr>
          <w:rFonts w:hint="eastAsia" w:ascii="楷体_GB2312" w:hAnsi="宋体" w:eastAsia="楷体"/>
          <w:sz w:val="28"/>
          <w:szCs w:val="28"/>
          <w:lang w:val="en-US" w:eastAsia="zh-CN"/>
        </w:rPr>
        <w:t>使用期限至2048年04月15日，</w:t>
      </w:r>
      <w:r>
        <w:rPr>
          <w:rFonts w:hint="eastAsia" w:ascii="楷体_GB2312" w:hAnsi="宋体" w:eastAsia="楷体"/>
          <w:sz w:val="28"/>
          <w:szCs w:val="28"/>
        </w:rPr>
        <w:t>登记日期为20</w:t>
      </w:r>
      <w:r>
        <w:rPr>
          <w:rFonts w:hint="eastAsia" w:ascii="楷体_GB2312" w:hAnsi="宋体" w:eastAsia="楷体"/>
          <w:sz w:val="28"/>
          <w:szCs w:val="28"/>
          <w:lang w:val="en-US" w:eastAsia="zh-CN"/>
        </w:rPr>
        <w:t>20</w:t>
      </w:r>
      <w:r>
        <w:rPr>
          <w:rFonts w:hint="eastAsia" w:ascii="楷体_GB2312" w:hAnsi="宋体" w:eastAsia="楷体"/>
          <w:sz w:val="28"/>
          <w:szCs w:val="28"/>
        </w:rPr>
        <w:t>年</w:t>
      </w:r>
      <w:r>
        <w:rPr>
          <w:rFonts w:hint="eastAsia" w:ascii="楷体_GB2312" w:hAnsi="宋体" w:eastAsia="楷体"/>
          <w:sz w:val="28"/>
          <w:szCs w:val="28"/>
          <w:lang w:val="en-US" w:eastAsia="zh-CN"/>
        </w:rPr>
        <w:t>05</w:t>
      </w:r>
      <w:r>
        <w:rPr>
          <w:rFonts w:hint="eastAsia" w:ascii="楷体_GB2312" w:hAnsi="宋体" w:eastAsia="楷体"/>
          <w:sz w:val="28"/>
          <w:szCs w:val="28"/>
        </w:rPr>
        <w:t>月</w:t>
      </w:r>
      <w:r>
        <w:rPr>
          <w:rFonts w:hint="eastAsia" w:ascii="楷体_GB2312" w:hAnsi="宋体" w:eastAsia="楷体"/>
          <w:sz w:val="28"/>
          <w:szCs w:val="28"/>
          <w:lang w:val="en-US" w:eastAsia="zh-CN"/>
        </w:rPr>
        <w:t>11日。异议状况：无。</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outlineLvl w:val="1"/>
        <w:rPr>
          <w:rFonts w:hint="default" w:ascii="楷体_GB2312" w:hAnsi="宋体" w:eastAsia="楷体"/>
          <w:sz w:val="28"/>
          <w:szCs w:val="28"/>
          <w:lang w:val="en-US" w:eastAsia="zh-CN"/>
        </w:rPr>
      </w:pPr>
      <w:r>
        <w:rPr>
          <w:rFonts w:hint="eastAsia" w:ascii="楷体_GB2312" w:hAnsi="宋体" w:eastAsia="楷体"/>
          <w:sz w:val="28"/>
          <w:szCs w:val="28"/>
          <w:lang w:val="en-US" w:eastAsia="zh-CN"/>
        </w:rPr>
        <w:t>2、</w:t>
      </w:r>
      <w:bookmarkStart w:id="61" w:name="_Toc14320"/>
      <w:r>
        <w:rPr>
          <w:rFonts w:hint="eastAsia" w:ascii="楷体_GB2312" w:hAnsi="宋体" w:eastAsia="楷体"/>
          <w:sz w:val="28"/>
          <w:szCs w:val="28"/>
          <w:lang w:val="en-US" w:eastAsia="zh-CN"/>
        </w:rPr>
        <w:t>房地产抵押状况</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outlineLvl w:val="1"/>
        <w:rPr>
          <w:rFonts w:hint="eastAsia" w:ascii="楷体_GB2312" w:hAnsi="宋体" w:eastAsia="楷体"/>
          <w:sz w:val="28"/>
          <w:szCs w:val="28"/>
          <w:lang w:val="en-US" w:eastAsia="zh-CN"/>
        </w:rPr>
      </w:pPr>
      <w:r>
        <w:rPr>
          <w:rFonts w:hint="eastAsia" w:ascii="楷体_GB2312" w:hAnsi="宋体" w:eastAsia="楷体"/>
          <w:sz w:val="28"/>
          <w:szCs w:val="28"/>
          <w:lang w:val="en-US" w:eastAsia="zh-CN"/>
        </w:rPr>
        <w:t>根据《淳安县不动产权属信息查询记录》记载，至价值时点，估价对象已设定抵押。抵押权人为浙江淳安农村商业银行股份有限公司营业部，登记证明号为浙（2020）淳安县不动产证明第0003179号，抵押方式为一般抵押，债权数额84万元，登记日期2020年05月13日，债务履行期限（债权确定期间）2020年05月12日起2045年05月11日止。</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outlineLvl w:val="1"/>
        <w:rPr>
          <w:rFonts w:hint="default" w:ascii="楷体_GB2312" w:hAnsi="宋体" w:eastAsia="楷体"/>
          <w:sz w:val="28"/>
          <w:szCs w:val="28"/>
          <w:lang w:val="en-US" w:eastAsia="zh-CN"/>
        </w:rPr>
      </w:pPr>
      <w:r>
        <w:rPr>
          <w:rFonts w:hint="eastAsia" w:ascii="楷体_GB2312" w:hAnsi="宋体" w:eastAsia="楷体"/>
          <w:sz w:val="28"/>
          <w:szCs w:val="28"/>
          <w:lang w:val="en-US" w:eastAsia="zh-CN"/>
        </w:rPr>
        <w:t>3、房地产查封状况</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outlineLvl w:val="1"/>
        <w:rPr>
          <w:rFonts w:hint="default" w:ascii="楷体_GB2312" w:hAnsi="宋体" w:eastAsia="楷体"/>
          <w:sz w:val="28"/>
          <w:szCs w:val="28"/>
          <w:lang w:val="en-US" w:eastAsia="zh-CN"/>
        </w:rPr>
      </w:pPr>
      <w:r>
        <w:rPr>
          <w:rFonts w:hint="eastAsia" w:ascii="楷体_GB2312" w:hAnsi="宋体" w:eastAsia="楷体"/>
          <w:sz w:val="28"/>
          <w:szCs w:val="28"/>
        </w:rPr>
        <w:t>根据《</w:t>
      </w:r>
      <w:r>
        <w:rPr>
          <w:rFonts w:hint="eastAsia" w:ascii="楷体_GB2312" w:hAnsi="宋体" w:eastAsia="楷体"/>
          <w:sz w:val="28"/>
          <w:szCs w:val="28"/>
          <w:lang w:eastAsia="zh-CN"/>
        </w:rPr>
        <w:t>淳安县不动产权属信息查询记录</w:t>
      </w:r>
      <w:r>
        <w:rPr>
          <w:rFonts w:hint="eastAsia" w:ascii="楷体_GB2312" w:hAnsi="宋体" w:eastAsia="楷体"/>
          <w:sz w:val="28"/>
          <w:szCs w:val="28"/>
        </w:rPr>
        <w:t>》记载，至价值时点，估价对象已经被司法机关查封。</w:t>
      </w:r>
      <w:r>
        <w:rPr>
          <w:rFonts w:hint="eastAsia" w:ascii="楷体_GB2312" w:hAnsi="宋体" w:eastAsia="楷体"/>
          <w:sz w:val="28"/>
          <w:szCs w:val="28"/>
          <w:lang w:val="en-US" w:eastAsia="zh-CN"/>
        </w:rPr>
        <w:t>查封状况详见本报告附件。</w:t>
      </w:r>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jc w:val="left"/>
        <w:textAlignment w:val="bottom"/>
        <w:outlineLvl w:val="9"/>
        <w:rPr>
          <w:rFonts w:ascii="楷体" w:hAnsi="楷体" w:eastAsia="楷体"/>
          <w:sz w:val="28"/>
        </w:rPr>
      </w:pPr>
      <w:r>
        <w:rPr>
          <w:rFonts w:hint="eastAsia" w:ascii="楷体" w:hAnsi="楷体" w:eastAsia="楷体"/>
          <w:sz w:val="28"/>
        </w:rPr>
        <w:t>（三）房地产实物状况</w:t>
      </w:r>
      <w:bookmarkEnd w:id="60"/>
      <w:bookmarkEnd w:id="61"/>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 w:hAnsi="楷体" w:eastAsia="楷体"/>
          <w:sz w:val="28"/>
        </w:rPr>
      </w:pPr>
      <w:r>
        <w:rPr>
          <w:rFonts w:hint="eastAsia" w:ascii="楷体" w:hAnsi="楷体" w:eastAsia="楷体"/>
          <w:sz w:val="28"/>
        </w:rPr>
        <w:t>1、土地实物状况</w:t>
      </w:r>
    </w:p>
    <w:p>
      <w:pPr>
        <w:keepNext w:val="0"/>
        <w:keepLines w:val="0"/>
        <w:pageBreakBefore w:val="0"/>
        <w:widowControl w:val="0"/>
        <w:kinsoku/>
        <w:wordWrap/>
        <w:overflowPunct/>
        <w:topLinePunct w:val="0"/>
        <w:autoSpaceDN/>
        <w:bidi w:val="0"/>
        <w:adjustRightInd/>
        <w:spacing w:line="630" w:lineRule="exact"/>
        <w:ind w:firstLine="560" w:firstLineChars="200"/>
        <w:jc w:val="left"/>
        <w:rPr>
          <w:rFonts w:ascii="楷体" w:hAnsi="楷体" w:eastAsia="楷体"/>
          <w:sz w:val="28"/>
          <w:highlight w:val="none"/>
        </w:rPr>
      </w:pPr>
      <w:r>
        <w:rPr>
          <w:rFonts w:hint="eastAsia" w:eastAsia="楷体"/>
          <w:sz w:val="28"/>
        </w:rPr>
        <w:t>估价对象</w:t>
      </w:r>
      <w:r>
        <w:rPr>
          <w:rFonts w:hint="eastAsia" w:eastAsia="楷体"/>
          <w:sz w:val="28"/>
          <w:lang w:val="en-US" w:eastAsia="zh-CN"/>
        </w:rPr>
        <w:t>土</w:t>
      </w:r>
      <w:r>
        <w:rPr>
          <w:rFonts w:hint="eastAsia" w:eastAsia="楷体"/>
          <w:sz w:val="28"/>
        </w:rPr>
        <w:t>地座落于</w:t>
      </w:r>
      <w:r>
        <w:rPr>
          <w:rFonts w:hint="eastAsia" w:ascii="楷体" w:hAnsi="楷体" w:eastAsia="楷体"/>
          <w:spacing w:val="-6"/>
          <w:sz w:val="28"/>
          <w:szCs w:val="28"/>
          <w:lang w:eastAsia="zh-CN"/>
        </w:rPr>
        <w:t>淳安县千岛湖镇</w:t>
      </w:r>
      <w:r>
        <w:rPr>
          <w:rFonts w:hint="eastAsia" w:ascii="楷体" w:hAnsi="楷体" w:eastAsia="楷体"/>
          <w:spacing w:val="-6"/>
          <w:sz w:val="28"/>
          <w:szCs w:val="28"/>
          <w:lang w:val="en-US" w:eastAsia="zh-CN"/>
        </w:rPr>
        <w:t>新安东路5号</w:t>
      </w:r>
      <w:r>
        <w:rPr>
          <w:rFonts w:hint="eastAsia" w:eastAsia="楷体"/>
          <w:sz w:val="28"/>
        </w:rPr>
        <w:t>，</w:t>
      </w:r>
      <w:r>
        <w:rPr>
          <w:rFonts w:hint="eastAsia" w:eastAsia="楷体"/>
          <w:sz w:val="28"/>
          <w:highlight w:val="none"/>
        </w:rPr>
        <w:t>所在宗</w:t>
      </w:r>
      <w:r>
        <w:rPr>
          <w:rFonts w:hint="eastAsia" w:eastAsia="楷体"/>
          <w:sz w:val="28"/>
          <w:highlight w:val="none"/>
          <w:lang w:val="en-US" w:eastAsia="zh-CN"/>
        </w:rPr>
        <w:t>地</w:t>
      </w:r>
      <w:r>
        <w:rPr>
          <w:rFonts w:hint="eastAsia" w:eastAsia="楷体"/>
          <w:sz w:val="28"/>
          <w:highlight w:val="none"/>
        </w:rPr>
        <w:t>形状</w:t>
      </w:r>
      <w:r>
        <w:rPr>
          <w:rFonts w:hint="eastAsia" w:eastAsia="楷体"/>
          <w:sz w:val="28"/>
          <w:highlight w:val="none"/>
          <w:lang w:val="en-US" w:eastAsia="zh-CN"/>
        </w:rPr>
        <w:t>较不</w:t>
      </w:r>
      <w:r>
        <w:rPr>
          <w:rFonts w:hint="eastAsia" w:eastAsia="楷体"/>
          <w:sz w:val="28"/>
          <w:highlight w:val="none"/>
        </w:rPr>
        <w:t>规则，所属区域地形</w:t>
      </w:r>
      <w:r>
        <w:rPr>
          <w:rFonts w:hint="eastAsia" w:eastAsia="楷体"/>
          <w:sz w:val="28"/>
          <w:highlight w:val="none"/>
          <w:lang w:val="en-US" w:eastAsia="zh-CN"/>
        </w:rPr>
        <w:t>有较大坡度，</w:t>
      </w:r>
      <w:r>
        <w:rPr>
          <w:rFonts w:hint="eastAsia" w:eastAsia="楷体"/>
          <w:sz w:val="28"/>
          <w:highlight w:val="none"/>
        </w:rPr>
        <w:t>地基承载力较好，水文地质条件较好，基础设施较完善，城市规划限制条件较少，利用状况较好</w:t>
      </w:r>
      <w:r>
        <w:rPr>
          <w:rFonts w:hint="eastAsia" w:ascii="楷体" w:hAnsi="楷体" w:eastAsia="楷体"/>
          <w:sz w:val="28"/>
          <w:highlight w:val="none"/>
        </w:rPr>
        <w:t>。</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highlight w:val="none"/>
        </w:rPr>
      </w:pPr>
      <w:r>
        <w:rPr>
          <w:rFonts w:hint="eastAsia" w:ascii="楷体_GB2312" w:hAnsi="宋体" w:eastAsia="楷体"/>
          <w:sz w:val="28"/>
          <w:szCs w:val="28"/>
          <w:highlight w:val="none"/>
        </w:rPr>
        <w:t>2、建筑物实物状况</w:t>
      </w:r>
    </w:p>
    <w:p>
      <w:pPr>
        <w:pStyle w:val="45"/>
        <w:keepNext w:val="0"/>
        <w:keepLines w:val="0"/>
        <w:pageBreakBefore w:val="0"/>
        <w:widowControl w:val="0"/>
        <w:kinsoku/>
        <w:wordWrap/>
        <w:overflowPunct/>
        <w:topLinePunct w:val="0"/>
        <w:autoSpaceDN/>
        <w:bidi w:val="0"/>
        <w:adjustRightInd/>
        <w:snapToGrid w:val="0"/>
        <w:spacing w:line="630" w:lineRule="exact"/>
        <w:ind w:firstLine="560"/>
        <w:jc w:val="left"/>
        <w:rPr>
          <w:rFonts w:hint="eastAsia" w:ascii="楷体" w:hAnsi="楷体" w:eastAsia="楷体"/>
          <w:sz w:val="28"/>
          <w:highlight w:val="none"/>
          <w:lang w:eastAsia="zh-CN"/>
        </w:rPr>
      </w:pPr>
      <w:bookmarkStart w:id="62" w:name="_Toc24922"/>
      <w:r>
        <w:rPr>
          <w:rFonts w:hint="eastAsia" w:ascii="楷体" w:hAnsi="楷体" w:eastAsia="楷体"/>
          <w:sz w:val="28"/>
        </w:rPr>
        <w:t>估价对象座落于</w:t>
      </w:r>
      <w:r>
        <w:rPr>
          <w:rFonts w:hint="eastAsia" w:ascii="楷体" w:hAnsi="楷体" w:eastAsia="楷体"/>
          <w:spacing w:val="-6"/>
          <w:sz w:val="28"/>
          <w:szCs w:val="28"/>
          <w:lang w:eastAsia="zh-CN"/>
        </w:rPr>
        <w:t>淳安县千岛湖镇新安东路5号10841室（号）</w:t>
      </w:r>
      <w:r>
        <w:rPr>
          <w:rFonts w:hint="eastAsia" w:ascii="楷体" w:hAnsi="楷体" w:eastAsia="楷体"/>
          <w:sz w:val="28"/>
          <w:lang w:eastAsia="zh-CN"/>
        </w:rPr>
        <w:t>，</w:t>
      </w:r>
      <w:r>
        <w:rPr>
          <w:rFonts w:hint="eastAsia" w:ascii="楷体" w:hAnsi="楷体" w:eastAsia="楷体"/>
          <w:sz w:val="28"/>
        </w:rPr>
        <w:t>所在房屋为</w:t>
      </w:r>
      <w:r>
        <w:rPr>
          <w:rFonts w:hint="eastAsia" w:ascii="楷体" w:hAnsi="楷体" w:eastAsia="楷体"/>
          <w:sz w:val="28"/>
          <w:lang w:val="en-US" w:eastAsia="zh-CN"/>
        </w:rPr>
        <w:t>混合</w:t>
      </w:r>
      <w:r>
        <w:rPr>
          <w:rFonts w:hint="eastAsia" w:ascii="楷体" w:hAnsi="楷体" w:eastAsia="楷体"/>
          <w:sz w:val="28"/>
        </w:rPr>
        <w:t>结构楼房，</w:t>
      </w:r>
      <w:r>
        <w:rPr>
          <w:rFonts w:hint="eastAsia" w:ascii="楷体" w:hAnsi="楷体" w:eastAsia="楷体"/>
          <w:sz w:val="28"/>
          <w:highlight w:val="none"/>
        </w:rPr>
        <w:t>建筑物外墙为</w:t>
      </w:r>
      <w:r>
        <w:rPr>
          <w:rFonts w:hint="eastAsia" w:ascii="楷体" w:hAnsi="楷体" w:eastAsia="楷体"/>
          <w:sz w:val="28"/>
          <w:highlight w:val="none"/>
          <w:lang w:val="en-US" w:eastAsia="zh-CN"/>
        </w:rPr>
        <w:t>涂料、铝合金窗</w:t>
      </w:r>
      <w:r>
        <w:rPr>
          <w:rFonts w:hint="eastAsia" w:ascii="楷体" w:hAnsi="楷体" w:eastAsia="楷体"/>
          <w:sz w:val="28"/>
          <w:highlight w:val="none"/>
          <w:lang w:eastAsia="zh-CN"/>
        </w:rPr>
        <w:t>。</w:t>
      </w:r>
      <w:r>
        <w:rPr>
          <w:rFonts w:hint="eastAsia" w:ascii="楷体" w:hAnsi="楷体" w:eastAsia="楷体"/>
          <w:sz w:val="28"/>
          <w:highlight w:val="none"/>
        </w:rPr>
        <w:t>房屋</w:t>
      </w:r>
      <w:r>
        <w:rPr>
          <w:rFonts w:hint="eastAsia" w:ascii="楷体" w:hAnsi="楷体" w:eastAsia="楷体"/>
          <w:sz w:val="28"/>
          <w:highlight w:val="none"/>
          <w:lang w:val="en-US" w:eastAsia="zh-CN"/>
        </w:rPr>
        <w:t>地上</w:t>
      </w:r>
      <w:r>
        <w:rPr>
          <w:rFonts w:hint="eastAsia" w:ascii="楷体" w:hAnsi="楷体" w:eastAsia="楷体"/>
          <w:sz w:val="28"/>
          <w:highlight w:val="none"/>
        </w:rPr>
        <w:t>总层数</w:t>
      </w:r>
      <w:r>
        <w:rPr>
          <w:rFonts w:hint="eastAsia" w:ascii="楷体" w:hAnsi="楷体" w:eastAsia="楷体"/>
          <w:sz w:val="28"/>
          <w:highlight w:val="none"/>
          <w:lang w:val="en-US" w:eastAsia="zh-CN"/>
        </w:rPr>
        <w:t>9</w:t>
      </w:r>
      <w:r>
        <w:rPr>
          <w:rFonts w:hint="eastAsia" w:ascii="楷体" w:hAnsi="楷体" w:eastAsia="楷体"/>
          <w:sz w:val="28"/>
          <w:highlight w:val="none"/>
        </w:rPr>
        <w:t>层</w:t>
      </w:r>
      <w:r>
        <w:rPr>
          <w:rFonts w:hint="eastAsia" w:ascii="楷体" w:hAnsi="楷体" w:eastAsia="楷体"/>
          <w:sz w:val="28"/>
          <w:highlight w:val="none"/>
          <w:lang w:val="en-US" w:eastAsia="zh-CN"/>
        </w:rPr>
        <w:t>(估价对象单元门出入口位于第三层）</w:t>
      </w:r>
      <w:r>
        <w:rPr>
          <w:rFonts w:hint="eastAsia" w:ascii="楷体" w:hAnsi="楷体" w:eastAsia="楷体"/>
          <w:sz w:val="28"/>
          <w:highlight w:val="none"/>
          <w:lang w:eastAsia="zh-CN"/>
        </w:rPr>
        <w:t>，</w:t>
      </w:r>
      <w:r>
        <w:rPr>
          <w:rFonts w:hint="eastAsia" w:ascii="楷体" w:hAnsi="楷体" w:eastAsia="楷体"/>
          <w:sz w:val="28"/>
          <w:highlight w:val="none"/>
        </w:rPr>
        <w:t>估价对象位于第</w:t>
      </w:r>
      <w:r>
        <w:rPr>
          <w:rFonts w:hint="eastAsia" w:ascii="楷体" w:hAnsi="楷体" w:eastAsia="楷体"/>
          <w:sz w:val="28"/>
          <w:highlight w:val="none"/>
          <w:lang w:val="en-US" w:eastAsia="zh-CN"/>
        </w:rPr>
        <w:t>4</w:t>
      </w:r>
      <w:r>
        <w:rPr>
          <w:rFonts w:hint="eastAsia" w:ascii="楷体" w:hAnsi="楷体" w:eastAsia="楷体"/>
          <w:sz w:val="28"/>
          <w:highlight w:val="none"/>
        </w:rPr>
        <w:t>层，所在楼层单元布置为</w:t>
      </w:r>
      <w:r>
        <w:rPr>
          <w:rFonts w:hint="eastAsia" w:ascii="楷体" w:hAnsi="楷体" w:eastAsia="楷体"/>
          <w:sz w:val="28"/>
          <w:highlight w:val="none"/>
          <w:lang w:val="en-US" w:eastAsia="zh-CN"/>
        </w:rPr>
        <w:t>1</w:t>
      </w:r>
      <w:r>
        <w:rPr>
          <w:rFonts w:hint="eastAsia" w:ascii="楷体" w:hAnsi="楷体" w:eastAsia="楷体"/>
          <w:sz w:val="28"/>
          <w:highlight w:val="none"/>
        </w:rPr>
        <w:t>梯</w:t>
      </w:r>
      <w:r>
        <w:rPr>
          <w:rFonts w:hint="eastAsia" w:ascii="楷体" w:hAnsi="楷体" w:eastAsia="楷体"/>
          <w:sz w:val="28"/>
          <w:highlight w:val="none"/>
          <w:lang w:eastAsia="zh-CN"/>
        </w:rPr>
        <w:t>（</w:t>
      </w:r>
      <w:r>
        <w:rPr>
          <w:rFonts w:hint="eastAsia" w:ascii="楷体" w:hAnsi="楷体" w:eastAsia="楷体"/>
          <w:sz w:val="28"/>
          <w:highlight w:val="none"/>
          <w:lang w:val="en-US" w:eastAsia="zh-CN"/>
        </w:rPr>
        <w:t>步梯</w:t>
      </w:r>
      <w:r>
        <w:rPr>
          <w:rFonts w:hint="eastAsia" w:ascii="楷体" w:hAnsi="楷体" w:eastAsia="楷体"/>
          <w:sz w:val="28"/>
          <w:highlight w:val="none"/>
          <w:lang w:eastAsia="zh-CN"/>
        </w:rPr>
        <w:t>）</w:t>
      </w:r>
      <w:r>
        <w:rPr>
          <w:rFonts w:hint="eastAsia" w:ascii="楷体" w:hAnsi="楷体" w:eastAsia="楷体"/>
          <w:sz w:val="28"/>
          <w:highlight w:val="none"/>
          <w:lang w:val="en-US" w:eastAsia="zh-CN"/>
        </w:rPr>
        <w:t>2</w:t>
      </w:r>
      <w:r>
        <w:rPr>
          <w:rFonts w:hint="eastAsia" w:ascii="楷体" w:hAnsi="楷体" w:eastAsia="楷体"/>
          <w:sz w:val="28"/>
          <w:highlight w:val="none"/>
        </w:rPr>
        <w:t>户</w:t>
      </w:r>
      <w:r>
        <w:rPr>
          <w:rFonts w:hint="eastAsia" w:ascii="楷体" w:hAnsi="楷体" w:eastAsia="楷体"/>
          <w:sz w:val="28"/>
          <w:highlight w:val="none"/>
          <w:lang w:eastAsia="zh-CN"/>
        </w:rPr>
        <w:t>。</w:t>
      </w:r>
      <w:r>
        <w:rPr>
          <w:rFonts w:hint="eastAsia" w:ascii="楷体" w:hAnsi="楷体" w:eastAsia="楷体"/>
          <w:sz w:val="28"/>
          <w:highlight w:val="none"/>
          <w:lang w:val="en-US" w:eastAsia="zh-CN"/>
        </w:rPr>
        <w:t>估价对象</w:t>
      </w:r>
      <w:r>
        <w:rPr>
          <w:rFonts w:hint="eastAsia" w:ascii="楷体" w:hAnsi="楷体" w:eastAsia="楷体"/>
          <w:sz w:val="28"/>
          <w:highlight w:val="none"/>
        </w:rPr>
        <w:t>房屋</w:t>
      </w:r>
      <w:r>
        <w:rPr>
          <w:rFonts w:hint="eastAsia" w:ascii="楷体" w:hAnsi="楷体" w:eastAsia="楷体"/>
          <w:sz w:val="28"/>
          <w:highlight w:val="none"/>
          <w:lang w:eastAsia="zh-CN"/>
        </w:rPr>
        <w:t>建筑面积100.23平方米，</w:t>
      </w:r>
      <w:r>
        <w:rPr>
          <w:rFonts w:hint="eastAsia" w:ascii="楷体" w:hAnsi="楷体" w:eastAsia="楷体"/>
          <w:sz w:val="28"/>
          <w:highlight w:val="none"/>
        </w:rPr>
        <w:t>室内布局为</w:t>
      </w:r>
      <w:r>
        <w:rPr>
          <w:rFonts w:hint="eastAsia" w:ascii="楷体" w:hAnsi="楷体" w:eastAsia="楷体"/>
          <w:sz w:val="28"/>
          <w:highlight w:val="none"/>
          <w:lang w:val="en-US" w:eastAsia="zh-CN"/>
        </w:rPr>
        <w:t>四</w:t>
      </w:r>
      <w:r>
        <w:rPr>
          <w:rFonts w:hint="eastAsia" w:ascii="楷体" w:hAnsi="楷体" w:eastAsia="楷体"/>
          <w:sz w:val="28"/>
          <w:highlight w:val="none"/>
        </w:rPr>
        <w:t>室</w:t>
      </w:r>
      <w:r>
        <w:rPr>
          <w:rFonts w:hint="eastAsia" w:ascii="楷体" w:hAnsi="楷体" w:eastAsia="楷体"/>
          <w:sz w:val="28"/>
          <w:highlight w:val="none"/>
          <w:lang w:val="en-US" w:eastAsia="zh-CN"/>
        </w:rPr>
        <w:t>一厅</w:t>
      </w:r>
      <w:r>
        <w:rPr>
          <w:rFonts w:hint="eastAsia" w:ascii="楷体" w:hAnsi="楷体" w:eastAsia="楷体"/>
          <w:sz w:val="28"/>
          <w:highlight w:val="none"/>
        </w:rPr>
        <w:t>一厨</w:t>
      </w:r>
      <w:r>
        <w:rPr>
          <w:rFonts w:hint="eastAsia" w:ascii="楷体" w:hAnsi="楷体" w:eastAsia="楷体"/>
          <w:sz w:val="28"/>
          <w:highlight w:val="none"/>
          <w:lang w:val="en-US" w:eastAsia="zh-CN"/>
        </w:rPr>
        <w:t>一</w:t>
      </w:r>
      <w:r>
        <w:rPr>
          <w:rFonts w:hint="eastAsia" w:ascii="楷体" w:hAnsi="楷体" w:eastAsia="楷体"/>
          <w:sz w:val="28"/>
          <w:highlight w:val="none"/>
        </w:rPr>
        <w:t>卫</w:t>
      </w:r>
      <w:r>
        <w:rPr>
          <w:rFonts w:hint="eastAsia" w:ascii="楷体" w:hAnsi="楷体" w:eastAsia="楷体"/>
          <w:sz w:val="28"/>
          <w:highlight w:val="none"/>
          <w:lang w:val="en-US" w:eastAsia="zh-CN"/>
        </w:rPr>
        <w:t>二</w:t>
      </w:r>
      <w:r>
        <w:rPr>
          <w:rFonts w:hint="eastAsia" w:ascii="楷体" w:hAnsi="楷体" w:eastAsia="楷体"/>
          <w:sz w:val="28"/>
          <w:highlight w:val="none"/>
        </w:rPr>
        <w:t>阳台</w:t>
      </w:r>
      <w:r>
        <w:rPr>
          <w:rFonts w:hint="eastAsia" w:ascii="楷体" w:hAnsi="楷体" w:eastAsia="楷体"/>
          <w:sz w:val="28"/>
          <w:highlight w:val="none"/>
          <w:lang w:eastAsia="zh-CN"/>
        </w:rPr>
        <w:t>，</w:t>
      </w:r>
      <w:r>
        <w:rPr>
          <w:rFonts w:hint="eastAsia" w:ascii="楷体" w:hAnsi="楷体" w:eastAsia="楷体"/>
          <w:sz w:val="28"/>
          <w:highlight w:val="none"/>
          <w:lang w:val="en-US" w:eastAsia="zh-CN"/>
        </w:rPr>
        <w:t>价值时点空置。</w:t>
      </w:r>
      <w:r>
        <w:rPr>
          <w:rFonts w:hint="eastAsia" w:ascii="楷体" w:hAnsi="楷体" w:eastAsia="楷体"/>
          <w:sz w:val="28"/>
          <w:highlight w:val="none"/>
        </w:rPr>
        <w:t>室内装修状况：</w:t>
      </w:r>
      <w:r>
        <w:rPr>
          <w:rFonts w:hint="eastAsia" w:ascii="楷体" w:hAnsi="楷体" w:eastAsia="楷体"/>
          <w:sz w:val="28"/>
          <w:highlight w:val="none"/>
          <w:lang w:val="en-US" w:eastAsia="zh-CN"/>
        </w:rPr>
        <w:t>客厅及卧室</w:t>
      </w:r>
      <w:r>
        <w:rPr>
          <w:rFonts w:hint="eastAsia" w:ascii="楷体" w:hAnsi="楷体" w:eastAsia="楷体"/>
          <w:sz w:val="28"/>
          <w:highlight w:val="none"/>
        </w:rPr>
        <w:t>地面</w:t>
      </w:r>
      <w:r>
        <w:rPr>
          <w:rFonts w:hint="eastAsia" w:ascii="楷体" w:hAnsi="楷体" w:eastAsia="楷体"/>
          <w:sz w:val="28"/>
          <w:highlight w:val="none"/>
          <w:lang w:val="en-US" w:eastAsia="zh-CN"/>
        </w:rPr>
        <w:t>铺木地板</w:t>
      </w:r>
      <w:r>
        <w:rPr>
          <w:rFonts w:hint="eastAsia" w:ascii="楷体" w:hAnsi="楷体" w:eastAsia="楷体"/>
          <w:sz w:val="28"/>
          <w:highlight w:val="none"/>
        </w:rPr>
        <w:t>，墙面</w:t>
      </w:r>
      <w:r>
        <w:rPr>
          <w:rFonts w:hint="eastAsia" w:ascii="楷体" w:hAnsi="楷体" w:eastAsia="楷体"/>
          <w:sz w:val="28"/>
          <w:highlight w:val="none"/>
          <w:lang w:eastAsia="zh-CN"/>
        </w:rPr>
        <w:t>、</w:t>
      </w:r>
      <w:r>
        <w:rPr>
          <w:rFonts w:hint="eastAsia" w:ascii="楷体" w:hAnsi="楷体" w:eastAsia="楷体"/>
          <w:sz w:val="28"/>
          <w:highlight w:val="none"/>
          <w:lang w:val="en-US" w:eastAsia="zh-CN"/>
        </w:rPr>
        <w:t>顶面为涂料</w:t>
      </w:r>
      <w:r>
        <w:rPr>
          <w:rFonts w:hint="eastAsia" w:ascii="楷体" w:hAnsi="楷体" w:eastAsia="楷体"/>
          <w:sz w:val="28"/>
          <w:highlight w:val="none"/>
          <w:lang w:eastAsia="zh-CN"/>
        </w:rPr>
        <w:t>，</w:t>
      </w:r>
      <w:r>
        <w:rPr>
          <w:rFonts w:hint="eastAsia" w:ascii="楷体" w:hAnsi="楷体" w:eastAsia="楷体"/>
          <w:sz w:val="28"/>
          <w:highlight w:val="none"/>
          <w:lang w:val="en-US" w:eastAsia="zh-CN"/>
        </w:rPr>
        <w:t>厨房、卫生间地面铺地砖，墙面贴墙砖，顶面塑料扣板吊顶。</w:t>
      </w:r>
      <w:r>
        <w:rPr>
          <w:rFonts w:hint="eastAsia" w:ascii="楷体" w:hAnsi="楷体" w:eastAsia="楷体"/>
          <w:w w:val="100"/>
          <w:sz w:val="28"/>
          <w:highlight w:val="none"/>
        </w:rPr>
        <w:t>估价对象所在房屋水电卫</w:t>
      </w:r>
      <w:r>
        <w:rPr>
          <w:rFonts w:hint="eastAsia" w:ascii="楷体" w:hAnsi="楷体" w:eastAsia="楷体"/>
          <w:w w:val="100"/>
          <w:sz w:val="28"/>
          <w:highlight w:val="none"/>
          <w:lang w:val="en-US" w:eastAsia="zh-CN"/>
        </w:rPr>
        <w:t>燃气齐全</w:t>
      </w:r>
      <w:r>
        <w:rPr>
          <w:rFonts w:hint="eastAsia" w:ascii="楷体" w:hAnsi="楷体" w:eastAsia="楷体"/>
          <w:w w:val="95"/>
          <w:sz w:val="28"/>
          <w:highlight w:val="none"/>
        </w:rPr>
        <w:t>，整体使用维护状况</w:t>
      </w:r>
      <w:r>
        <w:rPr>
          <w:rFonts w:hint="eastAsia" w:ascii="楷体" w:hAnsi="楷体" w:eastAsia="楷体"/>
          <w:w w:val="95"/>
          <w:sz w:val="28"/>
          <w:highlight w:val="none"/>
          <w:lang w:val="en-US" w:eastAsia="zh-CN"/>
        </w:rPr>
        <w:t>较</w:t>
      </w:r>
      <w:r>
        <w:rPr>
          <w:rFonts w:hint="eastAsia" w:ascii="楷体" w:hAnsi="楷体" w:eastAsia="楷体"/>
          <w:w w:val="95"/>
          <w:sz w:val="28"/>
          <w:highlight w:val="none"/>
        </w:rPr>
        <w:t>好，属完好房。</w:t>
      </w:r>
    </w:p>
    <w:p>
      <w:pPr>
        <w:keepNext w:val="0"/>
        <w:keepLines w:val="0"/>
        <w:pageBreakBefore w:val="0"/>
        <w:widowControl w:val="0"/>
        <w:numPr>
          <w:ilvl w:val="0"/>
          <w:numId w:val="6"/>
        </w:numPr>
        <w:kinsoku/>
        <w:wordWrap/>
        <w:overflowPunct/>
        <w:topLinePunct w:val="0"/>
        <w:autoSpaceDE w:val="0"/>
        <w:autoSpaceDN/>
        <w:bidi w:val="0"/>
        <w:adjustRightInd/>
        <w:snapToGrid/>
        <w:spacing w:line="630" w:lineRule="exact"/>
        <w:ind w:firstLine="561"/>
        <w:jc w:val="left"/>
        <w:textAlignment w:val="bottom"/>
        <w:outlineLvl w:val="9"/>
        <w:rPr>
          <w:rFonts w:ascii="楷体_GB2312" w:hAnsi="宋体" w:eastAsia="楷体"/>
          <w:sz w:val="28"/>
          <w:szCs w:val="28"/>
        </w:rPr>
      </w:pPr>
      <w:bookmarkStart w:id="63" w:name="_Toc29769"/>
      <w:r>
        <w:rPr>
          <w:rFonts w:hint="eastAsia" w:ascii="楷体_GB2312" w:hAnsi="宋体" w:eastAsia="楷体"/>
          <w:sz w:val="28"/>
          <w:szCs w:val="28"/>
        </w:rPr>
        <w:t>区位状况</w:t>
      </w:r>
      <w:bookmarkEnd w:id="62"/>
      <w:bookmarkEnd w:id="63"/>
    </w:p>
    <w:p>
      <w:pPr>
        <w:keepNext w:val="0"/>
        <w:keepLines w:val="0"/>
        <w:pageBreakBefore w:val="0"/>
        <w:widowControl w:val="0"/>
        <w:kinsoku/>
        <w:wordWrap/>
        <w:overflowPunct/>
        <w:topLinePunct w:val="0"/>
        <w:autoSpaceDN/>
        <w:bidi w:val="0"/>
        <w:adjustRightInd/>
        <w:snapToGrid/>
        <w:spacing w:line="630" w:lineRule="exact"/>
        <w:ind w:firstLine="560" w:firstLineChars="200"/>
        <w:rPr>
          <w:rFonts w:ascii="楷体" w:hAnsi="楷体" w:eastAsia="楷体" w:cs="楷体"/>
          <w:sz w:val="28"/>
        </w:rPr>
      </w:pPr>
      <w:r>
        <w:rPr>
          <w:rFonts w:hint="eastAsia" w:ascii="楷体" w:hAnsi="楷体" w:eastAsia="楷体" w:cs="楷体"/>
          <w:sz w:val="28"/>
        </w:rPr>
        <w:t>杭州市位于浙江省北部，总面积16596平方千米，下辖上城、拱墅、西湖、滨江、萧山、余杭、</w:t>
      </w:r>
      <w:r>
        <w:rPr>
          <w:rFonts w:hint="eastAsia" w:ascii="楷体" w:hAnsi="楷体" w:eastAsia="楷体" w:cs="楷体"/>
          <w:sz w:val="28"/>
          <w:lang w:val="en-US" w:eastAsia="zh-CN"/>
        </w:rPr>
        <w:t>临平、钱塘、</w:t>
      </w:r>
      <w:r>
        <w:rPr>
          <w:rFonts w:hint="eastAsia" w:ascii="楷体" w:hAnsi="楷体" w:eastAsia="楷体" w:cs="楷体"/>
          <w:sz w:val="28"/>
        </w:rPr>
        <w:t>富阳及临安10个市辖区，桐庐、淳安2个县和建德1个县级市。</w:t>
      </w:r>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jc w:val="left"/>
        <w:textAlignment w:val="bottom"/>
        <w:rPr>
          <w:rFonts w:hint="eastAsia" w:ascii="楷体" w:hAnsi="楷体" w:eastAsia="楷体" w:cs="楷体"/>
          <w:sz w:val="28"/>
        </w:rPr>
      </w:pPr>
      <w:r>
        <w:rPr>
          <w:rFonts w:hint="eastAsia" w:ascii="楷体" w:hAnsi="楷体" w:eastAsia="楷体" w:cs="楷体"/>
          <w:sz w:val="28"/>
        </w:rPr>
        <w:t>淳安县位于浙江省西部，面积4427平方公里，是浙江省地域面积最大的县。淳安拥有一流的生态环境资源和旅游资源，千岛湖有岛屿1078个，湖岸线2500公里，湖区面积573平方公里，是国务院首批国家级风景名胜区、全国最大的森林公园。</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rPr>
      </w:pPr>
      <w:r>
        <w:rPr>
          <w:rFonts w:hint="eastAsia" w:ascii="楷体_GB2312" w:hAnsi="宋体" w:eastAsia="楷体"/>
          <w:sz w:val="28"/>
          <w:szCs w:val="28"/>
        </w:rPr>
        <w:t>1.位置状况</w:t>
      </w:r>
    </w:p>
    <w:p>
      <w:pPr>
        <w:keepNext w:val="0"/>
        <w:keepLines w:val="0"/>
        <w:pageBreakBefore w:val="0"/>
        <w:widowControl w:val="0"/>
        <w:kinsoku/>
        <w:wordWrap/>
        <w:overflowPunct/>
        <w:topLinePunct w:val="0"/>
        <w:autoSpaceDN/>
        <w:bidi w:val="0"/>
        <w:adjustRightInd/>
        <w:spacing w:line="630" w:lineRule="exact"/>
        <w:ind w:firstLine="560" w:firstLineChars="200"/>
        <w:rPr>
          <w:rFonts w:ascii="宋体" w:hAnsi="宋体" w:eastAsia="楷体"/>
          <w:sz w:val="28"/>
          <w:highlight w:val="none"/>
        </w:rPr>
      </w:pPr>
      <w:r>
        <w:rPr>
          <w:rFonts w:hint="eastAsia" w:ascii="楷体_GB2312" w:hAnsi="宋体" w:eastAsia="楷体"/>
          <w:sz w:val="28"/>
          <w:szCs w:val="28"/>
        </w:rPr>
        <w:t>估价对象坐落于</w:t>
      </w:r>
      <w:r>
        <w:rPr>
          <w:rFonts w:hint="eastAsia" w:ascii="楷体" w:hAnsi="楷体" w:eastAsia="楷体"/>
          <w:spacing w:val="-6"/>
          <w:sz w:val="28"/>
          <w:szCs w:val="28"/>
          <w:lang w:eastAsia="zh-CN"/>
        </w:rPr>
        <w:t>淳安县千岛湖镇新安东路5号10841室（号）</w:t>
      </w:r>
      <w:r>
        <w:rPr>
          <w:rFonts w:hint="eastAsia" w:ascii="楷体_GB2312" w:hAnsi="宋体" w:eastAsia="楷体"/>
          <w:sz w:val="28"/>
          <w:szCs w:val="28"/>
        </w:rPr>
        <w:t>，位于</w:t>
      </w:r>
      <w:r>
        <w:rPr>
          <w:rFonts w:hint="eastAsia" w:ascii="楷体_GB2312" w:hAnsi="宋体" w:eastAsia="楷体"/>
          <w:sz w:val="28"/>
          <w:szCs w:val="28"/>
          <w:lang w:val="en-US" w:eastAsia="zh-CN"/>
        </w:rPr>
        <w:t>新安大街与新安东路</w:t>
      </w:r>
      <w:r>
        <w:rPr>
          <w:rFonts w:hint="eastAsia" w:ascii="楷体_GB2312" w:hAnsi="宋体" w:eastAsia="楷体"/>
          <w:sz w:val="28"/>
          <w:szCs w:val="28"/>
        </w:rPr>
        <w:t>交汇处</w:t>
      </w:r>
      <w:r>
        <w:rPr>
          <w:rFonts w:hint="eastAsia" w:ascii="楷体_GB2312" w:hAnsi="宋体" w:eastAsia="楷体"/>
          <w:sz w:val="28"/>
          <w:szCs w:val="28"/>
          <w:lang w:val="en-US" w:eastAsia="zh-CN"/>
        </w:rPr>
        <w:t>西北</w:t>
      </w:r>
      <w:r>
        <w:rPr>
          <w:rFonts w:hint="eastAsia" w:ascii="楷体_GB2312" w:hAnsi="宋体" w:eastAsia="楷体"/>
          <w:sz w:val="28"/>
          <w:szCs w:val="28"/>
        </w:rPr>
        <w:t>侧，</w:t>
      </w:r>
      <w:r>
        <w:rPr>
          <w:rFonts w:hint="eastAsia" w:ascii="楷体_GB2312" w:hAnsi="宋体" w:eastAsia="楷体"/>
          <w:sz w:val="28"/>
          <w:szCs w:val="28"/>
          <w:lang w:val="en-US" w:eastAsia="zh-CN"/>
        </w:rPr>
        <w:t>距淳安县政府行车距离约2公里</w:t>
      </w:r>
      <w:r>
        <w:rPr>
          <w:rFonts w:hint="eastAsia" w:ascii="楷体_GB2312" w:hAnsi="宋体" w:eastAsia="楷体"/>
          <w:sz w:val="28"/>
          <w:szCs w:val="28"/>
          <w:highlight w:val="none"/>
        </w:rPr>
        <w:t>。</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highlight w:val="none"/>
        </w:rPr>
      </w:pPr>
      <w:r>
        <w:rPr>
          <w:rFonts w:hint="eastAsia" w:ascii="楷体_GB2312" w:hAnsi="宋体" w:eastAsia="楷体"/>
          <w:sz w:val="28"/>
          <w:szCs w:val="28"/>
          <w:highlight w:val="none"/>
        </w:rPr>
        <w:t>2.交通状况</w:t>
      </w:r>
    </w:p>
    <w:p>
      <w:pPr>
        <w:keepNext w:val="0"/>
        <w:keepLines w:val="0"/>
        <w:pageBreakBefore w:val="0"/>
        <w:widowControl w:val="0"/>
        <w:kinsoku/>
        <w:wordWrap/>
        <w:overflowPunct/>
        <w:topLinePunct w:val="0"/>
        <w:autoSpaceDN/>
        <w:bidi w:val="0"/>
        <w:adjustRightInd/>
        <w:spacing w:line="630" w:lineRule="exact"/>
        <w:ind w:firstLine="560" w:firstLineChars="200"/>
        <w:rPr>
          <w:rFonts w:ascii="楷体" w:hAnsi="楷体" w:eastAsia="楷体"/>
          <w:sz w:val="28"/>
          <w:highlight w:val="none"/>
        </w:rPr>
      </w:pPr>
      <w:r>
        <w:rPr>
          <w:rFonts w:hint="eastAsia" w:ascii="楷体" w:hAnsi="楷体" w:eastAsia="楷体"/>
          <w:sz w:val="28"/>
        </w:rPr>
        <w:t>估价对象附近有</w:t>
      </w:r>
      <w:r>
        <w:rPr>
          <w:rFonts w:hint="eastAsia" w:ascii="楷体_GB2312" w:hAnsi="宋体" w:eastAsia="楷体"/>
          <w:sz w:val="28"/>
          <w:szCs w:val="28"/>
          <w:lang w:val="en-US" w:eastAsia="zh-CN"/>
        </w:rPr>
        <w:t>新安大街</w:t>
      </w:r>
      <w:r>
        <w:rPr>
          <w:rFonts w:hint="eastAsia" w:ascii="楷体" w:hAnsi="楷体" w:eastAsia="楷体"/>
          <w:sz w:val="28"/>
        </w:rPr>
        <w:t>、</w:t>
      </w:r>
      <w:r>
        <w:rPr>
          <w:rFonts w:hint="eastAsia" w:ascii="楷体_GB2312" w:hAnsi="宋体" w:eastAsia="楷体"/>
          <w:sz w:val="28"/>
          <w:szCs w:val="28"/>
          <w:lang w:val="en-US" w:eastAsia="zh-CN"/>
        </w:rPr>
        <w:t>新安东路</w:t>
      </w:r>
      <w:r>
        <w:rPr>
          <w:rFonts w:hint="eastAsia" w:ascii="楷体" w:hAnsi="楷体" w:eastAsia="楷体"/>
          <w:sz w:val="28"/>
        </w:rPr>
        <w:t>等城市主次道路</w:t>
      </w:r>
      <w:r>
        <w:rPr>
          <w:rFonts w:hint="eastAsia" w:ascii="楷体" w:hAnsi="楷体" w:eastAsia="楷体"/>
          <w:sz w:val="28"/>
          <w:lang w:eastAsia="zh-CN"/>
        </w:rPr>
        <w:t>，</w:t>
      </w:r>
      <w:r>
        <w:rPr>
          <w:rFonts w:hint="eastAsia" w:ascii="楷体" w:hAnsi="楷体" w:eastAsia="楷体"/>
          <w:sz w:val="28"/>
          <w:lang w:val="en-US" w:eastAsia="zh-CN"/>
        </w:rPr>
        <w:t>道路通达度较好</w:t>
      </w:r>
      <w:r>
        <w:rPr>
          <w:rFonts w:hint="eastAsia" w:ascii="楷体" w:hAnsi="楷体" w:eastAsia="楷体"/>
          <w:sz w:val="28"/>
        </w:rPr>
        <w:t>。估价对象所在区</w:t>
      </w:r>
      <w:r>
        <w:rPr>
          <w:rFonts w:hint="eastAsia" w:ascii="楷体" w:hAnsi="楷体" w:eastAsia="楷体"/>
          <w:sz w:val="28"/>
          <w:highlight w:val="none"/>
        </w:rPr>
        <w:t>域附近有</w:t>
      </w:r>
      <w:r>
        <w:rPr>
          <w:rFonts w:hint="eastAsia" w:ascii="楷体" w:hAnsi="楷体" w:eastAsia="楷体"/>
          <w:sz w:val="28"/>
          <w:highlight w:val="none"/>
          <w:lang w:val="en-US" w:eastAsia="zh-CN"/>
        </w:rPr>
        <w:t>淳安K001路内环、淳安K002路、淳安K003路、淳安K005路、淳安K006路、淳安K007路、淳安K009路</w:t>
      </w:r>
      <w:r>
        <w:rPr>
          <w:rFonts w:hint="eastAsia" w:ascii="楷体" w:hAnsi="楷体" w:eastAsia="楷体"/>
          <w:sz w:val="28"/>
          <w:highlight w:val="none"/>
        </w:rPr>
        <w:t>等多条公交线路设有停靠站点，公共交通便捷</w:t>
      </w:r>
      <w:r>
        <w:rPr>
          <w:rFonts w:hint="eastAsia" w:ascii="楷体" w:hAnsi="楷体" w:eastAsia="楷体"/>
          <w:sz w:val="28"/>
          <w:highlight w:val="none"/>
          <w:lang w:val="en-US" w:eastAsia="zh-CN"/>
        </w:rPr>
        <w:t>度较高</w:t>
      </w:r>
      <w:r>
        <w:rPr>
          <w:rFonts w:hint="eastAsia" w:ascii="楷体" w:hAnsi="楷体" w:eastAsia="楷体"/>
          <w:sz w:val="28"/>
          <w:highlight w:val="none"/>
        </w:rPr>
        <w:t>，</w:t>
      </w:r>
      <w:r>
        <w:rPr>
          <w:rFonts w:hint="eastAsia" w:ascii="楷体" w:hAnsi="楷体" w:eastAsia="楷体"/>
          <w:sz w:val="28"/>
          <w:highlight w:val="none"/>
          <w:lang w:val="en-US" w:eastAsia="zh-CN"/>
        </w:rPr>
        <w:t>估价对象所在区域停车位较少，</w:t>
      </w:r>
      <w:r>
        <w:rPr>
          <w:rFonts w:hint="eastAsia" w:ascii="楷体" w:hAnsi="楷体" w:eastAsia="楷体"/>
          <w:sz w:val="28"/>
          <w:highlight w:val="none"/>
        </w:rPr>
        <w:t>停车方便程度</w:t>
      </w:r>
      <w:r>
        <w:rPr>
          <w:rFonts w:hint="eastAsia" w:ascii="楷体" w:hAnsi="楷体" w:eastAsia="楷体"/>
          <w:sz w:val="28"/>
          <w:highlight w:val="none"/>
          <w:lang w:val="en-US" w:eastAsia="zh-CN"/>
        </w:rPr>
        <w:t>一般</w:t>
      </w:r>
      <w:r>
        <w:rPr>
          <w:rFonts w:hint="eastAsia" w:ascii="楷体" w:hAnsi="楷体" w:eastAsia="楷体"/>
          <w:sz w:val="28"/>
          <w:highlight w:val="none"/>
        </w:rPr>
        <w:t>，周边交通管制状况较少。</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rPr>
      </w:pPr>
      <w:r>
        <w:rPr>
          <w:rFonts w:hint="eastAsia" w:ascii="楷体_GB2312" w:hAnsi="宋体" w:eastAsia="楷体"/>
          <w:sz w:val="28"/>
          <w:szCs w:val="28"/>
        </w:rPr>
        <w:t>3.基础配套设施</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hint="eastAsia" w:ascii="楷体_GB2312" w:hAnsi="宋体" w:eastAsia="楷体"/>
          <w:sz w:val="28"/>
          <w:szCs w:val="28"/>
        </w:rPr>
      </w:pPr>
      <w:r>
        <w:rPr>
          <w:rFonts w:hint="eastAsia" w:ascii="楷体_GB2312" w:hAnsi="宋体" w:eastAsia="楷体"/>
          <w:sz w:val="28"/>
          <w:szCs w:val="28"/>
        </w:rPr>
        <w:t>估价对象所在区域具备了以通路、通上水、通下水、通电、通讯</w:t>
      </w:r>
      <w:r>
        <w:rPr>
          <w:rFonts w:hint="eastAsia" w:ascii="楷体_GB2312" w:hAnsi="宋体" w:eastAsia="楷体"/>
          <w:sz w:val="28"/>
          <w:szCs w:val="28"/>
          <w:lang w:val="en-US" w:eastAsia="zh-CN"/>
        </w:rPr>
        <w:t>通燃气</w:t>
      </w:r>
      <w:r>
        <w:rPr>
          <w:rFonts w:hint="eastAsia" w:ascii="楷体_GB2312" w:hAnsi="宋体" w:eastAsia="楷体"/>
          <w:sz w:val="28"/>
          <w:szCs w:val="28"/>
        </w:rPr>
        <w:t>及场地平整、地上有建筑物为主的“</w:t>
      </w:r>
      <w:r>
        <w:rPr>
          <w:rFonts w:hint="eastAsia" w:ascii="楷体_GB2312" w:hAnsi="宋体" w:eastAsia="楷体"/>
          <w:sz w:val="28"/>
          <w:szCs w:val="28"/>
          <w:lang w:val="en-US" w:eastAsia="zh-CN"/>
        </w:rPr>
        <w:t>六</w:t>
      </w:r>
      <w:r>
        <w:rPr>
          <w:rFonts w:hint="eastAsia" w:ascii="楷体_GB2312" w:hAnsi="宋体" w:eastAsia="楷体"/>
          <w:sz w:val="28"/>
          <w:szCs w:val="28"/>
        </w:rPr>
        <w:t>通一平”基础设施条件，基础配套设施齐全。</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rPr>
      </w:pPr>
      <w:r>
        <w:rPr>
          <w:rFonts w:hint="eastAsia" w:ascii="楷体_GB2312" w:hAnsi="宋体" w:eastAsia="楷体"/>
          <w:sz w:val="28"/>
          <w:szCs w:val="28"/>
        </w:rPr>
        <w:t>4.公共服务设施</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w w:val="98"/>
          <w:sz w:val="28"/>
          <w:szCs w:val="28"/>
          <w:highlight w:val="none"/>
        </w:rPr>
      </w:pPr>
      <w:r>
        <w:rPr>
          <w:rFonts w:hint="eastAsia" w:ascii="楷体_GB2312" w:hAnsi="宋体" w:eastAsia="楷体"/>
          <w:sz w:val="28"/>
          <w:szCs w:val="28"/>
        </w:rPr>
        <w:t>估价对象所在区域附近有明珠幼儿园</w:t>
      </w:r>
      <w:r>
        <w:rPr>
          <w:rFonts w:hint="eastAsia" w:ascii="楷体_GB2312" w:hAnsi="宋体" w:eastAsia="楷体"/>
          <w:sz w:val="28"/>
          <w:szCs w:val="28"/>
          <w:lang w:eastAsia="zh-CN"/>
        </w:rPr>
        <w:t>、</w:t>
      </w:r>
      <w:r>
        <w:rPr>
          <w:rFonts w:hint="eastAsia" w:ascii="楷体_GB2312" w:hAnsi="宋体" w:eastAsia="楷体"/>
          <w:sz w:val="28"/>
          <w:szCs w:val="28"/>
        </w:rPr>
        <w:t>新世纪幼儿园(新安北路店)、千岛湖镇第</w:t>
      </w:r>
      <w:r>
        <w:rPr>
          <w:rFonts w:hint="eastAsia" w:ascii="楷体_GB2312" w:hAnsi="宋体" w:eastAsia="楷体"/>
          <w:sz w:val="28"/>
          <w:szCs w:val="28"/>
          <w:lang w:val="en-US" w:eastAsia="zh-CN"/>
        </w:rPr>
        <w:t>一</w:t>
      </w:r>
      <w:r>
        <w:rPr>
          <w:rFonts w:hint="eastAsia" w:ascii="楷体_GB2312" w:hAnsi="宋体" w:eastAsia="楷体"/>
          <w:sz w:val="28"/>
          <w:szCs w:val="28"/>
        </w:rPr>
        <w:t>小学、浙江淳安第二中学，有淳安县中医院、淳安县妇幼保健医院，有</w:t>
      </w:r>
      <w:r>
        <w:rPr>
          <w:rFonts w:hint="eastAsia" w:ascii="楷体_GB2312" w:hAnsi="宋体" w:eastAsia="楷体"/>
          <w:sz w:val="28"/>
          <w:szCs w:val="28"/>
          <w:lang w:val="en-US" w:eastAsia="zh-CN"/>
        </w:rPr>
        <w:t>千岛湖广场、</w:t>
      </w:r>
      <w:r>
        <w:rPr>
          <w:rFonts w:hint="eastAsia" w:ascii="楷体_GB2312" w:hAnsi="宋体" w:eastAsia="楷体"/>
          <w:sz w:val="28"/>
          <w:szCs w:val="28"/>
        </w:rPr>
        <w:t>湖滨公园等公共服务配套设施，公共服务设施配套较完善。</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rPr>
      </w:pPr>
      <w:r>
        <w:rPr>
          <w:rFonts w:hint="eastAsia" w:ascii="楷体_GB2312" w:hAnsi="宋体" w:eastAsia="楷体"/>
          <w:sz w:val="28"/>
          <w:szCs w:val="28"/>
        </w:rPr>
        <w:t>5.居住氛围及商业繁华程度</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hint="eastAsia" w:ascii="楷体_GB2312" w:hAnsi="宋体" w:eastAsia="楷体"/>
          <w:sz w:val="28"/>
          <w:szCs w:val="28"/>
        </w:rPr>
      </w:pPr>
      <w:r>
        <w:rPr>
          <w:rFonts w:hint="eastAsia" w:ascii="楷体_GB2312" w:hAnsi="宋体" w:eastAsia="楷体"/>
          <w:sz w:val="28"/>
          <w:szCs w:val="28"/>
        </w:rPr>
        <w:t>估价对象</w:t>
      </w:r>
      <w:r>
        <w:rPr>
          <w:rFonts w:hint="eastAsia" w:ascii="楷体_GB2312" w:hAnsi="宋体" w:eastAsia="楷体"/>
          <w:sz w:val="28"/>
          <w:szCs w:val="28"/>
          <w:lang w:val="en-US" w:eastAsia="zh-CN"/>
        </w:rPr>
        <w:t>附近有明珠花园、景秀花园、长运小区等住宅小区，居住氛围较浓厚；估价对象</w:t>
      </w:r>
      <w:r>
        <w:rPr>
          <w:rFonts w:hint="eastAsia" w:ascii="楷体_GB2312" w:hAnsi="宋体" w:eastAsia="楷体"/>
          <w:sz w:val="28"/>
          <w:szCs w:val="28"/>
        </w:rPr>
        <w:t>位于淳安县千岛湖镇千岛湖畔，附近有千岛湖银泰城(广场店)、世纪联华(新安东路店)</w:t>
      </w:r>
      <w:r>
        <w:rPr>
          <w:rFonts w:hint="eastAsia" w:ascii="楷体_GB2312" w:hAnsi="宋体" w:eastAsia="楷体"/>
          <w:sz w:val="28"/>
          <w:szCs w:val="28"/>
          <w:lang w:eastAsia="zh-CN"/>
        </w:rPr>
        <w:t>，</w:t>
      </w:r>
      <w:r>
        <w:rPr>
          <w:rFonts w:hint="eastAsia" w:ascii="楷体_GB2312" w:hAnsi="宋体" w:eastAsia="楷体"/>
          <w:sz w:val="28"/>
          <w:szCs w:val="28"/>
          <w:lang w:val="en-US" w:eastAsia="zh-CN"/>
        </w:rPr>
        <w:t>估价对象所在建筑物1-2层为临街商铺，</w:t>
      </w:r>
      <w:r>
        <w:rPr>
          <w:rFonts w:hint="eastAsia" w:ascii="楷体_GB2312" w:hAnsi="宋体" w:eastAsia="楷体"/>
          <w:sz w:val="28"/>
          <w:szCs w:val="28"/>
        </w:rPr>
        <w:t>商业繁华度</w:t>
      </w:r>
      <w:r>
        <w:rPr>
          <w:rFonts w:hint="eastAsia" w:ascii="楷体_GB2312" w:hAnsi="宋体" w:eastAsia="楷体"/>
          <w:sz w:val="28"/>
          <w:szCs w:val="28"/>
          <w:lang w:val="en-US" w:eastAsia="zh-CN"/>
        </w:rPr>
        <w:t>较好</w:t>
      </w:r>
      <w:r>
        <w:rPr>
          <w:rFonts w:hint="eastAsia" w:ascii="楷体_GB2312" w:hAnsi="宋体" w:eastAsia="楷体"/>
          <w:sz w:val="28"/>
          <w:szCs w:val="28"/>
        </w:rPr>
        <w:t>。</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rPr>
      </w:pPr>
      <w:r>
        <w:rPr>
          <w:rFonts w:hint="eastAsia" w:ascii="楷体_GB2312" w:hAnsi="宋体" w:eastAsia="楷体"/>
          <w:sz w:val="28"/>
          <w:szCs w:val="28"/>
        </w:rPr>
        <w:t>6.环境状况</w:t>
      </w:r>
    </w:p>
    <w:p>
      <w:pPr>
        <w:pStyle w:val="45"/>
        <w:keepNext w:val="0"/>
        <w:keepLines w:val="0"/>
        <w:pageBreakBefore w:val="0"/>
        <w:widowControl w:val="0"/>
        <w:kinsoku/>
        <w:wordWrap/>
        <w:overflowPunct/>
        <w:topLinePunct w:val="0"/>
        <w:autoSpaceDE w:val="0"/>
        <w:autoSpaceDN/>
        <w:bidi w:val="0"/>
        <w:adjustRightInd/>
        <w:spacing w:line="630" w:lineRule="exact"/>
        <w:ind w:firstLineChars="150"/>
        <w:jc w:val="left"/>
        <w:textAlignment w:val="bottom"/>
        <w:rPr>
          <w:rFonts w:ascii="楷体" w:hAnsi="楷体" w:eastAsia="楷体" w:cs="楷体"/>
          <w:sz w:val="28"/>
        </w:rPr>
      </w:pPr>
      <w:bookmarkStart w:id="64" w:name="_Toc11822"/>
      <w:bookmarkStart w:id="65" w:name="_Toc451175951"/>
      <w:bookmarkStart w:id="66" w:name="_Toc4218"/>
      <w:r>
        <w:rPr>
          <w:rFonts w:hint="eastAsia" w:ascii="楷体_GB2312" w:hAnsi="宋体" w:eastAsia="楷体"/>
          <w:sz w:val="28"/>
          <w:szCs w:val="28"/>
        </w:rPr>
        <w:t>估价对象所在区域</w:t>
      </w:r>
      <w:r>
        <w:rPr>
          <w:rFonts w:hint="eastAsia" w:ascii="楷体_GB2312" w:hAnsi="宋体" w:eastAsia="楷体"/>
          <w:sz w:val="28"/>
          <w:szCs w:val="28"/>
          <w:lang w:val="en-US" w:eastAsia="zh-CN"/>
        </w:rPr>
        <w:t>临千岛湖景区，</w:t>
      </w:r>
      <w:r>
        <w:rPr>
          <w:rFonts w:hint="eastAsia" w:ascii="楷体_GB2312" w:hAnsi="宋体" w:eastAsia="楷体"/>
          <w:sz w:val="28"/>
          <w:szCs w:val="28"/>
        </w:rPr>
        <w:t>整体环境好，自然环境</w:t>
      </w:r>
      <w:r>
        <w:rPr>
          <w:rFonts w:hint="eastAsia" w:ascii="楷体_GB2312" w:hAnsi="宋体" w:eastAsia="楷体"/>
          <w:sz w:val="28"/>
          <w:szCs w:val="28"/>
          <w:lang w:val="en-US" w:eastAsia="zh-CN"/>
        </w:rPr>
        <w:t>较好</w:t>
      </w:r>
      <w:r>
        <w:rPr>
          <w:rFonts w:hint="eastAsia" w:ascii="楷体_GB2312" w:hAnsi="宋体" w:eastAsia="楷体"/>
          <w:sz w:val="28"/>
          <w:szCs w:val="28"/>
        </w:rPr>
        <w:t>；所在区域治安状况较好，人文环境较好。</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67" w:name="_Toc14512"/>
      <w:r>
        <w:rPr>
          <w:rFonts w:hint="eastAsia"/>
        </w:rPr>
        <w:t>价值时点</w:t>
      </w:r>
      <w:bookmarkEnd w:id="64"/>
      <w:bookmarkEnd w:id="65"/>
      <w:bookmarkEnd w:id="66"/>
      <w:bookmarkEnd w:id="67"/>
    </w:p>
    <w:p>
      <w:pPr>
        <w:spacing w:line="630" w:lineRule="exact"/>
        <w:ind w:left="570"/>
        <w:rPr>
          <w:rFonts w:ascii="楷体" w:hAnsi="楷体" w:eastAsia="楷体"/>
          <w:sz w:val="28"/>
        </w:rPr>
      </w:pPr>
      <w:r>
        <w:rPr>
          <w:rFonts w:hint="eastAsia" w:eastAsia="楷体"/>
          <w:sz w:val="28"/>
          <w:highlight w:val="none"/>
          <w:lang w:eastAsia="zh-CN"/>
        </w:rPr>
        <w:t>二Ο二二年八月八日</w:t>
      </w:r>
      <w:r>
        <w:rPr>
          <w:rFonts w:hint="eastAsia" w:eastAsia="楷体"/>
          <w:sz w:val="28"/>
          <w:highlight w:val="none"/>
        </w:rPr>
        <w:t>（实地查勘之日</w:t>
      </w:r>
      <w:r>
        <w:rPr>
          <w:rFonts w:hint="eastAsia" w:eastAsia="楷体"/>
          <w:sz w:val="28"/>
        </w:rPr>
        <w:t>）。</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68" w:name="_Toc32275"/>
      <w:bookmarkStart w:id="69" w:name="_Toc451175952"/>
      <w:bookmarkStart w:id="70" w:name="_Toc7054"/>
      <w:bookmarkStart w:id="71" w:name="_Toc14483"/>
      <w:r>
        <w:rPr>
          <w:rFonts w:hint="eastAsia"/>
        </w:rPr>
        <w:t>价值类型</w:t>
      </w:r>
      <w:bookmarkEnd w:id="68"/>
      <w:bookmarkEnd w:id="69"/>
      <w:bookmarkEnd w:id="70"/>
      <w:bookmarkEnd w:id="71"/>
    </w:p>
    <w:p>
      <w:pPr>
        <w:pStyle w:val="45"/>
        <w:spacing w:line="630" w:lineRule="exact"/>
        <w:ind w:firstLine="560"/>
      </w:pPr>
      <w:bookmarkStart w:id="72" w:name="_Toc712"/>
      <w:bookmarkStart w:id="73" w:name="_Toc451175953"/>
      <w:bookmarkStart w:id="74" w:name="_Toc31480"/>
      <w:r>
        <w:rPr>
          <w:rFonts w:hint="eastAsia" w:ascii="宋体" w:eastAsia="楷体"/>
          <w:sz w:val="28"/>
        </w:rPr>
        <w:t>房地产市场价值是在公开市场上最可能形成的价格，公开市场指在该市场上交易双方进行交易的目的在于最大限度地追求经济效益，并掌握必要的市场信息，有较充裕的时间进行交易，对交易对象具有必要的专业知识，交易条件公开并不具有排它性。</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75" w:name="_Toc14677"/>
      <w:r>
        <w:rPr>
          <w:rFonts w:hint="eastAsia"/>
        </w:rPr>
        <w:t>估价原则</w:t>
      </w:r>
      <w:bookmarkEnd w:id="72"/>
      <w:bookmarkEnd w:id="73"/>
      <w:bookmarkEnd w:id="74"/>
      <w:bookmarkEnd w:id="75"/>
    </w:p>
    <w:p>
      <w:pPr>
        <w:spacing w:line="630" w:lineRule="exact"/>
        <w:ind w:firstLine="560" w:firstLineChars="200"/>
        <w:rPr>
          <w:rFonts w:ascii="楷体" w:hAnsi="楷体" w:eastAsia="楷体" w:cs="楷体"/>
          <w:sz w:val="28"/>
        </w:rPr>
      </w:pPr>
      <w:r>
        <w:rPr>
          <w:rFonts w:hint="eastAsia" w:ascii="楷体" w:hAnsi="楷体" w:eastAsia="楷体" w:cs="楷体"/>
          <w:sz w:val="28"/>
        </w:rPr>
        <w:t>本次估价遵循独立、客观、公正原则，合法原则，价值时点原则，替代原则，最高最佳利用原则等估价原则。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（一）客观、独立、公正原则：要求站在中立的立场上，实事求是、公平正直地评估出对各方估价利害关系人均是公平合理的价值或价格的原则。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（二）合法原则：要求估价结果是在依法判定的估价对象状况下的价值或价格的原则。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（三）价值时点原则：要求估价结果是在根据估价目的确定的某一特定时间的价值或价格的原则。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（四）替代原则：要求估价结果与估价对象的类似房地产在同等条件下的价值或价格偏差在合理范围内的原则。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（五）最高最佳利用原则：要求估价结果是在估价对象最高最佳利用状况下的价值或价格的原则。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最高最佳利用：房地产在法律上允许、技术上可能、财务上可行并使价值最大的合理、可能的利用，包括最佳的用途、规模、档次等。</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76" w:name="_Toc7979"/>
      <w:bookmarkStart w:id="77" w:name="_Toc18042"/>
      <w:bookmarkStart w:id="78" w:name="_Toc23485"/>
      <w:bookmarkStart w:id="79" w:name="_Toc451175954"/>
      <w:r>
        <w:rPr>
          <w:rFonts w:hint="eastAsia"/>
        </w:rPr>
        <w:t>估价依据</w:t>
      </w:r>
      <w:bookmarkEnd w:id="76"/>
      <w:bookmarkEnd w:id="77"/>
      <w:bookmarkEnd w:id="78"/>
      <w:bookmarkEnd w:id="79"/>
    </w:p>
    <w:p>
      <w:pPr>
        <w:numPr>
          <w:ilvl w:val="0"/>
          <w:numId w:val="7"/>
        </w:numPr>
        <w:autoSpaceDE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《中华人民共和国民法典》（2020年5月28日第十三届全国人民代表大会第三次会议通过）；</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中华人民共和国城市房地产管理法》（2019年8月26日第十三届全国人民代表大会常务委员会第十二次会议《关于修改&lt;中华人民共和国土地管理法&gt;、&lt;中华人民共和国城市房地产管理法&gt;的决定》第三次修正）；</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《中华人民共和国土地管理法》（2019年8月26日第十三届全国人民代表大会常务委员会第十二次会议《关于修改&lt;中华人民共和国土地管理法&gt;、&lt;中华人民共和国城市房地产管理法&gt;的决定》第三次修正）；</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《中华人民共和国资产评估法》（2016年7月2日中华人民共和国主席令第46号公布）；</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bookmarkStart w:id="80" w:name="_Toc14584"/>
      <w:bookmarkStart w:id="81" w:name="_Toc24098"/>
      <w:bookmarkStart w:id="82" w:name="_Toc451175955"/>
      <w:r>
        <w:rPr>
          <w:rFonts w:hint="eastAsia" w:ascii="楷体" w:hAnsi="楷体" w:eastAsia="楷体" w:cs="楷体"/>
          <w:sz w:val="28"/>
          <w:highlight w:val="none"/>
        </w:rPr>
        <w:t>《中华人民共和国土地管理法实施条例 》（2014年7月29日《国务院关于修改部分行政法规的决定》第二次修订）；</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《不动产登记暂行条例》（2014年11月24日中国人民共和国国务院令第656号发布）;</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《房地产估价规范》GB/T50291-2015（2015年4月8日发布，2015年12月1日实施）；</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《房地产估价基本术语标准》GB/T50899-2013（2013年6月26日发布，2014年2月1日实施）；</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lang w:eastAsia="zh-CN"/>
        </w:rPr>
        <w:t>《</w:t>
      </w:r>
      <w:r>
        <w:rPr>
          <w:rFonts w:hint="eastAsia" w:ascii="楷体" w:hAnsi="楷体" w:eastAsia="楷体" w:cs="楷体"/>
          <w:sz w:val="28"/>
          <w:lang w:val="en-US" w:eastAsia="zh-CN"/>
        </w:rPr>
        <w:t>司法鉴定程序通则</w:t>
      </w:r>
      <w:r>
        <w:rPr>
          <w:rFonts w:hint="eastAsia" w:ascii="楷体" w:hAnsi="楷体" w:eastAsia="楷体" w:cs="楷体"/>
          <w:sz w:val="28"/>
          <w:lang w:eastAsia="zh-CN"/>
        </w:rPr>
        <w:t>》（</w:t>
      </w:r>
      <w:r>
        <w:rPr>
          <w:rFonts w:hint="eastAsia" w:ascii="楷体" w:hAnsi="楷体" w:eastAsia="楷体" w:cs="楷体"/>
          <w:sz w:val="28"/>
          <w:lang w:val="en-US" w:eastAsia="zh-CN"/>
        </w:rPr>
        <w:t>司法部令第132号</w:t>
      </w:r>
      <w:r>
        <w:rPr>
          <w:rFonts w:hint="eastAsia" w:ascii="楷体" w:hAnsi="楷体" w:eastAsia="楷体" w:cs="楷体"/>
          <w:sz w:val="28"/>
          <w:lang w:eastAsia="zh-CN"/>
        </w:rPr>
        <w:t>）；</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《最高人民法院关于人民法院确定财产处置参考价若干问题的规定》（法释［2018］15号）；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《人民法院委托评估工作规范》（法办［2018］273号）；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hint="eastAsia" w:ascii="楷体" w:hAnsi="楷体" w:eastAsia="楷体" w:cs="楷体"/>
          <w:sz w:val="28"/>
          <w:szCs w:val="28"/>
          <w:highlight w:val="none"/>
          <w:lang w:eastAsia="zh-CN"/>
        </w:rPr>
      </w:pPr>
      <w:r>
        <w:rPr>
          <w:rFonts w:hint="eastAsia" w:ascii="楷体" w:hAnsi="楷体" w:eastAsia="楷体" w:cs="楷体"/>
          <w:sz w:val="28"/>
          <w:highlight w:val="none"/>
        </w:rPr>
        <w:t>《涉</w:t>
      </w:r>
      <w:r>
        <w:rPr>
          <w:rFonts w:hint="eastAsia" w:ascii="楷体" w:hAnsi="楷体" w:eastAsia="楷体" w:cs="楷体"/>
          <w:sz w:val="28"/>
          <w:szCs w:val="28"/>
          <w:highlight w:val="none"/>
        </w:rPr>
        <w:t>执房地产处置司法评估指导意见（试行）》</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中房学〔2021〕37号</w:t>
      </w:r>
      <w:r>
        <w:rPr>
          <w:rFonts w:hint="eastAsia" w:ascii="楷体" w:hAnsi="楷体" w:eastAsia="楷体" w:cs="楷体"/>
          <w:sz w:val="28"/>
          <w:szCs w:val="28"/>
          <w:highlight w:val="none"/>
          <w:lang w:eastAsia="zh-CN"/>
        </w:rPr>
        <w:t>）</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szCs w:val="28"/>
          <w:highlight w:val="none"/>
        </w:rPr>
      </w:pPr>
      <w:r>
        <w:rPr>
          <w:rFonts w:hint="eastAsia" w:ascii="楷体" w:hAnsi="楷体" w:eastAsia="楷体" w:cs="楷体"/>
          <w:sz w:val="28"/>
          <w:szCs w:val="28"/>
          <w:highlight w:val="none"/>
        </w:rPr>
        <w:t>《浙江省房地产司法评估指导意见（试行）》（浙估协［2021］3号）；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《浙江省高级人民法院执行局关于规范不动产网络司法拍卖、变卖工作指引》（浙高法释[2020]6号）；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《房屋完损等级评定标准（试行）》（1984年 城住字[1984]第678号）；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《关于全面推开营业税改征增值税试点的通知》（2016年3月23日中国财政部和国家税务总局联合发布的财税[2016]36号）；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《关于营改增后契税、房产税、土地增值税、个人所得税计税依据问题的通知》（2016年4月25日 由中国财政部和国家税务总局联合发布的财税[2016]43号）；</w:t>
      </w:r>
    </w:p>
    <w:p>
      <w:pPr>
        <w:keepNext w:val="0"/>
        <w:keepLines w:val="0"/>
        <w:pageBreakBefore w:val="0"/>
        <w:widowControl w:val="0"/>
        <w:numPr>
          <w:ilvl w:val="0"/>
          <w:numId w:val="7"/>
        </w:numPr>
        <w:kinsoku/>
        <w:wordWrap/>
        <w:overflowPunct/>
        <w:topLinePunct w:val="0"/>
        <w:autoSpaceDN/>
        <w:bidi w:val="0"/>
        <w:adjustRightInd w:val="0"/>
        <w:snapToGrid w:val="0"/>
        <w:spacing w:line="660" w:lineRule="exact"/>
        <w:ind w:left="0" w:leftChars="0" w:firstLine="420" w:firstLineChars="0"/>
        <w:rPr>
          <w:rFonts w:ascii="楷体" w:hAnsi="楷体" w:eastAsia="楷体"/>
          <w:sz w:val="28"/>
          <w:highlight w:val="none"/>
        </w:rPr>
      </w:pPr>
      <w:r>
        <w:rPr>
          <w:rFonts w:hint="eastAsia" w:ascii="楷体" w:hAnsi="楷体" w:eastAsia="楷体"/>
          <w:sz w:val="28"/>
          <w:highlight w:val="none"/>
          <w:lang w:eastAsia="zh-CN"/>
        </w:rPr>
        <w:t>（2022）浙0127 委评字第107号《资产价格评估委托书》</w:t>
      </w:r>
      <w:r>
        <w:rPr>
          <w:rFonts w:hint="eastAsia" w:ascii="楷体" w:hAnsi="楷体" w:eastAsia="楷体"/>
          <w:sz w:val="28"/>
          <w:highlight w:val="none"/>
        </w:rPr>
        <w:t>；</w:t>
      </w:r>
    </w:p>
    <w:p>
      <w:pPr>
        <w:keepNext w:val="0"/>
        <w:keepLines w:val="0"/>
        <w:pageBreakBefore w:val="0"/>
        <w:widowControl w:val="0"/>
        <w:numPr>
          <w:ilvl w:val="0"/>
          <w:numId w:val="7"/>
        </w:numPr>
        <w:kinsoku/>
        <w:wordWrap/>
        <w:overflowPunct/>
        <w:topLinePunct w:val="0"/>
        <w:autoSpaceDN/>
        <w:bidi w:val="0"/>
        <w:adjustRightInd w:val="0"/>
        <w:snapToGrid w:val="0"/>
        <w:spacing w:line="660" w:lineRule="exact"/>
        <w:ind w:left="0" w:leftChars="0" w:firstLine="420" w:firstLineChars="0"/>
        <w:rPr>
          <w:rFonts w:ascii="楷体" w:hAnsi="楷体" w:eastAsia="楷体"/>
          <w:sz w:val="28"/>
          <w:highlight w:val="none"/>
        </w:rPr>
      </w:pPr>
      <w:r>
        <w:rPr>
          <w:rFonts w:hint="eastAsia" w:ascii="楷体" w:hAnsi="楷体" w:eastAsia="楷体"/>
          <w:sz w:val="28"/>
          <w:highlight w:val="none"/>
        </w:rPr>
        <w:t>《</w:t>
      </w:r>
      <w:r>
        <w:rPr>
          <w:rFonts w:hint="eastAsia" w:ascii="楷体" w:hAnsi="楷体" w:eastAsia="楷体"/>
          <w:sz w:val="28"/>
          <w:highlight w:val="none"/>
          <w:lang w:eastAsia="zh-CN"/>
        </w:rPr>
        <w:t>淳安县不动产权属信息查询记录</w:t>
      </w:r>
      <w:r>
        <w:rPr>
          <w:rFonts w:hint="eastAsia" w:ascii="楷体" w:hAnsi="楷体" w:eastAsia="楷体"/>
          <w:sz w:val="28"/>
          <w:highlight w:val="none"/>
        </w:rPr>
        <w:t>》资料；</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hint="eastAsia" w:ascii="楷体" w:hAnsi="楷体" w:eastAsia="楷体"/>
          <w:w w:val="100"/>
          <w:sz w:val="28"/>
          <w:szCs w:val="22"/>
          <w:highlight w:val="none"/>
          <w:lang w:eastAsia="zh-CN"/>
        </w:rPr>
      </w:pPr>
      <w:r>
        <w:rPr>
          <w:rFonts w:hint="eastAsia" w:ascii="楷体" w:hAnsi="楷体" w:eastAsia="楷体"/>
          <w:w w:val="100"/>
          <w:sz w:val="28"/>
          <w:szCs w:val="22"/>
          <w:highlight w:val="none"/>
        </w:rPr>
        <w:t>注册房地产估价师现场查勘、掌握和搜集的有关资</w:t>
      </w:r>
      <w:r>
        <w:rPr>
          <w:rFonts w:hint="eastAsia" w:ascii="楷体" w:hAnsi="楷体" w:eastAsia="楷体"/>
          <w:w w:val="100"/>
          <w:sz w:val="28"/>
          <w:szCs w:val="22"/>
          <w:highlight w:val="none"/>
          <w:lang w:val="en-US" w:eastAsia="zh-CN"/>
        </w:rPr>
        <w:t>料</w:t>
      </w:r>
      <w:r>
        <w:rPr>
          <w:rFonts w:hint="eastAsia" w:ascii="楷体" w:hAnsi="楷体" w:eastAsia="楷体"/>
          <w:w w:val="100"/>
          <w:sz w:val="28"/>
          <w:szCs w:val="22"/>
          <w:highlight w:val="none"/>
          <w:lang w:eastAsia="zh-CN"/>
        </w:rPr>
        <w:t>。</w:t>
      </w:r>
    </w:p>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rPr>
          <w:b w:val="0"/>
        </w:rPr>
      </w:pPr>
      <w:bookmarkStart w:id="83" w:name="_Toc21672"/>
      <w:r>
        <w:rPr>
          <w:rFonts w:hint="eastAsia"/>
          <w:b/>
          <w:bCs w:val="0"/>
          <w:lang w:val="en-US" w:eastAsia="zh-CN"/>
        </w:rPr>
        <w:t>九、</w:t>
      </w:r>
      <w:r>
        <w:rPr>
          <w:rFonts w:hint="eastAsia"/>
          <w:b/>
          <w:bCs w:val="0"/>
        </w:rPr>
        <w:t>估价方法</w:t>
      </w:r>
      <w:bookmarkEnd w:id="80"/>
      <w:bookmarkEnd w:id="81"/>
      <w:bookmarkEnd w:id="82"/>
      <w:bookmarkEnd w:id="83"/>
    </w:p>
    <w:p>
      <w:pPr>
        <w:keepNext w:val="0"/>
        <w:keepLines w:val="0"/>
        <w:pageBreakBefore w:val="0"/>
        <w:widowControl w:val="0"/>
        <w:kinsoku/>
        <w:wordWrap/>
        <w:overflowPunct/>
        <w:topLinePunct w:val="0"/>
        <w:autoSpaceDE/>
        <w:autoSpaceDN/>
        <w:bidi w:val="0"/>
        <w:adjustRightInd/>
        <w:snapToGrid/>
        <w:spacing w:line="630" w:lineRule="exact"/>
        <w:ind w:firstLine="560" w:firstLineChars="200"/>
        <w:textAlignment w:val="auto"/>
        <w:outlineLvl w:val="9"/>
        <w:rPr>
          <w:rFonts w:ascii="楷体" w:hAnsi="楷体" w:eastAsia="楷体" w:cs="楷体"/>
          <w:sz w:val="28"/>
        </w:rPr>
      </w:pPr>
      <w:bookmarkStart w:id="84" w:name="_Toc17836"/>
      <w:bookmarkStart w:id="85" w:name="_Toc29555"/>
      <w:r>
        <w:rPr>
          <w:rFonts w:hint="eastAsia" w:ascii="楷体" w:hAnsi="楷体" w:eastAsia="楷体" w:cs="楷体"/>
          <w:sz w:val="28"/>
        </w:rPr>
        <w:t>（一）估价方法选择</w:t>
      </w:r>
      <w:bookmarkEnd w:id="84"/>
      <w:bookmarkEnd w:id="85"/>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textAlignment w:val="bottom"/>
        <w:rPr>
          <w:rFonts w:ascii="楷体" w:hAnsi="楷体" w:eastAsia="楷体"/>
          <w:sz w:val="28"/>
        </w:rPr>
      </w:pPr>
      <w:r>
        <w:rPr>
          <w:rFonts w:hint="eastAsia" w:ascii="楷体" w:hAnsi="楷体" w:eastAsia="楷体"/>
          <w:sz w:val="28"/>
        </w:rPr>
        <w:t>依照国家行业标准《房地产估价规范》，通常的估价方法有比较法、收益法、假设开发法、成本法等。其中估价对象的同类房地产有较多交易的，应选用比较法；估价对象或其同类房地产通常有租金等经济收益的，应选用收益法；估价对象可假定为独立的开发建设项目进行重新开发建设的宜选用成本法；估价对象具有开发或再开发潜力且开发完成后的价值可采用成本法以外的方法测算的，应选用假设开发法。</w:t>
      </w:r>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textAlignment w:val="bottom"/>
        <w:rPr>
          <w:rFonts w:ascii="楷体" w:hAnsi="楷体" w:eastAsia="楷体"/>
          <w:sz w:val="28"/>
        </w:rPr>
      </w:pPr>
      <w:bookmarkStart w:id="86" w:name="_Toc3616"/>
      <w:bookmarkStart w:id="87" w:name="_Toc451175956"/>
      <w:r>
        <w:rPr>
          <w:rFonts w:hint="eastAsia" w:ascii="楷体" w:hAnsi="楷体" w:eastAsia="楷体"/>
          <w:sz w:val="28"/>
        </w:rPr>
        <w:t>根据估价委托人提供的资料及注册房地产估价师实地查勘、市场调查和向房地产管理部门了解的政策、规划等有关资料，在遵循估价原则的基础上，深入细致地分析了估价对象的特点和实际状况，采用比较法、收益法进行测算分析确定本次估价结果。</w:t>
      </w:r>
    </w:p>
    <w:p>
      <w:pPr>
        <w:keepNext w:val="0"/>
        <w:keepLines w:val="0"/>
        <w:pageBreakBefore w:val="0"/>
        <w:widowControl w:val="0"/>
        <w:kinsoku/>
        <w:wordWrap/>
        <w:overflowPunct/>
        <w:topLinePunct w:val="0"/>
        <w:autoSpaceDN/>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估价对象所在</w:t>
      </w:r>
      <w:r>
        <w:rPr>
          <w:rFonts w:hint="eastAsia" w:ascii="楷体" w:eastAsia="楷体"/>
          <w:sz w:val="28"/>
          <w:szCs w:val="28"/>
        </w:rPr>
        <w:t>区域住宅</w:t>
      </w:r>
      <w:r>
        <w:rPr>
          <w:rFonts w:hint="eastAsia" w:ascii="楷体" w:hAnsi="楷体" w:eastAsia="楷体"/>
          <w:sz w:val="28"/>
          <w:szCs w:val="28"/>
        </w:rPr>
        <w:t>房地产市场较活跃，交易量较大，且较易取得交易案例，符合比较法的应用条件，因此可采用比较法作为估价方法；</w:t>
      </w:r>
    </w:p>
    <w:p>
      <w:pPr>
        <w:keepNext w:val="0"/>
        <w:keepLines w:val="0"/>
        <w:pageBreakBefore w:val="0"/>
        <w:widowControl w:val="0"/>
        <w:kinsoku/>
        <w:wordWrap/>
        <w:overflowPunct/>
        <w:topLinePunct w:val="0"/>
        <w:autoSpaceDN/>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估价对象房地产具有潜在收益，可以根据周边类似房地产的收益价格进行相应调整，得出估价对象对应的客观收益，符合收益法的应用条件，可采用收益法作为估价方法；</w:t>
      </w:r>
    </w:p>
    <w:p>
      <w:pPr>
        <w:keepNext w:val="0"/>
        <w:keepLines w:val="0"/>
        <w:pageBreakBefore w:val="0"/>
        <w:widowControl w:val="0"/>
        <w:kinsoku/>
        <w:wordWrap/>
        <w:overflowPunct/>
        <w:topLinePunct w:val="0"/>
        <w:autoSpaceDN/>
        <w:bidi w:val="0"/>
        <w:adjustRightInd/>
        <w:snapToGrid/>
        <w:spacing w:line="630" w:lineRule="exact"/>
        <w:ind w:firstLine="560" w:firstLineChars="200"/>
        <w:rPr>
          <w:rFonts w:hint="default" w:ascii="楷体" w:hAnsi="楷体" w:eastAsia="楷体"/>
          <w:sz w:val="28"/>
          <w:szCs w:val="28"/>
          <w:lang w:val="en-US" w:eastAsia="zh-CN"/>
        </w:rPr>
      </w:pPr>
      <w:r>
        <w:rPr>
          <w:rFonts w:hint="eastAsia" w:ascii="楷体" w:hAnsi="楷体" w:eastAsia="楷体"/>
          <w:sz w:val="28"/>
          <w:szCs w:val="28"/>
        </w:rPr>
        <w:t>估价对象为住宅房地产，其市场价值受区域经济发展状况、房地产调控政策、市场供需状况、公共配套等非成本因素影响较大，与其直接成本关联性较弱，其成本价值不能客观反映其市场价值，因此不宜采用成本法</w:t>
      </w:r>
      <w:r>
        <w:rPr>
          <w:rFonts w:hint="eastAsia" w:ascii="楷体" w:hAnsi="楷体" w:eastAsia="楷体"/>
          <w:sz w:val="28"/>
          <w:szCs w:val="28"/>
          <w:lang w:val="en-US" w:eastAsia="zh-CN"/>
        </w:rPr>
        <w:t>对估价对象房地产市场价值</w:t>
      </w:r>
      <w:r>
        <w:rPr>
          <w:rFonts w:hint="eastAsia" w:ascii="楷体" w:hAnsi="楷体" w:eastAsia="楷体"/>
          <w:sz w:val="28"/>
          <w:szCs w:val="28"/>
        </w:rPr>
        <w:t>进行估价；</w:t>
      </w:r>
      <w:r>
        <w:rPr>
          <w:rFonts w:hint="eastAsia" w:ascii="楷体" w:hAnsi="楷体" w:eastAsia="楷体"/>
          <w:sz w:val="28"/>
          <w:szCs w:val="28"/>
          <w:lang w:val="en-US" w:eastAsia="zh-CN"/>
        </w:rPr>
        <w:t>室内装修部分市场价值适宜采用成本法进行估价。</w:t>
      </w:r>
    </w:p>
    <w:p>
      <w:pPr>
        <w:keepNext w:val="0"/>
        <w:keepLines w:val="0"/>
        <w:pageBreakBefore w:val="0"/>
        <w:widowControl w:val="0"/>
        <w:kinsoku/>
        <w:wordWrap/>
        <w:overflowPunct/>
        <w:autoSpaceDN/>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估价对象为住宅房地产，目前已建成并处于正常使用状态，就目前状态，处于最佳使用，</w:t>
      </w:r>
      <w:r>
        <w:rPr>
          <w:rFonts w:hint="eastAsia" w:ascii="楷体" w:hAnsi="楷体" w:eastAsia="楷体"/>
          <w:sz w:val="28"/>
          <w:szCs w:val="28"/>
          <w:lang w:val="en-US" w:eastAsia="zh-CN"/>
        </w:rPr>
        <w:t>重新开发不经济也不合理</w:t>
      </w:r>
      <w:r>
        <w:rPr>
          <w:rFonts w:hint="eastAsia" w:ascii="楷体" w:hAnsi="楷体" w:eastAsia="楷体"/>
          <w:sz w:val="28"/>
          <w:szCs w:val="28"/>
        </w:rPr>
        <w:t>，故不适合采用假设开发法进行估价。</w:t>
      </w:r>
    </w:p>
    <w:p>
      <w:pPr>
        <w:keepNext w:val="0"/>
        <w:keepLines w:val="0"/>
        <w:pageBreakBefore w:val="0"/>
        <w:widowControl w:val="0"/>
        <w:kinsoku/>
        <w:wordWrap/>
        <w:overflowPunct/>
        <w:autoSpaceDN/>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故本次评估时，采用比较法、收益法分别进行测算，确定估价对象</w:t>
      </w:r>
      <w:r>
        <w:rPr>
          <w:rFonts w:hint="eastAsia" w:ascii="楷体" w:hAnsi="楷体" w:eastAsia="楷体"/>
          <w:sz w:val="28"/>
          <w:szCs w:val="28"/>
          <w:lang w:val="en-US" w:eastAsia="zh-CN"/>
        </w:rPr>
        <w:t>房地产</w:t>
      </w:r>
      <w:r>
        <w:rPr>
          <w:rFonts w:hint="eastAsia" w:ascii="楷体" w:hAnsi="楷体" w:eastAsia="楷体"/>
          <w:sz w:val="28"/>
          <w:szCs w:val="28"/>
        </w:rPr>
        <w:t>的</w:t>
      </w:r>
      <w:r>
        <w:rPr>
          <w:rFonts w:hint="eastAsia" w:ascii="楷体" w:hAnsi="楷体" w:eastAsia="楷体"/>
          <w:sz w:val="28"/>
          <w:szCs w:val="28"/>
          <w:lang w:val="en-US" w:eastAsia="zh-CN"/>
        </w:rPr>
        <w:t>市场</w:t>
      </w:r>
      <w:r>
        <w:rPr>
          <w:rFonts w:hint="eastAsia" w:ascii="楷体" w:hAnsi="楷体" w:eastAsia="楷体"/>
          <w:sz w:val="28"/>
          <w:szCs w:val="28"/>
        </w:rPr>
        <w:t>价值。</w:t>
      </w:r>
    </w:p>
    <w:p>
      <w:pPr>
        <w:pStyle w:val="10"/>
        <w:keepNext w:val="0"/>
        <w:keepLines w:val="0"/>
        <w:pageBreakBefore w:val="0"/>
        <w:widowControl w:val="0"/>
        <w:kinsoku/>
        <w:wordWrap/>
        <w:overflowPunct/>
        <w:topLinePunct/>
        <w:autoSpaceDE/>
        <w:autoSpaceDN/>
        <w:bidi w:val="0"/>
        <w:adjustRightInd/>
        <w:snapToGrid/>
        <w:spacing w:line="630" w:lineRule="exact"/>
        <w:textAlignment w:val="baseline"/>
        <w:outlineLvl w:val="9"/>
        <w:rPr>
          <w:rFonts w:ascii="楷体" w:hAnsi="楷体" w:eastAsia="楷体"/>
          <w:szCs w:val="28"/>
        </w:rPr>
      </w:pPr>
      <w:bookmarkStart w:id="88" w:name="_Toc15520"/>
      <w:r>
        <w:rPr>
          <w:rFonts w:hint="eastAsia" w:ascii="楷体" w:hAnsi="楷体" w:eastAsia="楷体"/>
          <w:szCs w:val="28"/>
        </w:rPr>
        <w:t>（二）估价方法定义</w:t>
      </w:r>
      <w:bookmarkEnd w:id="86"/>
      <w:bookmarkEnd w:id="88"/>
    </w:p>
    <w:p>
      <w:pPr>
        <w:pStyle w:val="10"/>
        <w:keepNext w:val="0"/>
        <w:keepLines w:val="0"/>
        <w:pageBreakBefore w:val="0"/>
        <w:widowControl w:val="0"/>
        <w:numPr>
          <w:ilvl w:val="0"/>
          <w:numId w:val="8"/>
        </w:numPr>
        <w:kinsoku/>
        <w:wordWrap/>
        <w:overflowPunct/>
        <w:topLinePunct/>
        <w:autoSpaceDN/>
        <w:bidi w:val="0"/>
        <w:adjustRightInd/>
        <w:snapToGrid/>
        <w:spacing w:line="630" w:lineRule="exact"/>
        <w:ind w:firstLine="560"/>
        <w:rPr>
          <w:rFonts w:ascii="楷体" w:hAnsi="楷体" w:eastAsia="楷体"/>
          <w:szCs w:val="28"/>
        </w:rPr>
      </w:pPr>
      <w:r>
        <w:rPr>
          <w:rFonts w:hint="eastAsia" w:ascii="楷体" w:hAnsi="楷体" w:eastAsia="楷体"/>
          <w:szCs w:val="28"/>
        </w:rPr>
        <w:t>比较法</w:t>
      </w:r>
    </w:p>
    <w:p>
      <w:pPr>
        <w:keepNext w:val="0"/>
        <w:keepLines w:val="0"/>
        <w:pageBreakBefore w:val="0"/>
        <w:widowControl w:val="0"/>
        <w:tabs>
          <w:tab w:val="left" w:pos="720"/>
        </w:tabs>
        <w:kinsoku/>
        <w:wordWrap/>
        <w:overflowPunct/>
        <w:autoSpaceDN/>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所谓比较法是将估价对象与在价值时点近期有过交易的类似房地产进行比较，对这些类似房地产的已知价格作适当的修正，以此估算估价对象的客观合理价格或价值的方法。比较法的理论基础为替代原理。其基本计算公式如下：</w:t>
      </w:r>
    </w:p>
    <w:p>
      <w:pPr>
        <w:keepNext w:val="0"/>
        <w:keepLines w:val="0"/>
        <w:pageBreakBefore w:val="0"/>
        <w:kinsoku/>
        <w:wordWrap/>
        <w:overflowPunct/>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房地产价值=可比实例成交价格×交易情况修正系数×市场状况调整系数×房地产状况调整系数。</w:t>
      </w:r>
    </w:p>
    <w:p>
      <w:pPr>
        <w:pStyle w:val="10"/>
        <w:keepNext w:val="0"/>
        <w:keepLines w:val="0"/>
        <w:pageBreakBefore w:val="0"/>
        <w:kinsoku/>
        <w:wordWrap/>
        <w:overflowPunct/>
        <w:topLinePunct/>
        <w:bidi w:val="0"/>
        <w:adjustRightInd/>
        <w:snapToGrid/>
        <w:spacing w:line="630" w:lineRule="exact"/>
        <w:ind w:left="420" w:leftChars="200" w:firstLine="280" w:firstLineChars="100"/>
        <w:rPr>
          <w:rFonts w:ascii="楷体" w:hAnsi="楷体" w:eastAsia="楷体"/>
          <w:kern w:val="2"/>
          <w:szCs w:val="28"/>
        </w:rPr>
      </w:pPr>
      <w:bookmarkStart w:id="89" w:name="_Toc5498"/>
      <w:bookmarkStart w:id="90" w:name="_Toc27570"/>
      <w:r>
        <w:rPr>
          <w:rFonts w:hint="eastAsia" w:ascii="楷体" w:hAnsi="楷体" w:eastAsia="楷体"/>
          <w:kern w:val="2"/>
          <w:szCs w:val="28"/>
        </w:rPr>
        <w:t>2.收益法</w:t>
      </w:r>
    </w:p>
    <w:p>
      <w:pPr>
        <w:keepNext w:val="0"/>
        <w:keepLines w:val="0"/>
        <w:pageBreakBefore w:val="0"/>
        <w:widowControl/>
        <w:kinsoku/>
        <w:wordWrap/>
        <w:overflowPunct/>
        <w:autoSpaceDE w:val="0"/>
        <w:autoSpaceDN w:val="0"/>
        <w:bidi w:val="0"/>
        <w:adjustRightInd/>
        <w:snapToGrid/>
        <w:spacing w:line="630" w:lineRule="exact"/>
        <w:ind w:right="57" w:firstLine="560" w:firstLineChars="200"/>
        <w:textAlignment w:val="bottom"/>
        <w:rPr>
          <w:rFonts w:ascii="楷体" w:hAnsi="楷体" w:eastAsia="楷体"/>
          <w:sz w:val="28"/>
          <w:szCs w:val="28"/>
        </w:rPr>
      </w:pPr>
      <w:r>
        <w:rPr>
          <w:rFonts w:hint="eastAsia" w:ascii="楷体" w:hAnsi="楷体" w:eastAsia="楷体"/>
          <w:sz w:val="28"/>
          <w:szCs w:val="28"/>
        </w:rPr>
        <w:t>收益法是预计估价对象未来的正常净收益，选用适当的报酬率将其折现到价值时点后累加，以此估算估价对象的客观合理价格或价值的方法。</w:t>
      </w:r>
    </w:p>
    <w:p>
      <w:pPr>
        <w:keepNext w:val="0"/>
        <w:keepLines w:val="0"/>
        <w:pageBreakBefore w:val="0"/>
        <w:widowControl/>
        <w:kinsoku/>
        <w:wordWrap/>
        <w:overflowPunct/>
        <w:autoSpaceDE w:val="0"/>
        <w:autoSpaceDN w:val="0"/>
        <w:bidi w:val="0"/>
        <w:adjustRightInd/>
        <w:snapToGrid/>
        <w:spacing w:line="630" w:lineRule="exact"/>
        <w:ind w:right="57" w:firstLine="560" w:firstLineChars="200"/>
        <w:textAlignment w:val="bottom"/>
        <w:rPr>
          <w:rFonts w:ascii="楷体" w:hAnsi="楷体" w:eastAsia="楷体"/>
          <w:sz w:val="28"/>
          <w:szCs w:val="28"/>
        </w:rPr>
      </w:pPr>
      <w:r>
        <w:rPr>
          <w:rFonts w:hint="eastAsia" w:ascii="楷体" w:hAnsi="楷体" w:eastAsia="楷体"/>
          <w:sz w:val="28"/>
          <w:szCs w:val="28"/>
        </w:rPr>
        <w:t>根据《房地产估价规范》4.3.2条款内容“报酬资本化法估价时，应区分全剩余寿命模式和持有加转售模式。当收益期较长，难以预测该期限内各年净收益时，宜选用持有加转售模式”。本次估价选用持有加转售模式，拟采用如下计算公式：</w:t>
      </w:r>
      <w:r>
        <w:rPr>
          <w:rFonts w:ascii="楷体" w:hAnsi="楷体" w:eastAsia="楷体"/>
          <w:position w:val="-22"/>
          <w:sz w:val="28"/>
          <w:szCs w:val="28"/>
        </w:rPr>
        <w:object>
          <v:shape id="_x0000_i1025" o:spt="75" type="#_x0000_t75" style="height:37pt;width:176pt;" o:ole="t" filled="f" o:preferrelative="t" stroked="f" coordsize="21600,21600">
            <v:path/>
            <v:fill on="f" focussize="0,0"/>
            <v:stroke on="f" joinstyle="miter"/>
            <v:imagedata r:id="rId11" o:title=""/>
            <o:lock v:ext="edit" aspectratio="f"/>
            <w10:wrap type="none"/>
            <w10:anchorlock/>
          </v:shape>
          <o:OLEObject Type="Embed" ProgID="Equation.3" ShapeID="_x0000_i1025" DrawAspect="Content" ObjectID="_1468075725" r:id="rId10">
            <o:LockedField>false</o:LockedField>
          </o:OLEObject>
        </w:object>
      </w:r>
      <w:r>
        <w:rPr>
          <w:rFonts w:hint="eastAsia" w:ascii="楷体" w:hAnsi="楷体" w:eastAsia="楷体"/>
          <w:sz w:val="28"/>
          <w:szCs w:val="28"/>
        </w:rPr>
        <w:t xml:space="preserve"> </w:t>
      </w:r>
    </w:p>
    <w:p>
      <w:pPr>
        <w:keepNext w:val="0"/>
        <w:keepLines w:val="0"/>
        <w:pageBreakBefore w:val="0"/>
        <w:widowControl/>
        <w:kinsoku/>
        <w:wordWrap/>
        <w:overflowPunct/>
        <w:autoSpaceDE w:val="0"/>
        <w:autoSpaceDN w:val="0"/>
        <w:bidi w:val="0"/>
        <w:adjustRightInd/>
        <w:snapToGrid/>
        <w:spacing w:line="630" w:lineRule="exact"/>
        <w:ind w:left="420" w:leftChars="200" w:right="57"/>
        <w:textAlignment w:val="bottom"/>
        <w:rPr>
          <w:rFonts w:ascii="楷体" w:hAnsi="楷体" w:eastAsia="楷体"/>
          <w:sz w:val="28"/>
          <w:szCs w:val="28"/>
        </w:rPr>
      </w:pPr>
      <w:r>
        <w:rPr>
          <w:rFonts w:hint="eastAsia" w:ascii="楷体" w:hAnsi="楷体" w:eastAsia="楷体"/>
          <w:sz w:val="28"/>
          <w:szCs w:val="28"/>
        </w:rPr>
        <w:t>式中：V—房地产现值；</w:t>
      </w:r>
    </w:p>
    <w:p>
      <w:pPr>
        <w:keepNext w:val="0"/>
        <w:keepLines w:val="0"/>
        <w:pageBreakBefore w:val="0"/>
        <w:widowControl/>
        <w:kinsoku/>
        <w:wordWrap/>
        <w:overflowPunct/>
        <w:autoSpaceDE w:val="0"/>
        <w:autoSpaceDN w:val="0"/>
        <w:bidi w:val="0"/>
        <w:adjustRightInd/>
        <w:snapToGrid/>
        <w:spacing w:line="630" w:lineRule="exact"/>
        <w:ind w:left="420" w:leftChars="200" w:right="57" w:firstLine="854" w:firstLineChars="305"/>
        <w:textAlignment w:val="bottom"/>
        <w:rPr>
          <w:rFonts w:ascii="楷体" w:hAnsi="楷体" w:eastAsia="楷体"/>
          <w:sz w:val="28"/>
          <w:szCs w:val="28"/>
        </w:rPr>
      </w:pPr>
      <w:r>
        <w:rPr>
          <w:rFonts w:hint="eastAsia" w:ascii="楷体" w:hAnsi="楷体" w:eastAsia="楷体"/>
          <w:sz w:val="28"/>
          <w:szCs w:val="28"/>
        </w:rPr>
        <w:t>t—持有期；</w:t>
      </w:r>
    </w:p>
    <w:p>
      <w:pPr>
        <w:widowControl/>
        <w:autoSpaceDE w:val="0"/>
        <w:autoSpaceDN w:val="0"/>
        <w:spacing w:line="630" w:lineRule="exact"/>
        <w:ind w:left="420" w:leftChars="200" w:right="57" w:firstLine="854" w:firstLineChars="305"/>
        <w:textAlignment w:val="bottom"/>
        <w:rPr>
          <w:rFonts w:ascii="楷体" w:hAnsi="楷体" w:eastAsia="楷体"/>
          <w:sz w:val="28"/>
          <w:szCs w:val="28"/>
        </w:rPr>
      </w:pPr>
      <w:r>
        <w:rPr>
          <w:rFonts w:ascii="楷体" w:hAnsi="楷体" w:eastAsia="楷体"/>
          <w:sz w:val="28"/>
          <w:szCs w:val="28"/>
        </w:rPr>
        <w:t>A</w:t>
      </w:r>
      <w:r>
        <w:rPr>
          <w:rFonts w:ascii="楷体" w:hAnsi="楷体" w:eastAsia="楷体"/>
          <w:sz w:val="28"/>
          <w:szCs w:val="28"/>
          <w:vertAlign w:val="subscript"/>
        </w:rPr>
        <w:t>n</w:t>
      </w:r>
      <w:r>
        <w:rPr>
          <w:rFonts w:hint="eastAsia" w:ascii="楷体" w:hAnsi="楷体" w:eastAsia="楷体"/>
          <w:sz w:val="28"/>
          <w:szCs w:val="28"/>
        </w:rPr>
        <w:t>—期间收益；</w:t>
      </w:r>
    </w:p>
    <w:p>
      <w:pPr>
        <w:widowControl/>
        <w:autoSpaceDE w:val="0"/>
        <w:autoSpaceDN w:val="0"/>
        <w:spacing w:line="630" w:lineRule="exact"/>
        <w:ind w:left="420" w:leftChars="200" w:right="57" w:firstLine="854" w:firstLineChars="305"/>
        <w:textAlignment w:val="bottom"/>
        <w:rPr>
          <w:rFonts w:ascii="楷体" w:hAnsi="楷体" w:eastAsia="楷体"/>
          <w:sz w:val="28"/>
          <w:szCs w:val="28"/>
        </w:rPr>
      </w:pPr>
      <w:r>
        <w:rPr>
          <w:rFonts w:ascii="楷体" w:hAnsi="楷体" w:eastAsia="楷体"/>
          <w:sz w:val="28"/>
          <w:szCs w:val="28"/>
        </w:rPr>
        <w:t>V</w:t>
      </w:r>
      <w:r>
        <w:rPr>
          <w:rFonts w:ascii="楷体" w:hAnsi="楷体" w:eastAsia="楷体"/>
          <w:sz w:val="28"/>
          <w:szCs w:val="28"/>
          <w:vertAlign w:val="subscript"/>
        </w:rPr>
        <w:t>t</w:t>
      </w:r>
      <w:r>
        <w:rPr>
          <w:rFonts w:hint="eastAsia" w:ascii="楷体" w:hAnsi="楷体" w:eastAsia="楷体"/>
          <w:sz w:val="28"/>
          <w:szCs w:val="28"/>
        </w:rPr>
        <w:t>—期未转售收益；</w:t>
      </w:r>
    </w:p>
    <w:p>
      <w:pPr>
        <w:widowControl/>
        <w:autoSpaceDE w:val="0"/>
        <w:autoSpaceDN w:val="0"/>
        <w:spacing w:line="630" w:lineRule="exact"/>
        <w:ind w:left="420" w:leftChars="200" w:right="57" w:firstLine="854" w:firstLineChars="305"/>
        <w:textAlignment w:val="bottom"/>
        <w:rPr>
          <w:rFonts w:hint="eastAsia" w:ascii="楷体" w:hAnsi="楷体" w:eastAsia="楷体"/>
          <w:sz w:val="28"/>
          <w:szCs w:val="28"/>
          <w:lang w:val="en-US" w:eastAsia="zh-CN"/>
        </w:rPr>
      </w:pPr>
      <w:r>
        <w:rPr>
          <w:rFonts w:ascii="楷体" w:hAnsi="楷体" w:eastAsia="楷体"/>
          <w:sz w:val="28"/>
          <w:szCs w:val="28"/>
        </w:rPr>
        <w:object>
          <v:shape id="_x0000_i1026" o:spt="75" type="#_x0000_t75" style="height:13pt;width:7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ascii="楷体" w:hAnsi="楷体" w:eastAsia="楷体"/>
          <w:sz w:val="28"/>
          <w:szCs w:val="28"/>
        </w:rPr>
        <w:t>—持有期报酬率、期未报酬率。</w:t>
      </w:r>
      <w:r>
        <w:rPr>
          <w:rFonts w:hint="eastAsia" w:ascii="楷体" w:hAnsi="楷体" w:eastAsia="楷体"/>
          <w:sz w:val="28"/>
          <w:szCs w:val="28"/>
          <w:lang w:val="en-US" w:eastAsia="zh-CN"/>
        </w:rPr>
        <w:t xml:space="preserve">                   </w:t>
      </w:r>
    </w:p>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pPr>
      <w:bookmarkStart w:id="91" w:name="_Toc27098"/>
      <w:r>
        <w:rPr>
          <w:rFonts w:hint="eastAsia"/>
          <w:lang w:val="en-US" w:eastAsia="zh-CN"/>
        </w:rPr>
        <w:t>十、</w:t>
      </w:r>
      <w:r>
        <w:rPr>
          <w:rFonts w:hint="eastAsia"/>
        </w:rPr>
        <w:t>估价结果</w:t>
      </w:r>
      <w:bookmarkEnd w:id="87"/>
      <w:bookmarkEnd w:id="89"/>
      <w:bookmarkEnd w:id="90"/>
      <w:bookmarkEnd w:id="91"/>
    </w:p>
    <w:p>
      <w:pPr>
        <w:pStyle w:val="45"/>
        <w:autoSpaceDE w:val="0"/>
        <w:spacing w:line="630" w:lineRule="exact"/>
        <w:ind w:firstLine="560"/>
        <w:jc w:val="left"/>
        <w:textAlignment w:val="bottom"/>
        <w:rPr>
          <w:rFonts w:hint="eastAsia" w:ascii="楷体" w:hAnsi="楷体" w:eastAsia="楷体"/>
          <w:b/>
          <w:sz w:val="28"/>
          <w:highlight w:val="none"/>
          <w:lang w:val="en-US" w:eastAsia="zh-CN"/>
        </w:rPr>
      </w:pPr>
      <w:bookmarkStart w:id="92" w:name="_Toc11288"/>
      <w:bookmarkStart w:id="93" w:name="_Toc28138"/>
      <w:bookmarkStart w:id="94" w:name="_Toc451175957"/>
      <w:r>
        <w:rPr>
          <w:rFonts w:hint="eastAsia" w:ascii="楷体" w:hAnsi="楷体" w:eastAsia="楷体" w:cs="楷体"/>
          <w:color w:val="000000" w:themeColor="text1"/>
          <w:sz w:val="28"/>
          <w:szCs w:val="28"/>
        </w:rPr>
        <w:t>注册房地</w:t>
      </w:r>
      <w:r>
        <w:rPr>
          <w:rFonts w:hint="eastAsia" w:ascii="楷体" w:hAnsi="楷体" w:eastAsia="楷体" w:cs="楷体"/>
          <w:color w:val="000000" w:themeColor="text1"/>
          <w:sz w:val="28"/>
          <w:szCs w:val="28"/>
          <w:lang w:val="en-US" w:eastAsia="zh-CN"/>
        </w:rPr>
        <w:t>产</w:t>
      </w:r>
      <w:r>
        <w:rPr>
          <w:rFonts w:hint="eastAsia" w:ascii="楷体" w:hAnsi="楷体" w:eastAsia="楷体" w:cs="楷体"/>
          <w:color w:val="000000" w:themeColor="text1"/>
          <w:sz w:val="28"/>
          <w:szCs w:val="28"/>
        </w:rPr>
        <w:t>估价师根据估价目的，经过实地查勘和市场调查，按照严谨的估价程序，遵循估价原则，运用了比较法</w:t>
      </w:r>
      <w:r>
        <w:rPr>
          <w:rFonts w:hint="eastAsia" w:ascii="楷体" w:hAnsi="楷体" w:eastAsia="楷体" w:cs="楷体"/>
          <w:color w:val="000000" w:themeColor="text1"/>
          <w:sz w:val="28"/>
          <w:szCs w:val="28"/>
          <w:lang w:eastAsia="zh-CN"/>
        </w:rPr>
        <w:t>、</w:t>
      </w:r>
      <w:r>
        <w:rPr>
          <w:rFonts w:hint="eastAsia" w:ascii="楷体" w:hAnsi="楷体" w:eastAsia="楷体" w:cs="楷体"/>
          <w:color w:val="000000" w:themeColor="text1"/>
          <w:sz w:val="28"/>
          <w:szCs w:val="28"/>
        </w:rPr>
        <w:t>收益法进行了专业分析、测算和判断，确定估价对象在价</w:t>
      </w:r>
      <w:r>
        <w:rPr>
          <w:rFonts w:hint="eastAsia" w:ascii="楷体" w:hAnsi="楷体" w:eastAsia="楷体" w:cs="楷体"/>
          <w:color w:val="000000" w:themeColor="text1"/>
          <w:sz w:val="28"/>
          <w:szCs w:val="28"/>
          <w:highlight w:val="none"/>
        </w:rPr>
        <w:t>值时点</w:t>
      </w:r>
      <w:r>
        <w:rPr>
          <w:rFonts w:hint="eastAsia" w:ascii="楷体" w:hAnsi="楷体" w:eastAsia="楷体" w:cs="楷体"/>
          <w:color w:val="000000" w:themeColor="text1"/>
          <w:sz w:val="28"/>
          <w:szCs w:val="28"/>
          <w:highlight w:val="none"/>
          <w:lang w:eastAsia="zh-CN"/>
        </w:rPr>
        <w:t>二Ο二二年八月八日</w:t>
      </w:r>
      <w:r>
        <w:rPr>
          <w:rFonts w:hint="eastAsia" w:ascii="楷体" w:hAnsi="楷体" w:eastAsia="楷体" w:cs="楷体"/>
          <w:color w:val="000000" w:themeColor="text1"/>
          <w:sz w:val="28"/>
          <w:szCs w:val="28"/>
          <w:lang w:val="en-US" w:eastAsia="zh-CN"/>
        </w:rPr>
        <w:t>在本报告估价目的与估价假设和限制条件制约下</w:t>
      </w:r>
      <w:r>
        <w:rPr>
          <w:rFonts w:hint="eastAsia" w:ascii="楷体" w:hAnsi="楷体" w:eastAsia="楷体" w:cs="楷体"/>
          <w:color w:val="000000" w:themeColor="text1"/>
          <w:sz w:val="28"/>
          <w:szCs w:val="28"/>
        </w:rPr>
        <w:t>的市场价值</w:t>
      </w:r>
      <w:r>
        <w:rPr>
          <w:rFonts w:hint="eastAsia" w:ascii="楷体" w:hAnsi="楷体" w:eastAsia="楷体" w:cs="楷体"/>
          <w:color w:val="000000" w:themeColor="text1"/>
          <w:sz w:val="28"/>
          <w:szCs w:val="28"/>
          <w:lang w:val="en-US" w:eastAsia="zh-CN"/>
        </w:rPr>
        <w:t>取整</w:t>
      </w:r>
      <w:r>
        <w:rPr>
          <w:rFonts w:hint="eastAsia" w:ascii="楷体" w:hAnsi="楷体" w:eastAsia="楷体" w:cs="楷体"/>
          <w:color w:val="000000" w:themeColor="text1"/>
          <w:sz w:val="28"/>
          <w:szCs w:val="28"/>
        </w:rPr>
        <w:t>为</w:t>
      </w:r>
      <w:r>
        <w:rPr>
          <w:rFonts w:hint="eastAsia" w:ascii="楷体" w:hAnsi="楷体" w:eastAsia="楷体"/>
          <w:b/>
          <w:sz w:val="28"/>
          <w:highlight w:val="none"/>
          <w:lang w:val="en-US" w:eastAsia="zh-CN"/>
        </w:rPr>
        <w:t>人民币121万元整（单价12100元/平方米），大写为人民币壹佰贰拾壹万元整。</w:t>
      </w:r>
    </w:p>
    <w:p>
      <w:pPr>
        <w:pStyle w:val="45"/>
        <w:autoSpaceDE w:val="0"/>
        <w:spacing w:line="630" w:lineRule="exact"/>
        <w:ind w:firstLine="560"/>
        <w:jc w:val="left"/>
        <w:textAlignment w:val="bottom"/>
        <w:rPr>
          <w:rFonts w:hint="eastAsia" w:ascii="楷体" w:hAnsi="楷体" w:eastAsia="楷体"/>
          <w:b/>
          <w:sz w:val="28"/>
          <w:highlight w:val="none"/>
          <w:lang w:val="en-US" w:eastAsia="zh-CN"/>
        </w:rPr>
      </w:pPr>
    </w:p>
    <w:p>
      <w:pPr>
        <w:pStyle w:val="45"/>
        <w:autoSpaceDE w:val="0"/>
        <w:spacing w:line="630" w:lineRule="exact"/>
        <w:ind w:firstLine="560"/>
        <w:jc w:val="left"/>
        <w:textAlignment w:val="bottom"/>
        <w:rPr>
          <w:rFonts w:hint="eastAsia" w:ascii="楷体" w:hAnsi="楷体" w:eastAsia="楷体"/>
          <w:b/>
          <w:sz w:val="28"/>
          <w:highlight w:val="none"/>
          <w:lang w:val="en-US" w:eastAsia="zh-CN"/>
        </w:rPr>
      </w:pPr>
    </w:p>
    <w:p>
      <w:pPr>
        <w:pStyle w:val="45"/>
        <w:autoSpaceDE w:val="0"/>
        <w:spacing w:line="630" w:lineRule="exact"/>
        <w:ind w:firstLine="560"/>
        <w:jc w:val="left"/>
        <w:textAlignment w:val="bottom"/>
        <w:rPr>
          <w:rFonts w:hint="eastAsia" w:ascii="楷体" w:hAnsi="楷体" w:eastAsia="楷体"/>
          <w:b/>
          <w:sz w:val="28"/>
          <w:highlight w:val="none"/>
          <w:lang w:val="en-US" w:eastAsia="zh-CN"/>
        </w:rPr>
      </w:pPr>
    </w:p>
    <w:p>
      <w:pPr>
        <w:pStyle w:val="45"/>
        <w:autoSpaceDE w:val="0"/>
        <w:spacing w:line="630" w:lineRule="exact"/>
        <w:ind w:firstLine="560"/>
        <w:jc w:val="left"/>
        <w:textAlignment w:val="bottom"/>
        <w:rPr>
          <w:rFonts w:hint="eastAsia" w:ascii="楷体" w:hAnsi="楷体" w:eastAsia="楷体"/>
          <w:b/>
          <w:sz w:val="28"/>
          <w:highlight w:val="none"/>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pPr>
      <w:bookmarkStart w:id="95" w:name="_Toc7064"/>
      <w:r>
        <w:rPr>
          <w:rFonts w:hint="eastAsia"/>
          <w:lang w:val="en-US" w:eastAsia="zh-CN"/>
        </w:rPr>
        <w:t>十一、</w:t>
      </w:r>
      <w:r>
        <w:rPr>
          <w:rFonts w:hint="eastAsia"/>
        </w:rPr>
        <w:t>注册房地产估价师</w:t>
      </w:r>
      <w:bookmarkEnd w:id="92"/>
      <w:bookmarkEnd w:id="93"/>
      <w:bookmarkEnd w:id="94"/>
      <w:bookmarkEnd w:id="95"/>
    </w:p>
    <w:tbl>
      <w:tblPr>
        <w:tblStyle w:val="19"/>
        <w:tblW w:w="8720" w:type="dxa"/>
        <w:jc w:val="center"/>
        <w:tblLayout w:type="fixed"/>
        <w:tblCellMar>
          <w:top w:w="0" w:type="dxa"/>
          <w:left w:w="108" w:type="dxa"/>
          <w:bottom w:w="0" w:type="dxa"/>
          <w:right w:w="108" w:type="dxa"/>
        </w:tblCellMar>
      </w:tblPr>
      <w:tblGrid>
        <w:gridCol w:w="1449"/>
        <w:gridCol w:w="1921"/>
        <w:gridCol w:w="2708"/>
        <w:gridCol w:w="2642"/>
      </w:tblGrid>
      <w:tr>
        <w:tblPrEx>
          <w:tblCellMar>
            <w:top w:w="0" w:type="dxa"/>
            <w:left w:w="108" w:type="dxa"/>
            <w:bottom w:w="0" w:type="dxa"/>
            <w:right w:w="108" w:type="dxa"/>
          </w:tblCellMar>
        </w:tblPrEx>
        <w:trPr>
          <w:trHeight w:val="811" w:hRule="atLeast"/>
          <w:jc w:val="center"/>
        </w:trPr>
        <w:tc>
          <w:tcPr>
            <w:tcW w:w="1449"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姓  名</w:t>
            </w:r>
          </w:p>
        </w:tc>
        <w:tc>
          <w:tcPr>
            <w:tcW w:w="1921"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注册证书号</w:t>
            </w:r>
          </w:p>
        </w:tc>
        <w:tc>
          <w:tcPr>
            <w:tcW w:w="2708"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 xml:space="preserve"> 签 章</w:t>
            </w:r>
          </w:p>
        </w:tc>
        <w:tc>
          <w:tcPr>
            <w:tcW w:w="2642"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日期</w:t>
            </w:r>
          </w:p>
        </w:tc>
      </w:tr>
      <w:tr>
        <w:tblPrEx>
          <w:tblCellMar>
            <w:top w:w="0" w:type="dxa"/>
            <w:left w:w="108" w:type="dxa"/>
            <w:bottom w:w="0" w:type="dxa"/>
            <w:right w:w="108" w:type="dxa"/>
          </w:tblCellMar>
        </w:tblPrEx>
        <w:trPr>
          <w:trHeight w:val="1125" w:hRule="atLeast"/>
          <w:jc w:val="center"/>
        </w:trPr>
        <w:tc>
          <w:tcPr>
            <w:tcW w:w="1449" w:type="dxa"/>
            <w:vAlign w:val="center"/>
          </w:tcPr>
          <w:p>
            <w:pPr>
              <w:widowControl/>
              <w:ind w:firstLine="218" w:firstLineChars="78"/>
              <w:rPr>
                <w:rFonts w:hint="eastAsia" w:ascii="楷体" w:hAnsi="楷体" w:eastAsia="楷体" w:cs="宋体"/>
                <w:kern w:val="0"/>
                <w:sz w:val="28"/>
                <w:szCs w:val="28"/>
                <w:lang w:eastAsia="zh-CN"/>
              </w:rPr>
            </w:pPr>
            <w:r>
              <w:rPr>
                <w:rFonts w:hint="eastAsia" w:ascii="楷体" w:hAnsi="楷体" w:eastAsia="楷体" w:cs="宋体"/>
                <w:kern w:val="0"/>
                <w:sz w:val="28"/>
                <w:szCs w:val="28"/>
                <w:lang w:val="en-US" w:eastAsia="zh-CN"/>
              </w:rPr>
              <w:t>郑  玺</w:t>
            </w:r>
          </w:p>
        </w:tc>
        <w:tc>
          <w:tcPr>
            <w:tcW w:w="1921" w:type="dxa"/>
            <w:vAlign w:val="center"/>
          </w:tcPr>
          <w:p>
            <w:pPr>
              <w:widowControl/>
              <w:jc w:val="center"/>
              <w:rPr>
                <w:rFonts w:hint="default" w:ascii="楷体" w:hAnsi="楷体" w:eastAsia="楷体" w:cs="宋体"/>
                <w:kern w:val="0"/>
                <w:sz w:val="28"/>
                <w:szCs w:val="28"/>
                <w:lang w:val="en-US" w:eastAsia="zh-CN"/>
              </w:rPr>
            </w:pPr>
            <w:r>
              <w:rPr>
                <w:rFonts w:hint="eastAsia" w:ascii="楷体" w:hAnsi="楷体" w:eastAsia="楷体" w:cs="宋体"/>
                <w:kern w:val="0"/>
                <w:sz w:val="28"/>
                <w:szCs w:val="28"/>
              </w:rPr>
              <w:t>33201</w:t>
            </w:r>
            <w:r>
              <w:rPr>
                <w:rFonts w:hint="eastAsia" w:ascii="楷体" w:hAnsi="楷体" w:eastAsia="楷体" w:cs="宋体"/>
                <w:kern w:val="0"/>
                <w:sz w:val="28"/>
                <w:szCs w:val="28"/>
                <w:lang w:val="en-US" w:eastAsia="zh-CN"/>
              </w:rPr>
              <w:t>3</w:t>
            </w:r>
            <w:r>
              <w:rPr>
                <w:rFonts w:hint="eastAsia" w:ascii="楷体" w:hAnsi="楷体" w:eastAsia="楷体" w:cs="宋体"/>
                <w:kern w:val="0"/>
                <w:sz w:val="28"/>
                <w:szCs w:val="28"/>
              </w:rPr>
              <w:t>0</w:t>
            </w:r>
            <w:r>
              <w:rPr>
                <w:rFonts w:hint="eastAsia" w:ascii="楷体" w:hAnsi="楷体" w:eastAsia="楷体" w:cs="宋体"/>
                <w:kern w:val="0"/>
                <w:sz w:val="28"/>
                <w:szCs w:val="28"/>
                <w:lang w:val="en-US" w:eastAsia="zh-CN"/>
              </w:rPr>
              <w:t>035</w:t>
            </w:r>
          </w:p>
        </w:tc>
        <w:tc>
          <w:tcPr>
            <w:tcW w:w="2708" w:type="dxa"/>
            <w:vAlign w:val="center"/>
          </w:tcPr>
          <w:p>
            <w:pPr>
              <w:widowControl/>
              <w:jc w:val="center"/>
              <w:rPr>
                <w:rFonts w:ascii="楷体" w:hAnsi="楷体" w:eastAsia="楷体" w:cs="宋体"/>
                <w:kern w:val="0"/>
                <w:sz w:val="28"/>
                <w:szCs w:val="28"/>
              </w:rPr>
            </w:pPr>
          </w:p>
        </w:tc>
        <w:tc>
          <w:tcPr>
            <w:tcW w:w="2642"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年  月  日</w:t>
            </w:r>
          </w:p>
        </w:tc>
      </w:tr>
      <w:tr>
        <w:tblPrEx>
          <w:tblCellMar>
            <w:top w:w="0" w:type="dxa"/>
            <w:left w:w="108" w:type="dxa"/>
            <w:bottom w:w="0" w:type="dxa"/>
            <w:right w:w="108" w:type="dxa"/>
          </w:tblCellMar>
        </w:tblPrEx>
        <w:trPr>
          <w:trHeight w:val="1125" w:hRule="atLeast"/>
          <w:jc w:val="center"/>
        </w:trPr>
        <w:tc>
          <w:tcPr>
            <w:tcW w:w="1449" w:type="dxa"/>
            <w:vAlign w:val="center"/>
          </w:tcPr>
          <w:p>
            <w:pPr>
              <w:widowControl/>
              <w:jc w:val="center"/>
              <w:rPr>
                <w:rFonts w:ascii="楷体" w:hAnsi="楷体" w:eastAsia="楷体" w:cs="宋体"/>
                <w:kern w:val="0"/>
                <w:sz w:val="28"/>
                <w:szCs w:val="28"/>
              </w:rPr>
            </w:pPr>
            <w:r>
              <w:rPr>
                <w:rFonts w:hint="eastAsia" w:eastAsia="楷体"/>
                <w:sz w:val="28"/>
              </w:rPr>
              <w:t>秦振贤</w:t>
            </w:r>
          </w:p>
        </w:tc>
        <w:tc>
          <w:tcPr>
            <w:tcW w:w="1921" w:type="dxa"/>
            <w:vAlign w:val="center"/>
          </w:tcPr>
          <w:p>
            <w:pPr>
              <w:widowControl/>
              <w:jc w:val="center"/>
              <w:rPr>
                <w:rFonts w:ascii="楷体" w:hAnsi="楷体" w:eastAsia="楷体" w:cs="宋体"/>
                <w:kern w:val="0"/>
                <w:sz w:val="28"/>
                <w:szCs w:val="28"/>
              </w:rPr>
            </w:pPr>
            <w:r>
              <w:rPr>
                <w:rFonts w:hint="eastAsia" w:ascii="楷体" w:hAnsi="楷体" w:eastAsia="楷体"/>
                <w:sz w:val="28"/>
              </w:rPr>
              <w:t>3320190188</w:t>
            </w:r>
          </w:p>
        </w:tc>
        <w:tc>
          <w:tcPr>
            <w:tcW w:w="2708" w:type="dxa"/>
            <w:vAlign w:val="center"/>
          </w:tcPr>
          <w:p>
            <w:pPr>
              <w:widowControl/>
              <w:jc w:val="center"/>
              <w:rPr>
                <w:rFonts w:ascii="楷体" w:hAnsi="楷体" w:eastAsia="楷体" w:cs="宋体"/>
                <w:kern w:val="0"/>
                <w:sz w:val="28"/>
                <w:szCs w:val="28"/>
              </w:rPr>
            </w:pPr>
          </w:p>
        </w:tc>
        <w:tc>
          <w:tcPr>
            <w:tcW w:w="2642"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年  月  日</w:t>
            </w:r>
          </w:p>
        </w:tc>
      </w:tr>
    </w:tbl>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pPr>
      <w:bookmarkStart w:id="96" w:name="_Toc15258"/>
      <w:bookmarkStart w:id="97" w:name="_Toc6047"/>
      <w:bookmarkStart w:id="98" w:name="_Toc451175958"/>
      <w:bookmarkStart w:id="99" w:name="_Toc7944"/>
      <w:r>
        <w:rPr>
          <w:rFonts w:hint="eastAsia"/>
          <w:lang w:val="en-US" w:eastAsia="zh-CN"/>
        </w:rPr>
        <w:t>十二、</w:t>
      </w:r>
      <w:r>
        <w:rPr>
          <w:rFonts w:hint="eastAsia"/>
        </w:rPr>
        <w:t>实地查勘期</w:t>
      </w:r>
      <w:bookmarkEnd w:id="96"/>
      <w:bookmarkEnd w:id="97"/>
      <w:bookmarkEnd w:id="98"/>
      <w:bookmarkEnd w:id="99"/>
    </w:p>
    <w:p>
      <w:pPr>
        <w:spacing w:line="630" w:lineRule="exact"/>
        <w:ind w:firstLine="560"/>
        <w:rPr>
          <w:rFonts w:ascii="楷体" w:hAnsi="楷体" w:eastAsia="楷体" w:cs="楷体"/>
          <w:color w:val="000000" w:themeColor="text1"/>
          <w:sz w:val="28"/>
          <w:highlight w:val="none"/>
        </w:rPr>
      </w:pPr>
      <w:r>
        <w:rPr>
          <w:rFonts w:hint="eastAsia" w:ascii="楷体" w:hAnsi="楷体" w:eastAsia="楷体" w:cs="楷体"/>
          <w:color w:val="000000" w:themeColor="text1"/>
          <w:sz w:val="28"/>
          <w:szCs w:val="28"/>
          <w:highlight w:val="none"/>
          <w:lang w:eastAsia="zh-CN"/>
        </w:rPr>
        <w:t>二Ο二二年八月八日</w:t>
      </w:r>
      <w:r>
        <w:rPr>
          <w:rFonts w:hint="eastAsia" w:eastAsia="楷体"/>
          <w:sz w:val="28"/>
          <w:highlight w:val="none"/>
        </w:rPr>
        <w:t>至</w:t>
      </w:r>
      <w:r>
        <w:rPr>
          <w:rFonts w:hint="eastAsia" w:ascii="楷体" w:hAnsi="楷体" w:eastAsia="楷体" w:cs="楷体"/>
          <w:color w:val="000000" w:themeColor="text1"/>
          <w:sz w:val="28"/>
          <w:szCs w:val="28"/>
          <w:highlight w:val="none"/>
          <w:lang w:eastAsia="zh-CN"/>
        </w:rPr>
        <w:t>二Ο二二年八月八日</w:t>
      </w:r>
      <w:r>
        <w:rPr>
          <w:rFonts w:hint="eastAsia" w:eastAsia="楷体"/>
          <w:sz w:val="28"/>
          <w:highlight w:val="none"/>
        </w:rPr>
        <w:t>。</w:t>
      </w:r>
    </w:p>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rPr>
          <w:highlight w:val="none"/>
        </w:rPr>
      </w:pPr>
      <w:bookmarkStart w:id="100" w:name="_Toc451175959"/>
      <w:bookmarkStart w:id="101" w:name="_Toc13857"/>
      <w:bookmarkStart w:id="102" w:name="_Toc15337"/>
      <w:bookmarkStart w:id="103" w:name="_Toc19365"/>
      <w:r>
        <w:rPr>
          <w:rFonts w:hint="eastAsia"/>
          <w:highlight w:val="none"/>
          <w:lang w:val="en-US" w:eastAsia="zh-CN"/>
        </w:rPr>
        <w:t>十三、</w:t>
      </w:r>
      <w:r>
        <w:rPr>
          <w:rFonts w:hint="eastAsia"/>
          <w:highlight w:val="none"/>
        </w:rPr>
        <w:t>估价作业日期</w:t>
      </w:r>
      <w:bookmarkEnd w:id="100"/>
      <w:bookmarkEnd w:id="101"/>
      <w:bookmarkEnd w:id="102"/>
      <w:bookmarkEnd w:id="103"/>
    </w:p>
    <w:p>
      <w:pPr>
        <w:spacing w:line="630" w:lineRule="exact"/>
        <w:ind w:firstLine="560"/>
        <w:rPr>
          <w:rFonts w:ascii="楷体" w:hAnsi="楷体" w:eastAsia="楷体" w:cs="楷体"/>
          <w:color w:val="000000" w:themeColor="text1"/>
          <w:sz w:val="28"/>
          <w:highlight w:val="none"/>
        </w:rPr>
      </w:pPr>
      <w:r>
        <w:rPr>
          <w:rFonts w:hint="eastAsia" w:ascii="楷体" w:hAnsi="楷体" w:eastAsia="楷体" w:cs="楷体"/>
          <w:color w:val="000000" w:themeColor="text1"/>
          <w:sz w:val="28"/>
          <w:szCs w:val="28"/>
          <w:highlight w:val="none"/>
        </w:rPr>
        <w:t>二Ο二</w:t>
      </w:r>
      <w:r>
        <w:rPr>
          <w:rFonts w:hint="eastAsia" w:ascii="楷体" w:hAnsi="楷体" w:eastAsia="楷体" w:cs="楷体"/>
          <w:color w:val="000000" w:themeColor="text1"/>
          <w:sz w:val="28"/>
          <w:szCs w:val="28"/>
          <w:highlight w:val="none"/>
          <w:lang w:val="en-US" w:eastAsia="zh-CN"/>
        </w:rPr>
        <w:t>二</w:t>
      </w:r>
      <w:r>
        <w:rPr>
          <w:rFonts w:hint="eastAsia" w:ascii="楷体" w:hAnsi="楷体" w:eastAsia="楷体" w:cs="楷体"/>
          <w:color w:val="000000" w:themeColor="text1"/>
          <w:sz w:val="28"/>
          <w:szCs w:val="28"/>
          <w:highlight w:val="none"/>
        </w:rPr>
        <w:t>年</w:t>
      </w:r>
      <w:r>
        <w:rPr>
          <w:rFonts w:hint="eastAsia" w:ascii="楷体" w:hAnsi="楷体" w:eastAsia="楷体" w:cs="楷体"/>
          <w:color w:val="000000" w:themeColor="text1"/>
          <w:sz w:val="28"/>
          <w:szCs w:val="28"/>
          <w:highlight w:val="none"/>
          <w:lang w:val="en-US" w:eastAsia="zh-CN"/>
        </w:rPr>
        <w:t>八</w:t>
      </w:r>
      <w:r>
        <w:rPr>
          <w:rFonts w:hint="eastAsia" w:ascii="楷体" w:hAnsi="楷体" w:eastAsia="楷体" w:cs="楷体"/>
          <w:color w:val="000000" w:themeColor="text1"/>
          <w:sz w:val="28"/>
          <w:szCs w:val="28"/>
          <w:highlight w:val="none"/>
        </w:rPr>
        <w:t>月</w:t>
      </w:r>
      <w:r>
        <w:rPr>
          <w:rFonts w:hint="eastAsia" w:ascii="楷体" w:hAnsi="楷体" w:eastAsia="楷体" w:cs="楷体"/>
          <w:color w:val="000000" w:themeColor="text1"/>
          <w:sz w:val="28"/>
          <w:szCs w:val="28"/>
          <w:highlight w:val="none"/>
          <w:lang w:val="en-US" w:eastAsia="zh-CN"/>
        </w:rPr>
        <w:t>三</w:t>
      </w:r>
      <w:r>
        <w:rPr>
          <w:rFonts w:hint="eastAsia" w:ascii="楷体" w:hAnsi="楷体" w:eastAsia="楷体" w:cs="楷体"/>
          <w:color w:val="000000" w:themeColor="text1"/>
          <w:sz w:val="28"/>
          <w:szCs w:val="28"/>
          <w:highlight w:val="none"/>
        </w:rPr>
        <w:t>日</w:t>
      </w:r>
      <w:r>
        <w:rPr>
          <w:rFonts w:hint="eastAsia" w:eastAsia="楷体"/>
          <w:sz w:val="28"/>
          <w:highlight w:val="none"/>
        </w:rPr>
        <w:t>至</w:t>
      </w:r>
      <w:r>
        <w:rPr>
          <w:rFonts w:hint="eastAsia" w:ascii="楷体" w:hAnsi="楷体" w:eastAsia="楷体" w:cs="楷体"/>
          <w:color w:val="000000" w:themeColor="text1"/>
          <w:sz w:val="28"/>
          <w:szCs w:val="28"/>
          <w:highlight w:val="none"/>
        </w:rPr>
        <w:t>二Ο二</w:t>
      </w:r>
      <w:r>
        <w:rPr>
          <w:rFonts w:hint="eastAsia" w:ascii="楷体" w:hAnsi="楷体" w:eastAsia="楷体" w:cs="楷体"/>
          <w:color w:val="000000" w:themeColor="text1"/>
          <w:sz w:val="28"/>
          <w:szCs w:val="28"/>
          <w:highlight w:val="none"/>
          <w:lang w:val="en-US" w:eastAsia="zh-CN"/>
        </w:rPr>
        <w:t>二</w:t>
      </w:r>
      <w:r>
        <w:rPr>
          <w:rFonts w:hint="eastAsia" w:ascii="楷体" w:hAnsi="楷体" w:eastAsia="楷体" w:cs="楷体"/>
          <w:color w:val="000000" w:themeColor="text1"/>
          <w:sz w:val="28"/>
          <w:szCs w:val="28"/>
          <w:highlight w:val="none"/>
        </w:rPr>
        <w:t>年</w:t>
      </w:r>
      <w:r>
        <w:rPr>
          <w:rFonts w:hint="eastAsia" w:ascii="楷体" w:hAnsi="楷体" w:eastAsia="楷体" w:cs="楷体"/>
          <w:color w:val="000000" w:themeColor="text1"/>
          <w:sz w:val="28"/>
          <w:szCs w:val="28"/>
          <w:highlight w:val="none"/>
          <w:lang w:val="en-US" w:eastAsia="zh-CN"/>
        </w:rPr>
        <w:t>八</w:t>
      </w:r>
      <w:r>
        <w:rPr>
          <w:rFonts w:hint="eastAsia" w:ascii="楷体" w:hAnsi="楷体" w:eastAsia="楷体" w:cs="楷体"/>
          <w:color w:val="000000" w:themeColor="text1"/>
          <w:sz w:val="28"/>
          <w:szCs w:val="28"/>
          <w:highlight w:val="none"/>
        </w:rPr>
        <w:t>月</w:t>
      </w:r>
      <w:r>
        <w:rPr>
          <w:rFonts w:hint="eastAsia" w:ascii="楷体" w:hAnsi="楷体" w:eastAsia="楷体" w:cs="楷体"/>
          <w:color w:val="000000" w:themeColor="text1"/>
          <w:sz w:val="28"/>
          <w:szCs w:val="28"/>
          <w:highlight w:val="none"/>
          <w:lang w:val="en-US" w:eastAsia="zh-CN"/>
        </w:rPr>
        <w:t>十五</w:t>
      </w:r>
      <w:r>
        <w:rPr>
          <w:rFonts w:hint="eastAsia" w:ascii="楷体" w:hAnsi="楷体" w:eastAsia="楷体" w:cs="楷体"/>
          <w:color w:val="000000" w:themeColor="text1"/>
          <w:sz w:val="28"/>
          <w:szCs w:val="28"/>
          <w:highlight w:val="none"/>
        </w:rPr>
        <w:t>日</w:t>
      </w:r>
      <w:r>
        <w:rPr>
          <w:rFonts w:hint="eastAsia" w:ascii="楷体" w:hAnsi="楷体" w:eastAsia="楷体" w:cs="楷体"/>
          <w:color w:val="000000" w:themeColor="text1"/>
          <w:sz w:val="28"/>
          <w:highlight w:val="none"/>
        </w:rPr>
        <w:t>。</w:t>
      </w:r>
    </w:p>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rPr>
          <w:rFonts w:hint="default" w:eastAsia="楷体"/>
          <w:highlight w:val="none"/>
          <w:lang w:val="en-US" w:eastAsia="zh-CN"/>
        </w:rPr>
      </w:pPr>
      <w:bookmarkStart w:id="104" w:name="_Toc10668"/>
      <w:bookmarkStart w:id="105" w:name="_Toc3517"/>
      <w:bookmarkStart w:id="106" w:name="_Toc23590"/>
      <w:bookmarkStart w:id="107" w:name="_Toc451175960"/>
      <w:r>
        <w:rPr>
          <w:rFonts w:hint="eastAsia"/>
          <w:highlight w:val="none"/>
          <w:lang w:val="en-US" w:eastAsia="zh-CN"/>
        </w:rPr>
        <w:t>十四、</w:t>
      </w:r>
      <w:r>
        <w:rPr>
          <w:rFonts w:hint="eastAsia"/>
          <w:highlight w:val="none"/>
        </w:rPr>
        <w:t>估价报告的</w:t>
      </w:r>
      <w:bookmarkEnd w:id="104"/>
      <w:bookmarkEnd w:id="105"/>
      <w:bookmarkEnd w:id="106"/>
      <w:bookmarkEnd w:id="107"/>
      <w:r>
        <w:rPr>
          <w:rFonts w:hint="eastAsia"/>
          <w:highlight w:val="none"/>
          <w:lang w:val="en-US" w:eastAsia="zh-CN"/>
        </w:rPr>
        <w:t>使用期限</w:t>
      </w:r>
    </w:p>
    <w:p>
      <w:pPr>
        <w:spacing w:line="630" w:lineRule="exact"/>
        <w:ind w:firstLine="565" w:firstLineChars="202"/>
        <w:rPr>
          <w:rFonts w:ascii="楷体" w:hAnsi="楷体" w:eastAsia="楷体" w:cs="楷体"/>
          <w:color w:val="000000" w:themeColor="text1"/>
          <w:sz w:val="28"/>
          <w:highlight w:val="none"/>
        </w:rPr>
      </w:pPr>
      <w:r>
        <w:rPr>
          <w:rFonts w:hint="eastAsia" w:eastAsia="楷体"/>
          <w:bCs/>
          <w:sz w:val="28"/>
          <w:highlight w:val="none"/>
        </w:rPr>
        <w:t>本估价报告的</w:t>
      </w:r>
      <w:r>
        <w:rPr>
          <w:rFonts w:hint="eastAsia" w:eastAsia="楷体"/>
          <w:bCs/>
          <w:sz w:val="28"/>
          <w:highlight w:val="none"/>
          <w:lang w:val="en-US" w:eastAsia="zh-CN"/>
        </w:rPr>
        <w:t>使用期限</w:t>
      </w:r>
      <w:r>
        <w:rPr>
          <w:rFonts w:hint="eastAsia" w:eastAsia="楷体"/>
          <w:bCs/>
          <w:sz w:val="28"/>
          <w:highlight w:val="none"/>
        </w:rPr>
        <w:t>为</w:t>
      </w:r>
      <w:r>
        <w:rPr>
          <w:rFonts w:hint="eastAsia" w:eastAsia="楷体"/>
          <w:sz w:val="28"/>
          <w:highlight w:val="none"/>
        </w:rPr>
        <w:t>壹年（</w:t>
      </w:r>
      <w:r>
        <w:rPr>
          <w:rFonts w:hint="eastAsia" w:ascii="楷体" w:hAnsi="楷体" w:eastAsia="楷体" w:cs="楷体"/>
          <w:color w:val="000000"/>
          <w:sz w:val="28"/>
          <w:szCs w:val="28"/>
          <w:highlight w:val="none"/>
        </w:rPr>
        <w:t>自</w:t>
      </w:r>
      <w:r>
        <w:rPr>
          <w:rFonts w:hint="eastAsia" w:ascii="楷体" w:hAnsi="楷体" w:eastAsia="楷体" w:cs="楷体"/>
          <w:color w:val="000000" w:themeColor="text1"/>
          <w:sz w:val="28"/>
          <w:szCs w:val="28"/>
          <w:highlight w:val="none"/>
        </w:rPr>
        <w:t>二Ο二</w:t>
      </w:r>
      <w:r>
        <w:rPr>
          <w:rFonts w:hint="eastAsia" w:ascii="楷体" w:hAnsi="楷体" w:eastAsia="楷体" w:cs="楷体"/>
          <w:color w:val="000000" w:themeColor="text1"/>
          <w:sz w:val="28"/>
          <w:szCs w:val="28"/>
          <w:highlight w:val="none"/>
          <w:lang w:val="en-US" w:eastAsia="zh-CN"/>
        </w:rPr>
        <w:t>二</w:t>
      </w:r>
      <w:r>
        <w:rPr>
          <w:rFonts w:hint="eastAsia" w:ascii="楷体" w:hAnsi="楷体" w:eastAsia="楷体" w:cs="楷体"/>
          <w:color w:val="000000" w:themeColor="text1"/>
          <w:sz w:val="28"/>
          <w:szCs w:val="28"/>
          <w:highlight w:val="none"/>
        </w:rPr>
        <w:t>年</w:t>
      </w:r>
      <w:r>
        <w:rPr>
          <w:rFonts w:hint="eastAsia" w:ascii="楷体" w:hAnsi="楷体" w:eastAsia="楷体" w:cs="楷体"/>
          <w:color w:val="000000" w:themeColor="text1"/>
          <w:sz w:val="28"/>
          <w:szCs w:val="28"/>
          <w:highlight w:val="none"/>
          <w:lang w:val="en-US" w:eastAsia="zh-CN"/>
        </w:rPr>
        <w:t>八</w:t>
      </w:r>
      <w:r>
        <w:rPr>
          <w:rFonts w:hint="eastAsia" w:ascii="楷体" w:hAnsi="楷体" w:eastAsia="楷体" w:cs="楷体"/>
          <w:color w:val="000000" w:themeColor="text1"/>
          <w:sz w:val="28"/>
          <w:szCs w:val="28"/>
          <w:highlight w:val="none"/>
        </w:rPr>
        <w:t>月</w:t>
      </w:r>
      <w:r>
        <w:rPr>
          <w:rFonts w:hint="eastAsia" w:ascii="楷体" w:hAnsi="楷体" w:eastAsia="楷体" w:cs="楷体"/>
          <w:color w:val="000000" w:themeColor="text1"/>
          <w:sz w:val="28"/>
          <w:szCs w:val="28"/>
          <w:highlight w:val="none"/>
          <w:lang w:val="en-US" w:eastAsia="zh-CN"/>
        </w:rPr>
        <w:t>十五</w:t>
      </w:r>
      <w:r>
        <w:rPr>
          <w:rFonts w:hint="eastAsia" w:ascii="楷体" w:hAnsi="楷体" w:eastAsia="楷体" w:cs="楷体"/>
          <w:color w:val="000000" w:themeColor="text1"/>
          <w:sz w:val="28"/>
          <w:szCs w:val="28"/>
          <w:highlight w:val="none"/>
        </w:rPr>
        <w:t>日</w:t>
      </w:r>
      <w:r>
        <w:rPr>
          <w:rFonts w:hint="eastAsia" w:ascii="楷体" w:hAnsi="楷体" w:eastAsia="楷体" w:cs="楷体"/>
          <w:color w:val="000000"/>
          <w:sz w:val="28"/>
          <w:szCs w:val="28"/>
          <w:highlight w:val="none"/>
        </w:rPr>
        <w:t>至二Ο二</w:t>
      </w:r>
      <w:r>
        <w:rPr>
          <w:rFonts w:hint="eastAsia" w:ascii="楷体" w:hAnsi="楷体" w:eastAsia="楷体" w:cs="楷体"/>
          <w:color w:val="000000"/>
          <w:sz w:val="28"/>
          <w:szCs w:val="28"/>
          <w:highlight w:val="none"/>
          <w:lang w:val="en-US" w:eastAsia="zh-CN"/>
        </w:rPr>
        <w:t>三</w:t>
      </w:r>
      <w:r>
        <w:rPr>
          <w:rFonts w:hint="eastAsia" w:ascii="楷体" w:hAnsi="楷体" w:eastAsia="楷体" w:cs="楷体"/>
          <w:color w:val="000000"/>
          <w:sz w:val="28"/>
          <w:szCs w:val="28"/>
          <w:highlight w:val="none"/>
        </w:rPr>
        <w:t>年</w:t>
      </w:r>
      <w:r>
        <w:rPr>
          <w:rFonts w:hint="eastAsia" w:ascii="楷体" w:hAnsi="楷体" w:eastAsia="楷体" w:cs="楷体"/>
          <w:color w:val="000000"/>
          <w:sz w:val="28"/>
          <w:szCs w:val="28"/>
          <w:highlight w:val="none"/>
          <w:lang w:val="en-US" w:eastAsia="zh-CN"/>
        </w:rPr>
        <w:t>八</w:t>
      </w:r>
      <w:r>
        <w:rPr>
          <w:rFonts w:hint="eastAsia" w:ascii="楷体" w:hAnsi="楷体" w:eastAsia="楷体" w:cs="楷体"/>
          <w:color w:val="000000"/>
          <w:sz w:val="28"/>
          <w:szCs w:val="28"/>
          <w:highlight w:val="none"/>
        </w:rPr>
        <w:t>月</w:t>
      </w:r>
      <w:r>
        <w:rPr>
          <w:rFonts w:hint="eastAsia" w:ascii="楷体" w:hAnsi="楷体" w:eastAsia="楷体" w:cs="楷体"/>
          <w:color w:val="000000"/>
          <w:sz w:val="28"/>
          <w:szCs w:val="28"/>
          <w:highlight w:val="none"/>
          <w:lang w:val="en-US" w:eastAsia="zh-CN"/>
        </w:rPr>
        <w:t>十四</w:t>
      </w:r>
      <w:r>
        <w:rPr>
          <w:rFonts w:hint="eastAsia" w:ascii="楷体" w:hAnsi="楷体" w:eastAsia="楷体" w:cs="楷体"/>
          <w:color w:val="000000"/>
          <w:sz w:val="28"/>
          <w:szCs w:val="28"/>
          <w:highlight w:val="none"/>
        </w:rPr>
        <w:t>日止</w:t>
      </w:r>
      <w:r>
        <w:rPr>
          <w:rFonts w:hint="eastAsia" w:eastAsia="楷体"/>
          <w:sz w:val="28"/>
          <w:highlight w:val="none"/>
        </w:rPr>
        <w:t>）。</w:t>
      </w:r>
    </w:p>
    <w:bookmarkEnd w:id="42"/>
    <w:bookmarkEnd w:id="43"/>
    <w:p>
      <w:pPr>
        <w:numPr>
          <w:ilvl w:val="0"/>
          <w:numId w:val="9"/>
        </w:numPr>
        <w:spacing w:line="630" w:lineRule="exact"/>
        <w:jc w:val="left"/>
        <w:rPr>
          <w:rFonts w:ascii="楷体" w:hAnsi="楷体" w:eastAsia="楷体" w:cs="楷体"/>
          <w:color w:val="000000" w:themeColor="text1"/>
          <w:highlight w:val="none"/>
        </w:rPr>
      </w:pPr>
      <w:r>
        <w:rPr>
          <w:rFonts w:hint="eastAsia" w:ascii="楷体" w:hAnsi="楷体" w:eastAsia="楷体" w:cs="楷体"/>
          <w:color w:val="000000" w:themeColor="text1"/>
          <w:highlight w:val="none"/>
        </w:rPr>
        <w:br w:type="page"/>
      </w:r>
      <w:bookmarkEnd w:id="4"/>
      <w:bookmarkEnd w:id="5"/>
      <w:bookmarkEnd w:id="6"/>
      <w:bookmarkEnd w:id="7"/>
      <w:bookmarkEnd w:id="8"/>
    </w:p>
    <w:bookmarkEnd w:id="3"/>
    <w:bookmarkEnd w:id="9"/>
    <w:bookmarkEnd w:id="10"/>
    <w:p>
      <w:pPr>
        <w:pStyle w:val="2"/>
        <w:keepNext/>
        <w:keepLines/>
        <w:pageBreakBefore w:val="0"/>
        <w:widowControl w:val="0"/>
        <w:kinsoku/>
        <w:wordWrap/>
        <w:overflowPunct/>
        <w:topLinePunct w:val="0"/>
        <w:autoSpaceDE/>
        <w:autoSpaceDN/>
        <w:bidi w:val="0"/>
        <w:adjustRightInd/>
        <w:snapToGrid/>
        <w:spacing w:before="0" w:beforeLines="50" w:after="0" w:afterLines="50" w:line="630" w:lineRule="exact"/>
        <w:textAlignment w:val="auto"/>
        <w:rPr>
          <w:rFonts w:ascii="方正黑体简体" w:hAnsi="方正黑体简体" w:eastAsia="方正黑体简体" w:cs="方正黑体简体"/>
        </w:rPr>
      </w:pPr>
      <w:bookmarkStart w:id="108" w:name="_Toc4481"/>
      <w:bookmarkStart w:id="109" w:name="_Toc12592"/>
      <w:bookmarkStart w:id="110" w:name="_Toc30530"/>
      <w:bookmarkStart w:id="111" w:name="_Toc10184"/>
      <w:r>
        <w:rPr>
          <w:rFonts w:hint="eastAsia" w:ascii="方正黑体简体" w:hAnsi="方正黑体简体" w:eastAsia="方正黑体简体" w:cs="方正黑体简体"/>
        </w:rPr>
        <w:t>附  件</w:t>
      </w:r>
      <w:bookmarkEnd w:id="108"/>
      <w:bookmarkEnd w:id="109"/>
      <w:bookmarkEnd w:id="110"/>
    </w:p>
    <w:bookmarkEnd w:id="111"/>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lang w:eastAsia="zh-CN"/>
        </w:rPr>
        <w:t>《资产价格评估委托书》</w:t>
      </w:r>
      <w:r>
        <w:rPr>
          <w:rFonts w:hint="eastAsia" w:ascii="楷体" w:hAnsi="楷体" w:eastAsia="楷体"/>
          <w:sz w:val="28"/>
          <w:szCs w:val="28"/>
        </w:rPr>
        <w:t>复印件</w:t>
      </w:r>
    </w:p>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rPr>
        <w:t>估价对象位置图</w:t>
      </w:r>
    </w:p>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rPr>
        <w:t>估价对象实景照片</w:t>
      </w:r>
    </w:p>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淳安县不动产权属信息查询记录</w:t>
      </w:r>
      <w:r>
        <w:rPr>
          <w:rFonts w:hint="eastAsia" w:ascii="楷体" w:hAnsi="楷体" w:eastAsia="楷体"/>
          <w:sz w:val="28"/>
          <w:szCs w:val="28"/>
        </w:rPr>
        <w:t>》复印件</w:t>
      </w:r>
    </w:p>
    <w:p>
      <w:pPr>
        <w:keepNext w:val="0"/>
        <w:keepLines w:val="0"/>
        <w:pageBreakBefore w:val="0"/>
        <w:widowControl w:val="0"/>
        <w:numPr>
          <w:ilvl w:val="0"/>
          <w:numId w:val="10"/>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估价机构营业执照</w:t>
      </w:r>
      <w:r>
        <w:rPr>
          <w:rFonts w:hint="eastAsia" w:ascii="楷体" w:hAnsi="楷体" w:eastAsia="楷体"/>
          <w:sz w:val="28"/>
          <w:szCs w:val="28"/>
          <w:lang w:val="en-US" w:eastAsia="zh-CN"/>
        </w:rPr>
        <w:t>影</w:t>
      </w:r>
      <w:r>
        <w:rPr>
          <w:rFonts w:hint="eastAsia" w:ascii="楷体" w:hAnsi="楷体" w:eastAsia="楷体"/>
          <w:sz w:val="28"/>
          <w:szCs w:val="28"/>
        </w:rPr>
        <w:t>印件</w:t>
      </w:r>
    </w:p>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rPr>
        <w:t>估价机构备案证书</w:t>
      </w:r>
      <w:r>
        <w:rPr>
          <w:rFonts w:hint="eastAsia" w:ascii="楷体" w:hAnsi="楷体" w:eastAsia="楷体"/>
          <w:sz w:val="28"/>
          <w:szCs w:val="28"/>
          <w:lang w:val="en-US" w:eastAsia="zh-CN"/>
        </w:rPr>
        <w:t>影</w:t>
      </w:r>
      <w:r>
        <w:rPr>
          <w:rFonts w:hint="eastAsia" w:ascii="楷体" w:hAnsi="楷体" w:eastAsia="楷体"/>
          <w:sz w:val="28"/>
          <w:szCs w:val="28"/>
        </w:rPr>
        <w:t>印件</w:t>
      </w:r>
    </w:p>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rPr>
        <w:t>房地产估价师注册证书</w:t>
      </w:r>
      <w:r>
        <w:rPr>
          <w:rFonts w:hint="eastAsia" w:ascii="楷体" w:hAnsi="楷体" w:eastAsia="楷体"/>
          <w:sz w:val="28"/>
          <w:szCs w:val="28"/>
          <w:lang w:val="en-US" w:eastAsia="zh-CN"/>
        </w:rPr>
        <w:t>影</w:t>
      </w:r>
      <w:r>
        <w:rPr>
          <w:rFonts w:hint="eastAsia" w:ascii="楷体" w:hAnsi="楷体" w:eastAsia="楷体"/>
          <w:sz w:val="28"/>
          <w:szCs w:val="28"/>
        </w:rPr>
        <w:t>印件</w:t>
      </w:r>
    </w:p>
    <w:p>
      <w:pPr>
        <w:spacing w:line="630" w:lineRule="exact"/>
        <w:ind w:left="420"/>
      </w:pPr>
    </w:p>
    <w:p>
      <w:pPr>
        <w:pStyle w:val="8"/>
        <w:tabs>
          <w:tab w:val="right" w:leader="dot" w:pos="8504"/>
        </w:tabs>
        <w:spacing w:line="630" w:lineRule="exact"/>
        <w:ind w:left="420" w:leftChars="0"/>
        <w:outlineLvl w:val="0"/>
        <w:rPr>
          <w:rFonts w:ascii="楷体" w:hAnsi="楷体" w:cs="楷体"/>
          <w:color w:val="000000" w:themeColor="text1"/>
          <w:spacing w:val="20"/>
          <w:sz w:val="28"/>
          <w:szCs w:val="28"/>
        </w:rPr>
      </w:pPr>
    </w:p>
    <w:sectPr>
      <w:headerReference r:id="rId7" w:type="default"/>
      <w:footerReference r:id="rId8" w:type="default"/>
      <w:pgSz w:w="11906" w:h="16838"/>
      <w:pgMar w:top="1276" w:right="1701" w:bottom="1276" w:left="1797" w:header="907" w:footer="1134"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黑体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 xml:space="preserve">- </w:t>
    </w:r>
    <w:r>
      <w:fldChar w:fldCharType="begin"/>
    </w:r>
    <w:r>
      <w:instrText xml:space="preserve"> PAGE </w:instrText>
    </w:r>
    <w:r>
      <w:fldChar w:fldCharType="separate"/>
    </w:r>
    <w: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 xml:space="preserve">- </w:t>
    </w:r>
    <w:r>
      <w:fldChar w:fldCharType="begin"/>
    </w:r>
    <w:r>
      <w:instrText xml:space="preserve"> PAGE </w:instrText>
    </w:r>
    <w:r>
      <w:fldChar w:fldCharType="separate"/>
    </w:r>
    <w:r>
      <w:t>6</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distribute"/>
      <w:rPr>
        <w:rFonts w:ascii="楷体" w:hAnsi="楷体" w:eastAsia="楷体" w:cs="楷体"/>
        <w:szCs w:val="18"/>
      </w:rPr>
    </w:pPr>
    <w:r>
      <w:rPr>
        <w:rFonts w:hint="eastAsia" w:ascii="楷体" w:hAnsi="楷体" w:eastAsia="楷体" w:cs="楷体"/>
        <w:szCs w:val="18"/>
      </w:rPr>
      <w:t>杭州天平房地产评估有限公司                                                     房地产估价报告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distribute"/>
      <w:rPr>
        <w:rFonts w:ascii="楷体" w:hAnsi="楷体" w:eastAsia="楷体" w:cs="楷体"/>
        <w:szCs w:val="18"/>
      </w:rPr>
    </w:pPr>
    <w:r>
      <w:rPr>
        <w:rFonts w:hint="eastAsia" w:ascii="楷体" w:hAnsi="楷体" w:eastAsia="楷体" w:cs="楷体"/>
        <w:szCs w:val="18"/>
      </w:rPr>
      <w:t>杭州天平房地产评估有限公司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0C6605"/>
    <w:multiLevelType w:val="singleLevel"/>
    <w:tmpl w:val="AE0C6605"/>
    <w:lvl w:ilvl="0" w:tentative="0">
      <w:start w:val="4"/>
      <w:numFmt w:val="chineseCounting"/>
      <w:suff w:val="nothing"/>
      <w:lvlText w:val="（%1）"/>
      <w:lvlJc w:val="left"/>
      <w:rPr>
        <w:rFonts w:hint="eastAsia"/>
      </w:rPr>
    </w:lvl>
  </w:abstractNum>
  <w:abstractNum w:abstractNumId="1">
    <w:nsid w:val="B820B62C"/>
    <w:multiLevelType w:val="singleLevel"/>
    <w:tmpl w:val="B820B62C"/>
    <w:lvl w:ilvl="0" w:tentative="0">
      <w:start w:val="1"/>
      <w:numFmt w:val="chineseCounting"/>
      <w:suff w:val="nothing"/>
      <w:lvlText w:val="%1、"/>
      <w:lvlJc w:val="left"/>
      <w:pPr>
        <w:ind w:left="0" w:firstLine="420"/>
      </w:pPr>
      <w:rPr>
        <w:rFonts w:hint="eastAsia"/>
      </w:rPr>
    </w:lvl>
  </w:abstractNum>
  <w:abstractNum w:abstractNumId="2">
    <w:nsid w:val="D2A4A9E6"/>
    <w:multiLevelType w:val="singleLevel"/>
    <w:tmpl w:val="D2A4A9E6"/>
    <w:lvl w:ilvl="0" w:tentative="0">
      <w:start w:val="1"/>
      <w:numFmt w:val="chineseCounting"/>
      <w:suff w:val="nothing"/>
      <w:lvlText w:val="%1、"/>
      <w:lvlJc w:val="left"/>
      <w:pPr>
        <w:ind w:left="0" w:firstLine="420"/>
      </w:pPr>
      <w:rPr>
        <w:rFonts w:hint="eastAsia"/>
      </w:rPr>
    </w:lvl>
  </w:abstractNum>
  <w:abstractNum w:abstractNumId="3">
    <w:nsid w:val="E5C82F5D"/>
    <w:multiLevelType w:val="singleLevel"/>
    <w:tmpl w:val="E5C82F5D"/>
    <w:lvl w:ilvl="0" w:tentative="0">
      <w:start w:val="1"/>
      <w:numFmt w:val="chineseCounting"/>
      <w:suff w:val="nothing"/>
      <w:lvlText w:val="（%1）"/>
      <w:lvlJc w:val="left"/>
      <w:pPr>
        <w:ind w:left="0" w:firstLine="420"/>
      </w:pPr>
      <w:rPr>
        <w:rFonts w:hint="eastAsia"/>
        <w:sz w:val="28"/>
        <w:szCs w:val="28"/>
      </w:rPr>
    </w:lvl>
  </w:abstractNum>
  <w:abstractNum w:abstractNumId="4">
    <w:nsid w:val="0000000E"/>
    <w:multiLevelType w:val="multilevel"/>
    <w:tmpl w:val="0000000E"/>
    <w:lvl w:ilvl="0" w:tentative="0">
      <w:start w:val="1"/>
      <w:numFmt w:val="japaneseCounting"/>
      <w:lvlText w:val="%1、"/>
      <w:lvlJc w:val="left"/>
      <w:pPr>
        <w:ind w:left="1146"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045B923"/>
    <w:multiLevelType w:val="singleLevel"/>
    <w:tmpl w:val="3045B923"/>
    <w:lvl w:ilvl="0" w:tentative="0">
      <w:start w:val="1"/>
      <w:numFmt w:val="decimal"/>
      <w:suff w:val="nothing"/>
      <w:lvlText w:val="%1．"/>
      <w:lvlJc w:val="left"/>
      <w:pPr>
        <w:ind w:left="0" w:firstLine="400"/>
      </w:pPr>
      <w:rPr>
        <w:rFonts w:hint="default"/>
      </w:rPr>
    </w:lvl>
  </w:abstractNum>
  <w:abstractNum w:abstractNumId="6">
    <w:nsid w:val="70BD8361"/>
    <w:multiLevelType w:val="singleLevel"/>
    <w:tmpl w:val="70BD8361"/>
    <w:lvl w:ilvl="0" w:tentative="0">
      <w:start w:val="1"/>
      <w:numFmt w:val="chineseCounting"/>
      <w:suff w:val="nothing"/>
      <w:lvlText w:val="（%1）"/>
      <w:lvlJc w:val="left"/>
      <w:pPr>
        <w:ind w:left="0" w:firstLine="420"/>
      </w:pPr>
      <w:rPr>
        <w:rFonts w:hint="eastAsia"/>
      </w:rPr>
    </w:lvl>
  </w:abstractNum>
  <w:abstractNum w:abstractNumId="7">
    <w:nsid w:val="72221524"/>
    <w:multiLevelType w:val="singleLevel"/>
    <w:tmpl w:val="72221524"/>
    <w:lvl w:ilvl="0" w:tentative="0">
      <w:start w:val="1"/>
      <w:numFmt w:val="chineseCounting"/>
      <w:suff w:val="nothing"/>
      <w:lvlText w:val="（%1）"/>
      <w:lvlJc w:val="left"/>
      <w:pPr>
        <w:ind w:left="0" w:firstLine="420"/>
      </w:pPr>
      <w:rPr>
        <w:rFonts w:hint="eastAsia"/>
      </w:rPr>
    </w:lvl>
  </w:abstractNum>
  <w:abstractNum w:abstractNumId="8">
    <w:nsid w:val="79595DDC"/>
    <w:multiLevelType w:val="singleLevel"/>
    <w:tmpl w:val="79595DDC"/>
    <w:lvl w:ilvl="0" w:tentative="0">
      <w:start w:val="1"/>
      <w:numFmt w:val="chineseCounting"/>
      <w:suff w:val="nothing"/>
      <w:lvlText w:val="（%1）"/>
      <w:lvlJc w:val="left"/>
      <w:pPr>
        <w:ind w:left="0" w:firstLine="420"/>
      </w:pPr>
      <w:rPr>
        <w:rFonts w:hint="eastAsia"/>
      </w:rPr>
    </w:lvl>
  </w:abstractNum>
  <w:abstractNum w:abstractNumId="9">
    <w:nsid w:val="7DC26D32"/>
    <w:multiLevelType w:val="singleLevel"/>
    <w:tmpl w:val="7DC26D32"/>
    <w:lvl w:ilvl="0" w:tentative="0">
      <w:start w:val="1"/>
      <w:numFmt w:val="chineseCounting"/>
      <w:suff w:val="nothing"/>
      <w:lvlText w:val="%1、"/>
      <w:lvlJc w:val="left"/>
      <w:pPr>
        <w:ind w:left="0" w:firstLine="420"/>
      </w:pPr>
      <w:rPr>
        <w:rFonts w:hint="eastAsia"/>
      </w:rPr>
    </w:lvl>
  </w:abstractNum>
  <w:num w:numId="1">
    <w:abstractNumId w:val="2"/>
  </w:num>
  <w:num w:numId="2">
    <w:abstractNumId w:val="9"/>
  </w:num>
  <w:num w:numId="3">
    <w:abstractNumId w:val="8"/>
  </w:num>
  <w:num w:numId="4">
    <w:abstractNumId w:val="6"/>
  </w:num>
  <w:num w:numId="5">
    <w:abstractNumId w:val="4"/>
  </w:num>
  <w:num w:numId="6">
    <w:abstractNumId w:val="0"/>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M0YTUzNTlkNTNjY2JkZjAyMjE3N2FhNWY1ZmQ0YWIifQ=="/>
  </w:docVars>
  <w:rsids>
    <w:rsidRoot w:val="00172A27"/>
    <w:rsid w:val="00032689"/>
    <w:rsid w:val="00032891"/>
    <w:rsid w:val="00036622"/>
    <w:rsid w:val="0004724B"/>
    <w:rsid w:val="00074044"/>
    <w:rsid w:val="00077899"/>
    <w:rsid w:val="000974FF"/>
    <w:rsid w:val="000A431A"/>
    <w:rsid w:val="000A547A"/>
    <w:rsid w:val="000A7D6A"/>
    <w:rsid w:val="000B7587"/>
    <w:rsid w:val="000C5000"/>
    <w:rsid w:val="000C61EF"/>
    <w:rsid w:val="000D63A2"/>
    <w:rsid w:val="000F60FD"/>
    <w:rsid w:val="000F6C03"/>
    <w:rsid w:val="0011776A"/>
    <w:rsid w:val="00141373"/>
    <w:rsid w:val="00146B4B"/>
    <w:rsid w:val="00155D1A"/>
    <w:rsid w:val="00167200"/>
    <w:rsid w:val="00172A27"/>
    <w:rsid w:val="00191F4C"/>
    <w:rsid w:val="001957B0"/>
    <w:rsid w:val="00196D29"/>
    <w:rsid w:val="001A0170"/>
    <w:rsid w:val="001A0228"/>
    <w:rsid w:val="001A7A45"/>
    <w:rsid w:val="001B02D6"/>
    <w:rsid w:val="001B4EF3"/>
    <w:rsid w:val="001C1D31"/>
    <w:rsid w:val="001C40D0"/>
    <w:rsid w:val="001E1ED6"/>
    <w:rsid w:val="001E406C"/>
    <w:rsid w:val="001F1CFF"/>
    <w:rsid w:val="002235CA"/>
    <w:rsid w:val="00225195"/>
    <w:rsid w:val="00225A4B"/>
    <w:rsid w:val="00237B07"/>
    <w:rsid w:val="00243A20"/>
    <w:rsid w:val="00245C0D"/>
    <w:rsid w:val="00252461"/>
    <w:rsid w:val="002531DB"/>
    <w:rsid w:val="002558ED"/>
    <w:rsid w:val="0026319A"/>
    <w:rsid w:val="002772F0"/>
    <w:rsid w:val="00277C7F"/>
    <w:rsid w:val="002806D6"/>
    <w:rsid w:val="00283622"/>
    <w:rsid w:val="00286FA1"/>
    <w:rsid w:val="00287AAD"/>
    <w:rsid w:val="002B3074"/>
    <w:rsid w:val="002C1E9B"/>
    <w:rsid w:val="002C3290"/>
    <w:rsid w:val="002E025A"/>
    <w:rsid w:val="002E048A"/>
    <w:rsid w:val="002E2DFD"/>
    <w:rsid w:val="002F6BE1"/>
    <w:rsid w:val="00301E33"/>
    <w:rsid w:val="0030794D"/>
    <w:rsid w:val="00315FDC"/>
    <w:rsid w:val="00326F16"/>
    <w:rsid w:val="00332BB1"/>
    <w:rsid w:val="00332EBD"/>
    <w:rsid w:val="00341783"/>
    <w:rsid w:val="00347190"/>
    <w:rsid w:val="00351C99"/>
    <w:rsid w:val="00363606"/>
    <w:rsid w:val="0036695A"/>
    <w:rsid w:val="003837E5"/>
    <w:rsid w:val="00391F5C"/>
    <w:rsid w:val="00395049"/>
    <w:rsid w:val="003962A4"/>
    <w:rsid w:val="003A28D5"/>
    <w:rsid w:val="003A6E79"/>
    <w:rsid w:val="003C0793"/>
    <w:rsid w:val="003D2CEC"/>
    <w:rsid w:val="003D732D"/>
    <w:rsid w:val="003E06BF"/>
    <w:rsid w:val="003E3476"/>
    <w:rsid w:val="003F1115"/>
    <w:rsid w:val="00425640"/>
    <w:rsid w:val="004258AC"/>
    <w:rsid w:val="00430423"/>
    <w:rsid w:val="004407A2"/>
    <w:rsid w:val="00440FF0"/>
    <w:rsid w:val="0044382C"/>
    <w:rsid w:val="004456E3"/>
    <w:rsid w:val="00452147"/>
    <w:rsid w:val="004607F5"/>
    <w:rsid w:val="00461F57"/>
    <w:rsid w:val="004654DD"/>
    <w:rsid w:val="00472909"/>
    <w:rsid w:val="00485D0E"/>
    <w:rsid w:val="00486617"/>
    <w:rsid w:val="00487756"/>
    <w:rsid w:val="0049217D"/>
    <w:rsid w:val="00495178"/>
    <w:rsid w:val="004A46AC"/>
    <w:rsid w:val="004A65A5"/>
    <w:rsid w:val="004B5332"/>
    <w:rsid w:val="004C7D4E"/>
    <w:rsid w:val="004D038C"/>
    <w:rsid w:val="004D1FAD"/>
    <w:rsid w:val="004D42BE"/>
    <w:rsid w:val="00503539"/>
    <w:rsid w:val="00516974"/>
    <w:rsid w:val="00517AC0"/>
    <w:rsid w:val="00517AD2"/>
    <w:rsid w:val="00542750"/>
    <w:rsid w:val="005427F0"/>
    <w:rsid w:val="0054719D"/>
    <w:rsid w:val="00561476"/>
    <w:rsid w:val="00561990"/>
    <w:rsid w:val="00562089"/>
    <w:rsid w:val="00563CA1"/>
    <w:rsid w:val="00570521"/>
    <w:rsid w:val="00574B1A"/>
    <w:rsid w:val="00580A59"/>
    <w:rsid w:val="0058166A"/>
    <w:rsid w:val="005A4227"/>
    <w:rsid w:val="005A722E"/>
    <w:rsid w:val="005B5BC4"/>
    <w:rsid w:val="005D6CAC"/>
    <w:rsid w:val="005E3CB3"/>
    <w:rsid w:val="005E47DD"/>
    <w:rsid w:val="005F18E1"/>
    <w:rsid w:val="005F1B9D"/>
    <w:rsid w:val="005F34FA"/>
    <w:rsid w:val="005F6F2B"/>
    <w:rsid w:val="00603A97"/>
    <w:rsid w:val="0062278C"/>
    <w:rsid w:val="00640532"/>
    <w:rsid w:val="00641ABC"/>
    <w:rsid w:val="006431A1"/>
    <w:rsid w:val="00644F9B"/>
    <w:rsid w:val="00652B56"/>
    <w:rsid w:val="006548A9"/>
    <w:rsid w:val="006665FE"/>
    <w:rsid w:val="00673CA5"/>
    <w:rsid w:val="00677F52"/>
    <w:rsid w:val="006962C3"/>
    <w:rsid w:val="00696ADF"/>
    <w:rsid w:val="006A657E"/>
    <w:rsid w:val="006B003D"/>
    <w:rsid w:val="006B00CF"/>
    <w:rsid w:val="006B0B2C"/>
    <w:rsid w:val="006B4532"/>
    <w:rsid w:val="006B6287"/>
    <w:rsid w:val="00700476"/>
    <w:rsid w:val="00711681"/>
    <w:rsid w:val="00712350"/>
    <w:rsid w:val="007258D9"/>
    <w:rsid w:val="00731AEF"/>
    <w:rsid w:val="00734393"/>
    <w:rsid w:val="0073661F"/>
    <w:rsid w:val="007452D7"/>
    <w:rsid w:val="00746E68"/>
    <w:rsid w:val="007511C0"/>
    <w:rsid w:val="007547F5"/>
    <w:rsid w:val="00774C92"/>
    <w:rsid w:val="007779AB"/>
    <w:rsid w:val="007839E9"/>
    <w:rsid w:val="00785333"/>
    <w:rsid w:val="00795204"/>
    <w:rsid w:val="007A67B3"/>
    <w:rsid w:val="007B3577"/>
    <w:rsid w:val="007C0197"/>
    <w:rsid w:val="007D69DD"/>
    <w:rsid w:val="007E2964"/>
    <w:rsid w:val="007E78C2"/>
    <w:rsid w:val="008059E4"/>
    <w:rsid w:val="008258E6"/>
    <w:rsid w:val="00863A4B"/>
    <w:rsid w:val="008705E3"/>
    <w:rsid w:val="008726E9"/>
    <w:rsid w:val="0088470D"/>
    <w:rsid w:val="00890EA3"/>
    <w:rsid w:val="008937B7"/>
    <w:rsid w:val="008F7747"/>
    <w:rsid w:val="0091458D"/>
    <w:rsid w:val="0091770F"/>
    <w:rsid w:val="00920402"/>
    <w:rsid w:val="00922BCD"/>
    <w:rsid w:val="00925096"/>
    <w:rsid w:val="00937023"/>
    <w:rsid w:val="009405E2"/>
    <w:rsid w:val="009448C7"/>
    <w:rsid w:val="00951C61"/>
    <w:rsid w:val="00952CA0"/>
    <w:rsid w:val="00976276"/>
    <w:rsid w:val="0098093C"/>
    <w:rsid w:val="009A1F1C"/>
    <w:rsid w:val="009B2E32"/>
    <w:rsid w:val="009C33F5"/>
    <w:rsid w:val="009C41DD"/>
    <w:rsid w:val="009C7C97"/>
    <w:rsid w:val="009D5D28"/>
    <w:rsid w:val="009E6285"/>
    <w:rsid w:val="009F7FCC"/>
    <w:rsid w:val="00A27E69"/>
    <w:rsid w:val="00A47FC2"/>
    <w:rsid w:val="00A53392"/>
    <w:rsid w:val="00A54A49"/>
    <w:rsid w:val="00A62353"/>
    <w:rsid w:val="00A67BB9"/>
    <w:rsid w:val="00A7425F"/>
    <w:rsid w:val="00A85CBD"/>
    <w:rsid w:val="00A93F04"/>
    <w:rsid w:val="00A9525A"/>
    <w:rsid w:val="00A977D0"/>
    <w:rsid w:val="00AA2F54"/>
    <w:rsid w:val="00AA78B6"/>
    <w:rsid w:val="00AB3B02"/>
    <w:rsid w:val="00AC373E"/>
    <w:rsid w:val="00AD1391"/>
    <w:rsid w:val="00AD71A4"/>
    <w:rsid w:val="00AD78E6"/>
    <w:rsid w:val="00AF50D3"/>
    <w:rsid w:val="00B03BE7"/>
    <w:rsid w:val="00B10D7C"/>
    <w:rsid w:val="00B12374"/>
    <w:rsid w:val="00B21BAC"/>
    <w:rsid w:val="00B30ACB"/>
    <w:rsid w:val="00B31C61"/>
    <w:rsid w:val="00B3497B"/>
    <w:rsid w:val="00B4044E"/>
    <w:rsid w:val="00B5005C"/>
    <w:rsid w:val="00B6174D"/>
    <w:rsid w:val="00B67438"/>
    <w:rsid w:val="00B83AD4"/>
    <w:rsid w:val="00B845B1"/>
    <w:rsid w:val="00B92B45"/>
    <w:rsid w:val="00B935E9"/>
    <w:rsid w:val="00B9717F"/>
    <w:rsid w:val="00BB206B"/>
    <w:rsid w:val="00BB213C"/>
    <w:rsid w:val="00BB2D38"/>
    <w:rsid w:val="00BB3F55"/>
    <w:rsid w:val="00BC09B8"/>
    <w:rsid w:val="00BD25D4"/>
    <w:rsid w:val="00BD3907"/>
    <w:rsid w:val="00BE0848"/>
    <w:rsid w:val="00BE55A0"/>
    <w:rsid w:val="00BE76A7"/>
    <w:rsid w:val="00BF01B9"/>
    <w:rsid w:val="00C01B42"/>
    <w:rsid w:val="00C2061A"/>
    <w:rsid w:val="00C26808"/>
    <w:rsid w:val="00C26BD0"/>
    <w:rsid w:val="00C30720"/>
    <w:rsid w:val="00C3154A"/>
    <w:rsid w:val="00C37BDE"/>
    <w:rsid w:val="00C56528"/>
    <w:rsid w:val="00C6662F"/>
    <w:rsid w:val="00C671D9"/>
    <w:rsid w:val="00C70638"/>
    <w:rsid w:val="00C83CD2"/>
    <w:rsid w:val="00C91E80"/>
    <w:rsid w:val="00C9504E"/>
    <w:rsid w:val="00C955B7"/>
    <w:rsid w:val="00CA043A"/>
    <w:rsid w:val="00CA5488"/>
    <w:rsid w:val="00CA5D49"/>
    <w:rsid w:val="00CA7A35"/>
    <w:rsid w:val="00CB1E82"/>
    <w:rsid w:val="00CD3FA8"/>
    <w:rsid w:val="00CE0E1A"/>
    <w:rsid w:val="00CE133F"/>
    <w:rsid w:val="00CE546A"/>
    <w:rsid w:val="00CF49B4"/>
    <w:rsid w:val="00D02A5E"/>
    <w:rsid w:val="00D121DF"/>
    <w:rsid w:val="00D1455A"/>
    <w:rsid w:val="00D154FC"/>
    <w:rsid w:val="00D17548"/>
    <w:rsid w:val="00D216B9"/>
    <w:rsid w:val="00D2178D"/>
    <w:rsid w:val="00D3672B"/>
    <w:rsid w:val="00D40F31"/>
    <w:rsid w:val="00D44310"/>
    <w:rsid w:val="00D5061E"/>
    <w:rsid w:val="00D92899"/>
    <w:rsid w:val="00D953BD"/>
    <w:rsid w:val="00DA1431"/>
    <w:rsid w:val="00DB24CD"/>
    <w:rsid w:val="00DB28EF"/>
    <w:rsid w:val="00DD449D"/>
    <w:rsid w:val="00DF1EFD"/>
    <w:rsid w:val="00DF7AB7"/>
    <w:rsid w:val="00E154E9"/>
    <w:rsid w:val="00E26626"/>
    <w:rsid w:val="00E352BE"/>
    <w:rsid w:val="00E40679"/>
    <w:rsid w:val="00E51144"/>
    <w:rsid w:val="00E55C78"/>
    <w:rsid w:val="00E57152"/>
    <w:rsid w:val="00E627C0"/>
    <w:rsid w:val="00E71CD8"/>
    <w:rsid w:val="00E82CD3"/>
    <w:rsid w:val="00E83DF0"/>
    <w:rsid w:val="00EB11D7"/>
    <w:rsid w:val="00EB16B7"/>
    <w:rsid w:val="00EB5A22"/>
    <w:rsid w:val="00EC5404"/>
    <w:rsid w:val="00EC75D2"/>
    <w:rsid w:val="00ED46CA"/>
    <w:rsid w:val="00EE21B1"/>
    <w:rsid w:val="00EE52DB"/>
    <w:rsid w:val="00EE5C52"/>
    <w:rsid w:val="00EE6F57"/>
    <w:rsid w:val="00EF0A23"/>
    <w:rsid w:val="00EF0D3B"/>
    <w:rsid w:val="00EF758C"/>
    <w:rsid w:val="00F03D2A"/>
    <w:rsid w:val="00F349D6"/>
    <w:rsid w:val="00F44564"/>
    <w:rsid w:val="00F553CE"/>
    <w:rsid w:val="00F55612"/>
    <w:rsid w:val="00F611DD"/>
    <w:rsid w:val="00F64116"/>
    <w:rsid w:val="00F67A24"/>
    <w:rsid w:val="00F7063F"/>
    <w:rsid w:val="00F719D7"/>
    <w:rsid w:val="00F81598"/>
    <w:rsid w:val="00F84593"/>
    <w:rsid w:val="00F9223A"/>
    <w:rsid w:val="00FA04B3"/>
    <w:rsid w:val="00FB2829"/>
    <w:rsid w:val="00FB7457"/>
    <w:rsid w:val="00FC3235"/>
    <w:rsid w:val="00FC73DB"/>
    <w:rsid w:val="00FD3363"/>
    <w:rsid w:val="00FE0C71"/>
    <w:rsid w:val="00FE4064"/>
    <w:rsid w:val="00FE4417"/>
    <w:rsid w:val="00FF3BD5"/>
    <w:rsid w:val="01131A32"/>
    <w:rsid w:val="011A0835"/>
    <w:rsid w:val="011B1E20"/>
    <w:rsid w:val="01323B09"/>
    <w:rsid w:val="013E1580"/>
    <w:rsid w:val="015138CE"/>
    <w:rsid w:val="01586B7D"/>
    <w:rsid w:val="015B2E64"/>
    <w:rsid w:val="016A2761"/>
    <w:rsid w:val="016E6950"/>
    <w:rsid w:val="0171336B"/>
    <w:rsid w:val="01796792"/>
    <w:rsid w:val="017D284D"/>
    <w:rsid w:val="01827C5D"/>
    <w:rsid w:val="01986206"/>
    <w:rsid w:val="01A875DD"/>
    <w:rsid w:val="01CC5E26"/>
    <w:rsid w:val="01CD6344"/>
    <w:rsid w:val="01DA3F15"/>
    <w:rsid w:val="01E6767F"/>
    <w:rsid w:val="01F03469"/>
    <w:rsid w:val="01FB2325"/>
    <w:rsid w:val="01FB273B"/>
    <w:rsid w:val="02000787"/>
    <w:rsid w:val="02092BC2"/>
    <w:rsid w:val="021F2D2B"/>
    <w:rsid w:val="023E0EA5"/>
    <w:rsid w:val="023E6032"/>
    <w:rsid w:val="024C1960"/>
    <w:rsid w:val="0261791C"/>
    <w:rsid w:val="02741FDC"/>
    <w:rsid w:val="027470FC"/>
    <w:rsid w:val="02973006"/>
    <w:rsid w:val="029D3935"/>
    <w:rsid w:val="02AC64E3"/>
    <w:rsid w:val="02B775C6"/>
    <w:rsid w:val="02BD4086"/>
    <w:rsid w:val="02C71646"/>
    <w:rsid w:val="02CB2AAF"/>
    <w:rsid w:val="02D3267B"/>
    <w:rsid w:val="02DA0756"/>
    <w:rsid w:val="02EA30E4"/>
    <w:rsid w:val="02EB6CE4"/>
    <w:rsid w:val="02FE6D1A"/>
    <w:rsid w:val="030574F1"/>
    <w:rsid w:val="030821FD"/>
    <w:rsid w:val="03185CC8"/>
    <w:rsid w:val="032453D3"/>
    <w:rsid w:val="032A3240"/>
    <w:rsid w:val="03301D99"/>
    <w:rsid w:val="033C30A2"/>
    <w:rsid w:val="034616F4"/>
    <w:rsid w:val="03516745"/>
    <w:rsid w:val="0357726E"/>
    <w:rsid w:val="036B2B35"/>
    <w:rsid w:val="03707FB3"/>
    <w:rsid w:val="03743EE2"/>
    <w:rsid w:val="037C4B2A"/>
    <w:rsid w:val="037D4AC6"/>
    <w:rsid w:val="03AB3A21"/>
    <w:rsid w:val="03BD7D9D"/>
    <w:rsid w:val="03C3740D"/>
    <w:rsid w:val="03CA5D0F"/>
    <w:rsid w:val="03D751FE"/>
    <w:rsid w:val="03E40D89"/>
    <w:rsid w:val="03E7366A"/>
    <w:rsid w:val="03FC65D9"/>
    <w:rsid w:val="03FD065F"/>
    <w:rsid w:val="0402181A"/>
    <w:rsid w:val="040915A2"/>
    <w:rsid w:val="04137FBF"/>
    <w:rsid w:val="0428312E"/>
    <w:rsid w:val="0440610F"/>
    <w:rsid w:val="045628DA"/>
    <w:rsid w:val="046244DB"/>
    <w:rsid w:val="047D240A"/>
    <w:rsid w:val="04987F71"/>
    <w:rsid w:val="049F78F0"/>
    <w:rsid w:val="04AF0445"/>
    <w:rsid w:val="04BA6D95"/>
    <w:rsid w:val="04E706B7"/>
    <w:rsid w:val="04F04DFC"/>
    <w:rsid w:val="05034C1D"/>
    <w:rsid w:val="050D7E43"/>
    <w:rsid w:val="05103A0F"/>
    <w:rsid w:val="0519465C"/>
    <w:rsid w:val="05287D8F"/>
    <w:rsid w:val="052A17B5"/>
    <w:rsid w:val="052A1FC3"/>
    <w:rsid w:val="052F0286"/>
    <w:rsid w:val="0534588F"/>
    <w:rsid w:val="053825B2"/>
    <w:rsid w:val="054D15B2"/>
    <w:rsid w:val="054F684A"/>
    <w:rsid w:val="05525D18"/>
    <w:rsid w:val="05723C7C"/>
    <w:rsid w:val="05834EC2"/>
    <w:rsid w:val="05856CF0"/>
    <w:rsid w:val="059310C4"/>
    <w:rsid w:val="05BE190C"/>
    <w:rsid w:val="05BE7E99"/>
    <w:rsid w:val="05C24107"/>
    <w:rsid w:val="05C41C64"/>
    <w:rsid w:val="05CD30E0"/>
    <w:rsid w:val="05D07C16"/>
    <w:rsid w:val="05ED208F"/>
    <w:rsid w:val="05F34BA3"/>
    <w:rsid w:val="05F85E55"/>
    <w:rsid w:val="05FD1E26"/>
    <w:rsid w:val="05FF1146"/>
    <w:rsid w:val="06114212"/>
    <w:rsid w:val="06125D57"/>
    <w:rsid w:val="062F26A8"/>
    <w:rsid w:val="06334840"/>
    <w:rsid w:val="06594DA3"/>
    <w:rsid w:val="065A53FC"/>
    <w:rsid w:val="065E2393"/>
    <w:rsid w:val="066626FE"/>
    <w:rsid w:val="0676175A"/>
    <w:rsid w:val="06776577"/>
    <w:rsid w:val="067B40DF"/>
    <w:rsid w:val="06876005"/>
    <w:rsid w:val="06A353E0"/>
    <w:rsid w:val="06AA3AB5"/>
    <w:rsid w:val="06B87D95"/>
    <w:rsid w:val="06BB2606"/>
    <w:rsid w:val="06C06D04"/>
    <w:rsid w:val="06CA5301"/>
    <w:rsid w:val="06DA24AC"/>
    <w:rsid w:val="06F03A87"/>
    <w:rsid w:val="07277241"/>
    <w:rsid w:val="07325D7A"/>
    <w:rsid w:val="073F5CE6"/>
    <w:rsid w:val="074314BE"/>
    <w:rsid w:val="07477221"/>
    <w:rsid w:val="074A13E0"/>
    <w:rsid w:val="075638FD"/>
    <w:rsid w:val="07572194"/>
    <w:rsid w:val="075A6E36"/>
    <w:rsid w:val="0769262D"/>
    <w:rsid w:val="07871351"/>
    <w:rsid w:val="07876DA3"/>
    <w:rsid w:val="0788435E"/>
    <w:rsid w:val="078F795C"/>
    <w:rsid w:val="07A37B12"/>
    <w:rsid w:val="07C76C14"/>
    <w:rsid w:val="07CE4A3B"/>
    <w:rsid w:val="07DC28A3"/>
    <w:rsid w:val="07ED3609"/>
    <w:rsid w:val="07F9615A"/>
    <w:rsid w:val="08024301"/>
    <w:rsid w:val="08202DBC"/>
    <w:rsid w:val="08366821"/>
    <w:rsid w:val="083D65F0"/>
    <w:rsid w:val="0858484E"/>
    <w:rsid w:val="086041FB"/>
    <w:rsid w:val="08673234"/>
    <w:rsid w:val="086E5D05"/>
    <w:rsid w:val="08707CF7"/>
    <w:rsid w:val="088A35DE"/>
    <w:rsid w:val="088F539A"/>
    <w:rsid w:val="089A73E5"/>
    <w:rsid w:val="089D7C92"/>
    <w:rsid w:val="08A8125F"/>
    <w:rsid w:val="08AE41FE"/>
    <w:rsid w:val="08C83301"/>
    <w:rsid w:val="08D441B9"/>
    <w:rsid w:val="08D73321"/>
    <w:rsid w:val="08DD78CB"/>
    <w:rsid w:val="08DF3617"/>
    <w:rsid w:val="08EC10BC"/>
    <w:rsid w:val="08F051D6"/>
    <w:rsid w:val="08FE0277"/>
    <w:rsid w:val="09172A0D"/>
    <w:rsid w:val="092159E2"/>
    <w:rsid w:val="092B5722"/>
    <w:rsid w:val="092D66BF"/>
    <w:rsid w:val="09380071"/>
    <w:rsid w:val="0953627B"/>
    <w:rsid w:val="0957037C"/>
    <w:rsid w:val="0967273B"/>
    <w:rsid w:val="097431D5"/>
    <w:rsid w:val="09851417"/>
    <w:rsid w:val="09883595"/>
    <w:rsid w:val="0989518D"/>
    <w:rsid w:val="09955A35"/>
    <w:rsid w:val="09956C8E"/>
    <w:rsid w:val="09A86E49"/>
    <w:rsid w:val="09B20A08"/>
    <w:rsid w:val="09B21137"/>
    <w:rsid w:val="09CD0497"/>
    <w:rsid w:val="09E32519"/>
    <w:rsid w:val="09E45BDF"/>
    <w:rsid w:val="0A125E46"/>
    <w:rsid w:val="0A195DC3"/>
    <w:rsid w:val="0A211A52"/>
    <w:rsid w:val="0A231FA1"/>
    <w:rsid w:val="0A2C1662"/>
    <w:rsid w:val="0A500431"/>
    <w:rsid w:val="0A550CA1"/>
    <w:rsid w:val="0A6939AD"/>
    <w:rsid w:val="0A7077BF"/>
    <w:rsid w:val="0A76027A"/>
    <w:rsid w:val="0A764B67"/>
    <w:rsid w:val="0A8161CC"/>
    <w:rsid w:val="0A8828B9"/>
    <w:rsid w:val="0A900771"/>
    <w:rsid w:val="0A960758"/>
    <w:rsid w:val="0AA90BF2"/>
    <w:rsid w:val="0AB275CF"/>
    <w:rsid w:val="0ABC73BE"/>
    <w:rsid w:val="0AC16AED"/>
    <w:rsid w:val="0AC54FD2"/>
    <w:rsid w:val="0ACA00B8"/>
    <w:rsid w:val="0ACF709A"/>
    <w:rsid w:val="0AD15725"/>
    <w:rsid w:val="0AE16B37"/>
    <w:rsid w:val="0AF002A3"/>
    <w:rsid w:val="0B00355D"/>
    <w:rsid w:val="0B1D2F63"/>
    <w:rsid w:val="0B253338"/>
    <w:rsid w:val="0B347AF6"/>
    <w:rsid w:val="0B416A16"/>
    <w:rsid w:val="0B4B19E9"/>
    <w:rsid w:val="0B4E5290"/>
    <w:rsid w:val="0B5F0EB8"/>
    <w:rsid w:val="0B6C7020"/>
    <w:rsid w:val="0B702A15"/>
    <w:rsid w:val="0B771030"/>
    <w:rsid w:val="0BA7604B"/>
    <w:rsid w:val="0BAA670C"/>
    <w:rsid w:val="0BAC78D5"/>
    <w:rsid w:val="0BB570C5"/>
    <w:rsid w:val="0BC72462"/>
    <w:rsid w:val="0BD975EB"/>
    <w:rsid w:val="0BED6619"/>
    <w:rsid w:val="0BF35BA6"/>
    <w:rsid w:val="0BFD5AB5"/>
    <w:rsid w:val="0C04503A"/>
    <w:rsid w:val="0C0F4280"/>
    <w:rsid w:val="0C251A9C"/>
    <w:rsid w:val="0C343E5A"/>
    <w:rsid w:val="0C4515BE"/>
    <w:rsid w:val="0C5067FE"/>
    <w:rsid w:val="0C55468D"/>
    <w:rsid w:val="0C5D4C36"/>
    <w:rsid w:val="0C615A92"/>
    <w:rsid w:val="0C805EFF"/>
    <w:rsid w:val="0C827C85"/>
    <w:rsid w:val="0C850EEA"/>
    <w:rsid w:val="0C851EA4"/>
    <w:rsid w:val="0C8E4250"/>
    <w:rsid w:val="0C977B80"/>
    <w:rsid w:val="0C9D4611"/>
    <w:rsid w:val="0CA26468"/>
    <w:rsid w:val="0CA41A11"/>
    <w:rsid w:val="0CCE1990"/>
    <w:rsid w:val="0CDD5B88"/>
    <w:rsid w:val="0CDE7FF1"/>
    <w:rsid w:val="0CEA5E4B"/>
    <w:rsid w:val="0D077B9B"/>
    <w:rsid w:val="0D0C5DFA"/>
    <w:rsid w:val="0D1A0A03"/>
    <w:rsid w:val="0D1A2290"/>
    <w:rsid w:val="0D231F32"/>
    <w:rsid w:val="0D24150A"/>
    <w:rsid w:val="0D292FA3"/>
    <w:rsid w:val="0D2E1312"/>
    <w:rsid w:val="0D335B19"/>
    <w:rsid w:val="0D514B9B"/>
    <w:rsid w:val="0D5D4B5F"/>
    <w:rsid w:val="0D6F2E1D"/>
    <w:rsid w:val="0D7000B9"/>
    <w:rsid w:val="0D77410B"/>
    <w:rsid w:val="0D780DBC"/>
    <w:rsid w:val="0DA44D31"/>
    <w:rsid w:val="0DC86AF8"/>
    <w:rsid w:val="0DDF1BE8"/>
    <w:rsid w:val="0E010B65"/>
    <w:rsid w:val="0E112FF6"/>
    <w:rsid w:val="0E141872"/>
    <w:rsid w:val="0E1C05B2"/>
    <w:rsid w:val="0E2C0370"/>
    <w:rsid w:val="0E2D4544"/>
    <w:rsid w:val="0E3254A9"/>
    <w:rsid w:val="0E335BA6"/>
    <w:rsid w:val="0E4B0886"/>
    <w:rsid w:val="0E5F5066"/>
    <w:rsid w:val="0E653F8C"/>
    <w:rsid w:val="0E8D73D5"/>
    <w:rsid w:val="0E8E2099"/>
    <w:rsid w:val="0E9225C9"/>
    <w:rsid w:val="0E965E43"/>
    <w:rsid w:val="0E9735AA"/>
    <w:rsid w:val="0E9B3B85"/>
    <w:rsid w:val="0EBE186B"/>
    <w:rsid w:val="0ED00C0F"/>
    <w:rsid w:val="0ED5370C"/>
    <w:rsid w:val="0EE33613"/>
    <w:rsid w:val="0EEC0BBF"/>
    <w:rsid w:val="0EF249A8"/>
    <w:rsid w:val="0EF33696"/>
    <w:rsid w:val="0EF43256"/>
    <w:rsid w:val="0F0339B3"/>
    <w:rsid w:val="0F0A18D6"/>
    <w:rsid w:val="0F0A3B56"/>
    <w:rsid w:val="0F0F39CD"/>
    <w:rsid w:val="0F1470DF"/>
    <w:rsid w:val="0F244062"/>
    <w:rsid w:val="0F2C5412"/>
    <w:rsid w:val="0F423C90"/>
    <w:rsid w:val="0F4F3C7B"/>
    <w:rsid w:val="0F654466"/>
    <w:rsid w:val="0F7778AF"/>
    <w:rsid w:val="0F925C4D"/>
    <w:rsid w:val="0FA94400"/>
    <w:rsid w:val="0FB02211"/>
    <w:rsid w:val="0FB37482"/>
    <w:rsid w:val="0FBF1CE2"/>
    <w:rsid w:val="0FC531CD"/>
    <w:rsid w:val="0FD53E86"/>
    <w:rsid w:val="0FE013D7"/>
    <w:rsid w:val="0FE05FFF"/>
    <w:rsid w:val="0FE32E12"/>
    <w:rsid w:val="0FEE0542"/>
    <w:rsid w:val="0FFB716C"/>
    <w:rsid w:val="10031799"/>
    <w:rsid w:val="100928A7"/>
    <w:rsid w:val="100D0566"/>
    <w:rsid w:val="10136650"/>
    <w:rsid w:val="101766EF"/>
    <w:rsid w:val="101C1F4D"/>
    <w:rsid w:val="101E3A06"/>
    <w:rsid w:val="10202AD6"/>
    <w:rsid w:val="102D753F"/>
    <w:rsid w:val="103617AF"/>
    <w:rsid w:val="108814FD"/>
    <w:rsid w:val="108B1368"/>
    <w:rsid w:val="10A21FC5"/>
    <w:rsid w:val="10A54FD3"/>
    <w:rsid w:val="10A650A0"/>
    <w:rsid w:val="10B24403"/>
    <w:rsid w:val="10BD7019"/>
    <w:rsid w:val="10C42B3E"/>
    <w:rsid w:val="10CE375D"/>
    <w:rsid w:val="10F32869"/>
    <w:rsid w:val="11044FC7"/>
    <w:rsid w:val="110527E5"/>
    <w:rsid w:val="112E44A5"/>
    <w:rsid w:val="114337D1"/>
    <w:rsid w:val="11444655"/>
    <w:rsid w:val="11492DE0"/>
    <w:rsid w:val="114A6CDB"/>
    <w:rsid w:val="114E4B23"/>
    <w:rsid w:val="11657718"/>
    <w:rsid w:val="116C0AA4"/>
    <w:rsid w:val="118227DF"/>
    <w:rsid w:val="118E227B"/>
    <w:rsid w:val="118F1B42"/>
    <w:rsid w:val="11921EA0"/>
    <w:rsid w:val="119F419B"/>
    <w:rsid w:val="11AA3CF7"/>
    <w:rsid w:val="11AB3B00"/>
    <w:rsid w:val="11B7720B"/>
    <w:rsid w:val="11CA3C61"/>
    <w:rsid w:val="11D237A6"/>
    <w:rsid w:val="11D51EDB"/>
    <w:rsid w:val="11D57124"/>
    <w:rsid w:val="11DF6239"/>
    <w:rsid w:val="11F12EFC"/>
    <w:rsid w:val="12050AF2"/>
    <w:rsid w:val="1208585F"/>
    <w:rsid w:val="120D1BAF"/>
    <w:rsid w:val="121713E6"/>
    <w:rsid w:val="121E5148"/>
    <w:rsid w:val="121F7E41"/>
    <w:rsid w:val="12235046"/>
    <w:rsid w:val="122B27B2"/>
    <w:rsid w:val="122E5C82"/>
    <w:rsid w:val="12361A43"/>
    <w:rsid w:val="126C6986"/>
    <w:rsid w:val="127D3116"/>
    <w:rsid w:val="12873776"/>
    <w:rsid w:val="129B5E9B"/>
    <w:rsid w:val="12AA72E3"/>
    <w:rsid w:val="12AC24D6"/>
    <w:rsid w:val="12B6732D"/>
    <w:rsid w:val="12B678AF"/>
    <w:rsid w:val="12BA6EBC"/>
    <w:rsid w:val="12BE2595"/>
    <w:rsid w:val="12D563F1"/>
    <w:rsid w:val="12D954AA"/>
    <w:rsid w:val="12E54297"/>
    <w:rsid w:val="130C3D33"/>
    <w:rsid w:val="130F0201"/>
    <w:rsid w:val="13110E99"/>
    <w:rsid w:val="13167A74"/>
    <w:rsid w:val="1355468A"/>
    <w:rsid w:val="135D51B9"/>
    <w:rsid w:val="13795601"/>
    <w:rsid w:val="139173E1"/>
    <w:rsid w:val="13973053"/>
    <w:rsid w:val="13C17083"/>
    <w:rsid w:val="13C938D7"/>
    <w:rsid w:val="13CE64C8"/>
    <w:rsid w:val="13E420D1"/>
    <w:rsid w:val="1402733B"/>
    <w:rsid w:val="141126D1"/>
    <w:rsid w:val="142975DB"/>
    <w:rsid w:val="142D1A1B"/>
    <w:rsid w:val="1430370A"/>
    <w:rsid w:val="14335A79"/>
    <w:rsid w:val="14397A6A"/>
    <w:rsid w:val="144776E7"/>
    <w:rsid w:val="14490944"/>
    <w:rsid w:val="144C6FC7"/>
    <w:rsid w:val="14535AF7"/>
    <w:rsid w:val="14920D8C"/>
    <w:rsid w:val="149D2E3A"/>
    <w:rsid w:val="14B13CE5"/>
    <w:rsid w:val="14C2630C"/>
    <w:rsid w:val="14D06719"/>
    <w:rsid w:val="14D073D9"/>
    <w:rsid w:val="14D43A70"/>
    <w:rsid w:val="14D7226C"/>
    <w:rsid w:val="14D87CC6"/>
    <w:rsid w:val="14EE45A0"/>
    <w:rsid w:val="14F21926"/>
    <w:rsid w:val="14FB4173"/>
    <w:rsid w:val="15281730"/>
    <w:rsid w:val="152C487D"/>
    <w:rsid w:val="153348C4"/>
    <w:rsid w:val="15367BBB"/>
    <w:rsid w:val="15476F29"/>
    <w:rsid w:val="15514E5A"/>
    <w:rsid w:val="155A29DF"/>
    <w:rsid w:val="156B7B78"/>
    <w:rsid w:val="157B47EE"/>
    <w:rsid w:val="157B607D"/>
    <w:rsid w:val="158908E2"/>
    <w:rsid w:val="159632F8"/>
    <w:rsid w:val="15AB661B"/>
    <w:rsid w:val="15B5629D"/>
    <w:rsid w:val="15B57927"/>
    <w:rsid w:val="15C56DEE"/>
    <w:rsid w:val="15E72B7C"/>
    <w:rsid w:val="16033142"/>
    <w:rsid w:val="16277771"/>
    <w:rsid w:val="163C57D0"/>
    <w:rsid w:val="163E7524"/>
    <w:rsid w:val="164C3390"/>
    <w:rsid w:val="165C1A47"/>
    <w:rsid w:val="166172A0"/>
    <w:rsid w:val="16913B34"/>
    <w:rsid w:val="16983DAC"/>
    <w:rsid w:val="16C543C5"/>
    <w:rsid w:val="16D26A63"/>
    <w:rsid w:val="16D66719"/>
    <w:rsid w:val="16EC6C3B"/>
    <w:rsid w:val="170C34F8"/>
    <w:rsid w:val="17155AED"/>
    <w:rsid w:val="17174E15"/>
    <w:rsid w:val="17187CDF"/>
    <w:rsid w:val="171D6791"/>
    <w:rsid w:val="17204247"/>
    <w:rsid w:val="1737153C"/>
    <w:rsid w:val="17385718"/>
    <w:rsid w:val="173B6502"/>
    <w:rsid w:val="17401F45"/>
    <w:rsid w:val="174B4F71"/>
    <w:rsid w:val="17537A06"/>
    <w:rsid w:val="17705037"/>
    <w:rsid w:val="177176AD"/>
    <w:rsid w:val="177E4F0D"/>
    <w:rsid w:val="17805515"/>
    <w:rsid w:val="178B57D4"/>
    <w:rsid w:val="179B4C68"/>
    <w:rsid w:val="17AD7EE0"/>
    <w:rsid w:val="17B13FF9"/>
    <w:rsid w:val="17B26290"/>
    <w:rsid w:val="17BD7529"/>
    <w:rsid w:val="17D773F7"/>
    <w:rsid w:val="17DC54BB"/>
    <w:rsid w:val="17E104EE"/>
    <w:rsid w:val="17E72C09"/>
    <w:rsid w:val="17ED5094"/>
    <w:rsid w:val="17EF10D7"/>
    <w:rsid w:val="17FC0ACC"/>
    <w:rsid w:val="180625B1"/>
    <w:rsid w:val="1807129E"/>
    <w:rsid w:val="18251D49"/>
    <w:rsid w:val="182757CA"/>
    <w:rsid w:val="18282DD3"/>
    <w:rsid w:val="182D69AD"/>
    <w:rsid w:val="18386669"/>
    <w:rsid w:val="1845427A"/>
    <w:rsid w:val="1860166E"/>
    <w:rsid w:val="186B60FA"/>
    <w:rsid w:val="187A7987"/>
    <w:rsid w:val="187C5CC5"/>
    <w:rsid w:val="188470C9"/>
    <w:rsid w:val="188A331D"/>
    <w:rsid w:val="188F3B64"/>
    <w:rsid w:val="18A47843"/>
    <w:rsid w:val="18B072B4"/>
    <w:rsid w:val="18BC6DCF"/>
    <w:rsid w:val="18CD55E7"/>
    <w:rsid w:val="18D30E6E"/>
    <w:rsid w:val="18D568BE"/>
    <w:rsid w:val="19132DBC"/>
    <w:rsid w:val="19231F84"/>
    <w:rsid w:val="193B416C"/>
    <w:rsid w:val="19462CB4"/>
    <w:rsid w:val="196E22DF"/>
    <w:rsid w:val="196F34AA"/>
    <w:rsid w:val="196F4E94"/>
    <w:rsid w:val="198E1DE3"/>
    <w:rsid w:val="19906F63"/>
    <w:rsid w:val="199C11B2"/>
    <w:rsid w:val="19A02AD7"/>
    <w:rsid w:val="19A6768F"/>
    <w:rsid w:val="19A95372"/>
    <w:rsid w:val="19C57860"/>
    <w:rsid w:val="19C71E29"/>
    <w:rsid w:val="19C75FCD"/>
    <w:rsid w:val="19C833DC"/>
    <w:rsid w:val="19D0657E"/>
    <w:rsid w:val="19DA36E0"/>
    <w:rsid w:val="19DD315C"/>
    <w:rsid w:val="19DE2288"/>
    <w:rsid w:val="19E26F6A"/>
    <w:rsid w:val="19E31D9D"/>
    <w:rsid w:val="19E804D0"/>
    <w:rsid w:val="19EC69D4"/>
    <w:rsid w:val="19F14504"/>
    <w:rsid w:val="19F25C88"/>
    <w:rsid w:val="19FD0DC9"/>
    <w:rsid w:val="1A081318"/>
    <w:rsid w:val="1A1E07D1"/>
    <w:rsid w:val="1A1E677A"/>
    <w:rsid w:val="1A2B7F77"/>
    <w:rsid w:val="1A473A0A"/>
    <w:rsid w:val="1A5C6CAC"/>
    <w:rsid w:val="1A756AA6"/>
    <w:rsid w:val="1A7900E8"/>
    <w:rsid w:val="1A7A5B4E"/>
    <w:rsid w:val="1A804120"/>
    <w:rsid w:val="1A8176F6"/>
    <w:rsid w:val="1A9C0403"/>
    <w:rsid w:val="1AAC2CBB"/>
    <w:rsid w:val="1AAE05B6"/>
    <w:rsid w:val="1AB82D84"/>
    <w:rsid w:val="1ABC0D01"/>
    <w:rsid w:val="1ABE5DBB"/>
    <w:rsid w:val="1AE63612"/>
    <w:rsid w:val="1AF94CC0"/>
    <w:rsid w:val="1B0433E1"/>
    <w:rsid w:val="1B0E4F84"/>
    <w:rsid w:val="1B141447"/>
    <w:rsid w:val="1B217324"/>
    <w:rsid w:val="1B267A54"/>
    <w:rsid w:val="1B5D7B73"/>
    <w:rsid w:val="1B5F6296"/>
    <w:rsid w:val="1B601E5F"/>
    <w:rsid w:val="1B6F35D2"/>
    <w:rsid w:val="1B7316B6"/>
    <w:rsid w:val="1B7451FF"/>
    <w:rsid w:val="1B79518D"/>
    <w:rsid w:val="1B7951CF"/>
    <w:rsid w:val="1B9F77CF"/>
    <w:rsid w:val="1BA03FAD"/>
    <w:rsid w:val="1BAD0EC9"/>
    <w:rsid w:val="1BC73C92"/>
    <w:rsid w:val="1BC84091"/>
    <w:rsid w:val="1BD81AE5"/>
    <w:rsid w:val="1BF510BE"/>
    <w:rsid w:val="1BF5197B"/>
    <w:rsid w:val="1C0A2394"/>
    <w:rsid w:val="1C161CA6"/>
    <w:rsid w:val="1C172B3C"/>
    <w:rsid w:val="1C370501"/>
    <w:rsid w:val="1C502905"/>
    <w:rsid w:val="1C514422"/>
    <w:rsid w:val="1C7551F6"/>
    <w:rsid w:val="1C811901"/>
    <w:rsid w:val="1C9545B0"/>
    <w:rsid w:val="1CA82357"/>
    <w:rsid w:val="1CAE5ECD"/>
    <w:rsid w:val="1CB850A1"/>
    <w:rsid w:val="1CC3484D"/>
    <w:rsid w:val="1CC35955"/>
    <w:rsid w:val="1CD767C0"/>
    <w:rsid w:val="1CDE1AC7"/>
    <w:rsid w:val="1CE20E98"/>
    <w:rsid w:val="1CE356DD"/>
    <w:rsid w:val="1CF01EEC"/>
    <w:rsid w:val="1CFF632B"/>
    <w:rsid w:val="1D047D6B"/>
    <w:rsid w:val="1D245DC7"/>
    <w:rsid w:val="1D2B5C05"/>
    <w:rsid w:val="1D39508E"/>
    <w:rsid w:val="1D4B3D03"/>
    <w:rsid w:val="1D4D5A93"/>
    <w:rsid w:val="1D4E5D5F"/>
    <w:rsid w:val="1D565A5A"/>
    <w:rsid w:val="1D754932"/>
    <w:rsid w:val="1D792AFB"/>
    <w:rsid w:val="1D980F2A"/>
    <w:rsid w:val="1DAB755C"/>
    <w:rsid w:val="1DCA41AE"/>
    <w:rsid w:val="1DCB52F0"/>
    <w:rsid w:val="1DD5026B"/>
    <w:rsid w:val="1DD63321"/>
    <w:rsid w:val="1DEA34E1"/>
    <w:rsid w:val="1DED1FEA"/>
    <w:rsid w:val="1DF81D7F"/>
    <w:rsid w:val="1E0561EB"/>
    <w:rsid w:val="1E06195E"/>
    <w:rsid w:val="1E1A4A4A"/>
    <w:rsid w:val="1E1E2588"/>
    <w:rsid w:val="1E3455D9"/>
    <w:rsid w:val="1E3608F1"/>
    <w:rsid w:val="1E3A7241"/>
    <w:rsid w:val="1E4503E2"/>
    <w:rsid w:val="1E464AB1"/>
    <w:rsid w:val="1E487D98"/>
    <w:rsid w:val="1E4B1042"/>
    <w:rsid w:val="1E5966FD"/>
    <w:rsid w:val="1E5C5A8A"/>
    <w:rsid w:val="1E635735"/>
    <w:rsid w:val="1E674934"/>
    <w:rsid w:val="1E6A6DE0"/>
    <w:rsid w:val="1E6C0347"/>
    <w:rsid w:val="1E806DE2"/>
    <w:rsid w:val="1E8C4488"/>
    <w:rsid w:val="1E9342BA"/>
    <w:rsid w:val="1E9B3EFB"/>
    <w:rsid w:val="1E9E668F"/>
    <w:rsid w:val="1EA81319"/>
    <w:rsid w:val="1EBE52E4"/>
    <w:rsid w:val="1EC02A3C"/>
    <w:rsid w:val="1EC46171"/>
    <w:rsid w:val="1ECE533F"/>
    <w:rsid w:val="1EDB6B41"/>
    <w:rsid w:val="1EF64365"/>
    <w:rsid w:val="1EF71194"/>
    <w:rsid w:val="1EF925B4"/>
    <w:rsid w:val="1F204EA9"/>
    <w:rsid w:val="1F3C6A6F"/>
    <w:rsid w:val="1F3F2BD4"/>
    <w:rsid w:val="1F476D3D"/>
    <w:rsid w:val="1F4E656C"/>
    <w:rsid w:val="1F5F7113"/>
    <w:rsid w:val="1F7A2683"/>
    <w:rsid w:val="1F8C6A0D"/>
    <w:rsid w:val="1F9A0C53"/>
    <w:rsid w:val="1FB90E64"/>
    <w:rsid w:val="1FBD6041"/>
    <w:rsid w:val="1FC16199"/>
    <w:rsid w:val="1FE05C80"/>
    <w:rsid w:val="1FEC732D"/>
    <w:rsid w:val="20033F7F"/>
    <w:rsid w:val="20044E12"/>
    <w:rsid w:val="2007713A"/>
    <w:rsid w:val="201E5C4D"/>
    <w:rsid w:val="202672B7"/>
    <w:rsid w:val="202F348A"/>
    <w:rsid w:val="203533B3"/>
    <w:rsid w:val="203D7B4E"/>
    <w:rsid w:val="203F395C"/>
    <w:rsid w:val="204235E3"/>
    <w:rsid w:val="2046367C"/>
    <w:rsid w:val="204A0167"/>
    <w:rsid w:val="204E054D"/>
    <w:rsid w:val="205B6824"/>
    <w:rsid w:val="205E222D"/>
    <w:rsid w:val="206041D8"/>
    <w:rsid w:val="20667676"/>
    <w:rsid w:val="206C32B9"/>
    <w:rsid w:val="20941DE2"/>
    <w:rsid w:val="20DB1F23"/>
    <w:rsid w:val="20E22222"/>
    <w:rsid w:val="20EB5FA4"/>
    <w:rsid w:val="2113617E"/>
    <w:rsid w:val="21192430"/>
    <w:rsid w:val="214037C6"/>
    <w:rsid w:val="214A61D0"/>
    <w:rsid w:val="214E2256"/>
    <w:rsid w:val="216D4EBB"/>
    <w:rsid w:val="216E61B7"/>
    <w:rsid w:val="216F58F9"/>
    <w:rsid w:val="218D02BC"/>
    <w:rsid w:val="21955A8E"/>
    <w:rsid w:val="21A33CC7"/>
    <w:rsid w:val="21B34242"/>
    <w:rsid w:val="21D270F2"/>
    <w:rsid w:val="21D42297"/>
    <w:rsid w:val="21E656DA"/>
    <w:rsid w:val="21EA5EBF"/>
    <w:rsid w:val="21EF1F36"/>
    <w:rsid w:val="22106188"/>
    <w:rsid w:val="221C6196"/>
    <w:rsid w:val="22257A7E"/>
    <w:rsid w:val="22441326"/>
    <w:rsid w:val="22630AFE"/>
    <w:rsid w:val="226C6A41"/>
    <w:rsid w:val="22872552"/>
    <w:rsid w:val="228E09B7"/>
    <w:rsid w:val="22A92A14"/>
    <w:rsid w:val="22A93ACD"/>
    <w:rsid w:val="22B92A81"/>
    <w:rsid w:val="22BB3DB0"/>
    <w:rsid w:val="22C0252C"/>
    <w:rsid w:val="22E51FCF"/>
    <w:rsid w:val="22F27CEF"/>
    <w:rsid w:val="22F47007"/>
    <w:rsid w:val="22F605C2"/>
    <w:rsid w:val="230A0591"/>
    <w:rsid w:val="232A365C"/>
    <w:rsid w:val="23371709"/>
    <w:rsid w:val="233B1D5C"/>
    <w:rsid w:val="233F582B"/>
    <w:rsid w:val="234D67AA"/>
    <w:rsid w:val="23514956"/>
    <w:rsid w:val="235266BE"/>
    <w:rsid w:val="235419B3"/>
    <w:rsid w:val="235F7E04"/>
    <w:rsid w:val="236B7609"/>
    <w:rsid w:val="23701FEC"/>
    <w:rsid w:val="238C4CE2"/>
    <w:rsid w:val="23A93A90"/>
    <w:rsid w:val="23B452A1"/>
    <w:rsid w:val="23BF3BC5"/>
    <w:rsid w:val="23BF6944"/>
    <w:rsid w:val="23D6232B"/>
    <w:rsid w:val="23D6451A"/>
    <w:rsid w:val="23D93C86"/>
    <w:rsid w:val="23E6478B"/>
    <w:rsid w:val="24065080"/>
    <w:rsid w:val="240C3097"/>
    <w:rsid w:val="240D76D8"/>
    <w:rsid w:val="240E5957"/>
    <w:rsid w:val="24305AB5"/>
    <w:rsid w:val="24356CB2"/>
    <w:rsid w:val="243B1909"/>
    <w:rsid w:val="243C6142"/>
    <w:rsid w:val="24617540"/>
    <w:rsid w:val="246760DF"/>
    <w:rsid w:val="246F34D3"/>
    <w:rsid w:val="247455AC"/>
    <w:rsid w:val="247918A8"/>
    <w:rsid w:val="24AD09E6"/>
    <w:rsid w:val="24B016C9"/>
    <w:rsid w:val="24B804C8"/>
    <w:rsid w:val="24BE7009"/>
    <w:rsid w:val="24D05CB7"/>
    <w:rsid w:val="24D35C48"/>
    <w:rsid w:val="24E17E30"/>
    <w:rsid w:val="24E6364B"/>
    <w:rsid w:val="24EA2CA5"/>
    <w:rsid w:val="24EA6467"/>
    <w:rsid w:val="24F13D32"/>
    <w:rsid w:val="24FD5703"/>
    <w:rsid w:val="25004A9A"/>
    <w:rsid w:val="250A1DDA"/>
    <w:rsid w:val="250A5FE8"/>
    <w:rsid w:val="251731AF"/>
    <w:rsid w:val="251A3587"/>
    <w:rsid w:val="251D0771"/>
    <w:rsid w:val="252647A9"/>
    <w:rsid w:val="25292703"/>
    <w:rsid w:val="252C1978"/>
    <w:rsid w:val="25326053"/>
    <w:rsid w:val="25331CB9"/>
    <w:rsid w:val="253554FF"/>
    <w:rsid w:val="253604AE"/>
    <w:rsid w:val="25467268"/>
    <w:rsid w:val="2552044A"/>
    <w:rsid w:val="25591B78"/>
    <w:rsid w:val="255C2793"/>
    <w:rsid w:val="25690CB9"/>
    <w:rsid w:val="258B6D6F"/>
    <w:rsid w:val="25A262B6"/>
    <w:rsid w:val="25A47CD0"/>
    <w:rsid w:val="25A54BB6"/>
    <w:rsid w:val="25BB17B6"/>
    <w:rsid w:val="25C90DA6"/>
    <w:rsid w:val="25DA1CE8"/>
    <w:rsid w:val="25F53321"/>
    <w:rsid w:val="25F9101A"/>
    <w:rsid w:val="25FF6E63"/>
    <w:rsid w:val="26207A88"/>
    <w:rsid w:val="26353F04"/>
    <w:rsid w:val="26432452"/>
    <w:rsid w:val="26647C45"/>
    <w:rsid w:val="26890700"/>
    <w:rsid w:val="26920F16"/>
    <w:rsid w:val="269B4CA6"/>
    <w:rsid w:val="26AF0400"/>
    <w:rsid w:val="26BB0FB5"/>
    <w:rsid w:val="26BC45E7"/>
    <w:rsid w:val="26C61C98"/>
    <w:rsid w:val="26CC3869"/>
    <w:rsid w:val="26D62EF0"/>
    <w:rsid w:val="26EA17E5"/>
    <w:rsid w:val="26EA65A5"/>
    <w:rsid w:val="272012FE"/>
    <w:rsid w:val="272327ED"/>
    <w:rsid w:val="27250A22"/>
    <w:rsid w:val="273A7D75"/>
    <w:rsid w:val="275346EB"/>
    <w:rsid w:val="27534701"/>
    <w:rsid w:val="27544493"/>
    <w:rsid w:val="27582595"/>
    <w:rsid w:val="27655331"/>
    <w:rsid w:val="27896154"/>
    <w:rsid w:val="27CC3A3C"/>
    <w:rsid w:val="27CE52EC"/>
    <w:rsid w:val="27DB21EA"/>
    <w:rsid w:val="27DD178B"/>
    <w:rsid w:val="27E21865"/>
    <w:rsid w:val="27E868C0"/>
    <w:rsid w:val="27F131E8"/>
    <w:rsid w:val="281A560D"/>
    <w:rsid w:val="282B37F7"/>
    <w:rsid w:val="28490CC5"/>
    <w:rsid w:val="28573958"/>
    <w:rsid w:val="28645A64"/>
    <w:rsid w:val="286F7347"/>
    <w:rsid w:val="287F659F"/>
    <w:rsid w:val="289D3BDA"/>
    <w:rsid w:val="289E7ABE"/>
    <w:rsid w:val="28B068FD"/>
    <w:rsid w:val="28BE54F1"/>
    <w:rsid w:val="28D370DE"/>
    <w:rsid w:val="28EE49B4"/>
    <w:rsid w:val="28F16672"/>
    <w:rsid w:val="28FB30F3"/>
    <w:rsid w:val="29043DD3"/>
    <w:rsid w:val="290576ED"/>
    <w:rsid w:val="29082F2F"/>
    <w:rsid w:val="291C6D5D"/>
    <w:rsid w:val="292F30AE"/>
    <w:rsid w:val="293173F2"/>
    <w:rsid w:val="29337FF9"/>
    <w:rsid w:val="2938694B"/>
    <w:rsid w:val="293A38E9"/>
    <w:rsid w:val="294C0340"/>
    <w:rsid w:val="295264B1"/>
    <w:rsid w:val="296B7439"/>
    <w:rsid w:val="296C2E69"/>
    <w:rsid w:val="297E3EB6"/>
    <w:rsid w:val="29825FDF"/>
    <w:rsid w:val="29960882"/>
    <w:rsid w:val="2999193A"/>
    <w:rsid w:val="299A6CEC"/>
    <w:rsid w:val="29A50FFD"/>
    <w:rsid w:val="29A66B20"/>
    <w:rsid w:val="29BE18F5"/>
    <w:rsid w:val="29D13391"/>
    <w:rsid w:val="29D47367"/>
    <w:rsid w:val="29E75019"/>
    <w:rsid w:val="29EC6648"/>
    <w:rsid w:val="29FB6949"/>
    <w:rsid w:val="29FD4FED"/>
    <w:rsid w:val="2A012E3B"/>
    <w:rsid w:val="2A0D2C2B"/>
    <w:rsid w:val="2A2F54C5"/>
    <w:rsid w:val="2A38053E"/>
    <w:rsid w:val="2A526D76"/>
    <w:rsid w:val="2A5D1316"/>
    <w:rsid w:val="2A623794"/>
    <w:rsid w:val="2A712F55"/>
    <w:rsid w:val="2A727FB3"/>
    <w:rsid w:val="2A76060F"/>
    <w:rsid w:val="2A770777"/>
    <w:rsid w:val="2A9632EB"/>
    <w:rsid w:val="2A9E4FF8"/>
    <w:rsid w:val="2ABB4965"/>
    <w:rsid w:val="2AC867BD"/>
    <w:rsid w:val="2AF1525E"/>
    <w:rsid w:val="2AF22B98"/>
    <w:rsid w:val="2B0739A7"/>
    <w:rsid w:val="2B0E3049"/>
    <w:rsid w:val="2B356445"/>
    <w:rsid w:val="2B444FDC"/>
    <w:rsid w:val="2B6C319F"/>
    <w:rsid w:val="2B7A30F5"/>
    <w:rsid w:val="2B7C3418"/>
    <w:rsid w:val="2B833A94"/>
    <w:rsid w:val="2B8E3094"/>
    <w:rsid w:val="2B907184"/>
    <w:rsid w:val="2B921F24"/>
    <w:rsid w:val="2B970DE0"/>
    <w:rsid w:val="2B9E382A"/>
    <w:rsid w:val="2B9F0EF5"/>
    <w:rsid w:val="2BA62F9F"/>
    <w:rsid w:val="2BA8556C"/>
    <w:rsid w:val="2BAB72C3"/>
    <w:rsid w:val="2BAE50A7"/>
    <w:rsid w:val="2BB61BD0"/>
    <w:rsid w:val="2BBC643D"/>
    <w:rsid w:val="2BC75161"/>
    <w:rsid w:val="2BEF05B2"/>
    <w:rsid w:val="2BF942AA"/>
    <w:rsid w:val="2C3464EA"/>
    <w:rsid w:val="2C372417"/>
    <w:rsid w:val="2C553E10"/>
    <w:rsid w:val="2C58247C"/>
    <w:rsid w:val="2C63006B"/>
    <w:rsid w:val="2C8F0C17"/>
    <w:rsid w:val="2C9B7D55"/>
    <w:rsid w:val="2C9F34F2"/>
    <w:rsid w:val="2CA40F2B"/>
    <w:rsid w:val="2CB5010E"/>
    <w:rsid w:val="2CCA6FAF"/>
    <w:rsid w:val="2CCD0B9B"/>
    <w:rsid w:val="2CCF5514"/>
    <w:rsid w:val="2CD90005"/>
    <w:rsid w:val="2CFF3923"/>
    <w:rsid w:val="2D045637"/>
    <w:rsid w:val="2D1A0A24"/>
    <w:rsid w:val="2D252A00"/>
    <w:rsid w:val="2D271208"/>
    <w:rsid w:val="2D5B0571"/>
    <w:rsid w:val="2D5C1104"/>
    <w:rsid w:val="2D7B3CD6"/>
    <w:rsid w:val="2D7C79D6"/>
    <w:rsid w:val="2D8309E4"/>
    <w:rsid w:val="2D846B02"/>
    <w:rsid w:val="2D8E0D80"/>
    <w:rsid w:val="2D940CF3"/>
    <w:rsid w:val="2D950B93"/>
    <w:rsid w:val="2D9A3D17"/>
    <w:rsid w:val="2D9E24B8"/>
    <w:rsid w:val="2DA24672"/>
    <w:rsid w:val="2DAF53B9"/>
    <w:rsid w:val="2DB2776C"/>
    <w:rsid w:val="2DB322EF"/>
    <w:rsid w:val="2DBF6779"/>
    <w:rsid w:val="2DC255E4"/>
    <w:rsid w:val="2DDA521F"/>
    <w:rsid w:val="2DDE6C74"/>
    <w:rsid w:val="2DFA4621"/>
    <w:rsid w:val="2E06706D"/>
    <w:rsid w:val="2E1135A2"/>
    <w:rsid w:val="2E1A0080"/>
    <w:rsid w:val="2E1C3FC2"/>
    <w:rsid w:val="2E3B39E0"/>
    <w:rsid w:val="2E3F5D9E"/>
    <w:rsid w:val="2E956FF8"/>
    <w:rsid w:val="2E977130"/>
    <w:rsid w:val="2EA465DC"/>
    <w:rsid w:val="2EBD2130"/>
    <w:rsid w:val="2ED215E3"/>
    <w:rsid w:val="2ED34C33"/>
    <w:rsid w:val="2ED76F45"/>
    <w:rsid w:val="2EDE35B0"/>
    <w:rsid w:val="2EE62234"/>
    <w:rsid w:val="2EEA10A6"/>
    <w:rsid w:val="2EFD4EC1"/>
    <w:rsid w:val="2F1B7921"/>
    <w:rsid w:val="2F393F98"/>
    <w:rsid w:val="2F3A232A"/>
    <w:rsid w:val="2F3B667F"/>
    <w:rsid w:val="2F466A48"/>
    <w:rsid w:val="2F4E1C30"/>
    <w:rsid w:val="2F4F212E"/>
    <w:rsid w:val="2F546447"/>
    <w:rsid w:val="2F5729E1"/>
    <w:rsid w:val="2F5D6D83"/>
    <w:rsid w:val="2F6739CC"/>
    <w:rsid w:val="2F6B12B2"/>
    <w:rsid w:val="2F830AEE"/>
    <w:rsid w:val="2F8C1696"/>
    <w:rsid w:val="2F9173B4"/>
    <w:rsid w:val="2FA93803"/>
    <w:rsid w:val="2FAD77C4"/>
    <w:rsid w:val="2FB433BB"/>
    <w:rsid w:val="2FB71108"/>
    <w:rsid w:val="2FC13AEA"/>
    <w:rsid w:val="2FCF2BED"/>
    <w:rsid w:val="2FDD1767"/>
    <w:rsid w:val="302E350E"/>
    <w:rsid w:val="30631B49"/>
    <w:rsid w:val="307100A3"/>
    <w:rsid w:val="30784B00"/>
    <w:rsid w:val="307860AD"/>
    <w:rsid w:val="307E6CCC"/>
    <w:rsid w:val="30931113"/>
    <w:rsid w:val="309832E2"/>
    <w:rsid w:val="30A605F5"/>
    <w:rsid w:val="30A83EF5"/>
    <w:rsid w:val="30AE27DA"/>
    <w:rsid w:val="30BE628B"/>
    <w:rsid w:val="30CE6D3B"/>
    <w:rsid w:val="30DA5027"/>
    <w:rsid w:val="30E272BA"/>
    <w:rsid w:val="30E86FE1"/>
    <w:rsid w:val="31025737"/>
    <w:rsid w:val="31104375"/>
    <w:rsid w:val="31141F11"/>
    <w:rsid w:val="311B6B87"/>
    <w:rsid w:val="3127372E"/>
    <w:rsid w:val="31335D5C"/>
    <w:rsid w:val="31412BCC"/>
    <w:rsid w:val="3153501A"/>
    <w:rsid w:val="316C5B47"/>
    <w:rsid w:val="316D7761"/>
    <w:rsid w:val="31A139BC"/>
    <w:rsid w:val="31B378B4"/>
    <w:rsid w:val="31C538A8"/>
    <w:rsid w:val="31D90F51"/>
    <w:rsid w:val="31DD64C8"/>
    <w:rsid w:val="31DE710A"/>
    <w:rsid w:val="31E038D6"/>
    <w:rsid w:val="31E47BCF"/>
    <w:rsid w:val="31E944BB"/>
    <w:rsid w:val="31EC6A1C"/>
    <w:rsid w:val="31EE06B6"/>
    <w:rsid w:val="31F1550F"/>
    <w:rsid w:val="31F82558"/>
    <w:rsid w:val="32025AFB"/>
    <w:rsid w:val="32032D95"/>
    <w:rsid w:val="32050A2D"/>
    <w:rsid w:val="32066E34"/>
    <w:rsid w:val="321A0D7A"/>
    <w:rsid w:val="322040CC"/>
    <w:rsid w:val="322A6170"/>
    <w:rsid w:val="32422609"/>
    <w:rsid w:val="32485FBE"/>
    <w:rsid w:val="32585E12"/>
    <w:rsid w:val="325D57AE"/>
    <w:rsid w:val="327007E8"/>
    <w:rsid w:val="32851872"/>
    <w:rsid w:val="32890D78"/>
    <w:rsid w:val="328F162C"/>
    <w:rsid w:val="329A3BF6"/>
    <w:rsid w:val="32A01C3C"/>
    <w:rsid w:val="32A16555"/>
    <w:rsid w:val="32A52BE2"/>
    <w:rsid w:val="32A619BE"/>
    <w:rsid w:val="32B26E10"/>
    <w:rsid w:val="32BF69AB"/>
    <w:rsid w:val="32C31F0A"/>
    <w:rsid w:val="32C430E7"/>
    <w:rsid w:val="32CB54C5"/>
    <w:rsid w:val="32D6557C"/>
    <w:rsid w:val="32D90D4F"/>
    <w:rsid w:val="32DA195F"/>
    <w:rsid w:val="32DD2D7E"/>
    <w:rsid w:val="32E4281F"/>
    <w:rsid w:val="32E72A14"/>
    <w:rsid w:val="32EA289B"/>
    <w:rsid w:val="32EB0993"/>
    <w:rsid w:val="32EF7E1C"/>
    <w:rsid w:val="32F053C8"/>
    <w:rsid w:val="32F81814"/>
    <w:rsid w:val="32F81988"/>
    <w:rsid w:val="32FA05E8"/>
    <w:rsid w:val="33011F9F"/>
    <w:rsid w:val="330148CA"/>
    <w:rsid w:val="33032C6C"/>
    <w:rsid w:val="33040F8B"/>
    <w:rsid w:val="331729C2"/>
    <w:rsid w:val="33182F84"/>
    <w:rsid w:val="331D4A88"/>
    <w:rsid w:val="332F523C"/>
    <w:rsid w:val="333900D3"/>
    <w:rsid w:val="333B5094"/>
    <w:rsid w:val="333C0EF1"/>
    <w:rsid w:val="33421C25"/>
    <w:rsid w:val="334D114A"/>
    <w:rsid w:val="335C04D1"/>
    <w:rsid w:val="3376143E"/>
    <w:rsid w:val="33A72C4E"/>
    <w:rsid w:val="33B015C6"/>
    <w:rsid w:val="33B27BDD"/>
    <w:rsid w:val="33B92BAD"/>
    <w:rsid w:val="33D5031D"/>
    <w:rsid w:val="33E05E48"/>
    <w:rsid w:val="33E6043F"/>
    <w:rsid w:val="33EB51C2"/>
    <w:rsid w:val="33EF2F24"/>
    <w:rsid w:val="33F076BF"/>
    <w:rsid w:val="33F512E2"/>
    <w:rsid w:val="33FA4C57"/>
    <w:rsid w:val="33FD7727"/>
    <w:rsid w:val="33FF2390"/>
    <w:rsid w:val="34185A64"/>
    <w:rsid w:val="341F672C"/>
    <w:rsid w:val="342A40E0"/>
    <w:rsid w:val="34312FEC"/>
    <w:rsid w:val="34350B30"/>
    <w:rsid w:val="34573D30"/>
    <w:rsid w:val="345E3491"/>
    <w:rsid w:val="34603692"/>
    <w:rsid w:val="347C5DAE"/>
    <w:rsid w:val="3481524F"/>
    <w:rsid w:val="348509BB"/>
    <w:rsid w:val="3498075E"/>
    <w:rsid w:val="349B3FE0"/>
    <w:rsid w:val="349F3B13"/>
    <w:rsid w:val="34B01294"/>
    <w:rsid w:val="34B162E0"/>
    <w:rsid w:val="34BA1467"/>
    <w:rsid w:val="34D571E2"/>
    <w:rsid w:val="34D903F5"/>
    <w:rsid w:val="34F24F46"/>
    <w:rsid w:val="34F33A7D"/>
    <w:rsid w:val="34F428FD"/>
    <w:rsid w:val="35004125"/>
    <w:rsid w:val="350A3962"/>
    <w:rsid w:val="351C4115"/>
    <w:rsid w:val="35295ECF"/>
    <w:rsid w:val="35334600"/>
    <w:rsid w:val="35626C87"/>
    <w:rsid w:val="35650454"/>
    <w:rsid w:val="3569377D"/>
    <w:rsid w:val="35707D1F"/>
    <w:rsid w:val="35883257"/>
    <w:rsid w:val="3594492B"/>
    <w:rsid w:val="35981879"/>
    <w:rsid w:val="359B4A17"/>
    <w:rsid w:val="35A20C52"/>
    <w:rsid w:val="35A95DEE"/>
    <w:rsid w:val="35AD5AEB"/>
    <w:rsid w:val="35AE3538"/>
    <w:rsid w:val="35B3758E"/>
    <w:rsid w:val="35BD65A6"/>
    <w:rsid w:val="35C458A5"/>
    <w:rsid w:val="35DD1E4F"/>
    <w:rsid w:val="35E225D0"/>
    <w:rsid w:val="360908C5"/>
    <w:rsid w:val="360A31E9"/>
    <w:rsid w:val="360B63A0"/>
    <w:rsid w:val="361004C9"/>
    <w:rsid w:val="3618394C"/>
    <w:rsid w:val="362C76BB"/>
    <w:rsid w:val="36477D59"/>
    <w:rsid w:val="365332C5"/>
    <w:rsid w:val="36615E05"/>
    <w:rsid w:val="366E4D55"/>
    <w:rsid w:val="36807448"/>
    <w:rsid w:val="36990146"/>
    <w:rsid w:val="36994708"/>
    <w:rsid w:val="36B410AB"/>
    <w:rsid w:val="36B9317E"/>
    <w:rsid w:val="36BA00E3"/>
    <w:rsid w:val="36BA0582"/>
    <w:rsid w:val="36DF4707"/>
    <w:rsid w:val="36E622BF"/>
    <w:rsid w:val="36F817EA"/>
    <w:rsid w:val="36FA3887"/>
    <w:rsid w:val="370700E6"/>
    <w:rsid w:val="37082843"/>
    <w:rsid w:val="370E620C"/>
    <w:rsid w:val="37204160"/>
    <w:rsid w:val="37220771"/>
    <w:rsid w:val="372B5309"/>
    <w:rsid w:val="3741516F"/>
    <w:rsid w:val="374F05B0"/>
    <w:rsid w:val="375D13C6"/>
    <w:rsid w:val="375D3D2E"/>
    <w:rsid w:val="376019D3"/>
    <w:rsid w:val="37635EAB"/>
    <w:rsid w:val="37854C46"/>
    <w:rsid w:val="37883E07"/>
    <w:rsid w:val="37895EEC"/>
    <w:rsid w:val="378F306A"/>
    <w:rsid w:val="378F4B98"/>
    <w:rsid w:val="37943EA2"/>
    <w:rsid w:val="37A5188E"/>
    <w:rsid w:val="37A96603"/>
    <w:rsid w:val="37AD12B8"/>
    <w:rsid w:val="37B11A0A"/>
    <w:rsid w:val="37BB2B88"/>
    <w:rsid w:val="37E0504F"/>
    <w:rsid w:val="37EB7B2F"/>
    <w:rsid w:val="3801126E"/>
    <w:rsid w:val="38264B61"/>
    <w:rsid w:val="382B0EE3"/>
    <w:rsid w:val="384169B8"/>
    <w:rsid w:val="3855771C"/>
    <w:rsid w:val="38684D60"/>
    <w:rsid w:val="38A67B67"/>
    <w:rsid w:val="38A717F3"/>
    <w:rsid w:val="38A95B2F"/>
    <w:rsid w:val="38BF3269"/>
    <w:rsid w:val="38E708A3"/>
    <w:rsid w:val="38E8320B"/>
    <w:rsid w:val="38EB7E96"/>
    <w:rsid w:val="392003AA"/>
    <w:rsid w:val="392E230B"/>
    <w:rsid w:val="394319DD"/>
    <w:rsid w:val="394B6AC2"/>
    <w:rsid w:val="395202D0"/>
    <w:rsid w:val="3960605C"/>
    <w:rsid w:val="39625A82"/>
    <w:rsid w:val="396A6F0D"/>
    <w:rsid w:val="399F4CE5"/>
    <w:rsid w:val="39AB25F5"/>
    <w:rsid w:val="39B4599B"/>
    <w:rsid w:val="39B83559"/>
    <w:rsid w:val="39D63BA2"/>
    <w:rsid w:val="39DD7B40"/>
    <w:rsid w:val="39E91581"/>
    <w:rsid w:val="39EE2C4B"/>
    <w:rsid w:val="3A0E7EDB"/>
    <w:rsid w:val="3A15327D"/>
    <w:rsid w:val="3A154FB9"/>
    <w:rsid w:val="3A1C1C45"/>
    <w:rsid w:val="3A277E5F"/>
    <w:rsid w:val="3A362693"/>
    <w:rsid w:val="3A3E5578"/>
    <w:rsid w:val="3A4B779C"/>
    <w:rsid w:val="3A582122"/>
    <w:rsid w:val="3A6E781D"/>
    <w:rsid w:val="3A737138"/>
    <w:rsid w:val="3A880F57"/>
    <w:rsid w:val="3A8B6CF7"/>
    <w:rsid w:val="3A9043EA"/>
    <w:rsid w:val="3A967793"/>
    <w:rsid w:val="3A9721AC"/>
    <w:rsid w:val="3AA706E2"/>
    <w:rsid w:val="3AAC782D"/>
    <w:rsid w:val="3AAF226F"/>
    <w:rsid w:val="3AB3071C"/>
    <w:rsid w:val="3AB7508C"/>
    <w:rsid w:val="3AC03AFF"/>
    <w:rsid w:val="3AD352A3"/>
    <w:rsid w:val="3ADB2E2C"/>
    <w:rsid w:val="3AE461A1"/>
    <w:rsid w:val="3AE80E56"/>
    <w:rsid w:val="3AEA64B7"/>
    <w:rsid w:val="3AF47CD8"/>
    <w:rsid w:val="3AFB75CB"/>
    <w:rsid w:val="3B000B78"/>
    <w:rsid w:val="3B0B0079"/>
    <w:rsid w:val="3B1333D8"/>
    <w:rsid w:val="3B2E099E"/>
    <w:rsid w:val="3B387E49"/>
    <w:rsid w:val="3B537BBF"/>
    <w:rsid w:val="3B546D75"/>
    <w:rsid w:val="3B5D5D03"/>
    <w:rsid w:val="3B6F74D8"/>
    <w:rsid w:val="3B831F4C"/>
    <w:rsid w:val="3B8476E2"/>
    <w:rsid w:val="3B933BB1"/>
    <w:rsid w:val="3BA77552"/>
    <w:rsid w:val="3BB533A9"/>
    <w:rsid w:val="3BBD2DAB"/>
    <w:rsid w:val="3BBD7979"/>
    <w:rsid w:val="3BC40DB4"/>
    <w:rsid w:val="3BC4119F"/>
    <w:rsid w:val="3BD64539"/>
    <w:rsid w:val="3BD7741E"/>
    <w:rsid w:val="3BE73FD0"/>
    <w:rsid w:val="3C032FAA"/>
    <w:rsid w:val="3C0975D7"/>
    <w:rsid w:val="3C0A0E48"/>
    <w:rsid w:val="3C2C63AD"/>
    <w:rsid w:val="3C2E2F99"/>
    <w:rsid w:val="3C39400C"/>
    <w:rsid w:val="3C3B0AE0"/>
    <w:rsid w:val="3C401B17"/>
    <w:rsid w:val="3C4F45B9"/>
    <w:rsid w:val="3C551D8D"/>
    <w:rsid w:val="3C692E7C"/>
    <w:rsid w:val="3C7D49BA"/>
    <w:rsid w:val="3C7F268E"/>
    <w:rsid w:val="3C9079CC"/>
    <w:rsid w:val="3C9B4135"/>
    <w:rsid w:val="3C9D3306"/>
    <w:rsid w:val="3CB12314"/>
    <w:rsid w:val="3CB71A58"/>
    <w:rsid w:val="3D023B3C"/>
    <w:rsid w:val="3D0732DC"/>
    <w:rsid w:val="3D185252"/>
    <w:rsid w:val="3D271B04"/>
    <w:rsid w:val="3D283BC5"/>
    <w:rsid w:val="3D314A9E"/>
    <w:rsid w:val="3D324393"/>
    <w:rsid w:val="3D347C66"/>
    <w:rsid w:val="3D3C24D0"/>
    <w:rsid w:val="3D4245F4"/>
    <w:rsid w:val="3D433842"/>
    <w:rsid w:val="3D720F07"/>
    <w:rsid w:val="3D823B1E"/>
    <w:rsid w:val="3D973BEB"/>
    <w:rsid w:val="3D9D0A9C"/>
    <w:rsid w:val="3DC57103"/>
    <w:rsid w:val="3DC62FD5"/>
    <w:rsid w:val="3DD46EF7"/>
    <w:rsid w:val="3DF3557F"/>
    <w:rsid w:val="3DFB4C6F"/>
    <w:rsid w:val="3E1E22BC"/>
    <w:rsid w:val="3E266C8B"/>
    <w:rsid w:val="3E2760D3"/>
    <w:rsid w:val="3E385A78"/>
    <w:rsid w:val="3E385C0D"/>
    <w:rsid w:val="3E463BB8"/>
    <w:rsid w:val="3E510229"/>
    <w:rsid w:val="3E51125F"/>
    <w:rsid w:val="3E5B2F1D"/>
    <w:rsid w:val="3E6857C4"/>
    <w:rsid w:val="3E69698F"/>
    <w:rsid w:val="3E765260"/>
    <w:rsid w:val="3E8B00EF"/>
    <w:rsid w:val="3E9A1458"/>
    <w:rsid w:val="3E9E26AF"/>
    <w:rsid w:val="3EA25CFF"/>
    <w:rsid w:val="3EB72C67"/>
    <w:rsid w:val="3EBA1B25"/>
    <w:rsid w:val="3EBB12DE"/>
    <w:rsid w:val="3ECB10CF"/>
    <w:rsid w:val="3ECB7799"/>
    <w:rsid w:val="3ECC795F"/>
    <w:rsid w:val="3ED22EBA"/>
    <w:rsid w:val="3EE1021C"/>
    <w:rsid w:val="3EE63AE9"/>
    <w:rsid w:val="3EE65CBF"/>
    <w:rsid w:val="3F15090F"/>
    <w:rsid w:val="3F4C155F"/>
    <w:rsid w:val="3F532150"/>
    <w:rsid w:val="3F543ABA"/>
    <w:rsid w:val="3F5711F2"/>
    <w:rsid w:val="3F635B6B"/>
    <w:rsid w:val="3F6C1982"/>
    <w:rsid w:val="3F95686E"/>
    <w:rsid w:val="3F9828FD"/>
    <w:rsid w:val="3FBC7210"/>
    <w:rsid w:val="3FBF3AA2"/>
    <w:rsid w:val="3FC23C92"/>
    <w:rsid w:val="3FDD116B"/>
    <w:rsid w:val="3FF13922"/>
    <w:rsid w:val="3FFC5BC4"/>
    <w:rsid w:val="400E3515"/>
    <w:rsid w:val="400E7532"/>
    <w:rsid w:val="401C73E9"/>
    <w:rsid w:val="40267D8E"/>
    <w:rsid w:val="402C3DD7"/>
    <w:rsid w:val="40382BCC"/>
    <w:rsid w:val="403B0B1D"/>
    <w:rsid w:val="40474EE4"/>
    <w:rsid w:val="4067744E"/>
    <w:rsid w:val="4079565C"/>
    <w:rsid w:val="407A0614"/>
    <w:rsid w:val="407D70E7"/>
    <w:rsid w:val="40841DB0"/>
    <w:rsid w:val="40945E2B"/>
    <w:rsid w:val="409B1752"/>
    <w:rsid w:val="40A47BC2"/>
    <w:rsid w:val="40A74787"/>
    <w:rsid w:val="40B64E3E"/>
    <w:rsid w:val="40CD32BC"/>
    <w:rsid w:val="40D10751"/>
    <w:rsid w:val="40D35BD4"/>
    <w:rsid w:val="40E631BD"/>
    <w:rsid w:val="40F11CD0"/>
    <w:rsid w:val="40F969FC"/>
    <w:rsid w:val="41027943"/>
    <w:rsid w:val="41084A3F"/>
    <w:rsid w:val="411C44CB"/>
    <w:rsid w:val="4121353A"/>
    <w:rsid w:val="412D4F08"/>
    <w:rsid w:val="41341585"/>
    <w:rsid w:val="414337A0"/>
    <w:rsid w:val="414A346E"/>
    <w:rsid w:val="416B4744"/>
    <w:rsid w:val="416B585C"/>
    <w:rsid w:val="417219C0"/>
    <w:rsid w:val="417F220B"/>
    <w:rsid w:val="4198236F"/>
    <w:rsid w:val="41A2536B"/>
    <w:rsid w:val="41A427A3"/>
    <w:rsid w:val="41B621CF"/>
    <w:rsid w:val="41B77634"/>
    <w:rsid w:val="41D733E5"/>
    <w:rsid w:val="41DA6B97"/>
    <w:rsid w:val="41DF2AEE"/>
    <w:rsid w:val="41E01632"/>
    <w:rsid w:val="41E35B57"/>
    <w:rsid w:val="41EE5246"/>
    <w:rsid w:val="420C6FB2"/>
    <w:rsid w:val="42132DC6"/>
    <w:rsid w:val="4216331A"/>
    <w:rsid w:val="423D2C52"/>
    <w:rsid w:val="424D5404"/>
    <w:rsid w:val="424E6925"/>
    <w:rsid w:val="425075AF"/>
    <w:rsid w:val="42577226"/>
    <w:rsid w:val="425B469E"/>
    <w:rsid w:val="4267386E"/>
    <w:rsid w:val="42716F5E"/>
    <w:rsid w:val="42757283"/>
    <w:rsid w:val="42806BEC"/>
    <w:rsid w:val="429D49DE"/>
    <w:rsid w:val="42BE4F76"/>
    <w:rsid w:val="42C11252"/>
    <w:rsid w:val="42CB4C5F"/>
    <w:rsid w:val="42CF74A9"/>
    <w:rsid w:val="42D519AC"/>
    <w:rsid w:val="42DC78A2"/>
    <w:rsid w:val="42E845AD"/>
    <w:rsid w:val="42F449F9"/>
    <w:rsid w:val="4303205F"/>
    <w:rsid w:val="43115DD3"/>
    <w:rsid w:val="434066A2"/>
    <w:rsid w:val="434250DE"/>
    <w:rsid w:val="43625E59"/>
    <w:rsid w:val="43653C98"/>
    <w:rsid w:val="43A375CE"/>
    <w:rsid w:val="43A530FE"/>
    <w:rsid w:val="43B836AA"/>
    <w:rsid w:val="43CB164D"/>
    <w:rsid w:val="43D46D36"/>
    <w:rsid w:val="43DD0912"/>
    <w:rsid w:val="43DD2DB9"/>
    <w:rsid w:val="43E91F20"/>
    <w:rsid w:val="43F25407"/>
    <w:rsid w:val="43FA34D8"/>
    <w:rsid w:val="440617F2"/>
    <w:rsid w:val="441F2CE6"/>
    <w:rsid w:val="4420334A"/>
    <w:rsid w:val="446B5263"/>
    <w:rsid w:val="446D03BF"/>
    <w:rsid w:val="448805B9"/>
    <w:rsid w:val="448F475A"/>
    <w:rsid w:val="44950494"/>
    <w:rsid w:val="449546F2"/>
    <w:rsid w:val="44AC25F1"/>
    <w:rsid w:val="44B861B7"/>
    <w:rsid w:val="44BA370D"/>
    <w:rsid w:val="44BD2AEA"/>
    <w:rsid w:val="44BE3408"/>
    <w:rsid w:val="44CA1984"/>
    <w:rsid w:val="44D11071"/>
    <w:rsid w:val="44D6598F"/>
    <w:rsid w:val="44E11D77"/>
    <w:rsid w:val="450A18EB"/>
    <w:rsid w:val="450D750F"/>
    <w:rsid w:val="451D201E"/>
    <w:rsid w:val="45260D46"/>
    <w:rsid w:val="45403199"/>
    <w:rsid w:val="45434942"/>
    <w:rsid w:val="455A6C52"/>
    <w:rsid w:val="45645A62"/>
    <w:rsid w:val="45684BA8"/>
    <w:rsid w:val="458D6027"/>
    <w:rsid w:val="45917F4C"/>
    <w:rsid w:val="45935AEF"/>
    <w:rsid w:val="45A9189F"/>
    <w:rsid w:val="45AB0F84"/>
    <w:rsid w:val="45AC0B73"/>
    <w:rsid w:val="45C55A0E"/>
    <w:rsid w:val="45D73973"/>
    <w:rsid w:val="45E97EC0"/>
    <w:rsid w:val="45EA48A0"/>
    <w:rsid w:val="45F2245D"/>
    <w:rsid w:val="45F2569D"/>
    <w:rsid w:val="45FC54AE"/>
    <w:rsid w:val="4631666F"/>
    <w:rsid w:val="46390881"/>
    <w:rsid w:val="46435311"/>
    <w:rsid w:val="46540AFF"/>
    <w:rsid w:val="465950BA"/>
    <w:rsid w:val="467B0053"/>
    <w:rsid w:val="468A6331"/>
    <w:rsid w:val="469D1267"/>
    <w:rsid w:val="46AE3B1E"/>
    <w:rsid w:val="46B12CDB"/>
    <w:rsid w:val="46B91F26"/>
    <w:rsid w:val="46BF773B"/>
    <w:rsid w:val="46F03EF8"/>
    <w:rsid w:val="46F21CD1"/>
    <w:rsid w:val="470000E2"/>
    <w:rsid w:val="47016A25"/>
    <w:rsid w:val="47076C06"/>
    <w:rsid w:val="47137788"/>
    <w:rsid w:val="4715276D"/>
    <w:rsid w:val="47256125"/>
    <w:rsid w:val="472D1847"/>
    <w:rsid w:val="474E29C8"/>
    <w:rsid w:val="474E6020"/>
    <w:rsid w:val="475F2963"/>
    <w:rsid w:val="475F4743"/>
    <w:rsid w:val="476513C5"/>
    <w:rsid w:val="478D5986"/>
    <w:rsid w:val="4791705C"/>
    <w:rsid w:val="47935219"/>
    <w:rsid w:val="479B2F25"/>
    <w:rsid w:val="47C9673C"/>
    <w:rsid w:val="47CC1D1C"/>
    <w:rsid w:val="47DA19E2"/>
    <w:rsid w:val="47EF13CA"/>
    <w:rsid w:val="48014065"/>
    <w:rsid w:val="48087DA8"/>
    <w:rsid w:val="480A1F47"/>
    <w:rsid w:val="4826468A"/>
    <w:rsid w:val="485C4D4F"/>
    <w:rsid w:val="48632B3C"/>
    <w:rsid w:val="486E2F78"/>
    <w:rsid w:val="4875501E"/>
    <w:rsid w:val="48786D3D"/>
    <w:rsid w:val="487E35D4"/>
    <w:rsid w:val="489302A3"/>
    <w:rsid w:val="48931799"/>
    <w:rsid w:val="48942552"/>
    <w:rsid w:val="4896447E"/>
    <w:rsid w:val="48A04A19"/>
    <w:rsid w:val="48AC1F5E"/>
    <w:rsid w:val="48AC61D8"/>
    <w:rsid w:val="48B16848"/>
    <w:rsid w:val="48BC2B40"/>
    <w:rsid w:val="48C1701C"/>
    <w:rsid w:val="48C9510E"/>
    <w:rsid w:val="48E74B46"/>
    <w:rsid w:val="48EE2F0A"/>
    <w:rsid w:val="48F34DFF"/>
    <w:rsid w:val="490260FB"/>
    <w:rsid w:val="49091D14"/>
    <w:rsid w:val="490E1005"/>
    <w:rsid w:val="491221FA"/>
    <w:rsid w:val="491633B3"/>
    <w:rsid w:val="49332B9D"/>
    <w:rsid w:val="494628C4"/>
    <w:rsid w:val="49570150"/>
    <w:rsid w:val="495930FA"/>
    <w:rsid w:val="49626727"/>
    <w:rsid w:val="498A2D93"/>
    <w:rsid w:val="498A448F"/>
    <w:rsid w:val="49950EDE"/>
    <w:rsid w:val="499819EF"/>
    <w:rsid w:val="49AC1B59"/>
    <w:rsid w:val="49AC750C"/>
    <w:rsid w:val="49C50D39"/>
    <w:rsid w:val="49FE0C57"/>
    <w:rsid w:val="4A0714CC"/>
    <w:rsid w:val="4A0C47F4"/>
    <w:rsid w:val="4A334FAF"/>
    <w:rsid w:val="4A4315DF"/>
    <w:rsid w:val="4A7776F8"/>
    <w:rsid w:val="4A992887"/>
    <w:rsid w:val="4ABA5543"/>
    <w:rsid w:val="4AC20F97"/>
    <w:rsid w:val="4AC54C7C"/>
    <w:rsid w:val="4AD0695C"/>
    <w:rsid w:val="4AD53FD3"/>
    <w:rsid w:val="4AF0448B"/>
    <w:rsid w:val="4AFD68DA"/>
    <w:rsid w:val="4B056E95"/>
    <w:rsid w:val="4B0C3A0B"/>
    <w:rsid w:val="4B213D10"/>
    <w:rsid w:val="4B2C42C5"/>
    <w:rsid w:val="4B3A6678"/>
    <w:rsid w:val="4B3F30FC"/>
    <w:rsid w:val="4B4822FD"/>
    <w:rsid w:val="4B5848EA"/>
    <w:rsid w:val="4B5E25E2"/>
    <w:rsid w:val="4B9628E3"/>
    <w:rsid w:val="4BB041E9"/>
    <w:rsid w:val="4BB9526D"/>
    <w:rsid w:val="4BBC3E95"/>
    <w:rsid w:val="4BC720A4"/>
    <w:rsid w:val="4BE14337"/>
    <w:rsid w:val="4BF449EC"/>
    <w:rsid w:val="4BF75249"/>
    <w:rsid w:val="4C0E0AB4"/>
    <w:rsid w:val="4C1638B2"/>
    <w:rsid w:val="4C226146"/>
    <w:rsid w:val="4C367327"/>
    <w:rsid w:val="4C542DFD"/>
    <w:rsid w:val="4C5436A5"/>
    <w:rsid w:val="4C5619FF"/>
    <w:rsid w:val="4C67797F"/>
    <w:rsid w:val="4C764662"/>
    <w:rsid w:val="4C76670D"/>
    <w:rsid w:val="4C7E005A"/>
    <w:rsid w:val="4C912D49"/>
    <w:rsid w:val="4C95161A"/>
    <w:rsid w:val="4C9F0E0B"/>
    <w:rsid w:val="4CAB57AF"/>
    <w:rsid w:val="4CAF5F29"/>
    <w:rsid w:val="4CB27E71"/>
    <w:rsid w:val="4CB40AE3"/>
    <w:rsid w:val="4CB86D2D"/>
    <w:rsid w:val="4CBA21C2"/>
    <w:rsid w:val="4CC44A76"/>
    <w:rsid w:val="4CCA47D5"/>
    <w:rsid w:val="4CCE01CA"/>
    <w:rsid w:val="4CCE2F02"/>
    <w:rsid w:val="4CD82952"/>
    <w:rsid w:val="4CDB3FD7"/>
    <w:rsid w:val="4CDD1C5C"/>
    <w:rsid w:val="4CE44A86"/>
    <w:rsid w:val="4D107BF0"/>
    <w:rsid w:val="4D126EC4"/>
    <w:rsid w:val="4D4F05D7"/>
    <w:rsid w:val="4D546FF4"/>
    <w:rsid w:val="4D955825"/>
    <w:rsid w:val="4D9D2EFA"/>
    <w:rsid w:val="4DAF0678"/>
    <w:rsid w:val="4DC46B33"/>
    <w:rsid w:val="4DD102A7"/>
    <w:rsid w:val="4DD667A6"/>
    <w:rsid w:val="4DDC0BD4"/>
    <w:rsid w:val="4DE569EA"/>
    <w:rsid w:val="4DEC3178"/>
    <w:rsid w:val="4DF4339B"/>
    <w:rsid w:val="4E004E38"/>
    <w:rsid w:val="4E1A3C03"/>
    <w:rsid w:val="4E465CA3"/>
    <w:rsid w:val="4E595C86"/>
    <w:rsid w:val="4E5B5607"/>
    <w:rsid w:val="4E7E5239"/>
    <w:rsid w:val="4E881B78"/>
    <w:rsid w:val="4EC479DE"/>
    <w:rsid w:val="4ECA642D"/>
    <w:rsid w:val="4ECE619C"/>
    <w:rsid w:val="4EF03AAD"/>
    <w:rsid w:val="4EFE18D7"/>
    <w:rsid w:val="4F0530A4"/>
    <w:rsid w:val="4F06429E"/>
    <w:rsid w:val="4F0F7AE3"/>
    <w:rsid w:val="4F2A1B27"/>
    <w:rsid w:val="4F79555A"/>
    <w:rsid w:val="4F945D57"/>
    <w:rsid w:val="4FA726D6"/>
    <w:rsid w:val="4FB1074F"/>
    <w:rsid w:val="4FB77C42"/>
    <w:rsid w:val="4FC3400F"/>
    <w:rsid w:val="4FD04826"/>
    <w:rsid w:val="4FD34568"/>
    <w:rsid w:val="4FD9398C"/>
    <w:rsid w:val="4FDF1B12"/>
    <w:rsid w:val="4FE145CA"/>
    <w:rsid w:val="4FFB1F0F"/>
    <w:rsid w:val="50081DCD"/>
    <w:rsid w:val="50147E37"/>
    <w:rsid w:val="50170ED2"/>
    <w:rsid w:val="50283985"/>
    <w:rsid w:val="502E389E"/>
    <w:rsid w:val="50327F4C"/>
    <w:rsid w:val="503475A8"/>
    <w:rsid w:val="504222B0"/>
    <w:rsid w:val="50486CBC"/>
    <w:rsid w:val="508D202F"/>
    <w:rsid w:val="50926F63"/>
    <w:rsid w:val="50997655"/>
    <w:rsid w:val="509D6C84"/>
    <w:rsid w:val="50AF48E4"/>
    <w:rsid w:val="50C86BB3"/>
    <w:rsid w:val="50CC72DC"/>
    <w:rsid w:val="50CD4DA0"/>
    <w:rsid w:val="50CF7FD4"/>
    <w:rsid w:val="50E042B2"/>
    <w:rsid w:val="50EF0BD8"/>
    <w:rsid w:val="51074095"/>
    <w:rsid w:val="51275051"/>
    <w:rsid w:val="51301AA0"/>
    <w:rsid w:val="51330ED4"/>
    <w:rsid w:val="513F2F29"/>
    <w:rsid w:val="51401B45"/>
    <w:rsid w:val="5147342C"/>
    <w:rsid w:val="5148408F"/>
    <w:rsid w:val="514D36C2"/>
    <w:rsid w:val="514E2D70"/>
    <w:rsid w:val="516079C7"/>
    <w:rsid w:val="51666995"/>
    <w:rsid w:val="51953B7F"/>
    <w:rsid w:val="51A24AB0"/>
    <w:rsid w:val="51AC1F48"/>
    <w:rsid w:val="51B06F09"/>
    <w:rsid w:val="51B379E7"/>
    <w:rsid w:val="51B729CF"/>
    <w:rsid w:val="51B9499D"/>
    <w:rsid w:val="51D813C6"/>
    <w:rsid w:val="51DF12B5"/>
    <w:rsid w:val="51DF2E74"/>
    <w:rsid w:val="51F34082"/>
    <w:rsid w:val="51FB7581"/>
    <w:rsid w:val="51FC4E00"/>
    <w:rsid w:val="51FF49CE"/>
    <w:rsid w:val="520143BB"/>
    <w:rsid w:val="522D6AD6"/>
    <w:rsid w:val="52383444"/>
    <w:rsid w:val="523A5957"/>
    <w:rsid w:val="525C6A9F"/>
    <w:rsid w:val="52645DAA"/>
    <w:rsid w:val="527903F5"/>
    <w:rsid w:val="528A1A0D"/>
    <w:rsid w:val="529A15E0"/>
    <w:rsid w:val="529A7116"/>
    <w:rsid w:val="52A4077C"/>
    <w:rsid w:val="52AC662D"/>
    <w:rsid w:val="52B50779"/>
    <w:rsid w:val="52B52CD8"/>
    <w:rsid w:val="52DE24C5"/>
    <w:rsid w:val="52E11901"/>
    <w:rsid w:val="52E6098B"/>
    <w:rsid w:val="52E86A8A"/>
    <w:rsid w:val="52EA51A3"/>
    <w:rsid w:val="52F262C0"/>
    <w:rsid w:val="52F479D5"/>
    <w:rsid w:val="52F66CEB"/>
    <w:rsid w:val="52FB0724"/>
    <w:rsid w:val="52FB1AC6"/>
    <w:rsid w:val="52FD77D9"/>
    <w:rsid w:val="530A479A"/>
    <w:rsid w:val="530E3C15"/>
    <w:rsid w:val="531664D8"/>
    <w:rsid w:val="531E7977"/>
    <w:rsid w:val="53473DF9"/>
    <w:rsid w:val="535673AF"/>
    <w:rsid w:val="536058A5"/>
    <w:rsid w:val="5370427D"/>
    <w:rsid w:val="537C5558"/>
    <w:rsid w:val="53881649"/>
    <w:rsid w:val="538D5288"/>
    <w:rsid w:val="53942C51"/>
    <w:rsid w:val="539774F6"/>
    <w:rsid w:val="539C2B80"/>
    <w:rsid w:val="53BD156D"/>
    <w:rsid w:val="53D8262B"/>
    <w:rsid w:val="53EA1820"/>
    <w:rsid w:val="53F526C5"/>
    <w:rsid w:val="53FA4FDF"/>
    <w:rsid w:val="53FF6164"/>
    <w:rsid w:val="540B7B86"/>
    <w:rsid w:val="541175C6"/>
    <w:rsid w:val="542841C7"/>
    <w:rsid w:val="54291570"/>
    <w:rsid w:val="542A6069"/>
    <w:rsid w:val="542B3836"/>
    <w:rsid w:val="542B5FE8"/>
    <w:rsid w:val="542F19AB"/>
    <w:rsid w:val="543729F0"/>
    <w:rsid w:val="54385976"/>
    <w:rsid w:val="5446381C"/>
    <w:rsid w:val="54464093"/>
    <w:rsid w:val="545719A0"/>
    <w:rsid w:val="546C468E"/>
    <w:rsid w:val="546F1DF9"/>
    <w:rsid w:val="54713687"/>
    <w:rsid w:val="54903FE8"/>
    <w:rsid w:val="54950281"/>
    <w:rsid w:val="549A39C0"/>
    <w:rsid w:val="54AE6D86"/>
    <w:rsid w:val="54B0031A"/>
    <w:rsid w:val="54B46162"/>
    <w:rsid w:val="54CB396C"/>
    <w:rsid w:val="54E811E0"/>
    <w:rsid w:val="54FE1D62"/>
    <w:rsid w:val="55000368"/>
    <w:rsid w:val="550A641A"/>
    <w:rsid w:val="550A73AA"/>
    <w:rsid w:val="550C3845"/>
    <w:rsid w:val="550E679E"/>
    <w:rsid w:val="550F558A"/>
    <w:rsid w:val="55102589"/>
    <w:rsid w:val="55134DDA"/>
    <w:rsid w:val="55141AD3"/>
    <w:rsid w:val="55210310"/>
    <w:rsid w:val="55226F86"/>
    <w:rsid w:val="552448E0"/>
    <w:rsid w:val="55620F19"/>
    <w:rsid w:val="557F0DD7"/>
    <w:rsid w:val="55956798"/>
    <w:rsid w:val="55957627"/>
    <w:rsid w:val="55A446C3"/>
    <w:rsid w:val="55B01FC3"/>
    <w:rsid w:val="55C008C7"/>
    <w:rsid w:val="55C3517F"/>
    <w:rsid w:val="55CA03CC"/>
    <w:rsid w:val="55D37A3B"/>
    <w:rsid w:val="55D80F38"/>
    <w:rsid w:val="55E320D6"/>
    <w:rsid w:val="55EB5E0E"/>
    <w:rsid w:val="55EC3634"/>
    <w:rsid w:val="55F35DEB"/>
    <w:rsid w:val="55F422A4"/>
    <w:rsid w:val="55FE2599"/>
    <w:rsid w:val="56040233"/>
    <w:rsid w:val="5607555D"/>
    <w:rsid w:val="56245862"/>
    <w:rsid w:val="5629579B"/>
    <w:rsid w:val="562D652D"/>
    <w:rsid w:val="563229FE"/>
    <w:rsid w:val="563666D0"/>
    <w:rsid w:val="56370685"/>
    <w:rsid w:val="56376A98"/>
    <w:rsid w:val="563E0E00"/>
    <w:rsid w:val="563F50BF"/>
    <w:rsid w:val="56414DEA"/>
    <w:rsid w:val="5650598B"/>
    <w:rsid w:val="565900E5"/>
    <w:rsid w:val="56711776"/>
    <w:rsid w:val="568B68BC"/>
    <w:rsid w:val="569F43FD"/>
    <w:rsid w:val="56A16B9C"/>
    <w:rsid w:val="56A634DF"/>
    <w:rsid w:val="56AA3C60"/>
    <w:rsid w:val="56D87A3B"/>
    <w:rsid w:val="56E05184"/>
    <w:rsid w:val="56E630EB"/>
    <w:rsid w:val="56F50FA1"/>
    <w:rsid w:val="570E531D"/>
    <w:rsid w:val="571268D2"/>
    <w:rsid w:val="57233FFC"/>
    <w:rsid w:val="573B06DA"/>
    <w:rsid w:val="574A6914"/>
    <w:rsid w:val="57673DE2"/>
    <w:rsid w:val="57904574"/>
    <w:rsid w:val="57B7309F"/>
    <w:rsid w:val="57BB2D10"/>
    <w:rsid w:val="57C256B2"/>
    <w:rsid w:val="57D82895"/>
    <w:rsid w:val="57E16C53"/>
    <w:rsid w:val="580066E7"/>
    <w:rsid w:val="58234BF3"/>
    <w:rsid w:val="58267E98"/>
    <w:rsid w:val="582B3634"/>
    <w:rsid w:val="586A172B"/>
    <w:rsid w:val="58721E8E"/>
    <w:rsid w:val="587E1000"/>
    <w:rsid w:val="58832DC3"/>
    <w:rsid w:val="58871A1F"/>
    <w:rsid w:val="58896C82"/>
    <w:rsid w:val="58925AF5"/>
    <w:rsid w:val="58A17C4B"/>
    <w:rsid w:val="58B45955"/>
    <w:rsid w:val="58B757C7"/>
    <w:rsid w:val="58C6127B"/>
    <w:rsid w:val="58CB0564"/>
    <w:rsid w:val="58D06389"/>
    <w:rsid w:val="58E07BF8"/>
    <w:rsid w:val="58E42079"/>
    <w:rsid w:val="58E4362B"/>
    <w:rsid w:val="58EC444F"/>
    <w:rsid w:val="58F12FEA"/>
    <w:rsid w:val="58FB2964"/>
    <w:rsid w:val="58FC4A8A"/>
    <w:rsid w:val="59080ACC"/>
    <w:rsid w:val="59151477"/>
    <w:rsid w:val="59184673"/>
    <w:rsid w:val="59245CFC"/>
    <w:rsid w:val="592542F6"/>
    <w:rsid w:val="59264E05"/>
    <w:rsid w:val="59277B98"/>
    <w:rsid w:val="592B5B5A"/>
    <w:rsid w:val="594C6690"/>
    <w:rsid w:val="594E4ABA"/>
    <w:rsid w:val="595729F3"/>
    <w:rsid w:val="598037EF"/>
    <w:rsid w:val="59824464"/>
    <w:rsid w:val="599503B0"/>
    <w:rsid w:val="59AD0583"/>
    <w:rsid w:val="59C85971"/>
    <w:rsid w:val="59CC1D54"/>
    <w:rsid w:val="59DF79C5"/>
    <w:rsid w:val="59E14ACA"/>
    <w:rsid w:val="59F40308"/>
    <w:rsid w:val="59F44805"/>
    <w:rsid w:val="59F45A8E"/>
    <w:rsid w:val="59FA18BA"/>
    <w:rsid w:val="59FA62BF"/>
    <w:rsid w:val="5A076157"/>
    <w:rsid w:val="5A0D04C7"/>
    <w:rsid w:val="5A151D3C"/>
    <w:rsid w:val="5A1B3E65"/>
    <w:rsid w:val="5A2566CC"/>
    <w:rsid w:val="5A355077"/>
    <w:rsid w:val="5A4C73C8"/>
    <w:rsid w:val="5A4E7F1E"/>
    <w:rsid w:val="5A53127A"/>
    <w:rsid w:val="5A644349"/>
    <w:rsid w:val="5A8A78DC"/>
    <w:rsid w:val="5A997FDD"/>
    <w:rsid w:val="5AAB1868"/>
    <w:rsid w:val="5AB26F57"/>
    <w:rsid w:val="5AC254DD"/>
    <w:rsid w:val="5AC41023"/>
    <w:rsid w:val="5AD3590E"/>
    <w:rsid w:val="5AE676A7"/>
    <w:rsid w:val="5AFE65E2"/>
    <w:rsid w:val="5B110484"/>
    <w:rsid w:val="5B1146F6"/>
    <w:rsid w:val="5B1771DA"/>
    <w:rsid w:val="5B3F0F34"/>
    <w:rsid w:val="5B5C2300"/>
    <w:rsid w:val="5B6D264F"/>
    <w:rsid w:val="5B722DA8"/>
    <w:rsid w:val="5B781E23"/>
    <w:rsid w:val="5B825016"/>
    <w:rsid w:val="5B833730"/>
    <w:rsid w:val="5B9153D6"/>
    <w:rsid w:val="5B9767CE"/>
    <w:rsid w:val="5B9F4F4B"/>
    <w:rsid w:val="5BA5639A"/>
    <w:rsid w:val="5BB23813"/>
    <w:rsid w:val="5BBC4FC5"/>
    <w:rsid w:val="5BC103D1"/>
    <w:rsid w:val="5BDC7911"/>
    <w:rsid w:val="5BDF659D"/>
    <w:rsid w:val="5C072AC2"/>
    <w:rsid w:val="5C120134"/>
    <w:rsid w:val="5C1D455F"/>
    <w:rsid w:val="5C254B31"/>
    <w:rsid w:val="5C2E1C71"/>
    <w:rsid w:val="5C302BD2"/>
    <w:rsid w:val="5C317A2C"/>
    <w:rsid w:val="5C3573F5"/>
    <w:rsid w:val="5C3631A2"/>
    <w:rsid w:val="5C487B8B"/>
    <w:rsid w:val="5C4F4145"/>
    <w:rsid w:val="5C513BBE"/>
    <w:rsid w:val="5C5C0287"/>
    <w:rsid w:val="5C656AB6"/>
    <w:rsid w:val="5C6E2876"/>
    <w:rsid w:val="5C794D0F"/>
    <w:rsid w:val="5C7E1583"/>
    <w:rsid w:val="5C890CB0"/>
    <w:rsid w:val="5C912127"/>
    <w:rsid w:val="5C990085"/>
    <w:rsid w:val="5CA44044"/>
    <w:rsid w:val="5CB702A9"/>
    <w:rsid w:val="5CD62033"/>
    <w:rsid w:val="5D0E0221"/>
    <w:rsid w:val="5D17644F"/>
    <w:rsid w:val="5D1B5326"/>
    <w:rsid w:val="5D1B6DC0"/>
    <w:rsid w:val="5D1F673B"/>
    <w:rsid w:val="5D262A99"/>
    <w:rsid w:val="5D461951"/>
    <w:rsid w:val="5D581C70"/>
    <w:rsid w:val="5D583BED"/>
    <w:rsid w:val="5D5918D1"/>
    <w:rsid w:val="5D5F5F9F"/>
    <w:rsid w:val="5D6B1CC0"/>
    <w:rsid w:val="5D9924A6"/>
    <w:rsid w:val="5D9A106F"/>
    <w:rsid w:val="5D9C1821"/>
    <w:rsid w:val="5D9F69F0"/>
    <w:rsid w:val="5DB403DA"/>
    <w:rsid w:val="5DC1780C"/>
    <w:rsid w:val="5DC5598B"/>
    <w:rsid w:val="5DCC3602"/>
    <w:rsid w:val="5DD136AD"/>
    <w:rsid w:val="5DE458A7"/>
    <w:rsid w:val="5DFA65CB"/>
    <w:rsid w:val="5DFB26C3"/>
    <w:rsid w:val="5DFD13A8"/>
    <w:rsid w:val="5E001E6D"/>
    <w:rsid w:val="5E0B2B47"/>
    <w:rsid w:val="5E170D56"/>
    <w:rsid w:val="5E312D94"/>
    <w:rsid w:val="5E334255"/>
    <w:rsid w:val="5E7E1DDC"/>
    <w:rsid w:val="5E886789"/>
    <w:rsid w:val="5E97479C"/>
    <w:rsid w:val="5E993A8C"/>
    <w:rsid w:val="5E9A00DF"/>
    <w:rsid w:val="5EC442F5"/>
    <w:rsid w:val="5EC56094"/>
    <w:rsid w:val="5EC848DC"/>
    <w:rsid w:val="5EC94A86"/>
    <w:rsid w:val="5ED75D25"/>
    <w:rsid w:val="5EE076AA"/>
    <w:rsid w:val="5EE914C3"/>
    <w:rsid w:val="5EF83694"/>
    <w:rsid w:val="5EFC69FB"/>
    <w:rsid w:val="5F0F25AB"/>
    <w:rsid w:val="5F1150AB"/>
    <w:rsid w:val="5F1C7711"/>
    <w:rsid w:val="5F2175CE"/>
    <w:rsid w:val="5F230FA0"/>
    <w:rsid w:val="5F42360F"/>
    <w:rsid w:val="5F857C60"/>
    <w:rsid w:val="5F8D0C05"/>
    <w:rsid w:val="5F9B6D48"/>
    <w:rsid w:val="5FA7437B"/>
    <w:rsid w:val="5FD92CB5"/>
    <w:rsid w:val="5FEB5CC5"/>
    <w:rsid w:val="5FFA27D6"/>
    <w:rsid w:val="600B024A"/>
    <w:rsid w:val="60136FBF"/>
    <w:rsid w:val="601436DA"/>
    <w:rsid w:val="60180B6B"/>
    <w:rsid w:val="601A105C"/>
    <w:rsid w:val="6020439A"/>
    <w:rsid w:val="602D6EC7"/>
    <w:rsid w:val="604520E7"/>
    <w:rsid w:val="604629AF"/>
    <w:rsid w:val="607432D5"/>
    <w:rsid w:val="607F7A0B"/>
    <w:rsid w:val="608D0820"/>
    <w:rsid w:val="6091234D"/>
    <w:rsid w:val="609537B1"/>
    <w:rsid w:val="60982CBC"/>
    <w:rsid w:val="60AE2340"/>
    <w:rsid w:val="60AF3990"/>
    <w:rsid w:val="60B80B5C"/>
    <w:rsid w:val="60B875A4"/>
    <w:rsid w:val="60D109ED"/>
    <w:rsid w:val="60D63538"/>
    <w:rsid w:val="60D96BD7"/>
    <w:rsid w:val="60DC31C4"/>
    <w:rsid w:val="60E81616"/>
    <w:rsid w:val="610D5126"/>
    <w:rsid w:val="611046CB"/>
    <w:rsid w:val="61146A09"/>
    <w:rsid w:val="611F52BF"/>
    <w:rsid w:val="612C6F7A"/>
    <w:rsid w:val="61322BFF"/>
    <w:rsid w:val="61356887"/>
    <w:rsid w:val="613A5C2E"/>
    <w:rsid w:val="614D6CCB"/>
    <w:rsid w:val="615343C6"/>
    <w:rsid w:val="616235C9"/>
    <w:rsid w:val="616946D9"/>
    <w:rsid w:val="61707B35"/>
    <w:rsid w:val="61773EEB"/>
    <w:rsid w:val="618C5232"/>
    <w:rsid w:val="61943C95"/>
    <w:rsid w:val="61973749"/>
    <w:rsid w:val="619D1E38"/>
    <w:rsid w:val="619F4CAF"/>
    <w:rsid w:val="61AA3A4B"/>
    <w:rsid w:val="61BF627C"/>
    <w:rsid w:val="61DB1857"/>
    <w:rsid w:val="62072FE3"/>
    <w:rsid w:val="621002DB"/>
    <w:rsid w:val="621E262A"/>
    <w:rsid w:val="62283F17"/>
    <w:rsid w:val="623474C0"/>
    <w:rsid w:val="62372A47"/>
    <w:rsid w:val="624E3DA8"/>
    <w:rsid w:val="626A7C77"/>
    <w:rsid w:val="62724D47"/>
    <w:rsid w:val="62A17511"/>
    <w:rsid w:val="62A97CD6"/>
    <w:rsid w:val="62AD50A7"/>
    <w:rsid w:val="62B81204"/>
    <w:rsid w:val="62B972FD"/>
    <w:rsid w:val="62CE4F38"/>
    <w:rsid w:val="62DF4F0B"/>
    <w:rsid w:val="62F55830"/>
    <w:rsid w:val="62F6764C"/>
    <w:rsid w:val="62FC189B"/>
    <w:rsid w:val="62FF2A4C"/>
    <w:rsid w:val="630132FB"/>
    <w:rsid w:val="6315298D"/>
    <w:rsid w:val="631E4341"/>
    <w:rsid w:val="63221593"/>
    <w:rsid w:val="63316161"/>
    <w:rsid w:val="63547CFB"/>
    <w:rsid w:val="635A193F"/>
    <w:rsid w:val="638D7EB0"/>
    <w:rsid w:val="63CF1A59"/>
    <w:rsid w:val="63DC53E7"/>
    <w:rsid w:val="63DF5923"/>
    <w:rsid w:val="63F603BA"/>
    <w:rsid w:val="63FA5093"/>
    <w:rsid w:val="64077497"/>
    <w:rsid w:val="640913C5"/>
    <w:rsid w:val="640B4D94"/>
    <w:rsid w:val="642F125B"/>
    <w:rsid w:val="64303700"/>
    <w:rsid w:val="6433111E"/>
    <w:rsid w:val="64476BA1"/>
    <w:rsid w:val="64706B0B"/>
    <w:rsid w:val="64723FA1"/>
    <w:rsid w:val="64777C5D"/>
    <w:rsid w:val="64834AC0"/>
    <w:rsid w:val="64840BC5"/>
    <w:rsid w:val="64936F01"/>
    <w:rsid w:val="64997164"/>
    <w:rsid w:val="64A51691"/>
    <w:rsid w:val="64B87F2A"/>
    <w:rsid w:val="64C11A95"/>
    <w:rsid w:val="64CA66CA"/>
    <w:rsid w:val="64F602E0"/>
    <w:rsid w:val="64F91EF5"/>
    <w:rsid w:val="65033D16"/>
    <w:rsid w:val="65051BD5"/>
    <w:rsid w:val="65191BE8"/>
    <w:rsid w:val="651F2D61"/>
    <w:rsid w:val="652007E3"/>
    <w:rsid w:val="65390198"/>
    <w:rsid w:val="654051CF"/>
    <w:rsid w:val="654962DD"/>
    <w:rsid w:val="65542B6A"/>
    <w:rsid w:val="655561C9"/>
    <w:rsid w:val="65665E86"/>
    <w:rsid w:val="657C0319"/>
    <w:rsid w:val="658D1136"/>
    <w:rsid w:val="658D5441"/>
    <w:rsid w:val="65977DED"/>
    <w:rsid w:val="65A17839"/>
    <w:rsid w:val="65AB7E8F"/>
    <w:rsid w:val="65E5264A"/>
    <w:rsid w:val="65F06F93"/>
    <w:rsid w:val="65FA0150"/>
    <w:rsid w:val="66031C0C"/>
    <w:rsid w:val="66093404"/>
    <w:rsid w:val="661C08C9"/>
    <w:rsid w:val="66345ED5"/>
    <w:rsid w:val="66417885"/>
    <w:rsid w:val="66455775"/>
    <w:rsid w:val="6650130D"/>
    <w:rsid w:val="669267A0"/>
    <w:rsid w:val="66A07FA0"/>
    <w:rsid w:val="66A62A49"/>
    <w:rsid w:val="66B6197A"/>
    <w:rsid w:val="66B81701"/>
    <w:rsid w:val="66BC5DF7"/>
    <w:rsid w:val="66C1124E"/>
    <w:rsid w:val="66D02AD5"/>
    <w:rsid w:val="66D3683E"/>
    <w:rsid w:val="66D55C4F"/>
    <w:rsid w:val="66DA1C58"/>
    <w:rsid w:val="66EF7C9D"/>
    <w:rsid w:val="66FB10D8"/>
    <w:rsid w:val="67000C8D"/>
    <w:rsid w:val="67093572"/>
    <w:rsid w:val="670D57A8"/>
    <w:rsid w:val="671E506C"/>
    <w:rsid w:val="67300A65"/>
    <w:rsid w:val="67324EA4"/>
    <w:rsid w:val="67367DE4"/>
    <w:rsid w:val="67597B75"/>
    <w:rsid w:val="676775EA"/>
    <w:rsid w:val="677D0501"/>
    <w:rsid w:val="67AA4964"/>
    <w:rsid w:val="67B37821"/>
    <w:rsid w:val="67BB0A3A"/>
    <w:rsid w:val="67C17FC6"/>
    <w:rsid w:val="67D85FCB"/>
    <w:rsid w:val="67E33780"/>
    <w:rsid w:val="67E96929"/>
    <w:rsid w:val="67EB3B32"/>
    <w:rsid w:val="6812382B"/>
    <w:rsid w:val="683F42E1"/>
    <w:rsid w:val="684616EA"/>
    <w:rsid w:val="68470E3F"/>
    <w:rsid w:val="68613B23"/>
    <w:rsid w:val="686C3018"/>
    <w:rsid w:val="687E527D"/>
    <w:rsid w:val="6883228D"/>
    <w:rsid w:val="688B49B7"/>
    <w:rsid w:val="68912487"/>
    <w:rsid w:val="689126F1"/>
    <w:rsid w:val="68925E8B"/>
    <w:rsid w:val="68AD3132"/>
    <w:rsid w:val="68BD0429"/>
    <w:rsid w:val="68BD25AC"/>
    <w:rsid w:val="68C627D7"/>
    <w:rsid w:val="68CD2B97"/>
    <w:rsid w:val="68DC3034"/>
    <w:rsid w:val="68E77B92"/>
    <w:rsid w:val="68F11244"/>
    <w:rsid w:val="6902027F"/>
    <w:rsid w:val="690B6A69"/>
    <w:rsid w:val="6915312D"/>
    <w:rsid w:val="6916610C"/>
    <w:rsid w:val="691A321C"/>
    <w:rsid w:val="69205FE2"/>
    <w:rsid w:val="69233E67"/>
    <w:rsid w:val="69243400"/>
    <w:rsid w:val="692B0D4C"/>
    <w:rsid w:val="693251B9"/>
    <w:rsid w:val="69362DAC"/>
    <w:rsid w:val="694F2C16"/>
    <w:rsid w:val="69553ADC"/>
    <w:rsid w:val="695E79A3"/>
    <w:rsid w:val="695F6B6D"/>
    <w:rsid w:val="69606FA8"/>
    <w:rsid w:val="696462D8"/>
    <w:rsid w:val="697D20D0"/>
    <w:rsid w:val="6992698A"/>
    <w:rsid w:val="69931C83"/>
    <w:rsid w:val="69962DC6"/>
    <w:rsid w:val="69A0794A"/>
    <w:rsid w:val="69A95707"/>
    <w:rsid w:val="69F753E9"/>
    <w:rsid w:val="6A1D4D2A"/>
    <w:rsid w:val="6A282BA3"/>
    <w:rsid w:val="6A476664"/>
    <w:rsid w:val="6A582E6E"/>
    <w:rsid w:val="6A5B2D03"/>
    <w:rsid w:val="6A6D7968"/>
    <w:rsid w:val="6A825EEF"/>
    <w:rsid w:val="6A8B63AB"/>
    <w:rsid w:val="6A8E534F"/>
    <w:rsid w:val="6A92080D"/>
    <w:rsid w:val="6AA0452A"/>
    <w:rsid w:val="6AA1457D"/>
    <w:rsid w:val="6AB42284"/>
    <w:rsid w:val="6AB43643"/>
    <w:rsid w:val="6AB8343E"/>
    <w:rsid w:val="6AB95345"/>
    <w:rsid w:val="6ABA142F"/>
    <w:rsid w:val="6ACB3994"/>
    <w:rsid w:val="6AD44BA5"/>
    <w:rsid w:val="6AD67EBB"/>
    <w:rsid w:val="6AE01913"/>
    <w:rsid w:val="6AEA3A0D"/>
    <w:rsid w:val="6AED294A"/>
    <w:rsid w:val="6AF630F6"/>
    <w:rsid w:val="6AF96574"/>
    <w:rsid w:val="6B126644"/>
    <w:rsid w:val="6B30219C"/>
    <w:rsid w:val="6B3C4F97"/>
    <w:rsid w:val="6B531E21"/>
    <w:rsid w:val="6B6B0C9C"/>
    <w:rsid w:val="6B7251A0"/>
    <w:rsid w:val="6B795BBC"/>
    <w:rsid w:val="6B825D3B"/>
    <w:rsid w:val="6B875DDC"/>
    <w:rsid w:val="6BA33513"/>
    <w:rsid w:val="6BAD488D"/>
    <w:rsid w:val="6BB83730"/>
    <w:rsid w:val="6BB976DA"/>
    <w:rsid w:val="6BC74EEB"/>
    <w:rsid w:val="6BC77E6E"/>
    <w:rsid w:val="6BCA5958"/>
    <w:rsid w:val="6BD94617"/>
    <w:rsid w:val="6BEA5426"/>
    <w:rsid w:val="6BF126D2"/>
    <w:rsid w:val="6BF7770E"/>
    <w:rsid w:val="6C0A2147"/>
    <w:rsid w:val="6C1275AF"/>
    <w:rsid w:val="6C2B6FFB"/>
    <w:rsid w:val="6C3068FC"/>
    <w:rsid w:val="6C3F6612"/>
    <w:rsid w:val="6C436973"/>
    <w:rsid w:val="6C49338A"/>
    <w:rsid w:val="6C4B640F"/>
    <w:rsid w:val="6C505AFC"/>
    <w:rsid w:val="6C590D74"/>
    <w:rsid w:val="6C5B2EB0"/>
    <w:rsid w:val="6C5C701A"/>
    <w:rsid w:val="6C875D2A"/>
    <w:rsid w:val="6C88002E"/>
    <w:rsid w:val="6C8E4ED4"/>
    <w:rsid w:val="6C9261BE"/>
    <w:rsid w:val="6CAD47FC"/>
    <w:rsid w:val="6CB10559"/>
    <w:rsid w:val="6CB6024D"/>
    <w:rsid w:val="6CBB3BC4"/>
    <w:rsid w:val="6CBE5226"/>
    <w:rsid w:val="6CC61D04"/>
    <w:rsid w:val="6CC855A6"/>
    <w:rsid w:val="6CC92D2D"/>
    <w:rsid w:val="6CD534B2"/>
    <w:rsid w:val="6CD764FA"/>
    <w:rsid w:val="6CEC3297"/>
    <w:rsid w:val="6CEF078A"/>
    <w:rsid w:val="6D022C97"/>
    <w:rsid w:val="6D0E3150"/>
    <w:rsid w:val="6D172D14"/>
    <w:rsid w:val="6D2B47C4"/>
    <w:rsid w:val="6D651E04"/>
    <w:rsid w:val="6D6B1F42"/>
    <w:rsid w:val="6D702704"/>
    <w:rsid w:val="6D702DF8"/>
    <w:rsid w:val="6D7169AC"/>
    <w:rsid w:val="6D7E0B30"/>
    <w:rsid w:val="6D881EB0"/>
    <w:rsid w:val="6D94161E"/>
    <w:rsid w:val="6DA8501D"/>
    <w:rsid w:val="6DA952A3"/>
    <w:rsid w:val="6DAB1A4F"/>
    <w:rsid w:val="6DAC1E42"/>
    <w:rsid w:val="6DB4084B"/>
    <w:rsid w:val="6DB52389"/>
    <w:rsid w:val="6DC84691"/>
    <w:rsid w:val="6DD37EAB"/>
    <w:rsid w:val="6DD96970"/>
    <w:rsid w:val="6DDF5EBE"/>
    <w:rsid w:val="6DE35A17"/>
    <w:rsid w:val="6DF175B9"/>
    <w:rsid w:val="6DF5597A"/>
    <w:rsid w:val="6E051D29"/>
    <w:rsid w:val="6E0764F5"/>
    <w:rsid w:val="6E091D92"/>
    <w:rsid w:val="6E0F034C"/>
    <w:rsid w:val="6E142F6F"/>
    <w:rsid w:val="6E2144F9"/>
    <w:rsid w:val="6E216A22"/>
    <w:rsid w:val="6E251123"/>
    <w:rsid w:val="6E28024E"/>
    <w:rsid w:val="6E380D0F"/>
    <w:rsid w:val="6E395F0F"/>
    <w:rsid w:val="6E3B2E01"/>
    <w:rsid w:val="6E3F2896"/>
    <w:rsid w:val="6E417F70"/>
    <w:rsid w:val="6E636422"/>
    <w:rsid w:val="6E7538EA"/>
    <w:rsid w:val="6E7D390D"/>
    <w:rsid w:val="6E955BEB"/>
    <w:rsid w:val="6E9D5C12"/>
    <w:rsid w:val="6EA7743E"/>
    <w:rsid w:val="6EB851AF"/>
    <w:rsid w:val="6EC47CFD"/>
    <w:rsid w:val="6EE30BE6"/>
    <w:rsid w:val="6EE51F6E"/>
    <w:rsid w:val="6EE74164"/>
    <w:rsid w:val="6F006D7B"/>
    <w:rsid w:val="6F170463"/>
    <w:rsid w:val="6F1D2311"/>
    <w:rsid w:val="6F291F74"/>
    <w:rsid w:val="6F360931"/>
    <w:rsid w:val="6F435E7A"/>
    <w:rsid w:val="6F68581D"/>
    <w:rsid w:val="6F696073"/>
    <w:rsid w:val="6F771A6A"/>
    <w:rsid w:val="6F8215E9"/>
    <w:rsid w:val="6F8D7626"/>
    <w:rsid w:val="6F904395"/>
    <w:rsid w:val="6FAD1D96"/>
    <w:rsid w:val="6FC745FF"/>
    <w:rsid w:val="6FDE4155"/>
    <w:rsid w:val="6FE22DF6"/>
    <w:rsid w:val="70077C2D"/>
    <w:rsid w:val="702A32AC"/>
    <w:rsid w:val="70335130"/>
    <w:rsid w:val="703A7077"/>
    <w:rsid w:val="704044A3"/>
    <w:rsid w:val="704D6320"/>
    <w:rsid w:val="70573C18"/>
    <w:rsid w:val="705F6CD6"/>
    <w:rsid w:val="70711485"/>
    <w:rsid w:val="70760E52"/>
    <w:rsid w:val="707C17AA"/>
    <w:rsid w:val="70836E86"/>
    <w:rsid w:val="708F4D67"/>
    <w:rsid w:val="709543D1"/>
    <w:rsid w:val="709906E7"/>
    <w:rsid w:val="70B00877"/>
    <w:rsid w:val="70CD2E7C"/>
    <w:rsid w:val="70D025D6"/>
    <w:rsid w:val="70D76213"/>
    <w:rsid w:val="70D94FC5"/>
    <w:rsid w:val="71070572"/>
    <w:rsid w:val="711966C9"/>
    <w:rsid w:val="71292890"/>
    <w:rsid w:val="712E3BB1"/>
    <w:rsid w:val="7135422F"/>
    <w:rsid w:val="714029B7"/>
    <w:rsid w:val="71471D0F"/>
    <w:rsid w:val="714F440D"/>
    <w:rsid w:val="71581745"/>
    <w:rsid w:val="71607CFA"/>
    <w:rsid w:val="7184414C"/>
    <w:rsid w:val="71944A8A"/>
    <w:rsid w:val="719A10DB"/>
    <w:rsid w:val="71AD5746"/>
    <w:rsid w:val="71AE3080"/>
    <w:rsid w:val="71B74E6A"/>
    <w:rsid w:val="71BF54D0"/>
    <w:rsid w:val="71CD6D2B"/>
    <w:rsid w:val="71D55D7F"/>
    <w:rsid w:val="71D762FC"/>
    <w:rsid w:val="71D948A7"/>
    <w:rsid w:val="71E267A5"/>
    <w:rsid w:val="720F1979"/>
    <w:rsid w:val="721A55C2"/>
    <w:rsid w:val="72207D57"/>
    <w:rsid w:val="72401026"/>
    <w:rsid w:val="725E29CE"/>
    <w:rsid w:val="725F172B"/>
    <w:rsid w:val="72874E47"/>
    <w:rsid w:val="7287796A"/>
    <w:rsid w:val="7292003E"/>
    <w:rsid w:val="72974D26"/>
    <w:rsid w:val="729E30D7"/>
    <w:rsid w:val="72B20BED"/>
    <w:rsid w:val="72C03590"/>
    <w:rsid w:val="72E31257"/>
    <w:rsid w:val="72E314B6"/>
    <w:rsid w:val="73336003"/>
    <w:rsid w:val="73347CB8"/>
    <w:rsid w:val="73363593"/>
    <w:rsid w:val="733E53B8"/>
    <w:rsid w:val="735253F6"/>
    <w:rsid w:val="73596161"/>
    <w:rsid w:val="73755885"/>
    <w:rsid w:val="737E64C9"/>
    <w:rsid w:val="73822A1E"/>
    <w:rsid w:val="73916C83"/>
    <w:rsid w:val="73B12DF9"/>
    <w:rsid w:val="73C43300"/>
    <w:rsid w:val="73CC4F69"/>
    <w:rsid w:val="73D36A94"/>
    <w:rsid w:val="73D4334F"/>
    <w:rsid w:val="74130EBF"/>
    <w:rsid w:val="74162223"/>
    <w:rsid w:val="74192335"/>
    <w:rsid w:val="741A19F8"/>
    <w:rsid w:val="741B401E"/>
    <w:rsid w:val="7433399C"/>
    <w:rsid w:val="74384838"/>
    <w:rsid w:val="74417080"/>
    <w:rsid w:val="74491ACC"/>
    <w:rsid w:val="74567B70"/>
    <w:rsid w:val="747E5AA3"/>
    <w:rsid w:val="747F20D7"/>
    <w:rsid w:val="74A279CE"/>
    <w:rsid w:val="74BE5062"/>
    <w:rsid w:val="74C42CB5"/>
    <w:rsid w:val="74C6310B"/>
    <w:rsid w:val="74C9373B"/>
    <w:rsid w:val="74D05396"/>
    <w:rsid w:val="74D42B3D"/>
    <w:rsid w:val="74E26107"/>
    <w:rsid w:val="74EC3E5E"/>
    <w:rsid w:val="74ED55D4"/>
    <w:rsid w:val="74F47B8E"/>
    <w:rsid w:val="74F5223B"/>
    <w:rsid w:val="75073F81"/>
    <w:rsid w:val="75164628"/>
    <w:rsid w:val="75197C32"/>
    <w:rsid w:val="75311268"/>
    <w:rsid w:val="75351105"/>
    <w:rsid w:val="75482DC8"/>
    <w:rsid w:val="754D309F"/>
    <w:rsid w:val="75500BC7"/>
    <w:rsid w:val="755771B8"/>
    <w:rsid w:val="75601CC4"/>
    <w:rsid w:val="75660855"/>
    <w:rsid w:val="756A0AC4"/>
    <w:rsid w:val="757A3E91"/>
    <w:rsid w:val="75A61023"/>
    <w:rsid w:val="75B04508"/>
    <w:rsid w:val="75CA00CE"/>
    <w:rsid w:val="75DE1A46"/>
    <w:rsid w:val="75E84ACB"/>
    <w:rsid w:val="75F77FBF"/>
    <w:rsid w:val="75F869B9"/>
    <w:rsid w:val="7606703F"/>
    <w:rsid w:val="760A297B"/>
    <w:rsid w:val="761473F0"/>
    <w:rsid w:val="76206ED0"/>
    <w:rsid w:val="7620778A"/>
    <w:rsid w:val="763847AA"/>
    <w:rsid w:val="763A4508"/>
    <w:rsid w:val="76437C51"/>
    <w:rsid w:val="764D5D92"/>
    <w:rsid w:val="764D5DEF"/>
    <w:rsid w:val="765B57C1"/>
    <w:rsid w:val="7660547F"/>
    <w:rsid w:val="76620EE2"/>
    <w:rsid w:val="7662676C"/>
    <w:rsid w:val="76644DE4"/>
    <w:rsid w:val="766A73EE"/>
    <w:rsid w:val="767E4FFC"/>
    <w:rsid w:val="767F101F"/>
    <w:rsid w:val="76821984"/>
    <w:rsid w:val="769A5A66"/>
    <w:rsid w:val="76A14F02"/>
    <w:rsid w:val="76AB78E3"/>
    <w:rsid w:val="76BD38F2"/>
    <w:rsid w:val="76C21E71"/>
    <w:rsid w:val="76D96ED2"/>
    <w:rsid w:val="76DF4EAE"/>
    <w:rsid w:val="77077040"/>
    <w:rsid w:val="77112194"/>
    <w:rsid w:val="771352E9"/>
    <w:rsid w:val="771D120E"/>
    <w:rsid w:val="771E2FF4"/>
    <w:rsid w:val="7720249B"/>
    <w:rsid w:val="772334BE"/>
    <w:rsid w:val="772351FD"/>
    <w:rsid w:val="77302CCE"/>
    <w:rsid w:val="773802B5"/>
    <w:rsid w:val="77440460"/>
    <w:rsid w:val="77486FB6"/>
    <w:rsid w:val="775B3E89"/>
    <w:rsid w:val="777973AA"/>
    <w:rsid w:val="777A1768"/>
    <w:rsid w:val="777E3D7E"/>
    <w:rsid w:val="77923EE7"/>
    <w:rsid w:val="77990BB5"/>
    <w:rsid w:val="77AF3E74"/>
    <w:rsid w:val="77B71AD2"/>
    <w:rsid w:val="77B724BE"/>
    <w:rsid w:val="77BD4B5C"/>
    <w:rsid w:val="77D04199"/>
    <w:rsid w:val="77DA7ECE"/>
    <w:rsid w:val="77F10ED8"/>
    <w:rsid w:val="78043043"/>
    <w:rsid w:val="78070F55"/>
    <w:rsid w:val="780D1602"/>
    <w:rsid w:val="783748C4"/>
    <w:rsid w:val="7843380A"/>
    <w:rsid w:val="78663866"/>
    <w:rsid w:val="787419D8"/>
    <w:rsid w:val="789C2CEA"/>
    <w:rsid w:val="78A85264"/>
    <w:rsid w:val="78A94579"/>
    <w:rsid w:val="78C74670"/>
    <w:rsid w:val="78D8063B"/>
    <w:rsid w:val="78D86DC8"/>
    <w:rsid w:val="78E260F3"/>
    <w:rsid w:val="78E66C94"/>
    <w:rsid w:val="78F60999"/>
    <w:rsid w:val="79137E81"/>
    <w:rsid w:val="791421F7"/>
    <w:rsid w:val="79201D19"/>
    <w:rsid w:val="79332981"/>
    <w:rsid w:val="794A2FAA"/>
    <w:rsid w:val="794F464F"/>
    <w:rsid w:val="79684A8E"/>
    <w:rsid w:val="79692BFC"/>
    <w:rsid w:val="79780809"/>
    <w:rsid w:val="79793DF9"/>
    <w:rsid w:val="79A1449A"/>
    <w:rsid w:val="79A37BC9"/>
    <w:rsid w:val="79B04496"/>
    <w:rsid w:val="79B14867"/>
    <w:rsid w:val="79B23B36"/>
    <w:rsid w:val="79C575E8"/>
    <w:rsid w:val="79D623FE"/>
    <w:rsid w:val="79E51C40"/>
    <w:rsid w:val="79E67899"/>
    <w:rsid w:val="79F968DE"/>
    <w:rsid w:val="79FD24CC"/>
    <w:rsid w:val="7A031DBF"/>
    <w:rsid w:val="7A050B4B"/>
    <w:rsid w:val="7A2C5C0B"/>
    <w:rsid w:val="7A2D46C5"/>
    <w:rsid w:val="7A3074A9"/>
    <w:rsid w:val="7A344287"/>
    <w:rsid w:val="7A39124E"/>
    <w:rsid w:val="7A5212F0"/>
    <w:rsid w:val="7A555119"/>
    <w:rsid w:val="7A6D1D3E"/>
    <w:rsid w:val="7A7372C2"/>
    <w:rsid w:val="7A821A6C"/>
    <w:rsid w:val="7A8D5301"/>
    <w:rsid w:val="7A957873"/>
    <w:rsid w:val="7AAB03ED"/>
    <w:rsid w:val="7AB03A59"/>
    <w:rsid w:val="7AC13A9A"/>
    <w:rsid w:val="7AC9705C"/>
    <w:rsid w:val="7ACF0844"/>
    <w:rsid w:val="7ACF123F"/>
    <w:rsid w:val="7AD532FF"/>
    <w:rsid w:val="7AEE277D"/>
    <w:rsid w:val="7B0A2B92"/>
    <w:rsid w:val="7B177BD0"/>
    <w:rsid w:val="7B4527D5"/>
    <w:rsid w:val="7B5274A0"/>
    <w:rsid w:val="7B57627D"/>
    <w:rsid w:val="7B617589"/>
    <w:rsid w:val="7B6A7AB6"/>
    <w:rsid w:val="7BA76DD6"/>
    <w:rsid w:val="7BB574DF"/>
    <w:rsid w:val="7BBD68AF"/>
    <w:rsid w:val="7BCA3DF4"/>
    <w:rsid w:val="7BCF4C73"/>
    <w:rsid w:val="7BD957C1"/>
    <w:rsid w:val="7BDE4FE7"/>
    <w:rsid w:val="7BEA54E6"/>
    <w:rsid w:val="7C256E3D"/>
    <w:rsid w:val="7C257EBD"/>
    <w:rsid w:val="7C4250E9"/>
    <w:rsid w:val="7C607016"/>
    <w:rsid w:val="7C7D09C6"/>
    <w:rsid w:val="7C826FCD"/>
    <w:rsid w:val="7C88770D"/>
    <w:rsid w:val="7C9B6905"/>
    <w:rsid w:val="7CA95865"/>
    <w:rsid w:val="7CBF7ACA"/>
    <w:rsid w:val="7CDF1421"/>
    <w:rsid w:val="7D075792"/>
    <w:rsid w:val="7D0C7450"/>
    <w:rsid w:val="7D1246D8"/>
    <w:rsid w:val="7D1527D6"/>
    <w:rsid w:val="7D187ED8"/>
    <w:rsid w:val="7D2318F5"/>
    <w:rsid w:val="7D241DFD"/>
    <w:rsid w:val="7D290D4F"/>
    <w:rsid w:val="7D296E76"/>
    <w:rsid w:val="7D363B60"/>
    <w:rsid w:val="7D3A0C2D"/>
    <w:rsid w:val="7D3F3CFF"/>
    <w:rsid w:val="7D463816"/>
    <w:rsid w:val="7D5D0AA6"/>
    <w:rsid w:val="7D740AFF"/>
    <w:rsid w:val="7D76359E"/>
    <w:rsid w:val="7D77341F"/>
    <w:rsid w:val="7D8F219D"/>
    <w:rsid w:val="7D930DD2"/>
    <w:rsid w:val="7DA00109"/>
    <w:rsid w:val="7DA621C5"/>
    <w:rsid w:val="7DB10A06"/>
    <w:rsid w:val="7DB25AB8"/>
    <w:rsid w:val="7DB37CED"/>
    <w:rsid w:val="7DBD1026"/>
    <w:rsid w:val="7DDA16E8"/>
    <w:rsid w:val="7DE30B33"/>
    <w:rsid w:val="7DF97B9D"/>
    <w:rsid w:val="7E030EF4"/>
    <w:rsid w:val="7E032299"/>
    <w:rsid w:val="7E090698"/>
    <w:rsid w:val="7E0D2215"/>
    <w:rsid w:val="7E134DFD"/>
    <w:rsid w:val="7E201258"/>
    <w:rsid w:val="7E217C07"/>
    <w:rsid w:val="7E244E49"/>
    <w:rsid w:val="7E2654AB"/>
    <w:rsid w:val="7E2F6BAF"/>
    <w:rsid w:val="7E48058B"/>
    <w:rsid w:val="7E5A0F76"/>
    <w:rsid w:val="7E5A482C"/>
    <w:rsid w:val="7E6D3CA4"/>
    <w:rsid w:val="7E6F544B"/>
    <w:rsid w:val="7E6F5FC7"/>
    <w:rsid w:val="7E726542"/>
    <w:rsid w:val="7E734AFF"/>
    <w:rsid w:val="7E756213"/>
    <w:rsid w:val="7E7A671A"/>
    <w:rsid w:val="7E991ABC"/>
    <w:rsid w:val="7E9B412C"/>
    <w:rsid w:val="7E9D773F"/>
    <w:rsid w:val="7EAC2A13"/>
    <w:rsid w:val="7EB52AD0"/>
    <w:rsid w:val="7EC05D3A"/>
    <w:rsid w:val="7ED54AA7"/>
    <w:rsid w:val="7ED93DEE"/>
    <w:rsid w:val="7EE53746"/>
    <w:rsid w:val="7EE910D2"/>
    <w:rsid w:val="7EF060C6"/>
    <w:rsid w:val="7EF7492C"/>
    <w:rsid w:val="7F034A50"/>
    <w:rsid w:val="7F0642B9"/>
    <w:rsid w:val="7F1E01F3"/>
    <w:rsid w:val="7F252AD1"/>
    <w:rsid w:val="7F2F1C47"/>
    <w:rsid w:val="7F3735C5"/>
    <w:rsid w:val="7F3D38F3"/>
    <w:rsid w:val="7F553914"/>
    <w:rsid w:val="7F580CE2"/>
    <w:rsid w:val="7F6C7FA9"/>
    <w:rsid w:val="7F791EFB"/>
    <w:rsid w:val="7F973191"/>
    <w:rsid w:val="7F9E07A2"/>
    <w:rsid w:val="7FA75648"/>
    <w:rsid w:val="7FAA68A9"/>
    <w:rsid w:val="7FBA7FA5"/>
    <w:rsid w:val="7FBB1896"/>
    <w:rsid w:val="7FBE18EB"/>
    <w:rsid w:val="7FD11914"/>
    <w:rsid w:val="7FD652BE"/>
    <w:rsid w:val="7FD76F90"/>
    <w:rsid w:val="7FE24C39"/>
    <w:rsid w:val="7FEB5C5E"/>
    <w:rsid w:val="7FF04C83"/>
    <w:rsid w:val="7FF95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00" w:after="30" w:line="360" w:lineRule="auto"/>
      <w:jc w:val="center"/>
      <w:outlineLvl w:val="0"/>
    </w:pPr>
    <w:rPr>
      <w:b/>
      <w:bCs/>
      <w:kern w:val="44"/>
      <w:sz w:val="32"/>
      <w:szCs w:val="44"/>
    </w:rPr>
  </w:style>
  <w:style w:type="paragraph" w:styleId="3">
    <w:name w:val="heading 2"/>
    <w:basedOn w:val="1"/>
    <w:next w:val="1"/>
    <w:qFormat/>
    <w:uiPriority w:val="0"/>
    <w:pPr>
      <w:keepNext/>
      <w:keepLines/>
      <w:snapToGrid w:val="0"/>
      <w:spacing w:line="360" w:lineRule="auto"/>
      <w:jc w:val="left"/>
      <w:outlineLvl w:val="1"/>
    </w:pPr>
    <w:rPr>
      <w:rFonts w:ascii="Arial" w:hAnsi="Arial" w:eastAsia="楷体"/>
      <w:b/>
      <w:bCs/>
      <w:sz w:val="30"/>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qFormat/>
    <w:uiPriority w:val="0"/>
    <w:rPr>
      <w:rFonts w:ascii="宋体"/>
      <w:sz w:val="18"/>
      <w:szCs w:val="18"/>
    </w:rPr>
  </w:style>
  <w:style w:type="paragraph" w:styleId="6">
    <w:name w:val="annotation text"/>
    <w:basedOn w:val="1"/>
    <w:link w:val="43"/>
    <w:qFormat/>
    <w:uiPriority w:val="0"/>
    <w:pPr>
      <w:jc w:val="left"/>
    </w:pPr>
  </w:style>
  <w:style w:type="paragraph" w:styleId="7">
    <w:name w:val="Body Text Indent"/>
    <w:basedOn w:val="1"/>
    <w:qFormat/>
    <w:uiPriority w:val="0"/>
    <w:pPr>
      <w:ind w:firstLine="360"/>
    </w:pPr>
    <w:rPr>
      <w:szCs w:val="20"/>
    </w:rPr>
  </w:style>
  <w:style w:type="paragraph" w:styleId="8">
    <w:name w:val="toc 3"/>
    <w:basedOn w:val="1"/>
    <w:next w:val="1"/>
    <w:qFormat/>
    <w:uiPriority w:val="39"/>
    <w:pPr>
      <w:ind w:left="840" w:leftChars="400"/>
    </w:pPr>
    <w:rPr>
      <w:rFonts w:eastAsia="楷体"/>
    </w:rPr>
  </w:style>
  <w:style w:type="paragraph" w:styleId="9">
    <w:name w:val="Date"/>
    <w:basedOn w:val="1"/>
    <w:next w:val="1"/>
    <w:qFormat/>
    <w:uiPriority w:val="0"/>
    <w:pPr>
      <w:ind w:left="100" w:leftChars="2500"/>
    </w:pPr>
  </w:style>
  <w:style w:type="paragraph" w:styleId="10">
    <w:name w:val="Body Text Indent 2"/>
    <w:basedOn w:val="1"/>
    <w:qFormat/>
    <w:uiPriority w:val="0"/>
    <w:pPr>
      <w:adjustRightInd w:val="0"/>
      <w:spacing w:line="360" w:lineRule="auto"/>
      <w:ind w:firstLine="560" w:firstLineChars="200"/>
      <w:jc w:val="left"/>
      <w:textAlignment w:val="baseline"/>
    </w:pPr>
    <w:rPr>
      <w:rFonts w:ascii="楷体_GB2312" w:hAnsi="宋体" w:eastAsia="楷体_GB2312"/>
      <w:kern w:val="0"/>
      <w:sz w:val="28"/>
      <w:szCs w:val="20"/>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adjustRightInd w:val="0"/>
      <w:snapToGrid w:val="0"/>
      <w:jc w:val="left"/>
      <w:textAlignment w:val="baseline"/>
    </w:pPr>
    <w:rPr>
      <w:kern w:val="0"/>
      <w:sz w:val="18"/>
      <w:szCs w:val="20"/>
    </w:rPr>
  </w:style>
  <w:style w:type="paragraph" w:styleId="13">
    <w:name w:val="header"/>
    <w:basedOn w:val="1"/>
    <w:qFormat/>
    <w:uiPriority w:val="0"/>
    <w:pPr>
      <w:pBdr>
        <w:bottom w:val="single" w:color="auto" w:sz="6" w:space="1"/>
      </w:pBdr>
      <w:tabs>
        <w:tab w:val="center" w:pos="4153"/>
        <w:tab w:val="right" w:pos="8306"/>
      </w:tabs>
      <w:adjustRightInd w:val="0"/>
      <w:snapToGrid w:val="0"/>
      <w:jc w:val="center"/>
      <w:textAlignment w:val="baseline"/>
    </w:pPr>
    <w:rPr>
      <w:kern w:val="0"/>
      <w:sz w:val="18"/>
      <w:szCs w:val="20"/>
    </w:rPr>
  </w:style>
  <w:style w:type="paragraph" w:styleId="14">
    <w:name w:val="toc 1"/>
    <w:basedOn w:val="1"/>
    <w:next w:val="1"/>
    <w:qFormat/>
    <w:uiPriority w:val="39"/>
    <w:pPr>
      <w:jc w:val="distribute"/>
    </w:pPr>
    <w:rPr>
      <w:rFonts w:ascii="仿宋_GB2312" w:hAnsi="宋体" w:eastAsia="楷体"/>
      <w:spacing w:val="36"/>
      <w:sz w:val="28"/>
    </w:rPr>
  </w:style>
  <w:style w:type="paragraph" w:styleId="15">
    <w:name w:val="Body Text Indent 3"/>
    <w:basedOn w:val="1"/>
    <w:qFormat/>
    <w:uiPriority w:val="0"/>
    <w:pPr>
      <w:adjustRightInd w:val="0"/>
      <w:spacing w:line="360" w:lineRule="auto"/>
      <w:ind w:firstLine="560" w:firstLineChars="200"/>
      <w:textAlignment w:val="baseline"/>
    </w:pPr>
    <w:rPr>
      <w:rFonts w:ascii="仿宋_GB2312" w:hAnsi="宋体" w:eastAsia="仿宋_GB2312"/>
      <w:kern w:val="0"/>
      <w:sz w:val="28"/>
      <w:szCs w:val="20"/>
    </w:rPr>
  </w:style>
  <w:style w:type="paragraph" w:styleId="16">
    <w:name w:val="toc 2"/>
    <w:basedOn w:val="1"/>
    <w:next w:val="1"/>
    <w:qFormat/>
    <w:uiPriority w:val="39"/>
    <w:rPr>
      <w:rFonts w:eastAsia="楷体"/>
    </w:r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annotation subject"/>
    <w:basedOn w:val="6"/>
    <w:next w:val="6"/>
    <w:link w:val="44"/>
    <w:qFormat/>
    <w:uiPriority w:val="0"/>
    <w:rPr>
      <w:b/>
      <w:bCs/>
    </w:r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qFormat/>
    <w:uiPriority w:val="0"/>
  </w:style>
  <w:style w:type="character" w:styleId="24">
    <w:name w:val="FollowedHyperlink"/>
    <w:qFormat/>
    <w:uiPriority w:val="0"/>
    <w:rPr>
      <w:color w:val="012E22"/>
      <w:u w:val="none"/>
    </w:rPr>
  </w:style>
  <w:style w:type="character" w:styleId="25">
    <w:name w:val="Hyperlink"/>
    <w:qFormat/>
    <w:uiPriority w:val="99"/>
    <w:rPr>
      <w:color w:val="012E22"/>
      <w:u w:val="none"/>
    </w:rPr>
  </w:style>
  <w:style w:type="character" w:styleId="26">
    <w:name w:val="annotation reference"/>
    <w:basedOn w:val="21"/>
    <w:qFormat/>
    <w:uiPriority w:val="0"/>
    <w:rPr>
      <w:sz w:val="21"/>
      <w:szCs w:val="21"/>
    </w:rPr>
  </w:style>
  <w:style w:type="character" w:customStyle="1" w:styleId="27">
    <w:name w:val="标题 1 Char"/>
    <w:link w:val="2"/>
    <w:qFormat/>
    <w:uiPriority w:val="0"/>
    <w:rPr>
      <w:rFonts w:eastAsia="宋体"/>
      <w:b/>
      <w:bCs/>
      <w:kern w:val="44"/>
      <w:sz w:val="32"/>
      <w:szCs w:val="44"/>
    </w:rPr>
  </w:style>
  <w:style w:type="paragraph" w:customStyle="1" w:styleId="28">
    <w:name w:val="报告模板"/>
    <w:basedOn w:val="29"/>
    <w:qFormat/>
    <w:uiPriority w:val="0"/>
    <w:pPr>
      <w:spacing w:line="560" w:lineRule="exact"/>
      <w:ind w:firstLine="560"/>
      <w:jc w:val="left"/>
    </w:pPr>
    <w:rPr>
      <w:rFonts w:hAnsi="仿宋_GB2312" w:cs="宋体"/>
      <w:szCs w:val="20"/>
    </w:rPr>
  </w:style>
  <w:style w:type="paragraph" w:customStyle="1" w:styleId="29">
    <w:name w:val="龙泰正文 + First line:  2 ch1"/>
    <w:basedOn w:val="30"/>
    <w:qFormat/>
    <w:uiPriority w:val="0"/>
    <w:pPr>
      <w:ind w:firstLine="600"/>
    </w:pPr>
  </w:style>
  <w:style w:type="paragraph" w:customStyle="1" w:styleId="30">
    <w:name w:val="龙泰正文"/>
    <w:basedOn w:val="1"/>
    <w:qFormat/>
    <w:uiPriority w:val="0"/>
    <w:pPr>
      <w:autoSpaceDE w:val="0"/>
      <w:autoSpaceDN w:val="0"/>
      <w:spacing w:line="360" w:lineRule="auto"/>
      <w:ind w:firstLine="200" w:firstLineChars="200"/>
    </w:pPr>
    <w:rPr>
      <w:rFonts w:ascii="仿宋_GB2312" w:hAnsi="Arial" w:eastAsia="仿宋_GB2312"/>
      <w:szCs w:val="28"/>
    </w:rPr>
  </w:style>
  <w:style w:type="character" w:customStyle="1" w:styleId="31">
    <w:name w:val="文档结构图 Char"/>
    <w:link w:val="5"/>
    <w:qFormat/>
    <w:uiPriority w:val="0"/>
    <w:rPr>
      <w:rFonts w:ascii="宋体"/>
      <w:kern w:val="2"/>
      <w:sz w:val="18"/>
      <w:szCs w:val="18"/>
    </w:rPr>
  </w:style>
  <w:style w:type="character" w:customStyle="1" w:styleId="32">
    <w:name w:val="font11"/>
    <w:basedOn w:val="21"/>
    <w:qFormat/>
    <w:uiPriority w:val="0"/>
    <w:rPr>
      <w:rFonts w:hint="eastAsia" w:ascii="宋体" w:hAnsi="宋体" w:eastAsia="宋体" w:cs="宋体"/>
      <w:color w:val="000000"/>
      <w:sz w:val="24"/>
      <w:szCs w:val="24"/>
      <w:u w:val="none"/>
    </w:rPr>
  </w:style>
  <w:style w:type="character" w:customStyle="1" w:styleId="33">
    <w:name w:val="client1"/>
    <w:basedOn w:val="21"/>
    <w:qFormat/>
    <w:uiPriority w:val="0"/>
  </w:style>
  <w:style w:type="character" w:customStyle="1" w:styleId="34">
    <w:name w:val="r_价值类型"/>
    <w:basedOn w:val="21"/>
    <w:qFormat/>
    <w:uiPriority w:val="0"/>
  </w:style>
  <w:style w:type="character" w:customStyle="1" w:styleId="35">
    <w:name w:val="s_土地证号"/>
    <w:basedOn w:val="21"/>
    <w:qFormat/>
    <w:uiPriority w:val="0"/>
  </w:style>
  <w:style w:type="character" w:customStyle="1" w:styleId="36">
    <w:name w:val="font01"/>
    <w:basedOn w:val="21"/>
    <w:qFormat/>
    <w:uiPriority w:val="0"/>
    <w:rPr>
      <w:rFonts w:hint="eastAsia" w:ascii="宋体" w:hAnsi="宋体" w:eastAsia="宋体" w:cs="宋体"/>
      <w:color w:val="000000"/>
      <w:sz w:val="21"/>
      <w:szCs w:val="21"/>
      <w:u w:val="none"/>
    </w:rPr>
  </w:style>
  <w:style w:type="character" w:customStyle="1" w:styleId="37">
    <w:name w:val="r_报告编号"/>
    <w:basedOn w:val="21"/>
    <w:qFormat/>
    <w:uiPriority w:val="0"/>
  </w:style>
  <w:style w:type="character" w:customStyle="1" w:styleId="38">
    <w:name w:val="r_结束日期(长)"/>
    <w:basedOn w:val="21"/>
    <w:qFormat/>
    <w:uiPriority w:val="0"/>
  </w:style>
  <w:style w:type="character" w:customStyle="1" w:styleId="39">
    <w:name w:val="s_地址"/>
    <w:basedOn w:val="21"/>
    <w:qFormat/>
    <w:uiPriority w:val="0"/>
  </w:style>
  <w:style w:type="character" w:customStyle="1" w:styleId="40">
    <w:name w:val="s_权利人"/>
    <w:basedOn w:val="21"/>
    <w:qFormat/>
    <w:uiPriority w:val="0"/>
  </w:style>
  <w:style w:type="character" w:customStyle="1" w:styleId="41">
    <w:name w:val="15"/>
    <w:qFormat/>
    <w:uiPriority w:val="0"/>
    <w:rPr>
      <w:rFonts w:hint="default" w:ascii="Verdana" w:hAnsi="Verdana" w:eastAsia="Times New Roman" w:cs="Verdana"/>
      <w:sz w:val="20"/>
      <w:szCs w:val="20"/>
    </w:rPr>
  </w:style>
  <w:style w:type="character" w:customStyle="1" w:styleId="42">
    <w:name w:val="10"/>
    <w:qFormat/>
    <w:uiPriority w:val="0"/>
    <w:rPr>
      <w:rFonts w:hint="default" w:ascii="Verdana" w:hAnsi="Verdana" w:eastAsia="Times New Roman" w:cs="Verdana"/>
      <w:sz w:val="20"/>
      <w:szCs w:val="20"/>
    </w:rPr>
  </w:style>
  <w:style w:type="character" w:customStyle="1" w:styleId="43">
    <w:name w:val="批注文字 Char"/>
    <w:basedOn w:val="21"/>
    <w:link w:val="6"/>
    <w:qFormat/>
    <w:uiPriority w:val="0"/>
    <w:rPr>
      <w:kern w:val="2"/>
      <w:sz w:val="21"/>
      <w:szCs w:val="24"/>
    </w:rPr>
  </w:style>
  <w:style w:type="character" w:customStyle="1" w:styleId="44">
    <w:name w:val="批注主题 Char"/>
    <w:basedOn w:val="43"/>
    <w:link w:val="18"/>
    <w:qFormat/>
    <w:uiPriority w:val="0"/>
    <w:rPr>
      <w:b/>
      <w:bCs/>
      <w:kern w:val="2"/>
      <w:sz w:val="21"/>
      <w:szCs w:val="24"/>
    </w:rPr>
  </w:style>
  <w:style w:type="paragraph" w:styleId="45">
    <w:name w:val="List Paragraph"/>
    <w:basedOn w:val="1"/>
    <w:qFormat/>
    <w:uiPriority w:val="34"/>
    <w:pPr>
      <w:ind w:firstLine="420" w:firstLineChars="200"/>
    </w:pPr>
    <w:rPr>
      <w:rFonts w:ascii="Calibri" w:hAnsi="Calibri"/>
      <w:szCs w:val="22"/>
    </w:rPr>
  </w:style>
  <w:style w:type="character" w:styleId="46">
    <w:name w:val="Placeholder Text"/>
    <w:basedOn w:val="21"/>
    <w:unhideWhenUsed/>
    <w:qFormat/>
    <w:uiPriority w:val="99"/>
    <w:rPr>
      <w:color w:val="808080"/>
    </w:rPr>
  </w:style>
  <w:style w:type="character" w:customStyle="1" w:styleId="47">
    <w:name w:val="font21"/>
    <w:basedOn w:val="21"/>
    <w:qFormat/>
    <w:uiPriority w:val="0"/>
    <w:rPr>
      <w:rFonts w:hint="eastAsia" w:ascii="楷体" w:hAnsi="楷体" w:eastAsia="楷体" w:cs="楷体"/>
      <w:b/>
      <w:color w:val="000000"/>
      <w:sz w:val="24"/>
      <w:szCs w:val="24"/>
      <w:u w:val="none"/>
    </w:rPr>
  </w:style>
  <w:style w:type="character" w:customStyle="1" w:styleId="48">
    <w:name w:val="font41"/>
    <w:basedOn w:val="21"/>
    <w:qFormat/>
    <w:uiPriority w:val="0"/>
    <w:rPr>
      <w:rFonts w:hint="eastAsia" w:ascii="楷体" w:hAnsi="楷体" w:eastAsia="楷体" w:cs="楷体"/>
      <w:b/>
      <w:color w:val="000000"/>
      <w:sz w:val="24"/>
      <w:szCs w:val="24"/>
      <w:u w:val="none"/>
    </w:rPr>
  </w:style>
  <w:style w:type="character" w:customStyle="1" w:styleId="49">
    <w:name w:val="font31"/>
    <w:basedOn w:val="21"/>
    <w:qFormat/>
    <w:uiPriority w:val="0"/>
    <w:rPr>
      <w:rFonts w:hint="eastAsia" w:ascii="楷体" w:hAnsi="楷体" w:eastAsia="楷体" w:cs="楷体"/>
      <w:b/>
      <w:color w:val="000000"/>
      <w:sz w:val="24"/>
      <w:szCs w:val="24"/>
      <w:u w:val="none"/>
    </w:rPr>
  </w:style>
  <w:style w:type="character" w:customStyle="1" w:styleId="50">
    <w:name w:val="font51"/>
    <w:basedOn w:val="21"/>
    <w:qFormat/>
    <w:uiPriority w:val="0"/>
    <w:rPr>
      <w:rFonts w:hint="eastAsia" w:ascii="楷体" w:hAnsi="楷体" w:eastAsia="楷体" w:cs="楷体"/>
      <w:b/>
      <w:color w:val="000000"/>
      <w:sz w:val="24"/>
      <w:szCs w:val="24"/>
      <w:u w:val="none"/>
    </w:rPr>
  </w:style>
  <w:style w:type="paragraph" w:customStyle="1" w:styleId="51">
    <w:name w:val="WPSOffice手动目录 2"/>
    <w:qFormat/>
    <w:uiPriority w:val="0"/>
    <w:pPr>
      <w:ind w:left="200" w:leftChars="200"/>
    </w:pPr>
    <w:rPr>
      <w:rFonts w:ascii="Calibri" w:hAnsi="Calibri" w:eastAsia="宋体" w:cs="Times New Roman"/>
      <w:lang w:val="en-US" w:eastAsia="zh-CN" w:bidi="ar-SA"/>
    </w:rPr>
  </w:style>
  <w:style w:type="paragraph" w:customStyle="1" w:styleId="52">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19FB-F1FC-4F70-B364-CE958C6AC513}">
  <ds:schemaRefs/>
</ds:datastoreItem>
</file>

<file path=docProps/app.xml><?xml version="1.0" encoding="utf-8"?>
<Properties xmlns="http://schemas.openxmlformats.org/officeDocument/2006/extended-properties" xmlns:vt="http://schemas.openxmlformats.org/officeDocument/2006/docPropsVTypes">
  <Template>Normal</Template>
  <Company>天平评估</Company>
  <Pages>22</Pages>
  <Words>7996</Words>
  <Characters>8425</Characters>
  <Lines>228</Lines>
  <Paragraphs>64</Paragraphs>
  <TotalTime>149</TotalTime>
  <ScaleCrop>false</ScaleCrop>
  <LinksUpToDate>false</LinksUpToDate>
  <CharactersWithSpaces>8682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2018-04-02T03:35:00Z</dcterms:created>
  <dc:creator>秦振贤</dc:creator>
  <cp:lastModifiedBy>淡水</cp:lastModifiedBy>
  <cp:lastPrinted>2022-08-15T08:52:00Z</cp:lastPrinted>
  <dcterms:modified xsi:type="dcterms:W3CDTF">2022-08-16T07:50:40Z</dcterms:modified>
  <dc:title>估价结果报告</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1DA31387B9704B6CBC3F5FAA1FF9CE81</vt:lpwstr>
  </property>
</Properties>
</file>