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宋体" w:hAnsi="宋体"/>
          <w:b/>
          <w:bCs/>
          <w:sz w:val="44"/>
        </w:rPr>
      </w:pPr>
    </w:p>
    <w:p>
      <w:pPr>
        <w:spacing w:line="480" w:lineRule="auto"/>
        <w:jc w:val="center"/>
        <w:rPr>
          <w:rFonts w:ascii="宋体" w:hAnsi="宋体"/>
          <w:b/>
          <w:bCs/>
          <w:sz w:val="44"/>
        </w:rPr>
      </w:pPr>
    </w:p>
    <w:p>
      <w:pPr>
        <w:jc w:val="center"/>
        <w:rPr>
          <w:rFonts w:ascii="宋体" w:hAnsi="宋体"/>
          <w:b/>
          <w:sz w:val="44"/>
          <w:szCs w:val="44"/>
        </w:rPr>
      </w:pPr>
      <w:r>
        <w:rPr>
          <w:rFonts w:hint="eastAsia" w:ascii="宋体" w:hAnsi="宋体"/>
          <w:b/>
          <w:sz w:val="44"/>
          <w:szCs w:val="44"/>
        </w:rPr>
        <w:t>涉执房地产司法处置评估报告</w:t>
      </w:r>
    </w:p>
    <w:p>
      <w:pPr>
        <w:jc w:val="center"/>
        <w:rPr>
          <w:rFonts w:ascii="宋体" w:hAnsi="宋体"/>
        </w:rPr>
      </w:pPr>
    </w:p>
    <w:p>
      <w:pPr>
        <w:spacing w:line="360" w:lineRule="auto"/>
        <w:jc w:val="center"/>
      </w:pPr>
      <w:r>
        <w:drawing>
          <wp:inline distT="0" distB="0" distL="0" distR="0">
            <wp:extent cx="2429510" cy="3239770"/>
            <wp:effectExtent l="0" t="0" r="8890" b="0"/>
            <wp:docPr id="4" name="图片 4" descr="建筑旁的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建筑旁的树&#10;&#10;描述已自动生成"/>
                    <pic:cNvPicPr>
                      <a:picLocks noChangeAspect="1" noChangeArrowheads="1"/>
                    </pic:cNvPicPr>
                  </pic:nvPicPr>
                  <pic:blipFill>
                    <a:blip r:embed="rId13" cstate="print"/>
                    <a:srcRect/>
                    <a:stretch>
                      <a:fillRect/>
                    </a:stretch>
                  </pic:blipFill>
                  <pic:spPr>
                    <a:xfrm>
                      <a:off x="0" y="0"/>
                      <a:ext cx="2429938" cy="3240000"/>
                    </a:xfrm>
                    <a:prstGeom prst="rect">
                      <a:avLst/>
                    </a:prstGeom>
                    <a:noFill/>
                    <a:ln>
                      <a:noFill/>
                    </a:ln>
                  </pic:spPr>
                </pic:pic>
              </a:graphicData>
            </a:graphic>
          </wp:inline>
        </w:drawing>
      </w:r>
    </w:p>
    <w:p>
      <w:pPr>
        <w:spacing w:line="360" w:lineRule="auto"/>
        <w:jc w:val="center"/>
      </w:pPr>
    </w:p>
    <w:tbl>
      <w:tblPr>
        <w:tblStyle w:val="19"/>
        <w:tblpPr w:leftFromText="180" w:rightFromText="180" w:vertAnchor="text" w:horzAnchor="margin" w:tblpXSpec="center" w:tblpY="38"/>
        <w:tblOverlap w:val="never"/>
        <w:tblW w:w="0" w:type="auto"/>
        <w:tblInd w:w="0" w:type="dxa"/>
        <w:tblLayout w:type="fixed"/>
        <w:tblCellMar>
          <w:top w:w="0" w:type="dxa"/>
          <w:left w:w="108" w:type="dxa"/>
          <w:bottom w:w="0" w:type="dxa"/>
          <w:right w:w="108" w:type="dxa"/>
        </w:tblCellMar>
      </w:tblPr>
      <w:tblGrid>
        <w:gridCol w:w="2850"/>
        <w:gridCol w:w="6225"/>
      </w:tblGrid>
      <w:tr>
        <w:tblPrEx>
          <w:tblCellMar>
            <w:top w:w="0" w:type="dxa"/>
            <w:left w:w="108" w:type="dxa"/>
            <w:bottom w:w="0" w:type="dxa"/>
            <w:right w:w="108" w:type="dxa"/>
          </w:tblCellMar>
        </w:tblPrEx>
        <w:trPr>
          <w:trHeight w:val="1276" w:hRule="exact"/>
        </w:trPr>
        <w:tc>
          <w:tcPr>
            <w:tcW w:w="2850" w:type="dxa"/>
            <w:tcBorders>
              <w:top w:val="nil"/>
              <w:left w:val="nil"/>
              <w:bottom w:val="nil"/>
              <w:right w:val="nil"/>
            </w:tcBorders>
          </w:tcPr>
          <w:p>
            <w:pPr>
              <w:snapToGrid w:val="0"/>
              <w:spacing w:line="288" w:lineRule="auto"/>
              <w:jc w:val="distribute"/>
              <w:rPr>
                <w:rFonts w:ascii="宋体" w:hAnsi="宋体" w:cs="宋体"/>
                <w:b/>
                <w:sz w:val="28"/>
                <w:szCs w:val="28"/>
              </w:rPr>
            </w:pPr>
            <w:r>
              <w:rPr>
                <w:rFonts w:hint="eastAsia" w:ascii="宋体" w:hAnsi="宋体"/>
                <w:b/>
                <w:sz w:val="28"/>
                <w:szCs w:val="28"/>
              </w:rPr>
              <w:t>估价项目名称：</w:t>
            </w:r>
          </w:p>
        </w:tc>
        <w:tc>
          <w:tcPr>
            <w:tcW w:w="6225" w:type="dxa"/>
            <w:tcBorders>
              <w:top w:val="nil"/>
              <w:left w:val="nil"/>
              <w:bottom w:val="nil"/>
              <w:right w:val="nil"/>
            </w:tcBorders>
          </w:tcPr>
          <w:p>
            <w:pPr>
              <w:snapToGrid w:val="0"/>
              <w:spacing w:line="288" w:lineRule="auto"/>
              <w:rPr>
                <w:rFonts w:ascii="宋体" w:hAnsi="宋体"/>
                <w:sz w:val="28"/>
                <w:szCs w:val="28"/>
              </w:rPr>
            </w:pPr>
            <w:bookmarkStart w:id="0" w:name="位置—行政区域"/>
            <w:r>
              <w:rPr>
                <w:rFonts w:hint="eastAsia" w:ascii="宋体" w:hAnsi="宋体"/>
                <w:sz w:val="28"/>
                <w:szCs w:val="28"/>
              </w:rPr>
              <w:t>福建省福州市</w:t>
            </w:r>
            <w:bookmarkEnd w:id="0"/>
            <w:bookmarkStart w:id="1" w:name="位置—项目地理位置"/>
            <w:r>
              <w:rPr>
                <w:rFonts w:hint="eastAsia" w:ascii="宋体" w:hAnsi="宋体"/>
                <w:sz w:val="28"/>
                <w:szCs w:val="28"/>
              </w:rPr>
              <w:t>台江区宁化街道西环南路39号</w:t>
            </w:r>
            <w:bookmarkEnd w:id="1"/>
            <w:bookmarkStart w:id="2" w:name="位置—小区名称"/>
            <w:r>
              <w:rPr>
                <w:rFonts w:hint="eastAsia" w:ascii="宋体" w:hAnsi="宋体"/>
                <w:sz w:val="28"/>
                <w:szCs w:val="28"/>
              </w:rPr>
              <w:t>正荣·润城3#楼2004复式单元住宅</w:t>
            </w:r>
            <w:bookmarkEnd w:id="2"/>
            <w:r>
              <w:rPr>
                <w:rFonts w:hint="eastAsia" w:ascii="宋体" w:hAnsi="宋体"/>
                <w:sz w:val="28"/>
                <w:szCs w:val="28"/>
              </w:rPr>
              <w:t>房地产司法执行财产处置房地产估价</w:t>
            </w:r>
          </w:p>
        </w:tc>
      </w:tr>
      <w:tr>
        <w:tblPrEx>
          <w:tblCellMar>
            <w:top w:w="0" w:type="dxa"/>
            <w:left w:w="108" w:type="dxa"/>
            <w:bottom w:w="0" w:type="dxa"/>
            <w:right w:w="108" w:type="dxa"/>
          </w:tblCellMar>
        </w:tblPrEx>
        <w:trPr>
          <w:trHeight w:val="510" w:hRule="exact"/>
        </w:trPr>
        <w:tc>
          <w:tcPr>
            <w:tcW w:w="2850" w:type="dxa"/>
            <w:tcBorders>
              <w:top w:val="nil"/>
              <w:left w:val="nil"/>
              <w:bottom w:val="nil"/>
              <w:right w:val="nil"/>
            </w:tcBorders>
            <w:vAlign w:val="center"/>
          </w:tcPr>
          <w:p>
            <w:pPr>
              <w:jc w:val="distribute"/>
              <w:rPr>
                <w:rFonts w:ascii="宋体" w:hAnsi="宋体" w:cs="宋体"/>
                <w:b/>
                <w:sz w:val="28"/>
                <w:szCs w:val="28"/>
              </w:rPr>
            </w:pPr>
            <w:r>
              <w:rPr>
                <w:rFonts w:hint="eastAsia" w:ascii="宋体" w:hAnsi="宋体"/>
                <w:b/>
                <w:sz w:val="28"/>
                <w:szCs w:val="28"/>
              </w:rPr>
              <w:t>估价委托人：</w:t>
            </w:r>
          </w:p>
        </w:tc>
        <w:tc>
          <w:tcPr>
            <w:tcW w:w="6225" w:type="dxa"/>
            <w:tcBorders>
              <w:top w:val="nil"/>
              <w:left w:val="nil"/>
              <w:bottom w:val="nil"/>
              <w:right w:val="nil"/>
            </w:tcBorders>
            <w:vAlign w:val="center"/>
          </w:tcPr>
          <w:p>
            <w:pPr>
              <w:rPr>
                <w:rFonts w:ascii="宋体" w:hAnsi="宋体" w:cs="宋体"/>
                <w:sz w:val="28"/>
                <w:szCs w:val="28"/>
              </w:rPr>
            </w:pPr>
            <w:bookmarkStart w:id="3" w:name="估价项目基本信息—估价委托人"/>
            <w:r>
              <w:rPr>
                <w:rFonts w:hint="eastAsia" w:ascii="宋体" w:hAnsi="宋体"/>
                <w:sz w:val="28"/>
                <w:szCs w:val="28"/>
              </w:rPr>
              <w:t>闽侯县人民法院</w:t>
            </w:r>
            <w:bookmarkEnd w:id="3"/>
          </w:p>
        </w:tc>
      </w:tr>
      <w:tr>
        <w:tblPrEx>
          <w:tblCellMar>
            <w:top w:w="0" w:type="dxa"/>
            <w:left w:w="108" w:type="dxa"/>
            <w:bottom w:w="0" w:type="dxa"/>
            <w:right w:w="108" w:type="dxa"/>
          </w:tblCellMar>
        </w:tblPrEx>
        <w:trPr>
          <w:trHeight w:val="510" w:hRule="exact"/>
        </w:trPr>
        <w:tc>
          <w:tcPr>
            <w:tcW w:w="2850" w:type="dxa"/>
            <w:tcBorders>
              <w:top w:val="nil"/>
              <w:left w:val="nil"/>
              <w:bottom w:val="nil"/>
              <w:right w:val="nil"/>
            </w:tcBorders>
            <w:vAlign w:val="center"/>
          </w:tcPr>
          <w:p>
            <w:pPr>
              <w:jc w:val="distribute"/>
              <w:rPr>
                <w:rFonts w:ascii="宋体" w:hAnsi="宋体" w:cs="宋体"/>
                <w:b/>
                <w:sz w:val="28"/>
                <w:szCs w:val="28"/>
              </w:rPr>
            </w:pPr>
            <w:r>
              <w:rPr>
                <w:rFonts w:hint="eastAsia" w:ascii="宋体" w:hAnsi="宋体"/>
                <w:b/>
                <w:sz w:val="28"/>
                <w:szCs w:val="28"/>
              </w:rPr>
              <w:t>房地产估价机构：</w:t>
            </w:r>
          </w:p>
        </w:tc>
        <w:tc>
          <w:tcPr>
            <w:tcW w:w="6225" w:type="dxa"/>
            <w:tcBorders>
              <w:top w:val="nil"/>
              <w:left w:val="nil"/>
              <w:bottom w:val="nil"/>
              <w:right w:val="nil"/>
            </w:tcBorders>
            <w:vAlign w:val="center"/>
          </w:tcPr>
          <w:p>
            <w:pPr>
              <w:rPr>
                <w:rFonts w:ascii="宋体" w:hAnsi="宋体" w:cs="宋体"/>
                <w:sz w:val="28"/>
                <w:szCs w:val="28"/>
              </w:rPr>
            </w:pPr>
            <w:r>
              <w:rPr>
                <w:rFonts w:hint="eastAsia" w:ascii="宋体" w:hAnsi="宋体"/>
                <w:sz w:val="28"/>
                <w:szCs w:val="28"/>
              </w:rPr>
              <w:t>福建中兴资产评估房地产土地估价有限责任公司</w:t>
            </w:r>
          </w:p>
        </w:tc>
      </w:tr>
      <w:tr>
        <w:tblPrEx>
          <w:tblCellMar>
            <w:top w:w="0" w:type="dxa"/>
            <w:left w:w="108" w:type="dxa"/>
            <w:bottom w:w="0" w:type="dxa"/>
            <w:right w:w="108" w:type="dxa"/>
          </w:tblCellMar>
        </w:tblPrEx>
        <w:trPr>
          <w:trHeight w:val="544" w:hRule="exact"/>
        </w:trPr>
        <w:tc>
          <w:tcPr>
            <w:tcW w:w="2850" w:type="dxa"/>
            <w:tcBorders>
              <w:top w:val="nil"/>
              <w:left w:val="nil"/>
              <w:bottom w:val="nil"/>
              <w:right w:val="nil"/>
            </w:tcBorders>
            <w:vAlign w:val="center"/>
          </w:tcPr>
          <w:p>
            <w:pPr>
              <w:jc w:val="distribute"/>
              <w:rPr>
                <w:rFonts w:ascii="宋体" w:hAnsi="宋体" w:cs="宋体"/>
                <w:b/>
                <w:sz w:val="28"/>
                <w:szCs w:val="28"/>
              </w:rPr>
            </w:pPr>
            <w:r>
              <w:rPr>
                <w:rFonts w:hint="eastAsia" w:ascii="宋体" w:hAnsi="宋体"/>
                <w:b/>
                <w:sz w:val="28"/>
                <w:szCs w:val="28"/>
              </w:rPr>
              <w:t>注册房地产估价师：</w:t>
            </w:r>
          </w:p>
        </w:tc>
        <w:tc>
          <w:tcPr>
            <w:tcW w:w="6225" w:type="dxa"/>
            <w:tcBorders>
              <w:top w:val="nil"/>
              <w:left w:val="nil"/>
              <w:bottom w:val="nil"/>
              <w:right w:val="nil"/>
            </w:tcBorders>
            <w:vAlign w:val="center"/>
          </w:tcPr>
          <w:p>
            <w:pPr>
              <w:rPr>
                <w:rFonts w:ascii="宋体" w:hAnsi="宋体"/>
                <w:sz w:val="28"/>
                <w:szCs w:val="28"/>
              </w:rPr>
            </w:pPr>
            <w:bookmarkStart w:id="4" w:name="估价项目基本信息—注册估价师1"/>
            <w:r>
              <w:rPr>
                <w:rFonts w:hint="eastAsia" w:ascii="宋体" w:hAnsi="宋体"/>
                <w:sz w:val="28"/>
                <w:szCs w:val="28"/>
              </w:rPr>
              <w:t>黄彬</w:t>
            </w:r>
            <w:bookmarkEnd w:id="4"/>
            <w:r>
              <w:rPr>
                <w:rFonts w:hint="eastAsia" w:ascii="宋体" w:hAnsi="宋体"/>
                <w:sz w:val="28"/>
                <w:szCs w:val="28"/>
              </w:rPr>
              <w:t>（注册号：</w:t>
            </w:r>
            <w:bookmarkStart w:id="5" w:name="估价项目基本信息—注册估价师1—注册号"/>
            <w:r>
              <w:rPr>
                <w:rFonts w:hint="eastAsia" w:ascii="宋体" w:hAnsi="宋体"/>
                <w:sz w:val="28"/>
                <w:szCs w:val="28"/>
              </w:rPr>
              <w:t>35</w:t>
            </w:r>
            <w:r>
              <w:rPr>
                <w:rFonts w:ascii="宋体" w:hAnsi="宋体"/>
                <w:sz w:val="28"/>
                <w:szCs w:val="28"/>
              </w:rPr>
              <w:t>20190063</w:t>
            </w:r>
            <w:bookmarkEnd w:id="5"/>
            <w:r>
              <w:rPr>
                <w:rFonts w:hint="eastAsia" w:ascii="宋体" w:hAnsi="宋体"/>
                <w:sz w:val="28"/>
                <w:szCs w:val="28"/>
              </w:rPr>
              <w:t>）</w:t>
            </w:r>
          </w:p>
          <w:p>
            <w:pPr>
              <w:rPr>
                <w:rFonts w:ascii="宋体" w:hAnsi="宋体"/>
                <w:sz w:val="28"/>
                <w:szCs w:val="28"/>
              </w:rPr>
            </w:pPr>
          </w:p>
        </w:tc>
      </w:tr>
      <w:tr>
        <w:tblPrEx>
          <w:tblCellMar>
            <w:top w:w="0" w:type="dxa"/>
            <w:left w:w="108" w:type="dxa"/>
            <w:bottom w:w="0" w:type="dxa"/>
            <w:right w:w="108" w:type="dxa"/>
          </w:tblCellMar>
        </w:tblPrEx>
        <w:trPr>
          <w:trHeight w:val="510" w:hRule="exact"/>
        </w:trPr>
        <w:tc>
          <w:tcPr>
            <w:tcW w:w="2850" w:type="dxa"/>
            <w:tcBorders>
              <w:top w:val="nil"/>
              <w:left w:val="nil"/>
              <w:bottom w:val="nil"/>
              <w:right w:val="nil"/>
            </w:tcBorders>
            <w:vAlign w:val="center"/>
          </w:tcPr>
          <w:p>
            <w:pPr>
              <w:jc w:val="distribute"/>
              <w:rPr>
                <w:rFonts w:ascii="宋体" w:hAnsi="宋体" w:cs="宋体"/>
                <w:sz w:val="28"/>
                <w:szCs w:val="28"/>
              </w:rPr>
            </w:pPr>
          </w:p>
        </w:tc>
        <w:tc>
          <w:tcPr>
            <w:tcW w:w="6225" w:type="dxa"/>
            <w:tcBorders>
              <w:top w:val="nil"/>
              <w:left w:val="nil"/>
              <w:bottom w:val="nil"/>
              <w:right w:val="nil"/>
            </w:tcBorders>
            <w:vAlign w:val="center"/>
          </w:tcPr>
          <w:p>
            <w:pPr>
              <w:rPr>
                <w:rFonts w:ascii="宋体" w:hAnsi="宋体" w:cs="宋体"/>
                <w:sz w:val="28"/>
                <w:szCs w:val="28"/>
              </w:rPr>
            </w:pPr>
            <w:bookmarkStart w:id="6" w:name="估价项目基本信息—注册估价师2"/>
            <w:r>
              <w:rPr>
                <w:rFonts w:hint="eastAsia" w:ascii="宋体" w:hAnsi="宋体"/>
                <w:sz w:val="28"/>
                <w:szCs w:val="28"/>
              </w:rPr>
              <w:t>张真</w:t>
            </w:r>
            <w:bookmarkEnd w:id="6"/>
            <w:r>
              <w:rPr>
                <w:rFonts w:hint="eastAsia" w:ascii="宋体" w:hAnsi="宋体"/>
                <w:sz w:val="28"/>
                <w:szCs w:val="28"/>
              </w:rPr>
              <w:t>（注册号：</w:t>
            </w:r>
            <w:bookmarkStart w:id="7" w:name="估价项目基本信息—注册估价师2—注册号"/>
            <w:r>
              <w:rPr>
                <w:rFonts w:hint="eastAsia" w:ascii="宋体" w:hAnsi="宋体"/>
                <w:sz w:val="28"/>
                <w:szCs w:val="28"/>
              </w:rPr>
              <w:t>3520</w:t>
            </w:r>
            <w:r>
              <w:rPr>
                <w:rFonts w:ascii="宋体" w:hAnsi="宋体"/>
                <w:sz w:val="28"/>
                <w:szCs w:val="28"/>
              </w:rPr>
              <w:t>07</w:t>
            </w:r>
            <w:r>
              <w:rPr>
                <w:rFonts w:hint="eastAsia" w:ascii="宋体" w:hAnsi="宋体"/>
                <w:sz w:val="28"/>
                <w:szCs w:val="28"/>
              </w:rPr>
              <w:t>00</w:t>
            </w:r>
            <w:r>
              <w:rPr>
                <w:rFonts w:ascii="宋体" w:hAnsi="宋体"/>
                <w:sz w:val="28"/>
                <w:szCs w:val="28"/>
              </w:rPr>
              <w:t>02</w:t>
            </w:r>
            <w:bookmarkEnd w:id="7"/>
            <w:r>
              <w:rPr>
                <w:rFonts w:hint="eastAsia" w:ascii="宋体" w:hAnsi="宋体"/>
                <w:sz w:val="28"/>
                <w:szCs w:val="28"/>
              </w:rPr>
              <w:t>）</w:t>
            </w:r>
          </w:p>
        </w:tc>
      </w:tr>
      <w:tr>
        <w:tblPrEx>
          <w:tblCellMar>
            <w:top w:w="0" w:type="dxa"/>
            <w:left w:w="108" w:type="dxa"/>
            <w:bottom w:w="0" w:type="dxa"/>
            <w:right w:w="108" w:type="dxa"/>
          </w:tblCellMar>
        </w:tblPrEx>
        <w:trPr>
          <w:trHeight w:val="510" w:hRule="exact"/>
        </w:trPr>
        <w:tc>
          <w:tcPr>
            <w:tcW w:w="2850" w:type="dxa"/>
            <w:tcBorders>
              <w:top w:val="nil"/>
              <w:left w:val="nil"/>
              <w:bottom w:val="nil"/>
              <w:right w:val="nil"/>
            </w:tcBorders>
            <w:vAlign w:val="center"/>
          </w:tcPr>
          <w:p>
            <w:pPr>
              <w:jc w:val="distribute"/>
              <w:rPr>
                <w:rFonts w:ascii="宋体" w:hAnsi="宋体" w:cs="宋体"/>
                <w:b/>
                <w:sz w:val="28"/>
                <w:szCs w:val="28"/>
              </w:rPr>
            </w:pPr>
            <w:r>
              <w:rPr>
                <w:rFonts w:hint="eastAsia" w:ascii="宋体" w:hAnsi="宋体"/>
                <w:b/>
                <w:sz w:val="28"/>
                <w:szCs w:val="28"/>
              </w:rPr>
              <w:t>估价报告出具日期：</w:t>
            </w:r>
          </w:p>
        </w:tc>
        <w:tc>
          <w:tcPr>
            <w:tcW w:w="6225" w:type="dxa"/>
            <w:tcBorders>
              <w:top w:val="nil"/>
              <w:left w:val="nil"/>
              <w:bottom w:val="nil"/>
              <w:right w:val="nil"/>
            </w:tcBorders>
            <w:vAlign w:val="center"/>
          </w:tcPr>
          <w:p>
            <w:pPr>
              <w:rPr>
                <w:rFonts w:ascii="宋体" w:hAnsi="宋体" w:cs="宋体"/>
                <w:sz w:val="28"/>
                <w:szCs w:val="28"/>
              </w:rPr>
            </w:pPr>
            <w:bookmarkStart w:id="8" w:name="_Hlk24885446"/>
            <w:r>
              <w:rPr>
                <w:rFonts w:hint="eastAsia" w:ascii="宋体" w:hAnsi="宋体"/>
                <w:sz w:val="28"/>
                <w:szCs w:val="28"/>
              </w:rPr>
              <w:t>20</w:t>
            </w:r>
            <w:r>
              <w:rPr>
                <w:rFonts w:ascii="宋体" w:hAnsi="宋体"/>
                <w:sz w:val="28"/>
                <w:szCs w:val="28"/>
              </w:rPr>
              <w:t>22</w:t>
            </w:r>
            <w:r>
              <w:rPr>
                <w:rFonts w:hint="eastAsia" w:ascii="宋体" w:hAnsi="宋体"/>
                <w:sz w:val="28"/>
                <w:szCs w:val="28"/>
              </w:rPr>
              <w:t>年8月3</w:t>
            </w:r>
            <w:r>
              <w:rPr>
                <w:rFonts w:ascii="宋体" w:hAnsi="宋体"/>
                <w:sz w:val="28"/>
                <w:szCs w:val="28"/>
              </w:rPr>
              <w:t>1</w:t>
            </w:r>
            <w:r>
              <w:rPr>
                <w:rFonts w:hint="eastAsia" w:ascii="宋体" w:hAnsi="宋体"/>
                <w:sz w:val="28"/>
                <w:szCs w:val="28"/>
              </w:rPr>
              <w:t>日</w:t>
            </w:r>
            <w:bookmarkEnd w:id="8"/>
          </w:p>
        </w:tc>
      </w:tr>
      <w:tr>
        <w:tblPrEx>
          <w:tblCellMar>
            <w:top w:w="0" w:type="dxa"/>
            <w:left w:w="108" w:type="dxa"/>
            <w:bottom w:w="0" w:type="dxa"/>
            <w:right w:w="108" w:type="dxa"/>
          </w:tblCellMar>
        </w:tblPrEx>
        <w:trPr>
          <w:trHeight w:val="510" w:hRule="exact"/>
        </w:trPr>
        <w:tc>
          <w:tcPr>
            <w:tcW w:w="2850" w:type="dxa"/>
            <w:tcBorders>
              <w:top w:val="nil"/>
              <w:left w:val="nil"/>
              <w:bottom w:val="nil"/>
              <w:right w:val="nil"/>
            </w:tcBorders>
            <w:vAlign w:val="center"/>
          </w:tcPr>
          <w:p>
            <w:pPr>
              <w:jc w:val="distribute"/>
              <w:rPr>
                <w:rFonts w:ascii="宋体" w:hAnsi="宋体" w:cs="宋体"/>
                <w:b/>
                <w:sz w:val="28"/>
                <w:szCs w:val="28"/>
              </w:rPr>
            </w:pPr>
            <w:r>
              <w:rPr>
                <w:rFonts w:hint="eastAsia" w:ascii="宋体" w:hAnsi="宋体"/>
                <w:b/>
                <w:sz w:val="28"/>
                <w:szCs w:val="28"/>
              </w:rPr>
              <w:t>估价报告编号：</w:t>
            </w:r>
          </w:p>
        </w:tc>
        <w:tc>
          <w:tcPr>
            <w:tcW w:w="6225" w:type="dxa"/>
            <w:tcBorders>
              <w:top w:val="nil"/>
              <w:left w:val="nil"/>
              <w:bottom w:val="nil"/>
              <w:right w:val="nil"/>
            </w:tcBorders>
            <w:vAlign w:val="center"/>
          </w:tcPr>
          <w:p>
            <w:pPr>
              <w:rPr>
                <w:rFonts w:ascii="宋体" w:hAnsi="宋体" w:cs="宋体"/>
                <w:sz w:val="28"/>
                <w:szCs w:val="28"/>
              </w:rPr>
            </w:pPr>
            <w:bookmarkStart w:id="9" w:name="估价项目项目编号"/>
            <w:r>
              <w:rPr>
                <w:rFonts w:hint="eastAsia" w:ascii="宋体" w:hAnsi="宋体"/>
                <w:sz w:val="28"/>
                <w:szCs w:val="28"/>
              </w:rPr>
              <w:t>闽中兴房估字[202</w:t>
            </w:r>
            <w:r>
              <w:rPr>
                <w:rFonts w:ascii="宋体" w:hAnsi="宋体"/>
                <w:sz w:val="28"/>
                <w:szCs w:val="28"/>
              </w:rPr>
              <w:t>2</w:t>
            </w:r>
            <w:r>
              <w:rPr>
                <w:rFonts w:hint="eastAsia" w:ascii="宋体" w:hAnsi="宋体"/>
                <w:sz w:val="28"/>
                <w:szCs w:val="28"/>
              </w:rPr>
              <w:t>]第</w:t>
            </w:r>
            <w:r>
              <w:rPr>
                <w:rFonts w:hint="eastAsia" w:ascii="宋体" w:hAnsi="宋体"/>
                <w:sz w:val="28"/>
                <w:szCs w:val="28"/>
                <w:lang w:eastAsia="zh-CN"/>
              </w:rPr>
              <w:t>TS50077</w:t>
            </w:r>
            <w:r>
              <w:rPr>
                <w:rFonts w:hint="eastAsia" w:ascii="宋体" w:hAnsi="宋体"/>
                <w:sz w:val="28"/>
                <w:szCs w:val="28"/>
              </w:rPr>
              <w:t>号</w:t>
            </w:r>
            <w:bookmarkEnd w:id="9"/>
          </w:p>
        </w:tc>
      </w:tr>
    </w:tbl>
    <w:p>
      <w:pPr>
        <w:spacing w:line="360" w:lineRule="auto"/>
        <w:jc w:val="center"/>
      </w:pPr>
    </w:p>
    <w:p>
      <w:pPr>
        <w:spacing w:line="360" w:lineRule="auto"/>
      </w:pPr>
    </w:p>
    <w:p>
      <w:pPr>
        <w:sectPr>
          <w:headerReference r:id="rId5" w:type="first"/>
          <w:headerReference r:id="rId3" w:type="default"/>
          <w:footerReference r:id="rId6" w:type="default"/>
          <w:headerReference r:id="rId4" w:type="even"/>
          <w:pgSz w:w="11906" w:h="16838"/>
          <w:pgMar w:top="1440" w:right="1080" w:bottom="1440" w:left="1080" w:header="567" w:footer="567" w:gutter="0"/>
          <w:pgNumType w:start="1"/>
          <w:cols w:space="720" w:num="1"/>
          <w:docGrid w:type="lines" w:linePitch="312" w:charSpace="0"/>
        </w:sectPr>
      </w:pPr>
      <w:bookmarkStart w:id="10" w:name="_Toc278538481"/>
      <w:bookmarkStart w:id="11" w:name="_Toc278110738"/>
      <w:bookmarkStart w:id="12" w:name="_Toc278111740"/>
      <w:bookmarkStart w:id="13" w:name="_Toc313781309"/>
      <w:bookmarkStart w:id="14" w:name="_Toc384126352"/>
      <w:bookmarkStart w:id="15" w:name="_Toc384727513"/>
      <w:bookmarkStart w:id="16" w:name="_Toc384302794"/>
      <w:bookmarkStart w:id="17" w:name="_Toc390096874"/>
      <w:bookmarkStart w:id="18" w:name="_Toc390096614"/>
    </w:p>
    <w:p/>
    <w:p>
      <w:pPr>
        <w:pStyle w:val="2"/>
        <w:numPr>
          <w:ilvl w:val="0"/>
          <w:numId w:val="0"/>
        </w:numPr>
        <w:tabs>
          <w:tab w:val="left" w:pos="1140"/>
        </w:tabs>
        <w:spacing w:line="440" w:lineRule="exact"/>
        <w:jc w:val="center"/>
        <w:rPr>
          <w:rFonts w:ascii="宋体" w:hAnsi="宋体"/>
          <w:sz w:val="32"/>
          <w:szCs w:val="32"/>
        </w:rPr>
      </w:pPr>
      <w:bookmarkStart w:id="19" w:name="_Toc29137"/>
      <w:bookmarkStart w:id="20" w:name="_Toc29969"/>
      <w:r>
        <w:rPr>
          <w:rFonts w:hint="eastAsia" w:ascii="宋体" w:hAnsi="宋体"/>
          <w:sz w:val="32"/>
          <w:szCs w:val="32"/>
        </w:rPr>
        <w:t>致估价委托人函</w:t>
      </w:r>
      <w:bookmarkEnd w:id="10"/>
      <w:bookmarkEnd w:id="11"/>
      <w:bookmarkEnd w:id="12"/>
      <w:bookmarkEnd w:id="13"/>
      <w:bookmarkEnd w:id="14"/>
      <w:bookmarkEnd w:id="15"/>
      <w:bookmarkEnd w:id="16"/>
      <w:bookmarkEnd w:id="17"/>
      <w:bookmarkEnd w:id="18"/>
      <w:bookmarkEnd w:id="19"/>
      <w:bookmarkEnd w:id="20"/>
    </w:p>
    <w:p>
      <w:pPr>
        <w:snapToGrid w:val="0"/>
        <w:spacing w:line="440" w:lineRule="exact"/>
        <w:jc w:val="center"/>
        <w:rPr>
          <w:rFonts w:ascii="宋体" w:hAnsi="宋体"/>
          <w:sz w:val="24"/>
        </w:rPr>
      </w:pPr>
      <w:bookmarkStart w:id="21" w:name="_Hlk99057294"/>
      <w:r>
        <w:rPr>
          <w:rFonts w:hint="eastAsia" w:ascii="宋体" w:hAnsi="宋体"/>
          <w:sz w:val="24"/>
        </w:rPr>
        <w:t>闽中兴房估字[202</w:t>
      </w:r>
      <w:r>
        <w:rPr>
          <w:rFonts w:ascii="宋体" w:hAnsi="宋体"/>
          <w:sz w:val="24"/>
        </w:rPr>
        <w:t>2</w:t>
      </w:r>
      <w:r>
        <w:rPr>
          <w:rFonts w:hint="eastAsia" w:ascii="宋体" w:hAnsi="宋体"/>
          <w:sz w:val="24"/>
        </w:rPr>
        <w:t>]第</w:t>
      </w:r>
      <w:r>
        <w:rPr>
          <w:rFonts w:hint="eastAsia" w:ascii="宋体" w:hAnsi="宋体"/>
          <w:sz w:val="24"/>
          <w:lang w:eastAsia="zh-CN"/>
        </w:rPr>
        <w:t>TS50077</w:t>
      </w:r>
      <w:r>
        <w:rPr>
          <w:rFonts w:hint="eastAsia" w:ascii="宋体" w:hAnsi="宋体"/>
          <w:sz w:val="24"/>
        </w:rPr>
        <w:t>号</w:t>
      </w:r>
      <w:bookmarkEnd w:id="21"/>
    </w:p>
    <w:p>
      <w:pPr>
        <w:autoSpaceDE w:val="0"/>
        <w:autoSpaceDN w:val="0"/>
        <w:snapToGrid w:val="0"/>
        <w:spacing w:line="480" w:lineRule="exact"/>
        <w:rPr>
          <w:rFonts w:ascii="宋体" w:hAnsi="宋体"/>
          <w:b/>
          <w:bCs/>
          <w:sz w:val="24"/>
        </w:rPr>
      </w:pPr>
      <w:r>
        <w:rPr>
          <w:rFonts w:hint="eastAsia" w:ascii="宋体" w:hAnsi="宋体"/>
          <w:b/>
          <w:bCs/>
          <w:sz w:val="24"/>
        </w:rPr>
        <w:t>闽侯县人民法院：</w:t>
      </w:r>
    </w:p>
    <w:p>
      <w:pPr>
        <w:snapToGrid w:val="0"/>
        <w:spacing w:line="480" w:lineRule="exact"/>
        <w:ind w:firstLine="480" w:firstLineChars="200"/>
        <w:rPr>
          <w:rFonts w:ascii="宋体" w:hAnsi="宋体"/>
          <w:sz w:val="24"/>
        </w:rPr>
      </w:pPr>
      <w:r>
        <w:rPr>
          <w:rFonts w:hint="eastAsia" w:ascii="宋体" w:hAnsi="宋体"/>
          <w:sz w:val="24"/>
        </w:rPr>
        <w:t>受贵法院的委托，本估价机构委派注册房地产估价师黄彬(注册号：35</w:t>
      </w:r>
      <w:r>
        <w:rPr>
          <w:rFonts w:ascii="宋体" w:hAnsi="宋体"/>
          <w:sz w:val="24"/>
        </w:rPr>
        <w:t>20190063</w:t>
      </w:r>
      <w:r>
        <w:rPr>
          <w:rFonts w:hint="eastAsia" w:ascii="宋体" w:hAnsi="宋体"/>
          <w:sz w:val="24"/>
        </w:rPr>
        <w:t>)、张真(注册号：3520</w:t>
      </w:r>
      <w:r>
        <w:rPr>
          <w:rFonts w:ascii="宋体" w:hAnsi="宋体"/>
          <w:sz w:val="24"/>
        </w:rPr>
        <w:t>07</w:t>
      </w:r>
      <w:r>
        <w:rPr>
          <w:rFonts w:hint="eastAsia" w:ascii="宋体" w:hAnsi="宋体"/>
          <w:sz w:val="24"/>
        </w:rPr>
        <w:t>00</w:t>
      </w:r>
      <w:r>
        <w:rPr>
          <w:rFonts w:ascii="宋体" w:hAnsi="宋体"/>
          <w:sz w:val="24"/>
        </w:rPr>
        <w:t>02</w:t>
      </w:r>
      <w:r>
        <w:rPr>
          <w:rFonts w:hint="eastAsia" w:ascii="宋体" w:hAnsi="宋体"/>
          <w:sz w:val="24"/>
        </w:rPr>
        <w:t>)对估价对象进行了估价。</w:t>
      </w:r>
    </w:p>
    <w:p>
      <w:pPr>
        <w:snapToGrid w:val="0"/>
        <w:spacing w:line="480" w:lineRule="exact"/>
        <w:ind w:firstLine="480" w:firstLineChars="200"/>
        <w:rPr>
          <w:rFonts w:ascii="宋体" w:hAnsi="宋体"/>
          <w:spacing w:val="-6"/>
          <w:sz w:val="24"/>
        </w:rPr>
      </w:pPr>
      <w:r>
        <w:rPr>
          <w:rFonts w:hint="eastAsia" w:ascii="宋体" w:hAnsi="宋体"/>
          <w:sz w:val="24"/>
        </w:rPr>
        <w:t>估价目的：</w:t>
      </w:r>
      <w:bookmarkStart w:id="22" w:name="_Hlk4847303"/>
      <w:bookmarkStart w:id="23" w:name="估价项目基本信息—评估目的"/>
      <w:r>
        <w:rPr>
          <w:rFonts w:hint="eastAsia" w:ascii="宋体" w:hAnsi="宋体"/>
          <w:sz w:val="24"/>
        </w:rPr>
        <w:t>为人民法院确定财产处置参考价提供参考依据</w:t>
      </w:r>
      <w:bookmarkEnd w:id="22"/>
      <w:bookmarkEnd w:id="23"/>
      <w:r>
        <w:rPr>
          <w:rFonts w:hint="eastAsia" w:ascii="宋体" w:hAnsi="宋体"/>
          <w:spacing w:val="-6"/>
          <w:sz w:val="24"/>
        </w:rPr>
        <w:t>。</w:t>
      </w:r>
    </w:p>
    <w:p>
      <w:pPr>
        <w:snapToGrid w:val="0"/>
        <w:spacing w:line="480" w:lineRule="exact"/>
        <w:ind w:firstLine="480" w:firstLineChars="200"/>
        <w:rPr>
          <w:rFonts w:ascii="宋体" w:hAnsi="宋体"/>
          <w:sz w:val="24"/>
        </w:rPr>
      </w:pPr>
      <w:r>
        <w:rPr>
          <w:rFonts w:hint="eastAsia" w:ascii="宋体" w:hAnsi="宋体"/>
          <w:sz w:val="24"/>
        </w:rPr>
        <w:t>估价对象：福建省福州市台江区宁化街道西环南路39号</w:t>
      </w:r>
      <w:bookmarkStart w:id="24" w:name="_Hlk14108064"/>
      <w:r>
        <w:rPr>
          <w:rFonts w:hint="eastAsia" w:ascii="宋体" w:hAnsi="宋体"/>
          <w:sz w:val="24"/>
        </w:rPr>
        <w:t>正荣·润城3#楼2004复式单元住宅</w:t>
      </w:r>
      <w:bookmarkEnd w:id="24"/>
      <w:r>
        <w:rPr>
          <w:rFonts w:hint="eastAsia" w:ascii="宋体" w:hAnsi="宋体"/>
          <w:sz w:val="24"/>
        </w:rPr>
        <w:t>房地产，财产范围包括建筑物（</w:t>
      </w:r>
      <w:bookmarkStart w:id="25" w:name="估价项目基本信息—评估内涵—装修"/>
      <w:r>
        <w:rPr>
          <w:rFonts w:hint="eastAsia" w:ascii="宋体" w:hAnsi="宋体"/>
          <w:sz w:val="24"/>
        </w:rPr>
        <w:t>含室内二次装修</w:t>
      </w:r>
      <w:bookmarkEnd w:id="25"/>
      <w:r>
        <w:rPr>
          <w:rFonts w:hint="eastAsia" w:ascii="宋体" w:hAnsi="宋体"/>
          <w:sz w:val="24"/>
        </w:rPr>
        <w:t>）和土地使用权（</w:t>
      </w:r>
      <w:bookmarkStart w:id="26" w:name="估价项目基本信息—评估内涵—出让金"/>
      <w:r>
        <w:rPr>
          <w:rFonts w:hint="eastAsia" w:ascii="宋体" w:hAnsi="宋体"/>
          <w:sz w:val="24"/>
        </w:rPr>
        <w:t>含土地出让金</w:t>
      </w:r>
      <w:bookmarkEnd w:id="26"/>
      <w:r>
        <w:rPr>
          <w:rFonts w:hint="eastAsia" w:ascii="宋体" w:hAnsi="宋体"/>
          <w:sz w:val="24"/>
        </w:rPr>
        <w:t>）,</w:t>
      </w:r>
      <w:bookmarkStart w:id="27" w:name="估价项目基本信息—评估内涵—动产"/>
      <w:r>
        <w:rPr>
          <w:rFonts w:hint="eastAsia" w:ascii="宋体" w:hAnsi="宋体"/>
          <w:sz w:val="24"/>
        </w:rPr>
        <w:t>包括宗地红线范围内水、电、通信等配套基础设施，不包括家电、家具等动产</w:t>
      </w:r>
      <w:bookmarkEnd w:id="27"/>
      <w:r>
        <w:rPr>
          <w:rFonts w:hint="eastAsia" w:ascii="宋体" w:hAnsi="宋体"/>
          <w:sz w:val="24"/>
        </w:rPr>
        <w:t>，</w:t>
      </w:r>
      <w:bookmarkStart w:id="28" w:name="估价项目基本信息—评估内涵—其它权益"/>
      <w:r>
        <w:rPr>
          <w:rFonts w:hint="eastAsia" w:ascii="宋体" w:hAnsi="宋体"/>
          <w:sz w:val="24"/>
        </w:rPr>
        <w:t>也不包括债权债务等权益</w:t>
      </w:r>
      <w:bookmarkEnd w:id="28"/>
      <w:r>
        <w:rPr>
          <w:rFonts w:hint="eastAsia" w:ascii="宋体" w:hAnsi="宋体"/>
          <w:sz w:val="24"/>
        </w:rPr>
        <w:t>；</w:t>
      </w:r>
      <w:bookmarkStart w:id="29" w:name="估价项目基本信息—权利人"/>
      <w:sdt>
        <w:sdtPr>
          <w:rPr>
            <w:rFonts w:hint="eastAsia" w:ascii="宋体" w:hAnsi="宋体"/>
            <w:sz w:val="24"/>
          </w:rPr>
          <w:id w:val="-1053238393"/>
          <w:placeholder>
            <w:docPart w:val="850FC47AEE18471B8586E126F0675EAA"/>
          </w:placeholder>
          <w:dropDownList>
            <w:listItem w:value="选择一项。"/>
            <w:listItem w:displayText="权利人" w:value="权利人"/>
            <w:listItem w:displayText="开发建设单位" w:value="开发建设单位"/>
          </w:dropDownList>
        </w:sdtPr>
        <w:sdtEndPr>
          <w:rPr>
            <w:rFonts w:hint="eastAsia" w:ascii="宋体" w:hAnsi="宋体"/>
            <w:sz w:val="24"/>
          </w:rPr>
        </w:sdtEndPr>
        <w:sdtContent>
          <w:r>
            <w:rPr>
              <w:rFonts w:hint="eastAsia" w:ascii="宋体" w:hAnsi="宋体"/>
              <w:sz w:val="24"/>
            </w:rPr>
            <w:t>权利人</w:t>
          </w:r>
        </w:sdtContent>
      </w:sdt>
      <w:bookmarkEnd w:id="29"/>
      <w:r>
        <w:rPr>
          <w:rFonts w:hint="eastAsia" w:ascii="宋体" w:hAnsi="宋体"/>
          <w:sz w:val="24"/>
        </w:rPr>
        <w:t>为阎鹏宇，估价对象房地产</w:t>
      </w:r>
      <w:bookmarkStart w:id="30" w:name="估价对象—权益状况描述与分析—用途类型"/>
      <w:sdt>
        <w:sdtPr>
          <w:rPr>
            <w:rFonts w:hint="eastAsia" w:ascii="宋体" w:hAnsi="宋体"/>
            <w:sz w:val="24"/>
          </w:rPr>
          <w:id w:val="-1728140460"/>
          <w:placeholder>
            <w:docPart w:val="EE5415A8771A43968AE2A50837F95B79"/>
          </w:placeholder>
          <w:dropDownList>
            <w:listItem w:displayText="法定用途" w:value="法定用途"/>
            <w:listItem w:displayText="规划用途" w:value="规划用途"/>
          </w:dropDownList>
        </w:sdtPr>
        <w:sdtEndPr>
          <w:rPr>
            <w:rFonts w:hint="eastAsia" w:ascii="宋体" w:hAnsi="宋体"/>
            <w:sz w:val="24"/>
          </w:rPr>
        </w:sdtEndPr>
        <w:sdtContent>
          <w:r>
            <w:rPr>
              <w:rFonts w:hint="eastAsia" w:ascii="宋体" w:hAnsi="宋体"/>
              <w:sz w:val="24"/>
            </w:rPr>
            <w:t>法定用途</w:t>
          </w:r>
        </w:sdtContent>
      </w:sdt>
      <w:bookmarkEnd w:id="30"/>
      <w:r>
        <w:rPr>
          <w:rFonts w:hint="eastAsia" w:ascii="宋体" w:hAnsi="宋体"/>
          <w:sz w:val="24"/>
        </w:rPr>
        <w:t>为住宅用房，实际用途为住宅用房</w:t>
      </w:r>
      <w:bookmarkStart w:id="31" w:name="_Hlk99057361"/>
      <w:r>
        <w:rPr>
          <w:rFonts w:hint="eastAsia" w:ascii="宋体" w:hAnsi="宋体"/>
          <w:sz w:val="24"/>
          <w:szCs w:val="22"/>
        </w:rPr>
        <w:t>，土地使用权类型</w:t>
      </w:r>
      <w:bookmarkStart w:id="32" w:name="_Hlk99057445"/>
      <w:r>
        <w:rPr>
          <w:rFonts w:hint="eastAsia" w:ascii="宋体" w:hAnsi="宋体"/>
          <w:sz w:val="24"/>
          <w:szCs w:val="22"/>
        </w:rPr>
        <w:t>为出让</w:t>
      </w:r>
      <w:bookmarkEnd w:id="32"/>
      <w:r>
        <w:rPr>
          <w:rFonts w:hint="eastAsia" w:ascii="宋体" w:hAnsi="宋体"/>
          <w:sz w:val="24"/>
          <w:szCs w:val="22"/>
        </w:rPr>
        <w:t>，</w:t>
      </w:r>
      <w:bookmarkStart w:id="33" w:name="_Hlk24883955"/>
      <w:r>
        <w:rPr>
          <w:rFonts w:hint="eastAsia" w:ascii="宋体" w:hAnsi="宋体"/>
          <w:sz w:val="24"/>
        </w:rPr>
        <w:t>建筑面积为109.24㎡（套内建筑面积9</w:t>
      </w:r>
      <w:r>
        <w:rPr>
          <w:rFonts w:ascii="宋体" w:hAnsi="宋体"/>
          <w:sz w:val="24"/>
        </w:rPr>
        <w:t>0.15</w:t>
      </w:r>
      <w:r>
        <w:rPr>
          <w:rFonts w:hint="eastAsia" w:ascii="宋体" w:hAnsi="宋体"/>
          <w:sz w:val="24"/>
        </w:rPr>
        <w:t>㎡、分摊共有面积1</w:t>
      </w:r>
      <w:r>
        <w:rPr>
          <w:rFonts w:ascii="宋体" w:hAnsi="宋体"/>
          <w:sz w:val="24"/>
        </w:rPr>
        <w:t>9.09</w:t>
      </w:r>
      <w:r>
        <w:rPr>
          <w:rFonts w:hint="eastAsia" w:ascii="宋体" w:hAnsi="宋体"/>
          <w:sz w:val="24"/>
        </w:rPr>
        <w:t>㎡）</w:t>
      </w:r>
      <w:bookmarkEnd w:id="33"/>
      <w:r>
        <w:rPr>
          <w:rFonts w:hint="eastAsia" w:ascii="宋体" w:hAnsi="宋体"/>
          <w:sz w:val="24"/>
        </w:rPr>
        <w:t>，估价对象所在建筑物建成于</w:t>
      </w:r>
      <w:r>
        <w:rPr>
          <w:rFonts w:ascii="宋体" w:hAnsi="宋体"/>
          <w:sz w:val="24"/>
        </w:rPr>
        <w:t>2012</w:t>
      </w:r>
      <w:r>
        <w:rPr>
          <w:rFonts w:hint="eastAsia" w:ascii="宋体" w:hAnsi="宋体"/>
          <w:sz w:val="24"/>
        </w:rPr>
        <w:t>年，钢混</w:t>
      </w:r>
      <w:r>
        <w:rPr>
          <w:rFonts w:ascii="宋体" w:hAnsi="宋体"/>
          <w:sz w:val="24"/>
        </w:rPr>
        <w:t>结构</w:t>
      </w:r>
      <w:r>
        <w:rPr>
          <w:rFonts w:hint="eastAsia" w:ascii="宋体" w:hAnsi="宋体"/>
          <w:sz w:val="24"/>
        </w:rPr>
        <w:t>，带电梯，估价对象所在楼宇总楼层为</w:t>
      </w:r>
      <w:r>
        <w:rPr>
          <w:rFonts w:ascii="宋体" w:hAnsi="宋体"/>
          <w:sz w:val="24"/>
        </w:rPr>
        <w:t>34</w:t>
      </w:r>
      <w:r>
        <w:rPr>
          <w:rFonts w:hint="eastAsia" w:ascii="宋体" w:hAnsi="宋体"/>
          <w:sz w:val="24"/>
        </w:rPr>
        <w:t>层（含地下1层），一层为配套用房、二层及以上均为住宅，估价对象位于地上第</w:t>
      </w:r>
      <w:r>
        <w:rPr>
          <w:rFonts w:ascii="宋体" w:hAnsi="宋体"/>
          <w:sz w:val="24"/>
        </w:rPr>
        <w:t>20-21</w:t>
      </w:r>
      <w:r>
        <w:rPr>
          <w:rFonts w:hint="eastAsia" w:ascii="宋体" w:hAnsi="宋体"/>
          <w:sz w:val="24"/>
        </w:rPr>
        <w:t>层。</w:t>
      </w:r>
      <w:bookmarkEnd w:id="31"/>
    </w:p>
    <w:p>
      <w:pPr>
        <w:snapToGrid w:val="0"/>
        <w:spacing w:line="480" w:lineRule="exact"/>
        <w:ind w:firstLine="480" w:firstLineChars="200"/>
        <w:rPr>
          <w:rFonts w:ascii="宋体" w:hAnsi="宋体"/>
          <w:sz w:val="24"/>
        </w:rPr>
      </w:pPr>
      <w:r>
        <w:rPr>
          <w:rFonts w:hint="eastAsia" w:ascii="宋体" w:hAnsi="宋体"/>
          <w:sz w:val="24"/>
        </w:rPr>
        <w:t>价值时点：</w:t>
      </w:r>
      <w:bookmarkStart w:id="34" w:name="价值时点—年"/>
      <w:bookmarkStart w:id="35" w:name="_Hlk24885275"/>
      <w:r>
        <w:rPr>
          <w:rFonts w:hint="eastAsia" w:ascii="宋体" w:hAnsi="宋体"/>
          <w:sz w:val="24"/>
        </w:rPr>
        <w:t>202</w:t>
      </w:r>
      <w:r>
        <w:rPr>
          <w:rFonts w:ascii="宋体" w:hAnsi="宋体"/>
          <w:sz w:val="24"/>
        </w:rPr>
        <w:t>2</w:t>
      </w:r>
      <w:bookmarkEnd w:id="34"/>
      <w:r>
        <w:rPr>
          <w:rFonts w:hint="eastAsia" w:ascii="宋体" w:hAnsi="宋体"/>
          <w:sz w:val="24"/>
        </w:rPr>
        <w:t>年</w:t>
      </w:r>
      <w:bookmarkStart w:id="36" w:name="价值时点—月"/>
      <w:r>
        <w:rPr>
          <w:rFonts w:hint="eastAsia" w:ascii="宋体" w:hAnsi="宋体"/>
          <w:sz w:val="24"/>
        </w:rPr>
        <w:t>7</w:t>
      </w:r>
      <w:bookmarkEnd w:id="36"/>
      <w:r>
        <w:rPr>
          <w:rFonts w:hint="eastAsia" w:ascii="宋体" w:hAnsi="宋体"/>
          <w:sz w:val="24"/>
        </w:rPr>
        <w:t>月</w:t>
      </w:r>
      <w:bookmarkStart w:id="37" w:name="价值时点—日"/>
      <w:r>
        <w:rPr>
          <w:rFonts w:ascii="宋体" w:hAnsi="宋体"/>
          <w:sz w:val="24"/>
        </w:rPr>
        <w:t>4</w:t>
      </w:r>
      <w:bookmarkEnd w:id="37"/>
      <w:r>
        <w:rPr>
          <w:rFonts w:hint="eastAsia" w:ascii="宋体" w:hAnsi="宋体"/>
          <w:sz w:val="24"/>
        </w:rPr>
        <w:t>日</w:t>
      </w:r>
      <w:bookmarkEnd w:id="35"/>
      <w:r>
        <w:rPr>
          <w:rFonts w:hint="eastAsia" w:ascii="宋体" w:hAnsi="宋体"/>
          <w:sz w:val="24"/>
        </w:rPr>
        <w:t>。</w:t>
      </w:r>
    </w:p>
    <w:p>
      <w:pPr>
        <w:snapToGrid w:val="0"/>
        <w:spacing w:line="480" w:lineRule="exact"/>
        <w:ind w:firstLine="480" w:firstLineChars="200"/>
        <w:rPr>
          <w:rFonts w:ascii="宋体" w:hAnsi="宋体"/>
          <w:sz w:val="24"/>
        </w:rPr>
      </w:pPr>
      <w:r>
        <w:rPr>
          <w:rFonts w:hint="eastAsia" w:ascii="宋体" w:hAnsi="宋体"/>
          <w:sz w:val="24"/>
        </w:rPr>
        <w:t>价值类型：</w:t>
      </w:r>
      <w:bookmarkStart w:id="38" w:name="价值类型"/>
      <w:r>
        <w:rPr>
          <w:rFonts w:hint="eastAsia" w:ascii="宋体" w:hAnsi="宋体"/>
          <w:sz w:val="24"/>
        </w:rPr>
        <w:t>市场价值</w:t>
      </w:r>
      <w:bookmarkEnd w:id="38"/>
      <w:r>
        <w:rPr>
          <w:rFonts w:hint="eastAsia" w:ascii="宋体" w:hAnsi="宋体"/>
          <w:sz w:val="24"/>
        </w:rPr>
        <w:t>。</w:t>
      </w:r>
    </w:p>
    <w:p>
      <w:pPr>
        <w:snapToGrid w:val="0"/>
        <w:spacing w:line="480" w:lineRule="exact"/>
        <w:ind w:firstLine="480" w:firstLineChars="200"/>
        <w:rPr>
          <w:rFonts w:ascii="宋体" w:hAnsi="宋体"/>
          <w:sz w:val="24"/>
        </w:rPr>
      </w:pPr>
      <w:r>
        <w:rPr>
          <w:rFonts w:hint="eastAsia" w:ascii="宋体" w:hAnsi="宋体"/>
          <w:sz w:val="24"/>
        </w:rPr>
        <w:t>估价结果：遵照有关法律法规、政策文件和估价标准，根据估价委托人提供的相关资料以及本估价机构调查和收集的资料，按照估价目的，遵循估价原则，采用</w:t>
      </w:r>
      <w:bookmarkStart w:id="39" w:name="估价方法"/>
      <w:r>
        <w:rPr>
          <w:rFonts w:hint="eastAsia" w:ascii="宋体" w:hAnsi="宋体"/>
          <w:sz w:val="24"/>
        </w:rPr>
        <w:t>比较法和收益法</w:t>
      </w:r>
      <w:bookmarkEnd w:id="39"/>
      <w:r>
        <w:rPr>
          <w:rFonts w:hint="eastAsia" w:ascii="宋体" w:hAnsi="宋体"/>
          <w:sz w:val="24"/>
        </w:rPr>
        <w:t>进行分析、测算和判断，在满足本次估价的假设和限制条件下，估价对象在价值时点的市场价值为人民币</w:t>
      </w:r>
      <w:r>
        <w:rPr>
          <w:rFonts w:hint="eastAsia" w:ascii="宋体" w:hAnsi="宋体"/>
          <w:b/>
          <w:bCs/>
          <w:sz w:val="24"/>
        </w:rPr>
        <w:t>肆佰柒拾肆万柒仟肆佰元</w:t>
      </w:r>
      <w:r>
        <w:rPr>
          <w:rFonts w:hint="eastAsia" w:ascii="宋体" w:hAnsi="宋体"/>
          <w:sz w:val="24"/>
        </w:rPr>
        <w:t>整（￥</w:t>
      </w:r>
      <w:r>
        <w:rPr>
          <w:rFonts w:ascii="宋体" w:hAnsi="宋体"/>
          <w:sz w:val="24"/>
        </w:rPr>
        <w:t>4,747,40</w:t>
      </w:r>
      <w:r>
        <w:rPr>
          <w:rFonts w:hint="eastAsia" w:ascii="宋体" w:hAnsi="宋体"/>
          <w:sz w:val="24"/>
        </w:rPr>
        <w:t>0），具体见房地产市场价值估价结果汇总表。</w:t>
      </w:r>
    </w:p>
    <w:p>
      <w:pPr>
        <w:snapToGrid w:val="0"/>
        <w:spacing w:line="480" w:lineRule="exact"/>
        <w:jc w:val="center"/>
        <w:rPr>
          <w:szCs w:val="21"/>
        </w:rPr>
      </w:pPr>
      <w:r>
        <w:rPr>
          <w:rFonts w:hint="eastAsia" w:ascii="宋体" w:hAnsi="宋体"/>
          <w:b/>
          <w:sz w:val="24"/>
        </w:rPr>
        <w:t xml:space="preserve">                   房地产市场价值估价结果汇总表</w:t>
      </w:r>
      <w:r>
        <w:rPr>
          <w:rFonts w:hint="eastAsia" w:ascii="宋体" w:hAnsi="宋体"/>
          <w:sz w:val="24"/>
        </w:rPr>
        <w:t xml:space="preserve">              （币种：人民币）</w:t>
      </w:r>
    </w:p>
    <w:tbl>
      <w:tblPr>
        <w:tblStyle w:val="19"/>
        <w:tblW w:w="50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6"/>
        <w:gridCol w:w="3048"/>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304" w:type="pct"/>
            <w:tcBorders>
              <w:top w:val="single" w:color="auto" w:sz="4" w:space="0"/>
              <w:left w:val="single" w:color="auto" w:sz="4" w:space="0"/>
              <w:right w:val="single" w:color="auto" w:sz="4" w:space="0"/>
            </w:tcBorders>
            <w:vAlign w:val="center"/>
          </w:tcPr>
          <w:p>
            <w:pPr>
              <w:spacing w:line="220" w:lineRule="exact"/>
              <w:jc w:val="center"/>
              <w:rPr>
                <w:rFonts w:ascii="宋体" w:hAnsi="宋体"/>
                <w:szCs w:val="21"/>
              </w:rPr>
            </w:pPr>
            <w:r>
              <w:rPr>
                <w:rFonts w:hint="eastAsia" w:ascii="宋体" w:hAnsi="宋体"/>
                <w:szCs w:val="21"/>
              </w:rPr>
              <w:t>估价对象</w:t>
            </w:r>
          </w:p>
        </w:tc>
        <w:tc>
          <w:tcPr>
            <w:tcW w:w="1515" w:type="pct"/>
            <w:tcBorders>
              <w:top w:val="single" w:color="auto" w:sz="4" w:space="0"/>
              <w:left w:val="single" w:color="auto" w:sz="4" w:space="0"/>
              <w:right w:val="single" w:color="auto" w:sz="4" w:space="0"/>
            </w:tcBorders>
            <w:vAlign w:val="center"/>
          </w:tcPr>
          <w:p>
            <w:pPr>
              <w:spacing w:line="220" w:lineRule="exact"/>
              <w:jc w:val="center"/>
              <w:rPr>
                <w:rFonts w:ascii="宋体" w:hAnsi="宋体"/>
                <w:szCs w:val="21"/>
              </w:rPr>
            </w:pPr>
            <w:r>
              <w:rPr>
                <w:rFonts w:hint="eastAsia" w:ascii="宋体" w:hAnsi="宋体"/>
                <w:szCs w:val="21"/>
              </w:rPr>
              <w:t>单价（元/㎡）</w:t>
            </w:r>
          </w:p>
        </w:tc>
        <w:tc>
          <w:tcPr>
            <w:tcW w:w="1181" w:type="pct"/>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宋体" w:hAnsi="宋体"/>
                <w:szCs w:val="21"/>
              </w:rPr>
            </w:pPr>
            <w:r>
              <w:rPr>
                <w:rFonts w:hint="eastAsia" w:ascii="宋体" w:hAnsi="宋体"/>
                <w:szCs w:val="21"/>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2304"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Cs w:val="21"/>
              </w:rPr>
            </w:pPr>
            <w:r>
              <w:rPr>
                <w:rFonts w:hint="eastAsia" w:ascii="宋体" w:hAnsi="宋体"/>
                <w:szCs w:val="21"/>
              </w:rPr>
              <w:t>福建省福州市台江区宁化街道西环南路39号正荣·润城3#楼2004复式单元住宅房地产</w:t>
            </w:r>
          </w:p>
        </w:tc>
        <w:tc>
          <w:tcPr>
            <w:tcW w:w="1515"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Cs w:val="21"/>
              </w:rPr>
            </w:pPr>
            <w:r>
              <w:rPr>
                <w:rFonts w:ascii="宋体" w:hAnsi="宋体"/>
                <w:szCs w:val="21"/>
              </w:rPr>
              <w:t>43,458</w:t>
            </w:r>
          </w:p>
        </w:tc>
        <w:tc>
          <w:tcPr>
            <w:tcW w:w="1181"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Cs w:val="21"/>
              </w:rPr>
            </w:pPr>
            <w:r>
              <w:rPr>
                <w:rFonts w:ascii="宋体" w:hAnsi="宋体"/>
                <w:szCs w:val="21"/>
              </w:rPr>
              <w:t>4,747,400</w:t>
            </w:r>
          </w:p>
        </w:tc>
      </w:tr>
    </w:tbl>
    <w:p>
      <w:pPr>
        <w:snapToGrid w:val="0"/>
        <w:spacing w:line="480" w:lineRule="exact"/>
        <w:ind w:firstLine="482" w:firstLineChars="200"/>
        <w:rPr>
          <w:rFonts w:ascii="宋体" w:hAnsi="宋体"/>
          <w:szCs w:val="21"/>
        </w:rPr>
      </w:pPr>
      <w:r>
        <w:rPr>
          <w:rFonts w:hint="eastAsia" w:ascii="宋体" w:hAnsi="宋体"/>
          <w:b/>
          <w:sz w:val="24"/>
        </w:rPr>
        <w:t>备注：单价取整到个位，总价取整到百位</w:t>
      </w:r>
    </w:p>
    <w:p>
      <w:pPr>
        <w:snapToGrid w:val="0"/>
        <w:spacing w:line="480" w:lineRule="exact"/>
        <w:ind w:firstLine="480" w:firstLineChars="200"/>
        <w:rPr>
          <w:rFonts w:ascii="宋体" w:hAnsi="宋体"/>
          <w:sz w:val="24"/>
        </w:rPr>
      </w:pPr>
      <w:r>
        <w:rPr>
          <w:rFonts w:hint="eastAsia" w:ascii="宋体" w:hAnsi="宋体"/>
          <w:sz w:val="24"/>
        </w:rPr>
        <w:t>与估价结果和报告使用有关的特别提示：</w:t>
      </w:r>
    </w:p>
    <w:p>
      <w:pPr>
        <w:autoSpaceDE w:val="0"/>
        <w:autoSpaceDN w:val="0"/>
        <w:adjustRightInd w:val="0"/>
        <w:snapToGrid w:val="0"/>
        <w:spacing w:line="480" w:lineRule="exact"/>
        <w:ind w:firstLine="480" w:firstLineChars="200"/>
        <w:rPr>
          <w:rFonts w:ascii="宋体" w:hAnsi="宋体"/>
          <w:sz w:val="24"/>
        </w:rPr>
      </w:pPr>
      <w:r>
        <w:rPr>
          <w:rFonts w:hint="eastAsia" w:ascii="宋体" w:hAnsi="宋体"/>
          <w:sz w:val="24"/>
        </w:rPr>
        <w:t>1.价值内涵包括建筑物（含室内二次装修）和土地使用权（含土地出让金）,包括宗地红线范围内水、电、通信等配套基础设施，不包括家电、家具等动产，也不包括债权债务等权益。</w:t>
      </w:r>
    </w:p>
    <w:p>
      <w:pPr>
        <w:autoSpaceDE w:val="0"/>
        <w:autoSpaceDN w:val="0"/>
        <w:adjustRightInd w:val="0"/>
        <w:snapToGrid w:val="0"/>
        <w:spacing w:line="480" w:lineRule="exact"/>
        <w:ind w:firstLine="480" w:firstLineChars="200"/>
        <w:rPr>
          <w:rFonts w:ascii="宋体" w:hAnsi="宋体"/>
          <w:sz w:val="24"/>
        </w:rPr>
      </w:pPr>
      <w:r>
        <w:rPr>
          <w:rFonts w:ascii="宋体" w:hAnsi="宋体"/>
          <w:sz w:val="24"/>
        </w:rPr>
        <w:t>2</w:t>
      </w:r>
      <w:r>
        <w:rPr>
          <w:rFonts w:hint="eastAsia" w:ascii="宋体" w:hAnsi="宋体"/>
          <w:sz w:val="24"/>
        </w:rPr>
        <w:t>.由于本次估价委托人未明确估价对象交易税费负担方式，本次估价对象估价结果是税费正常负担下的市场价值，即按照法律法规规定，转让人和买受人各自负担相应税费。</w:t>
      </w:r>
    </w:p>
    <w:p>
      <w:pPr>
        <w:adjustRightInd w:val="0"/>
        <w:snapToGrid w:val="0"/>
        <w:spacing w:line="480" w:lineRule="exact"/>
        <w:ind w:firstLine="480" w:firstLineChars="200"/>
        <w:rPr>
          <w:rFonts w:ascii="宋体" w:hAnsi="宋体"/>
          <w:sz w:val="24"/>
        </w:rPr>
      </w:pPr>
      <w:r>
        <w:rPr>
          <w:rFonts w:ascii="宋体" w:hAnsi="宋体"/>
          <w:sz w:val="24"/>
        </w:rPr>
        <w:t>3</w:t>
      </w:r>
      <w:r>
        <w:rPr>
          <w:rFonts w:hint="eastAsia" w:ascii="宋体" w:hAnsi="宋体"/>
          <w:sz w:val="24"/>
        </w:rPr>
        <w:t>.估价对象若以上述估价结果进行交易，涉及的交易税费及估价对象物业欠费情况如下：</w:t>
      </w:r>
    </w:p>
    <w:p>
      <w:pPr>
        <w:autoSpaceDE w:val="0"/>
        <w:autoSpaceDN w:val="0"/>
        <w:snapToGrid w:val="0"/>
        <w:spacing w:line="480" w:lineRule="exact"/>
        <w:ind w:firstLine="482" w:firstLineChars="200"/>
        <w:rPr>
          <w:rFonts w:ascii="宋体" w:hAnsi="宋体"/>
          <w:b/>
          <w:bCs/>
          <w:sz w:val="24"/>
        </w:rPr>
      </w:pPr>
      <w:r>
        <w:rPr>
          <w:rFonts w:hint="eastAsia" w:ascii="宋体" w:hAnsi="宋体"/>
          <w:b/>
          <w:bCs/>
          <w:sz w:val="24"/>
        </w:rPr>
        <w:t>（1）买、卖双方的交易税费</w:t>
      </w:r>
    </w:p>
    <w:p>
      <w:pPr>
        <w:snapToGrid w:val="0"/>
        <w:spacing w:line="360" w:lineRule="auto"/>
        <w:ind w:firstLine="480" w:firstLineChars="200"/>
        <w:rPr>
          <w:rFonts w:ascii="宋体" w:hAnsi="宋体"/>
          <w:sz w:val="24"/>
        </w:rPr>
      </w:pPr>
      <w:r>
        <w:rPr>
          <w:rFonts w:hint="eastAsia" w:ascii="宋体" w:hAnsi="宋体"/>
          <w:sz w:val="24"/>
        </w:rPr>
        <w:t>根据当地现行房地产转让管理的有关规定，在满足估价假设条件下，估价对象若以本次估价结果进入市场转让时，按目前当地有关规定买卖双方需缴纳有关交易税费如下表所示：</w:t>
      </w:r>
      <w:r>
        <w:rPr>
          <w:rFonts w:ascii="宋体" w:hAnsi="宋体"/>
          <w:b/>
          <w:bCs/>
          <w:sz w:val="24"/>
        </w:rPr>
        <w:t xml:space="preserve"> </w:t>
      </w:r>
    </w:p>
    <w:tbl>
      <w:tblPr>
        <w:tblStyle w:val="19"/>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596"/>
        <w:gridCol w:w="1572"/>
        <w:gridCol w:w="1596"/>
        <w:gridCol w:w="1598"/>
        <w:gridCol w:w="46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6" w:hRule="atLeast"/>
        </w:trPr>
        <w:tc>
          <w:tcPr>
            <w:tcW w:w="299" w:type="pct"/>
            <w:shd w:val="clear" w:color="auto" w:fill="auto"/>
            <w:vAlign w:val="center"/>
          </w:tcPr>
          <w:p>
            <w:pPr>
              <w:spacing w:line="220" w:lineRule="exact"/>
              <w:jc w:val="center"/>
              <w:rPr>
                <w:rFonts w:ascii="宋体" w:hAnsi="宋体"/>
                <w:szCs w:val="21"/>
              </w:rPr>
            </w:pPr>
            <w:r>
              <w:rPr>
                <w:rFonts w:hint="eastAsia" w:ascii="宋体" w:hAnsi="宋体"/>
                <w:szCs w:val="21"/>
              </w:rPr>
              <w:t>序号</w:t>
            </w:r>
          </w:p>
        </w:tc>
        <w:tc>
          <w:tcPr>
            <w:tcW w:w="789" w:type="pct"/>
            <w:shd w:val="clear" w:color="auto" w:fill="auto"/>
            <w:vAlign w:val="center"/>
          </w:tcPr>
          <w:p>
            <w:pPr>
              <w:spacing w:line="220" w:lineRule="exact"/>
              <w:jc w:val="center"/>
              <w:rPr>
                <w:rFonts w:ascii="宋体" w:hAnsi="宋体"/>
                <w:szCs w:val="21"/>
              </w:rPr>
            </w:pPr>
            <w:r>
              <w:rPr>
                <w:rFonts w:hint="eastAsia" w:ascii="宋体" w:hAnsi="宋体"/>
                <w:szCs w:val="21"/>
              </w:rPr>
              <w:t>项目</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卖方</w:t>
            </w:r>
          </w:p>
        </w:tc>
        <w:tc>
          <w:tcPr>
            <w:tcW w:w="802" w:type="pct"/>
            <w:shd w:val="clear" w:color="auto" w:fill="auto"/>
            <w:vAlign w:val="center"/>
          </w:tcPr>
          <w:p>
            <w:pPr>
              <w:spacing w:line="220" w:lineRule="exact"/>
              <w:jc w:val="center"/>
              <w:rPr>
                <w:rFonts w:ascii="宋体" w:hAnsi="宋体"/>
                <w:szCs w:val="21"/>
              </w:rPr>
            </w:pPr>
            <w:r>
              <w:rPr>
                <w:rFonts w:hint="eastAsia" w:ascii="宋体" w:hAnsi="宋体"/>
                <w:szCs w:val="21"/>
              </w:rPr>
              <w:t>买方</w:t>
            </w:r>
          </w:p>
        </w:tc>
        <w:tc>
          <w:tcPr>
            <w:tcW w:w="2309" w:type="pct"/>
            <w:shd w:val="clear" w:color="auto" w:fill="auto"/>
            <w:vAlign w:val="center"/>
          </w:tcPr>
          <w:p>
            <w:pPr>
              <w:spacing w:line="220" w:lineRule="exact"/>
              <w:jc w:val="center"/>
              <w:rPr>
                <w:rFonts w:ascii="宋体" w:hAnsi="宋体"/>
                <w:szCs w:val="21"/>
              </w:rPr>
            </w:pPr>
            <w:r>
              <w:rPr>
                <w:rFonts w:hint="eastAsia" w:ascii="宋体" w:hAnsi="宋体"/>
                <w:szCs w:val="21"/>
              </w:rPr>
              <w:t>说明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6" w:hRule="atLeast"/>
        </w:trPr>
        <w:tc>
          <w:tcPr>
            <w:tcW w:w="299" w:type="pct"/>
            <w:shd w:val="clear" w:color="auto" w:fill="auto"/>
            <w:vAlign w:val="center"/>
          </w:tcPr>
          <w:p>
            <w:pPr>
              <w:spacing w:line="220" w:lineRule="exact"/>
              <w:jc w:val="center"/>
              <w:rPr>
                <w:rFonts w:ascii="宋体" w:hAnsi="宋体"/>
                <w:szCs w:val="21"/>
              </w:rPr>
            </w:pPr>
            <w:r>
              <w:rPr>
                <w:rFonts w:hint="eastAsia" w:ascii="宋体" w:hAnsi="宋体"/>
                <w:szCs w:val="21"/>
              </w:rPr>
              <w:t>1</w:t>
            </w:r>
          </w:p>
        </w:tc>
        <w:tc>
          <w:tcPr>
            <w:tcW w:w="789" w:type="pct"/>
            <w:shd w:val="clear" w:color="auto" w:fill="auto"/>
            <w:vAlign w:val="center"/>
          </w:tcPr>
          <w:p>
            <w:pPr>
              <w:spacing w:line="220" w:lineRule="exact"/>
              <w:jc w:val="center"/>
              <w:rPr>
                <w:rFonts w:ascii="宋体" w:hAnsi="宋体"/>
                <w:szCs w:val="21"/>
              </w:rPr>
            </w:pPr>
            <w:r>
              <w:rPr>
                <w:rFonts w:hint="eastAsia" w:ascii="宋体" w:hAnsi="宋体"/>
                <w:szCs w:val="21"/>
              </w:rPr>
              <w:t>印花税</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 xml:space="preserve">2,374 </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 xml:space="preserve">2,374 </w:t>
            </w:r>
          </w:p>
        </w:tc>
        <w:tc>
          <w:tcPr>
            <w:tcW w:w="2309" w:type="pct"/>
            <w:shd w:val="clear" w:color="auto" w:fill="auto"/>
            <w:vAlign w:val="center"/>
          </w:tcPr>
          <w:p>
            <w:pPr>
              <w:spacing w:line="220" w:lineRule="exact"/>
              <w:jc w:val="center"/>
              <w:rPr>
                <w:rFonts w:ascii="宋体" w:hAnsi="宋体"/>
                <w:szCs w:val="21"/>
              </w:rPr>
            </w:pPr>
            <w:r>
              <w:rPr>
                <w:rFonts w:hint="eastAsia" w:ascii="宋体" w:hAnsi="宋体"/>
                <w:szCs w:val="21"/>
              </w:rPr>
              <w:t>按价值的0.05%计征，卖方缴纳。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299" w:type="pct"/>
            <w:shd w:val="clear" w:color="auto" w:fill="auto"/>
            <w:vAlign w:val="center"/>
          </w:tcPr>
          <w:p>
            <w:pPr>
              <w:spacing w:line="220" w:lineRule="exact"/>
              <w:jc w:val="center"/>
              <w:rPr>
                <w:rFonts w:ascii="宋体" w:hAnsi="宋体"/>
                <w:szCs w:val="21"/>
              </w:rPr>
            </w:pPr>
            <w:r>
              <w:rPr>
                <w:rFonts w:hint="eastAsia" w:ascii="宋体" w:hAnsi="宋体"/>
                <w:szCs w:val="21"/>
              </w:rPr>
              <w:t>2</w:t>
            </w:r>
          </w:p>
        </w:tc>
        <w:tc>
          <w:tcPr>
            <w:tcW w:w="789" w:type="pct"/>
            <w:shd w:val="clear" w:color="auto" w:fill="auto"/>
            <w:vAlign w:val="center"/>
          </w:tcPr>
          <w:p>
            <w:pPr>
              <w:spacing w:line="220" w:lineRule="exact"/>
              <w:jc w:val="center"/>
              <w:rPr>
                <w:rFonts w:ascii="宋体" w:hAnsi="宋体"/>
                <w:szCs w:val="21"/>
              </w:rPr>
            </w:pPr>
            <w:r>
              <w:rPr>
                <w:rFonts w:hint="eastAsia" w:ascii="宋体" w:hAnsi="宋体"/>
                <w:szCs w:val="21"/>
              </w:rPr>
              <w:t>契税</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 xml:space="preserve">135,640 </w:t>
            </w:r>
          </w:p>
        </w:tc>
        <w:tc>
          <w:tcPr>
            <w:tcW w:w="2309" w:type="pct"/>
            <w:shd w:val="clear" w:color="auto" w:fill="auto"/>
            <w:vAlign w:val="center"/>
          </w:tcPr>
          <w:p>
            <w:pPr>
              <w:spacing w:line="220" w:lineRule="exact"/>
              <w:jc w:val="center"/>
              <w:rPr>
                <w:rFonts w:ascii="宋体" w:hAnsi="宋体"/>
                <w:szCs w:val="21"/>
              </w:rPr>
            </w:pPr>
            <w:r>
              <w:rPr>
                <w:rFonts w:hint="eastAsia" w:ascii="宋体" w:hAnsi="宋体"/>
                <w:szCs w:val="21"/>
              </w:rPr>
              <w:t>按价值（不含增值税）的3.0%计征，买方缴纳。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2" w:hRule="atLeast"/>
        </w:trPr>
        <w:tc>
          <w:tcPr>
            <w:tcW w:w="299" w:type="pct"/>
            <w:shd w:val="clear" w:color="auto" w:fill="auto"/>
            <w:vAlign w:val="center"/>
          </w:tcPr>
          <w:p>
            <w:pPr>
              <w:spacing w:line="220" w:lineRule="exact"/>
              <w:jc w:val="center"/>
              <w:rPr>
                <w:rFonts w:ascii="宋体" w:hAnsi="宋体"/>
                <w:szCs w:val="21"/>
              </w:rPr>
            </w:pPr>
            <w:r>
              <w:rPr>
                <w:rFonts w:hint="eastAsia" w:ascii="宋体" w:hAnsi="宋体"/>
                <w:szCs w:val="21"/>
              </w:rPr>
              <w:t>3</w:t>
            </w:r>
          </w:p>
        </w:tc>
        <w:tc>
          <w:tcPr>
            <w:tcW w:w="789" w:type="pct"/>
            <w:shd w:val="clear" w:color="auto" w:fill="auto"/>
            <w:vAlign w:val="center"/>
          </w:tcPr>
          <w:p>
            <w:pPr>
              <w:spacing w:line="220" w:lineRule="exact"/>
              <w:jc w:val="center"/>
              <w:rPr>
                <w:rFonts w:ascii="宋体" w:hAnsi="宋体"/>
                <w:szCs w:val="21"/>
              </w:rPr>
            </w:pPr>
            <w:r>
              <w:rPr>
                <w:rFonts w:hint="eastAsia" w:ascii="宋体" w:hAnsi="宋体"/>
                <w:szCs w:val="21"/>
              </w:rPr>
              <w:t>增值税及附加</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 xml:space="preserve">0 </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w:t>
            </w:r>
          </w:p>
        </w:tc>
        <w:tc>
          <w:tcPr>
            <w:tcW w:w="2309" w:type="pct"/>
            <w:shd w:val="clear" w:color="auto" w:fill="auto"/>
            <w:vAlign w:val="center"/>
          </w:tcPr>
          <w:p>
            <w:pPr>
              <w:spacing w:line="220" w:lineRule="exact"/>
              <w:jc w:val="center"/>
              <w:rPr>
                <w:rFonts w:ascii="宋体" w:hAnsi="宋体"/>
                <w:szCs w:val="21"/>
              </w:rPr>
            </w:pPr>
            <w:r>
              <w:rPr>
                <w:rFonts w:hint="eastAsia" w:ascii="宋体" w:hAnsi="宋体"/>
                <w:szCs w:val="21"/>
              </w:rPr>
              <w:t>满2年住宅，免征增值税及附加。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2" w:hRule="atLeast"/>
        </w:trPr>
        <w:tc>
          <w:tcPr>
            <w:tcW w:w="299" w:type="pct"/>
            <w:shd w:val="clear" w:color="auto" w:fill="auto"/>
            <w:vAlign w:val="center"/>
          </w:tcPr>
          <w:p>
            <w:pPr>
              <w:spacing w:line="220" w:lineRule="exact"/>
              <w:jc w:val="center"/>
              <w:rPr>
                <w:rFonts w:ascii="宋体" w:hAnsi="宋体"/>
                <w:szCs w:val="21"/>
              </w:rPr>
            </w:pPr>
            <w:r>
              <w:rPr>
                <w:rFonts w:hint="eastAsia" w:ascii="宋体" w:hAnsi="宋体"/>
                <w:szCs w:val="21"/>
              </w:rPr>
              <w:t>4</w:t>
            </w:r>
          </w:p>
        </w:tc>
        <w:tc>
          <w:tcPr>
            <w:tcW w:w="789" w:type="pct"/>
            <w:shd w:val="clear" w:color="auto" w:fill="auto"/>
            <w:vAlign w:val="center"/>
          </w:tcPr>
          <w:p>
            <w:pPr>
              <w:spacing w:line="220" w:lineRule="exact"/>
              <w:jc w:val="center"/>
              <w:rPr>
                <w:rFonts w:ascii="宋体" w:hAnsi="宋体"/>
                <w:szCs w:val="21"/>
              </w:rPr>
            </w:pPr>
            <w:r>
              <w:rPr>
                <w:rFonts w:hint="eastAsia" w:ascii="宋体" w:hAnsi="宋体"/>
                <w:szCs w:val="21"/>
              </w:rPr>
              <w:t>个人所得税</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 xml:space="preserve">135,640 </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w:t>
            </w:r>
          </w:p>
        </w:tc>
        <w:tc>
          <w:tcPr>
            <w:tcW w:w="2309" w:type="pct"/>
            <w:shd w:val="clear" w:color="auto" w:fill="auto"/>
            <w:vAlign w:val="center"/>
          </w:tcPr>
          <w:p>
            <w:pPr>
              <w:spacing w:line="220" w:lineRule="exact"/>
              <w:jc w:val="center"/>
              <w:rPr>
                <w:rFonts w:ascii="宋体" w:hAnsi="宋体"/>
                <w:szCs w:val="21"/>
              </w:rPr>
            </w:pPr>
            <w:r>
              <w:rPr>
                <w:rFonts w:hint="eastAsia" w:ascii="宋体" w:hAnsi="宋体"/>
                <w:szCs w:val="21"/>
              </w:rPr>
              <w:t>拍卖房屋按价值（不含增值税）的3.0%计征，卖方缴纳。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2" w:hRule="atLeast"/>
        </w:trPr>
        <w:tc>
          <w:tcPr>
            <w:tcW w:w="299" w:type="pct"/>
            <w:shd w:val="clear" w:color="auto" w:fill="auto"/>
            <w:vAlign w:val="center"/>
          </w:tcPr>
          <w:p>
            <w:pPr>
              <w:spacing w:line="220" w:lineRule="exact"/>
              <w:jc w:val="center"/>
              <w:rPr>
                <w:rFonts w:ascii="宋体" w:hAnsi="宋体"/>
                <w:szCs w:val="21"/>
              </w:rPr>
            </w:pPr>
            <w:r>
              <w:rPr>
                <w:rFonts w:hint="eastAsia" w:ascii="宋体" w:hAnsi="宋体"/>
                <w:szCs w:val="21"/>
              </w:rPr>
              <w:t>5</w:t>
            </w:r>
          </w:p>
        </w:tc>
        <w:tc>
          <w:tcPr>
            <w:tcW w:w="789" w:type="pct"/>
            <w:shd w:val="clear" w:color="auto" w:fill="auto"/>
            <w:vAlign w:val="center"/>
          </w:tcPr>
          <w:p>
            <w:pPr>
              <w:spacing w:line="220" w:lineRule="exact"/>
              <w:jc w:val="center"/>
              <w:rPr>
                <w:rFonts w:ascii="宋体" w:hAnsi="宋体"/>
                <w:szCs w:val="21"/>
              </w:rPr>
            </w:pPr>
            <w:r>
              <w:rPr>
                <w:rFonts w:hint="eastAsia" w:ascii="宋体" w:hAnsi="宋体"/>
                <w:szCs w:val="21"/>
              </w:rPr>
              <w:t>土地增值税</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 xml:space="preserve">0 </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w:t>
            </w:r>
          </w:p>
        </w:tc>
        <w:tc>
          <w:tcPr>
            <w:tcW w:w="2309" w:type="pct"/>
            <w:shd w:val="clear" w:color="auto" w:fill="auto"/>
            <w:vAlign w:val="center"/>
          </w:tcPr>
          <w:p>
            <w:pPr>
              <w:spacing w:line="220" w:lineRule="exact"/>
              <w:jc w:val="center"/>
              <w:rPr>
                <w:rFonts w:ascii="宋体" w:hAnsi="宋体"/>
                <w:szCs w:val="21"/>
              </w:rPr>
            </w:pPr>
            <w:r>
              <w:rPr>
                <w:rFonts w:hint="eastAsia" w:ascii="宋体" w:hAnsi="宋体"/>
                <w:szCs w:val="21"/>
              </w:rPr>
              <w:t>住宅免征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6" w:hRule="atLeast"/>
        </w:trPr>
        <w:tc>
          <w:tcPr>
            <w:tcW w:w="299" w:type="pct"/>
            <w:shd w:val="clear" w:color="auto" w:fill="auto"/>
            <w:vAlign w:val="center"/>
          </w:tcPr>
          <w:p>
            <w:pPr>
              <w:spacing w:line="220" w:lineRule="exact"/>
              <w:jc w:val="center"/>
              <w:rPr>
                <w:rFonts w:ascii="宋体" w:hAnsi="宋体"/>
                <w:szCs w:val="21"/>
              </w:rPr>
            </w:pPr>
            <w:r>
              <w:rPr>
                <w:rFonts w:ascii="宋体" w:hAnsi="宋体"/>
                <w:szCs w:val="21"/>
              </w:rPr>
              <w:t>6</w:t>
            </w:r>
          </w:p>
        </w:tc>
        <w:tc>
          <w:tcPr>
            <w:tcW w:w="789" w:type="pct"/>
            <w:shd w:val="clear" w:color="auto" w:fill="auto"/>
            <w:vAlign w:val="center"/>
          </w:tcPr>
          <w:p>
            <w:pPr>
              <w:spacing w:line="220" w:lineRule="exact"/>
              <w:jc w:val="center"/>
              <w:rPr>
                <w:rFonts w:ascii="宋体" w:hAnsi="宋体"/>
                <w:szCs w:val="21"/>
              </w:rPr>
            </w:pPr>
            <w:r>
              <w:rPr>
                <w:rFonts w:hint="eastAsia" w:ascii="宋体" w:hAnsi="宋体"/>
                <w:szCs w:val="21"/>
              </w:rPr>
              <w:t>所有权登记费</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80</w:t>
            </w:r>
          </w:p>
        </w:tc>
        <w:tc>
          <w:tcPr>
            <w:tcW w:w="2309" w:type="pct"/>
            <w:shd w:val="clear" w:color="auto" w:fill="auto"/>
            <w:vAlign w:val="center"/>
          </w:tcPr>
          <w:p>
            <w:pPr>
              <w:spacing w:line="220" w:lineRule="exact"/>
              <w:jc w:val="center"/>
              <w:rPr>
                <w:rFonts w:ascii="宋体" w:hAnsi="宋体"/>
                <w:szCs w:val="21"/>
              </w:rPr>
            </w:pPr>
            <w:r>
              <w:rPr>
                <w:rFonts w:hint="eastAsia" w:ascii="宋体" w:hAnsi="宋体"/>
                <w:szCs w:val="21"/>
              </w:rPr>
              <w:t>按80元/套，买方缴纳。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6" w:hRule="atLeast"/>
        </w:trPr>
        <w:tc>
          <w:tcPr>
            <w:tcW w:w="299" w:type="pct"/>
            <w:shd w:val="clear" w:color="auto" w:fill="auto"/>
            <w:vAlign w:val="center"/>
          </w:tcPr>
          <w:p>
            <w:pPr>
              <w:spacing w:line="220" w:lineRule="exact"/>
              <w:jc w:val="center"/>
              <w:rPr>
                <w:rFonts w:ascii="宋体" w:hAnsi="宋体"/>
                <w:szCs w:val="21"/>
              </w:rPr>
            </w:pPr>
            <w:r>
              <w:rPr>
                <w:rFonts w:ascii="宋体" w:hAnsi="宋体"/>
                <w:szCs w:val="21"/>
              </w:rPr>
              <w:t>7</w:t>
            </w:r>
          </w:p>
        </w:tc>
        <w:tc>
          <w:tcPr>
            <w:tcW w:w="789" w:type="pct"/>
            <w:shd w:val="clear" w:color="auto" w:fill="auto"/>
            <w:vAlign w:val="center"/>
          </w:tcPr>
          <w:p>
            <w:pPr>
              <w:spacing w:line="220" w:lineRule="exact"/>
              <w:jc w:val="center"/>
              <w:rPr>
                <w:rFonts w:ascii="宋体" w:hAnsi="宋体"/>
                <w:szCs w:val="21"/>
              </w:rPr>
            </w:pPr>
            <w:r>
              <w:rPr>
                <w:rFonts w:hint="eastAsia" w:ascii="宋体" w:hAnsi="宋体"/>
                <w:szCs w:val="21"/>
              </w:rPr>
              <w:t>合计</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138,014</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138,094</w:t>
            </w:r>
          </w:p>
        </w:tc>
        <w:tc>
          <w:tcPr>
            <w:tcW w:w="2309" w:type="pct"/>
            <w:shd w:val="clear" w:color="auto" w:fill="auto"/>
            <w:vAlign w:val="bottom"/>
          </w:tcPr>
          <w:p>
            <w:pPr>
              <w:spacing w:line="220" w:lineRule="exact"/>
              <w:jc w:val="center"/>
              <w:rPr>
                <w:rFonts w:ascii="宋体" w:hAnsi="宋体"/>
                <w:szCs w:val="21"/>
              </w:rPr>
            </w:pPr>
            <w:r>
              <w:rPr>
                <w:rFonts w:hint="eastAsia" w:ascii="宋体" w:hAnsi="宋体"/>
                <w:szCs w:val="21"/>
              </w:rPr>
              <w:t>　</w:t>
            </w:r>
          </w:p>
        </w:tc>
      </w:tr>
    </w:tbl>
    <w:p>
      <w:pPr>
        <w:snapToGrid w:val="0"/>
        <w:spacing w:line="360" w:lineRule="auto"/>
        <w:ind w:firstLine="480" w:firstLineChars="200"/>
        <w:rPr>
          <w:rFonts w:ascii="宋体" w:hAnsi="宋体"/>
          <w:sz w:val="24"/>
        </w:rPr>
      </w:pPr>
      <w:r>
        <w:rPr>
          <w:rFonts w:hint="eastAsia" w:ascii="宋体" w:hAnsi="宋体"/>
          <w:sz w:val="24"/>
        </w:rPr>
        <w:t>备注：该数据仅供参考，确切的数据应以交易发生时有关部门计算的为准。</w:t>
      </w:r>
    </w:p>
    <w:p>
      <w:pPr>
        <w:autoSpaceDE w:val="0"/>
        <w:autoSpaceDN w:val="0"/>
        <w:snapToGrid w:val="0"/>
        <w:spacing w:line="480" w:lineRule="exact"/>
        <w:ind w:firstLine="482" w:firstLineChars="200"/>
        <w:rPr>
          <w:rFonts w:ascii="宋体" w:hAnsi="宋体"/>
          <w:b/>
          <w:bCs/>
          <w:sz w:val="24"/>
        </w:rPr>
      </w:pPr>
      <w:r>
        <w:rPr>
          <w:rFonts w:hint="eastAsia" w:ascii="宋体" w:hAnsi="宋体"/>
          <w:b/>
          <w:bCs/>
          <w:sz w:val="24"/>
        </w:rPr>
        <w:t>（2）其他欠费情况</w:t>
      </w:r>
    </w:p>
    <w:p>
      <w:pPr>
        <w:adjustRightInd w:val="0"/>
        <w:spacing w:line="480" w:lineRule="exact"/>
        <w:ind w:firstLine="480" w:firstLineChars="200"/>
        <w:rPr>
          <w:rFonts w:ascii="宋体" w:hAnsi="宋体"/>
          <w:sz w:val="24"/>
        </w:rPr>
      </w:pPr>
      <w:r>
        <w:rPr>
          <w:rFonts w:hint="eastAsia" w:ascii="宋体" w:hAnsi="宋体"/>
          <w:sz w:val="24"/>
        </w:rPr>
        <w:t>本次估价人员与估价委托人在现场走访中从产权人处了解到，估价对象目前暂无欠缴水电费。实际欠缴水电费情况，应以物业提供数据为准，提请相关报告使用者注意。</w:t>
      </w:r>
    </w:p>
    <w:p>
      <w:pPr>
        <w:autoSpaceDE w:val="0"/>
        <w:autoSpaceDN w:val="0"/>
        <w:adjustRightInd w:val="0"/>
        <w:spacing w:line="480" w:lineRule="exact"/>
        <w:ind w:firstLine="480" w:firstLineChars="200"/>
        <w:rPr>
          <w:rFonts w:ascii="宋体" w:hAnsi="宋体"/>
          <w:sz w:val="24"/>
        </w:rPr>
      </w:pPr>
      <w:r>
        <w:rPr>
          <w:rFonts w:hint="eastAsia" w:ascii="宋体" w:hAnsi="宋体"/>
          <w:sz w:val="24"/>
        </w:rPr>
        <w:t>4.参照《人民法院委托司法执行财产处置资产评估指导意见》（中评协〔2019〕14号）规定，在本次评定估算形成估价结果的过程中，未考虑评估费、拍卖费、诉讼费、律师费以及交易税费等财产处置费用对估价结果的影响。</w:t>
      </w:r>
    </w:p>
    <w:p>
      <w:pPr>
        <w:autoSpaceDE w:val="0"/>
        <w:autoSpaceDN w:val="0"/>
        <w:adjustRightInd w:val="0"/>
        <w:spacing w:line="480" w:lineRule="exact"/>
        <w:ind w:firstLine="480" w:firstLineChars="200"/>
        <w:rPr>
          <w:rFonts w:ascii="宋体" w:hAnsi="宋体"/>
          <w:sz w:val="24"/>
        </w:rPr>
      </w:pPr>
      <w:r>
        <w:rPr>
          <w:rFonts w:hint="eastAsia" w:ascii="宋体" w:hAnsi="宋体"/>
          <w:sz w:val="24"/>
        </w:rPr>
        <w:t>5.</w:t>
      </w:r>
      <w:bookmarkStart w:id="40" w:name="价值时点—确定理由"/>
      <w:sdt>
        <w:sdtPr>
          <w:rPr>
            <w:rFonts w:hint="eastAsia" w:ascii="宋体" w:hAnsi="宋体"/>
            <w:sz w:val="24"/>
          </w:rPr>
          <w:id w:val="-370766485"/>
          <w:placeholder>
            <w:docPart w:val="C415497EA3F644669641EA7BC886F7CD"/>
          </w:placeholder>
          <w:dropDownList>
            <w:listItem w:value="选择一项。"/>
            <w:listItem w:displayText="根据" w:value="根据"/>
            <w:listItem w:displayText="由于" w:value="由于"/>
          </w:dropDownList>
        </w:sdtPr>
        <w:sdtEndPr>
          <w:rPr>
            <w:rFonts w:hint="eastAsia" w:ascii="宋体" w:hAnsi="宋体"/>
            <w:sz w:val="24"/>
          </w:rPr>
        </w:sdtEndPr>
        <w:sdtContent>
          <w:r>
            <w:rPr>
              <w:rFonts w:hint="eastAsia" w:ascii="宋体" w:hAnsi="宋体"/>
              <w:sz w:val="24"/>
            </w:rPr>
            <w:t>根据</w:t>
          </w:r>
        </w:sdtContent>
      </w:sdt>
      <w:r>
        <w:rPr>
          <w:rFonts w:hint="eastAsia" w:ascii="宋体" w:hAnsi="宋体"/>
          <w:sz w:val="24"/>
        </w:rPr>
        <w:t>委托人提供的（202</w:t>
      </w:r>
      <w:r>
        <w:rPr>
          <w:rFonts w:ascii="宋体" w:hAnsi="宋体"/>
          <w:sz w:val="24"/>
        </w:rPr>
        <w:t>2</w:t>
      </w:r>
      <w:r>
        <w:rPr>
          <w:rFonts w:hint="eastAsia" w:ascii="宋体" w:hAnsi="宋体"/>
          <w:sz w:val="24"/>
        </w:rPr>
        <w:t>）闽</w:t>
      </w:r>
      <w:r>
        <w:rPr>
          <w:rFonts w:ascii="宋体" w:hAnsi="宋体"/>
          <w:sz w:val="24"/>
        </w:rPr>
        <w:t>0121</w:t>
      </w:r>
      <w:r>
        <w:rPr>
          <w:rFonts w:hint="eastAsia" w:ascii="宋体" w:hAnsi="宋体"/>
          <w:sz w:val="24"/>
        </w:rPr>
        <w:t>执恢</w:t>
      </w:r>
      <w:r>
        <w:rPr>
          <w:rFonts w:ascii="宋体" w:hAnsi="宋体"/>
          <w:sz w:val="24"/>
        </w:rPr>
        <w:t>506</w:t>
      </w:r>
      <w:r>
        <w:rPr>
          <w:rFonts w:hint="eastAsia" w:ascii="宋体" w:hAnsi="宋体"/>
          <w:sz w:val="24"/>
        </w:rPr>
        <w:t>号《福建省闽侯县人民法院评估委托书》，</w:t>
      </w:r>
      <w:sdt>
        <w:sdtPr>
          <w:rPr>
            <w:rFonts w:hint="eastAsia" w:ascii="宋体" w:hAnsi="宋体"/>
            <w:sz w:val="24"/>
          </w:rPr>
          <w:id w:val="-671493636"/>
          <w:placeholder>
            <w:docPart w:val="D7125310D1A4438FBB72FE241F25DE61"/>
          </w:placeholder>
          <w:dropDownList>
            <w:listItem w:value="选择一项。"/>
            <w:listItem w:displayText="本次估价以委托之日" w:value="本次估价以委托之日"/>
            <w:listItem w:displayText="未确定价值时点，本次估价依据估价委托人要求以实地查勘日" w:value="未确定价值时点，本次估价依据估价委托人要求以实地查勘日"/>
          </w:dropDownList>
        </w:sdtPr>
        <w:sdtEndPr>
          <w:rPr>
            <w:rFonts w:hint="eastAsia" w:ascii="宋体" w:hAnsi="宋体"/>
            <w:sz w:val="24"/>
          </w:rPr>
        </w:sdtEndPr>
        <w:sdtContent>
          <w:r>
            <w:rPr>
              <w:rFonts w:hint="eastAsia" w:ascii="宋体" w:hAnsi="宋体"/>
              <w:sz w:val="24"/>
            </w:rPr>
            <w:t>本次估价以委托之日</w:t>
          </w:r>
        </w:sdtContent>
      </w:sdt>
      <w:r>
        <w:rPr>
          <w:rFonts w:hint="eastAsia" w:ascii="宋体" w:hAnsi="宋体"/>
          <w:sz w:val="24"/>
        </w:rPr>
        <w:t>（202</w:t>
      </w:r>
      <w:r>
        <w:rPr>
          <w:rFonts w:ascii="宋体" w:hAnsi="宋体"/>
          <w:sz w:val="24"/>
        </w:rPr>
        <w:t>2</w:t>
      </w:r>
      <w:r>
        <w:rPr>
          <w:rFonts w:hint="eastAsia" w:ascii="宋体" w:hAnsi="宋体"/>
          <w:sz w:val="24"/>
        </w:rPr>
        <w:t>年7月</w:t>
      </w:r>
      <w:r>
        <w:rPr>
          <w:rFonts w:ascii="宋体" w:hAnsi="宋体"/>
          <w:sz w:val="24"/>
        </w:rPr>
        <w:t>4</w:t>
      </w:r>
      <w:r>
        <w:rPr>
          <w:rFonts w:hint="eastAsia" w:ascii="宋体" w:hAnsi="宋体"/>
          <w:sz w:val="24"/>
        </w:rPr>
        <w:t>日）为价值时点。涉执房地产实际拍卖日期与价值时点不一致，提请报告使用人注意期间可能发生的估价对象区位、实物状况及房地产市场状况变化对涉执房地产拍卖之日的市场价值的影响。</w:t>
      </w:r>
      <w:bookmarkEnd w:id="40"/>
    </w:p>
    <w:p>
      <w:pPr>
        <w:snapToGrid w:val="0"/>
        <w:spacing w:line="480" w:lineRule="exact"/>
        <w:ind w:firstLine="480" w:firstLineChars="200"/>
        <w:rPr>
          <w:rFonts w:ascii="宋体" w:hAnsi="宋体"/>
          <w:sz w:val="24"/>
        </w:rPr>
      </w:pPr>
      <w:r>
        <w:rPr>
          <w:rFonts w:hint="eastAsia" w:ascii="宋体" w:hAnsi="宋体"/>
          <w:sz w:val="24"/>
        </w:rPr>
        <w:t>6.估价委托人未提供估价对象所处建筑物的相关建成年份资料，</w:t>
      </w:r>
      <w:sdt>
        <w:sdtPr>
          <w:rPr>
            <w:rFonts w:hint="eastAsia" w:ascii="宋体" w:hAnsi="宋体"/>
            <w:sz w:val="24"/>
          </w:rPr>
          <w:id w:val="-2097467262"/>
          <w:placeholder>
            <w:docPart w:val="60E1BBE443B1472AAC17609E7737AC1D"/>
          </w:placeholder>
          <w:dropDownList>
            <w:listItem w:displayText="经估价人员实地调查，估价对象所处建筑物建成于" w:value="经估价人员实地调查，估价对象所处建筑物建成于"/>
            <w:listItem w:displayText="估价对象所处建筑物建成于" w:value="估价对象所处建筑物建成于"/>
          </w:dropDownList>
        </w:sdtPr>
        <w:sdtEndPr>
          <w:rPr>
            <w:rFonts w:hint="eastAsia" w:ascii="宋体" w:hAnsi="宋体"/>
            <w:sz w:val="24"/>
          </w:rPr>
        </w:sdtEndPr>
        <w:sdtContent>
          <w:r>
            <w:rPr>
              <w:rFonts w:hint="eastAsia" w:ascii="宋体" w:hAnsi="宋体"/>
              <w:sz w:val="24"/>
            </w:rPr>
            <w:t>经估价人员实地调查，估价对象所处建筑物建成于</w:t>
          </w:r>
        </w:sdtContent>
      </w:sdt>
      <w:r>
        <w:rPr>
          <w:rFonts w:ascii="宋体" w:hAnsi="宋体"/>
          <w:sz w:val="24"/>
        </w:rPr>
        <w:t>2012</w:t>
      </w:r>
      <w:r>
        <w:rPr>
          <w:rFonts w:hint="eastAsia" w:ascii="宋体" w:hAnsi="宋体"/>
          <w:sz w:val="24"/>
        </w:rPr>
        <w:t>年。本次估价建筑物的建成年份以实际调查为准，仅在本报告中使用，不作其他任何用途使用。</w:t>
      </w:r>
    </w:p>
    <w:p>
      <w:pPr>
        <w:autoSpaceDE w:val="0"/>
        <w:autoSpaceDN w:val="0"/>
        <w:adjustRightInd w:val="0"/>
        <w:spacing w:line="480" w:lineRule="exact"/>
        <w:ind w:firstLine="480" w:firstLineChars="200"/>
        <w:rPr>
          <w:rFonts w:ascii="宋体" w:hAnsi="宋体"/>
          <w:sz w:val="24"/>
        </w:rPr>
      </w:pPr>
      <w:r>
        <w:rPr>
          <w:rFonts w:ascii="宋体" w:hAnsi="宋体"/>
          <w:sz w:val="24"/>
        </w:rPr>
        <w:t>7</w:t>
      </w:r>
      <w:r>
        <w:rPr>
          <w:rFonts w:hint="eastAsia" w:ascii="宋体" w:hAnsi="宋体"/>
          <w:sz w:val="24"/>
        </w:rPr>
        <w:t>.估价报告的使用期限自本估价报告出具之日起不超过一年，房地产市场状况变化较大时不超过半年。在估价结果有效期内，估价对象状况或者房地产市场发生明显变化的，估价结果应当相应调整。</w:t>
      </w:r>
    </w:p>
    <w:p>
      <w:pPr>
        <w:autoSpaceDE w:val="0"/>
        <w:autoSpaceDN w:val="0"/>
        <w:adjustRightInd w:val="0"/>
        <w:spacing w:line="480" w:lineRule="exact"/>
        <w:ind w:firstLine="480" w:firstLineChars="200"/>
        <w:rPr>
          <w:rFonts w:ascii="宋体" w:hAnsi="宋体"/>
          <w:sz w:val="24"/>
        </w:rPr>
      </w:pPr>
      <w:r>
        <w:rPr>
          <w:rFonts w:ascii="宋体" w:hAnsi="宋体"/>
          <w:sz w:val="24"/>
        </w:rPr>
        <w:t>8</w:t>
      </w:r>
      <w:r>
        <w:rPr>
          <w:rFonts w:hint="eastAsia" w:ascii="宋体" w:hAnsi="宋体"/>
          <w:sz w:val="24"/>
        </w:rPr>
        <w:t>.估价委托人或者估价报告使用人应当按照法律规定和</w:t>
      </w:r>
      <w:r>
        <w:rPr>
          <w:rFonts w:hint="eastAsia" w:ascii="宋体" w:hAnsi="宋体"/>
          <w:sz w:val="24"/>
          <w:szCs w:val="22"/>
        </w:rPr>
        <w:t>估价</w:t>
      </w:r>
      <w:r>
        <w:rPr>
          <w:rFonts w:hint="eastAsia" w:ascii="宋体" w:hAnsi="宋体"/>
          <w:sz w:val="24"/>
        </w:rPr>
        <w:t>报告载明的使用范围使用</w:t>
      </w:r>
      <w:r>
        <w:rPr>
          <w:rFonts w:hint="eastAsia" w:ascii="宋体" w:hAnsi="宋体"/>
          <w:sz w:val="24"/>
          <w:szCs w:val="22"/>
        </w:rPr>
        <w:t>本估价</w:t>
      </w:r>
      <w:r>
        <w:rPr>
          <w:rFonts w:hint="eastAsia" w:ascii="宋体" w:hAnsi="宋体"/>
          <w:sz w:val="24"/>
        </w:rPr>
        <w:t>报告，违反该规定使用本估价报告的，房地产估价机构和注册房地产估价师依法不承担责任。</w:t>
      </w:r>
    </w:p>
    <w:p>
      <w:pPr>
        <w:autoSpaceDE w:val="0"/>
        <w:autoSpaceDN w:val="0"/>
        <w:adjustRightInd w:val="0"/>
        <w:spacing w:line="480" w:lineRule="exact"/>
        <w:ind w:firstLine="480" w:firstLineChars="200"/>
        <w:rPr>
          <w:rFonts w:ascii="宋体" w:hAnsi="宋体"/>
          <w:sz w:val="24"/>
        </w:rPr>
      </w:pPr>
      <w:r>
        <w:rPr>
          <w:rFonts w:ascii="宋体" w:hAnsi="宋体"/>
          <w:sz w:val="24"/>
        </w:rPr>
        <w:t>9</w:t>
      </w:r>
      <w:r>
        <w:rPr>
          <w:rFonts w:hint="eastAsia" w:ascii="宋体" w:hAnsi="宋体"/>
          <w:sz w:val="24"/>
        </w:rPr>
        <w:t>.</w:t>
      </w:r>
      <w:r>
        <w:rPr>
          <w:rFonts w:hint="eastAsia" w:ascii="宋体" w:hAnsi="宋体"/>
          <w:sz w:val="24"/>
          <w:szCs w:val="22"/>
        </w:rPr>
        <w:t>本估价结果仅</w:t>
      </w:r>
      <w:bookmarkStart w:id="41" w:name="_Hlk73287378"/>
      <w:r>
        <w:rPr>
          <w:rFonts w:hint="eastAsia" w:ascii="宋体" w:hAnsi="宋体"/>
          <w:sz w:val="24"/>
          <w:szCs w:val="22"/>
        </w:rPr>
        <w:t>为人民法院确定财产处置参考价提供参考依据</w:t>
      </w:r>
      <w:bookmarkEnd w:id="41"/>
      <w:r>
        <w:rPr>
          <w:rFonts w:hint="eastAsia" w:ascii="宋体" w:hAnsi="宋体"/>
          <w:sz w:val="24"/>
          <w:szCs w:val="22"/>
        </w:rPr>
        <w:t>，</w:t>
      </w:r>
      <w:r>
        <w:rPr>
          <w:rFonts w:hint="eastAsia" w:ascii="宋体" w:hAnsi="宋体"/>
          <w:sz w:val="24"/>
        </w:rPr>
        <w:t>不等于估价对象处置可实现的成交价，不应被认为是估价对象处置成交价的保证。</w:t>
      </w:r>
    </w:p>
    <w:p>
      <w:pPr>
        <w:autoSpaceDE w:val="0"/>
        <w:autoSpaceDN w:val="0"/>
        <w:adjustRightInd w:val="0"/>
        <w:spacing w:line="480" w:lineRule="exact"/>
        <w:ind w:firstLine="480" w:firstLineChars="200"/>
        <w:rPr>
          <w:rFonts w:ascii="宋体" w:hAnsi="宋体"/>
          <w:sz w:val="24"/>
        </w:rPr>
      </w:pPr>
      <w:r>
        <w:rPr>
          <w:rFonts w:ascii="宋体" w:hAnsi="宋体"/>
          <w:sz w:val="24"/>
        </w:rPr>
        <w:t>10</w:t>
      </w:r>
      <w:r>
        <w:rPr>
          <w:rFonts w:hint="eastAsia" w:ascii="宋体" w:hAnsi="宋体"/>
          <w:sz w:val="24"/>
        </w:rPr>
        <w:t>.欲知详情，请阅读本估价报告全文。</w:t>
      </w:r>
    </w:p>
    <w:p>
      <w:pPr>
        <w:snapToGrid w:val="0"/>
        <w:spacing w:line="360" w:lineRule="exact"/>
        <w:ind w:right="360"/>
        <w:jc w:val="right"/>
        <w:rPr>
          <w:rFonts w:ascii="宋体" w:hAnsi="宋体"/>
          <w:sz w:val="24"/>
        </w:rPr>
      </w:pPr>
    </w:p>
    <w:p>
      <w:pPr>
        <w:snapToGrid w:val="0"/>
        <w:spacing w:line="360" w:lineRule="exact"/>
        <w:ind w:right="360"/>
        <w:jc w:val="right"/>
        <w:rPr>
          <w:rFonts w:ascii="宋体" w:hAnsi="宋体"/>
          <w:sz w:val="24"/>
        </w:rPr>
      </w:pPr>
    </w:p>
    <w:p>
      <w:pPr>
        <w:snapToGrid w:val="0"/>
        <w:spacing w:after="312" w:afterLines="100" w:line="360" w:lineRule="auto"/>
        <w:ind w:right="360"/>
        <w:jc w:val="right"/>
        <w:rPr>
          <w:rFonts w:ascii="宋体" w:hAnsi="宋体"/>
          <w:sz w:val="24"/>
        </w:rPr>
      </w:pPr>
      <w:r>
        <w:rPr>
          <w:rFonts w:hint="eastAsia" w:ascii="宋体" w:hAnsi="宋体"/>
          <w:sz w:val="24"/>
        </w:rPr>
        <w:t>福建中兴资产评估房</w:t>
      </w:r>
      <w:bookmarkStart w:id="42" w:name="_Hlt163636477"/>
      <w:bookmarkStart w:id="43" w:name="_Hlt163636476"/>
      <w:r>
        <w:rPr>
          <w:rFonts w:hint="eastAsia" w:ascii="宋体" w:hAnsi="宋体"/>
          <w:sz w:val="24"/>
        </w:rPr>
        <w:t>地</w:t>
      </w:r>
      <w:bookmarkEnd w:id="42"/>
      <w:bookmarkEnd w:id="43"/>
      <w:r>
        <w:rPr>
          <w:rFonts w:hint="eastAsia" w:ascii="宋体" w:hAnsi="宋体"/>
          <w:sz w:val="24"/>
        </w:rPr>
        <w:t>产土地估价有限责任</w:t>
      </w:r>
      <w:bookmarkStart w:id="44" w:name="_Hlt163636478"/>
      <w:r>
        <w:rPr>
          <w:rFonts w:hint="eastAsia" w:ascii="宋体" w:hAnsi="宋体"/>
          <w:sz w:val="24"/>
        </w:rPr>
        <w:t>公</w:t>
      </w:r>
      <w:bookmarkEnd w:id="44"/>
      <w:bookmarkStart w:id="45" w:name="_Hlt151134733"/>
      <w:bookmarkStart w:id="46" w:name="_Hlt151134734"/>
      <w:r>
        <w:rPr>
          <w:rFonts w:hint="eastAsia" w:ascii="宋体" w:hAnsi="宋体"/>
          <w:sz w:val="24"/>
        </w:rPr>
        <w:t>司</w:t>
      </w:r>
      <w:bookmarkEnd w:id="45"/>
      <w:bookmarkEnd w:id="46"/>
      <w:r>
        <w:rPr>
          <w:rFonts w:hint="eastAsia" w:ascii="宋体" w:hAnsi="宋体"/>
          <w:sz w:val="24"/>
        </w:rPr>
        <w:t>（公章</w:t>
      </w:r>
      <w:r>
        <w:rPr>
          <w:rFonts w:ascii="宋体" w:hAnsi="宋体"/>
          <w:sz w:val="24"/>
        </w:rPr>
        <w:t>）</w:t>
      </w:r>
    </w:p>
    <w:p>
      <w:pPr>
        <w:snapToGrid w:val="0"/>
        <w:spacing w:after="312" w:afterLines="100" w:line="360" w:lineRule="auto"/>
        <w:ind w:firstLine="2"/>
        <w:jc w:val="center"/>
        <w:rPr>
          <w:rFonts w:ascii="宋体" w:hAnsi="宋体"/>
          <w:sz w:val="24"/>
        </w:rPr>
      </w:pPr>
      <w:r>
        <w:rPr>
          <w:rFonts w:hint="eastAsia" w:ascii="宋体" w:hAnsi="宋体"/>
          <w:sz w:val="24"/>
        </w:rPr>
        <w:t xml:space="preserve">                      法定代表人：</w:t>
      </w:r>
    </w:p>
    <w:p>
      <w:pPr>
        <w:snapToGrid w:val="0"/>
        <w:spacing w:after="312" w:afterLines="100" w:line="360" w:lineRule="auto"/>
        <w:jc w:val="center"/>
        <w:rPr>
          <w:rFonts w:ascii="宋体" w:hAnsi="宋体"/>
          <w:b/>
          <w:bCs/>
          <w:sz w:val="32"/>
          <w:szCs w:val="32"/>
        </w:rPr>
      </w:pPr>
      <w:r>
        <w:rPr>
          <w:rFonts w:hint="eastAsia" w:ascii="宋体" w:hAnsi="宋体"/>
          <w:sz w:val="24"/>
        </w:rPr>
        <w:t xml:space="preserve">                                </w:t>
      </w:r>
      <w:bookmarkStart w:id="47" w:name="_Hlk24885475"/>
      <w:r>
        <w:rPr>
          <w:rFonts w:hint="eastAsia" w:ascii="宋体" w:hAnsi="宋体"/>
          <w:bCs/>
          <w:sz w:val="24"/>
        </w:rPr>
        <w:t>二○二二年八月三十一日</w:t>
      </w:r>
      <w:bookmarkEnd w:id="47"/>
    </w:p>
    <w:p>
      <w:pPr>
        <w:spacing w:line="480" w:lineRule="auto"/>
        <w:jc w:val="center"/>
        <w:rPr>
          <w:rFonts w:ascii="宋体" w:hAnsi="宋体"/>
          <w:b/>
          <w:bCs/>
          <w:sz w:val="32"/>
          <w:szCs w:val="32"/>
        </w:rPr>
        <w:sectPr>
          <w:headerReference r:id="rId7" w:type="default"/>
          <w:footerReference r:id="rId8" w:type="default"/>
          <w:pgSz w:w="11906" w:h="16838"/>
          <w:pgMar w:top="1440" w:right="1080" w:bottom="1440" w:left="1080" w:header="567" w:footer="567" w:gutter="0"/>
          <w:pgNumType w:start="1"/>
          <w:cols w:space="720" w:num="1"/>
          <w:docGrid w:type="lines" w:linePitch="312" w:charSpace="0"/>
        </w:sectPr>
      </w:pPr>
    </w:p>
    <w:p>
      <w:pPr>
        <w:snapToGrid w:val="0"/>
        <w:jc w:val="center"/>
        <w:rPr>
          <w:rFonts w:ascii="宋体" w:hAnsi="宋体"/>
          <w:b/>
          <w:bCs/>
          <w:sz w:val="32"/>
          <w:szCs w:val="32"/>
        </w:rPr>
      </w:pPr>
    </w:p>
    <w:p>
      <w:pPr>
        <w:spacing w:line="480" w:lineRule="auto"/>
        <w:jc w:val="center"/>
        <w:rPr>
          <w:rFonts w:ascii="宋体" w:hAnsi="宋体"/>
          <w:b/>
          <w:bCs/>
          <w:sz w:val="32"/>
          <w:szCs w:val="32"/>
        </w:rPr>
      </w:pPr>
      <w:r>
        <w:rPr>
          <w:rFonts w:hint="eastAsia" w:ascii="宋体" w:hAnsi="宋体"/>
          <w:b/>
          <w:bCs/>
          <w:sz w:val="32"/>
          <w:szCs w:val="32"/>
        </w:rPr>
        <w:t>目  录</w:t>
      </w:r>
    </w:p>
    <w:p>
      <w:pPr>
        <w:pStyle w:val="41"/>
        <w:tabs>
          <w:tab w:val="right" w:leader="dot" w:pos="9746"/>
        </w:tabs>
        <w:rPr>
          <w:b/>
          <w:bCs/>
        </w:rPr>
      </w:pPr>
      <w:r>
        <w:rPr>
          <w:rFonts w:ascii="宋体" w:hAnsi="宋体"/>
          <w:szCs w:val="21"/>
        </w:rPr>
        <w:fldChar w:fldCharType="begin"/>
      </w:r>
      <w:r>
        <w:rPr>
          <w:rFonts w:ascii="宋体" w:hAnsi="宋体"/>
          <w:szCs w:val="21"/>
        </w:rPr>
        <w:instrText xml:space="preserve"> TOC \o "1-2" \h \z \u </w:instrText>
      </w:r>
      <w:r>
        <w:rPr>
          <w:rFonts w:ascii="宋体" w:hAnsi="宋体"/>
          <w:szCs w:val="21"/>
        </w:rPr>
        <w:fldChar w:fldCharType="separate"/>
      </w:r>
      <w:r>
        <w:fldChar w:fldCharType="begin"/>
      </w:r>
      <w:r>
        <w:instrText xml:space="preserve"> HYPERLINK \l "_Toc736" </w:instrText>
      </w:r>
      <w:r>
        <w:fldChar w:fldCharType="separate"/>
      </w:r>
      <w:r>
        <w:rPr>
          <w:rFonts w:hint="eastAsia" w:ascii="宋体" w:hAnsi="宋体"/>
          <w:b/>
          <w:bCs/>
          <w:szCs w:val="32"/>
        </w:rPr>
        <w:t>估价师声明</w:t>
      </w:r>
      <w:r>
        <w:rPr>
          <w:b/>
          <w:bCs/>
        </w:rPr>
        <w:tab/>
      </w:r>
      <w:r>
        <w:rPr>
          <w:b/>
          <w:bCs/>
        </w:rPr>
        <w:fldChar w:fldCharType="begin"/>
      </w:r>
      <w:r>
        <w:rPr>
          <w:b/>
          <w:bCs/>
        </w:rPr>
        <w:instrText xml:space="preserve"> PAGEREF _Toc736 </w:instrText>
      </w:r>
      <w:r>
        <w:rPr>
          <w:b/>
          <w:bCs/>
        </w:rPr>
        <w:fldChar w:fldCharType="separate"/>
      </w:r>
      <w:r>
        <w:rPr>
          <w:b/>
          <w:bCs/>
        </w:rPr>
        <w:t>1</w:t>
      </w:r>
      <w:r>
        <w:rPr>
          <w:b/>
          <w:bCs/>
        </w:rPr>
        <w:fldChar w:fldCharType="end"/>
      </w:r>
      <w:r>
        <w:rPr>
          <w:b/>
          <w:bCs/>
        </w:rPr>
        <w:fldChar w:fldCharType="end"/>
      </w:r>
    </w:p>
    <w:p>
      <w:pPr>
        <w:pStyle w:val="41"/>
        <w:tabs>
          <w:tab w:val="right" w:leader="dot" w:pos="9746"/>
        </w:tabs>
        <w:rPr>
          <w:b/>
          <w:bCs/>
        </w:rPr>
      </w:pPr>
      <w:r>
        <w:fldChar w:fldCharType="begin"/>
      </w:r>
      <w:r>
        <w:instrText xml:space="preserve"> HYPERLINK \l "_Toc28491" </w:instrText>
      </w:r>
      <w:r>
        <w:fldChar w:fldCharType="separate"/>
      </w:r>
      <w:r>
        <w:rPr>
          <w:rFonts w:hint="eastAsia"/>
          <w:b/>
          <w:bCs/>
          <w:szCs w:val="32"/>
        </w:rPr>
        <w:t>估价假设和限制条件</w:t>
      </w:r>
      <w:r>
        <w:rPr>
          <w:b/>
          <w:bCs/>
        </w:rPr>
        <w:tab/>
      </w:r>
      <w:r>
        <w:rPr>
          <w:b/>
          <w:bCs/>
        </w:rPr>
        <w:fldChar w:fldCharType="begin"/>
      </w:r>
      <w:r>
        <w:rPr>
          <w:b/>
          <w:bCs/>
        </w:rPr>
        <w:instrText xml:space="preserve"> PAGEREF _Toc28491 </w:instrText>
      </w:r>
      <w:r>
        <w:rPr>
          <w:b/>
          <w:bCs/>
        </w:rPr>
        <w:fldChar w:fldCharType="separate"/>
      </w:r>
      <w:r>
        <w:rPr>
          <w:b/>
          <w:bCs/>
        </w:rPr>
        <w:t>2</w:t>
      </w:r>
      <w:r>
        <w:rPr>
          <w:b/>
          <w:bCs/>
        </w:rPr>
        <w:fldChar w:fldCharType="end"/>
      </w:r>
      <w:r>
        <w:rPr>
          <w:b/>
          <w:bCs/>
        </w:rPr>
        <w:fldChar w:fldCharType="end"/>
      </w:r>
    </w:p>
    <w:p>
      <w:pPr>
        <w:pStyle w:val="41"/>
        <w:tabs>
          <w:tab w:val="right" w:leader="dot" w:pos="9746"/>
        </w:tabs>
        <w:rPr>
          <w:b/>
          <w:bCs/>
        </w:rPr>
      </w:pPr>
      <w:r>
        <w:fldChar w:fldCharType="begin"/>
      </w:r>
      <w:r>
        <w:instrText xml:space="preserve"> HYPERLINK \l "_Toc24762" </w:instrText>
      </w:r>
      <w:r>
        <w:fldChar w:fldCharType="separate"/>
      </w:r>
      <w:r>
        <w:rPr>
          <w:rFonts w:hint="eastAsia" w:ascii="宋体" w:hAnsi="宋体"/>
          <w:b/>
          <w:bCs/>
          <w:szCs w:val="32"/>
        </w:rPr>
        <w:t>估价结果报告</w:t>
      </w:r>
      <w:r>
        <w:rPr>
          <w:b/>
          <w:bCs/>
        </w:rPr>
        <w:tab/>
      </w:r>
      <w:r>
        <w:rPr>
          <w:b/>
          <w:bCs/>
        </w:rPr>
        <w:fldChar w:fldCharType="begin"/>
      </w:r>
      <w:r>
        <w:rPr>
          <w:b/>
          <w:bCs/>
        </w:rPr>
        <w:instrText xml:space="preserve"> PAGEREF _Toc24762 </w:instrText>
      </w:r>
      <w:r>
        <w:rPr>
          <w:b/>
          <w:bCs/>
        </w:rPr>
        <w:fldChar w:fldCharType="separate"/>
      </w:r>
      <w:r>
        <w:rPr>
          <w:b/>
          <w:bCs/>
        </w:rPr>
        <w:t>4</w:t>
      </w:r>
      <w:r>
        <w:rPr>
          <w:b/>
          <w:bCs/>
        </w:rPr>
        <w:fldChar w:fldCharType="end"/>
      </w:r>
      <w:r>
        <w:rPr>
          <w:b/>
          <w:bCs/>
        </w:rPr>
        <w:fldChar w:fldCharType="end"/>
      </w:r>
    </w:p>
    <w:p>
      <w:pPr>
        <w:pStyle w:val="18"/>
        <w:tabs>
          <w:tab w:val="right" w:leader="dot" w:pos="9746"/>
        </w:tabs>
      </w:pPr>
      <w:r>
        <w:fldChar w:fldCharType="begin"/>
      </w:r>
      <w:r>
        <w:instrText xml:space="preserve"> HYPERLINK \l "_Toc5750" </w:instrText>
      </w:r>
      <w:r>
        <w:fldChar w:fldCharType="separate"/>
      </w:r>
      <w:r>
        <w:rPr>
          <w:rFonts w:hint="eastAsia" w:ascii="宋体" w:hAnsi="宋体"/>
        </w:rPr>
        <w:t>一、估价委托人</w:t>
      </w:r>
      <w:r>
        <w:tab/>
      </w:r>
      <w:r>
        <w:fldChar w:fldCharType="begin"/>
      </w:r>
      <w:r>
        <w:instrText xml:space="preserve"> PAGEREF _Toc5750 </w:instrText>
      </w:r>
      <w:r>
        <w:fldChar w:fldCharType="separate"/>
      </w:r>
      <w:r>
        <w:t>4</w:t>
      </w:r>
      <w:r>
        <w:fldChar w:fldCharType="end"/>
      </w:r>
      <w:r>
        <w:fldChar w:fldCharType="end"/>
      </w:r>
    </w:p>
    <w:p>
      <w:pPr>
        <w:pStyle w:val="18"/>
        <w:tabs>
          <w:tab w:val="right" w:leader="dot" w:pos="9746"/>
        </w:tabs>
      </w:pPr>
      <w:r>
        <w:fldChar w:fldCharType="begin"/>
      </w:r>
      <w:r>
        <w:instrText xml:space="preserve"> HYPERLINK \l "_Toc6027" </w:instrText>
      </w:r>
      <w:r>
        <w:fldChar w:fldCharType="separate"/>
      </w:r>
      <w:r>
        <w:rPr>
          <w:rFonts w:hint="eastAsia" w:ascii="宋体" w:hAnsi="宋体"/>
        </w:rPr>
        <w:t>二、估价机构</w:t>
      </w:r>
      <w:r>
        <w:tab/>
      </w:r>
      <w:r>
        <w:fldChar w:fldCharType="begin"/>
      </w:r>
      <w:r>
        <w:instrText xml:space="preserve"> PAGEREF _Toc6027 </w:instrText>
      </w:r>
      <w:r>
        <w:fldChar w:fldCharType="separate"/>
      </w:r>
      <w:r>
        <w:t>4</w:t>
      </w:r>
      <w:r>
        <w:fldChar w:fldCharType="end"/>
      </w:r>
      <w:r>
        <w:fldChar w:fldCharType="end"/>
      </w:r>
    </w:p>
    <w:p>
      <w:pPr>
        <w:pStyle w:val="18"/>
        <w:tabs>
          <w:tab w:val="right" w:leader="dot" w:pos="9746"/>
        </w:tabs>
      </w:pPr>
      <w:r>
        <w:fldChar w:fldCharType="begin"/>
      </w:r>
      <w:r>
        <w:instrText xml:space="preserve"> HYPERLINK \l "_Toc16483" </w:instrText>
      </w:r>
      <w:r>
        <w:fldChar w:fldCharType="separate"/>
      </w:r>
      <w:r>
        <w:rPr>
          <w:rFonts w:hint="eastAsia" w:ascii="宋体" w:hAnsi="宋体"/>
        </w:rPr>
        <w:t>三、估价目的</w:t>
      </w:r>
      <w:r>
        <w:tab/>
      </w:r>
      <w:r>
        <w:fldChar w:fldCharType="begin"/>
      </w:r>
      <w:r>
        <w:instrText xml:space="preserve"> PAGEREF _Toc16483 </w:instrText>
      </w:r>
      <w:r>
        <w:fldChar w:fldCharType="separate"/>
      </w:r>
      <w:r>
        <w:t>4</w:t>
      </w:r>
      <w:r>
        <w:fldChar w:fldCharType="end"/>
      </w:r>
      <w:r>
        <w:fldChar w:fldCharType="end"/>
      </w:r>
    </w:p>
    <w:p>
      <w:pPr>
        <w:pStyle w:val="18"/>
        <w:tabs>
          <w:tab w:val="right" w:leader="dot" w:pos="9746"/>
        </w:tabs>
      </w:pPr>
      <w:r>
        <w:fldChar w:fldCharType="begin"/>
      </w:r>
      <w:r>
        <w:instrText xml:space="preserve"> HYPERLINK \l "_Toc18626" </w:instrText>
      </w:r>
      <w:r>
        <w:fldChar w:fldCharType="separate"/>
      </w:r>
      <w:r>
        <w:rPr>
          <w:rFonts w:hint="eastAsia" w:ascii="宋体" w:hAnsi="宋体"/>
        </w:rPr>
        <w:t>四、估价对象</w:t>
      </w:r>
      <w:r>
        <w:tab/>
      </w:r>
      <w:r>
        <w:fldChar w:fldCharType="begin"/>
      </w:r>
      <w:r>
        <w:instrText xml:space="preserve"> PAGEREF _Toc18626 </w:instrText>
      </w:r>
      <w:r>
        <w:fldChar w:fldCharType="separate"/>
      </w:r>
      <w:r>
        <w:t>4</w:t>
      </w:r>
      <w:r>
        <w:fldChar w:fldCharType="end"/>
      </w:r>
      <w:r>
        <w:fldChar w:fldCharType="end"/>
      </w:r>
    </w:p>
    <w:p>
      <w:pPr>
        <w:pStyle w:val="18"/>
        <w:tabs>
          <w:tab w:val="right" w:leader="dot" w:pos="9746"/>
        </w:tabs>
      </w:pPr>
      <w:r>
        <w:fldChar w:fldCharType="begin"/>
      </w:r>
      <w:r>
        <w:instrText xml:space="preserve"> HYPERLINK \l "_Toc20831" </w:instrText>
      </w:r>
      <w:r>
        <w:fldChar w:fldCharType="separate"/>
      </w:r>
      <w:r>
        <w:rPr>
          <w:rFonts w:hint="eastAsia" w:ascii="宋体" w:hAnsi="宋体"/>
          <w:szCs w:val="22"/>
        </w:rPr>
        <w:t>五、价值时点</w:t>
      </w:r>
      <w:r>
        <w:tab/>
      </w:r>
      <w:r>
        <w:fldChar w:fldCharType="begin"/>
      </w:r>
      <w:r>
        <w:instrText xml:space="preserve"> PAGEREF _Toc20831 </w:instrText>
      </w:r>
      <w:r>
        <w:fldChar w:fldCharType="separate"/>
      </w:r>
      <w:r>
        <w:t>6</w:t>
      </w:r>
      <w:r>
        <w:fldChar w:fldCharType="end"/>
      </w:r>
      <w:r>
        <w:fldChar w:fldCharType="end"/>
      </w:r>
    </w:p>
    <w:p>
      <w:pPr>
        <w:pStyle w:val="18"/>
        <w:tabs>
          <w:tab w:val="right" w:leader="dot" w:pos="9746"/>
        </w:tabs>
      </w:pPr>
      <w:r>
        <w:fldChar w:fldCharType="begin"/>
      </w:r>
      <w:r>
        <w:instrText xml:space="preserve"> HYPERLINK \l "_Toc4878" </w:instrText>
      </w:r>
      <w:r>
        <w:fldChar w:fldCharType="separate"/>
      </w:r>
      <w:r>
        <w:rPr>
          <w:rFonts w:hint="eastAsia" w:ascii="宋体" w:hAnsi="宋体"/>
          <w:szCs w:val="22"/>
        </w:rPr>
        <w:t>六、价值类型</w:t>
      </w:r>
      <w:r>
        <w:tab/>
      </w:r>
      <w:r>
        <w:fldChar w:fldCharType="begin"/>
      </w:r>
      <w:r>
        <w:instrText xml:space="preserve"> PAGEREF _Toc4878 </w:instrText>
      </w:r>
      <w:r>
        <w:fldChar w:fldCharType="separate"/>
      </w:r>
      <w:r>
        <w:t>6</w:t>
      </w:r>
      <w:r>
        <w:fldChar w:fldCharType="end"/>
      </w:r>
      <w:r>
        <w:fldChar w:fldCharType="end"/>
      </w:r>
    </w:p>
    <w:p>
      <w:pPr>
        <w:pStyle w:val="18"/>
        <w:tabs>
          <w:tab w:val="right" w:leader="dot" w:pos="9746"/>
        </w:tabs>
      </w:pPr>
      <w:r>
        <w:fldChar w:fldCharType="begin"/>
      </w:r>
      <w:r>
        <w:instrText xml:space="preserve"> HYPERLINK \l "_Toc14685" </w:instrText>
      </w:r>
      <w:r>
        <w:fldChar w:fldCharType="separate"/>
      </w:r>
      <w:r>
        <w:rPr>
          <w:rFonts w:hint="eastAsia" w:ascii="宋体" w:hAnsi="宋体"/>
          <w:szCs w:val="22"/>
        </w:rPr>
        <w:t>七、估价原则</w:t>
      </w:r>
      <w:r>
        <w:tab/>
      </w:r>
      <w:r>
        <w:fldChar w:fldCharType="begin"/>
      </w:r>
      <w:r>
        <w:instrText xml:space="preserve"> PAGEREF _Toc14685 </w:instrText>
      </w:r>
      <w:r>
        <w:fldChar w:fldCharType="separate"/>
      </w:r>
      <w:r>
        <w:t>6</w:t>
      </w:r>
      <w:r>
        <w:fldChar w:fldCharType="end"/>
      </w:r>
      <w:r>
        <w:fldChar w:fldCharType="end"/>
      </w:r>
    </w:p>
    <w:p>
      <w:pPr>
        <w:pStyle w:val="18"/>
        <w:tabs>
          <w:tab w:val="right" w:leader="dot" w:pos="9746"/>
        </w:tabs>
      </w:pPr>
      <w:r>
        <w:fldChar w:fldCharType="begin"/>
      </w:r>
      <w:r>
        <w:instrText xml:space="preserve"> HYPERLINK \l "_Toc19083" </w:instrText>
      </w:r>
      <w:r>
        <w:fldChar w:fldCharType="separate"/>
      </w:r>
      <w:r>
        <w:rPr>
          <w:rFonts w:hint="eastAsia" w:ascii="宋体" w:hAnsi="宋体"/>
        </w:rPr>
        <w:t>八、估价依据</w:t>
      </w:r>
      <w:r>
        <w:tab/>
      </w:r>
      <w:r>
        <w:fldChar w:fldCharType="begin"/>
      </w:r>
      <w:r>
        <w:instrText xml:space="preserve"> PAGEREF _Toc19083 </w:instrText>
      </w:r>
      <w:r>
        <w:fldChar w:fldCharType="separate"/>
      </w:r>
      <w:r>
        <w:t>7</w:t>
      </w:r>
      <w:r>
        <w:fldChar w:fldCharType="end"/>
      </w:r>
      <w:r>
        <w:fldChar w:fldCharType="end"/>
      </w:r>
    </w:p>
    <w:p>
      <w:pPr>
        <w:pStyle w:val="18"/>
        <w:tabs>
          <w:tab w:val="right" w:leader="dot" w:pos="9746"/>
        </w:tabs>
      </w:pPr>
      <w:r>
        <w:fldChar w:fldCharType="begin"/>
      </w:r>
      <w:r>
        <w:instrText xml:space="preserve"> HYPERLINK \l "_Toc30749" </w:instrText>
      </w:r>
      <w:r>
        <w:fldChar w:fldCharType="separate"/>
      </w:r>
      <w:r>
        <w:rPr>
          <w:rFonts w:hint="eastAsia" w:ascii="宋体" w:hAnsi="宋体"/>
        </w:rPr>
        <w:t>九、估价方法</w:t>
      </w:r>
      <w:r>
        <w:tab/>
      </w:r>
      <w:r>
        <w:fldChar w:fldCharType="begin"/>
      </w:r>
      <w:r>
        <w:instrText xml:space="preserve"> PAGEREF _Toc30749 </w:instrText>
      </w:r>
      <w:r>
        <w:fldChar w:fldCharType="separate"/>
      </w:r>
      <w:r>
        <w:t>8</w:t>
      </w:r>
      <w:r>
        <w:fldChar w:fldCharType="end"/>
      </w:r>
      <w:r>
        <w:fldChar w:fldCharType="end"/>
      </w:r>
    </w:p>
    <w:p>
      <w:pPr>
        <w:pStyle w:val="18"/>
        <w:tabs>
          <w:tab w:val="right" w:leader="dot" w:pos="9746"/>
        </w:tabs>
      </w:pPr>
      <w:r>
        <w:fldChar w:fldCharType="begin"/>
      </w:r>
      <w:r>
        <w:instrText xml:space="preserve"> HYPERLINK \l "_Toc17352" </w:instrText>
      </w:r>
      <w:r>
        <w:fldChar w:fldCharType="separate"/>
      </w:r>
      <w:r>
        <w:rPr>
          <w:rFonts w:hint="eastAsia" w:ascii="宋体" w:hAnsi="宋体"/>
        </w:rPr>
        <w:t>十、估价结果</w:t>
      </w:r>
      <w:r>
        <w:tab/>
      </w:r>
      <w:r>
        <w:fldChar w:fldCharType="begin"/>
      </w:r>
      <w:r>
        <w:instrText xml:space="preserve"> PAGEREF _Toc17352 </w:instrText>
      </w:r>
      <w:r>
        <w:fldChar w:fldCharType="separate"/>
      </w:r>
      <w:r>
        <w:t>9</w:t>
      </w:r>
      <w:r>
        <w:fldChar w:fldCharType="end"/>
      </w:r>
      <w:r>
        <w:fldChar w:fldCharType="end"/>
      </w:r>
    </w:p>
    <w:p>
      <w:pPr>
        <w:pStyle w:val="18"/>
        <w:tabs>
          <w:tab w:val="right" w:leader="dot" w:pos="9746"/>
        </w:tabs>
      </w:pPr>
      <w:r>
        <w:fldChar w:fldCharType="begin"/>
      </w:r>
      <w:r>
        <w:instrText xml:space="preserve"> HYPERLINK \l "_Toc15508" </w:instrText>
      </w:r>
      <w:r>
        <w:fldChar w:fldCharType="separate"/>
      </w:r>
      <w:r>
        <w:rPr>
          <w:rFonts w:hint="eastAsia" w:ascii="宋体" w:hAnsi="宋体"/>
        </w:rPr>
        <w:t>十一、注册房地产估价师</w:t>
      </w:r>
      <w:r>
        <w:tab/>
      </w:r>
      <w:r>
        <w:fldChar w:fldCharType="begin"/>
      </w:r>
      <w:r>
        <w:instrText xml:space="preserve"> PAGEREF _Toc15508 </w:instrText>
      </w:r>
      <w:r>
        <w:fldChar w:fldCharType="separate"/>
      </w:r>
      <w:r>
        <w:t>9</w:t>
      </w:r>
      <w:r>
        <w:fldChar w:fldCharType="end"/>
      </w:r>
      <w:r>
        <w:fldChar w:fldCharType="end"/>
      </w:r>
    </w:p>
    <w:p>
      <w:pPr>
        <w:pStyle w:val="18"/>
        <w:tabs>
          <w:tab w:val="right" w:leader="dot" w:pos="9746"/>
        </w:tabs>
      </w:pPr>
      <w:r>
        <w:fldChar w:fldCharType="begin"/>
      </w:r>
      <w:r>
        <w:instrText xml:space="preserve"> HYPERLINK \l "_Toc29693" </w:instrText>
      </w:r>
      <w:r>
        <w:fldChar w:fldCharType="separate"/>
      </w:r>
      <w:r>
        <w:rPr>
          <w:rFonts w:hint="eastAsia" w:ascii="宋体" w:hAnsi="宋体"/>
        </w:rPr>
        <w:t>十二、实地查勘期</w:t>
      </w:r>
      <w:r>
        <w:tab/>
      </w:r>
      <w:r>
        <w:fldChar w:fldCharType="begin"/>
      </w:r>
      <w:r>
        <w:instrText xml:space="preserve"> PAGEREF _Toc29693 </w:instrText>
      </w:r>
      <w:r>
        <w:fldChar w:fldCharType="separate"/>
      </w:r>
      <w:r>
        <w:t>10</w:t>
      </w:r>
      <w:r>
        <w:fldChar w:fldCharType="end"/>
      </w:r>
      <w:r>
        <w:fldChar w:fldCharType="end"/>
      </w:r>
    </w:p>
    <w:p>
      <w:pPr>
        <w:pStyle w:val="18"/>
        <w:tabs>
          <w:tab w:val="right" w:leader="dot" w:pos="9746"/>
        </w:tabs>
      </w:pPr>
      <w:r>
        <w:fldChar w:fldCharType="begin"/>
      </w:r>
      <w:r>
        <w:instrText xml:space="preserve"> HYPERLINK \l "_Toc2249" </w:instrText>
      </w:r>
      <w:r>
        <w:fldChar w:fldCharType="separate"/>
      </w:r>
      <w:r>
        <w:rPr>
          <w:rFonts w:hint="eastAsia" w:ascii="宋体" w:hAnsi="宋体"/>
        </w:rPr>
        <w:t>十三、估价作业期</w:t>
      </w:r>
      <w:r>
        <w:tab/>
      </w:r>
      <w:r>
        <w:fldChar w:fldCharType="begin"/>
      </w:r>
      <w:r>
        <w:instrText xml:space="preserve"> PAGEREF _Toc2249 </w:instrText>
      </w:r>
      <w:r>
        <w:fldChar w:fldCharType="separate"/>
      </w:r>
      <w:r>
        <w:t>10</w:t>
      </w:r>
      <w:r>
        <w:fldChar w:fldCharType="end"/>
      </w:r>
      <w:r>
        <w:fldChar w:fldCharType="end"/>
      </w:r>
    </w:p>
    <w:p>
      <w:pPr>
        <w:pStyle w:val="41"/>
        <w:tabs>
          <w:tab w:val="right" w:leader="dot" w:pos="9746"/>
        </w:tabs>
        <w:rPr>
          <w:b/>
          <w:bCs/>
        </w:rPr>
      </w:pPr>
    </w:p>
    <w:p>
      <w:pPr>
        <w:snapToGrid w:val="0"/>
        <w:spacing w:line="360" w:lineRule="auto"/>
        <w:ind w:firstLine="420"/>
        <w:rPr>
          <w:rFonts w:ascii="宋体" w:hAnsi="宋体"/>
          <w:snapToGrid w:val="0"/>
          <w:szCs w:val="21"/>
        </w:rPr>
      </w:pPr>
      <w:r>
        <w:rPr>
          <w:rFonts w:ascii="宋体" w:hAnsi="宋体"/>
          <w:szCs w:val="21"/>
        </w:rPr>
        <w:fldChar w:fldCharType="end"/>
      </w:r>
    </w:p>
    <w:p>
      <w:pPr>
        <w:spacing w:line="360" w:lineRule="exact"/>
        <w:rPr>
          <w:rFonts w:ascii="宋体" w:hAnsi="宋体"/>
          <w:snapToGrid w:val="0"/>
          <w:szCs w:val="21"/>
        </w:rPr>
      </w:pPr>
      <w:r>
        <w:rPr>
          <w:rFonts w:hint="eastAsia" w:ascii="宋体" w:hAnsi="宋体"/>
          <w:snapToGrid w:val="0"/>
          <w:szCs w:val="21"/>
        </w:rPr>
        <w:t>　　　</w:t>
      </w:r>
    </w:p>
    <w:p>
      <w:pPr>
        <w:spacing w:line="300" w:lineRule="exact"/>
        <w:ind w:firstLine="420"/>
        <w:rPr>
          <w:rFonts w:ascii="宋体" w:hAnsi="宋体"/>
          <w:snapToGrid w:val="0"/>
          <w:szCs w:val="21"/>
        </w:rPr>
      </w:pPr>
    </w:p>
    <w:p>
      <w:pPr>
        <w:pStyle w:val="2"/>
        <w:numPr>
          <w:ilvl w:val="0"/>
          <w:numId w:val="0"/>
        </w:numPr>
        <w:tabs>
          <w:tab w:val="left" w:pos="1140"/>
        </w:tabs>
        <w:ind w:left="420"/>
        <w:jc w:val="center"/>
        <w:rPr>
          <w:rFonts w:ascii="宋体" w:hAnsi="宋体"/>
          <w:sz w:val="32"/>
          <w:szCs w:val="32"/>
        </w:rPr>
        <w:sectPr>
          <w:pgSz w:w="11906" w:h="16838"/>
          <w:pgMar w:top="1440" w:right="1080" w:bottom="1440" w:left="1080" w:header="567" w:footer="567" w:gutter="0"/>
          <w:pgNumType w:start="1"/>
          <w:cols w:space="720" w:num="1"/>
          <w:docGrid w:type="lines" w:linePitch="312" w:charSpace="0"/>
        </w:sectPr>
      </w:pPr>
      <w:bookmarkStart w:id="48" w:name="_Toc278538482"/>
      <w:bookmarkStart w:id="49" w:name="_Toc278110739"/>
      <w:bookmarkStart w:id="50" w:name="_Toc278111741"/>
    </w:p>
    <w:p>
      <w:bookmarkStart w:id="51" w:name="_Hlk99060351"/>
      <w:bookmarkStart w:id="52" w:name="_Hlk99060374"/>
    </w:p>
    <w:p>
      <w:pPr>
        <w:pStyle w:val="2"/>
        <w:numPr>
          <w:ilvl w:val="0"/>
          <w:numId w:val="0"/>
        </w:numPr>
        <w:tabs>
          <w:tab w:val="left" w:pos="1140"/>
        </w:tabs>
        <w:ind w:left="420"/>
        <w:jc w:val="center"/>
        <w:rPr>
          <w:rFonts w:ascii="宋体" w:hAnsi="宋体"/>
          <w:b w:val="0"/>
          <w:sz w:val="52"/>
          <w:szCs w:val="52"/>
        </w:rPr>
      </w:pPr>
      <w:bookmarkStart w:id="53" w:name="_Toc736"/>
      <w:r>
        <w:rPr>
          <w:rFonts w:hint="eastAsia" w:ascii="宋体" w:hAnsi="宋体"/>
          <w:sz w:val="32"/>
          <w:szCs w:val="32"/>
        </w:rPr>
        <w:t>估价师声明</w:t>
      </w:r>
      <w:bookmarkEnd w:id="53"/>
    </w:p>
    <w:bookmarkEnd w:id="48"/>
    <w:bookmarkEnd w:id="49"/>
    <w:bookmarkEnd w:id="50"/>
    <w:p>
      <w:pPr>
        <w:pStyle w:val="2"/>
        <w:numPr>
          <w:ilvl w:val="0"/>
          <w:numId w:val="0"/>
        </w:numPr>
        <w:tabs>
          <w:tab w:val="left" w:pos="1140"/>
        </w:tabs>
      </w:pPr>
    </w:p>
    <w:p>
      <w:pPr>
        <w:snapToGrid w:val="0"/>
        <w:spacing w:line="480" w:lineRule="exact"/>
        <w:ind w:firstLine="482" w:firstLineChars="200"/>
        <w:rPr>
          <w:rFonts w:ascii="宋体" w:hAnsi="宋体"/>
          <w:b/>
          <w:bCs/>
          <w:sz w:val="24"/>
        </w:rPr>
      </w:pPr>
      <w:bookmarkStart w:id="54" w:name="_Toc9983"/>
      <w:r>
        <w:rPr>
          <w:rFonts w:hint="eastAsia" w:ascii="宋体" w:hAnsi="宋体"/>
          <w:b/>
          <w:bCs/>
          <w:sz w:val="24"/>
        </w:rPr>
        <w:t>我们郑重声明：</w:t>
      </w:r>
      <w:bookmarkEnd w:id="54"/>
    </w:p>
    <w:p>
      <w:pPr>
        <w:snapToGrid w:val="0"/>
        <w:spacing w:line="480" w:lineRule="exact"/>
        <w:ind w:firstLine="480" w:firstLineChars="200"/>
        <w:rPr>
          <w:rFonts w:ascii="宋体" w:hAnsi="宋体"/>
          <w:sz w:val="24"/>
        </w:rPr>
      </w:pPr>
      <w:r>
        <w:rPr>
          <w:rFonts w:hint="eastAsia" w:ascii="宋体" w:hAnsi="宋体"/>
          <w:sz w:val="24"/>
        </w:rPr>
        <w:t>一、参加本次估价的注册房地产估价师黄彬、张真对本次估价项目具有足够的专业胜任能力，承诺并保证在估价过程中恪守估价职业道德，勤勉尽责。</w:t>
      </w:r>
    </w:p>
    <w:p>
      <w:pPr>
        <w:snapToGrid w:val="0"/>
        <w:spacing w:line="480" w:lineRule="exact"/>
        <w:ind w:firstLine="480" w:firstLineChars="200"/>
        <w:rPr>
          <w:rFonts w:ascii="宋体" w:hAnsi="宋体"/>
          <w:sz w:val="24"/>
        </w:rPr>
      </w:pPr>
      <w:r>
        <w:rPr>
          <w:rFonts w:hint="eastAsia" w:ascii="宋体" w:hAnsi="宋体"/>
          <w:sz w:val="24"/>
        </w:rPr>
        <w:t>二、我们在本估价报告中陈述的事实是真实的和准确的。</w:t>
      </w:r>
    </w:p>
    <w:p>
      <w:pPr>
        <w:snapToGrid w:val="0"/>
        <w:spacing w:line="480" w:lineRule="exact"/>
        <w:ind w:firstLine="480" w:firstLineChars="200"/>
        <w:rPr>
          <w:rFonts w:ascii="宋体" w:hAnsi="宋体"/>
          <w:sz w:val="24"/>
        </w:rPr>
      </w:pPr>
      <w:r>
        <w:rPr>
          <w:rFonts w:hint="eastAsia" w:ascii="宋体" w:hAnsi="宋体"/>
          <w:sz w:val="24"/>
        </w:rPr>
        <w:t>三、本估价报告中的分析、意见和结论是我们自己公正的专业分析、意见和结论，但受到本估价报告中已说明的假设和限制条件的限制。</w:t>
      </w:r>
    </w:p>
    <w:p>
      <w:pPr>
        <w:snapToGrid w:val="0"/>
        <w:spacing w:line="480" w:lineRule="exact"/>
        <w:ind w:firstLine="480" w:firstLineChars="200"/>
        <w:rPr>
          <w:rFonts w:ascii="宋体" w:hAnsi="宋体"/>
          <w:sz w:val="24"/>
        </w:rPr>
      </w:pPr>
      <w:r>
        <w:rPr>
          <w:rFonts w:hint="eastAsia" w:ascii="宋体" w:hAnsi="宋体"/>
          <w:sz w:val="24"/>
        </w:rPr>
        <w:t>四、我们与本估价报告中的估价对象没有利害关系，也与有关当事人没有个人利害关系或偏见。</w:t>
      </w:r>
    </w:p>
    <w:p>
      <w:pPr>
        <w:snapToGrid w:val="0"/>
        <w:spacing w:line="480" w:lineRule="exact"/>
        <w:ind w:firstLine="480" w:firstLineChars="200"/>
        <w:rPr>
          <w:rFonts w:ascii="宋体" w:hAnsi="宋体"/>
          <w:sz w:val="24"/>
        </w:rPr>
      </w:pPr>
      <w:r>
        <w:rPr>
          <w:rFonts w:hint="eastAsia" w:ascii="宋体" w:hAnsi="宋体"/>
          <w:sz w:val="24"/>
        </w:rPr>
        <w:t>五、我们依照《房地产估价规范》（中华人民共和国国家标准GB/T 50291－2015）、《房地产估价基本术语标准》（中华人民共和国国家标准GB/T 50899－2013）进行分析，形成意见和结论，撰写本估价报告。</w:t>
      </w:r>
    </w:p>
    <w:p>
      <w:pPr>
        <w:spacing w:line="440" w:lineRule="exact"/>
        <w:rPr>
          <w:rFonts w:ascii="宋体" w:hAnsi="宋体"/>
          <w:b/>
          <w:sz w:val="28"/>
        </w:rPr>
      </w:pPr>
    </w:p>
    <w:p>
      <w:pPr>
        <w:spacing w:line="440" w:lineRule="exact"/>
        <w:ind w:firstLine="480" w:firstLineChars="200"/>
        <w:jc w:val="center"/>
        <w:rPr>
          <w:rFonts w:ascii="宋体" w:hAnsi="宋体"/>
          <w:sz w:val="24"/>
        </w:rPr>
      </w:pPr>
      <w:r>
        <w:rPr>
          <w:rFonts w:hint="eastAsia" w:ascii="宋体" w:hAnsi="宋体"/>
          <w:sz w:val="24"/>
        </w:rPr>
        <w:t>注册房地产估价师</w:t>
      </w:r>
    </w:p>
    <w:p>
      <w:pPr>
        <w:spacing w:line="440" w:lineRule="exact"/>
        <w:ind w:firstLine="480" w:firstLineChars="200"/>
        <w:jc w:val="center"/>
        <w:rPr>
          <w:rFonts w:ascii="宋体" w:hAnsi="宋体"/>
          <w:sz w:val="24"/>
        </w:rPr>
      </w:pPr>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03"/>
        <w:gridCol w:w="2075"/>
        <w:gridCol w:w="3393"/>
        <w:gridCol w:w="24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trPr>
        <w:tc>
          <w:tcPr>
            <w:tcW w:w="2003" w:type="dxa"/>
            <w:vAlign w:val="center"/>
          </w:tcPr>
          <w:p>
            <w:pPr>
              <w:jc w:val="center"/>
              <w:rPr>
                <w:rFonts w:ascii="宋体" w:hAnsi="宋体"/>
                <w:sz w:val="24"/>
              </w:rPr>
            </w:pPr>
            <w:r>
              <w:rPr>
                <w:rFonts w:hint="eastAsia" w:ascii="宋体" w:hAnsi="宋体"/>
                <w:sz w:val="24"/>
              </w:rPr>
              <w:t>姓名</w:t>
            </w:r>
          </w:p>
        </w:tc>
        <w:tc>
          <w:tcPr>
            <w:tcW w:w="2075" w:type="dxa"/>
            <w:vAlign w:val="center"/>
          </w:tcPr>
          <w:p>
            <w:pPr>
              <w:jc w:val="center"/>
              <w:rPr>
                <w:rFonts w:ascii="宋体" w:hAnsi="宋体"/>
                <w:sz w:val="24"/>
              </w:rPr>
            </w:pPr>
            <w:r>
              <w:rPr>
                <w:rFonts w:hint="eastAsia" w:ascii="宋体" w:hAnsi="宋体"/>
                <w:sz w:val="24"/>
              </w:rPr>
              <w:t>注册号</w:t>
            </w:r>
          </w:p>
        </w:tc>
        <w:tc>
          <w:tcPr>
            <w:tcW w:w="3393" w:type="dxa"/>
            <w:vAlign w:val="center"/>
          </w:tcPr>
          <w:p>
            <w:pPr>
              <w:jc w:val="center"/>
              <w:rPr>
                <w:rFonts w:ascii="宋体" w:hAnsi="宋体"/>
                <w:sz w:val="24"/>
              </w:rPr>
            </w:pPr>
            <w:r>
              <w:rPr>
                <w:rFonts w:hint="eastAsia" w:ascii="宋体" w:hAnsi="宋体"/>
                <w:sz w:val="24"/>
              </w:rPr>
              <w:t>签名</w:t>
            </w:r>
          </w:p>
        </w:tc>
        <w:tc>
          <w:tcPr>
            <w:tcW w:w="2491" w:type="dxa"/>
            <w:vAlign w:val="center"/>
          </w:tcPr>
          <w:p>
            <w:pPr>
              <w:jc w:val="center"/>
              <w:rPr>
                <w:rFonts w:ascii="宋体" w:hAnsi="宋体"/>
                <w:sz w:val="24"/>
              </w:rPr>
            </w:pPr>
            <w:r>
              <w:rPr>
                <w:rFonts w:hint="eastAsia" w:ascii="宋体" w:hAnsi="宋体"/>
                <w:sz w:val="24"/>
              </w:rPr>
              <w:t>签名日期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4" w:hRule="exact"/>
        </w:trPr>
        <w:tc>
          <w:tcPr>
            <w:tcW w:w="2003" w:type="dxa"/>
            <w:vAlign w:val="center"/>
          </w:tcPr>
          <w:p>
            <w:pPr>
              <w:jc w:val="center"/>
              <w:rPr>
                <w:rFonts w:ascii="宋体" w:hAnsi="宋体"/>
                <w:sz w:val="24"/>
              </w:rPr>
            </w:pPr>
            <w:r>
              <w:rPr>
                <w:rFonts w:hint="eastAsia" w:ascii="宋体" w:hAnsi="宋体"/>
                <w:sz w:val="24"/>
              </w:rPr>
              <w:t>黄彬</w:t>
            </w:r>
          </w:p>
        </w:tc>
        <w:tc>
          <w:tcPr>
            <w:tcW w:w="2075" w:type="dxa"/>
            <w:vAlign w:val="center"/>
          </w:tcPr>
          <w:p>
            <w:pPr>
              <w:jc w:val="center"/>
              <w:rPr>
                <w:rFonts w:ascii="宋体" w:hAnsi="宋体"/>
                <w:sz w:val="24"/>
              </w:rPr>
            </w:pPr>
            <w:r>
              <w:rPr>
                <w:rFonts w:hint="eastAsia" w:ascii="宋体" w:hAnsi="宋体"/>
                <w:sz w:val="24"/>
              </w:rPr>
              <w:t>35</w:t>
            </w:r>
            <w:r>
              <w:rPr>
                <w:rFonts w:ascii="宋体" w:hAnsi="宋体"/>
                <w:sz w:val="24"/>
              </w:rPr>
              <w:t>20190063</w:t>
            </w:r>
          </w:p>
        </w:tc>
        <w:tc>
          <w:tcPr>
            <w:tcW w:w="3393" w:type="dxa"/>
            <w:vAlign w:val="center"/>
          </w:tcPr>
          <w:p>
            <w:pPr>
              <w:jc w:val="center"/>
              <w:rPr>
                <w:rFonts w:ascii="宋体" w:hAnsi="宋体"/>
                <w:sz w:val="24"/>
              </w:rPr>
            </w:pPr>
          </w:p>
        </w:tc>
        <w:tc>
          <w:tcPr>
            <w:tcW w:w="2491" w:type="dxa"/>
            <w:vAlign w:val="center"/>
          </w:tcPr>
          <w:p>
            <w:pPr>
              <w:jc w:val="left"/>
              <w:rPr>
                <w:rFonts w:ascii="宋体" w:hAnsi="宋体"/>
                <w:sz w:val="24"/>
              </w:rPr>
            </w:pPr>
            <w:r>
              <w:rPr>
                <w:rFonts w:hint="eastAsia" w:ascii="宋体" w:hAnsi="宋体"/>
                <w:sz w:val="24"/>
              </w:rPr>
              <w:t xml:space="preserve"> </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4" w:hRule="exact"/>
        </w:trPr>
        <w:tc>
          <w:tcPr>
            <w:tcW w:w="2003" w:type="dxa"/>
            <w:vAlign w:val="center"/>
          </w:tcPr>
          <w:p>
            <w:pPr>
              <w:jc w:val="center"/>
              <w:rPr>
                <w:rFonts w:ascii="宋体" w:hAnsi="宋体"/>
                <w:sz w:val="24"/>
              </w:rPr>
            </w:pPr>
            <w:r>
              <w:rPr>
                <w:rFonts w:hint="eastAsia" w:ascii="宋体" w:hAnsi="宋体"/>
                <w:sz w:val="24"/>
              </w:rPr>
              <w:t>张真</w:t>
            </w:r>
          </w:p>
        </w:tc>
        <w:tc>
          <w:tcPr>
            <w:tcW w:w="2075" w:type="dxa"/>
            <w:vAlign w:val="center"/>
          </w:tcPr>
          <w:p>
            <w:pPr>
              <w:jc w:val="center"/>
              <w:rPr>
                <w:rFonts w:ascii="宋体" w:hAnsi="宋体"/>
                <w:sz w:val="24"/>
              </w:rPr>
            </w:pPr>
            <w:r>
              <w:rPr>
                <w:rFonts w:hint="eastAsia" w:ascii="宋体" w:hAnsi="宋体"/>
                <w:sz w:val="24"/>
              </w:rPr>
              <w:t>3520</w:t>
            </w:r>
            <w:r>
              <w:rPr>
                <w:rFonts w:ascii="宋体" w:hAnsi="宋体"/>
                <w:sz w:val="24"/>
              </w:rPr>
              <w:t>07</w:t>
            </w:r>
            <w:r>
              <w:rPr>
                <w:rFonts w:hint="eastAsia" w:ascii="宋体" w:hAnsi="宋体"/>
                <w:sz w:val="24"/>
              </w:rPr>
              <w:t>00</w:t>
            </w:r>
            <w:r>
              <w:rPr>
                <w:rFonts w:ascii="宋体" w:hAnsi="宋体"/>
                <w:sz w:val="24"/>
              </w:rPr>
              <w:t>02</w:t>
            </w:r>
          </w:p>
        </w:tc>
        <w:tc>
          <w:tcPr>
            <w:tcW w:w="3393" w:type="dxa"/>
            <w:vAlign w:val="center"/>
          </w:tcPr>
          <w:p>
            <w:pPr>
              <w:jc w:val="center"/>
              <w:rPr>
                <w:rFonts w:ascii="宋体" w:hAnsi="宋体"/>
                <w:sz w:val="24"/>
              </w:rPr>
            </w:pPr>
          </w:p>
        </w:tc>
        <w:tc>
          <w:tcPr>
            <w:tcW w:w="2491" w:type="dxa"/>
            <w:vAlign w:val="center"/>
          </w:tcPr>
          <w:p>
            <w:pPr>
              <w:jc w:val="center"/>
              <w:rPr>
                <w:rFonts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tc>
      </w:tr>
    </w:tbl>
    <w:p>
      <w:pPr>
        <w:rPr>
          <w:rFonts w:ascii="宋体" w:hAnsi="宋体"/>
          <w:sz w:val="28"/>
        </w:rPr>
      </w:pPr>
    </w:p>
    <w:bookmarkEnd w:id="51"/>
    <w:p>
      <w:pPr>
        <w:rPr>
          <w:rFonts w:ascii="宋体" w:hAnsi="宋体"/>
          <w:sz w:val="28"/>
        </w:rPr>
      </w:pPr>
    </w:p>
    <w:bookmarkEnd w:id="52"/>
    <w:p>
      <w:pPr>
        <w:snapToGrid w:val="0"/>
        <w:spacing w:line="420" w:lineRule="exact"/>
        <w:jc w:val="center"/>
        <w:outlineLvl w:val="0"/>
        <w:rPr>
          <w:rFonts w:ascii="宋体" w:hAnsi="宋体"/>
          <w:sz w:val="32"/>
          <w:szCs w:val="32"/>
        </w:rPr>
      </w:pPr>
      <w:r>
        <w:rPr>
          <w:rFonts w:ascii="宋体" w:hAnsi="宋体"/>
          <w:sz w:val="28"/>
        </w:rPr>
        <w:br w:type="page"/>
      </w:r>
      <w:bookmarkStart w:id="55" w:name="_Toc28491"/>
      <w:bookmarkStart w:id="56" w:name="_Toc278110743"/>
      <w:bookmarkStart w:id="57" w:name="_Toc278538486"/>
      <w:bookmarkStart w:id="58" w:name="_Toc278111745"/>
      <w:bookmarkStart w:id="59" w:name="_Toc282502404"/>
      <w:r>
        <w:rPr>
          <w:rFonts w:hint="eastAsia"/>
          <w:b/>
          <w:bCs/>
          <w:sz w:val="32"/>
          <w:szCs w:val="32"/>
        </w:rPr>
        <w:t>估价假设和限制条件</w:t>
      </w:r>
      <w:bookmarkEnd w:id="55"/>
    </w:p>
    <w:p>
      <w:pPr>
        <w:pStyle w:val="9"/>
        <w:tabs>
          <w:tab w:val="left" w:pos="840"/>
          <w:tab w:val="left" w:pos="1554"/>
          <w:tab w:val="left" w:pos="2520"/>
        </w:tabs>
        <w:snapToGrid w:val="0"/>
        <w:spacing w:line="420" w:lineRule="exact"/>
        <w:ind w:firstLine="482" w:firstLineChars="200"/>
        <w:rPr>
          <w:rFonts w:hAnsi="宋体"/>
          <w:b/>
          <w:bCs/>
          <w:sz w:val="24"/>
          <w:szCs w:val="22"/>
        </w:rPr>
      </w:pPr>
      <w:bookmarkStart w:id="60" w:name="_Toc390096877"/>
      <w:bookmarkStart w:id="61" w:name="_Toc388620136"/>
      <w:bookmarkStart w:id="62" w:name="_Toc389154432"/>
      <w:bookmarkStart w:id="63" w:name="_Toc390096617"/>
      <w:bookmarkStart w:id="64" w:name="_Toc921"/>
      <w:bookmarkStart w:id="65" w:name="_Toc313781312"/>
      <w:bookmarkStart w:id="66" w:name="_Toc278538484"/>
      <w:bookmarkStart w:id="67" w:name="_Toc384727516"/>
      <w:bookmarkStart w:id="68" w:name="_Toc278111743"/>
      <w:bookmarkStart w:id="69" w:name="_Toc384302797"/>
      <w:bookmarkStart w:id="70" w:name="_Toc278110741"/>
      <w:bookmarkStart w:id="71" w:name="_Toc384126355"/>
    </w:p>
    <w:p>
      <w:pPr>
        <w:pStyle w:val="9"/>
        <w:tabs>
          <w:tab w:val="left" w:pos="840"/>
          <w:tab w:val="left" w:pos="1554"/>
          <w:tab w:val="left" w:pos="2520"/>
        </w:tabs>
        <w:topLinePunct/>
        <w:adjustRightInd w:val="0"/>
        <w:snapToGrid w:val="0"/>
        <w:spacing w:line="480" w:lineRule="exact"/>
        <w:ind w:firstLine="482" w:firstLineChars="200"/>
        <w:outlineLvl w:val="1"/>
        <w:rPr>
          <w:rFonts w:hAnsi="宋体"/>
          <w:b/>
          <w:bCs/>
          <w:sz w:val="24"/>
          <w:szCs w:val="22"/>
        </w:rPr>
      </w:pPr>
      <w:bookmarkStart w:id="72" w:name="_Toc11760"/>
      <w:r>
        <w:rPr>
          <w:rFonts w:hint="eastAsia" w:hAnsi="宋体"/>
          <w:b/>
          <w:bCs/>
          <w:sz w:val="24"/>
          <w:szCs w:val="22"/>
        </w:rPr>
        <w:t>一、本次估价的各项估价假设</w:t>
      </w:r>
      <w:bookmarkEnd w:id="60"/>
      <w:bookmarkEnd w:id="61"/>
      <w:bookmarkEnd w:id="62"/>
      <w:bookmarkEnd w:id="63"/>
      <w:bookmarkEnd w:id="72"/>
    </w:p>
    <w:bookmarkEnd w:id="64"/>
    <w:p>
      <w:pPr>
        <w:pStyle w:val="9"/>
        <w:tabs>
          <w:tab w:val="left" w:pos="840"/>
          <w:tab w:val="left" w:pos="1554"/>
          <w:tab w:val="left" w:pos="2520"/>
        </w:tabs>
        <w:topLinePunct/>
        <w:adjustRightInd w:val="0"/>
        <w:snapToGrid w:val="0"/>
        <w:spacing w:line="480" w:lineRule="exact"/>
        <w:ind w:firstLine="482" w:firstLineChars="200"/>
        <w:rPr>
          <w:rFonts w:hAnsi="宋体"/>
          <w:b/>
          <w:bCs/>
          <w:sz w:val="24"/>
          <w:szCs w:val="22"/>
        </w:rPr>
      </w:pPr>
      <w:r>
        <w:rPr>
          <w:rFonts w:hint="eastAsia" w:hAnsi="宋体"/>
          <w:b/>
          <w:bCs/>
          <w:sz w:val="24"/>
          <w:szCs w:val="22"/>
        </w:rPr>
        <w:t>（一）一般假设</w:t>
      </w:r>
    </w:p>
    <w:p>
      <w:pPr>
        <w:pStyle w:val="9"/>
        <w:tabs>
          <w:tab w:val="left" w:pos="840"/>
          <w:tab w:val="left" w:pos="1554"/>
          <w:tab w:val="left" w:pos="2520"/>
        </w:tabs>
        <w:snapToGrid w:val="0"/>
        <w:spacing w:line="480" w:lineRule="exact"/>
        <w:ind w:firstLine="480" w:firstLineChars="200"/>
        <w:rPr>
          <w:rFonts w:hAnsi="宋体"/>
          <w:sz w:val="24"/>
          <w:szCs w:val="22"/>
        </w:rPr>
      </w:pPr>
      <w:r>
        <w:rPr>
          <w:rFonts w:hint="eastAsia" w:hAnsi="宋体"/>
          <w:sz w:val="24"/>
          <w:szCs w:val="22"/>
        </w:rPr>
        <w:t>1.注册房地产估价师对估价委托人提供的估价对象权属、面积等资料进行了检查，但未予以核实。假定它们是合法、真实、准确和完整的，产权明晰，估价对象可在公开市场上自由转让。</w:t>
      </w:r>
    </w:p>
    <w:p>
      <w:pPr>
        <w:pStyle w:val="9"/>
        <w:tabs>
          <w:tab w:val="left" w:pos="840"/>
          <w:tab w:val="left" w:pos="1554"/>
          <w:tab w:val="left" w:pos="2520"/>
        </w:tabs>
        <w:snapToGrid w:val="0"/>
        <w:spacing w:line="480" w:lineRule="exact"/>
        <w:ind w:firstLine="480" w:firstLineChars="200"/>
        <w:rPr>
          <w:rFonts w:hAnsi="宋体"/>
          <w:sz w:val="24"/>
          <w:szCs w:val="22"/>
        </w:rPr>
      </w:pPr>
      <w:r>
        <w:rPr>
          <w:rFonts w:hint="eastAsia" w:hAnsi="宋体"/>
          <w:sz w:val="24"/>
          <w:szCs w:val="22"/>
        </w:rPr>
        <w:t>2.根据注册房地产估价师的实地查勘，并依常规判断，假定建筑结构是安全的，估价对象在经济耐用年限内或批准的土地使用年限内能够正常使用。</w:t>
      </w:r>
    </w:p>
    <w:p>
      <w:pPr>
        <w:tabs>
          <w:tab w:val="left" w:pos="840"/>
          <w:tab w:val="left" w:pos="1554"/>
          <w:tab w:val="left" w:pos="2520"/>
        </w:tabs>
        <w:snapToGrid w:val="0"/>
        <w:spacing w:line="480" w:lineRule="exact"/>
        <w:ind w:firstLine="480" w:firstLineChars="200"/>
        <w:rPr>
          <w:rFonts w:hAnsi="宋体"/>
          <w:sz w:val="24"/>
          <w:szCs w:val="22"/>
        </w:rPr>
      </w:pPr>
      <w:r>
        <w:rPr>
          <w:rFonts w:hint="eastAsia" w:hAnsi="宋体"/>
          <w:sz w:val="24"/>
          <w:szCs w:val="22"/>
        </w:rPr>
        <w:t>3.本估价结果是房地合一价。</w:t>
      </w:r>
    </w:p>
    <w:p>
      <w:pPr>
        <w:snapToGrid w:val="0"/>
        <w:spacing w:line="480" w:lineRule="exact"/>
        <w:ind w:firstLine="480" w:firstLineChars="200"/>
        <w:rPr>
          <w:rFonts w:ascii="宋体" w:hAnsi="宋体"/>
          <w:sz w:val="24"/>
        </w:rPr>
      </w:pPr>
      <w:bookmarkStart w:id="73" w:name="_Hlk99060202"/>
      <w:r>
        <w:rPr>
          <w:rFonts w:hint="eastAsia" w:ascii="宋体" w:hAnsi="宋体"/>
          <w:sz w:val="24"/>
        </w:rPr>
        <w:t>4.估价结果为估价对象在价值时点的市场价值，即假设估价对象在满足适当营销、熟悉情况、谨慎行事、不受强迫及公平交易的交易条件下最可能实现的价格。</w:t>
      </w:r>
    </w:p>
    <w:p>
      <w:pPr>
        <w:tabs>
          <w:tab w:val="left" w:pos="840"/>
          <w:tab w:val="left" w:pos="1554"/>
          <w:tab w:val="left" w:pos="2520"/>
        </w:tabs>
        <w:snapToGrid w:val="0"/>
        <w:spacing w:line="480" w:lineRule="exact"/>
        <w:ind w:firstLine="480" w:firstLineChars="200"/>
        <w:rPr>
          <w:rFonts w:hAnsi="宋体"/>
          <w:sz w:val="24"/>
          <w:szCs w:val="22"/>
        </w:rPr>
      </w:pPr>
      <w:r>
        <w:rPr>
          <w:rFonts w:ascii="宋体" w:hAnsi="宋体"/>
          <w:sz w:val="24"/>
        </w:rPr>
        <w:t>5</w:t>
      </w:r>
      <w:r>
        <w:rPr>
          <w:rFonts w:hint="eastAsia" w:ascii="宋体" w:hAnsi="宋体"/>
          <w:sz w:val="24"/>
        </w:rPr>
        <w:t>.本估价报告的价值时点为202</w:t>
      </w:r>
      <w:r>
        <w:rPr>
          <w:rFonts w:ascii="宋体" w:hAnsi="宋体"/>
          <w:sz w:val="24"/>
        </w:rPr>
        <w:t>2</w:t>
      </w:r>
      <w:r>
        <w:rPr>
          <w:rFonts w:hint="eastAsia" w:ascii="宋体" w:hAnsi="宋体"/>
          <w:sz w:val="24"/>
        </w:rPr>
        <w:t>年7月</w:t>
      </w:r>
      <w:r>
        <w:rPr>
          <w:rFonts w:ascii="宋体" w:hAnsi="宋体"/>
          <w:sz w:val="24"/>
        </w:rPr>
        <w:t>4</w:t>
      </w:r>
      <w:r>
        <w:rPr>
          <w:rFonts w:hint="eastAsia" w:ascii="宋体" w:hAnsi="宋体"/>
          <w:sz w:val="24"/>
        </w:rPr>
        <w:t>日，与估价人员实地查勘日期202</w:t>
      </w:r>
      <w:r>
        <w:rPr>
          <w:rFonts w:ascii="宋体" w:hAnsi="宋体"/>
          <w:sz w:val="24"/>
        </w:rPr>
        <w:t>2</w:t>
      </w:r>
      <w:r>
        <w:rPr>
          <w:rFonts w:hint="eastAsia" w:ascii="宋体" w:hAnsi="宋体"/>
          <w:sz w:val="24"/>
        </w:rPr>
        <w:t>年8月</w:t>
      </w:r>
      <w:r>
        <w:rPr>
          <w:rFonts w:ascii="宋体" w:hAnsi="宋体"/>
          <w:sz w:val="24"/>
        </w:rPr>
        <w:t>19</w:t>
      </w:r>
      <w:r>
        <w:rPr>
          <w:rFonts w:hint="eastAsia" w:ascii="宋体" w:hAnsi="宋体"/>
          <w:sz w:val="24"/>
        </w:rPr>
        <w:t>日不一致，本报告假设：估价对象在价值时点的状况与本公司估价人员实地查勘日的状况相同，且未发生可影响估值的重大变化。</w:t>
      </w:r>
    </w:p>
    <w:bookmarkEnd w:id="73"/>
    <w:p>
      <w:pPr>
        <w:pStyle w:val="9"/>
        <w:tabs>
          <w:tab w:val="left" w:pos="840"/>
          <w:tab w:val="left" w:pos="1554"/>
          <w:tab w:val="left" w:pos="2520"/>
        </w:tabs>
        <w:topLinePunct/>
        <w:adjustRightInd w:val="0"/>
        <w:snapToGrid w:val="0"/>
        <w:spacing w:line="480" w:lineRule="exact"/>
        <w:ind w:firstLine="482" w:firstLineChars="200"/>
        <w:rPr>
          <w:rFonts w:hAnsi="宋体"/>
          <w:b/>
          <w:bCs/>
          <w:sz w:val="24"/>
          <w:szCs w:val="22"/>
        </w:rPr>
      </w:pPr>
      <w:r>
        <w:rPr>
          <w:rFonts w:hint="eastAsia" w:hAnsi="宋体"/>
          <w:b/>
          <w:bCs/>
          <w:sz w:val="24"/>
          <w:szCs w:val="22"/>
        </w:rPr>
        <w:t>（二）未定事项假设</w:t>
      </w:r>
    </w:p>
    <w:p>
      <w:pPr>
        <w:pStyle w:val="44"/>
        <w:tabs>
          <w:tab w:val="left" w:pos="840"/>
          <w:tab w:val="left" w:pos="1554"/>
          <w:tab w:val="left" w:pos="2520"/>
        </w:tabs>
        <w:snapToGrid w:val="0"/>
        <w:spacing w:line="480" w:lineRule="exact"/>
        <w:ind w:firstLine="480"/>
        <w:rPr>
          <w:rFonts w:ascii="宋体" w:hAnsi="宋体" w:eastAsia="宋体"/>
          <w:sz w:val="24"/>
        </w:rPr>
      </w:pPr>
      <w:bookmarkStart w:id="74" w:name="_Hlk89263449"/>
      <w:r>
        <w:rPr>
          <w:rFonts w:hint="eastAsia" w:ascii="宋体" w:hAnsi="宋体" w:eastAsia="宋体"/>
          <w:sz w:val="24"/>
        </w:rPr>
        <w:t>1</w:t>
      </w:r>
      <w:r>
        <w:rPr>
          <w:rFonts w:hint="eastAsia" w:hAnsi="宋体"/>
          <w:sz w:val="24"/>
          <w:szCs w:val="22"/>
        </w:rPr>
        <w:t>.</w:t>
      </w:r>
      <w:r>
        <w:rPr>
          <w:rFonts w:hint="eastAsia" w:ascii="宋体" w:hAnsi="宋体" w:eastAsia="宋体"/>
          <w:sz w:val="24"/>
        </w:rPr>
        <w:t>由于估价委托人仅提供估价对象《房屋登记簿》（房屋编号：</w:t>
      </w:r>
      <w:r>
        <w:rPr>
          <w:rFonts w:ascii="宋体" w:hAnsi="宋体" w:eastAsia="宋体"/>
          <w:sz w:val="24"/>
        </w:rPr>
        <w:t>978701</w:t>
      </w:r>
      <w:r>
        <w:rPr>
          <w:rFonts w:hint="eastAsia" w:ascii="宋体" w:hAnsi="宋体" w:eastAsia="宋体"/>
          <w:sz w:val="24"/>
        </w:rPr>
        <w:t>）、《不动产登记簿附件（所有权）》（不动产编号：9</w:t>
      </w:r>
      <w:r>
        <w:rPr>
          <w:rFonts w:ascii="宋体" w:hAnsi="宋体" w:eastAsia="宋体"/>
          <w:sz w:val="24"/>
        </w:rPr>
        <w:t>78701</w:t>
      </w:r>
      <w:r>
        <w:rPr>
          <w:rFonts w:hint="eastAsia" w:ascii="宋体" w:hAnsi="宋体" w:eastAsia="宋体"/>
          <w:sz w:val="24"/>
        </w:rPr>
        <w:t>）等复印件，本次估价假设估价委托人提供的这些资料是真实、准确和完整的，是与原件一致的，本报告的估价结果是建立在此基础之上的，否则，本估价结果不能使用。</w:t>
      </w:r>
    </w:p>
    <w:p>
      <w:pPr>
        <w:pStyle w:val="44"/>
        <w:tabs>
          <w:tab w:val="left" w:pos="840"/>
          <w:tab w:val="left" w:pos="1554"/>
          <w:tab w:val="left" w:pos="2520"/>
        </w:tabs>
        <w:snapToGrid w:val="0"/>
        <w:spacing w:line="480" w:lineRule="exact"/>
        <w:ind w:firstLine="480"/>
        <w:rPr>
          <w:rFonts w:ascii="宋体" w:hAnsi="宋体" w:eastAsia="宋体"/>
          <w:sz w:val="24"/>
        </w:rPr>
      </w:pPr>
      <w:r>
        <w:rPr>
          <w:rFonts w:hint="eastAsia" w:ascii="宋体" w:hAnsi="宋体" w:eastAsia="宋体"/>
          <w:sz w:val="24"/>
        </w:rPr>
        <w:t>2.本次估价相关的交易税费计算是依据价值时点当地交易税费标准。</w:t>
      </w:r>
    </w:p>
    <w:p>
      <w:pPr>
        <w:pStyle w:val="44"/>
        <w:tabs>
          <w:tab w:val="left" w:pos="840"/>
          <w:tab w:val="left" w:pos="1554"/>
          <w:tab w:val="left" w:pos="2520"/>
        </w:tabs>
        <w:snapToGrid w:val="0"/>
        <w:spacing w:line="480" w:lineRule="exact"/>
        <w:ind w:firstLine="480"/>
        <w:rPr>
          <w:rFonts w:ascii="宋体" w:hAnsi="宋体" w:eastAsia="宋体"/>
          <w:sz w:val="24"/>
        </w:rPr>
      </w:pPr>
      <w:r>
        <w:rPr>
          <w:rFonts w:hint="eastAsia" w:ascii="宋体" w:hAnsi="宋体" w:eastAsia="宋体"/>
          <w:sz w:val="24"/>
        </w:rPr>
        <w:t>3</w:t>
      </w:r>
      <w:r>
        <w:rPr>
          <w:rFonts w:ascii="宋体" w:hAnsi="宋体" w:eastAsia="宋体"/>
          <w:sz w:val="24"/>
        </w:rPr>
        <w:t>.</w:t>
      </w:r>
      <w:r>
        <w:rPr>
          <w:rFonts w:hint="eastAsia" w:ascii="宋体" w:hAnsi="宋体" w:eastAsia="宋体"/>
          <w:sz w:val="24"/>
        </w:rPr>
        <w:t>本次估价委托人未明确估价对象的财产范围，本次估价参照以往同类涉执房地产处置惯例，假定估价对象范围包括建筑物（含室内二次装修）和土地使用权（含土地出让金）,包括宗地红线范围内水、电、通信等配套基础设施，不包括家电、家具等动产，也不包括债权债务等权益。</w:t>
      </w:r>
    </w:p>
    <w:bookmarkEnd w:id="74"/>
    <w:p>
      <w:pPr>
        <w:pStyle w:val="9"/>
        <w:tabs>
          <w:tab w:val="left" w:pos="840"/>
          <w:tab w:val="left" w:pos="1554"/>
          <w:tab w:val="left" w:pos="2520"/>
        </w:tabs>
        <w:topLinePunct/>
        <w:adjustRightInd w:val="0"/>
        <w:snapToGrid w:val="0"/>
        <w:spacing w:line="460" w:lineRule="exact"/>
        <w:ind w:firstLine="482" w:firstLineChars="200"/>
        <w:rPr>
          <w:rFonts w:hAnsi="宋体"/>
          <w:b/>
          <w:bCs/>
          <w:sz w:val="24"/>
          <w:szCs w:val="22"/>
        </w:rPr>
      </w:pPr>
      <w:r>
        <w:rPr>
          <w:rFonts w:hint="eastAsia" w:hAnsi="宋体"/>
          <w:b/>
          <w:bCs/>
          <w:sz w:val="24"/>
          <w:szCs w:val="22"/>
        </w:rPr>
        <w:t>（三）背离事实假设</w:t>
      </w:r>
    </w:p>
    <w:p>
      <w:pPr>
        <w:snapToGrid w:val="0"/>
        <w:spacing w:line="520" w:lineRule="exact"/>
        <w:ind w:firstLine="480" w:firstLineChars="200"/>
        <w:rPr>
          <w:rFonts w:ascii="宋体" w:hAnsi="宋体"/>
          <w:sz w:val="24"/>
        </w:rPr>
      </w:pPr>
      <w:sdt>
        <w:sdtPr>
          <w:rPr>
            <w:rFonts w:hint="eastAsia" w:ascii="宋体" w:hAnsi="宋体"/>
            <w:sz w:val="24"/>
          </w:rPr>
          <w:id w:val="-1615747945"/>
          <w:placeholder>
            <w:docPart w:val="265BD8A64AAF473E8979FB5D50855754"/>
          </w:placeholder>
          <w:comboBox>
            <w:listItem w:value="选择一项。"/>
            <w:listItem w:displayText="本次估价无背离事实假设" w:value="本次估价无背离事实假设"/>
            <w:listItem w:displayText="估价对象已设立抵押权，本次抵押贷款前原抵押关系必须注销，故本报告估价结果不考虑估价对象存在有抵押、租赁、诉讼、担保等权利限制" w:value="估价对象已设立抵押权，本次抵押贷款前原抵押关系必须注销，故本报告估价结果不考虑估价对象存在有抵押、租赁、诉讼、担保等权利限制"/>
            <w:listItem w:displayText="估价对象已设立抵押权，已被查封。根据《房地产估价规范》及《关于印发&lt;涉执房地产处置司法评估指导意见（试行）&gt;的通知》（中房学〔2021〕37号），房地产司法拍卖估价，评估价值的影响因素不应包括拍卖房地产被查封及拍卖房地产上原有的担保物权和其他优先受偿权。本次估价不考虑估价对象的担保物权、其他优先受偿权及查封等因素对估价结果的影响。" w:value="估价对象已设立抵押权，已被查封。根据《房地产估价规范》及《关于印发&lt;涉执房地产处置司法评估指导意见（试行）&gt;的通知》（中房学〔2021〕37号），房地产司法拍卖估价，评估价值的影响因素不应包括拍卖房地产被查封及拍卖房地产上原有的担保物权和其他优先受偿权。本次估价不考虑估价对象的担保物权、其他优先受偿权及查封等因素对估价结果的影响。"/>
          </w:comboBox>
        </w:sdtPr>
        <w:sdtEndPr>
          <w:rPr>
            <w:rFonts w:hint="eastAsia" w:ascii="宋体" w:hAnsi="宋体"/>
            <w:sz w:val="24"/>
          </w:rPr>
        </w:sdtEndPr>
        <w:sdtContent>
          <w:r>
            <w:rPr>
              <w:rFonts w:hint="eastAsia" w:ascii="宋体" w:hAnsi="宋体"/>
              <w:sz w:val="24"/>
            </w:rPr>
            <w:t>估价对象已设立抵押权，已被查封。根据《房地产估价规范》及《关于印发&lt;涉执房地产处置司法评估指导意见（试行）&gt;的通知》（中房学〔2021〕37号），房地产司法拍卖估价，评估价值的影响因素不应包括拍卖房地产被查封及拍卖房地产上原有的担保物权和其他优先受偿权。本次估价不考虑估价对象的担保物权、其他优先受偿权及查封等因素对估价结果的影响。</w:t>
          </w:r>
        </w:sdtContent>
      </w:sdt>
    </w:p>
    <w:p>
      <w:pPr>
        <w:pStyle w:val="9"/>
        <w:tabs>
          <w:tab w:val="left" w:pos="840"/>
          <w:tab w:val="left" w:pos="1554"/>
          <w:tab w:val="left" w:pos="2520"/>
        </w:tabs>
        <w:topLinePunct/>
        <w:adjustRightInd w:val="0"/>
        <w:snapToGrid w:val="0"/>
        <w:spacing w:line="480" w:lineRule="exact"/>
        <w:ind w:firstLine="482" w:firstLineChars="200"/>
        <w:rPr>
          <w:rFonts w:hAnsi="宋体"/>
          <w:b/>
          <w:bCs/>
          <w:sz w:val="24"/>
          <w:szCs w:val="22"/>
        </w:rPr>
      </w:pPr>
      <w:r>
        <w:rPr>
          <w:rFonts w:hint="eastAsia" w:hAnsi="宋体"/>
          <w:b/>
          <w:bCs/>
          <w:sz w:val="24"/>
          <w:szCs w:val="22"/>
        </w:rPr>
        <w:t>（四）不相一致假设</w:t>
      </w:r>
    </w:p>
    <w:p>
      <w:pPr>
        <w:pStyle w:val="9"/>
        <w:tabs>
          <w:tab w:val="left" w:pos="840"/>
          <w:tab w:val="left" w:pos="1554"/>
          <w:tab w:val="left" w:pos="2520"/>
        </w:tabs>
        <w:snapToGrid w:val="0"/>
        <w:spacing w:line="480" w:lineRule="exact"/>
        <w:ind w:firstLine="480" w:firstLineChars="200"/>
        <w:rPr>
          <w:rFonts w:hAnsi="宋体"/>
          <w:b/>
          <w:bCs/>
          <w:sz w:val="24"/>
          <w:szCs w:val="22"/>
        </w:rPr>
      </w:pPr>
      <w:r>
        <w:rPr>
          <w:rFonts w:hint="eastAsia" w:hAnsi="宋体"/>
          <w:sz w:val="24"/>
          <w:szCs w:val="22"/>
        </w:rPr>
        <w:t>本次估价无不相一致假设。</w:t>
      </w:r>
    </w:p>
    <w:p>
      <w:pPr>
        <w:pStyle w:val="9"/>
        <w:tabs>
          <w:tab w:val="left" w:pos="840"/>
          <w:tab w:val="left" w:pos="1554"/>
          <w:tab w:val="left" w:pos="2520"/>
        </w:tabs>
        <w:topLinePunct/>
        <w:adjustRightInd w:val="0"/>
        <w:snapToGrid w:val="0"/>
        <w:spacing w:line="480" w:lineRule="exact"/>
        <w:ind w:firstLine="482" w:firstLineChars="200"/>
        <w:rPr>
          <w:rFonts w:hAnsi="宋体"/>
          <w:b/>
          <w:bCs/>
          <w:sz w:val="24"/>
          <w:szCs w:val="22"/>
        </w:rPr>
      </w:pPr>
      <w:r>
        <w:rPr>
          <w:rFonts w:hint="eastAsia" w:hAnsi="宋体"/>
          <w:b/>
          <w:bCs/>
          <w:sz w:val="24"/>
          <w:szCs w:val="22"/>
        </w:rPr>
        <w:t>（五）依据不足假设</w:t>
      </w:r>
    </w:p>
    <w:p>
      <w:pPr>
        <w:tabs>
          <w:tab w:val="left" w:pos="840"/>
          <w:tab w:val="left" w:pos="1554"/>
          <w:tab w:val="left" w:pos="2520"/>
        </w:tabs>
        <w:snapToGrid w:val="0"/>
        <w:spacing w:line="480" w:lineRule="exact"/>
        <w:ind w:firstLine="480" w:firstLineChars="200"/>
        <w:rPr>
          <w:rFonts w:ascii="宋体" w:hAnsi="宋体"/>
          <w:sz w:val="24"/>
        </w:rPr>
      </w:pPr>
      <w:bookmarkStart w:id="75" w:name="_Hlk105228662"/>
      <w:bookmarkStart w:id="76" w:name="_Toc32322"/>
      <w:bookmarkStart w:id="77" w:name="_Toc387843181"/>
      <w:bookmarkStart w:id="78" w:name="_Toc390096618"/>
      <w:bookmarkStart w:id="79" w:name="_Toc9436"/>
      <w:bookmarkStart w:id="80" w:name="_Toc390096878"/>
      <w:bookmarkStart w:id="81" w:name="_Toc389154433"/>
      <w:bookmarkStart w:id="82" w:name="_Toc388620137"/>
      <w:bookmarkStart w:id="83" w:name="_Toc387674818"/>
      <w:r>
        <w:rPr>
          <w:rFonts w:hint="eastAsia" w:hAnsi="宋体"/>
          <w:sz w:val="24"/>
          <w:szCs w:val="22"/>
        </w:rPr>
        <w:t>1</w:t>
      </w:r>
      <w:r>
        <w:rPr>
          <w:rFonts w:hAnsi="宋体"/>
          <w:sz w:val="24"/>
          <w:szCs w:val="22"/>
        </w:rPr>
        <w:t>.</w:t>
      </w:r>
      <w:r>
        <w:rPr>
          <w:rFonts w:hint="eastAsia" w:ascii="宋体" w:hAnsi="宋体"/>
          <w:sz w:val="24"/>
        </w:rPr>
        <w:t>估价委托人未提供估价对象所处建筑物的相关建成年份资料，</w:t>
      </w:r>
      <w:sdt>
        <w:sdtPr>
          <w:rPr>
            <w:rFonts w:hint="eastAsia" w:ascii="宋体" w:hAnsi="宋体"/>
            <w:sz w:val="24"/>
          </w:rPr>
          <w:id w:val="2009703798"/>
          <w:placeholder>
            <w:docPart w:val="25421A6A24D84785B8DADE6ECF0C0644"/>
          </w:placeholder>
          <w:dropDownList>
            <w:listItem w:displayText="经估价人员实地调查，估价对象所处建筑物建成于" w:value="经估价人员实地调查，估价对象所处建筑物建成于"/>
            <w:listItem w:displayText="估价对象所处建筑物建成于" w:value="估价对象所处建筑物建成于"/>
          </w:dropDownList>
        </w:sdtPr>
        <w:sdtEndPr>
          <w:rPr>
            <w:rFonts w:hint="eastAsia" w:ascii="宋体" w:hAnsi="宋体"/>
            <w:sz w:val="24"/>
          </w:rPr>
        </w:sdtEndPr>
        <w:sdtContent>
          <w:r>
            <w:rPr>
              <w:rFonts w:hint="eastAsia" w:ascii="宋体" w:hAnsi="宋体"/>
              <w:sz w:val="24"/>
            </w:rPr>
            <w:t>经估价人员实地调查，估价对象所处建筑物建成于</w:t>
          </w:r>
        </w:sdtContent>
      </w:sdt>
      <w:r>
        <w:rPr>
          <w:rFonts w:ascii="宋体" w:hAnsi="宋体"/>
          <w:sz w:val="24"/>
        </w:rPr>
        <w:t>2012</w:t>
      </w:r>
      <w:r>
        <w:rPr>
          <w:rFonts w:hint="eastAsia" w:ascii="宋体" w:hAnsi="宋体"/>
          <w:sz w:val="24"/>
        </w:rPr>
        <w:t>年。</w:t>
      </w:r>
    </w:p>
    <w:bookmarkEnd w:id="75"/>
    <w:p>
      <w:pPr>
        <w:pStyle w:val="9"/>
        <w:tabs>
          <w:tab w:val="left" w:pos="840"/>
          <w:tab w:val="left" w:pos="1554"/>
          <w:tab w:val="left" w:pos="2520"/>
        </w:tabs>
        <w:topLinePunct/>
        <w:adjustRightInd w:val="0"/>
        <w:snapToGrid w:val="0"/>
        <w:spacing w:line="480" w:lineRule="exact"/>
        <w:ind w:firstLine="482" w:firstLineChars="200"/>
        <w:outlineLvl w:val="1"/>
        <w:rPr>
          <w:rFonts w:hAnsi="宋体"/>
          <w:b/>
          <w:bCs/>
          <w:sz w:val="24"/>
          <w:szCs w:val="22"/>
        </w:rPr>
      </w:pPr>
      <w:r>
        <w:rPr>
          <w:rFonts w:hint="eastAsia" w:hAnsi="宋体"/>
          <w:b/>
          <w:bCs/>
          <w:sz w:val="24"/>
          <w:szCs w:val="22"/>
        </w:rPr>
        <w:t>二、本报告使用的限制条件</w:t>
      </w:r>
      <w:bookmarkEnd w:id="76"/>
      <w:bookmarkEnd w:id="77"/>
      <w:bookmarkEnd w:id="78"/>
      <w:bookmarkEnd w:id="79"/>
      <w:bookmarkEnd w:id="80"/>
      <w:bookmarkEnd w:id="81"/>
      <w:bookmarkEnd w:id="82"/>
      <w:bookmarkEnd w:id="83"/>
    </w:p>
    <w:p>
      <w:pPr>
        <w:pStyle w:val="9"/>
        <w:tabs>
          <w:tab w:val="left" w:pos="840"/>
          <w:tab w:val="left" w:pos="1554"/>
          <w:tab w:val="left" w:pos="2520"/>
        </w:tabs>
        <w:snapToGrid w:val="0"/>
        <w:spacing w:line="480" w:lineRule="exact"/>
        <w:ind w:firstLine="480" w:firstLineChars="200"/>
        <w:rPr>
          <w:rFonts w:hAnsi="宋体"/>
          <w:sz w:val="24"/>
          <w:szCs w:val="22"/>
        </w:rPr>
      </w:pPr>
      <w:r>
        <w:rPr>
          <w:rFonts w:hint="eastAsia" w:hAnsi="宋体"/>
          <w:sz w:val="24"/>
          <w:szCs w:val="22"/>
        </w:rPr>
        <w:t>（一）本估价报告仅作为本次估价目的使用，不作其他任何用途使用。</w:t>
      </w:r>
    </w:p>
    <w:p>
      <w:pPr>
        <w:pStyle w:val="9"/>
        <w:tabs>
          <w:tab w:val="left" w:pos="840"/>
          <w:tab w:val="left" w:pos="1554"/>
          <w:tab w:val="left" w:pos="2520"/>
        </w:tabs>
        <w:snapToGrid w:val="0"/>
        <w:spacing w:line="480" w:lineRule="exact"/>
        <w:ind w:firstLine="480" w:firstLineChars="200"/>
        <w:rPr>
          <w:rFonts w:hAnsi="宋体"/>
          <w:sz w:val="24"/>
          <w:szCs w:val="22"/>
        </w:rPr>
      </w:pPr>
      <w:r>
        <w:rPr>
          <w:rFonts w:hint="eastAsia" w:hAnsi="宋体"/>
          <w:sz w:val="24"/>
          <w:szCs w:val="22"/>
        </w:rPr>
        <w:t>（二）估价报告使用方在使用本估价报告时不应断章取义。</w:t>
      </w:r>
    </w:p>
    <w:p>
      <w:pPr>
        <w:pStyle w:val="9"/>
        <w:tabs>
          <w:tab w:val="left" w:pos="840"/>
          <w:tab w:val="left" w:pos="1554"/>
          <w:tab w:val="left" w:pos="2520"/>
        </w:tabs>
        <w:snapToGrid w:val="0"/>
        <w:spacing w:line="480" w:lineRule="exact"/>
        <w:ind w:firstLine="480" w:firstLineChars="200"/>
        <w:rPr>
          <w:rFonts w:hAnsi="宋体"/>
          <w:sz w:val="24"/>
          <w:szCs w:val="22"/>
        </w:rPr>
      </w:pPr>
      <w:r>
        <w:rPr>
          <w:rFonts w:hint="eastAsia" w:hAnsi="宋体"/>
          <w:sz w:val="24"/>
          <w:szCs w:val="22"/>
        </w:rPr>
        <w:t>（三）本估价报告的部分或全部内容不允许在任何公开发表的文件、通告或声明中引用，亦不得以任何形式公开发表。</w:t>
      </w:r>
    </w:p>
    <w:p>
      <w:pPr>
        <w:pStyle w:val="9"/>
        <w:tabs>
          <w:tab w:val="left" w:pos="840"/>
          <w:tab w:val="left" w:pos="1554"/>
          <w:tab w:val="left" w:pos="2520"/>
        </w:tabs>
        <w:snapToGrid w:val="0"/>
        <w:spacing w:line="480" w:lineRule="exact"/>
        <w:ind w:firstLine="480" w:firstLineChars="200"/>
        <w:rPr>
          <w:rFonts w:hAnsi="宋体"/>
          <w:sz w:val="24"/>
          <w:szCs w:val="22"/>
        </w:rPr>
      </w:pPr>
      <w:r>
        <w:rPr>
          <w:rFonts w:hint="eastAsia" w:hAnsi="宋体"/>
          <w:sz w:val="24"/>
          <w:szCs w:val="22"/>
        </w:rPr>
        <w:t>（四）本估价报告经估价机构加盖公章、法定代表人签名（或盖章）及估价人员签字后方可有效。</w:t>
      </w:r>
    </w:p>
    <w:p>
      <w:pPr>
        <w:pStyle w:val="9"/>
        <w:tabs>
          <w:tab w:val="left" w:pos="840"/>
          <w:tab w:val="left" w:pos="1554"/>
          <w:tab w:val="left" w:pos="2520"/>
        </w:tabs>
        <w:snapToGrid w:val="0"/>
        <w:spacing w:line="480" w:lineRule="exact"/>
        <w:ind w:firstLine="480" w:firstLineChars="200"/>
        <w:rPr>
          <w:rFonts w:hAnsi="宋体"/>
          <w:sz w:val="24"/>
          <w:szCs w:val="22"/>
        </w:rPr>
      </w:pPr>
      <w:r>
        <w:rPr>
          <w:rFonts w:hint="eastAsia" w:hAnsi="宋体"/>
          <w:sz w:val="24"/>
          <w:szCs w:val="22"/>
        </w:rPr>
        <w:t>（五）本估价报告使用期限自本估价报告出具之日起不超过一年，房地产市场状况变化较大时不超过半年。</w:t>
      </w:r>
    </w:p>
    <w:bookmarkEnd w:id="65"/>
    <w:bookmarkEnd w:id="66"/>
    <w:bookmarkEnd w:id="67"/>
    <w:bookmarkEnd w:id="68"/>
    <w:bookmarkEnd w:id="69"/>
    <w:bookmarkEnd w:id="70"/>
    <w:bookmarkEnd w:id="71"/>
    <w:p>
      <w:pPr>
        <w:pStyle w:val="9"/>
        <w:tabs>
          <w:tab w:val="left" w:pos="840"/>
          <w:tab w:val="left" w:pos="1554"/>
          <w:tab w:val="left" w:pos="2520"/>
        </w:tabs>
        <w:snapToGrid w:val="0"/>
        <w:spacing w:line="480" w:lineRule="exact"/>
        <w:ind w:firstLine="480" w:firstLineChars="200"/>
        <w:rPr>
          <w:rFonts w:hAnsi="宋体"/>
          <w:sz w:val="24"/>
          <w:szCs w:val="22"/>
        </w:rPr>
      </w:pPr>
    </w:p>
    <w:p>
      <w:pPr>
        <w:pStyle w:val="2"/>
        <w:numPr>
          <w:ilvl w:val="0"/>
          <w:numId w:val="0"/>
        </w:numPr>
        <w:tabs>
          <w:tab w:val="left" w:pos="1140"/>
        </w:tabs>
        <w:spacing w:line="440" w:lineRule="exact"/>
        <w:jc w:val="center"/>
        <w:rPr>
          <w:rFonts w:ascii="宋体" w:hAnsi="宋体"/>
          <w:b w:val="0"/>
          <w:bCs/>
          <w:sz w:val="52"/>
        </w:rPr>
      </w:pPr>
      <w:r>
        <w:rPr>
          <w:rFonts w:hint="eastAsia" w:ascii="宋体" w:hAnsi="宋体"/>
          <w:sz w:val="32"/>
          <w:szCs w:val="32"/>
        </w:rPr>
        <w:br w:type="page"/>
      </w:r>
      <w:bookmarkStart w:id="84" w:name="_Toc24762"/>
      <w:r>
        <w:rPr>
          <w:rFonts w:hint="eastAsia" w:ascii="宋体" w:hAnsi="宋体"/>
          <w:sz w:val="32"/>
          <w:szCs w:val="32"/>
        </w:rPr>
        <w:t>估价结果报告</w:t>
      </w:r>
      <w:bookmarkEnd w:id="56"/>
      <w:bookmarkEnd w:id="57"/>
      <w:bookmarkEnd w:id="58"/>
      <w:bookmarkEnd w:id="59"/>
      <w:bookmarkEnd w:id="84"/>
    </w:p>
    <w:p>
      <w:pPr>
        <w:snapToGrid w:val="0"/>
        <w:spacing w:line="440" w:lineRule="exact"/>
        <w:jc w:val="center"/>
        <w:rPr>
          <w:rFonts w:ascii="宋体" w:hAnsi="宋体"/>
          <w:sz w:val="24"/>
        </w:rPr>
      </w:pPr>
      <w:bookmarkStart w:id="85" w:name="_Toc326163375"/>
      <w:bookmarkStart w:id="86" w:name="_Toc282502405"/>
      <w:bookmarkStart w:id="87" w:name="_Toc282502406"/>
      <w:r>
        <w:rPr>
          <w:rFonts w:hint="eastAsia" w:ascii="宋体" w:hAnsi="宋体"/>
          <w:sz w:val="24"/>
        </w:rPr>
        <w:t>闽中兴房估字[202</w:t>
      </w:r>
      <w:r>
        <w:rPr>
          <w:rFonts w:ascii="宋体" w:hAnsi="宋体"/>
          <w:sz w:val="24"/>
        </w:rPr>
        <w:t>2</w:t>
      </w:r>
      <w:r>
        <w:rPr>
          <w:rFonts w:hint="eastAsia" w:ascii="宋体" w:hAnsi="宋体"/>
          <w:sz w:val="24"/>
        </w:rPr>
        <w:t>]第</w:t>
      </w:r>
      <w:r>
        <w:rPr>
          <w:rFonts w:hint="eastAsia" w:ascii="宋体" w:hAnsi="宋体"/>
          <w:sz w:val="24"/>
          <w:lang w:eastAsia="zh-CN"/>
        </w:rPr>
        <w:t>TS50077</w:t>
      </w:r>
      <w:r>
        <w:rPr>
          <w:rFonts w:hint="eastAsia" w:ascii="宋体" w:hAnsi="宋体"/>
          <w:sz w:val="24"/>
        </w:rPr>
        <w:t>号</w:t>
      </w:r>
    </w:p>
    <w:p>
      <w:pPr>
        <w:snapToGrid w:val="0"/>
        <w:spacing w:line="460" w:lineRule="exact"/>
        <w:ind w:firstLine="482" w:firstLineChars="200"/>
        <w:outlineLvl w:val="1"/>
        <w:rPr>
          <w:rFonts w:ascii="宋体" w:hAnsi="宋体"/>
          <w:b/>
          <w:bCs/>
          <w:sz w:val="24"/>
        </w:rPr>
      </w:pPr>
      <w:bookmarkStart w:id="88" w:name="_Toc5750"/>
      <w:r>
        <w:rPr>
          <w:rFonts w:hint="eastAsia" w:ascii="宋体" w:hAnsi="宋体"/>
          <w:b/>
          <w:bCs/>
          <w:sz w:val="24"/>
        </w:rPr>
        <w:t>一、估价委托人</w:t>
      </w:r>
      <w:bookmarkEnd w:id="85"/>
      <w:bookmarkEnd w:id="86"/>
      <w:bookmarkEnd w:id="88"/>
    </w:p>
    <w:p>
      <w:pPr>
        <w:pStyle w:val="9"/>
        <w:tabs>
          <w:tab w:val="left" w:pos="840"/>
          <w:tab w:val="left" w:pos="1554"/>
          <w:tab w:val="left" w:pos="2520"/>
        </w:tabs>
        <w:snapToGrid w:val="0"/>
        <w:spacing w:line="460" w:lineRule="exact"/>
        <w:ind w:firstLine="480" w:firstLineChars="200"/>
        <w:rPr>
          <w:rFonts w:hAnsi="宋体"/>
          <w:sz w:val="24"/>
          <w:szCs w:val="22"/>
        </w:rPr>
      </w:pPr>
      <w:r>
        <w:rPr>
          <w:rFonts w:hint="eastAsia" w:hAnsi="宋体"/>
          <w:sz w:val="24"/>
          <w:szCs w:val="22"/>
        </w:rPr>
        <w:t>名      称：闽侯县人民法院</w:t>
      </w:r>
    </w:p>
    <w:p>
      <w:pPr>
        <w:pStyle w:val="9"/>
        <w:tabs>
          <w:tab w:val="left" w:pos="840"/>
          <w:tab w:val="left" w:pos="1554"/>
          <w:tab w:val="left" w:pos="2520"/>
        </w:tabs>
        <w:snapToGrid w:val="0"/>
        <w:spacing w:line="460" w:lineRule="exact"/>
        <w:ind w:firstLine="480" w:firstLineChars="200"/>
        <w:rPr>
          <w:rFonts w:hAnsi="宋体"/>
          <w:sz w:val="24"/>
          <w:szCs w:val="22"/>
        </w:rPr>
      </w:pPr>
      <w:r>
        <w:rPr>
          <w:rFonts w:hint="eastAsia" w:hAnsi="宋体"/>
          <w:sz w:val="24"/>
          <w:szCs w:val="22"/>
        </w:rPr>
        <w:t>住      址：</w:t>
      </w:r>
      <w:bookmarkEnd w:id="87"/>
      <w:bookmarkStart w:id="89" w:name="_Toc384126359"/>
      <w:bookmarkStart w:id="90" w:name="_Toc282502407"/>
      <w:r>
        <w:rPr>
          <w:rFonts w:hint="eastAsia" w:hAnsi="宋体"/>
          <w:sz w:val="24"/>
          <w:szCs w:val="22"/>
        </w:rPr>
        <w:t>闽侯县荆溪镇展览馆2楼执行局</w:t>
      </w:r>
    </w:p>
    <w:p>
      <w:pPr>
        <w:pStyle w:val="9"/>
        <w:tabs>
          <w:tab w:val="left" w:pos="840"/>
          <w:tab w:val="left" w:pos="1554"/>
          <w:tab w:val="left" w:pos="2520"/>
        </w:tabs>
        <w:snapToGrid w:val="0"/>
        <w:spacing w:line="460" w:lineRule="exact"/>
        <w:ind w:firstLine="482" w:firstLineChars="200"/>
        <w:outlineLvl w:val="1"/>
        <w:rPr>
          <w:rFonts w:hAnsi="宋体"/>
          <w:b/>
          <w:bCs/>
          <w:spacing w:val="-2"/>
          <w:sz w:val="24"/>
        </w:rPr>
      </w:pPr>
      <w:bookmarkStart w:id="91" w:name="_Toc6027"/>
      <w:r>
        <w:rPr>
          <w:rFonts w:hint="eastAsia" w:hAnsi="宋体"/>
          <w:b/>
          <w:bCs/>
          <w:sz w:val="24"/>
          <w:szCs w:val="24"/>
        </w:rPr>
        <w:t>二、估价机构</w:t>
      </w:r>
      <w:bookmarkEnd w:id="89"/>
      <w:bookmarkEnd w:id="91"/>
    </w:p>
    <w:p>
      <w:pPr>
        <w:adjustRightInd w:val="0"/>
        <w:snapToGrid w:val="0"/>
        <w:spacing w:line="460" w:lineRule="exact"/>
        <w:ind w:firstLine="480" w:firstLineChars="200"/>
        <w:rPr>
          <w:rFonts w:ascii="宋体" w:hAnsi="宋体"/>
          <w:sz w:val="24"/>
        </w:rPr>
      </w:pPr>
      <w:bookmarkStart w:id="92" w:name="_Hlk99060046"/>
      <w:r>
        <w:rPr>
          <w:rFonts w:hint="eastAsia" w:ascii="宋体" w:hAnsi="宋体"/>
          <w:bCs/>
          <w:sz w:val="24"/>
        </w:rPr>
        <w:t>名</w:t>
      </w:r>
      <w:r>
        <w:rPr>
          <w:rFonts w:hint="eastAsia" w:ascii="宋体" w:hAnsi="宋体"/>
          <w:sz w:val="24"/>
        </w:rPr>
        <w:t xml:space="preserve">      称：福建中兴资产评估房地产土地估价有</w:t>
      </w:r>
      <w:bookmarkStart w:id="93" w:name="_Hlt165563594"/>
      <w:bookmarkStart w:id="94" w:name="_Hlt165563595"/>
      <w:r>
        <w:rPr>
          <w:rFonts w:hint="eastAsia" w:ascii="宋体" w:hAnsi="宋体"/>
          <w:sz w:val="24"/>
        </w:rPr>
        <w:t>限</w:t>
      </w:r>
      <w:bookmarkEnd w:id="93"/>
      <w:bookmarkEnd w:id="94"/>
      <w:r>
        <w:rPr>
          <w:rFonts w:hint="eastAsia" w:ascii="宋体" w:hAnsi="宋体"/>
          <w:sz w:val="24"/>
        </w:rPr>
        <w:t>责任公司</w:t>
      </w:r>
    </w:p>
    <w:p>
      <w:pPr>
        <w:adjustRightInd w:val="0"/>
        <w:snapToGrid w:val="0"/>
        <w:spacing w:line="460" w:lineRule="exact"/>
        <w:ind w:firstLine="480" w:firstLineChars="200"/>
        <w:rPr>
          <w:rFonts w:ascii="宋体" w:hAnsi="宋体"/>
          <w:sz w:val="24"/>
        </w:rPr>
      </w:pPr>
      <w:r>
        <w:rPr>
          <w:rFonts w:hint="eastAsia" w:ascii="宋体" w:hAnsi="宋体"/>
          <w:sz w:val="24"/>
        </w:rPr>
        <w:t>法定代表人：林栩</w:t>
      </w:r>
    </w:p>
    <w:p>
      <w:pPr>
        <w:adjustRightInd w:val="0"/>
        <w:snapToGrid w:val="0"/>
        <w:spacing w:line="460" w:lineRule="exact"/>
        <w:ind w:firstLine="480" w:firstLineChars="200"/>
        <w:rPr>
          <w:rFonts w:ascii="宋体" w:hAnsi="宋体"/>
          <w:sz w:val="24"/>
        </w:rPr>
      </w:pPr>
      <w:r>
        <w:rPr>
          <w:rFonts w:hint="eastAsia" w:ascii="宋体" w:hAnsi="宋体"/>
          <w:sz w:val="24"/>
        </w:rPr>
        <w:t>住      所：福州市湖东路152号中山大厦B座11层</w:t>
      </w:r>
    </w:p>
    <w:p>
      <w:pPr>
        <w:adjustRightInd w:val="0"/>
        <w:snapToGrid w:val="0"/>
        <w:spacing w:line="460" w:lineRule="exact"/>
        <w:ind w:firstLine="480" w:firstLineChars="200"/>
        <w:rPr>
          <w:rFonts w:ascii="宋体" w:hAnsi="宋体"/>
          <w:sz w:val="24"/>
        </w:rPr>
      </w:pPr>
      <w:r>
        <w:rPr>
          <w:rFonts w:hint="eastAsia" w:ascii="宋体" w:hAnsi="宋体"/>
          <w:sz w:val="24"/>
        </w:rPr>
        <w:t>房地产估价机构备案等级：一级</w:t>
      </w:r>
    </w:p>
    <w:p>
      <w:pPr>
        <w:adjustRightInd w:val="0"/>
        <w:snapToGrid w:val="0"/>
        <w:spacing w:line="460" w:lineRule="exact"/>
        <w:ind w:firstLine="480" w:firstLineChars="200"/>
        <w:rPr>
          <w:rFonts w:ascii="宋体" w:hAnsi="宋体"/>
          <w:sz w:val="24"/>
        </w:rPr>
      </w:pPr>
      <w:r>
        <w:rPr>
          <w:rFonts w:hint="eastAsia" w:ascii="宋体" w:hAnsi="宋体"/>
          <w:sz w:val="24"/>
        </w:rPr>
        <w:t>证书编号：352017006</w:t>
      </w:r>
    </w:p>
    <w:p>
      <w:pPr>
        <w:adjustRightInd w:val="0"/>
        <w:snapToGrid w:val="0"/>
        <w:spacing w:line="460" w:lineRule="exact"/>
        <w:ind w:firstLine="480" w:firstLineChars="200"/>
        <w:rPr>
          <w:rFonts w:ascii="宋体" w:hAnsi="宋体"/>
          <w:sz w:val="24"/>
        </w:rPr>
      </w:pPr>
      <w:bookmarkStart w:id="95" w:name="_Toc408237880"/>
      <w:r>
        <w:rPr>
          <w:rFonts w:hint="eastAsia" w:ascii="宋体" w:hAnsi="宋体"/>
          <w:sz w:val="24"/>
        </w:rPr>
        <w:t>有效期限：20</w:t>
      </w:r>
      <w:r>
        <w:rPr>
          <w:rFonts w:ascii="宋体" w:hAnsi="宋体"/>
          <w:sz w:val="24"/>
        </w:rPr>
        <w:t>20</w:t>
      </w:r>
      <w:r>
        <w:rPr>
          <w:rFonts w:hint="eastAsia" w:ascii="宋体" w:hAnsi="宋体"/>
          <w:sz w:val="24"/>
        </w:rPr>
        <w:t>年</w:t>
      </w:r>
      <w:r>
        <w:rPr>
          <w:rFonts w:ascii="宋体" w:hAnsi="宋体"/>
          <w:sz w:val="24"/>
        </w:rPr>
        <w:t>8</w:t>
      </w:r>
      <w:r>
        <w:rPr>
          <w:rFonts w:hint="eastAsia" w:ascii="宋体" w:hAnsi="宋体"/>
          <w:sz w:val="24"/>
        </w:rPr>
        <w:t>月</w:t>
      </w:r>
      <w:r>
        <w:rPr>
          <w:rFonts w:ascii="宋体" w:hAnsi="宋体"/>
          <w:sz w:val="24"/>
        </w:rPr>
        <w:t>20</w:t>
      </w:r>
      <w:r>
        <w:rPr>
          <w:rFonts w:hint="eastAsia" w:ascii="宋体" w:hAnsi="宋体"/>
          <w:sz w:val="24"/>
        </w:rPr>
        <w:t>日至202</w:t>
      </w:r>
      <w:r>
        <w:rPr>
          <w:rFonts w:ascii="宋体" w:hAnsi="宋体"/>
          <w:sz w:val="24"/>
        </w:rPr>
        <w:t>3</w:t>
      </w:r>
      <w:r>
        <w:rPr>
          <w:rFonts w:hint="eastAsia" w:ascii="宋体" w:hAnsi="宋体"/>
          <w:sz w:val="24"/>
        </w:rPr>
        <w:t>年</w:t>
      </w:r>
      <w:r>
        <w:rPr>
          <w:rFonts w:ascii="宋体" w:hAnsi="宋体"/>
          <w:sz w:val="24"/>
        </w:rPr>
        <w:t>8</w:t>
      </w:r>
      <w:r>
        <w:rPr>
          <w:rFonts w:hint="eastAsia" w:ascii="宋体" w:hAnsi="宋体"/>
          <w:sz w:val="24"/>
        </w:rPr>
        <w:t>月</w:t>
      </w:r>
      <w:r>
        <w:rPr>
          <w:rFonts w:ascii="宋体" w:hAnsi="宋体"/>
          <w:sz w:val="24"/>
        </w:rPr>
        <w:t>19</w:t>
      </w:r>
      <w:r>
        <w:rPr>
          <w:rFonts w:hint="eastAsia" w:ascii="宋体" w:hAnsi="宋体"/>
          <w:sz w:val="24"/>
        </w:rPr>
        <w:t>日</w:t>
      </w:r>
      <w:bookmarkEnd w:id="95"/>
    </w:p>
    <w:p>
      <w:pPr>
        <w:adjustRightInd w:val="0"/>
        <w:snapToGrid w:val="0"/>
        <w:spacing w:line="460" w:lineRule="exact"/>
        <w:ind w:firstLine="480" w:firstLineChars="200"/>
        <w:rPr>
          <w:rFonts w:ascii="宋体" w:hAnsi="宋体"/>
          <w:sz w:val="24"/>
        </w:rPr>
      </w:pPr>
      <w:r>
        <w:rPr>
          <w:rFonts w:hint="eastAsia" w:ascii="宋体" w:hAnsi="宋体"/>
          <w:sz w:val="24"/>
        </w:rPr>
        <w:t>统一社会信用代码：91350000158148072C</w:t>
      </w:r>
    </w:p>
    <w:bookmarkEnd w:id="92"/>
    <w:p>
      <w:pPr>
        <w:snapToGrid w:val="0"/>
        <w:spacing w:line="460" w:lineRule="exact"/>
        <w:ind w:firstLine="482" w:firstLineChars="200"/>
        <w:outlineLvl w:val="1"/>
        <w:rPr>
          <w:rFonts w:ascii="宋体" w:hAnsi="宋体"/>
          <w:b/>
          <w:bCs/>
          <w:sz w:val="24"/>
        </w:rPr>
      </w:pPr>
      <w:bookmarkStart w:id="96" w:name="_Toc16483"/>
      <w:r>
        <w:rPr>
          <w:rFonts w:hint="eastAsia" w:ascii="宋体" w:hAnsi="宋体"/>
          <w:b/>
          <w:bCs/>
          <w:sz w:val="24"/>
        </w:rPr>
        <w:t>三、估价目的</w:t>
      </w:r>
      <w:bookmarkEnd w:id="90"/>
      <w:bookmarkEnd w:id="96"/>
    </w:p>
    <w:p>
      <w:pPr>
        <w:snapToGrid w:val="0"/>
        <w:spacing w:line="460" w:lineRule="exact"/>
        <w:ind w:firstLine="480" w:firstLineChars="200"/>
        <w:rPr>
          <w:rFonts w:ascii="宋体" w:hAnsi="宋体"/>
          <w:sz w:val="24"/>
        </w:rPr>
      </w:pPr>
      <w:r>
        <w:rPr>
          <w:rFonts w:hint="eastAsia" w:ascii="宋体" w:hAnsi="宋体"/>
          <w:sz w:val="24"/>
        </w:rPr>
        <w:t>为人民法院确定财产处置参考价提供参考依据。</w:t>
      </w:r>
    </w:p>
    <w:p>
      <w:pPr>
        <w:snapToGrid w:val="0"/>
        <w:spacing w:line="460" w:lineRule="exact"/>
        <w:ind w:firstLine="482" w:firstLineChars="200"/>
        <w:outlineLvl w:val="1"/>
        <w:rPr>
          <w:rFonts w:ascii="宋体" w:hAnsi="宋体"/>
          <w:b/>
          <w:bCs/>
          <w:sz w:val="24"/>
        </w:rPr>
      </w:pPr>
      <w:bookmarkStart w:id="97" w:name="_Toc282502408"/>
      <w:bookmarkStart w:id="98" w:name="_Toc384126361"/>
      <w:bookmarkStart w:id="99" w:name="_Toc18626"/>
      <w:bookmarkStart w:id="100" w:name="_Toc282502409"/>
      <w:r>
        <w:rPr>
          <w:rFonts w:hint="eastAsia" w:ascii="宋体" w:hAnsi="宋体"/>
          <w:b/>
          <w:bCs/>
          <w:sz w:val="24"/>
        </w:rPr>
        <w:t>四、估价对象</w:t>
      </w:r>
      <w:bookmarkEnd w:id="97"/>
      <w:bookmarkEnd w:id="98"/>
      <w:bookmarkEnd w:id="99"/>
    </w:p>
    <w:p>
      <w:pPr>
        <w:pStyle w:val="9"/>
        <w:tabs>
          <w:tab w:val="left" w:pos="840"/>
          <w:tab w:val="left" w:pos="1554"/>
          <w:tab w:val="left" w:pos="2520"/>
        </w:tabs>
        <w:topLinePunct/>
        <w:snapToGrid w:val="0"/>
        <w:spacing w:line="460" w:lineRule="exact"/>
        <w:ind w:firstLine="482" w:firstLineChars="200"/>
        <w:rPr>
          <w:rFonts w:hAnsi="宋体"/>
          <w:b/>
          <w:bCs/>
          <w:sz w:val="24"/>
        </w:rPr>
      </w:pPr>
      <w:r>
        <w:rPr>
          <w:rFonts w:hint="eastAsia" w:hAnsi="宋体"/>
          <w:b/>
          <w:bCs/>
          <w:sz w:val="24"/>
        </w:rPr>
        <w:t>（一）估价对象财产范围</w:t>
      </w:r>
    </w:p>
    <w:p>
      <w:pPr>
        <w:pStyle w:val="9"/>
        <w:tabs>
          <w:tab w:val="left" w:pos="840"/>
          <w:tab w:val="left" w:pos="1554"/>
          <w:tab w:val="left" w:pos="2520"/>
        </w:tabs>
        <w:snapToGrid w:val="0"/>
        <w:spacing w:line="460" w:lineRule="exact"/>
        <w:ind w:firstLine="480" w:firstLineChars="200"/>
        <w:rPr>
          <w:rFonts w:hAnsi="宋体"/>
          <w:sz w:val="24"/>
        </w:rPr>
      </w:pPr>
      <w:bookmarkStart w:id="101" w:name="_Hlk99059994"/>
      <w:r>
        <w:rPr>
          <w:rFonts w:hint="eastAsia" w:hAnsi="宋体"/>
          <w:sz w:val="24"/>
        </w:rPr>
        <w:t>本次估价对象财产范围包括建筑物（含室内二次装修）和土地使用权（含土地出让金）,包括宗地红线范围内水、电、通信等配套基础设施，不包括家电、家具等动产，也不包括债权债务等权益。</w:t>
      </w:r>
    </w:p>
    <w:bookmarkEnd w:id="101"/>
    <w:p>
      <w:pPr>
        <w:pStyle w:val="9"/>
        <w:tabs>
          <w:tab w:val="left" w:pos="840"/>
          <w:tab w:val="left" w:pos="1554"/>
          <w:tab w:val="left" w:pos="2520"/>
        </w:tabs>
        <w:topLinePunct/>
        <w:snapToGrid w:val="0"/>
        <w:spacing w:line="460" w:lineRule="exact"/>
        <w:ind w:firstLine="482" w:firstLineChars="200"/>
        <w:rPr>
          <w:rFonts w:hAnsi="宋体"/>
          <w:b/>
          <w:bCs/>
          <w:sz w:val="24"/>
        </w:rPr>
      </w:pPr>
      <w:r>
        <w:rPr>
          <w:rFonts w:hint="eastAsia" w:hAnsi="宋体"/>
          <w:b/>
          <w:bCs/>
          <w:sz w:val="24"/>
        </w:rPr>
        <w:t>（二）估价对象基本状况</w:t>
      </w:r>
    </w:p>
    <w:p>
      <w:pPr>
        <w:pStyle w:val="9"/>
        <w:tabs>
          <w:tab w:val="left" w:pos="840"/>
          <w:tab w:val="left" w:pos="1554"/>
          <w:tab w:val="left" w:pos="2520"/>
        </w:tabs>
        <w:snapToGrid w:val="0"/>
        <w:spacing w:line="460" w:lineRule="exact"/>
        <w:ind w:firstLine="480" w:firstLineChars="200"/>
        <w:rPr>
          <w:rFonts w:hAnsi="宋体"/>
          <w:sz w:val="24"/>
          <w:szCs w:val="24"/>
        </w:rPr>
      </w:pPr>
      <w:bookmarkStart w:id="102" w:name="_Hlk99059953"/>
      <w:r>
        <w:rPr>
          <w:rFonts w:hint="eastAsia" w:hAnsi="宋体"/>
          <w:sz w:val="24"/>
        </w:rPr>
        <w:t>1.名称：</w:t>
      </w:r>
      <w:r>
        <w:rPr>
          <w:rFonts w:hint="eastAsia" w:hAnsi="宋体"/>
          <w:sz w:val="24"/>
          <w:szCs w:val="24"/>
        </w:rPr>
        <w:t>福建省福州市台江区宁化街道西环南路39号正荣·润城3#楼2004复式单元住宅房地产。</w:t>
      </w:r>
    </w:p>
    <w:p>
      <w:pPr>
        <w:pStyle w:val="9"/>
        <w:tabs>
          <w:tab w:val="left" w:pos="840"/>
          <w:tab w:val="left" w:pos="1554"/>
          <w:tab w:val="left" w:pos="2520"/>
        </w:tabs>
        <w:snapToGrid w:val="0"/>
        <w:spacing w:line="460" w:lineRule="exact"/>
        <w:ind w:firstLine="480" w:firstLineChars="200"/>
        <w:rPr>
          <w:rFonts w:hAnsi="宋体"/>
          <w:sz w:val="24"/>
        </w:rPr>
      </w:pPr>
      <w:r>
        <w:rPr>
          <w:rFonts w:hint="eastAsia" w:hAnsi="宋体"/>
          <w:sz w:val="24"/>
        </w:rPr>
        <w:t>2.坐落：</w:t>
      </w:r>
      <w:r>
        <w:rPr>
          <w:rFonts w:hint="eastAsia" w:hAnsi="宋体"/>
          <w:sz w:val="24"/>
          <w:szCs w:val="24"/>
        </w:rPr>
        <w:t>福建省福州市台江区宁化街道西环南路39号</w:t>
      </w:r>
      <w:r>
        <w:rPr>
          <w:rFonts w:hint="eastAsia" w:hAnsi="宋体"/>
          <w:sz w:val="24"/>
        </w:rPr>
        <w:t>，具体位置见附件二：估价对象位置图。</w:t>
      </w:r>
    </w:p>
    <w:p>
      <w:pPr>
        <w:pStyle w:val="9"/>
        <w:tabs>
          <w:tab w:val="left" w:pos="1554"/>
          <w:tab w:val="left" w:pos="2520"/>
        </w:tabs>
        <w:adjustRightInd w:val="0"/>
        <w:snapToGrid w:val="0"/>
        <w:spacing w:line="460" w:lineRule="exact"/>
        <w:ind w:firstLine="480" w:firstLineChars="200"/>
        <w:rPr>
          <w:rFonts w:hAnsi="宋体"/>
          <w:sz w:val="24"/>
        </w:rPr>
      </w:pPr>
      <w:r>
        <w:rPr>
          <w:rFonts w:hint="eastAsia" w:hAnsi="宋体"/>
          <w:sz w:val="24"/>
        </w:rPr>
        <w:t>3.规模：估价对象建筑面积为109.24㎡（套内建筑面积9</w:t>
      </w:r>
      <w:r>
        <w:rPr>
          <w:rFonts w:hAnsi="宋体"/>
          <w:sz w:val="24"/>
        </w:rPr>
        <w:t>0.15</w:t>
      </w:r>
      <w:r>
        <w:rPr>
          <w:rFonts w:hint="eastAsia" w:hAnsi="宋体"/>
          <w:sz w:val="24"/>
        </w:rPr>
        <w:t>㎡、分摊共有面积1</w:t>
      </w:r>
      <w:r>
        <w:rPr>
          <w:rFonts w:hAnsi="宋体"/>
          <w:sz w:val="24"/>
        </w:rPr>
        <w:t>9.09</w:t>
      </w:r>
      <w:r>
        <w:rPr>
          <w:rFonts w:hint="eastAsia" w:hAnsi="宋体"/>
          <w:sz w:val="24"/>
        </w:rPr>
        <w:t>㎡）</w:t>
      </w:r>
    </w:p>
    <w:p>
      <w:pPr>
        <w:pStyle w:val="9"/>
        <w:tabs>
          <w:tab w:val="left" w:pos="1554"/>
          <w:tab w:val="left" w:pos="2520"/>
        </w:tabs>
        <w:adjustRightInd w:val="0"/>
        <w:snapToGrid w:val="0"/>
        <w:spacing w:line="460" w:lineRule="exact"/>
        <w:ind w:firstLine="480" w:firstLineChars="200"/>
        <w:rPr>
          <w:rFonts w:hAnsi="宋体"/>
          <w:sz w:val="24"/>
        </w:rPr>
      </w:pPr>
      <w:r>
        <w:rPr>
          <w:rFonts w:hint="eastAsia" w:hAnsi="宋体"/>
          <w:sz w:val="24"/>
        </w:rPr>
        <w:t>4.用途：估价对象实际用途为住宅用房。</w:t>
      </w:r>
    </w:p>
    <w:p>
      <w:pPr>
        <w:pStyle w:val="9"/>
        <w:tabs>
          <w:tab w:val="left" w:pos="840"/>
          <w:tab w:val="left" w:pos="1554"/>
          <w:tab w:val="left" w:pos="2520"/>
        </w:tabs>
        <w:snapToGrid w:val="0"/>
        <w:spacing w:line="460" w:lineRule="exact"/>
        <w:ind w:firstLine="480" w:firstLineChars="200"/>
        <w:rPr>
          <w:rFonts w:hAnsi="宋体"/>
          <w:sz w:val="24"/>
        </w:rPr>
      </w:pPr>
      <w:r>
        <w:rPr>
          <w:rFonts w:hint="eastAsia" w:hAnsi="宋体"/>
          <w:sz w:val="24"/>
        </w:rPr>
        <w:t>5.权属：</w:t>
      </w:r>
    </w:p>
    <w:p>
      <w:pPr>
        <w:pStyle w:val="9"/>
        <w:tabs>
          <w:tab w:val="left" w:pos="840"/>
          <w:tab w:val="left" w:pos="1554"/>
          <w:tab w:val="left" w:pos="2520"/>
        </w:tabs>
        <w:snapToGrid w:val="0"/>
        <w:spacing w:line="460" w:lineRule="exact"/>
        <w:ind w:firstLine="480" w:firstLineChars="200"/>
        <w:rPr>
          <w:rFonts w:hAnsi="宋体"/>
          <w:sz w:val="24"/>
        </w:rPr>
      </w:pPr>
      <w:r>
        <w:rPr>
          <w:rFonts w:hint="eastAsia" w:hAnsi="宋体"/>
          <w:sz w:val="24"/>
        </w:rPr>
        <w:t>（1）</w:t>
      </w:r>
      <w:bookmarkStart w:id="103" w:name="_Hlk88390225"/>
      <w:r>
        <w:rPr>
          <w:rFonts w:hint="eastAsia" w:hAnsi="宋体"/>
          <w:sz w:val="24"/>
        </w:rPr>
        <w:t>不动产权属状况</w:t>
      </w:r>
      <w:bookmarkEnd w:id="103"/>
      <w:r>
        <w:rPr>
          <w:rFonts w:hint="eastAsia" w:hAnsi="宋体"/>
          <w:sz w:val="24"/>
        </w:rPr>
        <w:t>：</w:t>
      </w:r>
      <w:sdt>
        <w:sdtPr>
          <w:rPr>
            <w:rFonts w:hint="eastAsia" w:hAnsi="宋体"/>
            <w:sz w:val="24"/>
          </w:rPr>
          <w:id w:val="-164326116"/>
          <w:placeholder>
            <w:docPart w:val="25438061ADEB4F0698D4DD9A05DD6C84"/>
          </w:placeholder>
          <w:dropDownList>
            <w:listItem w:displayText="截止至价值时点，估价对象已办理不动产权登记" w:value="截止至价值时点，估价对象已办理不动产权登记"/>
            <w:listItem w:value="截止至价值时点，估价对象未办理不动产权初始登记"/>
          </w:dropDownList>
        </w:sdtPr>
        <w:sdtEndPr>
          <w:rPr>
            <w:rFonts w:hint="eastAsia" w:hAnsi="宋体"/>
            <w:sz w:val="24"/>
          </w:rPr>
        </w:sdtEndPr>
        <w:sdtContent>
          <w:r>
            <w:rPr>
              <w:rFonts w:hint="eastAsia" w:hAnsi="宋体"/>
              <w:sz w:val="24"/>
            </w:rPr>
            <w:t>截止至价值时点，估价对象已办理不动产权登记</w:t>
          </w:r>
        </w:sdtContent>
      </w:sdt>
      <w:r>
        <w:rPr>
          <w:rFonts w:hint="eastAsia" w:hAnsi="宋体"/>
          <w:sz w:val="24"/>
        </w:rPr>
        <w:t>；根据估价委托人提供的</w:t>
      </w:r>
      <w:r>
        <w:rPr>
          <w:rFonts w:hint="eastAsia" w:hAnsi="宋体"/>
          <w:sz w:val="24"/>
          <w:szCs w:val="24"/>
        </w:rPr>
        <w:t>（202</w:t>
      </w:r>
      <w:r>
        <w:rPr>
          <w:rFonts w:hAnsi="宋体"/>
          <w:sz w:val="24"/>
          <w:szCs w:val="24"/>
        </w:rPr>
        <w:t>2</w:t>
      </w:r>
      <w:r>
        <w:rPr>
          <w:rFonts w:hint="eastAsia" w:hAnsi="宋体"/>
          <w:sz w:val="24"/>
          <w:szCs w:val="24"/>
        </w:rPr>
        <w:t>）闽</w:t>
      </w:r>
      <w:r>
        <w:rPr>
          <w:rFonts w:hAnsi="宋体"/>
          <w:sz w:val="24"/>
          <w:szCs w:val="24"/>
        </w:rPr>
        <w:t>0121</w:t>
      </w:r>
      <w:r>
        <w:rPr>
          <w:rFonts w:hint="eastAsia" w:hAnsi="宋体"/>
          <w:sz w:val="24"/>
          <w:szCs w:val="24"/>
        </w:rPr>
        <w:t>执恢</w:t>
      </w:r>
      <w:r>
        <w:rPr>
          <w:rFonts w:hAnsi="宋体"/>
          <w:sz w:val="24"/>
          <w:szCs w:val="24"/>
        </w:rPr>
        <w:t>506</w:t>
      </w:r>
      <w:r>
        <w:rPr>
          <w:rFonts w:hint="eastAsia" w:hAnsi="宋体"/>
          <w:sz w:val="24"/>
          <w:szCs w:val="24"/>
        </w:rPr>
        <w:t>号《福建省闽侯县人民法院评估委托书》</w:t>
      </w:r>
      <w:r>
        <w:rPr>
          <w:rFonts w:hint="eastAsia" w:hAnsi="宋体"/>
          <w:sz w:val="24"/>
        </w:rPr>
        <w:t>及</w:t>
      </w:r>
      <w:r>
        <w:rPr>
          <w:rFonts w:hint="eastAsia" w:hAnsi="宋体"/>
          <w:sz w:val="24"/>
          <w:szCs w:val="24"/>
        </w:rPr>
        <w:t>《房屋登记簿》（房屋编号：</w:t>
      </w:r>
      <w:r>
        <w:rPr>
          <w:rFonts w:hAnsi="宋体"/>
          <w:sz w:val="24"/>
          <w:szCs w:val="24"/>
        </w:rPr>
        <w:t>978701</w:t>
      </w:r>
      <w:r>
        <w:rPr>
          <w:rFonts w:hint="eastAsia" w:hAnsi="宋体"/>
          <w:sz w:val="24"/>
          <w:szCs w:val="24"/>
        </w:rPr>
        <w:t>）、《不动产登记簿附件（所有权）》（不动产编号：9</w:t>
      </w:r>
      <w:r>
        <w:rPr>
          <w:rFonts w:hAnsi="宋体"/>
          <w:sz w:val="24"/>
          <w:szCs w:val="24"/>
        </w:rPr>
        <w:t>78701</w:t>
      </w:r>
      <w:r>
        <w:rPr>
          <w:rFonts w:hint="eastAsia" w:hAnsi="宋体"/>
          <w:sz w:val="24"/>
          <w:szCs w:val="24"/>
        </w:rPr>
        <w:t>）</w:t>
      </w:r>
      <w:r>
        <w:rPr>
          <w:rFonts w:hint="eastAsia" w:hAnsi="宋体"/>
          <w:sz w:val="24"/>
        </w:rPr>
        <w:t>复印件，估价对象不动产</w:t>
      </w:r>
      <w:sdt>
        <w:sdtPr>
          <w:rPr>
            <w:rFonts w:hint="eastAsia" w:hAnsi="宋体"/>
            <w:sz w:val="24"/>
            <w:szCs w:val="24"/>
          </w:rPr>
          <w:id w:val="1339417393"/>
          <w:placeholder>
            <w:docPart w:val="173EEB808BE7408F94D6BBAE43E1F990"/>
          </w:placeholder>
          <w:dropDownList>
            <w:listItem w:value="选择一项。"/>
            <w:listItem w:displayText="权利人" w:value="权利人"/>
            <w:listItem w:displayText="开发建设单位" w:value="开发建设单位"/>
          </w:dropDownList>
        </w:sdtPr>
        <w:sdtEndPr>
          <w:rPr>
            <w:rFonts w:hint="eastAsia" w:hAnsi="宋体"/>
            <w:sz w:val="24"/>
            <w:szCs w:val="24"/>
          </w:rPr>
        </w:sdtEndPr>
        <w:sdtContent>
          <w:r>
            <w:rPr>
              <w:rFonts w:hint="eastAsia" w:hAnsi="宋体"/>
              <w:sz w:val="24"/>
              <w:szCs w:val="24"/>
            </w:rPr>
            <w:t>权利人</w:t>
          </w:r>
        </w:sdtContent>
      </w:sdt>
      <w:r>
        <w:rPr>
          <w:rFonts w:hint="eastAsia" w:hAnsi="宋体"/>
          <w:sz w:val="24"/>
          <w:szCs w:val="24"/>
        </w:rPr>
        <w:t>为</w:t>
      </w:r>
      <w:r>
        <w:rPr>
          <w:rFonts w:hint="eastAsia" w:hAnsi="宋体"/>
          <w:sz w:val="24"/>
        </w:rPr>
        <w:t>阎鹏宇，共有情况为</w:t>
      </w:r>
      <w:bookmarkStart w:id="104" w:name="_Hlk99057384"/>
      <w:r>
        <w:rPr>
          <w:rFonts w:hint="eastAsia" w:hAnsi="宋体"/>
          <w:sz w:val="24"/>
        </w:rPr>
        <w:t>单独所有</w:t>
      </w:r>
      <w:bookmarkEnd w:id="104"/>
      <w:r>
        <w:rPr>
          <w:rFonts w:hint="eastAsia" w:hAnsi="宋体"/>
          <w:sz w:val="24"/>
        </w:rPr>
        <w:t>。</w:t>
      </w:r>
      <w:r>
        <w:rPr>
          <w:rFonts w:hint="eastAsia" w:hAnsi="宋体"/>
          <w:sz w:val="24"/>
          <w:szCs w:val="22"/>
        </w:rPr>
        <w:t>不动产取得方式：买卖，土地使用权类型（取得方式）：出让。</w:t>
      </w:r>
    </w:p>
    <w:bookmarkEnd w:id="102"/>
    <w:p>
      <w:pPr>
        <w:pStyle w:val="9"/>
        <w:tabs>
          <w:tab w:val="left" w:pos="840"/>
          <w:tab w:val="left" w:pos="1554"/>
          <w:tab w:val="left" w:pos="2520"/>
        </w:tabs>
        <w:snapToGrid w:val="0"/>
        <w:spacing w:line="460" w:lineRule="exact"/>
        <w:ind w:firstLine="480" w:firstLineChars="200"/>
        <w:rPr>
          <w:rFonts w:hAnsi="宋体"/>
          <w:sz w:val="24"/>
          <w:szCs w:val="22"/>
        </w:rPr>
      </w:pPr>
      <w:bookmarkStart w:id="105" w:name="_Hlk99059921"/>
      <w:r>
        <w:rPr>
          <w:rFonts w:hint="eastAsia" w:hAnsi="宋体"/>
          <w:sz w:val="24"/>
          <w:szCs w:val="22"/>
        </w:rPr>
        <w:t>（2）他项权利状况：</w:t>
      </w:r>
      <w:bookmarkStart w:id="106" w:name="估价对象—他项权利状况"/>
      <w:sdt>
        <w:sdtPr>
          <w:rPr>
            <w:rFonts w:hint="eastAsia" w:hAnsi="宋体"/>
            <w:sz w:val="24"/>
          </w:rPr>
          <w:id w:val="1733123456"/>
          <w:placeholder>
            <w:docPart w:val="DefaultPlaceholder_-1854013438"/>
          </w:placeholder>
          <w:comboBox>
            <w:listItem w:displayText="估价对象已设立抵押权，已被查封" w:value="估价对象已设立抵押权，已被查封"/>
            <w:listItem w:displayText="估价对象已被查封" w:value="估价对象已被查封"/>
          </w:comboBox>
        </w:sdtPr>
        <w:sdtEndPr>
          <w:rPr>
            <w:rFonts w:hint="eastAsia" w:hAnsi="宋体"/>
            <w:sz w:val="24"/>
          </w:rPr>
        </w:sdtEndPr>
        <w:sdtContent>
          <w:r>
            <w:rPr>
              <w:rFonts w:hint="eastAsia" w:hAnsi="宋体"/>
              <w:sz w:val="24"/>
            </w:rPr>
            <w:t>估价对象已设立抵押权，已被查封</w:t>
          </w:r>
        </w:sdtContent>
      </w:sdt>
      <w:bookmarkEnd w:id="106"/>
      <w:r>
        <w:rPr>
          <w:rFonts w:hint="eastAsia" w:hAnsi="宋体"/>
          <w:sz w:val="24"/>
        </w:rPr>
        <w:t>。</w:t>
      </w:r>
    </w:p>
    <w:bookmarkEnd w:id="105"/>
    <w:p>
      <w:pPr>
        <w:pStyle w:val="9"/>
        <w:tabs>
          <w:tab w:val="left" w:pos="840"/>
          <w:tab w:val="left" w:pos="1554"/>
          <w:tab w:val="left" w:pos="2520"/>
        </w:tabs>
        <w:topLinePunct/>
        <w:snapToGrid w:val="0"/>
        <w:spacing w:line="460" w:lineRule="exact"/>
        <w:ind w:firstLine="482" w:firstLineChars="200"/>
        <w:rPr>
          <w:rFonts w:hAnsi="宋体"/>
          <w:b/>
          <w:bCs/>
          <w:sz w:val="24"/>
        </w:rPr>
      </w:pPr>
      <w:r>
        <w:rPr>
          <w:rFonts w:hint="eastAsia" w:hAnsi="宋体"/>
          <w:b/>
          <w:bCs/>
          <w:sz w:val="24"/>
        </w:rPr>
        <w:t>（三）土地基本状况</w:t>
      </w:r>
    </w:p>
    <w:p>
      <w:pPr>
        <w:pStyle w:val="9"/>
        <w:tabs>
          <w:tab w:val="left" w:pos="840"/>
          <w:tab w:val="left" w:pos="1554"/>
          <w:tab w:val="left" w:pos="2520"/>
        </w:tabs>
        <w:snapToGrid w:val="0"/>
        <w:spacing w:line="460" w:lineRule="exact"/>
        <w:ind w:firstLine="480" w:firstLineChars="200"/>
        <w:rPr>
          <w:rFonts w:hAnsi="宋体"/>
          <w:sz w:val="24"/>
          <w:szCs w:val="22"/>
        </w:rPr>
      </w:pPr>
      <w:r>
        <w:rPr>
          <w:rFonts w:hint="eastAsia" w:hAnsi="宋体"/>
          <w:sz w:val="24"/>
          <w:szCs w:val="22"/>
        </w:rPr>
        <w:t>1.四至：北至福州市宁化小学；南至宁化支路；东至宁化新村；西至西二环南路。</w:t>
      </w:r>
    </w:p>
    <w:p>
      <w:pPr>
        <w:pStyle w:val="9"/>
        <w:tabs>
          <w:tab w:val="left" w:pos="840"/>
          <w:tab w:val="left" w:pos="1554"/>
          <w:tab w:val="left" w:pos="2520"/>
        </w:tabs>
        <w:snapToGrid w:val="0"/>
        <w:spacing w:line="460" w:lineRule="exact"/>
        <w:ind w:firstLine="480" w:firstLineChars="200"/>
        <w:rPr>
          <w:rFonts w:hAnsi="宋体"/>
          <w:sz w:val="24"/>
          <w:szCs w:val="22"/>
        </w:rPr>
      </w:pPr>
      <w:r>
        <w:rPr>
          <w:rFonts w:hint="eastAsia" w:hAnsi="宋体"/>
          <w:sz w:val="24"/>
          <w:szCs w:val="22"/>
        </w:rPr>
        <w:t>2.土地使用年限：</w:t>
      </w:r>
      <w:r>
        <w:rPr>
          <w:rFonts w:hAnsi="宋体"/>
          <w:sz w:val="24"/>
          <w:szCs w:val="24"/>
        </w:rPr>
        <w:t>土地使用年限</w:t>
      </w:r>
      <w:r>
        <w:rPr>
          <w:rFonts w:hint="eastAsia" w:hAnsi="宋体"/>
          <w:sz w:val="24"/>
          <w:szCs w:val="24"/>
        </w:rPr>
        <w:t>终止日期不详</w:t>
      </w:r>
      <w:r>
        <w:rPr>
          <w:rFonts w:hint="eastAsia" w:hAnsi="宋体"/>
          <w:sz w:val="24"/>
          <w:szCs w:val="22"/>
        </w:rPr>
        <w:t>。</w:t>
      </w:r>
    </w:p>
    <w:p>
      <w:pPr>
        <w:pStyle w:val="9"/>
        <w:tabs>
          <w:tab w:val="left" w:pos="840"/>
          <w:tab w:val="left" w:pos="1554"/>
          <w:tab w:val="left" w:pos="2520"/>
        </w:tabs>
        <w:snapToGrid w:val="0"/>
        <w:spacing w:line="460" w:lineRule="exact"/>
        <w:ind w:firstLine="480" w:firstLineChars="200"/>
        <w:rPr>
          <w:rFonts w:hAnsi="宋体"/>
          <w:sz w:val="24"/>
          <w:szCs w:val="22"/>
        </w:rPr>
      </w:pPr>
      <w:r>
        <w:rPr>
          <w:rFonts w:hint="eastAsia" w:hAnsi="宋体"/>
          <w:sz w:val="24"/>
          <w:szCs w:val="22"/>
        </w:rPr>
        <w:t>3.规划条件：具体规划条件不详。</w:t>
      </w:r>
    </w:p>
    <w:p>
      <w:pPr>
        <w:pStyle w:val="9"/>
        <w:tabs>
          <w:tab w:val="left" w:pos="840"/>
          <w:tab w:val="left" w:pos="1554"/>
          <w:tab w:val="left" w:pos="2520"/>
        </w:tabs>
        <w:snapToGrid w:val="0"/>
        <w:spacing w:line="460" w:lineRule="exact"/>
        <w:ind w:firstLine="480" w:firstLineChars="200"/>
        <w:rPr>
          <w:rFonts w:hAnsi="宋体"/>
          <w:sz w:val="24"/>
          <w:szCs w:val="22"/>
        </w:rPr>
      </w:pPr>
      <w:r>
        <w:rPr>
          <w:rFonts w:hint="eastAsia" w:hAnsi="宋体"/>
          <w:sz w:val="24"/>
          <w:szCs w:val="22"/>
        </w:rPr>
        <w:t>4.土地级别：估价对象所在用地地处福州市二级住宅用地范围。</w:t>
      </w:r>
    </w:p>
    <w:p>
      <w:pPr>
        <w:pStyle w:val="9"/>
        <w:tabs>
          <w:tab w:val="left" w:pos="840"/>
          <w:tab w:val="left" w:pos="1554"/>
          <w:tab w:val="left" w:pos="2520"/>
        </w:tabs>
        <w:snapToGrid w:val="0"/>
        <w:spacing w:line="460" w:lineRule="exact"/>
        <w:ind w:firstLine="480" w:firstLineChars="200"/>
        <w:rPr>
          <w:rFonts w:hAnsi="宋体"/>
          <w:sz w:val="24"/>
          <w:szCs w:val="22"/>
        </w:rPr>
      </w:pPr>
      <w:r>
        <w:rPr>
          <w:rFonts w:hint="eastAsia" w:hAnsi="宋体"/>
          <w:sz w:val="24"/>
          <w:szCs w:val="22"/>
        </w:rPr>
        <w:t>5.土地形状：估价对象所在宗地形状较规则。</w:t>
      </w:r>
    </w:p>
    <w:p>
      <w:pPr>
        <w:pStyle w:val="9"/>
        <w:tabs>
          <w:tab w:val="left" w:pos="840"/>
          <w:tab w:val="left" w:pos="1554"/>
          <w:tab w:val="left" w:pos="2520"/>
        </w:tabs>
        <w:snapToGrid w:val="0"/>
        <w:spacing w:line="460" w:lineRule="exact"/>
        <w:ind w:firstLine="480" w:firstLineChars="200"/>
        <w:rPr>
          <w:rFonts w:hAnsi="宋体"/>
          <w:sz w:val="24"/>
          <w:szCs w:val="22"/>
        </w:rPr>
      </w:pPr>
      <w:r>
        <w:rPr>
          <w:rFonts w:hint="eastAsia" w:hAnsi="宋体"/>
          <w:sz w:val="24"/>
          <w:szCs w:val="22"/>
        </w:rPr>
        <w:t>6.开发程度：</w:t>
      </w:r>
      <w:bookmarkStart w:id="107" w:name="_Hlk24886131"/>
      <w:r>
        <w:rPr>
          <w:rFonts w:hint="eastAsia" w:hAnsi="宋体"/>
          <w:sz w:val="24"/>
          <w:szCs w:val="22"/>
        </w:rPr>
        <w:t>宗地红线内外</w:t>
      </w:r>
      <w:sdt>
        <w:sdtPr>
          <w:rPr>
            <w:rFonts w:hint="eastAsia" w:hAnsi="宋体"/>
            <w:sz w:val="24"/>
            <w:szCs w:val="22"/>
          </w:rPr>
          <w:id w:val="1475109230"/>
          <w:placeholder>
            <w:docPart w:val="1EB9B2F1E4834E0293A06DFD1087A186"/>
          </w:placeholder>
          <w:dropDownList>
            <w:listItem w:value="选择一项。"/>
            <w:listItem w:displayText="“五通”（即通路、通给水、通排水、通电、通讯），宗地上已建有建筑" w:value="“五通”（即通路、通给水、通排水、通电、通讯），宗地上已建有建筑"/>
            <w:listItem w:displayText="“六通”（即：通上水、通下水、通路、通电、通讯、通气），宗地上已有建筑" w:value="“六通”（即：通上水、通下水、通路、通电、通讯、通气），宗地上已有建筑"/>
            <w:listItem w:displayText="“六通”（即：通上水、通下水、通路、通电、通讯、通气），宗地上已建成小区" w:value="“六通”（即：通上水、通下水、通路、通电、通讯、通气），宗地上已建成小区"/>
          </w:dropDownList>
        </w:sdtPr>
        <w:sdtEndPr>
          <w:rPr>
            <w:rFonts w:hint="eastAsia" w:hAnsi="宋体"/>
            <w:sz w:val="24"/>
            <w:szCs w:val="22"/>
          </w:rPr>
        </w:sdtEndPr>
        <w:sdtContent>
          <w:r>
            <w:rPr>
              <w:rFonts w:hint="eastAsia" w:hAnsi="宋体"/>
              <w:sz w:val="24"/>
              <w:szCs w:val="22"/>
            </w:rPr>
            <w:t>“五通”（即通路、通给水、通排水、通电、通讯），宗地上已建有建筑</w:t>
          </w:r>
        </w:sdtContent>
      </w:sdt>
      <w:bookmarkEnd w:id="107"/>
      <w:r>
        <w:rPr>
          <w:rFonts w:hint="eastAsia" w:hAnsi="宋体"/>
          <w:sz w:val="24"/>
          <w:szCs w:val="22"/>
        </w:rPr>
        <w:t>，各项配套设施较齐全。</w:t>
      </w:r>
    </w:p>
    <w:p>
      <w:pPr>
        <w:pStyle w:val="9"/>
        <w:tabs>
          <w:tab w:val="left" w:pos="840"/>
          <w:tab w:val="left" w:pos="1554"/>
          <w:tab w:val="left" w:pos="2520"/>
        </w:tabs>
        <w:topLinePunct/>
        <w:snapToGrid w:val="0"/>
        <w:spacing w:line="460" w:lineRule="exact"/>
        <w:ind w:firstLine="482" w:firstLineChars="200"/>
        <w:rPr>
          <w:rFonts w:hAnsi="宋体"/>
          <w:b/>
          <w:bCs/>
          <w:sz w:val="24"/>
        </w:rPr>
      </w:pPr>
      <w:bookmarkStart w:id="108" w:name="_Hlk99059893"/>
      <w:r>
        <w:rPr>
          <w:rFonts w:hint="eastAsia" w:hAnsi="宋体"/>
          <w:b/>
          <w:bCs/>
          <w:sz w:val="24"/>
        </w:rPr>
        <w:t>（四）建筑物基本状况</w:t>
      </w:r>
    </w:p>
    <w:p>
      <w:pPr>
        <w:pStyle w:val="9"/>
        <w:tabs>
          <w:tab w:val="left" w:pos="840"/>
          <w:tab w:val="left" w:pos="1554"/>
          <w:tab w:val="left" w:pos="2520"/>
        </w:tabs>
        <w:snapToGrid w:val="0"/>
        <w:spacing w:line="460" w:lineRule="exact"/>
        <w:ind w:firstLine="480" w:firstLineChars="200"/>
        <w:rPr>
          <w:rFonts w:hAnsi="宋体"/>
          <w:sz w:val="24"/>
          <w:szCs w:val="22"/>
        </w:rPr>
      </w:pPr>
      <w:bookmarkStart w:id="109" w:name="_Hlk99059773"/>
      <w:r>
        <w:rPr>
          <w:rFonts w:hint="eastAsia" w:hAnsi="宋体"/>
          <w:sz w:val="24"/>
          <w:szCs w:val="22"/>
        </w:rPr>
        <w:t>1.建筑结构：钢混</w:t>
      </w:r>
      <w:r>
        <w:rPr>
          <w:rFonts w:hAnsi="宋体"/>
          <w:sz w:val="24"/>
          <w:szCs w:val="22"/>
        </w:rPr>
        <w:t>结构</w:t>
      </w:r>
      <w:r>
        <w:rPr>
          <w:rFonts w:hint="eastAsia" w:hAnsi="宋体"/>
          <w:sz w:val="24"/>
          <w:szCs w:val="22"/>
        </w:rPr>
        <w:t>。</w:t>
      </w:r>
    </w:p>
    <w:p>
      <w:pPr>
        <w:pStyle w:val="9"/>
        <w:tabs>
          <w:tab w:val="left" w:pos="840"/>
          <w:tab w:val="left" w:pos="1554"/>
          <w:tab w:val="left" w:pos="2520"/>
        </w:tabs>
        <w:snapToGrid w:val="0"/>
        <w:spacing w:line="460" w:lineRule="exact"/>
        <w:ind w:firstLine="480" w:firstLineChars="200"/>
        <w:rPr>
          <w:rFonts w:hAnsi="宋体"/>
          <w:sz w:val="24"/>
          <w:szCs w:val="22"/>
        </w:rPr>
      </w:pPr>
      <w:r>
        <w:rPr>
          <w:rFonts w:hint="eastAsia" w:hAnsi="宋体"/>
          <w:sz w:val="24"/>
          <w:szCs w:val="22"/>
        </w:rPr>
        <w:t>2.设备设施：带电梯，</w:t>
      </w:r>
      <w:sdt>
        <w:sdtPr>
          <w:rPr>
            <w:rFonts w:hint="eastAsia" w:hAnsi="宋体"/>
            <w:sz w:val="24"/>
            <w:szCs w:val="22"/>
          </w:rPr>
          <w:id w:val="1369191476"/>
          <w:placeholder>
            <w:docPart w:val="8A16ED43BA0D45419D1764B173A7FF1B"/>
          </w:placeholder>
          <w:dropDownList>
            <w:listItem w:displayText="楼宇内电照、水卫、通信、宽带等线路管道均铺设入户" w:value="楼宇内电照、水卫、通信、宽带等线路管道均铺设入户"/>
            <w:listItem w:displayText="配备中央空调，消防、安防、水电、通讯等设施齐全" w:value="配备中央空调，消防、安防、水电、通讯等设施齐全"/>
          </w:dropDownList>
        </w:sdtPr>
        <w:sdtEndPr>
          <w:rPr>
            <w:rFonts w:hint="eastAsia" w:hAnsi="宋体"/>
            <w:sz w:val="24"/>
            <w:szCs w:val="22"/>
          </w:rPr>
        </w:sdtEndPr>
        <w:sdtContent>
          <w:r>
            <w:rPr>
              <w:rFonts w:hint="eastAsia" w:hAnsi="宋体"/>
              <w:sz w:val="24"/>
              <w:szCs w:val="22"/>
            </w:rPr>
            <w:t>楼宇内电照、水卫、通信、宽带等线路管道均铺设入户</w:t>
          </w:r>
        </w:sdtContent>
      </w:sdt>
      <w:r>
        <w:rPr>
          <w:rFonts w:hint="eastAsia" w:hAnsi="宋体"/>
          <w:sz w:val="24"/>
          <w:szCs w:val="22"/>
        </w:rPr>
        <w:t>。</w:t>
      </w:r>
    </w:p>
    <w:p>
      <w:pPr>
        <w:pStyle w:val="9"/>
        <w:tabs>
          <w:tab w:val="left" w:pos="840"/>
          <w:tab w:val="left" w:pos="1554"/>
          <w:tab w:val="left" w:pos="2520"/>
        </w:tabs>
        <w:snapToGrid w:val="0"/>
        <w:spacing w:line="500" w:lineRule="exact"/>
        <w:ind w:firstLine="480" w:firstLineChars="200"/>
        <w:rPr>
          <w:rFonts w:hAnsi="宋体"/>
          <w:sz w:val="24"/>
          <w:szCs w:val="22"/>
        </w:rPr>
      </w:pPr>
      <w:bookmarkStart w:id="110" w:name="_Hlk100653831"/>
      <w:r>
        <w:rPr>
          <w:rFonts w:hint="eastAsia" w:hAnsi="宋体"/>
          <w:sz w:val="24"/>
          <w:szCs w:val="22"/>
        </w:rPr>
        <w:t>3.楼层及层高：</w:t>
      </w:r>
      <w:bookmarkStart w:id="111" w:name="_Hlk92449189"/>
      <w:r>
        <w:rPr>
          <w:rFonts w:hint="eastAsia" w:hAnsi="宋体"/>
          <w:sz w:val="24"/>
          <w:szCs w:val="22"/>
        </w:rPr>
        <w:t>估价对象所在楼宇总楼层为</w:t>
      </w:r>
      <w:r>
        <w:rPr>
          <w:rFonts w:hAnsi="宋体"/>
          <w:sz w:val="24"/>
          <w:szCs w:val="22"/>
        </w:rPr>
        <w:t>34</w:t>
      </w:r>
      <w:r>
        <w:rPr>
          <w:rFonts w:hint="eastAsia" w:hAnsi="宋体"/>
          <w:sz w:val="24"/>
          <w:szCs w:val="22"/>
        </w:rPr>
        <w:t>层（含地下1层），一层为配套用房、二层及以上均为住宅，估价对象位于地上第</w:t>
      </w:r>
      <w:r>
        <w:rPr>
          <w:rFonts w:hAnsi="宋体"/>
          <w:sz w:val="24"/>
          <w:szCs w:val="22"/>
        </w:rPr>
        <w:t>20-21</w:t>
      </w:r>
      <w:r>
        <w:rPr>
          <w:rFonts w:hint="eastAsia" w:hAnsi="宋体"/>
          <w:sz w:val="24"/>
          <w:szCs w:val="22"/>
        </w:rPr>
        <w:t>层</w:t>
      </w:r>
      <w:bookmarkEnd w:id="111"/>
      <w:r>
        <w:rPr>
          <w:rFonts w:hint="eastAsia" w:hAnsi="宋体"/>
          <w:sz w:val="24"/>
          <w:szCs w:val="22"/>
        </w:rPr>
        <w:t>。</w:t>
      </w:r>
      <w:bookmarkEnd w:id="110"/>
      <w:r>
        <w:rPr>
          <w:rFonts w:hint="eastAsia" w:hAnsi="宋体"/>
          <w:sz w:val="24"/>
          <w:szCs w:val="22"/>
        </w:rPr>
        <w:t>层高约为3.</w:t>
      </w:r>
      <w:r>
        <w:rPr>
          <w:rFonts w:hAnsi="宋体"/>
          <w:sz w:val="24"/>
          <w:szCs w:val="22"/>
        </w:rPr>
        <w:t>0</w:t>
      </w:r>
      <w:r>
        <w:rPr>
          <w:rFonts w:hint="eastAsia" w:hAnsi="宋体"/>
          <w:sz w:val="24"/>
          <w:szCs w:val="22"/>
        </w:rPr>
        <w:t>米。</w:t>
      </w:r>
    </w:p>
    <w:p>
      <w:pPr>
        <w:pStyle w:val="9"/>
        <w:tabs>
          <w:tab w:val="left" w:pos="840"/>
          <w:tab w:val="left" w:pos="1554"/>
          <w:tab w:val="left" w:pos="2520"/>
        </w:tabs>
        <w:snapToGrid w:val="0"/>
        <w:spacing w:line="460" w:lineRule="exact"/>
        <w:ind w:firstLine="480" w:firstLineChars="200"/>
        <w:rPr>
          <w:rFonts w:hAnsi="宋体"/>
          <w:sz w:val="24"/>
          <w:szCs w:val="22"/>
        </w:rPr>
      </w:pPr>
      <w:r>
        <w:rPr>
          <w:rFonts w:hint="eastAsia" w:hAnsi="宋体"/>
          <w:sz w:val="24"/>
          <w:szCs w:val="22"/>
        </w:rPr>
        <w:t>4.建成时间：</w:t>
      </w:r>
      <w:bookmarkStart w:id="112" w:name="_Hlk98455033"/>
      <w:bookmarkStart w:id="113" w:name="_Hlk30104991"/>
      <w:sdt>
        <w:sdtPr>
          <w:rPr>
            <w:rFonts w:hint="eastAsia" w:hAnsi="宋体"/>
            <w:sz w:val="24"/>
            <w:szCs w:val="24"/>
          </w:rPr>
          <w:id w:val="320089950"/>
          <w:placeholder>
            <w:docPart w:val="AA6A132B049042489C1DD954356AE598"/>
          </w:placeholder>
          <w:dropDownList>
            <w:listItem w:displayText="经估价人员实地调查，估价对象所处建筑物建成于" w:value="经估价人员实地调查，估价对象所处建筑物建成于"/>
            <w:listItem w:displayText="估价对象所处建筑物建成于" w:value="估价对象所处建筑物建成于"/>
          </w:dropDownList>
        </w:sdtPr>
        <w:sdtEndPr>
          <w:rPr>
            <w:rFonts w:hint="eastAsia" w:hAnsi="宋体"/>
            <w:sz w:val="24"/>
            <w:szCs w:val="24"/>
          </w:rPr>
        </w:sdtEndPr>
        <w:sdtContent>
          <w:r>
            <w:rPr>
              <w:rFonts w:hint="eastAsia" w:hAnsi="宋体"/>
              <w:sz w:val="24"/>
              <w:szCs w:val="24"/>
            </w:rPr>
            <w:t>经估价人员实地调查，估价对象所处建筑物建成于</w:t>
          </w:r>
        </w:sdtContent>
      </w:sdt>
      <w:bookmarkEnd w:id="112"/>
      <w:r>
        <w:rPr>
          <w:rFonts w:hAnsi="宋体"/>
          <w:sz w:val="24"/>
          <w:szCs w:val="22"/>
        </w:rPr>
        <w:t>2012</w:t>
      </w:r>
      <w:r>
        <w:rPr>
          <w:rFonts w:hint="eastAsia" w:hAnsi="宋体"/>
          <w:sz w:val="24"/>
          <w:szCs w:val="22"/>
        </w:rPr>
        <w:t>年</w:t>
      </w:r>
      <w:bookmarkEnd w:id="113"/>
      <w:r>
        <w:rPr>
          <w:rFonts w:hint="eastAsia" w:hAnsi="宋体"/>
          <w:sz w:val="24"/>
          <w:szCs w:val="22"/>
        </w:rPr>
        <w:t>。</w:t>
      </w:r>
    </w:p>
    <w:p>
      <w:pPr>
        <w:pStyle w:val="9"/>
        <w:tabs>
          <w:tab w:val="left" w:pos="840"/>
          <w:tab w:val="left" w:pos="1554"/>
          <w:tab w:val="left" w:pos="2520"/>
        </w:tabs>
        <w:snapToGrid w:val="0"/>
        <w:spacing w:line="460" w:lineRule="exact"/>
        <w:ind w:firstLine="480" w:firstLineChars="200"/>
        <w:rPr>
          <w:rFonts w:hAnsi="宋体"/>
          <w:sz w:val="24"/>
        </w:rPr>
      </w:pPr>
      <w:r>
        <w:rPr>
          <w:rFonts w:hAnsi="宋体"/>
          <w:sz w:val="24"/>
          <w:szCs w:val="22"/>
        </w:rPr>
        <w:t>5</w:t>
      </w:r>
      <w:r>
        <w:rPr>
          <w:rFonts w:hint="eastAsia" w:hAnsi="宋体"/>
          <w:sz w:val="24"/>
          <w:szCs w:val="22"/>
        </w:rPr>
        <w:t>.布局：估价对象所在</w:t>
      </w:r>
      <w:r>
        <w:rPr>
          <w:rFonts w:hint="eastAsia" w:hAnsi="宋体"/>
          <w:sz w:val="24"/>
        </w:rPr>
        <w:t>楼宇为</w:t>
      </w:r>
      <w:r>
        <w:rPr>
          <w:rFonts w:hint="eastAsia" w:hAnsi="宋体"/>
          <w:sz w:val="24"/>
          <w:szCs w:val="24"/>
        </w:rPr>
        <w:t>条状布局</w:t>
      </w:r>
      <w:r>
        <w:rPr>
          <w:rFonts w:hint="eastAsia" w:hAnsi="宋体"/>
          <w:sz w:val="24"/>
        </w:rPr>
        <w:t>；</w:t>
      </w:r>
      <w:r>
        <w:rPr>
          <w:rFonts w:hint="eastAsia" w:hAnsi="宋体"/>
          <w:sz w:val="24"/>
          <w:szCs w:val="24"/>
        </w:rPr>
        <w:t>估价对象所处梯位为一梯六户；估价对象室内为三房两厅一厨二卫一阳台</w:t>
      </w:r>
      <w:r>
        <w:rPr>
          <w:rFonts w:hint="eastAsia" w:hAnsi="宋体"/>
          <w:sz w:val="24"/>
          <w:szCs w:val="22"/>
        </w:rPr>
        <w:t>。</w:t>
      </w:r>
    </w:p>
    <w:p>
      <w:pPr>
        <w:tabs>
          <w:tab w:val="left" w:pos="0"/>
        </w:tabs>
        <w:snapToGrid w:val="0"/>
        <w:spacing w:line="460" w:lineRule="exact"/>
        <w:ind w:firstLine="480" w:firstLineChars="200"/>
        <w:rPr>
          <w:rFonts w:ascii="宋体" w:hAnsi="宋体"/>
          <w:sz w:val="24"/>
          <w:szCs w:val="22"/>
        </w:rPr>
      </w:pPr>
      <w:r>
        <w:rPr>
          <w:rFonts w:ascii="宋体" w:hAnsi="宋体"/>
          <w:sz w:val="24"/>
          <w:szCs w:val="22"/>
        </w:rPr>
        <w:t>6</w:t>
      </w:r>
      <w:r>
        <w:rPr>
          <w:rFonts w:hint="eastAsia" w:ascii="宋体" w:hAnsi="宋体"/>
          <w:sz w:val="24"/>
          <w:szCs w:val="22"/>
        </w:rPr>
        <w:t>.装饰装修：估价对象外墙为外墙漆，室内为普通装修，室内目前装修情况大致如下：</w:t>
      </w:r>
    </w:p>
    <w:p>
      <w:pPr>
        <w:tabs>
          <w:tab w:val="left" w:pos="0"/>
        </w:tabs>
        <w:snapToGrid w:val="0"/>
        <w:spacing w:line="460" w:lineRule="exact"/>
        <w:ind w:firstLine="480" w:firstLineChars="200"/>
        <w:jc w:val="center"/>
        <w:rPr>
          <w:rFonts w:ascii="宋体" w:hAnsi="宋体"/>
          <w:sz w:val="24"/>
        </w:rPr>
      </w:pPr>
      <w:r>
        <w:rPr>
          <w:rFonts w:hint="eastAsia" w:ascii="宋体" w:hAnsi="宋体"/>
          <w:sz w:val="24"/>
        </w:rPr>
        <w:t>室内装修一览表</w:t>
      </w:r>
    </w:p>
    <w:tbl>
      <w:tblPr>
        <w:tblStyle w:val="19"/>
        <w:tblW w:w="50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6"/>
        <w:gridCol w:w="2623"/>
        <w:gridCol w:w="2905"/>
        <w:gridCol w:w="2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938" w:type="pct"/>
            <w:vAlign w:val="center"/>
          </w:tcPr>
          <w:p>
            <w:pPr>
              <w:adjustRightInd w:val="0"/>
              <w:spacing w:line="240" w:lineRule="exact"/>
              <w:jc w:val="center"/>
              <w:rPr>
                <w:rFonts w:hAnsi="宋体"/>
                <w:szCs w:val="21"/>
              </w:rPr>
            </w:pPr>
            <w:r>
              <w:rPr>
                <w:rFonts w:hint="eastAsia" w:hAnsi="宋体"/>
                <w:szCs w:val="21"/>
              </w:rPr>
              <w:t>装 修 情 况</w:t>
            </w:r>
          </w:p>
        </w:tc>
        <w:tc>
          <w:tcPr>
            <w:tcW w:w="1312" w:type="pct"/>
            <w:vAlign w:val="center"/>
          </w:tcPr>
          <w:p>
            <w:pPr>
              <w:adjustRightInd w:val="0"/>
              <w:spacing w:line="240" w:lineRule="exact"/>
              <w:jc w:val="center"/>
              <w:rPr>
                <w:rFonts w:hAnsi="宋体"/>
                <w:szCs w:val="21"/>
              </w:rPr>
            </w:pPr>
            <w:r>
              <w:rPr>
                <w:rFonts w:hint="eastAsia" w:hAnsi="宋体"/>
                <w:szCs w:val="21"/>
              </w:rPr>
              <w:t>地  面</w:t>
            </w:r>
          </w:p>
        </w:tc>
        <w:tc>
          <w:tcPr>
            <w:tcW w:w="1453" w:type="pct"/>
            <w:vAlign w:val="center"/>
          </w:tcPr>
          <w:p>
            <w:pPr>
              <w:adjustRightInd w:val="0"/>
              <w:spacing w:line="240" w:lineRule="exact"/>
              <w:jc w:val="center"/>
              <w:rPr>
                <w:rFonts w:hAnsi="宋体"/>
                <w:szCs w:val="21"/>
              </w:rPr>
            </w:pPr>
            <w:r>
              <w:rPr>
                <w:rFonts w:hint="eastAsia" w:hAnsi="宋体"/>
                <w:szCs w:val="21"/>
              </w:rPr>
              <w:t>内   墙   面</w:t>
            </w:r>
          </w:p>
        </w:tc>
        <w:tc>
          <w:tcPr>
            <w:tcW w:w="1297" w:type="pct"/>
            <w:vAlign w:val="center"/>
          </w:tcPr>
          <w:p>
            <w:pPr>
              <w:adjustRightInd w:val="0"/>
              <w:spacing w:line="240" w:lineRule="exact"/>
              <w:jc w:val="center"/>
              <w:rPr>
                <w:rFonts w:hAnsi="宋体"/>
                <w:b/>
                <w:bCs/>
                <w:szCs w:val="21"/>
              </w:rPr>
            </w:pPr>
            <w:r>
              <w:rPr>
                <w:rFonts w:hint="eastAsia" w:hAnsi="宋体"/>
                <w:szCs w:val="21"/>
              </w:rPr>
              <w:t>天  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38" w:type="pct"/>
            <w:vAlign w:val="center"/>
          </w:tcPr>
          <w:p>
            <w:pPr>
              <w:adjustRightInd w:val="0"/>
              <w:spacing w:line="240" w:lineRule="exact"/>
              <w:jc w:val="center"/>
              <w:rPr>
                <w:rFonts w:hAnsi="宋体"/>
                <w:szCs w:val="21"/>
              </w:rPr>
            </w:pPr>
            <w:r>
              <w:rPr>
                <w:rFonts w:hint="eastAsia" w:hAnsi="宋体"/>
                <w:szCs w:val="21"/>
              </w:rPr>
              <w:t>客  厅</w:t>
            </w:r>
          </w:p>
        </w:tc>
        <w:tc>
          <w:tcPr>
            <w:tcW w:w="1312" w:type="pct"/>
            <w:vAlign w:val="center"/>
          </w:tcPr>
          <w:p>
            <w:pPr>
              <w:adjustRightInd w:val="0"/>
              <w:spacing w:line="240" w:lineRule="exact"/>
              <w:jc w:val="center"/>
              <w:rPr>
                <w:rFonts w:hAnsi="宋体"/>
                <w:szCs w:val="21"/>
              </w:rPr>
            </w:pPr>
            <w:r>
              <w:rPr>
                <w:rFonts w:hint="eastAsia" w:hAnsi="宋体"/>
                <w:szCs w:val="21"/>
              </w:rPr>
              <w:t>玻化砖</w:t>
            </w:r>
          </w:p>
        </w:tc>
        <w:tc>
          <w:tcPr>
            <w:tcW w:w="1453" w:type="pct"/>
            <w:vAlign w:val="center"/>
          </w:tcPr>
          <w:p>
            <w:pPr>
              <w:spacing w:line="240" w:lineRule="exact"/>
              <w:jc w:val="center"/>
              <w:rPr>
                <w:szCs w:val="21"/>
              </w:rPr>
            </w:pPr>
            <w:r>
              <w:rPr>
                <w:rFonts w:hint="eastAsia" w:hAnsi="宋体"/>
                <w:kern w:val="0"/>
                <w:szCs w:val="21"/>
              </w:rPr>
              <w:t>水泥漆</w:t>
            </w:r>
          </w:p>
        </w:tc>
        <w:tc>
          <w:tcPr>
            <w:tcW w:w="1297" w:type="pct"/>
            <w:vAlign w:val="center"/>
          </w:tcPr>
          <w:p>
            <w:pPr>
              <w:spacing w:line="240" w:lineRule="exact"/>
              <w:jc w:val="center"/>
              <w:rPr>
                <w:rFonts w:hAnsi="宋体"/>
                <w:szCs w:val="21"/>
              </w:rPr>
            </w:pPr>
            <w:r>
              <w:rPr>
                <w:rFonts w:hint="eastAsia" w:hAnsi="宋体"/>
                <w:szCs w:val="21"/>
              </w:rPr>
              <w:t>水泥漆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38" w:type="pct"/>
            <w:vAlign w:val="center"/>
          </w:tcPr>
          <w:p>
            <w:pPr>
              <w:adjustRightInd w:val="0"/>
              <w:spacing w:line="240" w:lineRule="exact"/>
              <w:jc w:val="center"/>
              <w:rPr>
                <w:rFonts w:hAnsi="宋体"/>
                <w:szCs w:val="21"/>
              </w:rPr>
            </w:pPr>
            <w:r>
              <w:rPr>
                <w:rFonts w:hint="eastAsia" w:hAnsi="宋体"/>
                <w:szCs w:val="21"/>
              </w:rPr>
              <w:t>餐  厅</w:t>
            </w:r>
          </w:p>
        </w:tc>
        <w:tc>
          <w:tcPr>
            <w:tcW w:w="1312" w:type="pct"/>
            <w:vAlign w:val="center"/>
          </w:tcPr>
          <w:p>
            <w:pPr>
              <w:adjustRightInd w:val="0"/>
              <w:spacing w:line="240" w:lineRule="exact"/>
              <w:jc w:val="center"/>
              <w:rPr>
                <w:rFonts w:hAnsi="宋体"/>
                <w:szCs w:val="21"/>
              </w:rPr>
            </w:pPr>
            <w:r>
              <w:rPr>
                <w:rFonts w:hint="eastAsia" w:hAnsi="宋体"/>
                <w:szCs w:val="21"/>
              </w:rPr>
              <w:t>玻化砖</w:t>
            </w:r>
          </w:p>
        </w:tc>
        <w:tc>
          <w:tcPr>
            <w:tcW w:w="1453" w:type="pct"/>
            <w:vAlign w:val="center"/>
          </w:tcPr>
          <w:p>
            <w:pPr>
              <w:spacing w:line="240" w:lineRule="exact"/>
              <w:jc w:val="center"/>
              <w:rPr>
                <w:szCs w:val="21"/>
              </w:rPr>
            </w:pPr>
            <w:r>
              <w:rPr>
                <w:rFonts w:hint="eastAsia" w:hAnsi="宋体"/>
                <w:kern w:val="0"/>
                <w:szCs w:val="21"/>
              </w:rPr>
              <w:t>水泥漆</w:t>
            </w:r>
          </w:p>
        </w:tc>
        <w:tc>
          <w:tcPr>
            <w:tcW w:w="1297" w:type="pct"/>
            <w:vAlign w:val="center"/>
          </w:tcPr>
          <w:p>
            <w:pPr>
              <w:spacing w:line="240" w:lineRule="exact"/>
              <w:jc w:val="center"/>
              <w:rPr>
                <w:szCs w:val="21"/>
              </w:rPr>
            </w:pPr>
            <w:r>
              <w:rPr>
                <w:rFonts w:hint="eastAsia" w:hAnsi="宋体"/>
                <w:szCs w:val="21"/>
              </w:rPr>
              <w:t>跌级吊顶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38" w:type="pct"/>
            <w:vAlign w:val="center"/>
          </w:tcPr>
          <w:p>
            <w:pPr>
              <w:adjustRightInd w:val="0"/>
              <w:spacing w:line="240" w:lineRule="exact"/>
              <w:jc w:val="center"/>
              <w:rPr>
                <w:rFonts w:hAnsi="宋体"/>
                <w:szCs w:val="21"/>
              </w:rPr>
            </w:pPr>
            <w:r>
              <w:rPr>
                <w:rFonts w:hint="eastAsia" w:hAnsi="宋体"/>
                <w:szCs w:val="21"/>
              </w:rPr>
              <w:t>卧  室</w:t>
            </w:r>
          </w:p>
        </w:tc>
        <w:tc>
          <w:tcPr>
            <w:tcW w:w="1312" w:type="pct"/>
            <w:vAlign w:val="center"/>
          </w:tcPr>
          <w:p>
            <w:pPr>
              <w:adjustRightInd w:val="0"/>
              <w:spacing w:line="240" w:lineRule="exact"/>
              <w:jc w:val="center"/>
              <w:rPr>
                <w:rFonts w:hAnsi="宋体"/>
                <w:szCs w:val="21"/>
              </w:rPr>
            </w:pPr>
            <w:r>
              <w:rPr>
                <w:rFonts w:hint="eastAsia" w:hAnsi="宋体"/>
                <w:szCs w:val="21"/>
              </w:rPr>
              <w:t>木地板</w:t>
            </w:r>
          </w:p>
        </w:tc>
        <w:tc>
          <w:tcPr>
            <w:tcW w:w="1453" w:type="pct"/>
            <w:vAlign w:val="center"/>
          </w:tcPr>
          <w:p>
            <w:pPr>
              <w:spacing w:line="240" w:lineRule="exact"/>
              <w:jc w:val="center"/>
              <w:rPr>
                <w:szCs w:val="21"/>
              </w:rPr>
            </w:pPr>
            <w:r>
              <w:rPr>
                <w:rFonts w:hint="eastAsia" w:hAnsi="宋体"/>
                <w:kern w:val="0"/>
                <w:szCs w:val="21"/>
              </w:rPr>
              <w:t>水泥漆</w:t>
            </w:r>
          </w:p>
        </w:tc>
        <w:tc>
          <w:tcPr>
            <w:tcW w:w="1297" w:type="pct"/>
            <w:vAlign w:val="center"/>
          </w:tcPr>
          <w:p>
            <w:pPr>
              <w:spacing w:line="240" w:lineRule="exact"/>
              <w:jc w:val="center"/>
              <w:rPr>
                <w:szCs w:val="21"/>
              </w:rPr>
            </w:pPr>
            <w:r>
              <w:rPr>
                <w:rFonts w:hint="eastAsia" w:hAnsi="宋体"/>
                <w:kern w:val="0"/>
                <w:szCs w:val="21"/>
              </w:rPr>
              <w:t>水泥漆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38" w:type="pct"/>
            <w:vAlign w:val="center"/>
          </w:tcPr>
          <w:p>
            <w:pPr>
              <w:adjustRightInd w:val="0"/>
              <w:spacing w:line="240" w:lineRule="exact"/>
              <w:jc w:val="center"/>
              <w:rPr>
                <w:rFonts w:hAnsi="宋体"/>
                <w:szCs w:val="21"/>
              </w:rPr>
            </w:pPr>
            <w:r>
              <w:rPr>
                <w:rFonts w:hint="eastAsia" w:hAnsi="宋体"/>
                <w:szCs w:val="21"/>
              </w:rPr>
              <w:t>厨  房</w:t>
            </w:r>
          </w:p>
        </w:tc>
        <w:tc>
          <w:tcPr>
            <w:tcW w:w="1312" w:type="pct"/>
            <w:vAlign w:val="center"/>
          </w:tcPr>
          <w:p>
            <w:pPr>
              <w:adjustRightInd w:val="0"/>
              <w:spacing w:line="240" w:lineRule="exact"/>
              <w:jc w:val="center"/>
              <w:rPr>
                <w:rFonts w:hAnsi="宋体"/>
                <w:szCs w:val="21"/>
              </w:rPr>
            </w:pPr>
            <w:r>
              <w:rPr>
                <w:rFonts w:hint="eastAsia" w:hAnsi="宋体"/>
                <w:szCs w:val="21"/>
              </w:rPr>
              <w:t>玻化砖</w:t>
            </w:r>
          </w:p>
        </w:tc>
        <w:tc>
          <w:tcPr>
            <w:tcW w:w="1453" w:type="pct"/>
            <w:vAlign w:val="center"/>
          </w:tcPr>
          <w:p>
            <w:pPr>
              <w:adjustRightInd w:val="0"/>
              <w:spacing w:line="240" w:lineRule="exact"/>
              <w:jc w:val="center"/>
              <w:rPr>
                <w:rFonts w:hAnsi="宋体"/>
                <w:szCs w:val="21"/>
              </w:rPr>
            </w:pPr>
            <w:r>
              <w:rPr>
                <w:rFonts w:hint="eastAsia" w:hAnsi="宋体"/>
                <w:kern w:val="0"/>
                <w:szCs w:val="21"/>
              </w:rPr>
              <w:t>瓷砖</w:t>
            </w:r>
          </w:p>
        </w:tc>
        <w:tc>
          <w:tcPr>
            <w:tcW w:w="1297" w:type="pct"/>
            <w:vAlign w:val="center"/>
          </w:tcPr>
          <w:p>
            <w:pPr>
              <w:adjustRightInd w:val="0"/>
              <w:spacing w:line="240" w:lineRule="exact"/>
              <w:jc w:val="center"/>
              <w:rPr>
                <w:rFonts w:hAnsi="宋体"/>
                <w:szCs w:val="21"/>
              </w:rPr>
            </w:pPr>
            <w:r>
              <w:rPr>
                <w:rFonts w:hint="eastAsia" w:hAnsi="宋体"/>
                <w:kern w:val="0"/>
                <w:szCs w:val="21"/>
              </w:rPr>
              <w:t>集成吊顶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38" w:type="pct"/>
            <w:vAlign w:val="center"/>
          </w:tcPr>
          <w:p>
            <w:pPr>
              <w:adjustRightInd w:val="0"/>
              <w:spacing w:line="240" w:lineRule="exact"/>
              <w:jc w:val="center"/>
              <w:rPr>
                <w:rFonts w:hAnsi="宋体"/>
                <w:szCs w:val="21"/>
              </w:rPr>
            </w:pPr>
            <w:r>
              <w:rPr>
                <w:rFonts w:hint="eastAsia" w:hAnsi="宋体"/>
                <w:szCs w:val="21"/>
              </w:rPr>
              <w:t>卫生间</w:t>
            </w:r>
          </w:p>
        </w:tc>
        <w:tc>
          <w:tcPr>
            <w:tcW w:w="1312" w:type="pct"/>
            <w:vAlign w:val="center"/>
          </w:tcPr>
          <w:p>
            <w:pPr>
              <w:adjustRightInd w:val="0"/>
              <w:spacing w:line="240" w:lineRule="exact"/>
              <w:jc w:val="center"/>
              <w:rPr>
                <w:rFonts w:hAnsi="宋体"/>
                <w:szCs w:val="21"/>
              </w:rPr>
            </w:pPr>
            <w:r>
              <w:rPr>
                <w:rFonts w:hint="eastAsia" w:hAnsi="宋体"/>
                <w:szCs w:val="21"/>
              </w:rPr>
              <w:t>玻化砖</w:t>
            </w:r>
          </w:p>
        </w:tc>
        <w:tc>
          <w:tcPr>
            <w:tcW w:w="1453" w:type="pct"/>
            <w:vAlign w:val="center"/>
          </w:tcPr>
          <w:p>
            <w:pPr>
              <w:adjustRightInd w:val="0"/>
              <w:spacing w:line="240" w:lineRule="exact"/>
              <w:jc w:val="center"/>
              <w:rPr>
                <w:rFonts w:hAnsi="宋体"/>
                <w:szCs w:val="21"/>
              </w:rPr>
            </w:pPr>
            <w:r>
              <w:rPr>
                <w:rFonts w:hint="eastAsia" w:hAnsi="宋体"/>
                <w:kern w:val="0"/>
                <w:szCs w:val="21"/>
              </w:rPr>
              <w:t>瓷砖</w:t>
            </w:r>
          </w:p>
        </w:tc>
        <w:tc>
          <w:tcPr>
            <w:tcW w:w="1297" w:type="pct"/>
            <w:vAlign w:val="center"/>
          </w:tcPr>
          <w:p>
            <w:pPr>
              <w:adjustRightInd w:val="0"/>
              <w:spacing w:line="240" w:lineRule="exact"/>
              <w:jc w:val="center"/>
              <w:rPr>
                <w:rFonts w:hAnsi="宋体"/>
                <w:szCs w:val="21"/>
              </w:rPr>
            </w:pPr>
            <w:r>
              <w:rPr>
                <w:rFonts w:hint="eastAsia" w:hAnsi="宋体"/>
                <w:kern w:val="0"/>
                <w:szCs w:val="21"/>
              </w:rPr>
              <w:t>水泥漆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5000" w:type="pct"/>
            <w:gridSpan w:val="4"/>
            <w:vAlign w:val="center"/>
          </w:tcPr>
          <w:p>
            <w:pPr>
              <w:adjustRightInd w:val="0"/>
              <w:snapToGrid w:val="0"/>
              <w:spacing w:line="240" w:lineRule="exact"/>
              <w:ind w:firstLine="403" w:firstLineChars="192"/>
              <w:rPr>
                <w:rFonts w:hAnsi="宋体" w:cs="宋体"/>
                <w:szCs w:val="21"/>
              </w:rPr>
            </w:pPr>
            <w:r>
              <w:rPr>
                <w:rFonts w:hint="eastAsia" w:hAnsi="宋体" w:cs="宋体"/>
                <w:szCs w:val="21"/>
              </w:rPr>
              <w:t>其他设施：入户门为实体防盗门，客厅设有背景墙，厨房设有整体厨柜、吊柜等，卫生间设有坐便器、淋浴间等。</w:t>
            </w:r>
          </w:p>
          <w:p>
            <w:pPr>
              <w:adjustRightInd w:val="0"/>
              <w:snapToGrid w:val="0"/>
              <w:spacing w:line="240" w:lineRule="exact"/>
              <w:ind w:firstLine="403" w:firstLineChars="192"/>
              <w:rPr>
                <w:rFonts w:hAnsi="宋体" w:cs="宋体"/>
                <w:szCs w:val="21"/>
              </w:rPr>
            </w:pPr>
            <w:r>
              <w:rPr>
                <w:rFonts w:hint="eastAsia" w:hAnsi="宋体" w:cs="宋体"/>
                <w:szCs w:val="21"/>
              </w:rPr>
              <w:t>新旧程度：具体装修年限不详，经实地查勘，估价对象室内门窗完好，开关灵活；内粉饰完整；顶棚完好；楼面面层平整；细木装修表面平整完好；上、下水管道通畅，线路和各种照明装置完好。</w:t>
            </w:r>
          </w:p>
        </w:tc>
      </w:tr>
    </w:tbl>
    <w:p>
      <w:pPr>
        <w:pStyle w:val="9"/>
        <w:tabs>
          <w:tab w:val="left" w:pos="840"/>
          <w:tab w:val="left" w:pos="1554"/>
          <w:tab w:val="left" w:pos="2520"/>
        </w:tabs>
        <w:snapToGrid w:val="0"/>
        <w:spacing w:line="460" w:lineRule="exact"/>
        <w:ind w:firstLine="480" w:firstLineChars="200"/>
        <w:rPr>
          <w:rFonts w:hAnsi="宋体"/>
          <w:sz w:val="24"/>
          <w:szCs w:val="22"/>
        </w:rPr>
      </w:pPr>
      <w:r>
        <w:rPr>
          <w:rFonts w:hAnsi="宋体"/>
          <w:sz w:val="24"/>
          <w:szCs w:val="22"/>
        </w:rPr>
        <w:t>7</w:t>
      </w:r>
      <w:r>
        <w:rPr>
          <w:rFonts w:hint="eastAsia" w:hAnsi="宋体"/>
          <w:sz w:val="24"/>
          <w:szCs w:val="22"/>
        </w:rPr>
        <w:t>.维护状况：房屋目前自用，室内各部件使用及维护状况较好。</w:t>
      </w:r>
      <w:bookmarkEnd w:id="109"/>
    </w:p>
    <w:p>
      <w:pPr>
        <w:pStyle w:val="9"/>
        <w:tabs>
          <w:tab w:val="left" w:pos="840"/>
          <w:tab w:val="left" w:pos="1554"/>
          <w:tab w:val="left" w:pos="2520"/>
        </w:tabs>
        <w:snapToGrid w:val="0"/>
        <w:spacing w:line="500" w:lineRule="exact"/>
        <w:ind w:firstLine="480" w:firstLineChars="200"/>
        <w:rPr>
          <w:rFonts w:hAnsi="宋体"/>
          <w:sz w:val="24"/>
          <w:szCs w:val="22"/>
        </w:rPr>
      </w:pPr>
      <w:r>
        <w:rPr>
          <w:rFonts w:hint="eastAsia" w:hAnsi="宋体"/>
          <w:sz w:val="24"/>
          <w:szCs w:val="22"/>
        </w:rPr>
        <w:t>8</w:t>
      </w:r>
      <w:r>
        <w:rPr>
          <w:rFonts w:hAnsi="宋体"/>
          <w:sz w:val="24"/>
          <w:szCs w:val="22"/>
        </w:rPr>
        <w:t>.</w:t>
      </w:r>
      <w:r>
        <w:rPr>
          <w:rFonts w:hint="eastAsia" w:hAnsi="宋体"/>
          <w:sz w:val="24"/>
          <w:szCs w:val="22"/>
        </w:rPr>
        <w:t>朝向：估价对象为南向，中间单元。</w:t>
      </w:r>
    </w:p>
    <w:bookmarkEnd w:id="108"/>
    <w:p>
      <w:pPr>
        <w:pStyle w:val="9"/>
        <w:tabs>
          <w:tab w:val="left" w:pos="840"/>
          <w:tab w:val="left" w:pos="1554"/>
          <w:tab w:val="left" w:pos="2520"/>
        </w:tabs>
        <w:topLinePunct/>
        <w:snapToGrid w:val="0"/>
        <w:spacing w:line="460" w:lineRule="exact"/>
        <w:ind w:firstLine="482" w:firstLineChars="200"/>
        <w:rPr>
          <w:rFonts w:hAnsi="宋体"/>
          <w:b/>
          <w:bCs/>
          <w:sz w:val="24"/>
          <w:szCs w:val="22"/>
        </w:rPr>
      </w:pPr>
      <w:bookmarkStart w:id="114" w:name="_Hlk99059841"/>
      <w:r>
        <w:rPr>
          <w:rFonts w:hint="eastAsia" w:hAnsi="宋体"/>
          <w:b/>
          <w:bCs/>
          <w:sz w:val="24"/>
        </w:rPr>
        <w:t>（五）所属小区状况</w:t>
      </w:r>
    </w:p>
    <w:bookmarkEnd w:id="114"/>
    <w:p>
      <w:pPr>
        <w:pStyle w:val="9"/>
        <w:tabs>
          <w:tab w:val="left" w:pos="840"/>
          <w:tab w:val="left" w:pos="1554"/>
          <w:tab w:val="left" w:pos="2520"/>
        </w:tabs>
        <w:snapToGrid w:val="0"/>
        <w:spacing w:line="460" w:lineRule="exact"/>
        <w:ind w:firstLine="480" w:firstLineChars="200"/>
        <w:rPr>
          <w:rFonts w:hAnsi="宋体"/>
          <w:sz w:val="24"/>
          <w:szCs w:val="22"/>
        </w:rPr>
      </w:pPr>
      <w:bookmarkStart w:id="115" w:name="_Hlk99059653"/>
      <w:r>
        <w:rPr>
          <w:rFonts w:hint="eastAsia" w:hAnsi="宋体"/>
          <w:sz w:val="24"/>
        </w:rPr>
        <w:t>估价对象所处</w:t>
      </w:r>
      <w:sdt>
        <w:sdtPr>
          <w:rPr>
            <w:rFonts w:hint="eastAsia" w:hAnsi="宋体"/>
            <w:sz w:val="24"/>
          </w:rPr>
          <w:id w:val="191894709"/>
          <w:placeholder>
            <w:docPart w:val="C9DAFDD91AD24B96B62EDA937AEC5333"/>
          </w:placeholder>
          <w:dropDownList>
            <w:listItem w:displayText="写字楼" w:value="写字楼"/>
            <w:listItem w:displayText="小区" w:value="小区"/>
            <w:listItem w:displayText="商场" w:value="商场"/>
          </w:dropDownList>
        </w:sdtPr>
        <w:sdtEndPr>
          <w:rPr>
            <w:rFonts w:hint="eastAsia" w:hAnsi="宋体"/>
            <w:sz w:val="24"/>
          </w:rPr>
        </w:sdtEndPr>
        <w:sdtContent>
          <w:r>
            <w:rPr>
              <w:rFonts w:hint="eastAsia" w:hAnsi="宋体"/>
              <w:sz w:val="24"/>
            </w:rPr>
            <w:t>小区</w:t>
          </w:r>
        </w:sdtContent>
      </w:sdt>
      <w:r>
        <w:rPr>
          <w:rFonts w:hint="eastAsia" w:hAnsi="宋体"/>
          <w:sz w:val="24"/>
          <w:szCs w:val="22"/>
        </w:rPr>
        <w:t>规模较大，档次较好；</w:t>
      </w:r>
      <w:sdt>
        <w:sdtPr>
          <w:rPr>
            <w:rFonts w:hint="eastAsia" w:hAnsi="宋体"/>
            <w:sz w:val="24"/>
          </w:rPr>
          <w:id w:val="53975368"/>
          <w:placeholder>
            <w:docPart w:val="FD6E0E29FDDF4F09AA9199A2ED01FA8B"/>
          </w:placeholder>
          <w:dropDownList>
            <w:listItem w:displayText="写字楼" w:value="写字楼"/>
            <w:listItem w:displayText="小区" w:value="小区"/>
            <w:listItem w:displayText="商场" w:value="商场"/>
          </w:dropDownList>
        </w:sdtPr>
        <w:sdtEndPr>
          <w:rPr>
            <w:rFonts w:hint="eastAsia" w:hAnsi="宋体"/>
            <w:sz w:val="24"/>
          </w:rPr>
        </w:sdtEndPr>
        <w:sdtContent>
          <w:r>
            <w:rPr>
              <w:rFonts w:hint="eastAsia" w:hAnsi="宋体"/>
              <w:sz w:val="24"/>
            </w:rPr>
            <w:t>小区</w:t>
          </w:r>
        </w:sdtContent>
      </w:sdt>
      <w:r>
        <w:rPr>
          <w:rFonts w:hint="eastAsia" w:hAnsi="宋体"/>
          <w:sz w:val="24"/>
          <w:szCs w:val="22"/>
        </w:rPr>
        <w:t>绿化环境较好，配套较好；由物业管理公司实行封闭式管理，日常绿化带管理及保洁工作较好，物业管理水平较好，安防系统较好。</w:t>
      </w:r>
      <w:bookmarkEnd w:id="115"/>
    </w:p>
    <w:p>
      <w:pPr>
        <w:pStyle w:val="9"/>
        <w:tabs>
          <w:tab w:val="left" w:pos="840"/>
          <w:tab w:val="left" w:pos="1554"/>
          <w:tab w:val="left" w:pos="2520"/>
        </w:tabs>
        <w:snapToGrid w:val="0"/>
        <w:spacing w:line="460" w:lineRule="exact"/>
        <w:ind w:firstLine="482" w:firstLineChars="200"/>
        <w:outlineLvl w:val="1"/>
        <w:rPr>
          <w:rFonts w:hAnsi="宋体"/>
          <w:b/>
          <w:bCs/>
          <w:sz w:val="24"/>
          <w:szCs w:val="22"/>
        </w:rPr>
      </w:pPr>
      <w:bookmarkStart w:id="116" w:name="_Toc20831"/>
      <w:r>
        <w:rPr>
          <w:rFonts w:hint="eastAsia" w:hAnsi="宋体"/>
          <w:b/>
          <w:bCs/>
          <w:sz w:val="24"/>
          <w:szCs w:val="22"/>
        </w:rPr>
        <w:t>五、价值时点</w:t>
      </w:r>
      <w:bookmarkEnd w:id="100"/>
      <w:bookmarkEnd w:id="116"/>
    </w:p>
    <w:p>
      <w:pPr>
        <w:pStyle w:val="9"/>
        <w:tabs>
          <w:tab w:val="left" w:pos="840"/>
          <w:tab w:val="left" w:pos="1554"/>
          <w:tab w:val="left" w:pos="2520"/>
        </w:tabs>
        <w:snapToGrid w:val="0"/>
        <w:spacing w:line="460" w:lineRule="exact"/>
        <w:ind w:firstLine="480" w:firstLineChars="200"/>
        <w:rPr>
          <w:rFonts w:hAnsi="宋体"/>
          <w:sz w:val="24"/>
          <w:szCs w:val="22"/>
        </w:rPr>
      </w:pPr>
      <w:bookmarkStart w:id="117" w:name="_Toc282502410"/>
      <w:sdt>
        <w:sdtPr>
          <w:rPr>
            <w:rFonts w:hint="eastAsia" w:hAnsi="宋体"/>
            <w:sz w:val="24"/>
            <w:szCs w:val="22"/>
          </w:rPr>
          <w:id w:val="-1480922239"/>
          <w:placeholder>
            <w:docPart w:val="6F406590A25B42C78B701C4B40B2B411"/>
          </w:placeholder>
          <w:dropDownList>
            <w:listItem w:value="选择一项。"/>
            <w:listItem w:displayText="根据" w:value="根据"/>
            <w:listItem w:displayText="由于" w:value="由于"/>
          </w:dropDownList>
        </w:sdtPr>
        <w:sdtEndPr>
          <w:rPr>
            <w:rFonts w:hint="eastAsia" w:hAnsi="宋体"/>
            <w:sz w:val="24"/>
            <w:szCs w:val="22"/>
          </w:rPr>
        </w:sdtEndPr>
        <w:sdtContent>
          <w:r>
            <w:rPr>
              <w:rFonts w:hint="eastAsia" w:hAnsi="宋体"/>
              <w:sz w:val="24"/>
              <w:szCs w:val="22"/>
            </w:rPr>
            <w:t>根据</w:t>
          </w:r>
        </w:sdtContent>
      </w:sdt>
      <w:r>
        <w:rPr>
          <w:rFonts w:hint="eastAsia" w:hAnsi="宋体"/>
          <w:sz w:val="24"/>
          <w:szCs w:val="22"/>
        </w:rPr>
        <w:t>委托人提供的（202</w:t>
      </w:r>
      <w:r>
        <w:rPr>
          <w:rFonts w:hAnsi="宋体"/>
          <w:sz w:val="24"/>
          <w:szCs w:val="22"/>
        </w:rPr>
        <w:t>2</w:t>
      </w:r>
      <w:r>
        <w:rPr>
          <w:rFonts w:hint="eastAsia" w:hAnsi="宋体"/>
          <w:sz w:val="24"/>
          <w:szCs w:val="22"/>
        </w:rPr>
        <w:t>）闽</w:t>
      </w:r>
      <w:r>
        <w:rPr>
          <w:rFonts w:hAnsi="宋体"/>
          <w:sz w:val="24"/>
          <w:szCs w:val="22"/>
        </w:rPr>
        <w:t>0121</w:t>
      </w:r>
      <w:r>
        <w:rPr>
          <w:rFonts w:hint="eastAsia" w:hAnsi="宋体"/>
          <w:sz w:val="24"/>
          <w:szCs w:val="22"/>
        </w:rPr>
        <w:t>执恢</w:t>
      </w:r>
      <w:r>
        <w:rPr>
          <w:rFonts w:hAnsi="宋体"/>
          <w:sz w:val="24"/>
          <w:szCs w:val="22"/>
        </w:rPr>
        <w:t>506</w:t>
      </w:r>
      <w:r>
        <w:rPr>
          <w:rFonts w:hint="eastAsia" w:hAnsi="宋体"/>
          <w:sz w:val="24"/>
          <w:szCs w:val="22"/>
        </w:rPr>
        <w:t>号《福建省闽侯县人民法院评估委托书》，</w:t>
      </w:r>
      <w:sdt>
        <w:sdtPr>
          <w:rPr>
            <w:rFonts w:hint="eastAsia" w:hAnsi="宋体"/>
            <w:sz w:val="24"/>
            <w:szCs w:val="22"/>
          </w:rPr>
          <w:id w:val="616411541"/>
          <w:placeholder>
            <w:docPart w:val="D5D3C783DFE143D9A2188760B89B8775"/>
          </w:placeholder>
          <w:dropDownList>
            <w:listItem w:value="选择一项。"/>
            <w:listItem w:displayText="本次估价以委托之日" w:value="本次估价以委托之日"/>
            <w:listItem w:displayText="未确定价值时点，本次估价依据估价委托人要求以实地查勘日" w:value="未确定价值时点，本次估价依据估价委托人要求以实地查勘日"/>
          </w:dropDownList>
        </w:sdtPr>
        <w:sdtEndPr>
          <w:rPr>
            <w:rFonts w:hint="eastAsia" w:hAnsi="宋体"/>
            <w:sz w:val="24"/>
            <w:szCs w:val="22"/>
          </w:rPr>
        </w:sdtEndPr>
        <w:sdtContent>
          <w:r>
            <w:rPr>
              <w:rFonts w:hint="eastAsia" w:hAnsi="宋体"/>
              <w:sz w:val="24"/>
              <w:szCs w:val="22"/>
            </w:rPr>
            <w:t>本次估价以委托之日</w:t>
          </w:r>
        </w:sdtContent>
      </w:sdt>
      <w:r>
        <w:rPr>
          <w:rFonts w:hint="eastAsia" w:hAnsi="宋体"/>
          <w:sz w:val="24"/>
        </w:rPr>
        <w:t>（202</w:t>
      </w:r>
      <w:r>
        <w:rPr>
          <w:rFonts w:hAnsi="宋体"/>
          <w:sz w:val="24"/>
        </w:rPr>
        <w:t>2</w:t>
      </w:r>
      <w:r>
        <w:rPr>
          <w:rFonts w:hint="eastAsia" w:hAnsi="宋体"/>
          <w:sz w:val="24"/>
        </w:rPr>
        <w:t>年7月</w:t>
      </w:r>
      <w:r>
        <w:rPr>
          <w:rFonts w:hAnsi="宋体"/>
          <w:sz w:val="24"/>
        </w:rPr>
        <w:t>4</w:t>
      </w:r>
      <w:r>
        <w:rPr>
          <w:rFonts w:hint="eastAsia" w:hAnsi="宋体"/>
          <w:sz w:val="24"/>
        </w:rPr>
        <w:t>日）为价值时点。涉执房地产实际拍卖日期与价值时点不一致，提请报告使用人注意期间可能发生的估价对象区位、实物状况及房地产市场状况变化对涉执房地产拍卖之日的市场价值的影响。</w:t>
      </w:r>
    </w:p>
    <w:bookmarkEnd w:id="117"/>
    <w:p>
      <w:pPr>
        <w:pStyle w:val="9"/>
        <w:tabs>
          <w:tab w:val="left" w:pos="840"/>
          <w:tab w:val="left" w:pos="1554"/>
          <w:tab w:val="left" w:pos="2520"/>
        </w:tabs>
        <w:snapToGrid w:val="0"/>
        <w:spacing w:line="460" w:lineRule="exact"/>
        <w:ind w:firstLine="482" w:firstLineChars="200"/>
        <w:outlineLvl w:val="1"/>
        <w:rPr>
          <w:rFonts w:hAnsi="宋体"/>
          <w:b/>
          <w:bCs/>
          <w:sz w:val="24"/>
          <w:szCs w:val="22"/>
        </w:rPr>
      </w:pPr>
      <w:bookmarkStart w:id="118" w:name="_Toc384126362"/>
      <w:bookmarkStart w:id="119" w:name="_Toc4878"/>
      <w:bookmarkStart w:id="120" w:name="_Toc282502411"/>
      <w:bookmarkStart w:id="121" w:name="_Toc355771835"/>
      <w:bookmarkStart w:id="122" w:name="_Toc356029572"/>
      <w:r>
        <w:rPr>
          <w:rFonts w:hint="eastAsia" w:hAnsi="宋体"/>
          <w:b/>
          <w:bCs/>
          <w:sz w:val="24"/>
          <w:szCs w:val="22"/>
        </w:rPr>
        <w:t>六、价值类型</w:t>
      </w:r>
      <w:bookmarkEnd w:id="118"/>
      <w:bookmarkEnd w:id="119"/>
    </w:p>
    <w:p>
      <w:pPr>
        <w:pStyle w:val="9"/>
        <w:tabs>
          <w:tab w:val="left" w:pos="840"/>
          <w:tab w:val="left" w:pos="1554"/>
          <w:tab w:val="left" w:pos="2520"/>
        </w:tabs>
        <w:snapToGrid w:val="0"/>
        <w:spacing w:line="460" w:lineRule="exact"/>
        <w:ind w:firstLine="482" w:firstLineChars="200"/>
        <w:rPr>
          <w:rFonts w:hAnsi="宋体"/>
          <w:b/>
          <w:bCs/>
          <w:sz w:val="24"/>
          <w:szCs w:val="22"/>
        </w:rPr>
      </w:pPr>
      <w:r>
        <w:rPr>
          <w:rFonts w:hint="eastAsia" w:hAnsi="宋体"/>
          <w:b/>
          <w:bCs/>
          <w:sz w:val="24"/>
          <w:szCs w:val="22"/>
        </w:rPr>
        <w:t>（一）价值类型</w:t>
      </w:r>
    </w:p>
    <w:p>
      <w:pPr>
        <w:pStyle w:val="9"/>
        <w:tabs>
          <w:tab w:val="left" w:pos="840"/>
          <w:tab w:val="left" w:pos="1554"/>
          <w:tab w:val="left" w:pos="2520"/>
        </w:tabs>
        <w:snapToGrid w:val="0"/>
        <w:spacing w:line="460" w:lineRule="exact"/>
        <w:ind w:firstLine="480" w:firstLineChars="200"/>
        <w:rPr>
          <w:rFonts w:hAnsi="宋体"/>
          <w:sz w:val="24"/>
          <w:szCs w:val="22"/>
        </w:rPr>
      </w:pPr>
      <w:r>
        <w:rPr>
          <w:rFonts w:hint="eastAsia" w:hAnsi="宋体"/>
          <w:sz w:val="24"/>
          <w:szCs w:val="22"/>
        </w:rPr>
        <w:t>本次估价的价值类型为市场价值。</w:t>
      </w:r>
    </w:p>
    <w:p>
      <w:pPr>
        <w:pStyle w:val="9"/>
        <w:tabs>
          <w:tab w:val="left" w:pos="840"/>
          <w:tab w:val="left" w:pos="1554"/>
          <w:tab w:val="left" w:pos="2520"/>
        </w:tabs>
        <w:snapToGrid w:val="0"/>
        <w:spacing w:line="460" w:lineRule="exact"/>
        <w:ind w:firstLine="482" w:firstLineChars="200"/>
        <w:rPr>
          <w:rFonts w:hAnsi="宋体"/>
          <w:b/>
          <w:bCs/>
          <w:sz w:val="24"/>
          <w:szCs w:val="22"/>
        </w:rPr>
      </w:pPr>
      <w:r>
        <w:rPr>
          <w:rFonts w:hint="eastAsia" w:hAnsi="宋体"/>
          <w:b/>
          <w:bCs/>
          <w:sz w:val="24"/>
          <w:szCs w:val="22"/>
        </w:rPr>
        <w:t>（二）价值定义</w:t>
      </w:r>
    </w:p>
    <w:p>
      <w:pPr>
        <w:pStyle w:val="9"/>
        <w:tabs>
          <w:tab w:val="left" w:pos="840"/>
          <w:tab w:val="left" w:pos="1554"/>
          <w:tab w:val="left" w:pos="2520"/>
        </w:tabs>
        <w:snapToGrid w:val="0"/>
        <w:spacing w:line="460" w:lineRule="exact"/>
        <w:ind w:firstLine="480" w:firstLineChars="200"/>
        <w:rPr>
          <w:rFonts w:hAnsi="宋体"/>
          <w:sz w:val="24"/>
          <w:szCs w:val="22"/>
        </w:rPr>
      </w:pPr>
      <w:r>
        <w:rPr>
          <w:rFonts w:hint="eastAsia" w:hAnsi="宋体"/>
          <w:sz w:val="24"/>
          <w:szCs w:val="22"/>
        </w:rPr>
        <w:t>市场价值是指估价对象经适当营销后，由熟悉情况、谨慎行事且不受强迫的交易双方，以公平交易方式在价值时点自愿进行交易的金额。</w:t>
      </w:r>
    </w:p>
    <w:p>
      <w:pPr>
        <w:pStyle w:val="9"/>
        <w:tabs>
          <w:tab w:val="left" w:pos="840"/>
          <w:tab w:val="left" w:pos="1554"/>
          <w:tab w:val="left" w:pos="2520"/>
        </w:tabs>
        <w:snapToGrid w:val="0"/>
        <w:spacing w:line="460" w:lineRule="exact"/>
        <w:ind w:firstLine="482" w:firstLineChars="200"/>
        <w:rPr>
          <w:rFonts w:hAnsi="宋体"/>
          <w:b/>
          <w:bCs/>
          <w:sz w:val="24"/>
          <w:szCs w:val="22"/>
        </w:rPr>
      </w:pPr>
      <w:bookmarkStart w:id="123" w:name="_Hlk99059551"/>
      <w:r>
        <w:rPr>
          <w:rFonts w:hint="eastAsia" w:hAnsi="宋体"/>
          <w:b/>
          <w:bCs/>
          <w:sz w:val="24"/>
          <w:szCs w:val="22"/>
        </w:rPr>
        <w:t>（三）价值内涵</w:t>
      </w:r>
      <w:bookmarkEnd w:id="123"/>
    </w:p>
    <w:p>
      <w:pPr>
        <w:pStyle w:val="9"/>
        <w:tabs>
          <w:tab w:val="left" w:pos="840"/>
          <w:tab w:val="left" w:pos="1554"/>
          <w:tab w:val="left" w:pos="2520"/>
        </w:tabs>
        <w:snapToGrid w:val="0"/>
        <w:spacing w:line="460" w:lineRule="exact"/>
        <w:ind w:firstLine="480" w:firstLineChars="200"/>
        <w:rPr>
          <w:rFonts w:hAnsi="宋体"/>
          <w:sz w:val="24"/>
          <w:szCs w:val="22"/>
        </w:rPr>
      </w:pPr>
      <w:bookmarkStart w:id="124" w:name="_Hlk99059558"/>
      <w:r>
        <w:rPr>
          <w:rFonts w:hint="eastAsia" w:hAnsi="宋体"/>
          <w:sz w:val="24"/>
          <w:szCs w:val="22"/>
        </w:rPr>
        <w:t>价值内涵是估价对象在价值时点，满足估价假设和限制条件下包括建筑物（含室内二次装修）和土地使用权（含土地出让金）,包括宗地红线范围内水、电、通信等配套基础设施，不包括家电、家具等动产，也不包括债权债务等权益；付款方式是一次性付清房价款，房屋面积内涵是建筑面积，用途为住宅用房，土地使用权类型为出让，土地开发程度为：</w:t>
      </w:r>
      <w:sdt>
        <w:sdtPr>
          <w:rPr>
            <w:rFonts w:hint="eastAsia" w:hAnsi="宋体"/>
            <w:sz w:val="24"/>
            <w:szCs w:val="22"/>
          </w:rPr>
          <w:id w:val="202525066"/>
          <w:placeholder>
            <w:docPart w:val="4504D7E98F124530AFDFC93D31AAF564"/>
          </w:placeholder>
          <w:dropDownList>
            <w:listItem w:value="选择一项。"/>
            <w:listItem w:displayText="“五通”（即通路、通给水、通排水、通电、通讯），宗地上已建有建筑" w:value="“五通”（即通路、通给水、通排水、通电、通讯），宗地上已建有建筑"/>
            <w:listItem w:displayText="“六通”（即：通上水、通下水、通路、通电、通讯、通气），宗地上已有建筑" w:value="“六通”（即：通上水、通下水、通路、通电、通讯、通气），宗地上已有建筑"/>
            <w:listItem w:displayText="“六通”（即：通上水、通下水、通路、通电、通讯、通气），宗地上已建成小区" w:value="“六通”（即：通上水、通下水、通路、通电、通讯、通气），宗地上已建成小区"/>
          </w:dropDownList>
        </w:sdtPr>
        <w:sdtEndPr>
          <w:rPr>
            <w:rFonts w:hint="eastAsia" w:hAnsi="宋体"/>
            <w:sz w:val="24"/>
            <w:szCs w:val="22"/>
          </w:rPr>
        </w:sdtEndPr>
        <w:sdtContent>
          <w:r>
            <w:rPr>
              <w:rFonts w:hint="eastAsia" w:hAnsi="宋体"/>
              <w:sz w:val="24"/>
              <w:szCs w:val="22"/>
            </w:rPr>
            <w:t>“五通”（即通路、通给水、通排水、通电、通讯），宗地上已建有建筑</w:t>
          </w:r>
        </w:sdtContent>
      </w:sdt>
      <w:r>
        <w:rPr>
          <w:rFonts w:hint="eastAsia" w:hAnsi="宋体"/>
          <w:sz w:val="24"/>
        </w:rPr>
        <w:t>。</w:t>
      </w:r>
      <w:bookmarkEnd w:id="124"/>
    </w:p>
    <w:p>
      <w:pPr>
        <w:pStyle w:val="9"/>
        <w:tabs>
          <w:tab w:val="left" w:pos="840"/>
          <w:tab w:val="left" w:pos="1554"/>
          <w:tab w:val="left" w:pos="2520"/>
        </w:tabs>
        <w:snapToGrid w:val="0"/>
        <w:spacing w:line="460" w:lineRule="exact"/>
        <w:ind w:firstLine="482" w:firstLineChars="200"/>
        <w:outlineLvl w:val="1"/>
        <w:rPr>
          <w:rFonts w:hAnsi="宋体"/>
          <w:b/>
          <w:bCs/>
          <w:sz w:val="24"/>
          <w:szCs w:val="22"/>
        </w:rPr>
      </w:pPr>
      <w:bookmarkStart w:id="125" w:name="_Toc14685"/>
      <w:bookmarkStart w:id="126" w:name="_Toc384126363"/>
      <w:r>
        <w:rPr>
          <w:rFonts w:hint="eastAsia" w:hAnsi="宋体"/>
          <w:b/>
          <w:bCs/>
          <w:sz w:val="24"/>
          <w:szCs w:val="22"/>
        </w:rPr>
        <w:t>七、</w:t>
      </w:r>
      <w:bookmarkStart w:id="127" w:name="_Toc389154441"/>
      <w:bookmarkStart w:id="128" w:name="_Toc387674826"/>
      <w:r>
        <w:rPr>
          <w:rFonts w:hint="eastAsia" w:hAnsi="宋体"/>
          <w:b/>
          <w:bCs/>
          <w:sz w:val="24"/>
          <w:szCs w:val="22"/>
        </w:rPr>
        <w:t>估价原则</w:t>
      </w:r>
      <w:bookmarkEnd w:id="125"/>
      <w:bookmarkEnd w:id="127"/>
      <w:bookmarkEnd w:id="128"/>
    </w:p>
    <w:p>
      <w:pPr>
        <w:pStyle w:val="9"/>
        <w:tabs>
          <w:tab w:val="left" w:pos="840"/>
          <w:tab w:val="left" w:pos="1554"/>
          <w:tab w:val="left" w:pos="2520"/>
        </w:tabs>
        <w:snapToGrid w:val="0"/>
        <w:spacing w:line="460" w:lineRule="exact"/>
        <w:ind w:firstLine="482" w:firstLineChars="200"/>
        <w:rPr>
          <w:rFonts w:hAnsi="宋体"/>
          <w:b/>
          <w:bCs/>
          <w:sz w:val="24"/>
          <w:szCs w:val="22"/>
        </w:rPr>
      </w:pPr>
      <w:r>
        <w:rPr>
          <w:rFonts w:hint="eastAsia" w:hAnsi="宋体"/>
          <w:b/>
          <w:bCs/>
          <w:sz w:val="24"/>
          <w:szCs w:val="22"/>
        </w:rPr>
        <w:t>（一）独立、客观、公正原则</w:t>
      </w:r>
    </w:p>
    <w:p>
      <w:pPr>
        <w:pStyle w:val="9"/>
        <w:tabs>
          <w:tab w:val="left" w:pos="840"/>
          <w:tab w:val="left" w:pos="1554"/>
          <w:tab w:val="left" w:pos="2520"/>
        </w:tabs>
        <w:snapToGrid w:val="0"/>
        <w:spacing w:line="460" w:lineRule="exact"/>
        <w:ind w:firstLine="480" w:firstLineChars="200"/>
        <w:rPr>
          <w:rFonts w:hAnsi="宋体"/>
          <w:sz w:val="24"/>
          <w:szCs w:val="22"/>
        </w:rPr>
      </w:pPr>
      <w:r>
        <w:rPr>
          <w:rFonts w:hint="eastAsia" w:hAnsi="宋体"/>
          <w:sz w:val="24"/>
          <w:szCs w:val="22"/>
        </w:rPr>
        <w:t>要求站在中立的立场上，实事求是、公平正直地评估出对各方估价利害关系人均是公平合理的价值或价格的原则。</w:t>
      </w:r>
    </w:p>
    <w:p>
      <w:pPr>
        <w:pStyle w:val="9"/>
        <w:tabs>
          <w:tab w:val="left" w:pos="840"/>
          <w:tab w:val="left" w:pos="1554"/>
          <w:tab w:val="left" w:pos="2520"/>
        </w:tabs>
        <w:snapToGrid w:val="0"/>
        <w:spacing w:line="460" w:lineRule="exact"/>
        <w:ind w:firstLine="482" w:firstLineChars="200"/>
        <w:rPr>
          <w:rFonts w:hAnsi="宋体"/>
          <w:b/>
          <w:bCs/>
          <w:sz w:val="24"/>
          <w:szCs w:val="22"/>
        </w:rPr>
      </w:pPr>
      <w:r>
        <w:rPr>
          <w:rFonts w:hint="eastAsia" w:hAnsi="宋体"/>
          <w:b/>
          <w:bCs/>
          <w:sz w:val="24"/>
          <w:szCs w:val="22"/>
        </w:rPr>
        <w:t>（二）合法原则</w:t>
      </w:r>
    </w:p>
    <w:p>
      <w:pPr>
        <w:pStyle w:val="9"/>
        <w:tabs>
          <w:tab w:val="left" w:pos="840"/>
          <w:tab w:val="left" w:pos="1554"/>
          <w:tab w:val="left" w:pos="2520"/>
        </w:tabs>
        <w:snapToGrid w:val="0"/>
        <w:spacing w:line="460" w:lineRule="exact"/>
        <w:ind w:firstLine="480" w:firstLineChars="200"/>
        <w:rPr>
          <w:rFonts w:hAnsi="宋体"/>
          <w:sz w:val="24"/>
          <w:szCs w:val="22"/>
        </w:rPr>
      </w:pPr>
      <w:r>
        <w:rPr>
          <w:rFonts w:hint="eastAsia" w:hAnsi="宋体"/>
          <w:sz w:val="24"/>
          <w:szCs w:val="22"/>
        </w:rPr>
        <w:t>要求估价结果是在依法判定的估价对象状况下的价值或价格的原则。</w:t>
      </w:r>
    </w:p>
    <w:p>
      <w:pPr>
        <w:pStyle w:val="9"/>
        <w:tabs>
          <w:tab w:val="left" w:pos="840"/>
          <w:tab w:val="left" w:pos="1554"/>
          <w:tab w:val="left" w:pos="2520"/>
        </w:tabs>
        <w:snapToGrid w:val="0"/>
        <w:spacing w:line="460" w:lineRule="exact"/>
        <w:ind w:firstLine="482" w:firstLineChars="200"/>
        <w:rPr>
          <w:rFonts w:hAnsi="宋体"/>
          <w:b/>
          <w:bCs/>
          <w:sz w:val="24"/>
          <w:szCs w:val="22"/>
        </w:rPr>
      </w:pPr>
      <w:r>
        <w:rPr>
          <w:rFonts w:hint="eastAsia" w:hAnsi="宋体"/>
          <w:b/>
          <w:bCs/>
          <w:sz w:val="24"/>
          <w:szCs w:val="22"/>
        </w:rPr>
        <w:t>（三）价值时点原则</w:t>
      </w:r>
    </w:p>
    <w:p>
      <w:pPr>
        <w:pStyle w:val="9"/>
        <w:tabs>
          <w:tab w:val="left" w:pos="840"/>
          <w:tab w:val="left" w:pos="1554"/>
          <w:tab w:val="left" w:pos="2520"/>
        </w:tabs>
        <w:snapToGrid w:val="0"/>
        <w:spacing w:line="460" w:lineRule="exact"/>
        <w:ind w:firstLine="480" w:firstLineChars="200"/>
        <w:rPr>
          <w:rFonts w:hAnsi="宋体"/>
          <w:sz w:val="24"/>
          <w:szCs w:val="22"/>
        </w:rPr>
      </w:pPr>
      <w:r>
        <w:rPr>
          <w:rFonts w:hint="eastAsia" w:hAnsi="宋体"/>
          <w:sz w:val="24"/>
          <w:szCs w:val="22"/>
        </w:rPr>
        <w:t>要求估价结果是在根据估价目的确定的某一特定时间的价值或价格的原则。</w:t>
      </w:r>
    </w:p>
    <w:p>
      <w:pPr>
        <w:pStyle w:val="9"/>
        <w:tabs>
          <w:tab w:val="left" w:pos="840"/>
          <w:tab w:val="left" w:pos="1554"/>
          <w:tab w:val="left" w:pos="2520"/>
        </w:tabs>
        <w:snapToGrid w:val="0"/>
        <w:spacing w:line="460" w:lineRule="exact"/>
        <w:ind w:firstLine="482" w:firstLineChars="200"/>
        <w:rPr>
          <w:rFonts w:hAnsi="宋体"/>
          <w:b/>
          <w:bCs/>
          <w:sz w:val="24"/>
          <w:szCs w:val="22"/>
        </w:rPr>
      </w:pPr>
      <w:r>
        <w:rPr>
          <w:rFonts w:hint="eastAsia" w:hAnsi="宋体"/>
          <w:b/>
          <w:bCs/>
          <w:sz w:val="24"/>
          <w:szCs w:val="22"/>
        </w:rPr>
        <w:t>（四）替代原则</w:t>
      </w:r>
    </w:p>
    <w:p>
      <w:pPr>
        <w:pStyle w:val="9"/>
        <w:tabs>
          <w:tab w:val="left" w:pos="840"/>
          <w:tab w:val="left" w:pos="1554"/>
          <w:tab w:val="left" w:pos="2520"/>
        </w:tabs>
        <w:snapToGrid w:val="0"/>
        <w:spacing w:line="460" w:lineRule="exact"/>
        <w:ind w:firstLine="480" w:firstLineChars="200"/>
        <w:rPr>
          <w:rFonts w:hAnsi="宋体"/>
          <w:sz w:val="24"/>
          <w:szCs w:val="22"/>
        </w:rPr>
      </w:pPr>
      <w:r>
        <w:rPr>
          <w:rFonts w:hint="eastAsia" w:hAnsi="宋体"/>
          <w:sz w:val="24"/>
          <w:szCs w:val="22"/>
        </w:rPr>
        <w:t>要求估价结果与估价对象的类似房地产在同等条件下的价值或价格偏差在合理范围内的原则。</w:t>
      </w:r>
    </w:p>
    <w:p>
      <w:pPr>
        <w:pStyle w:val="9"/>
        <w:tabs>
          <w:tab w:val="left" w:pos="840"/>
          <w:tab w:val="left" w:pos="1554"/>
          <w:tab w:val="left" w:pos="2520"/>
        </w:tabs>
        <w:snapToGrid w:val="0"/>
        <w:spacing w:line="460" w:lineRule="exact"/>
        <w:ind w:firstLine="482" w:firstLineChars="200"/>
        <w:rPr>
          <w:rFonts w:hAnsi="宋体"/>
          <w:b/>
          <w:bCs/>
          <w:sz w:val="24"/>
          <w:szCs w:val="22"/>
        </w:rPr>
      </w:pPr>
      <w:r>
        <w:rPr>
          <w:rFonts w:hint="eastAsia" w:hAnsi="宋体"/>
          <w:b/>
          <w:bCs/>
          <w:sz w:val="24"/>
          <w:szCs w:val="22"/>
        </w:rPr>
        <w:t>（五）最高最佳利用原则</w:t>
      </w:r>
    </w:p>
    <w:p>
      <w:pPr>
        <w:pStyle w:val="9"/>
        <w:tabs>
          <w:tab w:val="left" w:pos="840"/>
          <w:tab w:val="left" w:pos="1554"/>
          <w:tab w:val="left" w:pos="2520"/>
        </w:tabs>
        <w:snapToGrid w:val="0"/>
        <w:spacing w:line="460" w:lineRule="exact"/>
        <w:ind w:firstLine="480" w:firstLineChars="200"/>
        <w:rPr>
          <w:rFonts w:hAnsi="宋体"/>
          <w:sz w:val="24"/>
          <w:szCs w:val="22"/>
        </w:rPr>
      </w:pPr>
      <w:r>
        <w:rPr>
          <w:rFonts w:hint="eastAsia" w:hAnsi="宋体"/>
          <w:sz w:val="24"/>
          <w:szCs w:val="22"/>
        </w:rPr>
        <w:t>要求估价结果是在估价对象最高最佳利用状况下的价值或价格的原则。</w:t>
      </w:r>
    </w:p>
    <w:p>
      <w:pPr>
        <w:pStyle w:val="9"/>
        <w:tabs>
          <w:tab w:val="left" w:pos="840"/>
          <w:tab w:val="left" w:pos="1554"/>
          <w:tab w:val="left" w:pos="2520"/>
        </w:tabs>
        <w:snapToGrid w:val="0"/>
        <w:spacing w:line="460" w:lineRule="exact"/>
        <w:ind w:firstLine="480" w:firstLineChars="200"/>
        <w:rPr>
          <w:rFonts w:hAnsi="宋体"/>
          <w:sz w:val="24"/>
          <w:szCs w:val="22"/>
        </w:rPr>
      </w:pPr>
      <w:r>
        <w:rPr>
          <w:rFonts w:hint="eastAsia" w:hAnsi="宋体"/>
          <w:sz w:val="24"/>
          <w:szCs w:val="22"/>
        </w:rPr>
        <w:t>最高最佳利用：房地产在法律上允许、技术上可能、财务上可行并使价值最大的合理、可能的利用，包括最佳的用途、规模、档次等。</w:t>
      </w:r>
    </w:p>
    <w:p>
      <w:pPr>
        <w:snapToGrid w:val="0"/>
        <w:spacing w:line="460" w:lineRule="exact"/>
        <w:ind w:firstLine="482" w:firstLineChars="200"/>
        <w:outlineLvl w:val="1"/>
        <w:rPr>
          <w:rFonts w:ascii="宋体" w:hAnsi="宋体"/>
          <w:b/>
          <w:bCs/>
          <w:sz w:val="24"/>
        </w:rPr>
      </w:pPr>
      <w:bookmarkStart w:id="129" w:name="_Toc19083"/>
      <w:r>
        <w:rPr>
          <w:rFonts w:hint="eastAsia" w:ascii="宋体" w:hAnsi="宋体"/>
          <w:b/>
          <w:bCs/>
          <w:sz w:val="24"/>
        </w:rPr>
        <w:t>八、估价依据</w:t>
      </w:r>
      <w:bookmarkEnd w:id="126"/>
      <w:bookmarkEnd w:id="129"/>
    </w:p>
    <w:p>
      <w:pPr>
        <w:adjustRightInd w:val="0"/>
        <w:snapToGrid w:val="0"/>
        <w:spacing w:line="460" w:lineRule="exact"/>
        <w:ind w:firstLine="482"/>
        <w:rPr>
          <w:rFonts w:ascii="宋体" w:hAnsi="宋体"/>
          <w:b/>
          <w:bCs/>
          <w:sz w:val="24"/>
        </w:rPr>
      </w:pPr>
      <w:r>
        <w:rPr>
          <w:rFonts w:hint="eastAsia" w:ascii="宋体" w:hAnsi="宋体"/>
          <w:b/>
          <w:bCs/>
          <w:sz w:val="24"/>
        </w:rPr>
        <w:t>（一）有关法律、法规和政策性文件</w:t>
      </w:r>
    </w:p>
    <w:p>
      <w:pPr>
        <w:adjustRightInd w:val="0"/>
        <w:snapToGrid w:val="0"/>
        <w:spacing w:line="460" w:lineRule="exact"/>
        <w:ind w:firstLine="480" w:firstLineChars="200"/>
        <w:rPr>
          <w:rFonts w:ascii="宋体" w:hAnsi="宋体"/>
          <w:sz w:val="24"/>
        </w:rPr>
      </w:pPr>
      <w:bookmarkStart w:id="130" w:name="_Hlk89762733"/>
      <w:bookmarkStart w:id="131" w:name="_Hlk43113310"/>
      <w:r>
        <w:rPr>
          <w:rFonts w:hint="eastAsia" w:ascii="宋体" w:hAnsi="宋体"/>
          <w:sz w:val="24"/>
        </w:rPr>
        <w:t>1.《中华人民共和国城市房地产管理法》（中华人民共和国主席令第三十二号，2019年8月26日第十三届全国人民代表大会常务委员会第十二次会议修正，自2020年1月1日起施行）；</w:t>
      </w:r>
    </w:p>
    <w:p>
      <w:pPr>
        <w:adjustRightInd w:val="0"/>
        <w:snapToGrid w:val="0"/>
        <w:spacing w:line="460" w:lineRule="exact"/>
        <w:ind w:firstLine="480" w:firstLineChars="200"/>
        <w:rPr>
          <w:rFonts w:ascii="宋体" w:hAnsi="宋体"/>
          <w:sz w:val="24"/>
        </w:rPr>
      </w:pPr>
      <w:r>
        <w:rPr>
          <w:rFonts w:hint="eastAsia" w:ascii="宋体" w:hAnsi="宋体"/>
          <w:sz w:val="24"/>
        </w:rPr>
        <w:t>2.《中华人民共和国土地管理法》（中华人民共和国主席令第三十二号，2019年8月26日第十三届全国人民代表大会常务委员会第十二次会议修正，自2020年1月1日起施行）；</w:t>
      </w:r>
    </w:p>
    <w:p>
      <w:pPr>
        <w:adjustRightInd w:val="0"/>
        <w:snapToGrid w:val="0"/>
        <w:spacing w:line="460" w:lineRule="exact"/>
        <w:ind w:firstLine="480" w:firstLineChars="200"/>
        <w:rPr>
          <w:rFonts w:ascii="宋体" w:hAnsi="宋体"/>
          <w:sz w:val="24"/>
        </w:rPr>
      </w:pPr>
      <w:r>
        <w:rPr>
          <w:rFonts w:hint="eastAsia" w:ascii="宋体" w:hAnsi="宋体"/>
          <w:sz w:val="24"/>
        </w:rPr>
        <w:t>3.《中华人民共和国资产评估法》（中华人民共和国主席令第四十六号，2016年7月2日第十二届全国人民代表大会常务委员会第二十一次会议通过，自2016年12月1日起施行）；</w:t>
      </w:r>
    </w:p>
    <w:p>
      <w:pPr>
        <w:adjustRightInd w:val="0"/>
        <w:snapToGrid w:val="0"/>
        <w:spacing w:line="460" w:lineRule="exact"/>
        <w:ind w:firstLine="480" w:firstLineChars="200"/>
        <w:rPr>
          <w:rFonts w:ascii="宋体" w:hAnsi="宋体"/>
          <w:sz w:val="24"/>
        </w:rPr>
      </w:pPr>
      <w:r>
        <w:rPr>
          <w:rFonts w:hint="eastAsia" w:ascii="宋体" w:hAnsi="宋体"/>
          <w:sz w:val="24"/>
        </w:rPr>
        <w:t>4.《中华人民共和国城乡规划法》（中华人民共和国主席令第七十四号，2007年10月28日第十届全国人民代表大会常务委员会第三十次会议通过，自2008年1月1日起施行，2019年4月23日第十三届全国人民代表大会常务委员会第十次会议修正）；</w:t>
      </w:r>
    </w:p>
    <w:p>
      <w:pPr>
        <w:adjustRightInd w:val="0"/>
        <w:snapToGrid w:val="0"/>
        <w:spacing w:line="460" w:lineRule="exact"/>
        <w:ind w:firstLine="480" w:firstLineChars="200"/>
        <w:rPr>
          <w:rFonts w:ascii="宋体" w:hAnsi="宋体"/>
          <w:sz w:val="24"/>
        </w:rPr>
      </w:pPr>
      <w:r>
        <w:rPr>
          <w:rFonts w:hint="eastAsia" w:ascii="宋体" w:hAnsi="宋体"/>
          <w:sz w:val="24"/>
        </w:rPr>
        <w:t>5.《中华人民共和国民法典》（中华人民共和国主席令第四十五号公布，2020年5月28日第十三届全国人民代表大会第三次会议通过，自2021年1月1日起施行）；</w:t>
      </w:r>
    </w:p>
    <w:p>
      <w:pPr>
        <w:adjustRightInd w:val="0"/>
        <w:snapToGrid w:val="0"/>
        <w:spacing w:line="460" w:lineRule="exact"/>
        <w:ind w:firstLine="480" w:firstLineChars="200"/>
        <w:rPr>
          <w:rFonts w:ascii="宋体" w:hAnsi="宋体"/>
          <w:sz w:val="24"/>
        </w:rPr>
      </w:pPr>
      <w:r>
        <w:rPr>
          <w:rFonts w:hint="eastAsia" w:ascii="宋体" w:hAnsi="宋体"/>
          <w:sz w:val="24"/>
        </w:rPr>
        <w:t>6.《中华人民共和国城镇国有土地使用权出让和转让暂行条例》（1990年5月19日中华人民共和国国务院令第五十五号发布，自发布之日起施行，2020年11月29日，国务院发布人民共和国国务院令第567号《国务院关于修改和废止部分行政法规的决定》，删去其中第五十二条）；</w:t>
      </w:r>
    </w:p>
    <w:p>
      <w:pPr>
        <w:adjustRightInd w:val="0"/>
        <w:snapToGrid w:val="0"/>
        <w:spacing w:line="460" w:lineRule="exact"/>
        <w:ind w:firstLine="480" w:firstLineChars="200"/>
        <w:rPr>
          <w:rFonts w:ascii="宋体" w:hAnsi="宋体"/>
          <w:sz w:val="24"/>
        </w:rPr>
      </w:pPr>
      <w:r>
        <w:rPr>
          <w:rFonts w:hint="eastAsia" w:ascii="宋体" w:hAnsi="宋体"/>
          <w:sz w:val="24"/>
        </w:rPr>
        <w:t>7.《中华人民共和国土地管理法实施条例》（中华人民共和国国务院令第743号，2021年7月30日发布，自2021年9月1日起施行）；</w:t>
      </w:r>
    </w:p>
    <w:p>
      <w:pPr>
        <w:adjustRightInd w:val="0"/>
        <w:snapToGrid w:val="0"/>
        <w:spacing w:line="460" w:lineRule="exact"/>
        <w:ind w:firstLine="480" w:firstLineChars="200"/>
        <w:rPr>
          <w:rFonts w:ascii="宋体" w:hAnsi="宋体"/>
          <w:sz w:val="24"/>
        </w:rPr>
      </w:pPr>
      <w:r>
        <w:rPr>
          <w:rFonts w:hint="eastAsia" w:ascii="宋体" w:hAnsi="宋体"/>
          <w:sz w:val="24"/>
        </w:rPr>
        <w:t>8.《全国人民代表大会常务委员会关于司法鉴定管理问题的决定》（2005年2月28日第十届全国人民代表大会常务委员会第十四次会议通过，自2005年10月1日起施行，2015年4月24日第十二届全国人民代表大会常务委员会第十四次会议修正）；</w:t>
      </w:r>
    </w:p>
    <w:p>
      <w:pPr>
        <w:adjustRightInd w:val="0"/>
        <w:snapToGrid w:val="0"/>
        <w:spacing w:line="460" w:lineRule="exact"/>
        <w:ind w:firstLine="480" w:firstLineChars="200"/>
        <w:rPr>
          <w:rFonts w:ascii="宋体" w:hAnsi="宋体"/>
          <w:sz w:val="24"/>
        </w:rPr>
      </w:pPr>
      <w:r>
        <w:rPr>
          <w:rFonts w:hint="eastAsia" w:ascii="宋体" w:hAnsi="宋体"/>
          <w:sz w:val="24"/>
        </w:rPr>
        <w:t>9.《最高人民法院关于人民法院确定财产处置参考价若干问题的规定》（法释[2018]15号,2018年6月4日最高人民法院审判委员会第1741次会议通过，自2018年9月1日起施行）；</w:t>
      </w:r>
    </w:p>
    <w:p>
      <w:pPr>
        <w:adjustRightInd w:val="0"/>
        <w:snapToGrid w:val="0"/>
        <w:spacing w:line="460" w:lineRule="exact"/>
        <w:ind w:firstLine="480" w:firstLineChars="200"/>
        <w:rPr>
          <w:rFonts w:ascii="宋体" w:hAnsi="宋体"/>
          <w:sz w:val="24"/>
        </w:rPr>
      </w:pPr>
      <w:r>
        <w:rPr>
          <w:rFonts w:hint="eastAsia" w:ascii="宋体" w:hAnsi="宋体"/>
          <w:sz w:val="24"/>
        </w:rPr>
        <w:t>10.关于印发《人民法院委托评估工作规范》的通知（法办[2018]273号，2018年12月10日发布施行）；</w:t>
      </w:r>
    </w:p>
    <w:p>
      <w:pPr>
        <w:adjustRightInd w:val="0"/>
        <w:snapToGrid w:val="0"/>
        <w:spacing w:line="460" w:lineRule="exact"/>
        <w:ind w:firstLine="480" w:firstLineChars="200"/>
        <w:rPr>
          <w:rFonts w:ascii="宋体" w:hAnsi="宋体"/>
          <w:sz w:val="24"/>
        </w:rPr>
      </w:pPr>
      <w:r>
        <w:rPr>
          <w:rFonts w:hint="eastAsia" w:ascii="宋体" w:hAnsi="宋体"/>
          <w:sz w:val="24"/>
        </w:rPr>
        <w:t>11.《司法鉴定程序通则》（司法部令第132号，2015年12月24日司法部部务会议修订通过，自2016年5月1日起施行）；</w:t>
      </w:r>
      <w:bookmarkEnd w:id="130"/>
    </w:p>
    <w:bookmarkEnd w:id="131"/>
    <w:p>
      <w:pPr>
        <w:adjustRightInd w:val="0"/>
        <w:snapToGrid w:val="0"/>
        <w:spacing w:line="460" w:lineRule="exact"/>
        <w:ind w:firstLine="480" w:firstLineChars="200"/>
        <w:rPr>
          <w:rFonts w:ascii="宋体" w:hAnsi="宋体" w:cs="宋体"/>
          <w:sz w:val="24"/>
        </w:rPr>
      </w:pPr>
      <w:bookmarkStart w:id="132" w:name="_Hlk99059456"/>
      <w:r>
        <w:rPr>
          <w:rFonts w:hint="eastAsia" w:ascii="宋体" w:hAnsi="宋体"/>
          <w:sz w:val="24"/>
        </w:rPr>
        <w:t>1</w:t>
      </w:r>
      <w:r>
        <w:rPr>
          <w:rFonts w:ascii="宋体" w:hAnsi="宋体"/>
          <w:sz w:val="24"/>
        </w:rPr>
        <w:t>2</w:t>
      </w:r>
      <w:r>
        <w:rPr>
          <w:rFonts w:hint="eastAsia" w:ascii="宋体" w:hAnsi="宋体"/>
          <w:sz w:val="24"/>
        </w:rPr>
        <w:t>.</w:t>
      </w:r>
      <w:bookmarkStart w:id="133" w:name="依据—有关法律、法规和政策性文件—基准地价文件"/>
      <w:r>
        <w:rPr>
          <w:rFonts w:hint="eastAsia" w:ascii="宋体" w:hAnsi="宋体" w:cs="宋体"/>
          <w:sz w:val="24"/>
        </w:rPr>
        <w:t>《福州市人民政府关于印发2019年福州市四城区城镇基准地价更新成果的通知》（榕政办〔2020〕101号</w:t>
      </w:r>
      <w:bookmarkEnd w:id="133"/>
      <w:r>
        <w:rPr>
          <w:rFonts w:hint="eastAsia" w:ascii="宋体" w:hAnsi="宋体" w:cs="宋体"/>
          <w:sz w:val="24"/>
        </w:rPr>
        <w:t>，202</w:t>
      </w:r>
      <w:r>
        <w:rPr>
          <w:rFonts w:ascii="宋体" w:hAnsi="宋体" w:cs="宋体"/>
          <w:sz w:val="24"/>
        </w:rPr>
        <w:t>0</w:t>
      </w:r>
      <w:r>
        <w:rPr>
          <w:rFonts w:hint="eastAsia" w:ascii="宋体" w:hAnsi="宋体" w:cs="宋体"/>
          <w:sz w:val="24"/>
        </w:rPr>
        <w:t>年0</w:t>
      </w:r>
      <w:r>
        <w:rPr>
          <w:rFonts w:ascii="宋体" w:hAnsi="宋体" w:cs="宋体"/>
          <w:sz w:val="24"/>
        </w:rPr>
        <w:t>9</w:t>
      </w:r>
      <w:r>
        <w:rPr>
          <w:rFonts w:hint="eastAsia" w:ascii="宋体" w:hAnsi="宋体" w:cs="宋体"/>
          <w:sz w:val="24"/>
        </w:rPr>
        <w:t>月</w:t>
      </w:r>
      <w:r>
        <w:rPr>
          <w:rFonts w:ascii="宋体" w:hAnsi="宋体" w:cs="宋体"/>
          <w:sz w:val="24"/>
        </w:rPr>
        <w:t>22</w:t>
      </w:r>
      <w:r>
        <w:rPr>
          <w:rFonts w:hint="eastAsia" w:ascii="宋体" w:hAnsi="宋体" w:cs="宋体"/>
          <w:sz w:val="24"/>
        </w:rPr>
        <w:t>日发布施行）。</w:t>
      </w:r>
      <w:bookmarkEnd w:id="132"/>
    </w:p>
    <w:p>
      <w:pPr>
        <w:adjustRightInd w:val="0"/>
        <w:snapToGrid w:val="0"/>
        <w:spacing w:line="460" w:lineRule="exact"/>
        <w:ind w:firstLine="482" w:firstLineChars="200"/>
        <w:rPr>
          <w:rFonts w:ascii="宋体" w:hAnsi="宋体"/>
          <w:b/>
          <w:bCs/>
          <w:sz w:val="24"/>
        </w:rPr>
      </w:pPr>
      <w:bookmarkStart w:id="134" w:name="_Hlk99059416"/>
      <w:r>
        <w:rPr>
          <w:rFonts w:hint="eastAsia" w:ascii="宋体" w:hAnsi="宋体"/>
          <w:b/>
          <w:bCs/>
          <w:sz w:val="24"/>
        </w:rPr>
        <w:t>（二）有关估价标准</w:t>
      </w:r>
    </w:p>
    <w:p>
      <w:pPr>
        <w:adjustRightInd w:val="0"/>
        <w:snapToGrid w:val="0"/>
        <w:spacing w:line="460" w:lineRule="exact"/>
        <w:ind w:firstLine="480" w:firstLineChars="200"/>
        <w:jc w:val="left"/>
        <w:rPr>
          <w:rFonts w:ascii="宋体" w:hAnsi="宋体"/>
          <w:sz w:val="24"/>
        </w:rPr>
      </w:pPr>
      <w:r>
        <w:rPr>
          <w:rFonts w:hint="eastAsia" w:ascii="宋体" w:hAnsi="宋体"/>
          <w:sz w:val="24"/>
        </w:rPr>
        <w:t>1.《房地产估价规范》（中华人民共和国国家标准GB/T 50291－2015）；</w:t>
      </w:r>
    </w:p>
    <w:p>
      <w:pPr>
        <w:adjustRightInd w:val="0"/>
        <w:snapToGrid w:val="0"/>
        <w:spacing w:line="460" w:lineRule="exact"/>
        <w:ind w:firstLine="480" w:firstLineChars="200"/>
        <w:jc w:val="left"/>
        <w:rPr>
          <w:rFonts w:ascii="宋体" w:hAnsi="宋体"/>
          <w:sz w:val="24"/>
        </w:rPr>
      </w:pPr>
      <w:r>
        <w:rPr>
          <w:rFonts w:hint="eastAsia" w:ascii="宋体" w:hAnsi="宋体"/>
          <w:sz w:val="24"/>
        </w:rPr>
        <w:t>2.《房地产估价基本术语标准》（中华人民共和国国家标准GB/T 50899－2013）；</w:t>
      </w:r>
    </w:p>
    <w:bookmarkEnd w:id="134"/>
    <w:p>
      <w:pPr>
        <w:adjustRightInd w:val="0"/>
        <w:snapToGrid w:val="0"/>
        <w:spacing w:line="460" w:lineRule="exact"/>
        <w:ind w:firstLine="480" w:firstLineChars="200"/>
        <w:jc w:val="left"/>
        <w:rPr>
          <w:rFonts w:ascii="宋体" w:hAnsi="宋体"/>
          <w:sz w:val="24"/>
        </w:rPr>
      </w:pPr>
      <w:r>
        <w:rPr>
          <w:rFonts w:hint="eastAsia" w:ascii="宋体" w:hAnsi="宋体"/>
          <w:sz w:val="24"/>
        </w:rPr>
        <w:t>3.《关于印发&lt;涉执房地产处置司法评估指导意见（试行）&gt;的通知》（中房学〔2021〕37号）。</w:t>
      </w:r>
    </w:p>
    <w:p>
      <w:pPr>
        <w:adjustRightInd w:val="0"/>
        <w:snapToGrid w:val="0"/>
        <w:spacing w:line="460" w:lineRule="exact"/>
        <w:ind w:firstLine="482" w:firstLineChars="200"/>
        <w:rPr>
          <w:rFonts w:ascii="宋体" w:hAnsi="宋体"/>
          <w:b/>
          <w:bCs/>
          <w:sz w:val="24"/>
        </w:rPr>
      </w:pPr>
      <w:r>
        <w:rPr>
          <w:rFonts w:hint="eastAsia" w:ascii="宋体" w:hAnsi="宋体"/>
          <w:b/>
          <w:bCs/>
          <w:sz w:val="24"/>
        </w:rPr>
        <w:t>（三）估价委托人提供的有关资料</w:t>
      </w:r>
    </w:p>
    <w:p>
      <w:pPr>
        <w:adjustRightInd w:val="0"/>
        <w:snapToGrid w:val="0"/>
        <w:spacing w:line="460" w:lineRule="exact"/>
        <w:ind w:firstLine="480" w:firstLineChars="200"/>
        <w:jc w:val="left"/>
        <w:rPr>
          <w:rFonts w:ascii="宋体" w:hAnsi="宋体"/>
          <w:sz w:val="24"/>
        </w:rPr>
      </w:pPr>
      <w:r>
        <w:rPr>
          <w:rFonts w:hint="eastAsia" w:ascii="宋体" w:hAnsi="宋体"/>
          <w:sz w:val="24"/>
        </w:rPr>
        <w:t>1.（202</w:t>
      </w:r>
      <w:r>
        <w:rPr>
          <w:rFonts w:ascii="宋体" w:hAnsi="宋体"/>
          <w:sz w:val="24"/>
        </w:rPr>
        <w:t>2</w:t>
      </w:r>
      <w:r>
        <w:rPr>
          <w:rFonts w:hint="eastAsia" w:ascii="宋体" w:hAnsi="宋体"/>
          <w:sz w:val="24"/>
        </w:rPr>
        <w:t>）闽</w:t>
      </w:r>
      <w:r>
        <w:rPr>
          <w:rFonts w:ascii="宋体" w:hAnsi="宋体"/>
          <w:sz w:val="24"/>
        </w:rPr>
        <w:t>0121</w:t>
      </w:r>
      <w:r>
        <w:rPr>
          <w:rFonts w:hint="eastAsia" w:ascii="宋体" w:hAnsi="宋体"/>
          <w:sz w:val="24"/>
        </w:rPr>
        <w:t>执恢</w:t>
      </w:r>
      <w:r>
        <w:rPr>
          <w:rFonts w:ascii="宋体" w:hAnsi="宋体"/>
          <w:sz w:val="24"/>
        </w:rPr>
        <w:t>506</w:t>
      </w:r>
      <w:r>
        <w:rPr>
          <w:rFonts w:hint="eastAsia" w:ascii="宋体" w:hAnsi="宋体"/>
          <w:sz w:val="24"/>
        </w:rPr>
        <w:t>号《福建省闽侯县人民法院评估委托书》；</w:t>
      </w:r>
    </w:p>
    <w:p>
      <w:pPr>
        <w:adjustRightInd w:val="0"/>
        <w:snapToGrid w:val="0"/>
        <w:spacing w:line="460" w:lineRule="exact"/>
        <w:ind w:firstLine="480" w:firstLineChars="200"/>
        <w:jc w:val="left"/>
        <w:rPr>
          <w:rFonts w:ascii="宋体" w:hAnsi="宋体"/>
          <w:sz w:val="24"/>
        </w:rPr>
      </w:pPr>
      <w:r>
        <w:rPr>
          <w:rFonts w:hint="eastAsia" w:ascii="宋体" w:hAnsi="宋体"/>
          <w:sz w:val="24"/>
        </w:rPr>
        <w:t>2.</w:t>
      </w:r>
      <w:bookmarkStart w:id="135" w:name="_Hlk99059342"/>
      <w:r>
        <w:rPr>
          <w:rFonts w:hint="eastAsia" w:ascii="宋体" w:hAnsi="宋体"/>
          <w:sz w:val="24"/>
        </w:rPr>
        <w:t>估价对象的《房屋登记簿》（房屋编号：</w:t>
      </w:r>
      <w:r>
        <w:rPr>
          <w:rFonts w:ascii="宋体" w:hAnsi="宋体"/>
          <w:sz w:val="24"/>
        </w:rPr>
        <w:t>978701</w:t>
      </w:r>
      <w:r>
        <w:rPr>
          <w:rFonts w:hint="eastAsia" w:ascii="宋体" w:hAnsi="宋体"/>
          <w:sz w:val="24"/>
        </w:rPr>
        <w:t>）、《不动产登记簿附件（所有权）》（不动产编号：9</w:t>
      </w:r>
      <w:r>
        <w:rPr>
          <w:rFonts w:ascii="宋体" w:hAnsi="宋体"/>
          <w:sz w:val="24"/>
        </w:rPr>
        <w:t>78701</w:t>
      </w:r>
      <w:r>
        <w:rPr>
          <w:rFonts w:hint="eastAsia" w:ascii="宋体" w:hAnsi="宋体"/>
          <w:sz w:val="24"/>
        </w:rPr>
        <w:t>）复印件。</w:t>
      </w:r>
      <w:bookmarkEnd w:id="135"/>
    </w:p>
    <w:p>
      <w:pPr>
        <w:adjustRightInd w:val="0"/>
        <w:snapToGrid w:val="0"/>
        <w:spacing w:line="460" w:lineRule="exact"/>
        <w:ind w:firstLine="482" w:firstLineChars="200"/>
        <w:jc w:val="left"/>
        <w:rPr>
          <w:rFonts w:ascii="宋体" w:hAnsi="宋体"/>
          <w:b/>
          <w:bCs/>
          <w:sz w:val="24"/>
        </w:rPr>
      </w:pPr>
      <w:bookmarkStart w:id="136" w:name="_Hlk99059315"/>
      <w:r>
        <w:rPr>
          <w:rFonts w:hint="eastAsia" w:ascii="宋体" w:hAnsi="宋体"/>
          <w:b/>
          <w:bCs/>
          <w:sz w:val="24"/>
        </w:rPr>
        <w:t>（四）房地产估价机构、注册房地产估价师调查和搜集的相关资料</w:t>
      </w:r>
    </w:p>
    <w:p>
      <w:pPr>
        <w:adjustRightInd w:val="0"/>
        <w:snapToGrid w:val="0"/>
        <w:spacing w:line="460" w:lineRule="exact"/>
        <w:ind w:firstLine="480" w:firstLineChars="200"/>
        <w:jc w:val="left"/>
        <w:rPr>
          <w:rFonts w:ascii="宋体" w:hAnsi="宋体"/>
          <w:sz w:val="24"/>
        </w:rPr>
      </w:pPr>
      <w:r>
        <w:rPr>
          <w:rFonts w:hint="eastAsia" w:ascii="宋体" w:hAnsi="宋体"/>
          <w:sz w:val="24"/>
        </w:rPr>
        <w:t>1.注册房地产估价师实地查勘记录和估价机构掌握的其他相关资料；</w:t>
      </w:r>
    </w:p>
    <w:p>
      <w:pPr>
        <w:adjustRightInd w:val="0"/>
        <w:snapToGrid w:val="0"/>
        <w:spacing w:line="460" w:lineRule="exact"/>
        <w:ind w:firstLine="480" w:firstLineChars="200"/>
        <w:jc w:val="left"/>
        <w:rPr>
          <w:rFonts w:ascii="宋体" w:hAnsi="宋体"/>
          <w:sz w:val="24"/>
        </w:rPr>
      </w:pPr>
      <w:r>
        <w:rPr>
          <w:rFonts w:hint="eastAsia" w:ascii="宋体" w:hAnsi="宋体"/>
          <w:sz w:val="24"/>
        </w:rPr>
        <w:t>2.估价对象所在区域的房地产市场状况、同类房地产市场交易实例等资料。</w:t>
      </w:r>
    </w:p>
    <w:bookmarkEnd w:id="136"/>
    <w:p>
      <w:pPr>
        <w:adjustRightInd w:val="0"/>
        <w:snapToGrid w:val="0"/>
        <w:spacing w:line="460" w:lineRule="exact"/>
        <w:ind w:firstLine="482" w:firstLineChars="200"/>
        <w:jc w:val="left"/>
        <w:outlineLvl w:val="1"/>
        <w:rPr>
          <w:rFonts w:ascii="宋体" w:hAnsi="宋体"/>
          <w:b/>
          <w:bCs/>
          <w:sz w:val="24"/>
        </w:rPr>
      </w:pPr>
      <w:bookmarkStart w:id="137" w:name="_Toc30749"/>
      <w:bookmarkStart w:id="138" w:name="_Toc384126365"/>
      <w:bookmarkStart w:id="139" w:name="_Hlk99059279"/>
      <w:r>
        <w:rPr>
          <w:rFonts w:hint="eastAsia" w:ascii="宋体" w:hAnsi="宋体"/>
          <w:b/>
          <w:bCs/>
          <w:sz w:val="24"/>
        </w:rPr>
        <w:t>九、估价方法</w:t>
      </w:r>
      <w:bookmarkEnd w:id="137"/>
      <w:bookmarkEnd w:id="138"/>
    </w:p>
    <w:bookmarkEnd w:id="120"/>
    <w:bookmarkEnd w:id="121"/>
    <w:bookmarkEnd w:id="122"/>
    <w:p>
      <w:pPr>
        <w:adjustRightInd w:val="0"/>
        <w:snapToGrid w:val="0"/>
        <w:spacing w:line="460" w:lineRule="exact"/>
        <w:ind w:firstLine="482" w:firstLineChars="200"/>
        <w:jc w:val="left"/>
        <w:rPr>
          <w:rFonts w:ascii="宋体" w:hAnsi="宋体"/>
          <w:b/>
          <w:bCs/>
          <w:sz w:val="24"/>
        </w:rPr>
      </w:pPr>
      <w:bookmarkStart w:id="140" w:name="_Toc282502414"/>
      <w:r>
        <w:rPr>
          <w:rFonts w:hint="eastAsia" w:ascii="宋体" w:hAnsi="宋体"/>
          <w:b/>
          <w:bCs/>
          <w:sz w:val="24"/>
        </w:rPr>
        <w:t>（一）估价方法的选用</w:t>
      </w:r>
    </w:p>
    <w:p>
      <w:pPr>
        <w:adjustRightInd w:val="0"/>
        <w:snapToGrid w:val="0"/>
        <w:spacing w:line="460" w:lineRule="exact"/>
        <w:ind w:firstLine="480" w:firstLineChars="200"/>
        <w:jc w:val="left"/>
        <w:rPr>
          <w:rFonts w:ascii="宋体" w:hAnsi="宋体"/>
          <w:sz w:val="24"/>
        </w:rPr>
      </w:pPr>
      <w:r>
        <w:rPr>
          <w:rFonts w:hint="eastAsia" w:ascii="宋体" w:hAnsi="宋体"/>
          <w:sz w:val="24"/>
        </w:rPr>
        <w:t>本次选用比较法和收益法进行估价。</w:t>
      </w:r>
    </w:p>
    <w:p>
      <w:pPr>
        <w:adjustRightInd w:val="0"/>
        <w:snapToGrid w:val="0"/>
        <w:spacing w:line="460" w:lineRule="exact"/>
        <w:ind w:firstLine="482" w:firstLineChars="200"/>
        <w:jc w:val="left"/>
        <w:rPr>
          <w:rFonts w:ascii="宋体" w:hAnsi="宋体"/>
          <w:b/>
          <w:bCs/>
          <w:sz w:val="24"/>
        </w:rPr>
      </w:pPr>
      <w:r>
        <w:rPr>
          <w:rFonts w:hint="eastAsia" w:ascii="宋体" w:hAnsi="宋体"/>
          <w:b/>
          <w:bCs/>
          <w:sz w:val="24"/>
        </w:rPr>
        <w:t>（二）估价方法的定义</w:t>
      </w:r>
    </w:p>
    <w:bookmarkEnd w:id="139"/>
    <w:p>
      <w:pPr>
        <w:adjustRightInd w:val="0"/>
        <w:snapToGrid w:val="0"/>
        <w:spacing w:line="460" w:lineRule="exact"/>
        <w:ind w:firstLine="480" w:firstLineChars="200"/>
        <w:jc w:val="left"/>
        <w:rPr>
          <w:rFonts w:ascii="宋体" w:hAnsi="宋体"/>
          <w:sz w:val="24"/>
        </w:rPr>
      </w:pPr>
      <w:bookmarkStart w:id="141" w:name="_Hlk99059267"/>
      <w:r>
        <w:rPr>
          <w:rFonts w:hint="eastAsia" w:ascii="宋体" w:hAnsi="宋体"/>
          <w:sz w:val="24"/>
        </w:rPr>
        <w:t>1.比较法</w:t>
      </w:r>
    </w:p>
    <w:p>
      <w:pPr>
        <w:adjustRightInd w:val="0"/>
        <w:snapToGrid w:val="0"/>
        <w:spacing w:line="460" w:lineRule="exact"/>
        <w:ind w:firstLine="480" w:firstLineChars="200"/>
        <w:jc w:val="left"/>
        <w:rPr>
          <w:rFonts w:ascii="宋体" w:hAnsi="宋体"/>
          <w:sz w:val="24"/>
        </w:rPr>
      </w:pPr>
      <w:r>
        <w:rPr>
          <w:rFonts w:hint="eastAsia" w:ascii="宋体" w:hAnsi="宋体"/>
          <w:sz w:val="24"/>
        </w:rPr>
        <w:t>所谓比较法是指选取一定数量的可比实例，将它们与估价对象进行比较，根据其间的差异对可比实例成交价格进行处理后得到估价对象价值或价格的方法。</w:t>
      </w:r>
    </w:p>
    <w:p>
      <w:pPr>
        <w:adjustRightInd w:val="0"/>
        <w:snapToGrid w:val="0"/>
        <w:spacing w:line="460" w:lineRule="exact"/>
        <w:ind w:firstLine="480" w:firstLineChars="200"/>
        <w:jc w:val="left"/>
        <w:rPr>
          <w:rFonts w:ascii="宋体" w:hAnsi="宋体"/>
          <w:sz w:val="24"/>
        </w:rPr>
      </w:pPr>
      <w:r>
        <w:rPr>
          <w:rFonts w:hint="eastAsia" w:ascii="宋体" w:hAnsi="宋体"/>
          <w:sz w:val="24"/>
        </w:rPr>
        <w:t>比较法的基本公式为：</w:t>
      </w:r>
    </w:p>
    <w:p>
      <w:pPr>
        <w:pStyle w:val="9"/>
        <w:tabs>
          <w:tab w:val="left" w:pos="840"/>
          <w:tab w:val="left" w:pos="2520"/>
        </w:tabs>
        <w:snapToGrid w:val="0"/>
        <w:spacing w:line="460" w:lineRule="exact"/>
        <w:ind w:right="105" w:rightChars="50" w:firstLine="480" w:firstLineChars="200"/>
        <w:rPr>
          <w:rFonts w:hAnsi="宋体"/>
          <w:sz w:val="24"/>
        </w:rPr>
      </w:pPr>
      <w:r>
        <w:rPr>
          <w:rFonts w:hint="eastAsia" w:hAnsi="宋体"/>
          <w:sz w:val="24"/>
        </w:rPr>
        <w:t>比较价格=可比实例成交价格×交易情况修正系数×市场状况调整系数×房地产状况调整系数。</w:t>
      </w:r>
    </w:p>
    <w:p>
      <w:pPr>
        <w:pStyle w:val="9"/>
        <w:tabs>
          <w:tab w:val="left" w:pos="840"/>
          <w:tab w:val="left" w:pos="2520"/>
        </w:tabs>
        <w:snapToGrid w:val="0"/>
        <w:spacing w:line="460" w:lineRule="exact"/>
        <w:ind w:right="105" w:rightChars="50" w:firstLine="480" w:firstLineChars="200"/>
        <w:rPr>
          <w:rFonts w:hAnsi="宋体"/>
          <w:sz w:val="24"/>
        </w:rPr>
      </w:pPr>
      <w:r>
        <w:rPr>
          <w:rFonts w:hint="eastAsia" w:hAnsi="宋体"/>
          <w:sz w:val="24"/>
        </w:rPr>
        <w:t>2.收益法</w:t>
      </w:r>
    </w:p>
    <w:p>
      <w:pPr>
        <w:pStyle w:val="9"/>
        <w:widowControl/>
        <w:tabs>
          <w:tab w:val="left" w:pos="840"/>
          <w:tab w:val="left" w:pos="2520"/>
        </w:tabs>
        <w:snapToGrid w:val="0"/>
        <w:spacing w:line="460" w:lineRule="exact"/>
        <w:ind w:firstLine="480" w:firstLineChars="200"/>
        <w:rPr>
          <w:rFonts w:hAnsi="宋体"/>
          <w:sz w:val="24"/>
        </w:rPr>
      </w:pPr>
      <w:r>
        <w:rPr>
          <w:rFonts w:hint="eastAsia" w:hAnsi="宋体"/>
          <w:sz w:val="24"/>
        </w:rPr>
        <w:t>所谓收益法是预测估价对象的未来收益，然后将其转化为价值来求取估价对象价值的方法。</w:t>
      </w:r>
    </w:p>
    <w:p>
      <w:pPr>
        <w:pStyle w:val="9"/>
        <w:widowControl/>
        <w:tabs>
          <w:tab w:val="left" w:pos="840"/>
          <w:tab w:val="left" w:pos="2520"/>
        </w:tabs>
        <w:snapToGrid w:val="0"/>
        <w:spacing w:line="460" w:lineRule="exact"/>
        <w:ind w:firstLine="480" w:firstLineChars="200"/>
        <w:rPr>
          <w:rFonts w:hAnsi="宋体"/>
          <w:sz w:val="24"/>
        </w:rPr>
      </w:pPr>
      <w:r>
        <w:rPr>
          <w:rFonts w:hint="eastAsia" w:hAnsi="宋体"/>
          <w:sz w:val="24"/>
        </w:rPr>
        <w:t>收益法的基本公式为：</w:t>
      </w:r>
    </w:p>
    <w:p>
      <w:pPr>
        <w:widowControl/>
        <w:spacing w:line="480" w:lineRule="auto"/>
        <w:jc w:val="center"/>
        <w:rPr>
          <w:rFonts w:ascii="宋体" w:hAnsi="宋体" w:cs="宋体"/>
          <w:kern w:val="0"/>
          <w:sz w:val="24"/>
        </w:rPr>
      </w:pPr>
      <w:r>
        <w:rPr>
          <w:rFonts w:ascii="宋体" w:hAnsi="宋体" w:cs="宋体"/>
          <w:kern w:val="0"/>
          <w:sz w:val="24"/>
        </w:rPr>
        <w:pict>
          <v:shape id="_x0000_i1025" o:spt="75" type="#_x0000_t75" style="height:45.6pt;width:192pt;" filled="f" o:preferrelative="t" stroked="f" coordsize="21600,21600">
            <v:path/>
            <v:fill on="f" focussize="0,0"/>
            <v:stroke on="f" joinstyle="miter"/>
            <v:imagedata r:id="rId14" o:title=""/>
            <o:lock v:ext="edit" aspectratio="t"/>
            <w10:wrap type="none"/>
            <w10:anchorlock/>
          </v:shape>
        </w:pict>
      </w:r>
    </w:p>
    <w:p>
      <w:pPr>
        <w:pStyle w:val="9"/>
        <w:tabs>
          <w:tab w:val="left" w:pos="840"/>
          <w:tab w:val="left" w:pos="2520"/>
        </w:tabs>
        <w:snapToGrid w:val="0"/>
        <w:spacing w:line="480" w:lineRule="exact"/>
        <w:ind w:right="105" w:rightChars="50" w:firstLine="480" w:firstLineChars="200"/>
        <w:rPr>
          <w:rFonts w:hAnsi="宋体"/>
          <w:sz w:val="24"/>
        </w:rPr>
      </w:pPr>
      <w:r>
        <w:rPr>
          <w:rFonts w:hint="eastAsia" w:hAnsi="宋体"/>
          <w:sz w:val="24"/>
        </w:rPr>
        <w:t>其中：V—收益价值(元或元/平方米)；</w:t>
      </w:r>
    </w:p>
    <w:p>
      <w:pPr>
        <w:pStyle w:val="9"/>
        <w:tabs>
          <w:tab w:val="left" w:pos="840"/>
          <w:tab w:val="left" w:pos="2520"/>
        </w:tabs>
        <w:snapToGrid w:val="0"/>
        <w:spacing w:line="480" w:lineRule="exact"/>
        <w:ind w:right="105" w:rightChars="50" w:firstLine="480" w:firstLineChars="200"/>
        <w:rPr>
          <w:rFonts w:hAnsi="宋体"/>
          <w:sz w:val="24"/>
        </w:rPr>
      </w:pPr>
      <w:r>
        <w:rPr>
          <w:rFonts w:hint="eastAsia" w:hAnsi="宋体"/>
          <w:sz w:val="24"/>
        </w:rPr>
        <w:t xml:space="preserve">      A</w:t>
      </w:r>
      <w:r>
        <w:rPr>
          <w:rFonts w:hint="eastAsia" w:hAnsi="宋体"/>
          <w:sz w:val="24"/>
          <w:vertAlign w:val="subscript"/>
        </w:rPr>
        <w:t>i</w:t>
      </w:r>
      <w:r>
        <w:rPr>
          <w:rFonts w:hint="eastAsia" w:hAnsi="宋体"/>
          <w:sz w:val="24"/>
        </w:rPr>
        <w:t>—未来第i年的收益（元或元/平方米）；</w:t>
      </w:r>
    </w:p>
    <w:p>
      <w:pPr>
        <w:pStyle w:val="9"/>
        <w:tabs>
          <w:tab w:val="left" w:pos="840"/>
          <w:tab w:val="left" w:pos="2520"/>
        </w:tabs>
        <w:snapToGrid w:val="0"/>
        <w:spacing w:line="480" w:lineRule="exact"/>
        <w:ind w:right="105" w:rightChars="50" w:firstLine="480" w:firstLineChars="200"/>
        <w:rPr>
          <w:rFonts w:hAnsi="宋体"/>
          <w:sz w:val="24"/>
        </w:rPr>
      </w:pPr>
      <w:r>
        <w:rPr>
          <w:rFonts w:hint="eastAsia" w:hAnsi="宋体"/>
          <w:sz w:val="24"/>
        </w:rPr>
        <w:t xml:space="preserve">      Y</w:t>
      </w:r>
      <w:r>
        <w:rPr>
          <w:rFonts w:hint="eastAsia" w:hAnsi="宋体"/>
          <w:sz w:val="24"/>
          <w:vertAlign w:val="subscript"/>
        </w:rPr>
        <w:t>i</w:t>
      </w:r>
      <w:r>
        <w:rPr>
          <w:rFonts w:hint="eastAsia" w:hAnsi="宋体"/>
          <w:sz w:val="24"/>
        </w:rPr>
        <w:t>—未来第i年的报酬率（%）；</w:t>
      </w:r>
    </w:p>
    <w:p>
      <w:pPr>
        <w:pStyle w:val="9"/>
        <w:tabs>
          <w:tab w:val="left" w:pos="840"/>
          <w:tab w:val="left" w:pos="2520"/>
        </w:tabs>
        <w:snapToGrid w:val="0"/>
        <w:spacing w:line="480" w:lineRule="exact"/>
        <w:ind w:right="105" w:rightChars="50" w:firstLine="480" w:firstLineChars="200"/>
        <w:rPr>
          <w:rFonts w:hAnsi="宋体"/>
          <w:sz w:val="24"/>
        </w:rPr>
      </w:pPr>
      <w:r>
        <w:rPr>
          <w:rFonts w:hint="eastAsia" w:hAnsi="宋体"/>
          <w:sz w:val="24"/>
        </w:rPr>
        <w:t xml:space="preserve">      n—收益期（年）。</w:t>
      </w:r>
    </w:p>
    <w:bookmarkEnd w:id="141"/>
    <w:p>
      <w:pPr>
        <w:adjustRightInd w:val="0"/>
        <w:snapToGrid w:val="0"/>
        <w:spacing w:line="480" w:lineRule="exact"/>
        <w:ind w:firstLine="482" w:firstLineChars="200"/>
        <w:jc w:val="left"/>
        <w:outlineLvl w:val="1"/>
        <w:rPr>
          <w:rFonts w:ascii="宋体" w:hAnsi="宋体"/>
          <w:b/>
          <w:bCs/>
          <w:sz w:val="24"/>
        </w:rPr>
      </w:pPr>
      <w:bookmarkStart w:id="142" w:name="_Toc17352"/>
      <w:r>
        <w:rPr>
          <w:rFonts w:hint="eastAsia" w:ascii="宋体" w:hAnsi="宋体"/>
          <w:b/>
          <w:bCs/>
          <w:sz w:val="24"/>
        </w:rPr>
        <w:t>十、估价结果</w:t>
      </w:r>
      <w:bookmarkEnd w:id="140"/>
      <w:bookmarkEnd w:id="142"/>
    </w:p>
    <w:p>
      <w:pPr>
        <w:snapToGrid w:val="0"/>
        <w:spacing w:line="480" w:lineRule="exact"/>
        <w:ind w:firstLine="480" w:firstLineChars="200"/>
        <w:rPr>
          <w:rFonts w:ascii="宋体" w:hAnsi="宋体"/>
          <w:sz w:val="24"/>
        </w:rPr>
      </w:pPr>
      <w:bookmarkStart w:id="143" w:name="_Toc384126367"/>
      <w:bookmarkStart w:id="144" w:name="_Toc282502417"/>
      <w:bookmarkStart w:id="145" w:name="_Toc278538502"/>
      <w:bookmarkStart w:id="146" w:name="_Toc278111761"/>
      <w:r>
        <w:rPr>
          <w:rFonts w:hint="eastAsia" w:ascii="宋体" w:hAnsi="宋体"/>
          <w:sz w:val="24"/>
        </w:rPr>
        <w:t>遵照有关法律法规、政策文件和估价标准，根据估价委托人提供的相关资料以及本估价机构调查和收集的资料，按照估价目的，遵循估价原则，采用比较法和收益法进行分析、测算和判断，在满足本次估价的假设和限制条件下，估价对象在价值时点的市场价值合计为人民币</w:t>
      </w:r>
      <w:r>
        <w:rPr>
          <w:rFonts w:hint="eastAsia" w:ascii="宋体" w:hAnsi="宋体"/>
          <w:b/>
          <w:bCs/>
          <w:sz w:val="24"/>
        </w:rPr>
        <w:t>肆佰柒拾肆万柒仟肆佰元</w:t>
      </w:r>
      <w:r>
        <w:rPr>
          <w:rFonts w:hint="eastAsia" w:ascii="宋体" w:hAnsi="宋体"/>
          <w:sz w:val="24"/>
        </w:rPr>
        <w:t>整（￥</w:t>
      </w:r>
      <w:r>
        <w:rPr>
          <w:rFonts w:ascii="宋体" w:hAnsi="宋体"/>
          <w:sz w:val="24"/>
        </w:rPr>
        <w:t>4,747,40</w:t>
      </w:r>
      <w:r>
        <w:rPr>
          <w:rFonts w:hint="eastAsia" w:ascii="宋体" w:hAnsi="宋体"/>
          <w:sz w:val="24"/>
        </w:rPr>
        <w:t>0），具体见房地产市场价值估价结果汇总表。</w:t>
      </w:r>
    </w:p>
    <w:p>
      <w:pPr>
        <w:snapToGrid w:val="0"/>
        <w:spacing w:line="480" w:lineRule="exact"/>
        <w:jc w:val="center"/>
        <w:rPr>
          <w:rFonts w:ascii="宋体" w:hAnsi="宋体"/>
          <w:sz w:val="24"/>
        </w:rPr>
      </w:pPr>
      <w:r>
        <w:rPr>
          <w:rFonts w:hint="eastAsia" w:ascii="宋体" w:hAnsi="宋体"/>
          <w:b/>
          <w:sz w:val="24"/>
        </w:rPr>
        <w:t xml:space="preserve">                   房地产市场价值估价结果汇总表</w:t>
      </w:r>
      <w:r>
        <w:rPr>
          <w:rFonts w:hint="eastAsia" w:ascii="宋体" w:hAnsi="宋体"/>
          <w:sz w:val="24"/>
        </w:rPr>
        <w:t xml:space="preserve">              （币种：人民币）</w:t>
      </w:r>
    </w:p>
    <w:tbl>
      <w:tblPr>
        <w:tblStyle w:val="19"/>
        <w:tblW w:w="51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6"/>
        <w:gridCol w:w="3003"/>
        <w:gridCol w:w="2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14" w:type="pct"/>
            <w:tcBorders>
              <w:top w:val="single" w:color="auto" w:sz="4" w:space="0"/>
              <w:left w:val="single" w:color="auto" w:sz="4" w:space="0"/>
              <w:right w:val="single" w:color="auto" w:sz="4" w:space="0"/>
            </w:tcBorders>
            <w:vAlign w:val="center"/>
          </w:tcPr>
          <w:p>
            <w:pPr>
              <w:spacing w:line="220" w:lineRule="exact"/>
              <w:jc w:val="center"/>
              <w:rPr>
                <w:rFonts w:ascii="宋体" w:hAnsi="宋体"/>
                <w:szCs w:val="21"/>
              </w:rPr>
            </w:pPr>
            <w:r>
              <w:rPr>
                <w:rFonts w:hint="eastAsia" w:ascii="宋体" w:hAnsi="宋体"/>
                <w:szCs w:val="21"/>
              </w:rPr>
              <w:t>估价对象</w:t>
            </w:r>
          </w:p>
        </w:tc>
        <w:tc>
          <w:tcPr>
            <w:tcW w:w="1472" w:type="pct"/>
            <w:tcBorders>
              <w:top w:val="single" w:color="auto" w:sz="4" w:space="0"/>
              <w:left w:val="single" w:color="auto" w:sz="4" w:space="0"/>
              <w:right w:val="single" w:color="auto" w:sz="4" w:space="0"/>
            </w:tcBorders>
            <w:vAlign w:val="center"/>
          </w:tcPr>
          <w:p>
            <w:pPr>
              <w:spacing w:line="220" w:lineRule="exact"/>
              <w:jc w:val="center"/>
              <w:rPr>
                <w:rFonts w:ascii="宋体" w:hAnsi="宋体"/>
                <w:szCs w:val="21"/>
              </w:rPr>
            </w:pPr>
            <w:r>
              <w:rPr>
                <w:rFonts w:hint="eastAsia" w:ascii="宋体" w:hAnsi="宋体"/>
                <w:szCs w:val="21"/>
              </w:rPr>
              <w:t>单价（元/㎡）</w:t>
            </w:r>
          </w:p>
        </w:tc>
        <w:tc>
          <w:tcPr>
            <w:tcW w:w="1314" w:type="pct"/>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宋体" w:hAnsi="宋体" w:cs="宋体"/>
                <w:kern w:val="0"/>
                <w:szCs w:val="21"/>
              </w:rPr>
            </w:pPr>
            <w:r>
              <w:rPr>
                <w:rFonts w:hint="eastAsia" w:ascii="宋体" w:hAnsi="宋体" w:cs="宋体"/>
                <w:kern w:val="0"/>
                <w:szCs w:val="21"/>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2214"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Cs w:val="21"/>
              </w:rPr>
            </w:pPr>
            <w:r>
              <w:rPr>
                <w:rFonts w:hint="eastAsia" w:ascii="宋体" w:hAnsi="宋体"/>
                <w:szCs w:val="21"/>
              </w:rPr>
              <w:t>福建省福州市台江区宁化街道西环南路39号正荣·润城3#楼2004复式单元住宅房地产</w:t>
            </w:r>
          </w:p>
        </w:tc>
        <w:tc>
          <w:tcPr>
            <w:tcW w:w="1472"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Cs w:val="21"/>
              </w:rPr>
            </w:pPr>
            <w:r>
              <w:rPr>
                <w:rFonts w:ascii="宋体" w:hAnsi="宋体"/>
                <w:szCs w:val="21"/>
              </w:rPr>
              <w:t>43,458</w:t>
            </w:r>
          </w:p>
        </w:tc>
        <w:tc>
          <w:tcPr>
            <w:tcW w:w="1314"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Cs w:val="21"/>
              </w:rPr>
            </w:pPr>
            <w:r>
              <w:rPr>
                <w:rFonts w:ascii="宋体" w:hAnsi="宋体"/>
                <w:szCs w:val="21"/>
              </w:rPr>
              <w:t>4,747,400</w:t>
            </w:r>
          </w:p>
        </w:tc>
      </w:tr>
    </w:tbl>
    <w:p>
      <w:pPr>
        <w:snapToGrid w:val="0"/>
        <w:spacing w:line="500" w:lineRule="exact"/>
        <w:ind w:firstLine="482" w:firstLineChars="200"/>
        <w:rPr>
          <w:rFonts w:ascii="宋体" w:hAnsi="宋体"/>
          <w:szCs w:val="21"/>
        </w:rPr>
      </w:pPr>
      <w:r>
        <w:rPr>
          <w:rFonts w:hint="eastAsia" w:ascii="宋体" w:hAnsi="宋体"/>
          <w:b/>
          <w:sz w:val="24"/>
        </w:rPr>
        <w:t>备注：单价取整到个位，总价取整到百位</w:t>
      </w:r>
    </w:p>
    <w:p>
      <w:pPr>
        <w:snapToGrid w:val="0"/>
        <w:spacing w:line="500" w:lineRule="exact"/>
        <w:ind w:firstLine="480" w:firstLineChars="200"/>
        <w:rPr>
          <w:rFonts w:ascii="宋体" w:hAnsi="宋体"/>
          <w:sz w:val="24"/>
        </w:rPr>
      </w:pPr>
      <w:r>
        <w:rPr>
          <w:rFonts w:hint="eastAsia" w:ascii="宋体" w:hAnsi="宋体"/>
          <w:sz w:val="24"/>
        </w:rPr>
        <w:t>与估价结果和报告使用有关的特别提示：</w:t>
      </w:r>
    </w:p>
    <w:p>
      <w:pPr>
        <w:autoSpaceDE w:val="0"/>
        <w:autoSpaceDN w:val="0"/>
        <w:adjustRightInd w:val="0"/>
        <w:snapToGrid w:val="0"/>
        <w:spacing w:line="440" w:lineRule="exact"/>
        <w:ind w:firstLine="480"/>
        <w:rPr>
          <w:rFonts w:ascii="宋体" w:hAnsi="宋体"/>
          <w:sz w:val="24"/>
        </w:rPr>
      </w:pPr>
      <w:bookmarkStart w:id="147" w:name="_Toc15508"/>
      <w:r>
        <w:rPr>
          <w:rFonts w:hint="eastAsia" w:ascii="宋体" w:hAnsi="宋体"/>
          <w:sz w:val="24"/>
        </w:rPr>
        <w:t>1.财产范围包括建筑物（含室内二次装修）和土地使用权（含土地出让金）,包括宗地红线范围内水、电、通信等配套基础设施，不包括家电、家具等动产，也不包括债权债务等权益。</w:t>
      </w:r>
    </w:p>
    <w:p>
      <w:pPr>
        <w:autoSpaceDE w:val="0"/>
        <w:autoSpaceDN w:val="0"/>
        <w:adjustRightInd w:val="0"/>
        <w:snapToGrid w:val="0"/>
        <w:spacing w:line="480" w:lineRule="exact"/>
        <w:ind w:firstLine="480" w:firstLineChars="200"/>
        <w:rPr>
          <w:rFonts w:ascii="宋体" w:hAnsi="宋体"/>
          <w:sz w:val="24"/>
        </w:rPr>
      </w:pPr>
      <w:r>
        <w:rPr>
          <w:rFonts w:ascii="宋体" w:hAnsi="宋体"/>
          <w:sz w:val="24"/>
        </w:rPr>
        <w:t>2</w:t>
      </w:r>
      <w:r>
        <w:rPr>
          <w:rFonts w:hint="eastAsia" w:ascii="宋体" w:hAnsi="宋体"/>
          <w:sz w:val="24"/>
        </w:rPr>
        <w:t>.由于本次估价委托人未明确估价对象交易税费负担方式，本次估价对象估价结果是税费正常负担下的市场价值，即按照法律法规规定，转让人和买受人各自负担相应税费。</w:t>
      </w:r>
    </w:p>
    <w:p>
      <w:pPr>
        <w:adjustRightInd w:val="0"/>
        <w:snapToGrid w:val="0"/>
        <w:spacing w:line="440" w:lineRule="exact"/>
        <w:ind w:firstLine="480" w:firstLineChars="200"/>
        <w:rPr>
          <w:rFonts w:ascii="宋体" w:hAnsi="宋体"/>
          <w:sz w:val="24"/>
        </w:rPr>
      </w:pPr>
      <w:r>
        <w:rPr>
          <w:rFonts w:ascii="宋体" w:hAnsi="宋体"/>
          <w:sz w:val="24"/>
        </w:rPr>
        <w:t>3</w:t>
      </w:r>
      <w:r>
        <w:rPr>
          <w:rFonts w:hint="eastAsia" w:ascii="宋体" w:hAnsi="宋体"/>
          <w:sz w:val="24"/>
        </w:rPr>
        <w:t>.估价对象若以上述估价结果进行交易，涉及的交易税费及估价对象物业欠费情况如下：</w:t>
      </w:r>
    </w:p>
    <w:p>
      <w:pPr>
        <w:autoSpaceDE w:val="0"/>
        <w:autoSpaceDN w:val="0"/>
        <w:snapToGrid w:val="0"/>
        <w:spacing w:line="440" w:lineRule="exact"/>
        <w:ind w:firstLine="482" w:firstLineChars="200"/>
        <w:rPr>
          <w:rFonts w:ascii="宋体" w:hAnsi="宋体"/>
          <w:b/>
          <w:bCs/>
          <w:sz w:val="24"/>
        </w:rPr>
      </w:pPr>
      <w:r>
        <w:rPr>
          <w:rFonts w:hint="eastAsia" w:ascii="宋体" w:hAnsi="宋体"/>
          <w:b/>
          <w:bCs/>
          <w:sz w:val="24"/>
        </w:rPr>
        <w:t>（1）买、卖双方的交易税费</w:t>
      </w:r>
    </w:p>
    <w:p>
      <w:pPr>
        <w:snapToGrid w:val="0"/>
        <w:spacing w:line="360" w:lineRule="auto"/>
        <w:ind w:firstLine="480" w:firstLineChars="200"/>
        <w:rPr>
          <w:rFonts w:ascii="宋体" w:hAnsi="宋体"/>
          <w:sz w:val="24"/>
        </w:rPr>
      </w:pPr>
      <w:r>
        <w:rPr>
          <w:rFonts w:hint="eastAsia" w:ascii="宋体" w:hAnsi="宋体"/>
          <w:sz w:val="24"/>
        </w:rPr>
        <w:t>根据当地现行房地产转让管理的有关规定，在满足估价假设条件下，估价对象若以本次估价结果进入市场转让时，按目前当地有关规定买卖双方需缴纳有关交易税费如下表所示：</w:t>
      </w:r>
      <w:r>
        <w:rPr>
          <w:rFonts w:ascii="宋体" w:hAnsi="宋体"/>
          <w:b/>
          <w:bCs/>
          <w:sz w:val="24"/>
        </w:rPr>
        <w:t xml:space="preserve"> </w:t>
      </w:r>
    </w:p>
    <w:tbl>
      <w:tblPr>
        <w:tblStyle w:val="19"/>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596"/>
        <w:gridCol w:w="1572"/>
        <w:gridCol w:w="1596"/>
        <w:gridCol w:w="1598"/>
        <w:gridCol w:w="46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6" w:hRule="atLeast"/>
        </w:trPr>
        <w:tc>
          <w:tcPr>
            <w:tcW w:w="299" w:type="pct"/>
            <w:shd w:val="clear" w:color="auto" w:fill="auto"/>
            <w:vAlign w:val="center"/>
          </w:tcPr>
          <w:p>
            <w:pPr>
              <w:spacing w:line="220" w:lineRule="exact"/>
              <w:jc w:val="center"/>
              <w:rPr>
                <w:rFonts w:ascii="宋体" w:hAnsi="宋体"/>
                <w:szCs w:val="21"/>
              </w:rPr>
            </w:pPr>
            <w:r>
              <w:rPr>
                <w:rFonts w:hint="eastAsia" w:ascii="宋体" w:hAnsi="宋体"/>
                <w:szCs w:val="21"/>
              </w:rPr>
              <w:t>序号</w:t>
            </w:r>
          </w:p>
        </w:tc>
        <w:tc>
          <w:tcPr>
            <w:tcW w:w="789" w:type="pct"/>
            <w:shd w:val="clear" w:color="auto" w:fill="auto"/>
            <w:vAlign w:val="center"/>
          </w:tcPr>
          <w:p>
            <w:pPr>
              <w:spacing w:line="220" w:lineRule="exact"/>
              <w:jc w:val="center"/>
              <w:rPr>
                <w:rFonts w:ascii="宋体" w:hAnsi="宋体"/>
                <w:szCs w:val="21"/>
              </w:rPr>
            </w:pPr>
            <w:r>
              <w:rPr>
                <w:rFonts w:hint="eastAsia" w:ascii="宋体" w:hAnsi="宋体"/>
                <w:szCs w:val="21"/>
              </w:rPr>
              <w:t>项目</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卖方</w:t>
            </w:r>
          </w:p>
        </w:tc>
        <w:tc>
          <w:tcPr>
            <w:tcW w:w="802" w:type="pct"/>
            <w:shd w:val="clear" w:color="auto" w:fill="auto"/>
            <w:vAlign w:val="center"/>
          </w:tcPr>
          <w:p>
            <w:pPr>
              <w:spacing w:line="220" w:lineRule="exact"/>
              <w:jc w:val="center"/>
              <w:rPr>
                <w:rFonts w:ascii="宋体" w:hAnsi="宋体"/>
                <w:szCs w:val="21"/>
              </w:rPr>
            </w:pPr>
            <w:r>
              <w:rPr>
                <w:rFonts w:hint="eastAsia" w:ascii="宋体" w:hAnsi="宋体"/>
                <w:szCs w:val="21"/>
              </w:rPr>
              <w:t>买方</w:t>
            </w:r>
          </w:p>
        </w:tc>
        <w:tc>
          <w:tcPr>
            <w:tcW w:w="2309" w:type="pct"/>
            <w:shd w:val="clear" w:color="auto" w:fill="auto"/>
            <w:vAlign w:val="center"/>
          </w:tcPr>
          <w:p>
            <w:pPr>
              <w:spacing w:line="220" w:lineRule="exact"/>
              <w:jc w:val="center"/>
              <w:rPr>
                <w:rFonts w:ascii="宋体" w:hAnsi="宋体"/>
                <w:szCs w:val="21"/>
              </w:rPr>
            </w:pPr>
            <w:r>
              <w:rPr>
                <w:rFonts w:hint="eastAsia" w:ascii="宋体" w:hAnsi="宋体"/>
                <w:szCs w:val="21"/>
              </w:rPr>
              <w:t>说明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6" w:hRule="atLeast"/>
        </w:trPr>
        <w:tc>
          <w:tcPr>
            <w:tcW w:w="299" w:type="pct"/>
            <w:shd w:val="clear" w:color="auto" w:fill="auto"/>
            <w:vAlign w:val="center"/>
          </w:tcPr>
          <w:p>
            <w:pPr>
              <w:spacing w:line="220" w:lineRule="exact"/>
              <w:jc w:val="center"/>
              <w:rPr>
                <w:rFonts w:ascii="宋体" w:hAnsi="宋体"/>
                <w:szCs w:val="21"/>
              </w:rPr>
            </w:pPr>
            <w:r>
              <w:rPr>
                <w:rFonts w:hint="eastAsia" w:ascii="宋体" w:hAnsi="宋体"/>
                <w:szCs w:val="21"/>
              </w:rPr>
              <w:t>1</w:t>
            </w:r>
          </w:p>
        </w:tc>
        <w:tc>
          <w:tcPr>
            <w:tcW w:w="789" w:type="pct"/>
            <w:shd w:val="clear" w:color="auto" w:fill="auto"/>
            <w:vAlign w:val="center"/>
          </w:tcPr>
          <w:p>
            <w:pPr>
              <w:spacing w:line="220" w:lineRule="exact"/>
              <w:jc w:val="center"/>
              <w:rPr>
                <w:rFonts w:ascii="宋体" w:hAnsi="宋体"/>
                <w:szCs w:val="21"/>
              </w:rPr>
            </w:pPr>
            <w:r>
              <w:rPr>
                <w:rFonts w:hint="eastAsia" w:ascii="宋体" w:hAnsi="宋体"/>
                <w:szCs w:val="21"/>
              </w:rPr>
              <w:t>印花税</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 xml:space="preserve">2,374 </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 xml:space="preserve">2,374 </w:t>
            </w:r>
          </w:p>
        </w:tc>
        <w:tc>
          <w:tcPr>
            <w:tcW w:w="2309" w:type="pct"/>
            <w:shd w:val="clear" w:color="auto" w:fill="auto"/>
            <w:vAlign w:val="center"/>
          </w:tcPr>
          <w:p>
            <w:pPr>
              <w:spacing w:line="220" w:lineRule="exact"/>
              <w:jc w:val="center"/>
              <w:rPr>
                <w:rFonts w:ascii="宋体" w:hAnsi="宋体"/>
                <w:szCs w:val="21"/>
              </w:rPr>
            </w:pPr>
            <w:r>
              <w:rPr>
                <w:rFonts w:hint="eastAsia" w:ascii="宋体" w:hAnsi="宋体"/>
                <w:szCs w:val="21"/>
              </w:rPr>
              <w:t>按价值的0.05%计征，卖方缴纳。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299" w:type="pct"/>
            <w:shd w:val="clear" w:color="auto" w:fill="auto"/>
            <w:vAlign w:val="center"/>
          </w:tcPr>
          <w:p>
            <w:pPr>
              <w:spacing w:line="220" w:lineRule="exact"/>
              <w:jc w:val="center"/>
              <w:rPr>
                <w:rFonts w:ascii="宋体" w:hAnsi="宋体"/>
                <w:szCs w:val="21"/>
              </w:rPr>
            </w:pPr>
            <w:r>
              <w:rPr>
                <w:rFonts w:hint="eastAsia" w:ascii="宋体" w:hAnsi="宋体"/>
                <w:szCs w:val="21"/>
              </w:rPr>
              <w:t>2</w:t>
            </w:r>
          </w:p>
        </w:tc>
        <w:tc>
          <w:tcPr>
            <w:tcW w:w="789" w:type="pct"/>
            <w:shd w:val="clear" w:color="auto" w:fill="auto"/>
            <w:vAlign w:val="center"/>
          </w:tcPr>
          <w:p>
            <w:pPr>
              <w:spacing w:line="220" w:lineRule="exact"/>
              <w:jc w:val="center"/>
              <w:rPr>
                <w:rFonts w:ascii="宋体" w:hAnsi="宋体"/>
                <w:szCs w:val="21"/>
              </w:rPr>
            </w:pPr>
            <w:r>
              <w:rPr>
                <w:rFonts w:hint="eastAsia" w:ascii="宋体" w:hAnsi="宋体"/>
                <w:szCs w:val="21"/>
              </w:rPr>
              <w:t>契税</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 xml:space="preserve">135,640 </w:t>
            </w:r>
          </w:p>
        </w:tc>
        <w:tc>
          <w:tcPr>
            <w:tcW w:w="2309" w:type="pct"/>
            <w:shd w:val="clear" w:color="auto" w:fill="auto"/>
            <w:vAlign w:val="center"/>
          </w:tcPr>
          <w:p>
            <w:pPr>
              <w:spacing w:line="220" w:lineRule="exact"/>
              <w:jc w:val="center"/>
              <w:rPr>
                <w:rFonts w:ascii="宋体" w:hAnsi="宋体"/>
                <w:szCs w:val="21"/>
              </w:rPr>
            </w:pPr>
            <w:r>
              <w:rPr>
                <w:rFonts w:hint="eastAsia" w:ascii="宋体" w:hAnsi="宋体"/>
                <w:szCs w:val="21"/>
              </w:rPr>
              <w:t>按价值（不含增值税）的3.0%计征，买方缴纳。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2" w:hRule="atLeast"/>
        </w:trPr>
        <w:tc>
          <w:tcPr>
            <w:tcW w:w="299" w:type="pct"/>
            <w:shd w:val="clear" w:color="auto" w:fill="auto"/>
            <w:vAlign w:val="center"/>
          </w:tcPr>
          <w:p>
            <w:pPr>
              <w:spacing w:line="220" w:lineRule="exact"/>
              <w:jc w:val="center"/>
              <w:rPr>
                <w:rFonts w:ascii="宋体" w:hAnsi="宋体"/>
                <w:szCs w:val="21"/>
              </w:rPr>
            </w:pPr>
            <w:r>
              <w:rPr>
                <w:rFonts w:hint="eastAsia" w:ascii="宋体" w:hAnsi="宋体"/>
                <w:szCs w:val="21"/>
              </w:rPr>
              <w:t>3</w:t>
            </w:r>
          </w:p>
        </w:tc>
        <w:tc>
          <w:tcPr>
            <w:tcW w:w="789" w:type="pct"/>
            <w:shd w:val="clear" w:color="auto" w:fill="auto"/>
            <w:vAlign w:val="center"/>
          </w:tcPr>
          <w:p>
            <w:pPr>
              <w:spacing w:line="220" w:lineRule="exact"/>
              <w:jc w:val="center"/>
              <w:rPr>
                <w:rFonts w:ascii="宋体" w:hAnsi="宋体"/>
                <w:szCs w:val="21"/>
              </w:rPr>
            </w:pPr>
            <w:r>
              <w:rPr>
                <w:rFonts w:hint="eastAsia" w:ascii="宋体" w:hAnsi="宋体"/>
                <w:szCs w:val="21"/>
              </w:rPr>
              <w:t>增值税及附加</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 xml:space="preserve">0 </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w:t>
            </w:r>
          </w:p>
        </w:tc>
        <w:tc>
          <w:tcPr>
            <w:tcW w:w="2309" w:type="pct"/>
            <w:shd w:val="clear" w:color="auto" w:fill="auto"/>
            <w:vAlign w:val="center"/>
          </w:tcPr>
          <w:p>
            <w:pPr>
              <w:spacing w:line="220" w:lineRule="exact"/>
              <w:jc w:val="center"/>
              <w:rPr>
                <w:rFonts w:ascii="宋体" w:hAnsi="宋体"/>
                <w:szCs w:val="21"/>
              </w:rPr>
            </w:pPr>
            <w:r>
              <w:rPr>
                <w:rFonts w:hint="eastAsia" w:ascii="宋体" w:hAnsi="宋体"/>
                <w:szCs w:val="21"/>
              </w:rPr>
              <w:t>满2年住宅，免征增值税及附加。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2" w:hRule="atLeast"/>
        </w:trPr>
        <w:tc>
          <w:tcPr>
            <w:tcW w:w="299" w:type="pct"/>
            <w:shd w:val="clear" w:color="auto" w:fill="auto"/>
            <w:vAlign w:val="center"/>
          </w:tcPr>
          <w:p>
            <w:pPr>
              <w:spacing w:line="220" w:lineRule="exact"/>
              <w:jc w:val="center"/>
              <w:rPr>
                <w:rFonts w:ascii="宋体" w:hAnsi="宋体"/>
                <w:szCs w:val="21"/>
              </w:rPr>
            </w:pPr>
            <w:r>
              <w:rPr>
                <w:rFonts w:hint="eastAsia" w:ascii="宋体" w:hAnsi="宋体"/>
                <w:szCs w:val="21"/>
              </w:rPr>
              <w:t>4</w:t>
            </w:r>
          </w:p>
        </w:tc>
        <w:tc>
          <w:tcPr>
            <w:tcW w:w="789" w:type="pct"/>
            <w:shd w:val="clear" w:color="auto" w:fill="auto"/>
            <w:vAlign w:val="center"/>
          </w:tcPr>
          <w:p>
            <w:pPr>
              <w:spacing w:line="220" w:lineRule="exact"/>
              <w:jc w:val="center"/>
              <w:rPr>
                <w:rFonts w:ascii="宋体" w:hAnsi="宋体"/>
                <w:szCs w:val="21"/>
              </w:rPr>
            </w:pPr>
            <w:r>
              <w:rPr>
                <w:rFonts w:hint="eastAsia" w:ascii="宋体" w:hAnsi="宋体"/>
                <w:szCs w:val="21"/>
              </w:rPr>
              <w:t>个人所得税</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 xml:space="preserve">135,640 </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w:t>
            </w:r>
          </w:p>
        </w:tc>
        <w:tc>
          <w:tcPr>
            <w:tcW w:w="2309" w:type="pct"/>
            <w:shd w:val="clear" w:color="auto" w:fill="auto"/>
            <w:vAlign w:val="center"/>
          </w:tcPr>
          <w:p>
            <w:pPr>
              <w:spacing w:line="220" w:lineRule="exact"/>
              <w:jc w:val="center"/>
              <w:rPr>
                <w:rFonts w:ascii="宋体" w:hAnsi="宋体"/>
                <w:szCs w:val="21"/>
              </w:rPr>
            </w:pPr>
            <w:r>
              <w:rPr>
                <w:rFonts w:hint="eastAsia" w:ascii="宋体" w:hAnsi="宋体"/>
                <w:szCs w:val="21"/>
              </w:rPr>
              <w:t>拍卖房屋按价值（不含增值税）的3.0%计征，卖方缴纳。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2" w:hRule="atLeast"/>
        </w:trPr>
        <w:tc>
          <w:tcPr>
            <w:tcW w:w="299" w:type="pct"/>
            <w:shd w:val="clear" w:color="auto" w:fill="auto"/>
            <w:vAlign w:val="center"/>
          </w:tcPr>
          <w:p>
            <w:pPr>
              <w:spacing w:line="220" w:lineRule="exact"/>
              <w:jc w:val="center"/>
              <w:rPr>
                <w:rFonts w:ascii="宋体" w:hAnsi="宋体"/>
                <w:szCs w:val="21"/>
              </w:rPr>
            </w:pPr>
            <w:r>
              <w:rPr>
                <w:rFonts w:hint="eastAsia" w:ascii="宋体" w:hAnsi="宋体"/>
                <w:szCs w:val="21"/>
              </w:rPr>
              <w:t>5</w:t>
            </w:r>
          </w:p>
        </w:tc>
        <w:tc>
          <w:tcPr>
            <w:tcW w:w="789" w:type="pct"/>
            <w:shd w:val="clear" w:color="auto" w:fill="auto"/>
            <w:vAlign w:val="center"/>
          </w:tcPr>
          <w:p>
            <w:pPr>
              <w:spacing w:line="220" w:lineRule="exact"/>
              <w:jc w:val="center"/>
              <w:rPr>
                <w:rFonts w:ascii="宋体" w:hAnsi="宋体"/>
                <w:szCs w:val="21"/>
              </w:rPr>
            </w:pPr>
            <w:r>
              <w:rPr>
                <w:rFonts w:hint="eastAsia" w:ascii="宋体" w:hAnsi="宋体"/>
                <w:szCs w:val="21"/>
              </w:rPr>
              <w:t>土地增值税</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 xml:space="preserve">0 </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w:t>
            </w:r>
          </w:p>
        </w:tc>
        <w:tc>
          <w:tcPr>
            <w:tcW w:w="2309" w:type="pct"/>
            <w:shd w:val="clear" w:color="auto" w:fill="auto"/>
            <w:vAlign w:val="center"/>
          </w:tcPr>
          <w:p>
            <w:pPr>
              <w:spacing w:line="220" w:lineRule="exact"/>
              <w:jc w:val="center"/>
              <w:rPr>
                <w:rFonts w:ascii="宋体" w:hAnsi="宋体"/>
                <w:szCs w:val="21"/>
              </w:rPr>
            </w:pPr>
            <w:r>
              <w:rPr>
                <w:rFonts w:hint="eastAsia" w:ascii="宋体" w:hAnsi="宋体"/>
                <w:szCs w:val="21"/>
              </w:rPr>
              <w:t>住宅免征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6" w:hRule="atLeast"/>
        </w:trPr>
        <w:tc>
          <w:tcPr>
            <w:tcW w:w="299" w:type="pct"/>
            <w:shd w:val="clear" w:color="auto" w:fill="auto"/>
            <w:vAlign w:val="center"/>
          </w:tcPr>
          <w:p>
            <w:pPr>
              <w:spacing w:line="220" w:lineRule="exact"/>
              <w:jc w:val="center"/>
              <w:rPr>
                <w:rFonts w:ascii="宋体" w:hAnsi="宋体"/>
                <w:szCs w:val="21"/>
              </w:rPr>
            </w:pPr>
            <w:r>
              <w:rPr>
                <w:rFonts w:ascii="宋体" w:hAnsi="宋体"/>
                <w:szCs w:val="21"/>
              </w:rPr>
              <w:t>6</w:t>
            </w:r>
          </w:p>
        </w:tc>
        <w:tc>
          <w:tcPr>
            <w:tcW w:w="789" w:type="pct"/>
            <w:shd w:val="clear" w:color="auto" w:fill="auto"/>
            <w:vAlign w:val="center"/>
          </w:tcPr>
          <w:p>
            <w:pPr>
              <w:spacing w:line="220" w:lineRule="exact"/>
              <w:jc w:val="center"/>
              <w:rPr>
                <w:rFonts w:ascii="宋体" w:hAnsi="宋体"/>
                <w:szCs w:val="21"/>
              </w:rPr>
            </w:pPr>
            <w:r>
              <w:rPr>
                <w:rFonts w:hint="eastAsia" w:ascii="宋体" w:hAnsi="宋体"/>
                <w:szCs w:val="21"/>
              </w:rPr>
              <w:t>所有权登记费</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80</w:t>
            </w:r>
          </w:p>
        </w:tc>
        <w:tc>
          <w:tcPr>
            <w:tcW w:w="2309" w:type="pct"/>
            <w:shd w:val="clear" w:color="auto" w:fill="auto"/>
            <w:vAlign w:val="center"/>
          </w:tcPr>
          <w:p>
            <w:pPr>
              <w:spacing w:line="220" w:lineRule="exact"/>
              <w:jc w:val="center"/>
              <w:rPr>
                <w:rFonts w:ascii="宋体" w:hAnsi="宋体"/>
                <w:szCs w:val="21"/>
              </w:rPr>
            </w:pPr>
            <w:r>
              <w:rPr>
                <w:rFonts w:hint="eastAsia" w:ascii="宋体" w:hAnsi="宋体"/>
                <w:szCs w:val="21"/>
              </w:rPr>
              <w:t>按80元/套，买方缴纳。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6" w:hRule="atLeast"/>
        </w:trPr>
        <w:tc>
          <w:tcPr>
            <w:tcW w:w="299" w:type="pct"/>
            <w:shd w:val="clear" w:color="auto" w:fill="auto"/>
            <w:vAlign w:val="center"/>
          </w:tcPr>
          <w:p>
            <w:pPr>
              <w:spacing w:line="220" w:lineRule="exact"/>
              <w:jc w:val="center"/>
              <w:rPr>
                <w:rFonts w:ascii="宋体" w:hAnsi="宋体"/>
                <w:szCs w:val="21"/>
              </w:rPr>
            </w:pPr>
            <w:r>
              <w:rPr>
                <w:rFonts w:ascii="宋体" w:hAnsi="宋体"/>
                <w:szCs w:val="21"/>
              </w:rPr>
              <w:t>7</w:t>
            </w:r>
          </w:p>
        </w:tc>
        <w:tc>
          <w:tcPr>
            <w:tcW w:w="789" w:type="pct"/>
            <w:shd w:val="clear" w:color="auto" w:fill="auto"/>
            <w:vAlign w:val="center"/>
          </w:tcPr>
          <w:p>
            <w:pPr>
              <w:spacing w:line="220" w:lineRule="exact"/>
              <w:jc w:val="center"/>
              <w:rPr>
                <w:rFonts w:ascii="宋体" w:hAnsi="宋体"/>
                <w:szCs w:val="21"/>
              </w:rPr>
            </w:pPr>
            <w:r>
              <w:rPr>
                <w:rFonts w:hint="eastAsia" w:ascii="宋体" w:hAnsi="宋体"/>
                <w:szCs w:val="21"/>
              </w:rPr>
              <w:t>合计</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138,014</w:t>
            </w:r>
          </w:p>
        </w:tc>
        <w:tc>
          <w:tcPr>
            <w:tcW w:w="801" w:type="pct"/>
            <w:shd w:val="clear" w:color="auto" w:fill="auto"/>
            <w:vAlign w:val="center"/>
          </w:tcPr>
          <w:p>
            <w:pPr>
              <w:spacing w:line="220" w:lineRule="exact"/>
              <w:jc w:val="center"/>
              <w:rPr>
                <w:rFonts w:ascii="宋体" w:hAnsi="宋体"/>
                <w:szCs w:val="21"/>
              </w:rPr>
            </w:pPr>
            <w:r>
              <w:rPr>
                <w:rFonts w:hint="eastAsia" w:ascii="宋体" w:hAnsi="宋体"/>
                <w:szCs w:val="21"/>
              </w:rPr>
              <w:t>138,094</w:t>
            </w:r>
          </w:p>
        </w:tc>
        <w:tc>
          <w:tcPr>
            <w:tcW w:w="2309" w:type="pct"/>
            <w:shd w:val="clear" w:color="auto" w:fill="auto"/>
            <w:vAlign w:val="bottom"/>
          </w:tcPr>
          <w:p>
            <w:pPr>
              <w:spacing w:line="220" w:lineRule="exact"/>
              <w:jc w:val="center"/>
              <w:rPr>
                <w:rFonts w:ascii="宋体" w:hAnsi="宋体"/>
                <w:szCs w:val="21"/>
              </w:rPr>
            </w:pPr>
            <w:r>
              <w:rPr>
                <w:rFonts w:hint="eastAsia" w:ascii="宋体" w:hAnsi="宋体"/>
                <w:szCs w:val="21"/>
              </w:rPr>
              <w:t>　</w:t>
            </w:r>
          </w:p>
        </w:tc>
      </w:tr>
    </w:tbl>
    <w:p>
      <w:pPr>
        <w:snapToGrid w:val="0"/>
        <w:spacing w:line="360" w:lineRule="auto"/>
        <w:ind w:firstLine="480" w:firstLineChars="200"/>
        <w:rPr>
          <w:rFonts w:ascii="宋体" w:hAnsi="宋体"/>
          <w:sz w:val="24"/>
        </w:rPr>
      </w:pPr>
      <w:r>
        <w:rPr>
          <w:rFonts w:hint="eastAsia" w:ascii="宋体" w:hAnsi="宋体"/>
          <w:sz w:val="24"/>
        </w:rPr>
        <w:t>备注：该数据仅供参考，确切的数据应以交易发生时有关部门计算的为准。</w:t>
      </w:r>
    </w:p>
    <w:p>
      <w:pPr>
        <w:autoSpaceDE w:val="0"/>
        <w:autoSpaceDN w:val="0"/>
        <w:snapToGrid w:val="0"/>
        <w:spacing w:line="360" w:lineRule="auto"/>
        <w:ind w:firstLine="482" w:firstLineChars="200"/>
        <w:rPr>
          <w:rFonts w:ascii="宋体" w:hAnsi="宋体"/>
          <w:b/>
          <w:bCs/>
          <w:sz w:val="24"/>
        </w:rPr>
      </w:pPr>
      <w:r>
        <w:rPr>
          <w:rFonts w:hint="eastAsia" w:ascii="宋体" w:hAnsi="宋体"/>
          <w:b/>
          <w:bCs/>
          <w:sz w:val="24"/>
        </w:rPr>
        <w:t>（2）其他欠费情况</w:t>
      </w:r>
    </w:p>
    <w:p>
      <w:pPr>
        <w:adjustRightInd w:val="0"/>
        <w:spacing w:line="360" w:lineRule="auto"/>
        <w:ind w:firstLine="480" w:firstLineChars="200"/>
        <w:rPr>
          <w:rFonts w:ascii="宋体" w:hAnsi="宋体"/>
          <w:sz w:val="24"/>
        </w:rPr>
      </w:pPr>
      <w:r>
        <w:rPr>
          <w:rFonts w:hint="eastAsia" w:ascii="宋体" w:hAnsi="宋体"/>
          <w:sz w:val="24"/>
        </w:rPr>
        <w:t>本次估价人员与估价委托人在现场走访中从产权人处了解到，估价对象目前暂无欠缴水电费。实际欠缴水电费情况，应以物业提供数据为准，提请相关报告使用者注意。</w:t>
      </w:r>
    </w:p>
    <w:p>
      <w:pPr>
        <w:autoSpaceDE w:val="0"/>
        <w:autoSpaceDN w:val="0"/>
        <w:spacing w:line="500" w:lineRule="exact"/>
        <w:ind w:firstLine="482" w:firstLineChars="200"/>
        <w:outlineLvl w:val="1"/>
        <w:rPr>
          <w:rFonts w:ascii="宋体" w:hAnsi="宋体"/>
          <w:b/>
          <w:bCs/>
          <w:sz w:val="24"/>
        </w:rPr>
      </w:pPr>
      <w:r>
        <w:rPr>
          <w:rFonts w:hint="eastAsia" w:ascii="宋体" w:hAnsi="宋体"/>
          <w:b/>
          <w:bCs/>
          <w:sz w:val="24"/>
        </w:rPr>
        <w:t>十一、</w:t>
      </w:r>
      <w:bookmarkEnd w:id="143"/>
      <w:bookmarkEnd w:id="144"/>
      <w:r>
        <w:rPr>
          <w:rFonts w:hint="eastAsia" w:ascii="宋体" w:hAnsi="宋体"/>
          <w:b/>
          <w:bCs/>
          <w:sz w:val="24"/>
        </w:rPr>
        <w:t>注册房地产估价师</w:t>
      </w:r>
      <w:bookmarkEnd w:id="147"/>
    </w:p>
    <w:p>
      <w:pPr>
        <w:spacing w:line="500" w:lineRule="exact"/>
        <w:ind w:firstLine="480" w:firstLineChars="200"/>
        <w:jc w:val="center"/>
        <w:rPr>
          <w:rFonts w:ascii="宋体" w:hAnsi="宋体"/>
          <w:sz w:val="24"/>
        </w:rPr>
      </w:pPr>
      <w:bookmarkStart w:id="148" w:name="_Hlk99059194"/>
      <w:bookmarkStart w:id="149" w:name="_Toc384126368"/>
      <w:r>
        <w:rPr>
          <w:rFonts w:hint="eastAsia" w:ascii="宋体" w:hAnsi="宋体"/>
          <w:sz w:val="24"/>
        </w:rPr>
        <w:t>注册房地产估价师</w:t>
      </w:r>
    </w:p>
    <w:tbl>
      <w:tblPr>
        <w:tblStyle w:val="19"/>
        <w:tblW w:w="100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92"/>
        <w:gridCol w:w="2398"/>
        <w:gridCol w:w="3298"/>
        <w:gridCol w:w="2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1" w:hRule="atLeast"/>
        </w:trPr>
        <w:tc>
          <w:tcPr>
            <w:tcW w:w="1892" w:type="dxa"/>
            <w:vAlign w:val="center"/>
          </w:tcPr>
          <w:p>
            <w:pPr>
              <w:jc w:val="center"/>
              <w:rPr>
                <w:rFonts w:ascii="宋体" w:hAnsi="宋体"/>
                <w:sz w:val="24"/>
              </w:rPr>
            </w:pPr>
            <w:r>
              <w:rPr>
                <w:rFonts w:hint="eastAsia" w:ascii="宋体" w:hAnsi="宋体"/>
                <w:sz w:val="24"/>
              </w:rPr>
              <w:t>姓名</w:t>
            </w:r>
          </w:p>
        </w:tc>
        <w:tc>
          <w:tcPr>
            <w:tcW w:w="2398" w:type="dxa"/>
            <w:vAlign w:val="center"/>
          </w:tcPr>
          <w:p>
            <w:pPr>
              <w:jc w:val="center"/>
              <w:rPr>
                <w:rFonts w:ascii="宋体" w:hAnsi="宋体"/>
                <w:sz w:val="24"/>
              </w:rPr>
            </w:pPr>
            <w:r>
              <w:rPr>
                <w:rFonts w:hint="eastAsia" w:ascii="宋体" w:hAnsi="宋体"/>
                <w:sz w:val="24"/>
              </w:rPr>
              <w:t>注册号</w:t>
            </w:r>
          </w:p>
        </w:tc>
        <w:tc>
          <w:tcPr>
            <w:tcW w:w="3298" w:type="dxa"/>
            <w:vAlign w:val="center"/>
          </w:tcPr>
          <w:p>
            <w:pPr>
              <w:jc w:val="center"/>
              <w:rPr>
                <w:rFonts w:ascii="宋体" w:hAnsi="宋体"/>
                <w:sz w:val="24"/>
              </w:rPr>
            </w:pPr>
            <w:r>
              <w:rPr>
                <w:rFonts w:hint="eastAsia" w:ascii="宋体" w:hAnsi="宋体"/>
                <w:sz w:val="24"/>
              </w:rPr>
              <w:t>签名</w:t>
            </w:r>
          </w:p>
        </w:tc>
        <w:tc>
          <w:tcPr>
            <w:tcW w:w="2450" w:type="dxa"/>
            <w:vAlign w:val="center"/>
          </w:tcPr>
          <w:p>
            <w:pPr>
              <w:jc w:val="center"/>
              <w:rPr>
                <w:rFonts w:ascii="宋体" w:hAnsi="宋体"/>
                <w:sz w:val="24"/>
              </w:rPr>
            </w:pPr>
            <w:r>
              <w:rPr>
                <w:rFonts w:hint="eastAsia" w:ascii="宋体" w:hAnsi="宋体"/>
                <w:sz w:val="24"/>
              </w:rPr>
              <w:t>签名日期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8" w:hRule="exact"/>
        </w:trPr>
        <w:tc>
          <w:tcPr>
            <w:tcW w:w="1892" w:type="dxa"/>
            <w:vAlign w:val="center"/>
          </w:tcPr>
          <w:p>
            <w:pPr>
              <w:jc w:val="center"/>
              <w:rPr>
                <w:rFonts w:ascii="宋体" w:hAnsi="宋体"/>
                <w:sz w:val="24"/>
              </w:rPr>
            </w:pPr>
            <w:r>
              <w:rPr>
                <w:rFonts w:hint="eastAsia" w:ascii="宋体" w:hAnsi="宋体"/>
                <w:sz w:val="24"/>
              </w:rPr>
              <w:t>黄彬</w:t>
            </w:r>
          </w:p>
        </w:tc>
        <w:tc>
          <w:tcPr>
            <w:tcW w:w="2398" w:type="dxa"/>
            <w:vAlign w:val="center"/>
          </w:tcPr>
          <w:p>
            <w:pPr>
              <w:jc w:val="center"/>
              <w:rPr>
                <w:rFonts w:ascii="宋体" w:hAnsi="宋体"/>
                <w:sz w:val="24"/>
              </w:rPr>
            </w:pPr>
            <w:r>
              <w:rPr>
                <w:rFonts w:hint="eastAsia" w:ascii="宋体" w:hAnsi="宋体"/>
                <w:sz w:val="24"/>
              </w:rPr>
              <w:t>35</w:t>
            </w:r>
            <w:r>
              <w:rPr>
                <w:rFonts w:ascii="宋体" w:hAnsi="宋体"/>
                <w:sz w:val="24"/>
              </w:rPr>
              <w:t>20190063</w:t>
            </w:r>
          </w:p>
        </w:tc>
        <w:tc>
          <w:tcPr>
            <w:tcW w:w="3298" w:type="dxa"/>
            <w:vAlign w:val="center"/>
          </w:tcPr>
          <w:p>
            <w:pPr>
              <w:jc w:val="center"/>
              <w:rPr>
                <w:rFonts w:ascii="宋体" w:hAnsi="宋体"/>
                <w:sz w:val="24"/>
              </w:rPr>
            </w:pPr>
          </w:p>
        </w:tc>
        <w:tc>
          <w:tcPr>
            <w:tcW w:w="2450" w:type="dxa"/>
            <w:vAlign w:val="center"/>
          </w:tcPr>
          <w:p>
            <w:pPr>
              <w:jc w:val="left"/>
              <w:rPr>
                <w:rFonts w:ascii="宋体" w:hAnsi="宋体"/>
                <w:sz w:val="24"/>
              </w:rPr>
            </w:pPr>
            <w:r>
              <w:rPr>
                <w:rFonts w:hint="eastAsia" w:ascii="宋体" w:hAnsi="宋体"/>
                <w:sz w:val="24"/>
              </w:rPr>
              <w:t xml:space="preserve"> </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1" w:hRule="exact"/>
        </w:trPr>
        <w:tc>
          <w:tcPr>
            <w:tcW w:w="1892" w:type="dxa"/>
            <w:vAlign w:val="center"/>
          </w:tcPr>
          <w:p>
            <w:pPr>
              <w:jc w:val="center"/>
              <w:rPr>
                <w:rFonts w:ascii="宋体" w:hAnsi="宋体"/>
                <w:sz w:val="24"/>
              </w:rPr>
            </w:pPr>
            <w:bookmarkStart w:id="150" w:name="_Toc29693"/>
            <w:r>
              <w:rPr>
                <w:rFonts w:hint="eastAsia" w:ascii="宋体" w:hAnsi="宋体"/>
                <w:sz w:val="24"/>
              </w:rPr>
              <w:t>张真</w:t>
            </w:r>
          </w:p>
        </w:tc>
        <w:tc>
          <w:tcPr>
            <w:tcW w:w="2398" w:type="dxa"/>
            <w:vAlign w:val="center"/>
          </w:tcPr>
          <w:p>
            <w:pPr>
              <w:jc w:val="center"/>
              <w:rPr>
                <w:rFonts w:ascii="宋体" w:hAnsi="宋体"/>
                <w:sz w:val="24"/>
              </w:rPr>
            </w:pPr>
            <w:r>
              <w:rPr>
                <w:rFonts w:hint="eastAsia" w:ascii="宋体" w:hAnsi="宋体"/>
                <w:sz w:val="24"/>
              </w:rPr>
              <w:t>3520</w:t>
            </w:r>
            <w:r>
              <w:rPr>
                <w:rFonts w:ascii="宋体" w:hAnsi="宋体"/>
                <w:sz w:val="24"/>
              </w:rPr>
              <w:t>07</w:t>
            </w:r>
            <w:r>
              <w:rPr>
                <w:rFonts w:hint="eastAsia" w:ascii="宋体" w:hAnsi="宋体"/>
                <w:sz w:val="24"/>
              </w:rPr>
              <w:t>00</w:t>
            </w:r>
            <w:r>
              <w:rPr>
                <w:rFonts w:ascii="宋体" w:hAnsi="宋体"/>
                <w:sz w:val="24"/>
              </w:rPr>
              <w:t>02</w:t>
            </w:r>
          </w:p>
        </w:tc>
        <w:tc>
          <w:tcPr>
            <w:tcW w:w="3298" w:type="dxa"/>
            <w:vAlign w:val="center"/>
          </w:tcPr>
          <w:p>
            <w:pPr>
              <w:jc w:val="center"/>
              <w:rPr>
                <w:rFonts w:ascii="宋体" w:hAnsi="宋体"/>
                <w:sz w:val="24"/>
              </w:rPr>
            </w:pPr>
          </w:p>
        </w:tc>
        <w:tc>
          <w:tcPr>
            <w:tcW w:w="2450" w:type="dxa"/>
            <w:vAlign w:val="center"/>
          </w:tcPr>
          <w:p>
            <w:pPr>
              <w:jc w:val="center"/>
              <w:rPr>
                <w:rFonts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tc>
      </w:tr>
      <w:bookmarkEnd w:id="148"/>
    </w:tbl>
    <w:p>
      <w:pPr>
        <w:snapToGrid w:val="0"/>
        <w:spacing w:line="440" w:lineRule="exact"/>
        <w:ind w:firstLine="482" w:firstLineChars="200"/>
        <w:outlineLvl w:val="1"/>
        <w:rPr>
          <w:rFonts w:ascii="宋体" w:hAnsi="宋体"/>
          <w:b/>
          <w:bCs/>
          <w:sz w:val="24"/>
        </w:rPr>
      </w:pPr>
      <w:r>
        <w:rPr>
          <w:rFonts w:hint="eastAsia" w:ascii="宋体" w:hAnsi="宋体"/>
          <w:b/>
          <w:bCs/>
          <w:sz w:val="24"/>
        </w:rPr>
        <w:t>十二、实地查勘期</w:t>
      </w:r>
      <w:bookmarkEnd w:id="150"/>
    </w:p>
    <w:p>
      <w:pPr>
        <w:snapToGrid w:val="0"/>
        <w:spacing w:line="440" w:lineRule="exact"/>
        <w:ind w:firstLine="480" w:firstLineChars="200"/>
        <w:rPr>
          <w:rFonts w:ascii="宋体" w:hAnsi="宋体"/>
          <w:sz w:val="24"/>
          <w:u w:val="single"/>
        </w:rPr>
      </w:pPr>
      <w:r>
        <w:rPr>
          <w:rFonts w:hint="eastAsia" w:ascii="宋体" w:hAnsi="宋体"/>
          <w:sz w:val="24"/>
        </w:rPr>
        <w:t>实地查勘日：</w:t>
      </w:r>
      <w:bookmarkStart w:id="151" w:name="实地查勘期—年"/>
      <w:r>
        <w:rPr>
          <w:rFonts w:hint="eastAsia" w:ascii="新宋体" w:hAnsi="新宋体" w:eastAsia="新宋体"/>
          <w:sz w:val="24"/>
        </w:rPr>
        <w:t>202</w:t>
      </w:r>
      <w:r>
        <w:rPr>
          <w:rFonts w:ascii="新宋体" w:hAnsi="新宋体" w:eastAsia="新宋体"/>
          <w:sz w:val="24"/>
        </w:rPr>
        <w:t>2</w:t>
      </w:r>
      <w:bookmarkEnd w:id="151"/>
      <w:r>
        <w:rPr>
          <w:rFonts w:hint="eastAsia" w:ascii="新宋体" w:hAnsi="新宋体" w:eastAsia="新宋体"/>
          <w:sz w:val="24"/>
        </w:rPr>
        <w:t>年</w:t>
      </w:r>
      <w:bookmarkStart w:id="152" w:name="实地查勘期—月"/>
      <w:r>
        <w:rPr>
          <w:rFonts w:hint="eastAsia" w:ascii="新宋体" w:hAnsi="新宋体" w:eastAsia="新宋体"/>
          <w:sz w:val="24"/>
        </w:rPr>
        <w:t>8</w:t>
      </w:r>
      <w:bookmarkEnd w:id="152"/>
      <w:r>
        <w:rPr>
          <w:rFonts w:hint="eastAsia" w:ascii="新宋体" w:hAnsi="新宋体" w:eastAsia="新宋体"/>
          <w:sz w:val="24"/>
        </w:rPr>
        <w:t>月</w:t>
      </w:r>
      <w:bookmarkStart w:id="153" w:name="实地查勘期—日"/>
      <w:r>
        <w:rPr>
          <w:rFonts w:ascii="新宋体" w:hAnsi="新宋体" w:eastAsia="新宋体"/>
          <w:sz w:val="24"/>
        </w:rPr>
        <w:t>19</w:t>
      </w:r>
      <w:bookmarkEnd w:id="153"/>
      <w:r>
        <w:rPr>
          <w:rFonts w:hint="eastAsia" w:ascii="新宋体" w:hAnsi="新宋体" w:eastAsia="新宋体"/>
          <w:sz w:val="24"/>
        </w:rPr>
        <w:t>日</w:t>
      </w:r>
      <w:r>
        <w:rPr>
          <w:rFonts w:hint="eastAsia" w:ascii="宋体" w:hAnsi="宋体"/>
          <w:sz w:val="24"/>
        </w:rPr>
        <w:t>。</w:t>
      </w:r>
    </w:p>
    <w:p>
      <w:pPr>
        <w:snapToGrid w:val="0"/>
        <w:spacing w:line="440" w:lineRule="exact"/>
        <w:ind w:firstLine="482" w:firstLineChars="200"/>
        <w:outlineLvl w:val="1"/>
        <w:rPr>
          <w:rFonts w:ascii="宋体" w:hAnsi="宋体"/>
          <w:b/>
          <w:bCs/>
          <w:sz w:val="24"/>
        </w:rPr>
      </w:pPr>
      <w:bookmarkStart w:id="154" w:name="_Toc2249"/>
      <w:r>
        <w:rPr>
          <w:rFonts w:hint="eastAsia" w:ascii="宋体" w:hAnsi="宋体"/>
          <w:b/>
          <w:bCs/>
          <w:sz w:val="24"/>
        </w:rPr>
        <w:t>十三、估价作业期</w:t>
      </w:r>
      <w:bookmarkEnd w:id="149"/>
      <w:bookmarkEnd w:id="154"/>
    </w:p>
    <w:p>
      <w:pPr>
        <w:snapToGrid w:val="0"/>
        <w:spacing w:line="440" w:lineRule="exact"/>
        <w:ind w:firstLine="480" w:firstLineChars="200"/>
        <w:rPr>
          <w:rFonts w:ascii="宋体" w:hAnsi="宋体"/>
          <w:sz w:val="24"/>
        </w:rPr>
      </w:pPr>
      <w:r>
        <w:rPr>
          <w:rFonts w:hint="eastAsia" w:ascii="宋体" w:hAnsi="宋体"/>
          <w:sz w:val="24"/>
        </w:rPr>
        <w:t>估价作业期：</w:t>
      </w:r>
      <w:bookmarkStart w:id="155" w:name="_Hlk99059157"/>
      <w:r>
        <w:rPr>
          <w:rFonts w:hint="eastAsia" w:ascii="宋体" w:hAnsi="宋体"/>
          <w:sz w:val="24"/>
        </w:rPr>
        <w:t>202</w:t>
      </w:r>
      <w:r>
        <w:rPr>
          <w:rFonts w:ascii="宋体" w:hAnsi="宋体"/>
          <w:sz w:val="24"/>
        </w:rPr>
        <w:t>2</w:t>
      </w:r>
      <w:r>
        <w:rPr>
          <w:rFonts w:hint="eastAsia" w:ascii="宋体" w:hAnsi="宋体"/>
          <w:sz w:val="24"/>
        </w:rPr>
        <w:t>年8月</w:t>
      </w:r>
      <w:r>
        <w:rPr>
          <w:rFonts w:ascii="宋体" w:hAnsi="宋体"/>
          <w:sz w:val="24"/>
        </w:rPr>
        <w:t>19</w:t>
      </w:r>
      <w:r>
        <w:rPr>
          <w:rFonts w:hint="eastAsia" w:ascii="宋体" w:hAnsi="宋体"/>
          <w:sz w:val="24"/>
        </w:rPr>
        <w:t>日至</w:t>
      </w:r>
      <w:bookmarkStart w:id="156" w:name="报告出具日—年"/>
      <w:bookmarkStart w:id="157" w:name="_Hlk24885395"/>
      <w:r>
        <w:rPr>
          <w:rFonts w:hint="eastAsia" w:ascii="新宋体" w:hAnsi="新宋体" w:eastAsia="新宋体"/>
          <w:sz w:val="24"/>
        </w:rPr>
        <w:t>20</w:t>
      </w:r>
      <w:r>
        <w:rPr>
          <w:rFonts w:ascii="新宋体" w:hAnsi="新宋体" w:eastAsia="新宋体"/>
          <w:sz w:val="24"/>
        </w:rPr>
        <w:t>22</w:t>
      </w:r>
      <w:bookmarkEnd w:id="156"/>
      <w:r>
        <w:rPr>
          <w:rFonts w:hint="eastAsia" w:ascii="新宋体" w:hAnsi="新宋体" w:eastAsia="新宋体"/>
          <w:sz w:val="24"/>
        </w:rPr>
        <w:t>年</w:t>
      </w:r>
      <w:bookmarkStart w:id="158" w:name="报告出具日—月"/>
      <w:r>
        <w:rPr>
          <w:rFonts w:hint="eastAsia" w:ascii="新宋体" w:hAnsi="新宋体" w:eastAsia="新宋体"/>
          <w:sz w:val="24"/>
        </w:rPr>
        <w:t>8</w:t>
      </w:r>
      <w:bookmarkEnd w:id="158"/>
      <w:r>
        <w:rPr>
          <w:rFonts w:hint="eastAsia" w:ascii="新宋体" w:hAnsi="新宋体" w:eastAsia="新宋体"/>
          <w:sz w:val="24"/>
        </w:rPr>
        <w:t>月</w:t>
      </w:r>
      <w:bookmarkStart w:id="159" w:name="报告出具日—日"/>
      <w:r>
        <w:rPr>
          <w:rFonts w:hint="eastAsia" w:ascii="新宋体" w:hAnsi="新宋体" w:eastAsia="新宋体"/>
          <w:sz w:val="24"/>
        </w:rPr>
        <w:t>3</w:t>
      </w:r>
      <w:r>
        <w:rPr>
          <w:rFonts w:ascii="新宋体" w:hAnsi="新宋体" w:eastAsia="新宋体"/>
          <w:sz w:val="24"/>
        </w:rPr>
        <w:t>1</w:t>
      </w:r>
      <w:bookmarkEnd w:id="159"/>
      <w:r>
        <w:rPr>
          <w:rFonts w:hint="eastAsia" w:ascii="新宋体" w:hAnsi="新宋体" w:eastAsia="新宋体"/>
          <w:sz w:val="24"/>
        </w:rPr>
        <w:t>日</w:t>
      </w:r>
      <w:bookmarkEnd w:id="155"/>
      <w:bookmarkEnd w:id="157"/>
      <w:r>
        <w:rPr>
          <w:rFonts w:hint="eastAsia" w:ascii="宋体" w:hAnsi="宋体"/>
          <w:sz w:val="24"/>
        </w:rPr>
        <w:t>。</w:t>
      </w:r>
    </w:p>
    <w:p>
      <w:pPr>
        <w:pStyle w:val="9"/>
        <w:tabs>
          <w:tab w:val="left" w:pos="840"/>
        </w:tabs>
        <w:snapToGrid w:val="0"/>
        <w:spacing w:line="440" w:lineRule="exact"/>
        <w:ind w:firstLine="1063" w:firstLineChars="443"/>
        <w:rPr>
          <w:rFonts w:hAnsi="宋体"/>
          <w:sz w:val="24"/>
        </w:rPr>
      </w:pPr>
      <w:bookmarkStart w:id="165" w:name="_GoBack"/>
      <w:bookmarkEnd w:id="165"/>
      <w:bookmarkStart w:id="160" w:name="_Hlk99059084"/>
    </w:p>
    <w:p>
      <w:pPr>
        <w:pStyle w:val="9"/>
        <w:tabs>
          <w:tab w:val="left" w:pos="840"/>
        </w:tabs>
        <w:snapToGrid w:val="0"/>
        <w:spacing w:line="440" w:lineRule="exact"/>
        <w:ind w:firstLine="1063" w:firstLineChars="443"/>
        <w:rPr>
          <w:rFonts w:hAnsi="宋体"/>
          <w:sz w:val="24"/>
        </w:rPr>
      </w:pPr>
    </w:p>
    <w:p>
      <w:pPr>
        <w:pStyle w:val="9"/>
        <w:tabs>
          <w:tab w:val="left" w:pos="840"/>
        </w:tabs>
        <w:snapToGrid w:val="0"/>
        <w:spacing w:line="440" w:lineRule="exact"/>
        <w:ind w:firstLine="1063" w:firstLineChars="443"/>
        <w:rPr>
          <w:rFonts w:hAnsi="宋体"/>
          <w:sz w:val="24"/>
        </w:rPr>
      </w:pPr>
      <w:r>
        <w:rPr>
          <w:rFonts w:hint="eastAsia" w:hAnsi="宋体"/>
          <w:sz w:val="24"/>
        </w:rPr>
        <w:t>房地产估价机构：福建中兴资产评估房地产土地估价有限责任公司（公章）</w:t>
      </w:r>
    </w:p>
    <w:p>
      <w:pPr>
        <w:snapToGrid w:val="0"/>
        <w:spacing w:line="440" w:lineRule="exact"/>
        <w:jc w:val="center"/>
        <w:rPr>
          <w:rFonts w:ascii="宋体" w:hAnsi="宋体"/>
          <w:sz w:val="24"/>
        </w:rPr>
      </w:pPr>
      <w:r>
        <w:rPr>
          <w:rFonts w:hint="eastAsia"/>
          <w:sz w:val="24"/>
        </w:rPr>
        <w:t xml:space="preserve">                            </w:t>
      </w:r>
      <w:r>
        <w:rPr>
          <w:rFonts w:hint="eastAsia"/>
          <w:bCs/>
          <w:sz w:val="24"/>
        </w:rPr>
        <w:t xml:space="preserve"> </w:t>
      </w:r>
      <w:r>
        <w:rPr>
          <w:rFonts w:hint="eastAsia" w:ascii="宋体" w:hAnsi="宋体"/>
          <w:bCs/>
          <w:sz w:val="24"/>
        </w:rPr>
        <w:t>二○二二年八月三十一日</w:t>
      </w:r>
      <w:bookmarkEnd w:id="145"/>
      <w:bookmarkEnd w:id="146"/>
      <w:bookmarkEnd w:id="160"/>
    </w:p>
    <w:sectPr>
      <w:headerReference r:id="rId10" w:type="first"/>
      <w:footerReference r:id="rId11" w:type="default"/>
      <w:headerReference r:id="rId9" w:type="even"/>
      <w:pgSz w:w="11906" w:h="16838"/>
      <w:pgMar w:top="1440" w:right="1080" w:bottom="1440" w:left="1080" w:header="567"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宋体" w:hAnsi="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宋体" w:hAnsi="宋体"/>
        <w:bCs/>
      </w:rPr>
    </w:pPr>
    <w:r>
      <w:fldChar w:fldCharType="begin"/>
    </w:r>
    <w:r>
      <w:instrText xml:space="preserve"> HYPERLINK "http://www.fjland.cn/CXDA/GRHY/indexone.asp?id=76" </w:instrText>
    </w:r>
    <w:r>
      <w:fldChar w:fldCharType="separate"/>
    </w:r>
    <w:r>
      <w:rPr>
        <w:rFonts w:ascii="宋体" w:hAnsi="宋体"/>
        <w:bCs/>
      </w:rPr>
      <w:t>福建中兴资产评估房地产土地估价有限责任公司</w:t>
    </w:r>
    <w:r>
      <w:rPr>
        <w:rFonts w:ascii="宋体" w:hAnsi="宋体"/>
        <w:bCs/>
      </w:rPr>
      <w:fldChar w:fldCharType="end"/>
    </w:r>
    <w:r>
      <w:rPr>
        <w:rFonts w:hint="eastAsia" w:ascii="宋体" w:hAnsi="宋体"/>
        <w:bCs/>
      </w:rPr>
      <w:t xml:space="preserve">                   </w:t>
    </w:r>
    <w:r>
      <w:rPr>
        <w:rFonts w:hint="eastAsia" w:ascii="宋体" w:hAnsi="宋体"/>
        <w:bCs/>
        <w:kern w:val="0"/>
        <w:szCs w:val="21"/>
      </w:rPr>
      <w:t xml:space="preserve">      </w:t>
    </w:r>
    <w:r>
      <w:rPr>
        <w:rFonts w:hint="eastAsia" w:ascii="宋体" w:hAnsi="宋体"/>
        <w:bCs/>
      </w:rPr>
      <w:t xml:space="preserve">   </w:t>
    </w:r>
    <w:r>
      <w:rPr>
        <w:rFonts w:ascii="宋体" w:hAnsi="宋体"/>
        <w:bCs/>
      </w:rPr>
      <w:fldChar w:fldCharType="begin"/>
    </w:r>
    <w:r>
      <w:rPr>
        <w:rFonts w:ascii="宋体" w:hAnsi="宋体"/>
        <w:bCs/>
      </w:rPr>
      <w:instrText xml:space="preserve"> </w:instrText>
    </w:r>
    <w:r>
      <w:rPr>
        <w:rFonts w:hint="eastAsia" w:ascii="宋体" w:hAnsi="宋体"/>
        <w:bCs/>
      </w:rPr>
      <w:instrText xml:space="preserve">REF 报告出具日—年 \h</w:instrText>
    </w:r>
    <w:r>
      <w:rPr>
        <w:rFonts w:ascii="宋体" w:hAnsi="宋体"/>
        <w:bCs/>
      </w:rPr>
      <w:instrText xml:space="preserve">  \* MERGEFORMAT </w:instrText>
    </w:r>
    <w:r>
      <w:rPr>
        <w:rFonts w:ascii="宋体" w:hAnsi="宋体"/>
        <w:bCs/>
      </w:rPr>
      <w:fldChar w:fldCharType="separate"/>
    </w:r>
    <w:r>
      <w:rPr>
        <w:rFonts w:hint="eastAsia" w:ascii="宋体" w:hAnsi="宋体"/>
        <w:bCs/>
      </w:rPr>
      <w:t>20</w:t>
    </w:r>
    <w:r>
      <w:rPr>
        <w:rFonts w:ascii="宋体" w:hAnsi="宋体"/>
        <w:bCs/>
      </w:rPr>
      <w:t>22</w:t>
    </w:r>
    <w:r>
      <w:rPr>
        <w:rFonts w:ascii="宋体" w:hAnsi="宋体"/>
        <w:bCs/>
      </w:rPr>
      <w:fldChar w:fldCharType="end"/>
    </w:r>
    <w:r>
      <w:rPr>
        <w:rFonts w:hint="eastAsia" w:ascii="宋体" w:hAnsi="宋体"/>
        <w:bCs/>
      </w:rPr>
      <w:t>年</w:t>
    </w:r>
    <w:r>
      <w:rPr>
        <w:rFonts w:ascii="宋体" w:hAnsi="宋体"/>
        <w:bCs/>
      </w:rPr>
      <w:fldChar w:fldCharType="begin"/>
    </w:r>
    <w:r>
      <w:rPr>
        <w:rFonts w:ascii="宋体" w:hAnsi="宋体"/>
        <w:bCs/>
      </w:rPr>
      <w:instrText xml:space="preserve"> </w:instrText>
    </w:r>
    <w:r>
      <w:rPr>
        <w:rFonts w:hint="eastAsia" w:ascii="宋体" w:hAnsi="宋体"/>
        <w:bCs/>
      </w:rPr>
      <w:instrText xml:space="preserve">REF 报告出具日—月 \h</w:instrText>
    </w:r>
    <w:r>
      <w:rPr>
        <w:rFonts w:ascii="宋体" w:hAnsi="宋体"/>
        <w:bCs/>
      </w:rPr>
      <w:instrText xml:space="preserve">  \* MERGEFORMAT </w:instrText>
    </w:r>
    <w:r>
      <w:rPr>
        <w:rFonts w:ascii="宋体" w:hAnsi="宋体"/>
        <w:bCs/>
      </w:rPr>
      <w:fldChar w:fldCharType="separate"/>
    </w:r>
    <w:r>
      <w:rPr>
        <w:rFonts w:hint="eastAsia" w:ascii="宋体" w:hAnsi="宋体"/>
        <w:bCs/>
      </w:rPr>
      <w:t>8</w:t>
    </w:r>
    <w:r>
      <w:rPr>
        <w:rFonts w:ascii="宋体" w:hAnsi="宋体"/>
        <w:bCs/>
      </w:rPr>
      <w:fldChar w:fldCharType="end"/>
    </w:r>
    <w:r>
      <w:rPr>
        <w:rFonts w:hint="eastAsia" w:ascii="宋体" w:hAnsi="宋体"/>
        <w:bCs/>
      </w:rPr>
      <w:t>月</w:t>
    </w:r>
    <w:r>
      <w:rPr>
        <w:rFonts w:ascii="宋体" w:hAnsi="宋体"/>
        <w:bCs/>
      </w:rPr>
      <w:fldChar w:fldCharType="begin"/>
    </w:r>
    <w:r>
      <w:rPr>
        <w:rFonts w:ascii="宋体" w:hAnsi="宋体"/>
        <w:bCs/>
      </w:rPr>
      <w:instrText xml:space="preserve"> </w:instrText>
    </w:r>
    <w:r>
      <w:rPr>
        <w:rFonts w:hint="eastAsia" w:ascii="宋体" w:hAnsi="宋体"/>
        <w:bCs/>
      </w:rPr>
      <w:instrText xml:space="preserve">REF 报告出具日—日 \h</w:instrText>
    </w:r>
    <w:r>
      <w:rPr>
        <w:rFonts w:ascii="宋体" w:hAnsi="宋体"/>
        <w:bCs/>
      </w:rPr>
      <w:instrText xml:space="preserve">  \* MERGEFORMAT </w:instrText>
    </w:r>
    <w:r>
      <w:rPr>
        <w:rFonts w:ascii="宋体" w:hAnsi="宋体"/>
        <w:bCs/>
      </w:rPr>
      <w:fldChar w:fldCharType="separate"/>
    </w:r>
    <w:r>
      <w:rPr>
        <w:rFonts w:hint="eastAsia" w:ascii="宋体" w:hAnsi="宋体"/>
        <w:bCs/>
      </w:rPr>
      <w:t>3</w:t>
    </w:r>
    <w:r>
      <w:rPr>
        <w:rFonts w:ascii="宋体" w:hAnsi="宋体"/>
        <w:bCs/>
      </w:rPr>
      <w:t>1</w:t>
    </w:r>
    <w:r>
      <w:rPr>
        <w:rFonts w:ascii="宋体" w:hAnsi="宋体"/>
        <w:bCs/>
      </w:rPr>
      <w:fldChar w:fldCharType="end"/>
    </w:r>
    <w:r>
      <w:rPr>
        <w:rFonts w:hint="eastAsia" w:ascii="宋体" w:hAnsi="宋体"/>
        <w:bCs/>
      </w:rPr>
      <w:t>日</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宋体" w:hAnsi="宋体"/>
        <w:bCs/>
      </w:rPr>
    </w:pPr>
    <w:r>
      <w:fldChar w:fldCharType="begin"/>
    </w:r>
    <w:r>
      <w:instrText xml:space="preserve"> HYPERLINK "http://www.fjland.cn/CXDA/GRHY/indexone.asp?id=76" </w:instrText>
    </w:r>
    <w:r>
      <w:fldChar w:fldCharType="separate"/>
    </w:r>
    <w:r>
      <w:rPr>
        <w:rFonts w:ascii="宋体" w:hAnsi="宋体"/>
        <w:bCs/>
      </w:rPr>
      <w:t>福建中兴资产评估房地产土地估价有限责任公司</w:t>
    </w:r>
    <w:r>
      <w:rPr>
        <w:rFonts w:ascii="宋体" w:hAnsi="宋体"/>
        <w:bCs/>
      </w:rPr>
      <w:fldChar w:fldCharType="end"/>
    </w:r>
    <w:r>
      <w:rPr>
        <w:rFonts w:hint="eastAsia" w:ascii="宋体" w:hAnsi="宋体"/>
        <w:bCs/>
      </w:rPr>
      <w:t xml:space="preserve">     </w:t>
    </w:r>
    <w:r>
      <w:rPr>
        <w:rFonts w:hint="eastAsia" w:ascii="宋体" w:hAnsi="宋体"/>
        <w:bCs/>
        <w:kern w:val="0"/>
        <w:szCs w:val="21"/>
      </w:rPr>
      <w:t xml:space="preserve">                </w:t>
    </w:r>
    <w:r>
      <w:rPr>
        <w:rFonts w:hint="eastAsia" w:ascii="宋体" w:hAnsi="宋体"/>
        <w:bCs/>
      </w:rPr>
      <w:t xml:space="preserve">     </w:t>
    </w:r>
    <w:r>
      <w:rPr>
        <w:rFonts w:ascii="宋体" w:hAnsi="宋体"/>
        <w:bCs/>
      </w:rPr>
      <w:fldChar w:fldCharType="begin"/>
    </w:r>
    <w:r>
      <w:rPr>
        <w:rFonts w:ascii="宋体" w:hAnsi="宋体"/>
        <w:bCs/>
      </w:rPr>
      <w:instrText xml:space="preserve"> </w:instrText>
    </w:r>
    <w:r>
      <w:rPr>
        <w:rFonts w:hint="eastAsia" w:ascii="宋体" w:hAnsi="宋体"/>
        <w:bCs/>
      </w:rPr>
      <w:instrText xml:space="preserve">REF 报告出具日—年 \h</w:instrText>
    </w:r>
    <w:r>
      <w:rPr>
        <w:rFonts w:ascii="宋体" w:hAnsi="宋体"/>
        <w:bCs/>
      </w:rPr>
      <w:instrText xml:space="preserve">  \* MERGEFORMAT </w:instrText>
    </w:r>
    <w:r>
      <w:rPr>
        <w:rFonts w:ascii="宋体" w:hAnsi="宋体"/>
        <w:bCs/>
      </w:rPr>
      <w:fldChar w:fldCharType="separate"/>
    </w:r>
    <w:r>
      <w:rPr>
        <w:rFonts w:hint="eastAsia" w:ascii="宋体" w:hAnsi="宋体"/>
        <w:bCs/>
      </w:rPr>
      <w:t>20</w:t>
    </w:r>
    <w:r>
      <w:rPr>
        <w:rFonts w:ascii="宋体" w:hAnsi="宋体"/>
        <w:bCs/>
      </w:rPr>
      <w:t>22</w:t>
    </w:r>
    <w:r>
      <w:rPr>
        <w:rFonts w:ascii="宋体" w:hAnsi="宋体"/>
        <w:bCs/>
      </w:rPr>
      <w:fldChar w:fldCharType="end"/>
    </w:r>
    <w:r>
      <w:rPr>
        <w:rFonts w:hint="eastAsia" w:ascii="宋体" w:hAnsi="宋体"/>
        <w:bCs/>
      </w:rPr>
      <w:t>年</w:t>
    </w:r>
    <w:r>
      <w:rPr>
        <w:rFonts w:ascii="宋体" w:hAnsi="宋体"/>
        <w:bCs/>
      </w:rPr>
      <w:fldChar w:fldCharType="begin"/>
    </w:r>
    <w:r>
      <w:rPr>
        <w:rFonts w:ascii="宋体" w:hAnsi="宋体"/>
        <w:bCs/>
      </w:rPr>
      <w:instrText xml:space="preserve"> </w:instrText>
    </w:r>
    <w:r>
      <w:rPr>
        <w:rFonts w:hint="eastAsia" w:ascii="宋体" w:hAnsi="宋体"/>
        <w:bCs/>
      </w:rPr>
      <w:instrText xml:space="preserve">REF 报告出具日—月 \h</w:instrText>
    </w:r>
    <w:r>
      <w:rPr>
        <w:rFonts w:ascii="宋体" w:hAnsi="宋体"/>
        <w:bCs/>
      </w:rPr>
      <w:instrText xml:space="preserve">  \* MERGEFORMAT </w:instrText>
    </w:r>
    <w:r>
      <w:rPr>
        <w:rFonts w:ascii="宋体" w:hAnsi="宋体"/>
        <w:bCs/>
      </w:rPr>
      <w:fldChar w:fldCharType="separate"/>
    </w:r>
    <w:r>
      <w:rPr>
        <w:rFonts w:hint="eastAsia" w:ascii="宋体" w:hAnsi="宋体"/>
        <w:bCs/>
      </w:rPr>
      <w:t>8</w:t>
    </w:r>
    <w:r>
      <w:rPr>
        <w:rFonts w:ascii="宋体" w:hAnsi="宋体"/>
        <w:bCs/>
      </w:rPr>
      <w:fldChar w:fldCharType="end"/>
    </w:r>
    <w:r>
      <w:rPr>
        <w:rFonts w:hint="eastAsia" w:ascii="宋体" w:hAnsi="宋体"/>
        <w:bCs/>
      </w:rPr>
      <w:t>月</w:t>
    </w:r>
    <w:r>
      <w:rPr>
        <w:rFonts w:ascii="宋体" w:hAnsi="宋体"/>
        <w:bCs/>
      </w:rPr>
      <w:fldChar w:fldCharType="begin"/>
    </w:r>
    <w:r>
      <w:rPr>
        <w:rFonts w:ascii="宋体" w:hAnsi="宋体"/>
        <w:bCs/>
      </w:rPr>
      <w:instrText xml:space="preserve"> </w:instrText>
    </w:r>
    <w:r>
      <w:rPr>
        <w:rFonts w:hint="eastAsia" w:ascii="宋体" w:hAnsi="宋体"/>
        <w:bCs/>
      </w:rPr>
      <w:instrText xml:space="preserve">REF 报告出具日—日 \h</w:instrText>
    </w:r>
    <w:r>
      <w:rPr>
        <w:rFonts w:ascii="宋体" w:hAnsi="宋体"/>
        <w:bCs/>
      </w:rPr>
      <w:instrText xml:space="preserve">  \* MERGEFORMAT </w:instrText>
    </w:r>
    <w:r>
      <w:rPr>
        <w:rFonts w:ascii="宋体" w:hAnsi="宋体"/>
        <w:bCs/>
      </w:rPr>
      <w:fldChar w:fldCharType="separate"/>
    </w:r>
    <w:r>
      <w:rPr>
        <w:rFonts w:hint="eastAsia" w:ascii="宋体" w:hAnsi="宋体"/>
        <w:bCs/>
      </w:rPr>
      <w:t>3</w:t>
    </w:r>
    <w:r>
      <w:rPr>
        <w:rFonts w:ascii="宋体" w:hAnsi="宋体"/>
        <w:bCs/>
      </w:rPr>
      <w:t>1</w:t>
    </w:r>
    <w:r>
      <w:rPr>
        <w:rFonts w:ascii="宋体" w:hAnsi="宋体"/>
        <w:bCs/>
      </w:rPr>
      <w:fldChar w:fldCharType="end"/>
    </w:r>
    <w:r>
      <w:rPr>
        <w:rFonts w:hint="eastAsia" w:ascii="宋体" w:hAnsi="宋体"/>
        <w:bCs/>
      </w:rPr>
      <w:t>日</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1834453" o:spid="_x0000_s1026" o:spt="75" type="#_x0000_t75" style="position:absolute;left:0pt;height:604.5pt;width:453.4pt;mso-position-horizontal:center;mso-position-horizontal-relative:margin;mso-position-vertical:center;mso-position-vertical-relative:margin;z-index:-251653120;mso-width-relative:page;mso-height-relative:page;" filled="f" o:preferrelative="t" stroked="f" coordsize="21600,21600">
          <v:path/>
          <v:fill on="f" focussize="0,0"/>
          <v:stroke on="f" joinstyle="miter"/>
          <v:imagedata r:id="rId1" gain="19661f" blacklevel="22938f" o:title="中兴图标"/>
          <o:lock v:ext="edit" aspectratio="t"/>
        </v:shape>
      </w:pict>
    </w:r>
    <w:r>
      <w:rPr>
        <w:rFonts w:hint="eastAsia"/>
      </w:rPr>
      <w:tab/>
    </w:r>
    <w:r>
      <w:rPr>
        <w:rFonts w:hint="eastAsia"/>
      </w:rPr>
      <w:tab/>
    </w: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WordPictureWatermark5" o:spid="_x0000_s1025" o:spt="75" type="#_x0000_t75" style="position:absolute;left:0pt;height:585.35pt;width:439.0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中兴图标"/>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WordPictureWatermark4" o:spid="_x0000_s1027" o:spt="75" type="#_x0000_t75" style="position:absolute;left:0pt;height:585.35pt;width:439.0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中兴图标"/>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6" w:space="0"/>
      </w:pBdr>
      <w:rPr>
        <w:rFonts w:ascii="宋体" w:hAnsi="宋体"/>
        <w:sz w:val="21"/>
        <w:szCs w:val="21"/>
      </w:rPr>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758180" cy="7677150"/>
          <wp:effectExtent l="0" t="0" r="0" b="0"/>
          <wp:wrapNone/>
          <wp:docPr id="2" name="图片 2" descr="中兴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兴图标"/>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a:xfrm>
                    <a:off x="0" y="0"/>
                    <a:ext cx="5758180" cy="7677150"/>
                  </a:xfrm>
                  <a:prstGeom prst="rect">
                    <a:avLst/>
                  </a:prstGeom>
                  <a:noFill/>
                </pic:spPr>
              </pic:pic>
            </a:graphicData>
          </a:graphic>
        </wp:anchor>
      </w:drawing>
    </w:r>
    <w:bookmarkStart w:id="161" w:name="_Hlk99060321"/>
    <w:r>
      <w:rPr>
        <w:rFonts w:hint="eastAsia" w:ascii="宋体" w:hAnsi="宋体"/>
        <w:sz w:val="21"/>
        <w:szCs w:val="21"/>
      </w:rPr>
      <w:t xml:space="preserve">房地产估价机构备案一级                                </w:t>
    </w:r>
    <w:bookmarkStart w:id="162" w:name="_Hlk99060282"/>
    <w:bookmarkStart w:id="163" w:name="_Hlk99058965"/>
    <w:bookmarkStart w:id="164" w:name="_Hlk99060283"/>
    <w:r>
      <w:rPr>
        <w:rFonts w:ascii="宋体" w:hAnsi="宋体"/>
        <w:sz w:val="21"/>
        <w:szCs w:val="21"/>
      </w:rPr>
      <w:fldChar w:fldCharType="begin"/>
    </w:r>
    <w:r>
      <w:rPr>
        <w:rFonts w:ascii="宋体" w:hAnsi="宋体"/>
        <w:sz w:val="21"/>
        <w:szCs w:val="21"/>
      </w:rPr>
      <w:instrText xml:space="preserve"> REF 估价项目项目编号 \h  \* CHARFORMAT  \* MERGEFORMAT </w:instrText>
    </w:r>
    <w:r>
      <w:rPr>
        <w:rFonts w:ascii="宋体" w:hAnsi="宋体"/>
        <w:sz w:val="21"/>
        <w:szCs w:val="21"/>
      </w:rPr>
      <w:fldChar w:fldCharType="separate"/>
    </w:r>
    <w:r>
      <w:rPr>
        <w:rFonts w:hint="eastAsia" w:ascii="宋体" w:hAnsi="宋体"/>
        <w:sz w:val="21"/>
        <w:szCs w:val="21"/>
      </w:rPr>
      <w:t>闽中兴房估字[202</w:t>
    </w:r>
    <w:r>
      <w:rPr>
        <w:rFonts w:ascii="宋体" w:hAnsi="宋体"/>
        <w:sz w:val="21"/>
        <w:szCs w:val="21"/>
      </w:rPr>
      <w:t>2</w:t>
    </w:r>
    <w:r>
      <w:rPr>
        <w:rFonts w:hint="eastAsia" w:ascii="宋体" w:hAnsi="宋体"/>
        <w:sz w:val="21"/>
        <w:szCs w:val="21"/>
      </w:rPr>
      <w:t>]第</w:t>
    </w:r>
    <w:r>
      <w:rPr>
        <w:rFonts w:hint="eastAsia" w:ascii="宋体" w:hAnsi="宋体"/>
        <w:sz w:val="21"/>
        <w:szCs w:val="21"/>
        <w:lang w:eastAsia="zh-CN"/>
      </w:rPr>
      <w:t>TS50077</w:t>
    </w:r>
    <w:r>
      <w:rPr>
        <w:rFonts w:hint="eastAsia" w:ascii="宋体" w:hAnsi="宋体"/>
        <w:sz w:val="21"/>
        <w:szCs w:val="21"/>
      </w:rPr>
      <w:t>号</w:t>
    </w:r>
    <w:r>
      <w:rPr>
        <w:rFonts w:ascii="宋体" w:hAnsi="宋体"/>
        <w:sz w:val="21"/>
        <w:szCs w:val="21"/>
      </w:rPr>
      <w:fldChar w:fldCharType="end"/>
    </w:r>
    <w:bookmarkEnd w:id="161"/>
    <w:bookmarkEnd w:id="162"/>
    <w:bookmarkEnd w:id="163"/>
    <w:bookmarkEnd w:id="16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WordPictureWatermark8" o:spid="_x0000_s1031" o:spt="75" type="#_x0000_t75" style="position:absolute;left:0pt;height:585.35pt;width:439.0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中兴图标"/>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WordPictureWatermark7" o:spid="_x0000_s1032" o:spt="75" type="#_x0000_t75" style="position:absolute;left:0pt;height:585.35pt;width:439.0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中兴图标"/>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singleLevel"/>
    <w:tmpl w:val="00000009"/>
    <w:lvl w:ilvl="0" w:tentative="0">
      <w:start w:val="1"/>
      <w:numFmt w:val="upperLetter"/>
      <w:pStyle w:val="2"/>
      <w:lvlText w:val="%1、"/>
      <w:lvlJc w:val="left"/>
      <w:pPr>
        <w:tabs>
          <w:tab w:val="left" w:pos="1140"/>
        </w:tabs>
        <w:ind w:left="1140" w:hanging="7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EzOWQ4MjVlMGI1NDNkZDcyMTkyMTFlNGQ3NDNkMmUifQ=="/>
  </w:docVars>
  <w:rsids>
    <w:rsidRoot w:val="00172A27"/>
    <w:rsid w:val="00001F68"/>
    <w:rsid w:val="0000308E"/>
    <w:rsid w:val="0000352D"/>
    <w:rsid w:val="00003F8E"/>
    <w:rsid w:val="000063C5"/>
    <w:rsid w:val="00006DB2"/>
    <w:rsid w:val="000071D5"/>
    <w:rsid w:val="00007FCC"/>
    <w:rsid w:val="000106C7"/>
    <w:rsid w:val="00011107"/>
    <w:rsid w:val="00011479"/>
    <w:rsid w:val="00012202"/>
    <w:rsid w:val="000154DC"/>
    <w:rsid w:val="00015B8A"/>
    <w:rsid w:val="000211E7"/>
    <w:rsid w:val="00021797"/>
    <w:rsid w:val="00021C5C"/>
    <w:rsid w:val="00021C5E"/>
    <w:rsid w:val="0003231C"/>
    <w:rsid w:val="00032391"/>
    <w:rsid w:val="00034ACA"/>
    <w:rsid w:val="0003540D"/>
    <w:rsid w:val="0003544B"/>
    <w:rsid w:val="00040617"/>
    <w:rsid w:val="00041C43"/>
    <w:rsid w:val="00042319"/>
    <w:rsid w:val="00042BB9"/>
    <w:rsid w:val="00043D90"/>
    <w:rsid w:val="00043D95"/>
    <w:rsid w:val="00044102"/>
    <w:rsid w:val="0004776B"/>
    <w:rsid w:val="00047876"/>
    <w:rsid w:val="000506B4"/>
    <w:rsid w:val="00050720"/>
    <w:rsid w:val="00051115"/>
    <w:rsid w:val="000521D7"/>
    <w:rsid w:val="00054884"/>
    <w:rsid w:val="00054C67"/>
    <w:rsid w:val="00055C11"/>
    <w:rsid w:val="00056BAB"/>
    <w:rsid w:val="00061188"/>
    <w:rsid w:val="000623E8"/>
    <w:rsid w:val="000626E2"/>
    <w:rsid w:val="00062841"/>
    <w:rsid w:val="00063F06"/>
    <w:rsid w:val="0006484C"/>
    <w:rsid w:val="00065C88"/>
    <w:rsid w:val="00065E40"/>
    <w:rsid w:val="0006768B"/>
    <w:rsid w:val="00067C94"/>
    <w:rsid w:val="00067D9E"/>
    <w:rsid w:val="00071278"/>
    <w:rsid w:val="00071DD8"/>
    <w:rsid w:val="00071FBB"/>
    <w:rsid w:val="00072073"/>
    <w:rsid w:val="00072814"/>
    <w:rsid w:val="00073227"/>
    <w:rsid w:val="00074C8C"/>
    <w:rsid w:val="00075484"/>
    <w:rsid w:val="0007764B"/>
    <w:rsid w:val="00077882"/>
    <w:rsid w:val="000804F1"/>
    <w:rsid w:val="00080C4D"/>
    <w:rsid w:val="00081DEC"/>
    <w:rsid w:val="00082FE3"/>
    <w:rsid w:val="000835D7"/>
    <w:rsid w:val="00083BB3"/>
    <w:rsid w:val="00083C73"/>
    <w:rsid w:val="000849CD"/>
    <w:rsid w:val="00085003"/>
    <w:rsid w:val="00086703"/>
    <w:rsid w:val="000900C5"/>
    <w:rsid w:val="00092727"/>
    <w:rsid w:val="00092F94"/>
    <w:rsid w:val="00093C06"/>
    <w:rsid w:val="00094365"/>
    <w:rsid w:val="00095FD4"/>
    <w:rsid w:val="00095FD6"/>
    <w:rsid w:val="00096AD9"/>
    <w:rsid w:val="00096E58"/>
    <w:rsid w:val="0009716C"/>
    <w:rsid w:val="00097381"/>
    <w:rsid w:val="000A270F"/>
    <w:rsid w:val="000A2E2A"/>
    <w:rsid w:val="000A422E"/>
    <w:rsid w:val="000A44F2"/>
    <w:rsid w:val="000A52C5"/>
    <w:rsid w:val="000A61A0"/>
    <w:rsid w:val="000A67F7"/>
    <w:rsid w:val="000A7B77"/>
    <w:rsid w:val="000A7E52"/>
    <w:rsid w:val="000B03D8"/>
    <w:rsid w:val="000B08BB"/>
    <w:rsid w:val="000B0DE2"/>
    <w:rsid w:val="000B0F74"/>
    <w:rsid w:val="000B1128"/>
    <w:rsid w:val="000B1185"/>
    <w:rsid w:val="000B285F"/>
    <w:rsid w:val="000B44B5"/>
    <w:rsid w:val="000B502D"/>
    <w:rsid w:val="000B50A6"/>
    <w:rsid w:val="000B584F"/>
    <w:rsid w:val="000B58AA"/>
    <w:rsid w:val="000B6095"/>
    <w:rsid w:val="000B6A91"/>
    <w:rsid w:val="000B7977"/>
    <w:rsid w:val="000C04CA"/>
    <w:rsid w:val="000C0D8C"/>
    <w:rsid w:val="000C0E00"/>
    <w:rsid w:val="000C17D5"/>
    <w:rsid w:val="000C1C79"/>
    <w:rsid w:val="000C2C4B"/>
    <w:rsid w:val="000C2CFE"/>
    <w:rsid w:val="000C3343"/>
    <w:rsid w:val="000C33C2"/>
    <w:rsid w:val="000C3A13"/>
    <w:rsid w:val="000C4508"/>
    <w:rsid w:val="000C55A9"/>
    <w:rsid w:val="000C6476"/>
    <w:rsid w:val="000C6871"/>
    <w:rsid w:val="000C71DC"/>
    <w:rsid w:val="000C7460"/>
    <w:rsid w:val="000C7CC4"/>
    <w:rsid w:val="000D0FCA"/>
    <w:rsid w:val="000D124A"/>
    <w:rsid w:val="000D1301"/>
    <w:rsid w:val="000D4803"/>
    <w:rsid w:val="000D486B"/>
    <w:rsid w:val="000D5CD7"/>
    <w:rsid w:val="000D676B"/>
    <w:rsid w:val="000D6C27"/>
    <w:rsid w:val="000D6D12"/>
    <w:rsid w:val="000D6D58"/>
    <w:rsid w:val="000D7DE8"/>
    <w:rsid w:val="000E0078"/>
    <w:rsid w:val="000E07FF"/>
    <w:rsid w:val="000E0B56"/>
    <w:rsid w:val="000E2B5A"/>
    <w:rsid w:val="000E3655"/>
    <w:rsid w:val="000E4750"/>
    <w:rsid w:val="000E4C07"/>
    <w:rsid w:val="000E5FA7"/>
    <w:rsid w:val="000E66AD"/>
    <w:rsid w:val="000F064C"/>
    <w:rsid w:val="000F13BC"/>
    <w:rsid w:val="000F1E1F"/>
    <w:rsid w:val="000F30B0"/>
    <w:rsid w:val="000F440A"/>
    <w:rsid w:val="000F4967"/>
    <w:rsid w:val="000F4988"/>
    <w:rsid w:val="000F6704"/>
    <w:rsid w:val="000F717D"/>
    <w:rsid w:val="000F7259"/>
    <w:rsid w:val="001008AF"/>
    <w:rsid w:val="00102E21"/>
    <w:rsid w:val="0010380F"/>
    <w:rsid w:val="00103F8F"/>
    <w:rsid w:val="00105157"/>
    <w:rsid w:val="00106F28"/>
    <w:rsid w:val="00107329"/>
    <w:rsid w:val="0011067F"/>
    <w:rsid w:val="00111CA7"/>
    <w:rsid w:val="00112CB7"/>
    <w:rsid w:val="00112D08"/>
    <w:rsid w:val="00113598"/>
    <w:rsid w:val="00113C3A"/>
    <w:rsid w:val="00113D94"/>
    <w:rsid w:val="001141CC"/>
    <w:rsid w:val="001159C1"/>
    <w:rsid w:val="00115A2B"/>
    <w:rsid w:val="001163AB"/>
    <w:rsid w:val="00121464"/>
    <w:rsid w:val="00121542"/>
    <w:rsid w:val="00121E92"/>
    <w:rsid w:val="001225F6"/>
    <w:rsid w:val="00123146"/>
    <w:rsid w:val="0012466E"/>
    <w:rsid w:val="0012650C"/>
    <w:rsid w:val="00126591"/>
    <w:rsid w:val="001268EE"/>
    <w:rsid w:val="001311D2"/>
    <w:rsid w:val="001319B0"/>
    <w:rsid w:val="00131E29"/>
    <w:rsid w:val="0013223F"/>
    <w:rsid w:val="001335D6"/>
    <w:rsid w:val="00133B08"/>
    <w:rsid w:val="00133C3D"/>
    <w:rsid w:val="00133EB0"/>
    <w:rsid w:val="00133FC4"/>
    <w:rsid w:val="00135DC8"/>
    <w:rsid w:val="001428B5"/>
    <w:rsid w:val="001518DE"/>
    <w:rsid w:val="00153C8C"/>
    <w:rsid w:val="0015431E"/>
    <w:rsid w:val="00154A65"/>
    <w:rsid w:val="00155707"/>
    <w:rsid w:val="00155A47"/>
    <w:rsid w:val="00161903"/>
    <w:rsid w:val="001623DE"/>
    <w:rsid w:val="001633BB"/>
    <w:rsid w:val="00163590"/>
    <w:rsid w:val="001645DA"/>
    <w:rsid w:val="00164826"/>
    <w:rsid w:val="00164F98"/>
    <w:rsid w:val="001650FB"/>
    <w:rsid w:val="001669AC"/>
    <w:rsid w:val="001669FE"/>
    <w:rsid w:val="001670A7"/>
    <w:rsid w:val="0017088B"/>
    <w:rsid w:val="00171133"/>
    <w:rsid w:val="00172104"/>
    <w:rsid w:val="001723C7"/>
    <w:rsid w:val="00172786"/>
    <w:rsid w:val="00172A27"/>
    <w:rsid w:val="00172B88"/>
    <w:rsid w:val="00172BE8"/>
    <w:rsid w:val="00175A4C"/>
    <w:rsid w:val="0017745A"/>
    <w:rsid w:val="00180823"/>
    <w:rsid w:val="00181772"/>
    <w:rsid w:val="00181A7D"/>
    <w:rsid w:val="00182A54"/>
    <w:rsid w:val="00183DBB"/>
    <w:rsid w:val="00185270"/>
    <w:rsid w:val="00185BCF"/>
    <w:rsid w:val="00186CA6"/>
    <w:rsid w:val="00186E56"/>
    <w:rsid w:val="00190863"/>
    <w:rsid w:val="0019136E"/>
    <w:rsid w:val="00192390"/>
    <w:rsid w:val="001942BB"/>
    <w:rsid w:val="001942D4"/>
    <w:rsid w:val="001946BC"/>
    <w:rsid w:val="00194BF7"/>
    <w:rsid w:val="00194E40"/>
    <w:rsid w:val="00195234"/>
    <w:rsid w:val="0019573F"/>
    <w:rsid w:val="0019634F"/>
    <w:rsid w:val="001976E4"/>
    <w:rsid w:val="00197FF3"/>
    <w:rsid w:val="001A0211"/>
    <w:rsid w:val="001A059A"/>
    <w:rsid w:val="001A1ABA"/>
    <w:rsid w:val="001A2D6B"/>
    <w:rsid w:val="001A30F8"/>
    <w:rsid w:val="001A723D"/>
    <w:rsid w:val="001B0FE7"/>
    <w:rsid w:val="001B1B89"/>
    <w:rsid w:val="001B31D6"/>
    <w:rsid w:val="001B3805"/>
    <w:rsid w:val="001B3D3D"/>
    <w:rsid w:val="001B61AE"/>
    <w:rsid w:val="001B6EC5"/>
    <w:rsid w:val="001C095D"/>
    <w:rsid w:val="001C1C04"/>
    <w:rsid w:val="001C2666"/>
    <w:rsid w:val="001C4E63"/>
    <w:rsid w:val="001C67A4"/>
    <w:rsid w:val="001C7804"/>
    <w:rsid w:val="001D151D"/>
    <w:rsid w:val="001D2862"/>
    <w:rsid w:val="001D2FC3"/>
    <w:rsid w:val="001D337A"/>
    <w:rsid w:val="001D3F6F"/>
    <w:rsid w:val="001D4EC7"/>
    <w:rsid w:val="001D57F9"/>
    <w:rsid w:val="001D651A"/>
    <w:rsid w:val="001D7502"/>
    <w:rsid w:val="001E004E"/>
    <w:rsid w:val="001E1599"/>
    <w:rsid w:val="001E1C29"/>
    <w:rsid w:val="001E2311"/>
    <w:rsid w:val="001E4A7D"/>
    <w:rsid w:val="001E5171"/>
    <w:rsid w:val="001E5D23"/>
    <w:rsid w:val="001E6549"/>
    <w:rsid w:val="001E68B6"/>
    <w:rsid w:val="001E786E"/>
    <w:rsid w:val="001F0811"/>
    <w:rsid w:val="001F1A91"/>
    <w:rsid w:val="001F2FD7"/>
    <w:rsid w:val="001F3113"/>
    <w:rsid w:val="001F39BE"/>
    <w:rsid w:val="001F3B42"/>
    <w:rsid w:val="001F42DF"/>
    <w:rsid w:val="001F5A30"/>
    <w:rsid w:val="001F63CA"/>
    <w:rsid w:val="001F6B24"/>
    <w:rsid w:val="001F70E7"/>
    <w:rsid w:val="00200EAA"/>
    <w:rsid w:val="00201836"/>
    <w:rsid w:val="00202B6C"/>
    <w:rsid w:val="00202C7D"/>
    <w:rsid w:val="00203136"/>
    <w:rsid w:val="00205326"/>
    <w:rsid w:val="00206886"/>
    <w:rsid w:val="002070C1"/>
    <w:rsid w:val="0021435F"/>
    <w:rsid w:val="002159C1"/>
    <w:rsid w:val="00216325"/>
    <w:rsid w:val="00217FDE"/>
    <w:rsid w:val="00220ADA"/>
    <w:rsid w:val="002215B2"/>
    <w:rsid w:val="00222C5E"/>
    <w:rsid w:val="00224AB4"/>
    <w:rsid w:val="002255F1"/>
    <w:rsid w:val="0022581C"/>
    <w:rsid w:val="00225BA3"/>
    <w:rsid w:val="00226720"/>
    <w:rsid w:val="00226A8F"/>
    <w:rsid w:val="0022758E"/>
    <w:rsid w:val="0023006B"/>
    <w:rsid w:val="0023150D"/>
    <w:rsid w:val="002318CF"/>
    <w:rsid w:val="002356D3"/>
    <w:rsid w:val="00235A1A"/>
    <w:rsid w:val="00236561"/>
    <w:rsid w:val="002374D4"/>
    <w:rsid w:val="0023764C"/>
    <w:rsid w:val="002377D9"/>
    <w:rsid w:val="00240566"/>
    <w:rsid w:val="00240962"/>
    <w:rsid w:val="00240EFB"/>
    <w:rsid w:val="002441DB"/>
    <w:rsid w:val="00244CF5"/>
    <w:rsid w:val="0024544A"/>
    <w:rsid w:val="00245538"/>
    <w:rsid w:val="002465D0"/>
    <w:rsid w:val="00246D52"/>
    <w:rsid w:val="00246F72"/>
    <w:rsid w:val="0024757F"/>
    <w:rsid w:val="002533CF"/>
    <w:rsid w:val="002543DD"/>
    <w:rsid w:val="0025508F"/>
    <w:rsid w:val="002566BB"/>
    <w:rsid w:val="002566E3"/>
    <w:rsid w:val="00257B84"/>
    <w:rsid w:val="00262355"/>
    <w:rsid w:val="00263C7A"/>
    <w:rsid w:val="00263D32"/>
    <w:rsid w:val="00265D38"/>
    <w:rsid w:val="00271494"/>
    <w:rsid w:val="00271FA8"/>
    <w:rsid w:val="00273CCB"/>
    <w:rsid w:val="00276FEB"/>
    <w:rsid w:val="002776EA"/>
    <w:rsid w:val="002807BC"/>
    <w:rsid w:val="00280B48"/>
    <w:rsid w:val="00282049"/>
    <w:rsid w:val="00282F8B"/>
    <w:rsid w:val="00283743"/>
    <w:rsid w:val="00285CED"/>
    <w:rsid w:val="00285D60"/>
    <w:rsid w:val="00286754"/>
    <w:rsid w:val="00291306"/>
    <w:rsid w:val="00291607"/>
    <w:rsid w:val="0029294B"/>
    <w:rsid w:val="00292D48"/>
    <w:rsid w:val="002947DC"/>
    <w:rsid w:val="00296ECB"/>
    <w:rsid w:val="00297E36"/>
    <w:rsid w:val="002A062B"/>
    <w:rsid w:val="002A1C8E"/>
    <w:rsid w:val="002A2C1B"/>
    <w:rsid w:val="002A33A8"/>
    <w:rsid w:val="002A38A2"/>
    <w:rsid w:val="002A3BA0"/>
    <w:rsid w:val="002A50EC"/>
    <w:rsid w:val="002A6F91"/>
    <w:rsid w:val="002B1942"/>
    <w:rsid w:val="002B375C"/>
    <w:rsid w:val="002B6865"/>
    <w:rsid w:val="002C0438"/>
    <w:rsid w:val="002C3375"/>
    <w:rsid w:val="002C39D7"/>
    <w:rsid w:val="002C65F2"/>
    <w:rsid w:val="002C692D"/>
    <w:rsid w:val="002C7909"/>
    <w:rsid w:val="002C7A44"/>
    <w:rsid w:val="002D03CC"/>
    <w:rsid w:val="002D0425"/>
    <w:rsid w:val="002D0F8A"/>
    <w:rsid w:val="002D1820"/>
    <w:rsid w:val="002D28AB"/>
    <w:rsid w:val="002D2B69"/>
    <w:rsid w:val="002D3361"/>
    <w:rsid w:val="002D456F"/>
    <w:rsid w:val="002D516E"/>
    <w:rsid w:val="002D5C59"/>
    <w:rsid w:val="002D5E60"/>
    <w:rsid w:val="002D745B"/>
    <w:rsid w:val="002E062A"/>
    <w:rsid w:val="002E08A0"/>
    <w:rsid w:val="002E13BE"/>
    <w:rsid w:val="002E1A21"/>
    <w:rsid w:val="002E1D95"/>
    <w:rsid w:val="002E29D5"/>
    <w:rsid w:val="002E2A3F"/>
    <w:rsid w:val="002E2C99"/>
    <w:rsid w:val="002E389A"/>
    <w:rsid w:val="002E5CFB"/>
    <w:rsid w:val="002E6210"/>
    <w:rsid w:val="002E70FC"/>
    <w:rsid w:val="002E7F7B"/>
    <w:rsid w:val="002F0762"/>
    <w:rsid w:val="002F2A58"/>
    <w:rsid w:val="002F380E"/>
    <w:rsid w:val="002F49F1"/>
    <w:rsid w:val="002F6E8C"/>
    <w:rsid w:val="002F753E"/>
    <w:rsid w:val="00300284"/>
    <w:rsid w:val="00307329"/>
    <w:rsid w:val="003125DE"/>
    <w:rsid w:val="00312E34"/>
    <w:rsid w:val="00313FAF"/>
    <w:rsid w:val="0031557A"/>
    <w:rsid w:val="00315CAC"/>
    <w:rsid w:val="00316189"/>
    <w:rsid w:val="00316D57"/>
    <w:rsid w:val="003172EC"/>
    <w:rsid w:val="00317358"/>
    <w:rsid w:val="0031793A"/>
    <w:rsid w:val="0032428C"/>
    <w:rsid w:val="0032458A"/>
    <w:rsid w:val="00326DE8"/>
    <w:rsid w:val="00327287"/>
    <w:rsid w:val="00330549"/>
    <w:rsid w:val="00330CAB"/>
    <w:rsid w:val="00331EE6"/>
    <w:rsid w:val="0033316F"/>
    <w:rsid w:val="003338B5"/>
    <w:rsid w:val="00334B0C"/>
    <w:rsid w:val="003354F0"/>
    <w:rsid w:val="00336797"/>
    <w:rsid w:val="00340C8C"/>
    <w:rsid w:val="00341CE2"/>
    <w:rsid w:val="003421FC"/>
    <w:rsid w:val="00342284"/>
    <w:rsid w:val="003429FE"/>
    <w:rsid w:val="00344C99"/>
    <w:rsid w:val="00345116"/>
    <w:rsid w:val="00350EFE"/>
    <w:rsid w:val="003512CD"/>
    <w:rsid w:val="00351D0E"/>
    <w:rsid w:val="00351D15"/>
    <w:rsid w:val="00352F59"/>
    <w:rsid w:val="00356054"/>
    <w:rsid w:val="0035609E"/>
    <w:rsid w:val="003561BB"/>
    <w:rsid w:val="00356714"/>
    <w:rsid w:val="003572D9"/>
    <w:rsid w:val="00360910"/>
    <w:rsid w:val="00360E08"/>
    <w:rsid w:val="00362017"/>
    <w:rsid w:val="00363269"/>
    <w:rsid w:val="003633B8"/>
    <w:rsid w:val="00365D69"/>
    <w:rsid w:val="00366DE5"/>
    <w:rsid w:val="00366F37"/>
    <w:rsid w:val="0037037E"/>
    <w:rsid w:val="003710E2"/>
    <w:rsid w:val="00372E76"/>
    <w:rsid w:val="003732F6"/>
    <w:rsid w:val="00373452"/>
    <w:rsid w:val="0037437B"/>
    <w:rsid w:val="00374566"/>
    <w:rsid w:val="00374902"/>
    <w:rsid w:val="00375D35"/>
    <w:rsid w:val="00376E8B"/>
    <w:rsid w:val="003808A3"/>
    <w:rsid w:val="00381375"/>
    <w:rsid w:val="00381ADD"/>
    <w:rsid w:val="003826B9"/>
    <w:rsid w:val="00382D58"/>
    <w:rsid w:val="00383A0A"/>
    <w:rsid w:val="00383E43"/>
    <w:rsid w:val="0038412A"/>
    <w:rsid w:val="00384CB5"/>
    <w:rsid w:val="00384F3B"/>
    <w:rsid w:val="00385A36"/>
    <w:rsid w:val="003868E5"/>
    <w:rsid w:val="003908DD"/>
    <w:rsid w:val="00390A72"/>
    <w:rsid w:val="00391A19"/>
    <w:rsid w:val="00391EA6"/>
    <w:rsid w:val="00392654"/>
    <w:rsid w:val="00392C65"/>
    <w:rsid w:val="003935B0"/>
    <w:rsid w:val="00393CB7"/>
    <w:rsid w:val="00393F70"/>
    <w:rsid w:val="00395262"/>
    <w:rsid w:val="003958C7"/>
    <w:rsid w:val="003A012E"/>
    <w:rsid w:val="003A09DA"/>
    <w:rsid w:val="003A1A9F"/>
    <w:rsid w:val="003A2245"/>
    <w:rsid w:val="003A2486"/>
    <w:rsid w:val="003A253B"/>
    <w:rsid w:val="003A2B5B"/>
    <w:rsid w:val="003A4E16"/>
    <w:rsid w:val="003A500A"/>
    <w:rsid w:val="003A5431"/>
    <w:rsid w:val="003A5BFD"/>
    <w:rsid w:val="003B0B3D"/>
    <w:rsid w:val="003B0D1B"/>
    <w:rsid w:val="003B2C67"/>
    <w:rsid w:val="003B2D2B"/>
    <w:rsid w:val="003B544E"/>
    <w:rsid w:val="003C0625"/>
    <w:rsid w:val="003C37F0"/>
    <w:rsid w:val="003C3BD6"/>
    <w:rsid w:val="003C4758"/>
    <w:rsid w:val="003C47B6"/>
    <w:rsid w:val="003C5C8D"/>
    <w:rsid w:val="003C6B83"/>
    <w:rsid w:val="003C7B1F"/>
    <w:rsid w:val="003D034B"/>
    <w:rsid w:val="003D0A19"/>
    <w:rsid w:val="003D35E5"/>
    <w:rsid w:val="003D4502"/>
    <w:rsid w:val="003D4E01"/>
    <w:rsid w:val="003D58A5"/>
    <w:rsid w:val="003D5D78"/>
    <w:rsid w:val="003D68A8"/>
    <w:rsid w:val="003D7B43"/>
    <w:rsid w:val="003E09B8"/>
    <w:rsid w:val="003E18F3"/>
    <w:rsid w:val="003E1F20"/>
    <w:rsid w:val="003E3BD1"/>
    <w:rsid w:val="003E5435"/>
    <w:rsid w:val="003E5F27"/>
    <w:rsid w:val="003F131F"/>
    <w:rsid w:val="003F23FC"/>
    <w:rsid w:val="003F29CB"/>
    <w:rsid w:val="003F38B9"/>
    <w:rsid w:val="003F3FA4"/>
    <w:rsid w:val="003F4E92"/>
    <w:rsid w:val="003F4F37"/>
    <w:rsid w:val="003F556A"/>
    <w:rsid w:val="003F74C9"/>
    <w:rsid w:val="003F77F8"/>
    <w:rsid w:val="00400F34"/>
    <w:rsid w:val="004031C1"/>
    <w:rsid w:val="0040421A"/>
    <w:rsid w:val="00406E8D"/>
    <w:rsid w:val="00410320"/>
    <w:rsid w:val="004123D4"/>
    <w:rsid w:val="00412D78"/>
    <w:rsid w:val="0041367B"/>
    <w:rsid w:val="004140EC"/>
    <w:rsid w:val="0041439D"/>
    <w:rsid w:val="00415CDC"/>
    <w:rsid w:val="00417CB5"/>
    <w:rsid w:val="0042080E"/>
    <w:rsid w:val="00421BF6"/>
    <w:rsid w:val="0042258E"/>
    <w:rsid w:val="004246B2"/>
    <w:rsid w:val="00424FA6"/>
    <w:rsid w:val="00425007"/>
    <w:rsid w:val="00425FFF"/>
    <w:rsid w:val="00430CF5"/>
    <w:rsid w:val="00432198"/>
    <w:rsid w:val="0043389C"/>
    <w:rsid w:val="00433E9B"/>
    <w:rsid w:val="004347C5"/>
    <w:rsid w:val="00436D75"/>
    <w:rsid w:val="0044000A"/>
    <w:rsid w:val="00440718"/>
    <w:rsid w:val="004407A8"/>
    <w:rsid w:val="00441533"/>
    <w:rsid w:val="0044174D"/>
    <w:rsid w:val="00444388"/>
    <w:rsid w:val="004445D2"/>
    <w:rsid w:val="00446119"/>
    <w:rsid w:val="004466B4"/>
    <w:rsid w:val="004503DC"/>
    <w:rsid w:val="00450BAA"/>
    <w:rsid w:val="00451BEC"/>
    <w:rsid w:val="004524F0"/>
    <w:rsid w:val="004537C6"/>
    <w:rsid w:val="00453964"/>
    <w:rsid w:val="004548BF"/>
    <w:rsid w:val="004555E7"/>
    <w:rsid w:val="00455FDC"/>
    <w:rsid w:val="0045678E"/>
    <w:rsid w:val="00457DF6"/>
    <w:rsid w:val="00460500"/>
    <w:rsid w:val="00462F26"/>
    <w:rsid w:val="00463F30"/>
    <w:rsid w:val="00464248"/>
    <w:rsid w:val="00464513"/>
    <w:rsid w:val="004646BD"/>
    <w:rsid w:val="00464BDF"/>
    <w:rsid w:val="00465892"/>
    <w:rsid w:val="0047172E"/>
    <w:rsid w:val="00472BC4"/>
    <w:rsid w:val="00473172"/>
    <w:rsid w:val="00473BA8"/>
    <w:rsid w:val="0047410C"/>
    <w:rsid w:val="00475D87"/>
    <w:rsid w:val="0047779C"/>
    <w:rsid w:val="00477CF3"/>
    <w:rsid w:val="00477CF5"/>
    <w:rsid w:val="004820B0"/>
    <w:rsid w:val="00482130"/>
    <w:rsid w:val="0048264D"/>
    <w:rsid w:val="0048451B"/>
    <w:rsid w:val="004847B7"/>
    <w:rsid w:val="00485EE2"/>
    <w:rsid w:val="004872AB"/>
    <w:rsid w:val="00493952"/>
    <w:rsid w:val="004948FB"/>
    <w:rsid w:val="00495735"/>
    <w:rsid w:val="00497FF1"/>
    <w:rsid w:val="004A06FD"/>
    <w:rsid w:val="004A09F3"/>
    <w:rsid w:val="004A1442"/>
    <w:rsid w:val="004A19A4"/>
    <w:rsid w:val="004A2AD1"/>
    <w:rsid w:val="004A37FC"/>
    <w:rsid w:val="004A3A39"/>
    <w:rsid w:val="004A436E"/>
    <w:rsid w:val="004A4567"/>
    <w:rsid w:val="004A7974"/>
    <w:rsid w:val="004B11E6"/>
    <w:rsid w:val="004B38C8"/>
    <w:rsid w:val="004B4905"/>
    <w:rsid w:val="004C1201"/>
    <w:rsid w:val="004C1764"/>
    <w:rsid w:val="004C1B95"/>
    <w:rsid w:val="004C1F06"/>
    <w:rsid w:val="004C4889"/>
    <w:rsid w:val="004C50FB"/>
    <w:rsid w:val="004C5F35"/>
    <w:rsid w:val="004C6F1A"/>
    <w:rsid w:val="004C7039"/>
    <w:rsid w:val="004D1F21"/>
    <w:rsid w:val="004D2356"/>
    <w:rsid w:val="004D44EF"/>
    <w:rsid w:val="004D4896"/>
    <w:rsid w:val="004D50BE"/>
    <w:rsid w:val="004D632E"/>
    <w:rsid w:val="004D69B8"/>
    <w:rsid w:val="004E01A4"/>
    <w:rsid w:val="004E164C"/>
    <w:rsid w:val="004E1945"/>
    <w:rsid w:val="004E1A0C"/>
    <w:rsid w:val="004E2F4A"/>
    <w:rsid w:val="004E3D11"/>
    <w:rsid w:val="004E50A6"/>
    <w:rsid w:val="004E5796"/>
    <w:rsid w:val="004E6341"/>
    <w:rsid w:val="004E793E"/>
    <w:rsid w:val="004F0EDB"/>
    <w:rsid w:val="004F1E9A"/>
    <w:rsid w:val="004F44FD"/>
    <w:rsid w:val="004F4863"/>
    <w:rsid w:val="004F515E"/>
    <w:rsid w:val="004F7B85"/>
    <w:rsid w:val="00501A68"/>
    <w:rsid w:val="00501E1D"/>
    <w:rsid w:val="0050349C"/>
    <w:rsid w:val="00505899"/>
    <w:rsid w:val="00505F36"/>
    <w:rsid w:val="00506262"/>
    <w:rsid w:val="00510A65"/>
    <w:rsid w:val="00510C18"/>
    <w:rsid w:val="00510D86"/>
    <w:rsid w:val="00512FFA"/>
    <w:rsid w:val="00513400"/>
    <w:rsid w:val="005142C1"/>
    <w:rsid w:val="00514D26"/>
    <w:rsid w:val="00514F7D"/>
    <w:rsid w:val="00515335"/>
    <w:rsid w:val="00515C92"/>
    <w:rsid w:val="00521892"/>
    <w:rsid w:val="005218B6"/>
    <w:rsid w:val="00522172"/>
    <w:rsid w:val="005223B2"/>
    <w:rsid w:val="0052248B"/>
    <w:rsid w:val="00522F85"/>
    <w:rsid w:val="00523042"/>
    <w:rsid w:val="00523611"/>
    <w:rsid w:val="00525A63"/>
    <w:rsid w:val="00526AC6"/>
    <w:rsid w:val="00530928"/>
    <w:rsid w:val="005326FB"/>
    <w:rsid w:val="0053305F"/>
    <w:rsid w:val="005339BA"/>
    <w:rsid w:val="00535FDD"/>
    <w:rsid w:val="0053695C"/>
    <w:rsid w:val="005401C3"/>
    <w:rsid w:val="00540BDA"/>
    <w:rsid w:val="0054298D"/>
    <w:rsid w:val="00543649"/>
    <w:rsid w:val="0054467C"/>
    <w:rsid w:val="00544A34"/>
    <w:rsid w:val="00545D64"/>
    <w:rsid w:val="00546D6D"/>
    <w:rsid w:val="00550763"/>
    <w:rsid w:val="00550F84"/>
    <w:rsid w:val="0055117C"/>
    <w:rsid w:val="0055346B"/>
    <w:rsid w:val="00554A4A"/>
    <w:rsid w:val="00555CC1"/>
    <w:rsid w:val="00556E48"/>
    <w:rsid w:val="005576AA"/>
    <w:rsid w:val="0055771E"/>
    <w:rsid w:val="00557F58"/>
    <w:rsid w:val="00560839"/>
    <w:rsid w:val="00560C49"/>
    <w:rsid w:val="00560FCD"/>
    <w:rsid w:val="00561081"/>
    <w:rsid w:val="0056122F"/>
    <w:rsid w:val="0056274A"/>
    <w:rsid w:val="005629DE"/>
    <w:rsid w:val="00562AAC"/>
    <w:rsid w:val="00563212"/>
    <w:rsid w:val="005632A3"/>
    <w:rsid w:val="00563CA5"/>
    <w:rsid w:val="005645D5"/>
    <w:rsid w:val="00564FF9"/>
    <w:rsid w:val="00565333"/>
    <w:rsid w:val="00566150"/>
    <w:rsid w:val="00566279"/>
    <w:rsid w:val="005725EE"/>
    <w:rsid w:val="005733FC"/>
    <w:rsid w:val="00573C0B"/>
    <w:rsid w:val="00575640"/>
    <w:rsid w:val="005759F8"/>
    <w:rsid w:val="005777E8"/>
    <w:rsid w:val="00577BC4"/>
    <w:rsid w:val="00580514"/>
    <w:rsid w:val="0058083F"/>
    <w:rsid w:val="00580EB4"/>
    <w:rsid w:val="00580F91"/>
    <w:rsid w:val="005813EC"/>
    <w:rsid w:val="0058155D"/>
    <w:rsid w:val="00581B87"/>
    <w:rsid w:val="00581FF4"/>
    <w:rsid w:val="00582A65"/>
    <w:rsid w:val="00582D91"/>
    <w:rsid w:val="00583D7D"/>
    <w:rsid w:val="00584B5D"/>
    <w:rsid w:val="00585838"/>
    <w:rsid w:val="00585B53"/>
    <w:rsid w:val="00585D34"/>
    <w:rsid w:val="00586CCE"/>
    <w:rsid w:val="00586E02"/>
    <w:rsid w:val="00590172"/>
    <w:rsid w:val="00590439"/>
    <w:rsid w:val="00590522"/>
    <w:rsid w:val="00590EF3"/>
    <w:rsid w:val="005920C9"/>
    <w:rsid w:val="005926B3"/>
    <w:rsid w:val="00592D37"/>
    <w:rsid w:val="00594FF5"/>
    <w:rsid w:val="0059527E"/>
    <w:rsid w:val="005963DF"/>
    <w:rsid w:val="0059660E"/>
    <w:rsid w:val="00597FA8"/>
    <w:rsid w:val="005A0C8D"/>
    <w:rsid w:val="005A1767"/>
    <w:rsid w:val="005A1D64"/>
    <w:rsid w:val="005A2AF1"/>
    <w:rsid w:val="005A38CE"/>
    <w:rsid w:val="005A4236"/>
    <w:rsid w:val="005A4488"/>
    <w:rsid w:val="005A4F18"/>
    <w:rsid w:val="005A662D"/>
    <w:rsid w:val="005A6A52"/>
    <w:rsid w:val="005B0466"/>
    <w:rsid w:val="005B117D"/>
    <w:rsid w:val="005B1291"/>
    <w:rsid w:val="005B1DB8"/>
    <w:rsid w:val="005B269D"/>
    <w:rsid w:val="005B273F"/>
    <w:rsid w:val="005B525D"/>
    <w:rsid w:val="005B5673"/>
    <w:rsid w:val="005B7686"/>
    <w:rsid w:val="005B76B9"/>
    <w:rsid w:val="005C0055"/>
    <w:rsid w:val="005C2141"/>
    <w:rsid w:val="005C3B01"/>
    <w:rsid w:val="005C545D"/>
    <w:rsid w:val="005D1630"/>
    <w:rsid w:val="005D1B80"/>
    <w:rsid w:val="005D2FA4"/>
    <w:rsid w:val="005D3D6E"/>
    <w:rsid w:val="005D4A97"/>
    <w:rsid w:val="005D51C6"/>
    <w:rsid w:val="005D5E47"/>
    <w:rsid w:val="005D6178"/>
    <w:rsid w:val="005E0743"/>
    <w:rsid w:val="005E0AE4"/>
    <w:rsid w:val="005E2EAB"/>
    <w:rsid w:val="005E3FA5"/>
    <w:rsid w:val="005E7483"/>
    <w:rsid w:val="005E7A15"/>
    <w:rsid w:val="005F03B3"/>
    <w:rsid w:val="005F21E5"/>
    <w:rsid w:val="005F2ED3"/>
    <w:rsid w:val="005F3D2C"/>
    <w:rsid w:val="005F40F1"/>
    <w:rsid w:val="005F5AB8"/>
    <w:rsid w:val="00600469"/>
    <w:rsid w:val="00600CF9"/>
    <w:rsid w:val="00601116"/>
    <w:rsid w:val="0060191B"/>
    <w:rsid w:val="006033DA"/>
    <w:rsid w:val="006035B8"/>
    <w:rsid w:val="006058F2"/>
    <w:rsid w:val="00605D1F"/>
    <w:rsid w:val="00611016"/>
    <w:rsid w:val="00611C39"/>
    <w:rsid w:val="0061440C"/>
    <w:rsid w:val="006164D0"/>
    <w:rsid w:val="006168AB"/>
    <w:rsid w:val="00617D57"/>
    <w:rsid w:val="00620E9B"/>
    <w:rsid w:val="00621917"/>
    <w:rsid w:val="00621FC8"/>
    <w:rsid w:val="00622BD8"/>
    <w:rsid w:val="00622CDC"/>
    <w:rsid w:val="00622FEE"/>
    <w:rsid w:val="006252ED"/>
    <w:rsid w:val="00625620"/>
    <w:rsid w:val="006258DA"/>
    <w:rsid w:val="00625E87"/>
    <w:rsid w:val="006264A1"/>
    <w:rsid w:val="00627C0A"/>
    <w:rsid w:val="00630437"/>
    <w:rsid w:val="00631792"/>
    <w:rsid w:val="006326F0"/>
    <w:rsid w:val="00633365"/>
    <w:rsid w:val="00633827"/>
    <w:rsid w:val="00633B6A"/>
    <w:rsid w:val="00633E6A"/>
    <w:rsid w:val="00634B4A"/>
    <w:rsid w:val="00635C0D"/>
    <w:rsid w:val="0063633A"/>
    <w:rsid w:val="00636B8D"/>
    <w:rsid w:val="00637FB2"/>
    <w:rsid w:val="00640153"/>
    <w:rsid w:val="0064036F"/>
    <w:rsid w:val="0064111C"/>
    <w:rsid w:val="00641F5B"/>
    <w:rsid w:val="00643C68"/>
    <w:rsid w:val="0064537A"/>
    <w:rsid w:val="00645553"/>
    <w:rsid w:val="006459DC"/>
    <w:rsid w:val="00645B34"/>
    <w:rsid w:val="00647421"/>
    <w:rsid w:val="006515D6"/>
    <w:rsid w:val="00651A65"/>
    <w:rsid w:val="00651D32"/>
    <w:rsid w:val="00652239"/>
    <w:rsid w:val="00652D4C"/>
    <w:rsid w:val="006535E5"/>
    <w:rsid w:val="00654DF2"/>
    <w:rsid w:val="00656B11"/>
    <w:rsid w:val="00657612"/>
    <w:rsid w:val="00660CE8"/>
    <w:rsid w:val="00660D31"/>
    <w:rsid w:val="00660D5A"/>
    <w:rsid w:val="00660F39"/>
    <w:rsid w:val="006618A0"/>
    <w:rsid w:val="00661AD7"/>
    <w:rsid w:val="00662181"/>
    <w:rsid w:val="006625CC"/>
    <w:rsid w:val="00666F6B"/>
    <w:rsid w:val="00672BB4"/>
    <w:rsid w:val="0067384B"/>
    <w:rsid w:val="00673F3D"/>
    <w:rsid w:val="00674E02"/>
    <w:rsid w:val="00676D0F"/>
    <w:rsid w:val="006771D2"/>
    <w:rsid w:val="006772B2"/>
    <w:rsid w:val="00681FBF"/>
    <w:rsid w:val="0068283A"/>
    <w:rsid w:val="00682EE9"/>
    <w:rsid w:val="00682F04"/>
    <w:rsid w:val="006833E0"/>
    <w:rsid w:val="00683674"/>
    <w:rsid w:val="00683D1D"/>
    <w:rsid w:val="006840E0"/>
    <w:rsid w:val="0068505A"/>
    <w:rsid w:val="00685474"/>
    <w:rsid w:val="006854F0"/>
    <w:rsid w:val="00686F58"/>
    <w:rsid w:val="0068741C"/>
    <w:rsid w:val="00687801"/>
    <w:rsid w:val="00687E25"/>
    <w:rsid w:val="00690FB4"/>
    <w:rsid w:val="00691285"/>
    <w:rsid w:val="00691497"/>
    <w:rsid w:val="006919DA"/>
    <w:rsid w:val="00691CFA"/>
    <w:rsid w:val="006928C5"/>
    <w:rsid w:val="0069522D"/>
    <w:rsid w:val="006953C2"/>
    <w:rsid w:val="00695763"/>
    <w:rsid w:val="00695DE8"/>
    <w:rsid w:val="00696A59"/>
    <w:rsid w:val="00696E14"/>
    <w:rsid w:val="00696E36"/>
    <w:rsid w:val="006978DD"/>
    <w:rsid w:val="006A10AD"/>
    <w:rsid w:val="006A127D"/>
    <w:rsid w:val="006A5116"/>
    <w:rsid w:val="006A5BA5"/>
    <w:rsid w:val="006B166D"/>
    <w:rsid w:val="006B47A3"/>
    <w:rsid w:val="006B481D"/>
    <w:rsid w:val="006B484B"/>
    <w:rsid w:val="006B545C"/>
    <w:rsid w:val="006B5F69"/>
    <w:rsid w:val="006B7D11"/>
    <w:rsid w:val="006C0E83"/>
    <w:rsid w:val="006C1261"/>
    <w:rsid w:val="006C2368"/>
    <w:rsid w:val="006C3571"/>
    <w:rsid w:val="006C765C"/>
    <w:rsid w:val="006C7687"/>
    <w:rsid w:val="006C7973"/>
    <w:rsid w:val="006C79F8"/>
    <w:rsid w:val="006C7AC8"/>
    <w:rsid w:val="006D0689"/>
    <w:rsid w:val="006D2623"/>
    <w:rsid w:val="006D329D"/>
    <w:rsid w:val="006D4395"/>
    <w:rsid w:val="006D595F"/>
    <w:rsid w:val="006D6122"/>
    <w:rsid w:val="006D728F"/>
    <w:rsid w:val="006D7D4F"/>
    <w:rsid w:val="006E00B7"/>
    <w:rsid w:val="006E00D6"/>
    <w:rsid w:val="006E0E31"/>
    <w:rsid w:val="006E1068"/>
    <w:rsid w:val="006E2B7A"/>
    <w:rsid w:val="006E3183"/>
    <w:rsid w:val="006E6A82"/>
    <w:rsid w:val="006E79AD"/>
    <w:rsid w:val="006F06BC"/>
    <w:rsid w:val="006F070F"/>
    <w:rsid w:val="006F0782"/>
    <w:rsid w:val="006F093E"/>
    <w:rsid w:val="006F0C90"/>
    <w:rsid w:val="006F1241"/>
    <w:rsid w:val="006F1630"/>
    <w:rsid w:val="006F2DC4"/>
    <w:rsid w:val="006F70C4"/>
    <w:rsid w:val="006F72DD"/>
    <w:rsid w:val="0070026C"/>
    <w:rsid w:val="0070058C"/>
    <w:rsid w:val="0070074F"/>
    <w:rsid w:val="00700F6E"/>
    <w:rsid w:val="00705589"/>
    <w:rsid w:val="00706B63"/>
    <w:rsid w:val="0070703B"/>
    <w:rsid w:val="007101B5"/>
    <w:rsid w:val="0071023F"/>
    <w:rsid w:val="00710946"/>
    <w:rsid w:val="00710DF4"/>
    <w:rsid w:val="00710F30"/>
    <w:rsid w:val="0071143B"/>
    <w:rsid w:val="00711461"/>
    <w:rsid w:val="007115AE"/>
    <w:rsid w:val="007115CB"/>
    <w:rsid w:val="00712643"/>
    <w:rsid w:val="00713894"/>
    <w:rsid w:val="00714996"/>
    <w:rsid w:val="007205F7"/>
    <w:rsid w:val="00720A0B"/>
    <w:rsid w:val="0072134D"/>
    <w:rsid w:val="007215FB"/>
    <w:rsid w:val="0072316F"/>
    <w:rsid w:val="00724326"/>
    <w:rsid w:val="00724D3E"/>
    <w:rsid w:val="007251EE"/>
    <w:rsid w:val="007257BE"/>
    <w:rsid w:val="007260F8"/>
    <w:rsid w:val="00726AB3"/>
    <w:rsid w:val="0072713B"/>
    <w:rsid w:val="00733845"/>
    <w:rsid w:val="00736944"/>
    <w:rsid w:val="00736F43"/>
    <w:rsid w:val="00737A5E"/>
    <w:rsid w:val="0074048D"/>
    <w:rsid w:val="0074054F"/>
    <w:rsid w:val="00741081"/>
    <w:rsid w:val="00742C76"/>
    <w:rsid w:val="0074327C"/>
    <w:rsid w:val="0074456C"/>
    <w:rsid w:val="00744655"/>
    <w:rsid w:val="00744813"/>
    <w:rsid w:val="00745177"/>
    <w:rsid w:val="007451E4"/>
    <w:rsid w:val="00745580"/>
    <w:rsid w:val="00746218"/>
    <w:rsid w:val="007463A8"/>
    <w:rsid w:val="00746BB0"/>
    <w:rsid w:val="00751122"/>
    <w:rsid w:val="0075320B"/>
    <w:rsid w:val="007533DF"/>
    <w:rsid w:val="00753534"/>
    <w:rsid w:val="00753715"/>
    <w:rsid w:val="007552D0"/>
    <w:rsid w:val="00755F50"/>
    <w:rsid w:val="00757269"/>
    <w:rsid w:val="00757736"/>
    <w:rsid w:val="00761733"/>
    <w:rsid w:val="00762189"/>
    <w:rsid w:val="00762746"/>
    <w:rsid w:val="00762D03"/>
    <w:rsid w:val="00762E88"/>
    <w:rsid w:val="007652CB"/>
    <w:rsid w:val="00765ABA"/>
    <w:rsid w:val="00766795"/>
    <w:rsid w:val="00767860"/>
    <w:rsid w:val="00770574"/>
    <w:rsid w:val="007705BD"/>
    <w:rsid w:val="00771C57"/>
    <w:rsid w:val="00772A0B"/>
    <w:rsid w:val="00773732"/>
    <w:rsid w:val="0077649F"/>
    <w:rsid w:val="007766E8"/>
    <w:rsid w:val="007770FE"/>
    <w:rsid w:val="007807D8"/>
    <w:rsid w:val="007816A6"/>
    <w:rsid w:val="0078222F"/>
    <w:rsid w:val="00782719"/>
    <w:rsid w:val="00783895"/>
    <w:rsid w:val="00783D36"/>
    <w:rsid w:val="00783FC1"/>
    <w:rsid w:val="00784369"/>
    <w:rsid w:val="007849CB"/>
    <w:rsid w:val="007851E0"/>
    <w:rsid w:val="007856AE"/>
    <w:rsid w:val="00787DBC"/>
    <w:rsid w:val="007903F0"/>
    <w:rsid w:val="0079205C"/>
    <w:rsid w:val="00792B1D"/>
    <w:rsid w:val="00792E4A"/>
    <w:rsid w:val="00796046"/>
    <w:rsid w:val="00796065"/>
    <w:rsid w:val="00796740"/>
    <w:rsid w:val="00796BAA"/>
    <w:rsid w:val="007977BB"/>
    <w:rsid w:val="007A04F9"/>
    <w:rsid w:val="007A11E4"/>
    <w:rsid w:val="007A1D94"/>
    <w:rsid w:val="007A2855"/>
    <w:rsid w:val="007A2AA7"/>
    <w:rsid w:val="007A332D"/>
    <w:rsid w:val="007A51BB"/>
    <w:rsid w:val="007A5D73"/>
    <w:rsid w:val="007A67D4"/>
    <w:rsid w:val="007A6A66"/>
    <w:rsid w:val="007B00C6"/>
    <w:rsid w:val="007B204D"/>
    <w:rsid w:val="007B3917"/>
    <w:rsid w:val="007B48AB"/>
    <w:rsid w:val="007B4F99"/>
    <w:rsid w:val="007B526E"/>
    <w:rsid w:val="007B55E7"/>
    <w:rsid w:val="007B5B2C"/>
    <w:rsid w:val="007B65FB"/>
    <w:rsid w:val="007B6A6E"/>
    <w:rsid w:val="007C1ACE"/>
    <w:rsid w:val="007C235F"/>
    <w:rsid w:val="007C249E"/>
    <w:rsid w:val="007C79F0"/>
    <w:rsid w:val="007D1611"/>
    <w:rsid w:val="007D1802"/>
    <w:rsid w:val="007D1AEA"/>
    <w:rsid w:val="007D2CBB"/>
    <w:rsid w:val="007D2F89"/>
    <w:rsid w:val="007D314A"/>
    <w:rsid w:val="007D4563"/>
    <w:rsid w:val="007D50D9"/>
    <w:rsid w:val="007D6A88"/>
    <w:rsid w:val="007D6E1B"/>
    <w:rsid w:val="007D7542"/>
    <w:rsid w:val="007D75C7"/>
    <w:rsid w:val="007D7CE2"/>
    <w:rsid w:val="007D7E95"/>
    <w:rsid w:val="007E0135"/>
    <w:rsid w:val="007E0176"/>
    <w:rsid w:val="007E0CE4"/>
    <w:rsid w:val="007E2148"/>
    <w:rsid w:val="007E6904"/>
    <w:rsid w:val="007E7E6B"/>
    <w:rsid w:val="007F0229"/>
    <w:rsid w:val="007F047A"/>
    <w:rsid w:val="007F1392"/>
    <w:rsid w:val="007F13D3"/>
    <w:rsid w:val="007F1C8A"/>
    <w:rsid w:val="007F2D8B"/>
    <w:rsid w:val="007F2F33"/>
    <w:rsid w:val="007F332D"/>
    <w:rsid w:val="007F35C9"/>
    <w:rsid w:val="007F3D1F"/>
    <w:rsid w:val="007F5DD1"/>
    <w:rsid w:val="007F73D6"/>
    <w:rsid w:val="007F76CD"/>
    <w:rsid w:val="00800136"/>
    <w:rsid w:val="00802249"/>
    <w:rsid w:val="00803146"/>
    <w:rsid w:val="008031DC"/>
    <w:rsid w:val="00804A06"/>
    <w:rsid w:val="00804BB8"/>
    <w:rsid w:val="00804C0A"/>
    <w:rsid w:val="00804D77"/>
    <w:rsid w:val="0080589C"/>
    <w:rsid w:val="00806344"/>
    <w:rsid w:val="0080681F"/>
    <w:rsid w:val="0080701B"/>
    <w:rsid w:val="0081090F"/>
    <w:rsid w:val="00810B1A"/>
    <w:rsid w:val="00810B38"/>
    <w:rsid w:val="00811CC6"/>
    <w:rsid w:val="00813011"/>
    <w:rsid w:val="00813878"/>
    <w:rsid w:val="00814578"/>
    <w:rsid w:val="00816209"/>
    <w:rsid w:val="00817FF7"/>
    <w:rsid w:val="00820423"/>
    <w:rsid w:val="00820BD1"/>
    <w:rsid w:val="00821684"/>
    <w:rsid w:val="00823572"/>
    <w:rsid w:val="0082376E"/>
    <w:rsid w:val="008240B9"/>
    <w:rsid w:val="0082494B"/>
    <w:rsid w:val="00824B21"/>
    <w:rsid w:val="00825D24"/>
    <w:rsid w:val="00826F6D"/>
    <w:rsid w:val="00827165"/>
    <w:rsid w:val="00830F19"/>
    <w:rsid w:val="00830FBD"/>
    <w:rsid w:val="00831E10"/>
    <w:rsid w:val="00832671"/>
    <w:rsid w:val="00833621"/>
    <w:rsid w:val="00833968"/>
    <w:rsid w:val="0083438D"/>
    <w:rsid w:val="0083487A"/>
    <w:rsid w:val="008352F3"/>
    <w:rsid w:val="00835CC7"/>
    <w:rsid w:val="00840329"/>
    <w:rsid w:val="00840A18"/>
    <w:rsid w:val="0084147C"/>
    <w:rsid w:val="00841CCE"/>
    <w:rsid w:val="008435AE"/>
    <w:rsid w:val="008441CC"/>
    <w:rsid w:val="00845847"/>
    <w:rsid w:val="00845AD5"/>
    <w:rsid w:val="0085029A"/>
    <w:rsid w:val="008505E6"/>
    <w:rsid w:val="00850898"/>
    <w:rsid w:val="00851D8F"/>
    <w:rsid w:val="0085365F"/>
    <w:rsid w:val="00856EDB"/>
    <w:rsid w:val="008609E5"/>
    <w:rsid w:val="00860A6E"/>
    <w:rsid w:val="0086138F"/>
    <w:rsid w:val="00862738"/>
    <w:rsid w:val="008644A1"/>
    <w:rsid w:val="00866E8A"/>
    <w:rsid w:val="008670AE"/>
    <w:rsid w:val="008700E6"/>
    <w:rsid w:val="0087012A"/>
    <w:rsid w:val="00870C39"/>
    <w:rsid w:val="00870C97"/>
    <w:rsid w:val="00873549"/>
    <w:rsid w:val="0087359E"/>
    <w:rsid w:val="0087406C"/>
    <w:rsid w:val="00874235"/>
    <w:rsid w:val="00874D6D"/>
    <w:rsid w:val="008763B3"/>
    <w:rsid w:val="00876FF0"/>
    <w:rsid w:val="00877379"/>
    <w:rsid w:val="00877650"/>
    <w:rsid w:val="00881D7F"/>
    <w:rsid w:val="00882725"/>
    <w:rsid w:val="0088397A"/>
    <w:rsid w:val="00883E6F"/>
    <w:rsid w:val="00885470"/>
    <w:rsid w:val="00886D97"/>
    <w:rsid w:val="0088722E"/>
    <w:rsid w:val="0088765D"/>
    <w:rsid w:val="00892C0B"/>
    <w:rsid w:val="00892DCE"/>
    <w:rsid w:val="00894CDF"/>
    <w:rsid w:val="00896BF0"/>
    <w:rsid w:val="0089729E"/>
    <w:rsid w:val="00897703"/>
    <w:rsid w:val="008A0646"/>
    <w:rsid w:val="008A07B5"/>
    <w:rsid w:val="008A1391"/>
    <w:rsid w:val="008A18AE"/>
    <w:rsid w:val="008A1C93"/>
    <w:rsid w:val="008A286C"/>
    <w:rsid w:val="008A2DE6"/>
    <w:rsid w:val="008A3958"/>
    <w:rsid w:val="008A6808"/>
    <w:rsid w:val="008A732F"/>
    <w:rsid w:val="008B0AFF"/>
    <w:rsid w:val="008B1579"/>
    <w:rsid w:val="008B16CE"/>
    <w:rsid w:val="008B1E6C"/>
    <w:rsid w:val="008B428A"/>
    <w:rsid w:val="008B6FAC"/>
    <w:rsid w:val="008B7951"/>
    <w:rsid w:val="008C1332"/>
    <w:rsid w:val="008C15D3"/>
    <w:rsid w:val="008C1B17"/>
    <w:rsid w:val="008C4392"/>
    <w:rsid w:val="008C592C"/>
    <w:rsid w:val="008C5BFF"/>
    <w:rsid w:val="008C6815"/>
    <w:rsid w:val="008C7491"/>
    <w:rsid w:val="008C7FE2"/>
    <w:rsid w:val="008D072D"/>
    <w:rsid w:val="008D0C33"/>
    <w:rsid w:val="008D1F3C"/>
    <w:rsid w:val="008D3520"/>
    <w:rsid w:val="008D44D2"/>
    <w:rsid w:val="008D4BE3"/>
    <w:rsid w:val="008D4F48"/>
    <w:rsid w:val="008D4FDF"/>
    <w:rsid w:val="008D5576"/>
    <w:rsid w:val="008D5900"/>
    <w:rsid w:val="008D6244"/>
    <w:rsid w:val="008D7A36"/>
    <w:rsid w:val="008E0190"/>
    <w:rsid w:val="008E0D7E"/>
    <w:rsid w:val="008E2592"/>
    <w:rsid w:val="008E2D8B"/>
    <w:rsid w:val="008E3A1D"/>
    <w:rsid w:val="008E418A"/>
    <w:rsid w:val="008E774A"/>
    <w:rsid w:val="008F02C8"/>
    <w:rsid w:val="008F0C8D"/>
    <w:rsid w:val="008F12D1"/>
    <w:rsid w:val="008F1A57"/>
    <w:rsid w:val="008F206E"/>
    <w:rsid w:val="008F2935"/>
    <w:rsid w:val="008F2B7F"/>
    <w:rsid w:val="008F3538"/>
    <w:rsid w:val="008F54B7"/>
    <w:rsid w:val="008F5D46"/>
    <w:rsid w:val="008F5DD6"/>
    <w:rsid w:val="008F71FD"/>
    <w:rsid w:val="008F72A0"/>
    <w:rsid w:val="008F7328"/>
    <w:rsid w:val="008F7FE3"/>
    <w:rsid w:val="00900A35"/>
    <w:rsid w:val="00901253"/>
    <w:rsid w:val="00901ACF"/>
    <w:rsid w:val="00902780"/>
    <w:rsid w:val="009029DA"/>
    <w:rsid w:val="00902FE7"/>
    <w:rsid w:val="00903432"/>
    <w:rsid w:val="00904C71"/>
    <w:rsid w:val="0090613C"/>
    <w:rsid w:val="00906AC6"/>
    <w:rsid w:val="00907128"/>
    <w:rsid w:val="0090717E"/>
    <w:rsid w:val="00907AB1"/>
    <w:rsid w:val="00910C4D"/>
    <w:rsid w:val="00910E6F"/>
    <w:rsid w:val="009123BD"/>
    <w:rsid w:val="009143B9"/>
    <w:rsid w:val="00914667"/>
    <w:rsid w:val="00914D16"/>
    <w:rsid w:val="00915332"/>
    <w:rsid w:val="00915335"/>
    <w:rsid w:val="00915400"/>
    <w:rsid w:val="0091571C"/>
    <w:rsid w:val="00916B34"/>
    <w:rsid w:val="00917601"/>
    <w:rsid w:val="00917C35"/>
    <w:rsid w:val="00920B6E"/>
    <w:rsid w:val="00920F95"/>
    <w:rsid w:val="00922BAE"/>
    <w:rsid w:val="00923CD5"/>
    <w:rsid w:val="009241C4"/>
    <w:rsid w:val="009243CA"/>
    <w:rsid w:val="00927F55"/>
    <w:rsid w:val="0093013E"/>
    <w:rsid w:val="00930501"/>
    <w:rsid w:val="009308C8"/>
    <w:rsid w:val="009321EE"/>
    <w:rsid w:val="0093367A"/>
    <w:rsid w:val="00933714"/>
    <w:rsid w:val="00935029"/>
    <w:rsid w:val="009350A7"/>
    <w:rsid w:val="00935D03"/>
    <w:rsid w:val="00935F02"/>
    <w:rsid w:val="009367D9"/>
    <w:rsid w:val="009373C8"/>
    <w:rsid w:val="009378DD"/>
    <w:rsid w:val="00937BB2"/>
    <w:rsid w:val="009410CC"/>
    <w:rsid w:val="0094328E"/>
    <w:rsid w:val="00944D0D"/>
    <w:rsid w:val="00945CD4"/>
    <w:rsid w:val="00945FE8"/>
    <w:rsid w:val="00946BBD"/>
    <w:rsid w:val="00947941"/>
    <w:rsid w:val="00950021"/>
    <w:rsid w:val="00950623"/>
    <w:rsid w:val="0095083C"/>
    <w:rsid w:val="00951389"/>
    <w:rsid w:val="009515B6"/>
    <w:rsid w:val="009517E3"/>
    <w:rsid w:val="00951F22"/>
    <w:rsid w:val="00952072"/>
    <w:rsid w:val="009528C6"/>
    <w:rsid w:val="009536FE"/>
    <w:rsid w:val="00953FCE"/>
    <w:rsid w:val="00954697"/>
    <w:rsid w:val="009556AD"/>
    <w:rsid w:val="00955CBE"/>
    <w:rsid w:val="00955D1A"/>
    <w:rsid w:val="00957943"/>
    <w:rsid w:val="00962CE2"/>
    <w:rsid w:val="00963A96"/>
    <w:rsid w:val="00963D61"/>
    <w:rsid w:val="00964423"/>
    <w:rsid w:val="009647E2"/>
    <w:rsid w:val="009654D5"/>
    <w:rsid w:val="00965731"/>
    <w:rsid w:val="009667E1"/>
    <w:rsid w:val="00966EF3"/>
    <w:rsid w:val="00970A23"/>
    <w:rsid w:val="00970C33"/>
    <w:rsid w:val="009710AD"/>
    <w:rsid w:val="00971DF9"/>
    <w:rsid w:val="00972553"/>
    <w:rsid w:val="0097260F"/>
    <w:rsid w:val="009734BD"/>
    <w:rsid w:val="00973561"/>
    <w:rsid w:val="0097371A"/>
    <w:rsid w:val="00973830"/>
    <w:rsid w:val="009745E3"/>
    <w:rsid w:val="00974898"/>
    <w:rsid w:val="00974B70"/>
    <w:rsid w:val="00975074"/>
    <w:rsid w:val="00977933"/>
    <w:rsid w:val="00981530"/>
    <w:rsid w:val="00981EF5"/>
    <w:rsid w:val="00982306"/>
    <w:rsid w:val="0098298E"/>
    <w:rsid w:val="009830E0"/>
    <w:rsid w:val="00983CBD"/>
    <w:rsid w:val="009841FE"/>
    <w:rsid w:val="00984346"/>
    <w:rsid w:val="00984693"/>
    <w:rsid w:val="009860CA"/>
    <w:rsid w:val="00986557"/>
    <w:rsid w:val="00986AA3"/>
    <w:rsid w:val="00986FB1"/>
    <w:rsid w:val="00987279"/>
    <w:rsid w:val="00990014"/>
    <w:rsid w:val="00991983"/>
    <w:rsid w:val="00992173"/>
    <w:rsid w:val="00992382"/>
    <w:rsid w:val="00992BFF"/>
    <w:rsid w:val="0099340A"/>
    <w:rsid w:val="00993FEA"/>
    <w:rsid w:val="00994859"/>
    <w:rsid w:val="00994AD1"/>
    <w:rsid w:val="00996109"/>
    <w:rsid w:val="00996784"/>
    <w:rsid w:val="00996A77"/>
    <w:rsid w:val="00996B17"/>
    <w:rsid w:val="00996E42"/>
    <w:rsid w:val="009A1442"/>
    <w:rsid w:val="009A1AF2"/>
    <w:rsid w:val="009A1C1F"/>
    <w:rsid w:val="009A1EB4"/>
    <w:rsid w:val="009A3322"/>
    <w:rsid w:val="009A353F"/>
    <w:rsid w:val="009A3EDC"/>
    <w:rsid w:val="009A41A7"/>
    <w:rsid w:val="009A447F"/>
    <w:rsid w:val="009A4E55"/>
    <w:rsid w:val="009A5675"/>
    <w:rsid w:val="009A58A5"/>
    <w:rsid w:val="009A5969"/>
    <w:rsid w:val="009A5A8E"/>
    <w:rsid w:val="009A5EEA"/>
    <w:rsid w:val="009A6C6A"/>
    <w:rsid w:val="009B0A98"/>
    <w:rsid w:val="009B200D"/>
    <w:rsid w:val="009B2812"/>
    <w:rsid w:val="009B2B25"/>
    <w:rsid w:val="009B341D"/>
    <w:rsid w:val="009B35E6"/>
    <w:rsid w:val="009B3877"/>
    <w:rsid w:val="009B3FD5"/>
    <w:rsid w:val="009B48F7"/>
    <w:rsid w:val="009B4BDC"/>
    <w:rsid w:val="009B5569"/>
    <w:rsid w:val="009B5DDD"/>
    <w:rsid w:val="009B5E90"/>
    <w:rsid w:val="009B6BF4"/>
    <w:rsid w:val="009B74EF"/>
    <w:rsid w:val="009C1763"/>
    <w:rsid w:val="009C39B3"/>
    <w:rsid w:val="009C3FFC"/>
    <w:rsid w:val="009C42F1"/>
    <w:rsid w:val="009C5257"/>
    <w:rsid w:val="009C5DD3"/>
    <w:rsid w:val="009C7049"/>
    <w:rsid w:val="009C76C4"/>
    <w:rsid w:val="009D00C5"/>
    <w:rsid w:val="009D031C"/>
    <w:rsid w:val="009D0E2F"/>
    <w:rsid w:val="009D19F9"/>
    <w:rsid w:val="009D2892"/>
    <w:rsid w:val="009D305E"/>
    <w:rsid w:val="009D666E"/>
    <w:rsid w:val="009D704F"/>
    <w:rsid w:val="009D79C3"/>
    <w:rsid w:val="009E0B56"/>
    <w:rsid w:val="009E0F03"/>
    <w:rsid w:val="009E0FC8"/>
    <w:rsid w:val="009E1206"/>
    <w:rsid w:val="009E19B3"/>
    <w:rsid w:val="009E24A2"/>
    <w:rsid w:val="009E5358"/>
    <w:rsid w:val="009E5EC3"/>
    <w:rsid w:val="009E7569"/>
    <w:rsid w:val="009E75D0"/>
    <w:rsid w:val="009F27FA"/>
    <w:rsid w:val="009F3130"/>
    <w:rsid w:val="009F5358"/>
    <w:rsid w:val="009F617A"/>
    <w:rsid w:val="009F6D3C"/>
    <w:rsid w:val="009F7023"/>
    <w:rsid w:val="009F7736"/>
    <w:rsid w:val="00A0035D"/>
    <w:rsid w:val="00A02084"/>
    <w:rsid w:val="00A02FDE"/>
    <w:rsid w:val="00A03F66"/>
    <w:rsid w:val="00A05CA5"/>
    <w:rsid w:val="00A06354"/>
    <w:rsid w:val="00A0660A"/>
    <w:rsid w:val="00A10321"/>
    <w:rsid w:val="00A1032F"/>
    <w:rsid w:val="00A1203C"/>
    <w:rsid w:val="00A1531B"/>
    <w:rsid w:val="00A1669E"/>
    <w:rsid w:val="00A177D2"/>
    <w:rsid w:val="00A17945"/>
    <w:rsid w:val="00A17AAE"/>
    <w:rsid w:val="00A200F8"/>
    <w:rsid w:val="00A2026A"/>
    <w:rsid w:val="00A20E2A"/>
    <w:rsid w:val="00A2259F"/>
    <w:rsid w:val="00A22C83"/>
    <w:rsid w:val="00A23439"/>
    <w:rsid w:val="00A23779"/>
    <w:rsid w:val="00A23E02"/>
    <w:rsid w:val="00A23E6A"/>
    <w:rsid w:val="00A24183"/>
    <w:rsid w:val="00A24BD3"/>
    <w:rsid w:val="00A2546D"/>
    <w:rsid w:val="00A26240"/>
    <w:rsid w:val="00A26242"/>
    <w:rsid w:val="00A26598"/>
    <w:rsid w:val="00A266C6"/>
    <w:rsid w:val="00A30110"/>
    <w:rsid w:val="00A318E5"/>
    <w:rsid w:val="00A3359F"/>
    <w:rsid w:val="00A33634"/>
    <w:rsid w:val="00A3406A"/>
    <w:rsid w:val="00A355FB"/>
    <w:rsid w:val="00A3586F"/>
    <w:rsid w:val="00A362AC"/>
    <w:rsid w:val="00A378E4"/>
    <w:rsid w:val="00A439B7"/>
    <w:rsid w:val="00A4472E"/>
    <w:rsid w:val="00A45B14"/>
    <w:rsid w:val="00A45B20"/>
    <w:rsid w:val="00A45E0A"/>
    <w:rsid w:val="00A46282"/>
    <w:rsid w:val="00A46AD3"/>
    <w:rsid w:val="00A50818"/>
    <w:rsid w:val="00A5375F"/>
    <w:rsid w:val="00A56F66"/>
    <w:rsid w:val="00A56F9D"/>
    <w:rsid w:val="00A600BC"/>
    <w:rsid w:val="00A60576"/>
    <w:rsid w:val="00A61D38"/>
    <w:rsid w:val="00A62076"/>
    <w:rsid w:val="00A62E14"/>
    <w:rsid w:val="00A633F7"/>
    <w:rsid w:val="00A63754"/>
    <w:rsid w:val="00A64500"/>
    <w:rsid w:val="00A64EC7"/>
    <w:rsid w:val="00A65086"/>
    <w:rsid w:val="00A66C90"/>
    <w:rsid w:val="00A70571"/>
    <w:rsid w:val="00A7283D"/>
    <w:rsid w:val="00A72F60"/>
    <w:rsid w:val="00A742D3"/>
    <w:rsid w:val="00A74734"/>
    <w:rsid w:val="00A74D10"/>
    <w:rsid w:val="00A74DC2"/>
    <w:rsid w:val="00A7516D"/>
    <w:rsid w:val="00A75B55"/>
    <w:rsid w:val="00A76DA3"/>
    <w:rsid w:val="00A80C8F"/>
    <w:rsid w:val="00A80DED"/>
    <w:rsid w:val="00A81EEF"/>
    <w:rsid w:val="00A82B94"/>
    <w:rsid w:val="00A850C1"/>
    <w:rsid w:val="00A85191"/>
    <w:rsid w:val="00A85229"/>
    <w:rsid w:val="00A86566"/>
    <w:rsid w:val="00A86C83"/>
    <w:rsid w:val="00A86E71"/>
    <w:rsid w:val="00A87172"/>
    <w:rsid w:val="00A9082B"/>
    <w:rsid w:val="00A910E9"/>
    <w:rsid w:val="00A9166A"/>
    <w:rsid w:val="00A927AD"/>
    <w:rsid w:val="00A939D1"/>
    <w:rsid w:val="00A93D01"/>
    <w:rsid w:val="00A955EC"/>
    <w:rsid w:val="00A96C53"/>
    <w:rsid w:val="00A972F1"/>
    <w:rsid w:val="00A97FF3"/>
    <w:rsid w:val="00AA1276"/>
    <w:rsid w:val="00AA3986"/>
    <w:rsid w:val="00AA3C49"/>
    <w:rsid w:val="00AA6C56"/>
    <w:rsid w:val="00AA78DD"/>
    <w:rsid w:val="00AB000A"/>
    <w:rsid w:val="00AB0B4B"/>
    <w:rsid w:val="00AB1222"/>
    <w:rsid w:val="00AB182D"/>
    <w:rsid w:val="00AB1BD5"/>
    <w:rsid w:val="00AB2BE8"/>
    <w:rsid w:val="00AB3105"/>
    <w:rsid w:val="00AB36A8"/>
    <w:rsid w:val="00AB3DA9"/>
    <w:rsid w:val="00AB4BE0"/>
    <w:rsid w:val="00AB501C"/>
    <w:rsid w:val="00AC075D"/>
    <w:rsid w:val="00AC1FA6"/>
    <w:rsid w:val="00AC2227"/>
    <w:rsid w:val="00AC23E5"/>
    <w:rsid w:val="00AC3125"/>
    <w:rsid w:val="00AC3AB8"/>
    <w:rsid w:val="00AC4121"/>
    <w:rsid w:val="00AC4D25"/>
    <w:rsid w:val="00AC5126"/>
    <w:rsid w:val="00AC620D"/>
    <w:rsid w:val="00AC6634"/>
    <w:rsid w:val="00AC6E72"/>
    <w:rsid w:val="00AC7042"/>
    <w:rsid w:val="00AC7510"/>
    <w:rsid w:val="00AD00A2"/>
    <w:rsid w:val="00AD13FC"/>
    <w:rsid w:val="00AD1B0F"/>
    <w:rsid w:val="00AD2207"/>
    <w:rsid w:val="00AD31FC"/>
    <w:rsid w:val="00AD38FB"/>
    <w:rsid w:val="00AD6887"/>
    <w:rsid w:val="00AD6A0B"/>
    <w:rsid w:val="00AD6CD1"/>
    <w:rsid w:val="00AD7856"/>
    <w:rsid w:val="00AD7E6A"/>
    <w:rsid w:val="00AD7F67"/>
    <w:rsid w:val="00AE0688"/>
    <w:rsid w:val="00AE0DAD"/>
    <w:rsid w:val="00AE1773"/>
    <w:rsid w:val="00AE2A0D"/>
    <w:rsid w:val="00AE44D7"/>
    <w:rsid w:val="00AE53C9"/>
    <w:rsid w:val="00AE6500"/>
    <w:rsid w:val="00AF0021"/>
    <w:rsid w:val="00AF1098"/>
    <w:rsid w:val="00AF171D"/>
    <w:rsid w:val="00AF190D"/>
    <w:rsid w:val="00AF3254"/>
    <w:rsid w:val="00AF4190"/>
    <w:rsid w:val="00AF48FF"/>
    <w:rsid w:val="00AF4D08"/>
    <w:rsid w:val="00AF677E"/>
    <w:rsid w:val="00B00966"/>
    <w:rsid w:val="00B0443C"/>
    <w:rsid w:val="00B059C8"/>
    <w:rsid w:val="00B05BC9"/>
    <w:rsid w:val="00B0600F"/>
    <w:rsid w:val="00B063CE"/>
    <w:rsid w:val="00B07138"/>
    <w:rsid w:val="00B07663"/>
    <w:rsid w:val="00B0792E"/>
    <w:rsid w:val="00B11B3F"/>
    <w:rsid w:val="00B13631"/>
    <w:rsid w:val="00B13DE6"/>
    <w:rsid w:val="00B14418"/>
    <w:rsid w:val="00B152EE"/>
    <w:rsid w:val="00B21A18"/>
    <w:rsid w:val="00B22E94"/>
    <w:rsid w:val="00B23BFE"/>
    <w:rsid w:val="00B23FBE"/>
    <w:rsid w:val="00B24052"/>
    <w:rsid w:val="00B2488F"/>
    <w:rsid w:val="00B2512F"/>
    <w:rsid w:val="00B2564E"/>
    <w:rsid w:val="00B26963"/>
    <w:rsid w:val="00B2796C"/>
    <w:rsid w:val="00B30183"/>
    <w:rsid w:val="00B30C0E"/>
    <w:rsid w:val="00B321B0"/>
    <w:rsid w:val="00B32AE1"/>
    <w:rsid w:val="00B33C2B"/>
    <w:rsid w:val="00B33D35"/>
    <w:rsid w:val="00B33E44"/>
    <w:rsid w:val="00B3401E"/>
    <w:rsid w:val="00B34970"/>
    <w:rsid w:val="00B403F9"/>
    <w:rsid w:val="00B429F8"/>
    <w:rsid w:val="00B45061"/>
    <w:rsid w:val="00B50D72"/>
    <w:rsid w:val="00B51344"/>
    <w:rsid w:val="00B52259"/>
    <w:rsid w:val="00B523A4"/>
    <w:rsid w:val="00B53B01"/>
    <w:rsid w:val="00B552A9"/>
    <w:rsid w:val="00B55437"/>
    <w:rsid w:val="00B5649E"/>
    <w:rsid w:val="00B56759"/>
    <w:rsid w:val="00B568C9"/>
    <w:rsid w:val="00B61132"/>
    <w:rsid w:val="00B63918"/>
    <w:rsid w:val="00B63E44"/>
    <w:rsid w:val="00B64928"/>
    <w:rsid w:val="00B64B44"/>
    <w:rsid w:val="00B64C7A"/>
    <w:rsid w:val="00B64E64"/>
    <w:rsid w:val="00B6500D"/>
    <w:rsid w:val="00B70268"/>
    <w:rsid w:val="00B70AEC"/>
    <w:rsid w:val="00B71B9E"/>
    <w:rsid w:val="00B71EBF"/>
    <w:rsid w:val="00B745D9"/>
    <w:rsid w:val="00B74B29"/>
    <w:rsid w:val="00B756DE"/>
    <w:rsid w:val="00B766DB"/>
    <w:rsid w:val="00B813C4"/>
    <w:rsid w:val="00B82F06"/>
    <w:rsid w:val="00B83140"/>
    <w:rsid w:val="00B86808"/>
    <w:rsid w:val="00B86F78"/>
    <w:rsid w:val="00B87AD7"/>
    <w:rsid w:val="00B900F4"/>
    <w:rsid w:val="00B903BA"/>
    <w:rsid w:val="00B90B3B"/>
    <w:rsid w:val="00B91212"/>
    <w:rsid w:val="00B916BC"/>
    <w:rsid w:val="00B926C8"/>
    <w:rsid w:val="00B95300"/>
    <w:rsid w:val="00B95372"/>
    <w:rsid w:val="00B964D3"/>
    <w:rsid w:val="00B97E1D"/>
    <w:rsid w:val="00BA1881"/>
    <w:rsid w:val="00BA1AB3"/>
    <w:rsid w:val="00BA27AA"/>
    <w:rsid w:val="00BA2E82"/>
    <w:rsid w:val="00BA49A0"/>
    <w:rsid w:val="00BA60AA"/>
    <w:rsid w:val="00BA6862"/>
    <w:rsid w:val="00BA6EB7"/>
    <w:rsid w:val="00BA7309"/>
    <w:rsid w:val="00BA7A01"/>
    <w:rsid w:val="00BB128F"/>
    <w:rsid w:val="00BB138E"/>
    <w:rsid w:val="00BB143D"/>
    <w:rsid w:val="00BB1C69"/>
    <w:rsid w:val="00BB1F89"/>
    <w:rsid w:val="00BB23F1"/>
    <w:rsid w:val="00BB258F"/>
    <w:rsid w:val="00BB2AE7"/>
    <w:rsid w:val="00BB2BF3"/>
    <w:rsid w:val="00BB30DB"/>
    <w:rsid w:val="00BB3448"/>
    <w:rsid w:val="00BB3C2B"/>
    <w:rsid w:val="00BB51D3"/>
    <w:rsid w:val="00BB5A37"/>
    <w:rsid w:val="00BB7390"/>
    <w:rsid w:val="00BC0A77"/>
    <w:rsid w:val="00BC0B7B"/>
    <w:rsid w:val="00BC0D3F"/>
    <w:rsid w:val="00BC16C2"/>
    <w:rsid w:val="00BC5A6E"/>
    <w:rsid w:val="00BC5AB4"/>
    <w:rsid w:val="00BD3AF6"/>
    <w:rsid w:val="00BD430B"/>
    <w:rsid w:val="00BD4C4B"/>
    <w:rsid w:val="00BD63F4"/>
    <w:rsid w:val="00BD67CB"/>
    <w:rsid w:val="00BD7155"/>
    <w:rsid w:val="00BE0667"/>
    <w:rsid w:val="00BE4E9E"/>
    <w:rsid w:val="00BE6AF9"/>
    <w:rsid w:val="00BF0FEB"/>
    <w:rsid w:val="00BF37E1"/>
    <w:rsid w:val="00BF60B5"/>
    <w:rsid w:val="00BF717E"/>
    <w:rsid w:val="00C00B97"/>
    <w:rsid w:val="00C02146"/>
    <w:rsid w:val="00C0304D"/>
    <w:rsid w:val="00C04F34"/>
    <w:rsid w:val="00C05368"/>
    <w:rsid w:val="00C055BE"/>
    <w:rsid w:val="00C05FAB"/>
    <w:rsid w:val="00C0614A"/>
    <w:rsid w:val="00C10BFB"/>
    <w:rsid w:val="00C11573"/>
    <w:rsid w:val="00C11952"/>
    <w:rsid w:val="00C11B16"/>
    <w:rsid w:val="00C121EB"/>
    <w:rsid w:val="00C157A2"/>
    <w:rsid w:val="00C15DBF"/>
    <w:rsid w:val="00C16047"/>
    <w:rsid w:val="00C16B56"/>
    <w:rsid w:val="00C17182"/>
    <w:rsid w:val="00C17459"/>
    <w:rsid w:val="00C17B95"/>
    <w:rsid w:val="00C20C4A"/>
    <w:rsid w:val="00C20CF8"/>
    <w:rsid w:val="00C2259D"/>
    <w:rsid w:val="00C237AD"/>
    <w:rsid w:val="00C2478E"/>
    <w:rsid w:val="00C24C92"/>
    <w:rsid w:val="00C25F91"/>
    <w:rsid w:val="00C26992"/>
    <w:rsid w:val="00C3019D"/>
    <w:rsid w:val="00C32688"/>
    <w:rsid w:val="00C3305D"/>
    <w:rsid w:val="00C35316"/>
    <w:rsid w:val="00C3596E"/>
    <w:rsid w:val="00C3604A"/>
    <w:rsid w:val="00C40681"/>
    <w:rsid w:val="00C4080C"/>
    <w:rsid w:val="00C4239F"/>
    <w:rsid w:val="00C42505"/>
    <w:rsid w:val="00C4304C"/>
    <w:rsid w:val="00C43550"/>
    <w:rsid w:val="00C43C0C"/>
    <w:rsid w:val="00C45A04"/>
    <w:rsid w:val="00C466B6"/>
    <w:rsid w:val="00C46C33"/>
    <w:rsid w:val="00C4707A"/>
    <w:rsid w:val="00C470CD"/>
    <w:rsid w:val="00C50243"/>
    <w:rsid w:val="00C516AA"/>
    <w:rsid w:val="00C54439"/>
    <w:rsid w:val="00C56B50"/>
    <w:rsid w:val="00C57245"/>
    <w:rsid w:val="00C57B26"/>
    <w:rsid w:val="00C601C0"/>
    <w:rsid w:val="00C60468"/>
    <w:rsid w:val="00C60D65"/>
    <w:rsid w:val="00C611EB"/>
    <w:rsid w:val="00C62A34"/>
    <w:rsid w:val="00C62DF2"/>
    <w:rsid w:val="00C64A9E"/>
    <w:rsid w:val="00C64FD6"/>
    <w:rsid w:val="00C652B7"/>
    <w:rsid w:val="00C65474"/>
    <w:rsid w:val="00C65B80"/>
    <w:rsid w:val="00C66180"/>
    <w:rsid w:val="00C66C84"/>
    <w:rsid w:val="00C66D58"/>
    <w:rsid w:val="00C672A2"/>
    <w:rsid w:val="00C67A9F"/>
    <w:rsid w:val="00C725B9"/>
    <w:rsid w:val="00C72A0A"/>
    <w:rsid w:val="00C72EFA"/>
    <w:rsid w:val="00C73B0F"/>
    <w:rsid w:val="00C75401"/>
    <w:rsid w:val="00C75A5C"/>
    <w:rsid w:val="00C75F60"/>
    <w:rsid w:val="00C7715F"/>
    <w:rsid w:val="00C77FC0"/>
    <w:rsid w:val="00C80081"/>
    <w:rsid w:val="00C8035A"/>
    <w:rsid w:val="00C8189C"/>
    <w:rsid w:val="00C81A48"/>
    <w:rsid w:val="00C826CF"/>
    <w:rsid w:val="00C83586"/>
    <w:rsid w:val="00C84608"/>
    <w:rsid w:val="00C84C32"/>
    <w:rsid w:val="00C852B4"/>
    <w:rsid w:val="00C86094"/>
    <w:rsid w:val="00C870B7"/>
    <w:rsid w:val="00C87260"/>
    <w:rsid w:val="00C87A8B"/>
    <w:rsid w:val="00C9035C"/>
    <w:rsid w:val="00C91204"/>
    <w:rsid w:val="00C9225B"/>
    <w:rsid w:val="00C93B2D"/>
    <w:rsid w:val="00C94873"/>
    <w:rsid w:val="00C95524"/>
    <w:rsid w:val="00C955BE"/>
    <w:rsid w:val="00C9599F"/>
    <w:rsid w:val="00C9790E"/>
    <w:rsid w:val="00CA0F1C"/>
    <w:rsid w:val="00CA1909"/>
    <w:rsid w:val="00CA3119"/>
    <w:rsid w:val="00CA3EDD"/>
    <w:rsid w:val="00CA5BC1"/>
    <w:rsid w:val="00CA6127"/>
    <w:rsid w:val="00CA6D61"/>
    <w:rsid w:val="00CB0432"/>
    <w:rsid w:val="00CB0C7F"/>
    <w:rsid w:val="00CB30C1"/>
    <w:rsid w:val="00CB40EC"/>
    <w:rsid w:val="00CB4A5E"/>
    <w:rsid w:val="00CB4ABE"/>
    <w:rsid w:val="00CB6830"/>
    <w:rsid w:val="00CB74E4"/>
    <w:rsid w:val="00CC0427"/>
    <w:rsid w:val="00CC0ACC"/>
    <w:rsid w:val="00CC22E5"/>
    <w:rsid w:val="00CC3018"/>
    <w:rsid w:val="00CC317E"/>
    <w:rsid w:val="00CC3C96"/>
    <w:rsid w:val="00CC438E"/>
    <w:rsid w:val="00CC677D"/>
    <w:rsid w:val="00CD0827"/>
    <w:rsid w:val="00CD2D3F"/>
    <w:rsid w:val="00CD439C"/>
    <w:rsid w:val="00CD644D"/>
    <w:rsid w:val="00CE083E"/>
    <w:rsid w:val="00CE0F26"/>
    <w:rsid w:val="00CE1DF0"/>
    <w:rsid w:val="00CE1E67"/>
    <w:rsid w:val="00CE378F"/>
    <w:rsid w:val="00CE3FFD"/>
    <w:rsid w:val="00CE5202"/>
    <w:rsid w:val="00CE5EB5"/>
    <w:rsid w:val="00CE7113"/>
    <w:rsid w:val="00CE7AF7"/>
    <w:rsid w:val="00CF0B46"/>
    <w:rsid w:val="00CF0BC4"/>
    <w:rsid w:val="00CF0EAF"/>
    <w:rsid w:val="00CF18D1"/>
    <w:rsid w:val="00CF3536"/>
    <w:rsid w:val="00CF35EE"/>
    <w:rsid w:val="00CF3E4C"/>
    <w:rsid w:val="00CF4063"/>
    <w:rsid w:val="00CF5665"/>
    <w:rsid w:val="00CF61D4"/>
    <w:rsid w:val="00CF69CF"/>
    <w:rsid w:val="00CF6B66"/>
    <w:rsid w:val="00CF7E65"/>
    <w:rsid w:val="00D00B2B"/>
    <w:rsid w:val="00D010F0"/>
    <w:rsid w:val="00D01968"/>
    <w:rsid w:val="00D02093"/>
    <w:rsid w:val="00D02EE9"/>
    <w:rsid w:val="00D0480C"/>
    <w:rsid w:val="00D04980"/>
    <w:rsid w:val="00D04CD7"/>
    <w:rsid w:val="00D0559D"/>
    <w:rsid w:val="00D06C6E"/>
    <w:rsid w:val="00D07840"/>
    <w:rsid w:val="00D1154C"/>
    <w:rsid w:val="00D1217F"/>
    <w:rsid w:val="00D13482"/>
    <w:rsid w:val="00D1428E"/>
    <w:rsid w:val="00D14FE3"/>
    <w:rsid w:val="00D2037D"/>
    <w:rsid w:val="00D212AE"/>
    <w:rsid w:val="00D224B4"/>
    <w:rsid w:val="00D237DF"/>
    <w:rsid w:val="00D27626"/>
    <w:rsid w:val="00D277DE"/>
    <w:rsid w:val="00D27F4C"/>
    <w:rsid w:val="00D33832"/>
    <w:rsid w:val="00D35F26"/>
    <w:rsid w:val="00D3779D"/>
    <w:rsid w:val="00D37F17"/>
    <w:rsid w:val="00D428C3"/>
    <w:rsid w:val="00D43CDC"/>
    <w:rsid w:val="00D43E58"/>
    <w:rsid w:val="00D43FFA"/>
    <w:rsid w:val="00D44B96"/>
    <w:rsid w:val="00D44FFD"/>
    <w:rsid w:val="00D451E3"/>
    <w:rsid w:val="00D4560E"/>
    <w:rsid w:val="00D458D7"/>
    <w:rsid w:val="00D46D5B"/>
    <w:rsid w:val="00D51005"/>
    <w:rsid w:val="00D52DBE"/>
    <w:rsid w:val="00D53499"/>
    <w:rsid w:val="00D5679E"/>
    <w:rsid w:val="00D57DB4"/>
    <w:rsid w:val="00D57FC3"/>
    <w:rsid w:val="00D60FA3"/>
    <w:rsid w:val="00D628C4"/>
    <w:rsid w:val="00D651A0"/>
    <w:rsid w:val="00D6579D"/>
    <w:rsid w:val="00D6689D"/>
    <w:rsid w:val="00D731B4"/>
    <w:rsid w:val="00D74244"/>
    <w:rsid w:val="00D75B72"/>
    <w:rsid w:val="00D76165"/>
    <w:rsid w:val="00D7687A"/>
    <w:rsid w:val="00D778B0"/>
    <w:rsid w:val="00D778D9"/>
    <w:rsid w:val="00D77E6C"/>
    <w:rsid w:val="00D80D74"/>
    <w:rsid w:val="00D814E4"/>
    <w:rsid w:val="00D81BDA"/>
    <w:rsid w:val="00D845D3"/>
    <w:rsid w:val="00D85DAB"/>
    <w:rsid w:val="00D86DA0"/>
    <w:rsid w:val="00D872D5"/>
    <w:rsid w:val="00D906DF"/>
    <w:rsid w:val="00D9178B"/>
    <w:rsid w:val="00D91B7D"/>
    <w:rsid w:val="00D926FF"/>
    <w:rsid w:val="00D931A3"/>
    <w:rsid w:val="00D94448"/>
    <w:rsid w:val="00D9521A"/>
    <w:rsid w:val="00D952F5"/>
    <w:rsid w:val="00D95D1A"/>
    <w:rsid w:val="00D96463"/>
    <w:rsid w:val="00D964E9"/>
    <w:rsid w:val="00D97991"/>
    <w:rsid w:val="00D97F4A"/>
    <w:rsid w:val="00DA031E"/>
    <w:rsid w:val="00DA0AF9"/>
    <w:rsid w:val="00DA17D2"/>
    <w:rsid w:val="00DA1B6E"/>
    <w:rsid w:val="00DA470F"/>
    <w:rsid w:val="00DA5A7C"/>
    <w:rsid w:val="00DA67AE"/>
    <w:rsid w:val="00DB01C1"/>
    <w:rsid w:val="00DB3660"/>
    <w:rsid w:val="00DB3761"/>
    <w:rsid w:val="00DB390F"/>
    <w:rsid w:val="00DB3DF8"/>
    <w:rsid w:val="00DB6999"/>
    <w:rsid w:val="00DC0079"/>
    <w:rsid w:val="00DC05D0"/>
    <w:rsid w:val="00DC1449"/>
    <w:rsid w:val="00DC19A4"/>
    <w:rsid w:val="00DC1BB5"/>
    <w:rsid w:val="00DC312D"/>
    <w:rsid w:val="00DC34ED"/>
    <w:rsid w:val="00DC36D6"/>
    <w:rsid w:val="00DC4486"/>
    <w:rsid w:val="00DC6192"/>
    <w:rsid w:val="00DC6B04"/>
    <w:rsid w:val="00DC7749"/>
    <w:rsid w:val="00DC7A8B"/>
    <w:rsid w:val="00DD0016"/>
    <w:rsid w:val="00DD02CE"/>
    <w:rsid w:val="00DD0FE7"/>
    <w:rsid w:val="00DD17CB"/>
    <w:rsid w:val="00DD2AB8"/>
    <w:rsid w:val="00DD2BA7"/>
    <w:rsid w:val="00DD48F1"/>
    <w:rsid w:val="00DD4E8A"/>
    <w:rsid w:val="00DD6192"/>
    <w:rsid w:val="00DE1FA8"/>
    <w:rsid w:val="00DE295F"/>
    <w:rsid w:val="00DE2E2F"/>
    <w:rsid w:val="00DE4128"/>
    <w:rsid w:val="00DE53E8"/>
    <w:rsid w:val="00DE6C8F"/>
    <w:rsid w:val="00DE7087"/>
    <w:rsid w:val="00DE78EB"/>
    <w:rsid w:val="00DE79DF"/>
    <w:rsid w:val="00DF0BFA"/>
    <w:rsid w:val="00DF2465"/>
    <w:rsid w:val="00DF53BA"/>
    <w:rsid w:val="00DF5454"/>
    <w:rsid w:val="00DF5B32"/>
    <w:rsid w:val="00DF72BE"/>
    <w:rsid w:val="00E001FA"/>
    <w:rsid w:val="00E00FE3"/>
    <w:rsid w:val="00E02988"/>
    <w:rsid w:val="00E02FD3"/>
    <w:rsid w:val="00E043AE"/>
    <w:rsid w:val="00E1037D"/>
    <w:rsid w:val="00E10E3A"/>
    <w:rsid w:val="00E1190A"/>
    <w:rsid w:val="00E13531"/>
    <w:rsid w:val="00E14CB2"/>
    <w:rsid w:val="00E15C06"/>
    <w:rsid w:val="00E1661F"/>
    <w:rsid w:val="00E2061D"/>
    <w:rsid w:val="00E20656"/>
    <w:rsid w:val="00E20D17"/>
    <w:rsid w:val="00E23756"/>
    <w:rsid w:val="00E23952"/>
    <w:rsid w:val="00E243A4"/>
    <w:rsid w:val="00E246EB"/>
    <w:rsid w:val="00E25BD7"/>
    <w:rsid w:val="00E26289"/>
    <w:rsid w:val="00E31EEE"/>
    <w:rsid w:val="00E3537B"/>
    <w:rsid w:val="00E35C12"/>
    <w:rsid w:val="00E35C39"/>
    <w:rsid w:val="00E379FF"/>
    <w:rsid w:val="00E4106A"/>
    <w:rsid w:val="00E41C21"/>
    <w:rsid w:val="00E43460"/>
    <w:rsid w:val="00E4482B"/>
    <w:rsid w:val="00E47118"/>
    <w:rsid w:val="00E479A7"/>
    <w:rsid w:val="00E50565"/>
    <w:rsid w:val="00E50CA6"/>
    <w:rsid w:val="00E52115"/>
    <w:rsid w:val="00E5369A"/>
    <w:rsid w:val="00E536A6"/>
    <w:rsid w:val="00E53B77"/>
    <w:rsid w:val="00E53C43"/>
    <w:rsid w:val="00E54471"/>
    <w:rsid w:val="00E54D8F"/>
    <w:rsid w:val="00E54FC5"/>
    <w:rsid w:val="00E573BB"/>
    <w:rsid w:val="00E57959"/>
    <w:rsid w:val="00E63850"/>
    <w:rsid w:val="00E64299"/>
    <w:rsid w:val="00E66D70"/>
    <w:rsid w:val="00E67B87"/>
    <w:rsid w:val="00E701BC"/>
    <w:rsid w:val="00E70E54"/>
    <w:rsid w:val="00E72256"/>
    <w:rsid w:val="00E73DA3"/>
    <w:rsid w:val="00E7403B"/>
    <w:rsid w:val="00E74260"/>
    <w:rsid w:val="00E743FE"/>
    <w:rsid w:val="00E749A5"/>
    <w:rsid w:val="00E754DF"/>
    <w:rsid w:val="00E77A70"/>
    <w:rsid w:val="00E77C39"/>
    <w:rsid w:val="00E8268C"/>
    <w:rsid w:val="00E83CDE"/>
    <w:rsid w:val="00E85C3E"/>
    <w:rsid w:val="00E869B1"/>
    <w:rsid w:val="00E86C03"/>
    <w:rsid w:val="00E90CDF"/>
    <w:rsid w:val="00E91B7D"/>
    <w:rsid w:val="00E92836"/>
    <w:rsid w:val="00E92B7F"/>
    <w:rsid w:val="00E92D50"/>
    <w:rsid w:val="00E92F68"/>
    <w:rsid w:val="00E96C48"/>
    <w:rsid w:val="00EA0B75"/>
    <w:rsid w:val="00EA0CE3"/>
    <w:rsid w:val="00EA22D7"/>
    <w:rsid w:val="00EA3C69"/>
    <w:rsid w:val="00EA5ECD"/>
    <w:rsid w:val="00EA6048"/>
    <w:rsid w:val="00EA662C"/>
    <w:rsid w:val="00EA67F3"/>
    <w:rsid w:val="00EA7B09"/>
    <w:rsid w:val="00EB0C37"/>
    <w:rsid w:val="00EB0CFD"/>
    <w:rsid w:val="00EB2119"/>
    <w:rsid w:val="00EB2FF3"/>
    <w:rsid w:val="00EB30D5"/>
    <w:rsid w:val="00EB3379"/>
    <w:rsid w:val="00EB4539"/>
    <w:rsid w:val="00EB4DE4"/>
    <w:rsid w:val="00EC0C72"/>
    <w:rsid w:val="00EC10B0"/>
    <w:rsid w:val="00EC13E5"/>
    <w:rsid w:val="00EC16C2"/>
    <w:rsid w:val="00EC3B1C"/>
    <w:rsid w:val="00EC3EB3"/>
    <w:rsid w:val="00EC4F39"/>
    <w:rsid w:val="00EC5576"/>
    <w:rsid w:val="00EC7501"/>
    <w:rsid w:val="00EC7D26"/>
    <w:rsid w:val="00ED04B7"/>
    <w:rsid w:val="00ED086A"/>
    <w:rsid w:val="00ED0A12"/>
    <w:rsid w:val="00ED0B69"/>
    <w:rsid w:val="00ED1374"/>
    <w:rsid w:val="00ED44B4"/>
    <w:rsid w:val="00ED463D"/>
    <w:rsid w:val="00ED5289"/>
    <w:rsid w:val="00ED52EC"/>
    <w:rsid w:val="00ED5783"/>
    <w:rsid w:val="00ED6617"/>
    <w:rsid w:val="00ED6D67"/>
    <w:rsid w:val="00ED7569"/>
    <w:rsid w:val="00ED7F3B"/>
    <w:rsid w:val="00EE010B"/>
    <w:rsid w:val="00EE0A84"/>
    <w:rsid w:val="00EE0C58"/>
    <w:rsid w:val="00EE14E0"/>
    <w:rsid w:val="00EE1A0D"/>
    <w:rsid w:val="00EE1CBD"/>
    <w:rsid w:val="00EE2366"/>
    <w:rsid w:val="00EE4508"/>
    <w:rsid w:val="00EE45B3"/>
    <w:rsid w:val="00EE4659"/>
    <w:rsid w:val="00EE7FFE"/>
    <w:rsid w:val="00EF0924"/>
    <w:rsid w:val="00EF1CFF"/>
    <w:rsid w:val="00EF286E"/>
    <w:rsid w:val="00EF3CBA"/>
    <w:rsid w:val="00EF5CDA"/>
    <w:rsid w:val="00EF68E8"/>
    <w:rsid w:val="00EF6DE5"/>
    <w:rsid w:val="00EF74E7"/>
    <w:rsid w:val="00EF7BC6"/>
    <w:rsid w:val="00F003CD"/>
    <w:rsid w:val="00F004FE"/>
    <w:rsid w:val="00F02A46"/>
    <w:rsid w:val="00F03550"/>
    <w:rsid w:val="00F03958"/>
    <w:rsid w:val="00F052B6"/>
    <w:rsid w:val="00F06233"/>
    <w:rsid w:val="00F06C98"/>
    <w:rsid w:val="00F07532"/>
    <w:rsid w:val="00F102BC"/>
    <w:rsid w:val="00F1262F"/>
    <w:rsid w:val="00F1317B"/>
    <w:rsid w:val="00F14FF6"/>
    <w:rsid w:val="00F154F4"/>
    <w:rsid w:val="00F16B7A"/>
    <w:rsid w:val="00F173BD"/>
    <w:rsid w:val="00F213BC"/>
    <w:rsid w:val="00F21571"/>
    <w:rsid w:val="00F21634"/>
    <w:rsid w:val="00F21973"/>
    <w:rsid w:val="00F223CD"/>
    <w:rsid w:val="00F22F0E"/>
    <w:rsid w:val="00F23D78"/>
    <w:rsid w:val="00F2496B"/>
    <w:rsid w:val="00F249D9"/>
    <w:rsid w:val="00F249EC"/>
    <w:rsid w:val="00F27729"/>
    <w:rsid w:val="00F30067"/>
    <w:rsid w:val="00F309DF"/>
    <w:rsid w:val="00F326A3"/>
    <w:rsid w:val="00F32D75"/>
    <w:rsid w:val="00F34B00"/>
    <w:rsid w:val="00F34F88"/>
    <w:rsid w:val="00F36F94"/>
    <w:rsid w:val="00F3782A"/>
    <w:rsid w:val="00F40C8B"/>
    <w:rsid w:val="00F40E84"/>
    <w:rsid w:val="00F4211A"/>
    <w:rsid w:val="00F4298E"/>
    <w:rsid w:val="00F42AA6"/>
    <w:rsid w:val="00F44015"/>
    <w:rsid w:val="00F456B2"/>
    <w:rsid w:val="00F47CA6"/>
    <w:rsid w:val="00F50C8F"/>
    <w:rsid w:val="00F51EC3"/>
    <w:rsid w:val="00F535BD"/>
    <w:rsid w:val="00F541B1"/>
    <w:rsid w:val="00F54FB8"/>
    <w:rsid w:val="00F56BB5"/>
    <w:rsid w:val="00F56CEA"/>
    <w:rsid w:val="00F576F8"/>
    <w:rsid w:val="00F609D0"/>
    <w:rsid w:val="00F622CB"/>
    <w:rsid w:val="00F70242"/>
    <w:rsid w:val="00F7491F"/>
    <w:rsid w:val="00F74A7B"/>
    <w:rsid w:val="00F75E4F"/>
    <w:rsid w:val="00F765F3"/>
    <w:rsid w:val="00F803ED"/>
    <w:rsid w:val="00F8063B"/>
    <w:rsid w:val="00F81074"/>
    <w:rsid w:val="00F81C32"/>
    <w:rsid w:val="00F831BA"/>
    <w:rsid w:val="00F837E7"/>
    <w:rsid w:val="00F83D11"/>
    <w:rsid w:val="00F83F08"/>
    <w:rsid w:val="00F8545B"/>
    <w:rsid w:val="00F86BFB"/>
    <w:rsid w:val="00F86F7D"/>
    <w:rsid w:val="00F90AE1"/>
    <w:rsid w:val="00F96986"/>
    <w:rsid w:val="00F9754E"/>
    <w:rsid w:val="00F97598"/>
    <w:rsid w:val="00F97D0A"/>
    <w:rsid w:val="00FA0A3D"/>
    <w:rsid w:val="00FA0F64"/>
    <w:rsid w:val="00FA16DF"/>
    <w:rsid w:val="00FA1C29"/>
    <w:rsid w:val="00FA1EF2"/>
    <w:rsid w:val="00FA3168"/>
    <w:rsid w:val="00FA3747"/>
    <w:rsid w:val="00FA4A6C"/>
    <w:rsid w:val="00FA4B15"/>
    <w:rsid w:val="00FA683F"/>
    <w:rsid w:val="00FA6C69"/>
    <w:rsid w:val="00FA73E4"/>
    <w:rsid w:val="00FA7938"/>
    <w:rsid w:val="00FB1620"/>
    <w:rsid w:val="00FB2D3C"/>
    <w:rsid w:val="00FB5FFE"/>
    <w:rsid w:val="00FB6E67"/>
    <w:rsid w:val="00FB6FDC"/>
    <w:rsid w:val="00FC1C81"/>
    <w:rsid w:val="00FC23B1"/>
    <w:rsid w:val="00FC2F69"/>
    <w:rsid w:val="00FC37EA"/>
    <w:rsid w:val="00FC644E"/>
    <w:rsid w:val="00FC7DC6"/>
    <w:rsid w:val="00FD0769"/>
    <w:rsid w:val="00FD16D4"/>
    <w:rsid w:val="00FD24C9"/>
    <w:rsid w:val="00FD2DFA"/>
    <w:rsid w:val="00FD302B"/>
    <w:rsid w:val="00FD3B7B"/>
    <w:rsid w:val="00FD4E34"/>
    <w:rsid w:val="00FD6260"/>
    <w:rsid w:val="00FD7F6C"/>
    <w:rsid w:val="00FD7F84"/>
    <w:rsid w:val="00FE3536"/>
    <w:rsid w:val="00FE35F9"/>
    <w:rsid w:val="00FE3D5D"/>
    <w:rsid w:val="00FE3E60"/>
    <w:rsid w:val="00FE4025"/>
    <w:rsid w:val="00FE4406"/>
    <w:rsid w:val="00FE5E58"/>
    <w:rsid w:val="00FE654A"/>
    <w:rsid w:val="00FE6DA7"/>
    <w:rsid w:val="00FE6E59"/>
    <w:rsid w:val="00FE7D06"/>
    <w:rsid w:val="00FF24A3"/>
    <w:rsid w:val="00FF31A6"/>
    <w:rsid w:val="00FF4268"/>
    <w:rsid w:val="00FF5048"/>
    <w:rsid w:val="00FF574C"/>
    <w:rsid w:val="00FF6400"/>
    <w:rsid w:val="06CA3EFE"/>
    <w:rsid w:val="0B900B38"/>
    <w:rsid w:val="10DE5F80"/>
    <w:rsid w:val="11871756"/>
    <w:rsid w:val="1408687E"/>
    <w:rsid w:val="14C02917"/>
    <w:rsid w:val="14D605F3"/>
    <w:rsid w:val="14FB07D1"/>
    <w:rsid w:val="16B038D8"/>
    <w:rsid w:val="19556ECA"/>
    <w:rsid w:val="21040925"/>
    <w:rsid w:val="25407090"/>
    <w:rsid w:val="257049D8"/>
    <w:rsid w:val="271570F8"/>
    <w:rsid w:val="2B881550"/>
    <w:rsid w:val="2DEE4DAD"/>
    <w:rsid w:val="31877283"/>
    <w:rsid w:val="33E27800"/>
    <w:rsid w:val="36EE0E6B"/>
    <w:rsid w:val="38F3485C"/>
    <w:rsid w:val="39991F74"/>
    <w:rsid w:val="3CE75EF2"/>
    <w:rsid w:val="3D932C88"/>
    <w:rsid w:val="411203D0"/>
    <w:rsid w:val="44760926"/>
    <w:rsid w:val="49E932E1"/>
    <w:rsid w:val="4C784CA2"/>
    <w:rsid w:val="506A3B4A"/>
    <w:rsid w:val="50A92C7B"/>
    <w:rsid w:val="51FE426E"/>
    <w:rsid w:val="54606ABC"/>
    <w:rsid w:val="5AC10B43"/>
    <w:rsid w:val="5BCB25B4"/>
    <w:rsid w:val="601C499D"/>
    <w:rsid w:val="66931E95"/>
    <w:rsid w:val="68480355"/>
    <w:rsid w:val="6A0F4D69"/>
    <w:rsid w:val="6FC0598B"/>
    <w:rsid w:val="70932F70"/>
    <w:rsid w:val="7F1664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numPr>
        <w:ilvl w:val="0"/>
        <w:numId w:val="1"/>
      </w:numPr>
      <w:tabs>
        <w:tab w:val="left" w:pos="1365"/>
        <w:tab w:val="clear" w:pos="1140"/>
      </w:tabs>
      <w:snapToGrid w:val="0"/>
      <w:spacing w:line="500" w:lineRule="atLeast"/>
      <w:outlineLvl w:val="0"/>
    </w:pPr>
    <w:rPr>
      <w:b/>
      <w:sz w:val="28"/>
      <w:szCs w:val="20"/>
    </w:rPr>
  </w:style>
  <w:style w:type="paragraph" w:styleId="3">
    <w:name w:val="heading 2"/>
    <w:basedOn w:val="1"/>
    <w:next w:val="1"/>
    <w:link w:val="26"/>
    <w:qFormat/>
    <w:uiPriority w:val="0"/>
    <w:pPr>
      <w:keepNext/>
      <w:keepLines/>
      <w:spacing w:before="260" w:after="260" w:line="416" w:lineRule="auto"/>
      <w:outlineLvl w:val="1"/>
    </w:pPr>
    <w:rPr>
      <w:rFonts w:ascii="Arial" w:hAnsi="Arial" w:eastAsia="黑体"/>
      <w:b/>
      <w:bCs/>
      <w:sz w:val="32"/>
      <w:szCs w:val="32"/>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Document Map"/>
    <w:basedOn w:val="1"/>
    <w:qFormat/>
    <w:uiPriority w:val="0"/>
    <w:pPr>
      <w:shd w:val="clear" w:color="auto" w:fill="000080"/>
    </w:pPr>
  </w:style>
  <w:style w:type="paragraph" w:styleId="6">
    <w:name w:val="annotation text"/>
    <w:basedOn w:val="1"/>
    <w:qFormat/>
    <w:uiPriority w:val="0"/>
    <w:pPr>
      <w:jc w:val="left"/>
    </w:pPr>
  </w:style>
  <w:style w:type="paragraph" w:styleId="7">
    <w:name w:val="Body Text"/>
    <w:basedOn w:val="1"/>
    <w:link w:val="37"/>
    <w:qFormat/>
    <w:uiPriority w:val="0"/>
    <w:pPr>
      <w:spacing w:line="480" w:lineRule="auto"/>
    </w:pPr>
    <w:rPr>
      <w:rFonts w:eastAsia="仿宋_GB2312"/>
      <w:sz w:val="32"/>
    </w:rPr>
  </w:style>
  <w:style w:type="paragraph" w:styleId="8">
    <w:name w:val="Body Text Indent"/>
    <w:basedOn w:val="1"/>
    <w:link w:val="60"/>
    <w:qFormat/>
    <w:uiPriority w:val="0"/>
    <w:pPr>
      <w:autoSpaceDE w:val="0"/>
      <w:autoSpaceDN w:val="0"/>
      <w:ind w:firstLine="588"/>
    </w:pPr>
    <w:rPr>
      <w:rFonts w:eastAsia="仿宋_GB2312"/>
      <w:sz w:val="30"/>
    </w:rPr>
  </w:style>
  <w:style w:type="paragraph" w:styleId="9">
    <w:name w:val="Plain Text"/>
    <w:basedOn w:val="1"/>
    <w:link w:val="39"/>
    <w:qFormat/>
    <w:uiPriority w:val="0"/>
    <w:rPr>
      <w:rFonts w:ascii="宋体" w:hAnsi="Courier New"/>
      <w:szCs w:val="20"/>
    </w:rPr>
  </w:style>
  <w:style w:type="paragraph" w:styleId="10">
    <w:name w:val="Date"/>
    <w:basedOn w:val="1"/>
    <w:next w:val="1"/>
    <w:qFormat/>
    <w:uiPriority w:val="0"/>
    <w:rPr>
      <w:rFonts w:ascii="仿宋_GB2312" w:eastAsia="仿宋_GB2312"/>
      <w:sz w:val="30"/>
      <w:szCs w:val="20"/>
    </w:rPr>
  </w:style>
  <w:style w:type="paragraph" w:styleId="11">
    <w:name w:val="Body Text Indent 2"/>
    <w:basedOn w:val="1"/>
    <w:qFormat/>
    <w:uiPriority w:val="0"/>
    <w:pPr>
      <w:autoSpaceDE w:val="0"/>
      <w:autoSpaceDN w:val="0"/>
      <w:spacing w:line="600" w:lineRule="exact"/>
      <w:ind w:left="360" w:firstLine="780" w:firstLineChars="260"/>
    </w:pPr>
    <w:rPr>
      <w:rFonts w:eastAsia="仿宋_GB2312"/>
      <w:sz w:val="30"/>
    </w:rPr>
  </w:style>
  <w:style w:type="paragraph" w:styleId="12">
    <w:name w:val="Balloon Text"/>
    <w:basedOn w:val="1"/>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link w:val="42"/>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Indent 3"/>
    <w:basedOn w:val="1"/>
    <w:link w:val="27"/>
    <w:qFormat/>
    <w:uiPriority w:val="0"/>
    <w:pPr>
      <w:spacing w:line="560" w:lineRule="exact"/>
      <w:ind w:firstLine="560" w:firstLineChars="200"/>
    </w:pPr>
    <w:rPr>
      <w:rFonts w:ascii="仿宋_GB2312" w:hAnsi="Tahoma" w:eastAsia="仿宋_GB2312"/>
      <w:sz w:val="28"/>
      <w:lang w:val="zh-CN" w:eastAsia="zh-CN"/>
    </w:rPr>
  </w:style>
  <w:style w:type="paragraph" w:styleId="16">
    <w:name w:val="Body Text 2"/>
    <w:basedOn w:val="1"/>
    <w:qFormat/>
    <w:uiPriority w:val="0"/>
    <w:rPr>
      <w:rFonts w:ascii="仿宋_GB2312" w:eastAsia="仿宋_GB2312"/>
      <w:sz w:val="24"/>
    </w:rPr>
  </w:style>
  <w:style w:type="paragraph" w:styleId="17">
    <w:name w:val="Normal (Web)"/>
    <w:basedOn w:val="1"/>
    <w:qFormat/>
    <w:uiPriority w:val="0"/>
    <w:pPr>
      <w:widowControl/>
      <w:spacing w:before="100" w:beforeAutospacing="1" w:after="100" w:afterAutospacing="1"/>
      <w:jc w:val="left"/>
    </w:pPr>
    <w:rPr>
      <w:rFonts w:ascii="宋体" w:hAnsi="宋体"/>
      <w:kern w:val="0"/>
      <w:sz w:val="24"/>
    </w:rPr>
  </w:style>
  <w:style w:type="paragraph" w:styleId="18">
    <w:name w:val="annotation subject"/>
    <w:basedOn w:val="6"/>
    <w:next w:val="6"/>
    <w:qFormat/>
    <w:uiPriority w:val="0"/>
    <w:rPr>
      <w:b/>
      <w:bCs/>
    </w:rPr>
  </w:style>
  <w:style w:type="character" w:styleId="21">
    <w:name w:val="Strong"/>
    <w:qFormat/>
    <w:uiPriority w:val="0"/>
    <w:rPr>
      <w:b/>
      <w:bCs/>
    </w:rPr>
  </w:style>
  <w:style w:type="character" w:styleId="22">
    <w:name w:val="page number"/>
    <w:basedOn w:val="20"/>
    <w:qFormat/>
    <w:uiPriority w:val="0"/>
    <w:rPr>
      <w:rFonts w:ascii="Tahoma" w:hAnsi="Tahoma"/>
      <w:sz w:val="24"/>
      <w:szCs w:val="20"/>
    </w:rPr>
  </w:style>
  <w:style w:type="character" w:styleId="23">
    <w:name w:val="Emphasis"/>
    <w:basedOn w:val="20"/>
    <w:qFormat/>
    <w:uiPriority w:val="20"/>
    <w:rPr>
      <w:i/>
      <w:iCs/>
    </w:rPr>
  </w:style>
  <w:style w:type="character" w:styleId="24">
    <w:name w:val="Hyperlink"/>
    <w:qFormat/>
    <w:uiPriority w:val="0"/>
    <w:rPr>
      <w:color w:val="0000FF"/>
      <w:u w:val="single"/>
    </w:rPr>
  </w:style>
  <w:style w:type="character" w:styleId="25">
    <w:name w:val="annotation reference"/>
    <w:qFormat/>
    <w:uiPriority w:val="0"/>
    <w:rPr>
      <w:sz w:val="21"/>
      <w:szCs w:val="21"/>
    </w:rPr>
  </w:style>
  <w:style w:type="character" w:customStyle="1" w:styleId="26">
    <w:name w:val="标题 2 字符"/>
    <w:link w:val="3"/>
    <w:qFormat/>
    <w:uiPriority w:val="0"/>
    <w:rPr>
      <w:rFonts w:ascii="Arial" w:hAnsi="Arial" w:eastAsia="黑体"/>
      <w:b/>
      <w:bCs/>
      <w:kern w:val="2"/>
      <w:sz w:val="32"/>
      <w:szCs w:val="32"/>
      <w:lang w:val="en-US" w:eastAsia="zh-CN" w:bidi="ar-SA"/>
    </w:rPr>
  </w:style>
  <w:style w:type="character" w:customStyle="1" w:styleId="27">
    <w:name w:val="正文文本缩进 3 字符"/>
    <w:link w:val="15"/>
    <w:qFormat/>
    <w:uiPriority w:val="0"/>
    <w:rPr>
      <w:rFonts w:ascii="仿宋_GB2312" w:hAnsi="Tahoma" w:eastAsia="仿宋_GB2312"/>
      <w:kern w:val="2"/>
      <w:sz w:val="28"/>
      <w:szCs w:val="24"/>
    </w:rPr>
  </w:style>
  <w:style w:type="character" w:customStyle="1" w:styleId="28">
    <w:name w:val="font11"/>
    <w:qFormat/>
    <w:uiPriority w:val="0"/>
    <w:rPr>
      <w:rFonts w:hint="eastAsia" w:ascii="宋体" w:hAnsi="宋体" w:eastAsia="宋体" w:cs="宋体"/>
      <w:color w:val="000000"/>
      <w:sz w:val="21"/>
      <w:szCs w:val="21"/>
      <w:u w:val="none"/>
      <w:vertAlign w:val="superscript"/>
    </w:rPr>
  </w:style>
  <w:style w:type="character" w:customStyle="1" w:styleId="29">
    <w:name w:val="font31"/>
    <w:qFormat/>
    <w:uiPriority w:val="0"/>
    <w:rPr>
      <w:rFonts w:hint="eastAsia" w:ascii="宋体" w:hAnsi="宋体" w:eastAsia="宋体" w:cs="宋体"/>
      <w:color w:val="000000"/>
      <w:sz w:val="21"/>
      <w:szCs w:val="21"/>
      <w:u w:val="none"/>
    </w:rPr>
  </w:style>
  <w:style w:type="character" w:customStyle="1" w:styleId="30">
    <w:name w:val="标题 2 Char Char Char"/>
    <w:qFormat/>
    <w:uiPriority w:val="0"/>
    <w:rPr>
      <w:rFonts w:ascii="Arial" w:hAnsi="Arial" w:eastAsia="黑体"/>
      <w:b/>
      <w:bCs/>
      <w:kern w:val="2"/>
      <w:sz w:val="32"/>
      <w:szCs w:val="32"/>
      <w:lang w:val="en-US" w:eastAsia="zh-CN" w:bidi="ar-SA"/>
    </w:rPr>
  </w:style>
  <w:style w:type="character" w:customStyle="1" w:styleId="31">
    <w:name w:val="apple-converted-space"/>
    <w:basedOn w:val="20"/>
    <w:qFormat/>
    <w:uiPriority w:val="0"/>
    <w:rPr>
      <w:rFonts w:ascii="Tahoma" w:hAnsi="Tahoma"/>
      <w:sz w:val="24"/>
      <w:szCs w:val="20"/>
    </w:rPr>
  </w:style>
  <w:style w:type="character" w:customStyle="1" w:styleId="32">
    <w:name w:val="font01"/>
    <w:qFormat/>
    <w:uiPriority w:val="0"/>
    <w:rPr>
      <w:rFonts w:hint="default" w:ascii="Times New Roman" w:hAnsi="Times New Roman" w:cs="Times New Roman"/>
      <w:color w:val="000000"/>
      <w:sz w:val="21"/>
      <w:szCs w:val="21"/>
      <w:u w:val="none"/>
    </w:rPr>
  </w:style>
  <w:style w:type="character" w:customStyle="1" w:styleId="33">
    <w:name w:val="lingraydark_noline1"/>
    <w:qFormat/>
    <w:uiPriority w:val="0"/>
    <w:rPr>
      <w:color w:val="333333"/>
      <w:sz w:val="24"/>
      <w:szCs w:val="24"/>
    </w:rPr>
  </w:style>
  <w:style w:type="character" w:customStyle="1" w:styleId="34">
    <w:name w:val="hei141"/>
    <w:qFormat/>
    <w:uiPriority w:val="0"/>
    <w:rPr>
      <w:color w:val="000000"/>
      <w:sz w:val="21"/>
      <w:szCs w:val="21"/>
    </w:rPr>
  </w:style>
  <w:style w:type="character" w:customStyle="1" w:styleId="35">
    <w:name w:val="正文首行缩进 Char"/>
    <w:link w:val="36"/>
    <w:qFormat/>
    <w:uiPriority w:val="0"/>
    <w:rPr>
      <w:rFonts w:eastAsia="宋体"/>
      <w:kern w:val="2"/>
      <w:sz w:val="21"/>
      <w:szCs w:val="24"/>
      <w:lang w:val="en-US" w:eastAsia="zh-CN" w:bidi="ar-SA"/>
    </w:rPr>
  </w:style>
  <w:style w:type="paragraph" w:customStyle="1" w:styleId="36">
    <w:name w:val="正文首行缩进11"/>
    <w:basedOn w:val="7"/>
    <w:link w:val="35"/>
    <w:qFormat/>
    <w:uiPriority w:val="0"/>
    <w:pPr>
      <w:spacing w:after="120" w:line="240" w:lineRule="auto"/>
      <w:ind w:firstLine="420" w:firstLineChars="100"/>
    </w:pPr>
    <w:rPr>
      <w:rFonts w:eastAsia="宋体"/>
      <w:sz w:val="21"/>
    </w:rPr>
  </w:style>
  <w:style w:type="character" w:customStyle="1" w:styleId="37">
    <w:name w:val="正文文本 字符"/>
    <w:link w:val="7"/>
    <w:qFormat/>
    <w:uiPriority w:val="0"/>
    <w:rPr>
      <w:rFonts w:eastAsia="仿宋_GB2312"/>
      <w:kern w:val="2"/>
      <w:sz w:val="32"/>
      <w:szCs w:val="24"/>
      <w:lang w:val="en-US" w:eastAsia="zh-CN" w:bidi="ar-SA"/>
    </w:rPr>
  </w:style>
  <w:style w:type="character" w:customStyle="1" w:styleId="38">
    <w:name w:val="content"/>
    <w:basedOn w:val="20"/>
    <w:qFormat/>
    <w:uiPriority w:val="0"/>
    <w:rPr>
      <w:rFonts w:ascii="Tahoma" w:hAnsi="Tahoma"/>
      <w:sz w:val="24"/>
      <w:szCs w:val="20"/>
    </w:rPr>
  </w:style>
  <w:style w:type="character" w:customStyle="1" w:styleId="39">
    <w:name w:val="纯文本 字符"/>
    <w:link w:val="9"/>
    <w:qFormat/>
    <w:uiPriority w:val="0"/>
    <w:rPr>
      <w:rFonts w:ascii="宋体" w:hAnsi="Courier New" w:eastAsia="宋体"/>
      <w:kern w:val="2"/>
      <w:sz w:val="21"/>
      <w:lang w:val="en-US" w:eastAsia="zh-CN" w:bidi="ar-SA"/>
    </w:rPr>
  </w:style>
  <w:style w:type="character" w:customStyle="1" w:styleId="40">
    <w:name w:val="标题 2 Char1"/>
    <w:qFormat/>
    <w:uiPriority w:val="0"/>
    <w:rPr>
      <w:rFonts w:ascii="Arial" w:hAnsi="Arial" w:eastAsia="黑体"/>
      <w:b/>
      <w:bCs/>
      <w:kern w:val="2"/>
      <w:sz w:val="32"/>
      <w:szCs w:val="32"/>
      <w:lang w:val="en-US" w:eastAsia="zh-CN" w:bidi="ar-SA"/>
    </w:rPr>
  </w:style>
  <w:style w:type="paragraph" w:customStyle="1" w:styleId="41">
    <w:name w:val="目录 111"/>
    <w:basedOn w:val="1"/>
    <w:next w:val="1"/>
    <w:qFormat/>
    <w:uiPriority w:val="0"/>
  </w:style>
  <w:style w:type="character" w:customStyle="1" w:styleId="42">
    <w:name w:val="页眉 字符"/>
    <w:link w:val="14"/>
    <w:qFormat/>
    <w:uiPriority w:val="99"/>
    <w:rPr>
      <w:kern w:val="2"/>
      <w:sz w:val="18"/>
      <w:szCs w:val="18"/>
    </w:rPr>
  </w:style>
  <w:style w:type="paragraph" w:customStyle="1" w:styleId="43">
    <w:name w:val="目录 211"/>
    <w:basedOn w:val="1"/>
    <w:next w:val="1"/>
    <w:qFormat/>
    <w:uiPriority w:val="0"/>
    <w:pPr>
      <w:ind w:left="420" w:leftChars="200"/>
    </w:pPr>
  </w:style>
  <w:style w:type="paragraph" w:customStyle="1" w:styleId="44">
    <w:name w:val="正文文本缩进 31"/>
    <w:basedOn w:val="1"/>
    <w:qFormat/>
    <w:uiPriority w:val="0"/>
    <w:pPr>
      <w:spacing w:line="560" w:lineRule="exact"/>
      <w:ind w:firstLine="560" w:firstLineChars="200"/>
    </w:pPr>
    <w:rPr>
      <w:rFonts w:ascii="仿宋_GB2312" w:eastAsia="仿宋_GB2312"/>
      <w:sz w:val="28"/>
    </w:rPr>
  </w:style>
  <w:style w:type="paragraph" w:customStyle="1" w:styleId="45">
    <w:name w:val="正文文本缩进1"/>
    <w:basedOn w:val="1"/>
    <w:qFormat/>
    <w:uiPriority w:val="0"/>
    <w:pPr>
      <w:autoSpaceDE w:val="0"/>
      <w:autoSpaceDN w:val="0"/>
      <w:ind w:firstLine="588"/>
    </w:pPr>
    <w:rPr>
      <w:rFonts w:eastAsia="仿宋_GB2312"/>
      <w:sz w:val="30"/>
    </w:rPr>
  </w:style>
  <w:style w:type="paragraph" w:customStyle="1" w:styleId="46">
    <w:name w:val="Char"/>
    <w:basedOn w:val="1"/>
    <w:qFormat/>
    <w:uiPriority w:val="0"/>
    <w:rPr>
      <w:rFonts w:ascii="Tahoma" w:hAnsi="Tahoma"/>
      <w:sz w:val="24"/>
      <w:szCs w:val="20"/>
    </w:rPr>
  </w:style>
  <w:style w:type="paragraph" w:customStyle="1" w:styleId="47">
    <w:name w:val="Char11"/>
    <w:basedOn w:val="1"/>
    <w:qFormat/>
    <w:uiPriority w:val="0"/>
    <w:rPr>
      <w:rFonts w:ascii="Tahoma" w:hAnsi="Tahoma"/>
      <w:sz w:val="24"/>
      <w:szCs w:val="20"/>
    </w:rPr>
  </w:style>
  <w:style w:type="character" w:customStyle="1" w:styleId="48">
    <w:name w:val="纯文本 Char1"/>
    <w:qFormat/>
    <w:uiPriority w:val="0"/>
    <w:rPr>
      <w:rFonts w:ascii="宋体" w:hAnsi="Courier New" w:eastAsia="宋体"/>
      <w:kern w:val="2"/>
      <w:sz w:val="21"/>
      <w:szCs w:val="20"/>
      <w:lang w:val="en-US" w:eastAsia="zh-CN" w:bidi="ar-SA"/>
    </w:rPr>
  </w:style>
  <w:style w:type="character" w:customStyle="1" w:styleId="49">
    <w:name w:val="标题 2 Char Char"/>
    <w:qFormat/>
    <w:uiPriority w:val="0"/>
    <w:rPr>
      <w:rFonts w:ascii="Arial" w:hAnsi="Arial" w:eastAsia="黑体"/>
      <w:b/>
      <w:bCs/>
      <w:kern w:val="2"/>
      <w:sz w:val="32"/>
      <w:szCs w:val="32"/>
      <w:lang w:val="en-US" w:eastAsia="zh-CN" w:bidi="ar-SA"/>
    </w:rPr>
  </w:style>
  <w:style w:type="character" w:styleId="50">
    <w:name w:val="Placeholder Text"/>
    <w:basedOn w:val="20"/>
    <w:unhideWhenUsed/>
    <w:qFormat/>
    <w:uiPriority w:val="99"/>
    <w:rPr>
      <w:color w:val="808080"/>
    </w:rPr>
  </w:style>
  <w:style w:type="paragraph" w:styleId="51">
    <w:name w:val="List Paragraph"/>
    <w:basedOn w:val="1"/>
    <w:qFormat/>
    <w:uiPriority w:val="99"/>
    <w:pPr>
      <w:ind w:firstLine="420" w:firstLineChars="200"/>
    </w:pPr>
  </w:style>
  <w:style w:type="character" w:customStyle="1" w:styleId="52">
    <w:name w:val="clampword2"/>
    <w:basedOn w:val="20"/>
    <w:qFormat/>
    <w:uiPriority w:val="0"/>
  </w:style>
  <w:style w:type="character" w:customStyle="1" w:styleId="53">
    <w:name w:val="generalinfo-address-text2"/>
    <w:basedOn w:val="20"/>
    <w:qFormat/>
    <w:uiPriority w:val="0"/>
  </w:style>
  <w:style w:type="paragraph" w:customStyle="1" w:styleId="54">
    <w:name w:val="one-p"/>
    <w:basedOn w:val="1"/>
    <w:qFormat/>
    <w:uiPriority w:val="0"/>
    <w:pPr>
      <w:widowControl/>
      <w:spacing w:before="100" w:beforeAutospacing="1" w:after="100" w:afterAutospacing="1"/>
      <w:jc w:val="left"/>
    </w:pPr>
    <w:rPr>
      <w:rFonts w:ascii="宋体" w:hAnsi="宋体" w:cs="宋体"/>
      <w:kern w:val="0"/>
      <w:sz w:val="24"/>
    </w:rPr>
  </w:style>
  <w:style w:type="character" w:customStyle="1" w:styleId="55">
    <w:name w:val="纯文本 Char"/>
    <w:qFormat/>
    <w:uiPriority w:val="0"/>
    <w:rPr>
      <w:rFonts w:ascii="宋体" w:hAnsi="Courier New" w:eastAsia="宋体"/>
      <w:kern w:val="2"/>
      <w:sz w:val="21"/>
      <w:lang w:val="en-US" w:eastAsia="zh-CN" w:bidi="ar-SA"/>
    </w:rPr>
  </w:style>
  <w:style w:type="paragraph" w:customStyle="1" w:styleId="56">
    <w:name w:val="正文首行缩进1"/>
    <w:basedOn w:val="7"/>
    <w:qFormat/>
    <w:uiPriority w:val="0"/>
    <w:pPr>
      <w:spacing w:after="120" w:line="240" w:lineRule="auto"/>
      <w:ind w:firstLine="420" w:firstLineChars="100"/>
    </w:pPr>
    <w:rPr>
      <w:rFonts w:eastAsia="宋体"/>
      <w:sz w:val="21"/>
    </w:rPr>
  </w:style>
  <w:style w:type="paragraph" w:customStyle="1" w:styleId="57">
    <w:name w:val="目录 11"/>
    <w:basedOn w:val="1"/>
    <w:next w:val="1"/>
    <w:qFormat/>
    <w:uiPriority w:val="0"/>
  </w:style>
  <w:style w:type="paragraph" w:customStyle="1" w:styleId="58">
    <w:name w:val="目录 21"/>
    <w:basedOn w:val="1"/>
    <w:next w:val="1"/>
    <w:qFormat/>
    <w:uiPriority w:val="0"/>
    <w:pPr>
      <w:ind w:left="420" w:leftChars="200"/>
    </w:pPr>
  </w:style>
  <w:style w:type="paragraph" w:customStyle="1" w:styleId="59">
    <w:name w:val="Char1"/>
    <w:basedOn w:val="1"/>
    <w:qFormat/>
    <w:uiPriority w:val="0"/>
    <w:rPr>
      <w:rFonts w:ascii="Tahoma" w:hAnsi="Tahoma"/>
      <w:sz w:val="24"/>
      <w:szCs w:val="20"/>
    </w:rPr>
  </w:style>
  <w:style w:type="character" w:customStyle="1" w:styleId="60">
    <w:name w:val="正文文本缩进 字符"/>
    <w:link w:val="8"/>
    <w:qFormat/>
    <w:uiPriority w:val="0"/>
    <w:rPr>
      <w:rFonts w:eastAsia="仿宋_GB2312"/>
      <w:kern w:val="2"/>
      <w:sz w:val="30"/>
      <w:szCs w:val="24"/>
    </w:rPr>
  </w:style>
  <w:style w:type="character" w:customStyle="1" w:styleId="61">
    <w:name w:val="邮件字体1"/>
    <w:basedOn w:val="20"/>
    <w:qFormat/>
    <w:uiPriority w:val="1"/>
    <w:rPr>
      <w:rFonts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25438061ADEB4F0698D4DD9A05DD6C84"/>
        <w:style w:val=""/>
        <w:category>
          <w:name w:val="常规"/>
          <w:gallery w:val="placeholder"/>
        </w:category>
        <w:types>
          <w:type w:val="bbPlcHdr"/>
        </w:types>
        <w:behaviors>
          <w:behavior w:val="content"/>
        </w:behaviors>
        <w:description w:val=""/>
        <w:guid w:val="{C6687BCC-5821-4DFD-9F6A-1EAFCD60D02F}"/>
      </w:docPartPr>
      <w:docPartBody>
        <w:p>
          <w:pPr>
            <w:pStyle w:val="5"/>
          </w:pPr>
          <w:r>
            <w:rPr>
              <w:rStyle w:val="4"/>
              <w:rFonts w:hint="eastAsia"/>
            </w:rPr>
            <w:t>选择一项。</w:t>
          </w:r>
        </w:p>
      </w:docPartBody>
    </w:docPart>
    <w:docPart>
      <w:docPartPr>
        <w:name w:val="EE5415A8771A43968AE2A50837F95B79"/>
        <w:style w:val=""/>
        <w:category>
          <w:name w:val="常规"/>
          <w:gallery w:val="placeholder"/>
        </w:category>
        <w:types>
          <w:type w:val="bbPlcHdr"/>
        </w:types>
        <w:behaviors>
          <w:behavior w:val="content"/>
        </w:behaviors>
        <w:description w:val=""/>
        <w:guid w:val="{3E221C63-9A95-45DC-9BF8-27DE7B10102D}"/>
      </w:docPartPr>
      <w:docPartBody>
        <w:p>
          <w:r>
            <w:rPr>
              <w:rStyle w:val="4"/>
              <w:rFonts w:hint="eastAsia"/>
            </w:rPr>
            <w:t>选择一项。</w:t>
          </w:r>
        </w:p>
      </w:docPartBody>
    </w:docPart>
    <w:docPart>
      <w:docPartPr>
        <w:name w:val="C415497EA3F644669641EA7BC886F7CD"/>
        <w:style w:val=""/>
        <w:category>
          <w:name w:val="常规"/>
          <w:gallery w:val="placeholder"/>
        </w:category>
        <w:types>
          <w:type w:val="bbPlcHdr"/>
        </w:types>
        <w:behaviors>
          <w:behavior w:val="content"/>
        </w:behaviors>
        <w:description w:val=""/>
        <w:guid w:val="{D2BEE4C8-97DC-4900-9B18-A54B088DFAFF}"/>
      </w:docPartPr>
      <w:docPartBody>
        <w:p>
          <w:r>
            <w:rPr>
              <w:rStyle w:val="4"/>
              <w:rFonts w:hint="eastAsia"/>
            </w:rPr>
            <w:t>选择一项。</w:t>
          </w:r>
        </w:p>
      </w:docPartBody>
    </w:docPart>
    <w:docPart>
      <w:docPartPr>
        <w:name w:val="D7125310D1A4438FBB72FE241F25DE61"/>
        <w:style w:val=""/>
        <w:category>
          <w:name w:val="常规"/>
          <w:gallery w:val="placeholder"/>
        </w:category>
        <w:types>
          <w:type w:val="bbPlcHdr"/>
        </w:types>
        <w:behaviors>
          <w:behavior w:val="content"/>
        </w:behaviors>
        <w:description w:val=""/>
        <w:guid w:val="{D487AF16-9205-44A7-B3A1-224EF4A96B0D}"/>
      </w:docPartPr>
      <w:docPartBody>
        <w:p>
          <w:r>
            <w:rPr>
              <w:rStyle w:val="4"/>
              <w:rFonts w:hint="eastAsia"/>
            </w:rPr>
            <w:t>选择一项。</w:t>
          </w:r>
        </w:p>
      </w:docPartBody>
    </w:docPart>
    <w:docPart>
      <w:docPartPr>
        <w:name w:val="850FC47AEE18471B8586E126F0675EAA"/>
        <w:style w:val=""/>
        <w:category>
          <w:name w:val="常规"/>
          <w:gallery w:val="placeholder"/>
        </w:category>
        <w:types>
          <w:type w:val="bbPlcHdr"/>
        </w:types>
        <w:behaviors>
          <w:behavior w:val="content"/>
        </w:behaviors>
        <w:description w:val=""/>
        <w:guid w:val="{DE8AB460-A95A-4961-9BC3-74B39934A330}"/>
      </w:docPartPr>
      <w:docPartBody>
        <w:p>
          <w:pPr>
            <w:pStyle w:val="11"/>
          </w:pPr>
          <w:r>
            <w:rPr>
              <w:rStyle w:val="4"/>
              <w:rFonts w:hint="eastAsia"/>
            </w:rPr>
            <w:t>选择一项。</w:t>
          </w:r>
        </w:p>
      </w:docPartBody>
    </w:docPart>
    <w:docPart>
      <w:docPartPr>
        <w:name w:val="DefaultPlaceholder_-1854013438"/>
        <w:style w:val=""/>
        <w:category>
          <w:name w:val="常规"/>
          <w:gallery w:val="placeholder"/>
        </w:category>
        <w:types>
          <w:type w:val="bbPlcHdr"/>
        </w:types>
        <w:behaviors>
          <w:behavior w:val="content"/>
        </w:behaviors>
        <w:description w:val=""/>
        <w:guid w:val="{B1A5C1BA-2E70-4EA0-A921-6EA27B48421C}"/>
      </w:docPartPr>
      <w:docPartBody>
        <w:p>
          <w:r>
            <w:rPr>
              <w:rStyle w:val="4"/>
              <w:rFonts w:hint="eastAsia"/>
            </w:rPr>
            <w:t>选择一项。</w:t>
          </w:r>
        </w:p>
      </w:docPartBody>
    </w:docPart>
    <w:docPart>
      <w:docPartPr>
        <w:name w:val="265BD8A64AAF473E8979FB5D50855754"/>
        <w:style w:val=""/>
        <w:category>
          <w:name w:val="常规"/>
          <w:gallery w:val="placeholder"/>
        </w:category>
        <w:types>
          <w:type w:val="bbPlcHdr"/>
        </w:types>
        <w:behaviors>
          <w:behavior w:val="content"/>
        </w:behaviors>
        <w:description w:val=""/>
        <w:guid w:val="{17745DB5-2A2B-4DF7-BE02-E72D6B985A05}"/>
      </w:docPartPr>
      <w:docPartBody>
        <w:p>
          <w:pPr>
            <w:pStyle w:val="21"/>
          </w:pPr>
          <w:r>
            <w:rPr>
              <w:rStyle w:val="4"/>
              <w:rFonts w:hint="eastAsia"/>
            </w:rPr>
            <w:t>选择一项。</w:t>
          </w:r>
        </w:p>
      </w:docPartBody>
    </w:docPart>
    <w:docPart>
      <w:docPartPr>
        <w:name w:val="60E1BBE443B1472AAC17609E7737AC1D"/>
        <w:style w:val=""/>
        <w:category>
          <w:name w:val="常规"/>
          <w:gallery w:val="placeholder"/>
        </w:category>
        <w:types>
          <w:type w:val="bbPlcHdr"/>
        </w:types>
        <w:behaviors>
          <w:behavior w:val="content"/>
        </w:behaviors>
        <w:description w:val=""/>
        <w:guid w:val="{CCE8720D-6974-4D68-8220-E47A4DCAD7F9}"/>
      </w:docPartPr>
      <w:docPartBody>
        <w:p>
          <w:pPr>
            <w:pStyle w:val="22"/>
          </w:pPr>
          <w:r>
            <w:rPr>
              <w:rStyle w:val="4"/>
              <w:rFonts w:hint="eastAsia"/>
            </w:rPr>
            <w:t>选择一项。</w:t>
          </w:r>
        </w:p>
      </w:docPartBody>
    </w:docPart>
    <w:docPart>
      <w:docPartPr>
        <w:name w:val="25421A6A24D84785B8DADE6ECF0C0644"/>
        <w:style w:val=""/>
        <w:category>
          <w:name w:val="常规"/>
          <w:gallery w:val="placeholder"/>
        </w:category>
        <w:types>
          <w:type w:val="bbPlcHdr"/>
        </w:types>
        <w:behaviors>
          <w:behavior w:val="content"/>
        </w:behaviors>
        <w:description w:val=""/>
        <w:guid w:val="{6CEFEBEF-EA67-424E-8627-42F3D6AEE052}"/>
      </w:docPartPr>
      <w:docPartBody>
        <w:p>
          <w:pPr>
            <w:pStyle w:val="26"/>
          </w:pPr>
          <w:r>
            <w:rPr>
              <w:rStyle w:val="4"/>
              <w:rFonts w:hint="eastAsia"/>
            </w:rPr>
            <w:t>选择一项。</w:t>
          </w:r>
        </w:p>
      </w:docPartBody>
    </w:docPart>
    <w:docPart>
      <w:docPartPr>
        <w:name w:val="173EEB808BE7408F94D6BBAE43E1F990"/>
        <w:style w:val=""/>
        <w:category>
          <w:name w:val="常规"/>
          <w:gallery w:val="placeholder"/>
        </w:category>
        <w:types>
          <w:type w:val="bbPlcHdr"/>
        </w:types>
        <w:behaviors>
          <w:behavior w:val="content"/>
        </w:behaviors>
        <w:description w:val=""/>
        <w:guid w:val="{B5BAA0B0-10DB-4C0E-B134-D5097FB62628}"/>
      </w:docPartPr>
      <w:docPartBody>
        <w:p>
          <w:pPr>
            <w:pStyle w:val="27"/>
          </w:pPr>
          <w:r>
            <w:rPr>
              <w:rStyle w:val="4"/>
              <w:rFonts w:hint="eastAsia"/>
            </w:rPr>
            <w:t>选择一项。</w:t>
          </w:r>
        </w:p>
      </w:docPartBody>
    </w:docPart>
    <w:docPart>
      <w:docPartPr>
        <w:name w:val="1EB9B2F1E4834E0293A06DFD1087A186"/>
        <w:style w:val=""/>
        <w:category>
          <w:name w:val="常规"/>
          <w:gallery w:val="placeholder"/>
        </w:category>
        <w:types>
          <w:type w:val="bbPlcHdr"/>
        </w:types>
        <w:behaviors>
          <w:behavior w:val="content"/>
        </w:behaviors>
        <w:description w:val=""/>
        <w:guid w:val="{3C80602E-540A-4D74-B2CD-45806FAB7147}"/>
      </w:docPartPr>
      <w:docPartBody>
        <w:p>
          <w:pPr>
            <w:pStyle w:val="28"/>
          </w:pPr>
          <w:r>
            <w:rPr>
              <w:rStyle w:val="4"/>
              <w:rFonts w:hint="eastAsia"/>
            </w:rPr>
            <w:t>选择一项。</w:t>
          </w:r>
        </w:p>
      </w:docPartBody>
    </w:docPart>
    <w:docPart>
      <w:docPartPr>
        <w:name w:val="8A16ED43BA0D45419D1764B173A7FF1B"/>
        <w:style w:val=""/>
        <w:category>
          <w:name w:val="常规"/>
          <w:gallery w:val="placeholder"/>
        </w:category>
        <w:types>
          <w:type w:val="bbPlcHdr"/>
        </w:types>
        <w:behaviors>
          <w:behavior w:val="content"/>
        </w:behaviors>
        <w:description w:val=""/>
        <w:guid w:val="{66E4B4EA-A930-474E-8B16-575612F63248}"/>
      </w:docPartPr>
      <w:docPartBody>
        <w:p>
          <w:pPr>
            <w:pStyle w:val="29"/>
          </w:pPr>
          <w:r>
            <w:rPr>
              <w:rStyle w:val="4"/>
              <w:rFonts w:hint="eastAsia"/>
            </w:rPr>
            <w:t>选择一项。</w:t>
          </w:r>
        </w:p>
      </w:docPartBody>
    </w:docPart>
    <w:docPart>
      <w:docPartPr>
        <w:name w:val="AA6A132B049042489C1DD954356AE598"/>
        <w:style w:val=""/>
        <w:category>
          <w:name w:val="常规"/>
          <w:gallery w:val="placeholder"/>
        </w:category>
        <w:types>
          <w:type w:val="bbPlcHdr"/>
        </w:types>
        <w:behaviors>
          <w:behavior w:val="content"/>
        </w:behaviors>
        <w:description w:val=""/>
        <w:guid w:val="{489A5CC5-621E-445A-989E-0E6B201F57C2}"/>
      </w:docPartPr>
      <w:docPartBody>
        <w:p>
          <w:pPr>
            <w:pStyle w:val="30"/>
          </w:pPr>
          <w:r>
            <w:rPr>
              <w:rStyle w:val="4"/>
              <w:rFonts w:hint="eastAsia"/>
            </w:rPr>
            <w:t>选择一项。</w:t>
          </w:r>
        </w:p>
      </w:docPartBody>
    </w:docPart>
    <w:docPart>
      <w:docPartPr>
        <w:name w:val="C9DAFDD91AD24B96B62EDA937AEC5333"/>
        <w:style w:val=""/>
        <w:category>
          <w:name w:val="常规"/>
          <w:gallery w:val="placeholder"/>
        </w:category>
        <w:types>
          <w:type w:val="bbPlcHdr"/>
        </w:types>
        <w:behaviors>
          <w:behavior w:val="content"/>
        </w:behaviors>
        <w:description w:val=""/>
        <w:guid w:val="{7360AE38-CC1C-49E1-9EDD-78655CC7352E}"/>
      </w:docPartPr>
      <w:docPartBody>
        <w:p>
          <w:pPr>
            <w:pStyle w:val="31"/>
          </w:pPr>
          <w:r>
            <w:rPr>
              <w:rStyle w:val="4"/>
              <w:rFonts w:hint="eastAsia"/>
            </w:rPr>
            <w:t>选择一项。</w:t>
          </w:r>
        </w:p>
      </w:docPartBody>
    </w:docPart>
    <w:docPart>
      <w:docPartPr>
        <w:name w:val="FD6E0E29FDDF4F09AA9199A2ED01FA8B"/>
        <w:style w:val=""/>
        <w:category>
          <w:name w:val="常规"/>
          <w:gallery w:val="placeholder"/>
        </w:category>
        <w:types>
          <w:type w:val="bbPlcHdr"/>
        </w:types>
        <w:behaviors>
          <w:behavior w:val="content"/>
        </w:behaviors>
        <w:description w:val=""/>
        <w:guid w:val="{90CE02A6-8278-4060-BC1F-183DECE80418}"/>
      </w:docPartPr>
      <w:docPartBody>
        <w:p>
          <w:pPr>
            <w:pStyle w:val="32"/>
          </w:pPr>
          <w:r>
            <w:rPr>
              <w:rStyle w:val="4"/>
              <w:rFonts w:hint="eastAsia"/>
            </w:rPr>
            <w:t>选择一项。</w:t>
          </w:r>
        </w:p>
      </w:docPartBody>
    </w:docPart>
    <w:docPart>
      <w:docPartPr>
        <w:name w:val="6F406590A25B42C78B701C4B40B2B411"/>
        <w:style w:val=""/>
        <w:category>
          <w:name w:val="常规"/>
          <w:gallery w:val="placeholder"/>
        </w:category>
        <w:types>
          <w:type w:val="bbPlcHdr"/>
        </w:types>
        <w:behaviors>
          <w:behavior w:val="content"/>
        </w:behaviors>
        <w:description w:val=""/>
        <w:guid w:val="{6CF659D9-FEE9-4B0B-BD98-CFFE80A7A105}"/>
      </w:docPartPr>
      <w:docPartBody>
        <w:p>
          <w:pPr>
            <w:pStyle w:val="33"/>
          </w:pPr>
          <w:r>
            <w:rPr>
              <w:rStyle w:val="4"/>
              <w:rFonts w:hint="eastAsia"/>
            </w:rPr>
            <w:t>选择一项。</w:t>
          </w:r>
        </w:p>
      </w:docPartBody>
    </w:docPart>
    <w:docPart>
      <w:docPartPr>
        <w:name w:val="D5D3C783DFE143D9A2188760B89B8775"/>
        <w:style w:val=""/>
        <w:category>
          <w:name w:val="常规"/>
          <w:gallery w:val="placeholder"/>
        </w:category>
        <w:types>
          <w:type w:val="bbPlcHdr"/>
        </w:types>
        <w:behaviors>
          <w:behavior w:val="content"/>
        </w:behaviors>
        <w:description w:val=""/>
        <w:guid w:val="{94D93CBD-FC28-4927-B90F-32FFFCD30ED7}"/>
      </w:docPartPr>
      <w:docPartBody>
        <w:p>
          <w:pPr>
            <w:pStyle w:val="34"/>
          </w:pPr>
          <w:r>
            <w:rPr>
              <w:rStyle w:val="4"/>
              <w:rFonts w:hint="eastAsia"/>
            </w:rPr>
            <w:t>选择一项。</w:t>
          </w:r>
        </w:p>
      </w:docPartBody>
    </w:docPart>
    <w:docPart>
      <w:docPartPr>
        <w:name w:val="4504D7E98F124530AFDFC93D31AAF564"/>
        <w:style w:val=""/>
        <w:category>
          <w:name w:val="常规"/>
          <w:gallery w:val="placeholder"/>
        </w:category>
        <w:types>
          <w:type w:val="bbPlcHdr"/>
        </w:types>
        <w:behaviors>
          <w:behavior w:val="content"/>
        </w:behaviors>
        <w:description w:val=""/>
        <w:guid w:val="{D52404B3-945D-4C82-A1B6-3FD38D9EF5C1}"/>
      </w:docPartPr>
      <w:docPartBody>
        <w:p>
          <w:pPr>
            <w:pStyle w:val="35"/>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C61"/>
    <w:rsid w:val="00004091"/>
    <w:rsid w:val="000058D8"/>
    <w:rsid w:val="00014CF7"/>
    <w:rsid w:val="00026C61"/>
    <w:rsid w:val="0003301F"/>
    <w:rsid w:val="00047AEF"/>
    <w:rsid w:val="00060326"/>
    <w:rsid w:val="00066A15"/>
    <w:rsid w:val="00073350"/>
    <w:rsid w:val="000B1170"/>
    <w:rsid w:val="000D3118"/>
    <w:rsid w:val="000E5219"/>
    <w:rsid w:val="00102B06"/>
    <w:rsid w:val="00144093"/>
    <w:rsid w:val="001455AC"/>
    <w:rsid w:val="00146FDD"/>
    <w:rsid w:val="00150A5A"/>
    <w:rsid w:val="0016622B"/>
    <w:rsid w:val="00175969"/>
    <w:rsid w:val="001A2593"/>
    <w:rsid w:val="0022475F"/>
    <w:rsid w:val="00230A73"/>
    <w:rsid w:val="00234CAB"/>
    <w:rsid w:val="00235C2F"/>
    <w:rsid w:val="00251C6A"/>
    <w:rsid w:val="002578E2"/>
    <w:rsid w:val="002A178E"/>
    <w:rsid w:val="002B18B7"/>
    <w:rsid w:val="002B34D7"/>
    <w:rsid w:val="002E76C1"/>
    <w:rsid w:val="00306A12"/>
    <w:rsid w:val="00316A9F"/>
    <w:rsid w:val="00330F9A"/>
    <w:rsid w:val="00332BF4"/>
    <w:rsid w:val="00334B96"/>
    <w:rsid w:val="003354F7"/>
    <w:rsid w:val="00343338"/>
    <w:rsid w:val="00376A5A"/>
    <w:rsid w:val="003964CB"/>
    <w:rsid w:val="003A42BA"/>
    <w:rsid w:val="003D043E"/>
    <w:rsid w:val="003D134E"/>
    <w:rsid w:val="003D6028"/>
    <w:rsid w:val="003E26E2"/>
    <w:rsid w:val="003F040F"/>
    <w:rsid w:val="00436CC4"/>
    <w:rsid w:val="0044771D"/>
    <w:rsid w:val="004572A3"/>
    <w:rsid w:val="004657A7"/>
    <w:rsid w:val="00486CE1"/>
    <w:rsid w:val="004925C2"/>
    <w:rsid w:val="004A5085"/>
    <w:rsid w:val="004B07CE"/>
    <w:rsid w:val="004C4C7E"/>
    <w:rsid w:val="004D115D"/>
    <w:rsid w:val="004F7517"/>
    <w:rsid w:val="0050353A"/>
    <w:rsid w:val="00514158"/>
    <w:rsid w:val="00553232"/>
    <w:rsid w:val="0056468B"/>
    <w:rsid w:val="005807A8"/>
    <w:rsid w:val="00582E27"/>
    <w:rsid w:val="00587664"/>
    <w:rsid w:val="00593CF7"/>
    <w:rsid w:val="00595041"/>
    <w:rsid w:val="005B40A7"/>
    <w:rsid w:val="005B54B7"/>
    <w:rsid w:val="005C0B81"/>
    <w:rsid w:val="005C4DA7"/>
    <w:rsid w:val="005D36ED"/>
    <w:rsid w:val="005D68C7"/>
    <w:rsid w:val="005E26FA"/>
    <w:rsid w:val="006544DE"/>
    <w:rsid w:val="00682535"/>
    <w:rsid w:val="00682A43"/>
    <w:rsid w:val="006A6DC9"/>
    <w:rsid w:val="006B06CC"/>
    <w:rsid w:val="006B5180"/>
    <w:rsid w:val="006C3690"/>
    <w:rsid w:val="006C7933"/>
    <w:rsid w:val="006E5A3D"/>
    <w:rsid w:val="0072311F"/>
    <w:rsid w:val="00725CB7"/>
    <w:rsid w:val="00736D4B"/>
    <w:rsid w:val="00754FF6"/>
    <w:rsid w:val="00776979"/>
    <w:rsid w:val="007772C7"/>
    <w:rsid w:val="00795515"/>
    <w:rsid w:val="007A1E3F"/>
    <w:rsid w:val="007F3591"/>
    <w:rsid w:val="008220F6"/>
    <w:rsid w:val="00857DD1"/>
    <w:rsid w:val="00860123"/>
    <w:rsid w:val="0086206A"/>
    <w:rsid w:val="00866CE1"/>
    <w:rsid w:val="0087489B"/>
    <w:rsid w:val="00884182"/>
    <w:rsid w:val="0089226E"/>
    <w:rsid w:val="00896563"/>
    <w:rsid w:val="008A1457"/>
    <w:rsid w:val="008A535A"/>
    <w:rsid w:val="008B101B"/>
    <w:rsid w:val="008D4CFB"/>
    <w:rsid w:val="008E359C"/>
    <w:rsid w:val="008E4F02"/>
    <w:rsid w:val="008E5C7C"/>
    <w:rsid w:val="00907D69"/>
    <w:rsid w:val="00911940"/>
    <w:rsid w:val="0091463A"/>
    <w:rsid w:val="009158F8"/>
    <w:rsid w:val="009228C7"/>
    <w:rsid w:val="009257FB"/>
    <w:rsid w:val="009343AC"/>
    <w:rsid w:val="00937A73"/>
    <w:rsid w:val="00941F09"/>
    <w:rsid w:val="00955E5A"/>
    <w:rsid w:val="009868B7"/>
    <w:rsid w:val="009C41E7"/>
    <w:rsid w:val="00A125AC"/>
    <w:rsid w:val="00A23A12"/>
    <w:rsid w:val="00A347F0"/>
    <w:rsid w:val="00A37C9D"/>
    <w:rsid w:val="00A82741"/>
    <w:rsid w:val="00A93777"/>
    <w:rsid w:val="00A94083"/>
    <w:rsid w:val="00AB1D82"/>
    <w:rsid w:val="00AC6D59"/>
    <w:rsid w:val="00AD4B36"/>
    <w:rsid w:val="00AF12B6"/>
    <w:rsid w:val="00AF1EA0"/>
    <w:rsid w:val="00AF595C"/>
    <w:rsid w:val="00B0107B"/>
    <w:rsid w:val="00B015AA"/>
    <w:rsid w:val="00B05E0B"/>
    <w:rsid w:val="00B319E6"/>
    <w:rsid w:val="00B35DAB"/>
    <w:rsid w:val="00B41646"/>
    <w:rsid w:val="00B74672"/>
    <w:rsid w:val="00B7615B"/>
    <w:rsid w:val="00B82744"/>
    <w:rsid w:val="00B97FD8"/>
    <w:rsid w:val="00BA407F"/>
    <w:rsid w:val="00BA6E6B"/>
    <w:rsid w:val="00BB1E03"/>
    <w:rsid w:val="00BB7EC2"/>
    <w:rsid w:val="00BD26B7"/>
    <w:rsid w:val="00BD3C58"/>
    <w:rsid w:val="00BF62AF"/>
    <w:rsid w:val="00C10F8E"/>
    <w:rsid w:val="00C37D1D"/>
    <w:rsid w:val="00C53205"/>
    <w:rsid w:val="00C605B1"/>
    <w:rsid w:val="00C82A3A"/>
    <w:rsid w:val="00CA6540"/>
    <w:rsid w:val="00CB441D"/>
    <w:rsid w:val="00CC3A24"/>
    <w:rsid w:val="00D02F03"/>
    <w:rsid w:val="00D12041"/>
    <w:rsid w:val="00D27009"/>
    <w:rsid w:val="00D65C4E"/>
    <w:rsid w:val="00D6618D"/>
    <w:rsid w:val="00D73B4F"/>
    <w:rsid w:val="00DA79F3"/>
    <w:rsid w:val="00DC7A53"/>
    <w:rsid w:val="00DE4FBF"/>
    <w:rsid w:val="00DF764D"/>
    <w:rsid w:val="00E001E2"/>
    <w:rsid w:val="00E07EBB"/>
    <w:rsid w:val="00E26EE1"/>
    <w:rsid w:val="00E34D04"/>
    <w:rsid w:val="00E362CA"/>
    <w:rsid w:val="00E504B3"/>
    <w:rsid w:val="00E7008B"/>
    <w:rsid w:val="00E90B36"/>
    <w:rsid w:val="00E973F5"/>
    <w:rsid w:val="00EB4A08"/>
    <w:rsid w:val="00EB7EC4"/>
    <w:rsid w:val="00ED6A21"/>
    <w:rsid w:val="00EF6697"/>
    <w:rsid w:val="00F27F57"/>
    <w:rsid w:val="00F32356"/>
    <w:rsid w:val="00F4061B"/>
    <w:rsid w:val="00F53728"/>
    <w:rsid w:val="00F54B6C"/>
    <w:rsid w:val="00F816F7"/>
    <w:rsid w:val="00F84CBA"/>
    <w:rsid w:val="00FA6C61"/>
    <w:rsid w:val="00FA71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qFormat="1" w:uiPriority="99" w:semiHidden="0"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unhideWhenUsed/>
    <w:qFormat/>
    <w:uiPriority w:val="99"/>
    <w:rPr>
      <w:color w:val="808080"/>
    </w:rPr>
  </w:style>
  <w:style w:type="paragraph" w:customStyle="1" w:styleId="5">
    <w:name w:val="6A53160A0B3F4EE4BD94008EED5447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FC3480BC02A740DB88720D53711E63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D5C672DDBE2E4F5EB063C9A43593C87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6FDF09599B1346D4AD2949B06D67D0A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A010A695B64D43AA83BBA5E22E890B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04362036B69C47078B0591386559B94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850FC47AEE18471B8586E126F0675E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545AEF72A203422D855D8D8DD832B2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50E2B957A14D4B8A8F00389C1EE830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3A8C01B272114436B2F059F2858F21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2AB89DD907F64B439A508A2E03F593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BAEFCF36C9BE4C22AB39F01E90C6F0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55E0C93EC5944D438DEBB0CD9BD71E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37E31999461F4B1ABE6E95E33193EF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53674E3350794FF8B32C3071001A10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A25271FFF1594429821F102998067A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265BD8A64AAF473E8979FB5D508557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60E1BBE443B1472AAC17609E7737AC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
    <w:name w:val="FFFA3CE3BABD44A898505FC9A190F2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D24F27AFE81444B7B9A5612BA2701C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91A6B54E871345F8BB668404A9DDFF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
    <w:name w:val="25421A6A24D84785B8DADE6ECF0C064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
    <w:name w:val="173EEB808BE7408F94D6BBAE43E1F99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
    <w:name w:val="1EB9B2F1E4834E0293A06DFD1087A18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
    <w:name w:val="8A16ED43BA0D45419D1764B173A7FF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
    <w:name w:val="AA6A132B049042489C1DD954356AE5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
    <w:name w:val="C9DAFDD91AD24B96B62EDA937AEC533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
    <w:name w:val="FD6E0E29FDDF4F09AA9199A2ED01FA8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
    <w:name w:val="6F406590A25B42C78B701C4B40B2B4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
    <w:name w:val="D5D3C783DFE143D9A2188760B89B877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
    <w:name w:val="4504D7E98F124530AFDFC93D31AAF5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
    <w:name w:val="953634A3A8A64FD7ACC78C65E115E0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B3E71A56242D41279B91299123CD9A7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19962686C0174D8CA90DD73B066042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5ECDEC81EA374626A0A294D9EE2269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342B058B33744BBABDE6CB195FC9813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CA90B619036A4E3F9B47859E12D9BE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B98C2A1F7ADA4EC68CE3915C02B844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
    <w:name w:val="63D9B1625C0A4DBABD601474462250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
    <w:name w:val="5DBDFD7D548748CC859B6EBF39F326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
    <w:name w:val="99AC508D4BF64D288AB75657891B53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
    <w:name w:val="C176F7B5A4B84AE9AD1C84FE2FB04EC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
    <w:name w:val="43CC10816BC84071BDA1146475CCCC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
    <w:name w:val="180F03883C1A404BB82A234BA8C26F7A"/>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5"/>
    <customShpInfo spid="_x0000_s1027"/>
    <customShpInfo spid="_x0000_s1031"/>
    <customShpInfo spid="_x0000_s103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6A20FC-BA20-412B-9DE9-0453747BC961}">
  <ds:schemaRefs/>
</ds:datastoreItem>
</file>

<file path=docProps/app.xml><?xml version="1.0" encoding="utf-8"?>
<Properties xmlns="http://schemas.openxmlformats.org/officeDocument/2006/extended-properties" xmlns:vt="http://schemas.openxmlformats.org/officeDocument/2006/docPropsVTypes">
  <Template>Normal</Template>
  <Company>my</Company>
  <Pages>22</Pages>
  <Words>9597</Words>
  <Characters>10461</Characters>
  <Lines>237</Lines>
  <Paragraphs>66</Paragraphs>
  <TotalTime>4243</TotalTime>
  <ScaleCrop>false</ScaleCrop>
  <LinksUpToDate>false</LinksUpToDate>
  <CharactersWithSpaces>10858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2019-07-16T00:54:00Z</dcterms:created>
  <dc:creator>my</dc:creator>
  <cp:lastModifiedBy>cchen</cp:lastModifiedBy>
  <cp:lastPrinted>2022-09-09T14:09:00Z</cp:lastPrinted>
  <dcterms:modified xsi:type="dcterms:W3CDTF">2022-09-14T09:30:00Z</dcterms:modified>
  <dc:title>房地产估价报告</dc:title>
  <cp:revision>1830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41AEA68288194B068FF18A2EE5E1B5F9</vt:lpwstr>
  </property>
</Properties>
</file>