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r>
        <w:rPr>
          <w:rFonts w:hint="eastAsia" w:ascii="黑体" w:eastAsia="黑体"/>
          <w:bCs/>
          <w:spacing w:val="40"/>
          <w:sz w:val="52"/>
        </w:rPr>
        <w:t>涉执房地产处置司法</w:t>
      </w:r>
    </w:p>
    <w:p>
      <w:pPr>
        <w:spacing w:line="600" w:lineRule="exact"/>
        <w:jc w:val="center"/>
        <w:rPr>
          <w:rFonts w:ascii="黑体" w:eastAsia="黑体"/>
          <w:bCs/>
          <w:spacing w:val="40"/>
          <w:sz w:val="52"/>
        </w:rPr>
      </w:pPr>
      <w:r>
        <w:rPr>
          <w:rFonts w:hint="eastAsia" w:ascii="黑体" w:eastAsia="黑体"/>
          <w:bCs/>
          <w:spacing w:val="40"/>
          <w:sz w:val="52"/>
        </w:rPr>
        <w:t>评估报告</w:t>
      </w:r>
    </w:p>
    <w:p>
      <w:pPr>
        <w:spacing w:line="600" w:lineRule="exact"/>
        <w:rPr>
          <w:rFonts w:ascii="楷体_GB2312" w:eastAsia="楷体_GB2312"/>
          <w:sz w:val="24"/>
        </w:rPr>
      </w:pPr>
    </w:p>
    <w:p>
      <w:pPr>
        <w:spacing w:line="600" w:lineRule="exact"/>
        <w:rPr>
          <w:rFonts w:ascii="楷体_GB2312" w:eastAsia="楷体_GB2312"/>
          <w:sz w:val="24"/>
        </w:rPr>
      </w:pPr>
    </w:p>
    <w:p>
      <w:pPr>
        <w:spacing w:line="600" w:lineRule="exact"/>
        <w:rPr>
          <w:rFonts w:ascii="楷体_GB2312" w:eastAsia="楷体_GB2312"/>
          <w:sz w:val="24"/>
        </w:rPr>
      </w:pPr>
    </w:p>
    <w:p>
      <w:pPr>
        <w:spacing w:line="600" w:lineRule="exact"/>
        <w:ind w:left="1680" w:leftChars="800"/>
        <w:rPr>
          <w:rFonts w:ascii="楷体_GB2312" w:eastAsia="楷体_GB2312"/>
          <w:sz w:val="24"/>
        </w:rPr>
      </w:pPr>
    </w:p>
    <w:p>
      <w:pPr>
        <w:spacing w:line="640" w:lineRule="exact"/>
        <w:ind w:left="3395" w:leftChars="550" w:right="-315" w:rightChars="-150" w:hanging="2240" w:hangingChars="700"/>
        <w:rPr>
          <w:rFonts w:ascii="楷体_GB2312" w:eastAsia="楷体_GB2312"/>
          <w:sz w:val="32"/>
          <w:szCs w:val="32"/>
        </w:rPr>
      </w:pPr>
      <w:r>
        <w:rPr>
          <w:rFonts w:hint="eastAsia" w:ascii="楷体_GB2312" w:eastAsia="楷体_GB2312"/>
          <w:sz w:val="32"/>
          <w:szCs w:val="32"/>
        </w:rPr>
        <w:t>估价报告编号：湘天信202</w:t>
      </w:r>
      <w:r>
        <w:rPr>
          <w:rFonts w:ascii="楷体_GB2312" w:eastAsia="楷体_GB2312"/>
          <w:sz w:val="32"/>
          <w:szCs w:val="32"/>
        </w:rPr>
        <w:t>2</w:t>
      </w:r>
      <w:r>
        <w:rPr>
          <w:rFonts w:hint="eastAsia" w:ascii="楷体_GB2312" w:eastAsia="楷体_GB2312"/>
          <w:sz w:val="32"/>
          <w:szCs w:val="32"/>
        </w:rPr>
        <w:t>（鉴）字第</w:t>
      </w:r>
      <w:r>
        <w:rPr>
          <w:rFonts w:ascii="楷体_GB2312" w:eastAsia="楷体_GB2312"/>
          <w:sz w:val="32"/>
          <w:szCs w:val="32"/>
        </w:rPr>
        <w:t>GZ1-00</w:t>
      </w:r>
      <w:r>
        <w:rPr>
          <w:rFonts w:hint="eastAsia" w:ascii="楷体_GB2312" w:eastAsia="楷体_GB2312"/>
          <w:sz w:val="32"/>
          <w:szCs w:val="32"/>
        </w:rPr>
        <w:t>4号</w:t>
      </w:r>
    </w:p>
    <w:p>
      <w:pPr>
        <w:spacing w:line="640" w:lineRule="exact"/>
        <w:ind w:left="3570" w:leftChars="550" w:right="-315" w:rightChars="-150" w:hanging="2415" w:hangingChars="1150"/>
        <w:rPr>
          <w:rFonts w:ascii="楷体_GB2312" w:eastAsia="楷体_GB2312"/>
          <w:sz w:val="32"/>
          <w:szCs w:val="32"/>
        </w:rPr>
      </w:pPr>
      <w:r>
        <mc:AlternateContent>
          <mc:Choice Requires="wps">
            <w:drawing>
              <wp:anchor distT="0" distB="0" distL="114300" distR="114300" simplePos="0" relativeHeight="251659264" behindDoc="0" locked="0" layoutInCell="0" allowOverlap="1">
                <wp:simplePos x="0" y="0"/>
                <wp:positionH relativeFrom="column">
                  <wp:posOffset>1533525</wp:posOffset>
                </wp:positionH>
                <wp:positionV relativeFrom="paragraph">
                  <wp:posOffset>0</wp:posOffset>
                </wp:positionV>
                <wp:extent cx="635" cy="0"/>
                <wp:effectExtent l="9525" t="9525" r="8890" b="9525"/>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120.75pt;margin-top:0pt;height:0pt;width:0.05pt;z-index:251659264;mso-width-relative:page;mso-height-relative:page;" filled="f" stroked="t" coordsize="21600,21600" o:allowincell="f" o:gfxdata="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byYuDSAAAABQEAAA8AAAAAAAAAAQAgAAAAIgAAAGRycy9kb3ducmV2Lnht&#10;bFBLAQIUABQAAAAIAIdO4kA0C3imxgEAAJsDAAAOAAAAAAAAAAEAIAAAACEBAABkcnMvZTJvRG9j&#10;LnhtbFBLBQYAAAAABgAGAFkBAABZBQAAAAA=&#10;">
                <v:fill on="f" focussize="0,0"/>
                <v:stroke color="#000000" joinstyle="round"/>
                <v:imagedata o:title=""/>
                <o:lock v:ext="edit" aspectratio="f"/>
              </v:line>
            </w:pict>
          </mc:Fallback>
        </mc:AlternateContent>
      </w:r>
      <w:r>
        <w:rPr>
          <w:rFonts w:hint="eastAsia" w:ascii="楷体_GB2312" w:eastAsia="楷体_GB2312"/>
          <w:sz w:val="32"/>
          <w:szCs w:val="32"/>
        </w:rPr>
        <w:t>估价项目名称：</w:t>
      </w:r>
      <w:r>
        <w:rPr>
          <w:rFonts w:hint="eastAsia" w:ascii="楷体_GB2312" w:eastAsia="楷体_GB2312"/>
          <w:spacing w:val="-10"/>
          <w:sz w:val="32"/>
          <w:szCs w:val="32"/>
        </w:rPr>
        <w:t>贵州省凯里市凯棉路138号佳和盛世一期、二期等多套房地产市场价值估价</w:t>
      </w:r>
    </w:p>
    <w:p>
      <w:pPr>
        <w:tabs>
          <w:tab w:val="left" w:pos="2880"/>
        </w:tabs>
        <w:spacing w:line="640" w:lineRule="exact"/>
        <w:ind w:left="4035" w:leftChars="550" w:right="-315" w:rightChars="-150" w:hanging="2880" w:hangingChars="720"/>
        <w:jc w:val="left"/>
        <w:rPr>
          <w:rFonts w:ascii="楷体_GB2312" w:eastAsia="楷体_GB2312"/>
          <w:sz w:val="32"/>
          <w:szCs w:val="32"/>
        </w:rPr>
      </w:pPr>
      <w:r>
        <w:rPr>
          <w:rFonts w:hint="eastAsia" w:ascii="楷体_GB2312" w:eastAsia="楷体_GB2312"/>
          <w:spacing w:val="40"/>
          <w:kern w:val="0"/>
          <w:sz w:val="32"/>
          <w:szCs w:val="32"/>
        </w:rPr>
        <w:t>估价委托人</w:t>
      </w:r>
      <w:r>
        <w:rPr>
          <w:rFonts w:hint="eastAsia" w:ascii="楷体_GB2312" w:eastAsia="楷体_GB2312"/>
          <w:sz w:val="32"/>
          <w:szCs w:val="32"/>
        </w:rPr>
        <w:t>：</w:t>
      </w:r>
      <w:r>
        <w:rPr>
          <w:rFonts w:hint="eastAsia" w:ascii="楷体_GB2312" w:eastAsia="楷体_GB2312"/>
          <w:spacing w:val="-26"/>
          <w:sz w:val="32"/>
          <w:szCs w:val="32"/>
        </w:rPr>
        <w:t>贵州省黔东南苗族侗族自治州中级人民法院</w:t>
      </w:r>
    </w:p>
    <w:p>
      <w:pPr>
        <w:tabs>
          <w:tab w:val="left" w:pos="3045"/>
        </w:tabs>
        <w:spacing w:line="640" w:lineRule="exact"/>
        <w:ind w:left="3459" w:leftChars="550" w:right="-315" w:rightChars="-150" w:hanging="2304" w:hangingChars="720"/>
        <w:jc w:val="left"/>
        <w:rPr>
          <w:rFonts w:ascii="楷体_GB2312" w:eastAsia="楷体_GB2312"/>
          <w:sz w:val="32"/>
          <w:szCs w:val="32"/>
        </w:rPr>
      </w:pPr>
      <w:r>
        <w:rPr>
          <w:rFonts w:hint="eastAsia" w:ascii="楷体_GB2312" w:eastAsia="楷体_GB2312"/>
          <w:sz w:val="32"/>
          <w:szCs w:val="32"/>
        </w:rPr>
        <w:t>房地产估价机构：天信房地产土地资产评估有限公司</w:t>
      </w:r>
    </w:p>
    <w:p>
      <w:pPr>
        <w:tabs>
          <w:tab w:val="left" w:pos="3045"/>
          <w:tab w:val="left" w:pos="7513"/>
        </w:tabs>
        <w:spacing w:line="640" w:lineRule="exact"/>
        <w:ind w:left="3459" w:leftChars="550" w:right="-315" w:rightChars="-150" w:hanging="2304" w:hangingChars="720"/>
        <w:jc w:val="left"/>
        <w:rPr>
          <w:rFonts w:ascii="楷体_GB2312" w:eastAsia="楷体_GB2312"/>
          <w:spacing w:val="10"/>
          <w:sz w:val="32"/>
          <w:szCs w:val="32"/>
        </w:rPr>
      </w:pPr>
      <w:r>
        <w:rPr>
          <w:rFonts w:hint="eastAsia" w:ascii="楷体_GB2312" w:eastAsia="楷体_GB2312"/>
          <w:sz w:val="32"/>
          <w:szCs w:val="32"/>
        </w:rPr>
        <w:t>注册房地产估价师</w:t>
      </w:r>
      <w:r>
        <w:rPr>
          <w:rFonts w:hint="eastAsia" w:ascii="楷体_GB2312" w:eastAsia="楷体_GB2312"/>
          <w:spacing w:val="10"/>
          <w:sz w:val="32"/>
          <w:szCs w:val="32"/>
        </w:rPr>
        <w:t>：</w:t>
      </w:r>
      <w:r>
        <w:rPr>
          <w:rFonts w:hint="eastAsia" w:ascii="楷体_GB2312" w:eastAsia="楷体_GB2312"/>
          <w:sz w:val="32"/>
          <w:szCs w:val="32"/>
          <w:highlight w:val="none"/>
        </w:rPr>
        <w:t xml:space="preserve">贺 </w:t>
      </w:r>
      <w:r>
        <w:rPr>
          <w:rFonts w:ascii="楷体_GB2312" w:eastAsia="楷体_GB2312"/>
          <w:sz w:val="32"/>
          <w:szCs w:val="32"/>
          <w:highlight w:val="none"/>
        </w:rPr>
        <w:t xml:space="preserve"> </w:t>
      </w:r>
      <w:r>
        <w:rPr>
          <w:rFonts w:hint="eastAsia" w:ascii="楷体_GB2312" w:eastAsia="楷体_GB2312"/>
          <w:sz w:val="32"/>
          <w:szCs w:val="32"/>
          <w:highlight w:val="none"/>
        </w:rPr>
        <w:t>方（注册号：</w:t>
      </w:r>
      <w:r>
        <w:rPr>
          <w:rFonts w:ascii="楷体_GB2312" w:eastAsia="楷体_GB2312"/>
          <w:sz w:val="32"/>
          <w:szCs w:val="32"/>
          <w:highlight w:val="none"/>
        </w:rPr>
        <w:t>4320090011</w:t>
      </w:r>
      <w:r>
        <w:rPr>
          <w:rFonts w:hint="eastAsia" w:ascii="楷体_GB2312" w:eastAsia="楷体_GB2312"/>
          <w:sz w:val="32"/>
          <w:szCs w:val="32"/>
          <w:highlight w:val="none"/>
        </w:rPr>
        <w:t>）</w:t>
      </w:r>
    </w:p>
    <w:p>
      <w:pPr>
        <w:tabs>
          <w:tab w:val="left" w:pos="3045"/>
          <w:tab w:val="left" w:pos="7513"/>
        </w:tabs>
        <w:spacing w:line="640" w:lineRule="exact"/>
        <w:ind w:left="1155" w:leftChars="550" w:right="-315" w:rightChars="-150" w:firstLine="2880" w:firstLineChars="900"/>
        <w:jc w:val="left"/>
        <w:rPr>
          <w:rFonts w:ascii="楷体_GB2312" w:eastAsia="楷体_GB2312"/>
          <w:color w:val="000000"/>
          <w:sz w:val="32"/>
          <w:szCs w:val="32"/>
        </w:rPr>
      </w:pPr>
      <w:r>
        <w:rPr>
          <w:rFonts w:hint="eastAsia" w:ascii="楷体_GB2312" w:eastAsia="楷体_GB2312"/>
          <w:color w:val="000000"/>
          <w:sz w:val="32"/>
          <w:szCs w:val="32"/>
        </w:rPr>
        <w:t>岳新美（</w:t>
      </w:r>
      <w:r>
        <w:rPr>
          <w:rFonts w:hint="eastAsia" w:ascii="楷体_GB2312" w:eastAsia="楷体_GB2312"/>
          <w:sz w:val="32"/>
          <w:szCs w:val="32"/>
        </w:rPr>
        <w:t>注册号：</w:t>
      </w:r>
      <w:r>
        <w:rPr>
          <w:rFonts w:ascii="楷体_GB2312" w:eastAsia="楷体_GB2312"/>
          <w:color w:val="000000"/>
          <w:sz w:val="32"/>
          <w:szCs w:val="32"/>
        </w:rPr>
        <w:t>4320190037</w:t>
      </w:r>
      <w:r>
        <w:rPr>
          <w:rFonts w:hint="eastAsia" w:ascii="楷体_GB2312" w:eastAsia="楷体_GB2312"/>
          <w:color w:val="000000"/>
          <w:sz w:val="32"/>
          <w:szCs w:val="32"/>
        </w:rPr>
        <w:t>）</w:t>
      </w:r>
    </w:p>
    <w:p>
      <w:pPr>
        <w:tabs>
          <w:tab w:val="left" w:pos="3045"/>
          <w:tab w:val="left" w:pos="7513"/>
        </w:tabs>
        <w:spacing w:line="640" w:lineRule="exact"/>
        <w:ind w:left="1155" w:leftChars="550" w:right="-315" w:rightChars="-150"/>
        <w:jc w:val="left"/>
        <w:rPr>
          <w:rFonts w:ascii="楷体_GB2312" w:eastAsia="楷体_GB2312"/>
          <w:color w:val="000000"/>
          <w:sz w:val="32"/>
          <w:szCs w:val="32"/>
        </w:rPr>
      </w:pPr>
      <w:r>
        <w:rPr>
          <w:rFonts w:hint="eastAsia" w:ascii="楷体_GB2312" w:eastAsia="楷体_GB2312"/>
          <w:sz w:val="32"/>
          <w:szCs w:val="32"/>
        </w:rPr>
        <w:t>估价报告出具日期：二〇二二年六月三十日</w:t>
      </w:r>
    </w:p>
    <w:p/>
    <w:p>
      <w:pPr>
        <w:sectPr>
          <w:headerReference r:id="rId4" w:type="first"/>
          <w:headerReference r:id="rId3" w:type="default"/>
          <w:footerReference r:id="rId5" w:type="default"/>
          <w:pgSz w:w="11906" w:h="16838"/>
          <w:pgMar w:top="1440" w:right="1797" w:bottom="1440" w:left="1797" w:header="851" w:footer="992" w:gutter="0"/>
          <w:cols w:space="425" w:num="1"/>
          <w:titlePg/>
          <w:docGrid w:type="lines" w:linePitch="312" w:charSpace="0"/>
        </w:sectPr>
      </w:pPr>
    </w:p>
    <w:p>
      <w:bookmarkStart w:id="0" w:name="_Hlk89182580"/>
    </w:p>
    <w:p>
      <w:pPr>
        <w:adjustRightInd w:val="0"/>
        <w:spacing w:line="360" w:lineRule="auto"/>
        <w:ind w:firstLine="560" w:firstLineChars="200"/>
        <w:rPr>
          <w:rFonts w:ascii="楷体_GB2312" w:eastAsia="楷体_GB2312"/>
          <w:sz w:val="28"/>
        </w:rPr>
      </w:pPr>
      <w:r>
        <w:rPr>
          <w:rFonts w:ascii="楷体_GB2312" w:eastAsia="楷体_GB2312"/>
          <w:sz w:val="28"/>
        </w:rPr>
        <w:t xml:space="preserve">                          </w:t>
      </w:r>
    </w:p>
    <w:p>
      <w:pPr>
        <w:rPr>
          <w:rFonts w:ascii="楷体_GB2312" w:eastAsia="楷体_GB2312"/>
          <w:b/>
          <w:bCs/>
          <w:sz w:val="28"/>
        </w:rPr>
      </w:pPr>
    </w:p>
    <w:p>
      <w:pPr>
        <w:rPr>
          <w:rFonts w:ascii="楷体_GB2312" w:eastAsia="楷体_GB2312"/>
          <w:b/>
          <w:bCs/>
          <w:sz w:val="28"/>
        </w:rPr>
      </w:pPr>
    </w:p>
    <w:p>
      <w:pPr>
        <w:pStyle w:val="17"/>
        <w:jc w:val="center"/>
        <w:rPr>
          <w:rFonts w:ascii="黑体" w:eastAsia="黑体"/>
          <w:b/>
          <w:bCs/>
          <w:sz w:val="36"/>
          <w:szCs w:val="36"/>
        </w:rPr>
      </w:pPr>
    </w:p>
    <w:bookmarkEnd w:id="0"/>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jc w:val="center"/>
        <w:rPr>
          <w:rFonts w:ascii="黑体" w:eastAsia="黑体"/>
          <w:b/>
          <w:bCs/>
          <w:sz w:val="36"/>
          <w:szCs w:val="36"/>
        </w:rPr>
      </w:pPr>
    </w:p>
    <w:p>
      <w:pPr>
        <w:pStyle w:val="17"/>
        <w:rPr>
          <w:rFonts w:ascii="黑体" w:eastAsia="黑体"/>
          <w:b/>
          <w:bCs/>
          <w:sz w:val="36"/>
          <w:szCs w:val="36"/>
        </w:rPr>
      </w:pPr>
    </w:p>
    <w:p>
      <w:pPr>
        <w:pStyle w:val="17"/>
        <w:rPr>
          <w:rFonts w:ascii="黑体" w:eastAsia="黑体"/>
          <w:b/>
          <w:bCs/>
          <w:sz w:val="36"/>
          <w:szCs w:val="36"/>
        </w:rPr>
      </w:pPr>
    </w:p>
    <w:p>
      <w:pPr>
        <w:pStyle w:val="17"/>
        <w:spacing w:line="700" w:lineRule="exact"/>
        <w:jc w:val="center"/>
        <w:rPr>
          <w:sz w:val="36"/>
          <w:szCs w:val="36"/>
        </w:rPr>
      </w:pPr>
      <w:r>
        <w:rPr>
          <w:rFonts w:hint="eastAsia" w:ascii="黑体" w:eastAsia="黑体"/>
          <w:b/>
          <w:bCs/>
          <w:sz w:val="36"/>
          <w:szCs w:val="36"/>
        </w:rPr>
        <w:t>致估价委托人函</w:t>
      </w:r>
    </w:p>
    <w:p>
      <w:pPr>
        <w:adjustRightInd w:val="0"/>
        <w:spacing w:line="380" w:lineRule="exact"/>
        <w:rPr>
          <w:rFonts w:ascii="楷体_GB2312" w:eastAsia="楷体_GB2312"/>
          <w:sz w:val="28"/>
        </w:rPr>
      </w:pPr>
      <w:r>
        <w:rPr>
          <w:rFonts w:hint="eastAsia" w:ascii="楷体_GB2312" w:eastAsia="楷体_GB2312"/>
          <w:sz w:val="28"/>
        </w:rPr>
        <w:t>贵州省黔东南苗族侗族自治州中级人民法院：</w:t>
      </w:r>
    </w:p>
    <w:p>
      <w:pPr>
        <w:adjustRightInd w:val="0"/>
        <w:spacing w:line="380" w:lineRule="exact"/>
        <w:ind w:firstLine="560" w:firstLineChars="200"/>
        <w:rPr>
          <w:rFonts w:ascii="楷体_GB2312" w:eastAsia="楷体_GB2312"/>
          <w:sz w:val="28"/>
        </w:rPr>
      </w:pPr>
      <w:bookmarkStart w:id="1" w:name="_Hlk88570552"/>
      <w:r>
        <w:rPr>
          <w:rFonts w:hint="eastAsia" w:ascii="楷体_GB2312" w:eastAsia="楷体_GB2312"/>
          <w:sz w:val="28"/>
        </w:rPr>
        <w:t>承蒙委托，我公司</w:t>
      </w:r>
      <w:r>
        <w:rPr>
          <w:rFonts w:hint="eastAsia" w:ascii="楷体_GB2312" w:eastAsia="楷体_GB2312"/>
          <w:sz w:val="28"/>
          <w:szCs w:val="22"/>
        </w:rPr>
        <w:t>注册房地产估价师遵循估价原则，按照估价程序，采用了比较法和收益</w:t>
      </w:r>
      <w:r>
        <w:rPr>
          <w:rFonts w:hint="eastAsia" w:ascii="楷体_GB2312" w:eastAsia="楷体_GB2312"/>
          <w:sz w:val="28"/>
        </w:rPr>
        <w:t>法两种估价方法，对贵院委托的位于贵州省凯里市凯棉路138号佳和盛世一期、二期等多套房地产市场价值进</w:t>
      </w:r>
      <w:bookmarkEnd w:id="1"/>
      <w:r>
        <w:rPr>
          <w:rFonts w:hint="eastAsia" w:ascii="楷体_GB2312" w:eastAsia="楷体_GB2312"/>
          <w:sz w:val="28"/>
        </w:rPr>
        <w:t>行了评估，总建筑面积为11929.13平方米，价值时点为2022年05月10日。</w:t>
      </w:r>
    </w:p>
    <w:p>
      <w:pPr>
        <w:adjustRightInd w:val="0"/>
        <w:spacing w:line="380" w:lineRule="exact"/>
        <w:ind w:firstLine="560" w:firstLineChars="200"/>
        <w:rPr>
          <w:rFonts w:ascii="楷体_GB2312" w:eastAsia="楷体_GB2312"/>
          <w:sz w:val="28"/>
        </w:rPr>
      </w:pPr>
      <w:r>
        <w:rPr>
          <w:rFonts w:hint="eastAsia" w:ascii="楷体_GB2312" w:eastAsia="楷体_GB2312"/>
          <w:sz w:val="28"/>
        </w:rPr>
        <w:t>估价目的：为人民法院确定财产处置参考价提供参考依据。</w:t>
      </w:r>
    </w:p>
    <w:p>
      <w:pPr>
        <w:adjustRightInd w:val="0"/>
        <w:spacing w:line="380" w:lineRule="exact"/>
        <w:ind w:firstLine="560" w:firstLineChars="200"/>
        <w:rPr>
          <w:rFonts w:ascii="楷体_GB2312" w:eastAsia="楷体_GB2312"/>
          <w:sz w:val="28"/>
        </w:rPr>
      </w:pPr>
      <w:r>
        <w:rPr>
          <w:rFonts w:hint="eastAsia" w:ascii="楷体_GB2312" w:eastAsia="楷体_GB2312"/>
          <w:sz w:val="28"/>
        </w:rPr>
        <w:t>经注册房地产估价师现场勘察和市场调查，本着独立、客观、公正、合法的原则，在认真分析现有资料的基础上，结合估价经验，并综合考虑房地产市场价格影响因素的影响，通过认真测算，本公司确认估价对象在市场上有足够的买方和卖方，并且进入市场无障碍的前提下，于价值时点的估价结果为</w:t>
      </w:r>
      <w:r>
        <w:rPr>
          <w:rFonts w:hint="eastAsia" w:ascii="楷体_GB2312" w:eastAsia="楷体_GB2312"/>
          <w:b/>
          <w:bCs/>
          <w:sz w:val="28"/>
        </w:rPr>
        <w:t>人民币</w:t>
      </w:r>
      <w:r>
        <w:rPr>
          <w:rFonts w:hint="eastAsia" w:ascii="楷体_GB2312" w:eastAsia="楷体_GB2312"/>
          <w:b/>
          <w:bCs/>
          <w:sz w:val="28"/>
          <w:szCs w:val="22"/>
        </w:rPr>
        <w:t>柒仟玖佰玖拾伍万肆仟柒佰元整（</w:t>
      </w:r>
      <w:r>
        <w:rPr>
          <w:rFonts w:hint="eastAsia" w:ascii="楷体_GB2312" w:eastAsia="楷体_GB2312"/>
          <w:b/>
          <w:bCs/>
          <w:sz w:val="28"/>
        </w:rPr>
        <w:t>￥</w:t>
      </w:r>
      <w:r>
        <w:rPr>
          <w:rFonts w:hint="eastAsia" w:ascii="楷体_GB2312" w:hAnsi="宋体" w:eastAsia="楷体_GB2312" w:cs="宋体"/>
          <w:b/>
          <w:bCs/>
          <w:kern w:val="0"/>
          <w:sz w:val="28"/>
          <w:szCs w:val="28"/>
        </w:rPr>
        <w:t>7995.47万</w:t>
      </w:r>
      <w:r>
        <w:rPr>
          <w:rFonts w:hint="eastAsia" w:ascii="楷体_GB2312" w:eastAsia="楷体_GB2312"/>
          <w:b/>
          <w:bCs/>
          <w:sz w:val="28"/>
        </w:rPr>
        <w:t>元）</w:t>
      </w:r>
      <w:r>
        <w:rPr>
          <w:rFonts w:hint="eastAsia" w:ascii="宋体" w:hAnsi="宋体" w:cs="Segoe UI Symbol"/>
          <w:b/>
          <w:bCs/>
          <w:sz w:val="28"/>
        </w:rPr>
        <w:t>，</w:t>
      </w:r>
      <w:r>
        <w:rPr>
          <w:rFonts w:hint="eastAsia" w:ascii="楷体" w:hAnsi="楷体" w:eastAsia="楷体" w:cs="楷体"/>
          <w:b/>
          <w:bCs/>
          <w:sz w:val="28"/>
        </w:rPr>
        <w:t>详见《评估结论汇总表》、《评估明细表》</w:t>
      </w:r>
      <w:r>
        <w:rPr>
          <w:rFonts w:hint="eastAsia" w:ascii="楷体_GB2312" w:eastAsia="楷体_GB2312"/>
          <w:sz w:val="28"/>
        </w:rPr>
        <w:t>。</w:t>
      </w:r>
    </w:p>
    <w:tbl>
      <w:tblPr>
        <w:tblStyle w:val="36"/>
        <w:tblW w:w="0" w:type="auto"/>
        <w:tblInd w:w="0" w:type="dxa"/>
        <w:tblLayout w:type="autofit"/>
        <w:tblCellMar>
          <w:top w:w="0" w:type="dxa"/>
          <w:left w:w="108" w:type="dxa"/>
          <w:bottom w:w="0" w:type="dxa"/>
          <w:right w:w="108" w:type="dxa"/>
        </w:tblCellMar>
      </w:tblPr>
      <w:tblGrid>
        <w:gridCol w:w="698"/>
        <w:gridCol w:w="4056"/>
        <w:gridCol w:w="698"/>
        <w:gridCol w:w="1184"/>
        <w:gridCol w:w="1180"/>
        <w:gridCol w:w="1356"/>
      </w:tblGrid>
      <w:tr>
        <w:tblPrEx>
          <w:tblCellMar>
            <w:top w:w="0" w:type="dxa"/>
            <w:left w:w="108" w:type="dxa"/>
            <w:bottom w:w="0" w:type="dxa"/>
            <w:right w:w="108" w:type="dxa"/>
          </w:tblCellMar>
        </w:tblPrEx>
        <w:trPr>
          <w:trHeight w:val="500" w:hRule="atLeast"/>
        </w:trPr>
        <w:tc>
          <w:tcPr>
            <w:tcW w:w="0" w:type="auto"/>
            <w:gridSpan w:val="6"/>
            <w:tcBorders>
              <w:top w:val="nil"/>
              <w:left w:val="nil"/>
              <w:bottom w:val="nil"/>
              <w:right w:val="nil"/>
            </w:tcBorders>
            <w:shd w:val="clear" w:color="auto" w:fill="auto"/>
            <w:noWrap/>
            <w:vAlign w:val="center"/>
          </w:tcPr>
          <w:p>
            <w:pPr>
              <w:pStyle w:val="17"/>
              <w:spacing w:line="700" w:lineRule="exact"/>
              <w:jc w:val="center"/>
              <w:rPr>
                <w:rFonts w:ascii="楷体_GB2312" w:hAnsi="华文楷体" w:eastAsia="楷体_GB2312" w:cs="华文楷体"/>
                <w:color w:val="000000"/>
                <w:sz w:val="28"/>
                <w:szCs w:val="28"/>
              </w:rPr>
            </w:pPr>
            <w:r>
              <w:rPr>
                <w:rFonts w:hint="eastAsia" w:ascii="黑体" w:eastAsia="黑体"/>
                <w:b/>
                <w:bCs/>
                <w:sz w:val="36"/>
                <w:szCs w:val="36"/>
              </w:rPr>
              <w:t>评估结论汇总表</w:t>
            </w:r>
          </w:p>
        </w:tc>
      </w:tr>
      <w:tr>
        <w:tblPrEx>
          <w:tblCellMar>
            <w:top w:w="0" w:type="dxa"/>
            <w:left w:w="108" w:type="dxa"/>
            <w:bottom w:w="0" w:type="dxa"/>
            <w:right w:w="108" w:type="dxa"/>
          </w:tblCellMar>
        </w:tblPrEx>
        <w:trPr>
          <w:trHeight w:val="7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权利人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b/>
                <w:bCs/>
              </w:rPr>
            </w:pPr>
            <w:r>
              <w:rPr>
                <w:rFonts w:hint="eastAsia" w:ascii="楷体_GB2312" w:hAnsi="华文楷体" w:eastAsia="楷体_GB2312" w:cs="华文楷体"/>
                <w:b/>
                <w:bCs/>
                <w:color w:val="000000"/>
                <w:kern w:val="0"/>
                <w:sz w:val="24"/>
                <w:szCs w:val="24"/>
                <w:lang w:bidi="ar"/>
              </w:rPr>
              <w:t>用途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kern w:val="0"/>
                <w:sz w:val="24"/>
                <w:szCs w:val="24"/>
                <w:lang w:bidi="ar"/>
              </w:rPr>
            </w:pPr>
            <w:r>
              <w:rPr>
                <w:rFonts w:hint="eastAsia" w:ascii="楷体_GB2312" w:hAnsi="华文楷体" w:eastAsia="楷体_GB2312" w:cs="华文楷体"/>
                <w:b/>
                <w:bCs/>
                <w:color w:val="000000"/>
                <w:kern w:val="0"/>
                <w:sz w:val="24"/>
                <w:szCs w:val="24"/>
                <w:lang w:bidi="ar"/>
              </w:rPr>
              <w:t>建筑面积</w:t>
            </w:r>
          </w:p>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w:t>
            </w:r>
            <w:r>
              <w:rPr>
                <w:rFonts w:hint="eastAsia" w:ascii="Segoe UI Symbol" w:hAnsi="Segoe UI Symbol" w:eastAsia="楷体_GB2312" w:cs="Segoe UI Symbol"/>
                <w:b/>
                <w:bCs/>
                <w:color w:val="000000"/>
                <w:kern w:val="0"/>
                <w:sz w:val="24"/>
                <w:szCs w:val="24"/>
                <w:lang w:bidi="ar"/>
              </w:rPr>
              <w:t>㎡</w:t>
            </w:r>
            <w:r>
              <w:rPr>
                <w:rFonts w:hint="eastAsia" w:ascii="楷体_GB2312" w:hAnsi="华文楷体" w:eastAsia="楷体_GB2312" w:cs="华文楷体"/>
                <w:b/>
                <w:bCs/>
                <w:color w:val="000000"/>
                <w:kern w:val="0"/>
                <w:sz w:val="24"/>
                <w:szCs w:val="24"/>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kern w:val="0"/>
                <w:sz w:val="24"/>
                <w:szCs w:val="24"/>
                <w:lang w:bidi="ar"/>
              </w:rPr>
            </w:pPr>
            <w:r>
              <w:rPr>
                <w:rFonts w:hint="eastAsia" w:ascii="楷体_GB2312" w:hAnsi="华文楷体" w:eastAsia="楷体_GB2312" w:cs="华文楷体"/>
                <w:b/>
                <w:bCs/>
                <w:color w:val="000000"/>
                <w:kern w:val="0"/>
                <w:sz w:val="24"/>
                <w:szCs w:val="24"/>
                <w:lang w:bidi="ar"/>
              </w:rPr>
              <w:t>评估价值</w:t>
            </w:r>
          </w:p>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备注</w:t>
            </w:r>
          </w:p>
        </w:tc>
      </w:tr>
      <w:tr>
        <w:tblPrEx>
          <w:tblCellMar>
            <w:top w:w="0" w:type="dxa"/>
            <w:left w:w="108" w:type="dxa"/>
            <w:bottom w:w="0" w:type="dxa"/>
            <w:right w:w="108" w:type="dxa"/>
          </w:tblCellMar>
        </w:tblPrEx>
        <w:trPr>
          <w:trHeight w:val="5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凯里市和盛房地产开发有限责任公司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rPr>
            </w:pPr>
            <w:r>
              <w:rPr>
                <w:rFonts w:hint="eastAsia" w:ascii="楷体_GB2312" w:hAnsi="华文楷体" w:eastAsia="楷体_GB2312" w:cs="华文楷体"/>
                <w:color w:val="000000"/>
                <w:kern w:val="0"/>
                <w:sz w:val="24"/>
                <w:szCs w:val="24"/>
                <w:lang w:bidi="ar"/>
              </w:rPr>
              <w:t>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1391.41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kern w:val="0"/>
                <w:sz w:val="24"/>
                <w:szCs w:val="24"/>
                <w:lang w:bidi="ar"/>
              </w:rPr>
            </w:pPr>
            <w:r>
              <w:rPr>
                <w:rFonts w:hint="eastAsia" w:ascii="楷体_GB2312" w:hAnsi="华文楷体" w:eastAsia="楷体_GB2312" w:cs="华文楷体"/>
                <w:color w:val="000000"/>
                <w:kern w:val="0"/>
                <w:sz w:val="24"/>
                <w:szCs w:val="24"/>
                <w:lang w:bidi="ar"/>
              </w:rPr>
              <w:t>535.41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100个车位</w:t>
            </w: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凯里市和盛房地产开发有限责任公司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rPr>
            </w:pPr>
            <w:r>
              <w:rPr>
                <w:rFonts w:hint="eastAsia" w:ascii="楷体_GB2312" w:hAnsi="华文楷体" w:eastAsia="楷体_GB2312" w:cs="华文楷体"/>
                <w:color w:val="000000"/>
                <w:kern w:val="0"/>
                <w:sz w:val="24"/>
                <w:szCs w:val="24"/>
                <w:lang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8739.98</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kern w:val="0"/>
                <w:sz w:val="24"/>
                <w:szCs w:val="24"/>
                <w:lang w:bidi="ar"/>
              </w:rPr>
            </w:pPr>
            <w:r>
              <w:rPr>
                <w:rFonts w:hint="eastAsia" w:ascii="楷体_GB2312" w:hAnsi="华文楷体" w:eastAsia="楷体_GB2312" w:cs="华文楷体"/>
                <w:color w:val="000000"/>
                <w:kern w:val="0"/>
                <w:sz w:val="24"/>
                <w:szCs w:val="24"/>
                <w:lang w:bidi="ar"/>
              </w:rPr>
              <w:t>5083.17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_GB2312" w:hAnsi="华文楷体" w:eastAsia="楷体_GB2312" w:cs="华文楷体"/>
                <w:color w:val="000000"/>
                <w:sz w:val="24"/>
                <w:szCs w:val="24"/>
              </w:rPr>
            </w:pPr>
          </w:p>
        </w:tc>
      </w:tr>
      <w:tr>
        <w:tblPrEx>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舒芬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rPr>
            </w:pPr>
            <w:r>
              <w:rPr>
                <w:rFonts w:hint="eastAsia" w:ascii="楷体_GB2312" w:hAnsi="华文楷体" w:eastAsia="楷体_GB2312" w:cs="华文楷体"/>
                <w:color w:val="000000"/>
                <w:kern w:val="0"/>
                <w:sz w:val="24"/>
                <w:szCs w:val="24"/>
                <w:lang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959.16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kern w:val="0"/>
                <w:sz w:val="24"/>
                <w:szCs w:val="24"/>
                <w:lang w:bidi="ar"/>
              </w:rPr>
            </w:pPr>
            <w:r>
              <w:rPr>
                <w:rFonts w:hint="eastAsia" w:ascii="楷体_GB2312" w:hAnsi="华文楷体" w:eastAsia="楷体_GB2312" w:cs="华文楷体"/>
                <w:color w:val="000000"/>
                <w:kern w:val="0"/>
                <w:sz w:val="24"/>
                <w:szCs w:val="24"/>
                <w:lang w:bidi="ar"/>
              </w:rPr>
              <w:t>1066.59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_GB2312" w:hAnsi="华文楷体" w:eastAsia="楷体_GB2312" w:cs="华文楷体"/>
                <w:color w:val="000000"/>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仇海洪、李小群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rPr>
            </w:pPr>
            <w:r>
              <w:rPr>
                <w:rFonts w:hint="eastAsia" w:ascii="楷体_GB2312" w:hAnsi="华文楷体" w:eastAsia="楷体_GB2312" w:cs="华文楷体"/>
                <w:color w:val="000000"/>
                <w:kern w:val="0"/>
                <w:sz w:val="24"/>
                <w:szCs w:val="24"/>
                <w:lang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315.87</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kern w:val="0"/>
                <w:sz w:val="24"/>
                <w:szCs w:val="24"/>
                <w:lang w:bidi="ar"/>
              </w:rPr>
            </w:pPr>
            <w:r>
              <w:rPr>
                <w:rFonts w:hint="eastAsia" w:ascii="楷体_GB2312" w:hAnsi="华文楷体" w:eastAsia="楷体_GB2312" w:cs="华文楷体"/>
                <w:color w:val="000000"/>
                <w:kern w:val="0"/>
                <w:sz w:val="24"/>
                <w:szCs w:val="24"/>
                <w:lang w:bidi="ar"/>
              </w:rPr>
              <w:t>539.86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_GB2312" w:hAnsi="华文楷体" w:eastAsia="楷体_GB2312" w:cs="华文楷体"/>
                <w:color w:val="000000"/>
                <w:sz w:val="24"/>
                <w:szCs w:val="24"/>
              </w:rPr>
            </w:pP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李绵强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eastAsia="楷体_GB2312"/>
              </w:rPr>
            </w:pPr>
            <w:r>
              <w:rPr>
                <w:rFonts w:hint="eastAsia" w:ascii="楷体_GB2312" w:hAnsi="华文楷体" w:eastAsia="楷体_GB2312" w:cs="华文楷体"/>
                <w:color w:val="000000"/>
                <w:kern w:val="0"/>
                <w:sz w:val="24"/>
                <w:szCs w:val="24"/>
                <w:lang w:bidi="ar"/>
              </w:rPr>
              <w:t>商业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sz w:val="24"/>
                <w:szCs w:val="24"/>
              </w:rPr>
            </w:pPr>
            <w:r>
              <w:rPr>
                <w:rFonts w:hint="eastAsia" w:ascii="楷体_GB2312" w:hAnsi="华文楷体" w:eastAsia="楷体_GB2312" w:cs="华文楷体"/>
                <w:color w:val="000000"/>
                <w:kern w:val="0"/>
                <w:sz w:val="24"/>
                <w:szCs w:val="24"/>
                <w:lang w:bidi="ar"/>
              </w:rPr>
              <w:t>522.71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color w:val="000000"/>
                <w:kern w:val="0"/>
                <w:sz w:val="24"/>
                <w:szCs w:val="24"/>
                <w:lang w:bidi="ar"/>
              </w:rPr>
            </w:pPr>
            <w:r>
              <w:rPr>
                <w:rFonts w:hint="eastAsia" w:ascii="楷体_GB2312" w:hAnsi="华文楷体" w:eastAsia="楷体_GB2312" w:cs="华文楷体"/>
                <w:color w:val="000000"/>
                <w:kern w:val="0"/>
                <w:sz w:val="24"/>
                <w:szCs w:val="24"/>
                <w:lang w:bidi="ar"/>
              </w:rPr>
              <w:t>770.44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_GB2312" w:hAnsi="华文楷体" w:eastAsia="楷体_GB2312" w:cs="华文楷体"/>
                <w:color w:val="000000"/>
                <w:sz w:val="24"/>
                <w:szCs w:val="24"/>
              </w:rPr>
            </w:pPr>
          </w:p>
        </w:tc>
      </w:tr>
      <w:tr>
        <w:tblPrEx>
          <w:tblCellMar>
            <w:top w:w="0" w:type="dxa"/>
            <w:left w:w="108" w:type="dxa"/>
            <w:bottom w:w="0" w:type="dxa"/>
            <w:right w:w="108" w:type="dxa"/>
          </w:tblCellMar>
        </w:tblPrEx>
        <w:trPr>
          <w:trHeight w:val="5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sz w:val="24"/>
                <w:szCs w:val="24"/>
              </w:rPr>
            </w:pPr>
            <w:r>
              <w:rPr>
                <w:rFonts w:hint="eastAsia" w:ascii="楷体_GB2312" w:hAnsi="华文楷体" w:eastAsia="楷体_GB2312" w:cs="华文楷体"/>
                <w:b/>
                <w:bCs/>
                <w:color w:val="000000"/>
                <w:kern w:val="0"/>
                <w:sz w:val="24"/>
                <w:szCs w:val="24"/>
                <w:lang w:bidi="ar"/>
              </w:rPr>
              <w:t>11929.13</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_GB2312" w:hAnsi="华文楷体" w:eastAsia="楷体_GB2312" w:cs="华文楷体"/>
                <w:b/>
                <w:bCs/>
                <w:color w:val="000000"/>
                <w:kern w:val="0"/>
                <w:sz w:val="24"/>
                <w:szCs w:val="24"/>
                <w:lang w:bidi="ar"/>
              </w:rPr>
            </w:pPr>
            <w:r>
              <w:rPr>
                <w:rFonts w:hint="eastAsia" w:ascii="楷体_GB2312" w:hAnsi="华文楷体" w:eastAsia="楷体_GB2312" w:cs="华文楷体"/>
                <w:b/>
                <w:bCs/>
                <w:color w:val="000000"/>
                <w:kern w:val="0"/>
                <w:sz w:val="24"/>
                <w:szCs w:val="24"/>
                <w:lang w:bidi="ar"/>
              </w:rPr>
              <w:t>7995.47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_GB2312" w:hAnsi="华文楷体" w:eastAsia="楷体_GB2312" w:cs="华文楷体"/>
                <w:b/>
                <w:bCs/>
                <w:color w:val="000000"/>
                <w:sz w:val="24"/>
                <w:szCs w:val="24"/>
              </w:rPr>
            </w:pPr>
          </w:p>
        </w:tc>
      </w:tr>
    </w:tbl>
    <w:p>
      <w:pPr>
        <w:adjustRightInd w:val="0"/>
        <w:spacing w:line="400" w:lineRule="exact"/>
        <w:ind w:firstLine="562" w:firstLineChars="200"/>
        <w:rPr>
          <w:rFonts w:ascii="楷体_GB2312" w:eastAsia="楷体_GB2312"/>
          <w:b/>
          <w:bCs/>
          <w:sz w:val="28"/>
        </w:rPr>
      </w:pPr>
      <w:r>
        <w:rPr>
          <w:rFonts w:hint="eastAsia" w:ascii="楷体_GB2312" w:eastAsia="楷体_GB2312"/>
          <w:b/>
          <w:bCs/>
          <w:sz w:val="28"/>
        </w:rPr>
        <w:t>本报告经估价委托人（人民法院）送达双方当事人后，当事人对本书有异议的，可以在收到报告次日起五个工作日内以书面形式向人民法院提出异议书，逾期视为认可本报告。</w:t>
      </w:r>
    </w:p>
    <w:p>
      <w:pPr>
        <w:spacing w:line="400" w:lineRule="exact"/>
        <w:ind w:firstLine="2240" w:firstLineChars="800"/>
        <w:rPr>
          <w:rFonts w:ascii="楷体_GB2312" w:eastAsia="楷体_GB2312"/>
          <w:b/>
          <w:bCs/>
          <w:sz w:val="28"/>
        </w:rPr>
      </w:pPr>
      <w:r>
        <w:rPr>
          <w:rFonts w:hint="eastAsia" w:ascii="楷体_GB2312" w:eastAsia="楷体_GB2312"/>
          <w:sz w:val="28"/>
        </w:rPr>
        <w:t xml:space="preserve">          </w:t>
      </w:r>
      <w:r>
        <w:rPr>
          <w:rFonts w:ascii="楷体_GB2312" w:eastAsia="楷体_GB2312"/>
          <w:b/>
          <w:bCs/>
          <w:sz w:val="28"/>
        </w:rPr>
        <w:t xml:space="preserve">       </w:t>
      </w:r>
    </w:p>
    <w:p>
      <w:pPr>
        <w:spacing w:line="400" w:lineRule="exact"/>
        <w:ind w:firstLine="2249" w:firstLineChars="800"/>
        <w:jc w:val="right"/>
        <w:rPr>
          <w:rFonts w:ascii="楷体_GB2312" w:eastAsia="楷体_GB2312"/>
          <w:b/>
          <w:bCs/>
          <w:sz w:val="28"/>
        </w:rPr>
      </w:pPr>
      <w:r>
        <w:rPr>
          <w:rFonts w:ascii="楷体_GB2312" w:eastAsia="楷体_GB2312"/>
          <w:b/>
          <w:bCs/>
          <w:sz w:val="28"/>
        </w:rPr>
        <w:t xml:space="preserve"> </w:t>
      </w:r>
      <w:r>
        <w:rPr>
          <w:rFonts w:hint="eastAsia" w:ascii="楷体_GB2312" w:eastAsia="楷体_GB2312"/>
          <w:b/>
          <w:bCs/>
          <w:sz w:val="28"/>
        </w:rPr>
        <w:t>天信房地产土地资产评估有限公司</w:t>
      </w:r>
    </w:p>
    <w:p>
      <w:pPr>
        <w:snapToGrid w:val="0"/>
        <w:spacing w:line="400" w:lineRule="exact"/>
        <w:ind w:firstLine="560"/>
        <w:rPr>
          <w:rFonts w:ascii="楷体_GB2312" w:eastAsia="楷体_GB2312"/>
          <w:b/>
          <w:bCs/>
          <w:sz w:val="28"/>
        </w:rPr>
      </w:pP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hint="eastAsia" w:ascii="楷体_GB2312" w:eastAsia="楷体_GB2312"/>
          <w:b/>
          <w:bCs/>
          <w:sz w:val="28"/>
        </w:rPr>
        <w:t>法定代表人：</w:t>
      </w:r>
    </w:p>
    <w:p>
      <w:pPr>
        <w:spacing w:line="400" w:lineRule="exact"/>
        <w:ind w:right="560"/>
        <w:jc w:val="center"/>
        <w:rPr>
          <w:rFonts w:ascii="楷体_GB2312" w:eastAsia="楷体_GB2312"/>
          <w:b/>
          <w:bCs/>
          <w:sz w:val="28"/>
        </w:rPr>
      </w:pPr>
      <w:r>
        <w:rPr>
          <w:rFonts w:hint="eastAsia" w:ascii="楷体_GB2312" w:eastAsia="楷体_GB2312"/>
          <w:b/>
          <w:bCs/>
          <w:sz w:val="28"/>
        </w:rPr>
        <w:t xml:space="preserve">                                 </w:t>
      </w:r>
      <w:r>
        <w:rPr>
          <w:rFonts w:ascii="楷体_GB2312" w:eastAsia="楷体_GB2312"/>
          <w:b/>
          <w:bCs/>
          <w:sz w:val="28"/>
        </w:rPr>
        <w:t xml:space="preserve">   </w:t>
      </w:r>
      <w:r>
        <w:rPr>
          <w:rFonts w:hint="eastAsia" w:ascii="楷体_GB2312" w:eastAsia="楷体_GB2312"/>
          <w:b/>
          <w:bCs/>
          <w:sz w:val="28"/>
        </w:rPr>
        <w:t>二〇二二年六月三十日</w:t>
      </w:r>
    </w:p>
    <w:p>
      <w:pPr>
        <w:spacing w:line="400" w:lineRule="exact"/>
        <w:ind w:right="560"/>
        <w:jc w:val="center"/>
        <w:rPr>
          <w:rFonts w:ascii="楷体_GB2312" w:eastAsia="楷体_GB2312"/>
          <w:b/>
          <w:bCs/>
          <w:sz w:val="28"/>
        </w:rPr>
      </w:pPr>
    </w:p>
    <w:p>
      <w:pPr>
        <w:spacing w:line="400" w:lineRule="exact"/>
        <w:ind w:right="560"/>
        <w:jc w:val="center"/>
        <w:rPr>
          <w:rFonts w:ascii="楷体_GB2312" w:eastAsia="楷体_GB2312"/>
          <w:b/>
          <w:bCs/>
          <w:sz w:val="28"/>
        </w:rPr>
        <w:sectPr>
          <w:pgSz w:w="11906" w:h="16838"/>
          <w:pgMar w:top="1021" w:right="1191" w:bottom="1021" w:left="1191" w:header="851" w:footer="992" w:gutter="284"/>
          <w:pgNumType w:start="0"/>
          <w:cols w:space="425" w:num="1"/>
          <w:titlePg/>
          <w:docGrid w:type="lines" w:linePitch="312" w:charSpace="0"/>
        </w:sectPr>
      </w:pPr>
    </w:p>
    <w:tbl>
      <w:tblPr>
        <w:tblStyle w:val="36"/>
        <w:tblpPr w:leftFromText="180" w:rightFromText="180" w:horzAnchor="margin" w:tblpY="490"/>
        <w:tblW w:w="4852" w:type="pct"/>
        <w:tblInd w:w="0" w:type="dxa"/>
        <w:tblLayout w:type="fixed"/>
        <w:tblCellMar>
          <w:top w:w="0" w:type="dxa"/>
          <w:left w:w="108" w:type="dxa"/>
          <w:bottom w:w="0" w:type="dxa"/>
          <w:right w:w="108" w:type="dxa"/>
        </w:tblCellMar>
      </w:tblPr>
      <w:tblGrid>
        <w:gridCol w:w="792"/>
        <w:gridCol w:w="2576"/>
        <w:gridCol w:w="1984"/>
        <w:gridCol w:w="2762"/>
        <w:gridCol w:w="877"/>
        <w:gridCol w:w="822"/>
        <w:gridCol w:w="1055"/>
        <w:gridCol w:w="1515"/>
        <w:gridCol w:w="961"/>
        <w:gridCol w:w="1224"/>
      </w:tblGrid>
      <w:tr>
        <w:tblPrEx>
          <w:tblCellMar>
            <w:top w:w="0" w:type="dxa"/>
            <w:left w:w="108" w:type="dxa"/>
            <w:bottom w:w="0" w:type="dxa"/>
            <w:right w:w="108" w:type="dxa"/>
          </w:tblCellMar>
        </w:tblPrEx>
        <w:trPr>
          <w:trHeight w:val="693" w:hRule="atLeast"/>
          <w:tblHeader/>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8"/>
                <w:szCs w:val="28"/>
                <w:lang w:bidi="ar"/>
              </w:rPr>
              <w:t>评估明细表</w:t>
            </w:r>
          </w:p>
        </w:tc>
      </w:tr>
      <w:tr>
        <w:tblPrEx>
          <w:tblCellMar>
            <w:top w:w="0" w:type="dxa"/>
            <w:left w:w="108" w:type="dxa"/>
            <w:bottom w:w="0" w:type="dxa"/>
            <w:right w:w="108" w:type="dxa"/>
          </w:tblCellMar>
        </w:tblPrEx>
        <w:trPr>
          <w:trHeight w:val="810" w:hRule="atLeast"/>
          <w:tblHeader/>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序号</w:t>
            </w:r>
          </w:p>
        </w:tc>
        <w:tc>
          <w:tcPr>
            <w:tcW w:w="8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房屋所有权证号/不动产权证书号</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权利人</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坐落</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用途</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层数/</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总层数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建筑面积</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（m</w:t>
            </w:r>
            <w:r>
              <w:rPr>
                <w:rStyle w:val="149"/>
                <w:rFonts w:hint="default"/>
                <w:b/>
                <w:bCs/>
                <w:lang w:bidi="ar"/>
              </w:rPr>
              <w:t>2</w:t>
            </w:r>
            <w:r>
              <w:rPr>
                <w:rFonts w:hint="eastAsia" w:ascii="楷体" w:hAnsi="楷体" w:eastAsia="楷体" w:cs="楷体"/>
                <w:b/>
                <w:bCs/>
                <w:color w:val="000000"/>
                <w:kern w:val="0"/>
                <w:sz w:val="20"/>
                <w:lang w:bidi="ar"/>
              </w:rPr>
              <w:t>）</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评估单价</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（元/个、元/㎡）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评估</w:t>
            </w:r>
          </w:p>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总价</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（万元）</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备注</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9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41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sz w:val="20"/>
              </w:rPr>
              <w:t>实勘-1层、</w:t>
            </w:r>
            <w:r>
              <w:rPr>
                <w:rFonts w:hint="eastAsia" w:ascii="楷体" w:hAnsi="楷体" w:eastAsia="楷体" w:cs="楷体"/>
                <w:color w:val="000000"/>
                <w:kern w:val="0"/>
                <w:sz w:val="20"/>
                <w:lang w:bidi="ar"/>
              </w:rPr>
              <w:t>使用面积较大</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3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659"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3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0</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sz w:val="20"/>
              </w:rPr>
              <w:t>实勘-1层、</w:t>
            </w:r>
            <w:r>
              <w:rPr>
                <w:rFonts w:hint="eastAsia" w:ascii="楷体" w:hAnsi="楷体" w:eastAsia="楷体" w:cs="楷体"/>
                <w:color w:val="000000"/>
                <w:kern w:val="0"/>
                <w:sz w:val="20"/>
                <w:lang w:bidi="ar"/>
              </w:rPr>
              <w:t>已被占用，评估值为0</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326"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sz w:val="20"/>
              </w:rPr>
              <w:t>实勘-1层、</w:t>
            </w:r>
            <w:r>
              <w:rPr>
                <w:rFonts w:hint="eastAsia" w:ascii="楷体" w:hAnsi="楷体" w:eastAsia="楷体" w:cs="楷体"/>
                <w:color w:val="000000"/>
                <w:kern w:val="0"/>
                <w:sz w:val="20"/>
                <w:lang w:bidi="ar"/>
              </w:rPr>
              <w:t>使用面积较大</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5.67</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sz w:val="20"/>
              </w:rPr>
              <w:t>实勘-1层、</w:t>
            </w:r>
            <w:r>
              <w:rPr>
                <w:rFonts w:hint="eastAsia" w:ascii="楷体" w:hAnsi="楷体" w:eastAsia="楷体" w:cs="楷体"/>
                <w:color w:val="000000"/>
                <w:kern w:val="0"/>
                <w:sz w:val="20"/>
                <w:lang w:bidi="ar"/>
              </w:rPr>
              <w:t>使用面积较大</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14.11</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359"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r>
              <w:rPr>
                <w:rFonts w:hint="eastAsia" w:ascii="楷体" w:hAnsi="楷体" w:eastAsia="楷体" w:cs="楷体"/>
                <w:color w:val="000000"/>
                <w:sz w:val="20"/>
              </w:rPr>
              <w:t>实勘-1层</w:t>
            </w: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凯里市字第00063138号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凯里市凯棉路138号佳和盛世一期2栋-1层-1-123号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凯里市字第00063432号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凯里市凯棉路138号佳和盛世一期2栋-1层-1-124号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314"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945"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凯里市字第00063427号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凯里市字第00063090号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592"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凯里市字第00063428号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凯里市字第00063414号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凯里市凯棉路138号佳和盛世一期2栋-1层-1-272号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凯里市字第00063005号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凯里市凯棉路138号佳和盛世一期2栋-1层-1-273号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7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凯里市字第00063006号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54000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黔（2020）凯里市不动产权第0022496号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凯里市凯棉路140号佳和盛世二期商业广场大底盘-1层超市</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其他</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8739.98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5816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5083.17</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sz w:val="20"/>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凯房权证凯里市字第00062157号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凯里市凯棉路138号佳和盛世一期1栋-1层-1-29号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120.08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10113</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121.44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实勘为一层</w:t>
            </w: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凯房权证凯里市字第00062158号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凯里市凯棉路138号佳和盛世一期1栋-1层-1-30号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-2/11</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116.18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10113</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117.49</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实勘为一层</w:t>
            </w: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04</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凯房权证凯里市字第00060743号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203.79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11580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235.99</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highlight w:val="yellow"/>
                <w:lang w:bidi="ar"/>
              </w:rPr>
            </w:pPr>
            <w:r>
              <w:rPr>
                <w:rFonts w:hint="eastAsia" w:ascii="楷体" w:hAnsi="楷体" w:eastAsia="楷体" w:cs="楷体"/>
                <w:color w:val="000000"/>
                <w:kern w:val="0"/>
                <w:sz w:val="20"/>
                <w:lang w:bidi="ar"/>
              </w:rPr>
              <w:t>实勘为负一层及一层</w:t>
            </w: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05</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凯里市凯棉路138号佳和盛世一期2栋16单元1层16-1-27号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335.14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11506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385.61</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highlight w:val="yellow"/>
                <w:lang w:bidi="ar"/>
              </w:rPr>
            </w:pPr>
            <w:r>
              <w:rPr>
                <w:rFonts w:hint="eastAsia" w:ascii="楷体" w:hAnsi="楷体" w:eastAsia="楷体" w:cs="楷体"/>
                <w:color w:val="000000"/>
                <w:kern w:val="0"/>
                <w:sz w:val="20"/>
                <w:lang w:bidi="ar"/>
              </w:rPr>
              <w:t>实勘为负一层及一层</w:t>
            </w: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06</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凯房权证凯里市字第00060744号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183.97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11201</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206.06</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highlight w:val="yellow"/>
                <w:lang w:bidi="ar"/>
              </w:rPr>
            </w:pPr>
            <w:r>
              <w:rPr>
                <w:rFonts w:hint="eastAsia" w:ascii="楷体" w:hAnsi="楷体" w:eastAsia="楷体" w:cs="楷体"/>
                <w:color w:val="000000"/>
                <w:kern w:val="0"/>
                <w:sz w:val="20"/>
                <w:lang w:bidi="ar"/>
              </w:rPr>
              <w:t>实勘为负一层及一层</w:t>
            </w: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07</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凯房权证凯里市字第00060750-1号/凯房权证</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凯里市字第00060750-2号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凯里市凯棉路138号佳和盛世一期2栋13单元1层13-1-15号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16716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193.55</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08</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凯房权证凯里市字第00060748-1号/凯房权证凯里市字第00060748-2号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凯里市凯棉路138号佳和盛世一期2栋13单元1层13-1-14号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91.98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17360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159.68</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09</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凯房权证凯里市字第00060753-1号/凯房权证凯里市字第00060753-2号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凯里市凯棉路138号佳和盛世一期2栋13单元1层13-1-16号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108.10 </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17265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186.63</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10</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凯房权证凯里市字第00060749号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凯里市凯棉路138号佳和盛世一期2栋14单元1层14-1-18号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17116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198.19</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11</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凯房权证凯里市字第00060751号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凯里市凯棉路138号佳和盛世一期2栋14单元1层14-1-19号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91.98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17360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159.68</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bookmarkStart w:id="69" w:name="_GoBack" w:colFirst="7" w:colLast="9"/>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12</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凯房权证凯里市字第00060747号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凯里市凯棉路138号佳和盛世一期2栋14单元1层14-1-20号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101.89 </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16956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172.76</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p>
        </w:tc>
      </w:tr>
      <w:tr>
        <w:tblPrEx>
          <w:tblCellMar>
            <w:top w:w="0" w:type="dxa"/>
            <w:left w:w="108" w:type="dxa"/>
            <w:bottom w:w="0" w:type="dxa"/>
            <w:right w:w="108" w:type="dxa"/>
          </w:tblCellMar>
        </w:tblPrEx>
        <w:trPr>
          <w:trHeight w:val="84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w:t>
            </w:r>
            <w:r>
              <w:rPr>
                <w:rFonts w:ascii="楷体" w:hAnsi="楷体" w:eastAsia="楷体" w:cs="楷体"/>
                <w:color w:val="000000"/>
                <w:kern w:val="0"/>
                <w:sz w:val="20"/>
                <w:lang w:bidi="ar"/>
              </w:rPr>
              <w:t>13</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凯房权证凯里市字第00060745号</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凯里市凯棉路138号佳和盛世一期2栋15单元1层15-1-21号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用房</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213.05 </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11256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239.81</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实勘为负一层及一层</w:t>
            </w:r>
          </w:p>
        </w:tc>
      </w:tr>
      <w:bookmarkEnd w:id="69"/>
      <w:tr>
        <w:tblPrEx>
          <w:tblCellMar>
            <w:top w:w="0" w:type="dxa"/>
            <w:left w:w="108" w:type="dxa"/>
            <w:bottom w:w="0" w:type="dxa"/>
            <w:right w:w="108" w:type="dxa"/>
          </w:tblCellMar>
        </w:tblPrEx>
        <w:trPr>
          <w:trHeight w:val="406"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合计</w:t>
            </w:r>
          </w:p>
        </w:tc>
        <w:tc>
          <w:tcPr>
            <w:tcW w:w="8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ascii="楷体" w:hAnsi="楷体" w:eastAsia="楷体" w:cs="楷体"/>
                <w:b/>
                <w:bCs/>
                <w:color w:val="000000"/>
                <w:kern w:val="0"/>
                <w:sz w:val="20"/>
                <w:lang w:bidi="ar"/>
              </w:rPr>
              <w:t>11929.13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7995.47</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b/>
                <w:bCs/>
                <w:color w:val="000000"/>
                <w:kern w:val="0"/>
                <w:sz w:val="20"/>
                <w:lang w:bidi="ar"/>
              </w:rPr>
            </w:pPr>
          </w:p>
        </w:tc>
      </w:tr>
    </w:tbl>
    <w:p>
      <w:pPr>
        <w:spacing w:line="600" w:lineRule="exact"/>
        <w:ind w:right="560"/>
        <w:rPr>
          <w:rFonts w:ascii="楷体_GB2312" w:eastAsia="楷体_GB2312"/>
          <w:b/>
          <w:bCs/>
          <w:sz w:val="28"/>
        </w:rPr>
      </w:pPr>
    </w:p>
    <w:p>
      <w:pPr>
        <w:spacing w:line="600" w:lineRule="exact"/>
        <w:ind w:right="560"/>
        <w:rPr>
          <w:rFonts w:ascii="楷体_GB2312" w:eastAsia="楷体_GB2312"/>
          <w:b/>
          <w:bCs/>
          <w:sz w:val="28"/>
        </w:rPr>
        <w:sectPr>
          <w:pgSz w:w="16838" w:h="11906" w:orient="landscape"/>
          <w:pgMar w:top="1191" w:right="1021" w:bottom="1191" w:left="1021" w:header="851" w:footer="992" w:gutter="284"/>
          <w:cols w:space="425" w:num="1"/>
          <w:titlePg/>
          <w:docGrid w:type="lines" w:linePitch="312" w:charSpace="0"/>
        </w:sectPr>
      </w:pPr>
    </w:p>
    <w:p>
      <w:pPr>
        <w:pStyle w:val="17"/>
        <w:spacing w:line="400" w:lineRule="exact"/>
        <w:jc w:val="center"/>
        <w:rPr>
          <w:rFonts w:ascii="黑体" w:eastAsia="黑体"/>
          <w:b/>
          <w:bCs/>
          <w:sz w:val="36"/>
          <w:szCs w:val="36"/>
        </w:rPr>
      </w:pPr>
      <w:r>
        <w:rPr>
          <w:rFonts w:hint="eastAsia" w:ascii="黑体" w:eastAsia="黑体"/>
          <w:b/>
          <w:bCs/>
          <w:sz w:val="36"/>
          <w:szCs w:val="36"/>
        </w:rPr>
        <w:t>目  录</w:t>
      </w:r>
    </w:p>
    <w:p>
      <w:pPr>
        <w:pStyle w:val="24"/>
        <w:tabs>
          <w:tab w:val="right" w:leader="dot" w:pos="9240"/>
        </w:tabs>
      </w:pPr>
      <w:r>
        <w:rPr>
          <w:rFonts w:hint="eastAsia" w:ascii="楷体_GB2312" w:eastAsia="楷体_GB2312"/>
          <w:b/>
          <w:i/>
          <w:iCs w:val="0"/>
          <w:sz w:val="24"/>
          <w:szCs w:val="24"/>
          <w:highlight w:val="yellow"/>
        </w:rPr>
        <w:fldChar w:fldCharType="begin"/>
      </w:r>
      <w:r>
        <w:rPr>
          <w:rFonts w:hint="eastAsia" w:ascii="楷体_GB2312" w:eastAsia="楷体_GB2312"/>
          <w:iCs w:val="0"/>
          <w:sz w:val="24"/>
          <w:szCs w:val="24"/>
          <w:highlight w:val="yellow"/>
        </w:rPr>
        <w:instrText xml:space="preserve"> TOC \o "1-3" \h \z \u </w:instrText>
      </w:r>
      <w:r>
        <w:rPr>
          <w:rFonts w:hint="eastAsia" w:ascii="楷体_GB2312" w:eastAsia="楷体_GB2312"/>
          <w:b/>
          <w:i/>
          <w:iCs w:val="0"/>
          <w:sz w:val="24"/>
          <w:szCs w:val="24"/>
          <w:highlight w:val="yellow"/>
        </w:rPr>
        <w:fldChar w:fldCharType="separate"/>
      </w:r>
      <w:r>
        <w:fldChar w:fldCharType="begin"/>
      </w:r>
      <w:r>
        <w:instrText xml:space="preserve"> HYPERLINK \l "_Toc10572" </w:instrText>
      </w:r>
      <w:r>
        <w:fldChar w:fldCharType="separate"/>
      </w:r>
      <w:r>
        <w:rPr>
          <w:rFonts w:hint="eastAsia" w:ascii="黑体" w:hAnsi="黑体" w:eastAsia="黑体"/>
          <w:szCs w:val="36"/>
        </w:rPr>
        <w:t>估价师声明</w:t>
      </w:r>
      <w:r>
        <w:tab/>
      </w:r>
      <w:r>
        <w:fldChar w:fldCharType="begin"/>
      </w:r>
      <w:r>
        <w:instrText xml:space="preserve"> PAGEREF _Toc10572 \h </w:instrText>
      </w:r>
      <w:r>
        <w:fldChar w:fldCharType="separate"/>
      </w:r>
      <w:r>
        <w:t>14</w:t>
      </w:r>
      <w:r>
        <w:fldChar w:fldCharType="end"/>
      </w:r>
      <w:r>
        <w:fldChar w:fldCharType="end"/>
      </w:r>
    </w:p>
    <w:p>
      <w:pPr>
        <w:pStyle w:val="24"/>
        <w:tabs>
          <w:tab w:val="right" w:leader="dot" w:pos="9240"/>
        </w:tabs>
      </w:pPr>
      <w:r>
        <w:fldChar w:fldCharType="begin"/>
      </w:r>
      <w:r>
        <w:instrText xml:space="preserve"> HYPERLINK \l "_Toc29471" </w:instrText>
      </w:r>
      <w:r>
        <w:fldChar w:fldCharType="separate"/>
      </w:r>
      <w:r>
        <w:rPr>
          <w:rFonts w:hint="eastAsia" w:ascii="黑体" w:hAnsi="黑体" w:eastAsia="黑体"/>
          <w:szCs w:val="36"/>
        </w:rPr>
        <w:t>估价假设和限制条件</w:t>
      </w:r>
      <w:r>
        <w:tab/>
      </w:r>
      <w:r>
        <w:fldChar w:fldCharType="begin"/>
      </w:r>
      <w:r>
        <w:instrText xml:space="preserve"> PAGEREF _Toc29471 \h </w:instrText>
      </w:r>
      <w:r>
        <w:fldChar w:fldCharType="separate"/>
      </w:r>
      <w:r>
        <w:t>15</w:t>
      </w:r>
      <w:r>
        <w:fldChar w:fldCharType="end"/>
      </w:r>
      <w:r>
        <w:fldChar w:fldCharType="end"/>
      </w:r>
    </w:p>
    <w:p>
      <w:pPr>
        <w:pStyle w:val="24"/>
        <w:tabs>
          <w:tab w:val="right" w:leader="dot" w:pos="9240"/>
        </w:tabs>
      </w:pPr>
      <w:r>
        <w:fldChar w:fldCharType="begin"/>
      </w:r>
      <w:r>
        <w:instrText xml:space="preserve"> HYPERLINK \l "_Toc19475" </w:instrText>
      </w:r>
      <w:r>
        <w:fldChar w:fldCharType="separate"/>
      </w:r>
      <w:r>
        <w:rPr>
          <w:rFonts w:hint="eastAsia" w:ascii="黑体" w:hAnsi="黑体" w:eastAsia="黑体"/>
          <w:szCs w:val="36"/>
        </w:rPr>
        <w:t>估价结果报告</w:t>
      </w:r>
      <w:r>
        <w:tab/>
      </w:r>
      <w:r>
        <w:fldChar w:fldCharType="begin"/>
      </w:r>
      <w:r>
        <w:instrText xml:space="preserve"> PAGEREF _Toc19475 \h </w:instrText>
      </w:r>
      <w:r>
        <w:fldChar w:fldCharType="separate"/>
      </w:r>
      <w:r>
        <w:t>20</w:t>
      </w:r>
      <w:r>
        <w:fldChar w:fldCharType="end"/>
      </w:r>
      <w:r>
        <w:fldChar w:fldCharType="end"/>
      </w:r>
    </w:p>
    <w:p>
      <w:pPr>
        <w:pStyle w:val="29"/>
        <w:tabs>
          <w:tab w:val="right" w:leader="dot" w:pos="9240"/>
          <w:tab w:val="clear" w:pos="9030"/>
        </w:tabs>
      </w:pPr>
      <w:r>
        <w:fldChar w:fldCharType="begin"/>
      </w:r>
      <w:r>
        <w:instrText xml:space="preserve"> HYPERLINK \l "_Toc31328" </w:instrText>
      </w:r>
      <w:r>
        <w:fldChar w:fldCharType="separate"/>
      </w:r>
      <w:r>
        <w:rPr>
          <w:rFonts w:hint="eastAsia"/>
          <w:szCs w:val="28"/>
        </w:rPr>
        <w:t>一、估价委托人</w:t>
      </w:r>
      <w:r>
        <w:tab/>
      </w:r>
      <w:r>
        <w:fldChar w:fldCharType="begin"/>
      </w:r>
      <w:r>
        <w:instrText xml:space="preserve"> PAGEREF _Toc31328 \h </w:instrText>
      </w:r>
      <w:r>
        <w:fldChar w:fldCharType="separate"/>
      </w:r>
      <w:r>
        <w:t>20</w:t>
      </w:r>
      <w:r>
        <w:fldChar w:fldCharType="end"/>
      </w:r>
      <w:r>
        <w:fldChar w:fldCharType="end"/>
      </w:r>
    </w:p>
    <w:p>
      <w:pPr>
        <w:pStyle w:val="29"/>
        <w:tabs>
          <w:tab w:val="right" w:leader="dot" w:pos="9240"/>
          <w:tab w:val="clear" w:pos="9030"/>
        </w:tabs>
      </w:pPr>
      <w:r>
        <w:fldChar w:fldCharType="begin"/>
      </w:r>
      <w:r>
        <w:instrText xml:space="preserve"> HYPERLINK \l "_Toc28328" </w:instrText>
      </w:r>
      <w:r>
        <w:fldChar w:fldCharType="separate"/>
      </w:r>
      <w:r>
        <w:rPr>
          <w:rFonts w:hint="eastAsia"/>
          <w:szCs w:val="28"/>
        </w:rPr>
        <w:t>二、房地产估价机构</w:t>
      </w:r>
      <w:r>
        <w:tab/>
      </w:r>
      <w:r>
        <w:fldChar w:fldCharType="begin"/>
      </w:r>
      <w:r>
        <w:instrText xml:space="preserve"> PAGEREF _Toc28328 \h </w:instrText>
      </w:r>
      <w:r>
        <w:fldChar w:fldCharType="separate"/>
      </w:r>
      <w:r>
        <w:t>20</w:t>
      </w:r>
      <w:r>
        <w:fldChar w:fldCharType="end"/>
      </w:r>
      <w:r>
        <w:fldChar w:fldCharType="end"/>
      </w:r>
    </w:p>
    <w:p>
      <w:pPr>
        <w:pStyle w:val="29"/>
        <w:tabs>
          <w:tab w:val="right" w:leader="dot" w:pos="9240"/>
          <w:tab w:val="clear" w:pos="9030"/>
        </w:tabs>
      </w:pPr>
      <w:r>
        <w:fldChar w:fldCharType="begin"/>
      </w:r>
      <w:r>
        <w:instrText xml:space="preserve"> HYPERLINK \l "_Toc21555" </w:instrText>
      </w:r>
      <w:r>
        <w:fldChar w:fldCharType="separate"/>
      </w:r>
      <w:r>
        <w:rPr>
          <w:rFonts w:hint="eastAsia"/>
          <w:szCs w:val="28"/>
        </w:rPr>
        <w:t>三、估价目的</w:t>
      </w:r>
      <w:r>
        <w:tab/>
      </w:r>
      <w:r>
        <w:fldChar w:fldCharType="begin"/>
      </w:r>
      <w:r>
        <w:instrText xml:space="preserve"> PAGEREF _Toc21555 \h </w:instrText>
      </w:r>
      <w:r>
        <w:fldChar w:fldCharType="separate"/>
      </w:r>
      <w:r>
        <w:t>20</w:t>
      </w:r>
      <w:r>
        <w:fldChar w:fldCharType="end"/>
      </w:r>
      <w:r>
        <w:fldChar w:fldCharType="end"/>
      </w:r>
    </w:p>
    <w:p>
      <w:pPr>
        <w:pStyle w:val="29"/>
        <w:tabs>
          <w:tab w:val="right" w:leader="dot" w:pos="9240"/>
          <w:tab w:val="clear" w:pos="9030"/>
        </w:tabs>
      </w:pPr>
      <w:r>
        <w:fldChar w:fldCharType="begin"/>
      </w:r>
      <w:r>
        <w:instrText xml:space="preserve"> HYPERLINK \l "_Toc23707" </w:instrText>
      </w:r>
      <w:r>
        <w:fldChar w:fldCharType="separate"/>
      </w:r>
      <w:r>
        <w:rPr>
          <w:rFonts w:hint="eastAsia"/>
          <w:szCs w:val="28"/>
        </w:rPr>
        <w:t>四、估价对象</w:t>
      </w:r>
      <w:r>
        <w:tab/>
      </w:r>
      <w:r>
        <w:fldChar w:fldCharType="begin"/>
      </w:r>
      <w:r>
        <w:instrText xml:space="preserve"> PAGEREF _Toc23707 \h </w:instrText>
      </w:r>
      <w:r>
        <w:fldChar w:fldCharType="separate"/>
      </w:r>
      <w:r>
        <w:t>20</w:t>
      </w:r>
      <w:r>
        <w:fldChar w:fldCharType="end"/>
      </w:r>
      <w:r>
        <w:fldChar w:fldCharType="end"/>
      </w:r>
    </w:p>
    <w:p>
      <w:pPr>
        <w:pStyle w:val="29"/>
        <w:tabs>
          <w:tab w:val="right" w:leader="dot" w:pos="9240"/>
          <w:tab w:val="clear" w:pos="9030"/>
        </w:tabs>
      </w:pPr>
      <w:r>
        <w:fldChar w:fldCharType="begin"/>
      </w:r>
      <w:r>
        <w:instrText xml:space="preserve"> HYPERLINK \l "_Toc22456" </w:instrText>
      </w:r>
      <w:r>
        <w:fldChar w:fldCharType="separate"/>
      </w:r>
      <w:r>
        <w:rPr>
          <w:rFonts w:hint="eastAsia"/>
          <w:szCs w:val="28"/>
        </w:rPr>
        <w:t>五、价值时点</w:t>
      </w:r>
      <w:r>
        <w:tab/>
      </w:r>
      <w:r>
        <w:fldChar w:fldCharType="begin"/>
      </w:r>
      <w:r>
        <w:instrText xml:space="preserve"> PAGEREF _Toc22456 \h </w:instrText>
      </w:r>
      <w:r>
        <w:fldChar w:fldCharType="separate"/>
      </w:r>
      <w:r>
        <w:t>34</w:t>
      </w:r>
      <w:r>
        <w:fldChar w:fldCharType="end"/>
      </w:r>
      <w:r>
        <w:fldChar w:fldCharType="end"/>
      </w:r>
    </w:p>
    <w:p>
      <w:pPr>
        <w:pStyle w:val="29"/>
        <w:tabs>
          <w:tab w:val="right" w:leader="dot" w:pos="9240"/>
          <w:tab w:val="clear" w:pos="9030"/>
        </w:tabs>
      </w:pPr>
      <w:r>
        <w:fldChar w:fldCharType="begin"/>
      </w:r>
      <w:r>
        <w:instrText xml:space="preserve"> HYPERLINK \l "_Toc11027" </w:instrText>
      </w:r>
      <w:r>
        <w:fldChar w:fldCharType="separate"/>
      </w:r>
      <w:r>
        <w:rPr>
          <w:rFonts w:hint="eastAsia"/>
          <w:szCs w:val="28"/>
        </w:rPr>
        <w:t>六、价值类型</w:t>
      </w:r>
      <w:r>
        <w:tab/>
      </w:r>
      <w:r>
        <w:fldChar w:fldCharType="begin"/>
      </w:r>
      <w:r>
        <w:instrText xml:space="preserve"> PAGEREF _Toc11027 \h </w:instrText>
      </w:r>
      <w:r>
        <w:fldChar w:fldCharType="separate"/>
      </w:r>
      <w:r>
        <w:t>34</w:t>
      </w:r>
      <w:r>
        <w:fldChar w:fldCharType="end"/>
      </w:r>
      <w:r>
        <w:fldChar w:fldCharType="end"/>
      </w:r>
    </w:p>
    <w:p>
      <w:pPr>
        <w:pStyle w:val="29"/>
        <w:tabs>
          <w:tab w:val="right" w:leader="dot" w:pos="9240"/>
          <w:tab w:val="clear" w:pos="9030"/>
        </w:tabs>
      </w:pPr>
      <w:r>
        <w:fldChar w:fldCharType="begin"/>
      </w:r>
      <w:r>
        <w:instrText xml:space="preserve"> HYPERLINK \l "_Toc7645" </w:instrText>
      </w:r>
      <w:r>
        <w:fldChar w:fldCharType="separate"/>
      </w:r>
      <w:r>
        <w:rPr>
          <w:rFonts w:hint="eastAsia"/>
          <w:szCs w:val="28"/>
        </w:rPr>
        <w:t>七、估价原则</w:t>
      </w:r>
      <w:r>
        <w:tab/>
      </w:r>
      <w:r>
        <w:fldChar w:fldCharType="begin"/>
      </w:r>
      <w:r>
        <w:instrText xml:space="preserve"> PAGEREF _Toc7645 \h </w:instrText>
      </w:r>
      <w:r>
        <w:fldChar w:fldCharType="separate"/>
      </w:r>
      <w:r>
        <w:t>35</w:t>
      </w:r>
      <w:r>
        <w:fldChar w:fldCharType="end"/>
      </w:r>
      <w:r>
        <w:fldChar w:fldCharType="end"/>
      </w:r>
    </w:p>
    <w:p>
      <w:pPr>
        <w:pStyle w:val="29"/>
        <w:tabs>
          <w:tab w:val="right" w:leader="dot" w:pos="9240"/>
          <w:tab w:val="clear" w:pos="9030"/>
        </w:tabs>
      </w:pPr>
      <w:r>
        <w:fldChar w:fldCharType="begin"/>
      </w:r>
      <w:r>
        <w:instrText xml:space="preserve"> HYPERLINK \l "_Toc3615" </w:instrText>
      </w:r>
      <w:r>
        <w:fldChar w:fldCharType="separate"/>
      </w:r>
      <w:r>
        <w:rPr>
          <w:rFonts w:hint="eastAsia"/>
          <w:szCs w:val="28"/>
        </w:rPr>
        <w:t>八、估价依据</w:t>
      </w:r>
      <w:r>
        <w:tab/>
      </w:r>
      <w:r>
        <w:fldChar w:fldCharType="begin"/>
      </w:r>
      <w:r>
        <w:instrText xml:space="preserve"> PAGEREF _Toc3615 \h </w:instrText>
      </w:r>
      <w:r>
        <w:fldChar w:fldCharType="separate"/>
      </w:r>
      <w:r>
        <w:t>36</w:t>
      </w:r>
      <w:r>
        <w:fldChar w:fldCharType="end"/>
      </w:r>
      <w:r>
        <w:fldChar w:fldCharType="end"/>
      </w:r>
    </w:p>
    <w:p>
      <w:pPr>
        <w:pStyle w:val="29"/>
        <w:tabs>
          <w:tab w:val="right" w:leader="dot" w:pos="9240"/>
          <w:tab w:val="clear" w:pos="9030"/>
        </w:tabs>
      </w:pPr>
      <w:r>
        <w:fldChar w:fldCharType="begin"/>
      </w:r>
      <w:r>
        <w:instrText xml:space="preserve"> HYPERLINK \l "_Toc30180" </w:instrText>
      </w:r>
      <w:r>
        <w:fldChar w:fldCharType="separate"/>
      </w:r>
      <w:r>
        <w:rPr>
          <w:rFonts w:hint="eastAsia"/>
          <w:szCs w:val="28"/>
        </w:rPr>
        <w:t>九、估价方法</w:t>
      </w:r>
      <w:r>
        <w:tab/>
      </w:r>
      <w:r>
        <w:fldChar w:fldCharType="begin"/>
      </w:r>
      <w:r>
        <w:instrText xml:space="preserve"> PAGEREF _Toc30180 \h </w:instrText>
      </w:r>
      <w:r>
        <w:fldChar w:fldCharType="separate"/>
      </w:r>
      <w:r>
        <w:t>38</w:t>
      </w:r>
      <w:r>
        <w:fldChar w:fldCharType="end"/>
      </w:r>
      <w:r>
        <w:fldChar w:fldCharType="end"/>
      </w:r>
    </w:p>
    <w:p>
      <w:pPr>
        <w:pStyle w:val="29"/>
        <w:tabs>
          <w:tab w:val="right" w:leader="dot" w:pos="9240"/>
          <w:tab w:val="clear" w:pos="9030"/>
        </w:tabs>
      </w:pPr>
      <w:r>
        <w:fldChar w:fldCharType="begin"/>
      </w:r>
      <w:r>
        <w:instrText xml:space="preserve"> HYPERLINK \l "_Toc7591" </w:instrText>
      </w:r>
      <w:r>
        <w:fldChar w:fldCharType="separate"/>
      </w:r>
      <w:r>
        <w:rPr>
          <w:rFonts w:hint="eastAsia"/>
          <w:szCs w:val="28"/>
        </w:rPr>
        <w:t>十、估价结果</w:t>
      </w:r>
      <w:r>
        <w:tab/>
      </w:r>
      <w:r>
        <w:fldChar w:fldCharType="begin"/>
      </w:r>
      <w:r>
        <w:instrText xml:space="preserve"> PAGEREF _Toc7591 \h </w:instrText>
      </w:r>
      <w:r>
        <w:fldChar w:fldCharType="separate"/>
      </w:r>
      <w:r>
        <w:t>41</w:t>
      </w:r>
      <w:r>
        <w:fldChar w:fldCharType="end"/>
      </w:r>
      <w:r>
        <w:fldChar w:fldCharType="end"/>
      </w:r>
    </w:p>
    <w:p>
      <w:pPr>
        <w:pStyle w:val="29"/>
        <w:tabs>
          <w:tab w:val="right" w:leader="dot" w:pos="9240"/>
          <w:tab w:val="clear" w:pos="9030"/>
        </w:tabs>
      </w:pPr>
      <w:r>
        <w:fldChar w:fldCharType="begin"/>
      </w:r>
      <w:r>
        <w:instrText xml:space="preserve"> HYPERLINK \l "_Toc12061" </w:instrText>
      </w:r>
      <w:r>
        <w:fldChar w:fldCharType="separate"/>
      </w:r>
      <w:r>
        <w:rPr>
          <w:rFonts w:hint="eastAsia"/>
          <w:szCs w:val="28"/>
        </w:rPr>
        <w:t>十二、实地查勘期</w:t>
      </w:r>
      <w:r>
        <w:tab/>
      </w:r>
      <w:r>
        <w:fldChar w:fldCharType="begin"/>
      </w:r>
      <w:r>
        <w:instrText xml:space="preserve"> PAGEREF _Toc12061 \h </w:instrText>
      </w:r>
      <w:r>
        <w:fldChar w:fldCharType="separate"/>
      </w:r>
      <w:r>
        <w:t>41</w:t>
      </w:r>
      <w:r>
        <w:fldChar w:fldCharType="end"/>
      </w:r>
      <w:r>
        <w:fldChar w:fldCharType="end"/>
      </w:r>
    </w:p>
    <w:p>
      <w:pPr>
        <w:pStyle w:val="29"/>
        <w:tabs>
          <w:tab w:val="right" w:leader="dot" w:pos="9240"/>
          <w:tab w:val="clear" w:pos="9030"/>
        </w:tabs>
      </w:pPr>
      <w:r>
        <w:fldChar w:fldCharType="begin"/>
      </w:r>
      <w:r>
        <w:instrText xml:space="preserve"> HYPERLINK \l "_Toc11953" </w:instrText>
      </w:r>
      <w:r>
        <w:fldChar w:fldCharType="separate"/>
      </w:r>
      <w:r>
        <w:rPr>
          <w:rFonts w:hint="eastAsia"/>
          <w:szCs w:val="28"/>
        </w:rPr>
        <w:t>十三、估价作业期</w:t>
      </w:r>
      <w:r>
        <w:tab/>
      </w:r>
      <w:r>
        <w:fldChar w:fldCharType="begin"/>
      </w:r>
      <w:r>
        <w:instrText xml:space="preserve"> PAGEREF _Toc11953 \h </w:instrText>
      </w:r>
      <w:r>
        <w:fldChar w:fldCharType="separate"/>
      </w:r>
      <w:r>
        <w:t>41</w:t>
      </w:r>
      <w:r>
        <w:fldChar w:fldCharType="end"/>
      </w:r>
      <w:r>
        <w:fldChar w:fldCharType="end"/>
      </w:r>
    </w:p>
    <w:p>
      <w:pPr>
        <w:pStyle w:val="24"/>
        <w:tabs>
          <w:tab w:val="right" w:leader="dot" w:pos="9240"/>
        </w:tabs>
      </w:pPr>
      <w:r>
        <w:fldChar w:fldCharType="begin"/>
      </w:r>
      <w:r>
        <w:instrText xml:space="preserve"> HYPERLINK \l "_Toc27007" </w:instrText>
      </w:r>
      <w:r>
        <w:fldChar w:fldCharType="separate"/>
      </w:r>
      <w:r>
        <w:rPr>
          <w:rFonts w:hint="eastAsia" w:ascii="黑体" w:hAnsi="黑体" w:eastAsia="黑体"/>
          <w:szCs w:val="36"/>
        </w:rPr>
        <w:t>附</w:t>
      </w:r>
      <w:r>
        <w:rPr>
          <w:rFonts w:ascii="黑体" w:hAnsi="黑体" w:eastAsia="黑体"/>
          <w:szCs w:val="36"/>
        </w:rPr>
        <w:t xml:space="preserve">   </w:t>
      </w:r>
      <w:r>
        <w:rPr>
          <w:rFonts w:hint="eastAsia" w:ascii="黑体" w:hAnsi="黑体" w:eastAsia="黑体"/>
          <w:szCs w:val="36"/>
        </w:rPr>
        <w:t>件</w:t>
      </w:r>
      <w:r>
        <w:tab/>
      </w:r>
      <w:r>
        <w:fldChar w:fldCharType="begin"/>
      </w:r>
      <w:r>
        <w:instrText xml:space="preserve"> PAGEREF _Toc27007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"_Toc19489" </w:instrText>
      </w:r>
      <w:r>
        <w:fldChar w:fldCharType="separate"/>
      </w:r>
      <w:r>
        <w:rPr>
          <w:rFonts w:hint="eastAsia"/>
          <w:szCs w:val="28"/>
        </w:rPr>
        <w:t>一、《贵州省黔东南苗族侗族自治州中级人民法院价格委托评估书》</w:t>
      </w:r>
      <w:r>
        <w:rPr>
          <w:szCs w:val="28"/>
        </w:rPr>
        <w:t>[</w:t>
      </w:r>
      <w:r>
        <w:rPr>
          <w:rFonts w:hint="eastAsia"/>
          <w:szCs w:val="28"/>
        </w:rPr>
        <w:t>（2022）黔26执75号</w:t>
      </w:r>
      <w:r>
        <w:rPr>
          <w:szCs w:val="28"/>
        </w:rPr>
        <w:t>]</w:t>
      </w:r>
      <w:r>
        <w:rPr>
          <w:rFonts w:hint="eastAsia"/>
          <w:szCs w:val="28"/>
        </w:rPr>
        <w:t>复印件</w:t>
      </w:r>
      <w:r>
        <w:tab/>
      </w:r>
      <w:r>
        <w:fldChar w:fldCharType="begin"/>
      </w:r>
      <w:r>
        <w:instrText xml:space="preserve"> PAGEREF _Toc19489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"_Toc27658" </w:instrText>
      </w:r>
      <w:r>
        <w:fldChar w:fldCharType="separate"/>
      </w:r>
      <w:r>
        <w:rPr>
          <w:rFonts w:hint="eastAsia"/>
          <w:szCs w:val="28"/>
        </w:rPr>
        <w:t>二、估价对象位置图</w:t>
      </w:r>
      <w:r>
        <w:tab/>
      </w:r>
      <w:r>
        <w:fldChar w:fldCharType="begin"/>
      </w:r>
      <w:r>
        <w:instrText xml:space="preserve"> PAGEREF _Toc27658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"_Toc29207" </w:instrText>
      </w:r>
      <w:r>
        <w:fldChar w:fldCharType="separate"/>
      </w:r>
      <w:r>
        <w:rPr>
          <w:rFonts w:hint="eastAsia"/>
          <w:szCs w:val="28"/>
        </w:rPr>
        <w:t>三、估价对象内外部状况以及周围环境和景观的照片</w:t>
      </w:r>
      <w:r>
        <w:tab/>
      </w:r>
      <w:r>
        <w:fldChar w:fldCharType="begin"/>
      </w:r>
      <w:r>
        <w:instrText xml:space="preserve"> PAGEREF _Toc29207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"_Toc14089" </w:instrText>
      </w:r>
      <w:r>
        <w:fldChar w:fldCharType="separate"/>
      </w:r>
      <w:r>
        <w:rPr>
          <w:rFonts w:hint="eastAsia"/>
          <w:szCs w:val="28"/>
        </w:rPr>
        <w:t>四、估价对象实地查勘情况表</w:t>
      </w:r>
      <w:r>
        <w:tab/>
      </w:r>
      <w:r>
        <w:fldChar w:fldCharType="begin"/>
      </w:r>
      <w:r>
        <w:instrText xml:space="preserve"> PAGEREF _Toc14089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"_Toc2453" </w:instrText>
      </w:r>
      <w:r>
        <w:fldChar w:fldCharType="separate"/>
      </w:r>
      <w:r>
        <w:rPr>
          <w:rFonts w:hint="eastAsia"/>
          <w:szCs w:val="28"/>
        </w:rPr>
        <w:t>五、估价对象权属证明复印件</w:t>
      </w:r>
      <w:r>
        <w:tab/>
      </w:r>
      <w:r>
        <w:fldChar w:fldCharType="begin"/>
      </w:r>
      <w:r>
        <w:instrText xml:space="preserve"> PAGEREF _Toc2453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"_Toc31162" </w:instrText>
      </w:r>
      <w:r>
        <w:fldChar w:fldCharType="separate"/>
      </w:r>
      <w:r>
        <w:rPr>
          <w:rFonts w:hint="eastAsia" w:hAnsi="Arial"/>
          <w:szCs w:val="28"/>
        </w:rPr>
        <w:t>六、估价对象《租赁合同》复印件</w:t>
      </w:r>
      <w:r>
        <w:tab/>
      </w:r>
      <w:r>
        <w:fldChar w:fldCharType="begin"/>
      </w:r>
      <w:r>
        <w:instrText xml:space="preserve"> PAGEREF _Toc31162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"_Toc19998" </w:instrText>
      </w:r>
      <w:r>
        <w:fldChar w:fldCharType="separate"/>
      </w:r>
      <w:r>
        <w:rPr>
          <w:rFonts w:hint="eastAsia"/>
          <w:szCs w:val="28"/>
        </w:rPr>
        <w:t>七、房地产估价机构营业执照和备案证书复印件</w:t>
      </w:r>
      <w:r>
        <w:tab/>
      </w:r>
      <w:r>
        <w:fldChar w:fldCharType="begin"/>
      </w:r>
      <w:r>
        <w:instrText xml:space="preserve"> PAGEREF _Toc19998 \h </w:instrText>
      </w:r>
      <w:r>
        <w:fldChar w:fldCharType="separate"/>
      </w:r>
      <w:r>
        <w:t>42</w:t>
      </w:r>
      <w:r>
        <w:fldChar w:fldCharType="end"/>
      </w:r>
      <w:r>
        <w:fldChar w:fldCharType="end"/>
      </w:r>
    </w:p>
    <w:p>
      <w:pPr>
        <w:pStyle w:val="29"/>
        <w:tabs>
          <w:tab w:val="right" w:leader="dot" w:pos="9240"/>
          <w:tab w:val="clear" w:pos="9030"/>
        </w:tabs>
      </w:pPr>
      <w:r>
        <w:fldChar w:fldCharType="begin"/>
      </w:r>
      <w:r>
        <w:instrText xml:space="preserve"> HYPERLINK \l "_Toc3559" </w:instrText>
      </w:r>
      <w:r>
        <w:fldChar w:fldCharType="separate"/>
      </w:r>
      <w:r>
        <w:rPr>
          <w:rFonts w:hint="eastAsia"/>
          <w:szCs w:val="28"/>
        </w:rPr>
        <w:t>八、注册房地产估价师估价资格证书复印件</w:t>
      </w:r>
      <w:r>
        <w:tab/>
      </w:r>
      <w:r>
        <w:fldChar w:fldCharType="begin"/>
      </w:r>
      <w:r>
        <w:instrText xml:space="preserve"> PAGEREF _Toc3559 \h </w:instrText>
      </w:r>
      <w:r>
        <w:fldChar w:fldCharType="separate"/>
      </w:r>
      <w:r>
        <w:t>42</w:t>
      </w:r>
      <w:r>
        <w:fldChar w:fldCharType="end"/>
      </w:r>
      <w:r>
        <w:fldChar w:fldCharType="end"/>
      </w:r>
    </w:p>
    <w:p>
      <w:pPr>
        <w:pStyle w:val="29"/>
        <w:tabs>
          <w:tab w:val="right" w:leader="dot" w:pos="9240"/>
          <w:tab w:val="clear" w:pos="9030"/>
        </w:tabs>
      </w:pPr>
    </w:p>
    <w:p>
      <w:pPr>
        <w:pStyle w:val="17"/>
        <w:spacing w:line="400" w:lineRule="exact"/>
        <w:jc w:val="center"/>
        <w:rPr>
          <w:rFonts w:ascii="楷体_GB2312" w:hAnsi="Times New Roman" w:eastAsia="楷体_GB2312"/>
          <w:iCs/>
          <w:kern w:val="2"/>
          <w:sz w:val="24"/>
          <w:szCs w:val="24"/>
          <w:highlight w:val="red"/>
        </w:rPr>
      </w:pPr>
      <w:r>
        <w:rPr>
          <w:rFonts w:hint="eastAsia" w:ascii="楷体_GB2312" w:hAnsi="Times New Roman" w:eastAsia="楷体_GB2312"/>
          <w:bCs/>
          <w:kern w:val="2"/>
          <w:szCs w:val="24"/>
          <w:highlight w:val="yellow"/>
        </w:rPr>
        <w:fldChar w:fldCharType="end"/>
      </w:r>
    </w:p>
    <w:p>
      <w:pPr>
        <w:pStyle w:val="17"/>
        <w:spacing w:line="340" w:lineRule="exact"/>
        <w:jc w:val="center"/>
        <w:rPr>
          <w:rFonts w:ascii="楷体_GB2312" w:eastAsia="楷体_GB2312"/>
          <w:bCs/>
          <w:sz w:val="24"/>
          <w:szCs w:val="24"/>
          <w:highlight w:val="yellow"/>
        </w:rPr>
      </w:pPr>
    </w:p>
    <w:p>
      <w:pPr>
        <w:pStyle w:val="17"/>
        <w:spacing w:line="340" w:lineRule="exact"/>
        <w:jc w:val="center"/>
        <w:rPr>
          <w:rFonts w:ascii="楷体_GB2312" w:eastAsia="楷体_GB2312"/>
          <w:bCs/>
          <w:sz w:val="24"/>
          <w:szCs w:val="24"/>
          <w:highlight w:val="yellow"/>
        </w:rPr>
      </w:pPr>
    </w:p>
    <w:p>
      <w:pPr>
        <w:pStyle w:val="17"/>
        <w:spacing w:line="340" w:lineRule="exact"/>
        <w:rPr>
          <w:rFonts w:ascii="楷体_GB2312" w:eastAsia="楷体_GB2312"/>
          <w:bCs/>
          <w:sz w:val="24"/>
          <w:szCs w:val="24"/>
          <w:highlight w:val="yellow"/>
        </w:rPr>
      </w:pPr>
    </w:p>
    <w:p>
      <w:pPr>
        <w:pStyle w:val="3"/>
        <w:spacing w:before="0" w:after="0"/>
        <w:jc w:val="center"/>
        <w:rPr>
          <w:rFonts w:ascii="黑体" w:hAnsi="黑体" w:eastAsia="黑体"/>
          <w:sz w:val="36"/>
          <w:szCs w:val="36"/>
        </w:rPr>
      </w:pPr>
      <w:bookmarkStart w:id="2" w:name="_Toc322348926"/>
      <w:bookmarkStart w:id="3" w:name="_Toc10572"/>
      <w:r>
        <w:rPr>
          <w:rFonts w:hint="eastAsia" w:ascii="黑体" w:hAnsi="黑体" w:eastAsia="黑体"/>
          <w:sz w:val="36"/>
          <w:szCs w:val="36"/>
        </w:rPr>
        <w:t>估价师声明</w:t>
      </w:r>
      <w:bookmarkEnd w:id="2"/>
      <w:bookmarkEnd w:id="3"/>
    </w:p>
    <w:p>
      <w:pPr>
        <w:pStyle w:val="19"/>
        <w:snapToGrid w:val="0"/>
        <w:spacing w:line="480" w:lineRule="exact"/>
        <w:rPr>
          <w:rFonts w:ascii="楷体_GB2312" w:eastAsia="楷体_GB2312"/>
          <w:sz w:val="28"/>
        </w:rPr>
      </w:pPr>
      <w:bookmarkStart w:id="4" w:name="_Toc322348927"/>
      <w:r>
        <w:rPr>
          <w:rFonts w:hint="eastAsia" w:ascii="楷体_GB2312" w:eastAsia="楷体_GB2312"/>
          <w:sz w:val="28"/>
        </w:rPr>
        <w:t>我们郑重声明：</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注册房地产估价师在本估价报告中陈述的事实是真实的和准确的，没有虚假记载、误导性陈述和重大遗漏。</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本估价报告中的分析、意见和结论是注册房地产估价师独立、客观、公正的专业分析、意见和结论，但受到本估价报告中已说明的假设和限制条件的限制。</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注册房地产估价师与本估价报告中的估价对象没有现实或潜在的利益，与估价委托人及估价利害关系人没有利害关系，也对估价对象、估价委托人及估价利害关系人没有偏见。</w:t>
      </w:r>
    </w:p>
    <w:p>
      <w:pPr>
        <w:numPr>
          <w:ilvl w:val="0"/>
          <w:numId w:val="1"/>
        </w:numPr>
        <w:tabs>
          <w:tab w:val="left" w:pos="735"/>
          <w:tab w:val="left" w:pos="945"/>
          <w:tab w:val="clear" w:pos="930"/>
        </w:tabs>
        <w:snapToGrid w:val="0"/>
        <w:spacing w:line="480" w:lineRule="exact"/>
        <w:ind w:left="0" w:firstLine="570"/>
        <w:rPr>
          <w:rFonts w:ascii="楷体_GB2312" w:hAnsi="宋体" w:eastAsia="楷体_GB2312"/>
          <w:sz w:val="28"/>
        </w:rPr>
      </w:pPr>
      <w:r>
        <w:rPr>
          <w:rFonts w:hint="eastAsia" w:ascii="楷体_GB2312" w:eastAsia="楷体_GB2312"/>
          <w:sz w:val="28"/>
        </w:rPr>
        <w:t>注册房地产估价师是按照中华人民共和国国家标准《房地产估价规范》（</w:t>
      </w:r>
      <w:r>
        <w:rPr>
          <w:rFonts w:ascii="楷体_GB2312" w:eastAsia="楷体_GB2312"/>
          <w:sz w:val="28"/>
        </w:rPr>
        <w:t>GB/T50291-2015</w:t>
      </w:r>
      <w:r>
        <w:rPr>
          <w:rFonts w:hint="eastAsia" w:ascii="楷体_GB2312" w:eastAsia="楷体_GB2312"/>
          <w:sz w:val="28"/>
        </w:rPr>
        <w:t>）《房地产估价基本术语标准》（</w:t>
      </w:r>
      <w:r>
        <w:rPr>
          <w:rFonts w:ascii="楷体_GB2312" w:eastAsia="楷体_GB2312"/>
          <w:sz w:val="28"/>
        </w:rPr>
        <w:t>GB/T50899-2013</w:t>
      </w:r>
      <w:r>
        <w:rPr>
          <w:rFonts w:hint="eastAsia" w:ascii="楷体_GB2312" w:eastAsia="楷体_GB2312"/>
          <w:sz w:val="28"/>
        </w:rPr>
        <w:t>）的规定进行分析、形成意见和结论，撰写本估价报告。</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没有外部专家和单位对本估价报告提供重要专业帮助。</w:t>
      </w: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pStyle w:val="3"/>
        <w:spacing w:before="0" w:after="0"/>
        <w:jc w:val="center"/>
        <w:rPr>
          <w:rFonts w:ascii="黑体" w:hAnsi="黑体" w:eastAsia="黑体"/>
          <w:sz w:val="36"/>
          <w:szCs w:val="36"/>
        </w:rPr>
      </w:pPr>
      <w:bookmarkStart w:id="5" w:name="_Toc29471"/>
      <w:r>
        <w:rPr>
          <w:rFonts w:hint="eastAsia" w:ascii="黑体" w:hAnsi="黑体" w:eastAsia="黑体"/>
          <w:sz w:val="36"/>
          <w:szCs w:val="36"/>
        </w:rPr>
        <w:t>估价假设和限制条件</w:t>
      </w:r>
      <w:bookmarkEnd w:id="4"/>
      <w:bookmarkEnd w:id="5"/>
    </w:p>
    <w:p>
      <w:pPr>
        <w:pStyle w:val="5"/>
        <w:spacing w:line="400" w:lineRule="exact"/>
        <w:ind w:firstLine="0"/>
        <w:rPr>
          <w:rFonts w:ascii="黑体" w:eastAsia="黑体"/>
          <w:b/>
        </w:rPr>
      </w:pPr>
      <w:r>
        <w:rPr>
          <w:rFonts w:hint="eastAsia" w:ascii="黑体" w:eastAsia="黑体"/>
          <w:b/>
        </w:rPr>
        <w:t>一、估价的假设条件</w:t>
      </w:r>
    </w:p>
    <w:p>
      <w:pPr>
        <w:snapToGrid w:val="0"/>
        <w:spacing w:line="400" w:lineRule="exact"/>
        <w:ind w:firstLine="560" w:firstLineChars="200"/>
        <w:rPr>
          <w:rFonts w:ascii="黑体" w:eastAsia="黑体"/>
          <w:b/>
          <w:sz w:val="28"/>
        </w:rPr>
      </w:pPr>
      <w:r>
        <w:rPr>
          <w:rFonts w:hint="eastAsia" w:ascii="楷体_GB2312" w:eastAsia="楷体_GB2312"/>
          <w:sz w:val="28"/>
        </w:rPr>
        <w:t>估价假设条件是针对估价对象状况等估价前提所做的必要的、合理且有依据的假设，包括一般假设、未定事项假设、背离事实假设、不相一致假设、依据不足假设。</w:t>
      </w:r>
    </w:p>
    <w:p>
      <w:pPr>
        <w:tabs>
          <w:tab w:val="left" w:pos="1134"/>
          <w:tab w:val="left" w:pos="3940"/>
        </w:tabs>
        <w:snapToGrid w:val="0"/>
        <w:spacing w:line="400" w:lineRule="exact"/>
        <w:ind w:firstLine="562" w:firstLineChars="200"/>
        <w:rPr>
          <w:rFonts w:ascii="黑体" w:eastAsia="黑体"/>
          <w:b/>
          <w:sz w:val="28"/>
        </w:rPr>
      </w:pPr>
    </w:p>
    <w:p>
      <w:pPr>
        <w:tabs>
          <w:tab w:val="left" w:pos="1134"/>
          <w:tab w:val="left" w:pos="3940"/>
        </w:tabs>
        <w:snapToGrid w:val="0"/>
        <w:spacing w:line="400" w:lineRule="exact"/>
        <w:ind w:firstLine="562" w:firstLineChars="200"/>
        <w:rPr>
          <w:rFonts w:ascii="黑体" w:eastAsia="黑体"/>
          <w:b/>
          <w:sz w:val="28"/>
        </w:rPr>
      </w:pPr>
      <w:r>
        <w:rPr>
          <w:rFonts w:hint="eastAsia" w:ascii="黑体" w:eastAsia="黑体"/>
          <w:b/>
          <w:sz w:val="28"/>
        </w:rPr>
        <w:t>（一）一般假设</w:t>
      </w:r>
    </w:p>
    <w:p>
      <w:pPr>
        <w:snapToGrid w:val="0"/>
        <w:spacing w:line="480" w:lineRule="exact"/>
        <w:ind w:firstLine="560" w:firstLineChars="200"/>
        <w:rPr>
          <w:rFonts w:ascii="楷体_GB2312" w:eastAsia="楷体_GB2312"/>
          <w:sz w:val="28"/>
        </w:rPr>
      </w:pPr>
      <w:r>
        <w:rPr>
          <w:rFonts w:hint="eastAsia" w:ascii="楷体_GB2312" w:eastAsia="楷体_GB2312"/>
          <w:sz w:val="28"/>
        </w:rPr>
        <w:t>一般假设是对估价所依据的估价对象的权属、面积、用途等资料进行了检查，在无理由怀疑其合法性、真实性、准确性和完整性且未予以核实的情况下，对其合</w:t>
      </w:r>
      <w:r>
        <w:rPr>
          <w:rFonts w:hint="eastAsia" w:ascii="楷体_GB2312" w:hAnsi="楷体_GB2312" w:eastAsia="楷体_GB2312" w:cs="楷体_GB2312"/>
          <w:sz w:val="28"/>
        </w:rPr>
        <w:t>法、真实、准确和完整的合理假定</w:t>
      </w:r>
      <w:r>
        <w:rPr>
          <w:rFonts w:hint="eastAsia" w:ascii="楷体_GB2312" w:eastAsia="楷体_GB2312"/>
          <w:sz w:val="28"/>
        </w:rPr>
        <w:t>;对房屋安全、环境污染等影响估价对象价值或价格的重大因素给予了关注，在无理由怀疑估价对象存在安全隐患且无相应的专业机构进行鉴定、检测的情况下、对其安全的合理假定。</w:t>
      </w:r>
    </w:p>
    <w:p>
      <w:pPr>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1</w:t>
      </w:r>
      <w:r>
        <w:rPr>
          <w:rFonts w:ascii="楷体_GB2312" w:hAnsi="宋体" w:eastAsia="楷体_GB2312" w:cs="宋体"/>
          <w:kern w:val="0"/>
          <w:sz w:val="28"/>
          <w:szCs w:val="28"/>
        </w:rPr>
        <w:t>.</w:t>
      </w:r>
      <w:r>
        <w:rPr>
          <w:rFonts w:hint="eastAsia" w:ascii="楷体_GB2312" w:hAnsi="宋体" w:eastAsia="楷体_GB2312" w:cs="宋体"/>
          <w:kern w:val="0"/>
          <w:sz w:val="28"/>
          <w:szCs w:val="28"/>
        </w:rPr>
        <w:t>由于估价目的的特殊性，</w:t>
      </w:r>
      <w:r>
        <w:rPr>
          <w:rFonts w:hint="eastAsia" w:ascii="楷体_GB2312" w:eastAsia="楷体_GB2312"/>
          <w:sz w:val="28"/>
        </w:rPr>
        <w:t>《房屋所有权证》、《不动产权证书》由</w:t>
      </w:r>
      <w:r>
        <w:rPr>
          <w:rFonts w:hint="eastAsia" w:ascii="楷体_GB2312" w:hAnsi="宋体" w:eastAsia="楷体_GB2312" w:cs="宋体"/>
          <w:kern w:val="0"/>
          <w:sz w:val="28"/>
          <w:szCs w:val="28"/>
        </w:rPr>
        <w:t>估价委托人提供，我们未向政府有关部门进行核实；在无理由怀疑其合法性、真实性、准确性和完整性的情况下，假定估价委托人提供的资料合法、真实、准确、完整。</w:t>
      </w:r>
    </w:p>
    <w:p>
      <w:pPr>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2</w:t>
      </w:r>
      <w:r>
        <w:rPr>
          <w:rFonts w:ascii="楷体_GB2312" w:hAnsi="宋体" w:eastAsia="楷体_GB2312" w:cs="宋体"/>
          <w:kern w:val="0"/>
          <w:sz w:val="28"/>
          <w:szCs w:val="28"/>
        </w:rPr>
        <w:t>.</w:t>
      </w:r>
      <w:r>
        <w:rPr>
          <w:rFonts w:hint="eastAsia" w:ascii="楷体_GB2312" w:hAnsi="宋体" w:eastAsia="楷体_GB2312" w:cs="宋体"/>
          <w:kern w:val="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945"/>
          <w:tab w:val="left" w:pos="1050"/>
          <w:tab w:val="left" w:pos="1493"/>
        </w:tabs>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3.</w:t>
      </w:r>
      <w:r>
        <w:rPr>
          <w:rFonts w:hint="eastAsia" w:ascii="楷体_GB2312" w:eastAsia="楷体_GB2312"/>
          <w:sz w:val="28"/>
        </w:rPr>
        <w:t>注册房地产估价师未对房屋建筑面积进行专业测量，但予以了关注，经现场查勘观察，估价对象的建筑面积及土地使用权面积与《不动产权证书》、《房屋所有权证》记载的面积大体相当。估价对象的建筑面积及土地使用权面积，以估价委托人提供的《不动产权证书》、《房屋所有权证》记载面积为依据。</w:t>
      </w:r>
    </w:p>
    <w:p>
      <w:pPr>
        <w:snapToGrid w:val="0"/>
        <w:spacing w:line="480" w:lineRule="exact"/>
        <w:ind w:firstLine="560" w:firstLineChars="200"/>
        <w:rPr>
          <w:rFonts w:ascii="楷体_GB2312" w:eastAsia="楷体_GB2312"/>
          <w:spacing w:val="-8"/>
          <w:sz w:val="28"/>
        </w:rPr>
      </w:pPr>
      <w:r>
        <w:rPr>
          <w:rFonts w:hint="eastAsia" w:ascii="楷体_GB2312" w:eastAsia="楷体_GB2312"/>
          <w:sz w:val="28"/>
        </w:rPr>
        <w:t>4</w:t>
      </w:r>
      <w:r>
        <w:rPr>
          <w:rFonts w:ascii="楷体_GB2312" w:eastAsia="楷体_GB2312"/>
          <w:sz w:val="28"/>
        </w:rPr>
        <w:t>.</w:t>
      </w:r>
      <w:r>
        <w:rPr>
          <w:rFonts w:hint="eastAsia" w:ascii="楷体_GB2312" w:eastAsia="楷体_GB2312"/>
          <w:sz w:val="28"/>
        </w:rPr>
        <w:t>估价对象在价值时点的房地产市场为公开、平等、自愿的交易市场，即能满足以下条件</w:t>
      </w:r>
      <w:r>
        <w:rPr>
          <w:rFonts w:hint="eastAsia" w:ascii="楷体_GB2312" w:eastAsia="楷体_GB2312"/>
          <w:spacing w:val="-8"/>
          <w:sz w:val="28"/>
        </w:rPr>
        <w:t>：</w:t>
      </w:r>
    </w:p>
    <w:p>
      <w:pPr>
        <w:snapToGrid w:val="0"/>
        <w:spacing w:line="480" w:lineRule="exact"/>
        <w:ind w:firstLine="528" w:firstLineChars="200"/>
        <w:rPr>
          <w:rFonts w:ascii="楷体_GB2312" w:eastAsia="楷体_GB2312"/>
          <w:sz w:val="28"/>
        </w:rPr>
      </w:pPr>
      <w:r>
        <w:rPr>
          <w:rFonts w:ascii="楷体_GB2312" w:eastAsia="楷体_GB2312"/>
          <w:spacing w:val="-8"/>
          <w:sz w:val="28"/>
        </w:rPr>
        <w:t>(1)</w:t>
      </w:r>
      <w:r>
        <w:rPr>
          <w:rFonts w:hint="eastAsia" w:ascii="楷体_GB2312" w:eastAsia="楷体_GB2312"/>
          <w:sz w:val="28"/>
        </w:rPr>
        <w:t>交易双方自愿的进行交易；</w:t>
      </w:r>
    </w:p>
    <w:p>
      <w:pPr>
        <w:snapToGrid w:val="0"/>
        <w:spacing w:line="480" w:lineRule="exact"/>
        <w:ind w:firstLine="528" w:firstLineChars="200"/>
        <w:rPr>
          <w:rFonts w:ascii="楷体_GB2312" w:eastAsia="楷体_GB2312"/>
          <w:sz w:val="28"/>
        </w:rPr>
      </w:pPr>
      <w:r>
        <w:rPr>
          <w:rFonts w:ascii="楷体_GB2312" w:eastAsia="楷体_GB2312"/>
          <w:spacing w:val="-8"/>
          <w:sz w:val="28"/>
        </w:rPr>
        <w:t>(2)</w:t>
      </w:r>
      <w:r>
        <w:rPr>
          <w:rFonts w:hint="eastAsia" w:ascii="楷体_GB2312" w:eastAsia="楷体_GB2312"/>
          <w:sz w:val="28"/>
        </w:rPr>
        <w:t>交易双方处于利己动机进行交易；</w:t>
      </w:r>
      <w:r>
        <w:rPr>
          <w:rFonts w:ascii="楷体_GB2312" w:eastAsia="楷体_GB2312"/>
          <w:sz w:val="28"/>
        </w:rPr>
        <w:t xml:space="preserve"> </w:t>
      </w:r>
    </w:p>
    <w:p>
      <w:pPr>
        <w:snapToGrid w:val="0"/>
        <w:spacing w:line="480" w:lineRule="exact"/>
        <w:ind w:firstLine="528" w:firstLineChars="200"/>
        <w:rPr>
          <w:rFonts w:ascii="楷体_GB2312" w:eastAsia="楷体_GB2312"/>
          <w:sz w:val="28"/>
        </w:rPr>
      </w:pPr>
      <w:r>
        <w:rPr>
          <w:rFonts w:ascii="楷体_GB2312" w:eastAsia="楷体_GB2312"/>
          <w:spacing w:val="-8"/>
          <w:sz w:val="28"/>
        </w:rPr>
        <w:t>(3)</w:t>
      </w:r>
      <w:r>
        <w:rPr>
          <w:rFonts w:hint="eastAsia" w:ascii="楷体_GB2312" w:eastAsia="楷体_GB2312"/>
          <w:sz w:val="28"/>
        </w:rPr>
        <w:t>交易双方精明、谨慎行事，并了解交易对象、知晓市场行情；</w:t>
      </w:r>
    </w:p>
    <w:p>
      <w:pPr>
        <w:snapToGrid w:val="0"/>
        <w:spacing w:line="480" w:lineRule="exact"/>
        <w:ind w:firstLine="528" w:firstLineChars="200"/>
        <w:rPr>
          <w:rFonts w:ascii="楷体_GB2312" w:eastAsia="楷体_GB2312"/>
          <w:sz w:val="28"/>
        </w:rPr>
      </w:pPr>
      <w:r>
        <w:rPr>
          <w:rFonts w:ascii="楷体_GB2312" w:eastAsia="楷体_GB2312"/>
          <w:spacing w:val="-8"/>
          <w:sz w:val="28"/>
        </w:rPr>
        <w:t>(4)</w:t>
      </w:r>
      <w:r>
        <w:rPr>
          <w:rFonts w:hint="eastAsia" w:ascii="楷体_GB2312" w:eastAsia="楷体_GB2312"/>
          <w:sz w:val="28"/>
        </w:rPr>
        <w:t>交易双方有较充裕的时间进行交易；</w:t>
      </w:r>
    </w:p>
    <w:p>
      <w:pPr>
        <w:snapToGrid w:val="0"/>
        <w:spacing w:line="480" w:lineRule="exact"/>
        <w:ind w:firstLine="528" w:firstLineChars="200"/>
        <w:rPr>
          <w:rFonts w:ascii="楷体_GB2312" w:eastAsia="楷体_GB2312"/>
          <w:spacing w:val="-8"/>
          <w:sz w:val="28"/>
        </w:rPr>
      </w:pPr>
      <w:r>
        <w:rPr>
          <w:rFonts w:ascii="楷体_GB2312" w:eastAsia="楷体_GB2312"/>
          <w:spacing w:val="-8"/>
          <w:sz w:val="28"/>
        </w:rPr>
        <w:t>(5)不存在买者因特殊兴趣而给予附加出价</w:t>
      </w:r>
      <w:r>
        <w:rPr>
          <w:rFonts w:hint="eastAsia" w:ascii="楷体_GB2312" w:eastAsia="楷体_GB2312"/>
          <w:spacing w:val="-8"/>
          <w:sz w:val="28"/>
        </w:rPr>
        <w:t>；</w:t>
      </w:r>
    </w:p>
    <w:p>
      <w:pPr>
        <w:snapToGrid w:val="0"/>
        <w:spacing w:line="480" w:lineRule="exact"/>
        <w:ind w:firstLine="560" w:firstLineChars="200"/>
        <w:rPr>
          <w:rFonts w:ascii="楷体_GB2312" w:eastAsia="楷体_GB2312"/>
          <w:sz w:val="28"/>
        </w:rPr>
      </w:pPr>
      <w:r>
        <w:rPr>
          <w:rFonts w:hint="eastAsia" w:ascii="楷体_GB2312" w:eastAsia="楷体_GB2312"/>
          <w:sz w:val="28"/>
        </w:rPr>
        <w:t>5.估价对象公共配套设施、水、电供应及人流、物流交通均与整体物业为不可分割的一体，因此本次估价是以估价对象可享有合理的公共配套设施、水、电供应及道路交通的使用的权益为假设前提。</w:t>
      </w:r>
    </w:p>
    <w:p>
      <w:pPr>
        <w:snapToGrid w:val="0"/>
        <w:spacing w:line="480" w:lineRule="exact"/>
        <w:ind w:firstLine="560" w:firstLineChars="200"/>
        <w:rPr>
          <w:rFonts w:ascii="楷体_GB2312" w:eastAsia="楷体_GB2312"/>
          <w:sz w:val="28"/>
        </w:rPr>
      </w:pPr>
      <w:r>
        <w:rPr>
          <w:rFonts w:ascii="楷体_GB2312" w:eastAsia="楷体_GB2312"/>
          <w:sz w:val="28"/>
        </w:rPr>
        <w:t>6.</w:t>
      </w:r>
      <w:r>
        <w:rPr>
          <w:rFonts w:hint="eastAsia" w:ascii="楷体_GB2312" w:eastAsia="楷体_GB2312"/>
          <w:sz w:val="28"/>
        </w:rPr>
        <w:t>根据估价委托人提供的《贵州省黔东南苗族侗族自治州中级人民法院价格委托评估书》，人民法院未明确存在租赁权、用益物权及占有使用情况，本次估价对象经注册房地产估价师尽职调查后发现估价对象商业房地产除凯里市凯棉路138号佳和盛世一期2栋14单元1层14-1-19号、2栋13单元1层13-1-14号外，其他估价对象均已出租，贵州省黔东南苗族侗族自治州中级人民法院提供了估价对象租赁合同，本次评估已考虑租赁合同对价值的影响，租期内采用合同租金，租期外采用市场客观租金。</w:t>
      </w:r>
    </w:p>
    <w:p>
      <w:pPr>
        <w:snapToGrid w:val="0"/>
        <w:spacing w:line="480" w:lineRule="exact"/>
        <w:ind w:firstLine="560" w:firstLineChars="200"/>
        <w:rPr>
          <w:rFonts w:ascii="楷体_GB2312" w:eastAsia="楷体_GB2312"/>
          <w:sz w:val="28"/>
        </w:rPr>
      </w:pPr>
      <w:r>
        <w:rPr>
          <w:rFonts w:ascii="楷体_GB2312" w:eastAsia="楷体_GB2312"/>
          <w:sz w:val="28"/>
        </w:rPr>
        <w:t>7.</w:t>
      </w:r>
      <w:r>
        <w:rPr>
          <w:rFonts w:hint="eastAsia" w:ascii="楷体_GB2312" w:eastAsia="楷体_GB2312"/>
          <w:sz w:val="28"/>
        </w:rPr>
        <w:t>根据估价委托人提供的《贵州省黔东南苗族侗族自治州中级人民法院价格委托评估书》，人民法院未明确存在欠缴税金及相关费用，包括税收、物业费、供暖费、水电费等及滞纳金，故本次假定估价对象不存在欠缴税金及相关费用。</w:t>
      </w:r>
    </w:p>
    <w:p>
      <w:pPr>
        <w:snapToGrid w:val="0"/>
        <w:spacing w:line="480" w:lineRule="exact"/>
        <w:ind w:firstLine="560" w:firstLineChars="200"/>
        <w:rPr>
          <w:rFonts w:ascii="楷体_GB2312" w:eastAsia="楷体_GB2312"/>
          <w:sz w:val="28"/>
        </w:rPr>
      </w:pPr>
      <w:r>
        <w:rPr>
          <w:rFonts w:ascii="楷体_GB2312" w:eastAsia="楷体_GB2312"/>
          <w:sz w:val="28"/>
        </w:rPr>
        <w:t>9</w:t>
      </w:r>
      <w:r>
        <w:rPr>
          <w:rFonts w:hint="eastAsia" w:ascii="楷体_GB2312" w:eastAsia="楷体_GB2312"/>
          <w:sz w:val="28"/>
        </w:rPr>
        <w:t>.根据估价委托人提供的</w:t>
      </w:r>
      <w:bookmarkStart w:id="6" w:name="_Hlk88573316"/>
      <w:r>
        <w:rPr>
          <w:rFonts w:hint="eastAsia" w:ascii="楷体_GB2312" w:eastAsia="楷体_GB2312"/>
          <w:sz w:val="28"/>
        </w:rPr>
        <w:t>《贵州省黔东南苗族侗族自治州中级人民法院价格委托评估书》</w:t>
      </w:r>
      <w:bookmarkEnd w:id="6"/>
      <w:r>
        <w:rPr>
          <w:rFonts w:hint="eastAsia" w:ascii="楷体_GB2312" w:eastAsia="楷体_GB2312"/>
          <w:sz w:val="28"/>
        </w:rPr>
        <w:t>，人民法院未书面明确评估费、拍卖费、诉讼费等财产处置费用，相关处置费用如下：</w:t>
      </w:r>
    </w:p>
    <w:tbl>
      <w:tblPr>
        <w:tblStyle w:val="36"/>
        <w:tblW w:w="9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935"/>
        <w:gridCol w:w="162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项目</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标准</w:t>
            </w:r>
          </w:p>
        </w:tc>
        <w:tc>
          <w:tcPr>
            <w:tcW w:w="1627"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收费</w:t>
            </w:r>
          </w:p>
          <w:p>
            <w:pPr>
              <w:spacing w:line="320" w:lineRule="atLeast"/>
              <w:jc w:val="center"/>
              <w:rPr>
                <w:rFonts w:ascii="楷体_GB2312" w:eastAsia="楷体_GB2312"/>
                <w:sz w:val="24"/>
                <w:szCs w:val="24"/>
              </w:rPr>
            </w:pPr>
            <w:r>
              <w:rPr>
                <w:rFonts w:ascii="楷体_GB2312" w:eastAsia="楷体_GB2312"/>
                <w:sz w:val="24"/>
                <w:szCs w:val="24"/>
              </w:rPr>
              <w:t>(</w:t>
            </w:r>
            <w:r>
              <w:rPr>
                <w:rFonts w:hint="eastAsia" w:ascii="楷体_GB2312" w:eastAsia="楷体_GB2312"/>
                <w:sz w:val="24"/>
                <w:szCs w:val="24"/>
              </w:rPr>
              <w:t>折价</w:t>
            </w:r>
            <w:r>
              <w:rPr>
                <w:rFonts w:ascii="楷体_GB2312" w:eastAsia="楷体_GB2312"/>
                <w:sz w:val="24"/>
                <w:szCs w:val="24"/>
              </w:rPr>
              <w:t>)</w:t>
            </w:r>
            <w:r>
              <w:rPr>
                <w:rFonts w:hint="eastAsia" w:ascii="楷体_GB2312" w:eastAsia="楷体_GB2312"/>
                <w:sz w:val="24"/>
                <w:szCs w:val="24"/>
              </w:rPr>
              <w:t>比例</w:t>
            </w:r>
          </w:p>
        </w:tc>
        <w:tc>
          <w:tcPr>
            <w:tcW w:w="5103"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案件受理费、执行费、其他诉讼费等</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诉讼标的</w:t>
            </w:r>
          </w:p>
        </w:tc>
        <w:tc>
          <w:tcPr>
            <w:tcW w:w="1627"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合计约</w:t>
            </w:r>
            <w:r>
              <w:rPr>
                <w:rFonts w:ascii="楷体_GB2312" w:eastAsia="楷体_GB2312"/>
                <w:sz w:val="24"/>
                <w:szCs w:val="24"/>
              </w:rPr>
              <w:t>4-5%</w:t>
            </w:r>
          </w:p>
        </w:tc>
        <w:tc>
          <w:tcPr>
            <w:tcW w:w="5103" w:type="dxa"/>
            <w:vAlign w:val="center"/>
          </w:tcPr>
          <w:p>
            <w:pPr>
              <w:spacing w:line="320" w:lineRule="atLeast"/>
              <w:jc w:val="center"/>
              <w:rPr>
                <w:rFonts w:ascii="楷体_GB2312" w:hAnsi="宋体" w:eastAsia="楷体_GB2312"/>
                <w:sz w:val="24"/>
                <w:szCs w:val="24"/>
              </w:rPr>
            </w:pPr>
            <w:r>
              <w:rPr>
                <w:rFonts w:hint="eastAsia" w:ascii="楷体_GB2312" w:eastAsia="楷体_GB2312"/>
                <w:sz w:val="24"/>
                <w:szCs w:val="24"/>
              </w:rPr>
              <w:t>法发[2007]12号最高人民法院关于印发《人民法院诉讼收费办法》的通知等有关文件并结合实际情况综合确定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拍卖佣金</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成交额</w:t>
            </w:r>
          </w:p>
        </w:tc>
        <w:tc>
          <w:tcPr>
            <w:tcW w:w="1627" w:type="dxa"/>
            <w:vAlign w:val="center"/>
          </w:tcPr>
          <w:p>
            <w:pPr>
              <w:spacing w:line="320" w:lineRule="atLeast"/>
              <w:jc w:val="center"/>
              <w:rPr>
                <w:rFonts w:ascii="楷体_GB2312" w:eastAsia="楷体_GB2312"/>
                <w:sz w:val="24"/>
                <w:szCs w:val="24"/>
              </w:rPr>
            </w:pPr>
            <w:r>
              <w:rPr>
                <w:rFonts w:ascii="楷体_GB2312" w:eastAsia="楷体_GB2312"/>
                <w:sz w:val="24"/>
                <w:szCs w:val="24"/>
              </w:rPr>
              <w:t>1-5%</w:t>
            </w:r>
            <w:r>
              <w:rPr>
                <w:rFonts w:hint="eastAsia" w:ascii="楷体_GB2312" w:eastAsia="楷体_GB2312"/>
                <w:sz w:val="24"/>
                <w:szCs w:val="24"/>
              </w:rPr>
              <w:t>以内（超额递减累进）</w:t>
            </w:r>
          </w:p>
        </w:tc>
        <w:tc>
          <w:tcPr>
            <w:tcW w:w="5103" w:type="dxa"/>
            <w:vAlign w:val="center"/>
          </w:tcPr>
          <w:p>
            <w:pPr>
              <w:spacing w:line="320" w:lineRule="atLeast"/>
              <w:jc w:val="center"/>
              <w:rPr>
                <w:rFonts w:ascii="楷体_GB2312" w:eastAsia="楷体_GB2312"/>
                <w:sz w:val="24"/>
                <w:szCs w:val="24"/>
              </w:rPr>
            </w:pPr>
            <w:r>
              <w:rPr>
                <w:rFonts w:hint="eastAsia" w:ascii="楷体_GB2312" w:hAnsi="宋体" w:eastAsia="楷体_GB2312"/>
                <w:sz w:val="24"/>
                <w:szCs w:val="24"/>
              </w:rPr>
              <w:t>法释[2018]15号《最高人民法院关于人民法院确定财产处置参考价若干问题的规定》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评估鉴定费</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评估额</w:t>
            </w:r>
          </w:p>
        </w:tc>
        <w:tc>
          <w:tcPr>
            <w:tcW w:w="1627" w:type="dxa"/>
            <w:vAlign w:val="center"/>
          </w:tcPr>
          <w:p>
            <w:pPr>
              <w:pStyle w:val="23"/>
              <w:pBdr>
                <w:bottom w:val="none" w:color="auto" w:sz="0" w:space="0"/>
              </w:pBdr>
              <w:tabs>
                <w:tab w:val="clear" w:pos="4153"/>
                <w:tab w:val="clear" w:pos="8306"/>
              </w:tabs>
              <w:snapToGrid/>
              <w:spacing w:line="320" w:lineRule="atLeast"/>
              <w:rPr>
                <w:rFonts w:ascii="楷体_GB2312" w:eastAsia="楷体_GB2312"/>
                <w:sz w:val="24"/>
                <w:szCs w:val="24"/>
              </w:rPr>
            </w:pPr>
            <w:r>
              <w:rPr>
                <w:rFonts w:ascii="楷体_GB2312" w:eastAsia="楷体_GB2312"/>
                <w:sz w:val="24"/>
                <w:szCs w:val="24"/>
              </w:rPr>
              <w:t>0.</w:t>
            </w:r>
            <w:r>
              <w:rPr>
                <w:rFonts w:hint="eastAsia" w:ascii="楷体_GB2312" w:eastAsia="楷体_GB2312"/>
                <w:sz w:val="24"/>
                <w:szCs w:val="24"/>
              </w:rPr>
              <w:t>5</w:t>
            </w:r>
            <w:r>
              <w:rPr>
                <w:rFonts w:ascii="楷体_GB2312" w:eastAsia="楷体_GB2312"/>
                <w:sz w:val="24"/>
                <w:szCs w:val="24"/>
              </w:rPr>
              <w:t>%</w:t>
            </w:r>
            <w:r>
              <w:rPr>
                <w:rFonts w:hint="eastAsia" w:ascii="楷体_GB2312" w:eastAsia="楷体_GB2312"/>
                <w:sz w:val="24"/>
                <w:szCs w:val="24"/>
              </w:rPr>
              <w:t>－3</w:t>
            </w:r>
            <w:r>
              <w:rPr>
                <w:rFonts w:ascii="楷体_GB2312" w:eastAsia="楷体_GB2312"/>
                <w:sz w:val="24"/>
                <w:szCs w:val="24"/>
              </w:rPr>
              <w:t>%</w:t>
            </w:r>
          </w:p>
        </w:tc>
        <w:tc>
          <w:tcPr>
            <w:tcW w:w="5103" w:type="dxa"/>
            <w:vAlign w:val="center"/>
          </w:tcPr>
          <w:p>
            <w:pPr>
              <w:spacing w:line="320" w:lineRule="atLeast"/>
              <w:rPr>
                <w:rFonts w:ascii="楷体_GB2312" w:eastAsia="楷体_GB2312"/>
                <w:sz w:val="24"/>
                <w:szCs w:val="24"/>
              </w:rPr>
            </w:pPr>
            <w:r>
              <w:rPr>
                <w:rFonts w:hint="eastAsia" w:ascii="楷体_GB2312" w:eastAsia="楷体_GB2312"/>
                <w:sz w:val="24"/>
                <w:szCs w:val="24"/>
              </w:rPr>
              <w:t>黔价办</w:t>
            </w:r>
            <w:r>
              <w:rPr>
                <w:rFonts w:ascii="楷体_GB2312" w:eastAsia="楷体_GB2312"/>
                <w:sz w:val="24"/>
                <w:szCs w:val="24"/>
              </w:rPr>
              <w:t>[20</w:t>
            </w:r>
            <w:r>
              <w:rPr>
                <w:rFonts w:hint="eastAsia" w:ascii="楷体_GB2312" w:eastAsia="楷体_GB2312"/>
                <w:sz w:val="24"/>
                <w:szCs w:val="24"/>
              </w:rPr>
              <w:t>08</w:t>
            </w:r>
            <w:r>
              <w:rPr>
                <w:rFonts w:ascii="楷体_GB2312" w:eastAsia="楷体_GB2312"/>
                <w:sz w:val="24"/>
                <w:szCs w:val="24"/>
              </w:rPr>
              <w:t>]</w:t>
            </w:r>
            <w:r>
              <w:rPr>
                <w:rFonts w:hint="eastAsia" w:ascii="楷体_GB2312" w:eastAsia="楷体_GB2312"/>
                <w:sz w:val="24"/>
                <w:szCs w:val="24"/>
              </w:rPr>
              <w:t>160</w:t>
            </w:r>
            <w:r>
              <w:rPr>
                <w:rFonts w:ascii="楷体_GB2312" w:eastAsia="楷体_GB2312"/>
                <w:sz w:val="24"/>
                <w:szCs w:val="24"/>
              </w:rPr>
              <w:t>号</w:t>
            </w:r>
            <w:r>
              <w:rPr>
                <w:rFonts w:hint="eastAsia" w:ascii="楷体_GB2312" w:eastAsia="楷体_GB2312"/>
                <w:sz w:val="24"/>
                <w:szCs w:val="24"/>
              </w:rPr>
              <w:t>贵州省物价局办公室</w:t>
            </w:r>
            <w:r>
              <w:rPr>
                <w:rFonts w:ascii="楷体_GB2312" w:eastAsia="楷体_GB2312"/>
                <w:sz w:val="24"/>
                <w:szCs w:val="24"/>
              </w:rPr>
              <w:t>《</w:t>
            </w:r>
            <w:r>
              <w:rPr>
                <w:rFonts w:hint="eastAsia" w:ascii="楷体_GB2312" w:eastAsia="楷体_GB2312"/>
                <w:sz w:val="24"/>
                <w:szCs w:val="24"/>
              </w:rPr>
              <w:t>贵州省非刑事案件财务价格鉴定收费项目和标准</w:t>
            </w:r>
            <w:r>
              <w:rPr>
                <w:rFonts w:ascii="楷体_GB2312" w:eastAsia="楷体_GB2312"/>
                <w:sz w:val="24"/>
                <w:szCs w:val="24"/>
              </w:rPr>
              <w:t xml:space="preserve">》 </w:t>
            </w:r>
          </w:p>
        </w:tc>
      </w:tr>
    </w:tbl>
    <w:p>
      <w:pPr>
        <w:snapToGrid w:val="0"/>
        <w:spacing w:line="420" w:lineRule="exact"/>
        <w:ind w:firstLine="560" w:firstLineChars="200"/>
        <w:rPr>
          <w:rFonts w:ascii="楷体_GB2312" w:eastAsia="楷体_GB2312"/>
          <w:sz w:val="28"/>
        </w:rPr>
      </w:pPr>
      <w:r>
        <w:rPr>
          <w:rFonts w:hint="eastAsia" w:ascii="楷体_GB2312" w:eastAsia="楷体_GB2312"/>
          <w:sz w:val="28"/>
        </w:rPr>
        <w:t>本次估价结果未扣除上述费用，以实际发生的费用为准，提请报告使用人注意。</w:t>
      </w:r>
    </w:p>
    <w:p>
      <w:pPr>
        <w:tabs>
          <w:tab w:val="left" w:pos="1134"/>
          <w:tab w:val="left" w:pos="3940"/>
        </w:tabs>
        <w:snapToGrid w:val="0"/>
        <w:spacing w:line="400" w:lineRule="exact"/>
        <w:rPr>
          <w:rFonts w:ascii="黑体" w:eastAsia="黑体"/>
          <w:b/>
          <w:sz w:val="28"/>
        </w:rPr>
      </w:pPr>
    </w:p>
    <w:p>
      <w:pPr>
        <w:tabs>
          <w:tab w:val="left" w:pos="1134"/>
          <w:tab w:val="left" w:pos="3940"/>
        </w:tabs>
        <w:snapToGrid w:val="0"/>
        <w:spacing w:line="400" w:lineRule="exact"/>
        <w:ind w:firstLine="562" w:firstLineChars="200"/>
        <w:rPr>
          <w:rFonts w:ascii="黑体" w:eastAsia="黑体"/>
          <w:b/>
          <w:sz w:val="28"/>
        </w:rPr>
      </w:pPr>
      <w:r>
        <w:rPr>
          <w:rFonts w:hint="eastAsia" w:ascii="黑体" w:eastAsia="黑体"/>
          <w:b/>
          <w:sz w:val="28"/>
        </w:rPr>
        <w:t>（二）未定事项假设</w:t>
      </w:r>
    </w:p>
    <w:p>
      <w:pPr>
        <w:tabs>
          <w:tab w:val="left" w:pos="1134"/>
          <w:tab w:val="left" w:pos="3940"/>
        </w:tabs>
        <w:snapToGrid w:val="0"/>
        <w:spacing w:line="480" w:lineRule="exact"/>
        <w:ind w:firstLine="560" w:firstLineChars="200"/>
        <w:rPr>
          <w:rFonts w:ascii="楷体_GB2312" w:eastAsia="楷体_GB2312"/>
          <w:sz w:val="28"/>
        </w:rPr>
      </w:pPr>
      <w:r>
        <w:rPr>
          <w:rFonts w:hint="eastAsia" w:ascii="楷体_GB2312" w:eastAsia="楷体_GB2312"/>
          <w:sz w:val="28"/>
        </w:rPr>
        <w:t>未定事项假设是对估价所必需的尚未明确或不够明确的土地用途、容积率等事项所做的合理的、最可能的假定。</w:t>
      </w:r>
    </w:p>
    <w:p>
      <w:pPr>
        <w:tabs>
          <w:tab w:val="left" w:pos="1134"/>
          <w:tab w:val="left" w:pos="3940"/>
        </w:tabs>
        <w:snapToGrid w:val="0"/>
        <w:spacing w:line="480" w:lineRule="exact"/>
        <w:ind w:firstLine="560" w:firstLineChars="200"/>
        <w:rPr>
          <w:rFonts w:ascii="楷体_GB2312" w:eastAsia="楷体_GB2312"/>
          <w:spacing w:val="-8"/>
          <w:sz w:val="28"/>
          <w:highlight w:val="none"/>
        </w:rPr>
      </w:pPr>
      <w:r>
        <w:rPr>
          <w:rFonts w:hint="eastAsia" w:ascii="楷体_GB2312" w:eastAsia="楷体_GB2312"/>
          <w:sz w:val="28"/>
        </w:rPr>
        <w:t>本次估价对象除负一层超市办理了《不动产权证书》登记有土地权属情况，其他商业及车位均只办理《房屋所有权证》，未能办理并提供《国有土地使用证》。根据估价对象《房屋所有权证》，登记土地使用权取得方式为出让，使用期限2010-07-30至2050-07-29止，</w:t>
      </w:r>
      <w:r>
        <w:rPr>
          <w:rFonts w:hint="eastAsia" w:ascii="楷体_GB2312" w:eastAsia="楷体_GB2312"/>
          <w:sz w:val="28"/>
          <w:highlight w:val="none"/>
        </w:rPr>
        <w:t>未登记土地用途、土地使用权人、土地位置等基本情况，本次估价假设估价对象土地用途、坐落及土地使用权人与房屋登记相一致。</w:t>
      </w:r>
    </w:p>
    <w:p>
      <w:pPr>
        <w:snapToGrid w:val="0"/>
        <w:spacing w:line="400" w:lineRule="exact"/>
        <w:ind w:firstLine="555"/>
        <w:rPr>
          <w:rFonts w:ascii="黑体" w:eastAsia="黑体"/>
          <w:b/>
          <w:sz w:val="28"/>
        </w:rPr>
      </w:pPr>
    </w:p>
    <w:p>
      <w:pPr>
        <w:snapToGrid w:val="0"/>
        <w:spacing w:line="400" w:lineRule="exact"/>
        <w:ind w:firstLine="555"/>
        <w:rPr>
          <w:rFonts w:ascii="黑体" w:eastAsia="黑体"/>
          <w:b/>
          <w:sz w:val="28"/>
        </w:rPr>
      </w:pPr>
      <w:r>
        <w:rPr>
          <w:rFonts w:hint="eastAsia" w:ascii="黑体" w:eastAsia="黑体"/>
          <w:b/>
          <w:sz w:val="28"/>
        </w:rPr>
        <w:t>（三）背离事实假设</w:t>
      </w:r>
    </w:p>
    <w:p>
      <w:pPr>
        <w:tabs>
          <w:tab w:val="left" w:pos="1134"/>
          <w:tab w:val="left" w:pos="3940"/>
        </w:tabs>
        <w:snapToGrid w:val="0"/>
        <w:spacing w:line="520" w:lineRule="exact"/>
        <w:ind w:firstLine="560" w:firstLineChars="200"/>
        <w:rPr>
          <w:rFonts w:ascii="楷体_GB2312" w:eastAsia="楷体_GB2312"/>
          <w:sz w:val="28"/>
        </w:rPr>
      </w:pPr>
      <w:r>
        <w:rPr>
          <w:rFonts w:hint="eastAsia" w:ascii="楷体_GB2312" w:eastAsia="楷体_GB2312"/>
          <w:sz w:val="28"/>
        </w:rPr>
        <w:t>背离事实假设是对因估价目的的特殊需要、交易条定或约定，对估价对象状况所做的与估价对象的实际状况不一致的合理假定。</w:t>
      </w:r>
    </w:p>
    <w:p>
      <w:pPr>
        <w:snapToGrid w:val="0"/>
        <w:spacing w:line="520" w:lineRule="exact"/>
        <w:ind w:firstLine="555"/>
        <w:rPr>
          <w:rFonts w:ascii="楷体_GB2312" w:eastAsia="楷体_GB2312"/>
          <w:sz w:val="28"/>
        </w:rPr>
      </w:pPr>
      <w:r>
        <w:rPr>
          <w:rFonts w:hint="eastAsia" w:ascii="楷体_GB2312" w:eastAsia="楷体_GB2312"/>
          <w:sz w:val="28"/>
        </w:rPr>
        <w:t>根据估价委托人提供的</w:t>
      </w:r>
      <w:r>
        <w:rPr>
          <w:rFonts w:hint="eastAsia" w:ascii="楷体_GB2312" w:hAnsi="宋体" w:eastAsia="楷体_GB2312" w:cs="宋体"/>
          <w:kern w:val="0"/>
          <w:sz w:val="28"/>
          <w:szCs w:val="28"/>
        </w:rPr>
        <w:t>《不动产登记证明》（黔（2020）凯里市不动产证明第0029144号）</w:t>
      </w:r>
      <w:r>
        <w:rPr>
          <w:rFonts w:hint="eastAsia" w:ascii="楷体_GB2312" w:eastAsia="楷体_GB2312"/>
          <w:sz w:val="28"/>
        </w:rPr>
        <w:t>，估价对象有他项权，为抵押权，详细情况如下：</w:t>
      </w:r>
    </w:p>
    <w:tbl>
      <w:tblPr>
        <w:tblStyle w:val="36"/>
        <w:tblW w:w="5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675"/>
        <w:gridCol w:w="1366"/>
        <w:gridCol w:w="1327"/>
        <w:gridCol w:w="1329"/>
        <w:gridCol w:w="801"/>
        <w:gridCol w:w="1478"/>
        <w:gridCol w:w="95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9" w:type="pct"/>
            <w:vAlign w:val="center"/>
          </w:tcPr>
          <w:p>
            <w:pPr>
              <w:spacing w:line="240" w:lineRule="exact"/>
              <w:jc w:val="center"/>
              <w:rPr>
                <w:rFonts w:ascii="楷体_GB2312" w:eastAsia="楷体_GB2312"/>
                <w:szCs w:val="21"/>
              </w:rPr>
            </w:pPr>
            <w:r>
              <w:rPr>
                <w:rFonts w:hint="eastAsia" w:ascii="楷体_GB2312" w:eastAsia="楷体_GB2312"/>
                <w:szCs w:val="21"/>
              </w:rPr>
              <w:t>房屋他项权利人</w:t>
            </w:r>
          </w:p>
        </w:tc>
        <w:tc>
          <w:tcPr>
            <w:tcW w:w="326" w:type="pct"/>
            <w:vAlign w:val="center"/>
          </w:tcPr>
          <w:p>
            <w:pPr>
              <w:spacing w:line="240" w:lineRule="exact"/>
              <w:jc w:val="center"/>
              <w:rPr>
                <w:rFonts w:ascii="楷体_GB2312" w:eastAsia="楷体_GB2312"/>
                <w:szCs w:val="21"/>
              </w:rPr>
            </w:pPr>
            <w:r>
              <w:rPr>
                <w:rFonts w:hint="eastAsia" w:ascii="楷体_GB2312" w:eastAsia="楷体_GB2312"/>
                <w:szCs w:val="21"/>
              </w:rPr>
              <w:t>债务人</w:t>
            </w:r>
          </w:p>
        </w:tc>
        <w:tc>
          <w:tcPr>
            <w:tcW w:w="660" w:type="pct"/>
            <w:vAlign w:val="center"/>
          </w:tcPr>
          <w:p>
            <w:pPr>
              <w:spacing w:line="240" w:lineRule="exact"/>
              <w:jc w:val="center"/>
              <w:rPr>
                <w:rFonts w:ascii="楷体_GB2312" w:eastAsia="楷体_GB2312"/>
                <w:szCs w:val="21"/>
              </w:rPr>
            </w:pPr>
            <w:r>
              <w:rPr>
                <w:rFonts w:hint="eastAsia" w:ascii="楷体_GB2312" w:eastAsia="楷体_GB2312"/>
                <w:szCs w:val="21"/>
              </w:rPr>
              <w:t>房屋所有权人</w:t>
            </w:r>
          </w:p>
        </w:tc>
        <w:tc>
          <w:tcPr>
            <w:tcW w:w="641" w:type="pct"/>
            <w:vAlign w:val="center"/>
          </w:tcPr>
          <w:p>
            <w:pPr>
              <w:spacing w:line="240" w:lineRule="exact"/>
              <w:jc w:val="center"/>
              <w:rPr>
                <w:rFonts w:ascii="楷体_GB2312" w:eastAsia="楷体_GB2312"/>
                <w:szCs w:val="21"/>
              </w:rPr>
            </w:pPr>
            <w:r>
              <w:rPr>
                <w:rFonts w:hint="eastAsia" w:ascii="楷体_GB2312" w:eastAsia="楷体_GB2312"/>
                <w:szCs w:val="21"/>
              </w:rPr>
              <w:t>不动产登记证明</w:t>
            </w:r>
          </w:p>
        </w:tc>
        <w:tc>
          <w:tcPr>
            <w:tcW w:w="642" w:type="pct"/>
            <w:vAlign w:val="center"/>
          </w:tcPr>
          <w:p>
            <w:pPr>
              <w:spacing w:line="240" w:lineRule="exact"/>
              <w:jc w:val="center"/>
              <w:rPr>
                <w:rFonts w:ascii="楷体_GB2312" w:eastAsia="楷体_GB2312"/>
                <w:szCs w:val="21"/>
              </w:rPr>
            </w:pPr>
            <w:r>
              <w:rPr>
                <w:rFonts w:hint="eastAsia" w:ascii="楷体_GB2312" w:eastAsia="楷体_GB2312"/>
                <w:szCs w:val="21"/>
              </w:rPr>
              <w:t>房屋</w:t>
            </w:r>
          </w:p>
          <w:p>
            <w:pPr>
              <w:spacing w:line="240" w:lineRule="exact"/>
              <w:jc w:val="center"/>
              <w:rPr>
                <w:rFonts w:ascii="楷体_GB2312" w:eastAsia="楷体_GB2312"/>
                <w:szCs w:val="21"/>
              </w:rPr>
            </w:pPr>
            <w:r>
              <w:rPr>
                <w:rFonts w:hint="eastAsia" w:ascii="楷体_GB2312" w:eastAsia="楷体_GB2312"/>
                <w:szCs w:val="21"/>
              </w:rPr>
              <w:t>坐落</w:t>
            </w:r>
          </w:p>
        </w:tc>
        <w:tc>
          <w:tcPr>
            <w:tcW w:w="387" w:type="pct"/>
            <w:vAlign w:val="center"/>
          </w:tcPr>
          <w:p>
            <w:pPr>
              <w:spacing w:line="240" w:lineRule="exact"/>
              <w:jc w:val="center"/>
              <w:rPr>
                <w:rFonts w:ascii="楷体_GB2312" w:eastAsia="楷体_GB2312"/>
                <w:szCs w:val="21"/>
              </w:rPr>
            </w:pPr>
            <w:r>
              <w:rPr>
                <w:rFonts w:hint="eastAsia" w:ascii="楷体_GB2312" w:eastAsia="楷体_GB2312"/>
                <w:szCs w:val="21"/>
              </w:rPr>
              <w:t>他项权利种类</w:t>
            </w:r>
          </w:p>
        </w:tc>
        <w:tc>
          <w:tcPr>
            <w:tcW w:w="714" w:type="pct"/>
            <w:vAlign w:val="center"/>
          </w:tcPr>
          <w:p>
            <w:pPr>
              <w:spacing w:line="240" w:lineRule="exact"/>
              <w:jc w:val="center"/>
              <w:rPr>
                <w:rFonts w:ascii="楷体_GB2312" w:eastAsia="楷体_GB2312"/>
                <w:szCs w:val="21"/>
              </w:rPr>
            </w:pPr>
            <w:r>
              <w:rPr>
                <w:rFonts w:hint="eastAsia" w:ascii="楷体_GB2312" w:eastAsia="楷体_GB2312"/>
                <w:szCs w:val="21"/>
              </w:rPr>
              <w:t>债权</w:t>
            </w:r>
          </w:p>
          <w:p>
            <w:pPr>
              <w:spacing w:line="240" w:lineRule="exact"/>
              <w:jc w:val="center"/>
              <w:rPr>
                <w:rFonts w:ascii="楷体_GB2312" w:eastAsia="楷体_GB2312"/>
                <w:szCs w:val="21"/>
              </w:rPr>
            </w:pPr>
            <w:r>
              <w:rPr>
                <w:rFonts w:hint="eastAsia" w:ascii="楷体_GB2312" w:eastAsia="楷体_GB2312"/>
                <w:szCs w:val="21"/>
              </w:rPr>
              <w:t>数额</w:t>
            </w:r>
          </w:p>
        </w:tc>
        <w:tc>
          <w:tcPr>
            <w:tcW w:w="459" w:type="pct"/>
            <w:vAlign w:val="center"/>
          </w:tcPr>
          <w:p>
            <w:pPr>
              <w:spacing w:line="240" w:lineRule="exact"/>
              <w:jc w:val="center"/>
              <w:rPr>
                <w:rFonts w:ascii="楷体_GB2312" w:eastAsia="楷体_GB2312"/>
                <w:szCs w:val="21"/>
              </w:rPr>
            </w:pPr>
            <w:r>
              <w:rPr>
                <w:rFonts w:hint="eastAsia" w:ascii="楷体_GB2312" w:eastAsia="楷体_GB2312"/>
                <w:szCs w:val="21"/>
              </w:rPr>
              <w:t>登记</w:t>
            </w:r>
          </w:p>
          <w:p>
            <w:pPr>
              <w:spacing w:line="240" w:lineRule="exact"/>
              <w:jc w:val="center"/>
              <w:rPr>
                <w:rFonts w:ascii="楷体_GB2312" w:eastAsia="楷体_GB2312"/>
                <w:szCs w:val="21"/>
              </w:rPr>
            </w:pPr>
            <w:r>
              <w:rPr>
                <w:rFonts w:hint="eastAsia" w:ascii="楷体_GB2312" w:eastAsia="楷体_GB2312"/>
                <w:szCs w:val="21"/>
              </w:rPr>
              <w:t>时间</w:t>
            </w:r>
          </w:p>
        </w:tc>
        <w:tc>
          <w:tcPr>
            <w:tcW w:w="612" w:type="pct"/>
            <w:vAlign w:val="center"/>
          </w:tcPr>
          <w:p>
            <w:pPr>
              <w:spacing w:line="240" w:lineRule="exact"/>
              <w:jc w:val="center"/>
              <w:rPr>
                <w:rFonts w:ascii="楷体_GB2312" w:eastAsia="楷体_GB2312"/>
                <w:szCs w:val="21"/>
              </w:rPr>
            </w:pPr>
            <w:r>
              <w:rPr>
                <w:rFonts w:hint="eastAsia" w:ascii="楷体_GB2312" w:eastAsia="楷体_GB2312"/>
                <w:szCs w:val="21"/>
              </w:rPr>
              <w:t>附记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59" w:type="pct"/>
            <w:vAlign w:val="center"/>
          </w:tcPr>
          <w:p>
            <w:pPr>
              <w:spacing w:line="240" w:lineRule="exact"/>
              <w:jc w:val="center"/>
              <w:rPr>
                <w:rFonts w:ascii="楷体_GB2312" w:eastAsia="楷体_GB2312"/>
                <w:szCs w:val="21"/>
              </w:rPr>
            </w:pPr>
            <w:r>
              <w:rPr>
                <w:rFonts w:hint="eastAsia" w:ascii="楷体_GB2312" w:eastAsia="楷体_GB2312"/>
                <w:szCs w:val="21"/>
              </w:rPr>
              <w:t>凯里东南村镇银行有限责任公司</w:t>
            </w:r>
          </w:p>
        </w:tc>
        <w:tc>
          <w:tcPr>
            <w:tcW w:w="326" w:type="pct"/>
            <w:vAlign w:val="center"/>
          </w:tcPr>
          <w:p>
            <w:pPr>
              <w:spacing w:line="240" w:lineRule="exact"/>
              <w:jc w:val="center"/>
              <w:rPr>
                <w:rFonts w:ascii="楷体_GB2312" w:eastAsia="楷体_GB2312"/>
                <w:szCs w:val="21"/>
              </w:rPr>
            </w:pPr>
            <w:r>
              <w:rPr>
                <w:rFonts w:hint="eastAsia" w:ascii="楷体_GB2312" w:eastAsia="楷体_GB2312"/>
                <w:szCs w:val="21"/>
              </w:rPr>
              <w:t>未登记</w:t>
            </w:r>
          </w:p>
        </w:tc>
        <w:tc>
          <w:tcPr>
            <w:tcW w:w="660" w:type="pct"/>
            <w:vAlign w:val="center"/>
          </w:tcPr>
          <w:p>
            <w:pPr>
              <w:spacing w:line="240" w:lineRule="exact"/>
              <w:jc w:val="center"/>
              <w:rPr>
                <w:rFonts w:ascii="楷体_GB2312" w:eastAsia="楷体_GB2312"/>
                <w:szCs w:val="21"/>
              </w:rPr>
            </w:pPr>
            <w:r>
              <w:rPr>
                <w:rFonts w:hint="eastAsia" w:ascii="楷体_GB2312" w:eastAsia="楷体_GB2312"/>
                <w:szCs w:val="21"/>
              </w:rPr>
              <w:t>凯里市和盛房地产开发有限责任公司、舒芬、仇海洪、李小群、李绵强</w:t>
            </w:r>
          </w:p>
        </w:tc>
        <w:tc>
          <w:tcPr>
            <w:tcW w:w="641" w:type="pct"/>
            <w:vAlign w:val="center"/>
          </w:tcPr>
          <w:p>
            <w:pPr>
              <w:spacing w:line="240" w:lineRule="exact"/>
              <w:jc w:val="center"/>
              <w:rPr>
                <w:rFonts w:ascii="楷体_GB2312" w:eastAsia="楷体_GB2312"/>
                <w:szCs w:val="21"/>
              </w:rPr>
            </w:pPr>
            <w:r>
              <w:rPr>
                <w:rFonts w:hint="eastAsia" w:ascii="楷体_GB2312" w:eastAsia="楷体_GB2312"/>
                <w:szCs w:val="21"/>
              </w:rPr>
              <w:t>黔（2020）凯里市不动产证明第0029144号</w:t>
            </w:r>
          </w:p>
        </w:tc>
        <w:tc>
          <w:tcPr>
            <w:tcW w:w="642" w:type="pct"/>
            <w:vAlign w:val="center"/>
          </w:tcPr>
          <w:p>
            <w:pPr>
              <w:spacing w:line="240" w:lineRule="exact"/>
              <w:jc w:val="center"/>
              <w:rPr>
                <w:rFonts w:ascii="楷体_GB2312" w:eastAsia="楷体_GB2312"/>
                <w:szCs w:val="21"/>
              </w:rPr>
            </w:pPr>
            <w:r>
              <w:rPr>
                <w:rFonts w:hint="eastAsia" w:ascii="楷体_GB2312" w:eastAsia="楷体_GB2312"/>
                <w:szCs w:val="21"/>
              </w:rPr>
              <w:t>凯里市凯棉路140号佳和盛世二期商业广场大底盘-1层超市等</w:t>
            </w:r>
          </w:p>
        </w:tc>
        <w:tc>
          <w:tcPr>
            <w:tcW w:w="387" w:type="pct"/>
            <w:vAlign w:val="center"/>
          </w:tcPr>
          <w:p>
            <w:pPr>
              <w:spacing w:line="240" w:lineRule="exact"/>
              <w:jc w:val="center"/>
              <w:rPr>
                <w:rFonts w:ascii="楷体_GB2312" w:eastAsia="楷体_GB2312"/>
                <w:szCs w:val="21"/>
              </w:rPr>
            </w:pPr>
            <w:r>
              <w:rPr>
                <w:rFonts w:hint="eastAsia" w:ascii="楷体_GB2312" w:eastAsia="楷体_GB2312"/>
                <w:szCs w:val="21"/>
              </w:rPr>
              <w:t>抵押权登记</w:t>
            </w:r>
          </w:p>
        </w:tc>
        <w:tc>
          <w:tcPr>
            <w:tcW w:w="714" w:type="pct"/>
            <w:vAlign w:val="center"/>
          </w:tcPr>
          <w:p>
            <w:pPr>
              <w:spacing w:line="240" w:lineRule="exact"/>
              <w:jc w:val="center"/>
              <w:rPr>
                <w:rFonts w:ascii="楷体_GB2312" w:eastAsia="楷体_GB2312"/>
                <w:szCs w:val="21"/>
              </w:rPr>
            </w:pPr>
            <w:r>
              <w:rPr>
                <w:rFonts w:hint="eastAsia" w:ascii="楷体_GB2312" w:eastAsia="楷体_GB2312"/>
                <w:szCs w:val="21"/>
              </w:rPr>
              <w:t>12534.607907万元</w:t>
            </w:r>
          </w:p>
        </w:tc>
        <w:tc>
          <w:tcPr>
            <w:tcW w:w="459" w:type="pct"/>
            <w:vAlign w:val="center"/>
          </w:tcPr>
          <w:p>
            <w:pPr>
              <w:spacing w:line="240" w:lineRule="exact"/>
              <w:jc w:val="center"/>
              <w:rPr>
                <w:rFonts w:ascii="楷体_GB2312" w:eastAsia="楷体_GB2312"/>
                <w:szCs w:val="21"/>
              </w:rPr>
            </w:pPr>
            <w:r>
              <w:rPr>
                <w:rFonts w:hint="eastAsia" w:ascii="楷体_GB2312" w:eastAsia="楷体_GB2312"/>
                <w:szCs w:val="21"/>
              </w:rPr>
              <w:t>2020-12</w:t>
            </w:r>
          </w:p>
          <w:p>
            <w:pPr>
              <w:spacing w:line="240" w:lineRule="exact"/>
              <w:jc w:val="center"/>
              <w:rPr>
                <w:rFonts w:ascii="楷体_GB2312" w:eastAsia="楷体_GB2312"/>
                <w:szCs w:val="21"/>
              </w:rPr>
            </w:pPr>
            <w:r>
              <w:rPr>
                <w:rFonts w:hint="eastAsia" w:ascii="楷体_GB2312" w:eastAsia="楷体_GB2312"/>
                <w:szCs w:val="21"/>
              </w:rPr>
              <w:t>-11</w:t>
            </w:r>
          </w:p>
        </w:tc>
        <w:tc>
          <w:tcPr>
            <w:tcW w:w="612" w:type="pct"/>
            <w:vAlign w:val="center"/>
          </w:tcPr>
          <w:p>
            <w:pPr>
              <w:spacing w:line="240" w:lineRule="exact"/>
              <w:jc w:val="center"/>
              <w:rPr>
                <w:rFonts w:ascii="楷体_GB2312" w:eastAsia="楷体_GB2312"/>
                <w:szCs w:val="21"/>
              </w:rPr>
            </w:pPr>
            <w:r>
              <w:rPr>
                <w:rFonts w:hint="eastAsia" w:ascii="楷体_GB2312" w:eastAsia="楷体_GB2312"/>
                <w:szCs w:val="21"/>
              </w:rPr>
              <w:t>本次抵押房屋面积（11929.13平方米）</w:t>
            </w:r>
          </w:p>
        </w:tc>
      </w:tr>
    </w:tbl>
    <w:p>
      <w:pPr>
        <w:snapToGrid w:val="0"/>
        <w:spacing w:line="440" w:lineRule="exact"/>
        <w:ind w:firstLine="555"/>
        <w:rPr>
          <w:rFonts w:ascii="楷体_GB2312" w:eastAsia="楷体_GB2312"/>
          <w:sz w:val="28"/>
        </w:rPr>
      </w:pPr>
      <w:r>
        <w:rPr>
          <w:rFonts w:hint="eastAsia" w:ascii="楷体_GB2312" w:eastAsia="楷体_GB2312"/>
          <w:sz w:val="28"/>
        </w:rPr>
        <w:t>本次估价目的为人民法院确定财产处置参考价提供参考依据，涉执房地产处置司法评估结果不应当考虑评估对象被查封以及原有的担保物和其他优先受偿权的影响。故本次评估未考虑估价对象原有的担保物和其他优先受偿权的影响。</w:t>
      </w:r>
    </w:p>
    <w:p>
      <w:pPr>
        <w:snapToGrid w:val="0"/>
        <w:spacing w:line="440" w:lineRule="exact"/>
        <w:ind w:firstLine="555"/>
        <w:rPr>
          <w:rFonts w:ascii="楷体_GB2312" w:eastAsia="楷体_GB2312"/>
          <w:sz w:val="28"/>
        </w:rPr>
      </w:pPr>
    </w:p>
    <w:p>
      <w:pPr>
        <w:snapToGrid w:val="0"/>
        <w:spacing w:line="440" w:lineRule="exact"/>
        <w:ind w:firstLine="555"/>
        <w:rPr>
          <w:rFonts w:ascii="黑体" w:eastAsia="黑体"/>
          <w:b/>
          <w:sz w:val="28"/>
        </w:rPr>
      </w:pPr>
      <w:r>
        <w:rPr>
          <w:rFonts w:hint="eastAsia" w:ascii="黑体" w:eastAsia="黑体"/>
          <w:b/>
          <w:sz w:val="28"/>
        </w:rPr>
        <w:t>（四）不相一致假设</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不相一致假设是对在估价对象的实际用途、登记用途、规划用途等用途之间不一致，或不同权属证明上的权利人之间不一致，估价对象的名称或地址不一致等情况下，对估价所依据的用途或是权利人、名称、地址等的合理假定。</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 xml:space="preserve"> </w:t>
      </w:r>
      <w:r>
        <w:rPr>
          <w:rFonts w:hint="eastAsia" w:ascii="楷体_GB2312" w:eastAsia="楷体_GB2312"/>
          <w:sz w:val="28"/>
        </w:rPr>
        <w:t>本次估价的估价对象不存在不相一致事项，故本报告无不相一致假设。</w:t>
      </w:r>
    </w:p>
    <w:p>
      <w:pPr>
        <w:tabs>
          <w:tab w:val="left" w:pos="862"/>
          <w:tab w:val="left" w:pos="1134"/>
        </w:tabs>
        <w:snapToGrid w:val="0"/>
        <w:spacing w:line="440" w:lineRule="exact"/>
        <w:rPr>
          <w:rFonts w:ascii="楷体_GB2312" w:eastAsia="楷体_GB2312"/>
          <w:sz w:val="28"/>
        </w:rPr>
      </w:pPr>
    </w:p>
    <w:p>
      <w:pPr>
        <w:tabs>
          <w:tab w:val="left" w:pos="862"/>
          <w:tab w:val="left" w:pos="1134"/>
        </w:tabs>
        <w:snapToGrid w:val="0"/>
        <w:spacing w:line="440" w:lineRule="exact"/>
        <w:ind w:firstLine="562" w:firstLineChars="200"/>
        <w:rPr>
          <w:rFonts w:ascii="黑体" w:eastAsia="黑体"/>
          <w:b/>
          <w:sz w:val="28"/>
        </w:rPr>
      </w:pPr>
      <w:r>
        <w:rPr>
          <w:rFonts w:hint="eastAsia" w:ascii="黑体" w:eastAsia="黑体"/>
          <w:b/>
          <w:sz w:val="28"/>
        </w:rPr>
        <w:t>（五）依据不足假设</w:t>
      </w:r>
    </w:p>
    <w:p>
      <w:pPr>
        <w:tabs>
          <w:tab w:val="left" w:pos="1134"/>
          <w:tab w:val="left" w:pos="3940"/>
        </w:tabs>
        <w:snapToGrid w:val="0"/>
        <w:spacing w:line="460" w:lineRule="exact"/>
        <w:ind w:firstLine="560" w:firstLineChars="200"/>
        <w:rPr>
          <w:rFonts w:ascii="楷体_GB2312" w:eastAsia="楷体_GB2312"/>
          <w:sz w:val="28"/>
        </w:rPr>
      </w:pPr>
      <w:r>
        <w:rPr>
          <w:rFonts w:hint="eastAsia" w:ascii="楷体_GB2312" w:eastAsia="楷体_GB2312"/>
          <w:sz w:val="28"/>
        </w:rPr>
        <w:t>依据不足假设是对在估价委托人无法提供估价所必需的反映估价对象状况的资料及注册房地产估价师进行尽职调查仍然难以取得该资料情况下，缺少该资料及对相应的估价对象状况的合理假定。</w:t>
      </w:r>
    </w:p>
    <w:p>
      <w:pPr>
        <w:tabs>
          <w:tab w:val="left" w:pos="1134"/>
          <w:tab w:val="left" w:pos="3940"/>
        </w:tabs>
        <w:snapToGrid w:val="0"/>
        <w:spacing w:line="460" w:lineRule="exact"/>
        <w:ind w:firstLine="560" w:firstLineChars="200"/>
        <w:rPr>
          <w:rFonts w:ascii="楷体_GB2312" w:eastAsia="楷体_GB2312"/>
          <w:sz w:val="28"/>
        </w:rPr>
      </w:pPr>
      <w:r>
        <w:rPr>
          <w:rFonts w:hint="eastAsia" w:ascii="楷体_GB2312" w:eastAsia="楷体_GB2312"/>
          <w:sz w:val="28"/>
        </w:rPr>
        <w:t>本次估价的估价对象不存在依据不足事项，故本报告无依据不足假设。</w:t>
      </w:r>
    </w:p>
    <w:p>
      <w:pPr>
        <w:tabs>
          <w:tab w:val="left" w:pos="862"/>
          <w:tab w:val="left" w:pos="1134"/>
        </w:tabs>
        <w:snapToGrid w:val="0"/>
        <w:spacing w:line="360" w:lineRule="exact"/>
        <w:ind w:firstLine="562" w:firstLineChars="200"/>
        <w:rPr>
          <w:rFonts w:ascii="黑体" w:eastAsia="黑体"/>
          <w:b/>
          <w:sz w:val="28"/>
        </w:rPr>
      </w:pPr>
    </w:p>
    <w:p>
      <w:pPr>
        <w:tabs>
          <w:tab w:val="left" w:pos="862"/>
          <w:tab w:val="left" w:pos="1134"/>
        </w:tabs>
        <w:snapToGrid w:val="0"/>
        <w:spacing w:line="440" w:lineRule="exact"/>
        <w:rPr>
          <w:rFonts w:ascii="黑体" w:eastAsia="黑体"/>
          <w:b/>
          <w:sz w:val="28"/>
        </w:rPr>
      </w:pPr>
      <w:r>
        <w:rPr>
          <w:rFonts w:hint="eastAsia" w:ascii="黑体" w:eastAsia="黑体"/>
          <w:b/>
          <w:sz w:val="28"/>
        </w:rPr>
        <w:t>二、估价报告使用限制</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估价报告使用限制是对估价报告和估价结果的用途、使用者、使用期限等使用范围及在使用估价报告和估价结果时需注意的其他事项。</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w:t>
      </w:r>
      <w:r>
        <w:rPr>
          <w:rFonts w:hint="eastAsia" w:ascii="楷体_GB2312" w:eastAsia="楷体_GB2312"/>
          <w:sz w:val="28"/>
        </w:rPr>
        <w:t>应当按照法律规定和评估报告载明的用途、使用人、使用期限等使用范围使用评估报告、否则，房地产估价机构和注册房地产估价师依法不承担责任。</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2</w:t>
      </w:r>
      <w:r>
        <w:rPr>
          <w:rFonts w:ascii="楷体_GB2312" w:eastAsia="楷体_GB2312"/>
          <w:sz w:val="28"/>
        </w:rPr>
        <w:t>.</w:t>
      </w:r>
      <w:r>
        <w:rPr>
          <w:rFonts w:hint="eastAsia" w:ascii="楷体_GB2312" w:eastAsia="楷体_GB2312"/>
          <w:sz w:val="28"/>
        </w:rPr>
        <w:t>评估结果仅为人民法院确定财产处置参考价服务，不是评估对象处置可实现的成交价格，也不应当被视为对评估对象处置成交价格的保证。</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3</w:t>
      </w:r>
      <w:r>
        <w:rPr>
          <w:rFonts w:ascii="楷体_GB2312" w:eastAsia="楷体_GB2312"/>
          <w:sz w:val="28"/>
        </w:rPr>
        <w:t>.</w:t>
      </w:r>
      <w:r>
        <w:rPr>
          <w:rFonts w:hint="eastAsia" w:ascii="楷体_GB2312" w:eastAsia="楷体_GB2312"/>
          <w:sz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在评估报告使用期限或者评估结果有效期内，评估报告或者评估结果未使用之前，如果评估对象状况或者房地产市场状况发生明显变化的，评估结果应当进行相应调整后才可使用。</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5.</w:t>
      </w:r>
      <w:r>
        <w:rPr>
          <w:rFonts w:hint="eastAsia" w:ascii="楷体_GB2312" w:eastAsia="楷体_GB2312"/>
          <w:sz w:val="28"/>
        </w:rPr>
        <w:t xml:space="preserve">根据估价委托人提供的《贵州省黔东南苗族侗族自治州中级人民法院价格委托评估书》，人民法院未书面明确评估对象交易税费负担方式的，本次估价对象按照法律法规规定，转让人和买受人各自负担。 </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6.</w:t>
      </w:r>
      <w:r>
        <w:rPr>
          <w:rFonts w:hint="eastAsia" w:ascii="楷体_GB2312" w:eastAsia="楷体_GB2312"/>
          <w:sz w:val="28"/>
        </w:rPr>
        <w:t>本估价报告结论包含与房地产不可分割的满足其使用功能的水、电、气以及室内装饰装修等配套的辅助设施，但不包括可移动部分的价值。</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7.</w:t>
      </w:r>
      <w:r>
        <w:rPr>
          <w:rFonts w:hint="eastAsia" w:ascii="楷体_GB2312" w:eastAsia="楷体_GB2312"/>
          <w:sz w:val="28"/>
        </w:rPr>
        <w:t>本报告估价结果没有考虑快速变现、税费转嫁等特殊交易方式，以及可能发生的权利转移相关费用对估价对象房地产的影响，也未考虑国家宏观经济政策发生重大变化以及遇有自然力和其他不可抗力对估价结论的影响。</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8.</w:t>
      </w:r>
      <w:r>
        <w:rPr>
          <w:rFonts w:hint="eastAsia" w:ascii="楷体_GB2312" w:eastAsia="楷体_GB2312"/>
          <w:sz w:val="28"/>
        </w:rPr>
        <w:t>本报告结论中的数据系采用计算机连续运算得出，加之在报告中的计算公式数据均按四舍五入保留几位小数或取整，因此可能出现个别等式小数位后不完全相等的情况。此为正常情况，不影响计算结果及最终评估结论的准确性。</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9.</w:t>
      </w:r>
      <w:r>
        <w:rPr>
          <w:rFonts w:hint="eastAsia" w:ascii="楷体_GB2312" w:eastAsia="楷体_GB2312"/>
          <w:sz w:val="28"/>
        </w:rPr>
        <w:t>本估价报告按价值时点的国家法律、法规、市场情况以及估价对象的个别因素等估价要素与依据评估制作完成。价值时点之后，或估价报告有效期内估价对象的质量及价格标准发生变化，并对估价对象产生明显影响时，不能直接使用本估价结论。</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10.</w:t>
      </w:r>
      <w:r>
        <w:rPr>
          <w:rFonts w:hint="eastAsia" w:ascii="楷体_GB2312" w:eastAsia="楷体_GB2312"/>
          <w:sz w:val="28"/>
        </w:rPr>
        <w:t>本报告结论系为估价委托人提供专业化估价意见，这个意见本身并无强制执行的效力，评估者只对结论本身合乎规范要求负责，而不对司法判决负责。</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11.</w:t>
      </w:r>
      <w:r>
        <w:rPr>
          <w:rFonts w:hint="eastAsia" w:ascii="楷体_GB2312" w:eastAsia="楷体_GB2312"/>
          <w:sz w:val="28"/>
        </w:rPr>
        <w:t>本估价报告专为委托人所使用，未经本单位同意，不得向估价委托人和估价报告审查部门之外的单位与个人提供，报告的全部或其部分内容不得发表于任何公开媒体上，报告解释权为本估价机构所有。</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12.</w:t>
      </w:r>
      <w:r>
        <w:rPr>
          <w:rFonts w:hint="eastAsia" w:ascii="楷体_GB2312" w:eastAsia="楷体_GB2312"/>
          <w:sz w:val="28"/>
        </w:rPr>
        <w:t>本估价报告有效期为壹年，自估价报告出具之日起计算一年，即2022年06月30日至</w:t>
      </w:r>
      <w:r>
        <w:rPr>
          <w:rFonts w:ascii="楷体_GB2312" w:eastAsia="楷体_GB2312"/>
          <w:sz w:val="28"/>
        </w:rPr>
        <w:t>20</w:t>
      </w:r>
      <w:r>
        <w:rPr>
          <w:rFonts w:hint="eastAsia" w:ascii="楷体_GB2312" w:eastAsia="楷体_GB2312"/>
          <w:sz w:val="28"/>
        </w:rPr>
        <w:t>23年06月29日止。若报告使用期限内，房地产市场或估价对象状况发生重大变化，估价结果需做相应调整或委托估价机构重新估价。</w:t>
      </w:r>
    </w:p>
    <w:p>
      <w:bookmarkStart w:id="7" w:name="_Toc322348928"/>
    </w:p>
    <w:p/>
    <w:p/>
    <w:p/>
    <w:p/>
    <w:p/>
    <w:p/>
    <w:p/>
    <w:p/>
    <w:p/>
    <w:p/>
    <w:p/>
    <w:p/>
    <w:p/>
    <w:p/>
    <w:p/>
    <w:p/>
    <w:p/>
    <w:p>
      <w:pPr>
        <w:pStyle w:val="2"/>
      </w:pPr>
    </w:p>
    <w:p/>
    <w:p>
      <w:pPr>
        <w:pStyle w:val="2"/>
      </w:pPr>
    </w:p>
    <w:p>
      <w:pPr>
        <w:pStyle w:val="3"/>
        <w:spacing w:before="0" w:after="0"/>
        <w:jc w:val="center"/>
        <w:rPr>
          <w:rFonts w:ascii="黑体" w:hAnsi="黑体" w:eastAsia="黑体"/>
          <w:sz w:val="36"/>
          <w:szCs w:val="36"/>
        </w:rPr>
      </w:pPr>
      <w:bookmarkStart w:id="8" w:name="_Toc19475"/>
      <w:r>
        <w:rPr>
          <w:rFonts w:hint="eastAsia" w:ascii="黑体" w:hAnsi="黑体" w:eastAsia="黑体"/>
          <w:sz w:val="36"/>
          <w:szCs w:val="36"/>
        </w:rPr>
        <w:t>估价结果报告</w:t>
      </w:r>
      <w:bookmarkEnd w:id="7"/>
      <w:bookmarkEnd w:id="8"/>
    </w:p>
    <w:p>
      <w:pPr>
        <w:jc w:val="center"/>
        <w:rPr>
          <w:rFonts w:ascii="楷体_GB2312" w:eastAsia="楷体_GB2312"/>
        </w:rPr>
      </w:pPr>
    </w:p>
    <w:p>
      <w:pPr>
        <w:pStyle w:val="4"/>
        <w:ind w:firstLine="562" w:firstLineChars="200"/>
        <w:jc w:val="left"/>
        <w:rPr>
          <w:sz w:val="28"/>
          <w:szCs w:val="28"/>
        </w:rPr>
      </w:pPr>
      <w:bookmarkStart w:id="9" w:name="_Toc322348929"/>
      <w:bookmarkStart w:id="10" w:name="_Toc31328"/>
      <w:r>
        <w:rPr>
          <w:rFonts w:hint="eastAsia"/>
          <w:sz w:val="28"/>
          <w:szCs w:val="28"/>
        </w:rPr>
        <w:t>一、估价委托人</w:t>
      </w:r>
      <w:bookmarkEnd w:id="9"/>
      <w:bookmarkEnd w:id="10"/>
    </w:p>
    <w:p>
      <w:pPr>
        <w:snapToGrid w:val="0"/>
        <w:spacing w:line="480" w:lineRule="exact"/>
        <w:ind w:firstLine="560" w:firstLineChars="200"/>
        <w:rPr>
          <w:rFonts w:ascii="楷体_GB2312" w:eastAsia="楷体_GB2312"/>
          <w:sz w:val="28"/>
        </w:rPr>
      </w:pPr>
      <w:r>
        <w:rPr>
          <w:rFonts w:hint="eastAsia" w:ascii="楷体_GB2312" w:eastAsia="楷体_GB2312"/>
          <w:sz w:val="28"/>
        </w:rPr>
        <w:t>贵州省黔东南苗族侗族自治州中级人民法院</w:t>
      </w:r>
    </w:p>
    <w:p>
      <w:pPr>
        <w:pStyle w:val="4"/>
        <w:ind w:firstLine="562" w:firstLineChars="200"/>
        <w:jc w:val="left"/>
        <w:rPr>
          <w:sz w:val="28"/>
          <w:szCs w:val="28"/>
        </w:rPr>
      </w:pPr>
      <w:bookmarkStart w:id="11" w:name="_Toc322348930"/>
    </w:p>
    <w:p>
      <w:pPr>
        <w:pStyle w:val="4"/>
        <w:ind w:firstLine="562" w:firstLineChars="200"/>
        <w:jc w:val="left"/>
        <w:rPr>
          <w:sz w:val="28"/>
          <w:szCs w:val="28"/>
        </w:rPr>
      </w:pPr>
      <w:bookmarkStart w:id="12" w:name="_Toc28328"/>
      <w:r>
        <w:rPr>
          <w:rFonts w:hint="eastAsia"/>
          <w:sz w:val="28"/>
          <w:szCs w:val="28"/>
        </w:rPr>
        <w:t>二、</w:t>
      </w:r>
      <w:bookmarkEnd w:id="11"/>
      <w:r>
        <w:rPr>
          <w:rFonts w:hint="eastAsia"/>
          <w:sz w:val="28"/>
          <w:szCs w:val="28"/>
        </w:rPr>
        <w:t>房地产估价机构</w:t>
      </w:r>
      <w:bookmarkEnd w:id="12"/>
    </w:p>
    <w:p>
      <w:pPr>
        <w:snapToGrid w:val="0"/>
        <w:spacing w:line="480" w:lineRule="exact"/>
        <w:ind w:firstLine="560" w:firstLineChars="200"/>
        <w:rPr>
          <w:rFonts w:ascii="楷体_GB2312" w:eastAsia="楷体_GB2312"/>
          <w:sz w:val="28"/>
        </w:rPr>
      </w:pPr>
      <w:bookmarkStart w:id="13" w:name="_Toc322348931"/>
      <w:r>
        <w:rPr>
          <w:rFonts w:hint="eastAsia" w:ascii="楷体_GB2312" w:eastAsia="楷体_GB2312"/>
          <w:sz w:val="28"/>
        </w:rPr>
        <w:t>机构名称：天信房地产土地资产评估有限公司</w:t>
      </w:r>
    </w:p>
    <w:p>
      <w:pPr>
        <w:snapToGrid w:val="0"/>
        <w:spacing w:line="480" w:lineRule="exact"/>
        <w:ind w:firstLine="560" w:firstLineChars="200"/>
        <w:rPr>
          <w:rFonts w:ascii="楷体_GB2312" w:eastAsia="楷体_GB2312"/>
          <w:sz w:val="28"/>
        </w:rPr>
      </w:pPr>
      <w:r>
        <w:rPr>
          <w:rFonts w:hint="eastAsia" w:ascii="楷体_GB2312" w:eastAsia="楷体_GB2312"/>
          <w:sz w:val="28"/>
        </w:rPr>
        <w:t>法定代表人：贺方</w:t>
      </w:r>
    </w:p>
    <w:p>
      <w:pPr>
        <w:snapToGrid w:val="0"/>
        <w:spacing w:line="480" w:lineRule="exact"/>
        <w:ind w:firstLine="560" w:firstLineChars="200"/>
        <w:rPr>
          <w:rFonts w:ascii="楷体_GB2312" w:eastAsia="楷体_GB2312"/>
          <w:sz w:val="28"/>
        </w:rPr>
      </w:pPr>
      <w:r>
        <w:rPr>
          <w:rFonts w:hint="eastAsia" w:ascii="楷体_GB2312" w:eastAsia="楷体_GB2312"/>
          <w:sz w:val="28"/>
        </w:rPr>
        <w:t>住所：凯里市雨花区湘府东路二段99号汇财御景湾新寓11栋1601房</w:t>
      </w:r>
    </w:p>
    <w:p>
      <w:pPr>
        <w:snapToGrid w:val="0"/>
        <w:spacing w:line="480" w:lineRule="exact"/>
        <w:ind w:firstLine="560" w:firstLineChars="200"/>
        <w:rPr>
          <w:rFonts w:ascii="楷体_GB2312" w:eastAsia="楷体_GB2312"/>
          <w:sz w:val="28"/>
        </w:rPr>
      </w:pPr>
      <w:r>
        <w:rPr>
          <w:rFonts w:hint="eastAsia" w:ascii="楷体_GB2312" w:eastAsia="楷体_GB2312"/>
          <w:sz w:val="28"/>
        </w:rPr>
        <w:t>统一社会信用代码：91430111572239789T</w:t>
      </w:r>
    </w:p>
    <w:p>
      <w:pPr>
        <w:snapToGrid w:val="0"/>
        <w:spacing w:line="480" w:lineRule="exact"/>
        <w:ind w:firstLine="560" w:firstLineChars="200"/>
        <w:rPr>
          <w:rFonts w:ascii="楷体_GB2312" w:eastAsia="楷体_GB2312"/>
          <w:sz w:val="28"/>
        </w:rPr>
      </w:pPr>
      <w:r>
        <w:rPr>
          <w:rFonts w:hint="eastAsia" w:ascii="楷体_GB2312" w:eastAsia="楷体_GB2312"/>
          <w:sz w:val="28"/>
        </w:rPr>
        <w:t>备案等级：一级</w:t>
      </w:r>
    </w:p>
    <w:p>
      <w:pPr>
        <w:snapToGrid w:val="0"/>
        <w:spacing w:line="480" w:lineRule="exact"/>
        <w:ind w:firstLine="560" w:firstLineChars="200"/>
        <w:rPr>
          <w:rFonts w:ascii="楷体_GB2312" w:eastAsia="楷体_GB2312"/>
          <w:sz w:val="28"/>
        </w:rPr>
      </w:pPr>
      <w:r>
        <w:rPr>
          <w:rFonts w:hint="eastAsia" w:ascii="楷体_GB2312" w:eastAsia="楷体_GB2312"/>
          <w:sz w:val="28"/>
        </w:rPr>
        <w:t>证书编号：湘建房估(长)字第0510264号</w:t>
      </w:r>
    </w:p>
    <w:p>
      <w:pPr>
        <w:snapToGrid w:val="0"/>
        <w:spacing w:line="480" w:lineRule="exact"/>
        <w:ind w:firstLine="560" w:firstLineChars="200"/>
        <w:rPr>
          <w:rFonts w:ascii="楷体_GB2312" w:eastAsia="楷体_GB2312"/>
          <w:sz w:val="28"/>
        </w:rPr>
      </w:pPr>
      <w:r>
        <w:rPr>
          <w:rFonts w:hint="eastAsia" w:ascii="楷体_GB2312" w:eastAsia="楷体_GB2312"/>
          <w:sz w:val="28"/>
        </w:rPr>
        <w:t>联系电话：0731-89796208</w:t>
      </w:r>
    </w:p>
    <w:p>
      <w:pPr>
        <w:snapToGrid w:val="0"/>
        <w:spacing w:line="480" w:lineRule="exact"/>
        <w:ind w:firstLine="551" w:firstLineChars="196"/>
        <w:rPr>
          <w:rFonts w:ascii="黑体" w:eastAsia="黑体"/>
          <w:b/>
          <w:sz w:val="28"/>
        </w:rPr>
      </w:pPr>
    </w:p>
    <w:p>
      <w:pPr>
        <w:pStyle w:val="4"/>
        <w:ind w:firstLine="562" w:firstLineChars="200"/>
        <w:jc w:val="left"/>
        <w:rPr>
          <w:sz w:val="28"/>
          <w:szCs w:val="28"/>
        </w:rPr>
      </w:pPr>
      <w:bookmarkStart w:id="14" w:name="_Toc21555"/>
      <w:r>
        <w:rPr>
          <w:rFonts w:hint="eastAsia"/>
          <w:sz w:val="28"/>
          <w:szCs w:val="28"/>
        </w:rPr>
        <w:t>三、估价目的</w:t>
      </w:r>
      <w:bookmarkEnd w:id="14"/>
    </w:p>
    <w:p>
      <w:pPr>
        <w:pStyle w:val="17"/>
        <w:spacing w:line="440" w:lineRule="exact"/>
        <w:ind w:firstLine="560" w:firstLineChars="200"/>
        <w:rPr>
          <w:rFonts w:ascii="楷体_GB2312" w:hAnsi="宋体" w:eastAsia="楷体_GB2312"/>
          <w:sz w:val="28"/>
        </w:rPr>
      </w:pPr>
      <w:r>
        <w:rPr>
          <w:rFonts w:hint="eastAsia" w:ascii="楷体_GB2312" w:eastAsia="楷体_GB2312"/>
          <w:sz w:val="28"/>
        </w:rPr>
        <w:t>根据《贵州省黔东南苗族侗族自治州中级人民法院价格委托评估书》</w:t>
      </w:r>
      <w:r>
        <w:rPr>
          <w:rFonts w:ascii="楷体_GB2312" w:eastAsia="楷体_GB2312"/>
          <w:sz w:val="28"/>
        </w:rPr>
        <w:t>[</w:t>
      </w:r>
      <w:r>
        <w:rPr>
          <w:rFonts w:hint="eastAsia" w:ascii="楷体_GB2312" w:eastAsia="楷体_GB2312"/>
          <w:sz w:val="28"/>
        </w:rPr>
        <w:t>（2022）黔26执75号</w:t>
      </w:r>
      <w:r>
        <w:rPr>
          <w:rFonts w:ascii="楷体_GB2312" w:eastAsia="楷体_GB2312"/>
          <w:sz w:val="28"/>
        </w:rPr>
        <w:t>]</w:t>
      </w:r>
      <w:r>
        <w:rPr>
          <w:rFonts w:hint="eastAsia" w:ascii="楷体_GB2312" w:eastAsia="楷体_GB2312"/>
          <w:sz w:val="28"/>
        </w:rPr>
        <w:t>，本次估价目的为人民法院确定财产处置参考价提供参考依据。</w:t>
      </w:r>
    </w:p>
    <w:p>
      <w:pPr>
        <w:snapToGrid w:val="0"/>
        <w:spacing w:line="480" w:lineRule="exact"/>
        <w:ind w:firstLine="551" w:firstLineChars="196"/>
        <w:rPr>
          <w:rFonts w:ascii="黑体" w:eastAsia="黑体"/>
          <w:b/>
          <w:sz w:val="28"/>
        </w:rPr>
      </w:pPr>
    </w:p>
    <w:p>
      <w:pPr>
        <w:pStyle w:val="4"/>
        <w:spacing w:line="480" w:lineRule="exact"/>
        <w:ind w:firstLine="562" w:firstLineChars="200"/>
        <w:jc w:val="left"/>
        <w:rPr>
          <w:sz w:val="28"/>
          <w:szCs w:val="28"/>
        </w:rPr>
      </w:pPr>
      <w:bookmarkStart w:id="15" w:name="_Toc23707"/>
      <w:r>
        <w:rPr>
          <w:rFonts w:hint="eastAsia"/>
          <w:sz w:val="28"/>
          <w:szCs w:val="28"/>
        </w:rPr>
        <w:t>四、估价对象</w:t>
      </w:r>
      <w:bookmarkEnd w:id="13"/>
      <w:bookmarkEnd w:id="15"/>
    </w:p>
    <w:p>
      <w:pPr>
        <w:snapToGrid w:val="0"/>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（一）估价对象财产范围界定</w:t>
      </w:r>
    </w:p>
    <w:p>
      <w:pPr>
        <w:snapToGrid w:val="0"/>
        <w:spacing w:line="480" w:lineRule="exact"/>
        <w:ind w:firstLine="562" w:firstLineChars="200"/>
        <w:rPr>
          <w:rFonts w:ascii="楷体_GB2312" w:hAnsi="仿宋" w:eastAsia="楷体_GB2312"/>
          <w:b/>
          <w:bCs/>
          <w:sz w:val="28"/>
          <w:szCs w:val="28"/>
        </w:rPr>
      </w:pPr>
      <w:r>
        <w:rPr>
          <w:rFonts w:hint="eastAsia" w:ascii="楷体_GB2312" w:hAnsi="宋体" w:eastAsia="楷体_GB2312"/>
          <w:b/>
          <w:bCs/>
          <w:sz w:val="28"/>
        </w:rPr>
        <w:t>（1）佳和盛世一期车位房地产</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本次估价对象范围为凯里市凯棉路138号佳和盛世一期1栋、2栋车位房地产，共计100个车位，建筑面积共计1391.41平方米，规划用途为车位，本次评估设定用途为车位，包括房屋主体、分摊的土地使用权价值、上下水、供电、卫生、室内装饰装修等，不包含可移动的非房屋附属设施设备的价值及不包含债权债务等。</w:t>
      </w:r>
    </w:p>
    <w:p>
      <w:pPr>
        <w:snapToGrid w:val="0"/>
        <w:spacing w:line="480" w:lineRule="exact"/>
        <w:ind w:firstLine="562" w:firstLineChars="200"/>
        <w:rPr>
          <w:rFonts w:ascii="楷体_GB2312" w:hAnsi="仿宋" w:eastAsia="楷体_GB2312"/>
          <w:b/>
          <w:bCs/>
          <w:sz w:val="28"/>
          <w:szCs w:val="28"/>
        </w:rPr>
      </w:pPr>
      <w:r>
        <w:rPr>
          <w:rFonts w:hint="eastAsia" w:ascii="楷体_GB2312" w:hAnsi="宋体" w:eastAsia="楷体_GB2312"/>
          <w:b/>
          <w:bCs/>
          <w:sz w:val="28"/>
        </w:rPr>
        <w:t>（</w:t>
      </w:r>
      <w:r>
        <w:rPr>
          <w:rFonts w:ascii="楷体_GB2312" w:hAnsi="宋体" w:eastAsia="楷体_GB2312"/>
          <w:b/>
          <w:bCs/>
          <w:sz w:val="28"/>
        </w:rPr>
        <w:t>2</w:t>
      </w:r>
      <w:r>
        <w:rPr>
          <w:rFonts w:hint="eastAsia" w:ascii="楷体_GB2312" w:hAnsi="宋体" w:eastAsia="楷体_GB2312"/>
          <w:b/>
          <w:bCs/>
          <w:sz w:val="28"/>
        </w:rPr>
        <w:t>）佳和盛世一期商业房地产</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本次估价对象范围为凯里市凯棉路138号佳和盛世一期1栋、2栋商业房地产，建筑面积共计1797.74平方米，规划用途均为商业，本次评估设定用途为商业，包括房屋主体、分摊的土地使用权价值、上下水、供电、卫生、室内装饰装修等，不包含设施设备等可移动的非房屋附属设施设备的价值及不包含债权债务等。</w:t>
      </w:r>
    </w:p>
    <w:p>
      <w:pPr>
        <w:snapToGrid w:val="0"/>
        <w:spacing w:line="480" w:lineRule="exact"/>
        <w:ind w:firstLine="562" w:firstLineChars="200"/>
        <w:rPr>
          <w:rFonts w:ascii="楷体_GB2312" w:hAnsi="仿宋" w:eastAsia="楷体_GB2312"/>
          <w:b/>
          <w:bCs/>
          <w:sz w:val="28"/>
          <w:szCs w:val="28"/>
        </w:rPr>
      </w:pPr>
      <w:r>
        <w:rPr>
          <w:rFonts w:hint="eastAsia" w:ascii="楷体_GB2312" w:hAnsi="宋体" w:eastAsia="楷体_GB2312"/>
          <w:b/>
          <w:bCs/>
          <w:sz w:val="28"/>
        </w:rPr>
        <w:t>（</w:t>
      </w:r>
      <w:r>
        <w:rPr>
          <w:rFonts w:ascii="楷体_GB2312" w:hAnsi="宋体" w:eastAsia="楷体_GB2312"/>
          <w:b/>
          <w:bCs/>
          <w:sz w:val="28"/>
        </w:rPr>
        <w:t>3</w:t>
      </w:r>
      <w:r>
        <w:rPr>
          <w:rFonts w:hint="eastAsia" w:ascii="楷体_GB2312" w:hAnsi="宋体" w:eastAsia="楷体_GB2312"/>
          <w:b/>
          <w:bCs/>
          <w:sz w:val="28"/>
        </w:rPr>
        <w:t>）佳和盛世二期地下商业房地产</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本次估价对象范围为凯里市凯棉路140号佳和盛世二期商业广场大底盘-1层超市商业房地产，建筑面积8739.98平方米，规划用途均为其他，本次评估设定用途为其它，包括房屋主体、分摊的土地使用权价值、上下水、供电、卫生、室内装饰装修等，不包含设施设备等可移动的非房屋附属设施设备的价值及不包含债权债务等。</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（二）估价对象基本状况</w:t>
      </w:r>
    </w:p>
    <w:p>
      <w:pPr>
        <w:spacing w:line="480" w:lineRule="exact"/>
        <w:ind w:firstLine="560" w:firstLineChars="200"/>
        <w:rPr>
          <w:rFonts w:ascii="楷体_GB2312" w:hAnsi="仿宋" w:eastAsia="楷体_GB2312"/>
          <w:sz w:val="28"/>
          <w:szCs w:val="28"/>
        </w:rPr>
      </w:pPr>
      <w:r>
        <w:rPr>
          <w:rFonts w:hint="eastAsia" w:ascii="仿宋" w:hAnsi="仿宋" w:eastAsia="仿宋"/>
          <w:sz w:val="28"/>
          <w:szCs w:val="28"/>
        </w:rPr>
        <w:t>1.</w:t>
      </w:r>
      <w:r>
        <w:rPr>
          <w:rFonts w:hint="eastAsia" w:ascii="楷体_GB2312" w:hAnsi="仿宋" w:eastAsia="楷体_GB2312"/>
          <w:sz w:val="28"/>
          <w:szCs w:val="28"/>
        </w:rPr>
        <w:t>估价对象基本情况详见下表：</w:t>
      </w:r>
      <w:r>
        <w:rPr>
          <w:rFonts w:ascii="楷体_GB2312" w:hAnsi="仿宋" w:eastAsia="楷体_GB2312"/>
          <w:sz w:val="28"/>
          <w:szCs w:val="28"/>
        </w:rPr>
        <w:t xml:space="preserve"> </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估价对象名称</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凯里市凯棉路138号佳和盛世一期、二期等多套房地产。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凯里市凯棉路138号佳和盛世一期1栋、2栋及凯里市凯棉路140号佳和盛世二期商业广场大底盘-1层超市。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规模</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估价对象车位建筑面积共计1391.41平方米（100个车位），-1层商业建筑面积8739.98平方米，1层临街商业建筑面积共计1797.74平方米，共有宗地面积为36773.39平方米。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用途</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商业、车库</w:t>
            </w:r>
          </w:p>
        </w:tc>
      </w:tr>
    </w:tbl>
    <w:p>
      <w:pPr>
        <w:spacing w:line="420" w:lineRule="exact"/>
        <w:ind w:firstLine="560" w:firstLineChars="200"/>
        <w:rPr>
          <w:rFonts w:ascii="楷体_GB2312" w:hAnsi="仿宋" w:eastAsia="楷体_GB2312"/>
          <w:sz w:val="28"/>
          <w:szCs w:val="28"/>
        </w:rPr>
      </w:pPr>
      <w:r>
        <w:rPr>
          <w:rFonts w:ascii="楷体_GB2312" w:hAnsi="仿宋" w:eastAsia="楷体_GB2312"/>
          <w:sz w:val="28"/>
          <w:szCs w:val="28"/>
        </w:rPr>
        <w:t>2.</w:t>
      </w:r>
      <w:r>
        <w:rPr>
          <w:rFonts w:hint="eastAsia" w:ascii="楷体_GB2312" w:hAnsi="仿宋" w:eastAsia="楷体_GB2312"/>
          <w:sz w:val="28"/>
          <w:szCs w:val="28"/>
        </w:rPr>
        <w:t>区位状况</w:t>
      </w:r>
    </w:p>
    <w:tbl>
      <w:tblPr>
        <w:tblStyle w:val="36"/>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058"/>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69" w:type="pct"/>
            <w:gridSpan w:val="2"/>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项目</w:t>
            </w:r>
          </w:p>
        </w:tc>
        <w:tc>
          <w:tcPr>
            <w:tcW w:w="333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位置状况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凯里市凯棉路138号佳和盛世一期1栋、2栋及凯里市凯棉路140号佳和盛世二期商业广场大底盘-1层超市。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方位</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估价对象佳和盛世小区东临凯棉路，西临崇义路，南临康庄路，北临永安路，其中一期、二期为东西相邻，中间隔路相望。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临街状况</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临凯棉路、永安路等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所在层数/总层数</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一期1栋总层数为1</w:t>
            </w:r>
            <w:r>
              <w:rPr>
                <w:rFonts w:ascii="楷体_GB2312" w:hAnsi="宋体" w:eastAsia="楷体_GB2312" w:cs="宋体"/>
                <w:color w:val="000000"/>
                <w:kern w:val="0"/>
                <w:sz w:val="24"/>
                <w:szCs w:val="24"/>
              </w:rPr>
              <w:t>1</w:t>
            </w:r>
            <w:r>
              <w:rPr>
                <w:rFonts w:hint="eastAsia" w:ascii="楷体_GB2312" w:hAnsi="宋体" w:eastAsia="楷体_GB2312" w:cs="宋体"/>
                <w:color w:val="000000"/>
                <w:kern w:val="0"/>
                <w:sz w:val="24"/>
                <w:szCs w:val="24"/>
              </w:rPr>
              <w:t>层，车库产权登记登记位于-</w:t>
            </w:r>
            <w:r>
              <w:rPr>
                <w:rFonts w:ascii="楷体_GB2312" w:hAnsi="宋体" w:eastAsia="楷体_GB2312" w:cs="宋体"/>
                <w:color w:val="000000"/>
                <w:kern w:val="0"/>
                <w:sz w:val="24"/>
                <w:szCs w:val="24"/>
              </w:rPr>
              <w:t>2</w:t>
            </w:r>
            <w:r>
              <w:rPr>
                <w:rFonts w:hint="eastAsia" w:ascii="楷体_GB2312" w:hAnsi="宋体" w:eastAsia="楷体_GB2312" w:cs="宋体"/>
                <w:color w:val="000000"/>
                <w:kern w:val="0"/>
                <w:sz w:val="24"/>
                <w:szCs w:val="24"/>
              </w:rPr>
              <w:t>层，实勘位于-</w:t>
            </w:r>
            <w:r>
              <w:rPr>
                <w:rFonts w:ascii="楷体_GB2312" w:hAnsi="宋体" w:eastAsia="楷体_GB2312" w:cs="宋体"/>
                <w:color w:val="000000"/>
                <w:kern w:val="0"/>
                <w:sz w:val="24"/>
                <w:szCs w:val="24"/>
              </w:rPr>
              <w:t>1</w:t>
            </w:r>
            <w:r>
              <w:rPr>
                <w:rFonts w:hint="eastAsia" w:ascii="楷体_GB2312" w:hAnsi="宋体" w:eastAsia="楷体_GB2312" w:cs="宋体"/>
                <w:color w:val="000000"/>
                <w:kern w:val="0"/>
                <w:sz w:val="24"/>
                <w:szCs w:val="24"/>
              </w:rPr>
              <w:t>层，商业产权登记位于-</w:t>
            </w:r>
            <w:r>
              <w:rPr>
                <w:rFonts w:ascii="楷体_GB2312" w:hAnsi="宋体" w:eastAsia="楷体_GB2312" w:cs="宋体"/>
                <w:color w:val="000000"/>
                <w:kern w:val="0"/>
                <w:sz w:val="24"/>
                <w:szCs w:val="24"/>
              </w:rPr>
              <w:t>1</w:t>
            </w:r>
            <w:r>
              <w:rPr>
                <w:rFonts w:hint="eastAsia" w:ascii="楷体_GB2312" w:hAnsi="宋体" w:eastAsia="楷体_GB2312" w:cs="宋体"/>
                <w:color w:val="000000"/>
                <w:kern w:val="0"/>
                <w:sz w:val="24"/>
                <w:szCs w:val="24"/>
              </w:rPr>
              <w:t>层，实勘位于地面1层；</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一期2栋总层数为1</w:t>
            </w:r>
            <w:r>
              <w:rPr>
                <w:rFonts w:ascii="楷体_GB2312" w:hAnsi="宋体" w:eastAsia="楷体_GB2312" w:cs="宋体"/>
                <w:color w:val="000000"/>
                <w:kern w:val="0"/>
                <w:sz w:val="24"/>
                <w:szCs w:val="24"/>
              </w:rPr>
              <w:t>0</w:t>
            </w:r>
            <w:r>
              <w:rPr>
                <w:rFonts w:hint="eastAsia" w:ascii="楷体_GB2312" w:hAnsi="宋体" w:eastAsia="楷体_GB2312" w:cs="宋体"/>
                <w:color w:val="000000"/>
                <w:kern w:val="0"/>
                <w:sz w:val="24"/>
                <w:szCs w:val="24"/>
              </w:rPr>
              <w:t>层，车库位于-</w:t>
            </w:r>
            <w:r>
              <w:rPr>
                <w:rFonts w:ascii="楷体_GB2312" w:hAnsi="宋体" w:eastAsia="楷体_GB2312" w:cs="宋体"/>
                <w:color w:val="000000"/>
                <w:kern w:val="0"/>
                <w:sz w:val="24"/>
                <w:szCs w:val="24"/>
              </w:rPr>
              <w:t>1</w:t>
            </w:r>
            <w:r>
              <w:rPr>
                <w:rFonts w:hint="eastAsia" w:ascii="楷体_GB2312" w:hAnsi="宋体" w:eastAsia="楷体_GB2312" w:cs="宋体"/>
                <w:color w:val="000000"/>
                <w:kern w:val="0"/>
                <w:sz w:val="24"/>
                <w:szCs w:val="24"/>
              </w:rPr>
              <w:t>层，商业位于地面1层；</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二期商业广场大底盘总层数为</w:t>
            </w:r>
            <w:r>
              <w:rPr>
                <w:rFonts w:ascii="楷体_GB2312" w:hAnsi="宋体" w:eastAsia="楷体_GB2312" w:cs="宋体"/>
                <w:color w:val="000000"/>
                <w:kern w:val="0"/>
                <w:sz w:val="24"/>
                <w:szCs w:val="24"/>
              </w:rPr>
              <w:t>2</w:t>
            </w:r>
            <w:r>
              <w:rPr>
                <w:rFonts w:hint="eastAsia" w:ascii="楷体_GB2312" w:hAnsi="宋体" w:eastAsia="楷体_GB2312" w:cs="宋体"/>
                <w:color w:val="000000"/>
                <w:kern w:val="0"/>
                <w:sz w:val="24"/>
                <w:szCs w:val="24"/>
              </w:rPr>
              <w:t>层，商业位于-</w:t>
            </w:r>
            <w:r>
              <w:rPr>
                <w:rFonts w:ascii="楷体_GB2312" w:hAnsi="宋体" w:eastAsia="楷体_GB2312" w:cs="宋体"/>
                <w:color w:val="000000"/>
                <w:kern w:val="0"/>
                <w:sz w:val="24"/>
                <w:szCs w:val="24"/>
              </w:rPr>
              <w:t>1</w:t>
            </w:r>
            <w:r>
              <w:rPr>
                <w:rFonts w:hint="eastAsia" w:ascii="楷体_GB2312" w:hAnsi="宋体" w:eastAsia="楷体_GB2312" w:cs="宋体"/>
                <w:color w:val="000000"/>
                <w:kern w:val="0"/>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所处楼幢</w:t>
            </w:r>
          </w:p>
        </w:tc>
        <w:tc>
          <w:tcPr>
            <w:tcW w:w="3331" w:type="pct"/>
            <w:shd w:val="clear" w:color="auto" w:fill="auto"/>
            <w:vAlign w:val="center"/>
          </w:tcPr>
          <w:p>
            <w:pPr>
              <w:widowControl/>
              <w:jc w:val="left"/>
              <w:rPr>
                <w:rFonts w:ascii="楷体_GB2312" w:hAnsi="宋体" w:eastAsia="楷体_GB2312"/>
                <w:sz w:val="24"/>
                <w:szCs w:val="24"/>
              </w:rPr>
            </w:pPr>
            <w:r>
              <w:rPr>
                <w:rFonts w:hint="eastAsia" w:ascii="楷体_GB2312" w:hAnsi="宋体" w:eastAsia="楷体_GB2312" w:cs="宋体"/>
                <w:color w:val="000000"/>
                <w:kern w:val="0"/>
                <w:sz w:val="24"/>
                <w:szCs w:val="24"/>
              </w:rPr>
              <w:t>佳和盛世一期1栋、2栋及佳和盛世二期商业广场大底盘。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朝向</w:t>
            </w:r>
          </w:p>
        </w:tc>
        <w:tc>
          <w:tcPr>
            <w:tcW w:w="3331" w:type="pct"/>
            <w:shd w:val="clear" w:color="auto" w:fill="auto"/>
            <w:vAlign w:val="center"/>
          </w:tcPr>
          <w:p>
            <w:pPr>
              <w:widowControl/>
              <w:jc w:val="left"/>
              <w:rPr>
                <w:rFonts w:ascii="楷体_GB2312" w:hAnsi="宋体" w:eastAsia="楷体_GB2312"/>
                <w:sz w:val="24"/>
                <w:szCs w:val="24"/>
              </w:rPr>
            </w:pPr>
            <w:r>
              <w:rPr>
                <w:rFonts w:hint="eastAsia" w:ascii="楷体_GB2312" w:hAnsi="宋体" w:eastAsia="楷体_GB2312"/>
                <w:sz w:val="24"/>
                <w:szCs w:val="24"/>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道路名称与类型</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估价对象东临凯棉路，西临崇义路，南临康庄路，北临永安路，均为交通型次干道，道路通达度较好，对外联接方便。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w:t>
            </w:r>
          </w:p>
        </w:tc>
        <w:tc>
          <w:tcPr>
            <w:tcW w:w="3331" w:type="pct"/>
            <w:shd w:val="clear" w:color="auto" w:fill="auto"/>
            <w:vAlign w:val="center"/>
          </w:tcPr>
          <w:p>
            <w:pPr>
              <w:widowControl/>
              <w:jc w:val="left"/>
              <w:rPr>
                <w:rFonts w:ascii="楷体_GB2312" w:hAnsi="宋体" w:eastAsia="楷体_GB2312" w:cs="宋体"/>
                <w:kern w:val="0"/>
                <w:sz w:val="24"/>
                <w:szCs w:val="24"/>
              </w:rPr>
            </w:pPr>
            <w:r>
              <w:rPr>
                <w:rFonts w:hint="eastAsia" w:ascii="楷体_GB2312" w:hAnsi="宋体" w:eastAsia="楷体_GB2312" w:cs="宋体"/>
                <w:kern w:val="0"/>
                <w:sz w:val="24"/>
                <w:szCs w:val="24"/>
              </w:rPr>
              <w:t>公交：</w:t>
            </w:r>
            <w:r>
              <w:rPr>
                <w:rFonts w:hint="eastAsia" w:ascii="楷体_GB2312" w:eastAsia="楷体_GB2312"/>
                <w:sz w:val="24"/>
                <w:szCs w:val="24"/>
              </w:rPr>
              <w:t>距离公交车站约200米，有凯里5路公交线路通过</w:t>
            </w:r>
            <w:r>
              <w:rPr>
                <w:rFonts w:hint="eastAsia" w:ascii="楷体_GB2312" w:hAnsi="宋体" w:eastAsia="楷体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交通管制</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周边道路无交通管制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出入可利用</w:t>
            </w:r>
          </w:p>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交通工具</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主要交通方式为公交车、自驾。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环境状况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自然环境</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估价对象周边无明显的大气污染、水文污染，有轻度噪声污染；周边没有影响视觉环境的杂乱因素；卫生状况良好。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人文环境</w:t>
            </w:r>
          </w:p>
        </w:tc>
        <w:tc>
          <w:tcPr>
            <w:tcW w:w="3331" w:type="pct"/>
            <w:shd w:val="clear" w:color="auto" w:fill="auto"/>
            <w:vAlign w:val="center"/>
          </w:tcPr>
          <w:p>
            <w:pPr>
              <w:widowControl/>
              <w:jc w:val="left"/>
              <w:rPr>
                <w:rFonts w:ascii="楷体_GB2312" w:hAnsi="宋体" w:eastAsia="楷体_GB2312" w:cs="宋体"/>
                <w:color w:val="FF0000"/>
                <w:kern w:val="0"/>
                <w:sz w:val="24"/>
                <w:szCs w:val="24"/>
              </w:rPr>
            </w:pPr>
            <w:r>
              <w:rPr>
                <w:rFonts w:hint="eastAsia" w:ascii="楷体_GB2312" w:hAnsi="宋体" w:eastAsia="楷体_GB2312" w:cs="宋体"/>
                <w:color w:val="000000"/>
                <w:kern w:val="0"/>
                <w:sz w:val="24"/>
                <w:szCs w:val="24"/>
              </w:rPr>
              <w:t>周边聚集有凯里市第三幼儿园、凯里市第十中学，治安环境较好，人文环境较好。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外部配套设施</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基础设施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区域内基础设施条件达到“五通一平”（通上水、通下水、通电、通路、通讯和场地平整），供水、供电的保证度较高，排水、排污直接接入市政管网，通信及互联网等讯息接收流畅，能满足生活日常要求。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公共服务设施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购物：星吉购物中心等；</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金融：贵阳银行、中国邮政储蓄银行等；</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医院：凯里市妇幼保健院、凯里市中医院等。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估价对象建筑高度、密度、建筑容积率、消防间距及土地使用要求等符合规划限制要求。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10"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周边聚集有丰球尚品、佳和拉薇公园、未来城华府等小区，居住聚集度高。</w:t>
            </w:r>
          </w:p>
        </w:tc>
      </w:tr>
    </w:tbl>
    <w:p>
      <w:pPr>
        <w:spacing w:line="420" w:lineRule="exact"/>
        <w:ind w:firstLine="560" w:firstLineChars="200"/>
        <w:rPr>
          <w:rFonts w:ascii="楷体_GB2312" w:hAnsi="仿宋" w:eastAsia="楷体_GB2312"/>
          <w:sz w:val="28"/>
          <w:szCs w:val="28"/>
        </w:rPr>
      </w:pPr>
      <w:r>
        <w:rPr>
          <w:rFonts w:ascii="仿宋" w:hAnsi="仿宋" w:eastAsia="仿宋"/>
          <w:sz w:val="28"/>
          <w:szCs w:val="28"/>
        </w:rPr>
        <w:t>3.</w:t>
      </w:r>
      <w:r>
        <w:rPr>
          <w:rFonts w:hint="eastAsia" w:ascii="楷体_GB2312" w:hAnsi="仿宋" w:eastAsia="楷体_GB2312"/>
          <w:sz w:val="28"/>
          <w:szCs w:val="28"/>
        </w:rPr>
        <w:t>估价对象权属状况</w:t>
      </w:r>
    </w:p>
    <w:p>
      <w:pPr>
        <w:spacing w:line="440" w:lineRule="exact"/>
        <w:ind w:firstLine="560" w:firstLineChars="200"/>
        <w:rPr>
          <w:rFonts w:ascii="楷体_GB2312" w:eastAsia="楷体_GB2312"/>
          <w:sz w:val="28"/>
        </w:rPr>
      </w:pPr>
      <w:r>
        <w:rPr>
          <w:rFonts w:hint="eastAsia" w:ascii="仿宋" w:hAnsi="仿宋" w:eastAsia="仿宋"/>
          <w:sz w:val="28"/>
        </w:rPr>
        <w:t>⑴</w:t>
      </w:r>
      <w:r>
        <w:rPr>
          <w:rFonts w:hint="eastAsia" w:ascii="楷体_GB2312" w:eastAsia="楷体_GB2312"/>
          <w:sz w:val="28"/>
        </w:rPr>
        <w:t>产权登记状况描述</w:t>
      </w:r>
    </w:p>
    <w:tbl>
      <w:tblPr>
        <w:tblStyle w:val="36"/>
        <w:tblW w:w="10916" w:type="dxa"/>
        <w:jc w:val="center"/>
        <w:tblLayout w:type="fixed"/>
        <w:tblCellMar>
          <w:top w:w="0" w:type="dxa"/>
          <w:left w:w="108" w:type="dxa"/>
          <w:bottom w:w="0" w:type="dxa"/>
          <w:right w:w="108" w:type="dxa"/>
        </w:tblCellMar>
      </w:tblPr>
      <w:tblGrid>
        <w:gridCol w:w="527"/>
        <w:gridCol w:w="1451"/>
        <w:gridCol w:w="1142"/>
        <w:gridCol w:w="663"/>
        <w:gridCol w:w="1463"/>
        <w:gridCol w:w="425"/>
        <w:gridCol w:w="567"/>
        <w:gridCol w:w="851"/>
        <w:gridCol w:w="850"/>
        <w:gridCol w:w="851"/>
        <w:gridCol w:w="850"/>
        <w:gridCol w:w="1276"/>
      </w:tblGrid>
      <w:tr>
        <w:tblPrEx>
          <w:tblCellMar>
            <w:top w:w="0" w:type="dxa"/>
            <w:left w:w="108" w:type="dxa"/>
            <w:bottom w:w="0" w:type="dxa"/>
            <w:right w:w="108" w:type="dxa"/>
          </w:tblCellMar>
        </w:tblPrEx>
        <w:trPr>
          <w:trHeight w:val="810" w:hRule="atLeast"/>
          <w:tblHeader/>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序号</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房屋所有</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权证号/不动产证书号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权利人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共有情况</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坐落</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用途</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结构</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层数/</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总层数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建筑面积（m</w:t>
            </w:r>
            <w:r>
              <w:rPr>
                <w:rFonts w:hint="eastAsia" w:ascii="楷体" w:hAnsi="楷体" w:eastAsia="楷体" w:cs="楷体"/>
                <w:b/>
                <w:bCs/>
                <w:color w:val="000000"/>
                <w:kern w:val="0"/>
                <w:sz w:val="20"/>
                <w:vertAlign w:val="superscript"/>
                <w:lang w:bidi="ar"/>
              </w:rPr>
              <w:t>2</w:t>
            </w:r>
            <w:r>
              <w:rPr>
                <w:rFonts w:hint="eastAsia" w:ascii="楷体" w:hAnsi="楷体" w:eastAsia="楷体" w:cs="楷体"/>
                <w:b/>
                <w:bCs/>
                <w:color w:val="000000"/>
                <w:kern w:val="0"/>
                <w:sz w:val="20"/>
                <w:lang w:bidi="ar"/>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套内面积（m</w:t>
            </w:r>
            <w:r>
              <w:rPr>
                <w:rFonts w:hint="eastAsia" w:ascii="楷体" w:hAnsi="楷体" w:eastAsia="楷体" w:cs="楷体"/>
                <w:b/>
                <w:bCs/>
                <w:color w:val="000000"/>
                <w:kern w:val="0"/>
                <w:sz w:val="20"/>
                <w:vertAlign w:val="superscript"/>
                <w:lang w:bidi="ar"/>
              </w:rPr>
              <w:t>2</w:t>
            </w:r>
            <w:r>
              <w:rPr>
                <w:rFonts w:hint="eastAsia" w:ascii="楷体" w:hAnsi="楷体" w:eastAsia="楷体" w:cs="楷体"/>
                <w:b/>
                <w:bCs/>
                <w:color w:val="000000"/>
                <w:kern w:val="0"/>
                <w:sz w:val="20"/>
                <w:lang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土地使用权取得方式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kern w:val="0"/>
                <w:sz w:val="20"/>
                <w:lang w:bidi="ar"/>
              </w:rPr>
            </w:pPr>
            <w:r>
              <w:rPr>
                <w:rFonts w:hint="eastAsia" w:ascii="楷体" w:hAnsi="楷体" w:eastAsia="楷体" w:cs="楷体"/>
                <w:b/>
                <w:bCs/>
                <w:color w:val="000000"/>
                <w:kern w:val="0"/>
                <w:sz w:val="20"/>
                <w:lang w:bidi="ar"/>
              </w:rPr>
              <w:t>土地使用</w:t>
            </w:r>
          </w:p>
          <w:p>
            <w:pPr>
              <w:widowControl/>
              <w:spacing w:line="240" w:lineRule="exact"/>
              <w:jc w:val="center"/>
              <w:textAlignment w:val="center"/>
              <w:rPr>
                <w:rFonts w:ascii="楷体" w:hAnsi="楷体" w:eastAsia="楷体" w:cs="楷体"/>
                <w:b/>
                <w:bCs/>
                <w:color w:val="000000"/>
                <w:sz w:val="20"/>
              </w:rPr>
            </w:pPr>
            <w:r>
              <w:rPr>
                <w:rFonts w:hint="eastAsia" w:ascii="楷体" w:hAnsi="楷体" w:eastAsia="楷体" w:cs="楷体"/>
                <w:b/>
                <w:bCs/>
                <w:color w:val="000000"/>
                <w:kern w:val="0"/>
                <w:sz w:val="20"/>
                <w:lang w:bidi="ar"/>
              </w:rPr>
              <w:t>年限</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凯里市字第00058685号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448"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凯里市凯棉路138号佳和盛世一期1栋-2层-2-49号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凯里市字第00058679号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凯里市凯棉路138号佳和盛世一期1栋-2层-2-54号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48"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凯里市凯棉路138号佳和盛世一期1栋-2层-2-69号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凯里市字第00058661号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凯里市字第00058655号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7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凯里市凯棉路138号佳和盛世一期1栋-2层-2-79号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凯里市字第00058643号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7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凯里市凯棉路138号佳和盛世一期1栋-2层-2-89号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39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凯里市字第00058630号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凯里市凯棉路138号佳和盛世一期1栋-2层-2-99号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26"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49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国有出让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凯里市字第00058625号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凯里市凯棉路138号佳和盛世一期1栋-2层-2-109号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59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93"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14.34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凯里市字第00058613号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凯里市凯棉路138号佳和盛世一期1栋-2层-2-119号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69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14.11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25"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凯里市字第00058601号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凯里市凯棉路138号佳和盛世一期1栋-2层-2-129号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79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58"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凯里市字第00058595号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凯里市字第00058589号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凯里市凯棉路138号佳和盛世一期1栋-2层-2-138号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13.88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12.79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凯里市字第00063138号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凯里市凯棉路138号佳和盛世一期2栋-1层-1-123号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凯里市字第00063432号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凯里市凯棉路138号佳和盛世一期2栋-1层-1-124号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945"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凯里市字第00063427号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凯里市字第00063090号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凯里市凯棉路138号佳和盛世一期2栋-1层-1-179号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303"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凯里市字第00063092号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凯里市字第00063083号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凯里市字第00063428号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凯里市凯棉路138号佳和盛世一期2栋-1层-1-185号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凯里市字第00063414号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凯里市凯棉路138号佳和盛世一期2栋-1层-1-272号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99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凯里市字第00063005号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凯里市凯棉路138号佳和盛世一期2栋-1层-1-273号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78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凯里市字第00063006号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凯里市凯棉路138号佳和盛世一期2栋-1层-1-274号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车位</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13.78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12.19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101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黔（2020）凯里市不动产权第0022496号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凯里市和盛房地产开发有限责任公司</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凯里市凯棉路140号佳和盛世二期商业广场大底盘-1层超市</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其他</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钢筋混凝土</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8739.98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8009.07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0"/>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凯房权证凯里市字第00062157号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凯里市凯棉路138号佳和盛世一期1栋-1层-1-29号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120.08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117.21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凯房权证凯里市字第00062158号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凯里市凯棉路138号佳和盛世一期1栋-1层-1-30号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116.18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113.4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104</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凯房权证凯里市字第00060743号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203.79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198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105</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凯里市凯棉路138号佳和盛世一期2栋16单元1层16-1-27号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335.14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325.62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106</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凯房权证凯里市字第00060744号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舒芬</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凯里市凯棉路138号佳和盛世一期2栋16单元1层16-1-26号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183.97</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178.74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107</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凯房权证凯里市字第00060750-1号/凯房权证</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凯里市字第00060750-2号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共同共有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凯里市凯棉路138号佳和盛世一期2栋13单元1层13-1-15号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115.79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112.5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108</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凯房权证凯里市字第00060748-1号/凯房权证凯里市字第00060748-2号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共同共有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凯里市凯棉路138号佳和盛世一期2栋13单元1层13-1-14号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91.98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89.37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109</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凯房权证凯里市字第00060753-1号/凯房权证凯里市字第00060753-2号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仇海洪、李小群</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共同共有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凯里市凯棉路138号佳和盛世一期2栋13单元1层13-1-16号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108.10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105.03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凯房权证凯里市字第00060749号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凯里市凯棉路138号佳和盛世一期2栋14单元1层14-1-18号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115.79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112.5</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111</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凯房权证凯里市字第00060751号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凯里市凯棉路138号佳和盛世一期2栋14单元1层14-1-19号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91.98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89.37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凯房权证凯里市字第00060747号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凯里市凯棉路138号佳和盛世一期2栋14单元1层14-1-20号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101.89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99.00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r>
        <w:tblPrEx>
          <w:tblCellMar>
            <w:top w:w="0" w:type="dxa"/>
            <w:left w:w="108" w:type="dxa"/>
            <w:bottom w:w="0" w:type="dxa"/>
            <w:right w:w="108" w:type="dxa"/>
          </w:tblCellMar>
        </w:tblPrEx>
        <w:trPr>
          <w:trHeight w:val="124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凯房权证凯里市字第00060745号</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李绵强</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单独所有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凯里市凯棉路138号佳和盛世一期2栋15单元1层15-1-21号</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商业用房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框架</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213.05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 xml:space="preserve">207.00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国有</w:t>
            </w:r>
          </w:p>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出让</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0"/>
                <w:lang w:bidi="ar"/>
              </w:rPr>
            </w:pPr>
            <w:r>
              <w:rPr>
                <w:rFonts w:hint="eastAsia" w:ascii="楷体" w:hAnsi="楷体" w:eastAsia="楷体" w:cs="楷体"/>
                <w:color w:val="000000"/>
                <w:kern w:val="0"/>
                <w:sz w:val="20"/>
                <w:lang w:bidi="ar"/>
              </w:rPr>
              <w:t>2010-07-30至2050-07-29止</w:t>
            </w:r>
          </w:p>
        </w:tc>
      </w:tr>
    </w:tbl>
    <w:p>
      <w:pPr>
        <w:pStyle w:val="17"/>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⑵</w:t>
      </w:r>
      <w:r>
        <w:rPr>
          <w:rFonts w:hint="eastAsia" w:ascii="楷体_GB2312" w:hAnsi="宋体" w:eastAsia="楷体_GB2312"/>
          <w:sz w:val="28"/>
        </w:rPr>
        <w:t>估价对象其他权益状况</w:t>
      </w:r>
    </w:p>
    <w:p>
      <w:pPr>
        <w:pStyle w:val="17"/>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1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①</w:t>
      </w:r>
      <w:r>
        <w:rPr>
          <w:rFonts w:ascii="仿宋" w:hAnsi="仿宋" w:eastAsia="仿宋"/>
          <w:sz w:val="28"/>
        </w:rPr>
        <w:fldChar w:fldCharType="end"/>
      </w:r>
      <w:r>
        <w:rPr>
          <w:rFonts w:hint="eastAsia" w:ascii="楷体_GB2312" w:hAnsi="宋体" w:eastAsia="楷体_GB2312"/>
          <w:sz w:val="28"/>
        </w:rPr>
        <w:t>租赁或占用情况：</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估价对象佳和盛世一期1栋、2栋车位</w:t>
      </w:r>
      <w:r>
        <w:rPr>
          <w:rFonts w:ascii="楷体_GB2312" w:hAnsi="宋体" w:eastAsia="楷体_GB2312"/>
          <w:sz w:val="28"/>
        </w:rPr>
        <w:t>目前</w:t>
      </w:r>
      <w:r>
        <w:rPr>
          <w:rFonts w:hint="eastAsia" w:ascii="楷体_GB2312" w:hAnsi="宋体" w:eastAsia="楷体_GB2312"/>
          <w:sz w:val="28"/>
        </w:rPr>
        <w:t>主要</w:t>
      </w:r>
      <w:r>
        <w:rPr>
          <w:rFonts w:ascii="楷体_GB2312" w:hAnsi="宋体" w:eastAsia="楷体_GB2312"/>
          <w:sz w:val="28"/>
        </w:rPr>
        <w:t>出租</w:t>
      </w:r>
      <w:r>
        <w:rPr>
          <w:rFonts w:hint="eastAsia" w:ascii="楷体_GB2312" w:hAnsi="宋体" w:eastAsia="楷体_GB2312"/>
          <w:sz w:val="28"/>
        </w:rPr>
        <w:t>给小区业主使用</w:t>
      </w:r>
      <w:r>
        <w:rPr>
          <w:rFonts w:ascii="楷体_GB2312" w:hAnsi="宋体" w:eastAsia="楷体_GB2312"/>
          <w:sz w:val="28"/>
        </w:rPr>
        <w:t>，</w:t>
      </w:r>
      <w:r>
        <w:rPr>
          <w:rFonts w:hint="eastAsia" w:ascii="楷体_GB2312" w:hAnsi="宋体" w:eastAsia="楷体_GB2312"/>
          <w:sz w:val="28"/>
        </w:rPr>
        <w:t>估价对象小区车位较多，能够满足小区业主的停车需求，小区业主租赁车位方式主要为办理月卡、年卡等，没有固定的停车位，小区车位租金标准均为统一标准，该租金标准与周边小区车位市场租金水平一致，故本次估价是否考虑出租均不影响估价对象价值；</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估价对象佳和盛世一期1栋、2栋商业除2栋14单元1层14-1-19号、2栋13单元1层13-1-14号之外，其他估价对象均出租作为餐饮、服装、酒库等使用，人民法院提供了租赁合同，本次评估已考虑出租的影响价值。</w:t>
      </w:r>
    </w:p>
    <w:p>
      <w:pPr>
        <w:pStyle w:val="17"/>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估价对象佳和盛世二期商业广场大底盘-1层超市，目前出租给佳惠超市作为超市及办公室使用，人民法院提供了租赁合同，本次评估已考虑出租的影响价值。于价值时点，估价对象租约限制情况如下表：</w:t>
      </w:r>
    </w:p>
    <w:p>
      <w:pPr>
        <w:pStyle w:val="17"/>
        <w:adjustRightInd w:val="0"/>
        <w:snapToGrid w:val="0"/>
        <w:spacing w:line="480" w:lineRule="exact"/>
        <w:ind w:firstLine="560" w:firstLineChars="200"/>
        <w:rPr>
          <w:rFonts w:hint="eastAsia" w:ascii="楷体_GB2312" w:hAnsi="宋体" w:eastAsia="楷体_GB2312"/>
          <w:sz w:val="28"/>
        </w:rPr>
      </w:pP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242"/>
        <w:gridCol w:w="2282"/>
        <w:gridCol w:w="1380"/>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833" w:type="pct"/>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出租方</w:t>
            </w:r>
          </w:p>
        </w:tc>
        <w:tc>
          <w:tcPr>
            <w:tcW w:w="657" w:type="pct"/>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承租方</w:t>
            </w:r>
          </w:p>
        </w:tc>
        <w:tc>
          <w:tcPr>
            <w:tcW w:w="1207" w:type="pct"/>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租赁坐落</w:t>
            </w:r>
          </w:p>
        </w:tc>
        <w:tc>
          <w:tcPr>
            <w:tcW w:w="730" w:type="pct"/>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租赁面积（㎡）</w:t>
            </w:r>
          </w:p>
        </w:tc>
        <w:tc>
          <w:tcPr>
            <w:tcW w:w="1570" w:type="pct"/>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租约期限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575"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凯里市和盛房地产开发有限责任公司</w:t>
            </w:r>
          </w:p>
        </w:tc>
        <w:tc>
          <w:tcPr>
            <w:tcW w:w="124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湖南佳惠百货有限责任公司</w:t>
            </w:r>
          </w:p>
        </w:tc>
        <w:tc>
          <w:tcPr>
            <w:tcW w:w="228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凯里市凯棉路140号佳和盛世二期商业广场大底盘-1层超市</w:t>
            </w:r>
          </w:p>
        </w:tc>
        <w:tc>
          <w:tcPr>
            <w:tcW w:w="1380"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8739.98</w:t>
            </w:r>
          </w:p>
        </w:tc>
        <w:tc>
          <w:tcPr>
            <w:tcW w:w="2968"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2018年6月1日至2038年5月31日，至价值时点租赁期还剩16.06年,前五年免租，第6</w:t>
            </w:r>
            <w:r>
              <w:rPr>
                <w:rFonts w:ascii="楷体_GB2312" w:hAnsi="宋体" w:eastAsia="楷体_GB2312" w:cs="宋体"/>
                <w:kern w:val="0"/>
                <w:szCs w:val="21"/>
              </w:rPr>
              <w:t>-8</w:t>
            </w:r>
            <w:r>
              <w:rPr>
                <w:rFonts w:hint="eastAsia" w:ascii="楷体_GB2312" w:hAnsi="宋体" w:eastAsia="楷体_GB2312" w:cs="宋体"/>
                <w:kern w:val="0"/>
                <w:szCs w:val="21"/>
              </w:rPr>
              <w:t>年租金为14元/㎡·月，第9</w:t>
            </w:r>
            <w:r>
              <w:rPr>
                <w:rFonts w:ascii="楷体_GB2312" w:hAnsi="宋体" w:eastAsia="楷体_GB2312" w:cs="宋体"/>
                <w:kern w:val="0"/>
                <w:szCs w:val="21"/>
              </w:rPr>
              <w:t>-11</w:t>
            </w:r>
            <w:r>
              <w:rPr>
                <w:rFonts w:hint="eastAsia" w:ascii="楷体_GB2312" w:hAnsi="宋体" w:eastAsia="楷体_GB2312" w:cs="宋体"/>
                <w:kern w:val="0"/>
                <w:szCs w:val="21"/>
              </w:rPr>
              <w:t>年1</w:t>
            </w:r>
            <w:r>
              <w:rPr>
                <w:rFonts w:ascii="楷体_GB2312" w:hAnsi="宋体" w:eastAsia="楷体_GB2312" w:cs="宋体"/>
                <w:kern w:val="0"/>
                <w:szCs w:val="21"/>
              </w:rPr>
              <w:t>7</w:t>
            </w:r>
            <w:r>
              <w:rPr>
                <w:rFonts w:hint="eastAsia" w:ascii="楷体_GB2312" w:hAnsi="宋体" w:eastAsia="楷体_GB2312" w:cs="宋体"/>
                <w:kern w:val="0"/>
                <w:szCs w:val="21"/>
              </w:rPr>
              <w:t>元/㎡·月，第1</w:t>
            </w:r>
            <w:r>
              <w:rPr>
                <w:rFonts w:ascii="楷体_GB2312" w:hAnsi="宋体" w:eastAsia="楷体_GB2312" w:cs="宋体"/>
                <w:kern w:val="0"/>
                <w:szCs w:val="21"/>
              </w:rPr>
              <w:t>2-14</w:t>
            </w:r>
            <w:r>
              <w:rPr>
                <w:rFonts w:hint="eastAsia" w:ascii="楷体_GB2312" w:hAnsi="宋体" w:eastAsia="楷体_GB2312" w:cs="宋体"/>
                <w:kern w:val="0"/>
                <w:szCs w:val="21"/>
              </w:rPr>
              <w:t>年1</w:t>
            </w:r>
            <w:r>
              <w:rPr>
                <w:rFonts w:ascii="楷体_GB2312" w:hAnsi="宋体" w:eastAsia="楷体_GB2312" w:cs="宋体"/>
                <w:kern w:val="0"/>
                <w:szCs w:val="21"/>
              </w:rPr>
              <w:t>9</w:t>
            </w:r>
            <w:r>
              <w:rPr>
                <w:rFonts w:hint="eastAsia" w:ascii="楷体_GB2312" w:hAnsi="宋体" w:eastAsia="楷体_GB2312" w:cs="宋体"/>
                <w:kern w:val="0"/>
                <w:szCs w:val="21"/>
              </w:rPr>
              <w:t>元/㎡·月，第</w:t>
            </w:r>
            <w:r>
              <w:rPr>
                <w:rFonts w:ascii="楷体_GB2312" w:hAnsi="宋体" w:eastAsia="楷体_GB2312" w:cs="宋体"/>
                <w:kern w:val="0"/>
                <w:szCs w:val="21"/>
              </w:rPr>
              <w:t>15-17</w:t>
            </w:r>
            <w:r>
              <w:rPr>
                <w:rFonts w:hint="eastAsia" w:ascii="楷体_GB2312" w:hAnsi="宋体" w:eastAsia="楷体_GB2312" w:cs="宋体"/>
                <w:kern w:val="0"/>
                <w:szCs w:val="21"/>
              </w:rPr>
              <w:t>年</w:t>
            </w:r>
            <w:r>
              <w:rPr>
                <w:rFonts w:ascii="楷体_GB2312" w:hAnsi="宋体" w:eastAsia="楷体_GB2312" w:cs="宋体"/>
                <w:kern w:val="0"/>
                <w:szCs w:val="21"/>
              </w:rPr>
              <w:t>21</w:t>
            </w:r>
            <w:r>
              <w:rPr>
                <w:rFonts w:hint="eastAsia" w:ascii="楷体_GB2312" w:hAnsi="宋体" w:eastAsia="楷体_GB2312" w:cs="宋体"/>
                <w:kern w:val="0"/>
                <w:szCs w:val="21"/>
              </w:rPr>
              <w:t>元/㎡·月，第1</w:t>
            </w:r>
            <w:r>
              <w:rPr>
                <w:rFonts w:ascii="楷体_GB2312" w:hAnsi="宋体" w:eastAsia="楷体_GB2312" w:cs="宋体"/>
                <w:kern w:val="0"/>
                <w:szCs w:val="21"/>
              </w:rPr>
              <w:t>8-20</w:t>
            </w:r>
            <w:r>
              <w:rPr>
                <w:rFonts w:hint="eastAsia" w:ascii="楷体_GB2312" w:hAnsi="宋体" w:eastAsia="楷体_GB2312" w:cs="宋体"/>
                <w:kern w:val="0"/>
                <w:szCs w:val="21"/>
              </w:rPr>
              <w:t>年</w:t>
            </w:r>
            <w:r>
              <w:rPr>
                <w:rFonts w:ascii="楷体_GB2312" w:hAnsi="宋体" w:eastAsia="楷体_GB2312" w:cs="宋体"/>
                <w:kern w:val="0"/>
                <w:szCs w:val="21"/>
              </w:rPr>
              <w:t>24</w:t>
            </w:r>
            <w:r>
              <w:rPr>
                <w:rFonts w:hint="eastAsia" w:ascii="楷体_GB2312" w:hAnsi="宋体" w:eastAsia="楷体_GB2312" w:cs="宋体"/>
                <w:kern w:val="0"/>
                <w:szCs w:val="21"/>
              </w:rPr>
              <w:t>元/㎡·月，折算年平均增长率为4.76%。至价值时点为免租期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575"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李绵强</w:t>
            </w:r>
          </w:p>
        </w:tc>
        <w:tc>
          <w:tcPr>
            <w:tcW w:w="124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刘清</w:t>
            </w:r>
          </w:p>
        </w:tc>
        <w:tc>
          <w:tcPr>
            <w:tcW w:w="228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凯里市凯棉路138号佳和盛世一期2栋14单元1层14-1-18号</w:t>
            </w:r>
          </w:p>
        </w:tc>
        <w:tc>
          <w:tcPr>
            <w:tcW w:w="1380"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115.79</w:t>
            </w:r>
          </w:p>
        </w:tc>
        <w:tc>
          <w:tcPr>
            <w:tcW w:w="2968"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2021年3月1日至2025年2月28日，至价值时点租赁期还剩2.81年,价值时点租金为44.91元/㎡·月，前两年不变，后两年随市场行情而定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575"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李绵强</w:t>
            </w:r>
          </w:p>
        </w:tc>
        <w:tc>
          <w:tcPr>
            <w:tcW w:w="124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龙美洁</w:t>
            </w:r>
          </w:p>
        </w:tc>
        <w:tc>
          <w:tcPr>
            <w:tcW w:w="2282"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凯里市凯棉路138号佳和盛世一期2栋14单元1层14-1-20号</w:t>
            </w:r>
          </w:p>
        </w:tc>
        <w:tc>
          <w:tcPr>
            <w:tcW w:w="1380"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101.89</w:t>
            </w:r>
          </w:p>
        </w:tc>
        <w:tc>
          <w:tcPr>
            <w:tcW w:w="2968"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2021年6月16日至2025年6月16日，至价值时点租赁期还剩3.10年,价值时点租金为37.30元/㎡·月，前两年不变，后两年随市场行情而定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李绵强</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杨泽</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凯里市凯棉路138号佳和盛世一期2栋15单元1层15-1-21号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213.05</w:t>
            </w:r>
          </w:p>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（出租</w:t>
            </w:r>
          </w:p>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其中半间）</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2021年12月1日至2026年11月31日，至价值时点租赁期还剩4.56年,价值时点租金为30.04元/㎡·月，前三年不变，后两年随市场行情而定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575" w:type="dxa"/>
            <w:tcBorders>
              <w:bottom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仇海洪、李小群</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李波</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凯里市凯棉路138号佳和盛世一期2栋13单元1层13-1-15号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115.79</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2022年5月1日至2027年5月1日，至价值时点租赁期还剩4.97年,价值时点租金为38.86元/㎡·月，每年租金以第一年7%的幅度增收。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仇海洪、李小群</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徐鸣碧</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凯里市凯棉路138号佳和盛世一期2栋13单元1层13-1-16号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108.1</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2021年4月9日至2027年4月9日，至价值时点租赁期还剩4.91年,价值时点租金为61.86元/㎡·月，每年租金以第一年7%的幅度增收。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舒芬</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葛海艳</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凯里市凯棉路138号佳和盛世一期2栋16单元1层16-1-25号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203.79</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2019年10月15日至2023年10月14日，至价值时点租赁期还剩1.43年,价值时点租金为44.53元/㎡·月，第二年在第一年基础上涨10%，第三年及第四年均上涨10%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舒芬</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黄金</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凯里市凯棉路138号佳和盛世一期2栋16单元1层16-1-26号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183.97</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2018年12月01日至2033年11月30日，至价值时点租赁期还剩11.56年,价值时点租金为40.77元/㎡·月，2018年12月1日至2023年11月30日年租金为9万元，2023年12月1日至2028年11月30日年租金为18万元，2028年12月1日至2033年11月30日年租金为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舒芬</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邰金辉</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凯里市凯棉路138号佳和盛世一期2栋16单元1层16-1-27号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335.14</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2018年10月15日至2028年10月14日，至价值时点租赁期还剩6.43年,价值时点租金为41.03元/㎡·月，年租金为15万元，每年递增5000元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5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舒芬</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吴儒美</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凯里市凯棉路138号佳和盛世一期1栋-1层-1-29号、30号</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236.23</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ascii="楷体_GB2312" w:hAnsi="宋体" w:eastAsia="楷体_GB2312" w:cs="宋体"/>
                <w:kern w:val="0"/>
                <w:szCs w:val="21"/>
              </w:rPr>
            </w:pPr>
            <w:r>
              <w:rPr>
                <w:rFonts w:hint="eastAsia" w:ascii="楷体_GB2312" w:hAnsi="宋体" w:eastAsia="楷体_GB2312" w:cs="宋体"/>
                <w:kern w:val="0"/>
                <w:szCs w:val="21"/>
              </w:rPr>
              <w:t>2021年05月23日至2026年05月22日，至价值时点租赁期还剩4.03年,价值时点租金为23.28元/㎡·月，年租金6.6万元，前4年不变，最后1年随市场行情而定</w:t>
            </w:r>
          </w:p>
        </w:tc>
      </w:tr>
    </w:tbl>
    <w:p>
      <w:pPr>
        <w:pStyle w:val="17"/>
        <w:adjustRightInd w:val="0"/>
        <w:snapToGrid w:val="0"/>
        <w:spacing w:line="480" w:lineRule="exact"/>
        <w:ind w:firstLine="560" w:firstLineChars="200"/>
        <w:rPr>
          <w:rFonts w:ascii="楷体_GB2312" w:hAnsi="宋体" w:eastAsia="楷体_GB2312"/>
          <w:sz w:val="28"/>
        </w:rPr>
      </w:pPr>
    </w:p>
    <w:p>
      <w:pPr>
        <w:pStyle w:val="17"/>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②</w:t>
      </w:r>
      <w:r>
        <w:rPr>
          <w:rFonts w:hint="eastAsia" w:ascii="楷体_GB2312" w:hAnsi="宋体" w:eastAsia="楷体_GB2312"/>
          <w:sz w:val="28"/>
        </w:rPr>
        <w:t>用益物权设立情况：估价对象未设立用益物权。</w:t>
      </w:r>
    </w:p>
    <w:p>
      <w:pPr>
        <w:pStyle w:val="17"/>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3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③</w:t>
      </w:r>
      <w:r>
        <w:rPr>
          <w:rFonts w:ascii="仿宋" w:hAnsi="仿宋" w:eastAsia="仿宋"/>
          <w:sz w:val="28"/>
        </w:rPr>
        <w:fldChar w:fldCharType="end"/>
      </w:r>
      <w:r>
        <w:rPr>
          <w:rFonts w:hint="eastAsia" w:ascii="楷体_GB2312" w:hAnsi="宋体" w:eastAsia="楷体_GB2312"/>
          <w:sz w:val="28"/>
        </w:rPr>
        <w:t>担保物权设立情况：估价对象未设立担保物权。</w:t>
      </w:r>
    </w:p>
    <w:p>
      <w:pPr>
        <w:snapToGrid w:val="0"/>
        <w:spacing w:line="480" w:lineRule="exact"/>
        <w:ind w:firstLine="555"/>
        <w:rPr>
          <w:rFonts w:ascii="楷体_GB2312" w:eastAsia="楷体_GB2312"/>
          <w:sz w:val="28"/>
        </w:rPr>
      </w:pPr>
      <w:r>
        <w:rPr>
          <w:rFonts w:hint="eastAsia" w:ascii="仿宋" w:hAnsi="仿宋" w:eastAsia="仿宋"/>
          <w:sz w:val="28"/>
        </w:rPr>
        <w:t>④</w:t>
      </w:r>
      <w:r>
        <w:rPr>
          <w:rFonts w:hint="eastAsia" w:ascii="楷体_GB2312" w:hAnsi="宋体" w:eastAsia="楷体_GB2312"/>
          <w:sz w:val="28"/>
        </w:rPr>
        <w:t>抵押权及</w:t>
      </w:r>
      <w:r>
        <w:rPr>
          <w:rFonts w:hint="eastAsia" w:ascii="楷体_GB2312" w:eastAsia="楷体_GB2312"/>
          <w:sz w:val="28"/>
        </w:rPr>
        <w:t>法定优先受偿权</w:t>
      </w:r>
      <w:r>
        <w:rPr>
          <w:rFonts w:hint="eastAsia" w:ascii="楷体_GB2312" w:hAnsi="宋体" w:eastAsia="楷体_GB2312"/>
          <w:sz w:val="28"/>
        </w:rPr>
        <w:t>情况：</w:t>
      </w:r>
      <w:r>
        <w:rPr>
          <w:rFonts w:hint="eastAsia" w:ascii="楷体_GB2312" w:eastAsia="楷体_GB2312"/>
          <w:sz w:val="28"/>
        </w:rPr>
        <w:t>根据估价委托人提供的</w:t>
      </w:r>
      <w:r>
        <w:rPr>
          <w:rFonts w:hint="eastAsia" w:ascii="楷体_GB2312" w:hAnsi="宋体" w:eastAsia="楷体_GB2312"/>
          <w:sz w:val="28"/>
        </w:rPr>
        <w:t>《不动产登记证明》（黔（2020）凯里市不动产证明第0029144号）</w:t>
      </w:r>
      <w:r>
        <w:rPr>
          <w:rFonts w:hint="eastAsia" w:ascii="楷体_GB2312" w:eastAsia="楷体_GB2312"/>
          <w:sz w:val="28"/>
        </w:rPr>
        <w:t>，在价值时点，估价对象已设定抵押登记，有法定优先受偿权。本次估价目的为人民法院确定财产处置参考价提供参考依据，涉执房地产处置司法评估结果不应当考虑评估对象被查封以及原有的担保物和其他优先受偿权的影响。故本次评估未考虑估价对象原有的担保物和其他优先受偿权的影响。</w:t>
      </w:r>
    </w:p>
    <w:p>
      <w:pPr>
        <w:snapToGrid w:val="0"/>
        <w:spacing w:line="480" w:lineRule="exact"/>
        <w:ind w:firstLine="555"/>
        <w:rPr>
          <w:rFonts w:ascii="楷体_GB2312" w:hAnsi="宋体" w:eastAsia="楷体_GB2312"/>
          <w:sz w:val="28"/>
        </w:rPr>
      </w:pPr>
      <w:r>
        <w:rPr>
          <w:rFonts w:hint="eastAsia" w:ascii="仿宋" w:hAnsi="仿宋" w:eastAsia="仿宋"/>
          <w:sz w:val="28"/>
        </w:rPr>
        <w:t>⑤</w:t>
      </w:r>
      <w:r>
        <w:rPr>
          <w:rFonts w:hint="eastAsia" w:ascii="楷体_GB2312" w:hAnsi="宋体" w:eastAsia="楷体_GB2312"/>
          <w:sz w:val="28"/>
        </w:rPr>
        <w:t>拖欠税费情况：无</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（三）土地基本状况</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估价对象土地基本状况详见下表：</w:t>
      </w:r>
    </w:p>
    <w:tbl>
      <w:tblPr>
        <w:tblStyle w:val="36"/>
        <w:tblW w:w="47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四至</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估价对象所在小区东临凯棉路，西临崇义路，南临康庄路，北临永安路。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形状规则，有利于商业地产布局及住宅地产居住。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土地使用期限</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土地使用期限：</w:t>
            </w:r>
            <w:r>
              <w:rPr>
                <w:rFonts w:hint="eastAsia" w:ascii="楷体_GB2312" w:hAnsi="宋体" w:eastAsia="楷体_GB2312" w:cs="宋体"/>
                <w:kern w:val="0"/>
                <w:sz w:val="24"/>
                <w:szCs w:val="24"/>
              </w:rPr>
              <w:t>2050年07月29日，剩余使用年期28.24年。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开发程度</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已达到五通（通路、通电、供水、排水、通讯），红线内场地平整。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土地使用权类型</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出让</w:t>
            </w:r>
          </w:p>
        </w:tc>
      </w:tr>
    </w:tbl>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（四）建筑物基本状况</w:t>
      </w:r>
    </w:p>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估价对象建筑物基本状况详见下表：</w:t>
      </w:r>
    </w:p>
    <w:tbl>
      <w:tblPr>
        <w:tblStyle w:val="36"/>
        <w:tblW w:w="5018"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竣工日期</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一期建于</w:t>
            </w:r>
            <w:r>
              <w:rPr>
                <w:rFonts w:ascii="楷体_GB2312" w:hAnsi="宋体" w:eastAsia="楷体_GB2312" w:cs="宋体"/>
                <w:color w:val="000000"/>
                <w:kern w:val="0"/>
                <w:sz w:val="24"/>
                <w:szCs w:val="24"/>
              </w:rPr>
              <w:t>20</w:t>
            </w:r>
            <w:r>
              <w:rPr>
                <w:rFonts w:hint="eastAsia" w:ascii="楷体_GB2312" w:hAnsi="宋体" w:eastAsia="楷体_GB2312" w:cs="宋体"/>
                <w:color w:val="000000"/>
                <w:kern w:val="0"/>
                <w:sz w:val="24"/>
                <w:szCs w:val="24"/>
              </w:rPr>
              <w:t>14年，二期建于2018年，设计使用年限为60年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新旧程度</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建筑结构</w:t>
            </w:r>
          </w:p>
        </w:tc>
        <w:tc>
          <w:tcPr>
            <w:tcW w:w="4103" w:type="pct"/>
            <w:shd w:val="clear" w:color="auto" w:fill="auto"/>
            <w:noWrap/>
            <w:vAlign w:val="center"/>
          </w:tcPr>
          <w:p>
            <w:pPr>
              <w:widowControl/>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设施设备</w:t>
            </w:r>
          </w:p>
        </w:tc>
        <w:tc>
          <w:tcPr>
            <w:tcW w:w="4103"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sz w:val="24"/>
                <w:szCs w:val="24"/>
              </w:rPr>
              <w:t>供电线路全部隐蔽敷没，独立IC卡电表，</w:t>
            </w:r>
            <w:r>
              <w:rPr>
                <w:rFonts w:ascii="楷体_GB2312" w:hAnsi="宋体" w:eastAsia="楷体_GB2312"/>
                <w:sz w:val="24"/>
                <w:szCs w:val="24"/>
              </w:rPr>
              <w:t>市政供水等</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装饰装修</w:t>
            </w:r>
          </w:p>
        </w:tc>
        <w:tc>
          <w:tcPr>
            <w:tcW w:w="4103"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b/>
                <w:bCs/>
                <w:sz w:val="24"/>
                <w:szCs w:val="24"/>
              </w:rPr>
              <w:t>车位部分：</w:t>
            </w:r>
            <w:r>
              <w:rPr>
                <w:rFonts w:hint="eastAsia" w:ascii="楷体_GB2312" w:hAnsi="宋体" w:eastAsia="楷体_GB2312"/>
                <w:sz w:val="24"/>
                <w:szCs w:val="24"/>
              </w:rPr>
              <w:t>估价对象一期1栋、2栋大楼外墙为瓷砖，总楼层为10层/11层，本次评估为佳和盛世一期1栋-2层、2栋-1层车位，实勘估价对象车位房地产均位于-1层，层高为4米，目前出租给小区业主使用，车位地面为地坪漆，墙面及顶棚刷白。</w:t>
            </w:r>
          </w:p>
          <w:p>
            <w:pPr>
              <w:adjustRightInd w:val="0"/>
              <w:jc w:val="left"/>
              <w:rPr>
                <w:rFonts w:ascii="楷体_GB2312" w:hAnsi="宋体" w:eastAsia="楷体_GB2312"/>
                <w:sz w:val="24"/>
                <w:szCs w:val="24"/>
              </w:rPr>
            </w:pPr>
            <w:r>
              <w:rPr>
                <w:rFonts w:hint="eastAsia" w:ascii="楷体_GB2312" w:hAnsi="宋体" w:eastAsia="楷体_GB2312"/>
                <w:b/>
                <w:bCs/>
                <w:sz w:val="24"/>
                <w:szCs w:val="24"/>
              </w:rPr>
              <w:t>一期1栋商业部分：</w:t>
            </w:r>
            <w:r>
              <w:rPr>
                <w:rFonts w:hint="eastAsia" w:ascii="楷体_GB2312" w:hAnsi="宋体" w:eastAsia="楷体_GB2312"/>
                <w:sz w:val="24"/>
                <w:szCs w:val="24"/>
              </w:rPr>
              <w:t>估价对象一期1栋大楼外墙为瓷砖，总楼层为11层，本次估价为佳和盛世一期1栋-1层商业，实勘估价对象商业房地产位于1层，层高为4米，出租给宏和顺商贸有限公司用作办公用房使用，入户门为玻璃钢化门，室内地面为地板砖，墙面刷乳胶漆，顶棚吊顶。</w:t>
            </w:r>
          </w:p>
          <w:p>
            <w:pPr>
              <w:adjustRightInd w:val="0"/>
              <w:jc w:val="left"/>
              <w:rPr>
                <w:rFonts w:ascii="楷体_GB2312" w:hAnsi="宋体" w:eastAsia="楷体_GB2312"/>
                <w:sz w:val="24"/>
                <w:szCs w:val="24"/>
              </w:rPr>
            </w:pPr>
            <w:r>
              <w:rPr>
                <w:rFonts w:hint="eastAsia" w:ascii="楷体_GB2312" w:hAnsi="宋体" w:eastAsia="楷体_GB2312"/>
                <w:b/>
                <w:bCs/>
                <w:sz w:val="24"/>
                <w:szCs w:val="24"/>
              </w:rPr>
              <w:t>一期2栋商业部分：</w:t>
            </w:r>
            <w:r>
              <w:rPr>
                <w:rFonts w:hint="eastAsia" w:ascii="楷体_GB2312" w:hAnsi="宋体" w:eastAsia="楷体_GB2312"/>
                <w:sz w:val="24"/>
                <w:szCs w:val="24"/>
              </w:rPr>
              <w:t>估价对象一期2栋大楼外墙为瓷砖，总楼层为10层，本次估价为佳和盛世一期2栋1层商业，实勘估价对象商业房地产位于1层，层高为4米，出租给餐饮、服装、酒库使用；入户门为玻璃钢化门，室内地面为地板砖，墙面刷乳胶漆，顶棚吊顶或刷白。</w:t>
            </w:r>
          </w:p>
          <w:p>
            <w:pPr>
              <w:adjustRightInd w:val="0"/>
              <w:jc w:val="left"/>
              <w:rPr>
                <w:rFonts w:ascii="楷体_GB2312" w:hAnsi="宋体" w:eastAsia="楷体_GB2312"/>
                <w:sz w:val="24"/>
                <w:szCs w:val="24"/>
              </w:rPr>
            </w:pPr>
            <w:r>
              <w:rPr>
                <w:rFonts w:hint="eastAsia" w:ascii="楷体_GB2312" w:hAnsi="宋体" w:eastAsia="楷体_GB2312"/>
                <w:b/>
                <w:bCs/>
                <w:sz w:val="24"/>
                <w:szCs w:val="24"/>
              </w:rPr>
              <w:t>二期商业广场大底盘-1层超市：</w:t>
            </w:r>
            <w:r>
              <w:rPr>
                <w:rFonts w:hint="eastAsia" w:ascii="楷体_GB2312" w:hAnsi="宋体" w:eastAsia="楷体_GB2312"/>
                <w:sz w:val="24"/>
                <w:szCs w:val="24"/>
              </w:rPr>
              <w:t>估价对象二期商业广场大底盘大楼外墙为瓷砖及玻璃幕墙，总楼层为2层，估价对象位于-1层，实勘估价对象商业房地产位于-1层，层高为5米，目前出租给佳惠超市作为超市及办公室使用；入户门为卷帘门，室内地面为地板砖，墙面刷乳胶漆，顶棚刷白。</w:t>
            </w:r>
          </w:p>
          <w:p>
            <w:pPr>
              <w:adjustRightInd w:val="0"/>
              <w:jc w:val="left"/>
              <w:rPr>
                <w:rFonts w:ascii="楷体_GB2312" w:hAnsi="宋体" w:eastAsia="楷体_GB2312"/>
                <w:sz w:val="24"/>
                <w:szCs w:val="24"/>
              </w:rPr>
            </w:pPr>
            <w:r>
              <w:rPr>
                <w:rFonts w:hint="eastAsia" w:ascii="楷体_GB2312" w:hAnsi="宋体" w:eastAsia="楷体_GB2312"/>
                <w:sz w:val="24"/>
                <w:szCs w:val="24"/>
              </w:rPr>
              <w:t>估价对象水、电、通讯、网络等基础设施齐全。根据注册房地产估价师现场查勘情况，房屋工程质量合格，完损程度判定为完好房。但对估价对象的现实勘察仅限于其外观和使用状况，对被遮盖、未暴露及难以接触到的部分，则是依据委托方提供的资料进行评估，我们不承担对估价对象建筑结构质量进行调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维护状况</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使用正常，维护保养较好，约九成新</w:t>
            </w:r>
          </w:p>
        </w:tc>
      </w:tr>
    </w:tbl>
    <w:p>
      <w:pPr>
        <w:spacing w:line="420" w:lineRule="exact"/>
        <w:ind w:firstLine="560" w:firstLineChars="200"/>
        <w:rPr>
          <w:rFonts w:ascii="楷体_GB2312" w:hAnsi="仿宋" w:eastAsia="楷体_GB2312"/>
          <w:sz w:val="28"/>
          <w:szCs w:val="28"/>
        </w:rPr>
      </w:pPr>
    </w:p>
    <w:p>
      <w:pPr>
        <w:pStyle w:val="4"/>
        <w:ind w:firstLine="562" w:firstLineChars="200"/>
        <w:jc w:val="left"/>
        <w:rPr>
          <w:sz w:val="28"/>
          <w:szCs w:val="28"/>
        </w:rPr>
      </w:pPr>
      <w:bookmarkStart w:id="16" w:name="_Toc22456"/>
      <w:bookmarkStart w:id="17" w:name="_Toc322348933"/>
      <w:r>
        <w:rPr>
          <w:rFonts w:hint="eastAsia"/>
          <w:sz w:val="28"/>
          <w:szCs w:val="28"/>
        </w:rPr>
        <w:t>五、价值时点</w:t>
      </w:r>
      <w:bookmarkEnd w:id="16"/>
      <w:bookmarkEnd w:id="17"/>
    </w:p>
    <w:p>
      <w:pPr>
        <w:pStyle w:val="17"/>
        <w:spacing w:line="440" w:lineRule="exact"/>
        <w:ind w:firstLine="560" w:firstLineChars="200"/>
        <w:rPr>
          <w:rFonts w:ascii="楷体_GB2312" w:hAnsi="宋体" w:eastAsia="楷体_GB2312"/>
          <w:sz w:val="28"/>
        </w:rPr>
      </w:pPr>
      <w:bookmarkStart w:id="18" w:name="_Toc322348934"/>
      <w:r>
        <w:rPr>
          <w:rFonts w:hint="eastAsia" w:ascii="楷体_GB2312" w:hAnsi="宋体" w:eastAsia="楷体_GB2312"/>
          <w:sz w:val="28"/>
        </w:rPr>
        <w:t>根据《贵州省黔东南苗族侗族自治州中级人民法院价格委托评估书》</w:t>
      </w:r>
      <w:r>
        <w:rPr>
          <w:rFonts w:ascii="楷体_GB2312" w:hAnsi="宋体" w:eastAsia="楷体_GB2312"/>
          <w:sz w:val="28"/>
        </w:rPr>
        <w:t>[</w:t>
      </w:r>
      <w:r>
        <w:rPr>
          <w:rFonts w:hint="eastAsia" w:ascii="楷体_GB2312" w:hAnsi="宋体" w:eastAsia="楷体_GB2312"/>
          <w:sz w:val="28"/>
        </w:rPr>
        <w:t>（2022）黔26执75号</w:t>
      </w:r>
      <w:r>
        <w:rPr>
          <w:rFonts w:ascii="楷体_GB2312" w:hAnsi="宋体" w:eastAsia="楷体_GB2312"/>
          <w:sz w:val="28"/>
        </w:rPr>
        <w:t>]</w:t>
      </w:r>
      <w:r>
        <w:rPr>
          <w:rFonts w:hint="eastAsia" w:ascii="楷体_GB2312" w:hAnsi="宋体" w:eastAsia="楷体_GB2312"/>
          <w:sz w:val="28"/>
        </w:rPr>
        <w:t>，本次评估设定价值时点为注册房地产估价师现场查勘日期2022年05月10日。</w:t>
      </w:r>
    </w:p>
    <w:p>
      <w:pPr>
        <w:pStyle w:val="4"/>
        <w:ind w:firstLine="562" w:firstLineChars="200"/>
        <w:jc w:val="left"/>
        <w:rPr>
          <w:sz w:val="28"/>
          <w:szCs w:val="28"/>
        </w:rPr>
      </w:pPr>
      <w:bookmarkStart w:id="19" w:name="_Toc11027"/>
      <w:r>
        <w:rPr>
          <w:rFonts w:hint="eastAsia"/>
          <w:sz w:val="28"/>
          <w:szCs w:val="28"/>
        </w:rPr>
        <w:t>六、</w:t>
      </w:r>
      <w:bookmarkEnd w:id="18"/>
      <w:r>
        <w:rPr>
          <w:rFonts w:hint="eastAsia"/>
          <w:sz w:val="28"/>
          <w:szCs w:val="28"/>
        </w:rPr>
        <w:t>价值类型</w:t>
      </w:r>
      <w:bookmarkEnd w:id="19"/>
    </w:p>
    <w:p>
      <w:pPr>
        <w:pStyle w:val="17"/>
        <w:spacing w:line="440" w:lineRule="exact"/>
        <w:ind w:firstLine="560" w:firstLineChars="200"/>
        <w:rPr>
          <w:sz w:val="28"/>
        </w:rPr>
      </w:pPr>
      <w:r>
        <w:rPr>
          <w:rFonts w:hint="eastAsia" w:ascii="楷体_GB2312" w:hAnsi="宋体" w:eastAsia="楷体_GB2312"/>
          <w:sz w:val="28"/>
        </w:rPr>
        <w:t>本次估价的房地产市场价值为估价对象在价值时点2022年05月10日，在现实市场情况下，满足上述全部限制条件下的市场价值。</w:t>
      </w:r>
    </w:p>
    <w:p>
      <w:pPr>
        <w:pStyle w:val="17"/>
        <w:adjustRightInd w:val="0"/>
        <w:snapToGrid w:val="0"/>
        <w:spacing w:line="440" w:lineRule="exact"/>
        <w:ind w:firstLine="560" w:firstLineChars="200"/>
        <w:rPr>
          <w:rFonts w:ascii="楷体_GB2312" w:hAnsi="宋体" w:eastAsia="楷体_GB2312"/>
          <w:sz w:val="28"/>
        </w:rPr>
      </w:pPr>
      <w:r>
        <w:rPr>
          <w:rFonts w:hint="eastAsia" w:ascii="楷体_GB2312" w:hAnsi="宋体" w:eastAsia="楷体_GB2312"/>
          <w:sz w:val="28"/>
        </w:rPr>
        <w:t>市场价值是指估价对象经适当营销后，由熟悉情况、谨慎行事且不受强迫的交易双方，以公平交易方式在价值时点自愿进行交易的金额。</w:t>
      </w:r>
    </w:p>
    <w:p>
      <w:pPr>
        <w:pStyle w:val="17"/>
        <w:adjustRightInd w:val="0"/>
        <w:snapToGrid w:val="0"/>
        <w:spacing w:line="440" w:lineRule="exact"/>
        <w:ind w:firstLine="560" w:firstLineChars="200"/>
        <w:rPr>
          <w:rFonts w:ascii="楷体_GB2312" w:hAnsi="宋体" w:eastAsia="楷体_GB2312"/>
          <w:sz w:val="28"/>
        </w:rPr>
      </w:pPr>
      <w:r>
        <w:rPr>
          <w:rFonts w:ascii="楷体_GB2312" w:hAnsi="宋体" w:eastAsia="楷体_GB2312"/>
          <w:sz w:val="28"/>
        </w:rPr>
        <w:t>本报告所述的房地产市场价值为公开市场价值</w:t>
      </w:r>
      <w:r>
        <w:rPr>
          <w:rFonts w:hint="eastAsia" w:ascii="楷体_GB2312" w:hAnsi="宋体" w:eastAsia="楷体_GB2312"/>
          <w:sz w:val="28"/>
        </w:rPr>
        <w:t>，</w:t>
      </w:r>
      <w:r>
        <w:rPr>
          <w:rFonts w:ascii="楷体_GB2312" w:hAnsi="宋体" w:eastAsia="楷体_GB2312"/>
          <w:sz w:val="28"/>
        </w:rPr>
        <w:t>公开市场价值为在下列交易条件下最可实现的价格</w:t>
      </w:r>
      <w:r>
        <w:rPr>
          <w:rFonts w:hint="eastAsia" w:ascii="楷体_GB2312" w:hAnsi="宋体" w:eastAsia="楷体_GB2312"/>
          <w:sz w:val="28"/>
        </w:rPr>
        <w:t>：⑴交易双方自愿地进行交易；⑵交易双方进行交易的目的是追求各自利用最大化；⑶交易双方有较充裕的时间进行交易；⑷交易双方掌握必要的市场信息；⑸交易双方具有必要的专业知识并了解估价对象；⑹不存在特殊买者的附加出价。</w:t>
      </w:r>
    </w:p>
    <w:p>
      <w:pPr>
        <w:pStyle w:val="4"/>
        <w:ind w:firstLine="562" w:firstLineChars="200"/>
        <w:jc w:val="left"/>
        <w:rPr>
          <w:sz w:val="28"/>
          <w:szCs w:val="28"/>
        </w:rPr>
      </w:pPr>
      <w:bookmarkStart w:id="20" w:name="_Toc7645"/>
      <w:r>
        <w:rPr>
          <w:rFonts w:hint="eastAsia"/>
          <w:sz w:val="28"/>
          <w:szCs w:val="28"/>
        </w:rPr>
        <w:t>七、估价原则</w:t>
      </w:r>
      <w:bookmarkEnd w:id="20"/>
    </w:p>
    <w:p>
      <w:pPr>
        <w:snapToGrid w:val="0"/>
        <w:spacing w:line="420" w:lineRule="exact"/>
        <w:ind w:firstLine="540"/>
        <w:rPr>
          <w:rFonts w:ascii="楷体_GB2312" w:eastAsia="楷体_GB2312"/>
          <w:sz w:val="28"/>
        </w:rPr>
      </w:pPr>
      <w:bookmarkStart w:id="21" w:name="_Toc322348935"/>
      <w:r>
        <w:rPr>
          <w:rFonts w:hint="eastAsia" w:ascii="楷体_GB2312" w:eastAsia="楷体_GB2312"/>
          <w:sz w:val="28"/>
        </w:rPr>
        <w:t>估价原则是在房地产估价的反复实践和理论探索中，在认识房地产价格形成和变动客观规律的基础上，总结和提炼出的一些简明扼要的进行房地产估价活动所依据的法则和标准。</w:t>
      </w:r>
    </w:p>
    <w:p>
      <w:pPr>
        <w:snapToGrid w:val="0"/>
        <w:spacing w:line="420" w:lineRule="exact"/>
        <w:ind w:firstLine="540"/>
        <w:rPr>
          <w:rFonts w:ascii="楷体_GB2312" w:eastAsia="楷体_GB2312"/>
          <w:sz w:val="28"/>
        </w:rPr>
      </w:pPr>
      <w:r>
        <w:rPr>
          <w:rFonts w:hint="eastAsia" w:ascii="楷体_GB2312" w:eastAsia="楷体_GB2312"/>
          <w:sz w:val="28"/>
        </w:rPr>
        <w:t>根据本次估价目的，结合估价对象具体情况，本次估价遵循独立、客观、公正原则，合法原则，价值时点原则、替代原则，最高最佳利用原则。具体如下：</w:t>
      </w:r>
    </w:p>
    <w:p>
      <w:pPr>
        <w:snapToGrid w:val="0"/>
        <w:spacing w:line="420" w:lineRule="exact"/>
        <w:ind w:firstLine="540"/>
        <w:rPr>
          <w:rFonts w:ascii="楷体_GB2312" w:eastAsia="楷体_GB2312"/>
          <w:sz w:val="28"/>
        </w:rPr>
      </w:pPr>
      <w:r>
        <w:rPr>
          <w:rFonts w:hint="eastAsia" w:ascii="楷体_GB2312" w:eastAsia="楷体_GB2312"/>
          <w:sz w:val="28"/>
        </w:rPr>
        <w:t>1．独立、客观、公正原则</w:t>
      </w:r>
    </w:p>
    <w:p>
      <w:pPr>
        <w:pStyle w:val="27"/>
        <w:spacing w:line="420" w:lineRule="exact"/>
      </w:pPr>
      <w:r>
        <w:rPr>
          <w:rFonts w:hint="eastAsia"/>
        </w:rPr>
        <w:t>房地产估价要求站在中立的立场上，实事求是、公平正直地评估出对各方估价利害关系人均是公平合理的价值或价格的原则。评估价值如不公平、合理，必然会损害相关当事人中某一方的利益，也有损于房地产估价师、房地产估价机构以至整个房地产估价行业的社会公信力和声誉。因此，房地产估价工作的性质，决定了独立、客观、公正原则是房地产估价的基本原则。</w:t>
      </w:r>
    </w:p>
    <w:p>
      <w:pPr>
        <w:snapToGrid w:val="0"/>
        <w:spacing w:line="420" w:lineRule="exact"/>
        <w:ind w:firstLine="540"/>
        <w:rPr>
          <w:rFonts w:ascii="楷体_GB2312" w:eastAsia="楷体_GB2312"/>
          <w:sz w:val="28"/>
        </w:rPr>
      </w:pPr>
      <w:r>
        <w:rPr>
          <w:rFonts w:hint="eastAsia" w:ascii="楷体_GB2312" w:eastAsia="楷体_GB2312"/>
          <w:sz w:val="28"/>
        </w:rPr>
        <w:t>2．合法原则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依法判定的估价对象状况下的价值或价格的原则。房地产价格实质上是房地产权益的价格，只有当房地产合法使用时，其权益才能得到法律法规的保障。因此，估价中以估价对象的合法使用、合法交易或合法处分为前提。</w:t>
      </w:r>
    </w:p>
    <w:p>
      <w:pPr>
        <w:snapToGrid w:val="0"/>
        <w:spacing w:line="420" w:lineRule="exact"/>
        <w:ind w:firstLine="539"/>
        <w:rPr>
          <w:rFonts w:ascii="楷体_GB2312" w:eastAsia="楷体_GB2312"/>
          <w:sz w:val="28"/>
        </w:rPr>
      </w:pPr>
      <w:r>
        <w:rPr>
          <w:rFonts w:hint="eastAsia" w:ascii="楷体_GB2312" w:eastAsia="楷体_GB2312"/>
          <w:sz w:val="28"/>
        </w:rPr>
        <w:t>3. 价值时点原则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要求估价结果是在根据估价目的确定的某一特定时间的价值或价格的原则。估价实际上是求取某一时点上的价格。房地产的价格具有很强的时间性，在不同时点，同一宗房地产往往会有不同的价格。</w:t>
      </w:r>
    </w:p>
    <w:p>
      <w:pPr>
        <w:snapToGrid w:val="0"/>
        <w:spacing w:line="420" w:lineRule="exact"/>
        <w:ind w:firstLine="539"/>
        <w:rPr>
          <w:rFonts w:ascii="宋体"/>
          <w:sz w:val="28"/>
        </w:rPr>
      </w:pPr>
      <w:r>
        <w:rPr>
          <w:rFonts w:hint="eastAsia" w:ascii="楷体_GB2312" w:eastAsia="楷体_GB2312"/>
          <w:sz w:val="28"/>
        </w:rPr>
        <w:t>4. 替代原则</w:t>
      </w:r>
    </w:p>
    <w:p>
      <w:pPr>
        <w:snapToGrid w:val="0"/>
        <w:spacing w:line="420" w:lineRule="exact"/>
        <w:ind w:firstLine="539"/>
        <w:rPr>
          <w:rFonts w:ascii="楷体_GB2312" w:eastAsia="楷体_GB2312"/>
          <w:sz w:val="28"/>
        </w:rPr>
      </w:pPr>
      <w:r>
        <w:rPr>
          <w:rFonts w:hint="eastAsia" w:ascii="楷体_GB2312" w:eastAsia="楷体_GB2312"/>
          <w:sz w:val="28"/>
        </w:rPr>
        <w:t>要求估价结果与估价对象的类似房地产在同等条件下的价值或价格偏差在合理范围内的原则。同一个市场中的具有相近效用的房地产，其价格应当相近。在同一市场供需圈内，可以通过调查近期发生交易的、与估价对象有替代可能的房地产的价格和条件，通过与估价对象进行比较来确定估价对象价格。</w:t>
      </w:r>
    </w:p>
    <w:p>
      <w:pPr>
        <w:snapToGrid w:val="0"/>
        <w:spacing w:line="420" w:lineRule="exact"/>
        <w:ind w:firstLine="539"/>
        <w:rPr>
          <w:rFonts w:ascii="楷体_GB2312" w:eastAsia="楷体_GB2312"/>
          <w:sz w:val="28"/>
        </w:rPr>
      </w:pPr>
      <w:r>
        <w:rPr>
          <w:rFonts w:hint="eastAsia" w:ascii="楷体_GB2312" w:eastAsia="楷体_GB2312"/>
          <w:sz w:val="28"/>
        </w:rPr>
        <w:t>5. 最高最佳利用原则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估价对象最高最佳利用状况下的价值或价格的原则。房地产估价要以房地产的最高、最佳使用为前提。也就是说，房地产评估价格应是在合法使用方式下，各种可能的使用方式中，能获得最大收益的使用方式的估价结果。</w:t>
      </w:r>
    </w:p>
    <w:p>
      <w:pPr>
        <w:pStyle w:val="4"/>
        <w:spacing w:line="480" w:lineRule="exact"/>
        <w:ind w:firstLine="562" w:firstLineChars="200"/>
        <w:jc w:val="left"/>
        <w:rPr>
          <w:sz w:val="28"/>
          <w:szCs w:val="28"/>
        </w:rPr>
      </w:pPr>
      <w:bookmarkStart w:id="22" w:name="_Toc3615"/>
      <w:r>
        <w:rPr>
          <w:rFonts w:hint="eastAsia"/>
          <w:sz w:val="28"/>
          <w:szCs w:val="28"/>
        </w:rPr>
        <w:t>八、估价依据</w:t>
      </w:r>
      <w:bookmarkEnd w:id="21"/>
      <w:bookmarkEnd w:id="22"/>
    </w:p>
    <w:p>
      <w:pPr>
        <w:pStyle w:val="5"/>
        <w:adjustRightInd w:val="0"/>
        <w:snapToGrid w:val="0"/>
        <w:spacing w:line="480" w:lineRule="exact"/>
        <w:ind w:firstLine="280" w:firstLineChars="100"/>
        <w:rPr>
          <w:rFonts w:ascii="楷体_GB2312"/>
        </w:rPr>
      </w:pPr>
      <w:bookmarkStart w:id="23" w:name="_Toc322348936"/>
      <w:bookmarkStart w:id="24" w:name="_Toc322348937"/>
      <w:r>
        <w:rPr>
          <w:rFonts w:ascii="楷体_GB2312"/>
        </w:rPr>
        <w:t>(</w:t>
      </w:r>
      <w:r>
        <w:rPr>
          <w:rFonts w:hint="eastAsia" w:ascii="楷体_GB2312"/>
        </w:rPr>
        <w:t>一</w:t>
      </w:r>
      <w:r>
        <w:rPr>
          <w:rFonts w:ascii="楷体_GB2312"/>
        </w:rPr>
        <w:t xml:space="preserve">) </w:t>
      </w:r>
      <w:r>
        <w:rPr>
          <w:rFonts w:hint="eastAsia" w:ascii="楷体_GB2312"/>
        </w:rPr>
        <w:t>国家和地方的有关法律、法规和部门规章</w:t>
      </w:r>
    </w:p>
    <w:p>
      <w:pPr>
        <w:tabs>
          <w:tab w:val="left" w:pos="735"/>
          <w:tab w:val="left" w:pos="840"/>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1.《中华人民共和国民法典》（2020年5月28日第十三届全国人民代表大会第三次会议通过，自2021年1月1日起施行）；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2.《中华人民共和国城市房地产管理法》（中华人民共和国主席令第70号，自1995年1月1日起施行, 2019年8月26日第十三届全国人民代表大会常务委员会第十二次会议第三次修正）；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3.《中华人民共和国土地管理法》（中华人民共和国主席令第28号，2001年7月23日建设部第45次常务会议审议通过，自2001年8月15日颁布实施，2019年8月26日第十三届全国人民代表大会常务委员会第十二次会议第三次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4.《中华人民共和国资产评估法》（中华人民共和国主席令第46号，自2016年12月1日起施行）；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5.《城市房地产转让管理规定》（中华人民共和国建设部令第96号，自1997年6月1日起施行；</w:t>
      </w:r>
      <w:r>
        <w:rPr>
          <w:rFonts w:ascii="楷体_GB2312" w:eastAsia="楷体_GB2312"/>
          <w:sz w:val="28"/>
        </w:rPr>
        <w:t>2001年7月23日</w:t>
      </w:r>
      <w:r>
        <w:fldChar w:fldCharType="begin"/>
      </w:r>
      <w:r>
        <w:instrText xml:space="preserve"> HYPERLINK "https://baike.baidu.com/item/%E5%BB%BA%E8%AE%BE%E9%83%A8/2280491" \t "_blank" </w:instrText>
      </w:r>
      <w:r>
        <w:fldChar w:fldCharType="separate"/>
      </w:r>
      <w:r>
        <w:rPr>
          <w:rFonts w:ascii="楷体_GB2312" w:eastAsia="楷体_GB2312"/>
          <w:sz w:val="28"/>
        </w:rPr>
        <w:t>建设部</w:t>
      </w:r>
      <w:r>
        <w:rPr>
          <w:rFonts w:ascii="楷体_GB2312" w:eastAsia="楷体_GB2312"/>
          <w:sz w:val="28"/>
        </w:rPr>
        <w:fldChar w:fldCharType="end"/>
      </w:r>
      <w:r>
        <w:rPr>
          <w:rFonts w:ascii="楷体_GB2312" w:eastAsia="楷体_GB2312"/>
          <w:sz w:val="28"/>
        </w:rPr>
        <w:t>第45次常务会议</w:t>
      </w:r>
      <w:r>
        <w:rPr>
          <w:rFonts w:hint="eastAsia" w:ascii="楷体_GB2312" w:eastAsia="楷体_GB2312"/>
          <w:sz w:val="28"/>
        </w:rPr>
        <w:t>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6.《中华人民共和国土地管理法实施条例》（2021年4月21日，国务院第132次会议修订通过，自2021年9月1日起施行）；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7.《不动产登记暂行条例》（国务院令第656号发布，自</w:t>
      </w:r>
      <w:r>
        <w:rPr>
          <w:rFonts w:hint="eastAsia" w:ascii="楷体_GB2312" w:hAnsi="宋体" w:eastAsia="楷体_GB2312"/>
          <w:sz w:val="28"/>
        </w:rPr>
        <w:t>2015年3月1日起施行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8.《不动产登记暂行条例实施细则》（国土资源部令第63号，自</w:t>
      </w:r>
      <w:r>
        <w:rPr>
          <w:rFonts w:hint="eastAsia" w:ascii="楷体_GB2312" w:hAnsi="宋体" w:eastAsia="楷体_GB2312"/>
          <w:sz w:val="28"/>
        </w:rPr>
        <w:t>2016年1月1日起施行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9.《中华人民共和国城乡规划法》(2019修正) (根据2019年4月23日第十三届全国人民代表大会常务委员会第十次会议, 关于修改＜中华人民共和国建筑法＞等八部法律的决定》第二次修正）；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 xml:space="preserve">0. </w:t>
      </w:r>
      <w:r>
        <w:rPr>
          <w:rFonts w:hint="eastAsia" w:ascii="楷体_GB2312" w:eastAsia="楷体_GB2312"/>
          <w:sz w:val="28"/>
        </w:rPr>
        <w:t>《</w:t>
      </w:r>
      <w:r>
        <w:rPr>
          <w:rFonts w:ascii="楷体_GB2312" w:eastAsia="楷体_GB2312"/>
          <w:sz w:val="28"/>
        </w:rPr>
        <w:t>中华人民共和国民事诉讼法</w:t>
      </w:r>
      <w:r>
        <w:rPr>
          <w:rFonts w:hint="eastAsia" w:ascii="楷体_GB2312" w:eastAsia="楷体_GB2312"/>
          <w:sz w:val="28"/>
        </w:rPr>
        <w:t>》（</w:t>
      </w:r>
      <w:r>
        <w:rPr>
          <w:rFonts w:ascii="楷体_GB2312" w:eastAsia="楷体_GB2312"/>
          <w:sz w:val="28"/>
        </w:rPr>
        <w:t>1991年4月9日</w:t>
      </w:r>
      <w:r>
        <w:rPr>
          <w:rFonts w:hint="eastAsia" w:ascii="楷体_GB2312" w:eastAsia="楷体_GB2312"/>
          <w:sz w:val="28"/>
        </w:rPr>
        <w:t>施行，</w:t>
      </w:r>
      <w:r>
        <w:rPr>
          <w:rFonts w:ascii="楷体_GB2312" w:eastAsia="楷体_GB2312"/>
          <w:sz w:val="28"/>
        </w:rPr>
        <w:t>2017年6月27日第十二届全国人民代表大会常务委员会第二十八次会议</w:t>
      </w:r>
      <w:r>
        <w:rPr>
          <w:rFonts w:hint="eastAsia" w:ascii="楷体_GB2312" w:eastAsia="楷体_GB2312"/>
          <w:sz w:val="28"/>
        </w:rPr>
        <w:t>修改）</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1</w:t>
      </w:r>
      <w:r>
        <w:rPr>
          <w:rFonts w:hint="eastAsia" w:ascii="楷体_GB2312" w:eastAsia="楷体_GB2312"/>
          <w:sz w:val="28"/>
        </w:rPr>
        <w:t>.《司法鉴定程序通则》（中华人民共和国司法部令第136号，于</w:t>
      </w:r>
      <w:r>
        <w:rPr>
          <w:rFonts w:hint="eastAsia" w:ascii="楷体_GB2312" w:hAnsi="宋体" w:eastAsia="楷体_GB2312"/>
          <w:sz w:val="28"/>
        </w:rPr>
        <w:t>2015年12月24日司法部部务会议修订通过，自2016年5月1日起施行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1</w:t>
      </w:r>
      <w:r>
        <w:rPr>
          <w:rFonts w:ascii="楷体_GB2312" w:hAnsi="宋体" w:eastAsia="楷体_GB2312"/>
          <w:sz w:val="28"/>
        </w:rPr>
        <w:t>2</w:t>
      </w:r>
      <w:r>
        <w:rPr>
          <w:rFonts w:hint="eastAsia" w:ascii="楷体_GB2312" w:hAnsi="宋体" w:eastAsia="楷体_GB2312"/>
          <w:sz w:val="28"/>
        </w:rPr>
        <w:t>.《最高人民法院关于人民法院委托评估、拍卖和变卖工作的若干规定》（法释[2011]21号，于2010年8月16日由最高人民法院审判委员会第1492次会议通过，自2012年1月1日起施行）；</w:t>
      </w:r>
    </w:p>
    <w:p>
      <w:pPr>
        <w:tabs>
          <w:tab w:val="left" w:pos="735"/>
        </w:tabs>
        <w:adjustRightInd w:val="0"/>
        <w:snapToGrid w:val="0"/>
        <w:spacing w:line="480" w:lineRule="exact"/>
        <w:ind w:firstLine="560" w:firstLineChars="200"/>
        <w:rPr>
          <w:rFonts w:ascii="楷体_GB2312" w:hAnsi="宋体" w:eastAsia="楷体_GB2312"/>
          <w:sz w:val="28"/>
        </w:rPr>
      </w:pPr>
      <w:r>
        <w:rPr>
          <w:rFonts w:ascii="楷体_GB2312" w:hAnsi="宋体" w:eastAsia="楷体_GB2312"/>
          <w:sz w:val="28"/>
        </w:rPr>
        <w:t>13.</w:t>
      </w:r>
      <w:r>
        <w:rPr>
          <w:rFonts w:hint="eastAsia" w:ascii="楷体_GB2312" w:hAnsi="宋体" w:eastAsia="楷体_GB2312"/>
          <w:sz w:val="28"/>
        </w:rPr>
        <w:t>《最高人民法院关于实施</w:t>
      </w:r>
      <w:r>
        <w:rPr>
          <w:rFonts w:ascii="楷体_GB2312" w:hAnsi="宋体" w:eastAsia="楷体_GB2312"/>
          <w:sz w:val="28"/>
        </w:rPr>
        <w:t>&lt;</w:t>
      </w:r>
      <w:r>
        <w:rPr>
          <w:rFonts w:hint="eastAsia" w:ascii="楷体_GB2312" w:hAnsi="宋体" w:eastAsia="楷体_GB2312"/>
          <w:sz w:val="28"/>
        </w:rPr>
        <w:t>高人民法院关于人民法院委托评估、拍卖和变卖工作的若干规定</w:t>
      </w:r>
      <w:r>
        <w:rPr>
          <w:rFonts w:ascii="楷体_GB2312" w:hAnsi="宋体" w:eastAsia="楷体_GB2312"/>
          <w:sz w:val="28"/>
        </w:rPr>
        <w:t>&gt;</w:t>
      </w:r>
      <w:r>
        <w:rPr>
          <w:rFonts w:hint="eastAsia" w:ascii="楷体_GB2312" w:hAnsi="宋体" w:eastAsia="楷体_GB2312"/>
          <w:sz w:val="28"/>
        </w:rPr>
        <w:t>有关问题的通知》（法释[201</w:t>
      </w:r>
      <w:r>
        <w:rPr>
          <w:rFonts w:ascii="楷体_GB2312" w:hAnsi="宋体" w:eastAsia="楷体_GB2312"/>
          <w:sz w:val="28"/>
        </w:rPr>
        <w:t>2</w:t>
      </w:r>
      <w:r>
        <w:rPr>
          <w:rFonts w:hint="eastAsia" w:ascii="楷体_GB2312" w:hAnsi="宋体" w:eastAsia="楷体_GB2312"/>
          <w:sz w:val="28"/>
        </w:rPr>
        <w:t>]</w:t>
      </w:r>
      <w:r>
        <w:rPr>
          <w:rFonts w:ascii="楷体_GB2312" w:hAnsi="宋体" w:eastAsia="楷体_GB2312"/>
          <w:sz w:val="28"/>
        </w:rPr>
        <w:t>30</w:t>
      </w:r>
      <w:r>
        <w:rPr>
          <w:rFonts w:hint="eastAsia" w:ascii="楷体_GB2312" w:hAnsi="宋体" w:eastAsia="楷体_GB2312"/>
          <w:sz w:val="28"/>
        </w:rPr>
        <w:t>号，由</w:t>
      </w:r>
      <w:r>
        <w:rPr>
          <w:rFonts w:ascii="楷体_GB2312" w:hAnsi="宋体" w:eastAsia="楷体_GB2312"/>
          <w:sz w:val="28"/>
        </w:rPr>
        <w:t>最高人民法院审判委员会第1492次会议通过</w:t>
      </w:r>
      <w:r>
        <w:rPr>
          <w:rFonts w:hint="eastAsia" w:ascii="楷体_GB2312" w:hAnsi="宋体" w:eastAsia="楷体_GB2312"/>
          <w:sz w:val="28"/>
        </w:rPr>
        <w:t>，自</w:t>
      </w:r>
      <w:r>
        <w:rPr>
          <w:rFonts w:ascii="楷体_GB2312" w:hAnsi="宋体" w:eastAsia="楷体_GB2312"/>
          <w:sz w:val="28"/>
        </w:rPr>
        <w:t>2012年1月1日起实施</w:t>
      </w:r>
      <w:r>
        <w:rPr>
          <w:rFonts w:hint="eastAsia" w:ascii="楷体_GB2312" w:hAnsi="宋体"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bookmarkStart w:id="25" w:name="_Hlk77686870"/>
      <w:r>
        <w:rPr>
          <w:rFonts w:hint="eastAsia" w:ascii="楷体_GB2312" w:eastAsia="楷体_GB2312"/>
          <w:sz w:val="28"/>
        </w:rPr>
        <w:t>14.《</w:t>
      </w:r>
      <w:r>
        <w:rPr>
          <w:rFonts w:hint="eastAsia" w:ascii="楷体_GB2312" w:hAnsi="Courier New" w:eastAsia="楷体_GB2312"/>
          <w:bCs/>
          <w:kern w:val="0"/>
          <w:sz w:val="28"/>
          <w:szCs w:val="28"/>
        </w:rPr>
        <w:t>中华人民共和国房产税暂行条例</w:t>
      </w:r>
      <w:r>
        <w:rPr>
          <w:rFonts w:hint="eastAsia" w:ascii="楷体_GB2312" w:eastAsia="楷体_GB2312"/>
          <w:sz w:val="28"/>
        </w:rPr>
        <w:t>》（国发</w:t>
      </w:r>
      <w:r>
        <w:rPr>
          <w:rFonts w:hint="eastAsia" w:ascii="楷体_GB2312" w:hAnsi="仿宋" w:eastAsia="楷体_GB2312"/>
          <w:sz w:val="28"/>
        </w:rPr>
        <w:t>〔1986〕90号</w:t>
      </w:r>
      <w:r>
        <w:rPr>
          <w:rFonts w:hint="eastAsia" w:ascii="楷体_GB2312" w:eastAsia="楷体_GB2312"/>
          <w:sz w:val="28"/>
        </w:rPr>
        <w:t>，自1986年10月1日起施行）；</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5.《中华人民共和国印花税暂行条例》（中华人民共和国国务院令第11号，自1988年10月1日起施行）；</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6.《国家税务总局 中华人民共和国个人所得税法》（2018年8月31日第十三届全国人民代表大会常务委员会第五次会议《关于修改（中华人民共和国个人所得税法）的决定》第七次修正）；</w:t>
      </w:r>
    </w:p>
    <w:p>
      <w:pPr>
        <w:tabs>
          <w:tab w:val="left" w:pos="735"/>
        </w:tabs>
        <w:adjustRightInd w:val="0"/>
        <w:snapToGrid w:val="0"/>
        <w:spacing w:line="480" w:lineRule="exact"/>
        <w:ind w:firstLine="560" w:firstLineChars="200"/>
        <w:rPr>
          <w:rFonts w:ascii="楷体_GB2312" w:eastAsia="楷体_GB2312"/>
          <w:sz w:val="28"/>
        </w:rPr>
      </w:pPr>
      <w:r>
        <w:rPr>
          <w:rFonts w:ascii="楷体_GB2312" w:hAnsi="仿宋" w:eastAsia="楷体_GB2312"/>
          <w:sz w:val="28"/>
        </w:rPr>
        <w:t>1</w:t>
      </w:r>
      <w:r>
        <w:rPr>
          <w:rFonts w:hint="eastAsia" w:ascii="楷体_GB2312" w:hAnsi="仿宋" w:eastAsia="楷体_GB2312"/>
          <w:sz w:val="28"/>
        </w:rPr>
        <w:t>7.《中华人民共和国城市维护建设税暂行条例》（1985年2月8日国务院 国发〔1985〕19号文件发布，</w:t>
      </w:r>
      <w:r>
        <w:rPr>
          <w:rFonts w:hint="eastAsia" w:ascii="楷体_GB2312" w:eastAsia="楷体_GB2312"/>
          <w:sz w:val="28"/>
        </w:rPr>
        <w:t>2011年1月8日《国务院关于废止和修改部分行政法规的决定》修订</w:t>
      </w:r>
      <w:r>
        <w:rPr>
          <w:rFonts w:hint="eastAsia" w:ascii="楷体_GB2312" w:hAnsi="仿宋"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8.《财政部 国家税务总局关于全面推开营业税改征增值税试点的通知》 (财税〔2016〕36号，自</w:t>
      </w:r>
      <w:r>
        <w:rPr>
          <w:rFonts w:ascii="楷体_GB2312" w:hAnsi="宋体" w:eastAsia="楷体_GB2312"/>
          <w:sz w:val="28"/>
        </w:rPr>
        <w:t>2016年5月1日起施行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19</w:t>
      </w:r>
      <w:r>
        <w:rPr>
          <w:rFonts w:ascii="楷体_GB2312" w:eastAsia="楷体_GB2312"/>
          <w:sz w:val="28"/>
        </w:rPr>
        <w:t>.</w:t>
      </w:r>
      <w:r>
        <w:rPr>
          <w:rFonts w:hint="eastAsia" w:ascii="楷体_GB2312" w:eastAsia="楷体_GB2312"/>
          <w:sz w:val="28"/>
        </w:rPr>
        <w:t>关于印发《涉执房地产处置司法评估指导意见（试行）的通知》（中房学</w:t>
      </w:r>
      <w:r>
        <w:rPr>
          <w:rFonts w:ascii="楷体_GB2312" w:eastAsia="楷体_GB2312"/>
          <w:sz w:val="28"/>
        </w:rPr>
        <w:t xml:space="preserve"> [2021]37</w:t>
      </w:r>
      <w:r>
        <w:rPr>
          <w:rFonts w:hint="eastAsia" w:ascii="楷体_GB2312" w:eastAsia="楷体_GB2312"/>
          <w:sz w:val="28"/>
        </w:rPr>
        <w:t>号）</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0</w:t>
      </w:r>
      <w:r>
        <w:rPr>
          <w:rFonts w:ascii="楷体_GB2312" w:eastAsia="楷体_GB2312"/>
          <w:sz w:val="28"/>
        </w:rPr>
        <w:t>.</w:t>
      </w:r>
      <w:r>
        <w:rPr>
          <w:rFonts w:hint="eastAsia" w:ascii="楷体_GB2312" w:eastAsia="楷体_GB2312"/>
          <w:sz w:val="28"/>
        </w:rPr>
        <w:t xml:space="preserve"> 《最高人民法院关于人民法院确定财产处置参考价若干问题的规定》（法释[2018]15号）</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1</w:t>
      </w:r>
      <w:r>
        <w:rPr>
          <w:rFonts w:ascii="楷体_GB2312" w:eastAsia="楷体_GB2312"/>
          <w:sz w:val="28"/>
        </w:rPr>
        <w:t>.</w:t>
      </w:r>
      <w:r>
        <w:rPr>
          <w:rFonts w:hint="eastAsia" w:ascii="楷体_GB2312" w:eastAsia="楷体_GB2312"/>
          <w:sz w:val="28"/>
        </w:rPr>
        <w:t>《人民法院委托评估工作规范》（法办【2018】273号）</w:t>
      </w:r>
    </w:p>
    <w:bookmarkEnd w:id="25"/>
    <w:p>
      <w:pPr>
        <w:tabs>
          <w:tab w:val="left" w:pos="735"/>
        </w:tabs>
        <w:adjustRightInd w:val="0"/>
        <w:snapToGrid w:val="0"/>
        <w:spacing w:line="480" w:lineRule="exact"/>
        <w:ind w:firstLine="560" w:firstLineChars="200"/>
        <w:rPr>
          <w:rFonts w:ascii="楷体_GB2312" w:eastAsia="楷体_GB2312"/>
          <w:sz w:val="28"/>
        </w:rPr>
      </w:pPr>
      <w:r>
        <w:rPr>
          <w:rFonts w:ascii="楷体_GB2312" w:hAnsi="仿宋" w:eastAsia="楷体_GB2312"/>
          <w:sz w:val="28"/>
        </w:rPr>
        <w:t>2</w:t>
      </w:r>
      <w:r>
        <w:rPr>
          <w:rFonts w:hint="eastAsia" w:ascii="楷体_GB2312" w:hAnsi="仿宋" w:eastAsia="楷体_GB2312"/>
          <w:sz w:val="28"/>
        </w:rPr>
        <w:t>2</w:t>
      </w:r>
      <w:r>
        <w:rPr>
          <w:rFonts w:ascii="楷体_GB2312" w:hAnsi="仿宋" w:eastAsia="楷体_GB2312"/>
          <w:sz w:val="28"/>
        </w:rPr>
        <w:t>.</w:t>
      </w:r>
      <w:r>
        <w:rPr>
          <w:rFonts w:hint="eastAsia" w:ascii="楷体_GB2312" w:eastAsia="楷体_GB2312"/>
          <w:sz w:val="28"/>
        </w:rPr>
        <w:t>贵州省人民政府、凯里市人民政府及相关部门颁布的其他有关政策、规定、实施办法、通知文件等。</w:t>
      </w:r>
    </w:p>
    <w:p>
      <w:pPr>
        <w:pStyle w:val="5"/>
        <w:adjustRightInd w:val="0"/>
        <w:snapToGrid w:val="0"/>
        <w:spacing w:line="440" w:lineRule="exact"/>
        <w:ind w:firstLine="284"/>
        <w:rPr>
          <w:rFonts w:ascii="楷体_GB2312"/>
        </w:rPr>
      </w:pPr>
      <w:r>
        <w:rPr>
          <w:rFonts w:ascii="楷体_GB2312"/>
        </w:rPr>
        <w:t xml:space="preserve"> (</w:t>
      </w:r>
      <w:r>
        <w:rPr>
          <w:rFonts w:hint="eastAsia" w:ascii="楷体_GB2312"/>
        </w:rPr>
        <w:t>二</w:t>
      </w:r>
      <w:r>
        <w:rPr>
          <w:rFonts w:ascii="楷体_GB2312"/>
        </w:rPr>
        <w:t xml:space="preserve">) </w:t>
      </w:r>
      <w:r>
        <w:rPr>
          <w:rFonts w:hint="eastAsia" w:ascii="楷体_GB2312"/>
        </w:rPr>
        <w:t>采用的技术规程</w:t>
      </w:r>
    </w:p>
    <w:p>
      <w:pPr>
        <w:pStyle w:val="5"/>
        <w:adjustRightInd w:val="0"/>
        <w:snapToGrid w:val="0"/>
        <w:spacing w:line="440" w:lineRule="exact"/>
        <w:ind w:firstLine="560" w:firstLineChars="200"/>
        <w:rPr>
          <w:rFonts w:ascii="楷体_GB2312" w:hAnsi="宋体"/>
        </w:rPr>
      </w:pPr>
      <w:r>
        <w:rPr>
          <w:rFonts w:hint="eastAsia" w:ascii="楷体_GB2312" w:hAnsi="宋体"/>
        </w:rPr>
        <w:t>1.《房地产估价规范》（GB/T50291-2015,2015年12月1日起实施）；</w:t>
      </w:r>
    </w:p>
    <w:p>
      <w:pPr>
        <w:pStyle w:val="5"/>
        <w:adjustRightInd w:val="0"/>
        <w:snapToGrid w:val="0"/>
        <w:spacing w:line="440" w:lineRule="exact"/>
        <w:ind w:firstLine="560" w:firstLineChars="200"/>
        <w:rPr>
          <w:rFonts w:ascii="楷体_GB2312" w:hAnsi="宋体"/>
        </w:rPr>
      </w:pPr>
      <w:r>
        <w:rPr>
          <w:rFonts w:hint="eastAsia" w:ascii="楷体_GB2312" w:hAnsi="宋体"/>
        </w:rPr>
        <w:t>2.《房地产估价基本术语标准》（GB/T50899-2013，2014年12月1日起实施）；</w:t>
      </w:r>
    </w:p>
    <w:p>
      <w:pPr>
        <w:pStyle w:val="5"/>
        <w:adjustRightInd w:val="0"/>
        <w:snapToGrid w:val="0"/>
        <w:spacing w:line="440" w:lineRule="exact"/>
        <w:ind w:firstLine="560" w:firstLineChars="200"/>
        <w:rPr>
          <w:rFonts w:ascii="楷体_GB2312" w:hAnsi="宋体"/>
        </w:rPr>
      </w:pPr>
      <w:r>
        <w:rPr>
          <w:rFonts w:ascii="楷体_GB2312"/>
        </w:rPr>
        <w:t>(</w:t>
      </w:r>
      <w:r>
        <w:rPr>
          <w:rFonts w:hint="eastAsia" w:ascii="楷体_GB2312" w:hAnsi="宋体"/>
        </w:rPr>
        <w:t>三</w:t>
      </w:r>
      <w:r>
        <w:rPr>
          <w:rFonts w:ascii="楷体_GB2312" w:hAnsi="宋体"/>
        </w:rPr>
        <w:t xml:space="preserve">) </w:t>
      </w:r>
      <w:r>
        <w:rPr>
          <w:rFonts w:hint="eastAsia" w:ascii="楷体_GB2312" w:hAnsi="宋体"/>
        </w:rPr>
        <w:t>估价委托人提供的估价对象有关资料</w:t>
      </w:r>
    </w:p>
    <w:p>
      <w:pPr>
        <w:pStyle w:val="5"/>
        <w:adjustRightInd w:val="0"/>
        <w:snapToGrid w:val="0"/>
        <w:spacing w:line="440" w:lineRule="exact"/>
        <w:ind w:firstLine="560" w:firstLineChars="200"/>
        <w:rPr>
          <w:rFonts w:ascii="楷体_GB2312" w:hAnsi="宋体"/>
        </w:rPr>
      </w:pPr>
      <w:r>
        <w:rPr>
          <w:rFonts w:ascii="楷体_GB2312" w:hAnsi="宋体"/>
        </w:rPr>
        <w:t>1.</w:t>
      </w:r>
      <w:r>
        <w:rPr>
          <w:rFonts w:hint="eastAsia" w:ascii="楷体_GB2312" w:hAnsi="宋体"/>
        </w:rPr>
        <w:t>《贵州省黔东南苗族侗族自治州中级人民法院价格委托评估书》</w:t>
      </w:r>
      <w:r>
        <w:rPr>
          <w:rFonts w:ascii="楷体_GB2312" w:hAnsi="宋体"/>
        </w:rPr>
        <w:t>[</w:t>
      </w:r>
      <w:r>
        <w:rPr>
          <w:rFonts w:hint="eastAsia" w:ascii="楷体_GB2312" w:hAnsi="宋体"/>
        </w:rPr>
        <w:t>（2022）黔26执75号</w:t>
      </w:r>
      <w:r>
        <w:rPr>
          <w:rFonts w:ascii="楷体_GB2312" w:hAnsi="宋体"/>
        </w:rPr>
        <w:t>]</w:t>
      </w:r>
    </w:p>
    <w:p>
      <w:pPr>
        <w:pStyle w:val="5"/>
        <w:adjustRightInd w:val="0"/>
        <w:snapToGrid w:val="0"/>
        <w:spacing w:line="440" w:lineRule="exact"/>
        <w:ind w:firstLine="560" w:firstLineChars="200"/>
        <w:rPr>
          <w:rFonts w:ascii="楷体_GB2312" w:hAnsi="宋体"/>
        </w:rPr>
      </w:pPr>
      <w:r>
        <w:rPr>
          <w:rFonts w:ascii="楷体_GB2312" w:hAnsi="宋体"/>
        </w:rPr>
        <w:t>2.</w:t>
      </w:r>
      <w:r>
        <w:rPr>
          <w:rFonts w:hint="eastAsia" w:ascii="楷体_GB2312" w:hAnsi="宋体"/>
        </w:rPr>
        <w:t>《不动产权证书》（黔（2020）凯里市不动产权第0022496号）复印件</w:t>
      </w:r>
    </w:p>
    <w:p>
      <w:pPr>
        <w:pStyle w:val="5"/>
        <w:adjustRightInd w:val="0"/>
        <w:snapToGrid w:val="0"/>
        <w:spacing w:line="440" w:lineRule="exact"/>
        <w:ind w:firstLine="560" w:firstLineChars="200"/>
        <w:rPr>
          <w:rFonts w:ascii="楷体_GB2312" w:hAnsi="宋体"/>
        </w:rPr>
      </w:pPr>
      <w:r>
        <w:rPr>
          <w:rFonts w:hint="eastAsia" w:ascii="楷体_GB2312" w:hAnsi="宋体"/>
        </w:rPr>
        <w:t>3</w:t>
      </w:r>
      <w:r>
        <w:rPr>
          <w:rFonts w:ascii="楷体_GB2312" w:hAnsi="宋体"/>
        </w:rPr>
        <w:t>.</w:t>
      </w:r>
      <w:r>
        <w:rPr>
          <w:rFonts w:hint="eastAsia" w:ascii="楷体_GB2312" w:hAnsi="宋体"/>
        </w:rPr>
        <w:t>《房屋所有权证》（凯房权证凯里市字第00058683号等112个）复印件</w:t>
      </w:r>
    </w:p>
    <w:p>
      <w:pPr>
        <w:pStyle w:val="5"/>
        <w:adjustRightInd w:val="0"/>
        <w:snapToGrid w:val="0"/>
        <w:spacing w:line="440" w:lineRule="exact"/>
        <w:ind w:firstLine="560" w:firstLineChars="200"/>
        <w:rPr>
          <w:rFonts w:ascii="楷体_GB2312" w:hAnsi="宋体"/>
        </w:rPr>
      </w:pPr>
      <w:r>
        <w:rPr>
          <w:rFonts w:ascii="楷体_GB2312" w:hAnsi="宋体"/>
        </w:rPr>
        <w:t>4.</w:t>
      </w:r>
      <w:r>
        <w:rPr>
          <w:rFonts w:hint="eastAsia" w:ascii="楷体_GB2312" w:hAnsi="宋体"/>
        </w:rPr>
        <w:t>《不动产登记证明》（黔（2020）凯里市不动产证明第0029144号）复印件</w:t>
      </w:r>
    </w:p>
    <w:p>
      <w:pPr>
        <w:pStyle w:val="5"/>
        <w:adjustRightInd w:val="0"/>
        <w:snapToGrid w:val="0"/>
        <w:spacing w:line="440" w:lineRule="exact"/>
        <w:ind w:firstLine="560" w:firstLineChars="200"/>
        <w:rPr>
          <w:rFonts w:ascii="楷体_GB2312" w:hAnsi="宋体"/>
        </w:rPr>
      </w:pPr>
      <w:r>
        <w:rPr>
          <w:rFonts w:hint="eastAsia" w:ascii="楷体_GB2312" w:hAnsi="宋体"/>
        </w:rPr>
        <w:t>5.估价对象《租赁合同》复印件</w:t>
      </w:r>
    </w:p>
    <w:bookmarkEnd w:id="23"/>
    <w:p>
      <w:pPr>
        <w:pStyle w:val="5"/>
        <w:adjustRightInd w:val="0"/>
        <w:snapToGrid w:val="0"/>
        <w:spacing w:line="440" w:lineRule="exact"/>
        <w:ind w:firstLine="560" w:firstLineChars="200"/>
        <w:rPr>
          <w:rFonts w:ascii="楷体_GB2312" w:hAnsi="宋体"/>
        </w:rPr>
      </w:pPr>
      <w:r>
        <w:rPr>
          <w:rFonts w:hint="eastAsia" w:ascii="楷体_GB2312" w:hAnsi="宋体"/>
        </w:rPr>
        <w:t xml:space="preserve"> (四) 估价师掌握和收集的资料；</w:t>
      </w:r>
    </w:p>
    <w:p>
      <w:pPr>
        <w:pStyle w:val="5"/>
        <w:adjustRightInd w:val="0"/>
        <w:snapToGrid w:val="0"/>
        <w:spacing w:line="440" w:lineRule="exact"/>
        <w:ind w:firstLine="560" w:firstLineChars="200"/>
        <w:rPr>
          <w:rFonts w:ascii="楷体_GB2312" w:hAnsi="宋体"/>
        </w:rPr>
      </w:pPr>
      <w:r>
        <w:rPr>
          <w:rFonts w:hint="eastAsia" w:ascii="楷体_GB2312" w:hAnsi="宋体"/>
        </w:rPr>
        <w:t>1.估价对象权利状况调查资料；</w:t>
      </w:r>
    </w:p>
    <w:p>
      <w:pPr>
        <w:pStyle w:val="5"/>
        <w:adjustRightInd w:val="0"/>
        <w:snapToGrid w:val="0"/>
        <w:spacing w:line="440" w:lineRule="exact"/>
        <w:ind w:firstLine="560" w:firstLineChars="200"/>
        <w:rPr>
          <w:rFonts w:ascii="楷体_GB2312" w:hAnsi="宋体"/>
        </w:rPr>
      </w:pPr>
      <w:r>
        <w:rPr>
          <w:rFonts w:ascii="楷体_GB2312" w:hAnsi="宋体"/>
        </w:rPr>
        <w:t>2</w:t>
      </w:r>
      <w:r>
        <w:rPr>
          <w:rFonts w:hint="eastAsia" w:ascii="楷体_GB2312" w:hAnsi="宋体"/>
        </w:rPr>
        <w:t>.估价对象现状及周边环境照片；</w:t>
      </w:r>
    </w:p>
    <w:p>
      <w:pPr>
        <w:pStyle w:val="5"/>
        <w:adjustRightInd w:val="0"/>
        <w:snapToGrid w:val="0"/>
        <w:spacing w:line="440" w:lineRule="exact"/>
        <w:ind w:firstLine="560" w:firstLineChars="200"/>
        <w:rPr>
          <w:rFonts w:ascii="楷体_GB2312" w:hAnsi="宋体"/>
        </w:rPr>
      </w:pPr>
      <w:r>
        <w:rPr>
          <w:rFonts w:ascii="楷体_GB2312" w:hAnsi="宋体"/>
        </w:rPr>
        <w:t>3</w:t>
      </w:r>
      <w:r>
        <w:rPr>
          <w:rFonts w:hint="eastAsia" w:ascii="楷体_GB2312" w:hAnsi="宋体"/>
        </w:rPr>
        <w:t>.《估价对象实地查勘情况表》</w:t>
      </w:r>
    </w:p>
    <w:p>
      <w:pPr>
        <w:pStyle w:val="5"/>
        <w:adjustRightInd w:val="0"/>
        <w:snapToGrid w:val="0"/>
        <w:spacing w:line="440" w:lineRule="exact"/>
        <w:ind w:firstLine="560" w:firstLineChars="200"/>
        <w:rPr>
          <w:rFonts w:ascii="楷体_GB2312" w:hAnsi="宋体"/>
        </w:rPr>
      </w:pPr>
      <w:r>
        <w:rPr>
          <w:rFonts w:ascii="楷体_GB2312" w:hAnsi="宋体"/>
        </w:rPr>
        <w:t>4</w:t>
      </w:r>
      <w:r>
        <w:rPr>
          <w:rFonts w:hint="eastAsia" w:ascii="楷体_GB2312" w:hAnsi="宋体"/>
        </w:rPr>
        <w:t>.房地产估价机构及注册房地产估价师掌握的其他相关信息资料</w:t>
      </w:r>
    </w:p>
    <w:p>
      <w:pPr>
        <w:pStyle w:val="5"/>
        <w:adjustRightInd w:val="0"/>
        <w:snapToGrid w:val="0"/>
        <w:spacing w:line="420" w:lineRule="exact"/>
        <w:ind w:firstLine="560" w:firstLineChars="200"/>
        <w:rPr>
          <w:rFonts w:ascii="楷体_GB2312" w:hAnsi="宋体"/>
        </w:rPr>
      </w:pPr>
    </w:p>
    <w:p>
      <w:pPr>
        <w:pStyle w:val="4"/>
        <w:spacing w:line="440" w:lineRule="exact"/>
        <w:ind w:firstLine="562" w:firstLineChars="200"/>
        <w:jc w:val="left"/>
        <w:rPr>
          <w:sz w:val="28"/>
          <w:szCs w:val="28"/>
        </w:rPr>
      </w:pPr>
      <w:bookmarkStart w:id="26" w:name="_Toc30180"/>
      <w:r>
        <w:rPr>
          <w:rFonts w:hint="eastAsia"/>
          <w:sz w:val="28"/>
          <w:szCs w:val="28"/>
        </w:rPr>
        <w:t>九、估价方法</w:t>
      </w:r>
      <w:bookmarkEnd w:id="24"/>
      <w:bookmarkEnd w:id="26"/>
    </w:p>
    <w:p>
      <w:pPr>
        <w:spacing w:line="480" w:lineRule="exact"/>
        <w:rPr>
          <w:b/>
        </w:rPr>
      </w:pPr>
      <w:r>
        <w:rPr>
          <w:rFonts w:hint="eastAsia" w:ascii="楷体_GB2312" w:eastAsia="楷体_GB2312"/>
          <w:b/>
          <w:sz w:val="28"/>
        </w:rPr>
        <w:t xml:space="preserve">  （一）估价方法的定义及选用原则</w:t>
      </w:r>
    </w:p>
    <w:p>
      <w:pPr>
        <w:spacing w:line="480" w:lineRule="exact"/>
        <w:ind w:firstLine="560" w:firstLineChars="200"/>
        <w:rPr>
          <w:rFonts w:ascii="楷体_GB2312" w:eastAsia="楷体_GB2312"/>
          <w:sz w:val="28"/>
        </w:rPr>
      </w:pPr>
      <w:r>
        <w:rPr>
          <w:rFonts w:hint="eastAsia" w:ascii="楷体_GB2312" w:eastAsia="楷体_GB2312"/>
          <w:sz w:val="28"/>
        </w:rPr>
        <w:t>根据《房地产估价规范》（GB/T50291-2015）及《房地产估价基本术语标准》（GB/T50899-2013），房地产估价的基本方法有比较法、收益法、成本法、假设开发法等，评估过程中应根据估价对象的实际情况选择适合的估价方法。</w:t>
      </w:r>
    </w:p>
    <w:p>
      <w:pPr>
        <w:spacing w:line="480" w:lineRule="exact"/>
        <w:ind w:firstLine="560" w:firstLineChars="200"/>
        <w:rPr>
          <w:rFonts w:ascii="楷体_GB2312" w:eastAsia="楷体_GB2312"/>
          <w:sz w:val="28"/>
        </w:rPr>
      </w:pPr>
      <w:r>
        <w:rPr>
          <w:rFonts w:hint="eastAsia" w:ascii="楷体_GB2312" w:eastAsia="楷体_GB2312"/>
          <w:sz w:val="28"/>
        </w:rPr>
        <w:t>1.比较法：选取一定数量的可比实例，将他们与估价对象进行比较，根据期间的差异对可比实例成交价格进行处理后得到估价对象价值或价格的方法。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2.收益法：预测估价对象的未来收益，利用报酬率或者资本化率、收益乘数将未来收益转换为价值得到估价对象价值或价格的方法。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3.成本法：测算估价对象在价值时点的重置成本或重建成本和折旧，将重置成本或重建成本减去折旧得到估价对象价值或价格的方法。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4.假设开发法：求得估价对象后续开发的必要支出及折现率或后续开发的必要支出及应得利润和开发完成后的价值，将开发完成的价值和后续开发的必要支出折现到价值时点后相减，或将开发完成后的价值减去后续开发的必要支出及应得利润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 xml:space="preserve">有条件选用比较法进行估价的，应以比较法作为主要估价方法；收益性房地产的估价，应选用收益法作为其中的一种估价方法；具有投资开发或再开发潜力的房地产的估价，应选用假设开发法作为其中的一种估价方法；在无市场依据或市场依据不充分而不宜采用市场法、收益法、假设开发法进行估价的情况下，可采用成本法作为主要的估价方法。 </w:t>
      </w:r>
      <w:r>
        <w:rPr>
          <w:rFonts w:ascii="楷体_GB2312" w:eastAsia="楷体_GB2312"/>
          <w:sz w:val="28"/>
        </w:rPr>
        <w:t xml:space="preserve"> </w:t>
      </w:r>
    </w:p>
    <w:p>
      <w:pPr>
        <w:spacing w:line="480" w:lineRule="exact"/>
        <w:ind w:firstLine="562" w:firstLineChars="200"/>
        <w:rPr>
          <w:rFonts w:ascii="楷体_GB2312" w:eastAsia="楷体_GB2312"/>
          <w:b/>
          <w:sz w:val="28"/>
        </w:rPr>
      </w:pPr>
      <w:r>
        <w:rPr>
          <w:rFonts w:hint="eastAsia" w:ascii="楷体_GB2312" w:eastAsia="楷体_GB2312"/>
          <w:b/>
          <w:sz w:val="28"/>
        </w:rPr>
        <w:t>（二）本次估价方法的选择</w:t>
      </w:r>
    </w:p>
    <w:p>
      <w:pPr>
        <w:spacing w:line="480" w:lineRule="exact"/>
        <w:ind w:firstLine="560" w:firstLineChars="200"/>
        <w:rPr>
          <w:rFonts w:ascii="楷体_GB2312" w:eastAsia="楷体_GB2312"/>
          <w:sz w:val="28"/>
        </w:rPr>
      </w:pPr>
      <w:r>
        <w:rPr>
          <w:rFonts w:hint="eastAsia" w:ascii="楷体_GB2312" w:eastAsia="楷体_GB2312"/>
          <w:sz w:val="28"/>
        </w:rPr>
        <w:t>注册房地产估价师深入细致地分析了估价对象的特点和实际状况，并认真分析估价委托人提供的资料及注册房地产估价师掌握的资料，结合实地查勘和市场调查的结果，遵照《房地产估价规范》(GB/T50291-2015)，在选用项目的估价方法时，主要做了以下考虑：</w:t>
      </w:r>
    </w:p>
    <w:p>
      <w:pPr>
        <w:spacing w:line="480" w:lineRule="exact"/>
        <w:ind w:firstLine="560"/>
        <w:rPr>
          <w:rFonts w:ascii="楷体_GB2312" w:eastAsia="楷体_GB2312"/>
          <w:b/>
          <w:sz w:val="28"/>
          <w:szCs w:val="28"/>
        </w:rPr>
      </w:pPr>
      <w:r>
        <w:rPr>
          <w:rFonts w:hint="eastAsia" w:ascii="楷体_GB2312" w:eastAsia="楷体_GB2312"/>
          <w:b/>
          <w:sz w:val="28"/>
          <w:szCs w:val="28"/>
        </w:rPr>
        <w:t>1.不选</w:t>
      </w:r>
      <w:r>
        <w:rPr>
          <w:rFonts w:ascii="楷体_GB2312" w:eastAsia="楷体_GB2312"/>
          <w:b/>
          <w:sz w:val="28"/>
          <w:szCs w:val="28"/>
        </w:rPr>
        <w:t>用方法</w:t>
      </w:r>
      <w:r>
        <w:rPr>
          <w:rFonts w:hint="eastAsia" w:ascii="楷体_GB2312" w:eastAsia="楷体_GB2312"/>
          <w:b/>
          <w:sz w:val="28"/>
          <w:szCs w:val="28"/>
        </w:rPr>
        <w:t>的理由</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⑴</w:t>
      </w:r>
      <w:r>
        <w:rPr>
          <w:rFonts w:hint="eastAsia" w:ascii="楷体_GB2312" w:eastAsia="楷体_GB2312"/>
          <w:sz w:val="28"/>
        </w:rPr>
        <w:t>具有投资开发或再开发潜力的房地产的估价，应选用假设开发法作为其中的一种估价方法。由于估价对象为已建成的房地产，不具有投资开发或再开发潜力，故不适用假设开发法。</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⑵</w:t>
      </w:r>
      <w:r>
        <w:rPr>
          <w:rFonts w:hint="eastAsia" w:ascii="楷体_GB2312" w:eastAsia="楷体_GB2312"/>
          <w:sz w:val="28"/>
        </w:rPr>
        <w:t>由于估价对象为商业房地产及车库房地产，非新近开发建设或计划开发建设的房地产，也非无收益和很少发生交易的房地产，也非具有独特设计或针对个别用户的特殊需要而建设的房地产，故不宜采用成本法进行评估。</w:t>
      </w:r>
    </w:p>
    <w:p>
      <w:pPr>
        <w:spacing w:line="480" w:lineRule="exact"/>
        <w:ind w:firstLine="560"/>
        <w:rPr>
          <w:rFonts w:ascii="楷体_GB2312" w:eastAsia="楷体_GB2312"/>
          <w:b/>
          <w:sz w:val="28"/>
          <w:szCs w:val="28"/>
        </w:rPr>
      </w:pPr>
      <w:r>
        <w:rPr>
          <w:rFonts w:hint="eastAsia" w:ascii="楷体_GB2312" w:eastAsia="楷体_GB2312"/>
          <w:b/>
          <w:sz w:val="28"/>
        </w:rPr>
        <w:t>2.选</w:t>
      </w:r>
      <w:r>
        <w:rPr>
          <w:rFonts w:ascii="楷体_GB2312" w:eastAsia="楷体_GB2312"/>
          <w:b/>
          <w:sz w:val="28"/>
        </w:rPr>
        <w:t>用方法</w:t>
      </w:r>
      <w:r>
        <w:rPr>
          <w:rFonts w:hint="eastAsia" w:ascii="楷体_GB2312" w:eastAsia="楷体_GB2312"/>
          <w:b/>
          <w:sz w:val="28"/>
          <w:szCs w:val="28"/>
        </w:rPr>
        <w:t>的理由</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⑴有条件选用比较法进行估价的，应以比较法作为主要估价方法。</w:t>
      </w:r>
      <w:r>
        <w:rPr>
          <w:rFonts w:hint="eastAsia" w:ascii="楷体_GB2312" w:eastAsia="楷体_GB2312"/>
          <w:sz w:val="28"/>
        </w:rPr>
        <w:t>由于与估价对象同一供求范围内并在价值时点的近期，存在较多类似房地产的交易，因此适宜选用比较法对商业房地产及车库房地产进行评估；</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⑵收益性房地产的估价，应选用收益法作为其中的一种估价方法。</w:t>
      </w:r>
      <w:r>
        <w:rPr>
          <w:rFonts w:hint="eastAsia" w:ascii="楷体_GB2312" w:eastAsia="楷体_GB2312"/>
          <w:sz w:val="28"/>
        </w:rPr>
        <w:t>由于估价对象类似房地产租赁较多，有现实收益，因此可用适当的资本化率，将其未来各年的净收益折算到价值时点上，计算出估价对象的收益价格，因此适宜选用收益法对估价对象进行评估。</w:t>
      </w:r>
    </w:p>
    <w:p>
      <w:pPr>
        <w:spacing w:line="480" w:lineRule="exact"/>
        <w:ind w:firstLine="560" w:firstLineChars="200"/>
        <w:rPr>
          <w:rFonts w:ascii="楷体_GB2312" w:eastAsia="楷体_GB2312"/>
          <w:sz w:val="28"/>
        </w:rPr>
      </w:pPr>
      <w:bookmarkStart w:id="27" w:name="_Toc334023567"/>
      <w:bookmarkStart w:id="28" w:name="_Toc322348940"/>
      <w:r>
        <w:rPr>
          <w:rFonts w:hint="eastAsia" w:ascii="楷体_GB2312" w:eastAsia="楷体_GB2312"/>
          <w:sz w:val="28"/>
          <w:szCs w:val="28"/>
        </w:rPr>
        <w:t>综上所述，本次估价对象为商业房地产及车库房地产</w:t>
      </w:r>
      <w:r>
        <w:rPr>
          <w:rFonts w:hint="eastAsia" w:ascii="楷体_GB2312" w:eastAsia="楷体_GB2312"/>
          <w:sz w:val="28"/>
        </w:rPr>
        <w:t>，存在较多类似房地产的交易以及类似房地产租赁较多，有现实收益，可采用比较法和收益法作为估价对象估价方法。</w:t>
      </w:r>
    </w:p>
    <w:p>
      <w:pPr>
        <w:spacing w:line="480" w:lineRule="exact"/>
        <w:ind w:firstLine="560" w:firstLineChars="200"/>
        <w:rPr>
          <w:rFonts w:ascii="楷体_GB2312" w:eastAsia="楷体_GB2312"/>
          <w:sz w:val="28"/>
        </w:rPr>
      </w:pPr>
      <w:r>
        <w:rPr>
          <w:rFonts w:hint="eastAsia" w:ascii="楷体_GB2312" w:eastAsia="楷体_GB2312"/>
          <w:sz w:val="28"/>
          <w:szCs w:val="28"/>
        </w:rPr>
        <w:t>因此，对估价方法进行适用性分析后，</w:t>
      </w:r>
      <w:r>
        <w:rPr>
          <w:rFonts w:hint="eastAsia" w:ascii="楷体_GB2312" w:eastAsia="楷体_GB2312"/>
          <w:sz w:val="28"/>
        </w:rPr>
        <w:t>本次估价采用比较法和收益法对估价对象进行评估，将两种估价方法的估价结果分析综合后，得出估价对象最终评估价值。</w:t>
      </w:r>
    </w:p>
    <w:p>
      <w:pPr>
        <w:spacing w:line="480" w:lineRule="exact"/>
        <w:ind w:firstLine="562" w:firstLineChars="200"/>
        <w:rPr>
          <w:rFonts w:ascii="楷体_GB2312" w:eastAsia="楷体_GB2312"/>
          <w:b/>
          <w:sz w:val="28"/>
          <w:szCs w:val="28"/>
        </w:rPr>
      </w:pPr>
      <w:r>
        <w:rPr>
          <w:rFonts w:hint="eastAsia" w:ascii="楷体_GB2312" w:eastAsia="楷体_GB2312"/>
          <w:b/>
          <w:sz w:val="28"/>
          <w:szCs w:val="28"/>
        </w:rPr>
        <w:t>（三）估价技术路线</w:t>
      </w:r>
    </w:p>
    <w:p>
      <w:pPr>
        <w:snapToGrid w:val="0"/>
        <w:spacing w:line="480" w:lineRule="exact"/>
        <w:ind w:firstLine="539"/>
        <w:rPr>
          <w:rFonts w:ascii="楷体_GB2312" w:eastAsia="楷体_GB2312"/>
          <w:sz w:val="28"/>
        </w:rPr>
      </w:pPr>
      <w:r>
        <w:rPr>
          <w:rFonts w:hint="eastAsia" w:ascii="楷体_GB2312" w:eastAsia="楷体_GB2312"/>
          <w:sz w:val="28"/>
        </w:rPr>
        <w:t>1.选用比较法测算估价对象价格</w:t>
      </w:r>
    </w:p>
    <w:p>
      <w:pPr>
        <w:snapToGrid w:val="0"/>
        <w:spacing w:line="480" w:lineRule="exact"/>
        <w:ind w:firstLine="539"/>
        <w:rPr>
          <w:rFonts w:ascii="楷体_GB2312" w:eastAsia="楷体_GB2312"/>
          <w:sz w:val="28"/>
        </w:rPr>
      </w:pPr>
      <w:r>
        <w:rPr>
          <w:rFonts w:hint="eastAsia" w:ascii="楷体_GB2312" w:eastAsia="楷体_GB2312"/>
          <w:sz w:val="28"/>
          <w:szCs w:val="28"/>
        </w:rPr>
        <w:t>⑴</w:t>
      </w:r>
      <w:r>
        <w:rPr>
          <w:rFonts w:hint="eastAsia" w:ascii="楷体_GB2312" w:eastAsia="楷体_GB2312"/>
          <w:sz w:val="28"/>
        </w:rPr>
        <w:t>比较法计算公式如下：</w:t>
      </w:r>
    </w:p>
    <w:p>
      <w:pPr>
        <w:snapToGrid w:val="0"/>
        <w:spacing w:line="480" w:lineRule="exact"/>
        <w:ind w:firstLine="539"/>
        <w:rPr>
          <w:rFonts w:ascii="楷体_GB2312" w:eastAsia="楷体_GB2312"/>
          <w:sz w:val="28"/>
        </w:rPr>
      </w:pPr>
      <w:r>
        <w:rPr>
          <w:rFonts w:hint="eastAsia" w:ascii="楷体_GB2312" w:eastAsia="楷体_GB2312"/>
          <w:sz w:val="28"/>
        </w:rPr>
        <w:t>估价对象价格=可比实例价格×交易情况修正系数×市场状况（交易日期）调整系数×房地产状况调整系数</w:t>
      </w:r>
    </w:p>
    <w:p>
      <w:pPr>
        <w:snapToGrid w:val="0"/>
        <w:spacing w:line="480" w:lineRule="exact"/>
        <w:ind w:firstLine="539"/>
        <w:rPr>
          <w:rFonts w:ascii="楷体_GB2312" w:eastAsia="楷体_GB2312"/>
          <w:sz w:val="28"/>
        </w:rPr>
      </w:pPr>
      <w:r>
        <w:rPr>
          <w:rFonts w:hint="eastAsia" w:ascii="楷体_GB2312" w:eastAsia="楷体_GB2312"/>
          <w:sz w:val="28"/>
          <w:szCs w:val="28"/>
        </w:rPr>
        <w:t>⑵</w:t>
      </w:r>
      <w:r>
        <w:rPr>
          <w:rFonts w:hint="eastAsia" w:ascii="楷体_GB2312" w:eastAsia="楷体_GB2312"/>
          <w:sz w:val="28"/>
        </w:rPr>
        <w:t>比较法测算步骤：</w:t>
      </w:r>
    </w:p>
    <w:p>
      <w:pPr>
        <w:snapToGrid w:val="0"/>
        <w:spacing w:line="480" w:lineRule="exact"/>
        <w:ind w:firstLine="539"/>
        <w:rPr>
          <w:rFonts w:ascii="楷体_GB2312" w:eastAsia="楷体_GB2312"/>
          <w:sz w:val="28"/>
        </w:rPr>
      </w:pPr>
      <w:r>
        <w:rPr>
          <w:rFonts w:hint="eastAsia" w:ascii="楷体_GB2312" w:eastAsia="楷体_GB2312"/>
          <w:sz w:val="28"/>
        </w:rPr>
        <w:t>①搜集交易实例→②选取可比实例→③建立价格可比基础→④进行交易情况修正→⑤进行交易日期修正→⑥进行房地产状况修正→⑦求出比准价格</w:t>
      </w:r>
    </w:p>
    <w:p>
      <w:pPr>
        <w:snapToGrid w:val="0"/>
        <w:spacing w:line="480" w:lineRule="exact"/>
        <w:ind w:firstLine="540"/>
        <w:rPr>
          <w:rFonts w:ascii="楷体_GB2312" w:eastAsia="楷体_GB2312"/>
          <w:sz w:val="28"/>
        </w:rPr>
      </w:pPr>
      <w:r>
        <w:rPr>
          <w:rFonts w:hint="eastAsia" w:ascii="楷体_GB2312" w:eastAsia="楷体_GB2312"/>
          <w:sz w:val="28"/>
        </w:rPr>
        <w:t>2.选用收益法测算估价对象价格</w:t>
      </w:r>
    </w:p>
    <w:p>
      <w:pPr>
        <w:snapToGrid w:val="0"/>
        <w:spacing w:line="460" w:lineRule="exact"/>
        <w:ind w:firstLine="540"/>
        <w:rPr>
          <w:rFonts w:ascii="楷体_GB2312" w:eastAsia="楷体_GB2312"/>
          <w:sz w:val="28"/>
          <w:szCs w:val="28"/>
        </w:rPr>
      </w:pPr>
      <w:r>
        <w:rPr>
          <w:rFonts w:hint="eastAsia" w:ascii="楷体_GB2312" w:eastAsia="楷体_GB2312"/>
          <w:sz w:val="28"/>
          <w:szCs w:val="28"/>
        </w:rPr>
        <w:t>根据《房地产估价规范》(BT50291-2015)，估价对象或同类房地产通常有租金等经济收入的，应选用收益法。</w:t>
      </w:r>
      <w:r>
        <w:rPr>
          <w:rFonts w:hint="eastAsia" w:ascii="楷体_GB2312" w:eastAsia="楷体_GB2312"/>
          <w:sz w:val="28"/>
        </w:rPr>
        <w:t>收益法是预测估价对象的未来收益，利用报酬率或者资本化率、收益乘数将未来收益转化为价值得到估价对象价值或价格的方法。</w:t>
      </w:r>
    </w:p>
    <w:p>
      <w:pPr>
        <w:spacing w:line="460" w:lineRule="exact"/>
        <w:ind w:firstLine="573"/>
        <w:jc w:val="left"/>
        <w:rPr>
          <w:rFonts w:ascii="楷体_GB2312" w:eastAsia="楷体_GB2312"/>
          <w:sz w:val="28"/>
          <w:szCs w:val="28"/>
        </w:rPr>
      </w:pPr>
      <w:r>
        <w:rPr>
          <w:rFonts w:hint="eastAsia" w:ascii="楷体_GB2312" w:eastAsia="楷体_GB2312"/>
          <w:sz w:val="28"/>
          <w:szCs w:val="28"/>
        </w:rPr>
        <w:t>收益法测算应按下列步骤进行：</w:t>
      </w:r>
    </w:p>
    <w:p>
      <w:pPr>
        <w:spacing w:line="460" w:lineRule="exact"/>
        <w:ind w:firstLine="570"/>
        <w:jc w:val="left"/>
        <w:rPr>
          <w:rFonts w:ascii="楷体_GB2312" w:eastAsia="楷体_GB2312"/>
          <w:sz w:val="28"/>
          <w:szCs w:val="28"/>
        </w:rPr>
      </w:pPr>
      <w:r>
        <w:rPr>
          <w:rFonts w:hint="eastAsia" w:ascii="楷体_GB2312" w:eastAsia="楷体_GB2312"/>
          <w:sz w:val="28"/>
          <w:szCs w:val="28"/>
        </w:rPr>
        <w:t>1.选择具体估价方法         2.测算收益期或持有期；</w:t>
      </w:r>
    </w:p>
    <w:p>
      <w:pPr>
        <w:spacing w:line="460" w:lineRule="exact"/>
        <w:ind w:firstLine="570"/>
        <w:jc w:val="left"/>
        <w:rPr>
          <w:rFonts w:ascii="楷体_GB2312" w:eastAsia="楷体_GB2312"/>
          <w:sz w:val="28"/>
          <w:szCs w:val="28"/>
        </w:rPr>
      </w:pPr>
      <w:r>
        <w:rPr>
          <w:rFonts w:hint="eastAsia" w:ascii="楷体_GB2312" w:eastAsia="楷体_GB2312"/>
          <w:sz w:val="28"/>
          <w:szCs w:val="28"/>
        </w:rPr>
        <w:t>3.预测未来收益             4.确定报酬率或资本化率、收益乘数；</w:t>
      </w:r>
    </w:p>
    <w:p>
      <w:pPr>
        <w:pStyle w:val="17"/>
        <w:spacing w:line="460" w:lineRule="exact"/>
        <w:ind w:firstLine="560" w:firstLineChars="200"/>
        <w:rPr>
          <w:rFonts w:ascii="楷体_GB2312" w:hAnsi="Times New Roman" w:eastAsia="楷体_GB2312"/>
          <w:sz w:val="28"/>
        </w:rPr>
      </w:pPr>
      <w:r>
        <w:rPr>
          <w:rFonts w:hint="eastAsia" w:ascii="楷体_GB2312" w:eastAsia="楷体_GB2312"/>
          <w:sz w:val="28"/>
          <w:szCs w:val="28"/>
        </w:rPr>
        <w:t>5.计算收益价值。</w:t>
      </w:r>
    </w:p>
    <w:p>
      <w:pPr>
        <w:pStyle w:val="17"/>
        <w:spacing w:line="460" w:lineRule="exact"/>
        <w:ind w:firstLine="560" w:firstLineChars="200"/>
        <w:rPr>
          <w:rFonts w:ascii="楷体_GB2312" w:hAnsi="Times New Roman" w:eastAsia="楷体_GB2312"/>
          <w:sz w:val="28"/>
        </w:rPr>
      </w:pPr>
      <w:r>
        <w:rPr>
          <w:rFonts w:hint="eastAsia" w:ascii="楷体_GB2312" w:hAnsi="Times New Roman" w:eastAsia="楷体_GB2312"/>
          <w:sz w:val="28"/>
        </w:rPr>
        <w:t>1.选择具体估价方法</w:t>
      </w:r>
    </w:p>
    <w:p>
      <w:pPr>
        <w:pStyle w:val="17"/>
        <w:spacing w:line="460" w:lineRule="exact"/>
        <w:ind w:firstLine="560" w:firstLineChars="200"/>
        <w:rPr>
          <w:rFonts w:ascii="楷体_GB2312" w:hAnsi="Times New Roman" w:eastAsia="楷体_GB2312"/>
          <w:sz w:val="28"/>
        </w:rPr>
      </w:pPr>
      <w:r>
        <w:rPr>
          <w:rFonts w:hint="eastAsia" w:ascii="楷体_GB2312" w:hAnsi="Times New Roman" w:eastAsia="楷体_GB2312"/>
          <w:sz w:val="28"/>
        </w:rPr>
        <w:t>本次估价选用报酬资本化法中的全剩余寿命模式，则计算公式为：</w:t>
      </w:r>
    </w:p>
    <w:p>
      <w:pPr>
        <w:spacing w:line="440" w:lineRule="exact"/>
        <w:ind w:firstLine="630" w:firstLineChars="300"/>
      </w:pPr>
      <w:r>
        <w:drawing>
          <wp:anchor distT="0" distB="0" distL="114300" distR="114300" simplePos="0" relativeHeight="251660288" behindDoc="0" locked="0" layoutInCell="1" allowOverlap="1">
            <wp:simplePos x="0" y="0"/>
            <wp:positionH relativeFrom="column">
              <wp:posOffset>396875</wp:posOffset>
            </wp:positionH>
            <wp:positionV relativeFrom="paragraph">
              <wp:posOffset>10795</wp:posOffset>
            </wp:positionV>
            <wp:extent cx="1209040" cy="474980"/>
            <wp:effectExtent l="0" t="0" r="0" b="12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09040" cy="474980"/>
                    </a:xfrm>
                    <a:prstGeom prst="rect">
                      <a:avLst/>
                    </a:prstGeom>
                    <a:noFill/>
                    <a:ln>
                      <a:noFill/>
                    </a:ln>
                  </pic:spPr>
                </pic:pic>
              </a:graphicData>
            </a:graphic>
          </wp:anchor>
        </w:drawing>
      </w:r>
    </w:p>
    <w:p>
      <w:pPr>
        <w:pStyle w:val="17"/>
        <w:spacing w:line="440" w:lineRule="exact"/>
        <w:ind w:firstLine="560" w:firstLineChars="200"/>
        <w:rPr>
          <w:rFonts w:ascii="楷体_GB2312" w:hAnsi="Times New Roman" w:eastAsia="楷体_GB2312"/>
          <w:sz w:val="28"/>
        </w:rPr>
      </w:pPr>
    </w:p>
    <w:p>
      <w:pPr>
        <w:pStyle w:val="17"/>
        <w:spacing w:line="400" w:lineRule="exact"/>
        <w:ind w:firstLine="560" w:firstLineChars="200"/>
        <w:rPr>
          <w:rFonts w:ascii="楷体_GB2312" w:hAnsi="Times New Roman" w:eastAsia="楷体_GB2312"/>
          <w:sz w:val="28"/>
        </w:rPr>
      </w:pPr>
      <w:r>
        <w:rPr>
          <w:rFonts w:hint="eastAsia" w:ascii="楷体_GB2312" w:hAnsi="Times New Roman" w:eastAsia="楷体_GB2312"/>
          <w:sz w:val="28"/>
        </w:rPr>
        <w:t>式中：V—收益价值</w:t>
      </w:r>
    </w:p>
    <w:p>
      <w:pPr>
        <w:pStyle w:val="17"/>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Ai—未来第i年的净收益</w:t>
      </w:r>
    </w:p>
    <w:p>
      <w:pPr>
        <w:pStyle w:val="17"/>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Yi—未来第i年的报酬率</w:t>
      </w:r>
    </w:p>
    <w:p>
      <w:pPr>
        <w:pStyle w:val="17"/>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n—收益期（年）</w:t>
      </w:r>
    </w:p>
    <w:p>
      <w:pPr>
        <w:adjustRightInd w:val="0"/>
        <w:snapToGrid w:val="0"/>
        <w:spacing w:line="400" w:lineRule="exact"/>
        <w:ind w:firstLine="560" w:firstLineChars="200"/>
        <w:rPr>
          <w:rFonts w:ascii="楷体_GB2312" w:eastAsia="楷体_GB2312"/>
          <w:sz w:val="28"/>
        </w:rPr>
      </w:pPr>
      <w:r>
        <w:rPr>
          <w:rFonts w:hint="eastAsia" w:ascii="楷体_GB2312" w:eastAsia="楷体_GB2312"/>
          <w:sz w:val="28"/>
        </w:rPr>
        <w:t>3.估价结果确定</w:t>
      </w:r>
    </w:p>
    <w:p>
      <w:pPr>
        <w:adjustRightInd w:val="0"/>
        <w:snapToGrid w:val="0"/>
        <w:spacing w:line="400" w:lineRule="exact"/>
        <w:ind w:firstLine="560" w:firstLineChars="200"/>
        <w:rPr>
          <w:rFonts w:ascii="黑体" w:eastAsia="黑体"/>
          <w:b/>
          <w:sz w:val="28"/>
        </w:rPr>
      </w:pPr>
      <w:r>
        <w:rPr>
          <w:rFonts w:hint="eastAsia" w:ascii="楷体_GB2312" w:eastAsia="楷体_GB2312"/>
          <w:sz w:val="28"/>
        </w:rPr>
        <w:t>综上所述，本次估价采用比较法和收益法对估价对象进行评估，将两种估价方法的估价结果分析综合后，得出估价对象最终评估价值。</w:t>
      </w:r>
    </w:p>
    <w:p>
      <w:pPr>
        <w:pStyle w:val="4"/>
        <w:spacing w:line="500" w:lineRule="exact"/>
        <w:ind w:firstLine="562" w:firstLineChars="200"/>
        <w:jc w:val="left"/>
        <w:rPr>
          <w:sz w:val="28"/>
          <w:szCs w:val="28"/>
        </w:rPr>
      </w:pPr>
      <w:bookmarkStart w:id="29" w:name="_Toc322348938"/>
      <w:bookmarkStart w:id="30" w:name="_Toc7591"/>
      <w:r>
        <w:rPr>
          <w:rFonts w:hint="eastAsia"/>
          <w:sz w:val="28"/>
          <w:szCs w:val="28"/>
        </w:rPr>
        <w:t>十、估价结果</w:t>
      </w:r>
      <w:bookmarkEnd w:id="29"/>
      <w:bookmarkEnd w:id="30"/>
    </w:p>
    <w:p>
      <w:pPr>
        <w:adjustRightInd w:val="0"/>
        <w:spacing w:line="500" w:lineRule="exact"/>
        <w:ind w:firstLine="560" w:firstLineChars="200"/>
        <w:rPr>
          <w:rFonts w:ascii="楷体_GB2312" w:eastAsia="楷体_GB2312"/>
          <w:sz w:val="28"/>
        </w:rPr>
      </w:pPr>
      <w:r>
        <w:rPr>
          <w:rFonts w:hint="eastAsia" w:ascii="楷体_GB2312" w:eastAsia="楷体_GB2312"/>
          <w:sz w:val="28"/>
        </w:rPr>
        <w:t>注册房地产估价师根据估价目的，遵循估价原则，按照估价程序，经过现场勘察与市场调查，采用科学合理的估价方法，综合考虑房地产市场价格影响因素的影响和相关估价资料，通过认真的分析和测算，我公司确认估价对象在市场上有足够的买方和卖方，并且进入市场无障碍的前提下，于价值时点满足“估价假设和限制性条件”的估价结果为</w:t>
      </w:r>
      <w:r>
        <w:rPr>
          <w:rFonts w:hint="eastAsia" w:ascii="楷体_GB2312" w:eastAsia="楷体_GB2312"/>
          <w:b/>
          <w:bCs/>
          <w:sz w:val="28"/>
        </w:rPr>
        <w:t>人民币</w:t>
      </w:r>
      <w:r>
        <w:rPr>
          <w:rFonts w:hint="eastAsia" w:ascii="楷体_GB2312" w:eastAsia="楷体_GB2312"/>
          <w:b/>
          <w:bCs/>
          <w:sz w:val="28"/>
          <w:szCs w:val="22"/>
        </w:rPr>
        <w:t>柒仟玖佰玖拾伍万肆仟柒佰元整（</w:t>
      </w:r>
      <w:r>
        <w:rPr>
          <w:rFonts w:hint="eastAsia" w:ascii="楷体_GB2312" w:eastAsia="楷体_GB2312"/>
          <w:b/>
          <w:bCs/>
          <w:sz w:val="28"/>
        </w:rPr>
        <w:t>￥</w:t>
      </w:r>
      <w:r>
        <w:rPr>
          <w:rFonts w:hint="eastAsia" w:ascii="楷体_GB2312" w:hAnsi="宋体" w:eastAsia="楷体_GB2312" w:cs="宋体"/>
          <w:b/>
          <w:bCs/>
          <w:kern w:val="0"/>
          <w:sz w:val="28"/>
          <w:szCs w:val="28"/>
        </w:rPr>
        <w:t>7995.47万</w:t>
      </w:r>
      <w:r>
        <w:rPr>
          <w:rFonts w:hint="eastAsia" w:ascii="楷体_GB2312" w:eastAsia="楷体_GB2312"/>
          <w:b/>
          <w:bCs/>
          <w:sz w:val="28"/>
        </w:rPr>
        <w:t>元），</w:t>
      </w:r>
      <w:r>
        <w:rPr>
          <w:rFonts w:hint="eastAsia" w:ascii="楷体_GB2312" w:hAnsi="宋体" w:eastAsia="楷体_GB2312"/>
          <w:b/>
          <w:bCs/>
          <w:sz w:val="28"/>
        </w:rPr>
        <w:t>详见《评估结论汇总表》、《评估明细表》</w:t>
      </w:r>
      <w:r>
        <w:rPr>
          <w:rFonts w:hint="eastAsia" w:ascii="楷体_GB2312" w:eastAsia="楷体_GB2312"/>
          <w:sz w:val="28"/>
        </w:rPr>
        <w:t>。</w:t>
      </w:r>
    </w:p>
    <w:p>
      <w:pPr>
        <w:adjustRightInd w:val="0"/>
        <w:snapToGrid w:val="0"/>
        <w:spacing w:line="440" w:lineRule="exact"/>
        <w:ind w:firstLine="562" w:firstLineChars="200"/>
        <w:rPr>
          <w:rFonts w:ascii="Arial" w:hAnsi="Arial" w:eastAsia="黑体"/>
          <w:b/>
          <w:sz w:val="28"/>
          <w:szCs w:val="28"/>
        </w:rPr>
      </w:pPr>
    </w:p>
    <w:p>
      <w:pPr>
        <w:adjustRightInd w:val="0"/>
        <w:snapToGrid w:val="0"/>
        <w:spacing w:line="440" w:lineRule="exact"/>
        <w:ind w:firstLine="562" w:firstLineChars="200"/>
        <w:rPr>
          <w:rFonts w:ascii="Arial" w:hAnsi="Arial" w:eastAsia="黑体"/>
          <w:b/>
          <w:sz w:val="28"/>
          <w:szCs w:val="28"/>
        </w:rPr>
      </w:pPr>
      <w:r>
        <w:rPr>
          <w:rFonts w:hint="eastAsia" w:ascii="Arial" w:hAnsi="Arial" w:eastAsia="黑体"/>
          <w:b/>
          <w:sz w:val="28"/>
          <w:szCs w:val="28"/>
        </w:rPr>
        <w:t>十一、注册房地产估价师</w:t>
      </w:r>
    </w:p>
    <w:p>
      <w:pPr>
        <w:pStyle w:val="17"/>
        <w:spacing w:line="440" w:lineRule="exact"/>
        <w:ind w:firstLine="560" w:firstLineChars="200"/>
        <w:rPr>
          <w:rFonts w:ascii="楷体_GB2312" w:eastAsia="楷体_GB2312"/>
          <w:sz w:val="28"/>
        </w:rPr>
      </w:pPr>
      <w:r>
        <w:rPr>
          <w:rFonts w:hint="eastAsia" w:ascii="楷体_GB2312" w:eastAsia="楷体_GB2312"/>
          <w:sz w:val="28"/>
        </w:rPr>
        <w:t>姓</w:t>
      </w:r>
      <w:r>
        <w:rPr>
          <w:rFonts w:ascii="楷体_GB2312" w:eastAsia="楷体_GB2312"/>
          <w:sz w:val="28"/>
        </w:rPr>
        <w:t xml:space="preserve">  </w:t>
      </w:r>
      <w:r>
        <w:rPr>
          <w:rFonts w:hint="eastAsia" w:ascii="楷体_GB2312" w:eastAsia="楷体_GB2312"/>
          <w:sz w:val="28"/>
        </w:rPr>
        <w:t>名</w:t>
      </w:r>
      <w:r>
        <w:rPr>
          <w:rFonts w:ascii="楷体_GB2312" w:eastAsia="楷体_GB2312"/>
          <w:sz w:val="28"/>
        </w:rPr>
        <w:t xml:space="preserve">           </w:t>
      </w:r>
      <w:r>
        <w:rPr>
          <w:rFonts w:hint="eastAsia" w:ascii="楷体_GB2312" w:eastAsia="楷体_GB2312"/>
          <w:sz w:val="28"/>
        </w:rPr>
        <w:t>注册号</w:t>
      </w:r>
      <w:r>
        <w:rPr>
          <w:rFonts w:ascii="楷体_GB2312" w:eastAsia="楷体_GB2312"/>
          <w:sz w:val="28"/>
        </w:rPr>
        <w:t xml:space="preserve">          </w:t>
      </w:r>
      <w:r>
        <w:rPr>
          <w:rFonts w:hint="eastAsia" w:ascii="楷体_GB2312" w:eastAsia="楷体_GB2312"/>
          <w:sz w:val="28"/>
        </w:rPr>
        <w:t>签</w:t>
      </w:r>
      <w:r>
        <w:rPr>
          <w:rFonts w:ascii="楷体_GB2312" w:eastAsia="楷体_GB2312"/>
          <w:sz w:val="28"/>
        </w:rPr>
        <w:t xml:space="preserve">  </w:t>
      </w:r>
      <w:r>
        <w:rPr>
          <w:rFonts w:hint="eastAsia" w:ascii="楷体_GB2312" w:eastAsia="楷体_GB2312"/>
          <w:sz w:val="28"/>
        </w:rPr>
        <w:t>名</w:t>
      </w:r>
      <w:r>
        <w:rPr>
          <w:rFonts w:ascii="楷体_GB2312" w:eastAsia="楷体_GB2312"/>
          <w:sz w:val="28"/>
        </w:rPr>
        <w:t xml:space="preserve">           </w:t>
      </w:r>
      <w:r>
        <w:rPr>
          <w:rFonts w:hint="eastAsia" w:ascii="楷体_GB2312" w:eastAsia="楷体_GB2312"/>
          <w:sz w:val="28"/>
        </w:rPr>
        <w:t>签名日期</w:t>
      </w:r>
    </w:p>
    <w:p>
      <w:pPr>
        <w:pStyle w:val="17"/>
        <w:spacing w:before="120" w:line="440" w:lineRule="exact"/>
        <w:ind w:firstLine="560" w:firstLineChars="200"/>
        <w:rPr>
          <w:rFonts w:ascii="楷体_GB2312" w:eastAsia="楷体_GB2312"/>
          <w:sz w:val="28"/>
          <w:szCs w:val="22"/>
        </w:rPr>
      </w:pPr>
      <w:r>
        <w:rPr>
          <w:rFonts w:hint="eastAsia" w:ascii="楷体_GB2312" w:eastAsia="楷体_GB2312"/>
          <w:sz w:val="28"/>
          <w:szCs w:val="22"/>
        </w:rPr>
        <w:t xml:space="preserve">贺 </w:t>
      </w:r>
      <w:r>
        <w:rPr>
          <w:rFonts w:ascii="楷体_GB2312" w:eastAsia="楷体_GB2312"/>
          <w:sz w:val="28"/>
          <w:szCs w:val="22"/>
        </w:rPr>
        <w:t xml:space="preserve"> </w:t>
      </w:r>
      <w:r>
        <w:rPr>
          <w:rFonts w:hint="eastAsia" w:ascii="楷体_GB2312" w:eastAsia="楷体_GB2312"/>
          <w:sz w:val="28"/>
          <w:szCs w:val="22"/>
        </w:rPr>
        <w:t xml:space="preserve">方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4320090011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年   月   日</w:t>
      </w:r>
    </w:p>
    <w:p>
      <w:pPr>
        <w:pStyle w:val="17"/>
        <w:spacing w:before="120" w:line="440" w:lineRule="exact"/>
        <w:ind w:firstLine="560" w:firstLineChars="200"/>
        <w:rPr>
          <w:rFonts w:ascii="楷体_GB2312" w:eastAsia="楷体_GB2312"/>
          <w:sz w:val="28"/>
          <w:szCs w:val="22"/>
        </w:rPr>
      </w:pPr>
    </w:p>
    <w:p>
      <w:pPr>
        <w:pStyle w:val="17"/>
        <w:spacing w:line="440" w:lineRule="exact"/>
        <w:ind w:right="475" w:rightChars="226"/>
        <w:rPr>
          <w:rFonts w:ascii="楷体_GB2312" w:eastAsia="楷体_GB2312"/>
          <w:sz w:val="28"/>
          <w:szCs w:val="22"/>
        </w:rPr>
      </w:pPr>
    </w:p>
    <w:p>
      <w:pPr>
        <w:pStyle w:val="17"/>
        <w:spacing w:before="120" w:line="440" w:lineRule="exact"/>
        <w:ind w:firstLine="560" w:firstLineChars="200"/>
        <w:rPr>
          <w:rFonts w:ascii="楷体_GB2312" w:eastAsia="楷体_GB2312"/>
          <w:sz w:val="28"/>
          <w:szCs w:val="22"/>
        </w:rPr>
      </w:pPr>
      <w:r>
        <w:rPr>
          <w:rFonts w:hint="eastAsia" w:ascii="楷体_GB2312" w:eastAsia="楷体_GB2312"/>
          <w:sz w:val="28"/>
          <w:szCs w:val="22"/>
        </w:rPr>
        <w:t xml:space="preserve">岳新美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4320190037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年   月   日</w:t>
      </w:r>
    </w:p>
    <w:p>
      <w:pPr>
        <w:pStyle w:val="17"/>
        <w:spacing w:before="120" w:line="440" w:lineRule="exact"/>
        <w:ind w:firstLine="560" w:firstLineChars="200"/>
        <w:rPr>
          <w:rFonts w:ascii="楷体_GB2312" w:eastAsia="楷体_GB2312"/>
          <w:sz w:val="28"/>
          <w:szCs w:val="22"/>
        </w:rPr>
      </w:pPr>
    </w:p>
    <w:p>
      <w:pPr>
        <w:pStyle w:val="4"/>
        <w:ind w:firstLine="562" w:firstLineChars="200"/>
        <w:jc w:val="left"/>
        <w:rPr>
          <w:sz w:val="28"/>
          <w:szCs w:val="28"/>
        </w:rPr>
      </w:pPr>
      <w:bookmarkStart w:id="31" w:name="_Toc12061"/>
      <w:r>
        <w:rPr>
          <w:rFonts w:hint="eastAsia"/>
          <w:sz w:val="28"/>
          <w:szCs w:val="28"/>
        </w:rPr>
        <w:t>十二、实地查勘期</w:t>
      </w:r>
      <w:bookmarkEnd w:id="31"/>
    </w:p>
    <w:p>
      <w:pPr>
        <w:adjustRightInd w:val="0"/>
        <w:snapToGrid w:val="0"/>
        <w:spacing w:line="440" w:lineRule="exact"/>
        <w:ind w:firstLine="560" w:firstLineChars="200"/>
        <w:rPr>
          <w:rFonts w:ascii="楷体_GB2312" w:eastAsia="楷体_GB2312"/>
          <w:bCs/>
          <w:sz w:val="28"/>
        </w:rPr>
      </w:pPr>
      <w:bookmarkStart w:id="32" w:name="_Toc45725275"/>
      <w:bookmarkStart w:id="33" w:name="_Toc45716213"/>
      <w:bookmarkStart w:id="34" w:name="_Toc46483387"/>
      <w:bookmarkStart w:id="35" w:name="_Toc44798469"/>
      <w:bookmarkStart w:id="36" w:name="_Toc44798570"/>
      <w:bookmarkStart w:id="37" w:name="_Toc46483118"/>
      <w:r>
        <w:rPr>
          <w:rFonts w:hint="eastAsia" w:ascii="楷体_GB2312" w:eastAsia="楷体_GB2312"/>
          <w:bCs/>
          <w:sz w:val="28"/>
        </w:rPr>
        <w:t>注册房地产估价师于</w:t>
      </w:r>
      <w:bookmarkEnd w:id="32"/>
      <w:bookmarkEnd w:id="33"/>
      <w:bookmarkEnd w:id="34"/>
      <w:bookmarkEnd w:id="35"/>
      <w:bookmarkEnd w:id="36"/>
      <w:bookmarkEnd w:id="37"/>
      <w:r>
        <w:rPr>
          <w:rFonts w:hint="eastAsia" w:ascii="楷体_GB2312" w:eastAsia="楷体_GB2312"/>
          <w:bCs/>
          <w:sz w:val="28"/>
        </w:rPr>
        <w:t>2022年05月10日进入估价对象现场进行实地查勘，并于当天完成查勘，即实地查勘期为2022年05月10日～2022年05月10日。</w:t>
      </w:r>
    </w:p>
    <w:p>
      <w:pPr>
        <w:snapToGrid w:val="0"/>
        <w:spacing w:line="400" w:lineRule="exact"/>
        <w:ind w:firstLine="551" w:firstLineChars="196"/>
        <w:rPr>
          <w:rFonts w:ascii="黑体" w:eastAsia="黑体"/>
          <w:b/>
          <w:sz w:val="28"/>
        </w:rPr>
      </w:pPr>
    </w:p>
    <w:p>
      <w:pPr>
        <w:pStyle w:val="4"/>
        <w:ind w:firstLine="562" w:firstLineChars="200"/>
        <w:jc w:val="left"/>
        <w:rPr>
          <w:sz w:val="28"/>
          <w:szCs w:val="28"/>
        </w:rPr>
      </w:pPr>
      <w:bookmarkStart w:id="38" w:name="_Toc11953"/>
      <w:r>
        <w:rPr>
          <w:rFonts w:hint="eastAsia"/>
          <w:sz w:val="28"/>
          <w:szCs w:val="28"/>
        </w:rPr>
        <w:t>十三、估价作业期</w:t>
      </w:r>
      <w:bookmarkEnd w:id="38"/>
    </w:p>
    <w:p>
      <w:pPr>
        <w:adjustRightInd w:val="0"/>
        <w:snapToGrid w:val="0"/>
        <w:spacing w:line="440" w:lineRule="exact"/>
        <w:ind w:firstLine="560" w:firstLineChars="200"/>
        <w:rPr>
          <w:rFonts w:ascii="楷体_GB2312" w:eastAsia="楷体_GB2312"/>
          <w:bCs/>
          <w:sz w:val="28"/>
        </w:rPr>
      </w:pPr>
      <w:r>
        <w:rPr>
          <w:rFonts w:hint="eastAsia" w:ascii="楷体_GB2312" w:eastAsia="楷体_GB2312"/>
          <w:bCs/>
          <w:sz w:val="28"/>
        </w:rPr>
        <w:t>2022年04月26日～</w:t>
      </w:r>
      <w:bookmarkEnd w:id="27"/>
      <w:bookmarkEnd w:id="28"/>
      <w:r>
        <w:rPr>
          <w:rFonts w:hint="eastAsia" w:ascii="楷体_GB2312" w:eastAsia="楷体_GB2312"/>
          <w:bCs/>
          <w:sz w:val="28"/>
        </w:rPr>
        <w:t>2022年06月30日</w:t>
      </w:r>
    </w:p>
    <w:p>
      <w:pPr>
        <w:pStyle w:val="33"/>
        <w:rPr>
          <w:rFonts w:ascii="黑体" w:hAnsi="黑体" w:eastAsia="黑体"/>
          <w:bCs w:val="0"/>
          <w:sz w:val="36"/>
          <w:szCs w:val="36"/>
        </w:rPr>
      </w:pPr>
    </w:p>
    <w:p>
      <w:pPr>
        <w:pStyle w:val="3"/>
        <w:spacing w:before="0" w:after="0"/>
        <w:jc w:val="center"/>
      </w:pPr>
      <w:r>
        <w:rPr>
          <w:rFonts w:ascii="楷体" w:hAnsi="楷体" w:eastAsia="楷体"/>
          <w:sz w:val="28"/>
          <w:szCs w:val="28"/>
        </w:rPr>
        <w:br w:type="page"/>
      </w:r>
      <w:bookmarkStart w:id="39" w:name="_Toc27007"/>
      <w:r>
        <w:rPr>
          <w:rFonts w:hint="eastAsia" w:ascii="黑体" w:hAnsi="黑体" w:eastAsia="黑体"/>
          <w:sz w:val="36"/>
          <w:szCs w:val="36"/>
        </w:rPr>
        <w:t>附</w:t>
      </w:r>
      <w:r>
        <w:rPr>
          <w:rFonts w:ascii="黑体" w:hAnsi="黑体" w:eastAsia="黑体"/>
          <w:sz w:val="36"/>
          <w:szCs w:val="36"/>
        </w:rPr>
        <w:t xml:space="preserve">   </w:t>
      </w:r>
      <w:r>
        <w:rPr>
          <w:rFonts w:hint="eastAsia" w:ascii="黑体" w:hAnsi="黑体" w:eastAsia="黑体"/>
          <w:sz w:val="36"/>
          <w:szCs w:val="36"/>
        </w:rPr>
        <w:t>件</w:t>
      </w:r>
      <w:bookmarkEnd w:id="39"/>
    </w:p>
    <w:p>
      <w:pPr>
        <w:pStyle w:val="4"/>
        <w:ind w:firstLine="560" w:firstLineChars="200"/>
        <w:jc w:val="left"/>
        <w:rPr>
          <w:rFonts w:ascii="楷体_GB2312" w:eastAsia="楷体_GB2312"/>
          <w:b w:val="0"/>
          <w:sz w:val="28"/>
          <w:szCs w:val="28"/>
        </w:rPr>
      </w:pPr>
      <w:bookmarkStart w:id="40" w:name="_Toc10035787"/>
      <w:bookmarkStart w:id="41" w:name="_Toc24010"/>
      <w:bookmarkStart w:id="42" w:name="_Toc46483398"/>
      <w:bookmarkStart w:id="43" w:name="_Toc19489"/>
      <w:bookmarkStart w:id="44" w:name="_Toc4733"/>
      <w:bookmarkStart w:id="45" w:name="_Toc488911883"/>
      <w:r>
        <w:rPr>
          <w:rFonts w:hint="eastAsia" w:ascii="楷体_GB2312" w:eastAsia="楷体_GB2312"/>
          <w:b w:val="0"/>
          <w:sz w:val="28"/>
          <w:szCs w:val="28"/>
        </w:rPr>
        <w:t>一、</w:t>
      </w:r>
      <w:bookmarkEnd w:id="40"/>
      <w:bookmarkEnd w:id="41"/>
      <w:bookmarkEnd w:id="42"/>
      <w:r>
        <w:rPr>
          <w:rFonts w:hint="eastAsia" w:ascii="楷体_GB2312" w:eastAsia="楷体_GB2312"/>
          <w:b w:val="0"/>
          <w:sz w:val="28"/>
          <w:szCs w:val="28"/>
        </w:rPr>
        <w:t>《贵州省黔东南苗族侗族自治州中级人民法院价格委托评估书》</w:t>
      </w:r>
      <w:r>
        <w:rPr>
          <w:rFonts w:ascii="楷体_GB2312" w:eastAsia="楷体_GB2312"/>
          <w:b w:val="0"/>
          <w:sz w:val="28"/>
          <w:szCs w:val="28"/>
        </w:rPr>
        <w:t>[</w:t>
      </w:r>
      <w:r>
        <w:rPr>
          <w:rFonts w:hint="eastAsia" w:ascii="楷体_GB2312" w:eastAsia="楷体_GB2312"/>
          <w:b w:val="0"/>
          <w:sz w:val="28"/>
          <w:szCs w:val="28"/>
        </w:rPr>
        <w:t>（2022）黔26执75号</w:t>
      </w:r>
      <w:r>
        <w:rPr>
          <w:rFonts w:ascii="楷体_GB2312" w:eastAsia="楷体_GB2312"/>
          <w:b w:val="0"/>
          <w:sz w:val="28"/>
          <w:szCs w:val="28"/>
        </w:rPr>
        <w:t>]</w:t>
      </w:r>
      <w:r>
        <w:rPr>
          <w:rFonts w:hint="eastAsia" w:ascii="楷体_GB2312" w:eastAsia="楷体_GB2312"/>
          <w:b w:val="0"/>
          <w:sz w:val="28"/>
          <w:szCs w:val="28"/>
        </w:rPr>
        <w:t>复印件</w:t>
      </w:r>
      <w:bookmarkEnd w:id="43"/>
    </w:p>
    <w:p>
      <w:pPr>
        <w:pStyle w:val="4"/>
        <w:ind w:firstLine="560" w:firstLineChars="200"/>
        <w:jc w:val="left"/>
        <w:rPr>
          <w:rFonts w:ascii="楷体_GB2312" w:eastAsia="楷体_GB2312"/>
          <w:b w:val="0"/>
          <w:sz w:val="28"/>
          <w:szCs w:val="28"/>
        </w:rPr>
      </w:pPr>
      <w:bookmarkStart w:id="46" w:name="_Toc46483399"/>
      <w:bookmarkStart w:id="47" w:name="_Toc27658"/>
      <w:bookmarkStart w:id="48" w:name="_Toc23547"/>
      <w:bookmarkStart w:id="49" w:name="_Toc10035788"/>
      <w:r>
        <w:rPr>
          <w:rFonts w:hint="eastAsia" w:ascii="楷体_GB2312" w:eastAsia="楷体_GB2312"/>
          <w:b w:val="0"/>
          <w:sz w:val="28"/>
          <w:szCs w:val="28"/>
        </w:rPr>
        <w:t>二、估价对象位置图</w:t>
      </w:r>
      <w:bookmarkEnd w:id="46"/>
      <w:bookmarkEnd w:id="47"/>
    </w:p>
    <w:p>
      <w:pPr>
        <w:pStyle w:val="4"/>
        <w:ind w:firstLine="560" w:firstLineChars="200"/>
        <w:jc w:val="left"/>
        <w:rPr>
          <w:rFonts w:ascii="楷体_GB2312" w:eastAsia="楷体_GB2312"/>
          <w:b w:val="0"/>
          <w:sz w:val="28"/>
          <w:szCs w:val="28"/>
        </w:rPr>
      </w:pPr>
      <w:bookmarkStart w:id="50" w:name="_Toc29207"/>
      <w:bookmarkStart w:id="51" w:name="_Toc46483400"/>
      <w:r>
        <w:rPr>
          <w:rFonts w:hint="eastAsia" w:ascii="楷体_GB2312" w:eastAsia="楷体_GB2312"/>
          <w:b w:val="0"/>
          <w:sz w:val="28"/>
          <w:szCs w:val="28"/>
        </w:rPr>
        <w:t>三、估价对象内外部状况以及周围环境和景观的照片</w:t>
      </w:r>
      <w:bookmarkEnd w:id="50"/>
      <w:bookmarkEnd w:id="51"/>
    </w:p>
    <w:bookmarkEnd w:id="48"/>
    <w:bookmarkEnd w:id="49"/>
    <w:p>
      <w:pPr>
        <w:pStyle w:val="4"/>
        <w:ind w:firstLine="560" w:firstLineChars="200"/>
        <w:jc w:val="left"/>
        <w:rPr>
          <w:rFonts w:ascii="楷体_GB2312" w:eastAsia="楷体_GB2312"/>
          <w:b w:val="0"/>
          <w:sz w:val="28"/>
          <w:szCs w:val="28"/>
        </w:rPr>
      </w:pPr>
      <w:bookmarkStart w:id="52" w:name="_Toc10035789"/>
      <w:bookmarkStart w:id="53" w:name="_Toc3405"/>
      <w:bookmarkStart w:id="54" w:name="_Toc14089"/>
      <w:bookmarkStart w:id="55" w:name="_Toc46483401"/>
      <w:r>
        <w:rPr>
          <w:rFonts w:hint="eastAsia" w:ascii="楷体_GB2312" w:eastAsia="楷体_GB2312"/>
          <w:b w:val="0"/>
          <w:sz w:val="28"/>
          <w:szCs w:val="28"/>
        </w:rPr>
        <w:t>四、估价对象实地查勘情况表</w:t>
      </w:r>
      <w:bookmarkEnd w:id="52"/>
      <w:bookmarkEnd w:id="53"/>
      <w:bookmarkEnd w:id="54"/>
      <w:bookmarkEnd w:id="55"/>
    </w:p>
    <w:p>
      <w:pPr>
        <w:pStyle w:val="4"/>
        <w:ind w:firstLine="560" w:firstLineChars="200"/>
        <w:jc w:val="left"/>
        <w:rPr>
          <w:rFonts w:ascii="楷体_GB2312" w:eastAsia="楷体_GB2312"/>
          <w:b w:val="0"/>
          <w:sz w:val="28"/>
          <w:szCs w:val="28"/>
        </w:rPr>
      </w:pPr>
      <w:bookmarkStart w:id="56" w:name="_Toc2453"/>
      <w:bookmarkStart w:id="57" w:name="_Toc46483405"/>
      <w:bookmarkStart w:id="58" w:name="_Toc10035791"/>
      <w:bookmarkStart w:id="59" w:name="_Toc32309"/>
      <w:r>
        <w:rPr>
          <w:rFonts w:hint="eastAsia" w:ascii="楷体_GB2312" w:eastAsia="楷体_GB2312"/>
          <w:b w:val="0"/>
          <w:sz w:val="28"/>
          <w:szCs w:val="28"/>
        </w:rPr>
        <w:t>五、估价对象权属证明复印件</w:t>
      </w:r>
      <w:bookmarkEnd w:id="56"/>
      <w:bookmarkEnd w:id="57"/>
      <w:bookmarkEnd w:id="58"/>
      <w:bookmarkEnd w:id="59"/>
    </w:p>
    <w:p>
      <w:pPr>
        <w:pStyle w:val="4"/>
        <w:ind w:firstLine="560" w:firstLineChars="200"/>
        <w:jc w:val="left"/>
        <w:rPr>
          <w:rFonts w:ascii="楷体_GB2312" w:eastAsia="楷体_GB2312"/>
          <w:b w:val="0"/>
          <w:sz w:val="28"/>
          <w:szCs w:val="28"/>
        </w:rPr>
      </w:pPr>
      <w:bookmarkStart w:id="60" w:name="_Toc31162"/>
      <w:r>
        <w:rPr>
          <w:rFonts w:hint="eastAsia" w:ascii="楷体_GB2312" w:eastAsia="楷体_GB2312"/>
          <w:b w:val="0"/>
          <w:sz w:val="28"/>
          <w:szCs w:val="28"/>
        </w:rPr>
        <w:t>六、估价对象《租赁合同》复印件</w:t>
      </w:r>
      <w:bookmarkEnd w:id="60"/>
    </w:p>
    <w:p>
      <w:pPr>
        <w:pStyle w:val="4"/>
        <w:ind w:firstLine="560" w:firstLineChars="200"/>
        <w:jc w:val="left"/>
        <w:rPr>
          <w:rFonts w:ascii="楷体_GB2312" w:eastAsia="楷体_GB2312"/>
          <w:b w:val="0"/>
          <w:sz w:val="28"/>
          <w:szCs w:val="28"/>
        </w:rPr>
      </w:pPr>
      <w:bookmarkStart w:id="61" w:name="_Toc46483407"/>
      <w:bookmarkStart w:id="62" w:name="_Toc4264"/>
      <w:bookmarkStart w:id="63" w:name="_Toc19998"/>
      <w:bookmarkStart w:id="64" w:name="_Toc10035793"/>
      <w:r>
        <w:rPr>
          <w:rFonts w:hint="eastAsia" w:ascii="楷体_GB2312" w:eastAsia="楷体_GB2312"/>
          <w:b w:val="0"/>
          <w:sz w:val="28"/>
          <w:szCs w:val="28"/>
        </w:rPr>
        <w:t>七、房地产估价机构营业执照和备案证书复印件</w:t>
      </w:r>
      <w:bookmarkEnd w:id="61"/>
      <w:bookmarkEnd w:id="62"/>
      <w:bookmarkEnd w:id="63"/>
      <w:bookmarkEnd w:id="64"/>
    </w:p>
    <w:p>
      <w:pPr>
        <w:pStyle w:val="4"/>
        <w:ind w:firstLine="560" w:firstLineChars="200"/>
        <w:jc w:val="left"/>
        <w:rPr>
          <w:rFonts w:ascii="楷体_GB2312" w:eastAsia="楷体_GB2312"/>
          <w:b w:val="0"/>
          <w:sz w:val="28"/>
          <w:szCs w:val="28"/>
        </w:rPr>
      </w:pPr>
      <w:bookmarkStart w:id="65" w:name="_Toc46483408"/>
      <w:bookmarkStart w:id="66" w:name="_Toc3559"/>
      <w:bookmarkStart w:id="67" w:name="_Toc10035794"/>
      <w:bookmarkStart w:id="68" w:name="_Toc10313"/>
      <w:r>
        <w:rPr>
          <w:rFonts w:hint="eastAsia" w:ascii="楷体_GB2312" w:eastAsia="楷体_GB2312"/>
          <w:b w:val="0"/>
          <w:sz w:val="28"/>
          <w:szCs w:val="28"/>
        </w:rPr>
        <w:t>八、注册房地产估价师估价资格证书复印件</w:t>
      </w:r>
      <w:bookmarkEnd w:id="65"/>
      <w:bookmarkEnd w:id="66"/>
      <w:bookmarkEnd w:id="67"/>
      <w:bookmarkEnd w:id="68"/>
    </w:p>
    <w:bookmarkEnd w:id="44"/>
    <w:bookmarkEnd w:id="45"/>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pStyle w:val="17"/>
        <w:spacing w:line="700" w:lineRule="exact"/>
        <w:jc w:val="center"/>
        <w:rPr>
          <w:rFonts w:ascii="楷体" w:hAnsi="楷体" w:eastAsia="楷体"/>
          <w:sz w:val="28"/>
          <w:szCs w:val="28"/>
        </w:rPr>
      </w:pPr>
    </w:p>
    <w:p>
      <w:pPr>
        <w:adjustRightInd w:val="0"/>
        <w:snapToGrid w:val="0"/>
        <w:spacing w:line="440" w:lineRule="exact"/>
        <w:rPr>
          <w:rFonts w:ascii="黑体" w:eastAsia="楷体_GB2312"/>
          <w:b/>
          <w:sz w:val="28"/>
        </w:rPr>
      </w:pPr>
    </w:p>
    <w:sectPr>
      <w:pgSz w:w="11906" w:h="16838"/>
      <w:pgMar w:top="1021" w:right="1191" w:bottom="1021" w:left="1191" w:header="851" w:footer="992" w:gutter="284"/>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9135"/>
        <w:tab w:val="clear" w:pos="8306"/>
      </w:tabs>
      <w:ind w:right="49"/>
      <w:jc w:val="center"/>
      <w:rPr>
        <w:rFonts w:ascii="宋体" w:hAnsi="宋体"/>
        <w:position w:val="-24"/>
        <w:sz w:val="15"/>
        <w:szCs w:val="15"/>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20320</wp:posOffset>
              </wp:positionV>
              <wp:extent cx="6010910" cy="0"/>
              <wp:effectExtent l="9525" t="10795" r="8890" b="8255"/>
              <wp:wrapNone/>
              <wp:docPr id="1" name="直接连接符 79"/>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9525">
                        <a:solidFill>
                          <a:srgbClr val="000000"/>
                        </a:solidFill>
                        <a:round/>
                      </a:ln>
                    </wps:spPr>
                    <wps:bodyPr/>
                  </wps:wsp>
                </a:graphicData>
              </a:graphic>
            </wp:anchor>
          </w:drawing>
        </mc:Choice>
        <mc:Fallback>
          <w:pict>
            <v:line id="直接连接符 79" o:spid="_x0000_s1026" o:spt="20" style="position:absolute;left:0pt;margin-left:0pt;margin-top:1.6pt;height:0pt;width:473.3pt;z-index:251662336;mso-width-relative:page;mso-height-relative:page;" filled="f" stroked="t" coordsize="21600,21600" o:gfxdata="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xa3jSAAAABAEAAA8A&#10;AAAAAAAAAQAgAAAAIgAAAGRycy9kb3ducmV2LnhtbFBLAQIUABQAAAAIAIdO4kCPW7Sl5AEAAKsD&#10;AAAOAAAAAAAAAAEAIAAAACEBAABkcnMvZTJvRG9jLnhtbFBLBQYAAAAABgAGAFkBAAB3BQAAAAA=&#10;">
              <v:fill on="f" focussize="0,0"/>
              <v:stroke color="#000000" joinstyle="round"/>
              <v:imagedata o:title=""/>
              <o:lock v:ext="edit" aspectratio="f"/>
            </v:line>
          </w:pict>
        </mc:Fallback>
      </mc:AlternateContent>
    </w:r>
    <w:r>
      <w:rPr>
        <w:rFonts w:hint="eastAsia"/>
        <w:position w:val="-24"/>
        <w:sz w:val="15"/>
        <w:szCs w:val="15"/>
      </w:rPr>
      <w:t>天信房地产土地资产评估有限公司</w:t>
    </w:r>
    <w:r>
      <w:rPr>
        <w:position w:val="-24"/>
        <w:sz w:val="15"/>
        <w:szCs w:val="15"/>
      </w:rPr>
      <w:t xml:space="preserve">                        </w:t>
    </w:r>
    <w:r>
      <w:rPr>
        <w:kern w:val="0"/>
        <w:position w:val="-24"/>
        <w:sz w:val="15"/>
        <w:szCs w:val="15"/>
      </w:rPr>
      <w:t xml:space="preserve">- </w:t>
    </w:r>
    <w:r>
      <w:rPr>
        <w:kern w:val="0"/>
        <w:position w:val="-24"/>
        <w:sz w:val="15"/>
        <w:szCs w:val="15"/>
      </w:rPr>
      <w:fldChar w:fldCharType="begin"/>
    </w:r>
    <w:r>
      <w:rPr>
        <w:kern w:val="0"/>
        <w:position w:val="-24"/>
        <w:sz w:val="15"/>
        <w:szCs w:val="15"/>
      </w:rPr>
      <w:instrText xml:space="preserve"> PAGE </w:instrText>
    </w:r>
    <w:r>
      <w:rPr>
        <w:kern w:val="0"/>
        <w:position w:val="-24"/>
        <w:sz w:val="15"/>
        <w:szCs w:val="15"/>
      </w:rPr>
      <w:fldChar w:fldCharType="separate"/>
    </w:r>
    <w:r>
      <w:rPr>
        <w:kern w:val="0"/>
        <w:position w:val="-24"/>
        <w:sz w:val="15"/>
        <w:szCs w:val="15"/>
      </w:rPr>
      <w:t>172</w:t>
    </w:r>
    <w:r>
      <w:rPr>
        <w:kern w:val="0"/>
        <w:position w:val="-24"/>
        <w:sz w:val="15"/>
        <w:szCs w:val="15"/>
      </w:rPr>
      <w:fldChar w:fldCharType="end"/>
    </w:r>
    <w:r>
      <w:rPr>
        <w:kern w:val="0"/>
        <w:position w:val="-24"/>
        <w:sz w:val="15"/>
        <w:szCs w:val="15"/>
      </w:rPr>
      <w:t xml:space="preserve"> -</w:t>
    </w:r>
    <w:r>
      <w:rPr>
        <w:position w:val="-24"/>
        <w:sz w:val="15"/>
        <w:szCs w:val="15"/>
      </w:rPr>
      <w:t xml:space="preserve">              </w:t>
    </w:r>
    <w:r>
      <w:rPr>
        <w:rFonts w:hint="eastAsia" w:ascii="宋体" w:hAnsi="宋体"/>
        <w:position w:val="-24"/>
        <w:sz w:val="15"/>
        <w:szCs w:val="15"/>
      </w:rPr>
      <w:t>TIANXIN REAL ESTATE LAND CAPITAL APPRAISAL Co.,LTD</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8295"/>
        <w:tab w:val="clear" w:pos="8306"/>
      </w:tabs>
      <w:ind w:firstLine="1440" w:firstLineChars="800"/>
      <w:jc w:val="both"/>
      <w:textAlignment w:val="center"/>
    </w:pPr>
    <w:r>
      <w:drawing>
        <wp:anchor distT="0" distB="0" distL="114300" distR="114300" simplePos="0" relativeHeight="251661312" behindDoc="0" locked="0" layoutInCell="1" allowOverlap="1">
          <wp:simplePos x="0" y="0"/>
          <wp:positionH relativeFrom="column">
            <wp:posOffset>-1270</wp:posOffset>
          </wp:positionH>
          <wp:positionV relativeFrom="paragraph">
            <wp:posOffset>-36195</wp:posOffset>
          </wp:positionV>
          <wp:extent cx="866775" cy="219075"/>
          <wp:effectExtent l="0" t="0" r="9525" b="9525"/>
          <wp:wrapNone/>
          <wp:docPr id="2" name="图片 2" descr="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志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66775" cy="219075"/>
                  </a:xfrm>
                  <a:prstGeom prst="rect">
                    <a:avLst/>
                  </a:prstGeom>
                  <a:noFill/>
                  <a:ln>
                    <a:noFill/>
                  </a:ln>
                </pic:spPr>
              </pic:pic>
            </a:graphicData>
          </a:graphic>
        </wp:anchor>
      </w:drawing>
    </w:r>
    <w:r>
      <w:rPr>
        <w:rFonts w:hint="eastAsia"/>
        <w:kern w:val="0"/>
        <w:position w:val="20"/>
      </w:rPr>
      <w:t>《房地产估价报告》</w:t>
    </w:r>
    <w:r>
      <w:rPr>
        <w:kern w:val="0"/>
        <w:position w:val="20"/>
      </w:rPr>
      <w:t xml:space="preserve">                                          </w:t>
    </w:r>
    <w:r>
      <w:rPr>
        <w:position w:val="20"/>
      </w:rPr>
      <w:t>Real Estate 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tabs>
        <w:tab w:val="left" w:pos="8295"/>
        <w:tab w:val="clear" w:pos="8306"/>
      </w:tabs>
      <w:ind w:left="3588" w:leftChars="680" w:hanging="2160" w:hangingChars="1200"/>
      <w:jc w:val="both"/>
      <w:textAlignment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930"/>
        </w:tabs>
        <w:ind w:left="930" w:hanging="36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TQzNjI4ZGU0ZmI2NTFlMjEwOGY3ZmExODEzYWMifQ=="/>
  </w:docVars>
  <w:rsids>
    <w:rsidRoot w:val="00AD54E0"/>
    <w:rsid w:val="000017BF"/>
    <w:rsid w:val="000551D5"/>
    <w:rsid w:val="000B0AE6"/>
    <w:rsid w:val="000C563B"/>
    <w:rsid w:val="000D67DE"/>
    <w:rsid w:val="000F7D78"/>
    <w:rsid w:val="00115745"/>
    <w:rsid w:val="0014067E"/>
    <w:rsid w:val="00151678"/>
    <w:rsid w:val="001612DF"/>
    <w:rsid w:val="00163AF4"/>
    <w:rsid w:val="001668C1"/>
    <w:rsid w:val="00173D28"/>
    <w:rsid w:val="00177991"/>
    <w:rsid w:val="001C2CC4"/>
    <w:rsid w:val="001C2EB6"/>
    <w:rsid w:val="001D4D48"/>
    <w:rsid w:val="001D77BD"/>
    <w:rsid w:val="001F7A5C"/>
    <w:rsid w:val="002140E8"/>
    <w:rsid w:val="00277E15"/>
    <w:rsid w:val="00277E2C"/>
    <w:rsid w:val="00287505"/>
    <w:rsid w:val="002A18A6"/>
    <w:rsid w:val="002A7C32"/>
    <w:rsid w:val="002B3071"/>
    <w:rsid w:val="002B4151"/>
    <w:rsid w:val="002D38E5"/>
    <w:rsid w:val="002D43D4"/>
    <w:rsid w:val="00315BEB"/>
    <w:rsid w:val="00341388"/>
    <w:rsid w:val="0034147D"/>
    <w:rsid w:val="00370EFD"/>
    <w:rsid w:val="00376916"/>
    <w:rsid w:val="003A283A"/>
    <w:rsid w:val="003A3344"/>
    <w:rsid w:val="003B7CE8"/>
    <w:rsid w:val="003F2D27"/>
    <w:rsid w:val="00423C5C"/>
    <w:rsid w:val="00430CE5"/>
    <w:rsid w:val="00434718"/>
    <w:rsid w:val="00437D58"/>
    <w:rsid w:val="0044220C"/>
    <w:rsid w:val="00462786"/>
    <w:rsid w:val="00477A51"/>
    <w:rsid w:val="00477C15"/>
    <w:rsid w:val="00477C45"/>
    <w:rsid w:val="004810A9"/>
    <w:rsid w:val="00487747"/>
    <w:rsid w:val="00497BCD"/>
    <w:rsid w:val="004A0847"/>
    <w:rsid w:val="004A406B"/>
    <w:rsid w:val="004B4EAC"/>
    <w:rsid w:val="004D6059"/>
    <w:rsid w:val="00524355"/>
    <w:rsid w:val="00562E77"/>
    <w:rsid w:val="00563558"/>
    <w:rsid w:val="005756CF"/>
    <w:rsid w:val="00596F14"/>
    <w:rsid w:val="005A1CAD"/>
    <w:rsid w:val="005B41FA"/>
    <w:rsid w:val="005C6984"/>
    <w:rsid w:val="005D1BB8"/>
    <w:rsid w:val="005D3669"/>
    <w:rsid w:val="005E2F47"/>
    <w:rsid w:val="005E45DA"/>
    <w:rsid w:val="006219B6"/>
    <w:rsid w:val="00643A47"/>
    <w:rsid w:val="006B2CDA"/>
    <w:rsid w:val="006C0176"/>
    <w:rsid w:val="006D4E57"/>
    <w:rsid w:val="00703C27"/>
    <w:rsid w:val="00706446"/>
    <w:rsid w:val="007074EB"/>
    <w:rsid w:val="0071569C"/>
    <w:rsid w:val="0071788F"/>
    <w:rsid w:val="007831CC"/>
    <w:rsid w:val="00783F45"/>
    <w:rsid w:val="00791727"/>
    <w:rsid w:val="007C4339"/>
    <w:rsid w:val="007D17D9"/>
    <w:rsid w:val="007D2C46"/>
    <w:rsid w:val="007E7998"/>
    <w:rsid w:val="00830523"/>
    <w:rsid w:val="008338FD"/>
    <w:rsid w:val="00860D5A"/>
    <w:rsid w:val="00867C13"/>
    <w:rsid w:val="008A1C0D"/>
    <w:rsid w:val="008B3E17"/>
    <w:rsid w:val="008F5443"/>
    <w:rsid w:val="00910E79"/>
    <w:rsid w:val="00921971"/>
    <w:rsid w:val="0096458B"/>
    <w:rsid w:val="009D0AD6"/>
    <w:rsid w:val="009E32D0"/>
    <w:rsid w:val="00A04CBF"/>
    <w:rsid w:val="00A4262C"/>
    <w:rsid w:val="00A5219D"/>
    <w:rsid w:val="00A87886"/>
    <w:rsid w:val="00A94F0C"/>
    <w:rsid w:val="00AC134E"/>
    <w:rsid w:val="00AD54E0"/>
    <w:rsid w:val="00AD6C23"/>
    <w:rsid w:val="00AE14B2"/>
    <w:rsid w:val="00B07FD9"/>
    <w:rsid w:val="00B15687"/>
    <w:rsid w:val="00B23987"/>
    <w:rsid w:val="00B31260"/>
    <w:rsid w:val="00B6630D"/>
    <w:rsid w:val="00BF21B0"/>
    <w:rsid w:val="00BF386B"/>
    <w:rsid w:val="00BF7A0F"/>
    <w:rsid w:val="00C13C3B"/>
    <w:rsid w:val="00C30F09"/>
    <w:rsid w:val="00C313A9"/>
    <w:rsid w:val="00C46BA3"/>
    <w:rsid w:val="00C61F08"/>
    <w:rsid w:val="00C63BAB"/>
    <w:rsid w:val="00C64DCC"/>
    <w:rsid w:val="00C95354"/>
    <w:rsid w:val="00CB5FE9"/>
    <w:rsid w:val="00CC42E7"/>
    <w:rsid w:val="00CD157A"/>
    <w:rsid w:val="00CD5B07"/>
    <w:rsid w:val="00CE590B"/>
    <w:rsid w:val="00CF4FDE"/>
    <w:rsid w:val="00D017C6"/>
    <w:rsid w:val="00D215C3"/>
    <w:rsid w:val="00D36B31"/>
    <w:rsid w:val="00D41050"/>
    <w:rsid w:val="00D57D09"/>
    <w:rsid w:val="00D62B44"/>
    <w:rsid w:val="00DB39E7"/>
    <w:rsid w:val="00DB6DEF"/>
    <w:rsid w:val="00DC03C5"/>
    <w:rsid w:val="00E0746B"/>
    <w:rsid w:val="00E32EDB"/>
    <w:rsid w:val="00E95E87"/>
    <w:rsid w:val="00EA009B"/>
    <w:rsid w:val="00EA2463"/>
    <w:rsid w:val="00ED2779"/>
    <w:rsid w:val="00EE7287"/>
    <w:rsid w:val="00F17BA9"/>
    <w:rsid w:val="00F24BB1"/>
    <w:rsid w:val="00F254D6"/>
    <w:rsid w:val="00F3351C"/>
    <w:rsid w:val="00FB7BC6"/>
    <w:rsid w:val="00FF71E0"/>
    <w:rsid w:val="02950CDA"/>
    <w:rsid w:val="02C40EE4"/>
    <w:rsid w:val="050C597D"/>
    <w:rsid w:val="08672C66"/>
    <w:rsid w:val="08A2454E"/>
    <w:rsid w:val="0B8727E0"/>
    <w:rsid w:val="0DEE7D9D"/>
    <w:rsid w:val="11274A63"/>
    <w:rsid w:val="160E2C45"/>
    <w:rsid w:val="168E2E13"/>
    <w:rsid w:val="18084367"/>
    <w:rsid w:val="1EB94A9E"/>
    <w:rsid w:val="20111502"/>
    <w:rsid w:val="26D70DBB"/>
    <w:rsid w:val="27F1241A"/>
    <w:rsid w:val="2887240D"/>
    <w:rsid w:val="2CFE49C2"/>
    <w:rsid w:val="2ED177DB"/>
    <w:rsid w:val="30AA7716"/>
    <w:rsid w:val="3767068F"/>
    <w:rsid w:val="38C43DD2"/>
    <w:rsid w:val="44291BA7"/>
    <w:rsid w:val="46FD5E48"/>
    <w:rsid w:val="4A6E3AFA"/>
    <w:rsid w:val="511467A8"/>
    <w:rsid w:val="52BE66DE"/>
    <w:rsid w:val="535350A5"/>
    <w:rsid w:val="55905203"/>
    <w:rsid w:val="55FF2F9D"/>
    <w:rsid w:val="59F555D6"/>
    <w:rsid w:val="6010622D"/>
    <w:rsid w:val="64454B69"/>
    <w:rsid w:val="66061603"/>
    <w:rsid w:val="6A100D05"/>
    <w:rsid w:val="6A6E08FF"/>
    <w:rsid w:val="6AE159CF"/>
    <w:rsid w:val="6C3A20F5"/>
    <w:rsid w:val="76FE3E30"/>
    <w:rsid w:val="7E44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5"/>
    <w:qFormat/>
    <w:locked/>
    <w:uiPriority w:val="0"/>
    <w:pPr>
      <w:keepNext/>
      <w:keepLines/>
      <w:spacing w:before="340" w:after="330" w:line="578" w:lineRule="auto"/>
      <w:outlineLvl w:val="0"/>
    </w:pPr>
    <w:rPr>
      <w:b/>
      <w:bCs/>
      <w:kern w:val="44"/>
      <w:sz w:val="44"/>
      <w:szCs w:val="44"/>
    </w:rPr>
  </w:style>
  <w:style w:type="paragraph" w:styleId="4">
    <w:name w:val="heading 2"/>
    <w:basedOn w:val="1"/>
    <w:next w:val="5"/>
    <w:link w:val="44"/>
    <w:qFormat/>
    <w:locked/>
    <w:uiPriority w:val="0"/>
    <w:pPr>
      <w:keepNext/>
      <w:keepLines/>
      <w:jc w:val="center"/>
      <w:outlineLvl w:val="1"/>
    </w:pPr>
    <w:rPr>
      <w:rFonts w:ascii="Arial" w:hAnsi="Arial" w:eastAsia="黑体"/>
      <w:b/>
      <w:sz w:val="32"/>
    </w:rPr>
  </w:style>
  <w:style w:type="paragraph" w:styleId="6">
    <w:name w:val="heading 3"/>
    <w:basedOn w:val="1"/>
    <w:next w:val="1"/>
    <w:link w:val="45"/>
    <w:qFormat/>
    <w:locked/>
    <w:uiPriority w:val="0"/>
    <w:pPr>
      <w:keepNext/>
      <w:keepLines/>
      <w:spacing w:before="260" w:after="260" w:line="416" w:lineRule="auto"/>
      <w:outlineLvl w:val="2"/>
    </w:pPr>
    <w:rPr>
      <w:b/>
      <w:bCs/>
      <w:sz w:val="32"/>
      <w:szCs w:val="32"/>
    </w:rPr>
  </w:style>
  <w:style w:type="paragraph" w:styleId="7">
    <w:name w:val="heading 4"/>
    <w:basedOn w:val="1"/>
    <w:next w:val="1"/>
    <w:link w:val="56"/>
    <w:qFormat/>
    <w:locked/>
    <w:uiPriority w:val="0"/>
    <w:pPr>
      <w:keepNext/>
      <w:keepLines/>
      <w:suppressAutoHyphens/>
      <w:snapToGrid w:val="0"/>
      <w:spacing w:line="300" w:lineRule="auto"/>
      <w:ind w:firstLine="560"/>
      <w:outlineLvl w:val="3"/>
    </w:pPr>
    <w:rPr>
      <w:rFonts w:ascii="??_GB2312" w:hAnsi="??_GB2312" w:eastAsia="Times New Roman"/>
      <w:bCs/>
      <w:kern w:val="0"/>
      <w:sz w:val="28"/>
      <w:szCs w:val="28"/>
      <w:lang w:val="zh-CN" w:eastAsia="ar-SA"/>
    </w:rPr>
  </w:style>
  <w:style w:type="paragraph" w:styleId="8">
    <w:name w:val="heading 5"/>
    <w:basedOn w:val="1"/>
    <w:next w:val="1"/>
    <w:link w:val="57"/>
    <w:qFormat/>
    <w:locked/>
    <w:uiPriority w:val="0"/>
    <w:pPr>
      <w:keepNext/>
      <w:keepLines/>
      <w:spacing w:before="280" w:after="290" w:line="376" w:lineRule="auto"/>
      <w:outlineLvl w:val="4"/>
    </w:pPr>
    <w:rPr>
      <w:rFonts w:ascii="Calibri" w:hAnsi="Calibri"/>
      <w:b/>
      <w:bCs/>
      <w:sz w:val="28"/>
      <w:szCs w:val="28"/>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Normal Indent"/>
    <w:basedOn w:val="1"/>
    <w:link w:val="142"/>
    <w:qFormat/>
    <w:uiPriority w:val="0"/>
    <w:pPr>
      <w:ind w:firstLine="420"/>
    </w:pPr>
    <w:rPr>
      <w:rFonts w:eastAsia="楷体_GB2312"/>
      <w:sz w:val="28"/>
    </w:rPr>
  </w:style>
  <w:style w:type="paragraph" w:styleId="9">
    <w:name w:val="toc 7"/>
    <w:basedOn w:val="1"/>
    <w:next w:val="1"/>
    <w:qFormat/>
    <w:locked/>
    <w:uiPriority w:val="0"/>
    <w:pPr>
      <w:ind w:left="1260"/>
      <w:jc w:val="left"/>
    </w:pPr>
    <w:rPr>
      <w:szCs w:val="24"/>
    </w:rPr>
  </w:style>
  <w:style w:type="paragraph" w:styleId="10">
    <w:name w:val="annotation text"/>
    <w:basedOn w:val="1"/>
    <w:semiHidden/>
    <w:unhideWhenUsed/>
    <w:uiPriority w:val="99"/>
    <w:pPr>
      <w:jc w:val="left"/>
    </w:pPr>
  </w:style>
  <w:style w:type="paragraph" w:styleId="11">
    <w:name w:val="Salutation"/>
    <w:basedOn w:val="1"/>
    <w:next w:val="1"/>
    <w:link w:val="60"/>
    <w:qFormat/>
    <w:uiPriority w:val="0"/>
    <w:rPr>
      <w:sz w:val="30"/>
    </w:rPr>
  </w:style>
  <w:style w:type="paragraph" w:styleId="12">
    <w:name w:val="Closing"/>
    <w:basedOn w:val="1"/>
    <w:link w:val="58"/>
    <w:qFormat/>
    <w:uiPriority w:val="0"/>
    <w:pPr>
      <w:ind w:left="100" w:leftChars="2100"/>
    </w:pPr>
    <w:rPr>
      <w:rFonts w:ascii="楷体_GB2312" w:eastAsia="楷体_GB2312"/>
      <w:sz w:val="28"/>
    </w:rPr>
  </w:style>
  <w:style w:type="paragraph" w:styleId="13">
    <w:name w:val="Body Text"/>
    <w:basedOn w:val="1"/>
    <w:link w:val="59"/>
    <w:qFormat/>
    <w:uiPriority w:val="0"/>
    <w:pPr>
      <w:spacing w:line="500" w:lineRule="exact"/>
    </w:pPr>
    <w:rPr>
      <w:sz w:val="32"/>
    </w:rPr>
  </w:style>
  <w:style w:type="paragraph" w:styleId="14">
    <w:name w:val="Body Text Indent"/>
    <w:basedOn w:val="1"/>
    <w:link w:val="61"/>
    <w:qFormat/>
    <w:uiPriority w:val="0"/>
    <w:pPr>
      <w:adjustRightInd w:val="0"/>
      <w:spacing w:line="400" w:lineRule="exact"/>
      <w:ind w:firstLine="555"/>
    </w:pPr>
    <w:rPr>
      <w:rFonts w:ascii="楷体_GB2312" w:eastAsia="楷体_GB2312"/>
      <w:sz w:val="28"/>
    </w:rPr>
  </w:style>
  <w:style w:type="paragraph" w:styleId="15">
    <w:name w:val="toc 5"/>
    <w:basedOn w:val="1"/>
    <w:next w:val="1"/>
    <w:qFormat/>
    <w:locked/>
    <w:uiPriority w:val="0"/>
    <w:pPr>
      <w:ind w:left="840"/>
      <w:jc w:val="left"/>
    </w:pPr>
    <w:rPr>
      <w:szCs w:val="24"/>
    </w:rPr>
  </w:style>
  <w:style w:type="paragraph" w:styleId="16">
    <w:name w:val="toc 3"/>
    <w:basedOn w:val="1"/>
    <w:next w:val="1"/>
    <w:qFormat/>
    <w:locked/>
    <w:uiPriority w:val="39"/>
    <w:pPr>
      <w:tabs>
        <w:tab w:val="right" w:leader="middleDot" w:pos="9030"/>
      </w:tabs>
      <w:spacing w:line="480" w:lineRule="exact"/>
      <w:ind w:left="420" w:firstLine="841" w:firstLineChars="400"/>
      <w:jc w:val="left"/>
    </w:pPr>
    <w:rPr>
      <w:rFonts w:eastAsia="楷体"/>
      <w:sz w:val="24"/>
      <w:szCs w:val="24"/>
    </w:rPr>
  </w:style>
  <w:style w:type="paragraph" w:styleId="17">
    <w:name w:val="Plain Text"/>
    <w:basedOn w:val="1"/>
    <w:link w:val="49"/>
    <w:qFormat/>
    <w:uiPriority w:val="0"/>
    <w:rPr>
      <w:rFonts w:ascii="宋体" w:hAnsi="Courier New"/>
      <w:kern w:val="0"/>
      <w:sz w:val="20"/>
    </w:rPr>
  </w:style>
  <w:style w:type="paragraph" w:styleId="18">
    <w:name w:val="toc 8"/>
    <w:basedOn w:val="1"/>
    <w:next w:val="1"/>
    <w:qFormat/>
    <w:locked/>
    <w:uiPriority w:val="0"/>
    <w:pPr>
      <w:ind w:left="1470"/>
      <w:jc w:val="left"/>
    </w:pPr>
    <w:rPr>
      <w:szCs w:val="24"/>
    </w:rPr>
  </w:style>
  <w:style w:type="paragraph" w:styleId="19">
    <w:name w:val="Date"/>
    <w:basedOn w:val="1"/>
    <w:next w:val="1"/>
    <w:link w:val="46"/>
    <w:qFormat/>
    <w:uiPriority w:val="0"/>
    <w:rPr>
      <w:sz w:val="30"/>
    </w:rPr>
  </w:style>
  <w:style w:type="paragraph" w:styleId="20">
    <w:name w:val="Body Text Indent 2"/>
    <w:basedOn w:val="1"/>
    <w:link w:val="63"/>
    <w:qFormat/>
    <w:uiPriority w:val="0"/>
    <w:pPr>
      <w:snapToGrid w:val="0"/>
      <w:spacing w:line="480" w:lineRule="exact"/>
      <w:ind w:firstLine="420" w:firstLineChars="175"/>
    </w:pPr>
    <w:rPr>
      <w:rFonts w:ascii="楷体_GB2312" w:eastAsia="楷体_GB2312"/>
      <w:sz w:val="24"/>
    </w:rPr>
  </w:style>
  <w:style w:type="paragraph" w:styleId="21">
    <w:name w:val="Balloon Text"/>
    <w:basedOn w:val="1"/>
    <w:link w:val="52"/>
    <w:qFormat/>
    <w:uiPriority w:val="99"/>
    <w:rPr>
      <w:sz w:val="18"/>
      <w:szCs w:val="18"/>
    </w:rPr>
  </w:style>
  <w:style w:type="paragraph" w:styleId="22">
    <w:name w:val="footer"/>
    <w:basedOn w:val="1"/>
    <w:link w:val="51"/>
    <w:qFormat/>
    <w:uiPriority w:val="99"/>
    <w:pPr>
      <w:tabs>
        <w:tab w:val="center" w:pos="4153"/>
        <w:tab w:val="right" w:pos="8306"/>
      </w:tabs>
      <w:snapToGrid w:val="0"/>
      <w:jc w:val="left"/>
    </w:pPr>
    <w:rPr>
      <w:sz w:val="18"/>
      <w:szCs w:val="18"/>
    </w:rPr>
  </w:style>
  <w:style w:type="paragraph" w:styleId="23">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locked/>
    <w:uiPriority w:val="39"/>
    <w:pPr>
      <w:spacing w:before="120" w:line="380" w:lineRule="exact"/>
      <w:jc w:val="left"/>
    </w:pPr>
    <w:rPr>
      <w:rFonts w:eastAsia="楷体"/>
      <w:bCs/>
      <w:iCs/>
      <w:sz w:val="28"/>
      <w:szCs w:val="28"/>
    </w:rPr>
  </w:style>
  <w:style w:type="paragraph" w:styleId="25">
    <w:name w:val="toc 4"/>
    <w:basedOn w:val="1"/>
    <w:next w:val="1"/>
    <w:qFormat/>
    <w:locked/>
    <w:uiPriority w:val="0"/>
    <w:pPr>
      <w:ind w:left="630"/>
      <w:jc w:val="left"/>
    </w:pPr>
    <w:rPr>
      <w:szCs w:val="24"/>
    </w:rPr>
  </w:style>
  <w:style w:type="paragraph" w:styleId="26">
    <w:name w:val="toc 6"/>
    <w:basedOn w:val="1"/>
    <w:next w:val="1"/>
    <w:qFormat/>
    <w:locked/>
    <w:uiPriority w:val="0"/>
    <w:pPr>
      <w:ind w:left="1050"/>
      <w:jc w:val="left"/>
    </w:pPr>
    <w:rPr>
      <w:szCs w:val="24"/>
    </w:rPr>
  </w:style>
  <w:style w:type="paragraph" w:styleId="27">
    <w:name w:val="Body Text Indent 3"/>
    <w:basedOn w:val="1"/>
    <w:link w:val="54"/>
    <w:qFormat/>
    <w:uiPriority w:val="0"/>
    <w:pPr>
      <w:snapToGrid w:val="0"/>
      <w:spacing w:line="440" w:lineRule="exact"/>
      <w:ind w:firstLine="524" w:firstLineChars="187"/>
    </w:pPr>
    <w:rPr>
      <w:rFonts w:ascii="楷体_GB2312" w:eastAsia="楷体_GB2312"/>
      <w:sz w:val="28"/>
    </w:rPr>
  </w:style>
  <w:style w:type="paragraph" w:styleId="28">
    <w:name w:val="table of figures"/>
    <w:basedOn w:val="1"/>
    <w:next w:val="1"/>
    <w:unhideWhenUsed/>
    <w:qFormat/>
    <w:uiPriority w:val="99"/>
    <w:pPr>
      <w:spacing w:before="120" w:after="120"/>
      <w:ind w:left="840" w:hanging="420"/>
      <w:jc w:val="center"/>
    </w:pPr>
    <w:rPr>
      <w:rFonts w:ascii="Calibri" w:hAnsi="Calibri" w:eastAsia="黑体"/>
    </w:rPr>
  </w:style>
  <w:style w:type="paragraph" w:styleId="29">
    <w:name w:val="toc 2"/>
    <w:basedOn w:val="1"/>
    <w:next w:val="1"/>
    <w:qFormat/>
    <w:locked/>
    <w:uiPriority w:val="39"/>
    <w:pPr>
      <w:tabs>
        <w:tab w:val="right" w:leader="middleDot" w:pos="9030"/>
      </w:tabs>
      <w:spacing w:line="480" w:lineRule="exact"/>
      <w:jc w:val="center"/>
    </w:pPr>
    <w:rPr>
      <w:rFonts w:ascii="楷体_GB2312" w:eastAsia="楷体_GB2312"/>
      <w:sz w:val="28"/>
      <w:szCs w:val="32"/>
    </w:rPr>
  </w:style>
  <w:style w:type="paragraph" w:styleId="30">
    <w:name w:val="toc 9"/>
    <w:basedOn w:val="1"/>
    <w:next w:val="1"/>
    <w:qFormat/>
    <w:locked/>
    <w:uiPriority w:val="0"/>
    <w:pPr>
      <w:ind w:left="1680"/>
      <w:jc w:val="left"/>
    </w:pPr>
    <w:rPr>
      <w:szCs w:val="24"/>
    </w:rPr>
  </w:style>
  <w:style w:type="paragraph" w:styleId="31">
    <w:name w:val="Body Text 2"/>
    <w:basedOn w:val="1"/>
    <w:link w:val="62"/>
    <w:qFormat/>
    <w:uiPriority w:val="0"/>
    <w:pPr>
      <w:snapToGrid w:val="0"/>
      <w:spacing w:line="14" w:lineRule="exact"/>
    </w:pPr>
    <w:rPr>
      <w:rFonts w:ascii="楷体_GB2312" w:eastAsia="楷体_GB2312"/>
      <w:sz w:val="28"/>
    </w:rPr>
  </w:style>
  <w:style w:type="paragraph" w:styleId="32">
    <w:name w:val="Normal (Web)"/>
    <w:basedOn w:val="1"/>
    <w:qFormat/>
    <w:uiPriority w:val="99"/>
    <w:pPr>
      <w:widowControl/>
      <w:suppressAutoHyphens/>
      <w:spacing w:before="280" w:after="280"/>
      <w:jc w:val="left"/>
    </w:pPr>
    <w:rPr>
      <w:rFonts w:ascii="宋体" w:hAnsi="宋体" w:cs="宋体"/>
      <w:kern w:val="0"/>
      <w:sz w:val="24"/>
      <w:szCs w:val="24"/>
      <w:lang w:eastAsia="ar-SA"/>
    </w:rPr>
  </w:style>
  <w:style w:type="paragraph" w:styleId="33">
    <w:name w:val="Title"/>
    <w:basedOn w:val="1"/>
    <w:next w:val="1"/>
    <w:link w:val="134"/>
    <w:qFormat/>
    <w:locked/>
    <w:uiPriority w:val="0"/>
    <w:pPr>
      <w:spacing w:before="240" w:after="60"/>
      <w:jc w:val="center"/>
      <w:outlineLvl w:val="0"/>
    </w:pPr>
    <w:rPr>
      <w:rFonts w:ascii="Cambria" w:hAnsi="Cambria"/>
      <w:b/>
      <w:bCs/>
      <w:sz w:val="32"/>
      <w:szCs w:val="32"/>
    </w:rPr>
  </w:style>
  <w:style w:type="paragraph" w:styleId="34">
    <w:name w:val="Body Text First Indent"/>
    <w:basedOn w:val="13"/>
    <w:link w:val="69"/>
    <w:qFormat/>
    <w:uiPriority w:val="0"/>
    <w:pPr>
      <w:spacing w:after="120" w:line="240" w:lineRule="auto"/>
      <w:ind w:firstLine="420" w:firstLineChars="100"/>
    </w:pPr>
    <w:rPr>
      <w:sz w:val="21"/>
    </w:rPr>
  </w:style>
  <w:style w:type="paragraph" w:styleId="35">
    <w:name w:val="Body Text First Indent 2"/>
    <w:basedOn w:val="14"/>
    <w:unhideWhenUsed/>
    <w:qFormat/>
    <w:uiPriority w:val="99"/>
    <w:pPr>
      <w:ind w:firstLine="880" w:firstLineChars="200"/>
    </w:pPr>
  </w:style>
  <w:style w:type="table" w:styleId="37">
    <w:name w:val="Table Grid"/>
    <w:basedOn w:val="36"/>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locked/>
    <w:uiPriority w:val="22"/>
    <w:rPr>
      <w:b/>
      <w:bCs/>
    </w:rPr>
  </w:style>
  <w:style w:type="character" w:styleId="40">
    <w:name w:val="page number"/>
    <w:qFormat/>
    <w:uiPriority w:val="0"/>
  </w:style>
  <w:style w:type="character" w:styleId="41">
    <w:name w:val="FollowedHyperlink"/>
    <w:unhideWhenUsed/>
    <w:qFormat/>
    <w:uiPriority w:val="99"/>
    <w:rPr>
      <w:color w:val="800080"/>
      <w:u w:val="single"/>
    </w:rPr>
  </w:style>
  <w:style w:type="character" w:styleId="42">
    <w:name w:val="Hyperlink"/>
    <w:qFormat/>
    <w:uiPriority w:val="99"/>
    <w:rPr>
      <w:color w:val="0000FF"/>
      <w:u w:val="single"/>
    </w:rPr>
  </w:style>
  <w:style w:type="character" w:styleId="43">
    <w:name w:val="annotation reference"/>
    <w:semiHidden/>
    <w:unhideWhenUsed/>
    <w:qFormat/>
    <w:uiPriority w:val="99"/>
    <w:rPr>
      <w:sz w:val="21"/>
      <w:szCs w:val="21"/>
    </w:rPr>
  </w:style>
  <w:style w:type="character" w:customStyle="1" w:styleId="44">
    <w:name w:val="标题 2 字符"/>
    <w:link w:val="4"/>
    <w:qFormat/>
    <w:locked/>
    <w:uiPriority w:val="0"/>
    <w:rPr>
      <w:rFonts w:ascii="Cambria" w:hAnsi="Cambria" w:eastAsia="宋体" w:cs="Times New Roman"/>
      <w:b/>
      <w:bCs/>
      <w:sz w:val="32"/>
      <w:szCs w:val="32"/>
    </w:rPr>
  </w:style>
  <w:style w:type="character" w:customStyle="1" w:styleId="45">
    <w:name w:val="标题 3 字符"/>
    <w:link w:val="6"/>
    <w:qFormat/>
    <w:locked/>
    <w:uiPriority w:val="0"/>
    <w:rPr>
      <w:rFonts w:ascii="Times New Roman" w:hAnsi="Times New Roman" w:cs="Times New Roman"/>
      <w:b/>
      <w:bCs/>
      <w:sz w:val="32"/>
      <w:szCs w:val="32"/>
    </w:rPr>
  </w:style>
  <w:style w:type="character" w:customStyle="1" w:styleId="46">
    <w:name w:val="日期 字符"/>
    <w:link w:val="19"/>
    <w:qFormat/>
    <w:locked/>
    <w:uiPriority w:val="0"/>
    <w:rPr>
      <w:rFonts w:ascii="Times New Roman" w:hAnsi="Times New Roman" w:eastAsia="宋体" w:cs="Times New Roman"/>
      <w:sz w:val="20"/>
      <w:szCs w:val="20"/>
    </w:rPr>
  </w:style>
  <w:style w:type="character" w:customStyle="1" w:styleId="47">
    <w:name w:val="Plain Text Char"/>
    <w:qFormat/>
    <w:locked/>
    <w:uiPriority w:val="99"/>
    <w:rPr>
      <w:rFonts w:ascii="宋体" w:hAnsi="Courier New"/>
    </w:rPr>
  </w:style>
  <w:style w:type="character" w:customStyle="1" w:styleId="48">
    <w:name w:val="Plain Text Char1"/>
    <w:qFormat/>
    <w:locked/>
    <w:uiPriority w:val="0"/>
    <w:rPr>
      <w:rFonts w:ascii="宋体" w:hAnsi="Courier New" w:cs="Times New Roman"/>
      <w:sz w:val="21"/>
      <w:szCs w:val="21"/>
    </w:rPr>
  </w:style>
  <w:style w:type="character" w:customStyle="1" w:styleId="49">
    <w:name w:val="纯文本 字符"/>
    <w:link w:val="17"/>
    <w:qFormat/>
    <w:locked/>
    <w:uiPriority w:val="0"/>
    <w:rPr>
      <w:rFonts w:ascii="宋体" w:hAnsi="Courier New" w:eastAsia="宋体" w:cs="Courier New"/>
      <w:sz w:val="21"/>
      <w:szCs w:val="21"/>
    </w:rPr>
  </w:style>
  <w:style w:type="character" w:customStyle="1" w:styleId="50">
    <w:name w:val="页眉 字符"/>
    <w:link w:val="23"/>
    <w:qFormat/>
    <w:locked/>
    <w:uiPriority w:val="0"/>
    <w:rPr>
      <w:rFonts w:ascii="Times New Roman" w:hAnsi="Times New Roman" w:eastAsia="宋体" w:cs="Times New Roman"/>
      <w:sz w:val="18"/>
      <w:szCs w:val="18"/>
    </w:rPr>
  </w:style>
  <w:style w:type="character" w:customStyle="1" w:styleId="51">
    <w:name w:val="页脚 字符"/>
    <w:link w:val="22"/>
    <w:qFormat/>
    <w:locked/>
    <w:uiPriority w:val="99"/>
    <w:rPr>
      <w:rFonts w:ascii="Times New Roman" w:hAnsi="Times New Roman" w:eastAsia="宋体" w:cs="Times New Roman"/>
      <w:sz w:val="18"/>
      <w:szCs w:val="18"/>
    </w:rPr>
  </w:style>
  <w:style w:type="character" w:customStyle="1" w:styleId="52">
    <w:name w:val="批注框文本 字符"/>
    <w:link w:val="21"/>
    <w:qFormat/>
    <w:locked/>
    <w:uiPriority w:val="99"/>
    <w:rPr>
      <w:rFonts w:ascii="Times New Roman" w:hAnsi="Times New Roman" w:eastAsia="宋体" w:cs="Times New Roman"/>
      <w:sz w:val="18"/>
      <w:szCs w:val="18"/>
    </w:rPr>
  </w:style>
  <w:style w:type="character" w:customStyle="1" w:styleId="53">
    <w:name w:val="Char Char"/>
    <w:qFormat/>
    <w:uiPriority w:val="99"/>
    <w:rPr>
      <w:rFonts w:ascii="宋体" w:hAnsi="Courier New" w:cs="Times New Roman"/>
      <w:kern w:val="2"/>
      <w:sz w:val="21"/>
    </w:rPr>
  </w:style>
  <w:style w:type="character" w:customStyle="1" w:styleId="54">
    <w:name w:val="正文文本缩进 3 字符"/>
    <w:link w:val="27"/>
    <w:qFormat/>
    <w:locked/>
    <w:uiPriority w:val="0"/>
    <w:rPr>
      <w:rFonts w:ascii="Times New Roman" w:hAnsi="Times New Roman" w:cs="Times New Roman"/>
      <w:sz w:val="16"/>
      <w:szCs w:val="16"/>
    </w:rPr>
  </w:style>
  <w:style w:type="character" w:customStyle="1" w:styleId="55">
    <w:name w:val="标题 1 字符"/>
    <w:link w:val="3"/>
    <w:qFormat/>
    <w:uiPriority w:val="0"/>
    <w:rPr>
      <w:rFonts w:ascii="Times New Roman" w:hAnsi="Times New Roman"/>
      <w:b/>
      <w:bCs/>
      <w:kern w:val="44"/>
      <w:sz w:val="44"/>
      <w:szCs w:val="44"/>
    </w:rPr>
  </w:style>
  <w:style w:type="character" w:customStyle="1" w:styleId="56">
    <w:name w:val="标题 4 字符"/>
    <w:link w:val="7"/>
    <w:qFormat/>
    <w:uiPriority w:val="0"/>
    <w:rPr>
      <w:rFonts w:ascii="??_GB2312" w:hAnsi="??_GB2312" w:eastAsia="Times New Roman"/>
      <w:bCs/>
      <w:sz w:val="28"/>
      <w:szCs w:val="28"/>
      <w:lang w:val="zh-CN" w:eastAsia="ar-SA"/>
    </w:rPr>
  </w:style>
  <w:style w:type="character" w:customStyle="1" w:styleId="57">
    <w:name w:val="标题 5 字符"/>
    <w:link w:val="8"/>
    <w:qFormat/>
    <w:uiPriority w:val="0"/>
    <w:rPr>
      <w:b/>
      <w:bCs/>
      <w:kern w:val="2"/>
      <w:sz w:val="28"/>
      <w:szCs w:val="28"/>
    </w:rPr>
  </w:style>
  <w:style w:type="character" w:customStyle="1" w:styleId="58">
    <w:name w:val="结束语 字符"/>
    <w:link w:val="12"/>
    <w:qFormat/>
    <w:uiPriority w:val="0"/>
    <w:rPr>
      <w:rFonts w:ascii="楷体_GB2312" w:hAnsi="Times New Roman" w:eastAsia="楷体_GB2312"/>
      <w:kern w:val="2"/>
      <w:sz w:val="28"/>
    </w:rPr>
  </w:style>
  <w:style w:type="character" w:customStyle="1" w:styleId="59">
    <w:name w:val="正文文本 字符"/>
    <w:link w:val="13"/>
    <w:qFormat/>
    <w:uiPriority w:val="0"/>
    <w:rPr>
      <w:rFonts w:ascii="Times New Roman" w:hAnsi="Times New Roman"/>
      <w:kern w:val="2"/>
      <w:sz w:val="32"/>
    </w:rPr>
  </w:style>
  <w:style w:type="character" w:customStyle="1" w:styleId="60">
    <w:name w:val="称呼 字符"/>
    <w:link w:val="11"/>
    <w:qFormat/>
    <w:uiPriority w:val="0"/>
    <w:rPr>
      <w:rFonts w:ascii="Times New Roman" w:hAnsi="Times New Roman"/>
      <w:kern w:val="2"/>
      <w:sz w:val="30"/>
    </w:rPr>
  </w:style>
  <w:style w:type="character" w:customStyle="1" w:styleId="61">
    <w:name w:val="正文文本缩进 字符"/>
    <w:link w:val="14"/>
    <w:qFormat/>
    <w:uiPriority w:val="0"/>
    <w:rPr>
      <w:rFonts w:ascii="楷体_GB2312" w:hAnsi="Times New Roman" w:eastAsia="楷体_GB2312"/>
      <w:kern w:val="2"/>
      <w:sz w:val="28"/>
    </w:rPr>
  </w:style>
  <w:style w:type="character" w:customStyle="1" w:styleId="62">
    <w:name w:val="正文文本 2 字符"/>
    <w:link w:val="31"/>
    <w:qFormat/>
    <w:uiPriority w:val="0"/>
    <w:rPr>
      <w:rFonts w:ascii="楷体_GB2312" w:hAnsi="Times New Roman" w:eastAsia="楷体_GB2312"/>
      <w:kern w:val="2"/>
      <w:sz w:val="28"/>
    </w:rPr>
  </w:style>
  <w:style w:type="character" w:customStyle="1" w:styleId="63">
    <w:name w:val="正文文本缩进 2 字符"/>
    <w:link w:val="20"/>
    <w:qFormat/>
    <w:uiPriority w:val="0"/>
    <w:rPr>
      <w:rFonts w:ascii="楷体_GB2312" w:hAnsi="Times New Roman" w:eastAsia="楷体_GB2312"/>
      <w:kern w:val="2"/>
      <w:sz w:val="24"/>
    </w:rPr>
  </w:style>
  <w:style w:type="paragraph" w:customStyle="1" w:styleId="64">
    <w:name w:val="样式1"/>
    <w:basedOn w:val="24"/>
    <w:qFormat/>
    <w:uiPriority w:val="0"/>
    <w:pPr>
      <w:spacing w:before="156" w:beforeLines="50"/>
    </w:pPr>
    <w:rPr>
      <w:spacing w:val="20"/>
      <w:sz w:val="32"/>
    </w:rPr>
  </w:style>
  <w:style w:type="paragraph" w:customStyle="1" w:styleId="65">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6">
    <w:name w:val="样式2"/>
    <w:basedOn w:val="1"/>
    <w:qFormat/>
    <w:uiPriority w:val="0"/>
    <w:pPr>
      <w:snapToGrid w:val="0"/>
      <w:spacing w:line="480" w:lineRule="exact"/>
      <w:ind w:firstLine="420" w:firstLineChars="175"/>
    </w:pPr>
    <w:rPr>
      <w:rFonts w:ascii="楷体_GB2312" w:eastAsia="楷体_GB2312"/>
      <w:sz w:val="24"/>
    </w:rPr>
  </w:style>
  <w:style w:type="paragraph" w:customStyle="1" w:styleId="67">
    <w:name w:val="Char"/>
    <w:basedOn w:val="1"/>
    <w:qFormat/>
    <w:uiPriority w:val="0"/>
    <w:rPr>
      <w:szCs w:val="24"/>
    </w:rPr>
  </w:style>
  <w:style w:type="paragraph" w:customStyle="1" w:styleId="68">
    <w:name w:val="Char1"/>
    <w:basedOn w:val="1"/>
    <w:qFormat/>
    <w:uiPriority w:val="0"/>
    <w:pPr>
      <w:widowControl/>
      <w:spacing w:after="160" w:line="240" w:lineRule="exact"/>
      <w:jc w:val="left"/>
    </w:pPr>
    <w:rPr>
      <w:rFonts w:ascii="Verdana" w:hAnsi="Verdana" w:cs="Verdana"/>
      <w:kern w:val="0"/>
      <w:sz w:val="20"/>
      <w:lang w:eastAsia="en-US"/>
    </w:rPr>
  </w:style>
  <w:style w:type="character" w:customStyle="1" w:styleId="69">
    <w:name w:val="正文文本首行缩进 字符"/>
    <w:link w:val="34"/>
    <w:qFormat/>
    <w:uiPriority w:val="0"/>
    <w:rPr>
      <w:rFonts w:ascii="Times New Roman" w:hAnsi="Times New Roman"/>
      <w:kern w:val="2"/>
      <w:sz w:val="21"/>
    </w:rPr>
  </w:style>
  <w:style w:type="paragraph" w:customStyle="1" w:styleId="70">
    <w:name w:val="zw"/>
    <w:basedOn w:val="1"/>
    <w:qFormat/>
    <w:uiPriority w:val="0"/>
    <w:pPr>
      <w:autoSpaceDE w:val="0"/>
      <w:autoSpaceDN w:val="0"/>
      <w:adjustRightInd w:val="0"/>
      <w:spacing w:line="360" w:lineRule="auto"/>
      <w:ind w:firstLine="482"/>
      <w:textAlignment w:val="bottom"/>
    </w:pPr>
    <w:rPr>
      <w:rFonts w:ascii="Arial Narrow" w:hAnsi="Arial Narrow" w:eastAsia="幼圆"/>
      <w:kern w:val="0"/>
      <w:sz w:val="24"/>
      <w:lang w:val="zh-CN" w:eastAsia="ar-SA"/>
    </w:rPr>
  </w:style>
  <w:style w:type="character" w:customStyle="1" w:styleId="71">
    <w:name w:val="批注框文本 Char1"/>
    <w:qFormat/>
    <w:uiPriority w:val="0"/>
    <w:rPr>
      <w:kern w:val="2"/>
      <w:sz w:val="18"/>
      <w:szCs w:val="18"/>
    </w:rPr>
  </w:style>
  <w:style w:type="character" w:customStyle="1" w:styleId="72">
    <w:name w:val="m_481"/>
    <w:qFormat/>
    <w:uiPriority w:val="0"/>
  </w:style>
  <w:style w:type="character" w:customStyle="1" w:styleId="73">
    <w:name w:val="m_91"/>
    <w:qFormat/>
    <w:uiPriority w:val="0"/>
  </w:style>
  <w:style w:type="character" w:customStyle="1" w:styleId="74">
    <w:name w:val="m_311"/>
    <w:qFormat/>
    <w:uiPriority w:val="0"/>
  </w:style>
  <w:style w:type="character" w:customStyle="1" w:styleId="75">
    <w:name w:val="til1"/>
    <w:qFormat/>
    <w:uiPriority w:val="0"/>
  </w:style>
  <w:style w:type="character" w:customStyle="1" w:styleId="76">
    <w:name w:val="m_110"/>
    <w:qFormat/>
    <w:uiPriority w:val="0"/>
  </w:style>
  <w:style w:type="character" w:customStyle="1" w:styleId="77">
    <w:name w:val="m_141"/>
    <w:qFormat/>
    <w:uiPriority w:val="0"/>
  </w:style>
  <w:style w:type="paragraph" w:customStyle="1" w:styleId="7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80">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2">
    <w:name w:val="Char Char Char1 Char Char Char Char"/>
    <w:basedOn w:val="1"/>
    <w:qFormat/>
    <w:uiPriority w:val="0"/>
    <w:rPr>
      <w:rFonts w:ascii="楷体_GB2312" w:eastAsia="楷体_GB2312"/>
      <w:sz w:val="32"/>
      <w:szCs w:val="24"/>
    </w:rPr>
  </w:style>
  <w:style w:type="paragraph" w:customStyle="1" w:styleId="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4">
    <w:name w:val="font0"/>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8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8">
    <w:name w:val="font5"/>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9">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四号仿宋28磅"/>
    <w:basedOn w:val="1"/>
    <w:qFormat/>
    <w:uiPriority w:val="0"/>
    <w:pPr>
      <w:spacing w:line="560" w:lineRule="exact"/>
      <w:ind w:firstLine="200" w:firstLineChars="200"/>
    </w:pPr>
    <w:rPr>
      <w:rFonts w:ascii="仿宋_GB2312" w:eastAsia="仿宋_GB2312"/>
      <w:sz w:val="28"/>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2">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9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4">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6">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Cs w:val="21"/>
    </w:rPr>
  </w:style>
  <w:style w:type="paragraph" w:customStyle="1" w:styleId="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szCs w:val="24"/>
    </w:rPr>
  </w:style>
  <w:style w:type="paragraph" w:customStyle="1" w:styleId="99">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10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1">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2">
    <w:name w:val="xl67"/>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03">
    <w:name w:val="xl68"/>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04">
    <w:name w:val="xl69"/>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8">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1">
    <w:name w:val="xl7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6">
    <w:name w:val="xl81"/>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1">
    <w:name w:val="xl8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22">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3">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8">
    <w:name w:val="xl93"/>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29">
    <w:name w:val="xl94"/>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character" w:customStyle="1" w:styleId="130">
    <w:name w:val="Char Char13"/>
    <w:qFormat/>
    <w:uiPriority w:val="0"/>
    <w:rPr>
      <w:rFonts w:ascii="仿宋_GB2312" w:eastAsia="仿宋_GB2312"/>
      <w:kern w:val="2"/>
      <w:sz w:val="28"/>
      <w:lang w:val="en-US" w:eastAsia="zh-CN" w:bidi="ar-SA"/>
    </w:rPr>
  </w:style>
  <w:style w:type="table" w:customStyle="1" w:styleId="131">
    <w:name w:val="000"/>
    <w:basedOn w:val="36"/>
    <w:qFormat/>
    <w:uiPriority w:val="0"/>
    <w:tblPr>
      <w:tblBorders>
        <w:top w:val="single" w:color="auto" w:sz="8" w:space="0"/>
        <w:bottom w:val="single" w:color="auto" w:sz="8" w:space="0"/>
        <w:insideH w:val="single" w:color="auto" w:sz="4" w:space="0"/>
        <w:insideV w:val="single" w:color="auto" w:sz="4" w:space="0"/>
      </w:tblBorders>
    </w:tblPr>
  </w:style>
  <w:style w:type="character" w:customStyle="1" w:styleId="132">
    <w:name w:val="apple-converted-space"/>
    <w:qFormat/>
    <w:uiPriority w:val="0"/>
  </w:style>
  <w:style w:type="paragraph" w:customStyle="1" w:styleId="133">
    <w:name w:val="列出段落1"/>
    <w:basedOn w:val="1"/>
    <w:qFormat/>
    <w:uiPriority w:val="34"/>
    <w:pPr>
      <w:ind w:firstLine="420" w:firstLineChars="200"/>
    </w:pPr>
  </w:style>
  <w:style w:type="character" w:customStyle="1" w:styleId="134">
    <w:name w:val="标题 字符"/>
    <w:link w:val="33"/>
    <w:qFormat/>
    <w:uiPriority w:val="0"/>
    <w:rPr>
      <w:rFonts w:ascii="Cambria" w:hAnsi="Cambria" w:cs="Times New Roman"/>
      <w:b/>
      <w:bCs/>
      <w:kern w:val="2"/>
      <w:sz w:val="32"/>
      <w:szCs w:val="32"/>
    </w:rPr>
  </w:style>
  <w:style w:type="character" w:customStyle="1" w:styleId="135">
    <w:name w:val="font31"/>
    <w:qFormat/>
    <w:uiPriority w:val="0"/>
    <w:rPr>
      <w:rFonts w:hint="default" w:ascii="楷体_GB2312" w:eastAsia="楷体_GB2312" w:cs="楷体_GB2312"/>
      <w:color w:val="000000"/>
      <w:sz w:val="21"/>
      <w:szCs w:val="21"/>
      <w:u w:val="none"/>
    </w:rPr>
  </w:style>
  <w:style w:type="paragraph" w:customStyle="1" w:styleId="136">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7">
    <w:name w:val="Char31"/>
    <w:basedOn w:val="1"/>
    <w:qFormat/>
    <w:uiPriority w:val="0"/>
    <w:pPr>
      <w:widowControl/>
      <w:spacing w:after="160" w:line="240" w:lineRule="exact"/>
      <w:jc w:val="left"/>
    </w:pPr>
    <w:rPr>
      <w:rFonts w:ascii="Verdana" w:hAnsi="Verdana" w:eastAsia="仿宋_GB2312"/>
      <w:kern w:val="0"/>
      <w:sz w:val="24"/>
      <w:lang w:eastAsia="en-US"/>
    </w:rPr>
  </w:style>
  <w:style w:type="paragraph" w:styleId="138">
    <w:name w:val="List Paragraph"/>
    <w:basedOn w:val="1"/>
    <w:qFormat/>
    <w:uiPriority w:val="34"/>
    <w:pPr>
      <w:ind w:firstLine="420" w:firstLineChars="200"/>
    </w:pPr>
  </w:style>
  <w:style w:type="paragraph" w:customStyle="1" w:styleId="139">
    <w:name w:val="1"/>
    <w:qFormat/>
    <w:uiPriority w:val="99"/>
    <w:rPr>
      <w:rFonts w:ascii="Calibri" w:hAnsi="Calibri" w:eastAsia="宋体" w:cs="Times New Roman"/>
      <w:lang w:val="en-US" w:eastAsia="zh-CN" w:bidi="ar-SA"/>
    </w:rPr>
  </w:style>
  <w:style w:type="paragraph" w:customStyle="1" w:styleId="140">
    <w:name w:val="TOC 标题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41">
    <w:name w:val="纯文本 Char2"/>
    <w:qFormat/>
    <w:uiPriority w:val="0"/>
    <w:rPr>
      <w:rFonts w:ascii="宋体" w:hAnsi="Courier New"/>
      <w:kern w:val="2"/>
      <w:sz w:val="21"/>
    </w:rPr>
  </w:style>
  <w:style w:type="character" w:customStyle="1" w:styleId="142">
    <w:name w:val="正文缩进 字符"/>
    <w:link w:val="5"/>
    <w:qFormat/>
    <w:uiPriority w:val="0"/>
    <w:rPr>
      <w:rFonts w:eastAsia="楷体_GB2312"/>
      <w:kern w:val="2"/>
      <w:sz w:val="28"/>
    </w:rPr>
  </w:style>
  <w:style w:type="character" w:customStyle="1" w:styleId="143">
    <w:name w:val="标题 Char1"/>
    <w:qFormat/>
    <w:uiPriority w:val="0"/>
    <w:rPr>
      <w:rFonts w:ascii="Cambria" w:hAnsi="Cambria" w:cs="Times New Roman"/>
      <w:b/>
      <w:bCs/>
      <w:kern w:val="2"/>
      <w:sz w:val="32"/>
      <w:szCs w:val="32"/>
    </w:rPr>
  </w:style>
  <w:style w:type="character" w:customStyle="1" w:styleId="144">
    <w:name w:val="纯文本 字符1"/>
    <w:qFormat/>
    <w:locked/>
    <w:uiPriority w:val="0"/>
    <w:rPr>
      <w:rFonts w:ascii="宋体" w:hAnsi="Courier New"/>
    </w:rPr>
  </w:style>
  <w:style w:type="character" w:customStyle="1" w:styleId="145">
    <w:name w:val="称呼 字符1"/>
    <w:qFormat/>
    <w:uiPriority w:val="99"/>
    <w:rPr>
      <w:kern w:val="2"/>
      <w:sz w:val="30"/>
    </w:rPr>
  </w:style>
  <w:style w:type="paragraph" w:customStyle="1" w:styleId="146">
    <w:name w:val="修订1"/>
    <w:hidden/>
    <w:semiHidden/>
    <w:qFormat/>
    <w:uiPriority w:val="99"/>
    <w:rPr>
      <w:rFonts w:ascii="Times New Roman" w:hAnsi="Times New Roman" w:eastAsia="宋体" w:cs="Times New Roman"/>
      <w:kern w:val="2"/>
      <w:sz w:val="21"/>
      <w:lang w:val="en-US" w:eastAsia="zh-CN" w:bidi="ar-SA"/>
    </w:rPr>
  </w:style>
  <w:style w:type="character" w:customStyle="1" w:styleId="147">
    <w:name w:val="font21"/>
    <w:qFormat/>
    <w:uiPriority w:val="0"/>
    <w:rPr>
      <w:rFonts w:hint="default" w:ascii="楷体_GB2312" w:eastAsia="楷体_GB2312" w:cs="楷体_GB2312"/>
      <w:color w:val="000000"/>
      <w:sz w:val="22"/>
      <w:szCs w:val="22"/>
      <w:u w:val="none"/>
    </w:rPr>
  </w:style>
  <w:style w:type="character" w:customStyle="1" w:styleId="148">
    <w:name w:val="font01"/>
    <w:qFormat/>
    <w:uiPriority w:val="0"/>
    <w:rPr>
      <w:rFonts w:hint="eastAsia" w:ascii="宋体" w:hAnsi="宋体" w:eastAsia="宋体" w:cs="宋体"/>
      <w:color w:val="000000"/>
      <w:sz w:val="22"/>
      <w:szCs w:val="22"/>
      <w:u w:val="none"/>
    </w:rPr>
  </w:style>
  <w:style w:type="character" w:customStyle="1" w:styleId="149">
    <w:name w:val="font41"/>
    <w:qFormat/>
    <w:uiPriority w:val="0"/>
    <w:rPr>
      <w:rFonts w:hint="eastAsia" w:ascii="楷体" w:hAnsi="楷体" w:eastAsia="楷体" w:cs="楷体"/>
      <w:color w:val="000000"/>
      <w:sz w:val="20"/>
      <w:szCs w:val="20"/>
      <w:u w:val="none"/>
      <w:vertAlign w:val="superscript"/>
    </w:rPr>
  </w:style>
  <w:style w:type="character" w:customStyle="1" w:styleId="150">
    <w:name w:val="font11"/>
    <w:qFormat/>
    <w:uiPriority w:val="0"/>
    <w:rPr>
      <w:rFonts w:hint="eastAsia" w:ascii="楷体" w:hAnsi="楷体" w:eastAsia="楷体" w:cs="楷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9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F11508-4F84-4D0C-82C4-F0618D77C0F4}">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44</Pages>
  <Words>27872</Words>
  <Characters>37724</Characters>
  <Lines>1100</Lines>
  <Paragraphs>309</Paragraphs>
  <TotalTime>82</TotalTime>
  <ScaleCrop>false</ScaleCrop>
  <LinksUpToDate>false</LinksUpToDate>
  <CharactersWithSpaces>38048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2016-07-04T09:18:00Z</dcterms:created>
  <dc:creator>陈艳</dc:creator>
  <cp:lastModifiedBy>Administrator</cp:lastModifiedBy>
  <cp:lastPrinted>2018-01-29T02:55:00Z</cp:lastPrinted>
  <dcterms:modified xsi:type="dcterms:W3CDTF">2022-07-28T09:55:29Z</dcterms:modified>
  <dc:title>房地产抵押估价报告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ED6881E69E1D4291B81BE04B34D47033</vt:lpwstr>
  </property>
</Properties>
</file>