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eastAsia="黑体"/>
          <w:sz w:val="48"/>
        </w:rPr>
      </w:pPr>
    </w:p>
    <w:p>
      <w:pPr>
        <w:jc w:val="center"/>
        <w:rPr>
          <w:rFonts w:eastAsia="黑体"/>
          <w:sz w:val="48"/>
        </w:rPr>
      </w:pPr>
    </w:p>
    <w:p>
      <w:pPr>
        <w:jc w:val="center"/>
        <w:rPr>
          <w:rFonts w:eastAsia="黑体"/>
          <w:sz w:val="48"/>
        </w:rPr>
      </w:pPr>
      <w:r>
        <w:rPr>
          <w:rFonts w:eastAsia="黑体"/>
          <w:sz w:val="48"/>
        </w:rPr>
        <w:t>房</w:t>
      </w:r>
      <w:r>
        <w:rPr>
          <w:rFonts w:hint="eastAsia" w:eastAsia="黑体"/>
          <w:sz w:val="48"/>
        </w:rPr>
        <w:t>地</w:t>
      </w:r>
      <w:r>
        <w:rPr>
          <w:rFonts w:eastAsia="黑体"/>
          <w:sz w:val="48"/>
        </w:rPr>
        <w:t>产估价报告</w:t>
      </w:r>
    </w:p>
    <w:p>
      <w:pPr>
        <w:jc w:val="center"/>
        <w:rPr>
          <w:rFonts w:eastAsia="黑体"/>
          <w:sz w:val="48"/>
        </w:rPr>
      </w:pPr>
      <w:r>
        <w:rPr>
          <w:rFonts w:hint="eastAsia" w:ascii="微软雅黑" w:hAnsi="微软雅黑" w:eastAsia="微软雅黑" w:cs="微软雅黑"/>
          <w:color w:val="auto"/>
          <w:spacing w:val="-20"/>
          <w:sz w:val="28"/>
        </w:rPr>
        <w:t>【</w:t>
      </w:r>
      <w:r>
        <w:rPr>
          <w:rFonts w:hint="eastAsia" w:eastAsia="黑体"/>
          <w:color w:val="auto"/>
          <w:sz w:val="28"/>
          <w:lang w:eastAsia="zh-CN"/>
        </w:rPr>
        <w:t>司法鉴定委托函号：</w:t>
      </w:r>
      <w:r>
        <w:rPr>
          <w:rFonts w:hint="eastAsia" w:ascii="仿宋" w:hAnsi="仿宋" w:eastAsia="仿宋" w:cs="Times New Roman"/>
          <w:spacing w:val="-20"/>
          <w:sz w:val="28"/>
        </w:rPr>
        <w:t>（2022）苏0924法鉴委字第77号</w:t>
      </w:r>
      <w:r>
        <w:rPr>
          <w:rFonts w:hint="eastAsia" w:ascii="微软雅黑" w:hAnsi="微软雅黑" w:eastAsia="微软雅黑" w:cs="微软雅黑"/>
          <w:color w:val="auto"/>
          <w:spacing w:val="-20"/>
          <w:sz w:val="28"/>
        </w:rPr>
        <w:t>】</w:t>
      </w:r>
    </w:p>
    <w:p>
      <w:pPr>
        <w:jc w:val="center"/>
        <w:rPr>
          <w:rFonts w:eastAsia="黑体"/>
          <w:sz w:val="18"/>
          <w:szCs w:val="18"/>
        </w:rPr>
      </w:pPr>
    </w:p>
    <w:p>
      <w:pPr>
        <w:spacing w:line="360" w:lineRule="auto"/>
        <w:jc w:val="both"/>
        <w:rPr>
          <w:rFonts w:eastAsia="黑体"/>
          <w:sz w:val="28"/>
        </w:rPr>
      </w:pPr>
    </w:p>
    <w:p>
      <w:pPr>
        <w:spacing w:line="800" w:lineRule="exact"/>
        <w:ind w:left="2203" w:leftChars="249" w:right="615" w:rightChars="293" w:hanging="1680" w:hangingChars="600"/>
        <w:rPr>
          <w:rFonts w:ascii="楷体" w:hAnsi="楷体" w:eastAsia="楷体"/>
          <w:sz w:val="28"/>
        </w:rPr>
      </w:pPr>
      <w:r>
        <w:rPr>
          <w:rFonts w:eastAsia="黑体"/>
          <w:sz w:val="28"/>
        </w:rPr>
        <w:t>估价项目名称：</w:t>
      </w:r>
      <w:r>
        <w:rPr>
          <w:rFonts w:ascii="仿宋" w:hAnsi="仿宋" w:eastAsia="仿宋"/>
          <w:spacing w:val="-20"/>
          <w:sz w:val="28"/>
        </w:rPr>
        <w:t>关于</w:t>
      </w:r>
      <w:r>
        <w:rPr>
          <w:rFonts w:ascii="仿宋" w:hAnsi="仿宋" w:eastAsia="仿宋"/>
          <w:spacing w:val="-20"/>
          <w:sz w:val="28"/>
        </w:rPr>
        <w:fldChar w:fldCharType="begin"/>
      </w:r>
      <w:r>
        <w:rPr>
          <w:rFonts w:ascii="仿宋" w:hAnsi="仿宋" w:eastAsia="仿宋"/>
          <w:spacing w:val="-20"/>
          <w:sz w:val="28"/>
        </w:rPr>
        <w:instrText xml:space="preserve"> MERGEFIELD 委托方 </w:instrText>
      </w:r>
      <w:r>
        <w:rPr>
          <w:rFonts w:ascii="仿宋" w:hAnsi="仿宋" w:eastAsia="仿宋"/>
          <w:spacing w:val="-20"/>
          <w:sz w:val="28"/>
        </w:rPr>
        <w:fldChar w:fldCharType="separate"/>
      </w:r>
      <w:r>
        <w:rPr>
          <w:rFonts w:ascii="仿宋" w:hAnsi="仿宋" w:eastAsia="仿宋"/>
          <w:spacing w:val="-20"/>
          <w:sz w:val="28"/>
        </w:rPr>
        <w:t>射阳县人民法院</w:t>
      </w:r>
      <w:r>
        <w:rPr>
          <w:rFonts w:ascii="仿宋" w:hAnsi="仿宋" w:eastAsia="仿宋"/>
          <w:spacing w:val="-20"/>
          <w:sz w:val="28"/>
        </w:rPr>
        <w:fldChar w:fldCharType="end"/>
      </w:r>
      <w:r>
        <w:rPr>
          <w:rFonts w:ascii="仿宋" w:hAnsi="仿宋" w:eastAsia="仿宋"/>
          <w:spacing w:val="-20"/>
          <w:sz w:val="28"/>
        </w:rPr>
        <w:t>委托位于</w:t>
      </w:r>
      <w:r>
        <w:rPr>
          <w:rFonts w:ascii="仿宋" w:hAnsi="仿宋" w:eastAsia="仿宋"/>
          <w:spacing w:val="-20"/>
          <w:sz w:val="28"/>
        </w:rPr>
        <w:fldChar w:fldCharType="begin"/>
      </w:r>
      <w:r>
        <w:rPr>
          <w:rFonts w:ascii="仿宋" w:hAnsi="仿宋" w:eastAsia="仿宋"/>
          <w:spacing w:val="-20"/>
          <w:sz w:val="28"/>
        </w:rPr>
        <w:instrText xml:space="preserve"> MERGEFIELD 物业位置 </w:instrText>
      </w:r>
      <w:r>
        <w:rPr>
          <w:rFonts w:ascii="仿宋" w:hAnsi="仿宋" w:eastAsia="仿宋"/>
          <w:spacing w:val="-20"/>
          <w:sz w:val="28"/>
        </w:rPr>
        <w:fldChar w:fldCharType="separate"/>
      </w:r>
      <w:r>
        <w:rPr>
          <w:rFonts w:ascii="仿宋" w:hAnsi="仿宋" w:eastAsia="仿宋"/>
          <w:spacing w:val="-20"/>
          <w:sz w:val="28"/>
        </w:rPr>
        <w:t>射阳经济开发区东区金色阳光小区26幢公寓楼1601-1613室</w:t>
      </w:r>
      <w:r>
        <w:rPr>
          <w:rFonts w:hint="eastAsia" w:ascii="仿宋" w:hAnsi="仿宋" w:eastAsia="仿宋"/>
          <w:color w:val="FF0000"/>
          <w:spacing w:val="-20"/>
          <w:sz w:val="28"/>
        </w:rPr>
        <w:t>（共1</w:t>
      </w:r>
      <w:r>
        <w:rPr>
          <w:rFonts w:ascii="仿宋" w:hAnsi="仿宋" w:eastAsia="仿宋"/>
          <w:color w:val="FF0000"/>
          <w:spacing w:val="-20"/>
          <w:sz w:val="28"/>
        </w:rPr>
        <w:t>3</w:t>
      </w:r>
      <w:r>
        <w:rPr>
          <w:rFonts w:hint="eastAsia" w:ascii="仿宋" w:hAnsi="仿宋" w:eastAsia="仿宋"/>
          <w:color w:val="FF0000"/>
          <w:spacing w:val="-20"/>
          <w:sz w:val="28"/>
        </w:rPr>
        <w:t>套）</w:t>
      </w:r>
      <w:r>
        <w:rPr>
          <w:rFonts w:hint="eastAsia" w:ascii="仿宋" w:hAnsi="仿宋" w:eastAsia="仿宋"/>
          <w:spacing w:val="-20"/>
          <w:sz w:val="28"/>
        </w:rPr>
        <w:t>酒店式公寓用房地产</w:t>
      </w:r>
      <w:r>
        <w:rPr>
          <w:rFonts w:ascii="仿宋" w:hAnsi="仿宋" w:eastAsia="仿宋"/>
          <w:spacing w:val="-20"/>
          <w:sz w:val="28"/>
        </w:rPr>
        <w:fldChar w:fldCharType="end"/>
      </w:r>
      <w:r>
        <w:rPr>
          <w:rFonts w:ascii="仿宋" w:hAnsi="仿宋" w:eastAsia="仿宋"/>
          <w:spacing w:val="-20"/>
          <w:sz w:val="28"/>
        </w:rPr>
        <w:t>市场价值评估</w:t>
      </w:r>
    </w:p>
    <w:p>
      <w:pPr>
        <w:spacing w:line="800" w:lineRule="exact"/>
        <w:ind w:left="1883" w:leftChars="249" w:hanging="1360" w:hangingChars="486"/>
        <w:rPr>
          <w:rFonts w:eastAsia="楷体_GB2312"/>
          <w:sz w:val="28"/>
        </w:rPr>
      </w:pPr>
      <w:r>
        <w:rPr>
          <w:rFonts w:eastAsia="黑体"/>
          <w:sz w:val="28"/>
        </w:rPr>
        <w:t>估价委托人</w:t>
      </w:r>
      <w:r>
        <w:rPr>
          <w:rFonts w:eastAsia="楷体_GB2312"/>
          <w:sz w:val="28"/>
        </w:rPr>
        <w:t>：</w:t>
      </w:r>
      <w:r>
        <w:rPr>
          <w:rFonts w:ascii="仿宋" w:hAnsi="仿宋" w:eastAsia="仿宋"/>
          <w:spacing w:val="-20"/>
          <w:sz w:val="28"/>
        </w:rPr>
        <w:fldChar w:fldCharType="begin"/>
      </w:r>
      <w:r>
        <w:rPr>
          <w:rFonts w:ascii="仿宋" w:hAnsi="仿宋" w:eastAsia="仿宋"/>
          <w:spacing w:val="-20"/>
          <w:sz w:val="28"/>
        </w:rPr>
        <w:instrText xml:space="preserve"> MERGEFIELD 委托方 </w:instrText>
      </w:r>
      <w:r>
        <w:rPr>
          <w:rFonts w:ascii="仿宋" w:hAnsi="仿宋" w:eastAsia="仿宋"/>
          <w:spacing w:val="-20"/>
          <w:sz w:val="28"/>
        </w:rPr>
        <w:fldChar w:fldCharType="separate"/>
      </w:r>
      <w:r>
        <w:rPr>
          <w:rFonts w:ascii="仿宋" w:hAnsi="仿宋" w:eastAsia="仿宋"/>
          <w:spacing w:val="-20"/>
          <w:sz w:val="28"/>
        </w:rPr>
        <w:t>射阳县人民法院</w:t>
      </w:r>
      <w:r>
        <w:rPr>
          <w:rFonts w:ascii="仿宋" w:hAnsi="仿宋" w:eastAsia="仿宋"/>
          <w:spacing w:val="-20"/>
          <w:sz w:val="28"/>
        </w:rPr>
        <w:fldChar w:fldCharType="end"/>
      </w:r>
    </w:p>
    <w:p>
      <w:pPr>
        <w:spacing w:line="800" w:lineRule="exact"/>
        <w:ind w:left="2203" w:leftChars="249" w:right="615" w:rightChars="293" w:hanging="1680" w:hangingChars="600"/>
        <w:rPr>
          <w:rFonts w:eastAsia="楷体_GB2312"/>
          <w:sz w:val="28"/>
        </w:rPr>
      </w:pPr>
      <w:r>
        <w:rPr>
          <w:rFonts w:hint="eastAsia" w:eastAsia="黑体"/>
          <w:sz w:val="28"/>
        </w:rPr>
        <w:t>房地产</w:t>
      </w:r>
      <w:r>
        <w:rPr>
          <w:rFonts w:eastAsia="黑体"/>
          <w:sz w:val="28"/>
        </w:rPr>
        <w:t>估价机构</w:t>
      </w:r>
      <w:r>
        <w:rPr>
          <w:rFonts w:eastAsia="楷体_GB2312"/>
          <w:sz w:val="28"/>
        </w:rPr>
        <w:t>：</w:t>
      </w:r>
      <w:r>
        <w:rPr>
          <w:rFonts w:ascii="仿宋" w:hAnsi="仿宋" w:eastAsia="仿宋"/>
          <w:spacing w:val="-20"/>
          <w:sz w:val="28"/>
        </w:rPr>
        <w:t>盐城市富鑫房地产评估事务所（普通合伙）</w:t>
      </w:r>
    </w:p>
    <w:p>
      <w:pPr>
        <w:spacing w:line="800" w:lineRule="exact"/>
        <w:ind w:firstLine="560" w:firstLineChars="200"/>
        <w:rPr>
          <w:rFonts w:ascii="仿宋" w:hAnsi="仿宋" w:eastAsia="仿宋"/>
          <w:spacing w:val="-20"/>
          <w:sz w:val="28"/>
        </w:rPr>
      </w:pPr>
      <w:r>
        <w:rPr>
          <w:rFonts w:eastAsia="黑体"/>
          <w:sz w:val="28"/>
        </w:rPr>
        <w:t>注册房地产估价师：</w:t>
      </w:r>
      <w:r>
        <w:rPr>
          <w:rFonts w:hint="eastAsia" w:eastAsia="黑体"/>
          <w:sz w:val="28"/>
        </w:rPr>
        <w:t xml:space="preserve"> </w:t>
      </w:r>
      <w:r>
        <w:rPr>
          <w:rFonts w:hint="eastAsia" w:ascii="仿宋" w:hAnsi="仿宋" w:eastAsia="仿宋"/>
          <w:spacing w:val="-20"/>
          <w:sz w:val="28"/>
        </w:rPr>
        <w:t>沈  莹（注册号：</w:t>
      </w:r>
      <w:r>
        <w:rPr>
          <w:rFonts w:ascii="仿宋" w:hAnsi="仿宋" w:eastAsia="仿宋"/>
          <w:spacing w:val="-20"/>
          <w:sz w:val="28"/>
        </w:rPr>
        <w:t>3320050048</w:t>
      </w:r>
      <w:r>
        <w:rPr>
          <w:rFonts w:hint="eastAsia" w:ascii="仿宋" w:hAnsi="仿宋" w:eastAsia="仿宋"/>
          <w:spacing w:val="-20"/>
          <w:sz w:val="28"/>
        </w:rPr>
        <w:t xml:space="preserve">） </w:t>
      </w:r>
    </w:p>
    <w:p>
      <w:pPr>
        <w:spacing w:line="800" w:lineRule="exact"/>
        <w:ind w:left="1963" w:leftChars="249" w:right="615" w:rightChars="293" w:hanging="1440" w:hangingChars="600"/>
        <w:jc w:val="center"/>
        <w:rPr>
          <w:rFonts w:ascii="仿宋" w:hAnsi="仿宋" w:eastAsia="仿宋"/>
          <w:spacing w:val="-20"/>
          <w:sz w:val="28"/>
        </w:rPr>
      </w:pPr>
      <w:r>
        <w:rPr>
          <w:rFonts w:hint="eastAsia" w:ascii="仿宋" w:hAnsi="仿宋" w:eastAsia="仿宋"/>
          <w:spacing w:val="-20"/>
          <w:sz w:val="28"/>
        </w:rPr>
        <w:t xml:space="preserve"> </w:t>
      </w:r>
      <w:r>
        <w:rPr>
          <w:rFonts w:ascii="仿宋" w:hAnsi="仿宋" w:eastAsia="仿宋"/>
          <w:spacing w:val="-20"/>
          <w:sz w:val="28"/>
        </w:rPr>
        <w:t xml:space="preserve">       </w:t>
      </w:r>
      <w:r>
        <w:rPr>
          <w:rFonts w:hint="eastAsia" w:ascii="仿宋" w:hAnsi="仿宋" w:eastAsia="仿宋"/>
          <w:spacing w:val="-20"/>
          <w:sz w:val="28"/>
        </w:rPr>
        <w:t>付琳莉（注册号：3220200158）</w:t>
      </w:r>
    </w:p>
    <w:p>
      <w:pPr>
        <w:tabs>
          <w:tab w:val="left" w:pos="6300"/>
        </w:tabs>
        <w:spacing w:line="800" w:lineRule="exact"/>
        <w:ind w:left="1883" w:leftChars="249" w:hanging="1360" w:hangingChars="486"/>
        <w:rPr>
          <w:rFonts w:eastAsia="楷体_GB2312"/>
          <w:sz w:val="28"/>
        </w:rPr>
      </w:pPr>
      <w:r>
        <w:rPr>
          <w:rFonts w:eastAsia="黑体"/>
          <w:sz w:val="28"/>
        </w:rPr>
        <w:t>估价报告出具日期</w:t>
      </w:r>
      <w:r>
        <w:rPr>
          <w:rFonts w:eastAsia="楷体_GB2312"/>
          <w:sz w:val="28"/>
        </w:rPr>
        <w:t>：</w:t>
      </w:r>
      <w:r>
        <w:rPr>
          <w:rFonts w:eastAsia="楷体_GB2312"/>
          <w:spacing w:val="-20"/>
          <w:sz w:val="28"/>
        </w:rPr>
        <w:fldChar w:fldCharType="begin"/>
      </w:r>
      <w:r>
        <w:rPr>
          <w:rFonts w:eastAsia="楷体_GB2312"/>
          <w:spacing w:val="-20"/>
          <w:sz w:val="28"/>
        </w:rPr>
        <w:instrText xml:space="preserve"> MERGEFIELD 作业日期止 \@ "yyyy'年'M'月'd'日'"</w:instrText>
      </w:r>
      <w:r>
        <w:rPr>
          <w:rFonts w:eastAsia="楷体_GB2312"/>
          <w:spacing w:val="-20"/>
          <w:sz w:val="28"/>
        </w:rPr>
        <w:fldChar w:fldCharType="separate"/>
      </w:r>
      <w:r>
        <w:rPr>
          <w:rFonts w:hint="eastAsia" w:ascii="仿宋" w:hAnsi="仿宋" w:eastAsia="仿宋"/>
          <w:spacing w:val="-20"/>
          <w:sz w:val="28"/>
          <w:lang w:eastAsia="zh-CN"/>
        </w:rPr>
        <w:t>2022年08月12日</w:t>
      </w:r>
      <w:r>
        <w:rPr>
          <w:rFonts w:eastAsia="楷体_GB2312"/>
          <w:spacing w:val="-20"/>
          <w:sz w:val="28"/>
        </w:rPr>
        <w:fldChar w:fldCharType="end"/>
      </w:r>
    </w:p>
    <w:p>
      <w:pPr>
        <w:spacing w:line="800" w:lineRule="exact"/>
        <w:ind w:left="1883" w:leftChars="249" w:hanging="1360" w:hangingChars="486"/>
        <w:rPr>
          <w:rFonts w:hint="eastAsia" w:ascii="仿宋" w:hAnsi="仿宋" w:eastAsia="仿宋"/>
          <w:spacing w:val="-20"/>
          <w:sz w:val="28"/>
        </w:rPr>
      </w:pPr>
      <w:r>
        <w:rPr>
          <w:rFonts w:eastAsia="黑体"/>
          <w:sz w:val="28"/>
        </w:rPr>
        <w:t>估价报告编号：</w:t>
      </w:r>
      <w:r>
        <w:rPr>
          <w:rFonts w:hint="eastAsia" w:ascii="仿宋" w:hAnsi="仿宋" w:eastAsia="仿宋"/>
          <w:spacing w:val="-20"/>
          <w:sz w:val="28"/>
        </w:rPr>
        <w:t>盐富鑫房评字（202</w:t>
      </w:r>
      <w:r>
        <w:rPr>
          <w:rFonts w:hint="eastAsia" w:ascii="仿宋" w:hAnsi="仿宋" w:eastAsia="仿宋"/>
          <w:spacing w:val="-20"/>
          <w:sz w:val="28"/>
          <w:lang w:val="en-US" w:eastAsia="zh-CN"/>
        </w:rPr>
        <w:t>2</w:t>
      </w:r>
      <w:r>
        <w:rPr>
          <w:rFonts w:hint="eastAsia" w:ascii="仿宋" w:hAnsi="仿宋" w:eastAsia="仿宋"/>
          <w:spacing w:val="-20"/>
          <w:sz w:val="28"/>
        </w:rPr>
        <w:t>）第081</w:t>
      </w:r>
      <w:r>
        <w:rPr>
          <w:rFonts w:hint="eastAsia" w:ascii="仿宋" w:hAnsi="仿宋" w:eastAsia="仿宋"/>
          <w:spacing w:val="-20"/>
          <w:sz w:val="28"/>
          <w:lang w:val="en-US" w:eastAsia="zh-CN"/>
        </w:rPr>
        <w:t>1</w:t>
      </w:r>
      <w:r>
        <w:rPr>
          <w:rFonts w:hint="eastAsia" w:ascii="仿宋" w:hAnsi="仿宋" w:eastAsia="仿宋"/>
          <w:spacing w:val="-20"/>
          <w:sz w:val="28"/>
        </w:rPr>
        <w:t>-01号</w:t>
      </w:r>
    </w:p>
    <w:p>
      <w:pPr>
        <w:spacing w:line="800" w:lineRule="exact"/>
        <w:ind w:left="1689" w:leftChars="249" w:hanging="1166" w:hangingChars="486"/>
        <w:jc w:val="center"/>
        <w:rPr>
          <w:rFonts w:hint="eastAsia" w:ascii="仿宋" w:hAnsi="仿宋" w:eastAsia="仿宋"/>
          <w:spacing w:val="-20"/>
          <w:sz w:val="28"/>
          <w:lang w:eastAsia="zh-CN"/>
        </w:rPr>
      </w:pPr>
      <w:r>
        <w:rPr>
          <w:rFonts w:hint="eastAsia" w:ascii="仿宋" w:hAnsi="仿宋" w:eastAsia="仿宋"/>
          <w:spacing w:val="-20"/>
          <w:sz w:val="28"/>
          <w:lang w:eastAsia="zh-CN"/>
        </w:rPr>
        <w:drawing>
          <wp:anchor distT="0" distB="0" distL="114300" distR="114300" simplePos="0" relativeHeight="251660288" behindDoc="0" locked="0" layoutInCell="1" allowOverlap="1">
            <wp:simplePos x="0" y="0"/>
            <wp:positionH relativeFrom="column">
              <wp:posOffset>2261235</wp:posOffset>
            </wp:positionH>
            <wp:positionV relativeFrom="paragraph">
              <wp:posOffset>262255</wp:posOffset>
            </wp:positionV>
            <wp:extent cx="1278255" cy="1278255"/>
            <wp:effectExtent l="0" t="0" r="17145" b="17145"/>
            <wp:wrapTopAndBottom/>
            <wp:docPr id="4" name="图片 4" descr="盐城市富鑫房地产评估事务所（普通合伙）-盐富鑫房评字（2022）第0811-01号-射阳经济开发区东区金色阳光小区26幢公寓楼1601-1613室（共13套）酒店式公寓-房地产评估结果为355.55万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盐城市富鑫房地产评估事务所（普通合伙）-盐富鑫房评字（2022）第0811-01号-射阳经济开发区东区金色阳光小区26幢公寓楼1601-1613室（共13套）酒店式公寓-房地产评估结果为355.55万元"/>
                    <pic:cNvPicPr>
                      <a:picLocks noChangeAspect="1"/>
                    </pic:cNvPicPr>
                  </pic:nvPicPr>
                  <pic:blipFill>
                    <a:blip r:embed="rId10"/>
                    <a:stretch>
                      <a:fillRect/>
                    </a:stretch>
                  </pic:blipFill>
                  <pic:spPr>
                    <a:xfrm>
                      <a:off x="0" y="0"/>
                      <a:ext cx="1278255" cy="1278255"/>
                    </a:xfrm>
                    <a:prstGeom prst="rect">
                      <a:avLst/>
                    </a:prstGeom>
                  </pic:spPr>
                </pic:pic>
              </a:graphicData>
            </a:graphic>
          </wp:anchor>
        </w:drawing>
      </w:r>
    </w:p>
    <w:p>
      <w:pPr>
        <w:spacing w:line="440" w:lineRule="exact"/>
        <w:rPr>
          <w:rFonts w:eastAsia="楷体_GB2312"/>
          <w:sz w:val="24"/>
        </w:rPr>
        <w:sectPr>
          <w:headerReference r:id="rId3" w:type="default"/>
          <w:footerReference r:id="rId4" w:type="default"/>
          <w:pgSz w:w="11907" w:h="16840"/>
          <w:pgMar w:top="1361" w:right="1407" w:bottom="1361" w:left="1588" w:header="1134" w:footer="672" w:gutter="0"/>
          <w:pgNumType w:start="1"/>
          <w:cols w:space="720" w:num="1"/>
          <w:titlePg/>
          <w:docGrid w:type="lines" w:linePitch="312" w:charSpace="0"/>
        </w:sectPr>
      </w:pPr>
      <w:bookmarkStart w:id="0" w:name="_Toc274291238"/>
    </w:p>
    <w:p>
      <w:pPr>
        <w:pStyle w:val="3"/>
        <w:spacing w:line="440" w:lineRule="exact"/>
        <w:jc w:val="center"/>
        <w:rPr>
          <w:rFonts w:ascii="Times New Roman"/>
        </w:rPr>
      </w:pPr>
      <w:bookmarkStart w:id="1" w:name="_Toc476832875"/>
      <w:bookmarkStart w:id="2" w:name="_Toc23179115"/>
      <w:bookmarkStart w:id="3" w:name="_Toc450044453"/>
      <w:bookmarkStart w:id="4" w:name="_Toc419202126"/>
    </w:p>
    <w:p>
      <w:pPr>
        <w:pStyle w:val="3"/>
        <w:spacing w:line="440" w:lineRule="exact"/>
        <w:jc w:val="center"/>
        <w:rPr>
          <w:rFonts w:ascii="Times New Roman"/>
        </w:rPr>
      </w:pPr>
      <w:bookmarkStart w:id="5" w:name="_Toc14866"/>
      <w:r>
        <w:rPr>
          <w:rFonts w:ascii="Times New Roman"/>
        </w:rPr>
        <w:t>致估价委托人函</w:t>
      </w:r>
      <w:bookmarkEnd w:id="0"/>
      <w:bookmarkEnd w:id="1"/>
      <w:bookmarkEnd w:id="2"/>
      <w:bookmarkEnd w:id="3"/>
      <w:bookmarkEnd w:id="4"/>
      <w:bookmarkEnd w:id="5"/>
    </w:p>
    <w:p>
      <w:pPr>
        <w:spacing w:line="480" w:lineRule="exact"/>
        <w:rPr>
          <w:rFonts w:ascii="仿宋" w:hAnsi="仿宋" w:eastAsia="仿宋"/>
          <w:sz w:val="28"/>
        </w:rPr>
      </w:pPr>
      <w:r>
        <w:rPr>
          <w:rFonts w:ascii="仿宋" w:hAnsi="仿宋" w:eastAsia="仿宋"/>
          <w:sz w:val="28"/>
        </w:rPr>
        <w:fldChar w:fldCharType="begin"/>
      </w:r>
      <w:r>
        <w:rPr>
          <w:rFonts w:ascii="仿宋" w:hAnsi="仿宋" w:eastAsia="仿宋"/>
          <w:sz w:val="28"/>
        </w:rPr>
        <w:instrText xml:space="preserve"> MERGEFIELD 委托方 </w:instrText>
      </w:r>
      <w:r>
        <w:rPr>
          <w:rFonts w:ascii="仿宋" w:hAnsi="仿宋" w:eastAsia="仿宋"/>
          <w:sz w:val="28"/>
        </w:rPr>
        <w:fldChar w:fldCharType="separate"/>
      </w:r>
      <w:r>
        <w:rPr>
          <w:rFonts w:ascii="仿宋" w:hAnsi="仿宋" w:eastAsia="仿宋"/>
          <w:sz w:val="28"/>
        </w:rPr>
        <w:t>射阳县人民法院</w:t>
      </w:r>
      <w:r>
        <w:rPr>
          <w:rFonts w:ascii="仿宋" w:hAnsi="仿宋" w:eastAsia="仿宋"/>
          <w:sz w:val="28"/>
        </w:rPr>
        <w:fldChar w:fldCharType="end"/>
      </w:r>
      <w:r>
        <w:rPr>
          <w:rFonts w:ascii="仿宋" w:hAnsi="仿宋" w:eastAsia="仿宋"/>
          <w:sz w:val="28"/>
        </w:rPr>
        <w:t>：</w:t>
      </w:r>
    </w:p>
    <w:p>
      <w:pPr>
        <w:spacing w:line="480" w:lineRule="exact"/>
        <w:ind w:firstLine="555"/>
        <w:rPr>
          <w:rFonts w:ascii="仿宋" w:hAnsi="仿宋" w:eastAsia="仿宋"/>
          <w:sz w:val="28"/>
        </w:rPr>
      </w:pPr>
      <w:r>
        <w:rPr>
          <w:rFonts w:ascii="仿宋" w:hAnsi="仿宋" w:eastAsia="仿宋"/>
          <w:sz w:val="28"/>
        </w:rPr>
        <w:t>根据贵方委托，我公司对贵方所指定的位于</w:t>
      </w:r>
      <w:r>
        <w:rPr>
          <w:rFonts w:ascii="仿宋" w:hAnsi="仿宋" w:eastAsia="仿宋"/>
          <w:sz w:val="28"/>
        </w:rPr>
        <w:fldChar w:fldCharType="begin"/>
      </w:r>
      <w:r>
        <w:rPr>
          <w:rFonts w:ascii="仿宋" w:hAnsi="仿宋" w:eastAsia="仿宋"/>
          <w:sz w:val="28"/>
        </w:rPr>
        <w:instrText xml:space="preserve"> MERGEFIELD 物业位置 </w:instrText>
      </w:r>
      <w:r>
        <w:rPr>
          <w:rFonts w:ascii="仿宋" w:hAnsi="仿宋" w:eastAsia="仿宋"/>
          <w:sz w:val="28"/>
        </w:rPr>
        <w:fldChar w:fldCharType="separate"/>
      </w:r>
      <w:r>
        <w:rPr>
          <w:rFonts w:ascii="仿宋" w:hAnsi="仿宋" w:eastAsia="仿宋"/>
          <w:sz w:val="28"/>
        </w:rPr>
        <w:t>射阳经济开发区东区金色阳光小区26幢公寓楼1601-1613室</w:t>
      </w:r>
      <w:r>
        <w:rPr>
          <w:rFonts w:hint="eastAsia" w:ascii="仿宋" w:hAnsi="仿宋" w:eastAsia="仿宋"/>
          <w:sz w:val="28"/>
        </w:rPr>
        <w:t>酒店式公寓用房地产</w:t>
      </w:r>
      <w:r>
        <w:rPr>
          <w:rFonts w:ascii="仿宋" w:hAnsi="仿宋" w:eastAsia="仿宋"/>
          <w:sz w:val="28"/>
        </w:rPr>
        <w:fldChar w:fldCharType="end"/>
      </w:r>
      <w:r>
        <w:rPr>
          <w:rFonts w:ascii="仿宋" w:hAnsi="仿宋" w:eastAsia="仿宋"/>
          <w:sz w:val="28"/>
        </w:rPr>
        <w:t>（总建筑面积合计为764.37平方米及合理分摊的土地使用权面积）市场价值进行了评估。</w:t>
      </w:r>
    </w:p>
    <w:p>
      <w:pPr>
        <w:spacing w:line="480" w:lineRule="exact"/>
        <w:ind w:firstLine="560" w:firstLineChars="200"/>
        <w:rPr>
          <w:rFonts w:ascii="仿宋" w:hAnsi="仿宋" w:eastAsia="仿宋"/>
          <w:sz w:val="28"/>
          <w:szCs w:val="28"/>
        </w:rPr>
      </w:pPr>
      <w:r>
        <w:rPr>
          <w:rFonts w:ascii="仿宋" w:hAnsi="仿宋" w:eastAsia="仿宋"/>
          <w:sz w:val="28"/>
        </w:rPr>
        <w:t>估价目的：</w:t>
      </w:r>
      <w:r>
        <w:rPr>
          <w:rFonts w:hint="eastAsia" w:ascii="仿宋" w:hAnsi="仿宋" w:eastAsia="仿宋"/>
          <w:sz w:val="28"/>
          <w:szCs w:val="28"/>
        </w:rPr>
        <w:t>为法院解决诉讼纠纷提供价值参考而评估估价对象房地产市场价值。</w:t>
      </w:r>
    </w:p>
    <w:p>
      <w:pPr>
        <w:spacing w:line="480" w:lineRule="exact"/>
        <w:ind w:firstLine="560" w:firstLineChars="200"/>
        <w:rPr>
          <w:rFonts w:ascii="仿宋" w:hAnsi="仿宋" w:eastAsia="仿宋"/>
          <w:sz w:val="28"/>
        </w:rPr>
      </w:pPr>
      <w:r>
        <w:rPr>
          <w:rFonts w:ascii="仿宋" w:hAnsi="仿宋" w:eastAsia="仿宋"/>
          <w:sz w:val="28"/>
        </w:rPr>
        <w:t>价值类型：</w:t>
      </w:r>
      <w:r>
        <w:rPr>
          <w:rFonts w:hint="eastAsia" w:ascii="仿宋" w:hAnsi="仿宋" w:eastAsia="仿宋"/>
          <w:sz w:val="28"/>
        </w:rPr>
        <w:t>为估价对象房地产在价值时点的市场价值。</w:t>
      </w:r>
    </w:p>
    <w:p>
      <w:pPr>
        <w:spacing w:line="480" w:lineRule="exact"/>
        <w:ind w:firstLine="560" w:firstLineChars="200"/>
        <w:rPr>
          <w:rFonts w:ascii="仿宋" w:hAnsi="仿宋" w:eastAsia="仿宋"/>
          <w:sz w:val="28"/>
        </w:rPr>
      </w:pPr>
      <w:r>
        <w:rPr>
          <w:rFonts w:ascii="仿宋" w:hAnsi="仿宋" w:eastAsia="仿宋"/>
          <w:sz w:val="28"/>
        </w:rPr>
        <w:t>评估人员按照国家和省市关于房地产评估的有关法律、法规和政策要求，遵循科学、客观、公正、实事求是的原则开展本次委托的评估工作。评估人员查验了贵方提交的估价对象的相关资料，细致地进行现场的查勘鉴定工作，考虑并分析了影响本估价对象各项资产价值的诸多因素，合理运用房地产评估的方法，按照房地产评估程序认真完成评估工作。</w:t>
      </w:r>
    </w:p>
    <w:p>
      <w:pPr>
        <w:snapToGrid w:val="0"/>
        <w:spacing w:line="480" w:lineRule="exact"/>
        <w:ind w:firstLine="560" w:firstLineChars="200"/>
        <w:jc w:val="left"/>
        <w:rPr>
          <w:rFonts w:ascii="仿宋" w:hAnsi="仿宋" w:eastAsia="仿宋"/>
          <w:sz w:val="28"/>
        </w:rPr>
      </w:pPr>
      <w:r>
        <w:rPr>
          <w:rFonts w:ascii="仿宋" w:hAnsi="仿宋" w:eastAsia="仿宋"/>
          <w:bCs/>
          <w:kern w:val="0"/>
          <w:sz w:val="28"/>
          <w:szCs w:val="28"/>
        </w:rPr>
        <w:t>本公司专业估价人员根据估价目的，遵循估价原则，按照估价程序，采用科学合理的估价方法，在认</w:t>
      </w:r>
      <w:r>
        <w:rPr>
          <w:rFonts w:ascii="仿宋" w:hAnsi="仿宋" w:eastAsia="仿宋"/>
          <w:sz w:val="28"/>
        </w:rPr>
        <w:t>真分析现有资料的基础上，结合估价经验与对影响房地产价格因素进行分析和测算</w:t>
      </w:r>
      <w:r>
        <w:rPr>
          <w:rFonts w:ascii="仿宋" w:hAnsi="仿宋" w:eastAsia="仿宋"/>
          <w:bCs/>
          <w:kern w:val="0"/>
          <w:sz w:val="28"/>
          <w:szCs w:val="28"/>
        </w:rPr>
        <w:t>，确定在在满足全部假设及限制条件下，于价值时点</w:t>
      </w:r>
      <w:r>
        <w:rPr>
          <w:rFonts w:ascii="仿宋" w:hAnsi="仿宋" w:eastAsia="仿宋"/>
          <w:bCs/>
          <w:kern w:val="0"/>
          <w:sz w:val="28"/>
          <w:szCs w:val="28"/>
        </w:rPr>
        <w:fldChar w:fldCharType="begin"/>
      </w:r>
      <w:r>
        <w:rPr>
          <w:rFonts w:ascii="仿宋" w:hAnsi="仿宋" w:eastAsia="仿宋"/>
          <w:bCs/>
          <w:kern w:val="0"/>
          <w:sz w:val="28"/>
          <w:szCs w:val="28"/>
        </w:rPr>
        <w:instrText xml:space="preserve"> MERGEFIELD 估价时点 \@ "yyyy'年'M'月'd'日'"</w:instrText>
      </w:r>
      <w:r>
        <w:rPr>
          <w:rFonts w:ascii="仿宋" w:hAnsi="仿宋" w:eastAsia="仿宋"/>
          <w:bCs/>
          <w:kern w:val="0"/>
          <w:sz w:val="28"/>
          <w:szCs w:val="28"/>
        </w:rPr>
        <w:fldChar w:fldCharType="separate"/>
      </w:r>
      <w:r>
        <w:rPr>
          <w:rFonts w:hint="eastAsia" w:ascii="仿宋" w:hAnsi="仿宋" w:eastAsia="仿宋"/>
          <w:bCs/>
          <w:kern w:val="0"/>
          <w:sz w:val="28"/>
          <w:szCs w:val="28"/>
          <w:lang w:eastAsia="zh-CN"/>
        </w:rPr>
        <w:t>2022年08月11日</w:t>
      </w:r>
      <w:r>
        <w:rPr>
          <w:rFonts w:ascii="仿宋" w:hAnsi="仿宋" w:eastAsia="仿宋"/>
          <w:bCs/>
          <w:kern w:val="0"/>
          <w:sz w:val="28"/>
          <w:szCs w:val="28"/>
        </w:rPr>
        <w:fldChar w:fldCharType="end"/>
      </w:r>
      <w:r>
        <w:rPr>
          <w:rFonts w:ascii="仿宋" w:hAnsi="仿宋" w:eastAsia="仿宋"/>
          <w:bCs/>
          <w:kern w:val="0"/>
          <w:sz w:val="28"/>
          <w:szCs w:val="28"/>
        </w:rPr>
        <w:t>的</w:t>
      </w:r>
      <w:r>
        <w:rPr>
          <w:rFonts w:hint="eastAsia" w:ascii="仿宋" w:hAnsi="仿宋" w:eastAsia="仿宋"/>
          <w:bCs/>
          <w:kern w:val="0"/>
          <w:sz w:val="28"/>
          <w:szCs w:val="28"/>
        </w:rPr>
        <w:t>酒店式公寓用房地产(毛坯状态)评</w:t>
      </w:r>
      <w:r>
        <w:rPr>
          <w:rFonts w:hint="eastAsia" w:ascii="仿宋" w:hAnsi="仿宋" w:eastAsia="仿宋"/>
          <w:sz w:val="28"/>
        </w:rPr>
        <w:t>估总价为355.55万元，大写金额为人民币叁佰伍拾伍万伍仟伍佰元整。详</w:t>
      </w:r>
      <w:r>
        <w:rPr>
          <w:rFonts w:ascii="仿宋" w:hAnsi="仿宋" w:eastAsia="仿宋"/>
          <w:sz w:val="28"/>
        </w:rPr>
        <w:t>见</w:t>
      </w:r>
      <w:r>
        <w:rPr>
          <w:rFonts w:hint="eastAsia" w:ascii="仿宋" w:hAnsi="仿宋" w:eastAsia="仿宋"/>
          <w:sz w:val="28"/>
        </w:rPr>
        <w:t>《</w:t>
      </w:r>
      <w:r>
        <w:rPr>
          <w:rFonts w:ascii="仿宋" w:hAnsi="仿宋" w:eastAsia="仿宋"/>
          <w:sz w:val="28"/>
        </w:rPr>
        <w:t>房地产估价结果</w:t>
      </w:r>
      <w:r>
        <w:rPr>
          <w:rFonts w:hint="eastAsia" w:ascii="仿宋" w:hAnsi="仿宋" w:eastAsia="仿宋"/>
          <w:sz w:val="28"/>
        </w:rPr>
        <w:t>汇总</w:t>
      </w:r>
      <w:r>
        <w:rPr>
          <w:rFonts w:ascii="仿宋" w:hAnsi="仿宋" w:eastAsia="仿宋"/>
          <w:sz w:val="28"/>
        </w:rPr>
        <w:t>表</w:t>
      </w:r>
      <w:r>
        <w:rPr>
          <w:rFonts w:hint="eastAsia" w:ascii="仿宋" w:hAnsi="仿宋" w:eastAsia="仿宋"/>
          <w:sz w:val="28"/>
        </w:rPr>
        <w:t>》：</w:t>
      </w:r>
    </w:p>
    <w:p>
      <w:pPr>
        <w:spacing w:line="450" w:lineRule="exact"/>
        <w:jc w:val="center"/>
        <w:rPr>
          <w:rFonts w:ascii="仿宋" w:hAnsi="仿宋" w:eastAsia="仿宋"/>
          <w:sz w:val="28"/>
        </w:rPr>
      </w:pPr>
      <w:r>
        <w:rPr>
          <w:rFonts w:hint="eastAsia" w:ascii="仿宋" w:hAnsi="仿宋" w:eastAsia="仿宋"/>
          <w:sz w:val="28"/>
        </w:rPr>
        <w:t xml:space="preserve">   </w:t>
      </w:r>
      <w:r>
        <w:rPr>
          <w:rFonts w:ascii="仿宋" w:hAnsi="仿宋" w:eastAsia="仿宋"/>
          <w:sz w:val="28"/>
        </w:rPr>
        <w:t xml:space="preserve">   </w:t>
      </w:r>
    </w:p>
    <w:p>
      <w:pPr>
        <w:spacing w:line="450" w:lineRule="exact"/>
        <w:jc w:val="center"/>
        <w:rPr>
          <w:rFonts w:ascii="仿宋" w:hAnsi="仿宋" w:eastAsia="仿宋"/>
          <w:sz w:val="28"/>
        </w:rPr>
      </w:pPr>
      <w:r>
        <w:rPr>
          <w:rFonts w:hint="eastAsia" w:ascii="仿宋" w:hAnsi="仿宋" w:eastAsia="仿宋"/>
          <w:sz w:val="28"/>
        </w:rPr>
        <w:t xml:space="preserve">  </w:t>
      </w:r>
      <w:r>
        <w:rPr>
          <w:rFonts w:ascii="仿宋" w:hAnsi="仿宋" w:eastAsia="仿宋"/>
          <w:sz w:val="28"/>
        </w:rPr>
        <w:t>法定代表人：（签章）</w:t>
      </w:r>
    </w:p>
    <w:p>
      <w:pPr>
        <w:spacing w:line="450" w:lineRule="exact"/>
        <w:rPr>
          <w:rFonts w:ascii="仿宋" w:hAnsi="仿宋" w:eastAsia="仿宋"/>
          <w:sz w:val="28"/>
        </w:rPr>
      </w:pPr>
      <w:r>
        <w:rPr>
          <w:rFonts w:ascii="仿宋" w:hAnsi="仿宋" w:eastAsia="仿宋"/>
          <w:sz w:val="28"/>
        </w:rPr>
        <w:t xml:space="preserve">                盐城市富鑫房地产评估事务所（普通合伙）</w:t>
      </w:r>
    </w:p>
    <w:p>
      <w:pPr>
        <w:spacing w:line="450" w:lineRule="exact"/>
        <w:rPr>
          <w:rFonts w:asciiTheme="majorEastAsia" w:hAnsiTheme="majorEastAsia" w:eastAsiaTheme="majorEastAsia"/>
          <w:sz w:val="28"/>
        </w:rPr>
      </w:pPr>
      <w:r>
        <w:rPr>
          <w:rFonts w:ascii="仿宋" w:hAnsi="仿宋" w:eastAsia="仿宋"/>
        </w:rPr>
        <w:t xml:space="preserve">                              </w:t>
      </w:r>
      <w:r>
        <w:rPr>
          <w:rFonts w:ascii="仿宋" w:hAnsi="仿宋" w:eastAsia="仿宋"/>
          <w:sz w:val="28"/>
        </w:rPr>
        <w:t xml:space="preserve">    </w:t>
      </w:r>
      <w:r>
        <w:rPr>
          <w:rFonts w:ascii="仿宋" w:hAnsi="仿宋" w:eastAsia="仿宋"/>
          <w:sz w:val="28"/>
        </w:rPr>
        <w:fldChar w:fldCharType="begin"/>
      </w:r>
      <w:r>
        <w:rPr>
          <w:rFonts w:ascii="仿宋" w:hAnsi="仿宋" w:eastAsia="仿宋"/>
          <w:sz w:val="28"/>
        </w:rPr>
        <w:instrText xml:space="preserve"> MERGEFIELD 作业日期止 \@ "yyyy'年'M'月'd'日'"</w:instrText>
      </w:r>
      <w:r>
        <w:rPr>
          <w:rFonts w:ascii="仿宋" w:hAnsi="仿宋" w:eastAsia="仿宋"/>
          <w:sz w:val="28"/>
        </w:rPr>
        <w:fldChar w:fldCharType="separate"/>
      </w:r>
      <w:r>
        <w:rPr>
          <w:rFonts w:hint="eastAsia" w:ascii="仿宋" w:hAnsi="仿宋" w:eastAsia="仿宋"/>
          <w:sz w:val="28"/>
          <w:lang w:eastAsia="zh-CN"/>
        </w:rPr>
        <w:t>2022年08月12日</w:t>
      </w:r>
      <w:r>
        <w:rPr>
          <w:rFonts w:ascii="仿宋" w:hAnsi="仿宋" w:eastAsia="仿宋"/>
          <w:sz w:val="28"/>
        </w:rPr>
        <w:fldChar w:fldCharType="end"/>
      </w:r>
    </w:p>
    <w:p>
      <w:pPr>
        <w:snapToGrid w:val="0"/>
        <w:spacing w:line="380" w:lineRule="exact"/>
        <w:ind w:firstLine="560" w:firstLineChars="200"/>
        <w:jc w:val="left"/>
        <w:rPr>
          <w:rFonts w:eastAsia="楷体_GB2312"/>
          <w:sz w:val="28"/>
        </w:rPr>
      </w:pPr>
      <w:r>
        <w:rPr>
          <w:rFonts w:eastAsia="楷体_GB2312"/>
          <w:sz w:val="28"/>
        </w:rPr>
        <w:br w:type="page"/>
      </w:r>
    </w:p>
    <w:p>
      <w:pPr>
        <w:pStyle w:val="10"/>
        <w:spacing w:line="440" w:lineRule="exact"/>
        <w:jc w:val="center"/>
        <w:rPr>
          <w:rFonts w:ascii="黑体" w:hAnsi="黑体" w:eastAsia="黑体"/>
          <w:b/>
          <w:sz w:val="32"/>
          <w:szCs w:val="32"/>
        </w:rPr>
      </w:pPr>
    </w:p>
    <w:p>
      <w:pPr>
        <w:pStyle w:val="10"/>
        <w:spacing w:line="440" w:lineRule="exact"/>
        <w:jc w:val="center"/>
        <w:rPr>
          <w:rFonts w:ascii="黑体" w:hAnsi="黑体" w:eastAsia="黑体"/>
          <w:b/>
          <w:sz w:val="32"/>
          <w:szCs w:val="32"/>
        </w:rPr>
      </w:pPr>
      <w:r>
        <w:rPr>
          <w:rFonts w:ascii="黑体" w:hAnsi="黑体" w:eastAsia="黑体"/>
          <w:b/>
          <w:sz w:val="32"/>
          <w:szCs w:val="32"/>
        </w:rPr>
        <w:t>房地产估价结果</w:t>
      </w:r>
      <w:r>
        <w:rPr>
          <w:rFonts w:hint="eastAsia" w:ascii="黑体" w:hAnsi="黑体" w:eastAsia="黑体"/>
          <w:b/>
          <w:sz w:val="32"/>
          <w:szCs w:val="32"/>
        </w:rPr>
        <w:t>汇总</w:t>
      </w:r>
      <w:r>
        <w:rPr>
          <w:rFonts w:ascii="黑体" w:hAnsi="黑体" w:eastAsia="黑体"/>
          <w:b/>
          <w:sz w:val="32"/>
          <w:szCs w:val="32"/>
        </w:rPr>
        <w:t>表</w:t>
      </w:r>
    </w:p>
    <w:p>
      <w:pPr>
        <w:snapToGrid w:val="0"/>
        <w:spacing w:line="380" w:lineRule="exact"/>
        <w:ind w:firstLine="560" w:firstLineChars="200"/>
        <w:jc w:val="left"/>
        <w:rPr>
          <w:rFonts w:eastAsia="楷体_GB2312"/>
          <w:sz w:val="28"/>
        </w:rPr>
      </w:pPr>
    </w:p>
    <w:p>
      <w:pPr>
        <w:pStyle w:val="10"/>
        <w:spacing w:line="440" w:lineRule="exact"/>
        <w:rPr>
          <w:rFonts w:hint="eastAsia" w:ascii="仿宋" w:hAnsi="仿宋" w:eastAsia="仿宋"/>
          <w:sz w:val="21"/>
          <w:szCs w:val="21"/>
          <w:lang w:eastAsia="zh-CN"/>
        </w:rPr>
      </w:pPr>
      <w:r>
        <w:rPr>
          <w:rFonts w:ascii="黑体" w:hAnsi="黑体" w:eastAsia="黑体"/>
          <w:sz w:val="21"/>
          <w:szCs w:val="21"/>
        </w:rPr>
        <w:t>估</w:t>
      </w:r>
      <w:r>
        <w:rPr>
          <w:rFonts w:ascii="仿宋" w:hAnsi="仿宋" w:eastAsia="仿宋"/>
          <w:sz w:val="21"/>
          <w:szCs w:val="21"/>
        </w:rPr>
        <w:t>价委托人：</w:t>
      </w:r>
      <w:r>
        <w:rPr>
          <w:rFonts w:hint="eastAsia" w:ascii="仿宋" w:hAnsi="仿宋" w:eastAsia="仿宋"/>
          <w:sz w:val="21"/>
          <w:szCs w:val="21"/>
        </w:rPr>
        <w:t>射阳县人民法院</w:t>
      </w:r>
      <w:r>
        <w:rPr>
          <w:rFonts w:ascii="仿宋" w:hAnsi="仿宋" w:eastAsia="仿宋"/>
          <w:sz w:val="21"/>
          <w:szCs w:val="21"/>
        </w:rPr>
        <w:t xml:space="preserve">    </w:t>
      </w:r>
      <w:r>
        <w:rPr>
          <w:rFonts w:hint="eastAsia" w:ascii="仿宋" w:hAnsi="仿宋" w:eastAsia="仿宋"/>
          <w:sz w:val="21"/>
          <w:szCs w:val="21"/>
        </w:rPr>
        <w:t xml:space="preserve">                 </w:t>
      </w:r>
      <w:r>
        <w:rPr>
          <w:rFonts w:ascii="仿宋" w:hAnsi="仿宋" w:eastAsia="仿宋"/>
          <w:sz w:val="21"/>
          <w:szCs w:val="21"/>
        </w:rPr>
        <w:t>价值时点：</w:t>
      </w:r>
      <w:r>
        <w:rPr>
          <w:rFonts w:hint="eastAsia" w:ascii="仿宋" w:hAnsi="仿宋" w:eastAsia="仿宋"/>
          <w:sz w:val="21"/>
          <w:szCs w:val="21"/>
          <w:lang w:eastAsia="zh-CN"/>
        </w:rPr>
        <w:t>2022年08月11日</w:t>
      </w:r>
    </w:p>
    <w:tbl>
      <w:tblPr>
        <w:tblStyle w:val="19"/>
        <w:tblW w:w="49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autofit"/>
        <w:tblCellMar>
          <w:top w:w="0" w:type="dxa"/>
          <w:left w:w="108" w:type="dxa"/>
          <w:bottom w:w="0" w:type="dxa"/>
          <w:right w:w="108" w:type="dxa"/>
        </w:tblCellMar>
      </w:tblPr>
      <w:tblGrid>
        <w:gridCol w:w="3735"/>
        <w:gridCol w:w="1133"/>
        <w:gridCol w:w="1560"/>
        <w:gridCol w:w="1276"/>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661" w:hRule="atLeast"/>
          <w:jc w:val="center"/>
        </w:trPr>
        <w:tc>
          <w:tcPr>
            <w:tcW w:w="2073" w:type="pct"/>
            <w:shd w:val="clear" w:color="auto" w:fill="FFFFFF" w:themeFill="background1"/>
            <w:vAlign w:val="center"/>
          </w:tcPr>
          <w:p>
            <w:pPr>
              <w:widowControl/>
              <w:snapToGrid w:val="0"/>
              <w:jc w:val="center"/>
              <w:rPr>
                <w:rFonts w:ascii="仿宋" w:hAnsi="仿宋" w:eastAsia="仿宋"/>
                <w:b/>
                <w:kern w:val="0"/>
                <w:szCs w:val="21"/>
              </w:rPr>
            </w:pPr>
            <w:r>
              <w:rPr>
                <w:rFonts w:ascii="仿宋" w:hAnsi="仿宋" w:eastAsia="仿宋"/>
                <w:b/>
                <w:kern w:val="0"/>
                <w:szCs w:val="21"/>
              </w:rPr>
              <w:t>估价对象</w:t>
            </w:r>
          </w:p>
        </w:tc>
        <w:tc>
          <w:tcPr>
            <w:tcW w:w="629" w:type="pct"/>
            <w:shd w:val="clear" w:color="auto" w:fill="FFFFFF" w:themeFill="background1"/>
            <w:vAlign w:val="center"/>
          </w:tcPr>
          <w:p>
            <w:pPr>
              <w:widowControl/>
              <w:snapToGrid w:val="0"/>
              <w:jc w:val="center"/>
              <w:rPr>
                <w:rFonts w:ascii="仿宋" w:hAnsi="仿宋" w:eastAsia="仿宋"/>
                <w:b/>
                <w:kern w:val="0"/>
                <w:szCs w:val="21"/>
              </w:rPr>
            </w:pPr>
            <w:r>
              <w:rPr>
                <w:rFonts w:ascii="仿宋" w:hAnsi="仿宋" w:eastAsia="仿宋"/>
                <w:b/>
                <w:kern w:val="0"/>
                <w:szCs w:val="21"/>
              </w:rPr>
              <w:t>建筑面积</w:t>
            </w:r>
            <w:r>
              <w:rPr>
                <w:rFonts w:ascii="仿宋" w:hAnsi="仿宋" w:eastAsia="仿宋"/>
                <w:b/>
                <w:kern w:val="0"/>
                <w:szCs w:val="21"/>
              </w:rPr>
              <w:br w:type="textWrapping"/>
            </w:r>
            <w:r>
              <w:rPr>
                <w:rFonts w:hint="eastAsia" w:ascii="仿宋" w:hAnsi="仿宋" w:eastAsia="仿宋"/>
                <w:b/>
                <w:kern w:val="0"/>
                <w:szCs w:val="21"/>
              </w:rPr>
              <w:t>（M</w:t>
            </w:r>
            <w:r>
              <w:rPr>
                <w:rFonts w:hint="eastAsia" w:ascii="仿宋" w:hAnsi="仿宋" w:eastAsia="仿宋"/>
                <w:b/>
                <w:kern w:val="0"/>
                <w:szCs w:val="21"/>
                <w:vertAlign w:val="superscript"/>
              </w:rPr>
              <w:t>2</w:t>
            </w:r>
            <w:r>
              <w:rPr>
                <w:rFonts w:ascii="仿宋" w:hAnsi="仿宋" w:eastAsia="仿宋"/>
                <w:b/>
                <w:kern w:val="0"/>
                <w:szCs w:val="21"/>
              </w:rPr>
              <w:t>)</w:t>
            </w:r>
          </w:p>
        </w:tc>
        <w:tc>
          <w:tcPr>
            <w:tcW w:w="866" w:type="pct"/>
            <w:shd w:val="clear" w:color="auto" w:fill="FFFFFF" w:themeFill="background1"/>
            <w:vAlign w:val="center"/>
          </w:tcPr>
          <w:p>
            <w:pPr>
              <w:snapToGrid w:val="0"/>
              <w:jc w:val="center"/>
              <w:rPr>
                <w:rFonts w:ascii="仿宋" w:hAnsi="仿宋" w:eastAsia="仿宋"/>
                <w:b/>
                <w:kern w:val="0"/>
                <w:szCs w:val="21"/>
              </w:rPr>
            </w:pPr>
            <w:r>
              <w:rPr>
                <w:rFonts w:ascii="仿宋" w:hAnsi="仿宋" w:eastAsia="仿宋"/>
                <w:b/>
                <w:kern w:val="0"/>
                <w:szCs w:val="21"/>
              </w:rPr>
              <w:t>房</w:t>
            </w:r>
            <w:r>
              <w:rPr>
                <w:rFonts w:hint="eastAsia" w:ascii="仿宋" w:hAnsi="仿宋" w:eastAsia="仿宋"/>
                <w:b/>
                <w:kern w:val="0"/>
                <w:szCs w:val="21"/>
              </w:rPr>
              <w:t>地</w:t>
            </w:r>
            <w:r>
              <w:rPr>
                <w:rFonts w:ascii="仿宋" w:hAnsi="仿宋" w:eastAsia="仿宋"/>
                <w:b/>
                <w:kern w:val="0"/>
                <w:szCs w:val="21"/>
              </w:rPr>
              <w:t>产评估单价(元/</w:t>
            </w:r>
            <w:r>
              <w:rPr>
                <w:rFonts w:hint="eastAsia" w:ascii="仿宋" w:hAnsi="仿宋" w:eastAsia="仿宋"/>
                <w:b/>
                <w:kern w:val="0"/>
                <w:szCs w:val="21"/>
              </w:rPr>
              <w:t>M</w:t>
            </w:r>
            <w:r>
              <w:rPr>
                <w:rFonts w:hint="eastAsia" w:ascii="仿宋" w:hAnsi="仿宋" w:eastAsia="仿宋"/>
                <w:b/>
                <w:kern w:val="0"/>
                <w:szCs w:val="21"/>
                <w:vertAlign w:val="superscript"/>
              </w:rPr>
              <w:t>2</w:t>
            </w:r>
            <w:r>
              <w:rPr>
                <w:rFonts w:ascii="仿宋" w:hAnsi="仿宋" w:eastAsia="仿宋"/>
                <w:b/>
                <w:kern w:val="0"/>
                <w:szCs w:val="21"/>
              </w:rPr>
              <w:t>)</w:t>
            </w:r>
          </w:p>
        </w:tc>
        <w:tc>
          <w:tcPr>
            <w:tcW w:w="708" w:type="pct"/>
            <w:shd w:val="clear" w:color="auto" w:fill="FFFFFF" w:themeFill="background1"/>
            <w:vAlign w:val="center"/>
          </w:tcPr>
          <w:p>
            <w:pPr>
              <w:snapToGrid w:val="0"/>
              <w:jc w:val="center"/>
              <w:rPr>
                <w:rFonts w:ascii="仿宋" w:hAnsi="仿宋" w:eastAsia="仿宋"/>
                <w:b/>
                <w:kern w:val="0"/>
                <w:szCs w:val="21"/>
              </w:rPr>
            </w:pPr>
            <w:r>
              <w:rPr>
                <w:rFonts w:ascii="仿宋" w:hAnsi="仿宋" w:eastAsia="仿宋"/>
                <w:b/>
                <w:kern w:val="0"/>
                <w:szCs w:val="21"/>
              </w:rPr>
              <w:t>房</w:t>
            </w:r>
            <w:r>
              <w:rPr>
                <w:rFonts w:hint="eastAsia" w:ascii="仿宋" w:hAnsi="仿宋" w:eastAsia="仿宋"/>
                <w:b/>
                <w:kern w:val="0"/>
                <w:szCs w:val="21"/>
              </w:rPr>
              <w:t>地</w:t>
            </w:r>
            <w:r>
              <w:rPr>
                <w:rFonts w:ascii="仿宋" w:hAnsi="仿宋" w:eastAsia="仿宋"/>
                <w:b/>
                <w:kern w:val="0"/>
                <w:szCs w:val="21"/>
              </w:rPr>
              <w:t>产</w:t>
            </w:r>
            <w:r>
              <w:rPr>
                <w:rFonts w:hint="eastAsia" w:ascii="仿宋" w:hAnsi="仿宋" w:eastAsia="仿宋"/>
                <w:b/>
                <w:kern w:val="0"/>
                <w:szCs w:val="21"/>
              </w:rPr>
              <w:t>市场价值</w:t>
            </w:r>
            <w:r>
              <w:rPr>
                <w:rFonts w:ascii="仿宋" w:hAnsi="仿宋" w:eastAsia="仿宋"/>
                <w:b/>
                <w:kern w:val="0"/>
                <w:szCs w:val="21"/>
              </w:rPr>
              <w:t>(万元)</w:t>
            </w:r>
          </w:p>
        </w:tc>
        <w:tc>
          <w:tcPr>
            <w:tcW w:w="724" w:type="pct"/>
            <w:shd w:val="clear" w:color="auto" w:fill="FFFFFF" w:themeFill="background1"/>
            <w:vAlign w:val="center"/>
          </w:tcPr>
          <w:p>
            <w:pPr>
              <w:snapToGrid w:val="0"/>
              <w:jc w:val="center"/>
              <w:rPr>
                <w:rFonts w:ascii="仿宋" w:hAnsi="仿宋" w:eastAsia="仿宋"/>
                <w:b/>
                <w:kern w:val="0"/>
                <w:szCs w:val="21"/>
              </w:rPr>
            </w:pPr>
            <w:r>
              <w:rPr>
                <w:rFonts w:ascii="仿宋" w:hAnsi="仿宋" w:eastAsia="仿宋"/>
                <w:b/>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射阳经济开发区东区金色阳光小区26幢公寓楼1601酒店式公寓用房地产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59.79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27.81</w:t>
            </w:r>
          </w:p>
        </w:tc>
        <w:tc>
          <w:tcPr>
            <w:tcW w:w="724" w:type="pct"/>
            <w:vMerge w:val="restart"/>
            <w:shd w:val="clear" w:color="auto" w:fill="FFFFFF" w:themeFill="background1"/>
            <w:vAlign w:val="center"/>
          </w:tcPr>
          <w:p>
            <w:pPr>
              <w:jc w:val="center"/>
              <w:rPr>
                <w:rFonts w:ascii="仿宋" w:hAnsi="仿宋" w:eastAsia="仿宋" w:cs="宋体"/>
                <w:szCs w:val="21"/>
              </w:rPr>
            </w:pPr>
            <w:r>
              <w:rPr>
                <w:rFonts w:hint="eastAsia" w:ascii="仿宋" w:hAnsi="仿宋" w:eastAsia="仿宋" w:cs="宋体"/>
                <w:color w:val="FF0000"/>
                <w:szCs w:val="21"/>
              </w:rPr>
              <w:t>毛坯状态</w:t>
            </w:r>
            <w:r>
              <w:rPr>
                <w:rFonts w:hint="eastAsia" w:ascii="仿宋" w:hAnsi="仿宋" w:eastAsia="仿宋" w:cs="宋体"/>
                <w:color w:val="FF0000"/>
                <w:szCs w:val="21"/>
                <w:lang w:eastAsia="zh-CN"/>
              </w:rPr>
              <w:t>（含走廊吊顶及消防设施）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射阳经济开发区东区金色阳光小区26幢公寓楼1602酒店式公寓用房地产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59.29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27.58</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射阳经济开发区东区金色阳光小区26幢公寓楼1603酒店式公寓用房地产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58.41</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27.17</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射阳经济开发区东区金色阳光小区26幢公寓楼1604酒店式公寓用房地产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59.29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27.58</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射阳经济开发区东区金色阳光小区26幢公寓楼1605酒店式公寓用房地产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55.68</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25.9</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射阳经济开发区东区金色阳光小区26幢公寓楼1606酒店式公寓用房地产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55.68</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25.9</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射阳经济开发区东区金色阳光小区26幢公寓楼1607酒店式公寓用房地产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59.29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27.58</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射阳经济开发区东区金色阳光小区26幢公寓楼1608酒店式公寓用房地产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59.42</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27.64</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射阳经济开发区东区金色阳光小区26幢公寓楼1609酒店式公寓用房地产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67.87</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31.57</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射阳经济开发区东区金色阳光小区26幢公寓楼1610酒店式公寓用房地产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57.19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26.6</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射阳经济开发区东区金色阳光小区26幢公寓楼1611酒店式公寓用房地产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57.19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26.6</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射阳经济开发区东区金色阳光小区26幢公寓楼1612酒店式公寓用房地产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57.19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26.6</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射阳经济开发区东区金色阳光小区26幢公寓楼1613酒店式公寓用房地产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58.08</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27.02</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pStyle w:val="10"/>
              <w:jc w:val="center"/>
              <w:rPr>
                <w:rFonts w:ascii="黑体" w:hAnsi="黑体" w:eastAsia="黑体"/>
                <w:b/>
                <w:sz w:val="21"/>
                <w:szCs w:val="21"/>
              </w:rPr>
            </w:pPr>
            <w:r>
              <w:rPr>
                <w:rFonts w:hint="eastAsia" w:ascii="黑体" w:hAnsi="黑体" w:eastAsia="黑体"/>
                <w:b/>
                <w:sz w:val="21"/>
                <w:szCs w:val="21"/>
              </w:rPr>
              <w:t>合计</w:t>
            </w:r>
          </w:p>
        </w:tc>
        <w:tc>
          <w:tcPr>
            <w:tcW w:w="629" w:type="pct"/>
            <w:shd w:val="clear" w:color="auto" w:fill="FFFFFF" w:themeFill="background1"/>
            <w:vAlign w:val="center"/>
          </w:tcPr>
          <w:p>
            <w:pPr>
              <w:jc w:val="center"/>
              <w:rPr>
                <w:rFonts w:ascii="黑体" w:hAnsi="黑体" w:eastAsia="黑体" w:cstheme="minorBidi"/>
                <w:b/>
                <w:szCs w:val="21"/>
              </w:rPr>
            </w:pPr>
            <w:r>
              <w:rPr>
                <w:rFonts w:hint="eastAsia" w:ascii="黑体" w:hAnsi="黑体" w:eastAsia="黑体" w:cstheme="minorBidi"/>
                <w:b/>
                <w:szCs w:val="21"/>
              </w:rPr>
              <w:t>764.37</w:t>
            </w:r>
          </w:p>
        </w:tc>
        <w:tc>
          <w:tcPr>
            <w:tcW w:w="866" w:type="pct"/>
            <w:shd w:val="clear" w:color="auto" w:fill="FFFFFF" w:themeFill="background1"/>
            <w:vAlign w:val="center"/>
          </w:tcPr>
          <w:p>
            <w:pPr>
              <w:jc w:val="center"/>
              <w:rPr>
                <w:rFonts w:ascii="黑体" w:hAnsi="黑体" w:eastAsia="黑体" w:cstheme="minorBidi"/>
                <w:b/>
                <w:szCs w:val="21"/>
              </w:rPr>
            </w:pPr>
          </w:p>
        </w:tc>
        <w:tc>
          <w:tcPr>
            <w:tcW w:w="708" w:type="pct"/>
            <w:shd w:val="clear" w:color="auto" w:fill="FFFFFF" w:themeFill="background1"/>
            <w:vAlign w:val="center"/>
          </w:tcPr>
          <w:p>
            <w:pPr>
              <w:jc w:val="center"/>
              <w:rPr>
                <w:rFonts w:ascii="黑体" w:hAnsi="黑体" w:eastAsia="黑体" w:cstheme="minorBidi"/>
                <w:b/>
                <w:szCs w:val="21"/>
              </w:rPr>
            </w:pPr>
            <w:r>
              <w:rPr>
                <w:rFonts w:hint="eastAsia" w:ascii="黑体" w:hAnsi="黑体" w:eastAsia="黑体" w:cstheme="minorBidi"/>
                <w:b/>
                <w:szCs w:val="21"/>
              </w:rPr>
              <w:t>355.55</w:t>
            </w:r>
          </w:p>
        </w:tc>
        <w:tc>
          <w:tcPr>
            <w:tcW w:w="724" w:type="pct"/>
            <w:shd w:val="clear" w:color="auto" w:fill="FFFFFF" w:themeFill="background1"/>
            <w:vAlign w:val="center"/>
          </w:tcPr>
          <w:p>
            <w:pPr>
              <w:jc w:val="center"/>
              <w:rPr>
                <w:rFonts w:ascii="黑体" w:hAnsi="黑体" w:eastAsia="黑体" w:cstheme="minorBidi"/>
                <w:b/>
                <w:szCs w:val="21"/>
              </w:rPr>
            </w:pPr>
          </w:p>
        </w:tc>
      </w:tr>
    </w:tbl>
    <w:p>
      <w:pPr>
        <w:spacing w:line="200" w:lineRule="atLeast"/>
        <w:rPr>
          <w:rFonts w:eastAsia="黑体"/>
          <w:szCs w:val="21"/>
        </w:rPr>
      </w:pPr>
      <w:r>
        <w:rPr>
          <w:rFonts w:eastAsia="黑体"/>
          <w:b/>
          <w:szCs w:val="21"/>
        </w:rPr>
        <w:t>特别提示</w:t>
      </w:r>
      <w:r>
        <w:rPr>
          <w:rFonts w:eastAsia="黑体"/>
          <w:szCs w:val="21"/>
        </w:rPr>
        <w:t>：</w:t>
      </w:r>
    </w:p>
    <w:p>
      <w:pPr>
        <w:spacing w:line="200" w:lineRule="atLeast"/>
        <w:ind w:firstLine="400" w:firstLineChars="200"/>
        <w:rPr>
          <w:rFonts w:eastAsia="黑体"/>
          <w:sz w:val="20"/>
          <w:szCs w:val="18"/>
        </w:rPr>
      </w:pPr>
      <w:r>
        <w:rPr>
          <w:rFonts w:hint="eastAsia" w:eastAsia="黑体"/>
          <w:sz w:val="20"/>
          <w:szCs w:val="18"/>
        </w:rPr>
        <w:t>1</w:t>
      </w:r>
      <w:r>
        <w:rPr>
          <w:rFonts w:eastAsia="黑体"/>
          <w:sz w:val="20"/>
          <w:szCs w:val="18"/>
        </w:rPr>
        <w:t>.</w:t>
      </w:r>
      <w:r>
        <w:rPr>
          <w:rFonts w:hint="eastAsia" w:eastAsia="黑体"/>
          <w:sz w:val="20"/>
          <w:szCs w:val="18"/>
        </w:rPr>
        <w:t xml:space="preserve"> 本估价报告应用有效期自</w:t>
      </w:r>
      <w:r>
        <w:rPr>
          <w:rFonts w:hint="eastAsia" w:eastAsia="黑体"/>
          <w:sz w:val="20"/>
          <w:szCs w:val="18"/>
          <w:lang w:eastAsia="zh-CN"/>
        </w:rPr>
        <w:t>2022年08月12日</w:t>
      </w:r>
      <w:r>
        <w:rPr>
          <w:rFonts w:hint="eastAsia" w:eastAsia="黑体"/>
          <w:sz w:val="20"/>
          <w:szCs w:val="18"/>
        </w:rPr>
        <w:t>至2023年08月1</w:t>
      </w:r>
      <w:r>
        <w:rPr>
          <w:rFonts w:hint="eastAsia" w:eastAsia="黑体"/>
          <w:sz w:val="20"/>
          <w:szCs w:val="18"/>
          <w:lang w:val="en-US" w:eastAsia="zh-CN"/>
        </w:rPr>
        <w:t>1</w:t>
      </w:r>
      <w:r>
        <w:rPr>
          <w:rFonts w:hint="eastAsia" w:eastAsia="黑体"/>
          <w:sz w:val="20"/>
          <w:szCs w:val="18"/>
        </w:rPr>
        <w:t>日一年内有效；</w:t>
      </w:r>
    </w:p>
    <w:p>
      <w:pPr>
        <w:spacing w:line="200" w:lineRule="atLeast"/>
        <w:ind w:firstLine="400" w:firstLineChars="200"/>
        <w:rPr>
          <w:rFonts w:eastAsia="黑体"/>
          <w:sz w:val="20"/>
          <w:szCs w:val="18"/>
        </w:rPr>
      </w:pPr>
      <w:r>
        <w:rPr>
          <w:rFonts w:hint="eastAsia" w:eastAsia="黑体"/>
          <w:sz w:val="20"/>
          <w:szCs w:val="18"/>
        </w:rPr>
        <w:t>2. 本评估报告结果包含土地使用权价值及与房地产不可分割的满足其使用功能的水、电、消防、公共区域装修（顶棚、地面等）等，不包含家具、家电等可移动资产；</w:t>
      </w:r>
    </w:p>
    <w:p>
      <w:pPr>
        <w:spacing w:line="200" w:lineRule="atLeast"/>
        <w:ind w:firstLine="400" w:firstLineChars="200"/>
        <w:rPr>
          <w:rFonts w:eastAsia="黑体"/>
          <w:sz w:val="20"/>
          <w:szCs w:val="18"/>
        </w:rPr>
      </w:pPr>
      <w:r>
        <w:rPr>
          <w:rFonts w:hint="eastAsia" w:eastAsia="黑体"/>
          <w:sz w:val="20"/>
          <w:szCs w:val="18"/>
        </w:rPr>
        <w:t>3</w:t>
      </w:r>
      <w:r>
        <w:rPr>
          <w:rFonts w:eastAsia="黑体"/>
          <w:sz w:val="20"/>
          <w:szCs w:val="18"/>
        </w:rPr>
        <w:t>.</w:t>
      </w:r>
      <w:r>
        <w:rPr>
          <w:rFonts w:hint="eastAsia" w:eastAsia="黑体"/>
          <w:sz w:val="20"/>
          <w:szCs w:val="18"/>
        </w:rPr>
        <w:t>本报告估价结果仅指估价对象在价值时点的价值，并未考虑估价对象房地产所涉及的债权债务关系；</w:t>
      </w:r>
    </w:p>
    <w:p>
      <w:pPr>
        <w:spacing w:line="200" w:lineRule="atLeast"/>
        <w:ind w:firstLine="400" w:firstLineChars="200"/>
        <w:rPr>
          <w:rFonts w:eastAsia="黑体"/>
          <w:sz w:val="20"/>
          <w:szCs w:val="18"/>
        </w:rPr>
      </w:pPr>
      <w:r>
        <w:rPr>
          <w:rFonts w:hint="eastAsia" w:eastAsia="黑体"/>
          <w:sz w:val="20"/>
          <w:szCs w:val="18"/>
        </w:rPr>
        <w:t>4.估价对象于价值时点未办理不动产登记，本次评估设定估价对象具有完整产权，可正常办理不动产登记，本次估价对象土地面积为假设合理分摊所对应的土地面积；</w:t>
      </w:r>
    </w:p>
    <w:p>
      <w:pPr>
        <w:spacing w:line="200" w:lineRule="atLeast"/>
        <w:ind w:firstLine="400" w:firstLineChars="200"/>
        <w:rPr>
          <w:rFonts w:eastAsia="黑体"/>
          <w:sz w:val="20"/>
          <w:szCs w:val="18"/>
        </w:rPr>
      </w:pPr>
      <w:r>
        <w:rPr>
          <w:rFonts w:hint="eastAsia" w:eastAsia="黑体"/>
          <w:sz w:val="20"/>
          <w:szCs w:val="18"/>
        </w:rPr>
        <w:t>5</w:t>
      </w:r>
      <w:r>
        <w:rPr>
          <w:rFonts w:eastAsia="黑体"/>
          <w:sz w:val="20"/>
          <w:szCs w:val="18"/>
        </w:rPr>
        <w:t>.</w:t>
      </w:r>
      <w:r>
        <w:rPr>
          <w:rFonts w:hint="eastAsia" w:eastAsia="黑体"/>
          <w:sz w:val="20"/>
          <w:szCs w:val="18"/>
        </w:rPr>
        <w:t xml:space="preserve"> 本报告由</w:t>
      </w:r>
      <w:r>
        <w:rPr>
          <w:rFonts w:eastAsia="黑体"/>
          <w:sz w:val="20"/>
          <w:szCs w:val="18"/>
        </w:rPr>
        <w:t>盐城市富鑫房地产评估事务所（普通合伙）</w:t>
      </w:r>
      <w:r>
        <w:rPr>
          <w:rFonts w:hint="eastAsia" w:eastAsia="黑体"/>
          <w:sz w:val="20"/>
          <w:szCs w:val="18"/>
        </w:rPr>
        <w:t>负责解释。</w:t>
      </w:r>
    </w:p>
    <w:p>
      <w:pPr>
        <w:spacing w:line="200" w:lineRule="atLeast"/>
        <w:ind w:firstLine="400" w:firstLineChars="200"/>
        <w:rPr>
          <w:rFonts w:eastAsia="黑体"/>
          <w:sz w:val="20"/>
          <w:szCs w:val="18"/>
        </w:rPr>
      </w:pPr>
    </w:p>
    <w:p>
      <w:pPr>
        <w:pStyle w:val="10"/>
        <w:spacing w:line="360" w:lineRule="auto"/>
        <w:rPr>
          <w:rFonts w:eastAsia="楷体_GB2312"/>
          <w:sz w:val="28"/>
        </w:rPr>
      </w:pPr>
      <w:bookmarkStart w:id="6" w:name="_Toc319586161"/>
    </w:p>
    <w:p>
      <w:pPr>
        <w:pStyle w:val="3"/>
        <w:jc w:val="center"/>
      </w:pPr>
      <w:bookmarkStart w:id="7" w:name="_Toc23179116"/>
      <w:bookmarkStart w:id="8" w:name="_Toc15385"/>
      <w:r>
        <w:t>目</w:t>
      </w:r>
      <w:r>
        <w:rPr>
          <w:rFonts w:hint="eastAsia"/>
        </w:rPr>
        <w:t xml:space="preserve"> </w:t>
      </w:r>
      <w:r>
        <w:t xml:space="preserve"> 录</w:t>
      </w:r>
      <w:bookmarkEnd w:id="7"/>
      <w:bookmarkEnd w:id="8"/>
    </w:p>
    <w:p>
      <w:pPr>
        <w:spacing w:line="400" w:lineRule="exact"/>
        <w:ind w:firstLine="610" w:firstLineChars="218"/>
        <w:rPr>
          <w:rFonts w:eastAsia="楷体_GB2312"/>
          <w:sz w:val="28"/>
        </w:rPr>
      </w:pPr>
      <w:r>
        <w:rPr>
          <w:rFonts w:eastAsia="楷体_GB2312"/>
          <w:sz w:val="28"/>
        </w:rPr>
        <w:t xml:space="preserve">    </w:t>
      </w:r>
    </w:p>
    <w:p>
      <w:pPr>
        <w:pStyle w:val="16"/>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TOC \o "1-3" \h \u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_Toc14866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致估价委托人函</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_Toc14866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16"/>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_Toc15385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目</w:t>
      </w:r>
      <w:r>
        <w:rPr>
          <w:rFonts w:hint="eastAsia" w:ascii="仿宋" w:hAnsi="仿宋" w:eastAsia="仿宋" w:cs="Times New Roman"/>
          <w:color w:val="auto"/>
          <w:kern w:val="2"/>
          <w:sz w:val="24"/>
          <w:szCs w:val="22"/>
          <w:lang w:val="en-US" w:eastAsia="zh-CN" w:bidi="ar-SA"/>
        </w:rPr>
        <w:t xml:space="preserve"> </w:t>
      </w:r>
      <w:r>
        <w:rPr>
          <w:rFonts w:ascii="仿宋" w:hAnsi="仿宋" w:eastAsia="仿宋" w:cs="Times New Roman"/>
          <w:color w:val="auto"/>
          <w:kern w:val="2"/>
          <w:sz w:val="24"/>
          <w:szCs w:val="22"/>
          <w:lang w:val="en-US" w:eastAsia="zh-CN" w:bidi="ar-SA"/>
        </w:rPr>
        <w:t xml:space="preserve"> 录</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_Toc15385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3</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16"/>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_Toc12081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估价师声明</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_Toc12081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4</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16"/>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_Toc18187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估价假设和限制条件</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_Toc18187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5</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_Toc22025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一、一般假设</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_Toc22025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5</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_Toc26527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二、未定事项假设</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_Toc26527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6</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_Toc28829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三、背离实际情况假设</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_Toc28829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6</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_Toc28687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四、不相一致假设</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_Toc28687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6</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_Toc26469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五、依据不足假设</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_Toc26469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6</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16"/>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_Toc4499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估价结果报告</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_Toc4499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8</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_Toc20201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一、估价委托人</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_Toc20201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8</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_Toc24058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二、</w:t>
      </w:r>
      <w:r>
        <w:rPr>
          <w:rFonts w:hint="eastAsia" w:ascii="仿宋" w:hAnsi="仿宋" w:eastAsia="仿宋" w:cs="Times New Roman"/>
          <w:color w:val="auto"/>
          <w:kern w:val="2"/>
          <w:sz w:val="24"/>
          <w:szCs w:val="22"/>
          <w:lang w:val="en-US" w:eastAsia="zh-CN" w:bidi="ar-SA"/>
        </w:rPr>
        <w:t>房地产</w:t>
      </w:r>
      <w:r>
        <w:rPr>
          <w:rFonts w:ascii="仿宋" w:hAnsi="仿宋" w:eastAsia="仿宋" w:cs="Times New Roman"/>
          <w:color w:val="auto"/>
          <w:kern w:val="2"/>
          <w:sz w:val="24"/>
          <w:szCs w:val="22"/>
          <w:lang w:val="en-US" w:eastAsia="zh-CN" w:bidi="ar-SA"/>
        </w:rPr>
        <w:t>估价机构</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_Toc24058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8</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_Toc11131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三、估价目的</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_Toc11131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8</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_Toc8965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四、估价对象</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_Toc8965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8</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_Toc27568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五、价值时点</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_Toc27568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12</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_Toc21894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六、价值类型</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_Toc21894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12</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_Toc6002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七</w:t>
      </w:r>
      <w:r>
        <w:rPr>
          <w:rFonts w:ascii="仿宋" w:hAnsi="仿宋" w:eastAsia="仿宋" w:cs="Times New Roman"/>
          <w:color w:val="auto"/>
          <w:kern w:val="2"/>
          <w:sz w:val="24"/>
          <w:szCs w:val="22"/>
          <w:lang w:val="en-US" w:eastAsia="zh-CN" w:bidi="ar-SA"/>
        </w:rPr>
        <w:t>、估价原则</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_Toc6002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12</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_Toc12948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八</w:t>
      </w:r>
      <w:r>
        <w:rPr>
          <w:rFonts w:ascii="仿宋" w:hAnsi="仿宋" w:eastAsia="仿宋" w:cs="Times New Roman"/>
          <w:color w:val="auto"/>
          <w:kern w:val="2"/>
          <w:sz w:val="24"/>
          <w:szCs w:val="22"/>
          <w:lang w:val="en-US" w:eastAsia="zh-CN" w:bidi="ar-SA"/>
        </w:rPr>
        <w:t>、估价依据</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_Toc12948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13</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_Toc24812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九、估价方法</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_Toc24812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14</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_Toc12121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十、估价结果</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_Toc12121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15</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_Toc28068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十</w:t>
      </w:r>
      <w:r>
        <w:rPr>
          <w:rFonts w:hint="eastAsia" w:ascii="仿宋" w:hAnsi="仿宋" w:eastAsia="仿宋" w:cs="Times New Roman"/>
          <w:color w:val="auto"/>
          <w:kern w:val="2"/>
          <w:sz w:val="24"/>
          <w:szCs w:val="22"/>
          <w:lang w:val="en-US" w:eastAsia="zh-CN" w:bidi="ar-SA"/>
        </w:rPr>
        <w:t>一</w:t>
      </w:r>
      <w:r>
        <w:rPr>
          <w:rFonts w:ascii="仿宋" w:hAnsi="仿宋" w:eastAsia="仿宋" w:cs="Times New Roman"/>
          <w:color w:val="auto"/>
          <w:kern w:val="2"/>
          <w:sz w:val="24"/>
          <w:szCs w:val="22"/>
          <w:lang w:val="en-US" w:eastAsia="zh-CN" w:bidi="ar-SA"/>
        </w:rPr>
        <w:t>、</w:t>
      </w:r>
      <w:r>
        <w:rPr>
          <w:rFonts w:hint="eastAsia" w:ascii="仿宋" w:hAnsi="仿宋" w:eastAsia="仿宋" w:cs="Times New Roman"/>
          <w:color w:val="auto"/>
          <w:kern w:val="2"/>
          <w:sz w:val="24"/>
          <w:szCs w:val="22"/>
          <w:lang w:val="en-US" w:eastAsia="zh-CN" w:bidi="ar-SA"/>
        </w:rPr>
        <w:t>注册房地产估价师</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_Toc28068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17</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_Toc21564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十二、实地查勘期</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_Toc21564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17</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9"/>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_Toc8565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十</w:t>
      </w:r>
      <w:r>
        <w:rPr>
          <w:rFonts w:hint="eastAsia" w:ascii="仿宋" w:hAnsi="仿宋" w:eastAsia="仿宋" w:cs="Times New Roman"/>
          <w:color w:val="auto"/>
          <w:kern w:val="2"/>
          <w:sz w:val="24"/>
          <w:szCs w:val="22"/>
          <w:lang w:val="en-US" w:eastAsia="zh-CN" w:bidi="ar-SA"/>
        </w:rPr>
        <w:t>三</w:t>
      </w:r>
      <w:r>
        <w:rPr>
          <w:rFonts w:ascii="仿宋" w:hAnsi="仿宋" w:eastAsia="仿宋" w:cs="Times New Roman"/>
          <w:color w:val="auto"/>
          <w:kern w:val="2"/>
          <w:sz w:val="24"/>
          <w:szCs w:val="22"/>
          <w:lang w:val="en-US" w:eastAsia="zh-CN" w:bidi="ar-SA"/>
        </w:rPr>
        <w:t>、估价作业期</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_Toc8565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17</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pStyle w:val="16"/>
        <w:tabs>
          <w:tab w:val="right" w:leader="dot" w:pos="8912"/>
          <w:tab w:val="clear" w:pos="8721"/>
        </w:tabs>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HYPERLINK \l _Toc18044 </w:instrText>
      </w:r>
      <w:r>
        <w:rPr>
          <w:rFonts w:ascii="仿宋" w:hAnsi="仿宋" w:eastAsia="仿宋" w:cs="Times New Roman"/>
          <w:color w:val="auto"/>
          <w:kern w:val="2"/>
          <w:sz w:val="24"/>
          <w:szCs w:val="22"/>
          <w:lang w:val="en-US" w:eastAsia="zh-CN" w:bidi="ar-SA"/>
        </w:rPr>
        <w:fldChar w:fldCharType="separate"/>
      </w:r>
      <w:r>
        <w:rPr>
          <w:rFonts w:hint="eastAsia" w:ascii="仿宋" w:hAnsi="仿宋" w:eastAsia="仿宋" w:cs="Times New Roman"/>
          <w:color w:val="auto"/>
          <w:kern w:val="2"/>
          <w:sz w:val="24"/>
          <w:szCs w:val="22"/>
          <w:lang w:val="en-US" w:eastAsia="zh-CN" w:bidi="ar-SA"/>
        </w:rPr>
        <w:t>附 件</w:t>
      </w:r>
      <w:r>
        <w:rPr>
          <w:rFonts w:ascii="仿宋" w:hAnsi="仿宋" w:eastAsia="仿宋" w:cs="Times New Roman"/>
          <w:color w:val="auto"/>
          <w:kern w:val="2"/>
          <w:sz w:val="24"/>
          <w:szCs w:val="22"/>
          <w:lang w:val="en-US" w:eastAsia="zh-CN" w:bidi="ar-SA"/>
        </w:rPr>
        <w:tab/>
      </w:r>
      <w:r>
        <w:rPr>
          <w:rFonts w:ascii="仿宋" w:hAnsi="仿宋" w:eastAsia="仿宋" w:cs="Times New Roman"/>
          <w:color w:val="auto"/>
          <w:kern w:val="2"/>
          <w:sz w:val="24"/>
          <w:szCs w:val="22"/>
          <w:lang w:val="en-US" w:eastAsia="zh-CN" w:bidi="ar-SA"/>
        </w:rPr>
        <w:fldChar w:fldCharType="begin"/>
      </w:r>
      <w:r>
        <w:rPr>
          <w:rFonts w:ascii="仿宋" w:hAnsi="仿宋" w:eastAsia="仿宋" w:cs="Times New Roman"/>
          <w:color w:val="auto"/>
          <w:kern w:val="2"/>
          <w:sz w:val="24"/>
          <w:szCs w:val="22"/>
          <w:lang w:val="en-US" w:eastAsia="zh-CN" w:bidi="ar-SA"/>
        </w:rPr>
        <w:instrText xml:space="preserve"> PAGEREF _Toc18044 \h </w:instrText>
      </w:r>
      <w:r>
        <w:rPr>
          <w:rFonts w:ascii="仿宋" w:hAnsi="仿宋" w:eastAsia="仿宋" w:cs="Times New Roman"/>
          <w:color w:val="auto"/>
          <w:kern w:val="2"/>
          <w:sz w:val="24"/>
          <w:szCs w:val="22"/>
          <w:lang w:val="en-US" w:eastAsia="zh-CN" w:bidi="ar-SA"/>
        </w:rPr>
        <w:fldChar w:fldCharType="separate"/>
      </w:r>
      <w:r>
        <w:rPr>
          <w:rFonts w:ascii="仿宋" w:hAnsi="仿宋" w:eastAsia="仿宋" w:cs="Times New Roman"/>
          <w:color w:val="auto"/>
          <w:kern w:val="2"/>
          <w:sz w:val="24"/>
          <w:szCs w:val="22"/>
          <w:lang w:val="en-US" w:eastAsia="zh-CN" w:bidi="ar-SA"/>
        </w:rPr>
        <w:t>18</w:t>
      </w:r>
      <w:r>
        <w:rPr>
          <w:rFonts w:ascii="仿宋" w:hAnsi="仿宋" w:eastAsia="仿宋" w:cs="Times New Roman"/>
          <w:color w:val="auto"/>
          <w:kern w:val="2"/>
          <w:sz w:val="24"/>
          <w:szCs w:val="22"/>
          <w:lang w:val="en-US" w:eastAsia="zh-CN" w:bidi="ar-SA"/>
        </w:rPr>
        <w:fldChar w:fldCharType="end"/>
      </w:r>
      <w:r>
        <w:rPr>
          <w:rFonts w:ascii="仿宋" w:hAnsi="仿宋" w:eastAsia="仿宋" w:cs="Times New Roman"/>
          <w:color w:val="auto"/>
          <w:kern w:val="2"/>
          <w:sz w:val="24"/>
          <w:szCs w:val="22"/>
          <w:lang w:val="en-US" w:eastAsia="zh-CN" w:bidi="ar-SA"/>
        </w:rPr>
        <w:fldChar w:fldCharType="end"/>
      </w:r>
    </w:p>
    <w:p>
      <w:pPr>
        <w:spacing w:line="400" w:lineRule="exact"/>
        <w:ind w:firstLine="523" w:firstLineChars="218"/>
        <w:rPr>
          <w:rFonts w:ascii="仿宋" w:hAnsi="仿宋" w:eastAsia="仿宋" w:cs="Times New Roman"/>
          <w:color w:val="auto"/>
          <w:kern w:val="2"/>
          <w:sz w:val="24"/>
          <w:szCs w:val="22"/>
          <w:lang w:val="en-US" w:eastAsia="zh-CN" w:bidi="ar-SA"/>
        </w:rPr>
      </w:pPr>
      <w:r>
        <w:rPr>
          <w:rFonts w:ascii="仿宋" w:hAnsi="仿宋" w:eastAsia="仿宋" w:cs="Times New Roman"/>
          <w:color w:val="auto"/>
          <w:kern w:val="2"/>
          <w:sz w:val="24"/>
          <w:szCs w:val="22"/>
          <w:lang w:val="en-US" w:eastAsia="zh-CN" w:bidi="ar-SA"/>
        </w:rPr>
        <w:fldChar w:fldCharType="end"/>
      </w:r>
    </w:p>
    <w:p>
      <w:pPr>
        <w:spacing w:line="400" w:lineRule="exact"/>
        <w:ind w:firstLine="457" w:firstLineChars="218"/>
      </w:pPr>
      <w:r>
        <w:br w:type="page"/>
      </w:r>
      <w:bookmarkEnd w:id="6"/>
      <w:bookmarkStart w:id="9" w:name="_Toc446443141"/>
    </w:p>
    <w:p>
      <w:pPr>
        <w:pStyle w:val="3"/>
        <w:spacing w:line="520" w:lineRule="exact"/>
        <w:jc w:val="center"/>
        <w:rPr>
          <w:rFonts w:ascii="Times New Roman" w:hAnsi="Times New Roman"/>
        </w:rPr>
      </w:pPr>
      <w:bookmarkStart w:id="10" w:name="_Toc23179117"/>
    </w:p>
    <w:p>
      <w:pPr>
        <w:pStyle w:val="3"/>
        <w:spacing w:line="520" w:lineRule="exact"/>
        <w:jc w:val="center"/>
        <w:rPr>
          <w:rFonts w:ascii="Times New Roman" w:hAnsi="Times New Roman"/>
        </w:rPr>
      </w:pPr>
      <w:bookmarkStart w:id="11" w:name="_Toc12081"/>
      <w:r>
        <w:rPr>
          <w:rFonts w:ascii="Times New Roman" w:hAnsi="Times New Roman"/>
        </w:rPr>
        <w:t>估价师声明</w:t>
      </w:r>
      <w:bookmarkEnd w:id="9"/>
      <w:bookmarkEnd w:id="10"/>
      <w:bookmarkEnd w:id="11"/>
    </w:p>
    <w:p>
      <w:pPr>
        <w:rPr>
          <w:rFonts w:eastAsia="黑体"/>
          <w:b/>
          <w:sz w:val="28"/>
          <w:szCs w:val="28"/>
        </w:rPr>
      </w:pPr>
      <w:r>
        <w:rPr>
          <w:rFonts w:eastAsia="黑体"/>
          <w:b/>
          <w:sz w:val="28"/>
          <w:szCs w:val="28"/>
        </w:rPr>
        <w:t>我们郑重声明：</w:t>
      </w:r>
    </w:p>
    <w:p>
      <w:pPr>
        <w:spacing w:after="156" w:afterLines="50" w:line="480" w:lineRule="exact"/>
        <w:ind w:firstLine="560" w:firstLineChars="200"/>
        <w:rPr>
          <w:rFonts w:ascii="仿宋" w:hAnsi="仿宋" w:eastAsia="仿宋"/>
          <w:sz w:val="28"/>
        </w:rPr>
      </w:pPr>
      <w:r>
        <w:rPr>
          <w:rFonts w:eastAsia="楷体_GB2312"/>
          <w:sz w:val="28"/>
        </w:rPr>
        <w:t>1</w:t>
      </w:r>
      <w:r>
        <w:rPr>
          <w:rFonts w:hint="eastAsia" w:eastAsia="楷体_GB2312"/>
          <w:sz w:val="28"/>
        </w:rPr>
        <w:t>．</w:t>
      </w:r>
      <w:r>
        <w:rPr>
          <w:rFonts w:ascii="仿宋" w:hAnsi="仿宋" w:eastAsia="仿宋"/>
          <w:sz w:val="28"/>
        </w:rPr>
        <w:t>我们在此次报告中陈述的事实是真实的和准确的，没有虚假记载、误导性陈述和重大遗漏；</w:t>
      </w:r>
    </w:p>
    <w:p>
      <w:pPr>
        <w:spacing w:after="156" w:afterLines="50" w:line="480" w:lineRule="exact"/>
        <w:ind w:firstLine="560" w:firstLineChars="200"/>
        <w:rPr>
          <w:rFonts w:ascii="仿宋" w:hAnsi="仿宋" w:eastAsia="仿宋"/>
          <w:sz w:val="28"/>
        </w:rPr>
      </w:pPr>
      <w:r>
        <w:rPr>
          <w:rFonts w:ascii="仿宋" w:hAnsi="仿宋" w:eastAsia="仿宋"/>
          <w:sz w:val="28"/>
        </w:rPr>
        <w:t>2</w:t>
      </w:r>
      <w:r>
        <w:rPr>
          <w:rFonts w:hint="eastAsia" w:ascii="仿宋" w:hAnsi="仿宋" w:eastAsia="仿宋"/>
          <w:sz w:val="28"/>
        </w:rPr>
        <w:t>．</w:t>
      </w:r>
      <w:r>
        <w:rPr>
          <w:rFonts w:ascii="仿宋" w:hAnsi="仿宋" w:eastAsia="仿宋"/>
          <w:sz w:val="28"/>
        </w:rPr>
        <w:t>本估价报告中的分析、意见和结论是我们独立、客观、公正的专业分析、意见和结论，但受到估价报告中已说明的估价假设和限制条件的限制；</w:t>
      </w:r>
    </w:p>
    <w:p>
      <w:pPr>
        <w:spacing w:after="156" w:afterLines="50" w:line="480" w:lineRule="exact"/>
        <w:ind w:firstLine="560" w:firstLineChars="200"/>
        <w:rPr>
          <w:rFonts w:ascii="仿宋" w:hAnsi="仿宋" w:eastAsia="仿宋"/>
          <w:sz w:val="28"/>
        </w:rPr>
      </w:pPr>
      <w:r>
        <w:rPr>
          <w:rFonts w:ascii="仿宋" w:hAnsi="仿宋" w:eastAsia="仿宋"/>
          <w:sz w:val="28"/>
        </w:rPr>
        <w:t>3</w:t>
      </w:r>
      <w:r>
        <w:rPr>
          <w:rFonts w:hint="eastAsia" w:ascii="仿宋" w:hAnsi="仿宋" w:eastAsia="仿宋"/>
          <w:sz w:val="28"/>
        </w:rPr>
        <w:t>．</w:t>
      </w:r>
      <w:r>
        <w:rPr>
          <w:rFonts w:ascii="仿宋" w:hAnsi="仿宋" w:eastAsia="仿宋"/>
          <w:sz w:val="28"/>
        </w:rPr>
        <w:t>我们与本估价报告中的估价对象没有现实或潜在的利益，与估价委托人及估价利害关系人没有利害关系，也对估价对象、估价委托人及估价利害关系人没有偏见；</w:t>
      </w:r>
    </w:p>
    <w:p>
      <w:pPr>
        <w:spacing w:after="156" w:afterLines="50" w:line="480" w:lineRule="exact"/>
        <w:ind w:firstLine="560" w:firstLineChars="200"/>
        <w:rPr>
          <w:rFonts w:ascii="仿宋" w:hAnsi="仿宋" w:eastAsia="仿宋"/>
          <w:sz w:val="28"/>
        </w:rPr>
      </w:pPr>
      <w:r>
        <w:rPr>
          <w:rFonts w:ascii="仿宋" w:hAnsi="仿宋" w:eastAsia="仿宋"/>
          <w:sz w:val="28"/>
        </w:rPr>
        <w:t>4</w:t>
      </w:r>
      <w:r>
        <w:rPr>
          <w:rFonts w:hint="eastAsia" w:ascii="仿宋" w:hAnsi="仿宋" w:eastAsia="仿宋"/>
          <w:sz w:val="28"/>
        </w:rPr>
        <w:t>．</w:t>
      </w:r>
      <w:r>
        <w:rPr>
          <w:rFonts w:ascii="仿宋" w:hAnsi="仿宋" w:eastAsia="仿宋"/>
          <w:sz w:val="28"/>
        </w:rPr>
        <w:t>我们按照中华人民共和国国家标准《房地产估价规范》(GB/T 50291-2015)</w:t>
      </w:r>
      <w:r>
        <w:rPr>
          <w:rFonts w:hint="eastAsia" w:ascii="仿宋" w:hAnsi="仿宋" w:eastAsia="仿宋"/>
          <w:sz w:val="28"/>
        </w:rPr>
        <w:t>、《房地产估价术语标准》（GB/T 50899-2013）等</w:t>
      </w:r>
      <w:r>
        <w:rPr>
          <w:rFonts w:ascii="仿宋" w:hAnsi="仿宋" w:eastAsia="仿宋"/>
          <w:sz w:val="28"/>
        </w:rPr>
        <w:t>的规定进行估价工作，撰写本估价报告</w:t>
      </w:r>
      <w:r>
        <w:rPr>
          <w:rFonts w:hint="eastAsia" w:ascii="仿宋" w:hAnsi="仿宋" w:eastAsia="仿宋"/>
          <w:sz w:val="28"/>
        </w:rPr>
        <w:t>；</w:t>
      </w:r>
    </w:p>
    <w:p>
      <w:pPr>
        <w:spacing w:after="156" w:afterLines="50" w:line="480" w:lineRule="exact"/>
        <w:ind w:firstLine="560" w:firstLineChars="200"/>
        <w:rPr>
          <w:rFonts w:ascii="仿宋" w:hAnsi="仿宋" w:eastAsia="仿宋"/>
          <w:sz w:val="28"/>
        </w:rPr>
      </w:pPr>
      <w:r>
        <w:rPr>
          <w:rFonts w:ascii="仿宋" w:hAnsi="仿宋" w:eastAsia="仿宋"/>
          <w:sz w:val="28"/>
        </w:rPr>
        <w:t>5</w:t>
      </w:r>
      <w:r>
        <w:rPr>
          <w:rFonts w:hint="eastAsia" w:ascii="仿宋" w:hAnsi="仿宋" w:eastAsia="仿宋"/>
          <w:sz w:val="28"/>
        </w:rPr>
        <w:t>．</w:t>
      </w:r>
      <w:r>
        <w:rPr>
          <w:rFonts w:ascii="仿宋" w:hAnsi="仿宋" w:eastAsia="仿宋"/>
          <w:sz w:val="28"/>
        </w:rPr>
        <w:t>没有人对本评估结果提供重要的专业帮助。</w:t>
      </w:r>
    </w:p>
    <w:p>
      <w:pPr>
        <w:pStyle w:val="3"/>
        <w:jc w:val="center"/>
        <w:rPr>
          <w:rFonts w:eastAsia="楷体_GB2312"/>
          <w:sz w:val="28"/>
        </w:rPr>
      </w:pPr>
    </w:p>
    <w:p>
      <w:pPr>
        <w:spacing w:line="460" w:lineRule="exact"/>
        <w:rPr>
          <w:rFonts w:eastAsia="楷体_GB2312"/>
          <w:sz w:val="28"/>
        </w:rPr>
      </w:pPr>
      <w:r>
        <w:rPr>
          <w:rFonts w:eastAsia="楷体_GB2312"/>
          <w:sz w:val="28"/>
        </w:rPr>
        <w:br w:type="page"/>
      </w:r>
    </w:p>
    <w:p>
      <w:pPr>
        <w:pStyle w:val="3"/>
        <w:jc w:val="center"/>
        <w:rPr>
          <w:rFonts w:ascii="Times New Roman" w:hAnsi="Times New Roman"/>
        </w:rPr>
      </w:pPr>
      <w:bookmarkStart w:id="12" w:name="_Toc419202128"/>
      <w:bookmarkStart w:id="13" w:name="_Toc319586162"/>
      <w:bookmarkStart w:id="14" w:name="_Toc23179118"/>
      <w:bookmarkStart w:id="15" w:name="_Toc18187"/>
      <w:r>
        <w:rPr>
          <w:rFonts w:ascii="Times New Roman"/>
        </w:rPr>
        <w:t>估价假设和限制条件</w:t>
      </w:r>
      <w:bookmarkEnd w:id="12"/>
      <w:bookmarkEnd w:id="13"/>
      <w:bookmarkEnd w:id="14"/>
      <w:bookmarkEnd w:id="15"/>
    </w:p>
    <w:p>
      <w:pPr>
        <w:pStyle w:val="4"/>
        <w:spacing w:before="0" w:after="0" w:line="480" w:lineRule="exact"/>
        <w:ind w:firstLine="542" w:firstLineChars="200"/>
      </w:pPr>
      <w:bookmarkStart w:id="16" w:name="_Toc437793123"/>
      <w:bookmarkStart w:id="17" w:name="_Toc437849851"/>
      <w:bookmarkStart w:id="18" w:name="_Toc439075979"/>
      <w:bookmarkStart w:id="19" w:name="_Toc23179119"/>
      <w:bookmarkStart w:id="20" w:name="_Toc22025"/>
      <w:r>
        <w:rPr>
          <w:rFonts w:hint="eastAsia"/>
        </w:rPr>
        <w:t>一、一般假设</w:t>
      </w:r>
      <w:bookmarkEnd w:id="16"/>
      <w:bookmarkEnd w:id="17"/>
      <w:bookmarkEnd w:id="18"/>
      <w:bookmarkEnd w:id="19"/>
      <w:bookmarkEnd w:id="20"/>
    </w:p>
    <w:p>
      <w:pPr>
        <w:spacing w:line="480" w:lineRule="exact"/>
        <w:rPr>
          <w:rFonts w:ascii="仿宋" w:hAnsi="仿宋" w:eastAsia="仿宋"/>
          <w:sz w:val="28"/>
          <w:szCs w:val="28"/>
        </w:rPr>
      </w:pPr>
      <w:r>
        <w:rPr>
          <w:rFonts w:hint="eastAsia" w:eastAsia="楷体_GB2312"/>
          <w:sz w:val="28"/>
        </w:rPr>
        <w:t xml:space="preserve">  </w:t>
      </w:r>
      <w:r>
        <w:rPr>
          <w:rFonts w:hint="eastAsia" w:ascii="仿宋" w:hAnsi="仿宋" w:eastAsia="仿宋"/>
          <w:sz w:val="28"/>
        </w:rPr>
        <w:t xml:space="preserve">  </w:t>
      </w:r>
      <w:r>
        <w:rPr>
          <w:rFonts w:hint="eastAsia" w:ascii="仿宋" w:hAnsi="仿宋" w:eastAsia="仿宋"/>
          <w:sz w:val="28"/>
          <w:szCs w:val="28"/>
        </w:rPr>
        <w:t>1．估价委托人提供了估价对象的产权资料，但未能提供权属证书原件，本公司对委托人提供的权属资料进行了审慎的检查和尽职调查，估价对象面积及数据与现场查勘基本相符，在无理由怀疑其合法性、真实性、准确性和完整性情况下，</w:t>
      </w:r>
      <w:r>
        <w:rPr>
          <w:rFonts w:hint="eastAsia" w:ascii="仿宋" w:hAnsi="仿宋" w:eastAsia="仿宋"/>
          <w:sz w:val="28"/>
        </w:rPr>
        <w:t>本报告中所依据的权属及建筑面积等有关数据以委托人提供的产权资料中登记的数据为准，委托人应对其提供的房地产估价所必需的情况和资料的真实性、合法性和完整性负责。若上述情况发生变化，应调整评估结果或重新评估。</w:t>
      </w:r>
    </w:p>
    <w:p>
      <w:pPr>
        <w:spacing w:line="480" w:lineRule="exact"/>
        <w:ind w:firstLine="570"/>
        <w:rPr>
          <w:rFonts w:ascii="仿宋" w:hAnsi="仿宋" w:eastAsia="仿宋"/>
          <w:sz w:val="28"/>
          <w:szCs w:val="28"/>
        </w:rPr>
      </w:pPr>
      <w:r>
        <w:rPr>
          <w:rFonts w:hint="eastAsia" w:ascii="仿宋" w:hAnsi="仿宋" w:eastAsia="仿宋"/>
          <w:sz w:val="28"/>
          <w:szCs w:val="28"/>
        </w:rPr>
        <w:t>2．对估价对象的现场查勘仅限于其外观和使用状况，对被掩盖、未暴露及难以接触到的内部结构部分，并未进行测量，而是依据委托人提供的资料进行评估。除非另有协议，我们不承担对估价对象建筑结构质量进行调查的责任。</w:t>
      </w:r>
    </w:p>
    <w:p>
      <w:pPr>
        <w:spacing w:line="480" w:lineRule="exact"/>
        <w:ind w:firstLine="570"/>
        <w:rPr>
          <w:rFonts w:ascii="仿宋" w:hAnsi="仿宋" w:eastAsia="仿宋"/>
          <w:sz w:val="28"/>
        </w:rPr>
      </w:pPr>
      <w:r>
        <w:rPr>
          <w:rFonts w:hint="eastAsia" w:ascii="仿宋" w:hAnsi="仿宋" w:eastAsia="仿宋"/>
          <w:sz w:val="28"/>
        </w:rPr>
        <w:t>3．估价对象的运作方法、程序符合国家、地方的法律法规，产权明晰、手续齐全、可在公开市场上自由转让</w:t>
      </w:r>
      <w:r>
        <w:rPr>
          <w:rFonts w:hint="eastAsia" w:ascii="仿宋" w:hAnsi="仿宋" w:eastAsia="仿宋"/>
          <w:sz w:val="28"/>
          <w:szCs w:val="28"/>
        </w:rPr>
        <w:t>，不属于行政法规规定不得转让的房地产</w:t>
      </w:r>
      <w:r>
        <w:rPr>
          <w:rFonts w:hint="eastAsia" w:ascii="仿宋" w:hAnsi="仿宋" w:eastAsia="仿宋"/>
          <w:sz w:val="28"/>
        </w:rPr>
        <w:t>。</w:t>
      </w:r>
    </w:p>
    <w:p>
      <w:pPr>
        <w:spacing w:line="480" w:lineRule="exact"/>
        <w:rPr>
          <w:rFonts w:ascii="仿宋" w:hAnsi="仿宋" w:eastAsia="仿宋"/>
          <w:sz w:val="28"/>
        </w:rPr>
      </w:pPr>
      <w:r>
        <w:rPr>
          <w:rFonts w:hint="eastAsia" w:ascii="仿宋" w:hAnsi="仿宋" w:eastAsia="仿宋"/>
          <w:sz w:val="28"/>
        </w:rPr>
        <w:t xml:space="preserve">    4．估价对象在价值时点的房地产市场为公开、平等、自愿的交易市场，即能</w:t>
      </w:r>
      <w:r>
        <w:rPr>
          <w:rFonts w:ascii="仿宋" w:hAnsi="仿宋" w:eastAsia="仿宋"/>
          <w:sz w:val="28"/>
        </w:rPr>
        <w:t>满足下列条件下进行交易最可能的价格：</w:t>
      </w:r>
    </w:p>
    <w:p>
      <w:pPr>
        <w:spacing w:line="480" w:lineRule="exact"/>
        <w:ind w:left="567" w:leftChars="270"/>
        <w:rPr>
          <w:rFonts w:ascii="仿宋" w:hAnsi="仿宋" w:eastAsia="仿宋"/>
          <w:sz w:val="28"/>
        </w:rPr>
      </w:pPr>
      <w:r>
        <w:rPr>
          <w:rFonts w:hint="eastAsia" w:ascii="仿宋" w:hAnsi="仿宋" w:eastAsia="仿宋"/>
          <w:sz w:val="28"/>
        </w:rPr>
        <w:t>①</w:t>
      </w:r>
      <w:r>
        <w:rPr>
          <w:rFonts w:ascii="仿宋" w:hAnsi="仿宋" w:eastAsia="仿宋"/>
          <w:sz w:val="28"/>
        </w:rPr>
        <w:t>交易双方是自愿地进行交易的；</w:t>
      </w:r>
    </w:p>
    <w:p>
      <w:pPr>
        <w:spacing w:line="480" w:lineRule="exact"/>
        <w:ind w:left="567" w:leftChars="270"/>
        <w:rPr>
          <w:rFonts w:ascii="仿宋" w:hAnsi="仿宋" w:eastAsia="仿宋"/>
          <w:sz w:val="28"/>
        </w:rPr>
      </w:pPr>
      <w:r>
        <w:rPr>
          <w:rFonts w:hint="eastAsia" w:ascii="仿宋" w:hAnsi="仿宋" w:eastAsia="仿宋"/>
          <w:sz w:val="28"/>
        </w:rPr>
        <w:t>②</w:t>
      </w:r>
      <w:r>
        <w:rPr>
          <w:rFonts w:ascii="仿宋" w:hAnsi="仿宋" w:eastAsia="仿宋"/>
          <w:sz w:val="28"/>
        </w:rPr>
        <w:t>交易双方是出于利己动机进行交易的；</w:t>
      </w:r>
    </w:p>
    <w:p>
      <w:pPr>
        <w:spacing w:line="480" w:lineRule="exact"/>
        <w:ind w:left="567" w:leftChars="270"/>
        <w:rPr>
          <w:rFonts w:ascii="仿宋" w:hAnsi="仿宋" w:eastAsia="仿宋"/>
          <w:sz w:val="28"/>
        </w:rPr>
      </w:pPr>
      <w:r>
        <w:rPr>
          <w:rFonts w:hint="eastAsia" w:ascii="仿宋" w:hAnsi="仿宋" w:eastAsia="仿宋"/>
          <w:sz w:val="28"/>
        </w:rPr>
        <w:t>③</w:t>
      </w:r>
      <w:r>
        <w:rPr>
          <w:rFonts w:ascii="仿宋" w:hAnsi="仿宋" w:eastAsia="仿宋"/>
          <w:sz w:val="28"/>
        </w:rPr>
        <w:t>交易双方是精明、谨慎行事的，并且了解交易对象、知晓市场行情；</w:t>
      </w:r>
    </w:p>
    <w:p>
      <w:pPr>
        <w:spacing w:line="480" w:lineRule="exact"/>
        <w:ind w:left="567" w:leftChars="270"/>
        <w:rPr>
          <w:rFonts w:ascii="仿宋" w:hAnsi="仿宋" w:eastAsia="仿宋"/>
          <w:sz w:val="28"/>
        </w:rPr>
      </w:pPr>
      <w:r>
        <w:rPr>
          <w:rFonts w:hint="eastAsia" w:ascii="仿宋" w:hAnsi="仿宋" w:eastAsia="仿宋"/>
          <w:sz w:val="28"/>
        </w:rPr>
        <w:t>④</w:t>
      </w:r>
      <w:r>
        <w:rPr>
          <w:rFonts w:ascii="仿宋" w:hAnsi="仿宋" w:eastAsia="仿宋"/>
          <w:sz w:val="28"/>
        </w:rPr>
        <w:t>交易双方有较充裕的时间进行交易；</w:t>
      </w:r>
    </w:p>
    <w:p>
      <w:pPr>
        <w:spacing w:line="480" w:lineRule="exact"/>
        <w:ind w:left="567" w:leftChars="270"/>
        <w:rPr>
          <w:rFonts w:ascii="仿宋" w:hAnsi="仿宋" w:eastAsia="仿宋"/>
          <w:sz w:val="28"/>
        </w:rPr>
      </w:pPr>
      <w:r>
        <w:rPr>
          <w:rFonts w:hint="eastAsia" w:ascii="仿宋" w:hAnsi="仿宋" w:eastAsia="仿宋"/>
          <w:sz w:val="28"/>
        </w:rPr>
        <w:t>⑤</w:t>
      </w:r>
      <w:r>
        <w:rPr>
          <w:rFonts w:ascii="仿宋" w:hAnsi="仿宋" w:eastAsia="仿宋"/>
          <w:sz w:val="28"/>
        </w:rPr>
        <w:t>不存在买者因特殊兴趣而给予附加出价。</w:t>
      </w:r>
    </w:p>
    <w:p>
      <w:pPr>
        <w:spacing w:line="480" w:lineRule="exact"/>
        <w:rPr>
          <w:rFonts w:ascii="仿宋" w:hAnsi="仿宋" w:eastAsia="仿宋"/>
          <w:sz w:val="28"/>
        </w:rPr>
      </w:pPr>
      <w:r>
        <w:rPr>
          <w:rFonts w:hint="eastAsia" w:ascii="仿宋" w:hAnsi="仿宋" w:eastAsia="仿宋"/>
          <w:sz w:val="28"/>
        </w:rPr>
        <w:t xml:space="preserve">    5．</w:t>
      </w:r>
      <w:r>
        <w:rPr>
          <w:rFonts w:ascii="仿宋" w:hAnsi="仿宋" w:eastAsia="仿宋"/>
          <w:sz w:val="28"/>
        </w:rPr>
        <w:t>估价对象</w:t>
      </w:r>
      <w:r>
        <w:rPr>
          <w:rFonts w:hint="eastAsia" w:ascii="仿宋" w:hAnsi="仿宋" w:eastAsia="仿宋"/>
          <w:sz w:val="28"/>
        </w:rPr>
        <w:t>能享用公共部位的通行权及水电等公用设施的使用权</w:t>
      </w:r>
      <w:r>
        <w:rPr>
          <w:rFonts w:ascii="仿宋" w:hAnsi="仿宋" w:eastAsia="仿宋"/>
          <w:sz w:val="28"/>
        </w:rPr>
        <w:t>。</w:t>
      </w:r>
    </w:p>
    <w:p>
      <w:pPr>
        <w:spacing w:line="480" w:lineRule="exact"/>
        <w:rPr>
          <w:rFonts w:ascii="仿宋" w:hAnsi="仿宋" w:eastAsia="仿宋"/>
          <w:sz w:val="28"/>
        </w:rPr>
      </w:pPr>
      <w:r>
        <w:rPr>
          <w:rFonts w:hint="eastAsia" w:ascii="仿宋" w:hAnsi="仿宋" w:eastAsia="仿宋"/>
          <w:sz w:val="28"/>
        </w:rPr>
        <w:t xml:space="preserve">    6．本次评估是以估价对象能够合法、继续使用为前提。</w:t>
      </w:r>
    </w:p>
    <w:p>
      <w:pPr>
        <w:pStyle w:val="4"/>
        <w:spacing w:line="480" w:lineRule="exact"/>
        <w:ind w:firstLine="542" w:firstLineChars="200"/>
        <w:rPr>
          <w:lang w:eastAsia="zh-CN"/>
        </w:rPr>
      </w:pPr>
      <w:bookmarkStart w:id="21" w:name="_Toc437793124"/>
      <w:bookmarkStart w:id="22" w:name="_Toc437849852"/>
      <w:bookmarkStart w:id="23" w:name="_Toc439075980"/>
      <w:bookmarkStart w:id="24" w:name="_Toc23179120"/>
    </w:p>
    <w:p>
      <w:pPr>
        <w:pStyle w:val="4"/>
        <w:spacing w:line="480" w:lineRule="exact"/>
        <w:ind w:firstLine="542" w:firstLineChars="200"/>
      </w:pPr>
      <w:bookmarkStart w:id="25" w:name="_Toc26527"/>
      <w:r>
        <w:rPr>
          <w:rFonts w:hint="eastAsia"/>
        </w:rPr>
        <w:t>二、</w:t>
      </w:r>
      <w:bookmarkEnd w:id="21"/>
      <w:bookmarkEnd w:id="22"/>
      <w:bookmarkEnd w:id="23"/>
      <w:r>
        <w:rPr>
          <w:rFonts w:hint="eastAsia"/>
          <w:lang w:eastAsia="zh-CN"/>
        </w:rPr>
        <w:t>未</w:t>
      </w:r>
      <w:r>
        <w:rPr>
          <w:rFonts w:hint="eastAsia"/>
        </w:rPr>
        <w:t>定事项假设</w:t>
      </w:r>
      <w:bookmarkEnd w:id="24"/>
      <w:bookmarkEnd w:id="25"/>
    </w:p>
    <w:p>
      <w:pPr>
        <w:spacing w:line="480" w:lineRule="exact"/>
        <w:ind w:firstLine="570"/>
        <w:rPr>
          <w:rFonts w:ascii="仿宋" w:hAnsi="仿宋" w:eastAsia="仿宋"/>
          <w:sz w:val="28"/>
          <w:szCs w:val="28"/>
        </w:rPr>
      </w:pPr>
      <w:r>
        <w:rPr>
          <w:rFonts w:ascii="仿宋" w:hAnsi="仿宋" w:eastAsia="仿宋"/>
          <w:sz w:val="28"/>
          <w:szCs w:val="28"/>
          <w:lang w:val="zh-CN"/>
        </w:rPr>
        <w:t>1</w:t>
      </w:r>
      <w:r>
        <w:rPr>
          <w:rFonts w:hint="eastAsia" w:ascii="仿宋" w:hAnsi="仿宋" w:eastAsia="仿宋"/>
          <w:sz w:val="28"/>
          <w:szCs w:val="28"/>
        </w:rPr>
        <w:t>．本次估价是以估价对象不存在抵押权、典权等他项权利，亦</w:t>
      </w:r>
      <w:r>
        <w:rPr>
          <w:rFonts w:ascii="仿宋" w:hAnsi="仿宋" w:eastAsia="仿宋"/>
          <w:sz w:val="28"/>
          <w:szCs w:val="28"/>
        </w:rPr>
        <w:t>无</w:t>
      </w:r>
      <w:r>
        <w:rPr>
          <w:rFonts w:hint="eastAsia" w:ascii="仿宋" w:hAnsi="仿宋" w:eastAsia="仿宋"/>
          <w:sz w:val="28"/>
          <w:szCs w:val="28"/>
        </w:rPr>
        <w:t>其他</w:t>
      </w:r>
      <w:r>
        <w:rPr>
          <w:rFonts w:ascii="仿宋" w:hAnsi="仿宋" w:eastAsia="仿宋"/>
          <w:sz w:val="28"/>
          <w:szCs w:val="28"/>
        </w:rPr>
        <w:t>法定优先受偿款</w:t>
      </w:r>
      <w:r>
        <w:rPr>
          <w:rFonts w:hint="eastAsia" w:ascii="仿宋" w:hAnsi="仿宋" w:eastAsia="仿宋"/>
          <w:sz w:val="28"/>
          <w:szCs w:val="28"/>
        </w:rPr>
        <w:t>为假设前提</w:t>
      </w:r>
      <w:r>
        <w:rPr>
          <w:rFonts w:ascii="仿宋" w:hAnsi="仿宋" w:eastAsia="仿宋"/>
          <w:sz w:val="28"/>
          <w:szCs w:val="28"/>
        </w:rPr>
        <w:t>。</w:t>
      </w:r>
    </w:p>
    <w:p>
      <w:pPr>
        <w:spacing w:line="480" w:lineRule="exact"/>
        <w:ind w:firstLine="570"/>
        <w:rPr>
          <w:rFonts w:ascii="仿宋" w:hAnsi="仿宋" w:eastAsia="仿宋"/>
          <w:sz w:val="28"/>
          <w:szCs w:val="28"/>
        </w:rPr>
      </w:pPr>
      <w:r>
        <w:rPr>
          <w:rFonts w:hint="eastAsia" w:ascii="仿宋" w:hAnsi="仿宋" w:eastAsia="仿宋"/>
          <w:sz w:val="28"/>
          <w:szCs w:val="28"/>
        </w:rPr>
        <w:t>2．</w:t>
      </w:r>
      <w:r>
        <w:rPr>
          <w:rFonts w:ascii="仿宋" w:hAnsi="仿宋" w:eastAsia="仿宋"/>
          <w:sz w:val="28"/>
          <w:szCs w:val="28"/>
        </w:rPr>
        <w:t>本次估价不考虑可能存在的租约或租赁限制对估价结果的影响。</w:t>
      </w:r>
    </w:p>
    <w:p>
      <w:pPr>
        <w:pStyle w:val="4"/>
        <w:spacing w:before="0" w:after="0" w:line="480" w:lineRule="exact"/>
        <w:ind w:firstLine="542" w:firstLineChars="200"/>
      </w:pPr>
      <w:bookmarkStart w:id="26" w:name="_Toc437793125"/>
      <w:bookmarkStart w:id="27" w:name="_Toc437849853"/>
      <w:bookmarkStart w:id="28" w:name="_Toc439075981"/>
      <w:bookmarkStart w:id="29" w:name="_Toc23179121"/>
      <w:bookmarkStart w:id="30" w:name="_Toc28829"/>
      <w:r>
        <w:rPr>
          <w:rFonts w:hint="eastAsia"/>
        </w:rPr>
        <w:t>三、背离实际情况假设</w:t>
      </w:r>
      <w:bookmarkEnd w:id="26"/>
      <w:bookmarkEnd w:id="27"/>
      <w:bookmarkEnd w:id="28"/>
      <w:bookmarkEnd w:id="29"/>
      <w:bookmarkEnd w:id="30"/>
    </w:p>
    <w:p>
      <w:pPr>
        <w:spacing w:line="480" w:lineRule="exact"/>
        <w:ind w:firstLine="570"/>
        <w:rPr>
          <w:rFonts w:ascii="仿宋" w:hAnsi="仿宋" w:eastAsia="仿宋"/>
          <w:sz w:val="28"/>
        </w:rPr>
      </w:pPr>
      <w:r>
        <w:rPr>
          <w:rFonts w:hint="eastAsia" w:ascii="仿宋" w:hAnsi="仿宋" w:eastAsia="仿宋"/>
          <w:sz w:val="28"/>
        </w:rPr>
        <w:t>1．本估价报告反映估价对象在本次评估目的下，根据国家、地方现行政策规定，按资产评估程序和公认的评估方法确定的现行价格，不考虑假定该批资产到市场变现时因特殊的变现方式和价格折扣而引起导致的价格变化；也未考虑国家宏观经济政策发生变化以及遇有自然力和其它不可抗力对资产价格的影响。当前述条件在评估结果有效期内发生明显变动时，上述结果在未作相应修正的情况下不再生效。</w:t>
      </w:r>
    </w:p>
    <w:p>
      <w:pPr>
        <w:pStyle w:val="62"/>
        <w:spacing w:line="480" w:lineRule="exact"/>
        <w:ind w:left="0" w:firstLine="560"/>
        <w:rPr>
          <w:rFonts w:ascii="Times New Roman" w:eastAsia="楷体_GB2312"/>
          <w:sz w:val="28"/>
          <w:szCs w:val="24"/>
        </w:rPr>
      </w:pPr>
      <w:r>
        <w:rPr>
          <w:rFonts w:hint="eastAsia" w:ascii="仿宋" w:hAnsi="仿宋" w:eastAsia="仿宋"/>
          <w:sz w:val="28"/>
          <w:szCs w:val="24"/>
        </w:rPr>
        <w:t>2．本报告估价结果仅指估价对象在价值时点的价值，并未考虑估价对象房地产所涉及的债权债务关系。</w:t>
      </w:r>
    </w:p>
    <w:p>
      <w:pPr>
        <w:pStyle w:val="4"/>
        <w:spacing w:before="0" w:after="0" w:line="480" w:lineRule="exact"/>
        <w:ind w:firstLine="542" w:firstLineChars="200"/>
      </w:pPr>
      <w:bookmarkStart w:id="31" w:name="_Toc23179122"/>
      <w:bookmarkStart w:id="32" w:name="_Toc28687"/>
      <w:r>
        <w:rPr>
          <w:rFonts w:hint="eastAsia"/>
        </w:rPr>
        <w:t>四、不相一致假设</w:t>
      </w:r>
      <w:bookmarkEnd w:id="31"/>
      <w:bookmarkEnd w:id="32"/>
    </w:p>
    <w:p>
      <w:pPr>
        <w:spacing w:line="520" w:lineRule="exact"/>
        <w:ind w:firstLine="560" w:firstLineChars="200"/>
        <w:rPr>
          <w:rFonts w:ascii="仿宋" w:hAnsi="仿宋" w:eastAsia="仿宋"/>
          <w:color w:val="0000FF"/>
          <w:sz w:val="28"/>
        </w:rPr>
      </w:pPr>
      <w:r>
        <w:rPr>
          <w:rFonts w:hint="eastAsia" w:ascii="仿宋" w:hAnsi="仿宋" w:eastAsia="仿宋"/>
          <w:color w:val="0000FF"/>
          <w:sz w:val="28"/>
        </w:rPr>
        <w:t>本次评估无不相一致假设。</w:t>
      </w:r>
    </w:p>
    <w:p>
      <w:pPr>
        <w:pStyle w:val="4"/>
        <w:spacing w:before="0" w:after="0" w:line="480" w:lineRule="exact"/>
        <w:ind w:firstLine="542" w:firstLineChars="200"/>
        <w:rPr>
          <w:lang w:eastAsia="zh-CN"/>
        </w:rPr>
      </w:pPr>
      <w:bookmarkStart w:id="33" w:name="_Toc23179123"/>
      <w:bookmarkStart w:id="34" w:name="_Toc26469"/>
      <w:r>
        <w:rPr>
          <w:rFonts w:hint="eastAsia"/>
        </w:rPr>
        <w:t>五、依据不足假设</w:t>
      </w:r>
      <w:bookmarkEnd w:id="33"/>
      <w:bookmarkEnd w:id="34"/>
    </w:p>
    <w:p>
      <w:pPr>
        <w:spacing w:line="520" w:lineRule="exact"/>
        <w:ind w:firstLine="560" w:firstLineChars="200"/>
        <w:rPr>
          <w:rFonts w:ascii="仿宋" w:hAnsi="仿宋" w:eastAsia="仿宋"/>
          <w:color w:val="0000FF"/>
          <w:sz w:val="28"/>
        </w:rPr>
      </w:pPr>
      <w:bookmarkStart w:id="35" w:name="_Toc419202130"/>
      <w:r>
        <w:rPr>
          <w:rFonts w:hint="eastAsia" w:ascii="仿宋" w:hAnsi="仿宋" w:eastAsia="仿宋"/>
          <w:color w:val="0000FF"/>
          <w:sz w:val="28"/>
        </w:rPr>
        <w:t>估价对象于价值时点未办理不动产登记，本次评估设定估价对象具有完整产权，可正常办理不动产登记，本次估价对象土地面积为假设合理分摊所对应的土地面积。</w:t>
      </w:r>
    </w:p>
    <w:p>
      <w:pPr>
        <w:spacing w:before="156" w:beforeLines="50" w:after="156" w:afterLines="50"/>
        <w:ind w:firstLine="540" w:firstLineChars="200"/>
        <w:rPr>
          <w:rFonts w:ascii="Arial Unicode MS" w:hAnsi="Arial Unicode MS" w:eastAsia="Arial Unicode MS"/>
          <w:b/>
          <w:bCs/>
          <w:kern w:val="0"/>
          <w:sz w:val="27"/>
          <w:szCs w:val="27"/>
          <w:lang w:val="zh-CN" w:eastAsia="zh-CN"/>
        </w:rPr>
      </w:pPr>
      <w:r>
        <w:rPr>
          <w:rFonts w:hint="eastAsia" w:ascii="微软雅黑" w:hAnsi="微软雅黑" w:eastAsia="微软雅黑" w:cs="微软雅黑"/>
          <w:b/>
          <w:bCs/>
          <w:kern w:val="0"/>
          <w:sz w:val="27"/>
          <w:szCs w:val="27"/>
          <w:lang w:val="zh-CN" w:eastAsia="zh-CN"/>
        </w:rPr>
        <w:t>六</w:t>
      </w:r>
      <w:r>
        <w:rPr>
          <w:rFonts w:ascii="Arial Unicode MS" w:hAnsi="Arial Unicode MS" w:eastAsia="Arial Unicode MS"/>
          <w:b/>
          <w:bCs/>
          <w:kern w:val="0"/>
          <w:sz w:val="27"/>
          <w:szCs w:val="27"/>
          <w:lang w:val="zh-CN" w:eastAsia="zh-CN"/>
        </w:rPr>
        <w:t>、</w:t>
      </w:r>
      <w:r>
        <w:rPr>
          <w:rFonts w:hint="eastAsia" w:ascii="微软雅黑" w:hAnsi="微软雅黑" w:eastAsia="微软雅黑" w:cs="微软雅黑"/>
          <w:b/>
          <w:bCs/>
          <w:kern w:val="0"/>
          <w:sz w:val="27"/>
          <w:szCs w:val="27"/>
          <w:lang w:val="zh-CN" w:eastAsia="zh-CN"/>
        </w:rPr>
        <w:t>估价报告使用限制</w:t>
      </w:r>
      <w:bookmarkEnd w:id="35"/>
    </w:p>
    <w:p>
      <w:pPr>
        <w:spacing w:line="480" w:lineRule="exact"/>
        <w:ind w:firstLine="560" w:firstLineChars="200"/>
        <w:rPr>
          <w:rFonts w:ascii="仿宋" w:hAnsi="仿宋" w:eastAsia="仿宋"/>
          <w:sz w:val="28"/>
        </w:rPr>
      </w:pPr>
      <w:r>
        <w:rPr>
          <w:rFonts w:ascii="仿宋" w:hAnsi="仿宋" w:eastAsia="仿宋"/>
          <w:sz w:val="28"/>
        </w:rPr>
        <w:t>1</w:t>
      </w:r>
      <w:r>
        <w:rPr>
          <w:rFonts w:hint="eastAsia" w:ascii="仿宋" w:hAnsi="仿宋" w:eastAsia="仿宋"/>
          <w:sz w:val="28"/>
        </w:rPr>
        <w:t>．</w:t>
      </w:r>
      <w:r>
        <w:rPr>
          <w:rFonts w:ascii="仿宋" w:hAnsi="仿宋" w:eastAsia="仿宋"/>
          <w:sz w:val="28"/>
        </w:rPr>
        <w:t>本报告中所依据的有关数据以委托人提供的产权资料中登记的数据为准，委托人应对其提供的房地产估价所必需的情况和资料的真实性、合法性和完整性负责。</w:t>
      </w:r>
    </w:p>
    <w:p>
      <w:pPr>
        <w:spacing w:line="480" w:lineRule="exact"/>
        <w:ind w:firstLine="560" w:firstLineChars="200"/>
        <w:rPr>
          <w:rFonts w:ascii="仿宋" w:hAnsi="仿宋" w:eastAsia="仿宋"/>
          <w:sz w:val="28"/>
          <w:szCs w:val="28"/>
        </w:rPr>
      </w:pPr>
      <w:r>
        <w:rPr>
          <w:rFonts w:ascii="仿宋" w:hAnsi="仿宋" w:eastAsia="仿宋"/>
          <w:sz w:val="28"/>
        </w:rPr>
        <w:t>2</w:t>
      </w:r>
      <w:r>
        <w:rPr>
          <w:rFonts w:hint="eastAsia" w:ascii="仿宋" w:hAnsi="仿宋" w:eastAsia="仿宋"/>
          <w:sz w:val="28"/>
        </w:rPr>
        <w:t>．</w:t>
      </w:r>
      <w:r>
        <w:rPr>
          <w:rFonts w:hint="eastAsia" w:ascii="仿宋" w:hAnsi="仿宋" w:eastAsia="仿宋"/>
          <w:sz w:val="28"/>
          <w:szCs w:val="28"/>
        </w:rPr>
        <w:t>本评估报告结果包含土地使用权价值及与房地产不可分割的满足其使用功能的水、电、消防、公共区域装修、附属设施以及配套的所有相关辅助设施等的价值。</w:t>
      </w:r>
    </w:p>
    <w:p>
      <w:pPr>
        <w:spacing w:line="480" w:lineRule="exact"/>
        <w:ind w:firstLine="560" w:firstLineChars="200"/>
        <w:rPr>
          <w:rFonts w:ascii="仿宋" w:hAnsi="仿宋" w:eastAsia="仿宋"/>
          <w:sz w:val="28"/>
        </w:rPr>
      </w:pPr>
      <w:r>
        <w:rPr>
          <w:rFonts w:hint="eastAsia" w:ascii="仿宋" w:hAnsi="仿宋" w:eastAsia="仿宋"/>
          <w:sz w:val="28"/>
        </w:rPr>
        <w:t>3．</w:t>
      </w:r>
      <w:r>
        <w:rPr>
          <w:rFonts w:ascii="仿宋" w:hAnsi="仿宋" w:eastAsia="仿宋"/>
          <w:sz w:val="28"/>
        </w:rPr>
        <w:t>本估价报告</w:t>
      </w:r>
      <w:r>
        <w:rPr>
          <w:rFonts w:hint="eastAsia" w:ascii="仿宋" w:hAnsi="仿宋" w:eastAsia="仿宋"/>
          <w:sz w:val="28"/>
        </w:rPr>
        <w:t>应用有效期</w:t>
      </w:r>
      <w:r>
        <w:rPr>
          <w:rFonts w:ascii="仿宋" w:hAnsi="仿宋" w:eastAsia="仿宋"/>
          <w:sz w:val="28"/>
        </w:rPr>
        <w:t>自</w:t>
      </w:r>
      <w:r>
        <w:rPr>
          <w:rFonts w:ascii="仿宋" w:hAnsi="仿宋" w:eastAsia="仿宋"/>
          <w:sz w:val="28"/>
          <w:szCs w:val="28"/>
        </w:rPr>
        <w:fldChar w:fldCharType="begin"/>
      </w:r>
      <w:r>
        <w:rPr>
          <w:rFonts w:ascii="仿宋" w:hAnsi="仿宋" w:eastAsia="仿宋"/>
          <w:sz w:val="28"/>
          <w:szCs w:val="28"/>
        </w:rPr>
        <w:instrText xml:space="preserve"> MERGEFIELD 作业日期止 \@ "yyyy'年'M'月'd'日'"</w:instrText>
      </w:r>
      <w:r>
        <w:rPr>
          <w:rFonts w:ascii="仿宋" w:hAnsi="仿宋" w:eastAsia="仿宋"/>
          <w:sz w:val="28"/>
          <w:szCs w:val="28"/>
        </w:rPr>
        <w:fldChar w:fldCharType="separate"/>
      </w:r>
      <w:r>
        <w:rPr>
          <w:rFonts w:hint="eastAsia" w:ascii="仿宋" w:hAnsi="仿宋" w:eastAsia="仿宋"/>
          <w:sz w:val="28"/>
          <w:szCs w:val="28"/>
          <w:lang w:eastAsia="zh-CN"/>
        </w:rPr>
        <w:t>2022年08月12日</w:t>
      </w:r>
      <w:r>
        <w:rPr>
          <w:rFonts w:ascii="仿宋" w:hAnsi="仿宋" w:eastAsia="仿宋"/>
          <w:sz w:val="28"/>
          <w:szCs w:val="28"/>
        </w:rPr>
        <w:fldChar w:fldCharType="end"/>
      </w:r>
      <w:r>
        <w:rPr>
          <w:rFonts w:ascii="仿宋" w:hAnsi="仿宋" w:eastAsia="仿宋"/>
          <w:sz w:val="28"/>
          <w:szCs w:val="28"/>
        </w:rPr>
        <w:t>至</w:t>
      </w:r>
      <w:r>
        <w:rPr>
          <w:rFonts w:ascii="仿宋" w:hAnsi="仿宋" w:eastAsia="仿宋"/>
          <w:sz w:val="28"/>
        </w:rPr>
        <w:fldChar w:fldCharType="begin"/>
      </w:r>
      <w:r>
        <w:rPr>
          <w:rFonts w:ascii="仿宋" w:hAnsi="仿宋" w:eastAsia="仿宋"/>
          <w:sz w:val="28"/>
        </w:rPr>
        <w:instrText xml:space="preserve"> MERGEFIELD 有效期止 \@ "yyyy'年'M'月'd'日'"</w:instrText>
      </w:r>
      <w:r>
        <w:rPr>
          <w:rFonts w:ascii="仿宋" w:hAnsi="仿宋" w:eastAsia="仿宋"/>
          <w:sz w:val="28"/>
        </w:rPr>
        <w:fldChar w:fldCharType="separate"/>
      </w:r>
      <w:r>
        <w:rPr>
          <w:rFonts w:ascii="仿宋" w:hAnsi="仿宋" w:eastAsia="仿宋"/>
          <w:sz w:val="28"/>
        </w:rPr>
        <w:t>2023年08月1</w:t>
      </w:r>
      <w:r>
        <w:rPr>
          <w:rFonts w:hint="eastAsia" w:ascii="仿宋" w:hAnsi="仿宋" w:eastAsia="仿宋"/>
          <w:sz w:val="28"/>
          <w:lang w:val="en-US" w:eastAsia="zh-CN"/>
        </w:rPr>
        <w:t>1</w:t>
      </w:r>
      <w:r>
        <w:rPr>
          <w:rFonts w:ascii="仿宋" w:hAnsi="仿宋" w:eastAsia="仿宋"/>
          <w:sz w:val="28"/>
        </w:rPr>
        <w:t>日</w:t>
      </w:r>
      <w:r>
        <w:rPr>
          <w:rFonts w:ascii="仿宋" w:hAnsi="仿宋" w:eastAsia="仿宋"/>
          <w:sz w:val="28"/>
        </w:rPr>
        <w:fldChar w:fldCharType="end"/>
      </w:r>
      <w:r>
        <w:rPr>
          <w:rFonts w:ascii="仿宋" w:hAnsi="仿宋" w:eastAsia="仿宋"/>
          <w:sz w:val="28"/>
        </w:rPr>
        <w:t>一年内有效，超出上述期限，除另行声明或另有政策规定的</w:t>
      </w:r>
      <w:r>
        <w:rPr>
          <w:rFonts w:hint="eastAsia" w:ascii="仿宋" w:hAnsi="仿宋" w:eastAsia="仿宋"/>
          <w:sz w:val="28"/>
        </w:rPr>
        <w:t>除</w:t>
      </w:r>
      <w:r>
        <w:rPr>
          <w:rFonts w:ascii="仿宋" w:hAnsi="仿宋" w:eastAsia="仿宋"/>
          <w:sz w:val="28"/>
        </w:rPr>
        <w:t>外，评估结果失效。</w:t>
      </w:r>
    </w:p>
    <w:p>
      <w:pPr>
        <w:spacing w:line="480" w:lineRule="exact"/>
        <w:ind w:firstLine="560" w:firstLineChars="200"/>
        <w:rPr>
          <w:rFonts w:ascii="仿宋" w:hAnsi="仿宋" w:eastAsia="仿宋"/>
          <w:sz w:val="28"/>
        </w:rPr>
      </w:pPr>
      <w:r>
        <w:rPr>
          <w:rFonts w:hint="eastAsia" w:ascii="仿宋" w:hAnsi="仿宋" w:eastAsia="仿宋"/>
          <w:sz w:val="28"/>
        </w:rPr>
        <w:t>4．</w:t>
      </w:r>
      <w:r>
        <w:rPr>
          <w:rFonts w:ascii="仿宋" w:hAnsi="仿宋" w:eastAsia="仿宋"/>
          <w:sz w:val="28"/>
        </w:rPr>
        <w:t>本估价报告反映估价对象在本次评估目的下，根据国家、地方现行政策规定，按资产评估程序和公认的评估方法确定的现行</w:t>
      </w:r>
      <w:r>
        <w:rPr>
          <w:rFonts w:hint="eastAsia" w:ascii="仿宋" w:hAnsi="仿宋" w:eastAsia="仿宋"/>
          <w:sz w:val="28"/>
        </w:rPr>
        <w:t>价值</w:t>
      </w:r>
      <w:r>
        <w:rPr>
          <w:rFonts w:ascii="仿宋" w:hAnsi="仿宋" w:eastAsia="仿宋"/>
          <w:sz w:val="28"/>
        </w:rPr>
        <w:t>，不考虑假定该批资产到市场变现时因特殊的变现方式和价格折扣而引起导致的价格变化；也未考虑国家宏观经济政策发生变化以及遇有自然力和其它不可抗力对资产</w:t>
      </w:r>
      <w:r>
        <w:rPr>
          <w:rFonts w:hint="eastAsia" w:ascii="仿宋" w:hAnsi="仿宋" w:eastAsia="仿宋"/>
          <w:sz w:val="28"/>
        </w:rPr>
        <w:t>价值</w:t>
      </w:r>
      <w:r>
        <w:rPr>
          <w:rFonts w:ascii="仿宋" w:hAnsi="仿宋" w:eastAsia="仿宋"/>
          <w:sz w:val="28"/>
        </w:rPr>
        <w:t>的影响。当前述条件在评估</w:t>
      </w:r>
      <w:r>
        <w:rPr>
          <w:rFonts w:hint="eastAsia" w:ascii="仿宋" w:hAnsi="仿宋" w:eastAsia="仿宋"/>
          <w:sz w:val="28"/>
        </w:rPr>
        <w:t>报告应用</w:t>
      </w:r>
      <w:r>
        <w:rPr>
          <w:rFonts w:ascii="仿宋" w:hAnsi="仿宋" w:eastAsia="仿宋"/>
          <w:sz w:val="28"/>
        </w:rPr>
        <w:t>有效期内发生明显变动时，上述结果在未作相应修正的情况下不再生效。</w:t>
      </w:r>
    </w:p>
    <w:p>
      <w:pPr>
        <w:spacing w:line="480" w:lineRule="exact"/>
        <w:ind w:firstLine="560" w:firstLineChars="200"/>
        <w:rPr>
          <w:rFonts w:ascii="仿宋" w:hAnsi="仿宋" w:eastAsia="仿宋"/>
          <w:sz w:val="28"/>
          <w:szCs w:val="28"/>
        </w:rPr>
      </w:pPr>
      <w:r>
        <w:rPr>
          <w:rFonts w:hint="eastAsia" w:ascii="仿宋" w:hAnsi="仿宋" w:eastAsia="仿宋"/>
          <w:sz w:val="28"/>
          <w:szCs w:val="28"/>
        </w:rPr>
        <w:t>5．</w:t>
      </w:r>
      <w:r>
        <w:rPr>
          <w:rFonts w:ascii="仿宋" w:hAnsi="仿宋" w:eastAsia="仿宋"/>
          <w:sz w:val="28"/>
          <w:szCs w:val="28"/>
        </w:rPr>
        <w:t>价值时点后，估价报告</w:t>
      </w:r>
      <w:r>
        <w:rPr>
          <w:rFonts w:hint="eastAsia" w:ascii="仿宋" w:hAnsi="仿宋" w:eastAsia="仿宋"/>
          <w:sz w:val="28"/>
        </w:rPr>
        <w:t>应用</w:t>
      </w:r>
      <w:r>
        <w:rPr>
          <w:rFonts w:ascii="仿宋" w:hAnsi="仿宋" w:eastAsia="仿宋"/>
          <w:sz w:val="28"/>
          <w:szCs w:val="28"/>
        </w:rPr>
        <w:t>有效期内估价对象的质量及价格标准发生变化，并对估价对象估价价值产生明显影响时不能直接使用本估价结论。</w:t>
      </w:r>
    </w:p>
    <w:p>
      <w:pPr>
        <w:spacing w:line="480" w:lineRule="exact"/>
        <w:ind w:firstLine="560" w:firstLineChars="200"/>
        <w:rPr>
          <w:rFonts w:ascii="仿宋" w:hAnsi="仿宋" w:eastAsia="仿宋"/>
          <w:sz w:val="28"/>
          <w:szCs w:val="28"/>
        </w:rPr>
      </w:pPr>
      <w:r>
        <w:rPr>
          <w:rFonts w:hint="eastAsia" w:ascii="仿宋" w:hAnsi="仿宋" w:eastAsia="仿宋"/>
          <w:sz w:val="28"/>
          <w:szCs w:val="28"/>
        </w:rPr>
        <w:t>5．</w:t>
      </w:r>
      <w:r>
        <w:rPr>
          <w:rFonts w:ascii="仿宋" w:hAnsi="仿宋" w:eastAsia="仿宋"/>
          <w:sz w:val="28"/>
          <w:szCs w:val="28"/>
        </w:rPr>
        <w:t>本报告估价结果未考虑估价对象房地产预计转让的税费负担</w:t>
      </w:r>
      <w:r>
        <w:rPr>
          <w:rFonts w:hint="eastAsia" w:ascii="仿宋" w:hAnsi="仿宋" w:eastAsia="仿宋"/>
          <w:sz w:val="28"/>
          <w:szCs w:val="28"/>
        </w:rPr>
        <w:t>。</w:t>
      </w:r>
    </w:p>
    <w:p>
      <w:pPr>
        <w:spacing w:line="480" w:lineRule="exact"/>
        <w:ind w:firstLine="560" w:firstLineChars="200"/>
        <w:rPr>
          <w:rFonts w:ascii="仿宋" w:hAnsi="仿宋" w:eastAsia="仿宋"/>
          <w:sz w:val="28"/>
          <w:szCs w:val="28"/>
        </w:rPr>
      </w:pPr>
      <w:r>
        <w:rPr>
          <w:rFonts w:hint="eastAsia" w:ascii="仿宋" w:hAnsi="仿宋" w:eastAsia="仿宋"/>
          <w:sz w:val="28"/>
          <w:szCs w:val="28"/>
        </w:rPr>
        <w:t>6．</w:t>
      </w:r>
      <w:r>
        <w:rPr>
          <w:rFonts w:ascii="仿宋" w:hAnsi="仿宋" w:eastAsia="仿宋"/>
          <w:sz w:val="28"/>
        </w:rPr>
        <w:t>本报告估价结果仅指估价对象在价值时点的价值，并未考虑估价对象房地产所涉及的债权债务关系。</w:t>
      </w:r>
    </w:p>
    <w:p>
      <w:pPr>
        <w:spacing w:line="480" w:lineRule="exact"/>
        <w:ind w:firstLine="560" w:firstLineChars="200"/>
        <w:rPr>
          <w:rFonts w:eastAsia="楷体_GB2312"/>
          <w:sz w:val="28"/>
        </w:rPr>
      </w:pPr>
      <w:r>
        <w:rPr>
          <w:rFonts w:hint="eastAsia" w:ascii="仿宋" w:hAnsi="仿宋" w:eastAsia="仿宋"/>
          <w:sz w:val="28"/>
          <w:szCs w:val="28"/>
        </w:rPr>
        <w:t>7．</w:t>
      </w:r>
      <w:r>
        <w:rPr>
          <w:rFonts w:ascii="仿宋" w:hAnsi="仿宋" w:eastAsia="仿宋"/>
          <w:sz w:val="28"/>
          <w:szCs w:val="28"/>
        </w:rPr>
        <w:t>本报告由盐城市富鑫房地产评估事务所（普通合伙）负责解释。</w:t>
      </w:r>
      <w:r>
        <w:rPr>
          <w:rFonts w:hint="eastAsia" w:eastAsia="楷体_GB2312"/>
          <w:sz w:val="28"/>
        </w:rPr>
        <w:t xml:space="preserve"> </w:t>
      </w:r>
      <w:r>
        <w:rPr>
          <w:rFonts w:eastAsia="楷体_GB2312"/>
          <w:sz w:val="28"/>
        </w:rPr>
        <w:br w:type="page"/>
      </w:r>
    </w:p>
    <w:p>
      <w:pPr>
        <w:pStyle w:val="3"/>
        <w:jc w:val="center"/>
        <w:rPr>
          <w:rFonts w:hAnsi="Times New Roman"/>
        </w:rPr>
      </w:pPr>
      <w:bookmarkStart w:id="36" w:name="_Toc319586163"/>
      <w:bookmarkStart w:id="37" w:name="_Toc419202131"/>
      <w:bookmarkStart w:id="38" w:name="_Toc23179124"/>
      <w:bookmarkStart w:id="39" w:name="_Toc4499"/>
      <w:r>
        <w:t>估价结果报告</w:t>
      </w:r>
      <w:bookmarkEnd w:id="36"/>
      <w:bookmarkEnd w:id="37"/>
      <w:bookmarkEnd w:id="38"/>
      <w:bookmarkEnd w:id="39"/>
    </w:p>
    <w:p>
      <w:pPr>
        <w:pStyle w:val="4"/>
        <w:rPr>
          <w:rFonts w:ascii="Times New Roman" w:hAnsi="Times New Roman"/>
        </w:rPr>
      </w:pPr>
      <w:bookmarkStart w:id="40" w:name="_Toc319586164"/>
      <w:bookmarkStart w:id="41" w:name="_Toc419202132"/>
      <w:bookmarkStart w:id="42" w:name="_Toc23179125"/>
      <w:bookmarkStart w:id="43" w:name="_Toc20201"/>
      <w:r>
        <w:rPr>
          <w:rFonts w:ascii="Times New Roman"/>
        </w:rPr>
        <w:t>一、估价委托人</w:t>
      </w:r>
      <w:bookmarkEnd w:id="40"/>
      <w:bookmarkEnd w:id="41"/>
      <w:bookmarkEnd w:id="42"/>
      <w:bookmarkEnd w:id="43"/>
    </w:p>
    <w:p>
      <w:pPr>
        <w:spacing w:line="520" w:lineRule="exact"/>
        <w:ind w:firstLine="555"/>
        <w:rPr>
          <w:rFonts w:ascii="仿宋" w:hAnsi="仿宋" w:eastAsia="仿宋"/>
          <w:sz w:val="28"/>
        </w:rPr>
      </w:pPr>
      <w:bookmarkStart w:id="44" w:name="_Toc319586165"/>
      <w:bookmarkStart w:id="45" w:name="_Toc419202133"/>
      <w:bookmarkStart w:id="46" w:name="_Toc23179126"/>
      <w:r>
        <w:rPr>
          <w:rFonts w:ascii="仿宋" w:hAnsi="仿宋" w:eastAsia="仿宋"/>
          <w:sz w:val="28"/>
        </w:rPr>
        <w:t>委托人：</w:t>
      </w:r>
      <w:r>
        <w:rPr>
          <w:rFonts w:ascii="仿宋" w:hAnsi="仿宋" w:eastAsia="仿宋"/>
          <w:sz w:val="28"/>
        </w:rPr>
        <w:fldChar w:fldCharType="begin"/>
      </w:r>
      <w:r>
        <w:rPr>
          <w:rFonts w:ascii="仿宋" w:hAnsi="仿宋" w:eastAsia="仿宋"/>
          <w:sz w:val="28"/>
        </w:rPr>
        <w:instrText xml:space="preserve"> MERGEFIELD 委托方 </w:instrText>
      </w:r>
      <w:r>
        <w:rPr>
          <w:rFonts w:ascii="仿宋" w:hAnsi="仿宋" w:eastAsia="仿宋"/>
          <w:sz w:val="28"/>
        </w:rPr>
        <w:fldChar w:fldCharType="separate"/>
      </w:r>
      <w:r>
        <w:rPr>
          <w:rFonts w:ascii="仿宋" w:hAnsi="仿宋" w:eastAsia="仿宋"/>
          <w:sz w:val="28"/>
        </w:rPr>
        <w:t>射阳县人民法院</w:t>
      </w:r>
      <w:r>
        <w:rPr>
          <w:rFonts w:ascii="仿宋" w:hAnsi="仿宋" w:eastAsia="仿宋"/>
          <w:sz w:val="28"/>
        </w:rPr>
        <w:fldChar w:fldCharType="end"/>
      </w:r>
    </w:p>
    <w:p>
      <w:pPr>
        <w:spacing w:line="520" w:lineRule="exact"/>
        <w:ind w:firstLine="555"/>
        <w:rPr>
          <w:rFonts w:ascii="仿宋" w:hAnsi="仿宋" w:eastAsia="仿宋"/>
          <w:sz w:val="28"/>
        </w:rPr>
      </w:pPr>
      <w:r>
        <w:rPr>
          <w:rFonts w:hint="eastAsia" w:ascii="仿宋" w:hAnsi="仿宋" w:eastAsia="仿宋"/>
          <w:sz w:val="28"/>
        </w:rPr>
        <w:t>住所</w:t>
      </w:r>
      <w:r>
        <w:rPr>
          <w:rFonts w:ascii="仿宋" w:hAnsi="仿宋" w:eastAsia="仿宋"/>
          <w:sz w:val="28"/>
        </w:rPr>
        <w:t>：</w:t>
      </w:r>
      <w:r>
        <w:rPr>
          <w:rFonts w:hint="eastAsia" w:ascii="仿宋" w:hAnsi="仿宋" w:eastAsia="仿宋"/>
          <w:sz w:val="28"/>
        </w:rPr>
        <w:t>射阳县</w:t>
      </w:r>
      <w:r>
        <w:rPr>
          <w:rFonts w:ascii="仿宋" w:hAnsi="仿宋" w:eastAsia="仿宋"/>
          <w:sz w:val="28"/>
        </w:rPr>
        <w:t>合德镇晨光路2号</w:t>
      </w:r>
    </w:p>
    <w:p>
      <w:pPr>
        <w:spacing w:line="520" w:lineRule="exact"/>
        <w:ind w:firstLine="555"/>
        <w:rPr>
          <w:rFonts w:ascii="仿宋" w:hAnsi="仿宋" w:eastAsia="仿宋"/>
          <w:sz w:val="28"/>
        </w:rPr>
      </w:pPr>
      <w:r>
        <w:rPr>
          <w:rFonts w:hint="eastAsia" w:ascii="仿宋" w:hAnsi="仿宋" w:eastAsia="仿宋"/>
          <w:sz w:val="28"/>
        </w:rPr>
        <w:t>联系人：练法官</w:t>
      </w:r>
    </w:p>
    <w:p>
      <w:pPr>
        <w:spacing w:line="520" w:lineRule="exact"/>
        <w:ind w:firstLine="555"/>
        <w:rPr>
          <w:rFonts w:ascii="仿宋" w:hAnsi="仿宋" w:eastAsia="仿宋"/>
          <w:sz w:val="28"/>
        </w:rPr>
      </w:pPr>
      <w:r>
        <w:rPr>
          <w:rFonts w:hint="eastAsia" w:ascii="仿宋" w:hAnsi="仿宋" w:eastAsia="仿宋"/>
          <w:sz w:val="28"/>
        </w:rPr>
        <w:t>电话</w:t>
      </w:r>
      <w:r>
        <w:rPr>
          <w:rFonts w:ascii="仿宋" w:hAnsi="仿宋" w:eastAsia="仿宋"/>
          <w:sz w:val="28"/>
        </w:rPr>
        <w:t>：051</w:t>
      </w:r>
      <w:r>
        <w:rPr>
          <w:rFonts w:hint="eastAsia" w:ascii="仿宋" w:hAnsi="仿宋" w:eastAsia="仿宋"/>
          <w:sz w:val="28"/>
        </w:rPr>
        <w:t>5-96220050</w:t>
      </w:r>
    </w:p>
    <w:p>
      <w:pPr>
        <w:pStyle w:val="4"/>
        <w:rPr>
          <w:rFonts w:ascii="Times New Roman" w:hAnsi="Times New Roman" w:eastAsia="宋体"/>
        </w:rPr>
      </w:pPr>
      <w:bookmarkStart w:id="47" w:name="_Toc24058"/>
      <w:r>
        <w:rPr>
          <w:rFonts w:ascii="Times New Roman"/>
        </w:rPr>
        <w:t>二、</w:t>
      </w:r>
      <w:r>
        <w:rPr>
          <w:rFonts w:hint="eastAsia" w:ascii="Times New Roman"/>
          <w:lang w:eastAsia="zh-CN"/>
        </w:rPr>
        <w:t>房地产</w:t>
      </w:r>
      <w:r>
        <w:rPr>
          <w:rFonts w:ascii="Times New Roman"/>
        </w:rPr>
        <w:t>估价</w:t>
      </w:r>
      <w:r>
        <w:rPr>
          <w:rFonts w:ascii="Times New Roman" w:eastAsia="宋体"/>
        </w:rPr>
        <w:t>机构</w:t>
      </w:r>
      <w:bookmarkEnd w:id="44"/>
      <w:bookmarkEnd w:id="45"/>
      <w:bookmarkEnd w:id="46"/>
      <w:bookmarkEnd w:id="47"/>
    </w:p>
    <w:p>
      <w:pPr>
        <w:spacing w:line="520" w:lineRule="exact"/>
        <w:ind w:firstLine="555"/>
        <w:rPr>
          <w:rFonts w:ascii="仿宋" w:hAnsi="仿宋" w:eastAsia="仿宋"/>
          <w:sz w:val="28"/>
        </w:rPr>
      </w:pPr>
      <w:r>
        <w:rPr>
          <w:rFonts w:ascii="仿宋" w:hAnsi="仿宋" w:eastAsia="仿宋"/>
          <w:sz w:val="28"/>
        </w:rPr>
        <w:t>估价单位：盐城市富鑫房地产评估事务所（普通合伙）</w:t>
      </w:r>
    </w:p>
    <w:p>
      <w:pPr>
        <w:spacing w:line="520" w:lineRule="exact"/>
        <w:ind w:firstLine="560" w:firstLineChars="200"/>
        <w:rPr>
          <w:rFonts w:ascii="仿宋" w:hAnsi="仿宋" w:eastAsia="仿宋"/>
          <w:sz w:val="28"/>
        </w:rPr>
      </w:pPr>
      <w:r>
        <w:rPr>
          <w:rFonts w:hint="eastAsia" w:ascii="仿宋" w:hAnsi="仿宋" w:eastAsia="仿宋"/>
          <w:sz w:val="28"/>
        </w:rPr>
        <w:t>营业执照号：320923000202009280139</w:t>
      </w:r>
    </w:p>
    <w:p>
      <w:pPr>
        <w:spacing w:line="520" w:lineRule="exact"/>
        <w:rPr>
          <w:rFonts w:ascii="仿宋" w:hAnsi="仿宋" w:eastAsia="仿宋"/>
          <w:sz w:val="28"/>
        </w:rPr>
      </w:pPr>
      <w:r>
        <w:rPr>
          <w:rFonts w:ascii="仿宋" w:hAnsi="仿宋" w:eastAsia="仿宋"/>
          <w:sz w:val="28"/>
        </w:rPr>
        <w:t xml:space="preserve">    法定代表人：</w:t>
      </w:r>
      <w:r>
        <w:rPr>
          <w:rFonts w:hint="eastAsia" w:ascii="仿宋" w:hAnsi="仿宋" w:eastAsia="仿宋"/>
          <w:sz w:val="28"/>
        </w:rPr>
        <w:t>沈莹</w:t>
      </w:r>
    </w:p>
    <w:p>
      <w:pPr>
        <w:spacing w:line="520" w:lineRule="exact"/>
        <w:rPr>
          <w:rFonts w:ascii="仿宋" w:hAnsi="仿宋" w:eastAsia="仿宋"/>
          <w:sz w:val="28"/>
        </w:rPr>
      </w:pPr>
      <w:r>
        <w:rPr>
          <w:rFonts w:ascii="仿宋" w:hAnsi="仿宋" w:eastAsia="仿宋"/>
          <w:sz w:val="28"/>
        </w:rPr>
        <w:t xml:space="preserve">    住所：</w:t>
      </w:r>
      <w:r>
        <w:rPr>
          <w:rFonts w:hint="eastAsia" w:ascii="仿宋" w:hAnsi="仿宋" w:eastAsia="仿宋"/>
          <w:sz w:val="28"/>
        </w:rPr>
        <w:t>盐城市阜宁县天鹅国际商业中心9A215(C)</w:t>
      </w:r>
    </w:p>
    <w:p>
      <w:pPr>
        <w:spacing w:line="520" w:lineRule="exact"/>
        <w:ind w:firstLine="555"/>
        <w:rPr>
          <w:rFonts w:ascii="仿宋" w:hAnsi="仿宋" w:eastAsia="仿宋"/>
          <w:sz w:val="28"/>
        </w:rPr>
      </w:pPr>
      <w:r>
        <w:rPr>
          <w:rFonts w:hint="eastAsia" w:ascii="仿宋" w:hAnsi="仿宋" w:eastAsia="仿宋"/>
          <w:sz w:val="28"/>
        </w:rPr>
        <w:t>房地产评估</w:t>
      </w:r>
      <w:r>
        <w:rPr>
          <w:rFonts w:ascii="仿宋" w:hAnsi="仿宋" w:eastAsia="仿宋"/>
          <w:sz w:val="28"/>
        </w:rPr>
        <w:t>资质等级：</w:t>
      </w:r>
      <w:r>
        <w:rPr>
          <w:rFonts w:hint="eastAsia" w:ascii="仿宋" w:hAnsi="仿宋" w:eastAsia="仿宋"/>
          <w:sz w:val="28"/>
        </w:rPr>
        <w:t>贰级</w:t>
      </w:r>
    </w:p>
    <w:p>
      <w:pPr>
        <w:spacing w:line="520" w:lineRule="exact"/>
        <w:ind w:firstLine="555"/>
        <w:rPr>
          <w:rFonts w:ascii="仿宋" w:hAnsi="仿宋" w:eastAsia="仿宋"/>
          <w:sz w:val="28"/>
        </w:rPr>
      </w:pPr>
      <w:r>
        <w:rPr>
          <w:rFonts w:ascii="仿宋" w:hAnsi="仿宋" w:eastAsia="仿宋"/>
          <w:sz w:val="28"/>
        </w:rPr>
        <w:t>资质证书编号：</w:t>
      </w:r>
      <w:r>
        <w:rPr>
          <w:rFonts w:hint="eastAsia" w:ascii="仿宋" w:hAnsi="仿宋" w:eastAsia="仿宋"/>
          <w:sz w:val="28"/>
        </w:rPr>
        <w:t>苏建房估备（贰）盐城00035</w:t>
      </w:r>
    </w:p>
    <w:p>
      <w:pPr>
        <w:spacing w:line="520" w:lineRule="exact"/>
        <w:ind w:firstLine="555"/>
        <w:rPr>
          <w:rFonts w:ascii="仿宋" w:hAnsi="仿宋" w:eastAsia="仿宋"/>
          <w:sz w:val="28"/>
        </w:rPr>
      </w:pPr>
      <w:r>
        <w:rPr>
          <w:rFonts w:ascii="仿宋" w:hAnsi="仿宋" w:eastAsia="仿宋"/>
          <w:sz w:val="28"/>
        </w:rPr>
        <w:t>资质证书有效期</w:t>
      </w:r>
      <w:r>
        <w:rPr>
          <w:rFonts w:hint="eastAsia" w:ascii="仿宋" w:hAnsi="仿宋" w:eastAsia="仿宋"/>
          <w:sz w:val="28"/>
        </w:rPr>
        <w:t>：2</w:t>
      </w:r>
      <w:r>
        <w:rPr>
          <w:rFonts w:ascii="仿宋" w:hAnsi="仿宋" w:eastAsia="仿宋"/>
          <w:sz w:val="28"/>
        </w:rPr>
        <w:t>02</w:t>
      </w:r>
      <w:r>
        <w:rPr>
          <w:rFonts w:hint="eastAsia" w:ascii="仿宋" w:hAnsi="仿宋" w:eastAsia="仿宋"/>
          <w:sz w:val="28"/>
        </w:rPr>
        <w:t>4</w:t>
      </w:r>
      <w:r>
        <w:rPr>
          <w:rFonts w:ascii="仿宋" w:hAnsi="仿宋" w:eastAsia="仿宋"/>
          <w:sz w:val="28"/>
        </w:rPr>
        <w:t>年</w:t>
      </w:r>
      <w:r>
        <w:rPr>
          <w:rFonts w:hint="eastAsia" w:ascii="仿宋" w:hAnsi="仿宋" w:eastAsia="仿宋"/>
          <w:sz w:val="28"/>
        </w:rPr>
        <w:t>01月18日</w:t>
      </w:r>
    </w:p>
    <w:p>
      <w:pPr>
        <w:spacing w:line="520" w:lineRule="exact"/>
        <w:ind w:firstLine="555"/>
        <w:rPr>
          <w:rFonts w:ascii="仿宋" w:hAnsi="仿宋" w:eastAsia="仿宋"/>
          <w:sz w:val="28"/>
        </w:rPr>
      </w:pPr>
      <w:r>
        <w:rPr>
          <w:rFonts w:ascii="仿宋" w:hAnsi="仿宋" w:eastAsia="仿宋"/>
          <w:sz w:val="28"/>
        </w:rPr>
        <w:t>电话：051</w:t>
      </w:r>
      <w:r>
        <w:rPr>
          <w:rFonts w:hint="eastAsia" w:ascii="仿宋" w:hAnsi="仿宋" w:eastAsia="仿宋"/>
          <w:sz w:val="28"/>
        </w:rPr>
        <w:t>5-87396662</w:t>
      </w:r>
    </w:p>
    <w:p>
      <w:pPr>
        <w:pStyle w:val="4"/>
        <w:rPr>
          <w:rFonts w:ascii="Times New Roman" w:hAnsi="Times New Roman"/>
        </w:rPr>
      </w:pPr>
      <w:bookmarkStart w:id="48" w:name="_Toc319586166"/>
      <w:bookmarkStart w:id="49" w:name="_Toc419202134"/>
      <w:bookmarkStart w:id="50" w:name="_Toc23179127"/>
      <w:bookmarkStart w:id="51" w:name="_Toc11131"/>
      <w:r>
        <w:rPr>
          <w:rFonts w:ascii="Times New Roman" w:eastAsia="宋体"/>
        </w:rPr>
        <w:t>三</w:t>
      </w:r>
      <w:r>
        <w:rPr>
          <w:rFonts w:ascii="Times New Roman"/>
        </w:rPr>
        <w:t>、估价目的</w:t>
      </w:r>
      <w:bookmarkEnd w:id="48"/>
      <w:bookmarkEnd w:id="49"/>
      <w:bookmarkEnd w:id="50"/>
      <w:bookmarkEnd w:id="51"/>
    </w:p>
    <w:p>
      <w:pPr>
        <w:spacing w:line="600" w:lineRule="exact"/>
        <w:ind w:firstLine="560" w:firstLineChars="200"/>
        <w:rPr>
          <w:rFonts w:ascii="仿宋" w:hAnsi="仿宋" w:eastAsia="仿宋"/>
          <w:sz w:val="28"/>
          <w:szCs w:val="28"/>
        </w:rPr>
      </w:pPr>
      <w:bookmarkStart w:id="52" w:name="_Toc319586167"/>
      <w:r>
        <w:rPr>
          <w:rFonts w:ascii="仿宋" w:hAnsi="仿宋" w:eastAsia="仿宋"/>
          <w:sz w:val="28"/>
          <w:szCs w:val="28"/>
        </w:rPr>
        <w:t>为法院解决诉讼纠纷提供价值参考</w:t>
      </w:r>
      <w:r>
        <w:rPr>
          <w:rFonts w:hint="eastAsia" w:ascii="仿宋" w:hAnsi="仿宋" w:eastAsia="仿宋"/>
          <w:sz w:val="28"/>
          <w:szCs w:val="28"/>
        </w:rPr>
        <w:t>而评估估价对象房地产市场价值</w:t>
      </w:r>
      <w:r>
        <w:rPr>
          <w:rFonts w:ascii="仿宋" w:hAnsi="仿宋" w:eastAsia="仿宋"/>
          <w:sz w:val="28"/>
          <w:szCs w:val="28"/>
        </w:rPr>
        <w:t>。</w:t>
      </w:r>
    </w:p>
    <w:p>
      <w:pPr>
        <w:pStyle w:val="4"/>
        <w:rPr>
          <w:rFonts w:ascii="Times New Roman" w:hAnsi="Times New Roman" w:eastAsia="宋体"/>
        </w:rPr>
      </w:pPr>
      <w:bookmarkStart w:id="53" w:name="_Toc419202135"/>
      <w:bookmarkStart w:id="54" w:name="_Toc23179128"/>
      <w:bookmarkStart w:id="55" w:name="_Toc8965"/>
      <w:r>
        <w:rPr>
          <w:rFonts w:ascii="Times New Roman" w:eastAsia="宋体"/>
        </w:rPr>
        <w:t>四</w:t>
      </w:r>
      <w:r>
        <w:rPr>
          <w:rFonts w:ascii="Times New Roman"/>
        </w:rPr>
        <w:t>、估价对象</w:t>
      </w:r>
      <w:bookmarkEnd w:id="52"/>
      <w:bookmarkEnd w:id="53"/>
      <w:bookmarkEnd w:id="54"/>
      <w:bookmarkEnd w:id="55"/>
    </w:p>
    <w:p>
      <w:pPr>
        <w:spacing w:line="520" w:lineRule="exact"/>
        <w:ind w:firstLine="562" w:firstLineChars="200"/>
        <w:rPr>
          <w:rFonts w:eastAsia="楷体_GB2312"/>
          <w:b/>
          <w:sz w:val="28"/>
        </w:rPr>
      </w:pPr>
      <w:r>
        <w:rPr>
          <w:rFonts w:eastAsia="楷体_GB2312"/>
          <w:b/>
          <w:sz w:val="28"/>
        </w:rPr>
        <w:t>（</w:t>
      </w:r>
      <w:r>
        <w:rPr>
          <w:rFonts w:hint="eastAsia" w:eastAsia="楷体_GB2312"/>
          <w:b/>
          <w:sz w:val="28"/>
        </w:rPr>
        <w:t>一</w:t>
      </w:r>
      <w:r>
        <w:rPr>
          <w:rFonts w:eastAsia="楷体_GB2312"/>
          <w:b/>
          <w:sz w:val="28"/>
        </w:rPr>
        <w:t>）估价对象</w:t>
      </w:r>
      <w:r>
        <w:rPr>
          <w:rFonts w:hint="eastAsia" w:eastAsia="楷体_GB2312"/>
          <w:b/>
          <w:sz w:val="28"/>
        </w:rPr>
        <w:t>财产</w:t>
      </w:r>
      <w:r>
        <w:rPr>
          <w:rFonts w:eastAsia="楷体_GB2312"/>
          <w:b/>
          <w:sz w:val="28"/>
        </w:rPr>
        <w:t>范围</w:t>
      </w:r>
    </w:p>
    <w:p>
      <w:pPr>
        <w:spacing w:line="520" w:lineRule="exact"/>
        <w:ind w:firstLine="560" w:firstLineChars="200"/>
        <w:rPr>
          <w:rFonts w:ascii="仿宋" w:hAnsi="仿宋" w:eastAsia="仿宋"/>
          <w:sz w:val="28"/>
          <w:szCs w:val="28"/>
        </w:rPr>
      </w:pPr>
      <w:r>
        <w:rPr>
          <w:rFonts w:ascii="仿宋" w:hAnsi="仿宋" w:eastAsia="仿宋"/>
          <w:sz w:val="28"/>
        </w:rPr>
        <w:t>估价对象为</w:t>
      </w:r>
      <w:r>
        <w:rPr>
          <w:rFonts w:ascii="仿宋" w:hAnsi="仿宋" w:eastAsia="仿宋"/>
          <w:sz w:val="28"/>
        </w:rPr>
        <w:fldChar w:fldCharType="begin"/>
      </w:r>
      <w:r>
        <w:rPr>
          <w:rFonts w:ascii="仿宋" w:hAnsi="仿宋" w:eastAsia="仿宋"/>
          <w:sz w:val="28"/>
        </w:rPr>
        <w:instrText xml:space="preserve"> MERGEFIELD 物业位置 </w:instrText>
      </w:r>
      <w:r>
        <w:rPr>
          <w:rFonts w:ascii="仿宋" w:hAnsi="仿宋" w:eastAsia="仿宋"/>
          <w:sz w:val="28"/>
        </w:rPr>
        <w:fldChar w:fldCharType="separate"/>
      </w:r>
      <w:r>
        <w:rPr>
          <w:rFonts w:ascii="仿宋" w:hAnsi="仿宋" w:eastAsia="仿宋"/>
          <w:sz w:val="28"/>
        </w:rPr>
        <w:t>射阳经济开发区东区金色阳光小区26幢公寓楼1601-1613室酒店式公寓用房地产</w:t>
      </w:r>
      <w:r>
        <w:rPr>
          <w:rFonts w:ascii="仿宋" w:hAnsi="仿宋" w:eastAsia="仿宋"/>
          <w:sz w:val="28"/>
        </w:rPr>
        <w:fldChar w:fldCharType="end"/>
      </w:r>
      <w:r>
        <w:rPr>
          <w:rFonts w:ascii="仿宋" w:hAnsi="仿宋" w:eastAsia="仿宋"/>
          <w:sz w:val="28"/>
        </w:rPr>
        <w:t>，总建筑面积合计为764.37平方米及合理分摊的土地使用权面积</w:t>
      </w:r>
      <w:r>
        <w:rPr>
          <w:rFonts w:hint="eastAsia" w:ascii="仿宋" w:hAnsi="仿宋" w:eastAsia="仿宋"/>
          <w:sz w:val="28"/>
          <w:szCs w:val="28"/>
        </w:rPr>
        <w:t>。</w:t>
      </w:r>
    </w:p>
    <w:p>
      <w:pPr>
        <w:spacing w:line="520" w:lineRule="exact"/>
        <w:ind w:left="570"/>
        <w:rPr>
          <w:rFonts w:eastAsia="楷体_GB2312"/>
          <w:b/>
          <w:sz w:val="28"/>
        </w:rPr>
      </w:pPr>
      <w:r>
        <w:rPr>
          <w:rFonts w:eastAsia="楷体_GB2312"/>
          <w:b/>
          <w:sz w:val="28"/>
        </w:rPr>
        <w:t>（</w:t>
      </w:r>
      <w:r>
        <w:rPr>
          <w:rFonts w:hint="eastAsia" w:eastAsia="楷体_GB2312"/>
          <w:b/>
          <w:sz w:val="28"/>
        </w:rPr>
        <w:t>二</w:t>
      </w:r>
      <w:r>
        <w:rPr>
          <w:rFonts w:eastAsia="楷体_GB2312"/>
          <w:b/>
          <w:sz w:val="28"/>
        </w:rPr>
        <w:t>）</w:t>
      </w:r>
      <w:r>
        <w:rPr>
          <w:rFonts w:hint="eastAsia" w:eastAsia="楷体_GB2312"/>
          <w:b/>
          <w:sz w:val="28"/>
        </w:rPr>
        <w:t>估价对象实物状况</w:t>
      </w:r>
    </w:p>
    <w:p>
      <w:pPr>
        <w:spacing w:line="520" w:lineRule="exact"/>
        <w:ind w:left="555"/>
        <w:rPr>
          <w:rFonts w:ascii="仿宋" w:hAnsi="仿宋" w:eastAsia="仿宋"/>
          <w:sz w:val="28"/>
        </w:rPr>
      </w:pPr>
      <w:r>
        <w:rPr>
          <w:rFonts w:ascii="仿宋" w:hAnsi="仿宋" w:eastAsia="仿宋"/>
          <w:sz w:val="28"/>
        </w:rPr>
        <w:t>1</w:t>
      </w:r>
      <w:r>
        <w:rPr>
          <w:rFonts w:hint="eastAsia" w:ascii="仿宋" w:hAnsi="仿宋" w:eastAsia="仿宋"/>
          <w:sz w:val="28"/>
        </w:rPr>
        <w:t>．</w:t>
      </w:r>
      <w:r>
        <w:rPr>
          <w:rFonts w:ascii="仿宋" w:hAnsi="仿宋" w:eastAsia="仿宋"/>
          <w:sz w:val="28"/>
        </w:rPr>
        <w:t>估价对象基本状况：</w:t>
      </w:r>
    </w:p>
    <w:p>
      <w:pPr>
        <w:spacing w:line="520" w:lineRule="exact"/>
        <w:ind w:firstLine="560" w:firstLineChars="200"/>
        <w:rPr>
          <w:rFonts w:ascii="仿宋" w:hAnsi="仿宋" w:eastAsia="仿宋"/>
          <w:sz w:val="28"/>
        </w:rPr>
      </w:pPr>
      <w:r>
        <w:rPr>
          <w:rFonts w:ascii="仿宋" w:hAnsi="仿宋" w:eastAsia="仿宋"/>
          <w:sz w:val="28"/>
        </w:rPr>
        <w:t>（1）名称：</w:t>
      </w:r>
      <w:r>
        <w:rPr>
          <w:rFonts w:ascii="仿宋" w:hAnsi="仿宋" w:eastAsia="仿宋"/>
          <w:sz w:val="28"/>
        </w:rPr>
        <w:fldChar w:fldCharType="begin"/>
      </w:r>
      <w:r>
        <w:rPr>
          <w:rFonts w:ascii="仿宋" w:hAnsi="仿宋" w:eastAsia="仿宋"/>
          <w:sz w:val="28"/>
        </w:rPr>
        <w:instrText xml:space="preserve"> MERGEFIELD 物业位置 </w:instrText>
      </w:r>
      <w:r>
        <w:rPr>
          <w:rFonts w:ascii="仿宋" w:hAnsi="仿宋" w:eastAsia="仿宋"/>
          <w:sz w:val="28"/>
        </w:rPr>
        <w:fldChar w:fldCharType="separate"/>
      </w:r>
      <w:r>
        <w:rPr>
          <w:rFonts w:ascii="仿宋" w:hAnsi="仿宋" w:eastAsia="仿宋"/>
          <w:sz w:val="28"/>
        </w:rPr>
        <w:t>射阳经济开发区东区金色阳光小区26幢公寓楼1601-1613室酒店式公寓用房地产</w:t>
      </w:r>
      <w:r>
        <w:rPr>
          <w:rFonts w:ascii="仿宋" w:hAnsi="仿宋" w:eastAsia="仿宋"/>
          <w:sz w:val="28"/>
        </w:rPr>
        <w:fldChar w:fldCharType="end"/>
      </w:r>
      <w:r>
        <w:rPr>
          <w:rFonts w:ascii="仿宋" w:hAnsi="仿宋" w:eastAsia="仿宋"/>
          <w:sz w:val="28"/>
        </w:rPr>
        <w:t>。</w:t>
      </w:r>
    </w:p>
    <w:p>
      <w:pPr>
        <w:spacing w:line="520" w:lineRule="exact"/>
        <w:ind w:firstLine="555"/>
        <w:rPr>
          <w:rFonts w:ascii="仿宋" w:hAnsi="仿宋" w:eastAsia="仿宋"/>
          <w:sz w:val="28"/>
        </w:rPr>
      </w:pPr>
      <w:r>
        <w:rPr>
          <w:rFonts w:ascii="仿宋" w:hAnsi="仿宋" w:eastAsia="仿宋"/>
          <w:sz w:val="28"/>
        </w:rPr>
        <w:t>（2）坐落：估价对象位于</w:t>
      </w:r>
      <w:r>
        <w:rPr>
          <w:rFonts w:ascii="仿宋" w:hAnsi="仿宋" w:eastAsia="仿宋"/>
          <w:sz w:val="28"/>
        </w:rPr>
        <w:fldChar w:fldCharType="begin"/>
      </w:r>
      <w:r>
        <w:rPr>
          <w:rFonts w:ascii="仿宋" w:hAnsi="仿宋" w:eastAsia="仿宋"/>
          <w:sz w:val="28"/>
        </w:rPr>
        <w:instrText xml:space="preserve"> MERGEFIELD 物业位置 </w:instrText>
      </w:r>
      <w:r>
        <w:rPr>
          <w:rFonts w:ascii="仿宋" w:hAnsi="仿宋" w:eastAsia="仿宋"/>
          <w:sz w:val="28"/>
        </w:rPr>
        <w:fldChar w:fldCharType="separate"/>
      </w:r>
      <w:r>
        <w:rPr>
          <w:rFonts w:ascii="仿宋" w:hAnsi="仿宋" w:eastAsia="仿宋"/>
          <w:sz w:val="28"/>
        </w:rPr>
        <w:t>射阳经济开发区东区金色阳光小区26幢公寓楼1601-1613室</w:t>
      </w:r>
      <w:r>
        <w:rPr>
          <w:rFonts w:ascii="仿宋" w:hAnsi="仿宋" w:eastAsia="仿宋"/>
          <w:sz w:val="28"/>
        </w:rPr>
        <w:fldChar w:fldCharType="end"/>
      </w:r>
      <w:r>
        <w:rPr>
          <w:rFonts w:ascii="仿宋" w:hAnsi="仿宋" w:eastAsia="仿宋"/>
          <w:sz w:val="28"/>
        </w:rPr>
        <w:t>。</w:t>
      </w:r>
      <w:r>
        <w:rPr>
          <w:rFonts w:hint="eastAsia" w:ascii="仿宋" w:hAnsi="仿宋" w:eastAsia="仿宋"/>
          <w:sz w:val="28"/>
        </w:rPr>
        <w:t>估价对象所在小区东临海悦路，南临道路，西临兴海路，北近解放东路。</w:t>
      </w:r>
      <w:r>
        <w:rPr>
          <w:rFonts w:ascii="仿宋" w:hAnsi="仿宋" w:eastAsia="仿宋"/>
          <w:sz w:val="28"/>
        </w:rPr>
        <w:fldChar w:fldCharType="begin"/>
      </w:r>
      <w:r>
        <w:rPr>
          <w:rFonts w:ascii="仿宋" w:hAnsi="仿宋" w:eastAsia="仿宋"/>
          <w:sz w:val="28"/>
        </w:rPr>
        <w:instrText xml:space="preserve"> MERGEFIELD 四至 </w:instrText>
      </w:r>
      <w:r>
        <w:rPr>
          <w:rFonts w:ascii="仿宋" w:hAnsi="仿宋" w:eastAsia="仿宋"/>
          <w:sz w:val="28"/>
        </w:rPr>
        <w:fldChar w:fldCharType="end"/>
      </w:r>
    </w:p>
    <w:p>
      <w:pPr>
        <w:spacing w:line="520" w:lineRule="exact"/>
        <w:ind w:firstLine="560" w:firstLineChars="200"/>
        <w:rPr>
          <w:rFonts w:ascii="仿宋" w:hAnsi="仿宋" w:eastAsia="仿宋"/>
          <w:sz w:val="28"/>
        </w:rPr>
      </w:pPr>
      <w:r>
        <w:rPr>
          <w:rFonts w:ascii="仿宋" w:hAnsi="仿宋" w:eastAsia="仿宋"/>
          <w:sz w:val="28"/>
        </w:rPr>
        <w:t>（3）规模</w:t>
      </w:r>
    </w:p>
    <w:p>
      <w:pPr>
        <w:spacing w:line="520" w:lineRule="exact"/>
        <w:ind w:firstLine="560" w:firstLineChars="200"/>
        <w:rPr>
          <w:rFonts w:ascii="仿宋" w:hAnsi="仿宋" w:eastAsia="仿宋"/>
          <w:sz w:val="28"/>
        </w:rPr>
      </w:pPr>
      <w:r>
        <w:rPr>
          <w:rFonts w:ascii="仿宋" w:hAnsi="仿宋" w:eastAsia="仿宋"/>
          <w:sz w:val="28"/>
        </w:rPr>
        <w:t>估价对象射阳经济开发区东区金色阳光小区26幢公寓楼1601-1613室总建筑面积合计为764.37平方米及合理分摊的土地使用权面积</w:t>
      </w:r>
      <w:r>
        <w:rPr>
          <w:rFonts w:hint="eastAsia" w:ascii="仿宋" w:hAnsi="仿宋" w:eastAsia="仿宋"/>
          <w:sz w:val="28"/>
        </w:rPr>
        <w:t>，规模一般</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（4）用途：</w:t>
      </w:r>
      <w:r>
        <w:rPr>
          <w:rFonts w:hint="eastAsia" w:ascii="仿宋" w:hAnsi="仿宋" w:eastAsia="仿宋"/>
          <w:sz w:val="28"/>
        </w:rPr>
        <w:t>估价对象规划用途均为酒店式公寓，现状用途均为酒店式公寓，设定用途均为酒店式公寓用房地产</w:t>
      </w:r>
      <w:r>
        <w:rPr>
          <w:rFonts w:ascii="仿宋" w:hAnsi="仿宋" w:eastAsia="仿宋"/>
          <w:sz w:val="28"/>
        </w:rPr>
        <w:t>。</w:t>
      </w:r>
    </w:p>
    <w:p>
      <w:pPr>
        <w:spacing w:line="520" w:lineRule="exact"/>
        <w:ind w:left="555"/>
        <w:rPr>
          <w:rFonts w:ascii="仿宋" w:hAnsi="仿宋" w:eastAsia="仿宋"/>
          <w:sz w:val="28"/>
        </w:rPr>
      </w:pPr>
      <w:r>
        <w:rPr>
          <w:rFonts w:ascii="仿宋" w:hAnsi="仿宋" w:eastAsia="仿宋"/>
          <w:sz w:val="28"/>
        </w:rPr>
        <w:t>2</w:t>
      </w:r>
      <w:r>
        <w:rPr>
          <w:rFonts w:hint="eastAsia" w:ascii="仿宋" w:hAnsi="仿宋" w:eastAsia="仿宋"/>
          <w:sz w:val="28"/>
        </w:rPr>
        <w:t>．</w:t>
      </w:r>
      <w:r>
        <w:rPr>
          <w:rFonts w:ascii="仿宋" w:hAnsi="仿宋" w:eastAsia="仿宋"/>
          <w:sz w:val="28"/>
        </w:rPr>
        <w:t>估价对象建筑物查勘情况</w:t>
      </w:r>
    </w:p>
    <w:p>
      <w:pPr>
        <w:spacing w:line="520" w:lineRule="exact"/>
        <w:ind w:firstLine="560" w:firstLineChars="200"/>
        <w:rPr>
          <w:rFonts w:ascii="仿宋" w:hAnsi="仿宋" w:eastAsia="仿宋"/>
          <w:sz w:val="28"/>
        </w:rPr>
      </w:pPr>
      <w:r>
        <w:rPr>
          <w:rFonts w:ascii="仿宋" w:hAnsi="仿宋" w:eastAsia="仿宋"/>
          <w:sz w:val="28"/>
        </w:rPr>
        <w:t>（1）房屋层次：</w:t>
      </w:r>
      <w:r>
        <w:rPr>
          <w:rFonts w:hint="eastAsia" w:ascii="仿宋" w:hAnsi="仿宋" w:eastAsia="仿宋"/>
          <w:color w:val="FF0000"/>
          <w:sz w:val="28"/>
        </w:rPr>
        <w:t>所在建筑总楼层为地上1</w:t>
      </w:r>
      <w:r>
        <w:rPr>
          <w:rFonts w:ascii="仿宋" w:hAnsi="仿宋" w:eastAsia="仿宋"/>
          <w:color w:val="FF0000"/>
          <w:sz w:val="28"/>
        </w:rPr>
        <w:t>7</w:t>
      </w:r>
      <w:r>
        <w:rPr>
          <w:rFonts w:hint="eastAsia" w:ascii="仿宋" w:hAnsi="仿宋" w:eastAsia="仿宋"/>
          <w:color w:val="FF0000"/>
          <w:sz w:val="28"/>
        </w:rPr>
        <w:t>层及地下1层</w:t>
      </w:r>
      <w:r>
        <w:rPr>
          <w:rFonts w:ascii="仿宋" w:hAnsi="仿宋" w:eastAsia="仿宋"/>
          <w:sz w:val="28"/>
        </w:rPr>
        <w:t>，估价对象所在层次为</w:t>
      </w:r>
      <w:r>
        <w:rPr>
          <w:rFonts w:hint="eastAsia" w:ascii="仿宋" w:hAnsi="仿宋" w:eastAsia="仿宋"/>
          <w:sz w:val="28"/>
        </w:rPr>
        <w:t>16</w:t>
      </w:r>
      <w:r>
        <w:rPr>
          <w:rFonts w:ascii="仿宋" w:hAnsi="仿宋" w:eastAsia="仿宋"/>
          <w:sz w:val="28"/>
        </w:rPr>
        <w:t>层。</w:t>
      </w:r>
    </w:p>
    <w:p>
      <w:pPr>
        <w:spacing w:line="520" w:lineRule="exact"/>
        <w:ind w:firstLine="560" w:firstLineChars="200"/>
        <w:rPr>
          <w:rFonts w:ascii="仿宋" w:hAnsi="仿宋" w:eastAsia="仿宋"/>
          <w:sz w:val="28"/>
        </w:rPr>
      </w:pPr>
      <w:r>
        <w:rPr>
          <w:rFonts w:ascii="仿宋" w:hAnsi="仿宋" w:eastAsia="仿宋"/>
          <w:sz w:val="28"/>
        </w:rPr>
        <w:t>（2）现状用途：酒店式公寓用房地产。</w:t>
      </w:r>
    </w:p>
    <w:p>
      <w:pPr>
        <w:spacing w:line="520" w:lineRule="exact"/>
        <w:ind w:firstLine="560" w:firstLineChars="200"/>
        <w:rPr>
          <w:rFonts w:ascii="仿宋" w:hAnsi="仿宋" w:eastAsia="仿宋"/>
          <w:sz w:val="28"/>
        </w:rPr>
      </w:pPr>
      <w:r>
        <w:rPr>
          <w:rFonts w:ascii="仿宋" w:hAnsi="仿宋" w:eastAsia="仿宋"/>
          <w:sz w:val="28"/>
        </w:rPr>
        <w:t>（3）建筑使用状况：估价对象目前</w:t>
      </w:r>
      <w:r>
        <w:rPr>
          <w:rFonts w:hint="eastAsia" w:ascii="仿宋" w:hAnsi="仿宋" w:eastAsia="仿宋"/>
          <w:sz w:val="28"/>
        </w:rPr>
        <w:t>空置</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（4）相邻建筑利用状况：估价对象相邻建筑以酒店式公寓为主，相邻酒店式公寓利用率</w:t>
      </w:r>
      <w:r>
        <w:rPr>
          <w:rFonts w:hint="eastAsia" w:ascii="仿宋" w:hAnsi="仿宋" w:eastAsia="仿宋"/>
          <w:sz w:val="28"/>
        </w:rPr>
        <w:t>一般</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（5）空间布局：估价对象空间布局合理</w:t>
      </w:r>
      <w:r>
        <w:rPr>
          <w:rFonts w:hint="eastAsia"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（6）层高：估价对象</w:t>
      </w:r>
      <w:r>
        <w:rPr>
          <w:rFonts w:hint="eastAsia" w:ascii="仿宋" w:hAnsi="仿宋" w:eastAsia="仿宋"/>
          <w:sz w:val="28"/>
        </w:rPr>
        <w:t>层</w:t>
      </w:r>
      <w:r>
        <w:rPr>
          <w:rFonts w:ascii="仿宋" w:hAnsi="仿宋" w:eastAsia="仿宋"/>
          <w:sz w:val="28"/>
        </w:rPr>
        <w:t>高</w:t>
      </w:r>
      <w:r>
        <w:rPr>
          <w:rFonts w:hint="eastAsia" w:ascii="仿宋" w:hAnsi="仿宋" w:eastAsia="仿宋"/>
          <w:sz w:val="28"/>
        </w:rPr>
        <w:t>均约3.2米</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（7）临街宽度及深度：估价对象临街宽度</w:t>
      </w:r>
      <w:r>
        <w:rPr>
          <w:rFonts w:hint="eastAsia" w:ascii="仿宋" w:hAnsi="仿宋" w:eastAsia="仿宋"/>
          <w:sz w:val="28"/>
        </w:rPr>
        <w:t>及深度较为合理</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（8）临街状况：估价对象</w:t>
      </w:r>
      <w:r>
        <w:rPr>
          <w:rFonts w:hint="eastAsia" w:ascii="仿宋" w:hAnsi="仿宋" w:eastAsia="仿宋"/>
          <w:sz w:val="28"/>
        </w:rPr>
        <w:t>近海悦路</w:t>
      </w:r>
      <w:r>
        <w:rPr>
          <w:rFonts w:ascii="仿宋" w:hAnsi="仿宋" w:eastAsia="仿宋"/>
          <w:sz w:val="28"/>
        </w:rPr>
        <w:t>，人流量</w:t>
      </w:r>
      <w:r>
        <w:rPr>
          <w:rFonts w:hint="eastAsia" w:ascii="仿宋" w:hAnsi="仿宋" w:eastAsia="仿宋"/>
          <w:sz w:val="28"/>
        </w:rPr>
        <w:t>较大</w:t>
      </w:r>
      <w:r>
        <w:rPr>
          <w:rFonts w:ascii="仿宋" w:hAnsi="仿宋" w:eastAsia="仿宋"/>
          <w:sz w:val="28"/>
        </w:rPr>
        <w:t>，商业繁华程度</w:t>
      </w:r>
      <w:r>
        <w:rPr>
          <w:rFonts w:hint="eastAsia" w:ascii="仿宋" w:hAnsi="仿宋" w:eastAsia="仿宋"/>
          <w:sz w:val="28"/>
        </w:rPr>
        <w:t>较好</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（9）装饰装修：</w:t>
      </w:r>
      <w:r>
        <w:rPr>
          <w:rFonts w:hint="eastAsia" w:ascii="仿宋" w:hAnsi="仿宋" w:eastAsia="仿宋"/>
          <w:sz w:val="28"/>
        </w:rPr>
        <w:t>估价对象中</w:t>
      </w:r>
      <w:r>
        <w:rPr>
          <w:rFonts w:ascii="仿宋" w:hAnsi="仿宋" w:eastAsia="仿宋"/>
          <w:sz w:val="28"/>
        </w:rPr>
        <w:t>射阳经济开发区东区金色阳光小区26幢公寓楼1601-1613室</w:t>
      </w:r>
      <w:r>
        <w:rPr>
          <w:rFonts w:hint="eastAsia" w:ascii="仿宋" w:hAnsi="仿宋" w:eastAsia="仿宋"/>
          <w:sz w:val="28"/>
        </w:rPr>
        <w:t>所在建筑物外墙为钢混砂浆抹面贴浅色墙砖，室内基本毛坯，走廊为地砖地面，纤维板吊顶，保养维护状况一般。</w:t>
      </w:r>
    </w:p>
    <w:p>
      <w:pPr>
        <w:spacing w:line="520" w:lineRule="exact"/>
        <w:ind w:firstLine="560" w:firstLineChars="200"/>
        <w:rPr>
          <w:rFonts w:ascii="仿宋" w:hAnsi="仿宋" w:eastAsia="仿宋"/>
          <w:sz w:val="28"/>
        </w:rPr>
      </w:pPr>
      <w:r>
        <w:rPr>
          <w:rFonts w:ascii="仿宋" w:hAnsi="仿宋" w:eastAsia="仿宋"/>
          <w:sz w:val="28"/>
        </w:rPr>
        <w:t>（10）设施设备：水、电</w:t>
      </w:r>
      <w:r>
        <w:rPr>
          <w:rFonts w:hint="eastAsia" w:ascii="仿宋" w:hAnsi="仿宋" w:eastAsia="仿宋"/>
          <w:sz w:val="28"/>
        </w:rPr>
        <w:t>、消防</w:t>
      </w:r>
      <w:r>
        <w:rPr>
          <w:rFonts w:ascii="仿宋" w:hAnsi="仿宋" w:eastAsia="仿宋"/>
          <w:sz w:val="28"/>
        </w:rPr>
        <w:t>等设施已入户。</w:t>
      </w:r>
    </w:p>
    <w:p>
      <w:pPr>
        <w:spacing w:line="520" w:lineRule="exact"/>
        <w:ind w:firstLine="560" w:firstLineChars="200"/>
        <w:rPr>
          <w:rFonts w:ascii="仿宋" w:hAnsi="仿宋" w:eastAsia="仿宋"/>
          <w:sz w:val="28"/>
        </w:rPr>
      </w:pPr>
      <w:r>
        <w:rPr>
          <w:rFonts w:ascii="仿宋" w:hAnsi="仿宋" w:eastAsia="仿宋"/>
          <w:sz w:val="28"/>
        </w:rPr>
        <w:t>（11）建成年代：</w:t>
      </w:r>
      <w:r>
        <w:rPr>
          <w:rFonts w:hint="eastAsia" w:ascii="仿宋" w:hAnsi="仿宋" w:eastAsia="仿宋"/>
          <w:sz w:val="28"/>
        </w:rPr>
        <w:t>成新率较新</w:t>
      </w:r>
      <w:r>
        <w:rPr>
          <w:rFonts w:ascii="仿宋" w:hAnsi="仿宋" w:eastAsia="仿宋"/>
          <w:sz w:val="28"/>
        </w:rPr>
        <w:t>。</w:t>
      </w:r>
    </w:p>
    <w:p>
      <w:pPr>
        <w:spacing w:line="520" w:lineRule="exact"/>
        <w:ind w:firstLine="560" w:firstLineChars="200"/>
        <w:rPr>
          <w:rFonts w:ascii="仿宋" w:hAnsi="仿宋" w:eastAsia="仿宋"/>
          <w:sz w:val="28"/>
        </w:rPr>
      </w:pPr>
      <w:r>
        <w:rPr>
          <w:rFonts w:ascii="仿宋" w:hAnsi="仿宋" w:eastAsia="仿宋"/>
          <w:sz w:val="28"/>
        </w:rPr>
        <w:t>（12）建筑结构：</w:t>
      </w:r>
      <w:r>
        <w:rPr>
          <w:rFonts w:hint="eastAsia" w:ascii="仿宋" w:hAnsi="仿宋" w:eastAsia="仿宋"/>
          <w:sz w:val="28"/>
        </w:rPr>
        <w:t>钢混</w:t>
      </w:r>
      <w:r>
        <w:rPr>
          <w:rFonts w:ascii="仿宋" w:hAnsi="仿宋" w:eastAsia="仿宋"/>
          <w:sz w:val="28"/>
        </w:rPr>
        <w:t>结构。</w:t>
      </w:r>
    </w:p>
    <w:p>
      <w:pPr>
        <w:spacing w:line="520" w:lineRule="exact"/>
        <w:ind w:firstLine="560" w:firstLineChars="200"/>
        <w:rPr>
          <w:rFonts w:ascii="仿宋" w:hAnsi="仿宋" w:eastAsia="仿宋"/>
          <w:sz w:val="28"/>
        </w:rPr>
      </w:pPr>
      <w:r>
        <w:rPr>
          <w:rFonts w:ascii="仿宋" w:hAnsi="仿宋" w:eastAsia="仿宋"/>
          <w:sz w:val="28"/>
        </w:rPr>
        <w:t>（13）维护状况：建筑物的结构、墙体、楼屋面整体坚固，无空鼓、损坏；门窗开关无明显破损。整体维护保养状况</w:t>
      </w:r>
      <w:r>
        <w:rPr>
          <w:rFonts w:hint="eastAsia" w:ascii="仿宋" w:hAnsi="仿宋" w:eastAsia="仿宋"/>
          <w:sz w:val="28"/>
        </w:rPr>
        <w:t>一般</w:t>
      </w:r>
      <w:r>
        <w:rPr>
          <w:rFonts w:ascii="仿宋" w:hAnsi="仿宋" w:eastAsia="仿宋"/>
          <w:sz w:val="28"/>
        </w:rPr>
        <w:t>。</w:t>
      </w:r>
    </w:p>
    <w:p>
      <w:pPr>
        <w:spacing w:line="520" w:lineRule="exact"/>
        <w:ind w:left="555"/>
        <w:rPr>
          <w:rFonts w:ascii="仿宋" w:hAnsi="仿宋" w:eastAsia="仿宋"/>
          <w:sz w:val="28"/>
        </w:rPr>
      </w:pPr>
      <w:r>
        <w:rPr>
          <w:rFonts w:ascii="仿宋" w:hAnsi="仿宋" w:eastAsia="仿宋"/>
          <w:sz w:val="28"/>
        </w:rPr>
        <w:t>3、估价对象土地状况</w:t>
      </w:r>
    </w:p>
    <w:p>
      <w:pPr>
        <w:spacing w:line="500" w:lineRule="exact"/>
        <w:ind w:firstLine="555"/>
        <w:rPr>
          <w:rFonts w:ascii="仿宋" w:hAnsi="仿宋" w:eastAsia="仿宋"/>
          <w:sz w:val="28"/>
        </w:rPr>
      </w:pPr>
      <w:r>
        <w:rPr>
          <w:rFonts w:ascii="仿宋" w:hAnsi="仿宋" w:eastAsia="仿宋"/>
          <w:sz w:val="28"/>
        </w:rPr>
        <w:t>（1）宗地四至：</w:t>
      </w:r>
      <w:r>
        <w:rPr>
          <w:rFonts w:hint="eastAsia" w:ascii="仿宋" w:hAnsi="仿宋" w:eastAsia="仿宋"/>
          <w:sz w:val="28"/>
        </w:rPr>
        <w:t>估价对象所在商业体东临海悦路，南临道路，西临兴海路，北近解放东路</w:t>
      </w:r>
      <w:r>
        <w:rPr>
          <w:rFonts w:ascii="仿宋" w:hAnsi="仿宋" w:eastAsia="仿宋"/>
          <w:sz w:val="28"/>
        </w:rPr>
        <w:t>。</w:t>
      </w:r>
    </w:p>
    <w:p>
      <w:pPr>
        <w:spacing w:line="520" w:lineRule="exact"/>
        <w:ind w:firstLine="560" w:firstLineChars="200"/>
        <w:rPr>
          <w:rFonts w:ascii="仿宋" w:hAnsi="仿宋" w:eastAsia="仿宋"/>
          <w:color w:val="0000FF"/>
          <w:sz w:val="28"/>
        </w:rPr>
      </w:pPr>
      <w:r>
        <w:rPr>
          <w:rFonts w:ascii="仿宋" w:hAnsi="仿宋" w:eastAsia="仿宋"/>
          <w:color w:val="0000FF"/>
          <w:sz w:val="28"/>
        </w:rPr>
        <w:t>（2）土地面积、地类（用途）、土地使用权类型：</w:t>
      </w:r>
      <w:r>
        <w:rPr>
          <w:rFonts w:hint="eastAsia" w:ascii="仿宋" w:hAnsi="仿宋" w:eastAsia="仿宋"/>
          <w:color w:val="0000FF"/>
          <w:sz w:val="28"/>
        </w:rPr>
        <w:t>合理分摊的土地使用权、设定为酒店式公寓用地、出让。</w:t>
      </w:r>
      <w:r>
        <w:rPr>
          <w:rFonts w:ascii="仿宋" w:hAnsi="仿宋" w:eastAsia="仿宋"/>
          <w:color w:val="0000FF"/>
          <w:sz w:val="28"/>
        </w:rPr>
        <w:t xml:space="preserve"> </w:t>
      </w:r>
    </w:p>
    <w:p>
      <w:pPr>
        <w:spacing w:line="520" w:lineRule="exact"/>
        <w:ind w:firstLine="560" w:firstLineChars="200"/>
        <w:rPr>
          <w:rFonts w:ascii="仿宋" w:hAnsi="仿宋" w:eastAsia="仿宋"/>
          <w:sz w:val="28"/>
        </w:rPr>
      </w:pPr>
      <w:r>
        <w:rPr>
          <w:rFonts w:ascii="仿宋" w:hAnsi="仿宋" w:eastAsia="仿宋"/>
          <w:sz w:val="28"/>
        </w:rPr>
        <w:t>（3）土地开发程度：估价对象所在宗地红线外达到“五通”（通路、通上水、通下水、通电、通讯），宗地红线内达到“五通一平”（通路、通上水、通下水、通电、通讯，场地平整）。</w:t>
      </w:r>
    </w:p>
    <w:p>
      <w:pPr>
        <w:spacing w:line="520" w:lineRule="exact"/>
        <w:ind w:firstLine="560" w:firstLineChars="200"/>
        <w:rPr>
          <w:rFonts w:ascii="仿宋" w:hAnsi="仿宋" w:eastAsia="仿宋"/>
          <w:sz w:val="28"/>
        </w:rPr>
      </w:pPr>
      <w:r>
        <w:rPr>
          <w:rFonts w:ascii="仿宋" w:hAnsi="仿宋" w:eastAsia="仿宋"/>
          <w:sz w:val="28"/>
        </w:rPr>
        <w:t>（4）地势、地质与形状：估价对象所在宗地地势较为平整，有利于土地开发利用，所在宗地形状近似于矩形。</w:t>
      </w:r>
    </w:p>
    <w:p>
      <w:pPr>
        <w:spacing w:line="520" w:lineRule="exact"/>
        <w:ind w:firstLine="560" w:firstLineChars="200"/>
        <w:rPr>
          <w:rFonts w:ascii="仿宋" w:hAnsi="仿宋" w:eastAsia="仿宋"/>
          <w:sz w:val="28"/>
        </w:rPr>
      </w:pPr>
      <w:r>
        <w:rPr>
          <w:rFonts w:ascii="仿宋" w:hAnsi="仿宋" w:eastAsia="仿宋"/>
          <w:sz w:val="28"/>
        </w:rPr>
        <w:t>（5）地基、水文状况：估价对象所在宗地地基承载力一般，地表排雨水状况良好，一般无地表积水现象。</w:t>
      </w:r>
    </w:p>
    <w:p>
      <w:pPr>
        <w:spacing w:line="520" w:lineRule="exact"/>
        <w:ind w:firstLine="560" w:firstLineChars="200"/>
        <w:rPr>
          <w:rFonts w:ascii="仿宋" w:hAnsi="仿宋" w:eastAsia="仿宋"/>
          <w:sz w:val="28"/>
        </w:rPr>
      </w:pPr>
      <w:r>
        <w:rPr>
          <w:rFonts w:ascii="仿宋" w:hAnsi="仿宋" w:eastAsia="仿宋"/>
          <w:sz w:val="28"/>
        </w:rPr>
        <w:t>（6）土地利用现状：估价对象所在宗地已建成酒店式公寓。</w:t>
      </w:r>
    </w:p>
    <w:p>
      <w:pPr>
        <w:spacing w:line="520" w:lineRule="exact"/>
        <w:ind w:firstLine="555"/>
        <w:rPr>
          <w:rFonts w:ascii="仿宋" w:hAnsi="仿宋" w:eastAsia="仿宋"/>
          <w:b/>
          <w:sz w:val="28"/>
        </w:rPr>
      </w:pPr>
      <w:r>
        <w:rPr>
          <w:rFonts w:ascii="仿宋" w:hAnsi="仿宋" w:eastAsia="仿宋"/>
          <w:b/>
          <w:sz w:val="28"/>
        </w:rPr>
        <w:t>（</w:t>
      </w:r>
      <w:r>
        <w:rPr>
          <w:rFonts w:hint="eastAsia" w:ascii="仿宋" w:hAnsi="仿宋" w:eastAsia="仿宋"/>
          <w:b/>
          <w:sz w:val="28"/>
        </w:rPr>
        <w:t>三</w:t>
      </w:r>
      <w:r>
        <w:rPr>
          <w:rFonts w:ascii="仿宋" w:hAnsi="仿宋" w:eastAsia="仿宋"/>
          <w:b/>
          <w:sz w:val="28"/>
        </w:rPr>
        <w:t>）</w:t>
      </w:r>
      <w:r>
        <w:rPr>
          <w:rFonts w:hint="eastAsia" w:ascii="仿宋" w:hAnsi="仿宋" w:eastAsia="仿宋"/>
          <w:b/>
          <w:sz w:val="28"/>
        </w:rPr>
        <w:t>估价对象</w:t>
      </w:r>
      <w:r>
        <w:rPr>
          <w:rFonts w:ascii="仿宋" w:hAnsi="仿宋" w:eastAsia="仿宋"/>
          <w:b/>
          <w:sz w:val="28"/>
        </w:rPr>
        <w:t>权</w:t>
      </w:r>
      <w:r>
        <w:rPr>
          <w:rFonts w:hint="eastAsia" w:ascii="仿宋" w:hAnsi="仿宋" w:eastAsia="仿宋"/>
          <w:b/>
          <w:sz w:val="28"/>
        </w:rPr>
        <w:t>益</w:t>
      </w:r>
      <w:r>
        <w:rPr>
          <w:rFonts w:ascii="仿宋" w:hAnsi="仿宋" w:eastAsia="仿宋"/>
          <w:b/>
          <w:sz w:val="28"/>
        </w:rPr>
        <w:t>状况</w:t>
      </w:r>
    </w:p>
    <w:p>
      <w:pPr>
        <w:numPr>
          <w:ilvl w:val="0"/>
          <w:numId w:val="1"/>
        </w:numPr>
        <w:spacing w:line="520" w:lineRule="exact"/>
        <w:rPr>
          <w:rFonts w:ascii="仿宋" w:hAnsi="仿宋" w:eastAsia="仿宋"/>
          <w:sz w:val="28"/>
        </w:rPr>
      </w:pPr>
      <w:r>
        <w:rPr>
          <w:rFonts w:hint="eastAsia" w:ascii="仿宋" w:hAnsi="仿宋" w:eastAsia="仿宋"/>
          <w:sz w:val="28"/>
          <w:szCs w:val="28"/>
        </w:rPr>
        <w:t>不动产产权登记状况</w:t>
      </w:r>
    </w:p>
    <w:p>
      <w:pPr>
        <w:spacing w:line="520" w:lineRule="exact"/>
        <w:ind w:firstLine="560" w:firstLineChars="200"/>
        <w:rPr>
          <w:rFonts w:ascii="仿宋" w:hAnsi="仿宋" w:eastAsia="仿宋"/>
          <w:sz w:val="28"/>
        </w:rPr>
      </w:pPr>
      <w:r>
        <w:rPr>
          <w:rFonts w:hint="eastAsia" w:ascii="仿宋" w:hAnsi="仿宋" w:eastAsia="仿宋"/>
          <w:sz w:val="28"/>
        </w:rPr>
        <w:t>《不动产单元登记情况》及《商品房买卖合同》（合同编号：</w:t>
      </w:r>
      <w:r>
        <w:rPr>
          <w:rFonts w:ascii="仿宋" w:hAnsi="仿宋" w:eastAsia="仿宋"/>
          <w:sz w:val="28"/>
        </w:rPr>
        <w:t>SYHTBA201 80444178</w:t>
      </w:r>
      <w:r>
        <w:rPr>
          <w:rFonts w:hint="eastAsia" w:ascii="仿宋" w:hAnsi="仿宋" w:eastAsia="仿宋"/>
          <w:sz w:val="28"/>
        </w:rPr>
        <w:t>号）登记状况。</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137"/>
        <w:gridCol w:w="1143"/>
        <w:gridCol w:w="1126"/>
        <w:gridCol w:w="1130"/>
        <w:gridCol w:w="1278"/>
        <w:gridCol w:w="1272"/>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blHeader/>
        </w:trPr>
        <w:tc>
          <w:tcPr>
            <w:tcW w:w="525"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买受人</w:t>
            </w:r>
          </w:p>
        </w:tc>
        <w:tc>
          <w:tcPr>
            <w:tcW w:w="623"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土地证号</w:t>
            </w:r>
          </w:p>
        </w:tc>
        <w:tc>
          <w:tcPr>
            <w:tcW w:w="626"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土地用途</w:t>
            </w:r>
          </w:p>
        </w:tc>
        <w:tc>
          <w:tcPr>
            <w:tcW w:w="617"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商品房预售许可证号</w:t>
            </w:r>
          </w:p>
        </w:tc>
        <w:tc>
          <w:tcPr>
            <w:tcW w:w="619"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住宅土地使用截止时间</w:t>
            </w:r>
          </w:p>
        </w:tc>
        <w:tc>
          <w:tcPr>
            <w:tcW w:w="700"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商用土地使用截止时间</w:t>
            </w:r>
          </w:p>
        </w:tc>
        <w:tc>
          <w:tcPr>
            <w:tcW w:w="697"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建设工程规划许可证</w:t>
            </w:r>
          </w:p>
        </w:tc>
        <w:tc>
          <w:tcPr>
            <w:tcW w:w="593"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施工许可证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trPr>
        <w:tc>
          <w:tcPr>
            <w:tcW w:w="525"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唐为祥</w:t>
            </w:r>
          </w:p>
        </w:tc>
        <w:tc>
          <w:tcPr>
            <w:tcW w:w="62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2013</w:t>
            </w:r>
          </w:p>
          <w:p>
            <w:pPr>
              <w:widowControl/>
              <w:jc w:val="center"/>
              <w:rPr>
                <w:rFonts w:ascii="黑体" w:hAnsi="黑体" w:eastAsia="黑体" w:cs="宋体"/>
                <w:kern w:val="0"/>
                <w:szCs w:val="21"/>
              </w:rPr>
            </w:pPr>
            <w:r>
              <w:rPr>
                <w:rFonts w:hint="eastAsia" w:ascii="黑体" w:hAnsi="黑体" w:eastAsia="黑体" w:cs="宋体"/>
                <w:kern w:val="0"/>
                <w:szCs w:val="21"/>
              </w:rPr>
              <w:t>606589</w:t>
            </w:r>
          </w:p>
        </w:tc>
        <w:tc>
          <w:tcPr>
            <w:tcW w:w="626"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城镇住宅用地、其他商服用地</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射房销字（2017）第（0012）号</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2083/6/27</w:t>
            </w:r>
          </w:p>
        </w:tc>
        <w:tc>
          <w:tcPr>
            <w:tcW w:w="700"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2053/6/27</w:t>
            </w:r>
          </w:p>
        </w:tc>
        <w:tc>
          <w:tcPr>
            <w:tcW w:w="69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910862</w:t>
            </w: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32092402020130030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trPr>
        <w:tc>
          <w:tcPr>
            <w:tcW w:w="1774" w:type="pct"/>
            <w:gridSpan w:val="3"/>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坐落</w:t>
            </w:r>
          </w:p>
        </w:tc>
        <w:tc>
          <w:tcPr>
            <w:tcW w:w="617"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建筑结构</w:t>
            </w:r>
          </w:p>
        </w:tc>
        <w:tc>
          <w:tcPr>
            <w:tcW w:w="619"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所在楼层</w:t>
            </w:r>
          </w:p>
        </w:tc>
        <w:tc>
          <w:tcPr>
            <w:tcW w:w="700"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建筑面积（平方米）</w:t>
            </w:r>
          </w:p>
        </w:tc>
        <w:tc>
          <w:tcPr>
            <w:tcW w:w="697"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宗地面积（平方米）</w:t>
            </w:r>
          </w:p>
        </w:tc>
        <w:tc>
          <w:tcPr>
            <w:tcW w:w="593" w:type="pct"/>
            <w:shd w:val="clear" w:color="auto" w:fill="auto"/>
            <w:vAlign w:val="center"/>
          </w:tcPr>
          <w:p>
            <w:pPr>
              <w:widowControl/>
              <w:jc w:val="center"/>
              <w:rPr>
                <w:rFonts w:ascii="黑体" w:hAnsi="黑体" w:eastAsia="黑体" w:cs="宋体"/>
                <w:b/>
                <w:bCs/>
                <w:kern w:val="0"/>
                <w:szCs w:val="21"/>
              </w:rPr>
            </w:pPr>
            <w:r>
              <w:rPr>
                <w:rFonts w:hint="eastAsia" w:ascii="黑体" w:hAnsi="黑体" w:eastAsia="黑体" w:cs="宋体"/>
                <w:b/>
                <w:bCs/>
                <w:kern w:val="0"/>
                <w:szCs w:val="21"/>
              </w:rPr>
              <w:t>房产用途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射阳经济开发区东区金色阳光小区26幢公寓楼1601</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59.79</w:t>
            </w:r>
          </w:p>
        </w:tc>
        <w:tc>
          <w:tcPr>
            <w:tcW w:w="697" w:type="pct"/>
            <w:vMerge w:val="restar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18,387</w:t>
            </w: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射阳经济开发区东区金色阳光小区26幢公寓楼1602</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59.29</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射阳经济开发区东区金色阳光小区26幢公寓楼1603</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58.41</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射阳经济开发区东区金色阳光小区26幢公寓楼1604</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59.29</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射阳经济开发区东区金色阳光小区26幢公寓楼1605</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55.68</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射阳经济开发区东区金色阳光小区26幢公寓楼1606</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55.68</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射阳经济开发区东区金色阳光小区26幢公寓楼1607</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59.29</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射阳经济开发区东区金色阳光小区26幢公寓楼1608</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59.42</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射阳经济开发区东区金色阳光小区26幢公寓楼1609</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67.87</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射阳经济开发区东区金色阳光小区26幢公寓楼1610</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57.19</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射阳经济开发区东区金色阳光小区26幢公寓楼1611</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57.19</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射阳经济开发区东区金色阳光小区26幢公寓楼1612</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57.19</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射阳经济开发区东区金色阳光小区26幢公寓楼1613</w:t>
            </w:r>
          </w:p>
        </w:tc>
        <w:tc>
          <w:tcPr>
            <w:tcW w:w="617"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钢混结构</w:t>
            </w:r>
          </w:p>
        </w:tc>
        <w:tc>
          <w:tcPr>
            <w:tcW w:w="619"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16/17（-1）</w:t>
            </w: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58.08</w:t>
            </w:r>
          </w:p>
        </w:tc>
        <w:tc>
          <w:tcPr>
            <w:tcW w:w="697" w:type="pct"/>
            <w:vMerge w:val="continue"/>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酒店式公寓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74" w:type="pct"/>
            <w:gridSpan w:val="3"/>
            <w:shd w:val="clear" w:color="auto" w:fill="auto"/>
            <w:vAlign w:val="center"/>
          </w:tcPr>
          <w:p>
            <w:pPr>
              <w:widowControl/>
              <w:jc w:val="center"/>
              <w:rPr>
                <w:rFonts w:ascii="黑体" w:hAnsi="黑体" w:eastAsia="黑体" w:cs="宋体"/>
                <w:kern w:val="0"/>
                <w:szCs w:val="21"/>
              </w:rPr>
            </w:pPr>
            <w:r>
              <w:rPr>
                <w:rFonts w:hint="eastAsia" w:ascii="黑体" w:hAnsi="黑体" w:eastAsia="黑体" w:cs="宋体"/>
                <w:kern w:val="0"/>
                <w:szCs w:val="21"/>
              </w:rPr>
              <w:t>合计</w:t>
            </w:r>
          </w:p>
        </w:tc>
        <w:tc>
          <w:tcPr>
            <w:tcW w:w="617" w:type="pct"/>
            <w:shd w:val="clear" w:color="auto" w:fill="auto"/>
            <w:vAlign w:val="center"/>
          </w:tcPr>
          <w:p>
            <w:pPr>
              <w:widowControl/>
              <w:jc w:val="center"/>
              <w:rPr>
                <w:rFonts w:ascii="黑体" w:hAnsi="黑体" w:eastAsia="黑体" w:cs="宋体"/>
                <w:kern w:val="0"/>
                <w:szCs w:val="21"/>
              </w:rPr>
            </w:pPr>
          </w:p>
        </w:tc>
        <w:tc>
          <w:tcPr>
            <w:tcW w:w="619" w:type="pct"/>
            <w:shd w:val="clear" w:color="auto" w:fill="auto"/>
            <w:vAlign w:val="center"/>
          </w:tcPr>
          <w:p>
            <w:pPr>
              <w:widowControl/>
              <w:jc w:val="center"/>
              <w:rPr>
                <w:rFonts w:ascii="黑体" w:hAnsi="黑体" w:eastAsia="黑体" w:cs="宋体"/>
                <w:kern w:val="0"/>
                <w:szCs w:val="21"/>
              </w:rPr>
            </w:pPr>
          </w:p>
        </w:tc>
        <w:tc>
          <w:tcPr>
            <w:tcW w:w="700" w:type="pct"/>
            <w:shd w:val="clear" w:color="auto" w:fill="auto"/>
            <w:vAlign w:val="center"/>
          </w:tcPr>
          <w:p>
            <w:pPr>
              <w:widowControl/>
              <w:jc w:val="center"/>
              <w:rPr>
                <w:rFonts w:ascii="黑体" w:hAnsi="黑体" w:eastAsia="黑体" w:cs="宋体"/>
                <w:color w:val="000000"/>
                <w:kern w:val="0"/>
                <w:szCs w:val="21"/>
              </w:rPr>
            </w:pPr>
            <w:r>
              <w:rPr>
                <w:rFonts w:hint="eastAsia" w:ascii="黑体" w:hAnsi="黑体" w:eastAsia="黑体" w:cs="宋体"/>
                <w:color w:val="000000"/>
                <w:kern w:val="0"/>
                <w:szCs w:val="21"/>
              </w:rPr>
              <w:t>764.37</w:t>
            </w:r>
          </w:p>
        </w:tc>
        <w:tc>
          <w:tcPr>
            <w:tcW w:w="697" w:type="pct"/>
            <w:vAlign w:val="center"/>
          </w:tcPr>
          <w:p>
            <w:pPr>
              <w:widowControl/>
              <w:jc w:val="left"/>
              <w:rPr>
                <w:rFonts w:ascii="黑体" w:hAnsi="黑体" w:eastAsia="黑体" w:cs="宋体"/>
                <w:kern w:val="0"/>
                <w:szCs w:val="21"/>
              </w:rPr>
            </w:pPr>
          </w:p>
        </w:tc>
        <w:tc>
          <w:tcPr>
            <w:tcW w:w="593" w:type="pct"/>
            <w:shd w:val="clear" w:color="auto" w:fill="auto"/>
            <w:vAlign w:val="center"/>
          </w:tcPr>
          <w:p>
            <w:pPr>
              <w:widowControl/>
              <w:jc w:val="center"/>
              <w:rPr>
                <w:rFonts w:ascii="黑体" w:hAnsi="黑体" w:eastAsia="黑体" w:cs="宋体"/>
                <w:kern w:val="0"/>
                <w:szCs w:val="21"/>
              </w:rPr>
            </w:pPr>
          </w:p>
        </w:tc>
      </w:tr>
    </w:tbl>
    <w:p>
      <w:pPr>
        <w:spacing w:line="520" w:lineRule="exact"/>
        <w:ind w:firstLine="560" w:firstLineChars="200"/>
        <w:rPr>
          <w:rFonts w:ascii="仿宋" w:hAnsi="仿宋" w:eastAsia="仿宋"/>
          <w:sz w:val="28"/>
        </w:rPr>
      </w:pPr>
      <w:r>
        <w:rPr>
          <w:rFonts w:ascii="仿宋" w:hAnsi="仿宋" w:eastAsia="仿宋"/>
          <w:sz w:val="28"/>
        </w:rPr>
        <w:t>2</w:t>
      </w:r>
      <w:r>
        <w:rPr>
          <w:rFonts w:hint="eastAsia" w:ascii="仿宋" w:hAnsi="仿宋" w:eastAsia="仿宋"/>
          <w:sz w:val="28"/>
        </w:rPr>
        <w:t>.担保物权设立</w:t>
      </w:r>
      <w:r>
        <w:rPr>
          <w:rFonts w:ascii="仿宋" w:hAnsi="仿宋" w:eastAsia="仿宋"/>
          <w:sz w:val="28"/>
        </w:rPr>
        <w:t>状况</w:t>
      </w:r>
    </w:p>
    <w:p>
      <w:pPr>
        <w:pStyle w:val="10"/>
        <w:spacing w:line="500" w:lineRule="exact"/>
        <w:ind w:firstLine="565" w:firstLineChars="202"/>
        <w:rPr>
          <w:rFonts w:ascii="仿宋" w:hAnsi="仿宋" w:eastAsia="仿宋"/>
          <w:sz w:val="28"/>
        </w:rPr>
      </w:pPr>
      <w:r>
        <w:rPr>
          <w:rFonts w:ascii="仿宋" w:hAnsi="仿宋" w:eastAsia="仿宋"/>
          <w:sz w:val="28"/>
        </w:rPr>
        <w:t>根据委托</w:t>
      </w:r>
      <w:r>
        <w:rPr>
          <w:rFonts w:hint="eastAsia" w:ascii="仿宋" w:hAnsi="仿宋" w:eastAsia="仿宋"/>
          <w:sz w:val="28"/>
        </w:rPr>
        <w:t>人</w:t>
      </w:r>
      <w:r>
        <w:rPr>
          <w:rFonts w:ascii="仿宋" w:hAnsi="仿宋" w:eastAsia="仿宋"/>
          <w:sz w:val="28"/>
        </w:rPr>
        <w:t>提供的资料，</w:t>
      </w:r>
      <w:r>
        <w:rPr>
          <w:rFonts w:hint="eastAsia" w:ascii="仿宋" w:hAnsi="仿宋" w:eastAsia="仿宋"/>
          <w:sz w:val="28"/>
        </w:rPr>
        <w:t>在价值时点估价对象设定的他项权利（抵押权）及限制权利（法院查封）</w:t>
      </w:r>
      <w:bookmarkStart w:id="56" w:name="_Hlk60823560"/>
      <w:r>
        <w:rPr>
          <w:rFonts w:hint="eastAsia" w:ascii="仿宋" w:hAnsi="仿宋" w:eastAsia="仿宋"/>
          <w:sz w:val="28"/>
        </w:rPr>
        <w:t>不详。</w:t>
      </w:r>
      <w:r>
        <w:rPr>
          <w:rFonts w:ascii="仿宋" w:hAnsi="仿宋" w:eastAsia="仿宋"/>
          <w:sz w:val="28"/>
        </w:rPr>
        <w:t>本次评估不考虑估价对象他项权利及限制权利状况对估价结果的影响。</w:t>
      </w:r>
      <w:bookmarkEnd w:id="56"/>
    </w:p>
    <w:p>
      <w:pPr>
        <w:pStyle w:val="10"/>
        <w:spacing w:line="520" w:lineRule="exact"/>
        <w:ind w:firstLine="565" w:firstLineChars="202"/>
        <w:rPr>
          <w:rFonts w:ascii="仿宋" w:hAnsi="仿宋" w:eastAsia="仿宋"/>
          <w:sz w:val="28"/>
        </w:rPr>
      </w:pPr>
      <w:r>
        <w:rPr>
          <w:rFonts w:ascii="仿宋" w:hAnsi="仿宋" w:eastAsia="仿宋"/>
          <w:sz w:val="28"/>
        </w:rPr>
        <w:t>3</w:t>
      </w:r>
      <w:r>
        <w:rPr>
          <w:rFonts w:hint="eastAsia" w:ascii="仿宋" w:hAnsi="仿宋" w:eastAsia="仿宋"/>
          <w:sz w:val="28"/>
        </w:rPr>
        <w:t>.租赁或占用情况等其他权利限制状况</w:t>
      </w:r>
    </w:p>
    <w:p>
      <w:pPr>
        <w:pStyle w:val="10"/>
        <w:spacing w:line="520" w:lineRule="exact"/>
        <w:ind w:firstLine="565" w:firstLineChars="202"/>
        <w:rPr>
          <w:rFonts w:ascii="仿宋" w:hAnsi="仿宋" w:eastAsia="仿宋"/>
          <w:sz w:val="28"/>
        </w:rPr>
      </w:pPr>
      <w:r>
        <w:rPr>
          <w:rFonts w:hint="eastAsia" w:ascii="仿宋" w:hAnsi="仿宋" w:eastAsia="仿宋"/>
          <w:sz w:val="28"/>
        </w:rPr>
        <w:t>至现场查勘日止，估价对象现产权人为杨栋力，实际使用人不详。</w:t>
      </w:r>
    </w:p>
    <w:p>
      <w:pPr>
        <w:pStyle w:val="4"/>
        <w:rPr>
          <w:rFonts w:ascii="Times New Roman" w:hAnsi="Times New Roman"/>
        </w:rPr>
      </w:pPr>
      <w:bookmarkStart w:id="57" w:name="_Toc319586168"/>
      <w:bookmarkStart w:id="58" w:name="_Toc419202136"/>
      <w:bookmarkStart w:id="59" w:name="_Toc23179129"/>
      <w:bookmarkStart w:id="60" w:name="_Toc27568"/>
      <w:r>
        <w:rPr>
          <w:rFonts w:ascii="Times New Roman"/>
        </w:rPr>
        <w:t>五、价值时点</w:t>
      </w:r>
      <w:bookmarkEnd w:id="57"/>
      <w:bookmarkEnd w:id="58"/>
      <w:bookmarkEnd w:id="59"/>
      <w:bookmarkEnd w:id="60"/>
    </w:p>
    <w:p>
      <w:pPr>
        <w:spacing w:line="520" w:lineRule="exact"/>
        <w:ind w:firstLine="555"/>
        <w:rPr>
          <w:rFonts w:ascii="仿宋" w:hAnsi="仿宋" w:eastAsia="仿宋"/>
          <w:sz w:val="28"/>
        </w:rPr>
      </w:pPr>
      <w:r>
        <w:rPr>
          <w:rFonts w:ascii="仿宋" w:hAnsi="仿宋" w:eastAsia="仿宋"/>
          <w:sz w:val="28"/>
        </w:rPr>
        <w:fldChar w:fldCharType="begin"/>
      </w:r>
      <w:r>
        <w:rPr>
          <w:rFonts w:ascii="仿宋" w:hAnsi="仿宋" w:eastAsia="仿宋"/>
          <w:sz w:val="28"/>
        </w:rPr>
        <w:instrText xml:space="preserve"> MERGEFIELD 估价时点 \@ "yyyy'年'M'月'd'日'"</w:instrText>
      </w:r>
      <w:r>
        <w:rPr>
          <w:rFonts w:ascii="仿宋" w:hAnsi="仿宋" w:eastAsia="仿宋"/>
          <w:sz w:val="28"/>
        </w:rPr>
        <w:fldChar w:fldCharType="separate"/>
      </w:r>
      <w:r>
        <w:rPr>
          <w:rFonts w:hint="eastAsia" w:ascii="仿宋" w:hAnsi="仿宋" w:eastAsia="仿宋"/>
          <w:sz w:val="28"/>
          <w:lang w:eastAsia="zh-CN"/>
        </w:rPr>
        <w:t>2022年08月11日</w:t>
      </w:r>
      <w:r>
        <w:rPr>
          <w:rFonts w:ascii="仿宋" w:hAnsi="仿宋" w:eastAsia="仿宋"/>
          <w:sz w:val="28"/>
        </w:rPr>
        <w:fldChar w:fldCharType="end"/>
      </w:r>
      <w:r>
        <w:rPr>
          <w:rFonts w:hint="eastAsia" w:ascii="仿宋" w:hAnsi="仿宋" w:eastAsia="仿宋"/>
          <w:sz w:val="28"/>
        </w:rPr>
        <w:t>，价值时点为估价人员现场查勘之日。</w:t>
      </w:r>
    </w:p>
    <w:p>
      <w:pPr>
        <w:pStyle w:val="4"/>
        <w:rPr>
          <w:rFonts w:ascii="Times New Roman" w:hAnsi="Times New Roman" w:eastAsia="宋体"/>
          <w:lang w:eastAsia="zh-CN"/>
        </w:rPr>
      </w:pPr>
      <w:bookmarkStart w:id="61" w:name="_Toc319586169"/>
      <w:bookmarkStart w:id="62" w:name="_Toc419202137"/>
      <w:bookmarkStart w:id="63" w:name="_Toc23179130"/>
      <w:bookmarkStart w:id="64" w:name="_Toc21894"/>
      <w:r>
        <w:rPr>
          <w:rFonts w:ascii="Times New Roman"/>
        </w:rPr>
        <w:t>六、价值类型</w:t>
      </w:r>
      <w:bookmarkEnd w:id="61"/>
      <w:bookmarkEnd w:id="62"/>
      <w:bookmarkEnd w:id="63"/>
      <w:bookmarkEnd w:id="64"/>
    </w:p>
    <w:p>
      <w:pPr>
        <w:spacing w:line="520" w:lineRule="exact"/>
        <w:ind w:firstLine="555"/>
        <w:rPr>
          <w:rFonts w:ascii="仿宋" w:hAnsi="仿宋" w:eastAsia="仿宋"/>
          <w:sz w:val="28"/>
        </w:rPr>
      </w:pPr>
      <w:bookmarkStart w:id="65" w:name="_Toc319586170"/>
      <w:bookmarkStart w:id="66" w:name="_Toc419202138"/>
      <w:bookmarkStart w:id="67" w:name="_Toc319586171"/>
      <w:bookmarkStart w:id="68" w:name="_Toc419202139"/>
      <w:bookmarkStart w:id="69" w:name="_Toc23179131"/>
      <w:r>
        <w:rPr>
          <w:rFonts w:hint="eastAsia" w:ascii="仿宋" w:hAnsi="仿宋" w:eastAsia="仿宋"/>
          <w:sz w:val="28"/>
        </w:rPr>
        <w:t>本报告估价结果为估价对象房地产在价值时点的房地产公开市场价值。</w:t>
      </w:r>
    </w:p>
    <w:p>
      <w:pPr>
        <w:spacing w:line="520" w:lineRule="exact"/>
        <w:ind w:firstLine="555"/>
        <w:rPr>
          <w:rFonts w:ascii="仿宋" w:hAnsi="仿宋" w:eastAsia="仿宋"/>
          <w:sz w:val="28"/>
        </w:rPr>
      </w:pPr>
      <w:r>
        <w:rPr>
          <w:rFonts w:ascii="仿宋" w:hAnsi="仿宋" w:eastAsia="仿宋"/>
          <w:sz w:val="28"/>
        </w:rPr>
        <w:t>市场价值是估价对象经适当营销后，由熟悉情况、谨慎行事且不受强迫的交易双方，以公平交易方式在价值时点自愿进行交易的金额。</w:t>
      </w:r>
    </w:p>
    <w:bookmarkEnd w:id="65"/>
    <w:bookmarkEnd w:id="66"/>
    <w:p>
      <w:pPr>
        <w:pStyle w:val="4"/>
        <w:rPr>
          <w:rFonts w:ascii="Times New Roman" w:hAnsi="Times New Roman"/>
        </w:rPr>
      </w:pPr>
      <w:bookmarkStart w:id="70" w:name="_Toc6002"/>
      <w:r>
        <w:rPr>
          <w:rFonts w:hint="eastAsia" w:ascii="Times New Roman"/>
        </w:rPr>
        <w:t>七</w:t>
      </w:r>
      <w:r>
        <w:rPr>
          <w:rFonts w:ascii="Times New Roman"/>
        </w:rPr>
        <w:t>、估价原则</w:t>
      </w:r>
      <w:bookmarkEnd w:id="67"/>
      <w:bookmarkEnd w:id="68"/>
      <w:bookmarkEnd w:id="69"/>
      <w:bookmarkEnd w:id="70"/>
    </w:p>
    <w:p>
      <w:pPr>
        <w:spacing w:line="480" w:lineRule="exact"/>
        <w:ind w:firstLine="560" w:firstLineChars="200"/>
        <w:rPr>
          <w:rFonts w:ascii="仿宋" w:hAnsi="仿宋" w:eastAsia="仿宋"/>
          <w:sz w:val="28"/>
        </w:rPr>
      </w:pPr>
      <w:r>
        <w:rPr>
          <w:rFonts w:hint="eastAsia" w:ascii="仿宋" w:hAnsi="仿宋" w:eastAsia="仿宋"/>
          <w:sz w:val="28"/>
        </w:rPr>
        <w:t>本次估价遵循独立、客观、公正原则、合法原则、价值时点原则、最高最佳利用原则、替代原则原则。</w:t>
      </w:r>
    </w:p>
    <w:p>
      <w:pPr>
        <w:spacing w:line="480" w:lineRule="exact"/>
        <w:ind w:firstLine="562" w:firstLineChars="200"/>
        <w:jc w:val="left"/>
        <w:rPr>
          <w:rFonts w:ascii="仿宋" w:hAnsi="仿宋" w:eastAsia="仿宋"/>
          <w:sz w:val="28"/>
        </w:rPr>
      </w:pPr>
      <w:r>
        <w:rPr>
          <w:rFonts w:ascii="仿宋" w:hAnsi="仿宋" w:eastAsia="仿宋"/>
          <w:b/>
          <w:bCs/>
          <w:sz w:val="28"/>
        </w:rPr>
        <w:t>合法原则</w:t>
      </w:r>
      <w:r>
        <w:rPr>
          <w:rFonts w:hint="eastAsia" w:ascii="仿宋" w:hAnsi="仿宋" w:eastAsia="仿宋"/>
          <w:b/>
          <w:bCs/>
          <w:sz w:val="28"/>
        </w:rPr>
        <w:t>：</w:t>
      </w:r>
      <w:r>
        <w:rPr>
          <w:rFonts w:ascii="仿宋" w:hAnsi="仿宋" w:eastAsia="仿宋"/>
          <w:sz w:val="28"/>
        </w:rPr>
        <w:t>以估价对象的合法使用、合法交易、合法处分为前提估价。所谓合法，是指符合国家的法律、法规和当地政府的有关规定。一是要求在估价时必须确认估价对象具有合法的产权。二是要求在估价时所涉及的估价对象的用途必须是合法的。三是要求如果涉及估价对象的交易或处分方式时，该交易或处分方式必须是合法的。</w:t>
      </w:r>
    </w:p>
    <w:p>
      <w:pPr>
        <w:overflowPunct w:val="0"/>
        <w:spacing w:line="480" w:lineRule="exact"/>
        <w:rPr>
          <w:rFonts w:ascii="仿宋" w:hAnsi="仿宋" w:eastAsia="仿宋"/>
          <w:sz w:val="28"/>
        </w:rPr>
      </w:pPr>
      <w:r>
        <w:rPr>
          <w:rFonts w:ascii="仿宋" w:hAnsi="仿宋" w:eastAsia="仿宋"/>
          <w:sz w:val="28"/>
        </w:rPr>
        <w:t xml:space="preserve">    </w:t>
      </w:r>
      <w:r>
        <w:rPr>
          <w:rFonts w:ascii="仿宋" w:hAnsi="仿宋" w:eastAsia="仿宋"/>
          <w:b/>
          <w:bCs/>
          <w:sz w:val="28"/>
        </w:rPr>
        <w:t>最高最佳利用原则</w:t>
      </w:r>
      <w:r>
        <w:rPr>
          <w:rFonts w:hint="eastAsia" w:ascii="仿宋" w:hAnsi="仿宋" w:eastAsia="仿宋"/>
          <w:b/>
          <w:bCs/>
          <w:sz w:val="28"/>
        </w:rPr>
        <w:t>：</w:t>
      </w:r>
      <w:r>
        <w:rPr>
          <w:rFonts w:ascii="仿宋" w:hAnsi="仿宋" w:eastAsia="仿宋"/>
          <w:sz w:val="28"/>
        </w:rPr>
        <w:t>估价对象的最高最佳利用为前提估价，认为保持现状最有利时应以保持现状继续使用为前提。最高最佳利用原则受到合法原则的约束，房地产的最高最佳利用还必须得到技术上的支持，不能通过不经济的方式来实现房地产的最高最佳利用。</w:t>
      </w:r>
    </w:p>
    <w:p>
      <w:pPr>
        <w:spacing w:line="480" w:lineRule="exact"/>
        <w:ind w:firstLine="562" w:firstLineChars="200"/>
        <w:rPr>
          <w:rFonts w:ascii="仿宋" w:hAnsi="仿宋" w:eastAsia="仿宋"/>
          <w:sz w:val="28"/>
        </w:rPr>
      </w:pPr>
      <w:r>
        <w:rPr>
          <w:rFonts w:ascii="仿宋" w:hAnsi="仿宋" w:eastAsia="仿宋"/>
          <w:b/>
          <w:bCs/>
          <w:sz w:val="28"/>
        </w:rPr>
        <w:t>替代原则</w:t>
      </w:r>
      <w:r>
        <w:rPr>
          <w:rFonts w:hint="eastAsia" w:ascii="仿宋" w:hAnsi="仿宋" w:eastAsia="仿宋"/>
          <w:b/>
          <w:bCs/>
          <w:sz w:val="28"/>
        </w:rPr>
        <w:t>：</w:t>
      </w:r>
      <w:r>
        <w:rPr>
          <w:rFonts w:ascii="仿宋" w:hAnsi="仿宋" w:eastAsia="仿宋"/>
          <w:sz w:val="28"/>
        </w:rPr>
        <w:t>估价对象不得明显偏离类似房地产在同等条件和状态下的正常价格。房地产估价所要确定的估价结论是估价对象的客观合理价格或价值。对于房地产交易目的而言，该客观合理价格或价值应当是在公开市场上最可能形成或成立的价格，房地产估价就是参照公开市场上足够数量的类似房地产的近期成交价格来确定估价对象的客观合理价格或者价值的。</w:t>
      </w:r>
    </w:p>
    <w:p>
      <w:pPr>
        <w:spacing w:line="480" w:lineRule="exact"/>
        <w:ind w:firstLine="562" w:firstLineChars="200"/>
        <w:rPr>
          <w:rFonts w:ascii="仿宋" w:hAnsi="仿宋" w:eastAsia="仿宋"/>
          <w:sz w:val="28"/>
        </w:rPr>
      </w:pPr>
      <w:r>
        <w:rPr>
          <w:rFonts w:ascii="仿宋" w:hAnsi="仿宋" w:eastAsia="仿宋"/>
          <w:b/>
          <w:bCs/>
          <w:sz w:val="28"/>
        </w:rPr>
        <w:t>价值时点原则</w:t>
      </w:r>
      <w:r>
        <w:rPr>
          <w:rFonts w:hint="eastAsia" w:ascii="仿宋" w:hAnsi="仿宋" w:eastAsia="仿宋"/>
          <w:b/>
          <w:bCs/>
          <w:sz w:val="28"/>
        </w:rPr>
        <w:t>：</w:t>
      </w:r>
      <w:r>
        <w:rPr>
          <w:rFonts w:ascii="仿宋" w:hAnsi="仿宋" w:eastAsia="仿宋"/>
          <w:sz w:val="28"/>
        </w:rPr>
        <w:t>估价结果应是估价对象在价值时点的客观合理价值。估价结论具有很强的时间相关性和实效性。主要是考虑到资金的时间价值，在不同的时点上发生的现金流量对其价值影响是不同的。估价结果是估价对象在价值时点的价格，不能将该估价结果作为估价对象在其他时点的价格。</w:t>
      </w:r>
    </w:p>
    <w:p>
      <w:pPr>
        <w:spacing w:line="480" w:lineRule="exact"/>
        <w:ind w:firstLine="555"/>
        <w:rPr>
          <w:rFonts w:eastAsia="楷体_GB2312"/>
          <w:sz w:val="28"/>
        </w:rPr>
      </w:pPr>
      <w:r>
        <w:rPr>
          <w:rFonts w:ascii="仿宋" w:hAnsi="仿宋" w:eastAsia="仿宋"/>
          <w:b/>
          <w:bCs/>
          <w:sz w:val="28"/>
        </w:rPr>
        <w:t>独立、客观、公正原则</w:t>
      </w:r>
      <w:r>
        <w:rPr>
          <w:rFonts w:hint="eastAsia" w:ascii="仿宋" w:hAnsi="仿宋" w:eastAsia="仿宋"/>
          <w:b/>
          <w:bCs/>
          <w:sz w:val="28"/>
        </w:rPr>
        <w:t>：</w:t>
      </w:r>
      <w:r>
        <w:rPr>
          <w:rFonts w:ascii="仿宋" w:hAnsi="仿宋" w:eastAsia="仿宋"/>
          <w:sz w:val="28"/>
        </w:rPr>
        <w:t>要求估价机构有完全独立性，估价机构和估价人员与估价对象及相关当事人没有利害关系，不受外部环境干扰因素影响，从实际出发，公平合理地进行估价。</w:t>
      </w:r>
    </w:p>
    <w:p>
      <w:pPr>
        <w:pStyle w:val="4"/>
        <w:rPr>
          <w:rFonts w:ascii="Times New Roman" w:hAnsi="Times New Roman"/>
        </w:rPr>
      </w:pPr>
      <w:bookmarkStart w:id="71" w:name="_Toc23179132"/>
      <w:bookmarkStart w:id="72" w:name="_Toc12948"/>
      <w:r>
        <w:rPr>
          <w:rFonts w:hint="eastAsia" w:ascii="Times New Roman"/>
        </w:rPr>
        <w:t>八</w:t>
      </w:r>
      <w:r>
        <w:rPr>
          <w:rFonts w:ascii="Times New Roman"/>
        </w:rPr>
        <w:t>、估价依据</w:t>
      </w:r>
      <w:bookmarkEnd w:id="71"/>
      <w:bookmarkEnd w:id="72"/>
    </w:p>
    <w:p>
      <w:pPr>
        <w:spacing w:line="480" w:lineRule="exact"/>
        <w:ind w:firstLine="560" w:firstLineChars="200"/>
        <w:rPr>
          <w:rFonts w:ascii="仿宋" w:hAnsi="仿宋" w:eastAsia="仿宋" w:cstheme="minorBidi"/>
          <w:sz w:val="28"/>
          <w:szCs w:val="28"/>
        </w:rPr>
      </w:pPr>
      <w:bookmarkStart w:id="73" w:name="_Toc319586172"/>
      <w:bookmarkStart w:id="74" w:name="_Toc419202140"/>
      <w:bookmarkStart w:id="75" w:name="_Toc23179133"/>
      <w:r>
        <w:rPr>
          <w:rFonts w:ascii="仿宋" w:hAnsi="仿宋" w:eastAsia="仿宋" w:cstheme="minorBidi"/>
          <w:sz w:val="28"/>
          <w:szCs w:val="28"/>
        </w:rPr>
        <w:t>（一）有关的法律、法规和部门规章</w:t>
      </w:r>
    </w:p>
    <w:p>
      <w:pPr>
        <w:spacing w:line="480" w:lineRule="exact"/>
        <w:ind w:firstLine="555"/>
        <w:rPr>
          <w:rFonts w:ascii="仿宋" w:hAnsi="仿宋" w:eastAsia="仿宋" w:cstheme="minorBidi"/>
          <w:sz w:val="28"/>
          <w:szCs w:val="28"/>
        </w:rPr>
      </w:pPr>
      <w:r>
        <w:rPr>
          <w:rFonts w:hint="eastAsia" w:ascii="仿宋" w:hAnsi="仿宋" w:eastAsia="仿宋" w:cstheme="minorBidi"/>
          <w:sz w:val="28"/>
          <w:szCs w:val="28"/>
        </w:rPr>
        <w:t xml:space="preserve">1．《中华人民共和国城市房地产管理法》（2019年8月26日第十三届全国人民代表大会常务委员会第十二次会议通过） </w:t>
      </w:r>
    </w:p>
    <w:p>
      <w:pPr>
        <w:spacing w:line="480" w:lineRule="exact"/>
        <w:ind w:firstLine="555"/>
        <w:rPr>
          <w:rFonts w:ascii="仿宋" w:hAnsi="仿宋" w:eastAsia="仿宋" w:cstheme="minorBidi"/>
          <w:sz w:val="28"/>
          <w:szCs w:val="28"/>
        </w:rPr>
      </w:pPr>
      <w:r>
        <w:rPr>
          <w:rFonts w:hint="eastAsia" w:ascii="仿宋" w:hAnsi="仿宋" w:eastAsia="仿宋" w:cstheme="minorBidi"/>
          <w:sz w:val="28"/>
          <w:szCs w:val="28"/>
        </w:rPr>
        <w:t>2．《中华人民共和国土地管理法》（第三次修正，2019年8月26日第十三届全国人民代表大会常务委员会第十二次会议通过）</w:t>
      </w:r>
    </w:p>
    <w:p>
      <w:pPr>
        <w:spacing w:line="480" w:lineRule="exact"/>
        <w:ind w:firstLine="555"/>
        <w:rPr>
          <w:rFonts w:ascii="仿宋" w:hAnsi="仿宋" w:eastAsia="仿宋" w:cstheme="minorBidi"/>
          <w:sz w:val="28"/>
          <w:szCs w:val="28"/>
        </w:rPr>
      </w:pPr>
      <w:r>
        <w:rPr>
          <w:rFonts w:ascii="仿宋" w:hAnsi="仿宋" w:eastAsia="仿宋" w:cstheme="minorBidi"/>
          <w:sz w:val="28"/>
          <w:szCs w:val="28"/>
        </w:rPr>
        <w:t>3</w:t>
      </w:r>
      <w:r>
        <w:rPr>
          <w:rFonts w:hint="eastAsia" w:ascii="仿宋" w:hAnsi="仿宋" w:eastAsia="仿宋" w:cstheme="minorBidi"/>
          <w:sz w:val="28"/>
          <w:szCs w:val="28"/>
        </w:rPr>
        <w:t>．</w:t>
      </w:r>
      <w:r>
        <w:rPr>
          <w:rFonts w:ascii="仿宋" w:hAnsi="仿宋" w:eastAsia="仿宋" w:cstheme="minorBidi"/>
          <w:sz w:val="28"/>
          <w:szCs w:val="28"/>
        </w:rPr>
        <w:t>《中华人民共和国土地管理法实施条例》</w:t>
      </w:r>
      <w:r>
        <w:rPr>
          <w:rFonts w:hint="eastAsia" w:ascii="仿宋" w:hAnsi="仿宋" w:eastAsia="仿宋" w:cstheme="minorBidi"/>
          <w:sz w:val="28"/>
          <w:szCs w:val="28"/>
        </w:rPr>
        <w:t>（1998年12月24日国务院令第256号公布，自1999年1月1日施行）</w:t>
      </w:r>
    </w:p>
    <w:p>
      <w:pPr>
        <w:spacing w:line="460" w:lineRule="exact"/>
        <w:ind w:firstLine="555"/>
        <w:rPr>
          <w:rFonts w:ascii="仿宋" w:hAnsi="仿宋" w:eastAsia="仿宋" w:cstheme="minorBidi"/>
          <w:sz w:val="28"/>
          <w:szCs w:val="28"/>
        </w:rPr>
      </w:pPr>
      <w:bookmarkStart w:id="76" w:name="_Hlk60823599"/>
      <w:r>
        <w:rPr>
          <w:rFonts w:ascii="仿宋" w:hAnsi="仿宋" w:eastAsia="仿宋" w:cstheme="minorBidi"/>
          <w:sz w:val="28"/>
          <w:szCs w:val="28"/>
        </w:rPr>
        <w:t>4</w:t>
      </w:r>
      <w:r>
        <w:rPr>
          <w:rFonts w:hint="eastAsia" w:ascii="仿宋" w:hAnsi="仿宋" w:eastAsia="仿宋" w:cstheme="minorBidi"/>
          <w:sz w:val="28"/>
          <w:szCs w:val="28"/>
        </w:rPr>
        <w:t>．《中华人民共和国民法典》（中华人民共和国第十三届全国人民代表大会第三次会议于2020年5月28日通过，2020年中华人民共和国主席令第四十五号公布，2021年1月1日施行）</w:t>
      </w:r>
      <w:bookmarkEnd w:id="76"/>
    </w:p>
    <w:p>
      <w:pPr>
        <w:spacing w:line="460" w:lineRule="exact"/>
        <w:ind w:firstLine="555"/>
        <w:rPr>
          <w:rFonts w:ascii="仿宋" w:hAnsi="仿宋" w:eastAsia="仿宋" w:cstheme="minorBidi"/>
          <w:sz w:val="28"/>
          <w:szCs w:val="28"/>
        </w:rPr>
      </w:pPr>
      <w:r>
        <w:rPr>
          <w:rFonts w:hint="eastAsia" w:ascii="仿宋" w:hAnsi="仿宋" w:eastAsia="仿宋" w:cstheme="minorBidi"/>
          <w:sz w:val="28"/>
          <w:szCs w:val="28"/>
        </w:rPr>
        <w:t>5</w:t>
      </w:r>
      <w:r>
        <w:rPr>
          <w:rFonts w:ascii="仿宋" w:hAnsi="仿宋" w:eastAsia="仿宋" w:cstheme="minorBidi"/>
          <w:sz w:val="28"/>
          <w:szCs w:val="28"/>
        </w:rPr>
        <w:t>.</w:t>
      </w:r>
      <w:r>
        <w:rPr>
          <w:rFonts w:hint="eastAsia" w:ascii="仿宋" w:hAnsi="仿宋" w:eastAsia="仿宋" w:cstheme="minorBidi"/>
          <w:sz w:val="28"/>
          <w:szCs w:val="28"/>
        </w:rPr>
        <w:t>《中华人民共和国城乡规划法》（</w:t>
      </w:r>
      <w:r>
        <w:rPr>
          <w:rFonts w:ascii="仿宋" w:hAnsi="仿宋" w:eastAsia="仿宋" w:cstheme="minorBidi"/>
          <w:sz w:val="28"/>
          <w:szCs w:val="28"/>
        </w:rPr>
        <w:t>2007年10</w:t>
      </w:r>
      <w:r>
        <w:rPr>
          <w:rFonts w:hint="eastAsia" w:ascii="仿宋" w:hAnsi="仿宋" w:eastAsia="仿宋" w:cstheme="minorBidi"/>
          <w:sz w:val="28"/>
          <w:szCs w:val="28"/>
        </w:rPr>
        <w:t>月</w:t>
      </w:r>
      <w:r>
        <w:rPr>
          <w:rFonts w:ascii="仿宋" w:hAnsi="仿宋" w:eastAsia="仿宋" w:cstheme="minorBidi"/>
          <w:sz w:val="28"/>
          <w:szCs w:val="28"/>
        </w:rPr>
        <w:t>28</w:t>
      </w:r>
      <w:r>
        <w:rPr>
          <w:rFonts w:hint="eastAsia" w:ascii="仿宋" w:hAnsi="仿宋" w:eastAsia="仿宋" w:cstheme="minorBidi"/>
          <w:sz w:val="28"/>
          <w:szCs w:val="28"/>
        </w:rPr>
        <w:t>日第十届全国人民代表大会常务委员会第三十次会议通过，</w:t>
      </w:r>
      <w:r>
        <w:rPr>
          <w:rFonts w:ascii="仿宋" w:hAnsi="仿宋" w:eastAsia="仿宋" w:cstheme="minorBidi"/>
          <w:sz w:val="28"/>
          <w:szCs w:val="28"/>
        </w:rPr>
        <w:t>2008</w:t>
      </w:r>
      <w:r>
        <w:rPr>
          <w:rFonts w:hint="eastAsia" w:ascii="仿宋" w:hAnsi="仿宋" w:eastAsia="仿宋" w:cstheme="minorBidi"/>
          <w:sz w:val="28"/>
          <w:szCs w:val="28"/>
        </w:rPr>
        <w:t>年</w:t>
      </w:r>
      <w:r>
        <w:rPr>
          <w:rFonts w:ascii="仿宋" w:hAnsi="仿宋" w:eastAsia="仿宋" w:cstheme="minorBidi"/>
          <w:sz w:val="28"/>
          <w:szCs w:val="28"/>
        </w:rPr>
        <w:t>1</w:t>
      </w:r>
      <w:r>
        <w:rPr>
          <w:rFonts w:hint="eastAsia" w:ascii="仿宋" w:hAnsi="仿宋" w:eastAsia="仿宋" w:cstheme="minorBidi"/>
          <w:sz w:val="28"/>
          <w:szCs w:val="28"/>
        </w:rPr>
        <w:t>月</w:t>
      </w:r>
      <w:r>
        <w:rPr>
          <w:rFonts w:ascii="仿宋" w:hAnsi="仿宋" w:eastAsia="仿宋" w:cstheme="minorBidi"/>
          <w:sz w:val="28"/>
          <w:szCs w:val="28"/>
        </w:rPr>
        <w:t>1</w:t>
      </w:r>
      <w:r>
        <w:rPr>
          <w:rFonts w:hint="eastAsia" w:ascii="仿宋" w:hAnsi="仿宋" w:eastAsia="仿宋" w:cstheme="minorBidi"/>
          <w:sz w:val="28"/>
          <w:szCs w:val="28"/>
        </w:rPr>
        <w:t>日施行）</w:t>
      </w:r>
    </w:p>
    <w:p>
      <w:pPr>
        <w:spacing w:line="460" w:lineRule="exact"/>
        <w:ind w:firstLine="555"/>
        <w:rPr>
          <w:rFonts w:ascii="仿宋" w:hAnsi="仿宋" w:eastAsia="仿宋" w:cstheme="minorBidi"/>
          <w:sz w:val="28"/>
          <w:szCs w:val="28"/>
        </w:rPr>
      </w:pPr>
      <w:r>
        <w:rPr>
          <w:rFonts w:hint="eastAsia" w:ascii="仿宋" w:hAnsi="仿宋" w:eastAsia="仿宋" w:cstheme="minorBidi"/>
          <w:sz w:val="28"/>
          <w:szCs w:val="28"/>
        </w:rPr>
        <w:t>6.《</w:t>
      </w:r>
      <w:r>
        <w:rPr>
          <w:rFonts w:ascii="仿宋" w:hAnsi="仿宋" w:eastAsia="仿宋" w:cstheme="minorBidi"/>
          <w:sz w:val="28"/>
          <w:szCs w:val="28"/>
        </w:rPr>
        <w:t>中华人民共和国</w:t>
      </w:r>
      <w:r>
        <w:rPr>
          <w:rFonts w:hint="eastAsia" w:ascii="仿宋" w:hAnsi="仿宋" w:eastAsia="仿宋" w:cstheme="minorBidi"/>
          <w:sz w:val="28"/>
          <w:szCs w:val="28"/>
        </w:rPr>
        <w:t>资产评估法》（2016年7月2日第十二届全国人民代表大会常务委员会第二十一次会议通过，自2016年12月1日起实施）</w:t>
      </w:r>
    </w:p>
    <w:p>
      <w:pPr>
        <w:tabs>
          <w:tab w:val="left" w:pos="8820"/>
        </w:tabs>
        <w:spacing w:line="480" w:lineRule="exact"/>
        <w:ind w:right="527" w:firstLine="560" w:firstLineChars="200"/>
        <w:rPr>
          <w:rFonts w:ascii="仿宋" w:hAnsi="仿宋" w:eastAsia="仿宋" w:cstheme="minorBidi"/>
          <w:sz w:val="28"/>
          <w:szCs w:val="28"/>
        </w:rPr>
      </w:pPr>
      <w:r>
        <w:rPr>
          <w:rFonts w:ascii="仿宋" w:hAnsi="仿宋" w:eastAsia="仿宋" w:cstheme="minorBidi"/>
          <w:sz w:val="28"/>
          <w:szCs w:val="28"/>
        </w:rPr>
        <w:t>（二）采用的技术规程</w:t>
      </w:r>
    </w:p>
    <w:p>
      <w:pPr>
        <w:tabs>
          <w:tab w:val="left" w:pos="8820"/>
        </w:tabs>
        <w:spacing w:line="480" w:lineRule="exact"/>
        <w:ind w:right="527" w:firstLine="560" w:firstLineChars="200"/>
        <w:rPr>
          <w:rFonts w:ascii="仿宋" w:hAnsi="仿宋" w:eastAsia="仿宋" w:cstheme="minorBidi"/>
          <w:sz w:val="28"/>
          <w:szCs w:val="28"/>
        </w:rPr>
      </w:pPr>
      <w:r>
        <w:rPr>
          <w:rFonts w:ascii="仿宋" w:hAnsi="仿宋" w:eastAsia="仿宋" w:cstheme="minorBidi"/>
          <w:sz w:val="28"/>
          <w:szCs w:val="28"/>
        </w:rPr>
        <w:t>1</w:t>
      </w:r>
      <w:r>
        <w:rPr>
          <w:rFonts w:hint="eastAsia" w:ascii="仿宋" w:hAnsi="仿宋" w:eastAsia="仿宋" w:cstheme="minorBidi"/>
          <w:sz w:val="28"/>
          <w:szCs w:val="28"/>
        </w:rPr>
        <w:t>．</w:t>
      </w:r>
      <w:r>
        <w:rPr>
          <w:rFonts w:ascii="仿宋" w:hAnsi="仿宋" w:eastAsia="仿宋" w:cstheme="minorBidi"/>
          <w:sz w:val="28"/>
          <w:szCs w:val="28"/>
        </w:rPr>
        <w:t>国家标准《房地产估价规范》（GB/T 50291-</w:t>
      </w:r>
      <w:r>
        <w:rPr>
          <w:rFonts w:hint="eastAsia" w:ascii="仿宋" w:hAnsi="仿宋" w:eastAsia="仿宋" w:cstheme="minorBidi"/>
          <w:sz w:val="28"/>
          <w:szCs w:val="28"/>
        </w:rPr>
        <w:t>2015</w:t>
      </w:r>
      <w:r>
        <w:rPr>
          <w:rFonts w:ascii="仿宋" w:hAnsi="仿宋" w:eastAsia="仿宋" w:cstheme="minorBidi"/>
          <w:sz w:val="28"/>
          <w:szCs w:val="28"/>
        </w:rPr>
        <w:t>）</w:t>
      </w:r>
    </w:p>
    <w:p>
      <w:pPr>
        <w:tabs>
          <w:tab w:val="left" w:pos="8820"/>
        </w:tabs>
        <w:spacing w:line="480" w:lineRule="exact"/>
        <w:ind w:right="527" w:firstLine="560" w:firstLineChars="200"/>
        <w:rPr>
          <w:rFonts w:ascii="仿宋" w:hAnsi="仿宋" w:eastAsia="仿宋" w:cstheme="minorBidi"/>
          <w:sz w:val="28"/>
          <w:szCs w:val="28"/>
        </w:rPr>
      </w:pPr>
      <w:r>
        <w:rPr>
          <w:rFonts w:hint="eastAsia" w:ascii="仿宋" w:hAnsi="仿宋" w:eastAsia="仿宋" w:cstheme="minorBidi"/>
          <w:sz w:val="28"/>
          <w:szCs w:val="28"/>
        </w:rPr>
        <w:t>2．</w:t>
      </w:r>
      <w:r>
        <w:rPr>
          <w:rFonts w:ascii="仿宋" w:hAnsi="仿宋" w:eastAsia="仿宋" w:cstheme="minorBidi"/>
          <w:sz w:val="28"/>
          <w:szCs w:val="28"/>
        </w:rPr>
        <w:t>国家标准《房地产估价</w:t>
      </w:r>
      <w:r>
        <w:rPr>
          <w:rFonts w:hint="eastAsia" w:ascii="仿宋" w:hAnsi="仿宋" w:eastAsia="仿宋" w:cstheme="minorBidi"/>
          <w:sz w:val="28"/>
          <w:szCs w:val="28"/>
        </w:rPr>
        <w:t>基本术语标准</w:t>
      </w:r>
      <w:r>
        <w:rPr>
          <w:rFonts w:ascii="仿宋" w:hAnsi="仿宋" w:eastAsia="仿宋" w:cstheme="minorBidi"/>
          <w:sz w:val="28"/>
          <w:szCs w:val="28"/>
        </w:rPr>
        <w:t>》（GB/T 50</w:t>
      </w:r>
      <w:r>
        <w:rPr>
          <w:rFonts w:hint="eastAsia" w:ascii="仿宋" w:hAnsi="仿宋" w:eastAsia="仿宋" w:cstheme="minorBidi"/>
          <w:sz w:val="28"/>
          <w:szCs w:val="28"/>
        </w:rPr>
        <w:t>899-2013</w:t>
      </w:r>
      <w:r>
        <w:rPr>
          <w:rFonts w:ascii="仿宋" w:hAnsi="仿宋" w:eastAsia="仿宋" w:cstheme="minorBidi"/>
          <w:sz w:val="28"/>
          <w:szCs w:val="28"/>
        </w:rPr>
        <w:t>）</w:t>
      </w:r>
    </w:p>
    <w:p>
      <w:pPr>
        <w:tabs>
          <w:tab w:val="left" w:pos="8820"/>
        </w:tabs>
        <w:spacing w:line="480" w:lineRule="exact"/>
        <w:ind w:right="527" w:firstLine="560" w:firstLineChars="200"/>
        <w:rPr>
          <w:rFonts w:ascii="仿宋" w:hAnsi="仿宋" w:eastAsia="仿宋" w:cstheme="minorBidi"/>
          <w:sz w:val="28"/>
          <w:szCs w:val="28"/>
        </w:rPr>
      </w:pPr>
      <w:r>
        <w:rPr>
          <w:rFonts w:ascii="仿宋" w:hAnsi="仿宋" w:eastAsia="仿宋" w:cstheme="minorBidi"/>
          <w:sz w:val="28"/>
          <w:szCs w:val="28"/>
        </w:rPr>
        <w:t>（三）委托人及相关单位提供的资料</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估价委托人提供的房</w:t>
      </w:r>
      <w:r>
        <w:rPr>
          <w:rFonts w:hint="eastAsia" w:ascii="仿宋" w:hAnsi="仿宋" w:eastAsia="仿宋" w:cstheme="minorBidi"/>
          <w:sz w:val="28"/>
          <w:szCs w:val="28"/>
        </w:rPr>
        <w:t>地产产权</w:t>
      </w:r>
      <w:r>
        <w:rPr>
          <w:rFonts w:ascii="仿宋" w:hAnsi="仿宋" w:eastAsia="仿宋" w:cstheme="minorBidi"/>
          <w:sz w:val="28"/>
          <w:szCs w:val="28"/>
        </w:rPr>
        <w:t>登记信息及其它相关资料</w:t>
      </w:r>
      <w:r>
        <w:rPr>
          <w:rFonts w:hint="eastAsia" w:ascii="仿宋" w:hAnsi="仿宋" w:eastAsia="仿宋" w:cstheme="minorBidi"/>
          <w:sz w:val="28"/>
          <w:szCs w:val="28"/>
        </w:rPr>
        <w:t>。</w:t>
      </w:r>
    </w:p>
    <w:p>
      <w:pPr>
        <w:spacing w:line="480" w:lineRule="exact"/>
        <w:ind w:firstLine="555"/>
        <w:rPr>
          <w:rFonts w:ascii="仿宋" w:hAnsi="仿宋" w:eastAsia="仿宋" w:cstheme="minorBidi"/>
          <w:sz w:val="28"/>
          <w:szCs w:val="28"/>
        </w:rPr>
      </w:pPr>
      <w:r>
        <w:rPr>
          <w:rFonts w:ascii="仿宋" w:hAnsi="仿宋" w:eastAsia="仿宋" w:cstheme="minorBidi"/>
          <w:sz w:val="28"/>
          <w:szCs w:val="28"/>
        </w:rPr>
        <w:t>（四）估价机构及估价人员现场查勘资料、市场调查资料及其他有关资料。</w:t>
      </w:r>
    </w:p>
    <w:p>
      <w:pPr>
        <w:pStyle w:val="4"/>
        <w:rPr>
          <w:rFonts w:ascii="Times New Roman" w:hAnsi="Times New Roman"/>
        </w:rPr>
      </w:pPr>
      <w:bookmarkStart w:id="77" w:name="_Toc24812"/>
      <w:r>
        <w:rPr>
          <w:rFonts w:ascii="Times New Roman"/>
        </w:rPr>
        <w:t>九、估价方法</w:t>
      </w:r>
      <w:bookmarkEnd w:id="73"/>
      <w:bookmarkEnd w:id="74"/>
      <w:bookmarkEnd w:id="75"/>
      <w:bookmarkEnd w:id="77"/>
    </w:p>
    <w:p>
      <w:pPr>
        <w:spacing w:line="480" w:lineRule="exact"/>
        <w:ind w:firstLine="570"/>
        <w:rPr>
          <w:rFonts w:ascii="仿宋" w:hAnsi="仿宋" w:eastAsia="仿宋" w:cstheme="minorBidi"/>
          <w:sz w:val="28"/>
          <w:szCs w:val="28"/>
        </w:rPr>
      </w:pPr>
      <w:bookmarkStart w:id="78" w:name="_Toc319586173"/>
      <w:bookmarkStart w:id="79" w:name="_Toc23179134"/>
      <w:bookmarkStart w:id="80" w:name="_Toc419202141"/>
      <w:r>
        <w:rPr>
          <w:rFonts w:ascii="仿宋" w:hAnsi="仿宋" w:eastAsia="仿宋" w:cstheme="minorBidi"/>
          <w:sz w:val="28"/>
          <w:szCs w:val="28"/>
        </w:rPr>
        <w:t>本次估价对象为</w:t>
      </w:r>
      <w:r>
        <w:rPr>
          <w:rFonts w:hint="eastAsia" w:ascii="仿宋" w:hAnsi="仿宋" w:eastAsia="仿宋" w:cstheme="minorBidi"/>
          <w:sz w:val="28"/>
          <w:szCs w:val="28"/>
        </w:rPr>
        <w:t>酒店式公寓用房地产</w:t>
      </w:r>
      <w:r>
        <w:rPr>
          <w:rFonts w:ascii="仿宋" w:hAnsi="仿宋" w:eastAsia="仿宋" w:cstheme="minorBidi"/>
          <w:sz w:val="28"/>
          <w:szCs w:val="28"/>
        </w:rPr>
        <w:t>，区域内近期房地产市场交易比较活跃，与估价对象处在同一供需圈内类似房地产近期市场交易案例较多，且类似交易案例的可比性较强，故比较法是最佳的评估方法。估价对象可作为收益性物业，区域内有与其规模和类型相同的类似物业出租，因此可选用收益法进行估价。依据两种估价方法所得结果，</w:t>
      </w:r>
      <w:r>
        <w:rPr>
          <w:rFonts w:hint="eastAsia" w:ascii="仿宋" w:hAnsi="仿宋" w:eastAsia="仿宋" w:cstheme="minorBidi"/>
          <w:sz w:val="28"/>
          <w:szCs w:val="28"/>
        </w:rPr>
        <w:t>并对两种估算结果进行差异分析，结合估价规范</w:t>
      </w:r>
      <w:r>
        <w:rPr>
          <w:rFonts w:ascii="仿宋" w:hAnsi="仿宋" w:eastAsia="仿宋" w:cstheme="minorBidi"/>
          <w:sz w:val="28"/>
          <w:szCs w:val="28"/>
        </w:rPr>
        <w:t>并参考</w:t>
      </w:r>
      <w:r>
        <w:rPr>
          <w:rFonts w:hint="eastAsia" w:ascii="仿宋" w:hAnsi="仿宋" w:eastAsia="仿宋" w:cstheme="minorBidi"/>
          <w:sz w:val="28"/>
          <w:szCs w:val="28"/>
        </w:rPr>
        <w:t>当地</w:t>
      </w:r>
      <w:r>
        <w:rPr>
          <w:rFonts w:ascii="仿宋" w:hAnsi="仿宋" w:eastAsia="仿宋" w:cstheme="minorBidi"/>
          <w:sz w:val="28"/>
          <w:szCs w:val="28"/>
        </w:rPr>
        <w:t>房地产的特点综合得</w:t>
      </w:r>
      <w:r>
        <w:rPr>
          <w:rFonts w:hint="eastAsia" w:ascii="仿宋" w:hAnsi="仿宋" w:eastAsia="仿宋" w:cstheme="minorBidi"/>
          <w:sz w:val="28"/>
          <w:szCs w:val="28"/>
        </w:rPr>
        <w:t>出</w:t>
      </w:r>
      <w:r>
        <w:rPr>
          <w:rFonts w:ascii="仿宋" w:hAnsi="仿宋" w:eastAsia="仿宋" w:cstheme="minorBidi"/>
          <w:sz w:val="28"/>
          <w:szCs w:val="28"/>
        </w:rPr>
        <w:t>估价结果。</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（一）比较法</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比较法是</w:t>
      </w:r>
      <w:r>
        <w:rPr>
          <w:rFonts w:hint="eastAsia" w:ascii="仿宋" w:hAnsi="仿宋" w:eastAsia="仿宋" w:cstheme="minorBidi"/>
          <w:sz w:val="28"/>
          <w:szCs w:val="28"/>
        </w:rPr>
        <w:t>选取一定的可比实例、将它们与估价对象进行比较，根据其间的差异对可比实例成交价格进行处理后得到估价对象价值或价格的方法</w:t>
      </w:r>
      <w:r>
        <w:rPr>
          <w:rFonts w:ascii="仿宋" w:hAnsi="仿宋" w:eastAsia="仿宋" w:cstheme="minorBidi"/>
          <w:sz w:val="28"/>
          <w:szCs w:val="28"/>
        </w:rPr>
        <w:t>。比较法适用的条件，是在同一供求范围内存在着较多的类似房地产的交易。在比较法估价中需要进行交易情况、</w:t>
      </w:r>
      <w:r>
        <w:rPr>
          <w:rFonts w:hint="eastAsia" w:ascii="仿宋" w:hAnsi="仿宋" w:eastAsia="仿宋" w:cstheme="minorBidi"/>
          <w:sz w:val="28"/>
          <w:szCs w:val="28"/>
        </w:rPr>
        <w:t>市场状况</w:t>
      </w:r>
      <w:r>
        <w:rPr>
          <w:rFonts w:ascii="仿宋" w:hAnsi="仿宋" w:eastAsia="仿宋" w:cstheme="minorBidi"/>
          <w:sz w:val="28"/>
          <w:szCs w:val="28"/>
        </w:rPr>
        <w:t>、房地产状况的修正。</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运用比较法估价一般分为下列七个步骤进行：</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1</w:t>
      </w:r>
      <w:r>
        <w:rPr>
          <w:rFonts w:hint="eastAsia" w:ascii="仿宋" w:hAnsi="仿宋" w:eastAsia="仿宋" w:cstheme="minorBidi"/>
          <w:sz w:val="28"/>
          <w:szCs w:val="28"/>
        </w:rPr>
        <w:t>．</w:t>
      </w:r>
      <w:r>
        <w:rPr>
          <w:rFonts w:ascii="仿宋" w:hAnsi="仿宋" w:eastAsia="仿宋" w:cstheme="minorBidi"/>
          <w:sz w:val="28"/>
          <w:szCs w:val="28"/>
        </w:rPr>
        <w:t>搜集交易实例；</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2</w:t>
      </w:r>
      <w:r>
        <w:rPr>
          <w:rFonts w:hint="eastAsia" w:ascii="仿宋" w:hAnsi="仿宋" w:eastAsia="仿宋" w:cstheme="minorBidi"/>
          <w:sz w:val="28"/>
          <w:szCs w:val="28"/>
        </w:rPr>
        <w:t>．</w:t>
      </w:r>
      <w:r>
        <w:rPr>
          <w:rFonts w:ascii="仿宋" w:hAnsi="仿宋" w:eastAsia="仿宋" w:cstheme="minorBidi"/>
          <w:sz w:val="28"/>
          <w:szCs w:val="28"/>
        </w:rPr>
        <w:t>选取可比实例；</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3</w:t>
      </w:r>
      <w:r>
        <w:rPr>
          <w:rFonts w:hint="eastAsia" w:ascii="仿宋" w:hAnsi="仿宋" w:eastAsia="仿宋" w:cstheme="minorBidi"/>
          <w:sz w:val="28"/>
          <w:szCs w:val="28"/>
        </w:rPr>
        <w:t>．</w:t>
      </w:r>
      <w:r>
        <w:rPr>
          <w:rFonts w:ascii="仿宋" w:hAnsi="仿宋" w:eastAsia="仿宋" w:cstheme="minorBidi"/>
          <w:sz w:val="28"/>
          <w:szCs w:val="28"/>
        </w:rPr>
        <w:t>建立</w:t>
      </w:r>
      <w:r>
        <w:rPr>
          <w:rFonts w:hint="eastAsia" w:ascii="仿宋" w:hAnsi="仿宋" w:eastAsia="仿宋" w:cstheme="minorBidi"/>
          <w:sz w:val="28"/>
          <w:szCs w:val="28"/>
        </w:rPr>
        <w:t>比较</w:t>
      </w:r>
      <w:r>
        <w:rPr>
          <w:rFonts w:ascii="仿宋" w:hAnsi="仿宋" w:eastAsia="仿宋" w:cstheme="minorBidi"/>
          <w:sz w:val="28"/>
          <w:szCs w:val="28"/>
        </w:rPr>
        <w:t>基础；</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4</w:t>
      </w:r>
      <w:r>
        <w:rPr>
          <w:rFonts w:hint="eastAsia" w:ascii="仿宋" w:hAnsi="仿宋" w:eastAsia="仿宋" w:cstheme="minorBidi"/>
          <w:sz w:val="28"/>
          <w:szCs w:val="28"/>
        </w:rPr>
        <w:t>．</w:t>
      </w:r>
      <w:r>
        <w:rPr>
          <w:rFonts w:ascii="仿宋" w:hAnsi="仿宋" w:eastAsia="仿宋" w:cstheme="minorBidi"/>
          <w:sz w:val="28"/>
          <w:szCs w:val="28"/>
        </w:rPr>
        <w:t>进行交易情况修正；</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5</w:t>
      </w:r>
      <w:r>
        <w:rPr>
          <w:rFonts w:hint="eastAsia" w:ascii="仿宋" w:hAnsi="仿宋" w:eastAsia="仿宋" w:cstheme="minorBidi"/>
          <w:sz w:val="28"/>
          <w:szCs w:val="28"/>
        </w:rPr>
        <w:t>．</w:t>
      </w:r>
      <w:r>
        <w:rPr>
          <w:rFonts w:ascii="仿宋" w:hAnsi="仿宋" w:eastAsia="仿宋" w:cstheme="minorBidi"/>
          <w:sz w:val="28"/>
          <w:szCs w:val="28"/>
        </w:rPr>
        <w:t>进行</w:t>
      </w:r>
      <w:r>
        <w:rPr>
          <w:rFonts w:hint="eastAsia" w:ascii="仿宋" w:hAnsi="仿宋" w:eastAsia="仿宋" w:cstheme="minorBidi"/>
          <w:sz w:val="28"/>
          <w:szCs w:val="28"/>
        </w:rPr>
        <w:t>市场状况</w:t>
      </w:r>
      <w:r>
        <w:rPr>
          <w:rFonts w:ascii="仿宋" w:hAnsi="仿宋" w:eastAsia="仿宋" w:cstheme="minorBidi"/>
          <w:sz w:val="28"/>
          <w:szCs w:val="28"/>
        </w:rPr>
        <w:t>调整；</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6</w:t>
      </w:r>
      <w:r>
        <w:rPr>
          <w:rFonts w:hint="eastAsia" w:ascii="仿宋" w:hAnsi="仿宋" w:eastAsia="仿宋" w:cstheme="minorBidi"/>
          <w:sz w:val="28"/>
          <w:szCs w:val="28"/>
        </w:rPr>
        <w:t>．</w:t>
      </w:r>
      <w:r>
        <w:rPr>
          <w:rFonts w:ascii="仿宋" w:hAnsi="仿宋" w:eastAsia="仿宋" w:cstheme="minorBidi"/>
          <w:sz w:val="28"/>
          <w:szCs w:val="28"/>
        </w:rPr>
        <w:t>进行房地产状况调整；</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7</w:t>
      </w:r>
      <w:r>
        <w:rPr>
          <w:rFonts w:hint="eastAsia" w:ascii="仿宋" w:hAnsi="仿宋" w:eastAsia="仿宋" w:cstheme="minorBidi"/>
          <w:sz w:val="28"/>
          <w:szCs w:val="28"/>
        </w:rPr>
        <w:t>．</w:t>
      </w:r>
      <w:r>
        <w:rPr>
          <w:rFonts w:ascii="仿宋" w:hAnsi="仿宋" w:eastAsia="仿宋" w:cstheme="minorBidi"/>
          <w:sz w:val="28"/>
          <w:szCs w:val="28"/>
        </w:rPr>
        <w:t>求取</w:t>
      </w:r>
      <w:r>
        <w:rPr>
          <w:rFonts w:hint="eastAsia" w:ascii="仿宋" w:hAnsi="仿宋" w:eastAsia="仿宋" w:cstheme="minorBidi"/>
          <w:sz w:val="28"/>
          <w:szCs w:val="28"/>
        </w:rPr>
        <w:t>比较价值</w:t>
      </w:r>
      <w:r>
        <w:rPr>
          <w:rFonts w:ascii="仿宋" w:hAnsi="仿宋" w:eastAsia="仿宋" w:cstheme="minorBidi"/>
          <w:sz w:val="28"/>
          <w:szCs w:val="28"/>
        </w:rPr>
        <w:t>。</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比较价值</w:t>
      </w:r>
      <w:r>
        <w:rPr>
          <w:rFonts w:ascii="仿宋" w:hAnsi="仿宋" w:eastAsia="仿宋" w:cstheme="minorBidi"/>
          <w:sz w:val="28"/>
          <w:szCs w:val="28"/>
        </w:rPr>
        <w:t>计算公式</w:t>
      </w:r>
      <w:r>
        <w:rPr>
          <w:rFonts w:hint="eastAsia" w:ascii="仿宋" w:hAnsi="仿宋" w:eastAsia="仿宋" w:cstheme="minorBidi"/>
          <w:sz w:val="28"/>
          <w:szCs w:val="28"/>
        </w:rPr>
        <w:t>为</w:t>
      </w:r>
      <w:r>
        <w:rPr>
          <w:rFonts w:ascii="仿宋" w:hAnsi="仿宋" w:eastAsia="仿宋" w:cstheme="minorBidi"/>
          <w:sz w:val="28"/>
          <w:szCs w:val="28"/>
        </w:rPr>
        <w:t>：</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估价对象比较价值=</w:t>
      </w:r>
      <w:r>
        <w:rPr>
          <w:rFonts w:ascii="仿宋" w:hAnsi="仿宋" w:eastAsia="仿宋" w:cstheme="minorBidi"/>
          <w:sz w:val="28"/>
          <w:szCs w:val="28"/>
        </w:rPr>
        <w:t>可比实例成交价格×交易情况修正系数×</w:t>
      </w:r>
      <w:r>
        <w:rPr>
          <w:rFonts w:hint="eastAsia" w:ascii="仿宋" w:hAnsi="仿宋" w:eastAsia="仿宋" w:cstheme="minorBidi"/>
          <w:sz w:val="28"/>
          <w:szCs w:val="28"/>
        </w:rPr>
        <w:t>市场状况</w:t>
      </w:r>
      <w:r>
        <w:rPr>
          <w:rFonts w:ascii="仿宋" w:hAnsi="仿宋" w:eastAsia="仿宋" w:cstheme="minorBidi"/>
          <w:sz w:val="28"/>
          <w:szCs w:val="28"/>
        </w:rPr>
        <w:t>调整系数×房地产状况调整系数。</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（二）收益法</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收益法是</w:t>
      </w:r>
      <w:r>
        <w:rPr>
          <w:rFonts w:hint="eastAsia" w:ascii="仿宋" w:hAnsi="仿宋" w:eastAsia="仿宋" w:cstheme="minorBidi"/>
          <w:sz w:val="28"/>
          <w:szCs w:val="28"/>
        </w:rPr>
        <w:t>预测估价对象未来收益，利用报酬率或资本化率、收益乘数将未来收益转换为价值得到估价对象价值或价格的方法。收益法的适用对象是收益性房地产。</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运用</w:t>
      </w:r>
      <w:r>
        <w:rPr>
          <w:rFonts w:hint="eastAsia" w:ascii="仿宋" w:hAnsi="仿宋" w:eastAsia="仿宋" w:cstheme="minorBidi"/>
          <w:sz w:val="28"/>
          <w:szCs w:val="28"/>
        </w:rPr>
        <w:t>收益</w:t>
      </w:r>
      <w:r>
        <w:rPr>
          <w:rFonts w:ascii="仿宋" w:hAnsi="仿宋" w:eastAsia="仿宋" w:cstheme="minorBidi"/>
          <w:sz w:val="28"/>
          <w:szCs w:val="28"/>
        </w:rPr>
        <w:t>法估价一般分为下列</w:t>
      </w:r>
      <w:r>
        <w:rPr>
          <w:rFonts w:hint="eastAsia" w:ascii="仿宋" w:hAnsi="仿宋" w:eastAsia="仿宋" w:cstheme="minorBidi"/>
          <w:sz w:val="28"/>
          <w:szCs w:val="28"/>
        </w:rPr>
        <w:t>五</w:t>
      </w:r>
      <w:r>
        <w:rPr>
          <w:rFonts w:ascii="仿宋" w:hAnsi="仿宋" w:eastAsia="仿宋" w:cstheme="minorBidi"/>
          <w:sz w:val="28"/>
          <w:szCs w:val="28"/>
        </w:rPr>
        <w:t>个步骤进行：</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1．选择具体估价方法；</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2．测算收益期或持有期；</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3．测算未来收益；</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4．测算报酬率；</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5．计算收益价值。</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收益价值计算公式为：</w:t>
      </w:r>
    </w:p>
    <w:p>
      <w:pPr>
        <w:spacing w:line="480" w:lineRule="exact"/>
        <w:ind w:firstLine="570"/>
        <w:rPr>
          <w:rFonts w:ascii="仿宋" w:hAnsi="仿宋" w:eastAsia="仿宋" w:cstheme="minorBidi"/>
          <w:sz w:val="28"/>
          <w:szCs w:val="28"/>
        </w:rPr>
      </w:pPr>
      <w:r>
        <w:drawing>
          <wp:anchor distT="0" distB="0" distL="114300" distR="114300" simplePos="0" relativeHeight="251659264" behindDoc="0" locked="0" layoutInCell="1" allowOverlap="1">
            <wp:simplePos x="0" y="0"/>
            <wp:positionH relativeFrom="column">
              <wp:posOffset>410845</wp:posOffset>
            </wp:positionH>
            <wp:positionV relativeFrom="paragraph">
              <wp:posOffset>52705</wp:posOffset>
            </wp:positionV>
            <wp:extent cx="1809750" cy="736600"/>
            <wp:effectExtent l="0" t="0" r="0" b="635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809750" cy="736600"/>
                    </a:xfrm>
                    <a:prstGeom prst="rect">
                      <a:avLst/>
                    </a:prstGeom>
                  </pic:spPr>
                </pic:pic>
              </a:graphicData>
            </a:graphic>
          </wp:anchor>
        </w:drawing>
      </w:r>
    </w:p>
    <w:p>
      <w:pPr>
        <w:spacing w:line="480" w:lineRule="exact"/>
        <w:ind w:firstLine="570"/>
        <w:rPr>
          <w:rFonts w:ascii="仿宋" w:hAnsi="仿宋" w:eastAsia="仿宋" w:cstheme="minorBidi"/>
          <w:sz w:val="28"/>
          <w:szCs w:val="28"/>
        </w:rPr>
      </w:pPr>
    </w:p>
    <w:p>
      <w:pPr>
        <w:spacing w:line="480" w:lineRule="exact"/>
        <w:ind w:firstLine="570"/>
        <w:rPr>
          <w:rFonts w:ascii="仿宋" w:hAnsi="仿宋" w:eastAsia="仿宋" w:cstheme="minorBidi"/>
          <w:sz w:val="28"/>
          <w:szCs w:val="28"/>
        </w:rPr>
      </w:pPr>
    </w:p>
    <w:p>
      <w:pPr>
        <w:spacing w:line="480" w:lineRule="exact"/>
        <w:ind w:firstLine="570"/>
        <w:rPr>
          <w:rFonts w:ascii="仿宋" w:hAnsi="仿宋" w:eastAsia="仿宋" w:cstheme="minorBidi"/>
          <w:sz w:val="28"/>
          <w:szCs w:val="28"/>
        </w:rPr>
      </w:pPr>
      <w:r>
        <w:rPr>
          <w:rFonts w:ascii="仿宋" w:hAnsi="仿宋" w:eastAsia="仿宋" w:cstheme="minorBidi"/>
          <w:sz w:val="28"/>
          <w:szCs w:val="28"/>
        </w:rPr>
        <w:t>式中：</w:t>
      </w:r>
      <w:r>
        <w:rPr>
          <w:rFonts w:hint="eastAsia" w:ascii="仿宋" w:hAnsi="仿宋" w:eastAsia="仿宋" w:cstheme="minorBidi"/>
          <w:sz w:val="28"/>
          <w:szCs w:val="28"/>
        </w:rPr>
        <w:t>P</w:t>
      </w:r>
      <w:r>
        <w:rPr>
          <w:rFonts w:ascii="仿宋" w:hAnsi="仿宋" w:eastAsia="仿宋" w:cstheme="minorBidi"/>
          <w:sz w:val="28"/>
          <w:szCs w:val="28"/>
        </w:rPr>
        <w:t>—房地产在价值时点的收益</w:t>
      </w:r>
      <w:r>
        <w:rPr>
          <w:rFonts w:hint="eastAsia" w:ascii="仿宋" w:hAnsi="仿宋" w:eastAsia="仿宋" w:cstheme="minorBidi"/>
          <w:sz w:val="28"/>
          <w:szCs w:val="28"/>
        </w:rPr>
        <w:t>价值</w:t>
      </w:r>
      <w:r>
        <w:rPr>
          <w:rFonts w:ascii="仿宋" w:hAnsi="仿宋" w:eastAsia="仿宋" w:cstheme="minorBidi"/>
          <w:sz w:val="28"/>
          <w:szCs w:val="28"/>
        </w:rPr>
        <w:t>；</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A—房地产的未来第一年净运营收益；</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r</w:t>
      </w:r>
      <w:r>
        <w:rPr>
          <w:rFonts w:ascii="仿宋" w:hAnsi="仿宋" w:eastAsia="仿宋" w:cstheme="minorBidi"/>
          <w:sz w:val="28"/>
          <w:szCs w:val="28"/>
        </w:rPr>
        <w:t>—房地产报酬率；</w:t>
      </w:r>
    </w:p>
    <w:p>
      <w:pPr>
        <w:spacing w:line="480" w:lineRule="exact"/>
        <w:ind w:firstLine="570"/>
        <w:rPr>
          <w:rFonts w:ascii="仿宋" w:hAnsi="仿宋" w:eastAsia="仿宋" w:cstheme="minorBidi"/>
          <w:sz w:val="28"/>
          <w:szCs w:val="28"/>
        </w:rPr>
      </w:pPr>
      <w:r>
        <w:rPr>
          <w:rFonts w:hint="eastAsia" w:ascii="仿宋" w:hAnsi="仿宋" w:eastAsia="仿宋" w:cstheme="minorBidi"/>
          <w:sz w:val="28"/>
          <w:szCs w:val="28"/>
        </w:rPr>
        <w:t>s</w:t>
      </w:r>
      <w:r>
        <w:rPr>
          <w:rFonts w:ascii="仿宋" w:hAnsi="仿宋" w:eastAsia="仿宋" w:cstheme="minorBidi"/>
          <w:sz w:val="28"/>
          <w:szCs w:val="28"/>
        </w:rPr>
        <w:t>—净收益逐年递增的比例；</w:t>
      </w:r>
    </w:p>
    <w:p>
      <w:pPr>
        <w:spacing w:line="480" w:lineRule="exact"/>
        <w:ind w:firstLine="570"/>
        <w:rPr>
          <w:rFonts w:ascii="仿宋" w:hAnsi="仿宋" w:eastAsia="仿宋" w:cstheme="minorBidi"/>
          <w:sz w:val="28"/>
          <w:szCs w:val="28"/>
        </w:rPr>
      </w:pPr>
      <w:r>
        <w:rPr>
          <w:rFonts w:ascii="仿宋" w:hAnsi="仿宋" w:eastAsia="仿宋" w:cstheme="minorBidi"/>
          <w:sz w:val="28"/>
          <w:szCs w:val="28"/>
        </w:rPr>
        <w:t>n—房地产的收益期。</w:t>
      </w:r>
    </w:p>
    <w:p>
      <w:pPr>
        <w:pStyle w:val="4"/>
        <w:rPr>
          <w:rFonts w:ascii="Times New Roman"/>
        </w:rPr>
      </w:pPr>
      <w:bookmarkStart w:id="81" w:name="_Toc12121"/>
      <w:r>
        <w:rPr>
          <w:rFonts w:ascii="Times New Roman" w:hAnsi="Times New Roman"/>
        </w:rPr>
        <w:t>十、</w:t>
      </w:r>
      <w:r>
        <w:rPr>
          <w:rFonts w:ascii="Times New Roman"/>
        </w:rPr>
        <w:t>估价结果</w:t>
      </w:r>
      <w:bookmarkEnd w:id="78"/>
      <w:bookmarkEnd w:id="79"/>
      <w:bookmarkEnd w:id="80"/>
      <w:bookmarkEnd w:id="81"/>
    </w:p>
    <w:p>
      <w:pPr>
        <w:pStyle w:val="8"/>
        <w:spacing w:line="480" w:lineRule="exact"/>
        <w:ind w:firstLine="560" w:firstLineChars="200"/>
        <w:rPr>
          <w:rFonts w:ascii="仿宋" w:hAnsi="仿宋" w:eastAsia="仿宋"/>
        </w:rPr>
      </w:pPr>
      <w:bookmarkStart w:id="82" w:name="_Toc380580560"/>
      <w:bookmarkStart w:id="83" w:name="_Toc319586175"/>
      <w:bookmarkStart w:id="84" w:name="_Toc419202142"/>
      <w:r>
        <w:rPr>
          <w:rFonts w:hint="eastAsia" w:ascii="仿宋" w:hAnsi="仿宋" w:eastAsia="仿宋"/>
        </w:rPr>
        <w:t>本公司专业估价人员根据估价目的，遵循估价原则，按照估价程序，采用科学合理的估价方法，在认真分析现有资料的基础上，结合估价经验与对影响房地产价格因素进行分析和测算，确定在估价对象于市场上有足够的买方和卖方，并且进入市场无障碍的条件下，于价值时点</w:t>
      </w:r>
      <w:r>
        <w:rPr>
          <w:rFonts w:hint="eastAsia" w:ascii="仿宋" w:hAnsi="仿宋" w:eastAsia="仿宋"/>
          <w:lang w:eastAsia="zh-CN"/>
        </w:rPr>
        <w:t>2022年08月11日</w:t>
      </w:r>
      <w:r>
        <w:rPr>
          <w:rFonts w:hint="eastAsia" w:ascii="仿宋" w:hAnsi="仿宋" w:eastAsia="仿宋"/>
        </w:rPr>
        <w:t>的酒店式公寓用房地产(毛坯状态)市场价值为355.55万元，大写金额为人民币叁佰伍拾伍万伍仟伍佰元整。（详见下表）</w:t>
      </w:r>
    </w:p>
    <w:p>
      <w:pPr>
        <w:pStyle w:val="10"/>
        <w:spacing w:line="440" w:lineRule="exact"/>
        <w:jc w:val="center"/>
        <w:rPr>
          <w:rFonts w:ascii="黑体" w:hAnsi="黑体" w:eastAsia="黑体"/>
          <w:b/>
          <w:sz w:val="32"/>
          <w:szCs w:val="32"/>
        </w:rPr>
      </w:pPr>
    </w:p>
    <w:p>
      <w:pPr>
        <w:pStyle w:val="10"/>
        <w:spacing w:line="440" w:lineRule="exact"/>
        <w:jc w:val="center"/>
        <w:rPr>
          <w:rFonts w:ascii="黑体" w:hAnsi="黑体" w:eastAsia="黑体"/>
          <w:b/>
          <w:sz w:val="32"/>
          <w:szCs w:val="32"/>
        </w:rPr>
      </w:pPr>
      <w:r>
        <w:rPr>
          <w:rFonts w:ascii="黑体" w:hAnsi="黑体" w:eastAsia="黑体"/>
          <w:b/>
          <w:sz w:val="32"/>
          <w:szCs w:val="32"/>
        </w:rPr>
        <w:t>房地产估价结果</w:t>
      </w:r>
      <w:r>
        <w:rPr>
          <w:rFonts w:hint="eastAsia" w:ascii="黑体" w:hAnsi="黑体" w:eastAsia="黑体"/>
          <w:b/>
          <w:sz w:val="32"/>
          <w:szCs w:val="32"/>
        </w:rPr>
        <w:t>汇总</w:t>
      </w:r>
      <w:r>
        <w:rPr>
          <w:rFonts w:ascii="黑体" w:hAnsi="黑体" w:eastAsia="黑体"/>
          <w:b/>
          <w:sz w:val="32"/>
          <w:szCs w:val="32"/>
        </w:rPr>
        <w:t>表</w:t>
      </w:r>
    </w:p>
    <w:tbl>
      <w:tblPr>
        <w:tblStyle w:val="19"/>
        <w:tblW w:w="49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autofit"/>
        <w:tblCellMar>
          <w:top w:w="0" w:type="dxa"/>
          <w:left w:w="108" w:type="dxa"/>
          <w:bottom w:w="0" w:type="dxa"/>
          <w:right w:w="108" w:type="dxa"/>
        </w:tblCellMar>
      </w:tblPr>
      <w:tblGrid>
        <w:gridCol w:w="3735"/>
        <w:gridCol w:w="1133"/>
        <w:gridCol w:w="1560"/>
        <w:gridCol w:w="1276"/>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661" w:hRule="atLeast"/>
          <w:jc w:val="center"/>
        </w:trPr>
        <w:tc>
          <w:tcPr>
            <w:tcW w:w="2073" w:type="pct"/>
            <w:shd w:val="clear" w:color="auto" w:fill="FFFFFF" w:themeFill="background1"/>
            <w:vAlign w:val="center"/>
          </w:tcPr>
          <w:p>
            <w:pPr>
              <w:widowControl/>
              <w:snapToGrid w:val="0"/>
              <w:jc w:val="center"/>
              <w:rPr>
                <w:rFonts w:ascii="仿宋" w:hAnsi="仿宋" w:eastAsia="仿宋"/>
                <w:b/>
                <w:kern w:val="0"/>
                <w:szCs w:val="21"/>
              </w:rPr>
            </w:pPr>
            <w:r>
              <w:rPr>
                <w:rFonts w:ascii="仿宋" w:hAnsi="仿宋" w:eastAsia="仿宋"/>
                <w:szCs w:val="21"/>
              </w:rPr>
              <w:t xml:space="preserve">   </w:t>
            </w:r>
            <w:r>
              <w:rPr>
                <w:rFonts w:hint="eastAsia" w:ascii="仿宋" w:hAnsi="仿宋" w:eastAsia="仿宋"/>
                <w:szCs w:val="21"/>
              </w:rPr>
              <w:t xml:space="preserve">                 </w:t>
            </w:r>
            <w:bookmarkStart w:id="85" w:name="_Toc23179135"/>
            <w:r>
              <w:rPr>
                <w:rFonts w:ascii="仿宋" w:hAnsi="仿宋" w:eastAsia="仿宋"/>
                <w:b/>
                <w:kern w:val="0"/>
                <w:szCs w:val="21"/>
              </w:rPr>
              <w:t>估价对象</w:t>
            </w:r>
          </w:p>
        </w:tc>
        <w:tc>
          <w:tcPr>
            <w:tcW w:w="629" w:type="pct"/>
            <w:shd w:val="clear" w:color="auto" w:fill="FFFFFF" w:themeFill="background1"/>
            <w:vAlign w:val="center"/>
          </w:tcPr>
          <w:p>
            <w:pPr>
              <w:widowControl/>
              <w:snapToGrid w:val="0"/>
              <w:jc w:val="center"/>
              <w:rPr>
                <w:rFonts w:ascii="仿宋" w:hAnsi="仿宋" w:eastAsia="仿宋"/>
                <w:b/>
                <w:kern w:val="0"/>
                <w:szCs w:val="21"/>
              </w:rPr>
            </w:pPr>
            <w:r>
              <w:rPr>
                <w:rFonts w:ascii="仿宋" w:hAnsi="仿宋" w:eastAsia="仿宋"/>
                <w:b/>
                <w:kern w:val="0"/>
                <w:szCs w:val="21"/>
              </w:rPr>
              <w:t>建筑面积</w:t>
            </w:r>
            <w:r>
              <w:rPr>
                <w:rFonts w:ascii="仿宋" w:hAnsi="仿宋" w:eastAsia="仿宋"/>
                <w:b/>
                <w:kern w:val="0"/>
                <w:szCs w:val="21"/>
              </w:rPr>
              <w:br w:type="textWrapping"/>
            </w:r>
            <w:r>
              <w:rPr>
                <w:rFonts w:hint="eastAsia" w:ascii="仿宋" w:hAnsi="仿宋" w:eastAsia="仿宋"/>
                <w:b/>
                <w:kern w:val="0"/>
                <w:szCs w:val="21"/>
              </w:rPr>
              <w:t>（M</w:t>
            </w:r>
            <w:r>
              <w:rPr>
                <w:rFonts w:hint="eastAsia" w:ascii="仿宋" w:hAnsi="仿宋" w:eastAsia="仿宋"/>
                <w:b/>
                <w:kern w:val="0"/>
                <w:szCs w:val="21"/>
                <w:vertAlign w:val="superscript"/>
              </w:rPr>
              <w:t>2</w:t>
            </w:r>
            <w:r>
              <w:rPr>
                <w:rFonts w:ascii="仿宋" w:hAnsi="仿宋" w:eastAsia="仿宋"/>
                <w:b/>
                <w:kern w:val="0"/>
                <w:szCs w:val="21"/>
              </w:rPr>
              <w:t>)</w:t>
            </w:r>
          </w:p>
        </w:tc>
        <w:tc>
          <w:tcPr>
            <w:tcW w:w="866" w:type="pct"/>
            <w:shd w:val="clear" w:color="auto" w:fill="FFFFFF" w:themeFill="background1"/>
            <w:vAlign w:val="center"/>
          </w:tcPr>
          <w:p>
            <w:pPr>
              <w:snapToGrid w:val="0"/>
              <w:jc w:val="center"/>
              <w:rPr>
                <w:rFonts w:ascii="仿宋" w:hAnsi="仿宋" w:eastAsia="仿宋"/>
                <w:b/>
                <w:kern w:val="0"/>
                <w:szCs w:val="21"/>
              </w:rPr>
            </w:pPr>
            <w:r>
              <w:rPr>
                <w:rFonts w:ascii="仿宋" w:hAnsi="仿宋" w:eastAsia="仿宋"/>
                <w:b/>
                <w:kern w:val="0"/>
                <w:szCs w:val="21"/>
              </w:rPr>
              <w:t>房</w:t>
            </w:r>
            <w:r>
              <w:rPr>
                <w:rFonts w:hint="eastAsia" w:ascii="仿宋" w:hAnsi="仿宋" w:eastAsia="仿宋"/>
                <w:b/>
                <w:kern w:val="0"/>
                <w:szCs w:val="21"/>
              </w:rPr>
              <w:t>地</w:t>
            </w:r>
            <w:r>
              <w:rPr>
                <w:rFonts w:ascii="仿宋" w:hAnsi="仿宋" w:eastAsia="仿宋"/>
                <w:b/>
                <w:kern w:val="0"/>
                <w:szCs w:val="21"/>
              </w:rPr>
              <w:t>产评估单价(元/</w:t>
            </w:r>
            <w:r>
              <w:rPr>
                <w:rFonts w:hint="eastAsia" w:ascii="仿宋" w:hAnsi="仿宋" w:eastAsia="仿宋"/>
                <w:b/>
                <w:kern w:val="0"/>
                <w:szCs w:val="21"/>
              </w:rPr>
              <w:t>M</w:t>
            </w:r>
            <w:r>
              <w:rPr>
                <w:rFonts w:hint="eastAsia" w:ascii="仿宋" w:hAnsi="仿宋" w:eastAsia="仿宋"/>
                <w:b/>
                <w:kern w:val="0"/>
                <w:szCs w:val="21"/>
                <w:vertAlign w:val="superscript"/>
              </w:rPr>
              <w:t>2</w:t>
            </w:r>
            <w:r>
              <w:rPr>
                <w:rFonts w:ascii="仿宋" w:hAnsi="仿宋" w:eastAsia="仿宋"/>
                <w:b/>
                <w:kern w:val="0"/>
                <w:szCs w:val="21"/>
              </w:rPr>
              <w:t>)</w:t>
            </w:r>
          </w:p>
        </w:tc>
        <w:tc>
          <w:tcPr>
            <w:tcW w:w="708" w:type="pct"/>
            <w:shd w:val="clear" w:color="auto" w:fill="FFFFFF" w:themeFill="background1"/>
            <w:vAlign w:val="center"/>
          </w:tcPr>
          <w:p>
            <w:pPr>
              <w:snapToGrid w:val="0"/>
              <w:jc w:val="center"/>
              <w:rPr>
                <w:rFonts w:ascii="仿宋" w:hAnsi="仿宋" w:eastAsia="仿宋"/>
                <w:b/>
                <w:kern w:val="0"/>
                <w:szCs w:val="21"/>
              </w:rPr>
            </w:pPr>
            <w:r>
              <w:rPr>
                <w:rFonts w:ascii="仿宋" w:hAnsi="仿宋" w:eastAsia="仿宋"/>
                <w:b/>
                <w:kern w:val="0"/>
                <w:szCs w:val="21"/>
              </w:rPr>
              <w:t>房</w:t>
            </w:r>
            <w:r>
              <w:rPr>
                <w:rFonts w:hint="eastAsia" w:ascii="仿宋" w:hAnsi="仿宋" w:eastAsia="仿宋"/>
                <w:b/>
                <w:kern w:val="0"/>
                <w:szCs w:val="21"/>
              </w:rPr>
              <w:t>地</w:t>
            </w:r>
            <w:r>
              <w:rPr>
                <w:rFonts w:ascii="仿宋" w:hAnsi="仿宋" w:eastAsia="仿宋"/>
                <w:b/>
                <w:kern w:val="0"/>
                <w:szCs w:val="21"/>
              </w:rPr>
              <w:t>产</w:t>
            </w:r>
            <w:r>
              <w:rPr>
                <w:rFonts w:hint="eastAsia" w:ascii="仿宋" w:hAnsi="仿宋" w:eastAsia="仿宋"/>
                <w:b/>
                <w:kern w:val="0"/>
                <w:szCs w:val="21"/>
              </w:rPr>
              <w:t>市场价值</w:t>
            </w:r>
            <w:r>
              <w:rPr>
                <w:rFonts w:ascii="仿宋" w:hAnsi="仿宋" w:eastAsia="仿宋"/>
                <w:b/>
                <w:kern w:val="0"/>
                <w:szCs w:val="21"/>
              </w:rPr>
              <w:t>(万元)</w:t>
            </w:r>
          </w:p>
        </w:tc>
        <w:tc>
          <w:tcPr>
            <w:tcW w:w="724" w:type="pct"/>
            <w:shd w:val="clear" w:color="auto" w:fill="FFFFFF" w:themeFill="background1"/>
            <w:vAlign w:val="center"/>
          </w:tcPr>
          <w:p>
            <w:pPr>
              <w:snapToGrid w:val="0"/>
              <w:jc w:val="center"/>
              <w:rPr>
                <w:rFonts w:ascii="仿宋" w:hAnsi="仿宋" w:eastAsia="仿宋"/>
                <w:b/>
                <w:kern w:val="0"/>
                <w:szCs w:val="21"/>
              </w:rPr>
            </w:pPr>
            <w:r>
              <w:rPr>
                <w:rFonts w:ascii="仿宋" w:hAnsi="仿宋" w:eastAsia="仿宋"/>
                <w:b/>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射阳经济开发区东区金色阳光小区26幢公寓楼1601酒店式公寓用房地产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59.79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27.81</w:t>
            </w:r>
          </w:p>
        </w:tc>
        <w:tc>
          <w:tcPr>
            <w:tcW w:w="724" w:type="pct"/>
            <w:vMerge w:val="restart"/>
            <w:shd w:val="clear" w:color="auto" w:fill="FFFFFF" w:themeFill="background1"/>
            <w:vAlign w:val="center"/>
          </w:tcPr>
          <w:p>
            <w:pPr>
              <w:jc w:val="center"/>
              <w:rPr>
                <w:rFonts w:hint="eastAsia" w:ascii="仿宋" w:hAnsi="仿宋" w:eastAsia="仿宋" w:cs="宋体"/>
                <w:szCs w:val="21"/>
                <w:lang w:eastAsia="zh-CN"/>
              </w:rPr>
            </w:pPr>
            <w:r>
              <w:rPr>
                <w:rFonts w:hint="eastAsia" w:ascii="仿宋" w:hAnsi="仿宋" w:eastAsia="仿宋" w:cs="宋体"/>
                <w:color w:val="FF0000"/>
                <w:szCs w:val="21"/>
              </w:rPr>
              <w:t>毛坯状态</w:t>
            </w:r>
            <w:r>
              <w:rPr>
                <w:rFonts w:hint="eastAsia" w:ascii="仿宋" w:hAnsi="仿宋" w:eastAsia="仿宋" w:cs="宋体"/>
                <w:color w:val="FF0000"/>
                <w:szCs w:val="21"/>
                <w:lang w:eastAsia="zh-CN"/>
              </w:rPr>
              <w:t>（含走廊吊顶及消防设施）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射阳经济开发区东区金色阳光小区26幢公寓楼1602酒店式公寓用房地产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59.29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27.58</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射阳经济开发区东区金色阳光小区26幢公寓楼1603酒店式公寓用房地产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58.41</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27.17</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射阳经济开发区东区金色阳光小区26幢公寓楼1604酒店式公寓用房地产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59.29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27.58</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射阳经济开发区东区金色阳光小区26幢公寓楼1605酒店式公寓用房地产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55.68</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25.9</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射阳经济开发区东区金色阳光小区26幢公寓楼1606酒店式公寓用房地产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55.68</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25.9</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射阳经济开发区东区金色阳光小区26幢公寓楼1607酒店式公寓用房地产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59.29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27.58</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射阳经济开发区东区金色阳光小区26幢公寓楼1608酒店式公寓用房地产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59.42</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27.64</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射阳经济开发区东区金色阳光小区26幢公寓楼1609酒店式公寓用房地产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67.87</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31.57</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射阳经济开发区东区金色阳光小区26幢公寓楼1610酒店式公寓用房地产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57.19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26.6</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射阳经济开发区东区金色阳光小区26幢公寓楼1611酒店式公寓用房地产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57.19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26.6</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射阳经济开发区东区金色阳光小区26幢公寓楼1612酒店式公寓用房地产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57.19</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hint="eastAsia" w:ascii="黑体" w:hAnsi="黑体" w:eastAsia="黑体"/>
                <w:color w:val="000000"/>
                <w:szCs w:val="21"/>
                <w:lang w:val="en-US" w:eastAsia="zh-CN"/>
              </w:rPr>
            </w:pPr>
            <w:r>
              <w:rPr>
                <w:rFonts w:hint="eastAsia" w:ascii="黑体" w:hAnsi="黑体" w:eastAsia="黑体"/>
                <w:color w:val="000000"/>
                <w:szCs w:val="21"/>
              </w:rPr>
              <w:t>26.6</w:t>
            </w:r>
            <w:r>
              <w:rPr>
                <w:rFonts w:hint="eastAsia" w:ascii="黑体" w:hAnsi="黑体" w:eastAsia="黑体"/>
                <w:color w:val="000000"/>
                <w:szCs w:val="21"/>
                <w:lang w:val="en-US" w:eastAsia="zh-CN"/>
              </w:rPr>
              <w:t>0</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射阳经济开发区东区金色阳光小区26幢公寓楼1613酒店式公寓用房地产</w:t>
            </w:r>
          </w:p>
        </w:tc>
        <w:tc>
          <w:tcPr>
            <w:tcW w:w="629"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58.08</w:t>
            </w:r>
          </w:p>
        </w:tc>
        <w:tc>
          <w:tcPr>
            <w:tcW w:w="866"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4652</w:t>
            </w:r>
          </w:p>
        </w:tc>
        <w:tc>
          <w:tcPr>
            <w:tcW w:w="708" w:type="pct"/>
            <w:shd w:val="clear" w:color="auto" w:fill="FFFFFF" w:themeFill="background1"/>
            <w:vAlign w:val="center"/>
          </w:tcPr>
          <w:p>
            <w:pPr>
              <w:jc w:val="center"/>
              <w:rPr>
                <w:rFonts w:ascii="黑体" w:hAnsi="黑体" w:eastAsia="黑体"/>
                <w:color w:val="000000"/>
                <w:szCs w:val="21"/>
              </w:rPr>
            </w:pPr>
            <w:r>
              <w:rPr>
                <w:rFonts w:hint="eastAsia" w:ascii="黑体" w:hAnsi="黑体" w:eastAsia="黑体"/>
                <w:color w:val="000000"/>
                <w:szCs w:val="21"/>
              </w:rPr>
              <w:t>27.02</w:t>
            </w:r>
          </w:p>
        </w:tc>
        <w:tc>
          <w:tcPr>
            <w:tcW w:w="724" w:type="pct"/>
            <w:vMerge w:val="continue"/>
            <w:shd w:val="clear" w:color="auto" w:fill="FFFFFF" w:themeFill="background1"/>
            <w:vAlign w:val="center"/>
          </w:tcPr>
          <w:p>
            <w:pPr>
              <w:jc w:val="center"/>
              <w:rPr>
                <w:rFonts w:ascii="仿宋" w:hAnsi="仿宋" w:eastAsia="仿宋" w:cs="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073" w:type="pct"/>
            <w:shd w:val="clear" w:color="auto" w:fill="FFFFFF" w:themeFill="background1"/>
            <w:vAlign w:val="center"/>
          </w:tcPr>
          <w:p>
            <w:pPr>
              <w:pStyle w:val="10"/>
              <w:jc w:val="center"/>
              <w:rPr>
                <w:rFonts w:ascii="黑体" w:hAnsi="黑体" w:eastAsia="黑体"/>
                <w:b/>
                <w:sz w:val="21"/>
                <w:szCs w:val="21"/>
              </w:rPr>
            </w:pPr>
            <w:r>
              <w:rPr>
                <w:rFonts w:hint="eastAsia" w:ascii="黑体" w:hAnsi="黑体" w:eastAsia="黑体"/>
                <w:b/>
                <w:sz w:val="21"/>
                <w:szCs w:val="21"/>
              </w:rPr>
              <w:t>合计</w:t>
            </w:r>
          </w:p>
        </w:tc>
        <w:tc>
          <w:tcPr>
            <w:tcW w:w="629" w:type="pct"/>
            <w:shd w:val="clear" w:color="auto" w:fill="FFFFFF" w:themeFill="background1"/>
            <w:vAlign w:val="center"/>
          </w:tcPr>
          <w:p>
            <w:pPr>
              <w:jc w:val="center"/>
              <w:rPr>
                <w:rFonts w:ascii="黑体" w:hAnsi="黑体" w:eastAsia="黑体" w:cstheme="minorBidi"/>
                <w:b/>
                <w:szCs w:val="21"/>
              </w:rPr>
            </w:pPr>
            <w:r>
              <w:rPr>
                <w:rFonts w:hint="eastAsia" w:ascii="黑体" w:hAnsi="黑体" w:eastAsia="黑体" w:cstheme="minorBidi"/>
                <w:b/>
                <w:szCs w:val="21"/>
              </w:rPr>
              <w:t>764.37</w:t>
            </w:r>
          </w:p>
        </w:tc>
        <w:tc>
          <w:tcPr>
            <w:tcW w:w="866" w:type="pct"/>
            <w:shd w:val="clear" w:color="auto" w:fill="FFFFFF" w:themeFill="background1"/>
            <w:vAlign w:val="center"/>
          </w:tcPr>
          <w:p>
            <w:pPr>
              <w:jc w:val="center"/>
              <w:rPr>
                <w:rFonts w:ascii="黑体" w:hAnsi="黑体" w:eastAsia="黑体" w:cstheme="minorBidi"/>
                <w:b/>
                <w:szCs w:val="21"/>
              </w:rPr>
            </w:pPr>
          </w:p>
        </w:tc>
        <w:tc>
          <w:tcPr>
            <w:tcW w:w="708" w:type="pct"/>
            <w:shd w:val="clear" w:color="auto" w:fill="FFFFFF" w:themeFill="background1"/>
            <w:vAlign w:val="center"/>
          </w:tcPr>
          <w:p>
            <w:pPr>
              <w:jc w:val="center"/>
              <w:rPr>
                <w:rFonts w:ascii="黑体" w:hAnsi="黑体" w:eastAsia="黑体" w:cstheme="minorBidi"/>
                <w:b/>
                <w:szCs w:val="21"/>
              </w:rPr>
            </w:pPr>
            <w:r>
              <w:rPr>
                <w:rFonts w:hint="eastAsia" w:ascii="黑体" w:hAnsi="黑体" w:eastAsia="黑体" w:cstheme="minorBidi"/>
                <w:b/>
                <w:szCs w:val="21"/>
              </w:rPr>
              <w:t>355.55</w:t>
            </w:r>
          </w:p>
        </w:tc>
        <w:tc>
          <w:tcPr>
            <w:tcW w:w="724" w:type="pct"/>
            <w:shd w:val="clear" w:color="auto" w:fill="FFFFFF" w:themeFill="background1"/>
            <w:vAlign w:val="center"/>
          </w:tcPr>
          <w:p>
            <w:pPr>
              <w:jc w:val="center"/>
              <w:rPr>
                <w:rFonts w:ascii="黑体" w:hAnsi="黑体" w:eastAsia="黑体" w:cstheme="minorBidi"/>
                <w:b/>
                <w:szCs w:val="21"/>
              </w:rPr>
            </w:pPr>
          </w:p>
        </w:tc>
      </w:tr>
    </w:tbl>
    <w:p>
      <w:pPr>
        <w:pStyle w:val="4"/>
        <w:rPr>
          <w:lang w:eastAsia="zh-CN"/>
        </w:rPr>
      </w:pPr>
    </w:p>
    <w:p>
      <w:pPr>
        <w:widowControl/>
        <w:jc w:val="left"/>
        <w:rPr>
          <w:rFonts w:ascii="Arial Unicode MS" w:hAnsi="Arial Unicode MS" w:eastAsia="Arial Unicode MS"/>
          <w:b/>
          <w:bCs/>
          <w:kern w:val="0"/>
          <w:sz w:val="27"/>
          <w:szCs w:val="27"/>
          <w:lang w:val="zh-CN"/>
        </w:rPr>
      </w:pPr>
      <w:r>
        <w:br w:type="page"/>
      </w:r>
    </w:p>
    <w:p>
      <w:pPr>
        <w:pStyle w:val="4"/>
        <w:rPr>
          <w:rFonts w:ascii="Times New Roman" w:hAnsi="Times New Roman"/>
          <w:lang w:eastAsia="zh-CN"/>
        </w:rPr>
      </w:pPr>
      <w:bookmarkStart w:id="86" w:name="_Toc28068"/>
      <w:r>
        <w:rPr>
          <w:rFonts w:ascii="Times New Roman"/>
        </w:rPr>
        <w:t>十</w:t>
      </w:r>
      <w:r>
        <w:rPr>
          <w:rFonts w:hint="eastAsia" w:ascii="Times New Roman" w:eastAsia="宋体"/>
        </w:rPr>
        <w:t>一</w:t>
      </w:r>
      <w:r>
        <w:rPr>
          <w:rFonts w:ascii="Times New Roman"/>
        </w:rPr>
        <w:t>、</w:t>
      </w:r>
      <w:r>
        <w:rPr>
          <w:rFonts w:hint="eastAsia" w:ascii="Times New Roman"/>
          <w:lang w:eastAsia="zh-CN"/>
        </w:rPr>
        <w:t>注册房地产估价师</w:t>
      </w:r>
      <w:bookmarkEnd w:id="85"/>
      <w:bookmarkEnd w:id="86"/>
    </w:p>
    <w:tbl>
      <w:tblPr>
        <w:tblStyle w:val="19"/>
        <w:tblpPr w:leftFromText="180" w:rightFromText="180" w:vertAnchor="text" w:horzAnchor="margin" w:tblpY="78"/>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2410"/>
        <w:gridCol w:w="2761"/>
        <w:gridCol w:w="2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770" w:type="dxa"/>
            <w:shd w:val="clear" w:color="auto" w:fill="FFFFFF" w:themeFill="background1"/>
            <w:vAlign w:val="center"/>
          </w:tcPr>
          <w:p>
            <w:pPr>
              <w:spacing w:line="460" w:lineRule="exact"/>
              <w:ind w:left="387"/>
              <w:rPr>
                <w:rFonts w:ascii="黑体" w:hAnsi="黑体" w:eastAsia="黑体"/>
                <w:b/>
                <w:szCs w:val="21"/>
              </w:rPr>
            </w:pPr>
            <w:bookmarkStart w:id="87" w:name="_Toc23179136"/>
            <w:bookmarkStart w:id="88" w:name="_Toc247100300"/>
            <w:bookmarkStart w:id="89" w:name="_Toc319586176"/>
            <w:bookmarkStart w:id="90" w:name="_Toc419202143"/>
            <w:r>
              <w:rPr>
                <w:rFonts w:hint="eastAsia" w:ascii="黑体" w:hAnsi="黑体" w:eastAsia="黑体"/>
                <w:b/>
                <w:szCs w:val="21"/>
              </w:rPr>
              <w:t>姓</w:t>
            </w:r>
            <w:r>
              <w:rPr>
                <w:rFonts w:ascii="黑体" w:hAnsi="黑体" w:eastAsia="黑体"/>
                <w:b/>
                <w:szCs w:val="21"/>
              </w:rPr>
              <w:t xml:space="preserve">  </w:t>
            </w:r>
            <w:r>
              <w:rPr>
                <w:rFonts w:hint="eastAsia" w:ascii="黑体" w:hAnsi="黑体" w:eastAsia="黑体"/>
                <w:b/>
                <w:szCs w:val="21"/>
              </w:rPr>
              <w:t>名</w:t>
            </w:r>
          </w:p>
        </w:tc>
        <w:tc>
          <w:tcPr>
            <w:tcW w:w="2410" w:type="dxa"/>
            <w:shd w:val="clear" w:color="auto" w:fill="FFFFFF" w:themeFill="background1"/>
            <w:vAlign w:val="center"/>
          </w:tcPr>
          <w:p>
            <w:pPr>
              <w:spacing w:line="460" w:lineRule="exact"/>
              <w:jc w:val="center"/>
              <w:rPr>
                <w:rFonts w:ascii="黑体" w:hAnsi="黑体" w:eastAsia="黑体"/>
                <w:b/>
                <w:szCs w:val="21"/>
              </w:rPr>
            </w:pPr>
            <w:r>
              <w:rPr>
                <w:rFonts w:hint="eastAsia" w:ascii="黑体" w:hAnsi="黑体" w:eastAsia="黑体"/>
                <w:b/>
                <w:szCs w:val="21"/>
              </w:rPr>
              <w:t>房地产估价师注册号</w:t>
            </w:r>
          </w:p>
        </w:tc>
        <w:tc>
          <w:tcPr>
            <w:tcW w:w="2761" w:type="dxa"/>
            <w:shd w:val="clear" w:color="auto" w:fill="FFFFFF" w:themeFill="background1"/>
            <w:vAlign w:val="center"/>
          </w:tcPr>
          <w:p>
            <w:pPr>
              <w:tabs>
                <w:tab w:val="left" w:pos="6660"/>
              </w:tabs>
              <w:spacing w:line="460" w:lineRule="exact"/>
              <w:jc w:val="center"/>
              <w:rPr>
                <w:rFonts w:ascii="黑体" w:hAnsi="黑体" w:eastAsia="黑体"/>
                <w:b/>
                <w:szCs w:val="21"/>
              </w:rPr>
            </w:pPr>
            <w:r>
              <w:rPr>
                <w:rFonts w:hint="eastAsia" w:ascii="黑体" w:hAnsi="黑体" w:eastAsia="黑体"/>
                <w:b/>
                <w:szCs w:val="21"/>
              </w:rPr>
              <w:t>签</w:t>
            </w:r>
            <w:r>
              <w:rPr>
                <w:rFonts w:ascii="黑体" w:hAnsi="黑体" w:eastAsia="黑体"/>
                <w:b/>
                <w:szCs w:val="21"/>
              </w:rPr>
              <w:t xml:space="preserve">  </w:t>
            </w:r>
            <w:r>
              <w:rPr>
                <w:rFonts w:hint="eastAsia" w:ascii="黑体" w:hAnsi="黑体" w:eastAsia="黑体"/>
                <w:b/>
                <w:szCs w:val="21"/>
              </w:rPr>
              <w:t>章</w:t>
            </w:r>
          </w:p>
        </w:tc>
        <w:tc>
          <w:tcPr>
            <w:tcW w:w="2098" w:type="dxa"/>
            <w:shd w:val="clear" w:color="auto" w:fill="FFFFFF" w:themeFill="background1"/>
            <w:vAlign w:val="center"/>
          </w:tcPr>
          <w:p>
            <w:pPr>
              <w:spacing w:line="460" w:lineRule="exact"/>
              <w:jc w:val="center"/>
              <w:rPr>
                <w:rFonts w:ascii="黑体" w:hAnsi="黑体" w:eastAsia="黑体"/>
                <w:b/>
                <w:szCs w:val="21"/>
              </w:rPr>
            </w:pPr>
            <w:r>
              <w:rPr>
                <w:rFonts w:hint="eastAsia" w:ascii="黑体" w:hAnsi="黑体" w:eastAsia="黑体"/>
                <w:b/>
                <w:szCs w:val="21"/>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1770" w:type="dxa"/>
            <w:shd w:val="clear" w:color="auto" w:fill="FFFFFF" w:themeFill="background1"/>
            <w:vAlign w:val="center"/>
          </w:tcPr>
          <w:p>
            <w:pPr>
              <w:spacing w:line="460" w:lineRule="exact"/>
              <w:jc w:val="center"/>
              <w:rPr>
                <w:rFonts w:ascii="黑体" w:hAnsi="黑体" w:eastAsia="黑体"/>
                <w:szCs w:val="21"/>
              </w:rPr>
            </w:pPr>
            <w:r>
              <w:rPr>
                <w:rFonts w:hint="eastAsia" w:ascii="黑体" w:hAnsi="黑体" w:eastAsia="黑体"/>
                <w:szCs w:val="21"/>
              </w:rPr>
              <w:t>沈  莹</w:t>
            </w:r>
          </w:p>
        </w:tc>
        <w:tc>
          <w:tcPr>
            <w:tcW w:w="2410" w:type="dxa"/>
            <w:shd w:val="clear" w:color="auto" w:fill="FFFFFF" w:themeFill="background1"/>
            <w:vAlign w:val="center"/>
          </w:tcPr>
          <w:p>
            <w:pPr>
              <w:tabs>
                <w:tab w:val="left" w:pos="6660"/>
              </w:tabs>
              <w:spacing w:line="460" w:lineRule="exact"/>
              <w:jc w:val="center"/>
              <w:rPr>
                <w:rFonts w:ascii="黑体" w:hAnsi="黑体" w:eastAsia="黑体"/>
                <w:szCs w:val="21"/>
              </w:rPr>
            </w:pPr>
            <w:r>
              <w:rPr>
                <w:rFonts w:ascii="黑体" w:hAnsi="黑体" w:eastAsia="黑体"/>
                <w:szCs w:val="21"/>
              </w:rPr>
              <w:t>3320050048</w:t>
            </w:r>
          </w:p>
        </w:tc>
        <w:tc>
          <w:tcPr>
            <w:tcW w:w="2761" w:type="dxa"/>
            <w:shd w:val="clear" w:color="auto" w:fill="FFFFFF" w:themeFill="background1"/>
            <w:vAlign w:val="center"/>
          </w:tcPr>
          <w:p>
            <w:pPr>
              <w:tabs>
                <w:tab w:val="left" w:pos="6660"/>
              </w:tabs>
              <w:spacing w:line="460" w:lineRule="exact"/>
              <w:jc w:val="center"/>
              <w:rPr>
                <w:rFonts w:ascii="黑体" w:hAnsi="黑体" w:eastAsia="黑体"/>
                <w:szCs w:val="21"/>
              </w:rPr>
            </w:pPr>
          </w:p>
        </w:tc>
        <w:tc>
          <w:tcPr>
            <w:tcW w:w="2098" w:type="dxa"/>
            <w:shd w:val="clear" w:color="auto" w:fill="FFFFFF" w:themeFill="background1"/>
            <w:vAlign w:val="center"/>
          </w:tcPr>
          <w:p>
            <w:pPr>
              <w:jc w:val="center"/>
              <w:rPr>
                <w:rFonts w:ascii="黑体" w:hAnsi="黑体" w:eastAsia="黑体"/>
                <w:szCs w:val="21"/>
              </w:rPr>
            </w:pPr>
            <w:r>
              <w:rPr>
                <w:rFonts w:ascii="黑体" w:hAnsi="黑体" w:eastAsia="黑体"/>
                <w:szCs w:val="21"/>
              </w:rPr>
              <w:fldChar w:fldCharType="begin"/>
            </w:r>
            <w:r>
              <w:rPr>
                <w:rFonts w:ascii="黑体" w:hAnsi="黑体" w:eastAsia="黑体"/>
                <w:szCs w:val="21"/>
              </w:rPr>
              <w:instrText xml:space="preserve"> MERGEFIELD 作业日期止 \@ "yyyy'年'M'月'd'日'"</w:instrText>
            </w:r>
            <w:r>
              <w:rPr>
                <w:rFonts w:ascii="黑体" w:hAnsi="黑体" w:eastAsia="黑体"/>
                <w:szCs w:val="21"/>
              </w:rPr>
              <w:fldChar w:fldCharType="separate"/>
            </w:r>
            <w:r>
              <w:rPr>
                <w:rFonts w:hint="eastAsia" w:ascii="黑体" w:hAnsi="黑体" w:eastAsia="黑体"/>
                <w:szCs w:val="21"/>
                <w:lang w:eastAsia="zh-CN"/>
              </w:rPr>
              <w:t>2022年08月12日</w:t>
            </w:r>
            <w:r>
              <w:rPr>
                <w:rFonts w:ascii="黑体" w:hAnsi="黑体" w:eastAsia="黑体"/>
                <w:szCs w:val="21"/>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1770" w:type="dxa"/>
            <w:shd w:val="clear" w:color="auto" w:fill="FFFFFF" w:themeFill="background1"/>
            <w:vAlign w:val="center"/>
          </w:tcPr>
          <w:p>
            <w:pPr>
              <w:tabs>
                <w:tab w:val="left" w:pos="6660"/>
              </w:tabs>
              <w:spacing w:line="460" w:lineRule="exact"/>
              <w:jc w:val="center"/>
              <w:rPr>
                <w:rFonts w:ascii="黑体" w:hAnsi="黑体" w:eastAsia="黑体"/>
                <w:szCs w:val="21"/>
              </w:rPr>
            </w:pPr>
            <w:r>
              <w:rPr>
                <w:rFonts w:hint="eastAsia" w:ascii="黑体" w:hAnsi="黑体" w:eastAsia="黑体"/>
                <w:szCs w:val="21"/>
              </w:rPr>
              <w:t>付琳莉</w:t>
            </w:r>
          </w:p>
        </w:tc>
        <w:tc>
          <w:tcPr>
            <w:tcW w:w="2410" w:type="dxa"/>
            <w:shd w:val="clear" w:color="auto" w:fill="FFFFFF" w:themeFill="background1"/>
            <w:vAlign w:val="center"/>
          </w:tcPr>
          <w:p>
            <w:pPr>
              <w:tabs>
                <w:tab w:val="left" w:pos="6660"/>
              </w:tabs>
              <w:spacing w:line="460" w:lineRule="exact"/>
              <w:jc w:val="center"/>
              <w:rPr>
                <w:rFonts w:ascii="黑体" w:hAnsi="黑体" w:eastAsia="黑体"/>
                <w:szCs w:val="21"/>
              </w:rPr>
            </w:pPr>
            <w:r>
              <w:rPr>
                <w:rFonts w:hint="eastAsia" w:ascii="黑体" w:hAnsi="黑体" w:eastAsia="黑体"/>
                <w:szCs w:val="21"/>
              </w:rPr>
              <w:t>3220200158</w:t>
            </w:r>
          </w:p>
        </w:tc>
        <w:tc>
          <w:tcPr>
            <w:tcW w:w="2761" w:type="dxa"/>
            <w:shd w:val="clear" w:color="auto" w:fill="FFFFFF" w:themeFill="background1"/>
            <w:vAlign w:val="center"/>
          </w:tcPr>
          <w:p>
            <w:pPr>
              <w:tabs>
                <w:tab w:val="left" w:pos="6660"/>
              </w:tabs>
              <w:spacing w:line="460" w:lineRule="exact"/>
              <w:jc w:val="center"/>
              <w:rPr>
                <w:rFonts w:ascii="黑体" w:hAnsi="黑体" w:eastAsia="黑体"/>
                <w:szCs w:val="21"/>
              </w:rPr>
            </w:pPr>
          </w:p>
        </w:tc>
        <w:tc>
          <w:tcPr>
            <w:tcW w:w="2098" w:type="dxa"/>
            <w:shd w:val="clear" w:color="auto" w:fill="FFFFFF" w:themeFill="background1"/>
            <w:vAlign w:val="center"/>
          </w:tcPr>
          <w:p>
            <w:pPr>
              <w:tabs>
                <w:tab w:val="left" w:pos="6660"/>
              </w:tabs>
              <w:spacing w:line="460" w:lineRule="exact"/>
              <w:jc w:val="center"/>
              <w:rPr>
                <w:rFonts w:ascii="黑体" w:hAnsi="黑体" w:eastAsia="黑体"/>
                <w:szCs w:val="21"/>
              </w:rPr>
            </w:pPr>
            <w:r>
              <w:rPr>
                <w:rFonts w:ascii="黑体" w:hAnsi="黑体" w:eastAsia="黑体"/>
                <w:szCs w:val="21"/>
              </w:rPr>
              <w:fldChar w:fldCharType="begin"/>
            </w:r>
            <w:r>
              <w:rPr>
                <w:rFonts w:ascii="黑体" w:hAnsi="黑体" w:eastAsia="黑体"/>
                <w:szCs w:val="21"/>
              </w:rPr>
              <w:instrText xml:space="preserve"> MERGEFIELD 作业日期止 \@ "yyyy'年'M'月'd'日'"</w:instrText>
            </w:r>
            <w:r>
              <w:rPr>
                <w:rFonts w:ascii="黑体" w:hAnsi="黑体" w:eastAsia="黑体"/>
                <w:szCs w:val="21"/>
              </w:rPr>
              <w:fldChar w:fldCharType="separate"/>
            </w:r>
            <w:r>
              <w:rPr>
                <w:rFonts w:hint="eastAsia" w:ascii="黑体" w:hAnsi="黑体" w:eastAsia="黑体"/>
                <w:szCs w:val="21"/>
                <w:lang w:eastAsia="zh-CN"/>
              </w:rPr>
              <w:t>2022年08月12日</w:t>
            </w:r>
            <w:r>
              <w:rPr>
                <w:rFonts w:ascii="黑体" w:hAnsi="黑体" w:eastAsia="黑体"/>
                <w:szCs w:val="21"/>
              </w:rPr>
              <w:fldChar w:fldCharType="end"/>
            </w:r>
          </w:p>
        </w:tc>
      </w:tr>
    </w:tbl>
    <w:p>
      <w:pPr>
        <w:pStyle w:val="4"/>
        <w:spacing w:line="440" w:lineRule="exact"/>
        <w:rPr>
          <w:rFonts w:ascii="Times New Roman"/>
          <w:lang w:eastAsia="zh-CN"/>
        </w:rPr>
      </w:pPr>
    </w:p>
    <w:p>
      <w:pPr>
        <w:pStyle w:val="4"/>
        <w:spacing w:line="440" w:lineRule="exact"/>
        <w:rPr>
          <w:rFonts w:ascii="Times New Roman"/>
          <w:lang w:eastAsia="zh-CN"/>
        </w:rPr>
      </w:pPr>
      <w:bookmarkStart w:id="91" w:name="_Toc21564"/>
      <w:r>
        <w:rPr>
          <w:rFonts w:hint="eastAsia" w:ascii="Times New Roman"/>
          <w:lang w:eastAsia="zh-CN"/>
        </w:rPr>
        <w:t>十二、实地查勘期</w:t>
      </w:r>
      <w:bookmarkEnd w:id="87"/>
      <w:bookmarkEnd w:id="91"/>
    </w:p>
    <w:p>
      <w:pPr>
        <w:spacing w:line="440" w:lineRule="exact"/>
        <w:ind w:left="720"/>
        <w:rPr>
          <w:rFonts w:eastAsia="楷体_GB2312"/>
          <w:sz w:val="28"/>
          <w:lang w:val="en-GB"/>
        </w:rPr>
      </w:pPr>
      <w:r>
        <w:rPr>
          <w:rFonts w:ascii="仿宋" w:hAnsi="仿宋" w:eastAsia="仿宋"/>
          <w:sz w:val="28"/>
        </w:rPr>
        <w:fldChar w:fldCharType="begin"/>
      </w:r>
      <w:r>
        <w:rPr>
          <w:rFonts w:ascii="仿宋" w:hAnsi="仿宋" w:eastAsia="仿宋"/>
          <w:sz w:val="28"/>
        </w:rPr>
        <w:instrText xml:space="preserve"> MERGEFIELD 作业日期起 \@ "yyyy'年'M'月'd'日'" </w:instrText>
      </w:r>
      <w:r>
        <w:rPr>
          <w:rFonts w:ascii="仿宋" w:hAnsi="仿宋" w:eastAsia="仿宋"/>
          <w:sz w:val="28"/>
        </w:rPr>
        <w:fldChar w:fldCharType="separate"/>
      </w:r>
      <w:r>
        <w:rPr>
          <w:rFonts w:hint="eastAsia" w:ascii="仿宋" w:hAnsi="仿宋" w:eastAsia="仿宋"/>
          <w:sz w:val="28"/>
          <w:lang w:eastAsia="zh-CN"/>
        </w:rPr>
        <w:t>2022年08月11日</w:t>
      </w:r>
      <w:r>
        <w:rPr>
          <w:rFonts w:ascii="仿宋" w:hAnsi="仿宋" w:eastAsia="仿宋"/>
          <w:sz w:val="28"/>
        </w:rPr>
        <w:fldChar w:fldCharType="end"/>
      </w:r>
      <w:r>
        <w:rPr>
          <w:rFonts w:hint="eastAsia" w:eastAsia="楷体_GB2312"/>
          <w:sz w:val="28"/>
        </w:rPr>
        <w:t>。</w:t>
      </w:r>
    </w:p>
    <w:p>
      <w:pPr>
        <w:pStyle w:val="4"/>
        <w:spacing w:line="440" w:lineRule="exact"/>
        <w:rPr>
          <w:rFonts w:ascii="Times New Roman" w:hAnsi="Times New Roman"/>
        </w:rPr>
      </w:pPr>
      <w:bookmarkStart w:id="92" w:name="_Toc23179137"/>
      <w:bookmarkStart w:id="93" w:name="_Toc8565"/>
      <w:r>
        <w:rPr>
          <w:rFonts w:ascii="Times New Roman"/>
        </w:rPr>
        <w:t>十</w:t>
      </w:r>
      <w:r>
        <w:rPr>
          <w:rFonts w:hint="eastAsia" w:ascii="Times New Roman"/>
          <w:lang w:eastAsia="zh-CN"/>
        </w:rPr>
        <w:t>三</w:t>
      </w:r>
      <w:r>
        <w:rPr>
          <w:rFonts w:ascii="Times New Roman"/>
        </w:rPr>
        <w:t>、估价作业期</w:t>
      </w:r>
      <w:bookmarkEnd w:id="88"/>
      <w:bookmarkEnd w:id="89"/>
      <w:bookmarkEnd w:id="90"/>
      <w:bookmarkEnd w:id="92"/>
      <w:bookmarkEnd w:id="93"/>
    </w:p>
    <w:p>
      <w:pPr>
        <w:ind w:firstLine="560" w:firstLineChars="200"/>
        <w:rPr>
          <w:lang w:val="zh-CN" w:eastAsia="zh-CN"/>
        </w:rPr>
      </w:pPr>
      <w:r>
        <w:rPr>
          <w:rFonts w:ascii="仿宋" w:hAnsi="仿宋" w:eastAsia="仿宋"/>
          <w:sz w:val="28"/>
        </w:rPr>
        <w:fldChar w:fldCharType="begin"/>
      </w:r>
      <w:r>
        <w:rPr>
          <w:rFonts w:ascii="仿宋" w:hAnsi="仿宋" w:eastAsia="仿宋"/>
          <w:sz w:val="28"/>
        </w:rPr>
        <w:instrText xml:space="preserve"> MERGEFIELD 作业日期起 \@ "yyyy'年'M'月'd'日'" </w:instrText>
      </w:r>
      <w:r>
        <w:rPr>
          <w:rFonts w:ascii="仿宋" w:hAnsi="仿宋" w:eastAsia="仿宋"/>
          <w:sz w:val="28"/>
        </w:rPr>
        <w:fldChar w:fldCharType="separate"/>
      </w:r>
      <w:r>
        <w:rPr>
          <w:rFonts w:hint="eastAsia" w:ascii="仿宋" w:hAnsi="仿宋" w:eastAsia="仿宋"/>
          <w:sz w:val="28"/>
          <w:lang w:eastAsia="zh-CN"/>
        </w:rPr>
        <w:t>2022年08月11日</w:t>
      </w:r>
      <w:r>
        <w:rPr>
          <w:rFonts w:ascii="仿宋" w:hAnsi="仿宋" w:eastAsia="仿宋"/>
          <w:sz w:val="28"/>
        </w:rPr>
        <w:fldChar w:fldCharType="end"/>
      </w:r>
      <w:r>
        <w:rPr>
          <w:rFonts w:ascii="仿宋" w:hAnsi="仿宋" w:eastAsia="仿宋"/>
          <w:sz w:val="28"/>
        </w:rPr>
        <w:t>至</w:t>
      </w:r>
      <w:r>
        <w:rPr>
          <w:rFonts w:ascii="仿宋" w:hAnsi="仿宋" w:eastAsia="仿宋"/>
          <w:sz w:val="28"/>
        </w:rPr>
        <w:fldChar w:fldCharType="begin"/>
      </w:r>
      <w:r>
        <w:rPr>
          <w:rFonts w:ascii="仿宋" w:hAnsi="仿宋" w:eastAsia="仿宋"/>
          <w:sz w:val="28"/>
        </w:rPr>
        <w:instrText xml:space="preserve"> MERGEFIELD 作业日期止 \@ "yyyy'年'M'月'd'日'"</w:instrText>
      </w:r>
      <w:r>
        <w:rPr>
          <w:rFonts w:ascii="仿宋" w:hAnsi="仿宋" w:eastAsia="仿宋"/>
          <w:sz w:val="28"/>
        </w:rPr>
        <w:fldChar w:fldCharType="separate"/>
      </w:r>
      <w:r>
        <w:rPr>
          <w:rFonts w:hint="eastAsia" w:ascii="仿宋" w:hAnsi="仿宋" w:eastAsia="仿宋"/>
          <w:sz w:val="28"/>
          <w:lang w:eastAsia="zh-CN"/>
        </w:rPr>
        <w:t>2022年08月12日</w:t>
      </w:r>
      <w:r>
        <w:rPr>
          <w:rFonts w:ascii="仿宋" w:hAnsi="仿宋" w:eastAsia="仿宋"/>
          <w:sz w:val="28"/>
        </w:rPr>
        <w:fldChar w:fldCharType="end"/>
      </w:r>
      <w:r>
        <w:rPr>
          <w:rFonts w:eastAsia="楷体_GB2312"/>
          <w:sz w:val="28"/>
        </w:rPr>
        <w:t>。</w:t>
      </w:r>
    </w:p>
    <w:p>
      <w:pPr>
        <w:pStyle w:val="4"/>
        <w:rPr>
          <w:rFonts w:ascii="Times New Roman" w:hAnsi="Times New Roman"/>
        </w:rPr>
      </w:pPr>
      <w:r>
        <w:br w:type="page"/>
      </w:r>
      <w:r>
        <w:rPr>
          <w:rFonts w:eastAsia="楷体_GB2312"/>
          <w:sz w:val="28"/>
          <w:lang w:val="en-GB"/>
        </w:rPr>
        <w:t xml:space="preserve"> </w:t>
      </w:r>
      <w:bookmarkEnd w:id="82"/>
      <w:bookmarkEnd w:id="83"/>
      <w:bookmarkEnd w:id="84"/>
      <w:bookmarkStart w:id="94" w:name="_Toc23179138"/>
    </w:p>
    <w:p>
      <w:pPr>
        <w:pStyle w:val="3"/>
        <w:spacing w:line="520" w:lineRule="exact"/>
        <w:jc w:val="center"/>
        <w:rPr>
          <w:rFonts w:ascii="Times New Roman" w:hAnsi="Times New Roman"/>
        </w:rPr>
      </w:pPr>
      <w:bookmarkStart w:id="95" w:name="_Toc18044"/>
      <w:r>
        <w:rPr>
          <w:rFonts w:hint="eastAsia" w:ascii="Times New Roman" w:hAnsi="Times New Roman"/>
        </w:rPr>
        <w:t>附 件</w:t>
      </w:r>
      <w:bookmarkEnd w:id="94"/>
      <w:bookmarkEnd w:id="95"/>
    </w:p>
    <w:p>
      <w:pPr>
        <w:rPr>
          <w:sz w:val="24"/>
        </w:rPr>
      </w:pPr>
    </w:p>
    <w:p>
      <w:pPr>
        <w:spacing w:line="520" w:lineRule="exact"/>
        <w:ind w:left="567" w:right="-286" w:rightChars="-136"/>
        <w:rPr>
          <w:rFonts w:ascii="仿宋" w:hAnsi="仿宋" w:eastAsia="仿宋"/>
          <w:sz w:val="24"/>
        </w:rPr>
      </w:pPr>
      <w:r>
        <w:rPr>
          <w:rFonts w:hint="eastAsia" w:ascii="仿宋" w:hAnsi="仿宋" w:eastAsia="仿宋"/>
          <w:sz w:val="24"/>
        </w:rPr>
        <w:t>1．司法鉴定委托书﹝（2022）苏0924法鉴委字第77号﹞复印件</w:t>
      </w:r>
    </w:p>
    <w:p>
      <w:pPr>
        <w:spacing w:line="520" w:lineRule="exact"/>
        <w:ind w:left="567"/>
        <w:rPr>
          <w:rFonts w:ascii="仿宋" w:hAnsi="仿宋" w:eastAsia="仿宋"/>
          <w:sz w:val="24"/>
        </w:rPr>
      </w:pPr>
      <w:r>
        <w:rPr>
          <w:rFonts w:hint="eastAsia" w:ascii="仿宋" w:hAnsi="仿宋" w:eastAsia="仿宋"/>
          <w:sz w:val="24"/>
        </w:rPr>
        <w:t>2．《商品房买卖合同》等</w:t>
      </w:r>
      <w:r>
        <w:rPr>
          <w:rFonts w:ascii="仿宋" w:hAnsi="仿宋" w:eastAsia="仿宋"/>
          <w:sz w:val="24"/>
        </w:rPr>
        <w:t>复印件</w:t>
      </w:r>
      <w:r>
        <w:rPr>
          <w:rFonts w:hint="eastAsia" w:ascii="仿宋" w:hAnsi="仿宋" w:eastAsia="仿宋"/>
          <w:sz w:val="24"/>
        </w:rPr>
        <w:t xml:space="preserve"> </w:t>
      </w:r>
    </w:p>
    <w:p>
      <w:pPr>
        <w:spacing w:line="520" w:lineRule="exact"/>
        <w:ind w:left="567"/>
        <w:rPr>
          <w:rFonts w:ascii="仿宋" w:hAnsi="仿宋" w:eastAsia="仿宋"/>
          <w:sz w:val="24"/>
        </w:rPr>
      </w:pPr>
      <w:r>
        <w:rPr>
          <w:rFonts w:ascii="仿宋" w:hAnsi="仿宋" w:eastAsia="仿宋"/>
          <w:sz w:val="24"/>
        </w:rPr>
        <w:t>3</w:t>
      </w:r>
      <w:r>
        <w:rPr>
          <w:rFonts w:hint="eastAsia" w:ascii="仿宋" w:hAnsi="仿宋" w:eastAsia="仿宋"/>
          <w:sz w:val="24"/>
        </w:rPr>
        <w:t>．房地产估价机构营业执照复印件</w:t>
      </w:r>
    </w:p>
    <w:p>
      <w:pPr>
        <w:spacing w:line="520" w:lineRule="exact"/>
        <w:ind w:left="567"/>
        <w:rPr>
          <w:rFonts w:ascii="仿宋" w:hAnsi="仿宋" w:eastAsia="仿宋"/>
          <w:sz w:val="24"/>
        </w:rPr>
      </w:pPr>
      <w:r>
        <w:rPr>
          <w:rFonts w:ascii="仿宋" w:hAnsi="仿宋" w:eastAsia="仿宋"/>
          <w:sz w:val="24"/>
        </w:rPr>
        <w:t>4</w:t>
      </w:r>
      <w:r>
        <w:rPr>
          <w:rFonts w:hint="eastAsia" w:ascii="仿宋" w:hAnsi="仿宋" w:eastAsia="仿宋"/>
          <w:sz w:val="24"/>
        </w:rPr>
        <w:t>．房地产估价师注册证书复印件</w:t>
      </w:r>
    </w:p>
    <w:p>
      <w:pPr>
        <w:spacing w:line="520" w:lineRule="exact"/>
        <w:ind w:left="567"/>
        <w:rPr>
          <w:rFonts w:ascii="仿宋" w:hAnsi="仿宋" w:eastAsia="仿宋"/>
          <w:sz w:val="24"/>
        </w:rPr>
      </w:pPr>
      <w:r>
        <w:rPr>
          <w:rFonts w:ascii="仿宋" w:hAnsi="仿宋" w:eastAsia="仿宋"/>
          <w:sz w:val="24"/>
        </w:rPr>
        <w:t>5</w:t>
      </w:r>
      <w:r>
        <w:rPr>
          <w:rFonts w:hint="eastAsia" w:ascii="仿宋" w:hAnsi="仿宋" w:eastAsia="仿宋"/>
          <w:sz w:val="24"/>
        </w:rPr>
        <w:t>．房地产估价机构资质备案证书复印件</w:t>
      </w:r>
    </w:p>
    <w:p>
      <w:pPr>
        <w:spacing w:line="520" w:lineRule="exact"/>
        <w:ind w:left="567"/>
        <w:rPr>
          <w:rFonts w:ascii="仿宋" w:hAnsi="仿宋" w:eastAsia="仿宋"/>
          <w:sz w:val="24"/>
        </w:rPr>
      </w:pPr>
      <w:r>
        <w:rPr>
          <w:rFonts w:ascii="仿宋" w:hAnsi="仿宋" w:eastAsia="仿宋"/>
          <w:sz w:val="24"/>
        </w:rPr>
        <w:t>6</w:t>
      </w:r>
      <w:r>
        <w:rPr>
          <w:rFonts w:hint="eastAsia" w:ascii="仿宋" w:hAnsi="仿宋" w:eastAsia="仿宋"/>
          <w:sz w:val="24"/>
        </w:rPr>
        <w:t>．估价对象位置示意图</w:t>
      </w:r>
    </w:p>
    <w:p>
      <w:pPr>
        <w:spacing w:line="520" w:lineRule="exact"/>
        <w:ind w:left="567"/>
        <w:rPr>
          <w:rFonts w:ascii="仿宋" w:hAnsi="仿宋" w:eastAsia="仿宋"/>
          <w:sz w:val="24"/>
        </w:rPr>
      </w:pPr>
      <w:r>
        <w:rPr>
          <w:rFonts w:ascii="仿宋" w:hAnsi="仿宋" w:eastAsia="仿宋"/>
          <w:sz w:val="24"/>
        </w:rPr>
        <w:t>7</w:t>
      </w:r>
      <w:r>
        <w:rPr>
          <w:rFonts w:hint="eastAsia" w:ascii="仿宋" w:hAnsi="仿宋" w:eastAsia="仿宋"/>
          <w:sz w:val="24"/>
        </w:rPr>
        <w:t>．估价对象现场查勘照片</w:t>
      </w: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ind w:left="720"/>
        <w:rPr>
          <w:sz w:val="24"/>
        </w:rPr>
      </w:pPr>
    </w:p>
    <w:p>
      <w:pPr>
        <w:spacing w:line="500" w:lineRule="exact"/>
        <w:jc w:val="center"/>
        <w:rPr>
          <w:sz w:val="24"/>
        </w:rPr>
      </w:pPr>
    </w:p>
    <w:p>
      <w:pPr>
        <w:spacing w:line="500" w:lineRule="exact"/>
        <w:jc w:val="center"/>
        <w:rPr>
          <w:rFonts w:hint="eastAsia" w:eastAsia="宋体"/>
          <w:sz w:val="24"/>
          <w:lang w:eastAsia="zh-CN"/>
        </w:rPr>
      </w:pPr>
      <w:r>
        <w:rPr>
          <w:rFonts w:hint="eastAsia" w:eastAsia="宋体"/>
          <w:sz w:val="24"/>
          <w:lang w:eastAsia="zh-CN"/>
        </w:rPr>
        <w:drawing>
          <wp:anchor distT="0" distB="0" distL="114300" distR="114300" simplePos="0" relativeHeight="251661312" behindDoc="0" locked="0" layoutInCell="1" allowOverlap="1">
            <wp:simplePos x="0" y="0"/>
            <wp:positionH relativeFrom="column">
              <wp:posOffset>76835</wp:posOffset>
            </wp:positionH>
            <wp:positionV relativeFrom="paragraph">
              <wp:posOffset>1905</wp:posOffset>
            </wp:positionV>
            <wp:extent cx="5634990" cy="7689850"/>
            <wp:effectExtent l="0" t="0" r="3810" b="6350"/>
            <wp:wrapTopAndBottom/>
            <wp:docPr id="5" name="图片 5"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22"/>
                    <pic:cNvPicPr>
                      <a:picLocks noChangeAspect="1"/>
                    </pic:cNvPicPr>
                  </pic:nvPicPr>
                  <pic:blipFill>
                    <a:blip r:embed="rId12"/>
                    <a:stretch>
                      <a:fillRect/>
                    </a:stretch>
                  </pic:blipFill>
                  <pic:spPr>
                    <a:xfrm>
                      <a:off x="0" y="0"/>
                      <a:ext cx="5634990" cy="7689850"/>
                    </a:xfrm>
                    <a:prstGeom prst="rect">
                      <a:avLst/>
                    </a:prstGeom>
                  </pic:spPr>
                </pic:pic>
              </a:graphicData>
            </a:graphic>
          </wp:anchor>
        </w:drawing>
      </w:r>
    </w:p>
    <w:p>
      <w:pPr>
        <w:rPr>
          <w:rFonts w:eastAsia="楷体_GB2312"/>
          <w:sz w:val="24"/>
        </w:rPr>
      </w:pPr>
    </w:p>
    <w:p>
      <w:pPr>
        <w:rPr>
          <w:rFonts w:eastAsia="楷体_GB2312"/>
          <w:sz w:val="24"/>
        </w:rPr>
      </w:pPr>
    </w:p>
    <w:p>
      <w:pPr>
        <w:rPr>
          <w:rFonts w:eastAsia="楷体_GB2312"/>
          <w:sz w:val="24"/>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6" name="图片 6"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34"/>
                    <pic:cNvPicPr>
                      <a:picLocks noChangeAspect="1"/>
                    </pic:cNvPicPr>
                  </pic:nvPicPr>
                  <pic:blipFill>
                    <a:blip r:embed="rId13"/>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7" name="图片 7"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35"/>
                    <pic:cNvPicPr>
                      <a:picLocks noChangeAspect="1"/>
                    </pic:cNvPicPr>
                  </pic:nvPicPr>
                  <pic:blipFill>
                    <a:blip r:embed="rId14"/>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8" name="图片 8"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36"/>
                    <pic:cNvPicPr>
                      <a:picLocks noChangeAspect="1"/>
                    </pic:cNvPicPr>
                  </pic:nvPicPr>
                  <pic:blipFill>
                    <a:blip r:embed="rId15"/>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9" name="图片 9"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37"/>
                    <pic:cNvPicPr>
                      <a:picLocks noChangeAspect="1"/>
                    </pic:cNvPicPr>
                  </pic:nvPicPr>
                  <pic:blipFill>
                    <a:blip r:embed="rId16"/>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0" name="图片 10"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38"/>
                    <pic:cNvPicPr>
                      <a:picLocks noChangeAspect="1"/>
                    </pic:cNvPicPr>
                  </pic:nvPicPr>
                  <pic:blipFill>
                    <a:blip r:embed="rId17"/>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1" name="图片 11"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39"/>
                    <pic:cNvPicPr>
                      <a:picLocks noChangeAspect="1"/>
                    </pic:cNvPicPr>
                  </pic:nvPicPr>
                  <pic:blipFill>
                    <a:blip r:embed="rId18"/>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2" name="图片 12"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40"/>
                    <pic:cNvPicPr>
                      <a:picLocks noChangeAspect="1"/>
                    </pic:cNvPicPr>
                  </pic:nvPicPr>
                  <pic:blipFill>
                    <a:blip r:embed="rId19"/>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3" name="图片 13"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41"/>
                    <pic:cNvPicPr>
                      <a:picLocks noChangeAspect="1"/>
                    </pic:cNvPicPr>
                  </pic:nvPicPr>
                  <pic:blipFill>
                    <a:blip r:embed="rId20"/>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4" name="图片 14"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42"/>
                    <pic:cNvPicPr>
                      <a:picLocks noChangeAspect="1"/>
                    </pic:cNvPicPr>
                  </pic:nvPicPr>
                  <pic:blipFill>
                    <a:blip r:embed="rId21"/>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5" name="图片 15"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43"/>
                    <pic:cNvPicPr>
                      <a:picLocks noChangeAspect="1"/>
                    </pic:cNvPicPr>
                  </pic:nvPicPr>
                  <pic:blipFill>
                    <a:blip r:embed="rId22"/>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6" name="图片 16"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44"/>
                    <pic:cNvPicPr>
                      <a:picLocks noChangeAspect="1"/>
                    </pic:cNvPicPr>
                  </pic:nvPicPr>
                  <pic:blipFill>
                    <a:blip r:embed="rId23"/>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7" name="图片 17"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45"/>
                    <pic:cNvPicPr>
                      <a:picLocks noChangeAspect="1"/>
                    </pic:cNvPicPr>
                  </pic:nvPicPr>
                  <pic:blipFill>
                    <a:blip r:embed="rId24"/>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8" name="图片 18"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46"/>
                    <pic:cNvPicPr>
                      <a:picLocks noChangeAspect="1"/>
                    </pic:cNvPicPr>
                  </pic:nvPicPr>
                  <pic:blipFill>
                    <a:blip r:embed="rId25"/>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19" name="图片 19"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47"/>
                    <pic:cNvPicPr>
                      <a:picLocks noChangeAspect="1"/>
                    </pic:cNvPicPr>
                  </pic:nvPicPr>
                  <pic:blipFill>
                    <a:blip r:embed="rId26"/>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0" name="图片 20"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48"/>
                    <pic:cNvPicPr>
                      <a:picLocks noChangeAspect="1"/>
                    </pic:cNvPicPr>
                  </pic:nvPicPr>
                  <pic:blipFill>
                    <a:blip r:embed="rId27"/>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1" name="图片 21"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49"/>
                    <pic:cNvPicPr>
                      <a:picLocks noChangeAspect="1"/>
                    </pic:cNvPicPr>
                  </pic:nvPicPr>
                  <pic:blipFill>
                    <a:blip r:embed="rId28"/>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2" name="图片 22"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50"/>
                    <pic:cNvPicPr>
                      <a:picLocks noChangeAspect="1"/>
                    </pic:cNvPicPr>
                  </pic:nvPicPr>
                  <pic:blipFill>
                    <a:blip r:embed="rId29"/>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3" name="图片 23"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51"/>
                    <pic:cNvPicPr>
                      <a:picLocks noChangeAspect="1"/>
                    </pic:cNvPicPr>
                  </pic:nvPicPr>
                  <pic:blipFill>
                    <a:blip r:embed="rId30"/>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5" name="图片 25"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52"/>
                    <pic:cNvPicPr>
                      <a:picLocks noChangeAspect="1"/>
                    </pic:cNvPicPr>
                  </pic:nvPicPr>
                  <pic:blipFill>
                    <a:blip r:embed="rId31"/>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6" name="图片 26"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53"/>
                    <pic:cNvPicPr>
                      <a:picLocks noChangeAspect="1"/>
                    </pic:cNvPicPr>
                  </pic:nvPicPr>
                  <pic:blipFill>
                    <a:blip r:embed="rId32"/>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7" name="图片 27"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54"/>
                    <pic:cNvPicPr>
                      <a:picLocks noChangeAspect="1"/>
                    </pic:cNvPicPr>
                  </pic:nvPicPr>
                  <pic:blipFill>
                    <a:blip r:embed="rId33"/>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8" name="图片 28"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55"/>
                    <pic:cNvPicPr>
                      <a:picLocks noChangeAspect="1"/>
                    </pic:cNvPicPr>
                  </pic:nvPicPr>
                  <pic:blipFill>
                    <a:blip r:embed="rId34"/>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29" name="图片 29"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56"/>
                    <pic:cNvPicPr>
                      <a:picLocks noChangeAspect="1"/>
                    </pic:cNvPicPr>
                  </pic:nvPicPr>
                  <pic:blipFill>
                    <a:blip r:embed="rId35"/>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30" name="图片 30"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57"/>
                    <pic:cNvPicPr>
                      <a:picLocks noChangeAspect="1"/>
                    </pic:cNvPicPr>
                  </pic:nvPicPr>
                  <pic:blipFill>
                    <a:blip r:embed="rId36"/>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31" name="图片 31"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58"/>
                    <pic:cNvPicPr>
                      <a:picLocks noChangeAspect="1"/>
                    </pic:cNvPicPr>
                  </pic:nvPicPr>
                  <pic:blipFill>
                    <a:blip r:embed="rId37"/>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34990" cy="7689850"/>
            <wp:effectExtent l="0" t="0" r="3810" b="6350"/>
            <wp:docPr id="32" name="图片 32"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59"/>
                    <pic:cNvPicPr>
                      <a:picLocks noChangeAspect="1"/>
                    </pic:cNvPicPr>
                  </pic:nvPicPr>
                  <pic:blipFill>
                    <a:blip r:embed="rId38"/>
                    <a:stretch>
                      <a:fillRect/>
                    </a:stretch>
                  </pic:blipFill>
                  <pic:spPr>
                    <a:xfrm>
                      <a:off x="0" y="0"/>
                      <a:ext cx="5634990" cy="768985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jc w:val="center"/>
        <w:rPr>
          <w:rFonts w:hint="eastAsia" w:eastAsia="楷体_GB2312"/>
          <w:sz w:val="24"/>
          <w:lang w:eastAsia="zh-CN"/>
        </w:rPr>
      </w:pPr>
    </w:p>
    <w:p>
      <w:pPr>
        <w:rPr>
          <w:rFonts w:eastAsia="楷体_GB2312"/>
          <w:sz w:val="24"/>
        </w:rPr>
      </w:pPr>
    </w:p>
    <w:p>
      <w:pPr>
        <w:rPr>
          <w:rFonts w:eastAsia="楷体_GB2312"/>
          <w:sz w:val="24"/>
        </w:rPr>
      </w:pPr>
    </w:p>
    <w:p>
      <w:pPr>
        <w:rPr>
          <w:rFonts w:eastAsia="楷体_GB2312"/>
          <w:sz w:val="24"/>
        </w:rPr>
      </w:pPr>
    </w:p>
    <w:p>
      <w:pPr>
        <w:jc w:val="center"/>
        <w:rPr>
          <w:rFonts w:hint="eastAsia" w:ascii="仿宋" w:hAnsi="仿宋" w:eastAsia="仿宋"/>
          <w:sz w:val="24"/>
          <w:lang w:eastAsia="zh-CN"/>
        </w:rPr>
      </w:pPr>
      <w:r>
        <w:rPr>
          <w:rFonts w:hint="eastAsia" w:ascii="仿宋" w:hAnsi="仿宋" w:eastAsia="仿宋"/>
          <w:sz w:val="24"/>
          <w:lang w:eastAsia="zh-CN"/>
        </w:rPr>
        <w:drawing>
          <wp:anchor distT="0" distB="0" distL="114300" distR="114300" simplePos="0" relativeHeight="251662336" behindDoc="1" locked="0" layoutInCell="1" allowOverlap="1">
            <wp:simplePos x="0" y="0"/>
            <wp:positionH relativeFrom="column">
              <wp:posOffset>55245</wp:posOffset>
            </wp:positionH>
            <wp:positionV relativeFrom="paragraph">
              <wp:posOffset>984250</wp:posOffset>
            </wp:positionV>
            <wp:extent cx="5645150" cy="4108450"/>
            <wp:effectExtent l="0" t="0" r="6350" b="12700"/>
            <wp:wrapNone/>
            <wp:docPr id="34" name="图片 34" descr="C:/Users/Administrator/AppData/Local/Temp/picturecompress_20210916095721/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AppData/Local/Temp/picturecompress_20210916095721/output_1.pngoutput_1"/>
                    <pic:cNvPicPr>
                      <a:picLocks noChangeAspect="1"/>
                    </pic:cNvPicPr>
                  </pic:nvPicPr>
                  <pic:blipFill>
                    <a:blip r:embed="rId39"/>
                    <a:stretch>
                      <a:fillRect/>
                    </a:stretch>
                  </pic:blipFill>
                  <pic:spPr>
                    <a:xfrm rot="16200000">
                      <a:off x="0" y="0"/>
                      <a:ext cx="5645150" cy="4108450"/>
                    </a:xfrm>
                    <a:prstGeom prst="rect">
                      <a:avLst/>
                    </a:prstGeom>
                  </pic:spPr>
                </pic:pic>
              </a:graphicData>
            </a:graphic>
          </wp:anchor>
        </w:drawing>
      </w:r>
    </w:p>
    <w:p>
      <w:pPr>
        <w:bidi w:val="0"/>
        <w:rPr>
          <w:rFonts w:hint="eastAsia" w:ascii="Times New Roman" w:hAnsi="Times New Roman" w:eastAsia="宋体" w:cs="Times New Roman"/>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bidi w:val="0"/>
        <w:jc w:val="center"/>
        <w:rPr>
          <w:rFonts w:hint="eastAsia"/>
          <w:lang w:val="en-US" w:eastAsia="zh-CN"/>
        </w:rPr>
      </w:pPr>
    </w:p>
    <w:p>
      <w:pPr>
        <w:tabs>
          <w:tab w:val="left" w:pos="684"/>
        </w:tabs>
        <w:bidi w:val="0"/>
        <w:jc w:val="left"/>
        <w:rPr>
          <w:rFonts w:hint="eastAsia"/>
          <w:lang w:val="en-US" w:eastAsia="zh-CN"/>
        </w:rPr>
      </w:pPr>
    </w:p>
    <w:p>
      <w:pPr>
        <w:tabs>
          <w:tab w:val="left" w:pos="684"/>
        </w:tabs>
        <w:bidi w:val="0"/>
        <w:jc w:val="left"/>
        <w:rPr>
          <w:rFonts w:hint="eastAsia"/>
          <w:lang w:val="en-US" w:eastAsia="zh-CN"/>
        </w:rPr>
      </w:pPr>
    </w:p>
    <w:p>
      <w:pPr>
        <w:tabs>
          <w:tab w:val="left" w:pos="684"/>
        </w:tabs>
        <w:bidi w:val="0"/>
        <w:jc w:val="left"/>
        <w:rPr>
          <w:rFonts w:hint="eastAsia" w:ascii="宋体" w:hAnsi="宋体" w:eastAsia="宋体" w:cs="宋体"/>
          <w:kern w:val="0"/>
          <w:sz w:val="24"/>
          <w:lang w:eastAsia="zh-CN"/>
        </w:rPr>
      </w:pPr>
      <w:r>
        <w:rPr>
          <w:rFonts w:hint="eastAsia" w:eastAsia="宋体"/>
          <w:lang w:eastAsia="zh-CN"/>
        </w:rPr>
        <w:drawing>
          <wp:anchor distT="0" distB="0" distL="114300" distR="114300" simplePos="0" relativeHeight="251665408" behindDoc="1" locked="0" layoutInCell="1" allowOverlap="1">
            <wp:simplePos x="0" y="0"/>
            <wp:positionH relativeFrom="column">
              <wp:posOffset>45720</wp:posOffset>
            </wp:positionH>
            <wp:positionV relativeFrom="paragraph">
              <wp:posOffset>4309745</wp:posOffset>
            </wp:positionV>
            <wp:extent cx="5434330" cy="3865880"/>
            <wp:effectExtent l="0" t="0" r="13970" b="1270"/>
            <wp:wrapNone/>
            <wp:docPr id="37" name="图片 2" descr="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descr="付"/>
                    <pic:cNvPicPr>
                      <a:picLocks noChangeAspect="1"/>
                    </pic:cNvPicPr>
                  </pic:nvPicPr>
                  <pic:blipFill>
                    <a:blip r:embed="rId40"/>
                    <a:stretch>
                      <a:fillRect/>
                    </a:stretch>
                  </pic:blipFill>
                  <pic:spPr>
                    <a:xfrm>
                      <a:off x="0" y="0"/>
                      <a:ext cx="5434330" cy="3865880"/>
                    </a:xfrm>
                    <a:prstGeom prst="rect">
                      <a:avLst/>
                    </a:prstGeom>
                    <a:noFill/>
                    <a:ln>
                      <a:noFill/>
                    </a:ln>
                  </pic:spPr>
                </pic:pic>
              </a:graphicData>
            </a:graphic>
          </wp:anchor>
        </w:drawing>
      </w:r>
      <w:r>
        <w:rPr>
          <w:rFonts w:hint="eastAsia" w:ascii="宋体" w:hAnsi="宋体" w:eastAsia="宋体" w:cs="宋体"/>
          <w:kern w:val="0"/>
          <w:sz w:val="24"/>
          <w:lang w:eastAsia="zh-CN"/>
        </w:rPr>
        <w:drawing>
          <wp:anchor distT="0" distB="0" distL="114300" distR="114300" simplePos="0" relativeHeight="251664384" behindDoc="1" locked="0" layoutInCell="1" allowOverlap="1">
            <wp:simplePos x="0" y="0"/>
            <wp:positionH relativeFrom="column">
              <wp:posOffset>36830</wp:posOffset>
            </wp:positionH>
            <wp:positionV relativeFrom="paragraph">
              <wp:posOffset>-127635</wp:posOffset>
            </wp:positionV>
            <wp:extent cx="5452745" cy="3809365"/>
            <wp:effectExtent l="0" t="0" r="14605" b="635"/>
            <wp:wrapNone/>
            <wp:docPr id="38" name="图片 1" descr="微信图片_20210130083752_WPS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微信图片_20210130083752_WPS图片"/>
                    <pic:cNvPicPr>
                      <a:picLocks noChangeAspect="1"/>
                    </pic:cNvPicPr>
                  </pic:nvPicPr>
                  <pic:blipFill>
                    <a:blip r:embed="rId41"/>
                    <a:stretch>
                      <a:fillRect/>
                    </a:stretch>
                  </pic:blipFill>
                  <pic:spPr>
                    <a:xfrm>
                      <a:off x="0" y="0"/>
                      <a:ext cx="5452745" cy="3809365"/>
                    </a:xfrm>
                    <a:prstGeom prst="rect">
                      <a:avLst/>
                    </a:prstGeom>
                    <a:noFill/>
                    <a:ln>
                      <a:noFill/>
                    </a:ln>
                  </pic:spPr>
                </pic:pic>
              </a:graphicData>
            </a:graphic>
          </wp:anchor>
        </w:drawing>
      </w:r>
    </w:p>
    <w:p>
      <w:pPr>
        <w:bidi w:val="0"/>
        <w:rPr>
          <w:rFonts w:hint="eastAsia" w:ascii="Times New Roman" w:hAnsi="Times New Roman" w:eastAsia="宋体" w:cs="Times New Roman"/>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rPr>
          <w:rFonts w:eastAsia="楷体_GB2312"/>
          <w:sz w:val="24"/>
        </w:rPr>
      </w:pPr>
    </w:p>
    <w:p>
      <w:pPr>
        <w:rPr>
          <w:rFonts w:eastAsia="楷体_GB2312"/>
          <w:sz w:val="24"/>
        </w:rPr>
      </w:pPr>
    </w:p>
    <w:p>
      <w:pPr>
        <w:rPr>
          <w:rFonts w:eastAsia="楷体_GB2312"/>
          <w:sz w:val="24"/>
        </w:rPr>
      </w:pPr>
    </w:p>
    <w:p>
      <w:pPr>
        <w:bidi w:val="0"/>
        <w:jc w:val="center"/>
        <w:rPr>
          <w:rFonts w:hint="eastAsia"/>
          <w:lang w:val="en-US" w:eastAsia="zh-CN"/>
        </w:rPr>
      </w:pPr>
    </w:p>
    <w:p>
      <w:pPr>
        <w:bidi w:val="0"/>
        <w:jc w:val="both"/>
        <w:rPr>
          <w:rFonts w:hint="eastAsia"/>
          <w:lang w:val="en-US" w:eastAsia="zh-CN"/>
        </w:rPr>
      </w:pPr>
    </w:p>
    <w:p>
      <w:pPr>
        <w:bidi w:val="0"/>
        <w:jc w:val="right"/>
        <w:rPr>
          <w:rFonts w:hint="eastAsia"/>
          <w:lang w:val="en-US" w:eastAsia="zh-CN"/>
        </w:rPr>
      </w:pPr>
    </w:p>
    <w:p>
      <w:pPr>
        <w:bidi w:val="0"/>
        <w:jc w:val="center"/>
        <w:rPr>
          <w:rFonts w:hint="eastAsia" w:eastAsia="宋体"/>
          <w:lang w:eastAsia="zh-CN"/>
        </w:rPr>
      </w:pPr>
    </w:p>
    <w:p>
      <w:pPr>
        <w:bidi w:val="0"/>
        <w:rPr>
          <w:rFonts w:hint="eastAsia" w:ascii="Times New Roman" w:hAnsi="Times New Roman" w:eastAsia="宋体" w:cs="Times New Roman"/>
          <w:kern w:val="2"/>
          <w:sz w:val="21"/>
          <w:szCs w:val="24"/>
          <w:lang w:val="en-US" w:eastAsia="zh-CN" w:bidi="ar-SA"/>
        </w:rPr>
      </w:pPr>
      <w:r>
        <w:rPr>
          <w:rFonts w:hint="eastAsia" w:eastAsia="宋体"/>
          <w:lang w:eastAsia="zh-CN"/>
        </w:rPr>
        <w:drawing>
          <wp:anchor distT="0" distB="0" distL="114300" distR="114300" simplePos="0" relativeHeight="251663360" behindDoc="1" locked="0" layoutInCell="1" allowOverlap="1">
            <wp:simplePos x="0" y="0"/>
            <wp:positionH relativeFrom="column">
              <wp:posOffset>-770890</wp:posOffset>
            </wp:positionH>
            <wp:positionV relativeFrom="paragraph">
              <wp:posOffset>1298575</wp:posOffset>
            </wp:positionV>
            <wp:extent cx="7425055" cy="5021580"/>
            <wp:effectExtent l="0" t="0" r="7620" b="4445"/>
            <wp:wrapNone/>
            <wp:docPr id="36" name="图片 1" descr="微信图片_2021012817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微信图片_20210128172746"/>
                    <pic:cNvPicPr>
                      <a:picLocks noChangeAspect="1"/>
                    </pic:cNvPicPr>
                  </pic:nvPicPr>
                  <pic:blipFill>
                    <a:blip r:embed="rId42"/>
                    <a:stretch>
                      <a:fillRect/>
                    </a:stretch>
                  </pic:blipFill>
                  <pic:spPr>
                    <a:xfrm rot="-5400000">
                      <a:off x="0" y="0"/>
                      <a:ext cx="7425055" cy="5021580"/>
                    </a:xfrm>
                    <a:prstGeom prst="rect">
                      <a:avLst/>
                    </a:prstGeom>
                    <a:noFill/>
                    <a:ln>
                      <a:noFill/>
                    </a:ln>
                  </pic:spPr>
                </pic:pic>
              </a:graphicData>
            </a:graphic>
          </wp:anchor>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spacing w:line="520" w:lineRule="exact"/>
        <w:ind w:firstLine="2880" w:firstLineChars="1200"/>
        <w:rPr>
          <w:rFonts w:hint="eastAsia" w:ascii="仿宋" w:hAnsi="仿宋" w:eastAsia="仿宋"/>
          <w:sz w:val="24"/>
        </w:rPr>
      </w:pPr>
    </w:p>
    <w:p>
      <w:pPr>
        <w:spacing w:line="520" w:lineRule="exact"/>
        <w:ind w:firstLine="2880" w:firstLineChars="1200"/>
        <w:rPr>
          <w:rFonts w:hint="eastAsia" w:ascii="仿宋" w:hAnsi="仿宋" w:eastAsia="仿宋"/>
          <w:sz w:val="24"/>
        </w:rPr>
      </w:pPr>
    </w:p>
    <w:p>
      <w:pPr>
        <w:spacing w:line="520" w:lineRule="exact"/>
        <w:jc w:val="center"/>
        <w:rPr>
          <w:rFonts w:hint="eastAsia" w:ascii="仿宋" w:hAnsi="仿宋" w:eastAsia="仿宋"/>
          <w:sz w:val="36"/>
          <w:szCs w:val="36"/>
        </w:rPr>
      </w:pPr>
      <w:r>
        <w:rPr>
          <w:rFonts w:hint="eastAsia" w:ascii="仿宋" w:hAnsi="仿宋" w:eastAsia="仿宋"/>
          <w:sz w:val="36"/>
          <w:szCs w:val="36"/>
        </w:rPr>
        <w:t>估价对象位置示意图</w:t>
      </w:r>
    </w:p>
    <w:p>
      <w:pPr>
        <w:rPr>
          <w:rFonts w:hint="default" w:eastAsia="宋体"/>
          <w:lang w:val="en-US" w:eastAsia="zh-CN"/>
        </w:rPr>
      </w:pPr>
    </w:p>
    <w:p>
      <w:pPr>
        <w:rPr>
          <w:rFonts w:hint="default" w:eastAsia="宋体"/>
          <w:lang w:val="en-US" w:eastAsia="zh-CN"/>
        </w:rPr>
      </w:pPr>
    </w:p>
    <w:p>
      <w:pPr>
        <w:rPr>
          <w:rFonts w:hint="eastAsia" w:eastAsia="宋体"/>
          <w:lang w:eastAsia="zh-CN"/>
        </w:rPr>
      </w:pPr>
    </w:p>
    <w:p>
      <w:pPr>
        <w:bidi w:val="0"/>
        <w:rPr>
          <w:rFonts w:hint="eastAsia"/>
          <w:lang w:val="en-US" w:eastAsia="zh-CN"/>
        </w:rPr>
      </w:pPr>
      <w:r>
        <w:rPr>
          <w:rFonts w:hint="eastAsia" w:eastAsia="宋体"/>
          <w:lang w:eastAsia="zh-CN"/>
        </w:rPr>
        <w:drawing>
          <wp:anchor distT="0" distB="0" distL="114300" distR="114300" simplePos="0" relativeHeight="251666432" behindDoc="0" locked="0" layoutInCell="1" allowOverlap="1">
            <wp:simplePos x="0" y="0"/>
            <wp:positionH relativeFrom="column">
              <wp:posOffset>-714375</wp:posOffset>
            </wp:positionH>
            <wp:positionV relativeFrom="paragraph">
              <wp:posOffset>172085</wp:posOffset>
            </wp:positionV>
            <wp:extent cx="6982460" cy="4900295"/>
            <wp:effectExtent l="0" t="0" r="8890" b="14605"/>
            <wp:wrapTopAndBottom/>
            <wp:docPr id="39" name="图片 2" descr="166019890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descr="1660198902244"/>
                    <pic:cNvPicPr>
                      <a:picLocks noChangeAspect="1"/>
                    </pic:cNvPicPr>
                  </pic:nvPicPr>
                  <pic:blipFill>
                    <a:blip r:embed="rId43"/>
                    <a:stretch>
                      <a:fillRect/>
                    </a:stretch>
                  </pic:blipFill>
                  <pic:spPr>
                    <a:xfrm>
                      <a:off x="0" y="0"/>
                      <a:ext cx="6982460" cy="4900295"/>
                    </a:xfrm>
                    <a:prstGeom prst="rect">
                      <a:avLst/>
                    </a:prstGeom>
                    <a:noFill/>
                    <a:ln>
                      <a:noFill/>
                    </a:ln>
                  </pic:spPr>
                </pic:pic>
              </a:graphicData>
            </a:graphic>
          </wp:anchor>
        </w:drawing>
      </w:r>
    </w:p>
    <w:p>
      <w:pPr>
        <w:bidi w:val="0"/>
        <w:rPr>
          <w:rFonts w:hint="eastAsia"/>
          <w:lang w:val="en-US"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spacing w:line="460" w:lineRule="exact"/>
        <w:rPr>
          <w:rFonts w:hint="default" w:eastAsia="宋体"/>
          <w:b/>
          <w:sz w:val="36"/>
          <w:szCs w:val="36"/>
          <w:lang w:val="en-US" w:eastAsia="zh-CN"/>
        </w:rPr>
      </w:pPr>
      <w:r>
        <w:rPr>
          <w:rFonts w:hint="eastAsia"/>
          <w:b/>
          <w:sz w:val="36"/>
          <w:szCs w:val="36"/>
        </w:rPr>
        <w:t>附：</w:t>
      </w:r>
      <w:r>
        <w:rPr>
          <w:rFonts w:hint="eastAsia"/>
          <w:b/>
          <w:sz w:val="36"/>
          <w:szCs w:val="36"/>
          <w:lang w:val="en-US" w:eastAsia="zh-CN"/>
        </w:rPr>
        <w:t>射阳县金色阳光26幢公寓楼</w:t>
      </w:r>
      <w:r>
        <w:rPr>
          <w:rFonts w:hint="eastAsia"/>
          <w:b/>
          <w:sz w:val="36"/>
          <w:szCs w:val="36"/>
        </w:rPr>
        <w:t>现场拍摄照</w:t>
      </w:r>
      <w:r>
        <w:rPr>
          <w:rFonts w:hint="eastAsia"/>
          <w:b/>
          <w:sz w:val="36"/>
          <w:szCs w:val="36"/>
          <w:lang w:eastAsia="zh-CN"/>
        </w:rPr>
        <w:t>片</w:t>
      </w:r>
      <w:r>
        <w:rPr>
          <w:rFonts w:hint="eastAsia"/>
          <w:b/>
          <w:sz w:val="36"/>
          <w:szCs w:val="36"/>
          <w:lang w:val="en-US" w:eastAsia="zh-CN"/>
        </w:rPr>
        <w:t>1/2</w:t>
      </w:r>
    </w:p>
    <w:tbl>
      <w:tblPr>
        <w:tblStyle w:val="19"/>
        <w:tblpPr w:leftFromText="180" w:rightFromText="180" w:vertAnchor="text" w:horzAnchor="page" w:tblpX="1354" w:tblpY="193"/>
        <w:tblOverlap w:val="never"/>
        <w:tblW w:w="9099" w:type="dxa"/>
        <w:tblInd w:w="0" w:type="dxa"/>
        <w:tblLayout w:type="fixed"/>
        <w:tblCellMar>
          <w:top w:w="0" w:type="dxa"/>
          <w:left w:w="57" w:type="dxa"/>
          <w:bottom w:w="0" w:type="dxa"/>
          <w:right w:w="57" w:type="dxa"/>
        </w:tblCellMar>
      </w:tblPr>
      <w:tblGrid>
        <w:gridCol w:w="4568"/>
        <w:gridCol w:w="4531"/>
      </w:tblGrid>
      <w:tr>
        <w:tblPrEx>
          <w:tblCellMar>
            <w:top w:w="0" w:type="dxa"/>
            <w:left w:w="57" w:type="dxa"/>
            <w:bottom w:w="0" w:type="dxa"/>
            <w:right w:w="57" w:type="dxa"/>
          </w:tblCellMar>
        </w:tblPrEx>
        <w:trPr>
          <w:trHeight w:val="3666" w:hRule="atLeast"/>
        </w:trPr>
        <w:tc>
          <w:tcPr>
            <w:tcW w:w="4568"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818765" cy="2501900"/>
                  <wp:effectExtent l="0" t="0" r="635" b="12700"/>
                  <wp:docPr id="5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descr="1"/>
                          <pic:cNvPicPr>
                            <a:picLocks noChangeAspect="1"/>
                          </pic:cNvPicPr>
                        </pic:nvPicPr>
                        <pic:blipFill>
                          <a:blip r:embed="rId44"/>
                          <a:stretch>
                            <a:fillRect/>
                          </a:stretch>
                        </pic:blipFill>
                        <pic:spPr>
                          <a:xfrm>
                            <a:off x="0" y="0"/>
                            <a:ext cx="2818765" cy="2501900"/>
                          </a:xfrm>
                          <a:prstGeom prst="rect">
                            <a:avLst/>
                          </a:prstGeom>
                          <a:noFill/>
                          <a:ln>
                            <a:noFill/>
                          </a:ln>
                        </pic:spPr>
                      </pic:pic>
                    </a:graphicData>
                  </a:graphic>
                </wp:inline>
              </w:drawing>
            </w:r>
          </w:p>
        </w:tc>
        <w:tc>
          <w:tcPr>
            <w:tcW w:w="4531"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797810" cy="2487930"/>
                  <wp:effectExtent l="0" t="0" r="2540" b="7620"/>
                  <wp:docPr id="50" name="图片 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6"/>
                          <pic:cNvPicPr>
                            <a:picLocks noChangeAspect="1"/>
                          </pic:cNvPicPr>
                        </pic:nvPicPr>
                        <pic:blipFill>
                          <a:blip r:embed="rId45"/>
                          <a:stretch>
                            <a:fillRect/>
                          </a:stretch>
                        </pic:blipFill>
                        <pic:spPr>
                          <a:xfrm>
                            <a:off x="0" y="0"/>
                            <a:ext cx="2797810" cy="2487930"/>
                          </a:xfrm>
                          <a:prstGeom prst="rect">
                            <a:avLst/>
                          </a:prstGeom>
                          <a:noFill/>
                          <a:ln>
                            <a:noFill/>
                          </a:ln>
                        </pic:spPr>
                      </pic:pic>
                    </a:graphicData>
                  </a:graphic>
                </wp:inline>
              </w:drawing>
            </w:r>
          </w:p>
        </w:tc>
      </w:tr>
      <w:tr>
        <w:tblPrEx>
          <w:tblCellMar>
            <w:top w:w="0" w:type="dxa"/>
            <w:left w:w="57" w:type="dxa"/>
            <w:bottom w:w="0" w:type="dxa"/>
            <w:right w:w="57" w:type="dxa"/>
          </w:tblCellMar>
        </w:tblPrEx>
        <w:trPr>
          <w:trHeight w:val="405" w:hRule="atLeast"/>
        </w:trPr>
        <w:tc>
          <w:tcPr>
            <w:tcW w:w="4568" w:type="dxa"/>
            <w:noWrap w:val="0"/>
            <w:vAlign w:val="center"/>
          </w:tcPr>
          <w:p>
            <w:pPr>
              <w:snapToGrid w:val="0"/>
              <w:spacing w:before="50" w:line="260" w:lineRule="atLeast"/>
              <w:jc w:val="center"/>
              <w:rPr>
                <w:rFonts w:hint="default" w:ascii="宋体" w:eastAsia="宋体"/>
                <w:sz w:val="28"/>
                <w:szCs w:val="28"/>
                <w:lang w:val="en-US" w:eastAsia="zh-CN"/>
              </w:rPr>
            </w:pPr>
            <w:r>
              <w:rPr>
                <w:rFonts w:hint="eastAsia" w:ascii="宋体"/>
                <w:sz w:val="28"/>
                <w:szCs w:val="28"/>
                <w:lang w:eastAsia="zh-CN"/>
              </w:rPr>
              <w:t>房产状况</w:t>
            </w:r>
          </w:p>
        </w:tc>
        <w:tc>
          <w:tcPr>
            <w:tcW w:w="4531"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r>
      <w:tr>
        <w:tblPrEx>
          <w:tblCellMar>
            <w:top w:w="0" w:type="dxa"/>
            <w:left w:w="57" w:type="dxa"/>
            <w:bottom w:w="0" w:type="dxa"/>
            <w:right w:w="57" w:type="dxa"/>
          </w:tblCellMar>
        </w:tblPrEx>
        <w:trPr>
          <w:trHeight w:val="3433" w:hRule="atLeast"/>
        </w:trPr>
        <w:tc>
          <w:tcPr>
            <w:tcW w:w="4568"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820035" cy="2726055"/>
                  <wp:effectExtent l="0" t="0" r="18415" b="17145"/>
                  <wp:docPr id="49"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descr="3"/>
                          <pic:cNvPicPr>
                            <a:picLocks noChangeAspect="1"/>
                          </pic:cNvPicPr>
                        </pic:nvPicPr>
                        <pic:blipFill>
                          <a:blip r:embed="rId46"/>
                          <a:stretch>
                            <a:fillRect/>
                          </a:stretch>
                        </pic:blipFill>
                        <pic:spPr>
                          <a:xfrm>
                            <a:off x="0" y="0"/>
                            <a:ext cx="2820035" cy="2726055"/>
                          </a:xfrm>
                          <a:prstGeom prst="rect">
                            <a:avLst/>
                          </a:prstGeom>
                          <a:noFill/>
                          <a:ln>
                            <a:noFill/>
                          </a:ln>
                        </pic:spPr>
                      </pic:pic>
                    </a:graphicData>
                  </a:graphic>
                </wp:inline>
              </w:drawing>
            </w:r>
          </w:p>
        </w:tc>
        <w:tc>
          <w:tcPr>
            <w:tcW w:w="4531"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799080" cy="2733040"/>
                  <wp:effectExtent l="0" t="0" r="1270" b="10160"/>
                  <wp:docPr id="48"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descr="4"/>
                          <pic:cNvPicPr>
                            <a:picLocks noChangeAspect="1"/>
                          </pic:cNvPicPr>
                        </pic:nvPicPr>
                        <pic:blipFill>
                          <a:blip r:embed="rId47"/>
                          <a:stretch>
                            <a:fillRect/>
                          </a:stretch>
                        </pic:blipFill>
                        <pic:spPr>
                          <a:xfrm>
                            <a:off x="0" y="0"/>
                            <a:ext cx="2799080" cy="2733040"/>
                          </a:xfrm>
                          <a:prstGeom prst="rect">
                            <a:avLst/>
                          </a:prstGeom>
                          <a:noFill/>
                          <a:ln>
                            <a:noFill/>
                          </a:ln>
                        </pic:spPr>
                      </pic:pic>
                    </a:graphicData>
                  </a:graphic>
                </wp:inline>
              </w:drawing>
            </w:r>
          </w:p>
        </w:tc>
      </w:tr>
      <w:tr>
        <w:tblPrEx>
          <w:tblCellMar>
            <w:top w:w="0" w:type="dxa"/>
            <w:left w:w="57" w:type="dxa"/>
            <w:bottom w:w="0" w:type="dxa"/>
            <w:right w:w="57" w:type="dxa"/>
          </w:tblCellMar>
        </w:tblPrEx>
        <w:trPr>
          <w:trHeight w:val="405" w:hRule="atLeast"/>
        </w:trPr>
        <w:tc>
          <w:tcPr>
            <w:tcW w:w="4568"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c>
          <w:tcPr>
            <w:tcW w:w="4531"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r>
      <w:tr>
        <w:tblPrEx>
          <w:tblCellMar>
            <w:top w:w="0" w:type="dxa"/>
            <w:left w:w="57" w:type="dxa"/>
            <w:bottom w:w="0" w:type="dxa"/>
            <w:right w:w="57" w:type="dxa"/>
          </w:tblCellMar>
        </w:tblPrEx>
        <w:trPr>
          <w:trHeight w:val="3604" w:hRule="atLeast"/>
        </w:trPr>
        <w:tc>
          <w:tcPr>
            <w:tcW w:w="4568"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816225" cy="2288540"/>
                  <wp:effectExtent l="0" t="0" r="3175" b="16510"/>
                  <wp:docPr id="47" name="图片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descr="5"/>
                          <pic:cNvPicPr>
                            <a:picLocks noChangeAspect="1"/>
                          </pic:cNvPicPr>
                        </pic:nvPicPr>
                        <pic:blipFill>
                          <a:blip r:embed="rId48"/>
                          <a:stretch>
                            <a:fillRect/>
                          </a:stretch>
                        </pic:blipFill>
                        <pic:spPr>
                          <a:xfrm>
                            <a:off x="0" y="0"/>
                            <a:ext cx="2816225" cy="2288540"/>
                          </a:xfrm>
                          <a:prstGeom prst="rect">
                            <a:avLst/>
                          </a:prstGeom>
                          <a:noFill/>
                          <a:ln>
                            <a:noFill/>
                          </a:ln>
                        </pic:spPr>
                      </pic:pic>
                    </a:graphicData>
                  </a:graphic>
                </wp:inline>
              </w:drawing>
            </w:r>
          </w:p>
        </w:tc>
        <w:tc>
          <w:tcPr>
            <w:tcW w:w="4531"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797810" cy="2327275"/>
                  <wp:effectExtent l="0" t="0" r="2540" b="15875"/>
                  <wp:docPr id="46" name="图片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descr="6"/>
                          <pic:cNvPicPr>
                            <a:picLocks noChangeAspect="1"/>
                          </pic:cNvPicPr>
                        </pic:nvPicPr>
                        <pic:blipFill>
                          <a:blip r:embed="rId49"/>
                          <a:stretch>
                            <a:fillRect/>
                          </a:stretch>
                        </pic:blipFill>
                        <pic:spPr>
                          <a:xfrm>
                            <a:off x="0" y="0"/>
                            <a:ext cx="2797810" cy="2327275"/>
                          </a:xfrm>
                          <a:prstGeom prst="rect">
                            <a:avLst/>
                          </a:prstGeom>
                          <a:noFill/>
                          <a:ln>
                            <a:noFill/>
                          </a:ln>
                        </pic:spPr>
                      </pic:pic>
                    </a:graphicData>
                  </a:graphic>
                </wp:inline>
              </w:drawing>
            </w:r>
          </w:p>
        </w:tc>
      </w:tr>
      <w:tr>
        <w:tblPrEx>
          <w:tblCellMar>
            <w:top w:w="0" w:type="dxa"/>
            <w:left w:w="57" w:type="dxa"/>
            <w:bottom w:w="0" w:type="dxa"/>
            <w:right w:w="57" w:type="dxa"/>
          </w:tblCellMar>
        </w:tblPrEx>
        <w:trPr>
          <w:trHeight w:val="405" w:hRule="atLeast"/>
        </w:trPr>
        <w:tc>
          <w:tcPr>
            <w:tcW w:w="4568"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c>
          <w:tcPr>
            <w:tcW w:w="4531"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r>
    </w:tbl>
    <w:p>
      <w:pPr>
        <w:spacing w:line="460" w:lineRule="exact"/>
        <w:rPr>
          <w:rFonts w:hint="default" w:eastAsia="宋体"/>
          <w:b/>
          <w:sz w:val="36"/>
          <w:szCs w:val="36"/>
          <w:lang w:val="en-US" w:eastAsia="zh-CN"/>
        </w:rPr>
      </w:pPr>
      <w:r>
        <w:rPr>
          <w:rFonts w:hint="eastAsia"/>
          <w:b/>
          <w:sz w:val="36"/>
          <w:szCs w:val="36"/>
        </w:rPr>
        <w:t>附：</w:t>
      </w:r>
      <w:r>
        <w:rPr>
          <w:rFonts w:hint="eastAsia"/>
          <w:b/>
          <w:sz w:val="36"/>
          <w:szCs w:val="36"/>
          <w:lang w:val="en-US" w:eastAsia="zh-CN"/>
        </w:rPr>
        <w:t>射阳县金色阳光26幢公寓楼</w:t>
      </w:r>
      <w:r>
        <w:rPr>
          <w:rFonts w:hint="eastAsia"/>
          <w:b/>
          <w:sz w:val="36"/>
          <w:szCs w:val="36"/>
        </w:rPr>
        <w:t>现场拍摄照</w:t>
      </w:r>
      <w:r>
        <w:rPr>
          <w:rFonts w:hint="eastAsia"/>
          <w:b/>
          <w:sz w:val="36"/>
          <w:szCs w:val="36"/>
          <w:lang w:eastAsia="zh-CN"/>
        </w:rPr>
        <w:t>片</w:t>
      </w:r>
      <w:r>
        <w:rPr>
          <w:rFonts w:hint="eastAsia"/>
          <w:b/>
          <w:sz w:val="36"/>
          <w:szCs w:val="36"/>
          <w:lang w:val="en-US" w:eastAsia="zh-CN"/>
        </w:rPr>
        <w:t>2/2</w:t>
      </w:r>
    </w:p>
    <w:tbl>
      <w:tblPr>
        <w:tblStyle w:val="19"/>
        <w:tblpPr w:leftFromText="180" w:rightFromText="180" w:vertAnchor="text" w:horzAnchor="page" w:tblpX="1354" w:tblpY="193"/>
        <w:tblOverlap w:val="never"/>
        <w:tblW w:w="9099" w:type="dxa"/>
        <w:tblInd w:w="0" w:type="dxa"/>
        <w:tblLayout w:type="fixed"/>
        <w:tblCellMar>
          <w:top w:w="0" w:type="dxa"/>
          <w:left w:w="57" w:type="dxa"/>
          <w:bottom w:w="0" w:type="dxa"/>
          <w:right w:w="57" w:type="dxa"/>
        </w:tblCellMar>
      </w:tblPr>
      <w:tblGrid>
        <w:gridCol w:w="4568"/>
        <w:gridCol w:w="4531"/>
      </w:tblGrid>
      <w:tr>
        <w:tblPrEx>
          <w:tblCellMar>
            <w:top w:w="0" w:type="dxa"/>
            <w:left w:w="57" w:type="dxa"/>
            <w:bottom w:w="0" w:type="dxa"/>
            <w:right w:w="57" w:type="dxa"/>
          </w:tblCellMar>
        </w:tblPrEx>
        <w:trPr>
          <w:trHeight w:val="3666" w:hRule="atLeast"/>
        </w:trPr>
        <w:tc>
          <w:tcPr>
            <w:tcW w:w="4568" w:type="dxa"/>
            <w:noWrap w:val="0"/>
            <w:vAlign w:val="center"/>
          </w:tcPr>
          <w:p>
            <w:pPr>
              <w:snapToGrid w:val="0"/>
              <w:spacing w:before="50" w:line="260" w:lineRule="atLeast"/>
              <w:jc w:val="both"/>
              <w:rPr>
                <w:rFonts w:hint="eastAsia" w:ascii="宋体" w:eastAsia="宋体"/>
                <w:sz w:val="24"/>
                <w:lang w:eastAsia="zh-CN"/>
              </w:rPr>
            </w:pPr>
            <w:r>
              <w:rPr>
                <w:rFonts w:hint="eastAsia" w:ascii="宋体" w:eastAsia="宋体"/>
                <w:sz w:val="24"/>
                <w:lang w:eastAsia="zh-CN"/>
              </w:rPr>
              <w:drawing>
                <wp:inline distT="0" distB="0" distL="114300" distR="114300">
                  <wp:extent cx="2825115" cy="2411730"/>
                  <wp:effectExtent l="0" t="0" r="13335" b="7620"/>
                  <wp:docPr id="45" name="图片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descr="7"/>
                          <pic:cNvPicPr>
                            <a:picLocks noChangeAspect="1"/>
                          </pic:cNvPicPr>
                        </pic:nvPicPr>
                        <pic:blipFill>
                          <a:blip r:embed="rId50"/>
                          <a:stretch>
                            <a:fillRect/>
                          </a:stretch>
                        </pic:blipFill>
                        <pic:spPr>
                          <a:xfrm>
                            <a:off x="0" y="0"/>
                            <a:ext cx="2825115" cy="2411730"/>
                          </a:xfrm>
                          <a:prstGeom prst="rect">
                            <a:avLst/>
                          </a:prstGeom>
                          <a:noFill/>
                          <a:ln>
                            <a:noFill/>
                          </a:ln>
                        </pic:spPr>
                      </pic:pic>
                    </a:graphicData>
                  </a:graphic>
                </wp:inline>
              </w:drawing>
            </w:r>
          </w:p>
        </w:tc>
        <w:tc>
          <w:tcPr>
            <w:tcW w:w="4531"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797810" cy="2403475"/>
                  <wp:effectExtent l="0" t="0" r="2540" b="15875"/>
                  <wp:docPr id="44" name="图片 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descr="8"/>
                          <pic:cNvPicPr>
                            <a:picLocks noChangeAspect="1"/>
                          </pic:cNvPicPr>
                        </pic:nvPicPr>
                        <pic:blipFill>
                          <a:blip r:embed="rId51"/>
                          <a:stretch>
                            <a:fillRect/>
                          </a:stretch>
                        </pic:blipFill>
                        <pic:spPr>
                          <a:xfrm>
                            <a:off x="0" y="0"/>
                            <a:ext cx="2797810" cy="2403475"/>
                          </a:xfrm>
                          <a:prstGeom prst="rect">
                            <a:avLst/>
                          </a:prstGeom>
                          <a:noFill/>
                          <a:ln>
                            <a:noFill/>
                          </a:ln>
                        </pic:spPr>
                      </pic:pic>
                    </a:graphicData>
                  </a:graphic>
                </wp:inline>
              </w:drawing>
            </w:r>
          </w:p>
        </w:tc>
      </w:tr>
      <w:tr>
        <w:tblPrEx>
          <w:tblCellMar>
            <w:top w:w="0" w:type="dxa"/>
            <w:left w:w="57" w:type="dxa"/>
            <w:bottom w:w="0" w:type="dxa"/>
            <w:right w:w="57" w:type="dxa"/>
          </w:tblCellMar>
        </w:tblPrEx>
        <w:trPr>
          <w:trHeight w:val="405" w:hRule="atLeast"/>
        </w:trPr>
        <w:tc>
          <w:tcPr>
            <w:tcW w:w="4568" w:type="dxa"/>
            <w:noWrap w:val="0"/>
            <w:vAlign w:val="center"/>
          </w:tcPr>
          <w:p>
            <w:pPr>
              <w:snapToGrid w:val="0"/>
              <w:spacing w:before="50" w:line="260" w:lineRule="atLeast"/>
              <w:jc w:val="center"/>
              <w:rPr>
                <w:rFonts w:hint="default" w:ascii="宋体" w:eastAsia="宋体"/>
                <w:sz w:val="28"/>
                <w:szCs w:val="28"/>
                <w:lang w:val="en-US" w:eastAsia="zh-CN"/>
              </w:rPr>
            </w:pPr>
            <w:r>
              <w:rPr>
                <w:rFonts w:hint="eastAsia" w:ascii="宋体"/>
                <w:sz w:val="28"/>
                <w:szCs w:val="28"/>
                <w:lang w:eastAsia="zh-CN"/>
              </w:rPr>
              <w:t>房产状况</w:t>
            </w:r>
          </w:p>
        </w:tc>
        <w:tc>
          <w:tcPr>
            <w:tcW w:w="4531"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r>
      <w:tr>
        <w:tblPrEx>
          <w:tblCellMar>
            <w:top w:w="0" w:type="dxa"/>
            <w:left w:w="57" w:type="dxa"/>
            <w:bottom w:w="0" w:type="dxa"/>
            <w:right w:w="57" w:type="dxa"/>
          </w:tblCellMar>
        </w:tblPrEx>
        <w:trPr>
          <w:trHeight w:val="3553" w:hRule="atLeast"/>
        </w:trPr>
        <w:tc>
          <w:tcPr>
            <w:tcW w:w="4568"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875280" cy="2544445"/>
                  <wp:effectExtent l="0" t="0" r="1270" b="8255"/>
                  <wp:docPr id="43" name="图片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descr="9"/>
                          <pic:cNvPicPr>
                            <a:picLocks noChangeAspect="1"/>
                          </pic:cNvPicPr>
                        </pic:nvPicPr>
                        <pic:blipFill>
                          <a:blip r:embed="rId52"/>
                          <a:stretch>
                            <a:fillRect/>
                          </a:stretch>
                        </pic:blipFill>
                        <pic:spPr>
                          <a:xfrm>
                            <a:off x="0" y="0"/>
                            <a:ext cx="2875280" cy="2544445"/>
                          </a:xfrm>
                          <a:prstGeom prst="rect">
                            <a:avLst/>
                          </a:prstGeom>
                          <a:noFill/>
                          <a:ln>
                            <a:noFill/>
                          </a:ln>
                        </pic:spPr>
                      </pic:pic>
                    </a:graphicData>
                  </a:graphic>
                </wp:inline>
              </w:drawing>
            </w:r>
          </w:p>
        </w:tc>
        <w:tc>
          <w:tcPr>
            <w:tcW w:w="4531"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797810" cy="2526030"/>
                  <wp:effectExtent l="0" t="0" r="2540" b="7620"/>
                  <wp:docPr id="42" name="图片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descr="10"/>
                          <pic:cNvPicPr>
                            <a:picLocks noChangeAspect="1"/>
                          </pic:cNvPicPr>
                        </pic:nvPicPr>
                        <pic:blipFill>
                          <a:blip r:embed="rId53"/>
                          <a:stretch>
                            <a:fillRect/>
                          </a:stretch>
                        </pic:blipFill>
                        <pic:spPr>
                          <a:xfrm>
                            <a:off x="0" y="0"/>
                            <a:ext cx="2797810" cy="2526030"/>
                          </a:xfrm>
                          <a:prstGeom prst="rect">
                            <a:avLst/>
                          </a:prstGeom>
                          <a:noFill/>
                          <a:ln>
                            <a:noFill/>
                          </a:ln>
                        </pic:spPr>
                      </pic:pic>
                    </a:graphicData>
                  </a:graphic>
                </wp:inline>
              </w:drawing>
            </w:r>
          </w:p>
        </w:tc>
      </w:tr>
      <w:tr>
        <w:tblPrEx>
          <w:tblCellMar>
            <w:top w:w="0" w:type="dxa"/>
            <w:left w:w="57" w:type="dxa"/>
            <w:bottom w:w="0" w:type="dxa"/>
            <w:right w:w="57" w:type="dxa"/>
          </w:tblCellMar>
        </w:tblPrEx>
        <w:trPr>
          <w:trHeight w:val="405" w:hRule="atLeast"/>
        </w:trPr>
        <w:tc>
          <w:tcPr>
            <w:tcW w:w="4568"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c>
          <w:tcPr>
            <w:tcW w:w="4531"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r>
      <w:tr>
        <w:tblPrEx>
          <w:tblCellMar>
            <w:top w:w="0" w:type="dxa"/>
            <w:left w:w="57" w:type="dxa"/>
            <w:bottom w:w="0" w:type="dxa"/>
            <w:right w:w="57" w:type="dxa"/>
          </w:tblCellMar>
        </w:tblPrEx>
        <w:trPr>
          <w:trHeight w:val="3957" w:hRule="atLeast"/>
        </w:trPr>
        <w:tc>
          <w:tcPr>
            <w:tcW w:w="4568"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865755" cy="2448560"/>
                  <wp:effectExtent l="0" t="0" r="10795" b="8890"/>
                  <wp:docPr id="41" name="图片 1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descr="11"/>
                          <pic:cNvPicPr>
                            <a:picLocks noChangeAspect="1"/>
                          </pic:cNvPicPr>
                        </pic:nvPicPr>
                        <pic:blipFill>
                          <a:blip r:embed="rId54"/>
                          <a:stretch>
                            <a:fillRect/>
                          </a:stretch>
                        </pic:blipFill>
                        <pic:spPr>
                          <a:xfrm>
                            <a:off x="0" y="0"/>
                            <a:ext cx="2865755" cy="2448560"/>
                          </a:xfrm>
                          <a:prstGeom prst="rect">
                            <a:avLst/>
                          </a:prstGeom>
                          <a:noFill/>
                          <a:ln>
                            <a:noFill/>
                          </a:ln>
                        </pic:spPr>
                      </pic:pic>
                    </a:graphicData>
                  </a:graphic>
                </wp:inline>
              </w:drawing>
            </w:r>
          </w:p>
        </w:tc>
        <w:tc>
          <w:tcPr>
            <w:tcW w:w="4531" w:type="dxa"/>
            <w:noWrap w:val="0"/>
            <w:vAlign w:val="center"/>
          </w:tcPr>
          <w:p>
            <w:pPr>
              <w:snapToGrid w:val="0"/>
              <w:spacing w:before="50" w:line="260" w:lineRule="atLeast"/>
              <w:jc w:val="center"/>
              <w:rPr>
                <w:rFonts w:hint="eastAsia" w:ascii="宋体" w:eastAsia="宋体"/>
                <w:sz w:val="24"/>
                <w:lang w:eastAsia="zh-CN"/>
              </w:rPr>
            </w:pPr>
            <w:r>
              <w:rPr>
                <w:rFonts w:hint="eastAsia" w:ascii="宋体" w:eastAsia="宋体"/>
                <w:sz w:val="24"/>
                <w:lang w:eastAsia="zh-CN"/>
              </w:rPr>
              <w:drawing>
                <wp:inline distT="0" distB="0" distL="114300" distR="114300">
                  <wp:extent cx="2797175" cy="2456815"/>
                  <wp:effectExtent l="0" t="0" r="3175" b="635"/>
                  <wp:docPr id="40" name="图片 1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descr="12"/>
                          <pic:cNvPicPr>
                            <a:picLocks noChangeAspect="1"/>
                          </pic:cNvPicPr>
                        </pic:nvPicPr>
                        <pic:blipFill>
                          <a:blip r:embed="rId55"/>
                          <a:stretch>
                            <a:fillRect/>
                          </a:stretch>
                        </pic:blipFill>
                        <pic:spPr>
                          <a:xfrm>
                            <a:off x="0" y="0"/>
                            <a:ext cx="2797175" cy="2456815"/>
                          </a:xfrm>
                          <a:prstGeom prst="rect">
                            <a:avLst/>
                          </a:prstGeom>
                          <a:noFill/>
                          <a:ln>
                            <a:noFill/>
                          </a:ln>
                        </pic:spPr>
                      </pic:pic>
                    </a:graphicData>
                  </a:graphic>
                </wp:inline>
              </w:drawing>
            </w:r>
          </w:p>
        </w:tc>
      </w:tr>
      <w:tr>
        <w:tblPrEx>
          <w:tblCellMar>
            <w:top w:w="0" w:type="dxa"/>
            <w:left w:w="57" w:type="dxa"/>
            <w:bottom w:w="0" w:type="dxa"/>
            <w:right w:w="57" w:type="dxa"/>
          </w:tblCellMar>
        </w:tblPrEx>
        <w:trPr>
          <w:trHeight w:val="405" w:hRule="atLeast"/>
        </w:trPr>
        <w:tc>
          <w:tcPr>
            <w:tcW w:w="4568"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c>
          <w:tcPr>
            <w:tcW w:w="4531" w:type="dxa"/>
            <w:noWrap w:val="0"/>
            <w:vAlign w:val="center"/>
          </w:tcPr>
          <w:p>
            <w:pPr>
              <w:snapToGrid w:val="0"/>
              <w:spacing w:before="50" w:line="260" w:lineRule="atLeast"/>
              <w:jc w:val="center"/>
              <w:rPr>
                <w:rFonts w:hint="eastAsia" w:ascii="宋体" w:eastAsia="宋体"/>
                <w:sz w:val="28"/>
                <w:szCs w:val="28"/>
                <w:lang w:eastAsia="zh-CN"/>
              </w:rPr>
            </w:pPr>
            <w:r>
              <w:rPr>
                <w:rFonts w:hint="eastAsia" w:ascii="宋体"/>
                <w:sz w:val="28"/>
                <w:szCs w:val="28"/>
                <w:lang w:eastAsia="zh-CN"/>
              </w:rPr>
              <w:t>房产状况</w:t>
            </w:r>
          </w:p>
        </w:tc>
      </w:tr>
    </w:tbl>
    <w:p/>
    <w:p/>
    <w:p/>
    <w:p/>
    <w:p/>
    <w:p/>
    <w:p/>
    <w:p>
      <w:pPr>
        <w:rPr>
          <w:rFonts w:hint="eastAsia" w:eastAsia="楷体_GB2312"/>
          <w:sz w:val="24"/>
          <w:lang w:eastAsia="zh-CN"/>
        </w:rPr>
      </w:pPr>
      <w:r>
        <w:rPr>
          <w:rFonts w:hint="eastAsia" w:eastAsia="楷体_GB2312"/>
          <w:sz w:val="24"/>
          <w:lang w:eastAsia="zh-CN"/>
        </w:rPr>
        <w:drawing>
          <wp:inline distT="0" distB="0" distL="114300" distR="114300">
            <wp:extent cx="5657850" cy="5934075"/>
            <wp:effectExtent l="0" t="0" r="0" b="9525"/>
            <wp:docPr id="52" name="图片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
                    <pic:cNvPicPr>
                      <a:picLocks noChangeAspect="1"/>
                    </pic:cNvPicPr>
                  </pic:nvPicPr>
                  <pic:blipFill>
                    <a:blip r:embed="rId44"/>
                    <a:stretch>
                      <a:fillRect/>
                    </a:stretch>
                  </pic:blipFill>
                  <pic:spPr>
                    <a:xfrm>
                      <a:off x="0" y="0"/>
                      <a:ext cx="5657850" cy="5934075"/>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r>
        <w:rPr>
          <w:rFonts w:hint="eastAsia" w:eastAsia="楷体_GB2312"/>
          <w:sz w:val="24"/>
          <w:lang w:eastAsia="zh-CN"/>
        </w:rPr>
        <w:drawing>
          <wp:inline distT="0" distB="0" distL="114300" distR="114300">
            <wp:extent cx="5650865" cy="3178810"/>
            <wp:effectExtent l="0" t="0" r="6985" b="2540"/>
            <wp:docPr id="53" name="图片 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
                    <pic:cNvPicPr>
                      <a:picLocks noChangeAspect="1"/>
                    </pic:cNvPicPr>
                  </pic:nvPicPr>
                  <pic:blipFill>
                    <a:blip r:embed="rId45"/>
                    <a:stretch>
                      <a:fillRect/>
                    </a:stretch>
                  </pic:blipFill>
                  <pic:spPr>
                    <a:xfrm>
                      <a:off x="0" y="0"/>
                      <a:ext cx="5650865" cy="3178810"/>
                    </a:xfrm>
                    <a:prstGeom prst="rect">
                      <a:avLst/>
                    </a:prstGeom>
                  </pic:spPr>
                </pic:pic>
              </a:graphicData>
            </a:graphic>
          </wp:inline>
        </w:drawing>
      </w: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4204970" cy="7472680"/>
            <wp:effectExtent l="0" t="0" r="5080" b="13970"/>
            <wp:docPr id="54" name="图片 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3"/>
                    <pic:cNvPicPr>
                      <a:picLocks noChangeAspect="1"/>
                    </pic:cNvPicPr>
                  </pic:nvPicPr>
                  <pic:blipFill>
                    <a:blip r:embed="rId46"/>
                    <a:stretch>
                      <a:fillRect/>
                    </a:stretch>
                  </pic:blipFill>
                  <pic:spPr>
                    <a:xfrm>
                      <a:off x="0" y="0"/>
                      <a:ext cx="4204970" cy="747268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both"/>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4239260" cy="7543165"/>
            <wp:effectExtent l="0" t="0" r="8890" b="635"/>
            <wp:docPr id="55" name="图片 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4"/>
                    <pic:cNvPicPr>
                      <a:picLocks noChangeAspect="1"/>
                    </pic:cNvPicPr>
                  </pic:nvPicPr>
                  <pic:blipFill>
                    <a:blip r:embed="rId47"/>
                    <a:stretch>
                      <a:fillRect/>
                    </a:stretch>
                  </pic:blipFill>
                  <pic:spPr>
                    <a:xfrm>
                      <a:off x="0" y="0"/>
                      <a:ext cx="4239260" cy="7543165"/>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650865" cy="3178810"/>
            <wp:effectExtent l="0" t="0" r="6985" b="2540"/>
            <wp:docPr id="56" name="图片 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5"/>
                    <pic:cNvPicPr>
                      <a:picLocks noChangeAspect="1"/>
                    </pic:cNvPicPr>
                  </pic:nvPicPr>
                  <pic:blipFill>
                    <a:blip r:embed="rId48"/>
                    <a:stretch>
                      <a:fillRect/>
                    </a:stretch>
                  </pic:blipFill>
                  <pic:spPr>
                    <a:xfrm>
                      <a:off x="0" y="0"/>
                      <a:ext cx="5650865" cy="317881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020310" cy="6629400"/>
            <wp:effectExtent l="0" t="0" r="8890" b="0"/>
            <wp:docPr id="57" name="图片 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6"/>
                    <pic:cNvPicPr>
                      <a:picLocks noChangeAspect="1"/>
                    </pic:cNvPicPr>
                  </pic:nvPicPr>
                  <pic:blipFill>
                    <a:blip r:embed="rId49"/>
                    <a:stretch>
                      <a:fillRect/>
                    </a:stretch>
                  </pic:blipFill>
                  <pic:spPr>
                    <a:xfrm>
                      <a:off x="0" y="0"/>
                      <a:ext cx="5020310" cy="662940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650865" cy="3178810"/>
            <wp:effectExtent l="0" t="0" r="6985" b="2540"/>
            <wp:docPr id="58" name="图片 5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7"/>
                    <pic:cNvPicPr>
                      <a:picLocks noChangeAspect="1"/>
                    </pic:cNvPicPr>
                  </pic:nvPicPr>
                  <pic:blipFill>
                    <a:blip r:embed="rId50"/>
                    <a:stretch>
                      <a:fillRect/>
                    </a:stretch>
                  </pic:blipFill>
                  <pic:spPr>
                    <a:xfrm>
                      <a:off x="0" y="0"/>
                      <a:ext cx="5650865" cy="317881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both"/>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020310" cy="7048500"/>
            <wp:effectExtent l="0" t="0" r="8890" b="0"/>
            <wp:docPr id="59" name="图片 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8"/>
                    <pic:cNvPicPr>
                      <a:picLocks noChangeAspect="1"/>
                    </pic:cNvPicPr>
                  </pic:nvPicPr>
                  <pic:blipFill>
                    <a:blip r:embed="rId51"/>
                    <a:stretch>
                      <a:fillRect/>
                    </a:stretch>
                  </pic:blipFill>
                  <pic:spPr>
                    <a:xfrm>
                      <a:off x="0" y="0"/>
                      <a:ext cx="5020310" cy="704850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020310" cy="6906260"/>
            <wp:effectExtent l="0" t="0" r="8890" b="8890"/>
            <wp:docPr id="60" name="图片 6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
                    <pic:cNvPicPr>
                      <a:picLocks noChangeAspect="1"/>
                    </pic:cNvPicPr>
                  </pic:nvPicPr>
                  <pic:blipFill>
                    <a:blip r:embed="rId52"/>
                    <a:stretch>
                      <a:fillRect/>
                    </a:stretch>
                  </pic:blipFill>
                  <pic:spPr>
                    <a:xfrm>
                      <a:off x="0" y="0"/>
                      <a:ext cx="5020310" cy="690626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650865" cy="3178810"/>
            <wp:effectExtent l="0" t="0" r="6985" b="2540"/>
            <wp:docPr id="61" name="图片 6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0"/>
                    <pic:cNvPicPr>
                      <a:picLocks noChangeAspect="1"/>
                    </pic:cNvPicPr>
                  </pic:nvPicPr>
                  <pic:blipFill>
                    <a:blip r:embed="rId53"/>
                    <a:stretch>
                      <a:fillRect/>
                    </a:stretch>
                  </pic:blipFill>
                  <pic:spPr>
                    <a:xfrm>
                      <a:off x="0" y="0"/>
                      <a:ext cx="5650865" cy="3178810"/>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both"/>
        <w:rPr>
          <w:rFonts w:hint="eastAsia" w:eastAsia="楷体_GB2312"/>
          <w:sz w:val="24"/>
          <w:lang w:eastAsia="zh-CN"/>
        </w:rPr>
      </w:pPr>
      <w:bookmarkStart w:id="96" w:name="_GoBack"/>
      <w:bookmarkEnd w:id="96"/>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020310" cy="6696075"/>
            <wp:effectExtent l="0" t="0" r="8890" b="9525"/>
            <wp:docPr id="62" name="图片 6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1"/>
                    <pic:cNvPicPr>
                      <a:picLocks noChangeAspect="1"/>
                    </pic:cNvPicPr>
                  </pic:nvPicPr>
                  <pic:blipFill>
                    <a:blip r:embed="rId54"/>
                    <a:stretch>
                      <a:fillRect/>
                    </a:stretch>
                  </pic:blipFill>
                  <pic:spPr>
                    <a:xfrm>
                      <a:off x="0" y="0"/>
                      <a:ext cx="5020310" cy="6696075"/>
                    </a:xfrm>
                    <a:prstGeom prst="rect">
                      <a:avLst/>
                    </a:prstGeom>
                  </pic:spPr>
                </pic:pic>
              </a:graphicData>
            </a:graphic>
          </wp:inline>
        </w:drawing>
      </w: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p>
    <w:p>
      <w:pPr>
        <w:jc w:val="center"/>
        <w:rPr>
          <w:rFonts w:hint="eastAsia" w:eastAsia="楷体_GB2312"/>
          <w:sz w:val="24"/>
          <w:lang w:eastAsia="zh-CN"/>
        </w:rPr>
      </w:pPr>
      <w:r>
        <w:rPr>
          <w:rFonts w:hint="eastAsia" w:eastAsia="楷体_GB2312"/>
          <w:sz w:val="24"/>
          <w:lang w:eastAsia="zh-CN"/>
        </w:rPr>
        <w:drawing>
          <wp:inline distT="0" distB="0" distL="114300" distR="114300">
            <wp:extent cx="5029200" cy="6939280"/>
            <wp:effectExtent l="0" t="0" r="0" b="13970"/>
            <wp:docPr id="63" name="图片 6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2"/>
                    <pic:cNvPicPr>
                      <a:picLocks noChangeAspect="1"/>
                    </pic:cNvPicPr>
                  </pic:nvPicPr>
                  <pic:blipFill>
                    <a:blip r:embed="rId55"/>
                    <a:stretch>
                      <a:fillRect/>
                    </a:stretch>
                  </pic:blipFill>
                  <pic:spPr>
                    <a:xfrm>
                      <a:off x="0" y="0"/>
                      <a:ext cx="5029200" cy="6939280"/>
                    </a:xfrm>
                    <a:prstGeom prst="rect">
                      <a:avLst/>
                    </a:prstGeom>
                  </pic:spPr>
                </pic:pic>
              </a:graphicData>
            </a:graphic>
          </wp:inline>
        </w:drawing>
      </w:r>
    </w:p>
    <w:sectPr>
      <w:headerReference r:id="rId7" w:type="first"/>
      <w:headerReference r:id="rId5" w:type="default"/>
      <w:footerReference r:id="rId8" w:type="default"/>
      <w:headerReference r:id="rId6" w:type="even"/>
      <w:pgSz w:w="11907" w:h="16840"/>
      <w:pgMar w:top="1361" w:right="1407" w:bottom="1361" w:left="1588" w:header="1134" w:footer="672" w:gutter="0"/>
      <w:pgNumType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体">
    <w:altName w:val="宋体"/>
    <w:panose1 w:val="00000000000000000000"/>
    <w:charset w:val="86"/>
    <w:family w:val="roman"/>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 w:name="Arial Unicode MS">
    <w:altName w:val="宋体"/>
    <w:panose1 w:val="020B0604020202020204"/>
    <w:charset w:val="86"/>
    <w:family w:val="swiss"/>
    <w:pitch w:val="default"/>
    <w:sig w:usb0="00000000" w:usb1="00000000" w:usb2="0000003F" w:usb3="00000000" w:csb0="003F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细黑">
    <w:altName w:val="微软雅黑"/>
    <w:panose1 w:val="02010600040101010101"/>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等线">
    <w:altName w:val="微软雅黑"/>
    <w:panose1 w:val="00000000000000000000"/>
    <w:charset w:val="86"/>
    <w:family w:val="auto"/>
    <w:pitch w:val="default"/>
    <w:sig w:usb0="00000000" w:usb1="00000000"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Style w:val="25"/>
      </w:rPr>
    </w:pPr>
    <w: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1270</wp:posOffset>
              </wp:positionV>
              <wp:extent cx="5600700" cy="0"/>
              <wp:effectExtent l="9525" t="10795" r="9525" b="8255"/>
              <wp:wrapTopAndBottom/>
              <wp:docPr id="24" name="直接连接符 24"/>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0pt;margin-top:0.1pt;height:0pt;width:441pt;mso-wrap-distance-bottom:0pt;mso-wrap-distance-top:0pt;z-index:251661312;mso-width-relative:page;mso-height-relative:page;" filled="f" stroked="t" coordsize="21600,21600" o:gfxdata="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T0Men9AAAAACAQAADwAA&#10;AAAAAAABACAAAAAiAAAAZHJzL2Rvd25yZXYueG1sUEsBAhQAFAAAAAgAh07iQJe8RT7lAQAArAMA&#10;AA4AAAAAAAAAAQAgAAAAHwEAAGRycy9lMm9Eb2MueG1sUEsFBgAAAAAGAAYAWQEAAHYFAAAAAA==&#10;">
              <v:fill on="f" focussize="0,0"/>
              <v:stroke color="#000000" joinstyle="round"/>
              <v:imagedata o:title=""/>
              <o:lock v:ext="edit" aspectratio="f"/>
              <w10:wrap type="topAndBottom"/>
            </v:lin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Style w:val="25"/>
        <w:rFonts w:ascii="仿宋" w:hAnsi="仿宋" w:eastAsia="仿宋"/>
      </w:rPr>
    </w:pPr>
    <w:r>
      <w:rPr>
        <w:rFonts w:ascii="仿宋" w:hAnsi="仿宋" w:eastAsia="仿宋"/>
        <w:sz w:val="15"/>
        <w:szCs w:val="15"/>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1270</wp:posOffset>
              </wp:positionV>
              <wp:extent cx="5600700" cy="0"/>
              <wp:effectExtent l="9525" t="10795" r="9525" b="8255"/>
              <wp:wrapTopAndBottom/>
              <wp:docPr id="1" name="直接连接符 1"/>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0pt;margin-top:0.1pt;height:0pt;width:441pt;mso-wrap-distance-bottom:0pt;mso-wrap-distance-top:0pt;z-index:251665408;mso-width-relative:page;mso-height-relative:page;" filled="f" stroked="t" coordsize="21600,21600" o:gfxdata="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T0Men9AAAAACAQAADwAAAAAA&#10;AAABACAAAAAiAAAAZHJzL2Rvd25yZXYueG1sUEsBAhQAFAAAAAgAh07iQOf6iiHiAQAAqgMAAA4A&#10;AAAAAAAAAQAgAAAAHwEAAGRycy9lMm9Eb2MueG1sUEsFBgAAAAAGAAYAWQEAAHMFAAAAAA==&#10;">
              <v:fill on="f" focussize="0,0"/>
              <v:stroke color="#000000" joinstyle="round"/>
              <v:imagedata o:title=""/>
              <o:lock v:ext="edit" aspectratio="f"/>
              <w10:wrap type="topAndBottom"/>
            </v:line>
          </w:pict>
        </mc:Fallback>
      </mc:AlternateContent>
    </w:r>
    <w:r>
      <w:rPr>
        <w:rFonts w:ascii="仿宋" w:hAnsi="仿宋" w:eastAsia="仿宋"/>
        <w:spacing w:val="-20"/>
        <w:sz w:val="22"/>
        <w:szCs w:val="15"/>
      </w:rPr>
      <w:t>盐城市富鑫房地产评估事务所（普通合伙）</w:t>
    </w:r>
    <w:r>
      <w:rPr>
        <w:rFonts w:hint="eastAsia" w:ascii="仿宋" w:hAnsi="仿宋" w:eastAsia="仿宋"/>
      </w:rPr>
      <w:t xml:space="preserve">            </w:t>
    </w:r>
    <w:r>
      <w:rPr>
        <w:rFonts w:ascii="仿宋" w:hAnsi="仿宋" w:eastAsia="仿宋"/>
      </w:rPr>
      <w:t xml:space="preserve">     </w:t>
    </w:r>
    <w:r>
      <w:rPr>
        <w:rFonts w:ascii="仿宋" w:hAnsi="仿宋" w:eastAsia="仿宋" w:cs="Arial"/>
        <w:color w:val="333333"/>
        <w:sz w:val="20"/>
        <w:szCs w:val="20"/>
        <w:shd w:val="clear" w:color="auto" w:fill="FFFFFF"/>
      </w:rPr>
      <w:t>地址：阜宁县天鹅国际商业中心9#A215(C)</w:t>
    </w:r>
  </w:p>
  <w:p>
    <w:pPr>
      <w:pStyle w:val="13"/>
      <w:jc w:val="center"/>
    </w:pPr>
    <w:r>
      <w:rPr>
        <w:rStyle w:val="25"/>
        <w:rFonts w:hint="eastAsia"/>
      </w:rPr>
      <w:t xml:space="preserve">第 </w:t>
    </w:r>
    <w:r>
      <w:fldChar w:fldCharType="begin"/>
    </w:r>
    <w:r>
      <w:rPr>
        <w:rStyle w:val="25"/>
      </w:rPr>
      <w:instrText xml:space="preserve"> PAGE </w:instrText>
    </w:r>
    <w:r>
      <w:fldChar w:fldCharType="separate"/>
    </w:r>
    <w:r>
      <w:rPr>
        <w:rStyle w:val="25"/>
      </w:rPr>
      <w:t>18</w:t>
    </w:r>
    <w:r>
      <w:fldChar w:fldCharType="end"/>
    </w:r>
    <w:r>
      <w:rPr>
        <w:rStyle w:val="25"/>
        <w:rFonts w:hint="eastAsia"/>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rPr>
        <w:rFonts w:ascii="仿宋" w:hAnsi="仿宋" w:eastAsia="仿宋"/>
      </w:rPr>
    </w:pPr>
    <w:r>
      <w:rPr>
        <w:rFonts w:hint="eastAsia" w:ascii="仿宋" w:hAnsi="仿宋" w:eastAsia="仿宋"/>
      </w:rPr>
      <w:t xml:space="preserve">房地产司法鉴定报告 </w:t>
    </w:r>
    <w:r>
      <w:rPr>
        <w:rFonts w:ascii="仿宋" w:hAnsi="仿宋" w:eastAsia="仿宋"/>
      </w:rPr>
      <w:t xml:space="preserve">                                 </w:t>
    </w:r>
    <w:r>
      <w:rPr>
        <w:rFonts w:hint="eastAsia" w:ascii="仿宋" w:hAnsi="仿宋" w:eastAsia="仿宋"/>
      </w:rPr>
      <w:t xml:space="preserve">        </w:t>
    </w:r>
    <w:r>
      <w:rPr>
        <w:rFonts w:ascii="仿宋" w:hAnsi="仿宋" w:eastAsia="仿宋"/>
      </w:rPr>
      <w:t xml:space="preserve">       </w:t>
    </w:r>
    <w:r>
      <w:rPr>
        <w:rFonts w:hint="eastAsia" w:ascii="仿宋" w:hAnsi="仿宋" w:eastAsia="仿宋"/>
      </w:rPr>
      <w:t>盐富鑫房评字（2022）第081</w:t>
    </w:r>
    <w:r>
      <w:rPr>
        <w:rFonts w:hint="eastAsia" w:ascii="仿宋" w:hAnsi="仿宋" w:eastAsia="仿宋"/>
        <w:lang w:val="en-US" w:eastAsia="zh-CN"/>
      </w:rPr>
      <w:t>1</w:t>
    </w:r>
    <w:r>
      <w:rPr>
        <w:rFonts w:hint="eastAsia" w:ascii="仿宋" w:hAnsi="仿宋" w:eastAsia="仿宋"/>
      </w:rPr>
      <w:t>-01号</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F6B023A"/>
    <w:multiLevelType w:val="multilevel"/>
    <w:tmpl w:val="4F6B023A"/>
    <w:lvl w:ilvl="0" w:tentative="0">
      <w:start w:val="1"/>
      <w:numFmt w:val="decimal"/>
      <w:lvlText w:val="%1."/>
      <w:lvlJc w:val="left"/>
      <w:pPr>
        <w:ind w:left="920" w:hanging="36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I5OTBkMWZjMGRlMDY5NGYwYTQ3OGI2ZGQ4OTFmY2EifQ=="/>
  </w:docVars>
  <w:rsids>
    <w:rsidRoot w:val="00F71C38"/>
    <w:rsid w:val="00005BF0"/>
    <w:rsid w:val="00013A95"/>
    <w:rsid w:val="0001464F"/>
    <w:rsid w:val="00022805"/>
    <w:rsid w:val="000309B9"/>
    <w:rsid w:val="00033F74"/>
    <w:rsid w:val="00053385"/>
    <w:rsid w:val="000537D8"/>
    <w:rsid w:val="00057A2F"/>
    <w:rsid w:val="00063D81"/>
    <w:rsid w:val="00066962"/>
    <w:rsid w:val="000908F7"/>
    <w:rsid w:val="00092A5F"/>
    <w:rsid w:val="000A67C6"/>
    <w:rsid w:val="000A7B62"/>
    <w:rsid w:val="000B046A"/>
    <w:rsid w:val="000B38B0"/>
    <w:rsid w:val="000C0F25"/>
    <w:rsid w:val="000D00AF"/>
    <w:rsid w:val="000F4A34"/>
    <w:rsid w:val="000F687F"/>
    <w:rsid w:val="000F6B22"/>
    <w:rsid w:val="0010548B"/>
    <w:rsid w:val="001259D0"/>
    <w:rsid w:val="00126EC5"/>
    <w:rsid w:val="0014276C"/>
    <w:rsid w:val="001469B1"/>
    <w:rsid w:val="00161D89"/>
    <w:rsid w:val="001633DB"/>
    <w:rsid w:val="00170D16"/>
    <w:rsid w:val="00172BA2"/>
    <w:rsid w:val="00181485"/>
    <w:rsid w:val="001976CC"/>
    <w:rsid w:val="00197ED2"/>
    <w:rsid w:val="001B0C66"/>
    <w:rsid w:val="001B1182"/>
    <w:rsid w:val="001B4A80"/>
    <w:rsid w:val="001C0037"/>
    <w:rsid w:val="001C1688"/>
    <w:rsid w:val="001C5E3A"/>
    <w:rsid w:val="001F7F6D"/>
    <w:rsid w:val="0020199C"/>
    <w:rsid w:val="00205033"/>
    <w:rsid w:val="00213E0F"/>
    <w:rsid w:val="00217C15"/>
    <w:rsid w:val="002238B4"/>
    <w:rsid w:val="00233460"/>
    <w:rsid w:val="00235F9A"/>
    <w:rsid w:val="00242504"/>
    <w:rsid w:val="00246CD6"/>
    <w:rsid w:val="00251199"/>
    <w:rsid w:val="00254976"/>
    <w:rsid w:val="00262F69"/>
    <w:rsid w:val="00264A41"/>
    <w:rsid w:val="002731E4"/>
    <w:rsid w:val="00275B33"/>
    <w:rsid w:val="00282D11"/>
    <w:rsid w:val="00295084"/>
    <w:rsid w:val="002A2EEA"/>
    <w:rsid w:val="002A479C"/>
    <w:rsid w:val="002B0A99"/>
    <w:rsid w:val="002B1181"/>
    <w:rsid w:val="002B395F"/>
    <w:rsid w:val="002D0AB4"/>
    <w:rsid w:val="002F412F"/>
    <w:rsid w:val="0030045B"/>
    <w:rsid w:val="0030479B"/>
    <w:rsid w:val="00311CEA"/>
    <w:rsid w:val="00315701"/>
    <w:rsid w:val="00316223"/>
    <w:rsid w:val="00317A19"/>
    <w:rsid w:val="00322A3D"/>
    <w:rsid w:val="00330927"/>
    <w:rsid w:val="003377B4"/>
    <w:rsid w:val="0034481A"/>
    <w:rsid w:val="00350EE6"/>
    <w:rsid w:val="00351552"/>
    <w:rsid w:val="00362608"/>
    <w:rsid w:val="0036644F"/>
    <w:rsid w:val="00367F16"/>
    <w:rsid w:val="00370E8E"/>
    <w:rsid w:val="00371138"/>
    <w:rsid w:val="00371E60"/>
    <w:rsid w:val="003859E4"/>
    <w:rsid w:val="0038650D"/>
    <w:rsid w:val="00390261"/>
    <w:rsid w:val="00390CE2"/>
    <w:rsid w:val="003A148C"/>
    <w:rsid w:val="003A7CF5"/>
    <w:rsid w:val="003B0EEF"/>
    <w:rsid w:val="003C0D97"/>
    <w:rsid w:val="003C37B5"/>
    <w:rsid w:val="003D1036"/>
    <w:rsid w:val="003E18AD"/>
    <w:rsid w:val="003F1509"/>
    <w:rsid w:val="003F18F6"/>
    <w:rsid w:val="00410B64"/>
    <w:rsid w:val="00412587"/>
    <w:rsid w:val="004144A3"/>
    <w:rsid w:val="00415EEA"/>
    <w:rsid w:val="004269DC"/>
    <w:rsid w:val="00427B1D"/>
    <w:rsid w:val="00437379"/>
    <w:rsid w:val="00450304"/>
    <w:rsid w:val="00451D9D"/>
    <w:rsid w:val="00474FF2"/>
    <w:rsid w:val="00477228"/>
    <w:rsid w:val="004842CD"/>
    <w:rsid w:val="0048732F"/>
    <w:rsid w:val="00490F4A"/>
    <w:rsid w:val="0049556F"/>
    <w:rsid w:val="004A04D8"/>
    <w:rsid w:val="004A6441"/>
    <w:rsid w:val="004B0579"/>
    <w:rsid w:val="004B083B"/>
    <w:rsid w:val="004B6168"/>
    <w:rsid w:val="004D1F57"/>
    <w:rsid w:val="004D4079"/>
    <w:rsid w:val="004E1DF7"/>
    <w:rsid w:val="004E2CCE"/>
    <w:rsid w:val="004E36BE"/>
    <w:rsid w:val="004F1897"/>
    <w:rsid w:val="004F6501"/>
    <w:rsid w:val="004F6ED4"/>
    <w:rsid w:val="00501110"/>
    <w:rsid w:val="00507CEF"/>
    <w:rsid w:val="00510F44"/>
    <w:rsid w:val="00517BBE"/>
    <w:rsid w:val="00521360"/>
    <w:rsid w:val="00527D04"/>
    <w:rsid w:val="00534397"/>
    <w:rsid w:val="005400D7"/>
    <w:rsid w:val="00567775"/>
    <w:rsid w:val="005677AB"/>
    <w:rsid w:val="005732A1"/>
    <w:rsid w:val="0058610F"/>
    <w:rsid w:val="005A0F9B"/>
    <w:rsid w:val="005A1BA2"/>
    <w:rsid w:val="005A6684"/>
    <w:rsid w:val="005B0485"/>
    <w:rsid w:val="005D4346"/>
    <w:rsid w:val="005D6F2A"/>
    <w:rsid w:val="005E4A88"/>
    <w:rsid w:val="005E5BF0"/>
    <w:rsid w:val="005F3059"/>
    <w:rsid w:val="0060673B"/>
    <w:rsid w:val="00614587"/>
    <w:rsid w:val="00614AF0"/>
    <w:rsid w:val="00617E68"/>
    <w:rsid w:val="00633BD7"/>
    <w:rsid w:val="0063503A"/>
    <w:rsid w:val="00637BC5"/>
    <w:rsid w:val="00642648"/>
    <w:rsid w:val="006430AF"/>
    <w:rsid w:val="00650BCD"/>
    <w:rsid w:val="0065160B"/>
    <w:rsid w:val="00662D36"/>
    <w:rsid w:val="006804CC"/>
    <w:rsid w:val="00683E96"/>
    <w:rsid w:val="006853E2"/>
    <w:rsid w:val="00685A77"/>
    <w:rsid w:val="00685DD2"/>
    <w:rsid w:val="00686D8C"/>
    <w:rsid w:val="006C4C06"/>
    <w:rsid w:val="006D5309"/>
    <w:rsid w:val="006D68EB"/>
    <w:rsid w:val="006E0342"/>
    <w:rsid w:val="006E342D"/>
    <w:rsid w:val="006F111C"/>
    <w:rsid w:val="006F13BC"/>
    <w:rsid w:val="00701946"/>
    <w:rsid w:val="0070393C"/>
    <w:rsid w:val="007042EA"/>
    <w:rsid w:val="00716982"/>
    <w:rsid w:val="0072767E"/>
    <w:rsid w:val="007312A3"/>
    <w:rsid w:val="007329ED"/>
    <w:rsid w:val="00740B8C"/>
    <w:rsid w:val="00742C94"/>
    <w:rsid w:val="007452AC"/>
    <w:rsid w:val="00750514"/>
    <w:rsid w:val="00756D7F"/>
    <w:rsid w:val="007614AB"/>
    <w:rsid w:val="007644B9"/>
    <w:rsid w:val="0076488D"/>
    <w:rsid w:val="00764C08"/>
    <w:rsid w:val="00772984"/>
    <w:rsid w:val="00773A50"/>
    <w:rsid w:val="0078477B"/>
    <w:rsid w:val="0079259F"/>
    <w:rsid w:val="00793217"/>
    <w:rsid w:val="007B72C3"/>
    <w:rsid w:val="007C3832"/>
    <w:rsid w:val="007D2DD2"/>
    <w:rsid w:val="007D4EF3"/>
    <w:rsid w:val="007E4471"/>
    <w:rsid w:val="007E4DA2"/>
    <w:rsid w:val="007E705D"/>
    <w:rsid w:val="007E7C58"/>
    <w:rsid w:val="008055DE"/>
    <w:rsid w:val="00805D6E"/>
    <w:rsid w:val="00810480"/>
    <w:rsid w:val="008269DE"/>
    <w:rsid w:val="008337AD"/>
    <w:rsid w:val="00853829"/>
    <w:rsid w:val="00853EF3"/>
    <w:rsid w:val="00854EAC"/>
    <w:rsid w:val="00855407"/>
    <w:rsid w:val="00864DA5"/>
    <w:rsid w:val="00871566"/>
    <w:rsid w:val="008715D8"/>
    <w:rsid w:val="008761CD"/>
    <w:rsid w:val="00882130"/>
    <w:rsid w:val="008876C2"/>
    <w:rsid w:val="008B4AB3"/>
    <w:rsid w:val="008C3625"/>
    <w:rsid w:val="008D549F"/>
    <w:rsid w:val="008D573E"/>
    <w:rsid w:val="008D619A"/>
    <w:rsid w:val="008E0F87"/>
    <w:rsid w:val="008E5982"/>
    <w:rsid w:val="008F781A"/>
    <w:rsid w:val="00910D6C"/>
    <w:rsid w:val="00925A14"/>
    <w:rsid w:val="0092784B"/>
    <w:rsid w:val="00935939"/>
    <w:rsid w:val="0095041D"/>
    <w:rsid w:val="009544D0"/>
    <w:rsid w:val="00964691"/>
    <w:rsid w:val="0096643C"/>
    <w:rsid w:val="0096768B"/>
    <w:rsid w:val="009802FF"/>
    <w:rsid w:val="00980C5D"/>
    <w:rsid w:val="00983A1A"/>
    <w:rsid w:val="009903E2"/>
    <w:rsid w:val="009A1BFA"/>
    <w:rsid w:val="009A20E9"/>
    <w:rsid w:val="009A2CF0"/>
    <w:rsid w:val="009A32D6"/>
    <w:rsid w:val="009B0995"/>
    <w:rsid w:val="009D2C0A"/>
    <w:rsid w:val="009D75D3"/>
    <w:rsid w:val="009D77D2"/>
    <w:rsid w:val="009D7A48"/>
    <w:rsid w:val="009E4A59"/>
    <w:rsid w:val="009F4F73"/>
    <w:rsid w:val="009F53F3"/>
    <w:rsid w:val="00A0311F"/>
    <w:rsid w:val="00A033CD"/>
    <w:rsid w:val="00A07219"/>
    <w:rsid w:val="00A1295C"/>
    <w:rsid w:val="00A1390E"/>
    <w:rsid w:val="00A148A1"/>
    <w:rsid w:val="00A202FE"/>
    <w:rsid w:val="00A20411"/>
    <w:rsid w:val="00A47C0B"/>
    <w:rsid w:val="00A507DA"/>
    <w:rsid w:val="00A560F7"/>
    <w:rsid w:val="00A633A3"/>
    <w:rsid w:val="00A6389D"/>
    <w:rsid w:val="00A779AD"/>
    <w:rsid w:val="00A81754"/>
    <w:rsid w:val="00A91543"/>
    <w:rsid w:val="00A9265C"/>
    <w:rsid w:val="00A92C7A"/>
    <w:rsid w:val="00AA601F"/>
    <w:rsid w:val="00AA7D0D"/>
    <w:rsid w:val="00AB02BE"/>
    <w:rsid w:val="00AC241B"/>
    <w:rsid w:val="00AD06A4"/>
    <w:rsid w:val="00AD09B3"/>
    <w:rsid w:val="00AD2978"/>
    <w:rsid w:val="00AD3F1C"/>
    <w:rsid w:val="00AD582B"/>
    <w:rsid w:val="00AE1E6D"/>
    <w:rsid w:val="00AE4F5D"/>
    <w:rsid w:val="00AF134D"/>
    <w:rsid w:val="00B054FF"/>
    <w:rsid w:val="00B06332"/>
    <w:rsid w:val="00B300EC"/>
    <w:rsid w:val="00B3019B"/>
    <w:rsid w:val="00B34B3A"/>
    <w:rsid w:val="00B35087"/>
    <w:rsid w:val="00B352C3"/>
    <w:rsid w:val="00B35795"/>
    <w:rsid w:val="00B35C2A"/>
    <w:rsid w:val="00B41AD8"/>
    <w:rsid w:val="00B454A2"/>
    <w:rsid w:val="00B4635F"/>
    <w:rsid w:val="00B50DB3"/>
    <w:rsid w:val="00B519CB"/>
    <w:rsid w:val="00B5586F"/>
    <w:rsid w:val="00B709C5"/>
    <w:rsid w:val="00B77FB5"/>
    <w:rsid w:val="00B80FBC"/>
    <w:rsid w:val="00B85548"/>
    <w:rsid w:val="00BB5127"/>
    <w:rsid w:val="00BB5263"/>
    <w:rsid w:val="00BB61C8"/>
    <w:rsid w:val="00BC7EDC"/>
    <w:rsid w:val="00BE1367"/>
    <w:rsid w:val="00BE35B4"/>
    <w:rsid w:val="00BE5BE8"/>
    <w:rsid w:val="00BF268B"/>
    <w:rsid w:val="00C04E70"/>
    <w:rsid w:val="00C16E31"/>
    <w:rsid w:val="00C33306"/>
    <w:rsid w:val="00C50B39"/>
    <w:rsid w:val="00C647FE"/>
    <w:rsid w:val="00C80907"/>
    <w:rsid w:val="00C80A13"/>
    <w:rsid w:val="00C84E0C"/>
    <w:rsid w:val="00C86598"/>
    <w:rsid w:val="00C9645C"/>
    <w:rsid w:val="00CB55C2"/>
    <w:rsid w:val="00CC6A97"/>
    <w:rsid w:val="00CE6DB8"/>
    <w:rsid w:val="00CF55F1"/>
    <w:rsid w:val="00CF78C8"/>
    <w:rsid w:val="00D00113"/>
    <w:rsid w:val="00D04316"/>
    <w:rsid w:val="00D12554"/>
    <w:rsid w:val="00D24BF8"/>
    <w:rsid w:val="00D32F89"/>
    <w:rsid w:val="00D34F1D"/>
    <w:rsid w:val="00D423AC"/>
    <w:rsid w:val="00D51575"/>
    <w:rsid w:val="00D642C8"/>
    <w:rsid w:val="00D8590B"/>
    <w:rsid w:val="00D93230"/>
    <w:rsid w:val="00D95F67"/>
    <w:rsid w:val="00DA4480"/>
    <w:rsid w:val="00DA6FDF"/>
    <w:rsid w:val="00DB0AEA"/>
    <w:rsid w:val="00DB1138"/>
    <w:rsid w:val="00DC0E18"/>
    <w:rsid w:val="00DC1385"/>
    <w:rsid w:val="00DD40C4"/>
    <w:rsid w:val="00DD4B4A"/>
    <w:rsid w:val="00DD5E9C"/>
    <w:rsid w:val="00DD75B3"/>
    <w:rsid w:val="00DE6CF0"/>
    <w:rsid w:val="00DF22E2"/>
    <w:rsid w:val="00DF37A3"/>
    <w:rsid w:val="00DF4B56"/>
    <w:rsid w:val="00E0757F"/>
    <w:rsid w:val="00E10A2F"/>
    <w:rsid w:val="00E11116"/>
    <w:rsid w:val="00E144B1"/>
    <w:rsid w:val="00E15E14"/>
    <w:rsid w:val="00E26699"/>
    <w:rsid w:val="00E32534"/>
    <w:rsid w:val="00E345FA"/>
    <w:rsid w:val="00E431FF"/>
    <w:rsid w:val="00E52A12"/>
    <w:rsid w:val="00E53EBC"/>
    <w:rsid w:val="00E62A93"/>
    <w:rsid w:val="00E6480A"/>
    <w:rsid w:val="00E86A09"/>
    <w:rsid w:val="00E86D2D"/>
    <w:rsid w:val="00E9516E"/>
    <w:rsid w:val="00E97469"/>
    <w:rsid w:val="00EA0295"/>
    <w:rsid w:val="00EA2372"/>
    <w:rsid w:val="00EB0D6C"/>
    <w:rsid w:val="00EC3243"/>
    <w:rsid w:val="00ED5686"/>
    <w:rsid w:val="00EE24A0"/>
    <w:rsid w:val="00EF0285"/>
    <w:rsid w:val="00EF681D"/>
    <w:rsid w:val="00F0120B"/>
    <w:rsid w:val="00F060AE"/>
    <w:rsid w:val="00F10905"/>
    <w:rsid w:val="00F140D6"/>
    <w:rsid w:val="00F2035A"/>
    <w:rsid w:val="00F3065E"/>
    <w:rsid w:val="00F40D5A"/>
    <w:rsid w:val="00F4255B"/>
    <w:rsid w:val="00F470AC"/>
    <w:rsid w:val="00F50DA3"/>
    <w:rsid w:val="00F56B73"/>
    <w:rsid w:val="00F56C9B"/>
    <w:rsid w:val="00F63931"/>
    <w:rsid w:val="00F6541D"/>
    <w:rsid w:val="00F71C38"/>
    <w:rsid w:val="00F760F6"/>
    <w:rsid w:val="00F8031D"/>
    <w:rsid w:val="00F824B9"/>
    <w:rsid w:val="00F853EF"/>
    <w:rsid w:val="00F90D05"/>
    <w:rsid w:val="00F9332D"/>
    <w:rsid w:val="00F9604B"/>
    <w:rsid w:val="00FB26FE"/>
    <w:rsid w:val="00FC3A4D"/>
    <w:rsid w:val="00FE2E3F"/>
    <w:rsid w:val="00FE5D10"/>
    <w:rsid w:val="153243A1"/>
    <w:rsid w:val="1EC10752"/>
    <w:rsid w:val="3FB70811"/>
    <w:rsid w:val="55A76918"/>
    <w:rsid w:val="731278B5"/>
    <w:rsid w:val="7BF77F9C"/>
    <w:rsid w:val="7E5920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nhideWhenUsed="0" w:uiPriority="0" w:semiHidden="0"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0"/>
    <w:qFormat/>
    <w:uiPriority w:val="0"/>
    <w:pPr>
      <w:keepNext/>
      <w:autoSpaceDE w:val="0"/>
      <w:autoSpaceDN w:val="0"/>
      <w:adjustRightInd w:val="0"/>
      <w:spacing w:line="312" w:lineRule="atLeast"/>
      <w:ind w:right="-113" w:firstLine="525"/>
      <w:jc w:val="left"/>
      <w:textAlignment w:val="bottom"/>
      <w:outlineLvl w:val="0"/>
    </w:pPr>
    <w:rPr>
      <w:rFonts w:ascii="仿宋体" w:eastAsia="仿宋体"/>
      <w:kern w:val="0"/>
      <w:sz w:val="28"/>
      <w:szCs w:val="20"/>
    </w:rPr>
  </w:style>
  <w:style w:type="paragraph" w:styleId="3">
    <w:name w:val="heading 2"/>
    <w:basedOn w:val="1"/>
    <w:next w:val="1"/>
    <w:link w:val="31"/>
    <w:qFormat/>
    <w:uiPriority w:val="0"/>
    <w:pPr>
      <w:keepNext/>
      <w:keepLines/>
      <w:spacing w:before="260" w:after="260" w:line="415" w:lineRule="auto"/>
      <w:outlineLvl w:val="1"/>
    </w:pPr>
    <w:rPr>
      <w:rFonts w:ascii="Arial" w:hAnsi="Arial" w:eastAsia="黑体"/>
      <w:b/>
      <w:bCs/>
      <w:sz w:val="32"/>
      <w:szCs w:val="32"/>
    </w:rPr>
  </w:style>
  <w:style w:type="paragraph" w:styleId="4">
    <w:name w:val="heading 3"/>
    <w:basedOn w:val="1"/>
    <w:next w:val="1"/>
    <w:link w:val="32"/>
    <w:qFormat/>
    <w:uiPriority w:val="0"/>
    <w:pPr>
      <w:widowControl/>
      <w:spacing w:before="100" w:beforeAutospacing="1" w:after="100" w:afterAutospacing="1"/>
      <w:jc w:val="left"/>
      <w:outlineLvl w:val="2"/>
    </w:pPr>
    <w:rPr>
      <w:rFonts w:ascii="Arial Unicode MS" w:hAnsi="Arial Unicode MS" w:eastAsia="Arial Unicode MS"/>
      <w:b/>
      <w:bCs/>
      <w:kern w:val="0"/>
      <w:sz w:val="27"/>
      <w:szCs w:val="27"/>
      <w:lang w:val="zh-CN" w:eastAsia="zh-CN"/>
    </w:rPr>
  </w:style>
  <w:style w:type="character" w:default="1" w:styleId="23">
    <w:name w:val="Default Paragraph Font"/>
    <w:semiHidden/>
    <w:unhideWhenUsed/>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5">
    <w:name w:val="Normal Indent"/>
    <w:basedOn w:val="1"/>
    <w:link w:val="41"/>
    <w:qFormat/>
    <w:uiPriority w:val="0"/>
    <w:pPr>
      <w:snapToGrid w:val="0"/>
      <w:spacing w:line="360" w:lineRule="auto"/>
      <w:ind w:firstLine="567"/>
    </w:pPr>
    <w:rPr>
      <w:rFonts w:asciiTheme="minorHAnsi" w:hAnsiTheme="minorHAnsi" w:cstheme="minorBidi"/>
      <w:sz w:val="28"/>
      <w:szCs w:val="22"/>
    </w:rPr>
  </w:style>
  <w:style w:type="paragraph" w:styleId="6">
    <w:name w:val="Document Map"/>
    <w:basedOn w:val="1"/>
    <w:link w:val="45"/>
    <w:qFormat/>
    <w:uiPriority w:val="0"/>
    <w:pPr>
      <w:shd w:val="clear" w:color="auto" w:fill="000080"/>
    </w:pPr>
  </w:style>
  <w:style w:type="paragraph" w:styleId="7">
    <w:name w:val="Body Text"/>
    <w:basedOn w:val="1"/>
    <w:link w:val="48"/>
    <w:qFormat/>
    <w:uiPriority w:val="0"/>
    <w:pPr>
      <w:spacing w:after="120"/>
    </w:pPr>
  </w:style>
  <w:style w:type="paragraph" w:styleId="8">
    <w:name w:val="Body Text Indent"/>
    <w:basedOn w:val="1"/>
    <w:link w:val="43"/>
    <w:qFormat/>
    <w:uiPriority w:val="0"/>
    <w:pPr>
      <w:spacing w:line="520" w:lineRule="exact"/>
      <w:ind w:firstLine="720" w:firstLineChars="257"/>
    </w:pPr>
    <w:rPr>
      <w:rFonts w:eastAsia="楷体_GB2312"/>
      <w:sz w:val="28"/>
    </w:rPr>
  </w:style>
  <w:style w:type="paragraph" w:styleId="9">
    <w:name w:val="toc 3"/>
    <w:basedOn w:val="1"/>
    <w:next w:val="1"/>
    <w:qFormat/>
    <w:uiPriority w:val="39"/>
    <w:pPr>
      <w:tabs>
        <w:tab w:val="right" w:leader="dot" w:pos="8721"/>
      </w:tabs>
      <w:ind w:left="361" w:leftChars="172" w:firstLine="179"/>
    </w:pPr>
  </w:style>
  <w:style w:type="paragraph" w:styleId="10">
    <w:name w:val="Plain Text"/>
    <w:basedOn w:val="1"/>
    <w:link w:val="39"/>
    <w:qFormat/>
    <w:uiPriority w:val="0"/>
    <w:rPr>
      <w:rFonts w:ascii="宋体" w:hAnsi="Courier New" w:cstheme="minorBidi"/>
      <w:sz w:val="24"/>
      <w:szCs w:val="22"/>
    </w:rPr>
  </w:style>
  <w:style w:type="paragraph" w:styleId="11">
    <w:name w:val="Body Text Indent 2"/>
    <w:basedOn w:val="1"/>
    <w:link w:val="46"/>
    <w:qFormat/>
    <w:uiPriority w:val="0"/>
    <w:pPr>
      <w:spacing w:line="500" w:lineRule="exact"/>
      <w:ind w:firstLine="556"/>
    </w:pPr>
    <w:rPr>
      <w:rFonts w:eastAsia="楷体_GB2312"/>
      <w:sz w:val="28"/>
    </w:rPr>
  </w:style>
  <w:style w:type="paragraph" w:styleId="12">
    <w:name w:val="Balloon Text"/>
    <w:basedOn w:val="1"/>
    <w:link w:val="47"/>
    <w:qFormat/>
    <w:uiPriority w:val="0"/>
    <w:rPr>
      <w:sz w:val="18"/>
      <w:szCs w:val="18"/>
    </w:rPr>
  </w:style>
  <w:style w:type="paragraph" w:styleId="13">
    <w:name w:val="footer"/>
    <w:basedOn w:val="1"/>
    <w:link w:val="29"/>
    <w:unhideWhenUsed/>
    <w:qFormat/>
    <w:uiPriority w:val="0"/>
    <w:pPr>
      <w:tabs>
        <w:tab w:val="center" w:pos="4153"/>
        <w:tab w:val="right" w:pos="8306"/>
      </w:tabs>
      <w:snapToGrid w:val="0"/>
      <w:jc w:val="left"/>
    </w:pPr>
    <w:rPr>
      <w:sz w:val="18"/>
      <w:szCs w:val="18"/>
    </w:rPr>
  </w:style>
  <w:style w:type="paragraph" w:styleId="14">
    <w:name w:val="header"/>
    <w:basedOn w:val="1"/>
    <w:link w:val="28"/>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Body Text Indent 3"/>
    <w:basedOn w:val="1"/>
    <w:link w:val="44"/>
    <w:qFormat/>
    <w:uiPriority w:val="0"/>
    <w:pPr>
      <w:spacing w:line="500" w:lineRule="exact"/>
      <w:ind w:firstLine="560" w:firstLineChars="200"/>
    </w:pPr>
    <w:rPr>
      <w:rFonts w:eastAsia="楷体_GB2312"/>
      <w:sz w:val="28"/>
    </w:rPr>
  </w:style>
  <w:style w:type="paragraph" w:styleId="16">
    <w:name w:val="toc 2"/>
    <w:basedOn w:val="1"/>
    <w:next w:val="1"/>
    <w:qFormat/>
    <w:uiPriority w:val="39"/>
    <w:pPr>
      <w:tabs>
        <w:tab w:val="right" w:leader="dot" w:pos="8721"/>
      </w:tabs>
      <w:spacing w:line="360" w:lineRule="exact"/>
      <w:ind w:left="420" w:leftChars="200"/>
    </w:pPr>
    <w:rPr>
      <w:rFonts w:eastAsia="楷体_GB2312"/>
      <w:color w:val="800000"/>
      <w:sz w:val="28"/>
    </w:rPr>
  </w:style>
  <w:style w:type="paragraph" w:styleId="17">
    <w:name w:val="Normal (Web)"/>
    <w:basedOn w:val="1"/>
    <w:qFormat/>
    <w:uiPriority w:val="99"/>
    <w:pPr>
      <w:widowControl/>
      <w:spacing w:before="100" w:after="100"/>
      <w:jc w:val="left"/>
    </w:pPr>
    <w:rPr>
      <w:rFonts w:ascii="Arial Unicode MS" w:hAnsi="Arial Unicode MS" w:eastAsia="Arial Unicode MS"/>
      <w:kern w:val="0"/>
      <w:sz w:val="24"/>
    </w:rPr>
  </w:style>
  <w:style w:type="paragraph" w:styleId="18">
    <w:name w:val="index 1"/>
    <w:basedOn w:val="1"/>
    <w:next w:val="1"/>
    <w:qFormat/>
    <w:uiPriority w:val="0"/>
    <w:pPr>
      <w:ind w:left="-63" w:leftChars="-30" w:right="-63" w:rightChars="-30"/>
    </w:pPr>
    <w:rPr>
      <w:rFonts w:eastAsia="仿宋_GB2312"/>
      <w:shd w:val="clear" w:color="auto" w:fill="FFFFFF"/>
    </w:rPr>
  </w:style>
  <w:style w:type="table" w:styleId="20">
    <w:name w:val="Table Grid"/>
    <w:basedOn w:val="19"/>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1">
    <w:name w:val="Table Colorful 1"/>
    <w:basedOn w:val="19"/>
    <w:uiPriority w:val="0"/>
    <w:pPr>
      <w:widowControl w:val="0"/>
      <w:jc w:val="both"/>
    </w:pPr>
    <w:rPr>
      <w:rFonts w:ascii="Times New Roman" w:hAnsi="Times New Roman" w:eastAsia="宋体" w:cs="Times New Roman"/>
      <w:color w:val="FFFFFF"/>
      <w:kern w:val="0"/>
      <w:sz w:val="20"/>
      <w:szCs w:val="20"/>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22">
    <w:name w:val="Medium Grid 3 Accent 1"/>
    <w:basedOn w:val="19"/>
    <w:uiPriority w:val="69"/>
    <w:rPr>
      <w:rFonts w:ascii="Times New Roman" w:hAnsi="Times New Roman" w:eastAsia="宋体" w:cs="Times New Roman"/>
      <w:kern w:val="0"/>
      <w:sz w:val="20"/>
      <w:szCs w:val="20"/>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color="FFFFFF" w:sz="8" w:space="0"/>
          <w:left w:val="single" w:color="FFFFFF" w:sz="8" w:space="0"/>
          <w:bottom w:val="single" w:color="FFFFFF" w:sz="24" w:space="0"/>
          <w:right w:val="single" w:color="FFFFFF" w:sz="8" w:space="0"/>
          <w:insideH w:val="nil"/>
          <w:insideV w:val="single" w:sz="8" w:space="0"/>
        </w:tcBorders>
        <w:shd w:val="clear" w:color="auto" w:fill="4F81B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F81BD"/>
      </w:tcPr>
    </w:tblStylePr>
    <w:tblStylePr w:type="firstCol">
      <w:rPr>
        <w:b/>
        <w:bCs/>
        <w:i w:val="0"/>
        <w:iCs w:val="0"/>
        <w:color w:val="FFFFFF"/>
      </w:rPr>
      <w:tblPr/>
      <w:tcPr>
        <w:tcBorders>
          <w:left w:val="single" w:color="FFFFFF" w:sz="8" w:space="0"/>
          <w:right w:val="single" w:color="FFFFFF" w:sz="24" w:space="0"/>
          <w:insideH w:val="nil"/>
          <w:insideV w:val="nil"/>
        </w:tcBorders>
        <w:shd w:val="clear" w:color="auto" w:fill="4F81BD"/>
      </w:tcPr>
    </w:tblStylePr>
    <w:tblStylePr w:type="lastCol">
      <w:rPr>
        <w:b/>
        <w:bCs/>
        <w:i w:val="0"/>
        <w:iCs w:val="0"/>
        <w:color w:val="FFFFFF"/>
      </w:rPr>
      <w:tblPr/>
      <w:tcPr>
        <w:tcBorders>
          <w:top w:val="nil"/>
          <w:left w:val="single" w:color="FFFFFF" w:sz="24" w:space="0"/>
          <w:bottom w:val="nil"/>
          <w:right w:val="nil"/>
          <w:insideH w:val="nil"/>
          <w:insideV w:val="nil"/>
        </w:tcBorders>
        <w:shd w:val="clear" w:color="auto" w:fill="4F81B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7BFDE"/>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7BFDE"/>
      </w:tcPr>
    </w:tblStylePr>
  </w:style>
  <w:style w:type="character" w:styleId="24">
    <w:name w:val="Strong"/>
    <w:qFormat/>
    <w:uiPriority w:val="0"/>
    <w:rPr>
      <w:b/>
      <w:bCs/>
    </w:rPr>
  </w:style>
  <w:style w:type="character" w:styleId="25">
    <w:name w:val="page number"/>
    <w:basedOn w:val="23"/>
    <w:qFormat/>
    <w:uiPriority w:val="0"/>
  </w:style>
  <w:style w:type="character" w:styleId="26">
    <w:name w:val="FollowedHyperlink"/>
    <w:basedOn w:val="23"/>
    <w:semiHidden/>
    <w:unhideWhenUsed/>
    <w:uiPriority w:val="99"/>
    <w:rPr>
      <w:color w:val="800080" w:themeColor="followedHyperlink"/>
      <w:u w:val="single"/>
      <w14:textFill>
        <w14:solidFill>
          <w14:schemeClr w14:val="folHlink"/>
        </w14:solidFill>
      </w14:textFill>
    </w:rPr>
  </w:style>
  <w:style w:type="character" w:styleId="27">
    <w:name w:val="Hyperlink"/>
    <w:qFormat/>
    <w:uiPriority w:val="99"/>
    <w:rPr>
      <w:color w:val="0000FF"/>
      <w:u w:val="single"/>
    </w:rPr>
  </w:style>
  <w:style w:type="character" w:customStyle="1" w:styleId="28">
    <w:name w:val="页眉 Char"/>
    <w:basedOn w:val="23"/>
    <w:link w:val="14"/>
    <w:qFormat/>
    <w:uiPriority w:val="99"/>
    <w:rPr>
      <w:sz w:val="18"/>
      <w:szCs w:val="18"/>
    </w:rPr>
  </w:style>
  <w:style w:type="character" w:customStyle="1" w:styleId="29">
    <w:name w:val="页脚 Char"/>
    <w:basedOn w:val="23"/>
    <w:link w:val="13"/>
    <w:qFormat/>
    <w:uiPriority w:val="99"/>
    <w:rPr>
      <w:sz w:val="18"/>
      <w:szCs w:val="18"/>
    </w:rPr>
  </w:style>
  <w:style w:type="character" w:customStyle="1" w:styleId="30">
    <w:name w:val="标题 1 Char"/>
    <w:basedOn w:val="23"/>
    <w:link w:val="2"/>
    <w:qFormat/>
    <w:uiPriority w:val="0"/>
    <w:rPr>
      <w:rFonts w:ascii="仿宋体" w:hAnsi="Times New Roman" w:eastAsia="仿宋体" w:cs="Times New Roman"/>
      <w:kern w:val="0"/>
      <w:sz w:val="28"/>
      <w:szCs w:val="20"/>
    </w:rPr>
  </w:style>
  <w:style w:type="character" w:customStyle="1" w:styleId="31">
    <w:name w:val="标题 2 Char"/>
    <w:basedOn w:val="23"/>
    <w:link w:val="3"/>
    <w:qFormat/>
    <w:uiPriority w:val="0"/>
    <w:rPr>
      <w:rFonts w:ascii="Arial" w:hAnsi="Arial" w:eastAsia="黑体" w:cs="Times New Roman"/>
      <w:b/>
      <w:bCs/>
      <w:sz w:val="32"/>
      <w:szCs w:val="32"/>
    </w:rPr>
  </w:style>
  <w:style w:type="character" w:customStyle="1" w:styleId="32">
    <w:name w:val="标题 3 Char"/>
    <w:basedOn w:val="23"/>
    <w:link w:val="4"/>
    <w:qFormat/>
    <w:uiPriority w:val="0"/>
    <w:rPr>
      <w:rFonts w:ascii="Arial Unicode MS" w:hAnsi="Arial Unicode MS" w:eastAsia="Arial Unicode MS" w:cs="Times New Roman"/>
      <w:b/>
      <w:bCs/>
      <w:kern w:val="0"/>
      <w:sz w:val="27"/>
      <w:szCs w:val="27"/>
      <w:lang w:val="zh-CN" w:eastAsia="zh-CN"/>
    </w:rPr>
  </w:style>
  <w:style w:type="paragraph" w:customStyle="1" w:styleId="33">
    <w:name w:val="_Style 15"/>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34">
    <w:name w:val="Char Char Char Char"/>
    <w:qFormat/>
    <w:uiPriority w:val="0"/>
    <w:rPr>
      <w:rFonts w:ascii="Arial Unicode MS" w:hAnsi="Arial Unicode MS" w:eastAsia="Arial Unicode MS" w:cs="仿宋_GB2312"/>
      <w:kern w:val="2"/>
      <w:sz w:val="24"/>
      <w:szCs w:val="24"/>
      <w:lang w:val="en-US" w:eastAsia="zh-CN" w:bidi="ar-SA"/>
    </w:rPr>
  </w:style>
  <w:style w:type="character" w:customStyle="1" w:styleId="35">
    <w:name w:val="Char Char"/>
    <w:link w:val="36"/>
    <w:qFormat/>
    <w:uiPriority w:val="0"/>
    <w:rPr>
      <w:rFonts w:ascii="Arial Unicode MS" w:hAnsi="Arial Unicode MS" w:eastAsia="Arial Unicode MS" w:cs="仿宋_GB2312"/>
      <w:sz w:val="24"/>
      <w:szCs w:val="24"/>
    </w:rPr>
  </w:style>
  <w:style w:type="paragraph" w:customStyle="1" w:styleId="36">
    <w:name w:val="Char"/>
    <w:basedOn w:val="1"/>
    <w:next w:val="17"/>
    <w:link w:val="35"/>
    <w:qFormat/>
    <w:uiPriority w:val="0"/>
    <w:pPr>
      <w:widowControl/>
      <w:spacing w:before="100" w:beforeAutospacing="1" w:after="100" w:afterAutospacing="1"/>
      <w:jc w:val="left"/>
    </w:pPr>
    <w:rPr>
      <w:rFonts w:ascii="Arial Unicode MS" w:hAnsi="Arial Unicode MS" w:eastAsia="Arial Unicode MS" w:cs="仿宋_GB2312"/>
      <w:sz w:val="24"/>
    </w:rPr>
  </w:style>
  <w:style w:type="character" w:customStyle="1" w:styleId="37">
    <w:name w:val="模板_正文 Char"/>
    <w:link w:val="38"/>
    <w:qFormat/>
    <w:uiPriority w:val="0"/>
    <w:rPr>
      <w:rFonts w:eastAsia="仿宋_GB2312"/>
      <w:sz w:val="28"/>
      <w:szCs w:val="28"/>
    </w:rPr>
  </w:style>
  <w:style w:type="paragraph" w:customStyle="1" w:styleId="38">
    <w:name w:val="模板_正文"/>
    <w:basedOn w:val="1"/>
    <w:link w:val="37"/>
    <w:qFormat/>
    <w:uiPriority w:val="0"/>
    <w:pPr>
      <w:spacing w:line="360" w:lineRule="auto"/>
      <w:ind w:firstLine="560" w:firstLineChars="200"/>
    </w:pPr>
    <w:rPr>
      <w:rFonts w:eastAsia="仿宋_GB2312" w:asciiTheme="minorHAnsi" w:hAnsiTheme="minorHAnsi" w:cstheme="minorBidi"/>
      <w:sz w:val="28"/>
      <w:szCs w:val="28"/>
    </w:rPr>
  </w:style>
  <w:style w:type="character" w:customStyle="1" w:styleId="39">
    <w:name w:val="纯文本 Char1"/>
    <w:link w:val="10"/>
    <w:qFormat/>
    <w:uiPriority w:val="0"/>
    <w:rPr>
      <w:rFonts w:ascii="宋体" w:hAnsi="Courier New" w:eastAsia="宋体"/>
      <w:sz w:val="24"/>
    </w:rPr>
  </w:style>
  <w:style w:type="character" w:customStyle="1" w:styleId="40">
    <w:name w:val="纯文本 Char"/>
    <w:basedOn w:val="23"/>
    <w:qFormat/>
    <w:uiPriority w:val="0"/>
    <w:rPr>
      <w:rFonts w:ascii="宋体" w:hAnsi="Courier New" w:eastAsia="宋体" w:cs="Courier New"/>
      <w:szCs w:val="21"/>
    </w:rPr>
  </w:style>
  <w:style w:type="character" w:customStyle="1" w:styleId="41">
    <w:name w:val="正文缩进 Char"/>
    <w:link w:val="5"/>
    <w:qFormat/>
    <w:uiPriority w:val="0"/>
    <w:rPr>
      <w:rFonts w:eastAsia="宋体"/>
      <w:sz w:val="28"/>
    </w:rPr>
  </w:style>
  <w:style w:type="character" w:customStyle="1" w:styleId="42">
    <w:name w:val="apple-style-span"/>
    <w:basedOn w:val="23"/>
    <w:qFormat/>
    <w:uiPriority w:val="0"/>
  </w:style>
  <w:style w:type="character" w:customStyle="1" w:styleId="43">
    <w:name w:val="正文文本缩进 Char"/>
    <w:basedOn w:val="23"/>
    <w:link w:val="8"/>
    <w:qFormat/>
    <w:uiPriority w:val="0"/>
    <w:rPr>
      <w:rFonts w:ascii="Times New Roman" w:hAnsi="Times New Roman" w:eastAsia="楷体_GB2312" w:cs="Times New Roman"/>
      <w:sz w:val="28"/>
      <w:szCs w:val="24"/>
    </w:rPr>
  </w:style>
  <w:style w:type="character" w:customStyle="1" w:styleId="44">
    <w:name w:val="正文文本缩进 3 Char"/>
    <w:basedOn w:val="23"/>
    <w:link w:val="15"/>
    <w:qFormat/>
    <w:uiPriority w:val="0"/>
    <w:rPr>
      <w:rFonts w:ascii="Times New Roman" w:hAnsi="Times New Roman" w:eastAsia="楷体_GB2312" w:cs="Times New Roman"/>
      <w:sz w:val="28"/>
      <w:szCs w:val="24"/>
    </w:rPr>
  </w:style>
  <w:style w:type="character" w:customStyle="1" w:styleId="45">
    <w:name w:val="文档结构图 Char"/>
    <w:basedOn w:val="23"/>
    <w:link w:val="6"/>
    <w:qFormat/>
    <w:uiPriority w:val="0"/>
    <w:rPr>
      <w:rFonts w:ascii="Times New Roman" w:hAnsi="Times New Roman" w:eastAsia="宋体" w:cs="Times New Roman"/>
      <w:szCs w:val="24"/>
      <w:shd w:val="clear" w:color="auto" w:fill="000080"/>
    </w:rPr>
  </w:style>
  <w:style w:type="character" w:customStyle="1" w:styleId="46">
    <w:name w:val="正文文本缩进 2 Char"/>
    <w:basedOn w:val="23"/>
    <w:link w:val="11"/>
    <w:qFormat/>
    <w:uiPriority w:val="0"/>
    <w:rPr>
      <w:rFonts w:ascii="Times New Roman" w:hAnsi="Times New Roman" w:eastAsia="楷体_GB2312" w:cs="Times New Roman"/>
      <w:sz w:val="28"/>
      <w:szCs w:val="24"/>
    </w:rPr>
  </w:style>
  <w:style w:type="character" w:customStyle="1" w:styleId="47">
    <w:name w:val="批注框文本 Char"/>
    <w:basedOn w:val="23"/>
    <w:link w:val="12"/>
    <w:qFormat/>
    <w:uiPriority w:val="0"/>
    <w:rPr>
      <w:rFonts w:ascii="Times New Roman" w:hAnsi="Times New Roman" w:eastAsia="宋体" w:cs="Times New Roman"/>
      <w:sz w:val="18"/>
      <w:szCs w:val="18"/>
    </w:rPr>
  </w:style>
  <w:style w:type="character" w:customStyle="1" w:styleId="48">
    <w:name w:val="正文文本 Char"/>
    <w:basedOn w:val="23"/>
    <w:link w:val="7"/>
    <w:qFormat/>
    <w:uiPriority w:val="0"/>
    <w:rPr>
      <w:rFonts w:ascii="Times New Roman" w:hAnsi="Times New Roman" w:eastAsia="宋体" w:cs="Times New Roman"/>
      <w:szCs w:val="24"/>
    </w:rPr>
  </w:style>
  <w:style w:type="paragraph" w:customStyle="1" w:styleId="49">
    <w:name w:val="Char Char Char"/>
    <w:basedOn w:val="1"/>
    <w:next w:val="17"/>
    <w:qFormat/>
    <w:uiPriority w:val="0"/>
    <w:pPr>
      <w:widowControl/>
      <w:spacing w:before="100" w:beforeAutospacing="1" w:after="100" w:afterAutospacing="1"/>
      <w:jc w:val="left"/>
    </w:pPr>
    <w:rPr>
      <w:rFonts w:ascii="Arial Unicode MS" w:hAnsi="Arial Unicode MS" w:eastAsia="Arial Unicode MS" w:cs="仿宋_GB2312"/>
      <w:sz w:val="24"/>
    </w:rPr>
  </w:style>
  <w:style w:type="paragraph" w:customStyle="1" w:styleId="50">
    <w:name w:val="msonormal style9"/>
    <w:basedOn w:val="1"/>
    <w:qFormat/>
    <w:uiPriority w:val="0"/>
    <w:pPr>
      <w:widowControl/>
      <w:spacing w:before="100" w:beforeAutospacing="1" w:after="100" w:afterAutospacing="1"/>
      <w:jc w:val="left"/>
    </w:pPr>
    <w:rPr>
      <w:rFonts w:ascii="宋体" w:hAnsi="宋体" w:cs="宋体"/>
      <w:kern w:val="0"/>
      <w:sz w:val="24"/>
    </w:rPr>
  </w:style>
  <w:style w:type="paragraph" w:customStyle="1" w:styleId="51">
    <w:name w:val="Default"/>
    <w:qFormat/>
    <w:uiPriority w:val="0"/>
    <w:pPr>
      <w:widowControl w:val="0"/>
      <w:autoSpaceDE w:val="0"/>
      <w:autoSpaceDN w:val="0"/>
      <w:adjustRightInd w:val="0"/>
    </w:pPr>
    <w:rPr>
      <w:rFonts w:ascii="华文细黑" w:hAnsi="Times New Roman" w:eastAsia="华文细黑" w:cs="华文细黑"/>
      <w:color w:val="000000"/>
      <w:kern w:val="0"/>
      <w:sz w:val="24"/>
      <w:szCs w:val="24"/>
      <w:lang w:val="en-US" w:eastAsia="zh-CN" w:bidi="ar-SA"/>
    </w:rPr>
  </w:style>
  <w:style w:type="paragraph" w:customStyle="1" w:styleId="52">
    <w:name w:val="1"/>
    <w:basedOn w:val="1"/>
    <w:next w:val="17"/>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customStyle="1" w:styleId="53">
    <w:name w:val="b"/>
    <w:basedOn w:val="1"/>
    <w:qFormat/>
    <w:uiPriority w:val="0"/>
    <w:pPr>
      <w:widowControl/>
      <w:spacing w:before="100" w:beforeAutospacing="1" w:after="100" w:afterAutospacing="1" w:line="270" w:lineRule="atLeast"/>
      <w:ind w:firstLine="360"/>
      <w:jc w:val="left"/>
    </w:pPr>
    <w:rPr>
      <w:rFonts w:ascii="Arial Unicode MS" w:hAnsi="Arial Unicode MS" w:eastAsia="Arial Unicode MS" w:cs="仿宋_GB2312"/>
      <w:color w:val="000000"/>
      <w:kern w:val="0"/>
      <w:sz w:val="18"/>
      <w:szCs w:val="18"/>
    </w:rPr>
  </w:style>
  <w:style w:type="paragraph" w:customStyle="1" w:styleId="54">
    <w:name w:val="yinxiao"/>
    <w:basedOn w:val="1"/>
    <w:qFormat/>
    <w:uiPriority w:val="0"/>
    <w:pPr>
      <w:widowControl/>
      <w:spacing w:before="100" w:beforeAutospacing="1" w:after="100" w:afterAutospacing="1" w:line="528" w:lineRule="auto"/>
      <w:jc w:val="left"/>
    </w:pPr>
    <w:rPr>
      <w:rFonts w:ascii="Arial Unicode MS" w:hAnsi="Arial Unicode MS" w:eastAsia="Arial Unicode MS" w:cs="Arial Unicode MS"/>
      <w:color w:val="000000"/>
      <w:kern w:val="0"/>
      <w:sz w:val="24"/>
    </w:rPr>
  </w:style>
  <w:style w:type="paragraph" w:customStyle="1" w:styleId="55">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18"/>
      <w:szCs w:val="18"/>
    </w:rPr>
  </w:style>
  <w:style w:type="paragraph" w:customStyle="1" w:styleId="56">
    <w:name w:val="style2"/>
    <w:basedOn w:val="1"/>
    <w:qFormat/>
    <w:uiPriority w:val="0"/>
    <w:pPr>
      <w:widowControl/>
      <w:spacing w:before="100" w:beforeAutospacing="1" w:after="100" w:afterAutospacing="1"/>
      <w:jc w:val="left"/>
    </w:pPr>
    <w:rPr>
      <w:rFonts w:ascii="Arial Unicode MS" w:hAnsi="Arial Unicode MS" w:eastAsia="Arial Unicode MS" w:cs="Arial Unicode MS"/>
      <w:color w:val="666666"/>
      <w:kern w:val="0"/>
      <w:sz w:val="24"/>
    </w:rPr>
  </w:style>
  <w:style w:type="paragraph" w:customStyle="1" w:styleId="57">
    <w:name w:val="p0"/>
    <w:basedOn w:val="1"/>
    <w:qFormat/>
    <w:uiPriority w:val="0"/>
    <w:pPr>
      <w:widowControl/>
      <w:spacing w:before="100" w:beforeAutospacing="1" w:after="100" w:afterAutospacing="1"/>
      <w:jc w:val="left"/>
    </w:pPr>
    <w:rPr>
      <w:rFonts w:ascii="宋体" w:hAnsi="宋体" w:cs="宋体"/>
      <w:kern w:val="0"/>
      <w:sz w:val="24"/>
    </w:rPr>
  </w:style>
  <w:style w:type="paragraph" w:customStyle="1" w:styleId="58">
    <w:name w:val="Char4"/>
    <w:basedOn w:val="1"/>
    <w:qFormat/>
    <w:uiPriority w:val="0"/>
    <w:rPr>
      <w:rFonts w:ascii="Tahoma" w:hAnsi="Tahoma"/>
      <w:sz w:val="24"/>
      <w:szCs w:val="20"/>
    </w:rPr>
  </w:style>
  <w:style w:type="paragraph" w:customStyle="1" w:styleId="59">
    <w:name w:val="Char1 Char Char Char Char Char Char"/>
    <w:basedOn w:val="1"/>
    <w:qFormat/>
    <w:uiPriority w:val="0"/>
    <w:pPr>
      <w:spacing w:line="360" w:lineRule="auto"/>
      <w:ind w:firstLine="200" w:firstLineChars="200"/>
    </w:pPr>
    <w:rPr>
      <w:rFonts w:ascii="宋体" w:hAnsi="宋体" w:cs="宋体"/>
      <w:sz w:val="24"/>
    </w:rPr>
  </w:style>
  <w:style w:type="table" w:customStyle="1" w:styleId="60">
    <w:name w:val="评估"/>
    <w:basedOn w:val="19"/>
    <w:uiPriority w:val="0"/>
    <w:rPr>
      <w:rFonts w:ascii="Times New Roman" w:hAnsi="Times New Roman" w:eastAsia="宋体" w:cs="Times New Roman"/>
      <w:kern w:val="0"/>
      <w:sz w:val="20"/>
      <w:szCs w:val="20"/>
    </w:rPr>
    <w:tblPr>
      <w:tblCellMar>
        <w:top w:w="0" w:type="dxa"/>
        <w:left w:w="108" w:type="dxa"/>
        <w:bottom w:w="0" w:type="dxa"/>
        <w:right w:w="108" w:type="dxa"/>
      </w:tblCellMar>
    </w:tblPr>
  </w:style>
  <w:style w:type="character" w:customStyle="1" w:styleId="61">
    <w:name w:val="报告正文 Char Char Char Char Char"/>
    <w:link w:val="62"/>
    <w:uiPriority w:val="0"/>
    <w:rPr>
      <w:rFonts w:ascii="华文细黑" w:eastAsia="华文细黑" w:cs="宋体"/>
      <w:sz w:val="22"/>
    </w:rPr>
  </w:style>
  <w:style w:type="paragraph" w:customStyle="1" w:styleId="62">
    <w:name w:val="报告正文 Char Char Char"/>
    <w:basedOn w:val="1"/>
    <w:link w:val="61"/>
    <w:uiPriority w:val="0"/>
    <w:pPr>
      <w:adjustRightInd w:val="0"/>
      <w:snapToGrid w:val="0"/>
      <w:spacing w:line="336" w:lineRule="auto"/>
      <w:ind w:left="2603"/>
    </w:pPr>
    <w:rPr>
      <w:rFonts w:ascii="华文细黑" w:eastAsia="华文细黑" w:cs="宋体" w:hAnsiTheme="minorHAnsi"/>
      <w:sz w:val="22"/>
      <w:szCs w:val="22"/>
    </w:rPr>
  </w:style>
  <w:style w:type="paragraph" w:customStyle="1" w:styleId="63">
    <w:name w:val="paragraph"/>
    <w:basedOn w:val="1"/>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header" Target="header4.xml"/><Relationship Id="rId6" Type="http://schemas.openxmlformats.org/officeDocument/2006/relationships/header" Target="header3.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19</Pages>
  <Words>8405</Words>
  <Characters>9473</Characters>
  <Lines>86</Lines>
  <Paragraphs>24</Paragraphs>
  <TotalTime>8</TotalTime>
  <ScaleCrop>false</ScaleCrop>
  <LinksUpToDate>false</LinksUpToDate>
  <CharactersWithSpaces>10477</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2021-06-09T05:37:00Z</dcterms:created>
  <dc:creator>Administrator</dc:creator>
  <cp:lastModifiedBy>小發財13814327149</cp:lastModifiedBy>
  <cp:lastPrinted>2022-08-12T01:31:24Z</cp:lastPrinted>
  <dcterms:modified xsi:type="dcterms:W3CDTF">2022-08-12T01:52:19Z</dcterms:modified>
  <cp:revision>1050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0E7427541D0443C989DC8E2B3F23BE02</vt:lpwstr>
  </property>
</Properties>
</file>