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560" w:lineRule="exact"/>
        <w:jc w:val="both"/>
        <w:rPr>
          <w:rFonts w:hint="eastAsia" w:ascii="仿宋" w:hAnsi="仿宋" w:eastAsia="仿宋" w:cs="仿宋"/>
          <w:b/>
          <w:bCs/>
          <w:sz w:val="44"/>
          <w:szCs w:val="44"/>
          <w:lang w:eastAsia="zh-CN"/>
        </w:rPr>
      </w:pPr>
    </w:p>
    <w:p>
      <w:pPr>
        <w:pageBreakBefore w:val="0"/>
        <w:kinsoku/>
        <w:wordWrap/>
        <w:overflowPunct/>
        <w:topLinePunct w:val="0"/>
        <w:bidi w:val="0"/>
        <w:spacing w:line="560" w:lineRule="exact"/>
        <w:jc w:val="both"/>
        <w:rPr>
          <w:rFonts w:hint="eastAsia" w:ascii="仿宋" w:hAnsi="仿宋" w:eastAsia="仿宋" w:cs="仿宋"/>
          <w:b/>
          <w:bCs/>
          <w:sz w:val="44"/>
          <w:szCs w:val="44"/>
          <w:lang w:eastAsia="zh-CN"/>
        </w:rPr>
      </w:pPr>
    </w:p>
    <w:p>
      <w:pPr>
        <w:pageBreakBefore w:val="0"/>
        <w:kinsoku/>
        <w:wordWrap/>
        <w:overflowPunct/>
        <w:topLinePunct w:val="0"/>
        <w:bidi w:val="0"/>
        <w:spacing w:line="560" w:lineRule="exact"/>
        <w:jc w:val="both"/>
        <w:rPr>
          <w:rFonts w:hint="eastAsia" w:ascii="仿宋" w:hAnsi="仿宋" w:eastAsia="仿宋" w:cs="仿宋"/>
          <w:b/>
          <w:bCs/>
          <w:sz w:val="44"/>
          <w:szCs w:val="44"/>
          <w:lang w:eastAsia="zh-CN"/>
        </w:rPr>
      </w:pPr>
    </w:p>
    <w:p>
      <w:pPr>
        <w:pageBreakBefore w:val="0"/>
        <w:tabs>
          <w:tab w:val="left" w:pos="1076"/>
        </w:tabs>
        <w:kinsoku/>
        <w:wordWrap/>
        <w:overflowPunct/>
        <w:topLinePunct w:val="0"/>
        <w:bidi w:val="0"/>
        <w:spacing w:line="560" w:lineRule="exact"/>
        <w:jc w:val="both"/>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ab/>
      </w:r>
    </w:p>
    <w:p>
      <w:pPr>
        <w:pageBreakBefore w:val="0"/>
        <w:kinsoku/>
        <w:wordWrap/>
        <w:overflowPunct/>
        <w:topLinePunct w:val="0"/>
        <w:bidi w:val="0"/>
        <w:spacing w:line="560" w:lineRule="exact"/>
        <w:jc w:val="both"/>
        <w:rPr>
          <w:rFonts w:hint="eastAsia" w:ascii="仿宋" w:hAnsi="仿宋" w:eastAsia="仿宋" w:cs="仿宋"/>
          <w:b/>
          <w:bCs/>
          <w:sz w:val="44"/>
          <w:szCs w:val="44"/>
          <w:lang w:eastAsia="zh-CN"/>
        </w:rPr>
      </w:pPr>
    </w:p>
    <w:p>
      <w:pPr>
        <w:ind w:firstLine="1044" w:firstLineChars="200"/>
        <w:rPr>
          <w:rFonts w:hint="eastAsia" w:ascii="仿宋" w:hAnsi="仿宋" w:eastAsia="仿宋" w:cs="仿宋"/>
          <w:b/>
          <w:bCs/>
          <w:sz w:val="72"/>
          <w:szCs w:val="72"/>
          <w:lang w:eastAsia="zh-CN"/>
        </w:rPr>
      </w:pPr>
      <w:r>
        <w:rPr>
          <w:rFonts w:hint="eastAsia" w:ascii="宋体" w:hAnsi="宋体"/>
          <w:b/>
          <w:color w:val="auto"/>
          <w:sz w:val="52"/>
          <w:szCs w:val="52"/>
          <w:lang w:eastAsia="zh-CN"/>
        </w:rPr>
        <w:t>涉执</w:t>
      </w:r>
      <w:r>
        <w:rPr>
          <w:rFonts w:hint="eastAsia" w:ascii="宋体" w:hAnsi="宋体"/>
          <w:b/>
          <w:color w:val="auto"/>
          <w:sz w:val="52"/>
          <w:szCs w:val="52"/>
        </w:rPr>
        <w:t>房地产</w:t>
      </w:r>
      <w:r>
        <w:rPr>
          <w:rFonts w:hint="eastAsia" w:ascii="宋体" w:hAnsi="宋体"/>
          <w:b/>
          <w:color w:val="auto"/>
          <w:sz w:val="52"/>
          <w:szCs w:val="52"/>
          <w:lang w:eastAsia="zh-CN"/>
        </w:rPr>
        <w:t>处置司法评估</w:t>
      </w:r>
      <w:r>
        <w:rPr>
          <w:rFonts w:hint="eastAsia" w:ascii="宋体" w:hAnsi="宋体"/>
          <w:b/>
          <w:color w:val="auto"/>
          <w:sz w:val="52"/>
          <w:szCs w:val="52"/>
        </w:rPr>
        <w:t>报告</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 w:hAnsi="仿宋" w:eastAsia="仿宋" w:cs="仿宋"/>
          <w:b/>
          <w:bCs/>
          <w:sz w:val="72"/>
          <w:szCs w:val="72"/>
          <w:lang w:eastAsia="zh-CN"/>
        </w:rPr>
      </w:pPr>
    </w:p>
    <w:p>
      <w:pPr>
        <w:keepNext w:val="0"/>
        <w:keepLines w:val="0"/>
        <w:pageBreakBefore w:val="0"/>
        <w:widowControl w:val="0"/>
        <w:kinsoku/>
        <w:wordWrap/>
        <w:overflowPunct/>
        <w:topLinePunct w:val="0"/>
        <w:bidi w:val="0"/>
        <w:snapToGrid/>
        <w:spacing w:line="240" w:lineRule="auto"/>
        <w:jc w:val="left"/>
        <w:textAlignment w:val="auto"/>
        <w:rPr>
          <w:rFonts w:hint="eastAsia" w:ascii="仿宋" w:hAnsi="仿宋" w:eastAsia="仿宋" w:cs="仿宋"/>
          <w:b/>
          <w:bCs/>
          <w:sz w:val="44"/>
          <w:szCs w:val="44"/>
          <w:lang w:val="en-US" w:eastAsia="zh-CN"/>
        </w:rPr>
      </w:pPr>
      <w:r>
        <w:rPr>
          <w:rFonts w:hint="eastAsia" w:ascii="仿宋" w:hAnsi="仿宋" w:eastAsia="仿宋" w:cs="仿宋"/>
          <w:b/>
          <w:spacing w:val="68"/>
          <w:sz w:val="32"/>
          <w:szCs w:val="32"/>
          <w:lang w:val="en-US" w:eastAsia="zh-CN"/>
        </w:rPr>
        <w:t>委托书</w:t>
      </w:r>
      <w:r>
        <w:rPr>
          <w:rFonts w:hint="eastAsia" w:ascii="仿宋" w:hAnsi="仿宋" w:eastAsia="仿宋" w:cs="仿宋"/>
          <w:b/>
          <w:spacing w:val="68"/>
          <w:sz w:val="32"/>
          <w:szCs w:val="32"/>
          <w:lang w:val="zh-CN"/>
        </w:rPr>
        <w:t>编号：（2022）黑1002执恢535号</w:t>
      </w:r>
    </w:p>
    <w:p>
      <w:pPr>
        <w:keepNext w:val="0"/>
        <w:keepLines w:val="0"/>
        <w:pageBreakBefore w:val="0"/>
        <w:widowControl w:val="0"/>
        <w:kinsoku/>
        <w:wordWrap/>
        <w:overflowPunct/>
        <w:topLinePunct w:val="0"/>
        <w:autoSpaceDE/>
        <w:autoSpaceDN/>
        <w:bidi w:val="0"/>
        <w:adjustRightInd w:val="0"/>
        <w:snapToGrid w:val="0"/>
        <w:spacing w:line="1000" w:lineRule="exact"/>
        <w:jc w:val="both"/>
        <w:textAlignment w:val="auto"/>
        <w:rPr>
          <w:rFonts w:hint="eastAsia" w:ascii="仿宋" w:hAnsi="仿宋" w:eastAsia="仿宋" w:cs="仿宋"/>
          <w:b/>
          <w:color w:val="FF0000"/>
          <w:spacing w:val="0"/>
          <w:sz w:val="32"/>
          <w:szCs w:val="32"/>
          <w:lang w:val="zh-CN"/>
        </w:rPr>
      </w:pPr>
      <w:r>
        <w:rPr>
          <w:rFonts w:hint="eastAsia" w:ascii="仿宋" w:hAnsi="仿宋" w:eastAsia="仿宋" w:cs="仿宋"/>
          <w:b/>
          <w:spacing w:val="68"/>
          <w:sz w:val="32"/>
          <w:szCs w:val="32"/>
          <w:lang w:val="zh-CN"/>
        </w:rPr>
        <w:t>估价报告编</w:t>
      </w:r>
      <w:r>
        <w:rPr>
          <w:rFonts w:hint="eastAsia" w:ascii="仿宋" w:hAnsi="仿宋" w:eastAsia="仿宋" w:cs="仿宋"/>
          <w:b/>
          <w:spacing w:val="0"/>
          <w:sz w:val="32"/>
          <w:szCs w:val="32"/>
          <w:lang w:val="zh-CN"/>
        </w:rPr>
        <w:t>号：</w:t>
      </w:r>
      <w:r>
        <w:rPr>
          <w:rFonts w:hint="eastAsia" w:ascii="仿宋" w:hAnsi="仿宋" w:eastAsia="仿宋" w:cs="仿宋"/>
          <w:b/>
          <w:color w:val="auto"/>
          <w:spacing w:val="0"/>
          <w:sz w:val="32"/>
          <w:szCs w:val="32"/>
          <w:lang w:val="zh-CN"/>
        </w:rPr>
        <w:t>黑天之骄[2022]法执房评第133号</w:t>
      </w:r>
    </w:p>
    <w:p>
      <w:pPr>
        <w:keepNext w:val="0"/>
        <w:keepLines w:val="0"/>
        <w:pageBreakBefore w:val="0"/>
        <w:widowControl w:val="0"/>
        <w:kinsoku/>
        <w:wordWrap/>
        <w:overflowPunct/>
        <w:topLinePunct w:val="0"/>
        <w:autoSpaceDE w:val="0"/>
        <w:autoSpaceDN w:val="0"/>
        <w:bidi w:val="0"/>
        <w:adjustRightInd w:val="0"/>
        <w:snapToGrid/>
        <w:spacing w:line="700" w:lineRule="exact"/>
        <w:ind w:left="2945" w:leftChars="0" w:right="120" w:rightChars="57" w:hanging="2945" w:hangingChars="644"/>
        <w:jc w:val="both"/>
        <w:textAlignment w:val="auto"/>
        <w:rPr>
          <w:rFonts w:hint="eastAsia" w:ascii="仿宋" w:hAnsi="仿宋" w:eastAsia="仿宋" w:cs="仿宋"/>
          <w:b/>
          <w:color w:val="auto"/>
          <w:spacing w:val="0"/>
          <w:sz w:val="32"/>
          <w:szCs w:val="32"/>
          <w:lang w:val="zh-CN"/>
        </w:rPr>
      </w:pPr>
      <w:r>
        <w:rPr>
          <w:rFonts w:hint="eastAsia" w:ascii="仿宋" w:hAnsi="仿宋" w:eastAsia="仿宋" w:cs="仿宋"/>
          <w:b/>
          <w:spacing w:val="68"/>
          <w:sz w:val="32"/>
          <w:szCs w:val="32"/>
          <w:lang w:val="zh-CN"/>
        </w:rPr>
        <w:t>估价项目名</w:t>
      </w:r>
      <w:r>
        <w:rPr>
          <w:rFonts w:hint="eastAsia" w:ascii="仿宋" w:hAnsi="仿宋" w:eastAsia="仿宋" w:cs="仿宋"/>
          <w:b/>
          <w:spacing w:val="0"/>
          <w:sz w:val="32"/>
          <w:szCs w:val="32"/>
          <w:lang w:val="zh-CN"/>
        </w:rPr>
        <w:t>称：</w:t>
      </w:r>
      <w:r>
        <w:rPr>
          <w:rFonts w:hint="eastAsia" w:ascii="仿宋" w:hAnsi="仿宋" w:eastAsia="仿宋" w:cs="仿宋"/>
          <w:b/>
          <w:color w:val="auto"/>
          <w:spacing w:val="0"/>
          <w:sz w:val="32"/>
          <w:szCs w:val="32"/>
          <w:lang w:val="en-US" w:eastAsia="zh-CN"/>
        </w:rPr>
        <w:t>牡丹江市东安区清福三期25栋3单元801室住宅</w:t>
      </w:r>
      <w:r>
        <w:rPr>
          <w:rFonts w:hint="eastAsia" w:ascii="仿宋" w:hAnsi="仿宋" w:eastAsia="仿宋" w:cs="仿宋"/>
          <w:b/>
          <w:color w:val="auto"/>
          <w:spacing w:val="0"/>
          <w:sz w:val="32"/>
          <w:szCs w:val="32"/>
          <w:highlight w:val="none"/>
          <w:lang w:val="en-US" w:eastAsia="zh-CN"/>
        </w:rPr>
        <w:t>房地产市场</w:t>
      </w:r>
      <w:r>
        <w:rPr>
          <w:rFonts w:hint="eastAsia" w:ascii="仿宋" w:hAnsi="仿宋" w:eastAsia="仿宋" w:cs="仿宋"/>
          <w:b/>
          <w:color w:val="auto"/>
          <w:spacing w:val="0"/>
          <w:sz w:val="32"/>
          <w:szCs w:val="32"/>
          <w:highlight w:val="none"/>
          <w:lang w:eastAsia="zh-CN"/>
        </w:rPr>
        <w:t>价值</w:t>
      </w:r>
      <w:r>
        <w:rPr>
          <w:rFonts w:hint="eastAsia" w:ascii="仿宋" w:hAnsi="仿宋" w:eastAsia="仿宋" w:cs="仿宋"/>
          <w:b/>
          <w:color w:val="auto"/>
          <w:spacing w:val="0"/>
          <w:sz w:val="32"/>
          <w:szCs w:val="32"/>
          <w:highlight w:val="none"/>
          <w:lang w:val="zh-CN"/>
        </w:rPr>
        <w:t>评估</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70C0"/>
          <w:spacing w:val="0"/>
          <w:sz w:val="32"/>
          <w:szCs w:val="32"/>
          <w:lang w:val="zh-CN"/>
        </w:rPr>
      </w:pPr>
      <w:r>
        <w:rPr>
          <w:rFonts w:hint="eastAsia" w:ascii="仿宋" w:hAnsi="仿宋" w:eastAsia="仿宋" w:cs="仿宋"/>
          <w:b/>
          <w:spacing w:val="125"/>
          <w:sz w:val="32"/>
          <w:szCs w:val="32"/>
          <w:lang w:val="zh-CN"/>
        </w:rPr>
        <w:t>估价委托</w:t>
      </w:r>
      <w:r>
        <w:rPr>
          <w:rFonts w:hint="eastAsia" w:ascii="仿宋" w:hAnsi="仿宋" w:eastAsia="仿宋" w:cs="仿宋"/>
          <w:b/>
          <w:spacing w:val="0"/>
          <w:sz w:val="32"/>
          <w:szCs w:val="32"/>
          <w:lang w:val="zh-CN"/>
        </w:rPr>
        <w:t>人：</w:t>
      </w:r>
      <w:r>
        <w:rPr>
          <w:rFonts w:hint="eastAsia" w:ascii="仿宋" w:hAnsi="仿宋" w:eastAsia="仿宋" w:cs="仿宋"/>
          <w:b/>
          <w:color w:val="auto"/>
          <w:spacing w:val="0"/>
          <w:sz w:val="32"/>
          <w:szCs w:val="32"/>
          <w:lang w:val="zh-CN"/>
        </w:rPr>
        <w:t>牡丹江市东安区人民法院</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spacing w:val="0"/>
          <w:sz w:val="32"/>
          <w:szCs w:val="32"/>
          <w:lang w:val="zh-CN"/>
        </w:rPr>
      </w:pPr>
      <w:r>
        <w:rPr>
          <w:rFonts w:hint="eastAsia" w:ascii="仿宋" w:hAnsi="仿宋" w:eastAsia="仿宋" w:cs="仿宋"/>
          <w:b/>
          <w:spacing w:val="210"/>
          <w:sz w:val="32"/>
          <w:szCs w:val="32"/>
          <w:lang w:val="zh-CN"/>
        </w:rPr>
        <w:t>估价机</w:t>
      </w:r>
      <w:r>
        <w:rPr>
          <w:rFonts w:hint="eastAsia" w:ascii="仿宋" w:hAnsi="仿宋" w:eastAsia="仿宋" w:cs="仿宋"/>
          <w:b/>
          <w:spacing w:val="0"/>
          <w:sz w:val="32"/>
          <w:szCs w:val="32"/>
          <w:lang w:val="zh-CN"/>
        </w:rPr>
        <w:t>构：</w:t>
      </w:r>
      <w:r>
        <w:rPr>
          <w:rFonts w:hint="eastAsia" w:ascii="仿宋" w:hAnsi="仿宋" w:eastAsia="仿宋" w:cs="仿宋"/>
          <w:b/>
          <w:bCs/>
          <w:spacing w:val="0"/>
          <w:sz w:val="32"/>
          <w:szCs w:val="32"/>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70C0"/>
          <w:sz w:val="32"/>
          <w:szCs w:val="32"/>
          <w:lang w:val="zh-CN"/>
        </w:rPr>
      </w:pPr>
      <w:r>
        <w:rPr>
          <w:rFonts w:hint="eastAsia" w:ascii="仿宋" w:hAnsi="仿宋" w:eastAsia="仿宋" w:cs="仿宋"/>
          <w:b/>
          <w:sz w:val="32"/>
          <w:szCs w:val="32"/>
          <w:lang w:val="zh-CN"/>
        </w:rPr>
        <w:t>注册房地产估价师：</w:t>
      </w:r>
      <w:r>
        <w:rPr>
          <w:rFonts w:hint="eastAsia" w:ascii="仿宋" w:hAnsi="仿宋" w:eastAsia="仿宋" w:cs="仿宋"/>
          <w:b/>
          <w:color w:val="auto"/>
          <w:sz w:val="32"/>
          <w:szCs w:val="32"/>
          <w:lang w:val="en-US" w:eastAsia="zh-CN"/>
        </w:rPr>
        <w:t>王诗光</w:t>
      </w:r>
      <w:r>
        <w:rPr>
          <w:rFonts w:hint="eastAsia" w:ascii="仿宋" w:hAnsi="仿宋" w:eastAsia="仿宋" w:cs="仿宋"/>
          <w:b/>
          <w:color w:val="FF0000"/>
          <w:sz w:val="32"/>
          <w:szCs w:val="32"/>
          <w:lang w:val="zh-CN"/>
        </w:rPr>
        <w:t xml:space="preserve">  </w:t>
      </w:r>
      <w:r>
        <w:rPr>
          <w:rFonts w:hint="eastAsia" w:ascii="仿宋" w:hAnsi="仿宋" w:eastAsia="仿宋" w:cs="仿宋"/>
          <w:b/>
          <w:color w:val="FF0000"/>
          <w:sz w:val="32"/>
          <w:szCs w:val="32"/>
          <w:lang w:val="en-US" w:eastAsia="zh-CN"/>
        </w:rPr>
        <w:t xml:space="preserve">    </w:t>
      </w:r>
      <w:r>
        <w:rPr>
          <w:rFonts w:hint="eastAsia" w:ascii="仿宋" w:hAnsi="仿宋" w:eastAsia="仿宋" w:cs="仿宋"/>
          <w:b/>
          <w:color w:val="auto"/>
          <w:sz w:val="32"/>
          <w:szCs w:val="32"/>
          <w:lang w:val="zh-CN"/>
        </w:rPr>
        <w:t>注册号：</w:t>
      </w:r>
      <w:r>
        <w:rPr>
          <w:rFonts w:hint="eastAsia" w:ascii="仿宋" w:hAnsi="仿宋" w:eastAsia="仿宋" w:cs="仿宋"/>
          <w:b/>
          <w:color w:val="auto"/>
          <w:sz w:val="32"/>
          <w:szCs w:val="32"/>
          <w:lang w:val="en-US" w:eastAsia="zh-CN"/>
        </w:rPr>
        <w:t>2320210026</w:t>
      </w:r>
    </w:p>
    <w:p>
      <w:pPr>
        <w:keepNext w:val="0"/>
        <w:keepLines w:val="0"/>
        <w:pageBreakBefore w:val="0"/>
        <w:widowControl w:val="0"/>
        <w:kinsoku/>
        <w:wordWrap/>
        <w:overflowPunct/>
        <w:topLinePunct w:val="0"/>
        <w:autoSpaceDE w:val="0"/>
        <w:autoSpaceDN w:val="0"/>
        <w:bidi w:val="0"/>
        <w:adjustRightInd w:val="0"/>
        <w:spacing w:line="1000" w:lineRule="exact"/>
        <w:ind w:firstLine="2891" w:firstLineChars="900"/>
        <w:jc w:val="both"/>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zh-CN"/>
        </w:rPr>
        <w:t>陈廷江</w:t>
      </w:r>
      <w:r>
        <w:rPr>
          <w:rFonts w:hint="eastAsia" w:ascii="仿宋" w:hAnsi="仿宋" w:eastAsia="仿宋" w:cs="仿宋"/>
          <w:b/>
          <w:color w:val="FF0000"/>
          <w:sz w:val="32"/>
          <w:szCs w:val="32"/>
          <w:lang w:val="en-US" w:eastAsia="zh-CN"/>
        </w:rPr>
        <w:t xml:space="preserve">     </w:t>
      </w:r>
      <w:r>
        <w:rPr>
          <w:rFonts w:hint="eastAsia" w:ascii="仿宋" w:hAnsi="仿宋" w:eastAsia="仿宋" w:cs="仿宋"/>
          <w:b/>
          <w:color w:val="FF0000"/>
          <w:sz w:val="32"/>
          <w:szCs w:val="32"/>
          <w:lang w:val="zh-CN"/>
        </w:rPr>
        <w:t xml:space="preserve"> </w:t>
      </w:r>
      <w:r>
        <w:rPr>
          <w:rFonts w:hint="eastAsia" w:ascii="仿宋" w:hAnsi="仿宋" w:eastAsia="仿宋" w:cs="仿宋"/>
          <w:b/>
          <w:color w:val="auto"/>
          <w:sz w:val="32"/>
          <w:szCs w:val="32"/>
          <w:lang w:val="zh-CN"/>
        </w:rPr>
        <w:t>注册号：2320110100</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z w:val="32"/>
          <w:szCs w:val="32"/>
          <w:lang w:val="zh-CN"/>
        </w:rPr>
      </w:pPr>
      <w:r>
        <w:rPr>
          <w:rFonts w:hint="eastAsia" w:ascii="仿宋" w:hAnsi="仿宋" w:eastAsia="仿宋" w:cs="仿宋"/>
          <w:b/>
          <w:color w:val="auto"/>
          <w:sz w:val="32"/>
          <w:szCs w:val="32"/>
          <w:lang w:val="zh-CN"/>
        </w:rPr>
        <w:t>估价报告出具日期：</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val="zh-CN"/>
        </w:rPr>
        <w:t>二〇二二年九月十二日</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z w:val="32"/>
          <w:szCs w:val="32"/>
          <w:lang w:val="zh-CN" w:eastAsia="zh-CN"/>
        </w:rPr>
        <w:sectPr>
          <w:footerReference r:id="rId7" w:type="first"/>
          <w:headerReference r:id="rId5" w:type="default"/>
          <w:footerReference r:id="rId6" w:type="default"/>
          <w:pgSz w:w="11906" w:h="16838"/>
          <w:pgMar w:top="1417" w:right="1134" w:bottom="1134" w:left="1474" w:header="737" w:footer="992" w:gutter="0"/>
          <w:pgNumType w:fmt="numberInDash" w:start="1"/>
          <w:cols w:space="0" w:num="1"/>
          <w:rtlGutter w:val="0"/>
          <w:docGrid w:type="lines" w:linePitch="325" w:charSpace="0"/>
        </w:sectPr>
      </w:pPr>
    </w:p>
    <w:p>
      <w:pPr>
        <w:keepNext w:val="0"/>
        <w:keepLines w:val="0"/>
        <w:pageBreakBefore w:val="0"/>
        <w:widowControl/>
        <w:suppressLineNumbers w:val="0"/>
        <w:kinsoku/>
        <w:wordWrap/>
        <w:overflowPunct/>
        <w:topLinePunct w:val="0"/>
        <w:bidi w:val="0"/>
        <w:spacing w:line="520" w:lineRule="exact"/>
        <w:jc w:val="both"/>
        <w:textAlignment w:val="auto"/>
        <w:rPr>
          <w:rFonts w:hint="eastAsia" w:ascii="仿宋" w:hAnsi="仿宋" w:eastAsia="仿宋" w:cs="仿宋"/>
          <w:b/>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textAlignment w:val="auto"/>
        <w:rPr>
          <w:rFonts w:hint="eastAsia" w:ascii="仿宋" w:hAnsi="仿宋" w:eastAsia="仿宋" w:cs="仿宋"/>
          <w:b/>
          <w:color w:val="000000"/>
          <w:kern w:val="0"/>
          <w:sz w:val="10"/>
          <w:szCs w:val="10"/>
          <w:lang w:val="en-US" w:eastAsia="zh-CN" w:bidi="ar"/>
        </w:rPr>
      </w:pPr>
      <w:r>
        <w:rPr>
          <w:rFonts w:hint="eastAsia" w:ascii="仿宋" w:hAnsi="仿宋" w:eastAsia="仿宋" w:cs="仿宋"/>
          <w:b/>
          <w:color w:val="000000"/>
          <w:kern w:val="0"/>
          <w:sz w:val="44"/>
          <w:szCs w:val="44"/>
          <w:lang w:val="en-US" w:eastAsia="zh-CN" w:bidi="ar"/>
        </w:rPr>
        <w:t>致估价委托人函</w:t>
      </w:r>
    </w:p>
    <w:p>
      <w:pPr>
        <w:keepNext w:val="0"/>
        <w:keepLines w:val="0"/>
        <w:pageBreakBefore w:val="0"/>
        <w:widowControl/>
        <w:suppressLineNumbers w:val="0"/>
        <w:kinsoku/>
        <w:wordWrap/>
        <w:overflowPunct/>
        <w:topLinePunct w:val="0"/>
        <w:bidi w:val="0"/>
        <w:spacing w:line="520" w:lineRule="exact"/>
        <w:jc w:val="both"/>
        <w:textAlignment w:val="auto"/>
        <w:rPr>
          <w:rFonts w:hint="eastAsia" w:ascii="仿宋" w:hAnsi="仿宋" w:eastAsia="仿宋" w:cs="仿宋"/>
          <w:b/>
          <w:color w:val="000000"/>
          <w:kern w:val="0"/>
          <w:sz w:val="44"/>
          <w:szCs w:val="44"/>
          <w:lang w:val="en-US" w:eastAsia="zh-CN" w:bidi="ar"/>
        </w:rPr>
      </w:pPr>
    </w:p>
    <w:p>
      <w:pPr>
        <w:keepNext w:val="0"/>
        <w:keepLines w:val="0"/>
        <w:pageBreakBefore w:val="0"/>
        <w:widowControl/>
        <w:suppressLineNumbers w:val="0"/>
        <w:kinsoku/>
        <w:wordWrap/>
        <w:overflowPunct/>
        <w:topLinePunct w:val="0"/>
        <w:bidi w:val="0"/>
        <w:spacing w:line="560" w:lineRule="exact"/>
        <w:jc w:val="both"/>
        <w:textAlignment w:val="auto"/>
        <w:rPr>
          <w:rFonts w:hint="eastAsia" w:ascii="仿宋" w:hAnsi="仿宋" w:eastAsia="仿宋" w:cs="仿宋"/>
          <w:b/>
          <w:bCs/>
          <w:color w:val="auto"/>
          <w:kern w:val="0"/>
          <w:sz w:val="28"/>
          <w:szCs w:val="28"/>
          <w:lang w:val="en-US" w:eastAsia="zh-CN" w:bidi="ar"/>
        </w:rPr>
      </w:pPr>
      <w:r>
        <w:rPr>
          <w:rFonts w:hint="eastAsia" w:ascii="仿宋" w:hAnsi="仿宋" w:eastAsia="仿宋" w:cs="仿宋"/>
          <w:b/>
          <w:bCs/>
          <w:color w:val="auto"/>
          <w:kern w:val="0"/>
          <w:sz w:val="28"/>
          <w:szCs w:val="28"/>
          <w:lang w:val="en-US" w:eastAsia="zh-CN" w:bidi="ar"/>
        </w:rPr>
        <w:t>牡丹江市东安区人民法院：</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我公司受贵院委托，委派注册房地产估价师对估价对象进行评估。</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auto"/>
          <w:kern w:val="0"/>
          <w:sz w:val="28"/>
          <w:szCs w:val="28"/>
          <w:lang w:val="en-US" w:eastAsia="zh-CN" w:bidi="ar"/>
        </w:rPr>
        <w:t>估价目的：</w:t>
      </w:r>
      <w:r>
        <w:rPr>
          <w:rFonts w:hint="eastAsia" w:ascii="仿宋" w:hAnsi="仿宋" w:eastAsia="仿宋" w:cs="仿宋"/>
          <w:color w:val="000000" w:themeColor="text1"/>
          <w:sz w:val="28"/>
          <w:szCs w:val="28"/>
          <w:highlight w:val="none"/>
          <w:lang w:val="en-US" w:eastAsia="zh-CN"/>
          <w14:textFill>
            <w14:solidFill>
              <w14:schemeClr w14:val="tx1"/>
            </w14:solidFill>
          </w14:textFill>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估价对象：根据委托方提供的《委托书》、《执行裁定书》、《牡丹江市房屋登记查询证明》确定本次估价的财产范围为估价对象合理范围内的权益价值（包含房屋的装饰装修和设备设施），不包括动产、债权债务等其他财产或权益，估价对象坐落于</w:t>
      </w:r>
      <w:r>
        <w:rPr>
          <w:rFonts w:hint="eastAsia" w:ascii="仿宋" w:hAnsi="仿宋" w:eastAsia="仿宋" w:cs="仿宋"/>
          <w:b w:val="0"/>
          <w:bCs/>
          <w:color w:val="000000" w:themeColor="text1"/>
          <w:spacing w:val="0"/>
          <w:sz w:val="28"/>
          <w:szCs w:val="28"/>
          <w:lang w:eastAsia="zh-CN"/>
          <w14:textFill>
            <w14:solidFill>
              <w14:schemeClr w14:val="tx1"/>
            </w14:solidFill>
          </w14:textFill>
        </w:rPr>
        <w:t>牡丹江市东安区清福三期25栋3单元801室，</w:t>
      </w:r>
      <w:r>
        <w:rPr>
          <w:rFonts w:hint="eastAsia" w:ascii="仿宋" w:hAnsi="仿宋" w:eastAsia="仿宋" w:cs="仿宋"/>
          <w:b w:val="0"/>
          <w:bCs/>
          <w:color w:val="000000" w:themeColor="text1"/>
          <w:spacing w:val="0"/>
          <w:sz w:val="28"/>
          <w:szCs w:val="28"/>
          <w:lang w:val="en-US" w:eastAsia="zh-CN"/>
          <w14:textFill>
            <w14:solidFill>
              <w14:schemeClr w14:val="tx1"/>
            </w14:solidFill>
          </w14:textFill>
        </w:rPr>
        <w:t>建筑面积134.68㎡的住宅用房</w:t>
      </w:r>
      <w:r>
        <w:rPr>
          <w:rFonts w:hint="eastAsia" w:ascii="仿宋" w:hAnsi="仿宋" w:eastAsia="仿宋" w:cs="仿宋"/>
          <w:b w:val="0"/>
          <w:bCs/>
          <w:color w:val="000000" w:themeColor="text1"/>
          <w:spacing w:val="0"/>
          <w:sz w:val="28"/>
          <w:szCs w:val="28"/>
          <w:lang w:eastAsia="zh-CN"/>
          <w14:textFill>
            <w14:solidFill>
              <w14:schemeClr w14:val="tx1"/>
            </w14:solidFill>
          </w14:textFill>
        </w:rPr>
        <w:t>，不动产证号：黑（2017）牡丹江市不动产权第0071514号，房屋产权人为李宝珍。</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价值时点：2022年9月8日。</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价值类型：市场价值。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估价方法：比较法。</w:t>
      </w:r>
    </w:p>
    <w:p>
      <w:pPr>
        <w:keepNext w:val="0"/>
        <w:keepLines w:val="0"/>
        <w:pageBreakBefore w:val="0"/>
        <w:widowControl/>
        <w:suppressLineNumbers w:val="0"/>
        <w:kinsoku/>
        <w:wordWrap/>
        <w:overflowPunct/>
        <w:topLinePunct w:val="0"/>
        <w:bidi w:val="0"/>
        <w:spacing w:line="560" w:lineRule="exact"/>
        <w:ind w:firstLine="560" w:firstLineChars="200"/>
        <w:jc w:val="both"/>
        <w:textAlignment w:val="auto"/>
        <w:rPr>
          <w:rFonts w:hint="default"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本次估价按照估价程序，经过实地查勘和市场调查，遵照《中华人民共和国城市房地产管理法》《中华人民共和国资产评估法》《最高人民法院关于人民法院确定财产处置参考价若干问题的规定》《人民法院委托评估工作规范》等法律法规，以及《房地产估价规范》</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（GB/T50291-2015）</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《房地产估价基本术语标准》</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GB/T 50899-2013</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等标准规范，按照科学的估价程序，</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遵循独立、客观、公正原则，</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经过认真的测算，最终确定估价对象在本估价报告的假设和限制条件及价值时点的房地产市场价值为人民币：417,508.00元；大写：肆拾壹万柒仟伍佰零捌元整。平均单价：3,100.00元/㎡。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评估报告使用特别提示：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（一）财产拍卖（或者变卖）日期与评估报告载明的价值时点不一致的，评估对象状况或者房地产市场状况的变化会对评估结果产生影响；</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（二）在评估结果有效期内，评估对象状况或者房地产市场发生明显变化的，评估结果应当进行相应调整；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（三）委托人或者评估报告使用人应当按照法律规定和评估报告载明的使用范围使用评估报告，违反该规定使用评估报告的，房地产估价机构和注册房地产估价师依法不承担责任；</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（四）评估结果不等于评估对象处置可实现的成交价，不应被认为是对评估对象处置成交价的保证；</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报告使用人在使用本报告之前需对估价报告书全文，特别是“估价的假设和限制条件”认真阅读，以免使用不当，造成损失！</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4200" w:firstLineChars="15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 w:hAnsi="仿宋" w:eastAsia="仿宋" w:cs="仿宋"/>
          <w:b w:val="0"/>
          <w:bCs/>
          <w:color w:val="FF0000"/>
          <w:sz w:val="28"/>
          <w:szCs w:val="28"/>
          <w:lang w:val="en-US" w:eastAsia="zh-CN"/>
        </w:rPr>
      </w:pPr>
      <w:r>
        <w:rPr>
          <w:rFonts w:hint="eastAsia" w:ascii="仿宋" w:hAnsi="仿宋" w:eastAsia="仿宋" w:cs="仿宋"/>
          <w:b w:val="0"/>
          <w:bCs/>
          <w:color w:val="FF0000"/>
          <w:sz w:val="28"/>
          <w:szCs w:val="28"/>
          <w:lang w:val="en-US" w:eastAsia="zh-CN"/>
        </w:rPr>
        <w:t xml:space="preserve">                                  </w:t>
      </w:r>
      <w:r>
        <w:rPr>
          <w:rFonts w:hint="eastAsia" w:ascii="仿宋" w:hAnsi="仿宋" w:eastAsia="仿宋" w:cs="仿宋"/>
          <w:color w:val="auto"/>
          <w:kern w:val="0"/>
          <w:sz w:val="28"/>
          <w:szCs w:val="28"/>
          <w:lang w:val="en-US" w:eastAsia="zh-CN" w:bidi="ar"/>
        </w:rPr>
        <w:t>法定代表人：</w:t>
      </w:r>
    </w:p>
    <w:p>
      <w:pPr>
        <w:pageBreakBefore w:val="0"/>
        <w:tabs>
          <w:tab w:val="left" w:pos="1572"/>
        </w:tabs>
        <w:kinsoku/>
        <w:wordWrap/>
        <w:overflowPunct/>
        <w:topLinePunct w:val="0"/>
        <w:bidi w:val="0"/>
        <w:spacing w:line="560" w:lineRule="exact"/>
        <w:ind w:firstLine="5341" w:firstLineChars="1900"/>
        <w:jc w:val="both"/>
        <w:rPr>
          <w:rFonts w:hint="eastAsia" w:ascii="仿宋" w:hAnsi="仿宋" w:eastAsia="仿宋" w:cs="仿宋"/>
          <w:b/>
          <w:color w:val="0000FF"/>
          <w:sz w:val="28"/>
          <w:szCs w:val="28"/>
          <w:lang w:val="zh-CN"/>
        </w:rPr>
      </w:pPr>
    </w:p>
    <w:p>
      <w:pPr>
        <w:pageBreakBefore w:val="0"/>
        <w:tabs>
          <w:tab w:val="left" w:pos="1572"/>
        </w:tabs>
        <w:kinsoku/>
        <w:wordWrap/>
        <w:overflowPunct/>
        <w:topLinePunct w:val="0"/>
        <w:bidi w:val="0"/>
        <w:spacing w:line="560" w:lineRule="exact"/>
        <w:ind w:firstLine="5341" w:firstLineChars="1900"/>
        <w:jc w:val="both"/>
        <w:rPr>
          <w:rFonts w:hint="eastAsia" w:ascii="仿宋" w:hAnsi="仿宋" w:eastAsia="仿宋" w:cs="仿宋"/>
          <w:b/>
          <w:bCs/>
          <w:color w:val="0070C0"/>
          <w:sz w:val="28"/>
          <w:szCs w:val="28"/>
          <w:lang w:val="en-US" w:eastAsia="zh-CN"/>
        </w:rPr>
        <w:sectPr>
          <w:footerReference r:id="rId8" w:type="default"/>
          <w:pgSz w:w="11906" w:h="16838"/>
          <w:pgMar w:top="1417" w:right="1134" w:bottom="1134" w:left="1474" w:header="737" w:footer="992" w:gutter="0"/>
          <w:pgNumType w:fmt="numberInDash" w:start="1"/>
          <w:cols w:space="0" w:num="1"/>
          <w:rtlGutter w:val="0"/>
          <w:docGrid w:type="lines" w:linePitch="325" w:charSpace="0"/>
        </w:sectPr>
      </w:pPr>
      <w:r>
        <w:rPr>
          <w:rFonts w:hint="eastAsia" w:ascii="仿宋" w:hAnsi="仿宋" w:eastAsia="仿宋" w:cs="仿宋"/>
          <w:b/>
          <w:color w:val="0000FF"/>
          <w:sz w:val="28"/>
          <w:szCs w:val="28"/>
          <w:lang w:val="zh-CN"/>
        </w:rPr>
        <w:t>二〇二二年九月十二日</w:t>
      </w:r>
    </w:p>
    <w:sdt>
      <w:sdtPr>
        <w:rPr>
          <w:rFonts w:hint="eastAsia" w:ascii="仿宋" w:hAnsi="仿宋" w:eastAsia="仿宋" w:cs="仿宋"/>
          <w:kern w:val="2"/>
          <w:sz w:val="21"/>
          <w:szCs w:val="24"/>
          <w:lang w:val="en-US" w:eastAsia="zh-CN" w:bidi="ar-SA"/>
        </w:rPr>
        <w:id w:val="147481843"/>
        <w15:color w:val="DBDBDB"/>
        <w:docPartObj>
          <w:docPartGallery w:val="Table of Contents"/>
          <w:docPartUnique/>
        </w:docPartObj>
      </w:sdtPr>
      <w:sdtEndPr>
        <w:rPr>
          <w:rFonts w:hint="eastAsia" w:ascii="仿宋" w:hAnsi="仿宋" w:eastAsia="仿宋" w:cs="仿宋"/>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28"/>
              <w:szCs w:val="28"/>
            </w:rPr>
          </w:pP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_Toc29002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_Toc29002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_Toc8774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_Toc8774 \h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_Toc1883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一、一般假设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_Toc1883 \h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_Toc21490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二、未定事项假设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_Toc21490 \h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_Toc3800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三、背离事实假设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_Toc3800 \h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_Toc32662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四、不相一致假设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_Toc32662 \h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_Toc32439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五、依据不足假设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_Toc32439 \h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_Toc11317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六、估价报告使用限制条件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_Toc11317 \h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_Toc1613 </w:instrText>
          </w:r>
          <w:r>
            <w:rPr>
              <w:rFonts w:hint="eastAsia" w:ascii="仿宋" w:hAnsi="仿宋" w:eastAsia="仿宋" w:cs="仿宋"/>
              <w:sz w:val="28"/>
              <w:szCs w:val="28"/>
            </w:rPr>
            <w:fldChar w:fldCharType="separate"/>
          </w:r>
          <w:r>
            <w:rPr>
              <w:rFonts w:hint="eastAsia" w:ascii="仿宋" w:hAnsi="仿宋" w:eastAsia="仿宋" w:cs="仿宋"/>
              <w:sz w:val="28"/>
              <w:szCs w:val="28"/>
            </w:rPr>
            <w:t>房地产估价结果报告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_Toc1613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_Toc30197 </w:instrText>
          </w:r>
          <w:r>
            <w:rPr>
              <w:rFonts w:hint="eastAsia" w:ascii="仿宋" w:hAnsi="仿宋" w:eastAsia="仿宋" w:cs="仿宋"/>
              <w:sz w:val="28"/>
              <w:szCs w:val="28"/>
            </w:rPr>
            <w:fldChar w:fldCharType="separate"/>
          </w:r>
          <w:r>
            <w:rPr>
              <w:rFonts w:hint="eastAsia" w:ascii="仿宋" w:hAnsi="仿宋" w:eastAsia="仿宋" w:cs="仿宋"/>
              <w:kern w:val="2"/>
              <w:sz w:val="28"/>
              <w:szCs w:val="28"/>
              <w:lang w:val="en-US" w:eastAsia="zh-CN" w:bidi="ar-SA"/>
            </w:rPr>
            <w:t>一、委托人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_Toc30197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二</w:t>
          </w:r>
          <w:r>
            <w:rPr>
              <w:rFonts w:hint="eastAsia" w:ascii="仿宋" w:hAnsi="仿宋" w:eastAsia="仿宋" w:cs="仿宋"/>
              <w:sz w:val="28"/>
              <w:szCs w:val="28"/>
            </w:rPr>
            <w:t>、估价机构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_Toc6612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三</w:t>
          </w:r>
          <w:r>
            <w:rPr>
              <w:rFonts w:hint="eastAsia" w:ascii="仿宋" w:hAnsi="仿宋" w:eastAsia="仿宋" w:cs="仿宋"/>
              <w:sz w:val="28"/>
              <w:szCs w:val="28"/>
            </w:rPr>
            <w:t>、估价目的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_Toc6612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_Toc15365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四、</w:t>
          </w:r>
          <w:r>
            <w:rPr>
              <w:rFonts w:hint="eastAsia" w:ascii="仿宋" w:hAnsi="仿宋" w:eastAsia="仿宋" w:cs="仿宋"/>
              <w:sz w:val="28"/>
              <w:szCs w:val="28"/>
            </w:rPr>
            <w:t>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_Toc15365 \h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_Toc30752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五、</w:t>
          </w:r>
          <w:r>
            <w:rPr>
              <w:rFonts w:hint="eastAsia" w:ascii="仿宋" w:hAnsi="仿宋" w:eastAsia="仿宋" w:cs="仿宋"/>
              <w:sz w:val="28"/>
              <w:szCs w:val="28"/>
            </w:rPr>
            <w:t>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_Toc30752 \h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_Toc20512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六、</w:t>
          </w:r>
          <w:r>
            <w:rPr>
              <w:rFonts w:hint="eastAsia" w:ascii="仿宋" w:hAnsi="仿宋" w:eastAsia="仿宋" w:cs="仿宋"/>
              <w:sz w:val="28"/>
              <w:szCs w:val="28"/>
            </w:rPr>
            <w:t>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_Toc20512 \h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_Toc13270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七</w:t>
          </w:r>
          <w:r>
            <w:rPr>
              <w:rFonts w:hint="eastAsia" w:ascii="仿宋" w:hAnsi="仿宋" w:eastAsia="仿宋" w:cs="仿宋"/>
              <w:sz w:val="28"/>
              <w:szCs w:val="28"/>
            </w:rPr>
            <w:t>、估价原则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_Toc13270 \h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_Toc13573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八</w:t>
          </w:r>
          <w:r>
            <w:rPr>
              <w:rFonts w:hint="eastAsia" w:ascii="仿宋" w:hAnsi="仿宋" w:eastAsia="仿宋" w:cs="仿宋"/>
              <w:sz w:val="28"/>
              <w:szCs w:val="28"/>
            </w:rPr>
            <w:t>、估价依据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_Toc13573 \h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_Toc7732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_Toc7732 \h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_Toc1886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_Toc1886 \h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_Toc23790 </w:instrText>
          </w:r>
          <w:r>
            <w:rPr>
              <w:rFonts w:hint="eastAsia" w:ascii="仿宋" w:hAnsi="仿宋" w:eastAsia="仿宋" w:cs="仿宋"/>
              <w:sz w:val="28"/>
              <w:szCs w:val="28"/>
            </w:rPr>
            <w:fldChar w:fldCharType="separate"/>
          </w:r>
          <w:r>
            <w:rPr>
              <w:rFonts w:hint="eastAsia" w:ascii="仿宋" w:hAnsi="仿宋" w:eastAsia="仿宋" w:cs="仿宋"/>
              <w:kern w:val="2"/>
              <w:sz w:val="28"/>
              <w:szCs w:val="28"/>
              <w:lang w:val="en-US" w:eastAsia="zh-CN" w:bidi="ar-SA"/>
            </w:rPr>
            <w:t xml:space="preserve">十一、 </w:t>
          </w:r>
          <w:r>
            <w:rPr>
              <w:rFonts w:hint="eastAsia" w:ascii="仿宋" w:hAnsi="仿宋" w:eastAsia="仿宋" w:cs="仿宋"/>
              <w:sz w:val="28"/>
              <w:szCs w:val="28"/>
              <w:lang w:val="en-US" w:eastAsia="zh-CN"/>
            </w:rPr>
            <w:t>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_Toc23790 \h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_Toc27524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十二</w:t>
          </w:r>
          <w:r>
            <w:rPr>
              <w:rFonts w:hint="eastAsia" w:ascii="仿宋" w:hAnsi="仿宋" w:eastAsia="仿宋" w:cs="仿宋"/>
              <w:sz w:val="28"/>
              <w:szCs w:val="28"/>
            </w:rPr>
            <w:t>、</w:t>
          </w:r>
          <w:r>
            <w:rPr>
              <w:rFonts w:hint="eastAsia" w:ascii="仿宋" w:hAnsi="仿宋" w:eastAsia="仿宋" w:cs="仿宋"/>
              <w:sz w:val="28"/>
              <w:szCs w:val="28"/>
              <w:lang w:eastAsia="zh-CN"/>
            </w:rPr>
            <w:t>实地查勘</w:t>
          </w:r>
          <w:r>
            <w:rPr>
              <w:rFonts w:hint="eastAsia" w:ascii="仿宋" w:hAnsi="仿宋" w:eastAsia="仿宋" w:cs="仿宋"/>
              <w:sz w:val="28"/>
              <w:szCs w:val="28"/>
            </w:rPr>
            <w:t>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_Toc27524 \h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_Toc2721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十三</w:t>
          </w:r>
          <w:r>
            <w:rPr>
              <w:rFonts w:hint="eastAsia" w:ascii="仿宋" w:hAnsi="仿宋" w:eastAsia="仿宋" w:cs="仿宋"/>
              <w:sz w:val="28"/>
              <w:szCs w:val="28"/>
            </w:rPr>
            <w:t>、 估价作业期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 \h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_Toc8867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十四、</w:t>
          </w:r>
          <w:r>
            <w:rPr>
              <w:rFonts w:hint="eastAsia" w:ascii="仿宋" w:hAnsi="仿宋" w:eastAsia="仿宋" w:cs="仿宋"/>
              <w:sz w:val="28"/>
              <w:szCs w:val="28"/>
            </w:rPr>
            <w:t xml:space="preserve"> 估价报告有效期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_Toc8867 \h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rPr>
              <w:rFonts w:hint="eastAsia" w:ascii="仿宋" w:hAnsi="仿宋" w:eastAsia="仿宋" w:cs="仿宋"/>
            </w:rPr>
          </w:pPr>
          <w:r>
            <w:rPr>
              <w:rFonts w:hint="eastAsia" w:ascii="仿宋" w:hAnsi="仿宋" w:eastAsia="仿宋" w:cs="仿宋"/>
              <w:sz w:val="28"/>
              <w:szCs w:val="28"/>
            </w:rPr>
            <w:fldChar w:fldCharType="end"/>
          </w:r>
        </w:p>
      </w:sdtContent>
    </w:sdt>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outlineLvl w:val="0"/>
        <w:rPr>
          <w:rFonts w:hint="default" w:ascii="仿宋" w:hAnsi="仿宋" w:eastAsia="仿宋" w:cs="仿宋"/>
          <w:sz w:val="28"/>
          <w:szCs w:val="28"/>
          <w:lang w:val="en-US"/>
        </w:rPr>
      </w:pPr>
      <w:bookmarkStart w:id="0" w:name="_Toc24801"/>
      <w:r>
        <w:rPr>
          <w:rFonts w:hint="eastAsia" w:ascii="仿宋" w:hAnsi="仿宋" w:eastAsia="仿宋" w:cs="仿宋"/>
          <w:b/>
          <w:color w:val="000000"/>
          <w:kern w:val="0"/>
          <w:sz w:val="28"/>
          <w:szCs w:val="28"/>
          <w:lang w:val="en-US" w:eastAsia="zh-CN" w:bidi="ar"/>
        </w:rPr>
        <w:t>附    件</w:t>
      </w:r>
      <w:bookmarkEnd w:id="0"/>
      <w:r>
        <w:rPr>
          <w:rFonts w:hint="eastAsia" w:ascii="仿宋" w:hAnsi="仿宋" w:eastAsia="仿宋" w:cs="仿宋"/>
          <w:sz w:val="28"/>
          <w:szCs w:val="28"/>
          <w:lang w:val="en-US" w:eastAsia="zh-CN"/>
        </w:rPr>
        <w:t>...................................................-11-</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_Toc30197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kern w:val="2"/>
          <w:sz w:val="28"/>
          <w:szCs w:val="28"/>
          <w:lang w:val="en-US" w:eastAsia="zh-CN" w:bidi="ar-SA"/>
          <w14:textFill>
            <w14:solidFill>
              <w14:schemeClr w14:val="tx1"/>
            </w14:solidFill>
          </w14:textFill>
        </w:rPr>
        <w:t>一、</w:t>
      </w:r>
      <w:r>
        <w:rPr>
          <w:rFonts w:hint="eastAsia" w:ascii="仿宋" w:hAnsi="仿宋" w:eastAsia="仿宋" w:cs="仿宋"/>
          <w:color w:val="000000" w:themeColor="text1"/>
          <w:kern w:val="0"/>
          <w:sz w:val="28"/>
          <w:szCs w:val="28"/>
          <w:lang w:val="en-US" w:eastAsia="zh-CN" w:bidi="ar"/>
          <w14:textFill>
            <w14:solidFill>
              <w14:schemeClr w14:val="tx1"/>
            </w14:solidFill>
          </w14:textFill>
        </w:rPr>
        <w:t>估价委托书、判决书、裁定书、不动产登记及</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查询证明</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lang w:val="en-US" w:eastAsia="zh-CN"/>
          <w14:textFill>
            <w14:solidFill>
              <w14:schemeClr w14:val="tx1"/>
            </w14:solidFill>
          </w14:textFill>
        </w:rPr>
        <w:t xml:space="preserve"> 12 -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_Toc161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估价对象位置示意图</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lang w:val="en-US" w:eastAsia="zh-CN"/>
          <w14:textFill>
            <w14:solidFill>
              <w14:schemeClr w14:val="tx1"/>
            </w14:solidFill>
          </w14:textFill>
        </w:rPr>
        <w:t xml:space="preserve"> 28 -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_Toc6612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估价机构营业执照和估价资质证书复印件</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lang w:val="en-US" w:eastAsia="zh-CN"/>
          <w14:textFill>
            <w14:solidFill>
              <w14:schemeClr w14:val="tx1"/>
            </w14:solidFill>
          </w14:textFill>
        </w:rPr>
        <w:t xml:space="preserve"> 30 -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_Toc15365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sz w:val="28"/>
          <w:szCs w:val="28"/>
          <w:lang w:eastAsia="zh-CN"/>
          <w14:textFill>
            <w14:solidFill>
              <w14:schemeClr w14:val="tx1"/>
            </w14:solidFill>
          </w14:textFill>
        </w:rPr>
        <w:t>四、</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注册房地产估价师证书复印件</w:t>
      </w:r>
      <w:r>
        <w:rPr>
          <w:rFonts w:hint="eastAsia" w:ascii="仿宋" w:hAnsi="仿宋" w:eastAsia="仿宋" w:cs="仿宋"/>
          <w:color w:val="000000" w:themeColor="text1"/>
          <w:sz w:val="28"/>
          <w:szCs w:val="28"/>
          <w:lang w:val="en-US" w:eastAsia="zh-CN"/>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lang w:val="en-US" w:eastAsia="zh-CN"/>
          <w14:textFill>
            <w14:solidFill>
              <w14:schemeClr w14:val="tx1"/>
            </w14:solidFill>
          </w14:textFill>
        </w:rPr>
        <w:t xml:space="preserve"> 31 -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_Toc30752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\l _Toc6612 </w:instrText>
      </w:r>
      <w:r>
        <w:rPr>
          <w:rFonts w:hint="eastAsia" w:ascii="仿宋" w:hAnsi="仿宋" w:eastAsia="仿宋" w:cs="仿宋"/>
          <w:color w:val="000000" w:themeColor="text1"/>
          <w:sz w:val="28"/>
          <w:szCs w:val="28"/>
          <w14:textFill>
            <w14:solidFill>
              <w14:schemeClr w14:val="tx1"/>
            </w14:solidFill>
          </w14:textFill>
        </w:rPr>
        <w:fldChar w:fldCharType="separate"/>
      </w:r>
      <w:r>
        <w:rPr>
          <w:rFonts w:hint="eastAsia" w:ascii="仿宋" w:hAnsi="仿宋" w:eastAsia="仿宋" w:cs="仿宋"/>
          <w:color w:val="000000" w:themeColor="text1"/>
          <w:kern w:val="0"/>
          <w:sz w:val="28"/>
          <w:szCs w:val="28"/>
          <w:lang w:val="en-US" w:eastAsia="zh-CN" w:bidi="ar"/>
          <w14:textFill>
            <w14:solidFill>
              <w14:schemeClr w14:val="tx1"/>
            </w14:solidFill>
          </w14:textFill>
        </w:rPr>
        <w:t>估价对象实地查相关照片</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lang w:val="en-US" w:eastAsia="zh-CN"/>
          <w14:textFill>
            <w14:solidFill>
              <w14:schemeClr w14:val="tx1"/>
            </w14:solidFill>
          </w14:textFill>
        </w:rPr>
        <w:t>- 32 -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FF0000"/>
          <w:kern w:val="0"/>
          <w:sz w:val="28"/>
          <w:szCs w:val="28"/>
          <w:lang w:val="en-US" w:eastAsia="zh-CN" w:bidi="ar"/>
        </w:rPr>
      </w:pPr>
      <w:r>
        <w:rPr>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sz w:val="28"/>
          <w:szCs w:val="28"/>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rPr>
          <w:rFonts w:hint="eastAsia" w:ascii="仿宋" w:hAnsi="仿宋" w:eastAsia="仿宋" w:cs="仿宋"/>
          <w:b/>
          <w:color w:val="000000"/>
          <w:kern w:val="0"/>
          <w:sz w:val="28"/>
          <w:szCs w:val="28"/>
          <w:lang w:val="en-US" w:eastAsia="zh-CN" w:bidi="ar"/>
        </w:rPr>
        <w:sectPr>
          <w:footerReference r:id="rId9" w:type="default"/>
          <w:pgSz w:w="11906" w:h="16838"/>
          <w:pgMar w:top="1417" w:right="1134" w:bottom="1134" w:left="1474" w:header="737" w:footer="992" w:gutter="0"/>
          <w:pgNumType w:fmt="numberInDash" w:start="1"/>
          <w:cols w:space="0" w:num="1"/>
          <w:rtlGutter w:val="0"/>
          <w:docGrid w:type="lines" w:linePitch="325" w:charSpace="0"/>
        </w:sectPr>
      </w:pPr>
    </w:p>
    <w:p>
      <w:pPr>
        <w:pStyle w:val="2"/>
        <w:bidi w:val="0"/>
        <w:jc w:val="center"/>
        <w:rPr>
          <w:rFonts w:hint="eastAsia" w:ascii="仿宋" w:hAnsi="仿宋" w:eastAsia="仿宋" w:cs="仿宋"/>
          <w:b/>
          <w:bCs/>
          <w:szCs w:val="44"/>
          <w:lang w:val="en-US" w:eastAsia="zh-CN"/>
        </w:rPr>
      </w:pPr>
      <w:bookmarkStart w:id="1" w:name="_Toc29002"/>
      <w:r>
        <w:rPr>
          <w:rFonts w:hint="eastAsia" w:ascii="仿宋" w:hAnsi="仿宋" w:eastAsia="仿宋" w:cs="仿宋"/>
          <w:lang w:val="en-US" w:eastAsia="zh-CN"/>
        </w:rPr>
        <w:t>估价师声明</w:t>
      </w:r>
      <w:bookmarkEnd w:id="1"/>
    </w:p>
    <w:p>
      <w:pPr>
        <w:keepNext w:val="0"/>
        <w:keepLines w:val="0"/>
        <w:pageBreakBefore w:val="0"/>
        <w:tabs>
          <w:tab w:val="left" w:pos="1017"/>
          <w:tab w:val="left" w:pos="1572"/>
        </w:tabs>
        <w:kinsoku/>
        <w:wordWrap/>
        <w:overflowPunct/>
        <w:topLinePunct w:val="0"/>
        <w:autoSpaceDE/>
        <w:autoSpaceDN/>
        <w:bidi w:val="0"/>
        <w:adjustRightInd/>
        <w:spacing w:line="45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我们根据自己的专业知识和职业道德，在此郑重声明：</w:t>
      </w:r>
      <w:r>
        <w:rPr>
          <w:rFonts w:hint="eastAsia" w:ascii="仿宋" w:hAnsi="仿宋" w:eastAsia="仿宋" w:cs="仿宋"/>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我们在本估价报告中陈述的事实是真实和准确的</w:t>
      </w:r>
      <w:r>
        <w:rPr>
          <w:rFonts w:hint="eastAsia" w:ascii="仿宋" w:hAnsi="仿宋" w:eastAsia="仿宋" w:cs="仿宋"/>
          <w:color w:val="auto"/>
          <w:sz w:val="28"/>
          <w:szCs w:val="28"/>
          <w:highlight w:val="none"/>
          <w:lang w:eastAsia="zh-CN"/>
        </w:rPr>
        <w:t>，没有虚假记载、误导性陈述和重大遗漏。</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本估价报告中的分析、意见和结论是我们</w:t>
      </w:r>
      <w:r>
        <w:rPr>
          <w:rFonts w:hint="eastAsia" w:ascii="仿宋" w:hAnsi="仿宋" w:eastAsia="仿宋" w:cs="仿宋"/>
          <w:color w:val="auto"/>
          <w:sz w:val="28"/>
          <w:szCs w:val="28"/>
          <w:highlight w:val="none"/>
          <w:lang w:eastAsia="zh-CN"/>
        </w:rPr>
        <w:t>独立、客观、</w:t>
      </w:r>
      <w:r>
        <w:rPr>
          <w:rFonts w:hint="eastAsia" w:ascii="仿宋" w:hAnsi="仿宋" w:eastAsia="仿宋" w:cs="仿宋"/>
          <w:color w:val="auto"/>
          <w:sz w:val="28"/>
          <w:szCs w:val="28"/>
          <w:highlight w:val="none"/>
        </w:rPr>
        <w:t>公证的专业分析、意见和结论，但受到本估价报告中已说明的</w:t>
      </w:r>
      <w:r>
        <w:rPr>
          <w:rFonts w:hint="eastAsia" w:ascii="仿宋" w:hAnsi="仿宋" w:eastAsia="仿宋" w:cs="仿宋"/>
          <w:color w:val="auto"/>
          <w:sz w:val="28"/>
          <w:szCs w:val="28"/>
          <w:highlight w:val="none"/>
          <w:lang w:eastAsia="zh-CN"/>
        </w:rPr>
        <w:t>估价</w:t>
      </w:r>
      <w:r>
        <w:rPr>
          <w:rFonts w:hint="eastAsia" w:ascii="仿宋" w:hAnsi="仿宋" w:eastAsia="仿宋" w:cs="仿宋"/>
          <w:color w:val="auto"/>
          <w:sz w:val="28"/>
          <w:szCs w:val="28"/>
          <w:highlight w:val="none"/>
        </w:rPr>
        <w:t>假设和限制条件的限制</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我们与本估价报告中的估价对象没有</w:t>
      </w:r>
      <w:r>
        <w:rPr>
          <w:rFonts w:hint="eastAsia" w:ascii="仿宋" w:hAnsi="仿宋" w:eastAsia="仿宋" w:cs="仿宋"/>
          <w:color w:val="auto"/>
          <w:sz w:val="28"/>
          <w:szCs w:val="28"/>
          <w:highlight w:val="none"/>
          <w:lang w:eastAsia="zh-CN"/>
        </w:rPr>
        <w:t>现实或潜在的利益，与估价委托人及估价利害关系人没有</w:t>
      </w:r>
      <w:r>
        <w:rPr>
          <w:rFonts w:hint="eastAsia" w:ascii="仿宋" w:hAnsi="仿宋" w:eastAsia="仿宋" w:cs="仿宋"/>
          <w:color w:val="auto"/>
          <w:sz w:val="28"/>
          <w:szCs w:val="28"/>
          <w:highlight w:val="none"/>
        </w:rPr>
        <w:t>利害关系，也</w:t>
      </w:r>
      <w:r>
        <w:rPr>
          <w:rFonts w:hint="eastAsia" w:ascii="仿宋" w:hAnsi="仿宋" w:eastAsia="仿宋" w:cs="仿宋"/>
          <w:color w:val="auto"/>
          <w:sz w:val="28"/>
          <w:szCs w:val="28"/>
          <w:highlight w:val="none"/>
          <w:lang w:eastAsia="zh-CN"/>
        </w:rPr>
        <w:t>对</w:t>
      </w:r>
      <w:r>
        <w:rPr>
          <w:rFonts w:hint="eastAsia" w:ascii="仿宋" w:hAnsi="仿宋" w:eastAsia="仿宋" w:cs="仿宋"/>
          <w:color w:val="auto"/>
          <w:sz w:val="28"/>
          <w:szCs w:val="28"/>
          <w:highlight w:val="none"/>
        </w:rPr>
        <w:t>估价对象</w:t>
      </w:r>
      <w:r>
        <w:rPr>
          <w:rFonts w:hint="eastAsia" w:ascii="仿宋" w:hAnsi="仿宋" w:eastAsia="仿宋" w:cs="仿宋"/>
          <w:color w:val="auto"/>
          <w:sz w:val="28"/>
          <w:szCs w:val="28"/>
          <w:highlight w:val="none"/>
          <w:lang w:eastAsia="zh-CN"/>
        </w:rPr>
        <w:t>、估价委托人及估价利害关系人没有</w:t>
      </w:r>
      <w:r>
        <w:rPr>
          <w:rFonts w:hint="eastAsia" w:ascii="仿宋" w:hAnsi="仿宋" w:eastAsia="仿宋" w:cs="仿宋"/>
          <w:color w:val="auto"/>
          <w:sz w:val="28"/>
          <w:szCs w:val="28"/>
          <w:highlight w:val="none"/>
        </w:rPr>
        <w:t>偏见</w:t>
      </w:r>
      <w:r>
        <w:rPr>
          <w:rFonts w:hint="eastAsia" w:ascii="仿宋" w:hAnsi="仿宋" w:eastAsia="仿宋" w:cs="仿宋"/>
          <w:color w:val="auto"/>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我们依照中华人民共和国国家标准《房地产估价规范》、《房地产估价基本术语标准》</w:t>
      </w:r>
      <w:r>
        <w:rPr>
          <w:rFonts w:hint="eastAsia" w:ascii="仿宋" w:hAnsi="仿宋" w:eastAsia="仿宋" w:cs="仿宋"/>
          <w:color w:val="auto"/>
          <w:sz w:val="28"/>
          <w:szCs w:val="28"/>
          <w:highlight w:val="none"/>
          <w:lang w:eastAsia="zh-CN"/>
        </w:rPr>
        <w:t>的规定</w:t>
      </w:r>
      <w:r>
        <w:rPr>
          <w:rFonts w:hint="eastAsia" w:ascii="仿宋" w:hAnsi="仿宋" w:eastAsia="仿宋" w:cs="仿宋"/>
          <w:color w:val="auto"/>
          <w:sz w:val="28"/>
          <w:szCs w:val="28"/>
          <w:highlight w:val="none"/>
        </w:rPr>
        <w:t>进行</w:t>
      </w:r>
      <w:r>
        <w:rPr>
          <w:rFonts w:hint="eastAsia" w:ascii="仿宋" w:hAnsi="仿宋" w:eastAsia="仿宋" w:cs="仿宋"/>
          <w:color w:val="auto"/>
          <w:sz w:val="28"/>
          <w:szCs w:val="28"/>
          <w:highlight w:val="none"/>
          <w:lang w:eastAsia="zh-CN"/>
        </w:rPr>
        <w:t>估价工作</w:t>
      </w:r>
      <w:r>
        <w:rPr>
          <w:rFonts w:hint="eastAsia" w:ascii="仿宋" w:hAnsi="仿宋" w:eastAsia="仿宋" w:cs="仿宋"/>
          <w:color w:val="auto"/>
          <w:sz w:val="28"/>
          <w:szCs w:val="28"/>
          <w:highlight w:val="none"/>
        </w:rPr>
        <w:t>，撰写本估价报告</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我们与委托人及相关当事人共同对本估价报告中的估价对象进行了</w:t>
      </w:r>
      <w:r>
        <w:rPr>
          <w:rFonts w:hint="eastAsia" w:ascii="仿宋" w:hAnsi="仿宋" w:eastAsia="仿宋" w:cs="仿宋"/>
          <w:color w:val="auto"/>
          <w:sz w:val="28"/>
          <w:szCs w:val="28"/>
          <w:highlight w:val="none"/>
          <w:lang w:eastAsia="zh-CN"/>
        </w:rPr>
        <w:t>实地查勘</w:t>
      </w:r>
      <w:r>
        <w:rPr>
          <w:rFonts w:hint="eastAsia" w:ascii="仿宋" w:hAnsi="仿宋" w:eastAsia="仿宋" w:cs="仿宋"/>
          <w:color w:val="auto"/>
          <w:sz w:val="28"/>
          <w:szCs w:val="28"/>
          <w:highlight w:val="none"/>
        </w:rPr>
        <w:t>，但</w:t>
      </w:r>
      <w:r>
        <w:rPr>
          <w:rFonts w:hint="eastAsia" w:ascii="仿宋" w:hAnsi="仿宋" w:eastAsia="仿宋" w:cs="仿宋"/>
          <w:color w:val="auto"/>
          <w:sz w:val="28"/>
          <w:szCs w:val="28"/>
          <w:highlight w:val="none"/>
          <w:lang w:val="en-US" w:eastAsia="zh-CN"/>
        </w:rPr>
        <w:t>未进行实地测量，报告内所载面积信息均依据估价委托人提供的材料；且我们对估价对象的现场查勘仅限于其外观和使用情况，对被遮蔽、未暴露及难以接触、观察到的部分，以估价委托人提供的资料为依据进行估价。我们不承担对估价对象内部建筑结构质量调查的责任。</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估价委托人应对其提供的估价资料的真实性负责，若其提供的资料失实，则可能导致估价结果失败，由此引起的法律责任由估价委托人负责。</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7、本房地产估价报告是依据委托人提供的资料和信息出具，资料和信息的真实性、完整性、合法性对于估价结论构成影响，如依据同一标的房地产的其他资料或者信息可能得出与本报告不一致的估价结论。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8、没有人对本估价报告提供重要专业帮助。</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9、参加本次估价的注册房地产估价师人员：</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签名日期</w:t>
            </w:r>
          </w:p>
        </w:tc>
      </w:tr>
      <w:tr>
        <w:tblPrEx>
          <w:tblCellMar>
            <w:top w:w="0" w:type="dxa"/>
            <w:left w:w="0" w:type="dxa"/>
            <w:bottom w:w="0" w:type="dxa"/>
            <w:right w:w="0" w:type="dxa"/>
          </w:tblCellMar>
        </w:tblPrEx>
        <w:trPr>
          <w:trHeight w:val="627"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sz w:val="28"/>
                <w:szCs w:val="28"/>
                <w:highlight w:val="none"/>
                <w:lang w:val="en-US" w:eastAsia="zh-CN"/>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2022年9月12日</w:t>
            </w:r>
          </w:p>
        </w:tc>
      </w:tr>
      <w:tr>
        <w:tblPrEx>
          <w:tblCellMar>
            <w:top w:w="0" w:type="dxa"/>
            <w:left w:w="0" w:type="dxa"/>
            <w:bottom w:w="0" w:type="dxa"/>
            <w:right w:w="0" w:type="dxa"/>
          </w:tblCellMar>
        </w:tblPrEx>
        <w:trPr>
          <w:trHeight w:val="660"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auto"/>
                <w:sz w:val="28"/>
                <w:szCs w:val="28"/>
                <w:highlight w:val="none"/>
                <w:lang w:val="zh-CN"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zh-CN" w:eastAsia="zh-CN" w:bidi="ar"/>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2022年9月12日</w:t>
            </w:r>
          </w:p>
        </w:tc>
      </w:tr>
    </w:tbl>
    <w:p>
      <w:pPr>
        <w:pStyle w:val="2"/>
        <w:pageBreakBefore w:val="0"/>
        <w:kinsoku/>
        <w:overflowPunct/>
        <w:topLinePunct w:val="0"/>
        <w:bidi w:val="0"/>
        <w:adjustRightInd/>
        <w:spacing w:line="460" w:lineRule="exact"/>
        <w:ind w:firstLine="2650" w:firstLineChars="600"/>
        <w:jc w:val="both"/>
        <w:textAlignment w:val="auto"/>
        <w:rPr>
          <w:rFonts w:hint="eastAsia" w:ascii="仿宋" w:hAnsi="仿宋" w:eastAsia="仿宋" w:cs="仿宋"/>
          <w:lang w:val="en-US" w:eastAsia="zh-CN"/>
        </w:rPr>
      </w:pPr>
      <w:bookmarkStart w:id="2" w:name="_Toc64"/>
      <w:bookmarkStart w:id="3" w:name="_Toc31497"/>
      <w:bookmarkStart w:id="4" w:name="_Toc19715"/>
      <w:bookmarkStart w:id="5" w:name="_Toc23458"/>
      <w:bookmarkStart w:id="6" w:name="_Toc704"/>
      <w:bookmarkStart w:id="7" w:name="_Toc764"/>
      <w:bookmarkStart w:id="8" w:name="_Toc20358"/>
      <w:bookmarkStart w:id="9" w:name="_Toc8774"/>
      <w:bookmarkStart w:id="10" w:name="_Toc18247"/>
      <w:bookmarkStart w:id="11" w:name="_Toc15285"/>
    </w:p>
    <w:p>
      <w:pPr>
        <w:pStyle w:val="2"/>
        <w:pageBreakBefore w:val="0"/>
        <w:kinsoku/>
        <w:overflowPunct/>
        <w:topLinePunct w:val="0"/>
        <w:bidi w:val="0"/>
        <w:adjustRightInd/>
        <w:spacing w:line="460" w:lineRule="exact"/>
        <w:ind w:firstLine="2650" w:firstLineChars="600"/>
        <w:jc w:val="both"/>
        <w:textAlignment w:val="auto"/>
        <w:rPr>
          <w:rFonts w:hint="eastAsia" w:ascii="仿宋" w:hAnsi="仿宋" w:eastAsia="仿宋" w:cs="仿宋"/>
        </w:rPr>
      </w:pPr>
      <w:r>
        <w:rPr>
          <w:rFonts w:hint="eastAsia" w:ascii="仿宋" w:hAnsi="仿宋" w:eastAsia="仿宋" w:cs="仿宋"/>
          <w:lang w:val="en-US" w:eastAsia="zh-CN"/>
        </w:rPr>
        <w:t>估价假设和限制条件</w:t>
      </w:r>
      <w:bookmarkEnd w:id="2"/>
      <w:bookmarkEnd w:id="3"/>
      <w:bookmarkEnd w:id="4"/>
      <w:bookmarkEnd w:id="5"/>
      <w:bookmarkEnd w:id="6"/>
      <w:bookmarkEnd w:id="7"/>
      <w:bookmarkEnd w:id="8"/>
      <w:bookmarkEnd w:id="9"/>
      <w:bookmarkEnd w:id="10"/>
      <w:bookmarkEnd w:id="11"/>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sz w:val="24"/>
          <w:szCs w:val="24"/>
          <w:lang w:val="en-US" w:eastAsia="zh-CN"/>
        </w:rPr>
      </w:pPr>
      <w:bookmarkStart w:id="12" w:name="_Toc1883"/>
      <w:r>
        <w:rPr>
          <w:rFonts w:hint="eastAsia" w:ascii="仿宋" w:hAnsi="仿宋" w:eastAsia="仿宋" w:cs="仿宋"/>
          <w:sz w:val="28"/>
          <w:szCs w:val="28"/>
          <w:lang w:val="en-US" w:eastAsia="zh-CN"/>
        </w:rPr>
        <w:t>一、一般假设</w:t>
      </w:r>
      <w:bookmarkEnd w:id="12"/>
      <w:r>
        <w:rPr>
          <w:rFonts w:hint="eastAsia" w:ascii="仿宋" w:hAnsi="仿宋" w:eastAsia="仿宋" w:cs="仿宋"/>
          <w:sz w:val="24"/>
          <w:szCs w:val="24"/>
          <w:lang w:val="en-US" w:eastAsia="zh-CN"/>
        </w:rPr>
        <w:t xml:space="preserve"> </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70C0"/>
          <w:kern w:val="0"/>
          <w:sz w:val="28"/>
          <w:szCs w:val="28"/>
          <w:lang w:val="en-US" w:eastAsia="zh-CN" w:bidi="ar"/>
        </w:rPr>
      </w:pPr>
      <w:r>
        <w:rPr>
          <w:rFonts w:hint="eastAsia" w:ascii="仿宋" w:hAnsi="仿宋" w:eastAsia="仿宋" w:cs="仿宋"/>
          <w:color w:val="000000"/>
          <w:kern w:val="0"/>
          <w:sz w:val="28"/>
          <w:szCs w:val="28"/>
          <w:lang w:val="en-US" w:eastAsia="zh-CN" w:bidi="ar"/>
        </w:rPr>
        <w:t>1、</w:t>
      </w:r>
      <w:r>
        <w:rPr>
          <w:rFonts w:hint="eastAsia" w:ascii="仿宋" w:hAnsi="仿宋" w:eastAsia="仿宋" w:cs="仿宋"/>
          <w:color w:val="auto"/>
          <w:sz w:val="28"/>
          <w:szCs w:val="28"/>
          <w:lang w:eastAsia="zh-CN"/>
        </w:rPr>
        <w:t>委托人提供</w:t>
      </w:r>
      <w:r>
        <w:rPr>
          <w:rFonts w:hint="eastAsia" w:ascii="仿宋" w:hAnsi="仿宋" w:eastAsia="仿宋" w:cs="仿宋"/>
          <w:color w:val="auto"/>
          <w:sz w:val="28"/>
          <w:szCs w:val="28"/>
          <w:lang w:val="en-US" w:eastAsia="zh-CN"/>
        </w:rPr>
        <w:t>了</w:t>
      </w:r>
      <w:r>
        <w:rPr>
          <w:rFonts w:hint="eastAsia" w:ascii="仿宋" w:hAnsi="仿宋" w:eastAsia="仿宋" w:cs="仿宋"/>
          <w:color w:val="0000FF"/>
          <w:sz w:val="28"/>
          <w:szCs w:val="28"/>
          <w:highlight w:val="none"/>
          <w:lang w:val="en-US" w:eastAsia="zh-CN"/>
        </w:rPr>
        <w:t>《</w:t>
      </w:r>
      <w:r>
        <w:rPr>
          <w:rFonts w:hint="eastAsia" w:ascii="仿宋" w:hAnsi="仿宋" w:eastAsia="仿宋" w:cs="仿宋"/>
          <w:color w:val="0000FF"/>
          <w:kern w:val="0"/>
          <w:sz w:val="28"/>
          <w:szCs w:val="28"/>
          <w:lang w:val="en-US" w:eastAsia="zh-CN" w:bidi="ar"/>
        </w:rPr>
        <w:t>委托书</w:t>
      </w:r>
      <w:r>
        <w:rPr>
          <w:rFonts w:hint="eastAsia" w:ascii="仿宋" w:hAnsi="仿宋" w:eastAsia="仿宋" w:cs="仿宋"/>
          <w:color w:val="0000FF"/>
          <w:sz w:val="28"/>
          <w:szCs w:val="28"/>
          <w:highlight w:val="none"/>
          <w:lang w:val="en-US" w:eastAsia="zh-CN"/>
        </w:rPr>
        <w:t>》、《执行裁定书》、《牡丹江市房屋登记查询证明》</w:t>
      </w:r>
      <w:r>
        <w:rPr>
          <w:rFonts w:hint="eastAsia" w:ascii="仿宋" w:hAnsi="仿宋" w:eastAsia="仿宋" w:cs="仿宋"/>
          <w:color w:val="auto"/>
          <w:sz w:val="28"/>
          <w:szCs w:val="28"/>
          <w:highlight w:val="none"/>
          <w:lang w:val="en-US" w:eastAsia="zh-CN"/>
        </w:rPr>
        <w:t>，我们对记载的权属、</w:t>
      </w:r>
      <w:r>
        <w:rPr>
          <w:rFonts w:hint="eastAsia" w:ascii="仿宋" w:hAnsi="仿宋" w:eastAsia="仿宋" w:cs="仿宋"/>
          <w:color w:val="auto"/>
          <w:sz w:val="28"/>
          <w:szCs w:val="28"/>
          <w:highlight w:val="none"/>
        </w:rPr>
        <w:t>面积</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用途</w:t>
      </w:r>
      <w:r>
        <w:rPr>
          <w:rFonts w:hint="eastAsia" w:ascii="仿宋" w:hAnsi="仿宋" w:eastAsia="仿宋" w:cs="仿宋"/>
          <w:color w:val="auto"/>
          <w:sz w:val="28"/>
          <w:szCs w:val="28"/>
          <w:highlight w:val="none"/>
          <w:lang w:eastAsia="zh-CN"/>
        </w:rPr>
        <w:t>等相关</w:t>
      </w:r>
      <w:r>
        <w:rPr>
          <w:rFonts w:hint="eastAsia" w:ascii="仿宋" w:hAnsi="仿宋" w:eastAsia="仿宋" w:cs="仿宋"/>
          <w:color w:val="auto"/>
          <w:sz w:val="28"/>
          <w:szCs w:val="28"/>
          <w:lang w:eastAsia="zh-CN"/>
        </w:rPr>
        <w:t>资料进行了检查，</w:t>
      </w:r>
      <w:r>
        <w:rPr>
          <w:rFonts w:hint="eastAsia" w:ascii="仿宋" w:hAnsi="仿宋" w:eastAsia="仿宋" w:cs="仿宋"/>
          <w:color w:val="000000"/>
          <w:kern w:val="0"/>
          <w:sz w:val="28"/>
          <w:szCs w:val="28"/>
          <w:lang w:val="en-US" w:eastAsia="zh-CN" w:bidi="ar"/>
        </w:rPr>
        <w:t>在无理由怀疑其真实性、准确性、完整性及合法性且</w:t>
      </w:r>
      <w:r>
        <w:rPr>
          <w:rFonts w:hint="eastAsia" w:ascii="仿宋" w:hAnsi="仿宋" w:eastAsia="仿宋" w:cs="仿宋"/>
          <w:color w:val="auto"/>
          <w:sz w:val="28"/>
          <w:szCs w:val="28"/>
        </w:rPr>
        <w:t>未向有关部门进行核实</w:t>
      </w:r>
      <w:r>
        <w:rPr>
          <w:rFonts w:hint="eastAsia" w:ascii="仿宋" w:hAnsi="仿宋" w:eastAsia="仿宋" w:cs="仿宋"/>
          <w:color w:val="000000"/>
          <w:kern w:val="0"/>
          <w:sz w:val="28"/>
          <w:szCs w:val="28"/>
          <w:lang w:val="en-US" w:eastAsia="zh-CN" w:bidi="ar"/>
        </w:rPr>
        <w:t>的情况下，假定估价委托人提供的资料真实、准确、完整、合法。</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注册房地产估价师对估价对象安全、污染环境等影响估价对象价值的重大因素给予了关注，在无理由怀疑估价对象存在安全隐患且无相应的专业机构进行鉴定、监测的情况下，假定估价对象可以正常安全的使用。</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3、本估价结果是在价值时点和本次估价目的下，</w:t>
      </w:r>
      <w:r>
        <w:rPr>
          <w:rFonts w:hint="eastAsia" w:ascii="仿宋" w:hAnsi="仿宋" w:eastAsia="仿宋" w:cs="仿宋"/>
          <w:color w:val="0000FF"/>
          <w:sz w:val="28"/>
          <w:szCs w:val="28"/>
          <w:lang w:val="en-US" w:eastAsia="zh-CN"/>
        </w:rPr>
        <w:t>假定估价对象未改变房屋结构和装修、使用用途、未转变产权所有人等情况下的结论</w:t>
      </w:r>
      <w:r>
        <w:rPr>
          <w:rFonts w:hint="eastAsia" w:ascii="仿宋" w:hAnsi="仿宋" w:eastAsia="仿宋" w:cs="仿宋"/>
          <w:color w:val="000000" w:themeColor="text1"/>
          <w:sz w:val="28"/>
          <w:szCs w:val="28"/>
          <w:lang w:val="en-US" w:eastAsia="zh-CN"/>
          <w14:textFill>
            <w14:solidFill>
              <w14:schemeClr w14:val="tx1"/>
            </w14:solidFill>
          </w14:textFill>
        </w:rPr>
        <w:t>。如估价对象的建筑面积、用途、装修、使用方法、权益状况有调整变化，本次结果应作相应调整。估价结果未考虑未来处置风险。</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4、假设在价值时点的房地产市场是</w:t>
      </w:r>
      <w:r>
        <w:rPr>
          <w:rFonts w:hint="eastAsia" w:ascii="仿宋" w:hAnsi="仿宋" w:eastAsia="仿宋" w:cs="仿宋"/>
          <w:color w:val="000000" w:themeColor="text1"/>
          <w:sz w:val="28"/>
          <w:szCs w:val="28"/>
          <w14:textFill>
            <w14:solidFill>
              <w14:schemeClr w14:val="tx1"/>
            </w14:solidFill>
          </w14:textFill>
        </w:rPr>
        <w:t>公开、</w:t>
      </w:r>
      <w:r>
        <w:rPr>
          <w:rFonts w:hint="eastAsia" w:ascii="仿宋" w:hAnsi="仿宋" w:eastAsia="仿宋" w:cs="仿宋"/>
          <w:color w:val="000000" w:themeColor="text1"/>
          <w:sz w:val="28"/>
          <w:szCs w:val="28"/>
          <w:lang w:val="en-US" w:eastAsia="zh-CN"/>
          <w14:textFill>
            <w14:solidFill>
              <w14:schemeClr w14:val="tx1"/>
            </w14:solidFill>
          </w14:textFill>
        </w:rPr>
        <w:t>平等</w:t>
      </w:r>
      <w:r>
        <w:rPr>
          <w:rFonts w:hint="eastAsia" w:ascii="仿宋" w:hAnsi="仿宋" w:eastAsia="仿宋" w:cs="仿宋"/>
          <w:color w:val="000000" w:themeColor="text1"/>
          <w:sz w:val="28"/>
          <w:szCs w:val="28"/>
          <w14:textFill>
            <w14:solidFill>
              <w14:schemeClr w14:val="tx1"/>
            </w14:solidFill>
          </w14:textFill>
        </w:rPr>
        <w:t>、自愿的交易市场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估价对象可以在公开市场上交易</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交易双方都具有完全市场信息，对交易对象具有必要的专业知识，不存在特殊买者的附加出价。</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估价结果是反映估价对象在本次估价目的下的市场价格参考，估价时没有考虑国家宏观政策发生变化、市场供应关系变化、市场结构转变、遇有自然力和其他不可抗力等因素对房地产价值的影响，也没考虑估价对象将来可能承担违约责任的事宜，以特殊交易方式下的特殊交易价格等对估价价值的影响。当上述条件发生变化时，估价结果一般会发生变化。</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7、本次估价以估价对象</w:t>
      </w:r>
      <w:r>
        <w:rPr>
          <w:rFonts w:hint="eastAsia" w:ascii="仿宋" w:hAnsi="仿宋" w:eastAsia="仿宋" w:cs="仿宋"/>
          <w:color w:val="0000FF"/>
          <w:sz w:val="28"/>
          <w:szCs w:val="28"/>
        </w:rPr>
        <w:t>出售时不附带任何他项权、租赁权、优先购买权、</w:t>
      </w:r>
      <w:r>
        <w:rPr>
          <w:rFonts w:hint="eastAsia" w:ascii="仿宋" w:hAnsi="仿宋" w:eastAsia="仿宋" w:cs="仿宋"/>
          <w:color w:val="0000FF"/>
          <w:sz w:val="28"/>
          <w:szCs w:val="28"/>
          <w:lang w:val="en-US" w:eastAsia="zh-CN"/>
        </w:rPr>
        <w:t>抵押权、</w:t>
      </w:r>
      <w:r>
        <w:rPr>
          <w:rFonts w:hint="eastAsia" w:ascii="仿宋" w:hAnsi="仿宋" w:eastAsia="仿宋" w:cs="仿宋"/>
          <w:color w:val="0000FF"/>
          <w:sz w:val="28"/>
          <w:szCs w:val="28"/>
        </w:rPr>
        <w:t>售后回租</w:t>
      </w:r>
      <w:r>
        <w:rPr>
          <w:rFonts w:hint="eastAsia" w:ascii="仿宋" w:hAnsi="仿宋" w:eastAsia="仿宋" w:cs="仿宋"/>
          <w:color w:val="0000FF"/>
          <w:sz w:val="28"/>
          <w:szCs w:val="28"/>
          <w:lang w:eastAsia="zh-CN"/>
        </w:rPr>
        <w:t>、查封</w:t>
      </w:r>
      <w:r>
        <w:rPr>
          <w:rFonts w:hint="eastAsia" w:ascii="仿宋" w:hAnsi="仿宋" w:eastAsia="仿宋" w:cs="仿宋"/>
          <w:color w:val="0000FF"/>
          <w:sz w:val="28"/>
          <w:szCs w:val="28"/>
        </w:rPr>
        <w:t>以及其他类似的可能影响其正常交易价值的权利约束和特殊条款等</w:t>
      </w:r>
      <w:r>
        <w:rPr>
          <w:rFonts w:hint="eastAsia" w:ascii="仿宋" w:hAnsi="仿宋" w:eastAsia="仿宋" w:cs="仿宋"/>
          <w:color w:val="0000FF"/>
          <w:sz w:val="28"/>
          <w:szCs w:val="28"/>
          <w:lang w:val="en-US" w:eastAsia="zh-CN"/>
        </w:rPr>
        <w:t>为假设前提。</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0000FF"/>
          <w:sz w:val="28"/>
          <w:szCs w:val="28"/>
          <w:lang w:val="en-US" w:eastAsia="zh-CN"/>
        </w:rPr>
        <w:t>8</w:t>
      </w:r>
      <w:r>
        <w:rPr>
          <w:rFonts w:hint="eastAsia" w:ascii="仿宋" w:hAnsi="仿宋" w:eastAsia="仿宋" w:cs="仿宋"/>
          <w:color w:val="0070C0"/>
          <w:sz w:val="28"/>
          <w:szCs w:val="28"/>
          <w:lang w:val="en-US" w:eastAsia="zh-CN"/>
        </w:rPr>
        <w:t>、</w:t>
      </w:r>
      <w:r>
        <w:rPr>
          <w:rFonts w:hint="eastAsia" w:ascii="仿宋" w:hAnsi="仿宋" w:eastAsia="仿宋" w:cs="仿宋"/>
          <w:color w:val="auto"/>
          <w:sz w:val="28"/>
          <w:szCs w:val="28"/>
          <w:highlight w:val="none"/>
          <w:lang w:val="en-US" w:eastAsia="zh-CN"/>
        </w:rPr>
        <w:t>报告</w:t>
      </w:r>
      <w:r>
        <w:rPr>
          <w:rFonts w:hint="eastAsia" w:ascii="仿宋" w:hAnsi="仿宋" w:eastAsia="仿宋" w:cs="仿宋"/>
          <w:color w:val="auto"/>
          <w:sz w:val="28"/>
          <w:szCs w:val="28"/>
          <w:highlight w:val="none"/>
        </w:rPr>
        <w:t>书中</w:t>
      </w:r>
      <w:r>
        <w:rPr>
          <w:rFonts w:hint="eastAsia" w:ascii="仿宋" w:hAnsi="仿宋" w:eastAsia="仿宋" w:cs="仿宋"/>
          <w:color w:val="auto"/>
          <w:sz w:val="28"/>
          <w:szCs w:val="28"/>
          <w:highlight w:val="none"/>
          <w:lang w:val="en-US" w:eastAsia="zh-CN"/>
        </w:rPr>
        <w:t>估价</w:t>
      </w:r>
      <w:r>
        <w:rPr>
          <w:rFonts w:hint="eastAsia" w:ascii="仿宋" w:hAnsi="仿宋" w:eastAsia="仿宋" w:cs="仿宋"/>
          <w:color w:val="auto"/>
          <w:sz w:val="28"/>
          <w:szCs w:val="28"/>
          <w:highlight w:val="none"/>
        </w:rPr>
        <w:t>对象位置是依据</w:t>
      </w:r>
      <w:r>
        <w:rPr>
          <w:rFonts w:hint="eastAsia" w:ascii="仿宋" w:hAnsi="仿宋" w:eastAsia="仿宋" w:cs="仿宋"/>
          <w:color w:val="0000FF"/>
          <w:sz w:val="28"/>
          <w:szCs w:val="28"/>
          <w:highlight w:val="none"/>
        </w:rPr>
        <w:t>委托</w:t>
      </w:r>
      <w:r>
        <w:rPr>
          <w:rFonts w:hint="eastAsia" w:ascii="仿宋" w:hAnsi="仿宋" w:eastAsia="仿宋" w:cs="仿宋"/>
          <w:color w:val="0000FF"/>
          <w:sz w:val="28"/>
          <w:szCs w:val="28"/>
          <w:highlight w:val="none"/>
          <w:lang w:eastAsia="zh-CN"/>
        </w:rPr>
        <w:t>人</w:t>
      </w:r>
      <w:r>
        <w:rPr>
          <w:rFonts w:hint="eastAsia" w:ascii="仿宋" w:hAnsi="仿宋" w:eastAsia="仿宋" w:cs="仿宋"/>
          <w:color w:val="0000FF"/>
          <w:sz w:val="28"/>
          <w:szCs w:val="28"/>
          <w:highlight w:val="none"/>
          <w:lang w:val="en-US" w:eastAsia="zh-CN"/>
        </w:rPr>
        <w:t>及相关当事人</w:t>
      </w:r>
      <w:r>
        <w:rPr>
          <w:rFonts w:hint="eastAsia" w:ascii="仿宋" w:hAnsi="仿宋" w:eastAsia="仿宋" w:cs="仿宋"/>
          <w:color w:val="auto"/>
          <w:sz w:val="28"/>
          <w:szCs w:val="28"/>
          <w:highlight w:val="none"/>
        </w:rPr>
        <w:t>现场指认确定的，未取得房产部门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测绘部门的确认文件，本报告以</w:t>
      </w:r>
      <w:r>
        <w:rPr>
          <w:rFonts w:hint="eastAsia" w:ascii="仿宋" w:hAnsi="仿宋" w:eastAsia="仿宋" w:cs="仿宋"/>
          <w:color w:val="0000FF"/>
          <w:sz w:val="28"/>
          <w:szCs w:val="28"/>
          <w:highlight w:val="none"/>
        </w:rPr>
        <w:t>委托</w:t>
      </w:r>
      <w:r>
        <w:rPr>
          <w:rFonts w:hint="eastAsia" w:ascii="仿宋" w:hAnsi="仿宋" w:eastAsia="仿宋" w:cs="仿宋"/>
          <w:color w:val="0000FF"/>
          <w:sz w:val="28"/>
          <w:szCs w:val="28"/>
          <w:highlight w:val="none"/>
          <w:lang w:eastAsia="zh-CN"/>
        </w:rPr>
        <w:t>人</w:t>
      </w:r>
      <w:r>
        <w:rPr>
          <w:rFonts w:hint="eastAsia" w:ascii="仿宋" w:hAnsi="仿宋" w:eastAsia="仿宋" w:cs="仿宋"/>
          <w:color w:val="0000FF"/>
          <w:sz w:val="28"/>
          <w:szCs w:val="28"/>
          <w:highlight w:val="none"/>
          <w:lang w:val="en-US" w:eastAsia="zh-CN"/>
        </w:rPr>
        <w:t>及相关当事人</w:t>
      </w:r>
      <w:r>
        <w:rPr>
          <w:rFonts w:hint="eastAsia" w:ascii="仿宋" w:hAnsi="仿宋" w:eastAsia="仿宋" w:cs="仿宋"/>
          <w:color w:val="auto"/>
          <w:sz w:val="28"/>
          <w:szCs w:val="28"/>
          <w:highlight w:val="none"/>
        </w:rPr>
        <w:t>现场指认的位置为假设前提</w:t>
      </w:r>
      <w:r>
        <w:rPr>
          <w:rFonts w:hint="eastAsia" w:ascii="仿宋" w:hAnsi="仿宋" w:eastAsia="仿宋" w:cs="仿宋"/>
          <w:color w:val="auto"/>
          <w:sz w:val="28"/>
          <w:szCs w:val="28"/>
          <w:highlight w:val="none"/>
          <w:lang w:eastAsia="zh-CN"/>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auto"/>
          <w:sz w:val="28"/>
          <w:szCs w:val="28"/>
          <w:highlight w:val="none"/>
          <w:lang w:val="en-US" w:eastAsia="zh-CN"/>
        </w:rPr>
        <w:t>9、</w:t>
      </w:r>
      <w:r>
        <w:rPr>
          <w:rFonts w:hint="eastAsia" w:ascii="仿宋" w:hAnsi="仿宋" w:eastAsia="仿宋" w:cs="仿宋"/>
          <w:sz w:val="28"/>
          <w:szCs w:val="28"/>
          <w:highlight w:val="none"/>
        </w:rPr>
        <w:t>本估价报告仅是在报告中说明的假设条件下对估价对象正常市场价</w:t>
      </w:r>
      <w:r>
        <w:rPr>
          <w:rFonts w:hint="eastAsia" w:ascii="仿宋" w:hAnsi="仿宋" w:eastAsia="仿宋" w:cs="仿宋"/>
          <w:sz w:val="28"/>
          <w:szCs w:val="28"/>
          <w:highlight w:val="none"/>
          <w:lang w:eastAsia="zh-CN"/>
        </w:rPr>
        <w:t>值</w:t>
      </w:r>
      <w:r>
        <w:rPr>
          <w:rFonts w:hint="eastAsia" w:ascii="仿宋" w:hAnsi="仿宋" w:eastAsia="仿宋" w:cs="仿宋"/>
          <w:sz w:val="28"/>
          <w:szCs w:val="28"/>
          <w:highlight w:val="none"/>
        </w:rPr>
        <w:t>进行的合理估算，报告中对估价对象权属情况的披露不能作为对其权属确认的依据，估价对象权属界定以产权管理部门认定为准。</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sz w:val="28"/>
          <w:szCs w:val="28"/>
          <w:lang w:val="en-US" w:eastAsia="zh-CN"/>
        </w:rPr>
      </w:pPr>
      <w:bookmarkStart w:id="13" w:name="_Toc21490"/>
      <w:r>
        <w:rPr>
          <w:rFonts w:hint="eastAsia" w:ascii="仿宋" w:hAnsi="仿宋" w:eastAsia="仿宋" w:cs="仿宋"/>
          <w:sz w:val="28"/>
          <w:szCs w:val="28"/>
          <w:lang w:val="en-US" w:eastAsia="zh-CN"/>
        </w:rPr>
        <w:t>二、未定事项假设</w:t>
      </w:r>
      <w:bookmarkEnd w:id="13"/>
      <w:r>
        <w:rPr>
          <w:rFonts w:hint="eastAsia" w:ascii="仿宋" w:hAnsi="仿宋" w:eastAsia="仿宋" w:cs="仿宋"/>
          <w:sz w:val="28"/>
          <w:szCs w:val="28"/>
          <w:lang w:val="en-US" w:eastAsia="zh-CN"/>
        </w:rPr>
        <w:t xml:space="preserve"> </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FF"/>
          <w:sz w:val="28"/>
          <w:szCs w:val="28"/>
          <w:highlight w:val="none"/>
          <w:lang w:val="en-US" w:eastAsia="zh-CN"/>
        </w:rPr>
      </w:pPr>
      <w:bookmarkStart w:id="14" w:name="_Toc3800"/>
      <w:r>
        <w:rPr>
          <w:rFonts w:hint="eastAsia" w:ascii="仿宋" w:hAnsi="仿宋" w:eastAsia="仿宋" w:cs="仿宋"/>
          <w:color w:val="0000FF"/>
          <w:sz w:val="28"/>
          <w:szCs w:val="28"/>
          <w:highlight w:val="none"/>
          <w:lang w:val="en-US" w:eastAsia="zh-CN"/>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kern w:val="0"/>
          <w:szCs w:val="28"/>
          <w:lang w:val="en-US" w:eastAsia="zh-CN" w:bidi="ar"/>
        </w:rPr>
      </w:pPr>
      <w:r>
        <w:rPr>
          <w:rFonts w:hint="eastAsia" w:ascii="仿宋" w:hAnsi="仿宋" w:eastAsia="仿宋" w:cs="仿宋"/>
          <w:sz w:val="28"/>
          <w:szCs w:val="28"/>
          <w:lang w:val="en-US" w:eastAsia="zh-CN"/>
        </w:rPr>
        <w:t>三、背离事实假设</w:t>
      </w:r>
      <w:bookmarkEnd w:id="14"/>
      <w:r>
        <w:rPr>
          <w:rFonts w:hint="eastAsia" w:ascii="仿宋" w:hAnsi="仿宋" w:eastAsia="仿宋" w:cs="仿宋"/>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依据委托人提供的《</w:t>
      </w:r>
      <w:r>
        <w:rPr>
          <w:rFonts w:hint="eastAsia" w:ascii="仿宋" w:hAnsi="仿宋" w:eastAsia="仿宋" w:cs="仿宋"/>
          <w:color w:val="0000FF"/>
          <w:kern w:val="0"/>
          <w:sz w:val="28"/>
          <w:szCs w:val="28"/>
          <w:highlight w:val="none"/>
          <w:lang w:val="en-US" w:eastAsia="zh-CN" w:bidi="ar"/>
        </w:rPr>
        <w:t>委托书</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FF"/>
          <w:kern w:val="0"/>
          <w:sz w:val="28"/>
          <w:szCs w:val="28"/>
          <w:highlight w:val="none"/>
          <w:lang w:val="en-US" w:eastAsia="zh-CN" w:bidi="ar"/>
        </w:rPr>
        <w:t>、</w:t>
      </w:r>
      <w:r>
        <w:rPr>
          <w:rFonts w:hint="eastAsia" w:ascii="仿宋" w:hAnsi="仿宋" w:eastAsia="仿宋" w:cs="仿宋"/>
          <w:color w:val="000000"/>
          <w:kern w:val="0"/>
          <w:sz w:val="28"/>
          <w:szCs w:val="28"/>
          <w:lang w:val="en-US" w:eastAsia="zh-CN" w:bidi="ar"/>
        </w:rPr>
        <w:t>《执行裁定书》</w:t>
      </w:r>
      <w:r>
        <w:rPr>
          <w:rFonts w:hint="eastAsia" w:ascii="仿宋" w:hAnsi="仿宋" w:eastAsia="仿宋" w:cs="仿宋"/>
          <w:color w:val="0000FF"/>
          <w:sz w:val="28"/>
          <w:szCs w:val="28"/>
          <w:highlight w:val="none"/>
          <w:lang w:val="en-US" w:eastAsia="zh-CN"/>
        </w:rPr>
        <w:t>、《牡丹江市房屋登记查询证明》</w:t>
      </w:r>
      <w:r>
        <w:rPr>
          <w:rFonts w:hint="eastAsia" w:ascii="仿宋" w:hAnsi="仿宋" w:eastAsia="仿宋" w:cs="仿宋"/>
          <w:color w:val="0000FF"/>
          <w:kern w:val="0"/>
          <w:sz w:val="28"/>
          <w:szCs w:val="28"/>
          <w:highlight w:val="none"/>
          <w:lang w:val="en-US" w:eastAsia="zh-CN" w:bidi="ar"/>
        </w:rPr>
        <w:t>为准</w:t>
      </w:r>
      <w:r>
        <w:rPr>
          <w:rFonts w:hint="eastAsia" w:ascii="仿宋" w:hAnsi="仿宋" w:eastAsia="仿宋" w:cs="仿宋"/>
          <w:color w:val="000000"/>
          <w:kern w:val="0"/>
          <w:sz w:val="28"/>
          <w:szCs w:val="28"/>
          <w:lang w:val="en-US" w:eastAsia="zh-CN" w:bidi="ar"/>
        </w:rPr>
        <w:t>，本次估价对象于价值时点存在</w:t>
      </w:r>
      <w:r>
        <w:rPr>
          <w:rFonts w:hint="eastAsia" w:ascii="仿宋" w:hAnsi="仿宋" w:eastAsia="仿宋" w:cs="仿宋"/>
          <w:color w:val="0000FF"/>
          <w:kern w:val="0"/>
          <w:sz w:val="28"/>
          <w:szCs w:val="28"/>
          <w:highlight w:val="none"/>
          <w:lang w:val="en-US" w:eastAsia="zh-CN" w:bidi="ar"/>
        </w:rPr>
        <w:t>查封</w:t>
      </w:r>
      <w:r>
        <w:rPr>
          <w:rFonts w:hint="eastAsia" w:ascii="仿宋" w:hAnsi="仿宋" w:eastAsia="仿宋" w:cs="仿宋"/>
          <w:color w:val="000000"/>
          <w:kern w:val="0"/>
          <w:sz w:val="28"/>
          <w:szCs w:val="28"/>
          <w:lang w:val="en-US" w:eastAsia="zh-CN" w:bidi="ar"/>
        </w:rPr>
        <w:t>事项，根据《房地产估价规范》的相关规定，在房地产司法拍卖估价中，评估价值的影响因素不应包括拍卖房地产被查封及拍卖房地产上原有的担保物权和其他法定优先受偿权，且查封因拍卖而解除。本次估价假设估价对象是在没有查封、未设立担保物权及其他优先受偿权的情况下进行估价。</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sz w:val="28"/>
          <w:szCs w:val="28"/>
          <w:lang w:val="en-US" w:eastAsia="zh-CN"/>
        </w:rPr>
      </w:pPr>
      <w:bookmarkStart w:id="15" w:name="_Toc32662"/>
      <w:r>
        <w:rPr>
          <w:rFonts w:hint="eastAsia" w:ascii="仿宋" w:hAnsi="仿宋" w:eastAsia="仿宋" w:cs="仿宋"/>
          <w:b/>
          <w:sz w:val="28"/>
          <w:szCs w:val="28"/>
          <w:lang w:val="en-US" w:eastAsia="zh-CN"/>
        </w:rPr>
        <w:t>四、不相一致假设</w:t>
      </w:r>
      <w:bookmarkEnd w:id="15"/>
      <w:r>
        <w:rPr>
          <w:rFonts w:hint="eastAsia" w:ascii="仿宋" w:hAnsi="仿宋" w:eastAsia="仿宋" w:cs="仿宋"/>
          <w:b/>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840" w:firstLineChars="30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kern w:val="0"/>
          <w:sz w:val="28"/>
          <w:szCs w:val="28"/>
          <w:lang w:val="en-US" w:eastAsia="zh-CN" w:bidi="ar"/>
        </w:rPr>
      </w:pPr>
      <w:bookmarkStart w:id="16" w:name="_Toc32439"/>
      <w:r>
        <w:rPr>
          <w:rFonts w:hint="eastAsia" w:ascii="仿宋" w:hAnsi="仿宋" w:eastAsia="仿宋" w:cs="仿宋"/>
          <w:sz w:val="28"/>
          <w:szCs w:val="28"/>
          <w:lang w:val="en-US" w:eastAsia="zh-CN"/>
        </w:rPr>
        <w:t>五、依据不足假设</w:t>
      </w:r>
      <w:bookmarkEnd w:id="16"/>
    </w:p>
    <w:p>
      <w:pPr>
        <w:pageBreakBefore w:val="0"/>
        <w:kinsoku/>
        <w:overflowPunct/>
        <w:topLinePunct w:val="0"/>
        <w:bidi w:val="0"/>
        <w:adjustRightInd/>
        <w:spacing w:line="460" w:lineRule="exact"/>
        <w:ind w:firstLine="840" w:firstLineChars="300"/>
        <w:textAlignment w:val="auto"/>
        <w:rPr>
          <w:rFonts w:hint="eastAsia" w:ascii="仿宋" w:hAnsi="仿宋" w:eastAsia="仿宋" w:cs="仿宋"/>
          <w:color w:val="FF0000"/>
          <w:kern w:val="0"/>
          <w:sz w:val="28"/>
          <w:szCs w:val="28"/>
          <w:highlight w:val="yellow"/>
          <w:lang w:val="en-US" w:eastAsia="zh-CN" w:bidi="ar"/>
        </w:rPr>
      </w:pPr>
      <w:r>
        <w:rPr>
          <w:rFonts w:hint="eastAsia" w:ascii="仿宋" w:hAnsi="仿宋" w:eastAsia="仿宋" w:cs="仿宋"/>
          <w:color w:val="auto"/>
          <w:sz w:val="28"/>
          <w:szCs w:val="28"/>
          <w:highlight w:val="none"/>
          <w:lang w:val="en-US" w:eastAsia="zh-CN"/>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sz w:val="28"/>
          <w:szCs w:val="28"/>
          <w:lang w:val="en-US" w:eastAsia="zh-CN"/>
        </w:rPr>
      </w:pPr>
      <w:bookmarkStart w:id="17" w:name="_Toc11317"/>
      <w:r>
        <w:rPr>
          <w:rFonts w:hint="eastAsia" w:ascii="仿宋" w:hAnsi="仿宋" w:eastAsia="仿宋" w:cs="仿宋"/>
          <w:b/>
          <w:sz w:val="28"/>
          <w:szCs w:val="28"/>
          <w:lang w:val="en-US" w:eastAsia="zh-CN"/>
        </w:rPr>
        <w:t>六、估价报告使用限制条件</w:t>
      </w:r>
      <w:bookmarkEnd w:id="17"/>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rPr>
        <w:t>1、</w:t>
      </w:r>
      <w:r>
        <w:rPr>
          <w:rFonts w:hint="eastAsia" w:ascii="仿宋" w:hAnsi="仿宋" w:eastAsia="仿宋" w:cs="仿宋"/>
          <w:color w:val="auto"/>
          <w:sz w:val="28"/>
          <w:highlight w:val="none"/>
          <w:lang w:val="en-US" w:eastAsia="zh-CN"/>
        </w:rPr>
        <w:t>本次估价结果是在估价委托人提供的资料合法、真实、准确、完整基础之上得出的。估价委托人对其所提供的相关资料及各种数据的真实性和有效性负责，并承担相应的法律责任；因估价委托人提供的资料失真造成估价结果有误，估价机构和注册房地产估价师不承担责任。</w:t>
      </w:r>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auto"/>
          <w:sz w:val="28"/>
          <w:highlight w:val="none"/>
        </w:rPr>
      </w:pPr>
      <w:r>
        <w:rPr>
          <w:rFonts w:hint="eastAsia" w:ascii="仿宋" w:hAnsi="仿宋" w:eastAsia="仿宋" w:cs="仿宋"/>
          <w:color w:val="000000" w:themeColor="text1"/>
          <w:sz w:val="28"/>
          <w:szCs w:val="28"/>
          <w:lang w:val="en-US" w:eastAsia="zh-CN"/>
          <w14:textFill>
            <w14:solidFill>
              <w14:schemeClr w14:val="tx1"/>
            </w14:solidFill>
          </w14:textFill>
        </w:rPr>
        <w:t>2、本报告估价结果是估价对象在满足全部假设与限制条件下，于价值时点在</w:t>
      </w:r>
      <w:r>
        <w:rPr>
          <w:rFonts w:hint="eastAsia" w:ascii="仿宋" w:hAnsi="仿宋" w:eastAsia="仿宋" w:cs="仿宋"/>
          <w:color w:val="0000FF"/>
          <w:sz w:val="28"/>
          <w:szCs w:val="28"/>
          <w:highlight w:val="none"/>
          <w:lang w:val="en-US" w:eastAsia="zh-CN"/>
        </w:rPr>
        <w:t>现状利用条件下</w:t>
      </w:r>
      <w:r>
        <w:rPr>
          <w:rFonts w:hint="eastAsia" w:ascii="仿宋" w:hAnsi="仿宋" w:eastAsia="仿宋" w:cs="仿宋"/>
          <w:color w:val="0000FF"/>
          <w:sz w:val="28"/>
          <w:szCs w:val="28"/>
          <w:lang w:val="en-US" w:eastAsia="zh-CN"/>
        </w:rPr>
        <w:t>的市场价值；</w:t>
      </w:r>
      <w:r>
        <w:rPr>
          <w:rFonts w:hint="eastAsia" w:ascii="仿宋" w:hAnsi="仿宋" w:eastAsia="仿宋" w:cs="仿宋"/>
          <w:color w:val="0000FF"/>
          <w:sz w:val="28"/>
          <w:szCs w:val="28"/>
        </w:rPr>
        <w:t>本次</w:t>
      </w:r>
      <w:r>
        <w:rPr>
          <w:rFonts w:hint="eastAsia" w:ascii="仿宋" w:hAnsi="仿宋" w:eastAsia="仿宋" w:cs="仿宋"/>
          <w:color w:val="0000FF"/>
          <w:sz w:val="28"/>
          <w:szCs w:val="28"/>
          <w:lang w:val="en-US" w:eastAsia="zh-CN"/>
        </w:rPr>
        <w:t>估价</w:t>
      </w:r>
      <w:r>
        <w:rPr>
          <w:rFonts w:hint="eastAsia" w:ascii="仿宋" w:hAnsi="仿宋" w:eastAsia="仿宋" w:cs="仿宋"/>
          <w:color w:val="0000FF"/>
          <w:sz w:val="28"/>
          <w:szCs w:val="28"/>
        </w:rPr>
        <w:t>的范围以</w:t>
      </w: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lang w:val="en-US" w:eastAsia="zh-CN"/>
        </w:rPr>
        <w:t>牡丹江市东安区人民法院</w:t>
      </w:r>
      <w:r>
        <w:rPr>
          <w:rFonts w:hint="eastAsia" w:ascii="仿宋" w:hAnsi="仿宋" w:eastAsia="仿宋" w:cs="仿宋"/>
          <w:color w:val="0000FF"/>
          <w:sz w:val="28"/>
          <w:szCs w:val="28"/>
        </w:rPr>
        <w:t>委托书</w:t>
      </w:r>
      <w:r>
        <w:rPr>
          <w:rFonts w:hint="eastAsia" w:ascii="仿宋" w:hAnsi="仿宋" w:eastAsia="仿宋" w:cs="仿宋"/>
          <w:color w:val="0000FF"/>
          <w:sz w:val="28"/>
          <w:szCs w:val="28"/>
          <w:lang w:eastAsia="zh-CN"/>
        </w:rPr>
        <w:t>（2022）黑1002执恢535号》</w:t>
      </w:r>
      <w:r>
        <w:rPr>
          <w:rFonts w:hint="eastAsia" w:ascii="仿宋" w:hAnsi="仿宋" w:eastAsia="仿宋" w:cs="仿宋"/>
          <w:color w:val="0000FF"/>
          <w:sz w:val="28"/>
          <w:szCs w:val="28"/>
        </w:rPr>
        <w:t>确定的范围为限。本次</w:t>
      </w:r>
      <w:r>
        <w:rPr>
          <w:rFonts w:hint="eastAsia" w:ascii="仿宋" w:hAnsi="仿宋" w:eastAsia="仿宋" w:cs="仿宋"/>
          <w:color w:val="0000FF"/>
          <w:sz w:val="28"/>
          <w:szCs w:val="28"/>
          <w:lang w:val="en-US" w:eastAsia="zh-CN"/>
        </w:rPr>
        <w:t>估价</w:t>
      </w:r>
      <w:r>
        <w:rPr>
          <w:rFonts w:hint="eastAsia" w:ascii="仿宋" w:hAnsi="仿宋" w:eastAsia="仿宋" w:cs="仿宋"/>
          <w:color w:val="0000FF"/>
          <w:sz w:val="28"/>
          <w:szCs w:val="28"/>
        </w:rPr>
        <w:t>中房屋建筑面积、用途、</w:t>
      </w:r>
      <w:r>
        <w:rPr>
          <w:rFonts w:hint="eastAsia" w:ascii="仿宋" w:hAnsi="仿宋" w:eastAsia="仿宋" w:cs="仿宋"/>
          <w:color w:val="0000FF"/>
          <w:sz w:val="28"/>
          <w:szCs w:val="28"/>
          <w:highlight w:val="none"/>
        </w:rPr>
        <w:t>坐落位置</w:t>
      </w:r>
      <w:r>
        <w:rPr>
          <w:rFonts w:hint="eastAsia" w:ascii="仿宋" w:hAnsi="仿宋" w:eastAsia="仿宋" w:cs="仿宋"/>
          <w:color w:val="0000FF"/>
          <w:sz w:val="28"/>
          <w:szCs w:val="28"/>
        </w:rPr>
        <w:t>等以</w:t>
      </w:r>
      <w:r>
        <w:rPr>
          <w:rFonts w:hint="eastAsia" w:ascii="仿宋" w:hAnsi="仿宋" w:eastAsia="仿宋" w:cs="仿宋"/>
          <w:color w:val="0000FF"/>
          <w:sz w:val="28"/>
          <w:szCs w:val="28"/>
          <w:lang w:eastAsia="zh-CN"/>
        </w:rPr>
        <w:t>委托人</w:t>
      </w:r>
      <w:r>
        <w:rPr>
          <w:rFonts w:hint="eastAsia" w:ascii="仿宋" w:hAnsi="仿宋" w:eastAsia="仿宋" w:cs="仿宋"/>
          <w:color w:val="0000FF"/>
          <w:sz w:val="28"/>
          <w:szCs w:val="28"/>
        </w:rPr>
        <w:t>提供的</w:t>
      </w:r>
      <w:r>
        <w:rPr>
          <w:rFonts w:hint="eastAsia" w:ascii="仿宋" w:hAnsi="仿宋" w:eastAsia="仿宋" w:cs="仿宋"/>
          <w:color w:val="0000FF"/>
          <w:sz w:val="28"/>
          <w:szCs w:val="28"/>
          <w:lang w:eastAsia="zh-CN"/>
        </w:rPr>
        <w:t>《</w:t>
      </w:r>
      <w:r>
        <w:rPr>
          <w:rFonts w:hint="eastAsia" w:ascii="仿宋" w:hAnsi="仿宋" w:eastAsia="仿宋" w:cs="仿宋"/>
          <w:color w:val="0000FF"/>
          <w:kern w:val="0"/>
          <w:sz w:val="28"/>
          <w:szCs w:val="28"/>
          <w:lang w:val="en-US" w:eastAsia="zh-CN" w:bidi="ar"/>
        </w:rPr>
        <w:t>委托书</w:t>
      </w:r>
      <w:r>
        <w:rPr>
          <w:rFonts w:hint="eastAsia" w:ascii="仿宋" w:hAnsi="仿宋" w:eastAsia="仿宋" w:cs="仿宋"/>
          <w:color w:val="0000FF"/>
          <w:sz w:val="28"/>
          <w:szCs w:val="28"/>
          <w:lang w:eastAsia="zh-CN"/>
        </w:rPr>
        <w:t>》、《</w:t>
      </w:r>
      <w:r>
        <w:rPr>
          <w:rFonts w:hint="eastAsia" w:ascii="仿宋" w:hAnsi="仿宋" w:eastAsia="仿宋" w:cs="仿宋"/>
          <w:color w:val="0000FF"/>
          <w:kern w:val="0"/>
          <w:sz w:val="28"/>
          <w:szCs w:val="28"/>
          <w:lang w:val="en-US" w:eastAsia="zh-CN" w:bidi="ar"/>
        </w:rPr>
        <w:t>执行裁定书</w:t>
      </w: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highlight w:val="none"/>
          <w:lang w:val="en-US" w:eastAsia="zh-CN"/>
        </w:rPr>
        <w:t>、《牡丹江市房屋登记查询证明》</w:t>
      </w:r>
      <w:r>
        <w:rPr>
          <w:rFonts w:hint="eastAsia" w:ascii="仿宋" w:hAnsi="仿宋" w:eastAsia="仿宋" w:cs="仿宋"/>
          <w:color w:val="0000FF"/>
          <w:kern w:val="0"/>
          <w:sz w:val="28"/>
          <w:szCs w:val="28"/>
          <w:lang w:val="en-US" w:eastAsia="zh-CN" w:bidi="ar"/>
        </w:rPr>
        <w:t>复印件上记载的信息为准</w:t>
      </w:r>
      <w:r>
        <w:rPr>
          <w:rFonts w:hint="eastAsia" w:ascii="仿宋" w:hAnsi="仿宋" w:eastAsia="仿宋" w:cs="仿宋"/>
          <w:color w:val="0000FF"/>
          <w:sz w:val="28"/>
          <w:szCs w:val="28"/>
          <w:lang w:eastAsia="zh-CN"/>
        </w:rPr>
        <w:t>，</w:t>
      </w:r>
      <w:r>
        <w:rPr>
          <w:rFonts w:hint="eastAsia" w:ascii="仿宋" w:hAnsi="仿宋" w:eastAsia="仿宋" w:cs="仿宋"/>
          <w:color w:val="0000FF"/>
          <w:sz w:val="28"/>
          <w:szCs w:val="28"/>
          <w:lang w:val="en-US" w:eastAsia="zh-CN"/>
        </w:rPr>
        <w:t>若其用途、建筑面积、装饰装修、房屋利用状况等影响房地产价值</w:t>
      </w:r>
      <w:r>
        <w:rPr>
          <w:rFonts w:hint="eastAsia" w:ascii="仿宋" w:hAnsi="仿宋" w:eastAsia="仿宋" w:cs="仿宋"/>
          <w:color w:val="000000" w:themeColor="text1"/>
          <w:sz w:val="28"/>
          <w:szCs w:val="28"/>
          <w:lang w:val="en-US" w:eastAsia="zh-CN"/>
          <w14:textFill>
            <w14:solidFill>
              <w14:schemeClr w14:val="tx1"/>
            </w14:solidFill>
          </w14:textFill>
        </w:rPr>
        <w:t>的因素发生变化时则估价价值应作相应调整，</w:t>
      </w:r>
      <w:r>
        <w:rPr>
          <w:rFonts w:hint="eastAsia" w:ascii="仿宋" w:hAnsi="仿宋" w:eastAsia="仿宋" w:cs="仿宋"/>
          <w:color w:val="000000" w:themeColor="text1"/>
          <w:sz w:val="28"/>
          <w:szCs w:val="28"/>
          <w14:textFill>
            <w14:solidFill>
              <w14:schemeClr w14:val="tx1"/>
            </w14:solidFill>
          </w14:textFill>
        </w:rPr>
        <w:t>如有异议请收到报告后三日内提出。</w:t>
      </w:r>
      <w:r>
        <w:rPr>
          <w:rFonts w:hint="eastAsia" w:ascii="仿宋" w:hAnsi="仿宋" w:eastAsia="仿宋" w:cs="仿宋"/>
          <w:color w:val="auto"/>
          <w:sz w:val="28"/>
          <w:highlight w:val="none"/>
        </w:rPr>
        <w:t xml:space="preserve"> </w:t>
      </w:r>
    </w:p>
    <w:p>
      <w:pPr>
        <w:keepNext w:val="0"/>
        <w:keepLines w:val="0"/>
        <w:pageBreakBefore w:val="0"/>
        <w:widowControl w:val="0"/>
        <w:kinsoku/>
        <w:wordWrap w:val="0"/>
        <w:overflowPunct/>
        <w:topLinePunct w:val="0"/>
        <w:bidi w:val="0"/>
        <w:adjustRightInd/>
        <w:snapToGrid w:val="0"/>
        <w:spacing w:line="460" w:lineRule="exact"/>
        <w:ind w:firstLine="544" w:firstLineChars="200"/>
        <w:textAlignment w:val="auto"/>
        <w:rPr>
          <w:rFonts w:hint="eastAsia" w:ascii="仿宋" w:hAnsi="仿宋" w:eastAsia="仿宋" w:cs="仿宋"/>
          <w:color w:val="auto"/>
          <w:spacing w:val="-4"/>
          <w:sz w:val="28"/>
          <w:szCs w:val="28"/>
          <w:highlight w:val="none"/>
          <w:lang w:val="en-US" w:eastAsia="zh-CN"/>
        </w:rPr>
      </w:pPr>
      <w:r>
        <w:rPr>
          <w:rFonts w:hint="eastAsia" w:ascii="仿宋" w:hAnsi="仿宋" w:eastAsia="仿宋" w:cs="仿宋"/>
          <w:color w:val="auto"/>
          <w:spacing w:val="-4"/>
          <w:sz w:val="28"/>
          <w:szCs w:val="28"/>
          <w:highlight w:val="none"/>
          <w:lang w:val="en-US" w:eastAsia="zh-CN"/>
        </w:rPr>
        <w:t>3本估价报告结果是估价对象在价值时点时的正常的经济环境及正常的市场价值基础上的估算价值。未考虑国家经济政策发生变化、未来市场变化风险、短期强制处分及不可抗力等因素对房地产价值的不利影响。</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auto"/>
          <w:spacing w:val="-4"/>
          <w:sz w:val="28"/>
          <w:szCs w:val="28"/>
          <w:highlight w:val="none"/>
          <w:lang w:val="en-US" w:eastAsia="zh-CN"/>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auto"/>
          <w:spacing w:val="-4"/>
          <w:sz w:val="28"/>
          <w:szCs w:val="28"/>
          <w:highlight w:val="none"/>
          <w:lang w:val="en-US" w:eastAsia="zh-CN"/>
        </w:rPr>
        <w:t>本估价结果未考虑房地产交易时应向国家缴纳的税费，如需转让、变更、拍卖、处置房地产应按国家有关规定办理。</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auto"/>
          <w:spacing w:val="-4"/>
          <w:sz w:val="28"/>
          <w:szCs w:val="28"/>
          <w:highlight w:val="none"/>
          <w:lang w:val="en-US" w:eastAsia="zh-CN"/>
        </w:rPr>
        <w:t>5、</w:t>
      </w:r>
      <w:r>
        <w:rPr>
          <w:rFonts w:hint="eastAsia" w:ascii="仿宋" w:hAnsi="仿宋" w:eastAsia="仿宋" w:cs="仿宋"/>
          <w:color w:val="auto"/>
          <w:spacing w:val="-4"/>
          <w:sz w:val="28"/>
          <w:szCs w:val="28"/>
          <w:highlight w:val="none"/>
        </w:rPr>
        <w:t>本次估价结果有效期为</w:t>
      </w:r>
      <w:r>
        <w:rPr>
          <w:rFonts w:hint="eastAsia" w:ascii="仿宋" w:hAnsi="仿宋" w:eastAsia="仿宋" w:cs="仿宋"/>
          <w:color w:val="auto"/>
          <w:spacing w:val="-4"/>
          <w:sz w:val="28"/>
          <w:szCs w:val="28"/>
          <w:highlight w:val="none"/>
          <w:lang w:eastAsia="zh-CN"/>
        </w:rPr>
        <w:t>一年</w:t>
      </w:r>
      <w:r>
        <w:rPr>
          <w:rFonts w:hint="eastAsia" w:ascii="仿宋" w:hAnsi="仿宋" w:eastAsia="仿宋" w:cs="仿宋"/>
          <w:color w:val="0070C0"/>
          <w:spacing w:val="-4"/>
          <w:sz w:val="28"/>
          <w:szCs w:val="28"/>
          <w:highlight w:val="none"/>
          <w:lang w:eastAsia="zh-CN"/>
        </w:rPr>
        <w:t>（</w:t>
      </w:r>
      <w:r>
        <w:rPr>
          <w:rFonts w:hint="eastAsia" w:ascii="仿宋" w:hAnsi="仿宋" w:eastAsia="仿宋" w:cs="仿宋"/>
          <w:color w:val="0000FF"/>
          <w:sz w:val="28"/>
          <w:szCs w:val="28"/>
          <w:highlight w:val="none"/>
          <w:lang w:eastAsia="zh-CN"/>
        </w:rPr>
        <w:t>2022年</w:t>
      </w:r>
      <w:r>
        <w:rPr>
          <w:rFonts w:hint="eastAsia" w:ascii="仿宋" w:hAnsi="仿宋" w:eastAsia="仿宋" w:cs="仿宋"/>
          <w:color w:val="0000FF"/>
          <w:sz w:val="28"/>
          <w:szCs w:val="28"/>
          <w:highlight w:val="none"/>
          <w:lang w:val="en-US" w:eastAsia="zh-CN"/>
        </w:rPr>
        <w:t>9</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12</w:t>
      </w:r>
      <w:r>
        <w:rPr>
          <w:rFonts w:hint="eastAsia" w:ascii="仿宋" w:hAnsi="仿宋" w:eastAsia="仿宋" w:cs="仿宋"/>
          <w:color w:val="0000FF"/>
          <w:sz w:val="28"/>
          <w:szCs w:val="28"/>
          <w:highlight w:val="none"/>
          <w:lang w:eastAsia="zh-CN"/>
        </w:rPr>
        <w:t>日</w:t>
      </w:r>
      <w:r>
        <w:rPr>
          <w:rFonts w:hint="eastAsia" w:ascii="仿宋" w:hAnsi="仿宋" w:eastAsia="仿宋" w:cs="仿宋"/>
          <w:color w:val="0000FF"/>
          <w:sz w:val="28"/>
          <w:szCs w:val="28"/>
          <w:highlight w:val="none"/>
        </w:rPr>
        <w:t>至</w:t>
      </w:r>
      <w:r>
        <w:rPr>
          <w:rFonts w:hint="eastAsia" w:ascii="仿宋" w:hAnsi="仿宋" w:eastAsia="仿宋" w:cs="仿宋"/>
          <w:color w:val="0000FF"/>
          <w:sz w:val="28"/>
          <w:szCs w:val="28"/>
          <w:highlight w:val="none"/>
          <w:lang w:eastAsia="zh-CN"/>
        </w:rPr>
        <w:t>2023年</w:t>
      </w:r>
      <w:r>
        <w:rPr>
          <w:rFonts w:hint="eastAsia" w:ascii="仿宋" w:hAnsi="仿宋" w:eastAsia="仿宋" w:cs="仿宋"/>
          <w:color w:val="0000FF"/>
          <w:sz w:val="28"/>
          <w:szCs w:val="28"/>
          <w:highlight w:val="none"/>
          <w:lang w:val="en-US" w:eastAsia="zh-CN"/>
        </w:rPr>
        <w:t>9</w:t>
      </w:r>
      <w:r>
        <w:rPr>
          <w:rFonts w:hint="eastAsia" w:ascii="仿宋" w:hAnsi="仿宋" w:eastAsia="仿宋" w:cs="仿宋"/>
          <w:color w:val="0000FF"/>
          <w:sz w:val="28"/>
          <w:szCs w:val="28"/>
          <w:highlight w:val="none"/>
          <w:lang w:eastAsia="zh-CN"/>
        </w:rPr>
        <w:t>月</w:t>
      </w:r>
      <w:r>
        <w:rPr>
          <w:rFonts w:hint="eastAsia" w:ascii="仿宋" w:hAnsi="仿宋" w:eastAsia="仿宋" w:cs="仿宋"/>
          <w:color w:val="0000FF"/>
          <w:sz w:val="28"/>
          <w:szCs w:val="28"/>
          <w:highlight w:val="none"/>
          <w:lang w:val="en-US" w:eastAsia="zh-CN"/>
        </w:rPr>
        <w:t>11</w:t>
      </w:r>
      <w:r>
        <w:rPr>
          <w:rFonts w:hint="eastAsia" w:ascii="仿宋" w:hAnsi="仿宋" w:eastAsia="仿宋" w:cs="仿宋"/>
          <w:color w:val="0000FF"/>
          <w:sz w:val="28"/>
          <w:szCs w:val="28"/>
          <w:highlight w:val="none"/>
          <w:lang w:eastAsia="zh-CN"/>
        </w:rPr>
        <w:t>日</w:t>
      </w:r>
      <w:r>
        <w:rPr>
          <w:rFonts w:hint="eastAsia" w:ascii="仿宋" w:hAnsi="仿宋" w:eastAsia="仿宋" w:cs="仿宋"/>
          <w:color w:val="0000FF"/>
          <w:spacing w:val="-4"/>
          <w:sz w:val="28"/>
          <w:szCs w:val="28"/>
          <w:highlight w:val="none"/>
          <w:lang w:eastAsia="zh-CN"/>
        </w:rPr>
        <w:t>）。</w:t>
      </w:r>
      <w:r>
        <w:rPr>
          <w:rFonts w:hint="eastAsia" w:ascii="仿宋" w:hAnsi="仿宋" w:eastAsia="仿宋" w:cs="仿宋"/>
          <w:color w:val="auto"/>
          <w:spacing w:val="-4"/>
          <w:sz w:val="28"/>
          <w:szCs w:val="28"/>
          <w:highlight w:val="none"/>
          <w:lang w:val="en-US" w:eastAsia="zh-CN"/>
        </w:rPr>
        <w:t>超过使用期限使用估价报告，相关责任由估价报告使用者负责。当房地产市场价格变化较快或房地产的作价标准发生重大变化时，应对房地产市场价值进行再估价</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000000" w:themeColor="text1"/>
          <w:sz w:val="28"/>
          <w:szCs w:val="28"/>
          <w14:textFill>
            <w14:solidFill>
              <w14:schemeClr w14:val="tx1"/>
            </w14:solidFill>
          </w14:textFill>
        </w:rPr>
        <w:t>若</w:t>
      </w:r>
      <w:r>
        <w:rPr>
          <w:rFonts w:hint="eastAsia" w:ascii="仿宋" w:hAnsi="仿宋" w:eastAsia="仿宋" w:cs="仿宋"/>
          <w:color w:val="000000" w:themeColor="text1"/>
          <w:sz w:val="28"/>
          <w:szCs w:val="28"/>
          <w:lang w:val="en-US" w:eastAsia="zh-CN"/>
          <w14:textFill>
            <w14:solidFill>
              <w14:schemeClr w14:val="tx1"/>
            </w14:solidFill>
          </w14:textFill>
        </w:rPr>
        <w:t>价值时点</w:t>
      </w:r>
      <w:r>
        <w:rPr>
          <w:rFonts w:hint="eastAsia" w:ascii="仿宋" w:hAnsi="仿宋" w:eastAsia="仿宋" w:cs="仿宋"/>
          <w:color w:val="000000" w:themeColor="text1"/>
          <w:sz w:val="28"/>
          <w:szCs w:val="28"/>
          <w14:textFill>
            <w14:solidFill>
              <w14:schemeClr w14:val="tx1"/>
            </w14:solidFill>
          </w14:textFill>
        </w:rPr>
        <w:t>发生变化，</w:t>
      </w:r>
      <w:r>
        <w:rPr>
          <w:rFonts w:hint="eastAsia" w:ascii="仿宋" w:hAnsi="仿宋" w:eastAsia="仿宋" w:cs="仿宋"/>
          <w:color w:val="000000" w:themeColor="text1"/>
          <w:sz w:val="28"/>
          <w:szCs w:val="28"/>
          <w:lang w:val="en-US" w:eastAsia="zh-CN"/>
          <w14:textFill>
            <w14:solidFill>
              <w14:schemeClr w14:val="tx1"/>
            </w14:solidFill>
          </w14:textFill>
        </w:rPr>
        <w:t>估价</w:t>
      </w:r>
      <w:r>
        <w:rPr>
          <w:rFonts w:hint="eastAsia" w:ascii="仿宋" w:hAnsi="仿宋" w:eastAsia="仿宋" w:cs="仿宋"/>
          <w:color w:val="000000" w:themeColor="text1"/>
          <w:sz w:val="28"/>
          <w:szCs w:val="28"/>
          <w14:textFill>
            <w14:solidFill>
              <w14:schemeClr w14:val="tx1"/>
            </w14:solidFill>
          </w14:textFill>
        </w:rPr>
        <w:t>结论需进行调整。</w:t>
      </w:r>
      <w:r>
        <w:rPr>
          <w:rFonts w:hint="eastAsia" w:ascii="仿宋" w:hAnsi="仿宋" w:eastAsia="仿宋" w:cs="仿宋"/>
          <w:color w:val="000000" w:themeColor="text1"/>
          <w:sz w:val="28"/>
          <w:szCs w:val="28"/>
          <w:lang w:eastAsia="zh-CN"/>
          <w14:textFill>
            <w14:solidFill>
              <w14:schemeClr w14:val="tx1"/>
            </w14:solidFill>
          </w14:textFill>
        </w:rPr>
        <w:t>本次估价的</w:t>
      </w:r>
      <w:r>
        <w:rPr>
          <w:rFonts w:hint="eastAsia" w:ascii="仿宋" w:hAnsi="仿宋" w:eastAsia="仿宋" w:cs="仿宋"/>
          <w:color w:val="000000" w:themeColor="text1"/>
          <w:sz w:val="28"/>
          <w:szCs w:val="28"/>
          <w14:textFill>
            <w14:solidFill>
              <w14:schemeClr w14:val="tx1"/>
            </w14:solidFill>
          </w14:textFill>
        </w:rPr>
        <w:t>价值时点为完成</w:t>
      </w:r>
      <w:r>
        <w:rPr>
          <w:rFonts w:hint="eastAsia" w:ascii="仿宋" w:hAnsi="仿宋" w:eastAsia="仿宋" w:cs="仿宋"/>
          <w:color w:val="000000" w:themeColor="text1"/>
          <w:sz w:val="28"/>
          <w:szCs w:val="28"/>
          <w:lang w:val="en-US" w:eastAsia="zh-CN"/>
          <w14:textFill>
            <w14:solidFill>
              <w14:schemeClr w14:val="tx1"/>
            </w14:solidFill>
          </w14:textFill>
        </w:rPr>
        <w:t>估价</w:t>
      </w:r>
      <w:r>
        <w:rPr>
          <w:rFonts w:hint="eastAsia" w:ascii="仿宋" w:hAnsi="仿宋" w:eastAsia="仿宋" w:cs="仿宋"/>
          <w:color w:val="000000" w:themeColor="text1"/>
          <w:sz w:val="28"/>
          <w:szCs w:val="28"/>
          <w14:textFill>
            <w14:solidFill>
              <w14:schemeClr w14:val="tx1"/>
            </w14:solidFill>
          </w14:textFill>
        </w:rPr>
        <w:t>对象现场</w:t>
      </w:r>
      <w:r>
        <w:rPr>
          <w:rFonts w:hint="eastAsia" w:ascii="仿宋" w:hAnsi="仿宋" w:eastAsia="仿宋" w:cs="仿宋"/>
          <w:color w:val="000000" w:themeColor="text1"/>
          <w:sz w:val="28"/>
          <w:szCs w:val="28"/>
          <w:lang w:eastAsia="zh-CN"/>
          <w14:textFill>
            <w14:solidFill>
              <w14:schemeClr w14:val="tx1"/>
            </w14:solidFill>
          </w14:textFill>
        </w:rPr>
        <w:t>勘察</w:t>
      </w:r>
      <w:r>
        <w:rPr>
          <w:rFonts w:hint="eastAsia" w:ascii="仿宋" w:hAnsi="仿宋" w:eastAsia="仿宋" w:cs="仿宋"/>
          <w:color w:val="000000" w:themeColor="text1"/>
          <w:sz w:val="28"/>
          <w:szCs w:val="28"/>
          <w14:textFill>
            <w14:solidFill>
              <w14:schemeClr w14:val="tx1"/>
            </w14:solidFill>
          </w14:textFill>
        </w:rPr>
        <w:t>之日</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即</w:t>
      </w:r>
      <w:r>
        <w:rPr>
          <w:rFonts w:hint="eastAsia" w:ascii="仿宋" w:hAnsi="仿宋" w:eastAsia="仿宋" w:cs="仿宋"/>
          <w:color w:val="0000FF"/>
          <w:sz w:val="28"/>
          <w:szCs w:val="28"/>
          <w:lang w:eastAsia="zh-CN"/>
        </w:rPr>
        <w:t>2022年9月8日</w:t>
      </w:r>
      <w:r>
        <w:rPr>
          <w:rFonts w:hint="eastAsia" w:ascii="仿宋" w:hAnsi="仿宋" w:eastAsia="仿宋" w:cs="仿宋"/>
          <w:color w:val="0000FF"/>
          <w:sz w:val="28"/>
          <w:szCs w:val="28"/>
        </w:rPr>
        <w:t>。</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70C0"/>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6、本估价报告是应估价委托人要求，为</w:t>
      </w:r>
      <w:r>
        <w:rPr>
          <w:rFonts w:hint="eastAsia" w:ascii="仿宋" w:hAnsi="仿宋" w:eastAsia="仿宋" w:cs="仿宋"/>
          <w:color w:val="0000FF"/>
          <w:sz w:val="28"/>
          <w:szCs w:val="28"/>
          <w:lang w:val="en-US" w:eastAsia="zh-CN"/>
        </w:rPr>
        <w:t>牡丹江市东安区人民法院</w:t>
      </w:r>
      <w:r>
        <w:rPr>
          <w:rFonts w:hint="eastAsia" w:ascii="仿宋" w:hAnsi="仿宋" w:eastAsia="仿宋" w:cs="仿宋"/>
          <w:color w:val="auto"/>
          <w:sz w:val="28"/>
          <w:szCs w:val="28"/>
          <w:lang w:val="en-US" w:eastAsia="zh-CN"/>
        </w:rPr>
        <w:t>确定财产处置参考价值提供参考依据，不得用于其他目的，改变估价目的及估价对象的使用条件应对其重新进行估价。</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pacing w:val="-6"/>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auto"/>
          <w:sz w:val="28"/>
          <w:szCs w:val="28"/>
          <w:highlight w:val="none"/>
        </w:rPr>
        <w:t>本报告仅限于委托人为本报告所列明的评估目的</w:t>
      </w:r>
      <w:r>
        <w:rPr>
          <w:rFonts w:hint="eastAsia" w:ascii="仿宋" w:hAnsi="仿宋" w:eastAsia="仿宋" w:cs="仿宋"/>
          <w:color w:val="000000" w:themeColor="text1"/>
          <w:spacing w:val="-6"/>
          <w:sz w:val="28"/>
          <w:szCs w:val="28"/>
          <w14:textFill>
            <w14:solidFill>
              <w14:schemeClr w14:val="tx1"/>
            </w14:solidFill>
          </w14:textFill>
        </w:rPr>
        <w:t>使用，</w:t>
      </w:r>
      <w:r>
        <w:rPr>
          <w:rFonts w:hint="eastAsia" w:ascii="仿宋" w:hAnsi="仿宋" w:eastAsia="仿宋" w:cs="仿宋"/>
          <w:color w:val="000000" w:themeColor="text1"/>
          <w:spacing w:val="-6"/>
          <w:sz w:val="28"/>
          <w:szCs w:val="28"/>
          <w:lang w:val="en-US" w:eastAsia="zh-CN"/>
          <w14:textFill>
            <w14:solidFill>
              <w14:schemeClr w14:val="tx1"/>
            </w14:solidFill>
          </w14:textFill>
        </w:rPr>
        <w:t>估价委托人不得向人民法院及相关当事人以外的任何单位和个人提供，</w:t>
      </w:r>
      <w:r>
        <w:rPr>
          <w:rFonts w:hint="eastAsia" w:ascii="仿宋" w:hAnsi="仿宋" w:eastAsia="仿宋" w:cs="仿宋"/>
          <w:color w:val="000000" w:themeColor="text1"/>
          <w:spacing w:val="-6"/>
          <w:sz w:val="28"/>
          <w:szCs w:val="28"/>
          <w14:textFill>
            <w14:solidFill>
              <w14:schemeClr w14:val="tx1"/>
            </w14:solidFill>
          </w14:textFill>
        </w:rPr>
        <w:t>未经</w:t>
      </w:r>
      <w:r>
        <w:rPr>
          <w:rFonts w:hint="eastAsia" w:ascii="仿宋" w:hAnsi="仿宋" w:eastAsia="仿宋" w:cs="仿宋"/>
          <w:color w:val="000000" w:themeColor="text1"/>
          <w:spacing w:val="-6"/>
          <w:sz w:val="28"/>
          <w:szCs w:val="28"/>
          <w:lang w:val="en-US" w:eastAsia="zh-CN"/>
          <w14:textFill>
            <w14:solidFill>
              <w14:schemeClr w14:val="tx1"/>
            </w14:solidFill>
          </w14:textFill>
        </w:rPr>
        <w:t>估价</w:t>
      </w:r>
      <w:r>
        <w:rPr>
          <w:rFonts w:hint="eastAsia" w:ascii="仿宋" w:hAnsi="仿宋" w:eastAsia="仿宋" w:cs="仿宋"/>
          <w:color w:val="000000" w:themeColor="text1"/>
          <w:spacing w:val="-6"/>
          <w:sz w:val="28"/>
          <w:szCs w:val="28"/>
          <w14:textFill>
            <w14:solidFill>
              <w14:schemeClr w14:val="tx1"/>
            </w14:solidFill>
          </w14:textFill>
        </w:rPr>
        <w:t>机构书面同意，本</w:t>
      </w:r>
      <w:r>
        <w:rPr>
          <w:rFonts w:hint="eastAsia" w:ascii="仿宋" w:hAnsi="仿宋" w:eastAsia="仿宋" w:cs="仿宋"/>
          <w:color w:val="000000" w:themeColor="text1"/>
          <w:spacing w:val="-6"/>
          <w:sz w:val="28"/>
          <w:szCs w:val="28"/>
          <w:lang w:val="en-US" w:eastAsia="zh-CN"/>
          <w14:textFill>
            <w14:solidFill>
              <w14:schemeClr w14:val="tx1"/>
            </w14:solidFill>
          </w14:textFill>
        </w:rPr>
        <w:t>报告</w:t>
      </w:r>
      <w:r>
        <w:rPr>
          <w:rFonts w:hint="eastAsia" w:ascii="仿宋" w:hAnsi="仿宋" w:eastAsia="仿宋" w:cs="仿宋"/>
          <w:color w:val="000000" w:themeColor="text1"/>
          <w:spacing w:val="-6"/>
          <w:sz w:val="28"/>
          <w:szCs w:val="28"/>
          <w14:textFill>
            <w14:solidFill>
              <w14:schemeClr w14:val="tx1"/>
            </w14:solidFill>
          </w14:textFill>
        </w:rPr>
        <w:t>书的全部或部分及任何参考资料均不允许在任何公开发表的文件、通告或声明中引用，亦不得以其他任何方式公开发表。</w:t>
      </w:r>
      <w:r>
        <w:rPr>
          <w:rFonts w:hint="eastAsia" w:ascii="仿宋" w:hAnsi="仿宋" w:eastAsia="仿宋" w:cs="仿宋"/>
          <w:color w:val="000000" w:themeColor="text1"/>
          <w:spacing w:val="-6"/>
          <w:sz w:val="28"/>
          <w:szCs w:val="28"/>
          <w:lang w:val="en-US" w:eastAsia="zh-CN"/>
          <w14:textFill>
            <w14:solidFill>
              <w14:schemeClr w14:val="tx1"/>
            </w14:solidFill>
          </w14:textFill>
        </w:rPr>
        <w:t>房地产估价机构不承担上述以外的任何单位和个人对报告书的全文或部分内容提出任何责任。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8、本估价报告及附件须同时完整使用方为有效，</w:t>
      </w:r>
      <w:r>
        <w:rPr>
          <w:rFonts w:hint="eastAsia" w:ascii="仿宋" w:hAnsi="仿宋" w:eastAsia="仿宋" w:cs="仿宋"/>
          <w:color w:val="000000" w:themeColor="text1"/>
          <w:sz w:val="28"/>
          <w:szCs w:val="28"/>
          <w14:textFill>
            <w14:solidFill>
              <w14:schemeClr w14:val="tx1"/>
            </w14:solidFill>
          </w14:textFill>
        </w:rPr>
        <w:t>分割使用及复印件无效，如</w:t>
      </w:r>
      <w:r>
        <w:rPr>
          <w:rFonts w:hint="eastAsia" w:ascii="仿宋" w:hAnsi="仿宋" w:eastAsia="仿宋" w:cs="仿宋"/>
          <w:color w:val="000000" w:themeColor="text1"/>
          <w:sz w:val="28"/>
          <w:szCs w:val="28"/>
          <w:lang w:val="en-US" w:eastAsia="zh-CN"/>
          <w14:textFill>
            <w14:solidFill>
              <w14:schemeClr w14:val="tx1"/>
            </w14:solidFill>
          </w14:textFill>
        </w:rPr>
        <w:t>报告</w:t>
      </w:r>
      <w:r>
        <w:rPr>
          <w:rFonts w:hint="eastAsia" w:ascii="仿宋" w:hAnsi="仿宋" w:eastAsia="仿宋" w:cs="仿宋"/>
          <w:color w:val="000000" w:themeColor="text1"/>
          <w:sz w:val="28"/>
          <w:szCs w:val="28"/>
          <w14:textFill>
            <w14:solidFill>
              <w14:schemeClr w14:val="tx1"/>
            </w14:solidFill>
          </w14:textFill>
        </w:rPr>
        <w:t>书内文字、数字或图片印校有误时，请告知本公司。</w:t>
      </w:r>
      <w:r>
        <w:rPr>
          <w:rFonts w:hint="eastAsia" w:ascii="仿宋" w:hAnsi="仿宋" w:eastAsia="仿宋" w:cs="仿宋"/>
          <w:color w:val="000000" w:themeColor="text1"/>
          <w:sz w:val="28"/>
          <w:szCs w:val="28"/>
          <w:lang w:val="en-US" w:eastAsia="zh-CN"/>
          <w14:textFill>
            <w14:solidFill>
              <w14:schemeClr w14:val="tx1"/>
            </w14:solidFill>
          </w14:textFill>
        </w:rPr>
        <w:t>本估价机构不对仅使用报告部分内容或使用不当所可能导致的任何损失承担责任。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9、本估价报告必须经估价机构加盖公章，并经注册房地产估价师签章、签字后方可使用。</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z w:val="28"/>
          <w:szCs w:val="28"/>
          <w:highlight w:val="none"/>
          <w14:textFill>
            <w14:solidFill>
              <w14:schemeClr w14:val="tx1"/>
            </w14:solidFill>
          </w14:textFill>
        </w:rPr>
        <w:t>只供委托</w:t>
      </w:r>
      <w:r>
        <w:rPr>
          <w:rFonts w:hint="eastAsia" w:ascii="仿宋" w:hAnsi="仿宋" w:eastAsia="仿宋" w:cs="仿宋"/>
          <w:color w:val="0000FF"/>
          <w:sz w:val="28"/>
          <w:szCs w:val="28"/>
          <w:highlight w:val="none"/>
        </w:rPr>
        <w:t>法院办理此次案件时</w:t>
      </w:r>
      <w:r>
        <w:rPr>
          <w:rFonts w:hint="eastAsia" w:ascii="仿宋" w:hAnsi="仿宋" w:eastAsia="仿宋" w:cs="仿宋"/>
          <w:kern w:val="2"/>
          <w:sz w:val="28"/>
          <w:szCs w:val="28"/>
          <w:highlight w:val="none"/>
          <w:lang w:bidi="ar"/>
        </w:rPr>
        <w:t>确定财产处置参考</w:t>
      </w:r>
      <w:r>
        <w:rPr>
          <w:rFonts w:hint="eastAsia" w:ascii="仿宋" w:hAnsi="仿宋" w:eastAsia="仿宋" w:cs="仿宋"/>
          <w:color w:val="auto"/>
          <w:spacing w:val="-4"/>
          <w:sz w:val="28"/>
          <w:szCs w:val="28"/>
          <w:highlight w:val="none"/>
          <w:lang w:eastAsia="zh-CN"/>
        </w:rPr>
        <w:t>价值</w:t>
      </w:r>
      <w:r>
        <w:rPr>
          <w:rFonts w:hint="eastAsia" w:ascii="仿宋" w:hAnsi="仿宋" w:eastAsia="仿宋" w:cs="仿宋"/>
          <w:color w:val="auto"/>
          <w:spacing w:val="-4"/>
          <w:sz w:val="28"/>
          <w:szCs w:val="28"/>
          <w:highlight w:val="none"/>
          <w:lang w:val="en-US" w:eastAsia="zh-CN"/>
        </w:rPr>
        <w:t>的</w:t>
      </w:r>
      <w:r>
        <w:rPr>
          <w:rFonts w:hint="eastAsia" w:ascii="仿宋" w:hAnsi="仿宋" w:eastAsia="仿宋" w:cs="仿宋"/>
          <w:color w:val="000000" w:themeColor="text1"/>
          <w:sz w:val="28"/>
          <w:szCs w:val="28"/>
          <w:highlight w:val="none"/>
          <w14:textFill>
            <w14:solidFill>
              <w14:schemeClr w14:val="tx1"/>
            </w14:solidFill>
          </w14:textFill>
        </w:rPr>
        <w:t>使用，不应作为处置涉案房屋可实现价格的保证，案件承办单位及案件承办人应在</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估价结论</w:t>
      </w:r>
      <w:r>
        <w:rPr>
          <w:rFonts w:hint="eastAsia" w:ascii="仿宋" w:hAnsi="仿宋" w:eastAsia="仿宋" w:cs="仿宋"/>
          <w:color w:val="000000" w:themeColor="text1"/>
          <w:sz w:val="28"/>
          <w:szCs w:val="28"/>
          <w:highlight w:val="none"/>
          <w14:textFill>
            <w14:solidFill>
              <w14:schemeClr w14:val="tx1"/>
            </w14:solidFill>
          </w14:textFill>
        </w:rPr>
        <w:t>的基础上，结合处置时的房屋状况和市场状况等因素进行合理决策。任何单位和个人不得改变此</w:t>
      </w:r>
      <w:r>
        <w:rPr>
          <w:rFonts w:hint="eastAsia" w:ascii="仿宋" w:hAnsi="仿宋" w:eastAsia="仿宋" w:cs="仿宋"/>
          <w:color w:val="000000" w:themeColor="text1"/>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z w:val="28"/>
          <w:szCs w:val="28"/>
          <w:highlight w:val="none"/>
          <w14:textFill>
            <w14:solidFill>
              <w14:schemeClr w14:val="tx1"/>
            </w14:solidFill>
          </w14:textFill>
        </w:rPr>
        <w:t>的使用目的</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如改变</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目的需另行委托评估。</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11、</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估价项目</w:t>
      </w:r>
      <w:r>
        <w:rPr>
          <w:rFonts w:hint="eastAsia" w:ascii="仿宋" w:hAnsi="仿宋" w:eastAsia="仿宋" w:cs="仿宋"/>
          <w:color w:val="000000" w:themeColor="text1"/>
          <w:sz w:val="28"/>
          <w:szCs w:val="28"/>
          <w:highlight w:val="none"/>
          <w14:textFill>
            <w14:solidFill>
              <w14:schemeClr w14:val="tx1"/>
            </w14:solidFill>
          </w14:textFill>
        </w:rPr>
        <w:t>未考虑未来处置风险，国家宏观经济政策发生变化，市场供求关系发生变化，市场结构转变，遇有自然力和其他不可抗力等因素对房屋建筑价值的影响，也没有考虑特殊交易方式下的交易价格等对</w:t>
      </w:r>
      <w:r>
        <w:rPr>
          <w:rFonts w:hint="eastAsia" w:ascii="仿宋" w:hAnsi="仿宋" w:eastAsia="仿宋" w:cs="仿宋"/>
          <w:color w:val="000000" w:themeColor="text1"/>
          <w:sz w:val="28"/>
          <w:szCs w:val="28"/>
          <w:highlight w:val="none"/>
          <w:lang w:val="en-US" w:eastAsia="zh-CN"/>
          <w14:textFill>
            <w14:solidFill>
              <w14:schemeClr w14:val="tx1"/>
            </w14:solidFill>
          </w14:textFill>
        </w:rPr>
        <w:t>房地产</w:t>
      </w:r>
      <w:r>
        <w:rPr>
          <w:rFonts w:hint="eastAsia" w:ascii="仿宋" w:hAnsi="仿宋" w:eastAsia="仿宋" w:cs="仿宋"/>
          <w:color w:val="000000" w:themeColor="text1"/>
          <w:sz w:val="28"/>
          <w:szCs w:val="28"/>
          <w:highlight w:val="none"/>
          <w14:textFill>
            <w14:solidFill>
              <w14:schemeClr w14:val="tx1"/>
            </w14:solidFill>
          </w14:textFill>
        </w:rPr>
        <w:t>价值的影响。</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12、</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结论</w:t>
      </w:r>
      <w:r>
        <w:rPr>
          <w:rFonts w:hint="eastAsia" w:ascii="仿宋" w:hAnsi="仿宋" w:eastAsia="仿宋" w:cs="仿宋"/>
          <w:color w:val="0000FF"/>
          <w:sz w:val="28"/>
          <w:szCs w:val="28"/>
          <w:highlight w:val="none"/>
        </w:rPr>
        <w:t>包含</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对象应分摊的合理范围内的土地使用权价值。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本报告中</w:t>
      </w:r>
      <w:r>
        <w:rPr>
          <w:rFonts w:hint="eastAsia" w:ascii="仿宋" w:hAnsi="仿宋" w:eastAsia="仿宋" w:cs="仿宋"/>
          <w:color w:val="000000" w:themeColor="text1"/>
          <w:sz w:val="28"/>
          <w:szCs w:val="28"/>
          <w:lang w:val="en-US" w:eastAsia="zh-CN"/>
          <w14:textFill>
            <w14:solidFill>
              <w14:schemeClr w14:val="tx1"/>
            </w14:solidFill>
          </w14:textFill>
        </w:rPr>
        <w:t>估价</w:t>
      </w:r>
      <w:r>
        <w:rPr>
          <w:rFonts w:hint="eastAsia" w:ascii="仿宋" w:hAnsi="仿宋" w:eastAsia="仿宋" w:cs="仿宋"/>
          <w:color w:val="000000" w:themeColor="text1"/>
          <w:sz w:val="28"/>
          <w:szCs w:val="28"/>
          <w14:textFill>
            <w14:solidFill>
              <w14:schemeClr w14:val="tx1"/>
            </w14:solidFill>
          </w14:textFill>
        </w:rPr>
        <w:t>对象的物理状况如有隐蔽之处而无法核实，按照通常状态下即所能观察到的房屋状况下进行客观价值评估。如对评估结果有异议请收到报告后</w:t>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日内提出。</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14、</w:t>
      </w:r>
      <w:r>
        <w:rPr>
          <w:rFonts w:hint="eastAsia" w:ascii="仿宋" w:hAnsi="仿宋" w:eastAsia="仿宋" w:cs="仿宋"/>
          <w:color w:val="000000" w:themeColor="text1"/>
          <w:sz w:val="28"/>
          <w:szCs w:val="28"/>
          <w14:textFill>
            <w14:solidFill>
              <w14:schemeClr w14:val="tx1"/>
            </w14:solidFill>
          </w14:textFill>
        </w:rPr>
        <w:t>当</w:t>
      </w:r>
      <w:r>
        <w:rPr>
          <w:rFonts w:hint="eastAsia" w:ascii="仿宋" w:hAnsi="仿宋" w:eastAsia="仿宋" w:cs="仿宋"/>
          <w:color w:val="000000" w:themeColor="text1"/>
          <w:sz w:val="28"/>
          <w:szCs w:val="28"/>
          <w:lang w:val="en-US" w:eastAsia="zh-CN"/>
          <w14:textFill>
            <w14:solidFill>
              <w14:schemeClr w14:val="tx1"/>
            </w14:solidFill>
          </w14:textFill>
        </w:rPr>
        <w:t>估价</w:t>
      </w:r>
      <w:r>
        <w:rPr>
          <w:rFonts w:hint="eastAsia" w:ascii="仿宋" w:hAnsi="仿宋" w:eastAsia="仿宋" w:cs="仿宋"/>
          <w:color w:val="000000" w:themeColor="text1"/>
          <w:sz w:val="28"/>
          <w:szCs w:val="28"/>
          <w14:textFill>
            <w14:solidFill>
              <w14:schemeClr w14:val="tx1"/>
            </w14:solidFill>
          </w14:textFill>
        </w:rPr>
        <w:t>对象</w:t>
      </w:r>
      <w:r>
        <w:rPr>
          <w:rFonts w:hint="eastAsia" w:ascii="仿宋" w:hAnsi="仿宋" w:eastAsia="仿宋" w:cs="仿宋"/>
          <w:color w:val="000000" w:themeColor="text1"/>
          <w:sz w:val="28"/>
          <w:szCs w:val="28"/>
          <w:lang w:eastAsia="zh-CN"/>
          <w14:textFill>
            <w14:solidFill>
              <w14:schemeClr w14:val="tx1"/>
            </w14:solidFill>
          </w14:textFill>
        </w:rPr>
        <w:t>处置</w:t>
      </w:r>
      <w:r>
        <w:rPr>
          <w:rFonts w:hint="eastAsia" w:ascii="仿宋" w:hAnsi="仿宋" w:eastAsia="仿宋" w:cs="仿宋"/>
          <w:color w:val="000000" w:themeColor="text1"/>
          <w:sz w:val="28"/>
          <w:szCs w:val="28"/>
          <w14:textFill>
            <w14:solidFill>
              <w14:schemeClr w14:val="tx1"/>
            </w14:solidFill>
          </w14:textFill>
        </w:rPr>
        <w:t>后，应首先支付相关税费、评估费、拍卖费及抵押贷款余额等其他法定优先受偿款，这些因素可能会使</w:t>
      </w:r>
      <w:r>
        <w:rPr>
          <w:rFonts w:hint="eastAsia" w:ascii="仿宋" w:hAnsi="仿宋" w:eastAsia="仿宋" w:cs="仿宋"/>
          <w:color w:val="000000" w:themeColor="text1"/>
          <w:sz w:val="28"/>
          <w:szCs w:val="28"/>
          <w:lang w:val="en-US" w:eastAsia="zh-CN"/>
          <w14:textFill>
            <w14:solidFill>
              <w14:schemeClr w14:val="tx1"/>
            </w14:solidFill>
          </w14:textFill>
        </w:rPr>
        <w:t>估价</w:t>
      </w:r>
      <w:r>
        <w:rPr>
          <w:rFonts w:hint="eastAsia" w:ascii="仿宋" w:hAnsi="仿宋" w:eastAsia="仿宋" w:cs="仿宋"/>
          <w:color w:val="000000" w:themeColor="text1"/>
          <w:sz w:val="28"/>
          <w:szCs w:val="28"/>
          <w14:textFill>
            <w14:solidFill>
              <w14:schemeClr w14:val="tx1"/>
            </w14:solidFill>
          </w14:textFill>
        </w:rPr>
        <w:t>对象实际</w:t>
      </w:r>
      <w:r>
        <w:rPr>
          <w:rFonts w:hint="eastAsia" w:ascii="仿宋" w:hAnsi="仿宋" w:eastAsia="仿宋" w:cs="仿宋"/>
          <w:color w:val="000000" w:themeColor="text1"/>
          <w:sz w:val="28"/>
          <w:szCs w:val="28"/>
          <w:lang w:eastAsia="zh-CN"/>
          <w14:textFill>
            <w14:solidFill>
              <w14:schemeClr w14:val="tx1"/>
            </w14:solidFill>
          </w14:textFill>
        </w:rPr>
        <w:t>处置</w:t>
      </w:r>
      <w:r>
        <w:rPr>
          <w:rFonts w:hint="eastAsia" w:ascii="仿宋" w:hAnsi="仿宋" w:eastAsia="仿宋" w:cs="仿宋"/>
          <w:color w:val="000000" w:themeColor="text1"/>
          <w:sz w:val="28"/>
          <w:szCs w:val="28"/>
          <w14:textFill>
            <w14:solidFill>
              <w14:schemeClr w14:val="tx1"/>
            </w14:solidFill>
          </w14:textFill>
        </w:rPr>
        <w:t>价值低于评估价值。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15、本估价报告由</w:t>
      </w:r>
      <w:r>
        <w:rPr>
          <w:rFonts w:hint="eastAsia" w:ascii="仿宋" w:hAnsi="仿宋" w:eastAsia="仿宋" w:cs="仿宋"/>
          <w:color w:val="0000FF"/>
          <w:sz w:val="28"/>
          <w:szCs w:val="28"/>
          <w:highlight w:val="none"/>
          <w:lang w:val="en-US" w:eastAsia="zh-CN"/>
        </w:rPr>
        <w:t>黑龙江天之骄房地产资产评估有限公司</w:t>
      </w:r>
      <w:r>
        <w:rPr>
          <w:rFonts w:hint="eastAsia" w:ascii="仿宋" w:hAnsi="仿宋" w:eastAsia="仿宋" w:cs="仿宋"/>
          <w:color w:val="000000" w:themeColor="text1"/>
          <w:sz w:val="28"/>
          <w:szCs w:val="28"/>
          <w:highlight w:val="none"/>
          <w:lang w:val="en-US" w:eastAsia="zh-CN"/>
          <w14:textFill>
            <w14:solidFill>
              <w14:schemeClr w14:val="tx1"/>
            </w14:solidFill>
          </w14:textFill>
        </w:rPr>
        <w:t>负责解释。</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16、估价机构仅对本估价报告的原件承担责任，对任何形式的复印件概不认可且不承担责任。</w:t>
      </w: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sz w:val="44"/>
          <w:szCs w:val="44"/>
          <w:lang w:val="en-US" w:eastAsia="zh-CN"/>
        </w:rPr>
      </w:pPr>
    </w:p>
    <w:p>
      <w:pPr>
        <w:pStyle w:val="2"/>
        <w:pageBreakBefore w:val="0"/>
        <w:kinsoku/>
        <w:wordWrap/>
        <w:overflowPunct/>
        <w:topLinePunct w:val="0"/>
        <w:autoSpaceDE/>
        <w:autoSpaceDN/>
        <w:bidi w:val="0"/>
        <w:spacing w:line="380" w:lineRule="exact"/>
        <w:jc w:val="center"/>
        <w:textAlignment w:val="auto"/>
        <w:rPr>
          <w:rFonts w:hint="eastAsia" w:ascii="仿宋" w:hAnsi="仿宋" w:eastAsia="仿宋" w:cs="仿宋"/>
        </w:rPr>
      </w:pPr>
      <w:bookmarkStart w:id="18" w:name="_Toc1613"/>
    </w:p>
    <w:p>
      <w:pPr>
        <w:pStyle w:val="2"/>
        <w:pageBreakBefore w:val="0"/>
        <w:kinsoku/>
        <w:wordWrap/>
        <w:overflowPunct/>
        <w:topLinePunct w:val="0"/>
        <w:autoSpaceDE/>
        <w:autoSpaceDN/>
        <w:bidi w:val="0"/>
        <w:spacing w:line="380" w:lineRule="exact"/>
        <w:jc w:val="center"/>
        <w:textAlignment w:val="auto"/>
        <w:rPr>
          <w:rFonts w:hint="eastAsia" w:ascii="仿宋" w:hAnsi="仿宋" w:eastAsia="仿宋" w:cs="仿宋"/>
          <w:b/>
          <w:bCs/>
          <w:szCs w:val="44"/>
          <w:lang w:eastAsia="zh-CN"/>
        </w:rPr>
      </w:pPr>
      <w:r>
        <w:rPr>
          <w:rFonts w:hint="eastAsia" w:ascii="仿宋" w:hAnsi="仿宋" w:eastAsia="仿宋" w:cs="仿宋"/>
        </w:rPr>
        <w:t>房地产估价结果报告</w:t>
      </w:r>
      <w:bookmarkEnd w:id="18"/>
    </w:p>
    <w:p>
      <w:pPr>
        <w:pageBreakBefore w:val="0"/>
        <w:widowControl w:val="0"/>
        <w:kinsoku/>
        <w:wordWrap/>
        <w:overflowPunct/>
        <w:topLinePunct w:val="0"/>
        <w:autoSpaceDE/>
        <w:autoSpaceDN/>
        <w:bidi w:val="0"/>
        <w:spacing w:line="380" w:lineRule="exact"/>
        <w:jc w:val="right"/>
        <w:textAlignment w:val="auto"/>
        <w:outlineLvl w:val="0"/>
        <w:rPr>
          <w:rFonts w:hint="eastAsia" w:ascii="仿宋" w:hAnsi="仿宋" w:eastAsia="仿宋" w:cs="仿宋"/>
          <w:b w:val="0"/>
          <w:bCs w:val="0"/>
          <w:color w:val="0000FF"/>
          <w:sz w:val="24"/>
          <w:szCs w:val="24"/>
          <w:lang w:eastAsia="zh-CN"/>
        </w:rPr>
      </w:pPr>
      <w:bookmarkStart w:id="19" w:name="_Toc26301"/>
      <w:r>
        <w:rPr>
          <w:rFonts w:hint="eastAsia" w:ascii="仿宋" w:hAnsi="仿宋" w:eastAsia="仿宋" w:cs="仿宋"/>
          <w:b w:val="0"/>
          <w:bCs w:val="0"/>
          <w:sz w:val="24"/>
          <w:szCs w:val="24"/>
        </w:rPr>
        <w:t>编号：</w:t>
      </w:r>
      <w:bookmarkEnd w:id="19"/>
      <w:r>
        <w:rPr>
          <w:rFonts w:hint="eastAsia" w:ascii="仿宋" w:hAnsi="仿宋" w:eastAsia="仿宋" w:cs="仿宋"/>
          <w:b w:val="0"/>
          <w:bCs w:val="0"/>
          <w:color w:val="0000FF"/>
          <w:sz w:val="24"/>
          <w:szCs w:val="24"/>
          <w:lang w:eastAsia="zh-CN"/>
        </w:rPr>
        <w:t>黑天之骄[2022]法执房评第133号</w:t>
      </w:r>
    </w:p>
    <w:p>
      <w:pPr>
        <w:pStyle w:val="3"/>
        <w:pageBreakBefore w:val="0"/>
        <w:widowControl w:val="0"/>
        <w:numPr>
          <w:ilvl w:val="0"/>
          <w:numId w:val="0"/>
        </w:numPr>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auto"/>
          <w:szCs w:val="28"/>
          <w:highlight w:val="none"/>
        </w:rPr>
      </w:pPr>
      <w:bookmarkStart w:id="20" w:name="_Toc30197"/>
      <w:bookmarkStart w:id="21" w:name="_Toc21784"/>
      <w:r>
        <w:rPr>
          <w:rStyle w:val="69"/>
          <w:rFonts w:hint="eastAsia" w:ascii="仿宋" w:hAnsi="仿宋" w:eastAsia="仿宋" w:cs="仿宋"/>
          <w:b/>
          <w:kern w:val="2"/>
          <w:sz w:val="28"/>
          <w:szCs w:val="28"/>
          <w:lang w:val="en-US" w:eastAsia="zh-CN" w:bidi="ar-SA"/>
        </w:rPr>
        <w:t>一、委托人：</w:t>
      </w:r>
      <w:bookmarkEnd w:id="20"/>
      <w:bookmarkEnd w:id="21"/>
    </w:p>
    <w:p>
      <w:pPr>
        <w:pageBreakBefore w:val="0"/>
        <w:widowControl w:val="0"/>
        <w:numPr>
          <w:ilvl w:val="0"/>
          <w:numId w:val="0"/>
        </w:numPr>
        <w:kinsoku/>
        <w:wordWrap/>
        <w:overflowPunct/>
        <w:topLinePunct w:val="0"/>
        <w:autoSpaceDE/>
        <w:autoSpaceDN/>
        <w:bidi w:val="0"/>
        <w:adjustRightInd w:val="0"/>
        <w:snapToGrid w:val="0"/>
        <w:spacing w:before="72" w:beforeLines="30" w:after="72" w:afterLines="30" w:line="440" w:lineRule="exact"/>
        <w:ind w:firstLine="560" w:firstLineChars="200"/>
        <w:jc w:val="both"/>
        <w:textAlignment w:val="auto"/>
        <w:rPr>
          <w:rFonts w:hint="eastAsia" w:ascii="仿宋" w:hAnsi="仿宋" w:eastAsia="仿宋" w:cs="仿宋"/>
          <w:color w:val="0000FF"/>
          <w:sz w:val="28"/>
          <w:szCs w:val="28"/>
        </w:rPr>
      </w:pPr>
      <w:r>
        <w:rPr>
          <w:rFonts w:hint="eastAsia" w:ascii="仿宋" w:hAnsi="仿宋" w:eastAsia="仿宋" w:cs="仿宋"/>
          <w:b w:val="0"/>
          <w:bCs/>
          <w:color w:val="auto"/>
          <w:sz w:val="28"/>
          <w:szCs w:val="28"/>
          <w:highlight w:val="none"/>
          <w:lang w:val="en-US" w:eastAsia="zh-CN"/>
        </w:rPr>
        <w:t>估价委托人：</w:t>
      </w:r>
      <w:r>
        <w:rPr>
          <w:rFonts w:hint="eastAsia" w:ascii="仿宋" w:hAnsi="仿宋" w:eastAsia="仿宋" w:cs="仿宋"/>
          <w:color w:val="0000FF"/>
          <w:sz w:val="28"/>
          <w:szCs w:val="28"/>
          <w:lang w:eastAsia="zh-CN"/>
        </w:rPr>
        <w:t>牡丹江市东安区人民法院</w:t>
      </w:r>
    </w:p>
    <w:p>
      <w:pPr>
        <w:pageBreakBefore w:val="0"/>
        <w:widowControl w:val="0"/>
        <w:kinsoku/>
        <w:wordWrap/>
        <w:overflowPunct/>
        <w:topLinePunct w:val="0"/>
        <w:autoSpaceDE/>
        <w:autoSpaceDN/>
        <w:bidi w:val="0"/>
        <w:adjustRightInd w:val="0"/>
        <w:snapToGrid w:val="0"/>
        <w:spacing w:before="72" w:beforeLines="30" w:after="72" w:afterLines="30" w:line="440" w:lineRule="exact"/>
        <w:jc w:val="both"/>
        <w:textAlignment w:val="auto"/>
        <w:rPr>
          <w:rStyle w:val="55"/>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Style w:val="69"/>
          <w:rFonts w:hint="eastAsia" w:ascii="仿宋" w:hAnsi="仿宋" w:eastAsia="仿宋" w:cs="仿宋"/>
          <w:sz w:val="28"/>
          <w:szCs w:val="28"/>
        </w:rPr>
        <w:t xml:space="preserve"> </w:t>
      </w:r>
      <w:bookmarkStart w:id="22" w:name="_Toc161"/>
      <w:bookmarkStart w:id="23" w:name="_Toc29631"/>
      <w:r>
        <w:rPr>
          <w:rStyle w:val="69"/>
          <w:rFonts w:hint="eastAsia" w:ascii="仿宋" w:hAnsi="仿宋" w:eastAsia="仿宋" w:cs="仿宋"/>
          <w:sz w:val="28"/>
          <w:szCs w:val="28"/>
          <w:lang w:eastAsia="zh-CN"/>
        </w:rPr>
        <w:t>二</w:t>
      </w:r>
      <w:r>
        <w:rPr>
          <w:rStyle w:val="69"/>
          <w:rFonts w:hint="eastAsia" w:ascii="仿宋" w:hAnsi="仿宋" w:eastAsia="仿宋" w:cs="仿宋"/>
          <w:sz w:val="28"/>
          <w:szCs w:val="28"/>
        </w:rPr>
        <w:t>、估价机构：</w:t>
      </w:r>
      <w:bookmarkEnd w:id="22"/>
    </w:p>
    <w:bookmarkEnd w:id="23"/>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rPr>
        <w:t>名称：</w:t>
      </w:r>
      <w:r>
        <w:rPr>
          <w:rFonts w:hint="eastAsia" w:ascii="仿宋" w:hAnsi="仿宋" w:eastAsia="仿宋" w:cs="仿宋"/>
          <w:b w:val="0"/>
          <w:bCs/>
          <w:color w:val="auto"/>
          <w:sz w:val="28"/>
          <w:szCs w:val="28"/>
          <w:highlight w:val="none"/>
          <w:lang w:eastAsia="zh-CN"/>
        </w:rPr>
        <w:t>黑龙江天之骄房地产资产评估有限公司</w:t>
      </w:r>
    </w:p>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住所：</w:t>
      </w:r>
      <w:r>
        <w:rPr>
          <w:rFonts w:hint="eastAsia" w:ascii="仿宋" w:hAnsi="仿宋" w:eastAsia="仿宋" w:cs="仿宋"/>
          <w:color w:val="auto"/>
          <w:sz w:val="28"/>
          <w:highlight w:val="none"/>
        </w:rPr>
        <w:t>牡丹江市西安区新宏基大厦803室</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val="en-US" w:eastAsia="zh-CN"/>
        </w:rPr>
        <w:t>孙克伟</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资格备案等级：国家一级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证书编号：23</w:t>
      </w:r>
      <w:r>
        <w:rPr>
          <w:rFonts w:hint="eastAsia" w:ascii="仿宋" w:hAnsi="仿宋" w:eastAsia="仿宋" w:cs="仿宋"/>
          <w:color w:val="auto"/>
          <w:sz w:val="28"/>
          <w:szCs w:val="28"/>
          <w:highlight w:val="none"/>
          <w:lang w:val="en-US" w:eastAsia="zh-CN"/>
        </w:rPr>
        <w:t>030016</w:t>
      </w:r>
      <w:r>
        <w:rPr>
          <w:rFonts w:hint="eastAsia" w:ascii="仿宋" w:hAnsi="仿宋" w:eastAsia="仿宋" w:cs="仿宋"/>
          <w:color w:val="auto"/>
          <w:sz w:val="28"/>
          <w:szCs w:val="28"/>
          <w:highlight w:val="none"/>
        </w:rPr>
        <w:t xml:space="preserve"> </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Fonts w:hint="eastAsia" w:ascii="仿宋" w:hAnsi="仿宋" w:eastAsia="仿宋" w:cs="仿宋"/>
          <w:color w:val="auto"/>
          <w:sz w:val="28"/>
          <w:szCs w:val="28"/>
          <w:highlight w:val="none"/>
        </w:rPr>
      </w:pPr>
      <w:bookmarkStart w:id="24" w:name="_Toc13990"/>
      <w:bookmarkStart w:id="25" w:name="_Toc6612"/>
      <w:r>
        <w:rPr>
          <w:rStyle w:val="69"/>
          <w:rFonts w:hint="eastAsia" w:ascii="仿宋" w:hAnsi="仿宋" w:eastAsia="仿宋" w:cs="仿宋"/>
          <w:sz w:val="28"/>
          <w:szCs w:val="28"/>
          <w:lang w:eastAsia="zh-CN"/>
        </w:rPr>
        <w:t>三</w:t>
      </w:r>
      <w:r>
        <w:rPr>
          <w:rStyle w:val="69"/>
          <w:rFonts w:hint="eastAsia" w:ascii="仿宋" w:hAnsi="仿宋" w:eastAsia="仿宋" w:cs="仿宋"/>
          <w:sz w:val="28"/>
          <w:szCs w:val="28"/>
        </w:rPr>
        <w:t>、估价目的：</w:t>
      </w:r>
      <w:bookmarkEnd w:id="24"/>
      <w:bookmarkEnd w:id="25"/>
      <w:bookmarkStart w:id="26" w:name="_Toc3021"/>
      <w:r>
        <w:rPr>
          <w:rFonts w:hint="eastAsia" w:ascii="仿宋" w:hAnsi="仿宋" w:eastAsia="仿宋" w:cs="仿宋"/>
          <w:color w:val="auto"/>
          <w:sz w:val="28"/>
          <w:szCs w:val="28"/>
          <w:highlight w:val="none"/>
          <w:lang w:val="en-US" w:eastAsia="zh-CN"/>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Style w:val="69"/>
          <w:rFonts w:hint="eastAsia" w:ascii="仿宋" w:hAnsi="仿宋" w:eastAsia="仿宋" w:cs="仿宋"/>
          <w:b/>
          <w:sz w:val="28"/>
          <w:szCs w:val="28"/>
        </w:rPr>
      </w:pPr>
      <w:bookmarkStart w:id="27" w:name="_Toc15365"/>
      <w:r>
        <w:rPr>
          <w:rStyle w:val="69"/>
          <w:rFonts w:hint="eastAsia" w:ascii="仿宋" w:hAnsi="仿宋" w:eastAsia="仿宋" w:cs="仿宋"/>
          <w:b/>
          <w:sz w:val="28"/>
          <w:szCs w:val="28"/>
          <w:lang w:eastAsia="zh-CN"/>
        </w:rPr>
        <w:t>四、</w:t>
      </w:r>
      <w:r>
        <w:rPr>
          <w:rStyle w:val="69"/>
          <w:rFonts w:hint="eastAsia" w:ascii="仿宋" w:hAnsi="仿宋" w:eastAsia="仿宋" w:cs="仿宋"/>
          <w:b/>
          <w:sz w:val="28"/>
          <w:szCs w:val="28"/>
        </w:rPr>
        <w:t>估价对象：</w:t>
      </w:r>
    </w:p>
    <w:bookmarkEnd w:id="26"/>
    <w:bookmarkEnd w:id="27"/>
    <w:p>
      <w:pPr>
        <w:pageBreakBefore w:val="0"/>
        <w:widowControl w:val="0"/>
        <w:tabs>
          <w:tab w:val="left" w:pos="3780"/>
        </w:tabs>
        <w:kinsoku/>
        <w:wordWrap/>
        <w:overflowPunct/>
        <w:topLinePunct w:val="0"/>
        <w:autoSpaceDE/>
        <w:autoSpaceDN/>
        <w:bidi w:val="0"/>
        <w:adjustRightInd w:val="0"/>
        <w:snapToGrid w:val="0"/>
        <w:spacing w:line="440" w:lineRule="exact"/>
        <w:ind w:left="638" w:leftChars="304"/>
        <w:jc w:val="both"/>
        <w:textAlignment w:val="auto"/>
        <w:outlineLvl w:val="0"/>
        <w:rPr>
          <w:rFonts w:hint="eastAsia" w:ascii="仿宋" w:hAnsi="仿宋" w:eastAsia="仿宋" w:cs="仿宋"/>
          <w:color w:val="auto"/>
          <w:sz w:val="28"/>
          <w:szCs w:val="28"/>
          <w:highlight w:val="none"/>
          <w:lang w:val="en-US" w:eastAsia="zh-CN"/>
        </w:rPr>
      </w:pPr>
      <w:bookmarkStart w:id="28" w:name="_Toc32710"/>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估价对象基本状况的说明：</w:t>
      </w:r>
      <w:bookmarkEnd w:id="28"/>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b w:val="0"/>
          <w:bCs w:val="0"/>
          <w:color w:val="0000FF"/>
          <w:kern w:val="0"/>
          <w:sz w:val="28"/>
          <w:szCs w:val="28"/>
          <w:lang w:val="en-US" w:eastAsia="zh-CN" w:bidi="ar"/>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0000FF"/>
          <w:sz w:val="28"/>
          <w:szCs w:val="28"/>
          <w:highlight w:val="none"/>
          <w:lang w:val="en-US" w:eastAsia="zh-CN"/>
        </w:rPr>
        <w:t>本次估价</w:t>
      </w:r>
      <w:r>
        <w:rPr>
          <w:rFonts w:hint="eastAsia" w:ascii="仿宋" w:hAnsi="仿宋" w:eastAsia="仿宋" w:cs="仿宋"/>
          <w:color w:val="auto"/>
          <w:sz w:val="28"/>
          <w:szCs w:val="28"/>
          <w:highlight w:val="none"/>
          <w:lang w:val="en-US" w:eastAsia="zh-CN"/>
        </w:rPr>
        <w:t>财产范围</w:t>
      </w:r>
      <w:r>
        <w:rPr>
          <w:rFonts w:hint="eastAsia" w:ascii="仿宋" w:hAnsi="仿宋" w:eastAsia="仿宋" w:cs="仿宋"/>
          <w:color w:val="0000FF"/>
          <w:sz w:val="28"/>
          <w:szCs w:val="28"/>
          <w:highlight w:val="none"/>
          <w:lang w:val="en-US" w:eastAsia="zh-CN"/>
        </w:rPr>
        <w:t>以《牡丹江市东安区人民法院委托书（2022）黑1002执恢535号》委托内容为准，包括估价对象的</w:t>
      </w:r>
      <w:r>
        <w:rPr>
          <w:rFonts w:hint="eastAsia" w:ascii="仿宋" w:hAnsi="仿宋" w:eastAsia="仿宋" w:cs="仿宋"/>
          <w:b w:val="0"/>
          <w:bCs w:val="0"/>
          <w:color w:val="0000FF"/>
          <w:kern w:val="0"/>
          <w:sz w:val="28"/>
          <w:szCs w:val="28"/>
          <w:lang w:val="en-US" w:eastAsia="zh-CN" w:bidi="ar"/>
        </w:rPr>
        <w:t>估价对象合理范围内的权益价值（包含房屋的装饰装修和设备设施）；</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FF"/>
          <w:sz w:val="28"/>
          <w:szCs w:val="28"/>
          <w:highlight w:val="none"/>
          <w:lang w:val="en-US" w:eastAsia="zh-CN"/>
        </w:rPr>
      </w:pPr>
      <w:r>
        <w:rPr>
          <w:rFonts w:hint="eastAsia" w:ascii="仿宋" w:hAnsi="仿宋" w:eastAsia="仿宋" w:cs="仿宋"/>
          <w:b w:val="0"/>
          <w:bCs w:val="0"/>
          <w:color w:val="0000FF"/>
          <w:kern w:val="0"/>
          <w:sz w:val="28"/>
          <w:szCs w:val="28"/>
          <w:lang w:val="en-US" w:eastAsia="zh-CN" w:bidi="ar"/>
        </w:rPr>
        <w:t>2、估价对象的名称和坐落：</w:t>
      </w:r>
      <w:r>
        <w:rPr>
          <w:rFonts w:hint="eastAsia" w:ascii="仿宋" w:hAnsi="仿宋" w:eastAsia="仿宋" w:cs="仿宋"/>
          <w:b w:val="0"/>
          <w:bCs/>
          <w:color w:val="0000FF"/>
          <w:spacing w:val="0"/>
          <w:sz w:val="28"/>
          <w:szCs w:val="28"/>
          <w:lang w:eastAsia="zh-CN"/>
        </w:rPr>
        <w:t>牡丹江市东安区沿江街</w:t>
      </w:r>
      <w:r>
        <w:rPr>
          <w:rFonts w:hint="eastAsia" w:ascii="仿宋" w:hAnsi="仿宋" w:eastAsia="仿宋" w:cs="仿宋"/>
          <w:b w:val="0"/>
          <w:bCs/>
          <w:color w:val="0000FF"/>
          <w:spacing w:val="0"/>
          <w:sz w:val="28"/>
          <w:szCs w:val="28"/>
          <w:lang w:val="en-US" w:eastAsia="zh-CN"/>
        </w:rPr>
        <w:t>以北、</w:t>
      </w:r>
      <w:r>
        <w:rPr>
          <w:rFonts w:hint="eastAsia" w:ascii="仿宋" w:hAnsi="仿宋" w:eastAsia="仿宋" w:cs="仿宋"/>
          <w:b w:val="0"/>
          <w:bCs/>
          <w:color w:val="0000FF"/>
          <w:spacing w:val="0"/>
          <w:sz w:val="28"/>
          <w:szCs w:val="28"/>
          <w:lang w:eastAsia="zh-CN"/>
        </w:rPr>
        <w:t>东六条路</w:t>
      </w:r>
      <w:r>
        <w:rPr>
          <w:rFonts w:hint="eastAsia" w:ascii="仿宋" w:hAnsi="仿宋" w:eastAsia="仿宋" w:cs="仿宋"/>
          <w:b w:val="0"/>
          <w:bCs/>
          <w:color w:val="0000FF"/>
          <w:spacing w:val="0"/>
          <w:sz w:val="28"/>
          <w:szCs w:val="28"/>
          <w:lang w:val="en-US" w:eastAsia="zh-CN"/>
        </w:rPr>
        <w:t>以西清福小区25号楼</w:t>
      </w:r>
      <w:r>
        <w:rPr>
          <w:rFonts w:hint="eastAsia" w:ascii="仿宋" w:hAnsi="仿宋" w:eastAsia="仿宋" w:cs="仿宋"/>
          <w:b w:val="0"/>
          <w:bCs/>
          <w:color w:val="0000FF"/>
          <w:sz w:val="28"/>
          <w:szCs w:val="28"/>
          <w:highlight w:val="none"/>
          <w:lang w:val="en-US" w:eastAsia="zh-CN"/>
        </w:rPr>
        <w:t>；</w:t>
      </w:r>
    </w:p>
    <w:p>
      <w:pPr>
        <w:pageBreakBefore w:val="0"/>
        <w:widowControl w:val="0"/>
        <w:numPr>
          <w:ilvl w:val="0"/>
          <w:numId w:val="1"/>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FF"/>
          <w:sz w:val="28"/>
          <w:szCs w:val="28"/>
          <w:highlight w:val="none"/>
          <w:lang w:val="en-US" w:eastAsia="zh-CN"/>
        </w:rPr>
      </w:pPr>
      <w:r>
        <w:rPr>
          <w:rFonts w:hint="eastAsia" w:ascii="仿宋" w:hAnsi="仿宋" w:eastAsia="仿宋" w:cs="仿宋"/>
          <w:color w:val="0000FF"/>
          <w:sz w:val="28"/>
          <w:szCs w:val="28"/>
          <w:highlight w:val="none"/>
          <w:lang w:val="en-US" w:eastAsia="zh-CN"/>
        </w:rPr>
        <w:t>规模：</w:t>
      </w:r>
      <w:r>
        <w:rPr>
          <w:rFonts w:hint="eastAsia" w:ascii="仿宋" w:hAnsi="仿宋" w:eastAsia="仿宋" w:cs="仿宋"/>
          <w:b w:val="0"/>
          <w:bCs/>
          <w:color w:val="0000FF"/>
          <w:spacing w:val="0"/>
          <w:sz w:val="28"/>
          <w:szCs w:val="28"/>
          <w:lang w:eastAsia="zh-CN"/>
        </w:rPr>
        <w:t>建筑面积分别为</w:t>
      </w:r>
      <w:r>
        <w:rPr>
          <w:rFonts w:hint="eastAsia" w:ascii="仿宋" w:hAnsi="仿宋" w:eastAsia="仿宋" w:cs="仿宋"/>
          <w:b w:val="0"/>
          <w:bCs/>
          <w:color w:val="0000FF"/>
          <w:spacing w:val="0"/>
          <w:sz w:val="28"/>
          <w:szCs w:val="28"/>
          <w:lang w:val="en-US" w:eastAsia="zh-CN"/>
        </w:rPr>
        <w:t>134.68</w:t>
      </w:r>
      <w:r>
        <w:rPr>
          <w:rFonts w:hint="eastAsia" w:ascii="仿宋" w:hAnsi="仿宋" w:eastAsia="仿宋" w:cs="仿宋"/>
          <w:b w:val="0"/>
          <w:bCs/>
          <w:color w:val="0000FF"/>
          <w:spacing w:val="0"/>
          <w:sz w:val="28"/>
          <w:szCs w:val="28"/>
          <w:lang w:eastAsia="zh-CN"/>
        </w:rPr>
        <w:t>㎡</w:t>
      </w:r>
      <w:r>
        <w:rPr>
          <w:rFonts w:hint="eastAsia" w:ascii="仿宋" w:hAnsi="仿宋" w:eastAsia="仿宋" w:cs="仿宋"/>
          <w:color w:val="0000FF"/>
          <w:sz w:val="28"/>
          <w:szCs w:val="28"/>
          <w:highlight w:val="none"/>
          <w:lang w:val="en-US" w:eastAsia="zh-CN"/>
        </w:rPr>
        <w:t>。</w:t>
      </w:r>
    </w:p>
    <w:p>
      <w:pPr>
        <w:pageBreakBefore w:val="0"/>
        <w:widowControl w:val="0"/>
        <w:numPr>
          <w:ilvl w:val="0"/>
          <w:numId w:val="1"/>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FF"/>
          <w:sz w:val="28"/>
          <w:szCs w:val="28"/>
          <w:highlight w:val="none"/>
          <w:lang w:val="en-US" w:eastAsia="zh-CN"/>
        </w:rPr>
      </w:pPr>
      <w:r>
        <w:rPr>
          <w:rFonts w:hint="eastAsia" w:ascii="仿宋" w:hAnsi="仿宋" w:eastAsia="仿宋" w:cs="仿宋"/>
          <w:color w:val="0000FF"/>
          <w:sz w:val="28"/>
          <w:szCs w:val="28"/>
          <w:highlight w:val="none"/>
          <w:lang w:val="en-US" w:eastAsia="zh-CN"/>
        </w:rPr>
        <w:t>用途：住宅；</w:t>
      </w:r>
    </w:p>
    <w:p>
      <w:pPr>
        <w:pageBreakBefore w:val="0"/>
        <w:widowControl w:val="0"/>
        <w:numPr>
          <w:ilvl w:val="0"/>
          <w:numId w:val="1"/>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0000FF"/>
          <w:sz w:val="28"/>
          <w:szCs w:val="28"/>
          <w:highlight w:val="none"/>
          <w:lang w:val="en-US" w:eastAsia="zh-CN"/>
        </w:rPr>
        <w:t>权属：根据委托方提供的委托材料确定</w:t>
      </w:r>
      <w:r>
        <w:rPr>
          <w:rFonts w:hint="eastAsia" w:ascii="仿宋" w:hAnsi="仿宋" w:eastAsia="仿宋" w:cs="仿宋"/>
          <w:b w:val="0"/>
          <w:bCs w:val="0"/>
          <w:color w:val="0000FF"/>
          <w:kern w:val="0"/>
          <w:sz w:val="28"/>
          <w:szCs w:val="28"/>
          <w:lang w:val="en-US" w:eastAsia="zh-CN" w:bidi="ar"/>
        </w:rPr>
        <w:t>房屋产权人为李宝珍</w:t>
      </w:r>
      <w:r>
        <w:rPr>
          <w:rFonts w:hint="eastAsia" w:ascii="仿宋" w:hAnsi="仿宋" w:eastAsia="仿宋" w:cs="仿宋"/>
          <w:b w:val="0"/>
          <w:bCs/>
          <w:color w:val="0000FF"/>
          <w:sz w:val="28"/>
          <w:lang w:val="en-US" w:eastAsia="zh-CN"/>
        </w:rPr>
        <w:t>。</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0"/>
        <w:rPr>
          <w:rFonts w:hint="eastAsia" w:ascii="仿宋" w:hAnsi="仿宋" w:eastAsia="仿宋" w:cs="仿宋"/>
          <w:color w:val="auto"/>
          <w:sz w:val="28"/>
          <w:szCs w:val="28"/>
          <w:highlight w:val="none"/>
          <w:lang w:val="en-US" w:eastAsia="zh-CN"/>
        </w:rPr>
      </w:pPr>
      <w:bookmarkStart w:id="29" w:name="_Toc6774"/>
      <w:r>
        <w:rPr>
          <w:rFonts w:hint="eastAsia" w:ascii="仿宋" w:hAnsi="仿宋" w:eastAsia="仿宋" w:cs="仿宋"/>
          <w:color w:val="auto"/>
          <w:sz w:val="28"/>
          <w:szCs w:val="28"/>
          <w:highlight w:val="none"/>
          <w:lang w:val="en-US" w:eastAsia="zh-CN"/>
        </w:rPr>
        <w:t>（二）估价对象实物状况的说明：</w:t>
      </w:r>
      <w:bookmarkEnd w:id="29"/>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auto"/>
          <w:sz w:val="28"/>
          <w:szCs w:val="28"/>
          <w:highlight w:val="none"/>
          <w:lang w:val="en-US" w:eastAsia="zh-CN"/>
        </w:rPr>
      </w:pPr>
      <w:bookmarkStart w:id="30" w:name="_Toc10687"/>
      <w:r>
        <w:rPr>
          <w:rFonts w:hint="eastAsia" w:ascii="仿宋" w:hAnsi="仿宋" w:eastAsia="仿宋" w:cs="仿宋"/>
          <w:color w:val="auto"/>
          <w:sz w:val="28"/>
          <w:szCs w:val="28"/>
          <w:highlight w:val="none"/>
          <w:lang w:val="en-US" w:eastAsia="zh-CN"/>
        </w:rPr>
        <w:t>1、建筑物实物状况</w:t>
      </w:r>
      <w:bookmarkEnd w:id="30"/>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根据估价人员现场查勘，截止至估价时点，估价对象实物状况如下：</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FF0000"/>
          <w:sz w:val="28"/>
          <w:szCs w:val="28"/>
          <w:highlight w:val="none"/>
          <w:lang w:val="en-US" w:eastAsia="zh-CN"/>
        </w:rPr>
        <w:t>混合结构，总层数为10层，所在层为8层，朝向为南北向，外墙涂料，室内总净高2.7m左右，室内顶棚为涂料刷白，地面为地板、地砖，入户防盗门，建成年代2014年，室内水电暖等设施较齐全。</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auto"/>
          <w:sz w:val="28"/>
          <w:szCs w:val="28"/>
          <w:highlight w:val="none"/>
          <w:lang w:val="en-US" w:eastAsia="zh-CN"/>
        </w:rPr>
      </w:pPr>
      <w:bookmarkStart w:id="31" w:name="_Toc27211"/>
      <w:r>
        <w:rPr>
          <w:rFonts w:hint="eastAsia" w:ascii="仿宋" w:hAnsi="仿宋" w:eastAsia="仿宋" w:cs="仿宋"/>
          <w:color w:val="auto"/>
          <w:sz w:val="28"/>
          <w:szCs w:val="28"/>
          <w:highlight w:val="none"/>
          <w:lang w:val="en-US" w:eastAsia="zh-CN"/>
        </w:rPr>
        <w:t>2、土地实物状况</w:t>
      </w:r>
      <w:bookmarkEnd w:id="31"/>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FF"/>
          <w:sz w:val="28"/>
          <w:szCs w:val="28"/>
          <w:highlight w:val="none"/>
          <w:lang w:val="en-US" w:eastAsia="zh-CN"/>
        </w:rPr>
      </w:pPr>
      <w:r>
        <w:rPr>
          <w:rFonts w:hint="eastAsia" w:ascii="仿宋" w:hAnsi="仿宋" w:eastAsia="仿宋" w:cs="仿宋"/>
          <w:color w:val="auto"/>
          <w:sz w:val="28"/>
          <w:szCs w:val="28"/>
          <w:highlight w:val="none"/>
          <w:lang w:val="en-US" w:eastAsia="zh-CN"/>
        </w:rPr>
        <w:t>估价对象宗地位于</w:t>
      </w:r>
      <w:r>
        <w:rPr>
          <w:rFonts w:hint="eastAsia" w:ascii="仿宋" w:hAnsi="仿宋" w:eastAsia="仿宋" w:cs="仿宋"/>
          <w:b w:val="0"/>
          <w:bCs/>
          <w:color w:val="0000FF"/>
          <w:spacing w:val="0"/>
          <w:sz w:val="28"/>
          <w:szCs w:val="28"/>
          <w:lang w:eastAsia="zh-CN"/>
        </w:rPr>
        <w:t>牡丹江市</w:t>
      </w:r>
      <w:r>
        <w:rPr>
          <w:rFonts w:hint="eastAsia" w:ascii="仿宋" w:hAnsi="仿宋" w:eastAsia="仿宋" w:cs="仿宋"/>
          <w:b w:val="0"/>
          <w:bCs/>
          <w:color w:val="0000FF"/>
          <w:spacing w:val="0"/>
          <w:sz w:val="28"/>
          <w:szCs w:val="28"/>
          <w:lang w:val="en-US" w:eastAsia="zh-CN"/>
        </w:rPr>
        <w:t>东安区沿江街以北</w:t>
      </w:r>
      <w:r>
        <w:rPr>
          <w:rFonts w:hint="eastAsia" w:ascii="仿宋" w:hAnsi="仿宋" w:eastAsia="仿宋" w:cs="仿宋"/>
          <w:b w:val="0"/>
          <w:bCs/>
          <w:color w:val="0000FF"/>
          <w:spacing w:val="0"/>
          <w:sz w:val="28"/>
          <w:szCs w:val="28"/>
          <w:lang w:eastAsia="zh-CN"/>
        </w:rPr>
        <w:t>、</w:t>
      </w:r>
      <w:r>
        <w:rPr>
          <w:rFonts w:hint="eastAsia" w:ascii="仿宋" w:hAnsi="仿宋" w:eastAsia="仿宋" w:cs="仿宋"/>
          <w:b w:val="0"/>
          <w:bCs/>
          <w:color w:val="0000FF"/>
          <w:spacing w:val="0"/>
          <w:sz w:val="28"/>
          <w:szCs w:val="28"/>
          <w:lang w:val="en-US" w:eastAsia="zh-CN"/>
        </w:rPr>
        <w:t>清福街以南、东六条路以西</w:t>
      </w:r>
      <w:r>
        <w:rPr>
          <w:rFonts w:hint="eastAsia" w:ascii="仿宋" w:hAnsi="仿宋" w:eastAsia="仿宋" w:cs="仿宋"/>
          <w:b w:val="0"/>
          <w:bCs/>
          <w:color w:val="0000FF"/>
          <w:spacing w:val="0"/>
          <w:sz w:val="28"/>
          <w:szCs w:val="28"/>
          <w:lang w:eastAsia="zh-CN"/>
        </w:rPr>
        <w:t>，</w:t>
      </w:r>
      <w:r>
        <w:rPr>
          <w:rFonts w:hint="eastAsia" w:ascii="仿宋" w:hAnsi="仿宋" w:eastAsia="仿宋" w:cs="仿宋"/>
          <w:b w:val="0"/>
          <w:bCs/>
          <w:color w:val="0000FF"/>
          <w:spacing w:val="0"/>
          <w:sz w:val="28"/>
          <w:szCs w:val="28"/>
          <w:lang w:val="en-US" w:eastAsia="zh-CN"/>
        </w:rPr>
        <w:t>东小六条路以西，</w:t>
      </w:r>
      <w:r>
        <w:rPr>
          <w:rFonts w:hint="eastAsia" w:ascii="仿宋" w:hAnsi="仿宋" w:eastAsia="仿宋" w:cs="仿宋"/>
          <w:color w:val="0000FF"/>
          <w:sz w:val="28"/>
          <w:szCs w:val="28"/>
          <w:highlight w:val="none"/>
          <w:lang w:val="en-US" w:eastAsia="zh-CN"/>
        </w:rPr>
        <w:t>整宗土地为地势较平整，土地承载力较好、地基稳固，基础设施较完善。</w:t>
      </w:r>
      <w:bookmarkStart w:id="32" w:name="_Toc882"/>
      <w:bookmarkStart w:id="33" w:name="_Toc30752"/>
    </w:p>
    <w:p>
      <w:pPr>
        <w:pageBreakBefore w:val="0"/>
        <w:widowControl w:val="0"/>
        <w:tabs>
          <w:tab w:val="left" w:pos="3780"/>
        </w:tabs>
        <w:kinsoku/>
        <w:wordWrap/>
        <w:overflowPunct/>
        <w:topLinePunct w:val="0"/>
        <w:autoSpaceDE/>
        <w:autoSpaceDN/>
        <w:bidi w:val="0"/>
        <w:adjustRightInd w:val="0"/>
        <w:snapToGrid w:val="0"/>
        <w:spacing w:line="440" w:lineRule="exact"/>
        <w:ind w:firstLine="562" w:firstLineChars="200"/>
        <w:jc w:val="both"/>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价值时点：</w:t>
      </w:r>
      <w:bookmarkEnd w:id="32"/>
      <w:r>
        <w:rPr>
          <w:rFonts w:hint="eastAsia" w:ascii="仿宋" w:hAnsi="仿宋" w:eastAsia="仿宋" w:cs="仿宋"/>
          <w:b w:val="0"/>
          <w:kern w:val="2"/>
          <w:sz w:val="28"/>
          <w:szCs w:val="28"/>
          <w:lang w:val="en-US" w:eastAsia="zh-CN" w:bidi="ar-SA"/>
        </w:rPr>
        <w:t>本次估价的价值时点为完成估价对象实地查勘之日2022年9月8日。</w:t>
      </w:r>
      <w:bookmarkEnd w:id="33"/>
      <w:bookmarkStart w:id="34" w:name="_Toc20512"/>
      <w:bookmarkStart w:id="35" w:name="_Toc1315"/>
    </w:p>
    <w:p>
      <w:pPr>
        <w:pageBreakBefore w:val="0"/>
        <w:widowControl w:val="0"/>
        <w:tabs>
          <w:tab w:val="left" w:pos="3780"/>
        </w:tabs>
        <w:kinsoku/>
        <w:wordWrap/>
        <w:overflowPunct/>
        <w:topLinePunct w:val="0"/>
        <w:autoSpaceDE/>
        <w:autoSpaceDN/>
        <w:bidi w:val="0"/>
        <w:adjustRightInd w:val="0"/>
        <w:snapToGrid w:val="0"/>
        <w:spacing w:line="440" w:lineRule="exact"/>
        <w:ind w:firstLine="562" w:firstLineChars="200"/>
        <w:jc w:val="both"/>
        <w:textAlignment w:val="auto"/>
        <w:rPr>
          <w:rFonts w:hint="eastAsia" w:ascii="仿宋" w:hAnsi="仿宋" w:eastAsia="仿宋" w:cs="仿宋"/>
          <w:b/>
          <w:bCs/>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价值类型：</w:t>
      </w:r>
      <w:bookmarkEnd w:id="34"/>
      <w:bookmarkEnd w:id="35"/>
      <w:bookmarkStart w:id="36" w:name="_Toc7266"/>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（一）、价值类型</w:t>
      </w:r>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根据本次估价的估价目的确定价值类型为市场价值。</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（二）、价值定义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市场价值是估价对象经适当营销后，由熟悉情况、谨慎行事且不受强迫的交易双方，以公平交易方式在价值时点自愿进行交易的金额。</w:t>
      </w:r>
    </w:p>
    <w:p>
      <w:pPr>
        <w:pStyle w:val="3"/>
        <w:pageBreakBefore w:val="0"/>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auto"/>
          <w:szCs w:val="28"/>
          <w:highlight w:val="none"/>
        </w:rPr>
      </w:pPr>
      <w:bookmarkStart w:id="37" w:name="_Toc13270"/>
      <w:r>
        <w:rPr>
          <w:rFonts w:hint="eastAsia" w:ascii="仿宋" w:hAnsi="仿宋" w:eastAsia="仿宋" w:cs="仿宋"/>
          <w:sz w:val="28"/>
          <w:szCs w:val="28"/>
          <w:lang w:eastAsia="zh-CN"/>
        </w:rPr>
        <w:t>七</w:t>
      </w:r>
      <w:r>
        <w:rPr>
          <w:rFonts w:hint="eastAsia" w:ascii="仿宋" w:hAnsi="仿宋" w:eastAsia="仿宋" w:cs="仿宋"/>
          <w:sz w:val="28"/>
          <w:szCs w:val="28"/>
        </w:rPr>
        <w:t>、估价原则：</w:t>
      </w:r>
      <w:bookmarkEnd w:id="36"/>
      <w:bookmarkEnd w:id="37"/>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遵循独立、客观、公正的原则</w:t>
      </w:r>
      <w:r>
        <w:rPr>
          <w:rFonts w:hint="eastAsia" w:ascii="仿宋" w:hAnsi="仿宋" w:eastAsia="仿宋" w:cs="仿宋"/>
          <w:color w:val="auto"/>
          <w:sz w:val="28"/>
          <w:szCs w:val="28"/>
          <w:highlight w:val="none"/>
          <w:lang w:eastAsia="zh-CN"/>
        </w:rPr>
        <w:t>——独立客观公正原则要求站在中立的立场上，实事求是、公平正直地评估出对各方估价利害关系人均是公平合理的价值或价格，即要求评估价值对各方估价利害关系人均是公平合理的。</w:t>
      </w:r>
      <w:r>
        <w:rPr>
          <w:rFonts w:hint="eastAsia" w:ascii="仿宋" w:hAnsi="仿宋" w:eastAsia="仿宋" w:cs="仿宋"/>
          <w:color w:val="auto"/>
          <w:sz w:val="28"/>
          <w:szCs w:val="28"/>
          <w:highlight w:val="none"/>
        </w:rPr>
        <w:t xml:space="preserve">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）遵循合法原则</w:t>
      </w:r>
      <w:r>
        <w:rPr>
          <w:rFonts w:hint="eastAsia" w:ascii="仿宋" w:hAnsi="仿宋" w:eastAsia="仿宋" w:cs="仿宋"/>
          <w:color w:val="auto"/>
          <w:sz w:val="28"/>
          <w:szCs w:val="28"/>
          <w:highlight w:val="none"/>
          <w:lang w:eastAsia="zh-CN"/>
        </w:rPr>
        <w:t>——合法原则要求评估价值是在依法判定的估价对象状况下的价值或价格。</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（三</w:t>
      </w:r>
      <w:r>
        <w:rPr>
          <w:rFonts w:hint="eastAsia" w:ascii="仿宋" w:hAnsi="仿宋" w:eastAsia="仿宋" w:cs="仿宋"/>
          <w:color w:val="auto"/>
          <w:sz w:val="28"/>
          <w:szCs w:val="28"/>
          <w:highlight w:val="none"/>
        </w:rPr>
        <w:t>）遵循最高最佳使用原则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）遵循替代原则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替代原则要求评估价值与估价对象的类似房地产在同等条件下的价值或价格偏差在合理范围内。</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）遵循估价时点原则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估价结果应是估价对象在估价时点的客观合理价格或价值。</w:t>
      </w:r>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sz w:val="28"/>
          <w:szCs w:val="28"/>
        </w:rPr>
      </w:pPr>
      <w:bookmarkStart w:id="38" w:name="_Toc13573"/>
      <w:bookmarkStart w:id="39" w:name="_Toc16161"/>
      <w:r>
        <w:rPr>
          <w:rFonts w:hint="eastAsia" w:ascii="仿宋" w:hAnsi="仿宋" w:eastAsia="仿宋" w:cs="仿宋"/>
          <w:b/>
          <w:sz w:val="28"/>
          <w:szCs w:val="28"/>
          <w:lang w:eastAsia="zh-CN"/>
        </w:rPr>
        <w:t>八</w:t>
      </w:r>
      <w:r>
        <w:rPr>
          <w:rFonts w:hint="eastAsia" w:ascii="仿宋" w:hAnsi="仿宋" w:eastAsia="仿宋" w:cs="仿宋"/>
          <w:b/>
          <w:sz w:val="28"/>
          <w:szCs w:val="28"/>
        </w:rPr>
        <w:t>、估价依据</w:t>
      </w:r>
      <w:bookmarkEnd w:id="38"/>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一</w:t>
      </w:r>
      <w:r>
        <w:rPr>
          <w:rStyle w:val="55"/>
          <w:rFonts w:hint="eastAsia" w:ascii="仿宋" w:hAnsi="仿宋" w:eastAsia="仿宋" w:cs="仿宋"/>
          <w:b w:val="0"/>
          <w:bCs w:val="0"/>
          <w:color w:val="auto"/>
          <w:sz w:val="28"/>
          <w:szCs w:val="28"/>
          <w:highlight w:val="none"/>
          <w:lang w:eastAsia="zh-CN"/>
        </w:rPr>
        <w:t>）《中华人民共和国民法典》（中华人民共和国主席令第 45 号，中华人民共和国第十三届全国人民代表大会第三次会议通过，自 2021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二</w:t>
      </w:r>
      <w:r>
        <w:rPr>
          <w:rStyle w:val="55"/>
          <w:rFonts w:hint="eastAsia" w:ascii="仿宋" w:hAnsi="仿宋" w:eastAsia="仿宋" w:cs="仿宋"/>
          <w:b w:val="0"/>
          <w:bCs w:val="0"/>
          <w:color w:val="auto"/>
          <w:sz w:val="28"/>
          <w:szCs w:val="28"/>
          <w:highlight w:val="none"/>
          <w:lang w:eastAsia="zh-CN"/>
        </w:rPr>
        <w:t>）《中华人民共和国城市房地产管理法》（中华人民共和国主席令 2019 第32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三</w:t>
      </w:r>
      <w:r>
        <w:rPr>
          <w:rStyle w:val="55"/>
          <w:rFonts w:hint="eastAsia" w:ascii="仿宋" w:hAnsi="仿宋" w:eastAsia="仿宋" w:cs="仿宋"/>
          <w:b w:val="0"/>
          <w:bCs w:val="0"/>
          <w:color w:val="auto"/>
          <w:sz w:val="28"/>
          <w:szCs w:val="28"/>
          <w:highlight w:val="none"/>
          <w:lang w:eastAsia="zh-CN"/>
        </w:rPr>
        <w:t>）《中华人民共和国土地管理法》（中华人民共和国主席令 2019 第 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四</w:t>
      </w:r>
      <w:r>
        <w:rPr>
          <w:rStyle w:val="55"/>
          <w:rFonts w:hint="eastAsia" w:ascii="仿宋" w:hAnsi="仿宋" w:eastAsia="仿宋" w:cs="仿宋"/>
          <w:b w:val="0"/>
          <w:bCs w:val="0"/>
          <w:color w:val="auto"/>
          <w:sz w:val="28"/>
          <w:szCs w:val="28"/>
          <w:highlight w:val="none"/>
          <w:lang w:eastAsia="zh-CN"/>
        </w:rPr>
        <w:t>）《中华人民共和国城乡规划法》（中华人民共和国主席令第 74 号，中华人民共和国第十届全国人民代表大会常务委员会第三十次会议通过，自 2008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五</w:t>
      </w:r>
      <w:r>
        <w:rPr>
          <w:rStyle w:val="55"/>
          <w:rFonts w:hint="eastAsia" w:ascii="仿宋" w:hAnsi="仿宋" w:eastAsia="仿宋" w:cs="仿宋"/>
          <w:b w:val="0"/>
          <w:bCs w:val="0"/>
          <w:color w:val="auto"/>
          <w:sz w:val="28"/>
          <w:szCs w:val="28"/>
          <w:highlight w:val="none"/>
          <w:lang w:eastAsia="zh-CN"/>
        </w:rPr>
        <w:t>）《中华人民共和国城镇国有土地使用权出让和转让暂行条例》（国务院令第55号发布，自1990年5月19日起施行）；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六</w:t>
      </w:r>
      <w:r>
        <w:rPr>
          <w:rStyle w:val="55"/>
          <w:rFonts w:hint="eastAsia" w:ascii="仿宋" w:hAnsi="仿宋" w:eastAsia="仿宋" w:cs="仿宋"/>
          <w:b w:val="0"/>
          <w:bCs w:val="0"/>
          <w:color w:val="auto"/>
          <w:sz w:val="28"/>
          <w:szCs w:val="28"/>
          <w:highlight w:val="none"/>
          <w:lang w:eastAsia="zh-CN"/>
        </w:rPr>
        <w:t>）《中华人民共和国资产评估法》（中华人民共和国主席令第四十六号，中华人民共和国第十二届全国人民代表大会常务委员会第二十一次会议于2016年7月2日通过，自2016年12月1日起施行）；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七</w:t>
      </w:r>
      <w:r>
        <w:rPr>
          <w:rStyle w:val="55"/>
          <w:rFonts w:hint="eastAsia" w:ascii="仿宋" w:hAnsi="仿宋" w:eastAsia="仿宋" w:cs="仿宋"/>
          <w:b w:val="0"/>
          <w:bCs w:val="0"/>
          <w:color w:val="auto"/>
          <w:sz w:val="28"/>
          <w:szCs w:val="28"/>
          <w:highlight w:val="none"/>
          <w:lang w:eastAsia="zh-CN"/>
        </w:rPr>
        <w:t>）《最高人民法院关于人民法院确定财产处置参考价若干问题的规定》（2018年6月4日最高人民法院审判委员会第1741次会议通过，自2018年9月1日起施行）；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八</w:t>
      </w:r>
      <w:r>
        <w:rPr>
          <w:rStyle w:val="55"/>
          <w:rFonts w:hint="eastAsia" w:ascii="仿宋" w:hAnsi="仿宋" w:eastAsia="仿宋" w:cs="仿宋"/>
          <w:b w:val="0"/>
          <w:bCs w:val="0"/>
          <w:color w:val="auto"/>
          <w:sz w:val="28"/>
          <w:szCs w:val="28"/>
          <w:highlight w:val="none"/>
          <w:lang w:eastAsia="zh-CN"/>
        </w:rPr>
        <w:t>）国家标准《房地产估价规范》（GB/T50291－</w:t>
      </w:r>
      <w:r>
        <w:rPr>
          <w:rStyle w:val="55"/>
          <w:rFonts w:hint="eastAsia" w:ascii="仿宋" w:hAnsi="仿宋" w:eastAsia="仿宋" w:cs="仿宋"/>
          <w:b w:val="0"/>
          <w:bCs w:val="0"/>
          <w:color w:val="auto"/>
          <w:sz w:val="28"/>
          <w:szCs w:val="28"/>
          <w:highlight w:val="none"/>
          <w:lang w:val="en-US" w:eastAsia="zh-CN"/>
        </w:rPr>
        <w:t>2015</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2015年04月08日中华人民共和国住房和城乡建设部、中华人民共和国国家质量监督检验检疫总局联合发布</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九</w:t>
      </w:r>
      <w:r>
        <w:rPr>
          <w:rStyle w:val="55"/>
          <w:rFonts w:hint="eastAsia" w:ascii="仿宋" w:hAnsi="仿宋" w:eastAsia="仿宋" w:cs="仿宋"/>
          <w:b w:val="0"/>
          <w:bCs w:val="0"/>
          <w:color w:val="auto"/>
          <w:sz w:val="28"/>
          <w:szCs w:val="28"/>
          <w:highlight w:val="none"/>
          <w:lang w:eastAsia="zh-CN"/>
        </w:rPr>
        <w:t>）《房地产估价基本术语标准》（GB/T50899-2013）（2013年6月26日中华人民共和国住房和城乡建设部公告第84号）；</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w:t>
      </w:r>
      <w:r>
        <w:rPr>
          <w:rStyle w:val="55"/>
          <w:rFonts w:hint="eastAsia" w:ascii="仿宋" w:hAnsi="仿宋" w:eastAsia="仿宋" w:cs="仿宋"/>
          <w:b w:val="0"/>
          <w:bCs w:val="0"/>
          <w:color w:val="auto"/>
          <w:sz w:val="28"/>
          <w:szCs w:val="28"/>
          <w:highlight w:val="none"/>
          <w:lang w:eastAsia="zh-CN"/>
        </w:rPr>
        <w:t>）《房屋完损等级评定标准（试行）》（城住建[1984]第678号）（1984年11月8日原城乡建设环境保护部发布）；</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（十</w:t>
      </w:r>
      <w:r>
        <w:rPr>
          <w:rStyle w:val="55"/>
          <w:rFonts w:hint="eastAsia" w:ascii="仿宋" w:hAnsi="仿宋" w:eastAsia="仿宋" w:cs="仿宋"/>
          <w:b w:val="0"/>
          <w:bCs w:val="0"/>
          <w:color w:val="auto"/>
          <w:sz w:val="28"/>
          <w:szCs w:val="28"/>
          <w:highlight w:val="none"/>
          <w:lang w:val="en-US" w:eastAsia="zh-CN"/>
        </w:rPr>
        <w:t>一</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当事人提供的与本次估价有关的资料</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（十</w:t>
      </w:r>
      <w:r>
        <w:rPr>
          <w:rStyle w:val="55"/>
          <w:rFonts w:hint="eastAsia" w:ascii="仿宋" w:hAnsi="仿宋" w:eastAsia="仿宋" w:cs="仿宋"/>
          <w:b w:val="0"/>
          <w:bCs w:val="0"/>
          <w:color w:val="auto"/>
          <w:sz w:val="28"/>
          <w:szCs w:val="28"/>
          <w:highlight w:val="none"/>
          <w:lang w:val="en-US" w:eastAsia="zh-CN"/>
        </w:rPr>
        <w:t>二</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房屋相关产权证明</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十三</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估价对象现场勘察记录和调查走访的相关资料</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十四</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本估价机构掌握的房地产市场价格、信息等相关资料等。</w:t>
      </w:r>
      <w:bookmarkEnd w:id="39"/>
      <w:bookmarkStart w:id="40" w:name="_Toc9498"/>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sz w:val="28"/>
          <w:szCs w:val="28"/>
          <w:lang w:val="zh-CN" w:eastAsia="zh-CN"/>
        </w:rPr>
      </w:pPr>
      <w:bookmarkStart w:id="41" w:name="_Toc7732"/>
      <w:r>
        <w:rPr>
          <w:rFonts w:hint="eastAsia" w:ascii="仿宋" w:hAnsi="仿宋" w:eastAsia="仿宋" w:cs="仿宋"/>
          <w:b/>
          <w:sz w:val="28"/>
          <w:szCs w:val="28"/>
          <w:lang w:eastAsia="zh-CN"/>
        </w:rPr>
        <w:t>九、估价方法</w:t>
      </w:r>
      <w:bookmarkEnd w:id="40"/>
      <w:r>
        <w:rPr>
          <w:rFonts w:hint="eastAsia" w:ascii="仿宋" w:hAnsi="仿宋" w:eastAsia="仿宋" w:cs="仿宋"/>
          <w:b/>
          <w:sz w:val="28"/>
          <w:szCs w:val="28"/>
          <w:lang w:val="zh-CN" w:eastAsia="zh-CN"/>
        </w:rPr>
        <w:t>：</w:t>
      </w:r>
      <w:bookmarkEnd w:id="41"/>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bookmarkStart w:id="42" w:name="_Toc1886"/>
      <w:bookmarkStart w:id="43" w:name="_Toc12670"/>
      <w:r>
        <w:rPr>
          <w:rFonts w:hint="eastAsia" w:ascii="仿宋" w:hAnsi="仿宋" w:eastAsia="仿宋" w:cs="仿宋"/>
          <w:color w:val="auto"/>
          <w:sz w:val="28"/>
          <w:szCs w:val="28"/>
          <w:highlight w:val="none"/>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成本法是测算估价对象在价值时点的重置成本或重建成本和折旧，将重置成本或重建成本减去折旧得到的估价对象价值或价格的方法。成本法一般适用于</w:t>
      </w:r>
      <w:r>
        <w:rPr>
          <w:rFonts w:hint="eastAsia" w:ascii="仿宋" w:hAnsi="仿宋" w:eastAsia="仿宋" w:cs="仿宋"/>
          <w:sz w:val="28"/>
          <w:szCs w:val="28"/>
          <w:lang w:val="en-US" w:eastAsia="zh-CN"/>
        </w:rPr>
        <w:t>新近开发完成的房地产、可以假设重新开发的现有房地产、正在开发的房地产、计划开发的房地产</w:t>
      </w:r>
      <w:r>
        <w:rPr>
          <w:rFonts w:hint="eastAsia" w:ascii="仿宋" w:hAnsi="仿宋" w:eastAsia="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时点或价格的方法。</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本公司估价人员在认真分析所掌握的资料并进行了实地</w:t>
      </w:r>
      <w:r>
        <w:rPr>
          <w:rFonts w:hint="eastAsia" w:ascii="仿宋" w:hAnsi="仿宋" w:eastAsia="仿宋" w:cs="仿宋"/>
          <w:color w:val="auto"/>
          <w:sz w:val="28"/>
          <w:szCs w:val="28"/>
          <w:highlight w:val="none"/>
          <w:lang w:eastAsia="zh-CN"/>
        </w:rPr>
        <w:t>勘查</w:t>
      </w:r>
      <w:r>
        <w:rPr>
          <w:rFonts w:hint="eastAsia" w:ascii="仿宋" w:hAnsi="仿宋" w:eastAsia="仿宋" w:cs="仿宋"/>
          <w:color w:val="auto"/>
          <w:sz w:val="28"/>
          <w:szCs w:val="28"/>
          <w:highlight w:val="none"/>
        </w:rPr>
        <w:t>和调查之后，根据估价对象房地产的特点及估价目的，综合考虑估价对象所处区域、用途、物业性质、特点及影响其市场价值的各类因素等，</w:t>
      </w:r>
      <w:r>
        <w:rPr>
          <w:rFonts w:hint="eastAsia" w:ascii="仿宋" w:hAnsi="仿宋" w:eastAsia="仿宋" w:cs="仿宋"/>
          <w:color w:val="auto"/>
          <w:sz w:val="28"/>
          <w:szCs w:val="28"/>
          <w:highlight w:val="none"/>
          <w:lang w:eastAsia="zh-CN"/>
        </w:rPr>
        <w:t>本次估价选用</w:t>
      </w:r>
      <w:r>
        <w:rPr>
          <w:rFonts w:hint="eastAsia" w:ascii="仿宋" w:hAnsi="仿宋" w:eastAsia="仿宋" w:cs="仿宋"/>
          <w:color w:val="0000FF"/>
          <w:sz w:val="28"/>
          <w:szCs w:val="28"/>
          <w:highlight w:val="none"/>
          <w:lang w:val="en-US" w:eastAsia="zh-CN"/>
        </w:rPr>
        <w:t>比较法</w:t>
      </w:r>
      <w:r>
        <w:rPr>
          <w:rFonts w:hint="eastAsia" w:ascii="仿宋" w:hAnsi="仿宋" w:eastAsia="仿宋" w:cs="仿宋"/>
          <w:color w:val="auto"/>
          <w:sz w:val="28"/>
          <w:szCs w:val="28"/>
          <w:highlight w:val="none"/>
          <w:lang w:eastAsia="zh-CN"/>
        </w:rPr>
        <w:t>进行估价。</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根据其估价对象</w:t>
      </w:r>
      <w:r>
        <w:rPr>
          <w:rFonts w:hint="eastAsia" w:ascii="仿宋" w:hAnsi="仿宋" w:eastAsia="仿宋" w:cs="仿宋"/>
          <w:color w:val="auto"/>
          <w:sz w:val="28"/>
          <w:szCs w:val="28"/>
          <w:highlight w:val="none"/>
          <w:lang w:eastAsia="zh-CN"/>
        </w:rPr>
        <w:t>所处</w:t>
      </w:r>
      <w:r>
        <w:rPr>
          <w:rFonts w:hint="eastAsia" w:ascii="仿宋" w:hAnsi="仿宋" w:eastAsia="仿宋" w:cs="仿宋"/>
          <w:color w:val="auto"/>
          <w:sz w:val="28"/>
          <w:szCs w:val="28"/>
          <w:highlight w:val="none"/>
        </w:rPr>
        <w:t>的地理条件因素，其周边环境和功能相同或相近、产权性质、结构等类似估价对象</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0000FF"/>
          <w:sz w:val="28"/>
          <w:szCs w:val="28"/>
          <w:highlight w:val="none"/>
          <w:lang w:val="en-US" w:eastAsia="zh-CN"/>
        </w:rPr>
        <w:t>住宅用房</w:t>
      </w:r>
      <w:r>
        <w:rPr>
          <w:rFonts w:hint="eastAsia" w:ascii="仿宋" w:hAnsi="仿宋" w:eastAsia="仿宋" w:cs="仿宋"/>
          <w:color w:val="auto"/>
          <w:sz w:val="28"/>
          <w:szCs w:val="28"/>
          <w:highlight w:val="none"/>
        </w:rPr>
        <w:t>实际出售的</w:t>
      </w:r>
      <w:r>
        <w:rPr>
          <w:rFonts w:hint="eastAsia" w:ascii="仿宋" w:hAnsi="仿宋" w:eastAsia="仿宋" w:cs="仿宋"/>
          <w:color w:val="auto"/>
          <w:sz w:val="28"/>
          <w:szCs w:val="28"/>
          <w:highlight w:val="none"/>
          <w:lang w:val="en-US" w:eastAsia="zh-CN"/>
        </w:rPr>
        <w:t>类似房地产</w:t>
      </w:r>
      <w:r>
        <w:rPr>
          <w:rFonts w:hint="eastAsia" w:ascii="仿宋" w:hAnsi="仿宋" w:eastAsia="仿宋" w:cs="仿宋"/>
          <w:color w:val="auto"/>
          <w:sz w:val="28"/>
          <w:szCs w:val="28"/>
          <w:highlight w:val="none"/>
        </w:rPr>
        <w:t>的交易实例较</w:t>
      </w:r>
      <w:r>
        <w:rPr>
          <w:rFonts w:hint="eastAsia" w:ascii="仿宋" w:hAnsi="仿宋" w:eastAsia="仿宋" w:cs="仿宋"/>
          <w:color w:val="auto"/>
          <w:sz w:val="28"/>
          <w:szCs w:val="28"/>
          <w:highlight w:val="none"/>
          <w:lang w:val="en-US" w:eastAsia="zh-CN"/>
        </w:rPr>
        <w:t>多</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成交的较多，适宜</w:t>
      </w:r>
      <w:r>
        <w:rPr>
          <w:rFonts w:hint="eastAsia" w:ascii="仿宋" w:hAnsi="仿宋" w:eastAsia="仿宋" w:cs="仿宋"/>
          <w:color w:val="auto"/>
          <w:sz w:val="28"/>
          <w:szCs w:val="28"/>
          <w:highlight w:val="none"/>
        </w:rPr>
        <w:t>选用</w:t>
      </w:r>
      <w:r>
        <w:rPr>
          <w:rFonts w:hint="eastAsia" w:ascii="仿宋" w:hAnsi="仿宋" w:eastAsia="仿宋" w:cs="仿宋"/>
          <w:color w:val="0000FF"/>
          <w:sz w:val="28"/>
          <w:szCs w:val="28"/>
          <w:highlight w:val="none"/>
        </w:rPr>
        <w:t>比较法</w:t>
      </w:r>
      <w:r>
        <w:rPr>
          <w:rFonts w:hint="eastAsia" w:ascii="仿宋" w:hAnsi="仿宋" w:eastAsia="仿宋" w:cs="仿宋"/>
          <w:color w:val="auto"/>
          <w:sz w:val="28"/>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在估价对象周边区域内，类似</w:t>
      </w:r>
      <w:r>
        <w:rPr>
          <w:rFonts w:hint="eastAsia" w:ascii="仿宋" w:hAnsi="仿宋" w:eastAsia="仿宋" w:cs="仿宋"/>
          <w:color w:val="auto"/>
          <w:sz w:val="28"/>
          <w:szCs w:val="28"/>
          <w:highlight w:val="none"/>
          <w:lang w:val="en-US" w:eastAsia="zh-CN"/>
        </w:rPr>
        <w:t>住宅</w:t>
      </w:r>
      <w:r>
        <w:rPr>
          <w:rFonts w:hint="eastAsia" w:ascii="仿宋" w:hAnsi="仿宋" w:eastAsia="仿宋" w:cs="仿宋"/>
          <w:color w:val="auto"/>
          <w:sz w:val="28"/>
          <w:szCs w:val="28"/>
          <w:highlight w:val="none"/>
        </w:rPr>
        <w:t>房屋现用于出租使用以及获取稳定的租金收益</w:t>
      </w:r>
      <w:r>
        <w:rPr>
          <w:rFonts w:hint="eastAsia" w:ascii="仿宋" w:hAnsi="仿宋" w:eastAsia="仿宋" w:cs="仿宋"/>
          <w:b w:val="0"/>
          <w:bCs w:val="0"/>
          <w:color w:val="0000FF"/>
          <w:sz w:val="28"/>
          <w:szCs w:val="28"/>
          <w:highlight w:val="none"/>
        </w:rPr>
        <w:t>较</w:t>
      </w:r>
      <w:r>
        <w:rPr>
          <w:rFonts w:hint="eastAsia" w:ascii="仿宋" w:hAnsi="仿宋" w:eastAsia="仿宋" w:cs="仿宋"/>
          <w:b w:val="0"/>
          <w:bCs w:val="0"/>
          <w:color w:val="0000FF"/>
          <w:sz w:val="28"/>
          <w:szCs w:val="28"/>
          <w:highlight w:val="none"/>
          <w:lang w:val="en-US" w:eastAsia="zh-CN"/>
        </w:rPr>
        <w:t>少</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val="en-US" w:eastAsia="zh-CN"/>
        </w:rPr>
        <w:t>且估价对象为收益性房地产，不适</w:t>
      </w:r>
      <w:r>
        <w:rPr>
          <w:rFonts w:hint="eastAsia" w:ascii="仿宋" w:hAnsi="仿宋" w:eastAsia="仿宋" w:cs="仿宋"/>
          <w:b w:val="0"/>
          <w:bCs w:val="0"/>
          <w:color w:val="0000FF"/>
          <w:sz w:val="28"/>
          <w:szCs w:val="28"/>
          <w:highlight w:val="none"/>
          <w:lang w:val="en-US" w:eastAsia="zh-CN"/>
        </w:rPr>
        <w:t>宜选</w:t>
      </w:r>
      <w:r>
        <w:rPr>
          <w:rFonts w:hint="eastAsia" w:ascii="仿宋" w:hAnsi="仿宋" w:eastAsia="仿宋" w:cs="仿宋"/>
          <w:b w:val="0"/>
          <w:bCs w:val="0"/>
          <w:color w:val="auto"/>
          <w:sz w:val="28"/>
          <w:szCs w:val="28"/>
          <w:highlight w:val="none"/>
          <w:lang w:val="en-US" w:eastAsia="zh-CN"/>
        </w:rPr>
        <w:t>用</w:t>
      </w:r>
      <w:r>
        <w:rPr>
          <w:rFonts w:hint="eastAsia" w:ascii="仿宋" w:hAnsi="仿宋" w:eastAsia="仿宋" w:cs="仿宋"/>
          <w:color w:val="0000FF"/>
          <w:sz w:val="28"/>
          <w:szCs w:val="28"/>
          <w:highlight w:val="none"/>
        </w:rPr>
        <w:t>收益法</w:t>
      </w:r>
      <w:r>
        <w:rPr>
          <w:rFonts w:hint="eastAsia" w:ascii="仿宋" w:hAnsi="仿宋" w:eastAsia="仿宋" w:cs="仿宋"/>
          <w:color w:val="auto"/>
          <w:sz w:val="28"/>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default" w:ascii="仿宋" w:hAnsi="仿宋" w:eastAsia="仿宋" w:cs="仿宋"/>
          <w:color w:val="auto"/>
          <w:szCs w:val="28"/>
          <w:highlight w:val="none"/>
          <w:lang w:val="en-US" w:eastAsia="zh-CN"/>
        </w:rPr>
      </w:pPr>
      <w:r>
        <w:rPr>
          <w:rFonts w:hint="eastAsia" w:ascii="仿宋" w:hAnsi="仿宋" w:eastAsia="仿宋" w:cs="仿宋"/>
          <w:color w:val="auto"/>
          <w:szCs w:val="28"/>
          <w:highlight w:val="none"/>
        </w:rPr>
        <w:t>考虑该估价对象</w:t>
      </w:r>
      <w:r>
        <w:rPr>
          <w:rFonts w:hint="eastAsia" w:ascii="仿宋" w:hAnsi="仿宋" w:eastAsia="仿宋" w:cs="仿宋"/>
          <w:color w:val="0000FF"/>
          <w:sz w:val="28"/>
          <w:szCs w:val="28"/>
          <w:highlight w:val="none"/>
          <w:lang w:val="en-US" w:eastAsia="zh-CN"/>
        </w:rPr>
        <w:t>住宅</w:t>
      </w:r>
      <w:r>
        <w:rPr>
          <w:rFonts w:hint="eastAsia" w:ascii="仿宋" w:hAnsi="仿宋" w:eastAsia="仿宋" w:cs="仿宋"/>
          <w:color w:val="auto"/>
          <w:szCs w:val="28"/>
          <w:highlight w:val="none"/>
        </w:rPr>
        <w:t>房地产开发成本扣除建筑折旧后的价值不能准确反映房地产的实际市场价值，</w:t>
      </w:r>
      <w:r>
        <w:rPr>
          <w:rFonts w:hint="eastAsia" w:ascii="仿宋" w:hAnsi="仿宋" w:eastAsia="仿宋" w:cs="仿宋"/>
          <w:color w:val="auto"/>
          <w:szCs w:val="28"/>
          <w:highlight w:val="none"/>
          <w:lang w:val="en-US" w:eastAsia="zh-CN"/>
        </w:rPr>
        <w:t>不选用成本法</w:t>
      </w:r>
      <w:r>
        <w:rPr>
          <w:rFonts w:hint="eastAsia" w:ascii="仿宋" w:hAnsi="仿宋" w:eastAsia="仿宋" w:cs="仿宋"/>
          <w:color w:val="auto"/>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rPr>
        <w:t>估价对象属于建成并已投入使用的物业，不产生后续开发成本，不</w:t>
      </w:r>
      <w:r>
        <w:rPr>
          <w:rFonts w:hint="eastAsia" w:ascii="仿宋" w:hAnsi="仿宋" w:eastAsia="仿宋" w:cs="仿宋"/>
          <w:color w:val="auto"/>
          <w:szCs w:val="28"/>
          <w:highlight w:val="none"/>
          <w:lang w:val="en-US" w:eastAsia="zh-CN"/>
        </w:rPr>
        <w:t>选用</w:t>
      </w:r>
      <w:r>
        <w:rPr>
          <w:rFonts w:hint="eastAsia" w:ascii="仿宋" w:hAnsi="仿宋" w:eastAsia="仿宋" w:cs="仿宋"/>
          <w:color w:val="auto"/>
          <w:szCs w:val="28"/>
          <w:highlight w:val="none"/>
        </w:rPr>
        <w:t>假设开发法。</w:t>
      </w:r>
    </w:p>
    <w:p>
      <w:pPr>
        <w:pStyle w:val="7"/>
        <w:pageBreakBefore w:val="0"/>
        <w:widowControl w:val="0"/>
        <w:kinsoku/>
        <w:wordWrap/>
        <w:overflowPunct/>
        <w:topLinePunct w:val="0"/>
        <w:autoSpaceDE/>
        <w:autoSpaceDN/>
        <w:bidi w:val="0"/>
        <w:spacing w:line="440" w:lineRule="exact"/>
        <w:ind w:firstLine="562" w:firstLineChars="200"/>
        <w:jc w:val="both"/>
        <w:textAlignment w:val="auto"/>
        <w:rPr>
          <w:rStyle w:val="55"/>
          <w:rFonts w:hint="eastAsia" w:ascii="仿宋" w:hAnsi="仿宋" w:eastAsia="仿宋" w:cs="仿宋"/>
          <w:color w:val="auto"/>
          <w:sz w:val="28"/>
          <w:szCs w:val="28"/>
          <w:highlight w:val="none"/>
        </w:rPr>
      </w:pPr>
      <w:r>
        <w:rPr>
          <w:rStyle w:val="69"/>
          <w:rFonts w:hint="eastAsia" w:ascii="仿宋" w:hAnsi="仿宋" w:eastAsia="仿宋" w:cs="仿宋"/>
          <w:sz w:val="28"/>
          <w:szCs w:val="28"/>
          <w:lang w:val="en-US" w:eastAsia="zh-CN"/>
        </w:rPr>
        <w:t>十、估价结果</w:t>
      </w:r>
      <w:bookmarkEnd w:id="42"/>
      <w:r>
        <w:rPr>
          <w:rFonts w:hint="eastAsia" w:ascii="仿宋" w:hAnsi="仿宋" w:eastAsia="仿宋" w:cs="仿宋"/>
          <w:b/>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bCs/>
          <w:color w:val="000000" w:themeColor="text1"/>
          <w:sz w:val="28"/>
          <w:szCs w:val="28"/>
          <w:lang w:val="zh-CN"/>
          <w14:textFill>
            <w14:solidFill>
              <w14:schemeClr w14:val="tx1"/>
            </w14:solidFill>
          </w14:textFill>
        </w:rPr>
        <w:t>经评估，估价对象在价值时点的评估总值为人民币</w:t>
      </w:r>
      <w:r>
        <w:rPr>
          <w:rFonts w:hint="eastAsia" w:ascii="仿宋" w:hAnsi="仿宋" w:eastAsia="仿宋" w:cs="仿宋"/>
          <w:color w:val="000000" w:themeColor="text1"/>
          <w:kern w:val="0"/>
          <w:sz w:val="28"/>
          <w:szCs w:val="28"/>
          <w:lang w:val="en-US" w:eastAsia="zh-CN" w:bidi="ar"/>
          <w14:textFill>
            <w14:solidFill>
              <w14:schemeClr w14:val="tx1"/>
            </w14:solidFill>
          </w14:textFill>
        </w:rPr>
        <w:t>肆拾壹万柒仟伍佰零捌元整</w:t>
      </w:r>
      <w:r>
        <w:rPr>
          <w:rFonts w:hint="eastAsia" w:ascii="仿宋" w:hAnsi="仿宋" w:eastAsia="仿宋" w:cs="仿宋"/>
          <w:bCs/>
          <w:color w:val="000000" w:themeColor="text1"/>
          <w:sz w:val="28"/>
          <w:szCs w:val="28"/>
          <w:lang w:val="zh-CN"/>
          <w14:textFill>
            <w14:solidFill>
              <w14:schemeClr w14:val="tx1"/>
            </w14:solidFill>
          </w14:textFill>
        </w:rPr>
        <w:t>（小写：</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417,508.00 </w:t>
      </w:r>
      <w:r>
        <w:rPr>
          <w:rFonts w:hint="eastAsia" w:ascii="仿宋" w:hAnsi="仿宋" w:eastAsia="仿宋" w:cs="仿宋"/>
          <w:bCs/>
          <w:color w:val="000000" w:themeColor="text1"/>
          <w:sz w:val="28"/>
          <w:szCs w:val="28"/>
          <w:lang w:val="zh-CN"/>
          <w14:textFill>
            <w14:solidFill>
              <w14:schemeClr w14:val="tx1"/>
            </w14:solidFill>
          </w14:textFill>
        </w:rPr>
        <w:t>元）</w:t>
      </w:r>
      <w:r>
        <w:rPr>
          <w:rFonts w:hint="eastAsia" w:ascii="仿宋" w:hAnsi="仿宋" w:eastAsia="仿宋" w:cs="仿宋"/>
          <w:color w:val="000000" w:themeColor="text1"/>
          <w:kern w:val="0"/>
          <w:sz w:val="28"/>
          <w:szCs w:val="28"/>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平均单价：3,100.00元/㎡。</w:t>
      </w:r>
    </w:p>
    <w:bookmarkEnd w:id="43"/>
    <w:p>
      <w:pPr>
        <w:pageBreakBefore w:val="0"/>
        <w:numPr>
          <w:ilvl w:val="0"/>
          <w:numId w:val="0"/>
        </w:numPr>
        <w:kinsoku/>
        <w:wordWrap/>
        <w:overflowPunct/>
        <w:topLinePunct w:val="0"/>
        <w:autoSpaceDE/>
        <w:autoSpaceDN/>
        <w:bidi w:val="0"/>
        <w:adjustRightInd w:val="0"/>
        <w:snapToGrid w:val="0"/>
        <w:spacing w:before="72" w:beforeLines="30" w:after="72" w:afterLines="30" w:line="440" w:lineRule="exact"/>
        <w:ind w:firstLine="562" w:firstLineChars="200"/>
        <w:jc w:val="both"/>
        <w:rPr>
          <w:rFonts w:hint="eastAsia" w:ascii="仿宋" w:hAnsi="仿宋" w:eastAsia="仿宋" w:cs="仿宋"/>
          <w:b/>
          <w:color w:val="000000" w:themeColor="text1"/>
          <w:kern w:val="2"/>
          <w:sz w:val="28"/>
          <w:szCs w:val="28"/>
          <w:lang w:val="en-US" w:eastAsia="zh-CN" w:bidi="ar-SA"/>
          <w14:textFill>
            <w14:solidFill>
              <w14:schemeClr w14:val="tx1"/>
            </w14:solidFill>
          </w14:textFill>
        </w:rPr>
      </w:pPr>
      <w:bookmarkStart w:id="44" w:name="_Toc23790"/>
      <w:bookmarkStart w:id="45" w:name="_Toc14588"/>
      <w:r>
        <w:rPr>
          <w:rStyle w:val="69"/>
          <w:rFonts w:hint="eastAsia" w:ascii="仿宋" w:hAnsi="仿宋" w:eastAsia="仿宋" w:cs="仿宋"/>
          <w:color w:val="000000" w:themeColor="text1"/>
          <w:sz w:val="28"/>
          <w:szCs w:val="28"/>
          <w:lang w:val="en-US" w:eastAsia="zh-CN"/>
          <w14:textFill>
            <w14:solidFill>
              <w14:schemeClr w14:val="tx1"/>
            </w14:solidFill>
          </w14:textFill>
        </w:rPr>
        <w:t>十一、注册房地产估价师</w:t>
      </w:r>
      <w:bookmarkEnd w:id="44"/>
      <w:r>
        <w:rPr>
          <w:rFonts w:hint="eastAsia" w:ascii="仿宋" w:hAnsi="仿宋" w:eastAsia="仿宋" w:cs="仿宋"/>
          <w:b/>
          <w:color w:val="000000" w:themeColor="text1"/>
          <w:kern w:val="2"/>
          <w:sz w:val="28"/>
          <w:szCs w:val="28"/>
          <w:lang w:val="en-US" w:eastAsia="zh-CN" w:bidi="ar-SA"/>
          <w14:textFill>
            <w14:solidFill>
              <w14:schemeClr w14:val="tx1"/>
            </w14:solidFill>
          </w14:textFill>
        </w:rPr>
        <w:t>：</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u w:val="none"/>
                <w:lang w:val="en-US" w:eastAsia="zh-CN" w:bidi="ar"/>
                <w14:textFill>
                  <w14:solidFill>
                    <w14:schemeClr w14:val="tx1"/>
                  </w14:solidFill>
                </w14:textFill>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2022年9月12日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14:textFill>
                  <w14:solidFill>
                    <w14:schemeClr w14:val="tx1"/>
                  </w14:solidFill>
                </w14:textFill>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zh-CN" w:eastAsia="zh-CN" w:bidi="ar"/>
                <w14:textFill>
                  <w14:solidFill>
                    <w14:schemeClr w14:val="tx1"/>
                  </w14:solidFill>
                </w14:textFill>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2022年9月12日</w:t>
            </w:r>
          </w:p>
        </w:tc>
      </w:tr>
    </w:tbl>
    <w:p>
      <w:pPr>
        <w:pageBreakBefore w:val="0"/>
        <w:numPr>
          <w:ilvl w:val="0"/>
          <w:numId w:val="0"/>
        </w:numPr>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000000" w:themeColor="text1"/>
          <w:sz w:val="28"/>
          <w:szCs w:val="28"/>
          <w:highlight w:val="none"/>
          <w:lang w:eastAsia="zh-CN"/>
          <w14:textFill>
            <w14:solidFill>
              <w14:schemeClr w14:val="tx1"/>
            </w14:solidFill>
          </w14:textFill>
        </w:rPr>
      </w:pPr>
      <w:bookmarkStart w:id="46" w:name="_Toc27524"/>
      <w:r>
        <w:rPr>
          <w:rStyle w:val="69"/>
          <w:rFonts w:hint="eastAsia" w:ascii="仿宋" w:hAnsi="仿宋" w:eastAsia="仿宋" w:cs="仿宋"/>
          <w:color w:val="000000" w:themeColor="text1"/>
          <w:sz w:val="28"/>
          <w:szCs w:val="28"/>
          <w:lang w:eastAsia="zh-CN"/>
          <w14:textFill>
            <w14:solidFill>
              <w14:schemeClr w14:val="tx1"/>
            </w14:solidFill>
          </w14:textFill>
        </w:rPr>
        <w:t>十二</w:t>
      </w:r>
      <w:r>
        <w:rPr>
          <w:rStyle w:val="69"/>
          <w:rFonts w:hint="eastAsia" w:ascii="仿宋" w:hAnsi="仿宋" w:eastAsia="仿宋" w:cs="仿宋"/>
          <w:color w:val="000000" w:themeColor="text1"/>
          <w:sz w:val="28"/>
          <w:szCs w:val="28"/>
          <w14:textFill>
            <w14:solidFill>
              <w14:schemeClr w14:val="tx1"/>
            </w14:solidFill>
          </w14:textFill>
        </w:rPr>
        <w:t>、</w:t>
      </w:r>
      <w:r>
        <w:rPr>
          <w:rStyle w:val="69"/>
          <w:rFonts w:hint="eastAsia" w:ascii="仿宋" w:hAnsi="仿宋" w:eastAsia="仿宋" w:cs="仿宋"/>
          <w:color w:val="000000" w:themeColor="text1"/>
          <w:sz w:val="28"/>
          <w:szCs w:val="28"/>
          <w:lang w:eastAsia="zh-CN"/>
          <w14:textFill>
            <w14:solidFill>
              <w14:schemeClr w14:val="tx1"/>
            </w14:solidFill>
          </w14:textFill>
        </w:rPr>
        <w:t>实地查勘</w:t>
      </w:r>
      <w:r>
        <w:rPr>
          <w:rStyle w:val="69"/>
          <w:rFonts w:hint="eastAsia" w:ascii="仿宋" w:hAnsi="仿宋" w:eastAsia="仿宋" w:cs="仿宋"/>
          <w:color w:val="000000" w:themeColor="text1"/>
          <w:sz w:val="28"/>
          <w:szCs w:val="28"/>
          <w14:textFill>
            <w14:solidFill>
              <w14:schemeClr w14:val="tx1"/>
            </w14:solidFill>
          </w14:textFill>
        </w:rPr>
        <w:t>期</w:t>
      </w:r>
      <w:bookmarkEnd w:id="46"/>
      <w:r>
        <w:rPr>
          <w:rStyle w:val="55"/>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2022年9月8日</w:t>
      </w:r>
    </w:p>
    <w:bookmarkEnd w:id="45"/>
    <w:p>
      <w:pPr>
        <w:pageBreakBefore w:val="0"/>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000000" w:themeColor="text1"/>
          <w:highlight w:val="none"/>
          <w14:textFill>
            <w14:solidFill>
              <w14:schemeClr w14:val="tx1"/>
            </w14:solidFill>
          </w14:textFill>
        </w:rPr>
      </w:pPr>
      <w:bookmarkStart w:id="47" w:name="_Toc2721"/>
      <w:bookmarkStart w:id="48" w:name="_Toc19314"/>
      <w:r>
        <w:rPr>
          <w:rStyle w:val="69"/>
          <w:rFonts w:hint="eastAsia" w:ascii="仿宋" w:hAnsi="仿宋" w:eastAsia="仿宋" w:cs="仿宋"/>
          <w:color w:val="000000" w:themeColor="text1"/>
          <w:sz w:val="28"/>
          <w:szCs w:val="28"/>
          <w:lang w:eastAsia="zh-CN"/>
          <w14:textFill>
            <w14:solidFill>
              <w14:schemeClr w14:val="tx1"/>
            </w14:solidFill>
          </w14:textFill>
        </w:rPr>
        <w:t>十三</w:t>
      </w:r>
      <w:r>
        <w:rPr>
          <w:rStyle w:val="69"/>
          <w:rFonts w:hint="eastAsia" w:ascii="仿宋" w:hAnsi="仿宋" w:eastAsia="仿宋" w:cs="仿宋"/>
          <w:color w:val="000000" w:themeColor="text1"/>
          <w:sz w:val="28"/>
          <w:szCs w:val="28"/>
          <w14:textFill>
            <w14:solidFill>
              <w14:schemeClr w14:val="tx1"/>
            </w14:solidFill>
          </w14:textFill>
        </w:rPr>
        <w:t>、估价作业期</w:t>
      </w:r>
      <w:bookmarkEnd w:id="47"/>
      <w:r>
        <w:rPr>
          <w:rStyle w:val="55"/>
          <w:rFonts w:hint="eastAsia" w:ascii="仿宋" w:hAnsi="仿宋" w:eastAsia="仿宋" w:cs="仿宋"/>
          <w:color w:val="000000" w:themeColor="text1"/>
          <w:sz w:val="28"/>
          <w:szCs w:val="28"/>
          <w:highlight w:val="none"/>
          <w14:textFill>
            <w14:solidFill>
              <w14:schemeClr w14:val="tx1"/>
            </w14:solidFill>
          </w14:textFill>
        </w:rPr>
        <w:t>：</w:t>
      </w:r>
      <w:bookmarkEnd w:id="48"/>
      <w:r>
        <w:rPr>
          <w:rFonts w:hint="eastAsia" w:ascii="仿宋" w:hAnsi="仿宋" w:eastAsia="仿宋" w:cs="仿宋"/>
          <w:color w:val="000000" w:themeColor="text1"/>
          <w:sz w:val="28"/>
          <w:szCs w:val="28"/>
          <w:highlight w:val="none"/>
          <w:lang w:eastAsia="zh-CN"/>
          <w14:textFill>
            <w14:solidFill>
              <w14:schemeClr w14:val="tx1"/>
            </w14:solidFill>
          </w14:textFill>
        </w:rPr>
        <w:t>2022年9月8日</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2022年9月12日</w:t>
      </w:r>
      <w:r>
        <w:rPr>
          <w:rFonts w:hint="eastAsia" w:ascii="仿宋" w:hAnsi="仿宋" w:eastAsia="仿宋" w:cs="仿宋"/>
          <w:color w:val="000000" w:themeColor="text1"/>
          <w:sz w:val="28"/>
          <w:szCs w:val="28"/>
          <w:highlight w:val="none"/>
          <w14:textFill>
            <w14:solidFill>
              <w14:schemeClr w14:val="tx1"/>
            </w14:solidFill>
          </w14:textFill>
        </w:rPr>
        <w:t>。</w:t>
      </w:r>
    </w:p>
    <w:p>
      <w:pPr>
        <w:pageBreakBefore w:val="0"/>
        <w:kinsoku/>
        <w:wordWrap/>
        <w:overflowPunct/>
        <w:topLinePunct w:val="0"/>
        <w:autoSpaceDE/>
        <w:autoSpaceDN/>
        <w:bidi w:val="0"/>
        <w:snapToGrid w:val="0"/>
        <w:spacing w:line="440" w:lineRule="exact"/>
        <w:ind w:firstLine="562" w:firstLineChars="200"/>
        <w:jc w:val="both"/>
        <w:rPr>
          <w:rFonts w:hint="eastAsia" w:ascii="仿宋" w:hAnsi="仿宋" w:eastAsia="仿宋" w:cs="仿宋"/>
          <w:color w:val="000000" w:themeColor="text1"/>
          <w:sz w:val="28"/>
          <w:szCs w:val="28"/>
          <w:highlight w:val="none"/>
          <w14:textFill>
            <w14:solidFill>
              <w14:schemeClr w14:val="tx1"/>
            </w14:solidFill>
          </w14:textFill>
        </w:rPr>
      </w:pPr>
      <w:bookmarkStart w:id="49" w:name="_Toc8867"/>
      <w:bookmarkStart w:id="50" w:name="_Toc6909"/>
      <w:r>
        <w:rPr>
          <w:rStyle w:val="69"/>
          <w:rFonts w:hint="eastAsia" w:ascii="仿宋" w:hAnsi="仿宋" w:eastAsia="仿宋" w:cs="仿宋"/>
          <w:color w:val="000000" w:themeColor="text1"/>
          <w:sz w:val="28"/>
          <w:szCs w:val="28"/>
          <w:lang w:val="en-US" w:eastAsia="zh-CN"/>
          <w14:textFill>
            <w14:solidFill>
              <w14:schemeClr w14:val="tx1"/>
            </w14:solidFill>
          </w14:textFill>
        </w:rPr>
        <w:t>十四、</w:t>
      </w:r>
      <w:r>
        <w:rPr>
          <w:rStyle w:val="69"/>
          <w:rFonts w:hint="eastAsia" w:ascii="仿宋" w:hAnsi="仿宋" w:eastAsia="仿宋" w:cs="仿宋"/>
          <w:color w:val="000000" w:themeColor="text1"/>
          <w:sz w:val="28"/>
          <w:szCs w:val="28"/>
          <w14:textFill>
            <w14:solidFill>
              <w14:schemeClr w14:val="tx1"/>
            </w14:solidFill>
          </w14:textFill>
        </w:rPr>
        <w:t>估价报告有</w:t>
      </w:r>
      <w:bookmarkStart w:id="52" w:name="_GoBack"/>
      <w:bookmarkEnd w:id="52"/>
      <w:r>
        <w:rPr>
          <w:rStyle w:val="69"/>
          <w:rFonts w:hint="eastAsia" w:ascii="仿宋" w:hAnsi="仿宋" w:eastAsia="仿宋" w:cs="仿宋"/>
          <w:color w:val="000000" w:themeColor="text1"/>
          <w:sz w:val="28"/>
          <w:szCs w:val="28"/>
          <w14:textFill>
            <w14:solidFill>
              <w14:schemeClr w14:val="tx1"/>
            </w14:solidFill>
          </w14:textFill>
        </w:rPr>
        <w:t>效期</w:t>
      </w:r>
      <w:bookmarkEnd w:id="49"/>
      <w:r>
        <w:rPr>
          <w:rStyle w:val="55"/>
          <w:rFonts w:hint="eastAsia" w:ascii="仿宋" w:hAnsi="仿宋" w:eastAsia="仿宋" w:cs="仿宋"/>
          <w:color w:val="000000" w:themeColor="text1"/>
          <w:sz w:val="28"/>
          <w:szCs w:val="28"/>
          <w:highlight w:val="none"/>
          <w14:textFill>
            <w14:solidFill>
              <w14:schemeClr w14:val="tx1"/>
            </w14:solidFill>
          </w14:textFill>
        </w:rPr>
        <w:t>（一年）</w:t>
      </w:r>
      <w:bookmarkEnd w:id="50"/>
      <w:r>
        <w:rPr>
          <w:rStyle w:val="55"/>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即</w:t>
      </w:r>
      <w:r>
        <w:rPr>
          <w:rFonts w:hint="eastAsia" w:ascii="仿宋" w:hAnsi="仿宋" w:eastAsia="仿宋" w:cs="仿宋"/>
          <w:color w:val="000000" w:themeColor="text1"/>
          <w:sz w:val="28"/>
          <w:szCs w:val="28"/>
          <w:highlight w:val="none"/>
          <w:lang w:eastAsia="zh-CN"/>
          <w14:textFill>
            <w14:solidFill>
              <w14:schemeClr w14:val="tx1"/>
            </w14:solidFill>
          </w14:textFill>
        </w:rPr>
        <w:t>2022年9月12日</w:t>
      </w:r>
      <w:r>
        <w:rPr>
          <w:rFonts w:hint="eastAsia" w:ascii="仿宋" w:hAnsi="仿宋" w:eastAsia="仿宋" w:cs="仿宋"/>
          <w:color w:val="000000" w:themeColor="text1"/>
          <w:sz w:val="28"/>
          <w:szCs w:val="28"/>
          <w:highlight w:val="none"/>
          <w14:textFill>
            <w14:solidFill>
              <w14:schemeClr w14:val="tx1"/>
            </w14:solidFill>
          </w14:textFill>
        </w:rPr>
        <w:t>至</w:t>
      </w:r>
      <w:r>
        <w:rPr>
          <w:rFonts w:hint="eastAsia" w:ascii="仿宋" w:hAnsi="仿宋" w:eastAsia="仿宋" w:cs="仿宋"/>
          <w:color w:val="000000" w:themeColor="text1"/>
          <w:sz w:val="28"/>
          <w:szCs w:val="28"/>
          <w:highlight w:val="none"/>
          <w:lang w:eastAsia="zh-CN"/>
          <w14:textFill>
            <w14:solidFill>
              <w14:schemeClr w14:val="tx1"/>
            </w14:solidFill>
          </w14:textFill>
        </w:rPr>
        <w:t>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11</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止。</w:t>
      </w: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黑龙江天之骄房地产资产评估有限公司</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lang w:eastAsia="zh-CN"/>
          <w14:textFill>
            <w14:solidFill>
              <w14:schemeClr w14:val="tx1"/>
            </w14:solidFill>
          </w14:textFill>
        </w:rPr>
      </w:pPr>
      <w:r>
        <w:rPr>
          <w:rFonts w:hint="eastAsia" w:ascii="仿宋" w:hAnsi="仿宋" w:eastAsia="仿宋" w:cs="仿宋"/>
          <w:bCs/>
          <w:color w:val="000000" w:themeColor="text1"/>
          <w:sz w:val="28"/>
          <w14:textFill>
            <w14:solidFill>
              <w14:schemeClr w14:val="tx1"/>
            </w14:solidFill>
          </w14:textFill>
        </w:rPr>
        <w:t xml:space="preserve">  </w:t>
      </w:r>
      <w:r>
        <w:rPr>
          <w:rFonts w:hint="eastAsia" w:ascii="仿宋" w:hAnsi="仿宋" w:eastAsia="仿宋" w:cs="仿宋"/>
          <w:bCs/>
          <w:color w:val="000000" w:themeColor="text1"/>
          <w:sz w:val="28"/>
          <w:lang w:val="en-US" w:eastAsia="zh-CN"/>
          <w14:textFill>
            <w14:solidFill>
              <w14:schemeClr w14:val="tx1"/>
            </w14:solidFill>
          </w14:textFill>
        </w:rPr>
        <w:t xml:space="preserve">   </w:t>
      </w:r>
      <w:bookmarkStart w:id="51" w:name="_Toc3204"/>
      <w:r>
        <w:rPr>
          <w:rFonts w:hint="eastAsia" w:ascii="仿宋" w:hAnsi="仿宋" w:eastAsia="仿宋" w:cs="仿宋"/>
          <w:bCs/>
          <w:color w:val="000000" w:themeColor="text1"/>
          <w:sz w:val="28"/>
          <w:lang w:eastAsia="zh-CN"/>
          <w14:textFill>
            <w14:solidFill>
              <w14:schemeClr w14:val="tx1"/>
            </w14:solidFill>
          </w14:textFill>
        </w:rPr>
        <w:t>二〇二二年九月十二日</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lang w:eastAsia="zh-CN"/>
          <w14:textFill>
            <w14:solidFill>
              <w14:schemeClr w14:val="tx1"/>
            </w14:solidFill>
          </w14:textFill>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lang w:eastAsia="zh-CN"/>
          <w14:textFill>
            <w14:solidFill>
              <w14:schemeClr w14:val="tx1"/>
            </w14:solidFill>
          </w14:textFill>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FF"/>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FF"/>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FF"/>
          <w:sz w:val="28"/>
          <w:lang w:eastAsia="zh-CN"/>
        </w:rPr>
      </w:pPr>
    </w:p>
    <w:bookmarkEnd w:id="51"/>
    <w:p>
      <w:pPr>
        <w:tabs>
          <w:tab w:val="left" w:pos="8280"/>
        </w:tabs>
        <w:adjustRightInd w:val="0"/>
        <w:snapToGrid w:val="0"/>
        <w:spacing w:line="360" w:lineRule="exact"/>
        <w:ind w:right="34"/>
        <w:jc w:val="both"/>
        <w:rPr>
          <w:rFonts w:hint="eastAsia" w:ascii="仿宋" w:hAnsi="仿宋" w:eastAsia="仿宋" w:cs="仿宋"/>
          <w:bCs/>
          <w:sz w:val="28"/>
        </w:rPr>
      </w:pPr>
    </w:p>
    <w:sectPr>
      <w:footerReference r:id="rId10" w:type="default"/>
      <w:pgSz w:w="11906" w:h="16838"/>
      <w:pgMar w:top="1417" w:right="1134" w:bottom="1134" w:left="1474" w:header="737" w:footer="992" w:gutter="0"/>
      <w:pgNumType w:fmt="numberInDash" w:start="1"/>
      <w:cols w:space="0" w:num="1"/>
      <w:rtlGutter w:val="0"/>
      <w:docGrid w:type="lines" w:linePitch="3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97155</wp:posOffset>
              </wp:positionV>
              <wp:extent cx="5914390" cy="8890"/>
              <wp:effectExtent l="0" t="20320" r="10160" b="27940"/>
              <wp:wrapNone/>
              <wp:docPr id="7" name="直接连接符 7"/>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0288;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IMMrlf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6" name="直接连接符 6"/>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4384;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EcxX2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3" name="直接连接符 3"/>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1312;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JP7aq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49"/>
        <w:tab w:val="clear" w:pos="4153"/>
      </w:tabs>
      <w:bidi w:val="0"/>
    </w:pPr>
    <w:r>
      <w:rPr>
        <w:sz w:val="18"/>
      </w:rPr>
      <mc:AlternateContent>
        <mc:Choice Requires="wps">
          <w:drawing>
            <wp:anchor distT="0" distB="0" distL="114300" distR="114300" simplePos="0" relativeHeight="251663360" behindDoc="0" locked="0" layoutInCell="1" allowOverlap="1">
              <wp:simplePos x="0" y="0"/>
              <wp:positionH relativeFrom="margin">
                <wp:posOffset>2869565</wp:posOffset>
              </wp:positionH>
              <wp:positionV relativeFrom="paragraph">
                <wp:posOffset>206375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95pt;margin-top:16.25pt;height:144pt;width:144pt;mso-position-horizontal-relative:margin;mso-wrap-style:none;z-index:251663360;mso-width-relative:page;mso-height-relative:page;" filled="f" stroked="f" coordsize="21600,21600" o:gfxdata="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YuDi1wAAAAo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9" name="直接连接符 9"/>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2336;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qSjZ2AAAAAcBAAAPAAAAAAAAAAEAIAAAACIAAABkcnMvZG93bnJldi54bWxQSwECFAAU&#10;AAAACACHTuJAemhw8/EBAAC5AwAADgAAAAAAAAABACAAAAAnAQAAZHJzL2Uyb0RvYy54bWxQSwUG&#10;AAAAAAYABgBZAQAAigUAAAAA&#10;">
              <v:fill on="f" focussize="0,0"/>
              <v:stroke weight="3.5pt" color="#000000 [3213]" linestyle="thickThin" joinstyle="round"/>
              <v:imagedata o:title=""/>
              <o:lock v:ext="edit" aspectratio="f"/>
            </v:lin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b/>
        <w:bCs/>
        <w:i w:val="0"/>
        <w:iCs/>
        <w:sz w:val="30"/>
        <w:szCs w:val="30"/>
        <w:lang w:eastAsia="zh-CN"/>
      </w:rPr>
    </w:pPr>
    <w:r>
      <w:rPr>
        <w:rFonts w:hint="eastAsia"/>
        <w:b/>
        <w:bCs/>
        <w:i w:val="0"/>
        <w:iCs/>
        <w:sz w:val="30"/>
        <w:szCs w:val="30"/>
        <w:lang w:eastAsia="zh-CN"/>
      </w:rPr>
      <w:t>黑龙江天之骄房地产资产评估有限公司</w:t>
    </w:r>
  </w:p>
  <w:p>
    <w:pPr>
      <w:pStyle w:val="14"/>
      <w:pBdr>
        <w:bottom w:val="none" w:color="auto" w:sz="0" w:space="0"/>
      </w:pBdr>
      <w:rPr>
        <w:rFonts w:hint="default" w:ascii="Times New Roman" w:hAnsi="Times New Roman" w:eastAsia="仿宋" w:cs="Times New Roman"/>
        <w:i w:val="0"/>
        <w:iCs w:val="0"/>
        <w:sz w:val="18"/>
        <w:szCs w:val="18"/>
        <w:lang w:val="en-US" w:eastAsia="zh-CN"/>
      </w:rPr>
    </w:pPr>
    <w:r>
      <w:rPr>
        <w:rFonts w:hint="default" w:ascii="Times New Roman" w:hAnsi="Times New Roman" w:eastAsia="仿宋" w:cs="Times New Roman"/>
        <w:i w:val="0"/>
        <w:iCs w:val="0"/>
        <w:sz w:val="18"/>
        <w:szCs w:val="1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153670</wp:posOffset>
              </wp:positionV>
              <wp:extent cx="5920105" cy="14605"/>
              <wp:effectExtent l="0" t="22225" r="4445" b="39370"/>
              <wp:wrapNone/>
              <wp:docPr id="2" name="直接连接符 2"/>
              <wp:cNvGraphicFramePr/>
              <a:graphic xmlns:a="http://schemas.openxmlformats.org/drawingml/2006/main">
                <a:graphicData uri="http://schemas.microsoft.com/office/word/2010/wordprocessingShape">
                  <wps:wsp>
                    <wps:cNvCnPr/>
                    <wps:spPr>
                      <a:xfrm flipV="1">
                        <a:off x="937895" y="882650"/>
                        <a:ext cx="5920105" cy="14605"/>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5pt;margin-top:12.1pt;height:1.15pt;width:466.15pt;z-index:251659264;mso-width-relative:page;mso-height-relative:page;" filled="f" stroked="t" coordsize="21600,21600" o:gfxdata="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xoriNgAAAAGAQAADwAAAAAAAAABACAAAAAiAAAAZHJzL2Rvd25yZXYueG1sUEsBAhQA&#10;FAAAAAgAh07iQEAqOPfyAQAAuQMAAA4AAAAAAAAAAQAgAAAAJwEAAGRycy9lMm9Eb2MueG1sUEsF&#10;BgAAAAAGAAYAWQEAAIsFAAAAAA==&#10;">
              <v:fill on="f" focussize="0,0"/>
              <v:stroke weight="3.5pt" color="#000000 [3213]" linestyle="thickThin" joinstyle="round"/>
              <v:imagedata o:title=""/>
              <o:lock v:ext="edit" aspectratio="f"/>
            </v:line>
          </w:pict>
        </mc:Fallback>
      </mc:AlternateConten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eastAsia" w:eastAsia="仿宋" w:cs="Times New Roman"/>
        <w:b w:val="0"/>
        <w:bCs/>
        <w:i w:val="0"/>
        <w:iCs w:val="0"/>
        <w:sz w:val="18"/>
        <w:szCs w:val="18"/>
        <w:lang w:val="en-US" w:eastAsia="zh-CN"/>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电话：0453-5638700</w:t>
    </w:r>
    <w:r>
      <w:rPr>
        <w:rFonts w:hint="eastAsia" w:eastAsia="仿宋" w:cs="Times New Roman"/>
        <w:b w:val="0"/>
        <w:bCs/>
        <w:i w:val="0"/>
        <w:iCs w:val="0"/>
        <w:sz w:val="18"/>
        <w:szCs w:val="18"/>
        <w:lang w:val="en-US" w:eastAsia="zh-CN"/>
      </w:rPr>
      <w:t xml:space="preserve">    6250803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2B8A"/>
    <w:multiLevelType w:val="singleLevel"/>
    <w:tmpl w:val="8A0E2B8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62"/>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OWM5YWQxZjg3YTYxMmVkMmU2MzEyMDM5MmJmZDU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50CB"/>
    <w:rsid w:val="00035A90"/>
    <w:rsid w:val="00035F27"/>
    <w:rsid w:val="000362BB"/>
    <w:rsid w:val="00036670"/>
    <w:rsid w:val="0003769D"/>
    <w:rsid w:val="000400FE"/>
    <w:rsid w:val="000426F2"/>
    <w:rsid w:val="0004531E"/>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482E"/>
    <w:rsid w:val="000A6E78"/>
    <w:rsid w:val="000A713A"/>
    <w:rsid w:val="000A79EB"/>
    <w:rsid w:val="000A7B73"/>
    <w:rsid w:val="000B05C2"/>
    <w:rsid w:val="000B0C65"/>
    <w:rsid w:val="000B1489"/>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4115"/>
    <w:rsid w:val="000E4DC0"/>
    <w:rsid w:val="000E6B23"/>
    <w:rsid w:val="000E6D76"/>
    <w:rsid w:val="000E761F"/>
    <w:rsid w:val="000F1003"/>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1864"/>
    <w:rsid w:val="00121D51"/>
    <w:rsid w:val="00125007"/>
    <w:rsid w:val="001255A4"/>
    <w:rsid w:val="0013022E"/>
    <w:rsid w:val="00130425"/>
    <w:rsid w:val="001305A6"/>
    <w:rsid w:val="00133A48"/>
    <w:rsid w:val="00133E05"/>
    <w:rsid w:val="00134A93"/>
    <w:rsid w:val="00137606"/>
    <w:rsid w:val="001377E8"/>
    <w:rsid w:val="00140026"/>
    <w:rsid w:val="00141622"/>
    <w:rsid w:val="00141723"/>
    <w:rsid w:val="00142E18"/>
    <w:rsid w:val="001453CE"/>
    <w:rsid w:val="00146ABE"/>
    <w:rsid w:val="00147B64"/>
    <w:rsid w:val="00151F1E"/>
    <w:rsid w:val="001541BD"/>
    <w:rsid w:val="00160F48"/>
    <w:rsid w:val="00161157"/>
    <w:rsid w:val="00162413"/>
    <w:rsid w:val="00162426"/>
    <w:rsid w:val="00163E20"/>
    <w:rsid w:val="00163FB5"/>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25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637F"/>
    <w:rsid w:val="003863C2"/>
    <w:rsid w:val="00391E31"/>
    <w:rsid w:val="003930EB"/>
    <w:rsid w:val="00395173"/>
    <w:rsid w:val="0039733D"/>
    <w:rsid w:val="00397BF1"/>
    <w:rsid w:val="003A0BE1"/>
    <w:rsid w:val="003A151C"/>
    <w:rsid w:val="003A3A23"/>
    <w:rsid w:val="003A4B7B"/>
    <w:rsid w:val="003A6718"/>
    <w:rsid w:val="003A68F6"/>
    <w:rsid w:val="003A6BE7"/>
    <w:rsid w:val="003A7058"/>
    <w:rsid w:val="003B3048"/>
    <w:rsid w:val="003B3DFA"/>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F0BF6"/>
    <w:rsid w:val="003F3F17"/>
    <w:rsid w:val="003F3FE1"/>
    <w:rsid w:val="003F4C57"/>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1273"/>
    <w:rsid w:val="004223D0"/>
    <w:rsid w:val="00424CBB"/>
    <w:rsid w:val="0042515E"/>
    <w:rsid w:val="004266F6"/>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D4"/>
    <w:rsid w:val="004A1786"/>
    <w:rsid w:val="004A1988"/>
    <w:rsid w:val="004A203F"/>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E0374"/>
    <w:rsid w:val="004E0912"/>
    <w:rsid w:val="004E148D"/>
    <w:rsid w:val="004E168D"/>
    <w:rsid w:val="004E2182"/>
    <w:rsid w:val="004E3EAF"/>
    <w:rsid w:val="004E467B"/>
    <w:rsid w:val="004E573E"/>
    <w:rsid w:val="004E59F9"/>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41A0C"/>
    <w:rsid w:val="005427DF"/>
    <w:rsid w:val="00543B84"/>
    <w:rsid w:val="005457A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265"/>
    <w:rsid w:val="00637823"/>
    <w:rsid w:val="0064059B"/>
    <w:rsid w:val="006418BB"/>
    <w:rsid w:val="00641E76"/>
    <w:rsid w:val="006431D6"/>
    <w:rsid w:val="006454E3"/>
    <w:rsid w:val="00645AEF"/>
    <w:rsid w:val="00645AF1"/>
    <w:rsid w:val="006505D4"/>
    <w:rsid w:val="00652403"/>
    <w:rsid w:val="006526CD"/>
    <w:rsid w:val="00652A5E"/>
    <w:rsid w:val="00654C10"/>
    <w:rsid w:val="00654E16"/>
    <w:rsid w:val="006552C4"/>
    <w:rsid w:val="00655630"/>
    <w:rsid w:val="0065669D"/>
    <w:rsid w:val="00661625"/>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AE8"/>
    <w:rsid w:val="006C0E24"/>
    <w:rsid w:val="006C24EE"/>
    <w:rsid w:val="006C3085"/>
    <w:rsid w:val="006C34B3"/>
    <w:rsid w:val="006C3D71"/>
    <w:rsid w:val="006C449C"/>
    <w:rsid w:val="006C6052"/>
    <w:rsid w:val="006C6E4C"/>
    <w:rsid w:val="006C7905"/>
    <w:rsid w:val="006D1982"/>
    <w:rsid w:val="006D1A70"/>
    <w:rsid w:val="006D2274"/>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4A98"/>
    <w:rsid w:val="00705247"/>
    <w:rsid w:val="00706494"/>
    <w:rsid w:val="00714217"/>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53CE"/>
    <w:rsid w:val="00746E59"/>
    <w:rsid w:val="007527AA"/>
    <w:rsid w:val="00753436"/>
    <w:rsid w:val="00754CA3"/>
    <w:rsid w:val="00756687"/>
    <w:rsid w:val="00756D4F"/>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23CB"/>
    <w:rsid w:val="007A2475"/>
    <w:rsid w:val="007A2A11"/>
    <w:rsid w:val="007A2FB5"/>
    <w:rsid w:val="007A36C1"/>
    <w:rsid w:val="007A4848"/>
    <w:rsid w:val="007A7333"/>
    <w:rsid w:val="007B10F9"/>
    <w:rsid w:val="007B327F"/>
    <w:rsid w:val="007B4E23"/>
    <w:rsid w:val="007B4EE0"/>
    <w:rsid w:val="007B557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4F5"/>
    <w:rsid w:val="00825A94"/>
    <w:rsid w:val="00825E4F"/>
    <w:rsid w:val="00826A43"/>
    <w:rsid w:val="008270E3"/>
    <w:rsid w:val="008312FA"/>
    <w:rsid w:val="0083151B"/>
    <w:rsid w:val="00831576"/>
    <w:rsid w:val="00833468"/>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6AC"/>
    <w:rsid w:val="008B276C"/>
    <w:rsid w:val="008B2D5C"/>
    <w:rsid w:val="008B38CB"/>
    <w:rsid w:val="008B3FCA"/>
    <w:rsid w:val="008B4620"/>
    <w:rsid w:val="008B53F5"/>
    <w:rsid w:val="008B55D3"/>
    <w:rsid w:val="008B60AE"/>
    <w:rsid w:val="008B637F"/>
    <w:rsid w:val="008C11D8"/>
    <w:rsid w:val="008C1899"/>
    <w:rsid w:val="008C44B0"/>
    <w:rsid w:val="008C5AA8"/>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7EB"/>
    <w:rsid w:val="009702AF"/>
    <w:rsid w:val="00970459"/>
    <w:rsid w:val="00970AAF"/>
    <w:rsid w:val="00970C5F"/>
    <w:rsid w:val="00971DA9"/>
    <w:rsid w:val="0097271C"/>
    <w:rsid w:val="00972929"/>
    <w:rsid w:val="00972BB9"/>
    <w:rsid w:val="00972D9B"/>
    <w:rsid w:val="00973203"/>
    <w:rsid w:val="0097513E"/>
    <w:rsid w:val="0097550A"/>
    <w:rsid w:val="0097594F"/>
    <w:rsid w:val="00975C86"/>
    <w:rsid w:val="00976C8B"/>
    <w:rsid w:val="00977208"/>
    <w:rsid w:val="009801F9"/>
    <w:rsid w:val="00980E5F"/>
    <w:rsid w:val="00981112"/>
    <w:rsid w:val="00982149"/>
    <w:rsid w:val="00982883"/>
    <w:rsid w:val="009838E6"/>
    <w:rsid w:val="009857B8"/>
    <w:rsid w:val="00987494"/>
    <w:rsid w:val="00990477"/>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70D7"/>
    <w:rsid w:val="00A77FA6"/>
    <w:rsid w:val="00A80F6A"/>
    <w:rsid w:val="00A81EBF"/>
    <w:rsid w:val="00A827DF"/>
    <w:rsid w:val="00A8293C"/>
    <w:rsid w:val="00A83B36"/>
    <w:rsid w:val="00A85A08"/>
    <w:rsid w:val="00A94434"/>
    <w:rsid w:val="00A95F46"/>
    <w:rsid w:val="00A974EA"/>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0F0"/>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2AD2"/>
    <w:rsid w:val="00C65092"/>
    <w:rsid w:val="00C66599"/>
    <w:rsid w:val="00C71AE0"/>
    <w:rsid w:val="00C73EC0"/>
    <w:rsid w:val="00C73F05"/>
    <w:rsid w:val="00C73F6E"/>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33C4"/>
    <w:rsid w:val="00C93947"/>
    <w:rsid w:val="00C957A4"/>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CBC"/>
    <w:rsid w:val="00CB23B5"/>
    <w:rsid w:val="00CB23FD"/>
    <w:rsid w:val="00CB32CB"/>
    <w:rsid w:val="00CB7C08"/>
    <w:rsid w:val="00CB7EF2"/>
    <w:rsid w:val="00CC1546"/>
    <w:rsid w:val="00CC2C92"/>
    <w:rsid w:val="00CC3DEA"/>
    <w:rsid w:val="00CC5C87"/>
    <w:rsid w:val="00CC6CBC"/>
    <w:rsid w:val="00CD0279"/>
    <w:rsid w:val="00CD03D0"/>
    <w:rsid w:val="00CD18B6"/>
    <w:rsid w:val="00CD69A3"/>
    <w:rsid w:val="00CD7C60"/>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624"/>
    <w:rsid w:val="00D20A38"/>
    <w:rsid w:val="00D21A01"/>
    <w:rsid w:val="00D2383F"/>
    <w:rsid w:val="00D24DCC"/>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74A6"/>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7FD9"/>
    <w:rsid w:val="00D7058D"/>
    <w:rsid w:val="00D729F6"/>
    <w:rsid w:val="00D74172"/>
    <w:rsid w:val="00D76A82"/>
    <w:rsid w:val="00D76CB5"/>
    <w:rsid w:val="00D773AC"/>
    <w:rsid w:val="00D80179"/>
    <w:rsid w:val="00D80D74"/>
    <w:rsid w:val="00D81D79"/>
    <w:rsid w:val="00D85F5D"/>
    <w:rsid w:val="00D87ACB"/>
    <w:rsid w:val="00D91B28"/>
    <w:rsid w:val="00D96041"/>
    <w:rsid w:val="00D970AA"/>
    <w:rsid w:val="00DA2260"/>
    <w:rsid w:val="00DA3A97"/>
    <w:rsid w:val="00DA71EC"/>
    <w:rsid w:val="00DA7CFC"/>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E0549"/>
    <w:rsid w:val="00EE0DF0"/>
    <w:rsid w:val="00EE0F24"/>
    <w:rsid w:val="00EE13AB"/>
    <w:rsid w:val="00EE1880"/>
    <w:rsid w:val="00EE1EE6"/>
    <w:rsid w:val="00EE219C"/>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7CF8"/>
    <w:rsid w:val="00F339B9"/>
    <w:rsid w:val="00F369C8"/>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712E"/>
    <w:rsid w:val="00F51201"/>
    <w:rsid w:val="00F512EB"/>
    <w:rsid w:val="00F5161F"/>
    <w:rsid w:val="00F54010"/>
    <w:rsid w:val="00F54A61"/>
    <w:rsid w:val="00F55BC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5156"/>
    <w:rsid w:val="00FF5912"/>
    <w:rsid w:val="00FF7F9F"/>
    <w:rsid w:val="0117358B"/>
    <w:rsid w:val="011A2F41"/>
    <w:rsid w:val="011F289D"/>
    <w:rsid w:val="014C7A8D"/>
    <w:rsid w:val="018C5E35"/>
    <w:rsid w:val="018C6405"/>
    <w:rsid w:val="01A56C94"/>
    <w:rsid w:val="01A61D0C"/>
    <w:rsid w:val="01C2154E"/>
    <w:rsid w:val="01FF6497"/>
    <w:rsid w:val="02136A35"/>
    <w:rsid w:val="021A6C4F"/>
    <w:rsid w:val="021D0BB6"/>
    <w:rsid w:val="023316E9"/>
    <w:rsid w:val="023E49AC"/>
    <w:rsid w:val="024D6BE7"/>
    <w:rsid w:val="02505BBE"/>
    <w:rsid w:val="02532F46"/>
    <w:rsid w:val="026347EB"/>
    <w:rsid w:val="026F1E1C"/>
    <w:rsid w:val="027051C7"/>
    <w:rsid w:val="028F2BD1"/>
    <w:rsid w:val="0295277A"/>
    <w:rsid w:val="02CA0C12"/>
    <w:rsid w:val="02CB7B8F"/>
    <w:rsid w:val="02D74EBE"/>
    <w:rsid w:val="03011BBD"/>
    <w:rsid w:val="03014C0A"/>
    <w:rsid w:val="03034B11"/>
    <w:rsid w:val="033459B2"/>
    <w:rsid w:val="0340285C"/>
    <w:rsid w:val="03545D1A"/>
    <w:rsid w:val="0383272B"/>
    <w:rsid w:val="03903CDE"/>
    <w:rsid w:val="03B40CD6"/>
    <w:rsid w:val="03C343A7"/>
    <w:rsid w:val="03E2399A"/>
    <w:rsid w:val="03EC5754"/>
    <w:rsid w:val="03F06075"/>
    <w:rsid w:val="03F37F64"/>
    <w:rsid w:val="03F761C4"/>
    <w:rsid w:val="03F9074F"/>
    <w:rsid w:val="0402759E"/>
    <w:rsid w:val="04054A9E"/>
    <w:rsid w:val="0422628D"/>
    <w:rsid w:val="042C14E2"/>
    <w:rsid w:val="04412473"/>
    <w:rsid w:val="044B49DA"/>
    <w:rsid w:val="045161BE"/>
    <w:rsid w:val="045A075C"/>
    <w:rsid w:val="046C0A67"/>
    <w:rsid w:val="0475134F"/>
    <w:rsid w:val="04821E14"/>
    <w:rsid w:val="048444AF"/>
    <w:rsid w:val="04890966"/>
    <w:rsid w:val="048C0CAF"/>
    <w:rsid w:val="04B975CA"/>
    <w:rsid w:val="04C10142"/>
    <w:rsid w:val="04C837E3"/>
    <w:rsid w:val="04F449D1"/>
    <w:rsid w:val="0533154A"/>
    <w:rsid w:val="053834D8"/>
    <w:rsid w:val="054B352B"/>
    <w:rsid w:val="05880732"/>
    <w:rsid w:val="05900A20"/>
    <w:rsid w:val="059E5D45"/>
    <w:rsid w:val="05B931D9"/>
    <w:rsid w:val="05C61474"/>
    <w:rsid w:val="05EC4147"/>
    <w:rsid w:val="06026D19"/>
    <w:rsid w:val="0616597F"/>
    <w:rsid w:val="06312B95"/>
    <w:rsid w:val="06385FC4"/>
    <w:rsid w:val="065719D5"/>
    <w:rsid w:val="0662756F"/>
    <w:rsid w:val="066C1A3F"/>
    <w:rsid w:val="067956A7"/>
    <w:rsid w:val="06911A73"/>
    <w:rsid w:val="06972B74"/>
    <w:rsid w:val="06F472D7"/>
    <w:rsid w:val="06F96CC3"/>
    <w:rsid w:val="06FA437D"/>
    <w:rsid w:val="0705662C"/>
    <w:rsid w:val="07057C19"/>
    <w:rsid w:val="0709002D"/>
    <w:rsid w:val="070A2741"/>
    <w:rsid w:val="07160901"/>
    <w:rsid w:val="07470F33"/>
    <w:rsid w:val="079D69DD"/>
    <w:rsid w:val="07A25249"/>
    <w:rsid w:val="07BC515E"/>
    <w:rsid w:val="07DF20B6"/>
    <w:rsid w:val="07FA21EC"/>
    <w:rsid w:val="080D6130"/>
    <w:rsid w:val="081D5FCD"/>
    <w:rsid w:val="08462061"/>
    <w:rsid w:val="08A50D6A"/>
    <w:rsid w:val="08A63161"/>
    <w:rsid w:val="08B369CE"/>
    <w:rsid w:val="08CA01ED"/>
    <w:rsid w:val="08D86D2B"/>
    <w:rsid w:val="08E24F5E"/>
    <w:rsid w:val="0902679D"/>
    <w:rsid w:val="090F3AE1"/>
    <w:rsid w:val="092A0376"/>
    <w:rsid w:val="092A50DE"/>
    <w:rsid w:val="092A51AA"/>
    <w:rsid w:val="092B41FB"/>
    <w:rsid w:val="09461CD6"/>
    <w:rsid w:val="094E2B2D"/>
    <w:rsid w:val="09702960"/>
    <w:rsid w:val="09703A19"/>
    <w:rsid w:val="09B56B8F"/>
    <w:rsid w:val="09B84EEA"/>
    <w:rsid w:val="09BF5903"/>
    <w:rsid w:val="09C1452B"/>
    <w:rsid w:val="09DC2A3C"/>
    <w:rsid w:val="0A0B354D"/>
    <w:rsid w:val="0A0D7A5E"/>
    <w:rsid w:val="0A1E6CE4"/>
    <w:rsid w:val="0A2B3E53"/>
    <w:rsid w:val="0A317416"/>
    <w:rsid w:val="0A656ED5"/>
    <w:rsid w:val="0A70290F"/>
    <w:rsid w:val="0A9905F0"/>
    <w:rsid w:val="0AC20E5E"/>
    <w:rsid w:val="0ACD7847"/>
    <w:rsid w:val="0ACE0C5C"/>
    <w:rsid w:val="0ADA5210"/>
    <w:rsid w:val="0AE33B61"/>
    <w:rsid w:val="0B011385"/>
    <w:rsid w:val="0B116FD4"/>
    <w:rsid w:val="0B167657"/>
    <w:rsid w:val="0B2E3315"/>
    <w:rsid w:val="0B3975F1"/>
    <w:rsid w:val="0B505360"/>
    <w:rsid w:val="0BAE09E4"/>
    <w:rsid w:val="0BB93DBD"/>
    <w:rsid w:val="0BBC3795"/>
    <w:rsid w:val="0BD47981"/>
    <w:rsid w:val="0BD87233"/>
    <w:rsid w:val="0BEF7EA9"/>
    <w:rsid w:val="0C0078A5"/>
    <w:rsid w:val="0C3910D0"/>
    <w:rsid w:val="0C467BA9"/>
    <w:rsid w:val="0C6E4B74"/>
    <w:rsid w:val="0C87035A"/>
    <w:rsid w:val="0C8A7DD9"/>
    <w:rsid w:val="0C8B36B6"/>
    <w:rsid w:val="0C955E4F"/>
    <w:rsid w:val="0C9B4A26"/>
    <w:rsid w:val="0CD75039"/>
    <w:rsid w:val="0CE05755"/>
    <w:rsid w:val="0CE11C2F"/>
    <w:rsid w:val="0D0B7840"/>
    <w:rsid w:val="0D1A7DF5"/>
    <w:rsid w:val="0D3F27B9"/>
    <w:rsid w:val="0D442E94"/>
    <w:rsid w:val="0D7548BC"/>
    <w:rsid w:val="0D775FC4"/>
    <w:rsid w:val="0D866C48"/>
    <w:rsid w:val="0DAD04E0"/>
    <w:rsid w:val="0DB87F84"/>
    <w:rsid w:val="0DCA26B4"/>
    <w:rsid w:val="0DDE4E3E"/>
    <w:rsid w:val="0DE3030E"/>
    <w:rsid w:val="0E0B2161"/>
    <w:rsid w:val="0E1F651D"/>
    <w:rsid w:val="0E3E0B45"/>
    <w:rsid w:val="0E634A9A"/>
    <w:rsid w:val="0E6F4F64"/>
    <w:rsid w:val="0E8459A5"/>
    <w:rsid w:val="0EA4516A"/>
    <w:rsid w:val="0EB9366B"/>
    <w:rsid w:val="0ED73C8C"/>
    <w:rsid w:val="0EE35C49"/>
    <w:rsid w:val="0EE71E80"/>
    <w:rsid w:val="0F174567"/>
    <w:rsid w:val="0F1D471E"/>
    <w:rsid w:val="0F825D2E"/>
    <w:rsid w:val="0F96520F"/>
    <w:rsid w:val="0F980AE7"/>
    <w:rsid w:val="0F9B7C7A"/>
    <w:rsid w:val="0FE1245D"/>
    <w:rsid w:val="0FFD0267"/>
    <w:rsid w:val="100E6510"/>
    <w:rsid w:val="1026272B"/>
    <w:rsid w:val="104B72C8"/>
    <w:rsid w:val="104C3EAF"/>
    <w:rsid w:val="1064555B"/>
    <w:rsid w:val="10650CF8"/>
    <w:rsid w:val="10680EE6"/>
    <w:rsid w:val="10703EDE"/>
    <w:rsid w:val="109A4EEF"/>
    <w:rsid w:val="10A90144"/>
    <w:rsid w:val="10AA6308"/>
    <w:rsid w:val="10B66959"/>
    <w:rsid w:val="10D425EB"/>
    <w:rsid w:val="10FE4805"/>
    <w:rsid w:val="11053AC8"/>
    <w:rsid w:val="110B418F"/>
    <w:rsid w:val="110E60EF"/>
    <w:rsid w:val="112F43FF"/>
    <w:rsid w:val="1133585B"/>
    <w:rsid w:val="11363BBB"/>
    <w:rsid w:val="1164226E"/>
    <w:rsid w:val="11794FAD"/>
    <w:rsid w:val="11953017"/>
    <w:rsid w:val="11D31EF9"/>
    <w:rsid w:val="122B75D6"/>
    <w:rsid w:val="122C63B7"/>
    <w:rsid w:val="12336C2A"/>
    <w:rsid w:val="12474677"/>
    <w:rsid w:val="12592FCD"/>
    <w:rsid w:val="12656B15"/>
    <w:rsid w:val="12D90668"/>
    <w:rsid w:val="12EE0036"/>
    <w:rsid w:val="13137F34"/>
    <w:rsid w:val="133E3ECE"/>
    <w:rsid w:val="13445BDE"/>
    <w:rsid w:val="13634471"/>
    <w:rsid w:val="13726F78"/>
    <w:rsid w:val="13766854"/>
    <w:rsid w:val="137E7B48"/>
    <w:rsid w:val="13870AF5"/>
    <w:rsid w:val="139162F3"/>
    <w:rsid w:val="13A33619"/>
    <w:rsid w:val="13C97469"/>
    <w:rsid w:val="13CE5FD7"/>
    <w:rsid w:val="13F05164"/>
    <w:rsid w:val="142C2F38"/>
    <w:rsid w:val="146907E4"/>
    <w:rsid w:val="146B6818"/>
    <w:rsid w:val="14DC60B9"/>
    <w:rsid w:val="14E459A5"/>
    <w:rsid w:val="14F05E52"/>
    <w:rsid w:val="15726F59"/>
    <w:rsid w:val="15790A54"/>
    <w:rsid w:val="15C23C39"/>
    <w:rsid w:val="160C212C"/>
    <w:rsid w:val="162D0E6A"/>
    <w:rsid w:val="166C6A08"/>
    <w:rsid w:val="16A76A05"/>
    <w:rsid w:val="16B35639"/>
    <w:rsid w:val="16B71CED"/>
    <w:rsid w:val="16D932AB"/>
    <w:rsid w:val="16DE4297"/>
    <w:rsid w:val="17027F31"/>
    <w:rsid w:val="172014BB"/>
    <w:rsid w:val="17331594"/>
    <w:rsid w:val="17513E2A"/>
    <w:rsid w:val="17540A39"/>
    <w:rsid w:val="17767B62"/>
    <w:rsid w:val="17781D7B"/>
    <w:rsid w:val="177E5733"/>
    <w:rsid w:val="178C3ADD"/>
    <w:rsid w:val="179928AA"/>
    <w:rsid w:val="17D86021"/>
    <w:rsid w:val="17DE42AE"/>
    <w:rsid w:val="17E60340"/>
    <w:rsid w:val="17F34EFF"/>
    <w:rsid w:val="17F86978"/>
    <w:rsid w:val="183415C3"/>
    <w:rsid w:val="18567745"/>
    <w:rsid w:val="18712F61"/>
    <w:rsid w:val="187B0ADC"/>
    <w:rsid w:val="18A10F9C"/>
    <w:rsid w:val="18A37048"/>
    <w:rsid w:val="18A647FD"/>
    <w:rsid w:val="18B258EE"/>
    <w:rsid w:val="18C8188B"/>
    <w:rsid w:val="18D2262D"/>
    <w:rsid w:val="18E229E5"/>
    <w:rsid w:val="191609EB"/>
    <w:rsid w:val="191F159D"/>
    <w:rsid w:val="194D675F"/>
    <w:rsid w:val="1980484A"/>
    <w:rsid w:val="19942D2D"/>
    <w:rsid w:val="19A17CD9"/>
    <w:rsid w:val="19CD7781"/>
    <w:rsid w:val="19D92203"/>
    <w:rsid w:val="19DF4F3D"/>
    <w:rsid w:val="19E0023E"/>
    <w:rsid w:val="19E06C5F"/>
    <w:rsid w:val="19E15655"/>
    <w:rsid w:val="19E86730"/>
    <w:rsid w:val="19EF01FE"/>
    <w:rsid w:val="1A022711"/>
    <w:rsid w:val="1A126A40"/>
    <w:rsid w:val="1A197CD5"/>
    <w:rsid w:val="1A1B7038"/>
    <w:rsid w:val="1A1C7E5C"/>
    <w:rsid w:val="1A3046CC"/>
    <w:rsid w:val="1A3C321C"/>
    <w:rsid w:val="1A7B5306"/>
    <w:rsid w:val="1A83768B"/>
    <w:rsid w:val="1AB20C72"/>
    <w:rsid w:val="1AB22A7C"/>
    <w:rsid w:val="1AFC0B5B"/>
    <w:rsid w:val="1B2A760A"/>
    <w:rsid w:val="1B3834F2"/>
    <w:rsid w:val="1B570F89"/>
    <w:rsid w:val="1B845173"/>
    <w:rsid w:val="1B86590E"/>
    <w:rsid w:val="1BBC09C4"/>
    <w:rsid w:val="1BD26C96"/>
    <w:rsid w:val="1BD94AC8"/>
    <w:rsid w:val="1C0B510C"/>
    <w:rsid w:val="1C197B20"/>
    <w:rsid w:val="1C315EFE"/>
    <w:rsid w:val="1C572EF0"/>
    <w:rsid w:val="1C87249A"/>
    <w:rsid w:val="1C894C01"/>
    <w:rsid w:val="1C911012"/>
    <w:rsid w:val="1C9442FC"/>
    <w:rsid w:val="1CA664AA"/>
    <w:rsid w:val="1CA95133"/>
    <w:rsid w:val="1CD85FCA"/>
    <w:rsid w:val="1D06559F"/>
    <w:rsid w:val="1D530C71"/>
    <w:rsid w:val="1D75193B"/>
    <w:rsid w:val="1DCC2EE2"/>
    <w:rsid w:val="1DD060CA"/>
    <w:rsid w:val="1DD70F79"/>
    <w:rsid w:val="1DF408AE"/>
    <w:rsid w:val="1E195594"/>
    <w:rsid w:val="1E237B51"/>
    <w:rsid w:val="1E293EE9"/>
    <w:rsid w:val="1E2D40AE"/>
    <w:rsid w:val="1E396257"/>
    <w:rsid w:val="1E510303"/>
    <w:rsid w:val="1E6C1B47"/>
    <w:rsid w:val="1EA36355"/>
    <w:rsid w:val="1EAA499B"/>
    <w:rsid w:val="1EEB2528"/>
    <w:rsid w:val="1F002B0E"/>
    <w:rsid w:val="1F044097"/>
    <w:rsid w:val="1F1F4AB4"/>
    <w:rsid w:val="1F2D2FB7"/>
    <w:rsid w:val="1F433BBA"/>
    <w:rsid w:val="1F4D5BFB"/>
    <w:rsid w:val="1F6B2DA0"/>
    <w:rsid w:val="1F6B5269"/>
    <w:rsid w:val="1FC17D84"/>
    <w:rsid w:val="1FE47CA0"/>
    <w:rsid w:val="1FF23BBE"/>
    <w:rsid w:val="20117547"/>
    <w:rsid w:val="2023792B"/>
    <w:rsid w:val="203213A2"/>
    <w:rsid w:val="20387905"/>
    <w:rsid w:val="204333BD"/>
    <w:rsid w:val="207166F4"/>
    <w:rsid w:val="208565B5"/>
    <w:rsid w:val="20936C39"/>
    <w:rsid w:val="209640E8"/>
    <w:rsid w:val="209B06C9"/>
    <w:rsid w:val="20CF4E7C"/>
    <w:rsid w:val="20FC30FE"/>
    <w:rsid w:val="213301F1"/>
    <w:rsid w:val="2141118F"/>
    <w:rsid w:val="21425423"/>
    <w:rsid w:val="21434C4D"/>
    <w:rsid w:val="2150290B"/>
    <w:rsid w:val="21562E90"/>
    <w:rsid w:val="21AA0846"/>
    <w:rsid w:val="21CC65DF"/>
    <w:rsid w:val="21D361B0"/>
    <w:rsid w:val="21DC0F1D"/>
    <w:rsid w:val="21F1792F"/>
    <w:rsid w:val="22162FED"/>
    <w:rsid w:val="222B46FB"/>
    <w:rsid w:val="223E395A"/>
    <w:rsid w:val="22524289"/>
    <w:rsid w:val="225C148B"/>
    <w:rsid w:val="22807B43"/>
    <w:rsid w:val="228D29A3"/>
    <w:rsid w:val="229A1006"/>
    <w:rsid w:val="22A77DB6"/>
    <w:rsid w:val="22AE20B1"/>
    <w:rsid w:val="22BE3A97"/>
    <w:rsid w:val="230D7586"/>
    <w:rsid w:val="2341673D"/>
    <w:rsid w:val="23437BA6"/>
    <w:rsid w:val="235602E5"/>
    <w:rsid w:val="23646C78"/>
    <w:rsid w:val="237E7C95"/>
    <w:rsid w:val="238106F9"/>
    <w:rsid w:val="24156EA1"/>
    <w:rsid w:val="242A3029"/>
    <w:rsid w:val="243C1CC3"/>
    <w:rsid w:val="24680CF8"/>
    <w:rsid w:val="246E3A91"/>
    <w:rsid w:val="24750B97"/>
    <w:rsid w:val="24A02228"/>
    <w:rsid w:val="24A16B54"/>
    <w:rsid w:val="24AA2DC5"/>
    <w:rsid w:val="250065B7"/>
    <w:rsid w:val="250A7DF8"/>
    <w:rsid w:val="25131C1E"/>
    <w:rsid w:val="25271745"/>
    <w:rsid w:val="25587880"/>
    <w:rsid w:val="256049C6"/>
    <w:rsid w:val="25686213"/>
    <w:rsid w:val="2587240E"/>
    <w:rsid w:val="25925D7E"/>
    <w:rsid w:val="259E13D7"/>
    <w:rsid w:val="25A31DBC"/>
    <w:rsid w:val="25BC0A54"/>
    <w:rsid w:val="25E7189C"/>
    <w:rsid w:val="25EC41EA"/>
    <w:rsid w:val="26447E5C"/>
    <w:rsid w:val="26452B90"/>
    <w:rsid w:val="268A42C5"/>
    <w:rsid w:val="269362C5"/>
    <w:rsid w:val="26B46354"/>
    <w:rsid w:val="26B945E4"/>
    <w:rsid w:val="26BE7C25"/>
    <w:rsid w:val="26C02392"/>
    <w:rsid w:val="26FD5B93"/>
    <w:rsid w:val="26FD6232"/>
    <w:rsid w:val="27007054"/>
    <w:rsid w:val="27217EAF"/>
    <w:rsid w:val="274C7619"/>
    <w:rsid w:val="27CE333F"/>
    <w:rsid w:val="280035B1"/>
    <w:rsid w:val="28181C1F"/>
    <w:rsid w:val="28406C33"/>
    <w:rsid w:val="288A7DDB"/>
    <w:rsid w:val="28A84FE2"/>
    <w:rsid w:val="28B6386B"/>
    <w:rsid w:val="28DF17A9"/>
    <w:rsid w:val="291C1783"/>
    <w:rsid w:val="295B6569"/>
    <w:rsid w:val="296774F8"/>
    <w:rsid w:val="29925E42"/>
    <w:rsid w:val="29AC0A10"/>
    <w:rsid w:val="29BA1071"/>
    <w:rsid w:val="29E9140D"/>
    <w:rsid w:val="29F2619E"/>
    <w:rsid w:val="2A0D7ED6"/>
    <w:rsid w:val="2A1A5886"/>
    <w:rsid w:val="2A6D228F"/>
    <w:rsid w:val="2A741979"/>
    <w:rsid w:val="2A7B29EB"/>
    <w:rsid w:val="2A855222"/>
    <w:rsid w:val="2A8B7ECF"/>
    <w:rsid w:val="2A8C56AE"/>
    <w:rsid w:val="2A8E573C"/>
    <w:rsid w:val="2A9A6DD6"/>
    <w:rsid w:val="2AA07AB6"/>
    <w:rsid w:val="2AA776E7"/>
    <w:rsid w:val="2ACF6258"/>
    <w:rsid w:val="2AF17A89"/>
    <w:rsid w:val="2B026FB4"/>
    <w:rsid w:val="2B09571F"/>
    <w:rsid w:val="2B1920DF"/>
    <w:rsid w:val="2B335E35"/>
    <w:rsid w:val="2B404781"/>
    <w:rsid w:val="2B4F10C6"/>
    <w:rsid w:val="2B4F71EA"/>
    <w:rsid w:val="2B534624"/>
    <w:rsid w:val="2B5A2C48"/>
    <w:rsid w:val="2B694DF3"/>
    <w:rsid w:val="2B6C2BE9"/>
    <w:rsid w:val="2B8925C0"/>
    <w:rsid w:val="2B9339ED"/>
    <w:rsid w:val="2B98290C"/>
    <w:rsid w:val="2BA03D1E"/>
    <w:rsid w:val="2BA52731"/>
    <w:rsid w:val="2BDF4663"/>
    <w:rsid w:val="2BE51A5D"/>
    <w:rsid w:val="2BE704E2"/>
    <w:rsid w:val="2BEE5CA9"/>
    <w:rsid w:val="2BFC1167"/>
    <w:rsid w:val="2C031632"/>
    <w:rsid w:val="2C372028"/>
    <w:rsid w:val="2C6941CB"/>
    <w:rsid w:val="2CC81818"/>
    <w:rsid w:val="2CC91B40"/>
    <w:rsid w:val="2D09695D"/>
    <w:rsid w:val="2D1B4751"/>
    <w:rsid w:val="2D311250"/>
    <w:rsid w:val="2D625DC3"/>
    <w:rsid w:val="2D912760"/>
    <w:rsid w:val="2DB7476B"/>
    <w:rsid w:val="2DF52125"/>
    <w:rsid w:val="2E69314F"/>
    <w:rsid w:val="2E9664E9"/>
    <w:rsid w:val="2E98579E"/>
    <w:rsid w:val="2EAA671E"/>
    <w:rsid w:val="2EBE1669"/>
    <w:rsid w:val="2EDE68BE"/>
    <w:rsid w:val="2EE01A39"/>
    <w:rsid w:val="2F4277CC"/>
    <w:rsid w:val="2F4C48CB"/>
    <w:rsid w:val="2F5B6663"/>
    <w:rsid w:val="2F6A5588"/>
    <w:rsid w:val="2F6B3E71"/>
    <w:rsid w:val="2F88799A"/>
    <w:rsid w:val="2F9C2F32"/>
    <w:rsid w:val="2FA47CE5"/>
    <w:rsid w:val="2FC832B9"/>
    <w:rsid w:val="2FD45E8F"/>
    <w:rsid w:val="301454EC"/>
    <w:rsid w:val="301B79AE"/>
    <w:rsid w:val="301D0ADF"/>
    <w:rsid w:val="30685B23"/>
    <w:rsid w:val="306D10A3"/>
    <w:rsid w:val="306F25CD"/>
    <w:rsid w:val="308809CB"/>
    <w:rsid w:val="30883269"/>
    <w:rsid w:val="309B6583"/>
    <w:rsid w:val="30AE1458"/>
    <w:rsid w:val="30B45533"/>
    <w:rsid w:val="30FB138A"/>
    <w:rsid w:val="31041375"/>
    <w:rsid w:val="31087BAD"/>
    <w:rsid w:val="31236622"/>
    <w:rsid w:val="31297858"/>
    <w:rsid w:val="315D45F6"/>
    <w:rsid w:val="31896B48"/>
    <w:rsid w:val="31AF3F03"/>
    <w:rsid w:val="31BB01AE"/>
    <w:rsid w:val="31C479E1"/>
    <w:rsid w:val="31C56C1A"/>
    <w:rsid w:val="31ED0DC6"/>
    <w:rsid w:val="3201739B"/>
    <w:rsid w:val="32185672"/>
    <w:rsid w:val="32500E43"/>
    <w:rsid w:val="32635CE6"/>
    <w:rsid w:val="32644635"/>
    <w:rsid w:val="327862CE"/>
    <w:rsid w:val="327F265B"/>
    <w:rsid w:val="32853210"/>
    <w:rsid w:val="32BC5CC4"/>
    <w:rsid w:val="32C7182B"/>
    <w:rsid w:val="32EF7FD8"/>
    <w:rsid w:val="32FC0134"/>
    <w:rsid w:val="331C1561"/>
    <w:rsid w:val="33232A4C"/>
    <w:rsid w:val="333A7A9F"/>
    <w:rsid w:val="335C3BF6"/>
    <w:rsid w:val="335C79E5"/>
    <w:rsid w:val="33655D88"/>
    <w:rsid w:val="3370128D"/>
    <w:rsid w:val="33917786"/>
    <w:rsid w:val="33A3071F"/>
    <w:rsid w:val="33A42372"/>
    <w:rsid w:val="33AB16F8"/>
    <w:rsid w:val="33C222EB"/>
    <w:rsid w:val="33DD2D38"/>
    <w:rsid w:val="33E144EC"/>
    <w:rsid w:val="33E208DF"/>
    <w:rsid w:val="33EB5618"/>
    <w:rsid w:val="33F50020"/>
    <w:rsid w:val="33FE1E0E"/>
    <w:rsid w:val="34163887"/>
    <w:rsid w:val="341B48A9"/>
    <w:rsid w:val="341D3E5A"/>
    <w:rsid w:val="341D43D9"/>
    <w:rsid w:val="342C17D7"/>
    <w:rsid w:val="344C5398"/>
    <w:rsid w:val="3452333E"/>
    <w:rsid w:val="345244AD"/>
    <w:rsid w:val="345D4893"/>
    <w:rsid w:val="349C35B5"/>
    <w:rsid w:val="34E34957"/>
    <w:rsid w:val="34F9448B"/>
    <w:rsid w:val="35095F3D"/>
    <w:rsid w:val="351D406E"/>
    <w:rsid w:val="352626C5"/>
    <w:rsid w:val="3565776A"/>
    <w:rsid w:val="35744F5D"/>
    <w:rsid w:val="35AD07C7"/>
    <w:rsid w:val="35FA46E5"/>
    <w:rsid w:val="36036EAD"/>
    <w:rsid w:val="360527E0"/>
    <w:rsid w:val="360E74FB"/>
    <w:rsid w:val="363D2084"/>
    <w:rsid w:val="3650466C"/>
    <w:rsid w:val="36583FFC"/>
    <w:rsid w:val="366A10B8"/>
    <w:rsid w:val="366A2313"/>
    <w:rsid w:val="36741121"/>
    <w:rsid w:val="367B0D63"/>
    <w:rsid w:val="367E325A"/>
    <w:rsid w:val="368A35B6"/>
    <w:rsid w:val="368C25D3"/>
    <w:rsid w:val="369836CA"/>
    <w:rsid w:val="36997A82"/>
    <w:rsid w:val="36BC6F7C"/>
    <w:rsid w:val="36C9161A"/>
    <w:rsid w:val="36F84B53"/>
    <w:rsid w:val="370979D1"/>
    <w:rsid w:val="371F37B1"/>
    <w:rsid w:val="373059EC"/>
    <w:rsid w:val="377C600F"/>
    <w:rsid w:val="37A622B6"/>
    <w:rsid w:val="37C31D66"/>
    <w:rsid w:val="37CD285C"/>
    <w:rsid w:val="37D54679"/>
    <w:rsid w:val="37DB7CE6"/>
    <w:rsid w:val="38294672"/>
    <w:rsid w:val="384239D9"/>
    <w:rsid w:val="386E765D"/>
    <w:rsid w:val="38735D6D"/>
    <w:rsid w:val="38B87367"/>
    <w:rsid w:val="38BB5B93"/>
    <w:rsid w:val="38C17453"/>
    <w:rsid w:val="38D37AF8"/>
    <w:rsid w:val="38E673C6"/>
    <w:rsid w:val="38EB08E5"/>
    <w:rsid w:val="39342A69"/>
    <w:rsid w:val="395140E2"/>
    <w:rsid w:val="3957002A"/>
    <w:rsid w:val="39867110"/>
    <w:rsid w:val="39934900"/>
    <w:rsid w:val="399A535D"/>
    <w:rsid w:val="39A2165D"/>
    <w:rsid w:val="39AA2C39"/>
    <w:rsid w:val="39B57BCE"/>
    <w:rsid w:val="39BC20C3"/>
    <w:rsid w:val="39E4241F"/>
    <w:rsid w:val="3A0606E8"/>
    <w:rsid w:val="3A1A6623"/>
    <w:rsid w:val="3A5C0875"/>
    <w:rsid w:val="3A78560D"/>
    <w:rsid w:val="3A9F0E1B"/>
    <w:rsid w:val="3AA6276F"/>
    <w:rsid w:val="3AB671A7"/>
    <w:rsid w:val="3ABD375C"/>
    <w:rsid w:val="3ACF5DD7"/>
    <w:rsid w:val="3ADA766B"/>
    <w:rsid w:val="3AE4135F"/>
    <w:rsid w:val="3AF879CD"/>
    <w:rsid w:val="3B01675E"/>
    <w:rsid w:val="3B2F4816"/>
    <w:rsid w:val="3B425E84"/>
    <w:rsid w:val="3B434C2E"/>
    <w:rsid w:val="3B4D5386"/>
    <w:rsid w:val="3B507DC8"/>
    <w:rsid w:val="3B584925"/>
    <w:rsid w:val="3B7E42AD"/>
    <w:rsid w:val="3B8E59E5"/>
    <w:rsid w:val="3BA755B9"/>
    <w:rsid w:val="3BCF4307"/>
    <w:rsid w:val="3C1C3172"/>
    <w:rsid w:val="3C362F39"/>
    <w:rsid w:val="3C4143F3"/>
    <w:rsid w:val="3C6528A6"/>
    <w:rsid w:val="3C6A06A0"/>
    <w:rsid w:val="3CAC3AAC"/>
    <w:rsid w:val="3CB7025F"/>
    <w:rsid w:val="3CF00F09"/>
    <w:rsid w:val="3D11675F"/>
    <w:rsid w:val="3D192BA3"/>
    <w:rsid w:val="3D1A6029"/>
    <w:rsid w:val="3D225F25"/>
    <w:rsid w:val="3D2B17AF"/>
    <w:rsid w:val="3D527C28"/>
    <w:rsid w:val="3D5F4629"/>
    <w:rsid w:val="3D6435BC"/>
    <w:rsid w:val="3D7216B1"/>
    <w:rsid w:val="3D9963C7"/>
    <w:rsid w:val="3DA72AD0"/>
    <w:rsid w:val="3DC60157"/>
    <w:rsid w:val="3DC923BF"/>
    <w:rsid w:val="3DEA7E80"/>
    <w:rsid w:val="3DF334A4"/>
    <w:rsid w:val="3E210EBD"/>
    <w:rsid w:val="3E535102"/>
    <w:rsid w:val="3E6675F3"/>
    <w:rsid w:val="3E755730"/>
    <w:rsid w:val="3E8D3B49"/>
    <w:rsid w:val="3EAD088F"/>
    <w:rsid w:val="3EAE0F73"/>
    <w:rsid w:val="3ED64403"/>
    <w:rsid w:val="3ED82911"/>
    <w:rsid w:val="3F513F70"/>
    <w:rsid w:val="3F633BFB"/>
    <w:rsid w:val="3F694823"/>
    <w:rsid w:val="3F91619D"/>
    <w:rsid w:val="3FA57F52"/>
    <w:rsid w:val="3FC2417B"/>
    <w:rsid w:val="3FF343D1"/>
    <w:rsid w:val="40004109"/>
    <w:rsid w:val="40813C86"/>
    <w:rsid w:val="40EF5D73"/>
    <w:rsid w:val="411254D7"/>
    <w:rsid w:val="41451D00"/>
    <w:rsid w:val="41582223"/>
    <w:rsid w:val="415864C7"/>
    <w:rsid w:val="41895777"/>
    <w:rsid w:val="41981AB2"/>
    <w:rsid w:val="41BB48C4"/>
    <w:rsid w:val="41DE254A"/>
    <w:rsid w:val="42014EC6"/>
    <w:rsid w:val="42117160"/>
    <w:rsid w:val="421D1242"/>
    <w:rsid w:val="42277902"/>
    <w:rsid w:val="422C2514"/>
    <w:rsid w:val="42310E70"/>
    <w:rsid w:val="42400853"/>
    <w:rsid w:val="42544B8F"/>
    <w:rsid w:val="42763AFF"/>
    <w:rsid w:val="429640F8"/>
    <w:rsid w:val="42994FC6"/>
    <w:rsid w:val="42B16A6B"/>
    <w:rsid w:val="42B307CB"/>
    <w:rsid w:val="42B7486B"/>
    <w:rsid w:val="42D330E2"/>
    <w:rsid w:val="42E75DA7"/>
    <w:rsid w:val="43124C08"/>
    <w:rsid w:val="432D5524"/>
    <w:rsid w:val="43461842"/>
    <w:rsid w:val="434C7B5E"/>
    <w:rsid w:val="436A5CC2"/>
    <w:rsid w:val="436E0702"/>
    <w:rsid w:val="437A4B46"/>
    <w:rsid w:val="43B652D7"/>
    <w:rsid w:val="43D16C0A"/>
    <w:rsid w:val="43E06266"/>
    <w:rsid w:val="440C0C23"/>
    <w:rsid w:val="44162686"/>
    <w:rsid w:val="44237EA2"/>
    <w:rsid w:val="44796512"/>
    <w:rsid w:val="44872C97"/>
    <w:rsid w:val="448C02B4"/>
    <w:rsid w:val="449811DD"/>
    <w:rsid w:val="44E41335"/>
    <w:rsid w:val="44E42A91"/>
    <w:rsid w:val="44EB27C8"/>
    <w:rsid w:val="44F63EA4"/>
    <w:rsid w:val="4508359E"/>
    <w:rsid w:val="4511236A"/>
    <w:rsid w:val="451205A0"/>
    <w:rsid w:val="452E2FBF"/>
    <w:rsid w:val="454633E7"/>
    <w:rsid w:val="454B23E7"/>
    <w:rsid w:val="455C13D7"/>
    <w:rsid w:val="455E07E5"/>
    <w:rsid w:val="456A6B72"/>
    <w:rsid w:val="457B12C1"/>
    <w:rsid w:val="457F2C28"/>
    <w:rsid w:val="45941E4D"/>
    <w:rsid w:val="45C3630E"/>
    <w:rsid w:val="45D13DD5"/>
    <w:rsid w:val="45E72F1C"/>
    <w:rsid w:val="45E816AF"/>
    <w:rsid w:val="45EA1EB3"/>
    <w:rsid w:val="460905C4"/>
    <w:rsid w:val="462D6B88"/>
    <w:rsid w:val="46541B0B"/>
    <w:rsid w:val="466C7713"/>
    <w:rsid w:val="467732D3"/>
    <w:rsid w:val="469152F0"/>
    <w:rsid w:val="46C758AE"/>
    <w:rsid w:val="46CD03D6"/>
    <w:rsid w:val="46D30372"/>
    <w:rsid w:val="470A7839"/>
    <w:rsid w:val="47462468"/>
    <w:rsid w:val="475A40A5"/>
    <w:rsid w:val="47607747"/>
    <w:rsid w:val="4770662C"/>
    <w:rsid w:val="4795458D"/>
    <w:rsid w:val="47A86EF0"/>
    <w:rsid w:val="47DA1B6A"/>
    <w:rsid w:val="486821F8"/>
    <w:rsid w:val="48683357"/>
    <w:rsid w:val="487D26CA"/>
    <w:rsid w:val="48AE36FB"/>
    <w:rsid w:val="48B42147"/>
    <w:rsid w:val="48B60CA2"/>
    <w:rsid w:val="48BF3D66"/>
    <w:rsid w:val="48EB473F"/>
    <w:rsid w:val="48F25BF0"/>
    <w:rsid w:val="49011E6F"/>
    <w:rsid w:val="490D384F"/>
    <w:rsid w:val="491E2A2F"/>
    <w:rsid w:val="493A7F61"/>
    <w:rsid w:val="498B4FAA"/>
    <w:rsid w:val="498F3AE1"/>
    <w:rsid w:val="499C00B7"/>
    <w:rsid w:val="499F7B39"/>
    <w:rsid w:val="49B73E16"/>
    <w:rsid w:val="49C86BF3"/>
    <w:rsid w:val="49DB3FC5"/>
    <w:rsid w:val="49F37012"/>
    <w:rsid w:val="4A053649"/>
    <w:rsid w:val="4A096646"/>
    <w:rsid w:val="4A223F93"/>
    <w:rsid w:val="4A542CB6"/>
    <w:rsid w:val="4A552C0C"/>
    <w:rsid w:val="4A64169E"/>
    <w:rsid w:val="4A6601E6"/>
    <w:rsid w:val="4AD44F71"/>
    <w:rsid w:val="4AE562A7"/>
    <w:rsid w:val="4B0F1E82"/>
    <w:rsid w:val="4B16443D"/>
    <w:rsid w:val="4B4405AA"/>
    <w:rsid w:val="4B745559"/>
    <w:rsid w:val="4B8548E1"/>
    <w:rsid w:val="4B8A00D1"/>
    <w:rsid w:val="4C155C11"/>
    <w:rsid w:val="4C2E2644"/>
    <w:rsid w:val="4C426859"/>
    <w:rsid w:val="4C4B000D"/>
    <w:rsid w:val="4C5F5E78"/>
    <w:rsid w:val="4C7A7894"/>
    <w:rsid w:val="4C8267A3"/>
    <w:rsid w:val="4C8F6F67"/>
    <w:rsid w:val="4CB85F33"/>
    <w:rsid w:val="4CED4E3E"/>
    <w:rsid w:val="4CF75D95"/>
    <w:rsid w:val="4CFA1493"/>
    <w:rsid w:val="4D04320A"/>
    <w:rsid w:val="4D1560FB"/>
    <w:rsid w:val="4D8B7F33"/>
    <w:rsid w:val="4D927051"/>
    <w:rsid w:val="4DAE3DCE"/>
    <w:rsid w:val="4DB82C8B"/>
    <w:rsid w:val="4DC8212E"/>
    <w:rsid w:val="4DD52817"/>
    <w:rsid w:val="4DD57779"/>
    <w:rsid w:val="4DF328E5"/>
    <w:rsid w:val="4E1C7A35"/>
    <w:rsid w:val="4E1F77D0"/>
    <w:rsid w:val="4E2F6A8F"/>
    <w:rsid w:val="4E6F38BF"/>
    <w:rsid w:val="4E861A12"/>
    <w:rsid w:val="4E9F1753"/>
    <w:rsid w:val="4ED651D4"/>
    <w:rsid w:val="4EDD2163"/>
    <w:rsid w:val="4EFD0E6C"/>
    <w:rsid w:val="4F1C67F8"/>
    <w:rsid w:val="4F202FED"/>
    <w:rsid w:val="4F584F66"/>
    <w:rsid w:val="4F84137E"/>
    <w:rsid w:val="4FA84009"/>
    <w:rsid w:val="4FC1363A"/>
    <w:rsid w:val="4FC82BB3"/>
    <w:rsid w:val="4FC84249"/>
    <w:rsid w:val="4FE940C1"/>
    <w:rsid w:val="4FF54664"/>
    <w:rsid w:val="50104A8A"/>
    <w:rsid w:val="50207787"/>
    <w:rsid w:val="503D14F9"/>
    <w:rsid w:val="50516C6B"/>
    <w:rsid w:val="50813390"/>
    <w:rsid w:val="509A3FE7"/>
    <w:rsid w:val="509B4372"/>
    <w:rsid w:val="50CA014F"/>
    <w:rsid w:val="50DB5DBF"/>
    <w:rsid w:val="50FA4BB5"/>
    <w:rsid w:val="51136E8D"/>
    <w:rsid w:val="515A482D"/>
    <w:rsid w:val="515E2B8F"/>
    <w:rsid w:val="519F1952"/>
    <w:rsid w:val="51AB6549"/>
    <w:rsid w:val="51AC4C6D"/>
    <w:rsid w:val="51B008C3"/>
    <w:rsid w:val="52256BC5"/>
    <w:rsid w:val="5240000B"/>
    <w:rsid w:val="52682C91"/>
    <w:rsid w:val="529152B7"/>
    <w:rsid w:val="5296798A"/>
    <w:rsid w:val="52CD36EC"/>
    <w:rsid w:val="52DB5EA3"/>
    <w:rsid w:val="52E837CD"/>
    <w:rsid w:val="52F855D7"/>
    <w:rsid w:val="53026D37"/>
    <w:rsid w:val="53410631"/>
    <w:rsid w:val="534B5826"/>
    <w:rsid w:val="53635000"/>
    <w:rsid w:val="538739F4"/>
    <w:rsid w:val="53E1454D"/>
    <w:rsid w:val="53FA6ABD"/>
    <w:rsid w:val="54027D1D"/>
    <w:rsid w:val="541A3397"/>
    <w:rsid w:val="541F7034"/>
    <w:rsid w:val="542E2DA8"/>
    <w:rsid w:val="5434598E"/>
    <w:rsid w:val="54384D8F"/>
    <w:rsid w:val="54414BA6"/>
    <w:rsid w:val="54695497"/>
    <w:rsid w:val="54793936"/>
    <w:rsid w:val="548000FB"/>
    <w:rsid w:val="54881D28"/>
    <w:rsid w:val="54933372"/>
    <w:rsid w:val="549B0D8A"/>
    <w:rsid w:val="549D2CE1"/>
    <w:rsid w:val="54A13AA7"/>
    <w:rsid w:val="54B651F8"/>
    <w:rsid w:val="54B966F8"/>
    <w:rsid w:val="54E310EF"/>
    <w:rsid w:val="54F57F3B"/>
    <w:rsid w:val="551B50EF"/>
    <w:rsid w:val="551B7C76"/>
    <w:rsid w:val="552065C9"/>
    <w:rsid w:val="55700A9E"/>
    <w:rsid w:val="5585441B"/>
    <w:rsid w:val="55A32FF3"/>
    <w:rsid w:val="55BA03A6"/>
    <w:rsid w:val="55C7474B"/>
    <w:rsid w:val="55DC6579"/>
    <w:rsid w:val="55E61AD7"/>
    <w:rsid w:val="55E64BF4"/>
    <w:rsid w:val="561A7886"/>
    <w:rsid w:val="56392144"/>
    <w:rsid w:val="565E3639"/>
    <w:rsid w:val="567D723C"/>
    <w:rsid w:val="5691395D"/>
    <w:rsid w:val="56A21B78"/>
    <w:rsid w:val="56A877FD"/>
    <w:rsid w:val="56B47B92"/>
    <w:rsid w:val="56C66FDC"/>
    <w:rsid w:val="56CB0509"/>
    <w:rsid w:val="56CE500E"/>
    <w:rsid w:val="570C4194"/>
    <w:rsid w:val="571E4777"/>
    <w:rsid w:val="57465074"/>
    <w:rsid w:val="57540CE9"/>
    <w:rsid w:val="575513B0"/>
    <w:rsid w:val="57601682"/>
    <w:rsid w:val="5765495C"/>
    <w:rsid w:val="57697B5A"/>
    <w:rsid w:val="577C530C"/>
    <w:rsid w:val="57800376"/>
    <w:rsid w:val="57812DC0"/>
    <w:rsid w:val="57937F5B"/>
    <w:rsid w:val="579A64E9"/>
    <w:rsid w:val="57A60659"/>
    <w:rsid w:val="57E62947"/>
    <w:rsid w:val="57F86260"/>
    <w:rsid w:val="58006B9C"/>
    <w:rsid w:val="583F5E09"/>
    <w:rsid w:val="584F34E7"/>
    <w:rsid w:val="5852415B"/>
    <w:rsid w:val="585F3161"/>
    <w:rsid w:val="5893148F"/>
    <w:rsid w:val="58962B2F"/>
    <w:rsid w:val="589E6FBD"/>
    <w:rsid w:val="58A15465"/>
    <w:rsid w:val="58AF1188"/>
    <w:rsid w:val="58C954DF"/>
    <w:rsid w:val="58C97187"/>
    <w:rsid w:val="58D24712"/>
    <w:rsid w:val="58D772FB"/>
    <w:rsid w:val="58DD023B"/>
    <w:rsid w:val="58E066F2"/>
    <w:rsid w:val="59030A1C"/>
    <w:rsid w:val="59244320"/>
    <w:rsid w:val="594A7951"/>
    <w:rsid w:val="594E50AE"/>
    <w:rsid w:val="596F2BE8"/>
    <w:rsid w:val="598359D5"/>
    <w:rsid w:val="59C772C2"/>
    <w:rsid w:val="59EF0DED"/>
    <w:rsid w:val="5A417455"/>
    <w:rsid w:val="5A4D509E"/>
    <w:rsid w:val="5A5F1744"/>
    <w:rsid w:val="5A616A73"/>
    <w:rsid w:val="5A8D5E62"/>
    <w:rsid w:val="5AB410D7"/>
    <w:rsid w:val="5ACD3B16"/>
    <w:rsid w:val="5AD35148"/>
    <w:rsid w:val="5AD723ED"/>
    <w:rsid w:val="5AF01909"/>
    <w:rsid w:val="5B180DAA"/>
    <w:rsid w:val="5B1A33D6"/>
    <w:rsid w:val="5B215D77"/>
    <w:rsid w:val="5B260221"/>
    <w:rsid w:val="5B5116D2"/>
    <w:rsid w:val="5BBC5C84"/>
    <w:rsid w:val="5BC35DE9"/>
    <w:rsid w:val="5BE75355"/>
    <w:rsid w:val="5BEF1C73"/>
    <w:rsid w:val="5C053A57"/>
    <w:rsid w:val="5C0B50FA"/>
    <w:rsid w:val="5C315571"/>
    <w:rsid w:val="5C4F2086"/>
    <w:rsid w:val="5C793C7F"/>
    <w:rsid w:val="5C7E2026"/>
    <w:rsid w:val="5C8F4FA6"/>
    <w:rsid w:val="5CA43950"/>
    <w:rsid w:val="5CAF7923"/>
    <w:rsid w:val="5CE3364A"/>
    <w:rsid w:val="5CF103AF"/>
    <w:rsid w:val="5D0F6503"/>
    <w:rsid w:val="5D273925"/>
    <w:rsid w:val="5D2F3CB0"/>
    <w:rsid w:val="5D3429FB"/>
    <w:rsid w:val="5D654CEF"/>
    <w:rsid w:val="5DCC7A7E"/>
    <w:rsid w:val="5DF72A65"/>
    <w:rsid w:val="5E145558"/>
    <w:rsid w:val="5E297381"/>
    <w:rsid w:val="5E4D3755"/>
    <w:rsid w:val="5E5F5D6D"/>
    <w:rsid w:val="5E7C1B57"/>
    <w:rsid w:val="5E830C84"/>
    <w:rsid w:val="5E9D00DC"/>
    <w:rsid w:val="5EAC6329"/>
    <w:rsid w:val="5EE017FC"/>
    <w:rsid w:val="5F0D637F"/>
    <w:rsid w:val="5F390541"/>
    <w:rsid w:val="5F4115CB"/>
    <w:rsid w:val="5F475AD8"/>
    <w:rsid w:val="5F54018E"/>
    <w:rsid w:val="5F566462"/>
    <w:rsid w:val="5F593FBE"/>
    <w:rsid w:val="5F6E784C"/>
    <w:rsid w:val="5F786AA5"/>
    <w:rsid w:val="5F9611F4"/>
    <w:rsid w:val="5F9967CE"/>
    <w:rsid w:val="5F9C5D32"/>
    <w:rsid w:val="5FA15A40"/>
    <w:rsid w:val="5FC0131E"/>
    <w:rsid w:val="5FD27396"/>
    <w:rsid w:val="5FDB0F3C"/>
    <w:rsid w:val="60495205"/>
    <w:rsid w:val="60673F48"/>
    <w:rsid w:val="60762C7B"/>
    <w:rsid w:val="60825F1D"/>
    <w:rsid w:val="60A90760"/>
    <w:rsid w:val="60B109EB"/>
    <w:rsid w:val="60CE0E7B"/>
    <w:rsid w:val="60D411D3"/>
    <w:rsid w:val="60F10056"/>
    <w:rsid w:val="60F51D20"/>
    <w:rsid w:val="61307DBB"/>
    <w:rsid w:val="61315539"/>
    <w:rsid w:val="616157FF"/>
    <w:rsid w:val="618A7C28"/>
    <w:rsid w:val="618D6982"/>
    <w:rsid w:val="618F0D2C"/>
    <w:rsid w:val="619A5274"/>
    <w:rsid w:val="619E6ABF"/>
    <w:rsid w:val="61A549DC"/>
    <w:rsid w:val="61AA41D2"/>
    <w:rsid w:val="61B56E55"/>
    <w:rsid w:val="61CB20D0"/>
    <w:rsid w:val="6225378C"/>
    <w:rsid w:val="62276771"/>
    <w:rsid w:val="623140A3"/>
    <w:rsid w:val="623B57C4"/>
    <w:rsid w:val="62483BA5"/>
    <w:rsid w:val="624E52F0"/>
    <w:rsid w:val="626F3272"/>
    <w:rsid w:val="62792CA9"/>
    <w:rsid w:val="627E6DF6"/>
    <w:rsid w:val="6283268E"/>
    <w:rsid w:val="628C129B"/>
    <w:rsid w:val="62BD5310"/>
    <w:rsid w:val="62C87FA7"/>
    <w:rsid w:val="62CF6BDC"/>
    <w:rsid w:val="62D05350"/>
    <w:rsid w:val="62DC5616"/>
    <w:rsid w:val="63025794"/>
    <w:rsid w:val="63063CC9"/>
    <w:rsid w:val="635763D7"/>
    <w:rsid w:val="63C13209"/>
    <w:rsid w:val="63F57C34"/>
    <w:rsid w:val="641471BC"/>
    <w:rsid w:val="642817D2"/>
    <w:rsid w:val="64360E48"/>
    <w:rsid w:val="64387BB5"/>
    <w:rsid w:val="643C7171"/>
    <w:rsid w:val="645B3149"/>
    <w:rsid w:val="648A7505"/>
    <w:rsid w:val="649742EE"/>
    <w:rsid w:val="64BB1322"/>
    <w:rsid w:val="64DA7F84"/>
    <w:rsid w:val="64E60340"/>
    <w:rsid w:val="64F94782"/>
    <w:rsid w:val="65004441"/>
    <w:rsid w:val="6524211B"/>
    <w:rsid w:val="653071EF"/>
    <w:rsid w:val="6539719E"/>
    <w:rsid w:val="65727259"/>
    <w:rsid w:val="657A3F96"/>
    <w:rsid w:val="657C2411"/>
    <w:rsid w:val="657D61BB"/>
    <w:rsid w:val="65800D13"/>
    <w:rsid w:val="659C0BAD"/>
    <w:rsid w:val="65A70D82"/>
    <w:rsid w:val="65EF6282"/>
    <w:rsid w:val="6621660D"/>
    <w:rsid w:val="662B5990"/>
    <w:rsid w:val="66381443"/>
    <w:rsid w:val="664F2279"/>
    <w:rsid w:val="66556BD7"/>
    <w:rsid w:val="66583DDD"/>
    <w:rsid w:val="666545CF"/>
    <w:rsid w:val="66666E12"/>
    <w:rsid w:val="667264C2"/>
    <w:rsid w:val="66737865"/>
    <w:rsid w:val="6686515A"/>
    <w:rsid w:val="66900A5D"/>
    <w:rsid w:val="669C06FE"/>
    <w:rsid w:val="669F1713"/>
    <w:rsid w:val="66A5276B"/>
    <w:rsid w:val="66BE6753"/>
    <w:rsid w:val="66D313F2"/>
    <w:rsid w:val="66D8325B"/>
    <w:rsid w:val="66E1788A"/>
    <w:rsid w:val="66EE6340"/>
    <w:rsid w:val="66F92544"/>
    <w:rsid w:val="674003AC"/>
    <w:rsid w:val="674344A0"/>
    <w:rsid w:val="676665A2"/>
    <w:rsid w:val="676C4108"/>
    <w:rsid w:val="679B09B6"/>
    <w:rsid w:val="67A045F3"/>
    <w:rsid w:val="67B04E80"/>
    <w:rsid w:val="67B664E7"/>
    <w:rsid w:val="67D3619B"/>
    <w:rsid w:val="67E22F21"/>
    <w:rsid w:val="67E82036"/>
    <w:rsid w:val="67EE5AE6"/>
    <w:rsid w:val="68071BA7"/>
    <w:rsid w:val="68691909"/>
    <w:rsid w:val="6897240C"/>
    <w:rsid w:val="68973053"/>
    <w:rsid w:val="68A80C0B"/>
    <w:rsid w:val="68AF1317"/>
    <w:rsid w:val="68B86CF6"/>
    <w:rsid w:val="69075F4F"/>
    <w:rsid w:val="69214D87"/>
    <w:rsid w:val="693E0CEB"/>
    <w:rsid w:val="69434640"/>
    <w:rsid w:val="696A2AB4"/>
    <w:rsid w:val="69745CBB"/>
    <w:rsid w:val="698B6555"/>
    <w:rsid w:val="69A87A70"/>
    <w:rsid w:val="69C86985"/>
    <w:rsid w:val="6A071B3E"/>
    <w:rsid w:val="6A244F7C"/>
    <w:rsid w:val="6A7221C4"/>
    <w:rsid w:val="6A985DB3"/>
    <w:rsid w:val="6AAB52E0"/>
    <w:rsid w:val="6AC60152"/>
    <w:rsid w:val="6AC91394"/>
    <w:rsid w:val="6AD10581"/>
    <w:rsid w:val="6AF27FE5"/>
    <w:rsid w:val="6B1765A5"/>
    <w:rsid w:val="6B3D6100"/>
    <w:rsid w:val="6B6B00A7"/>
    <w:rsid w:val="6B8B57A5"/>
    <w:rsid w:val="6B9D11F1"/>
    <w:rsid w:val="6C033AC9"/>
    <w:rsid w:val="6C08473F"/>
    <w:rsid w:val="6C235509"/>
    <w:rsid w:val="6C40043C"/>
    <w:rsid w:val="6C57078E"/>
    <w:rsid w:val="6C7D6A96"/>
    <w:rsid w:val="6C8D4D71"/>
    <w:rsid w:val="6CAA589B"/>
    <w:rsid w:val="6CB6672B"/>
    <w:rsid w:val="6CBF6FBD"/>
    <w:rsid w:val="6CC519D0"/>
    <w:rsid w:val="6CCE5BC6"/>
    <w:rsid w:val="6CCF239C"/>
    <w:rsid w:val="6CD140BB"/>
    <w:rsid w:val="6CD836BD"/>
    <w:rsid w:val="6CDB125F"/>
    <w:rsid w:val="6CFE1C3F"/>
    <w:rsid w:val="6D14523D"/>
    <w:rsid w:val="6D2F33FD"/>
    <w:rsid w:val="6D3F5A25"/>
    <w:rsid w:val="6D415A28"/>
    <w:rsid w:val="6D6F4B44"/>
    <w:rsid w:val="6D79562F"/>
    <w:rsid w:val="6D8200F2"/>
    <w:rsid w:val="6D877FD2"/>
    <w:rsid w:val="6D8E4E34"/>
    <w:rsid w:val="6D901A1D"/>
    <w:rsid w:val="6D9353A9"/>
    <w:rsid w:val="6DD43F91"/>
    <w:rsid w:val="6DF32963"/>
    <w:rsid w:val="6DF70E31"/>
    <w:rsid w:val="6E9A22DC"/>
    <w:rsid w:val="6E9A2535"/>
    <w:rsid w:val="6ED668BC"/>
    <w:rsid w:val="6EEA496C"/>
    <w:rsid w:val="6EF215BE"/>
    <w:rsid w:val="6F1B47FB"/>
    <w:rsid w:val="6F307C36"/>
    <w:rsid w:val="6F411E43"/>
    <w:rsid w:val="6F714E60"/>
    <w:rsid w:val="6F850F57"/>
    <w:rsid w:val="6F9B497F"/>
    <w:rsid w:val="6FB51799"/>
    <w:rsid w:val="6FD76EB2"/>
    <w:rsid w:val="6FEF1FA9"/>
    <w:rsid w:val="702F2B45"/>
    <w:rsid w:val="705A4AB9"/>
    <w:rsid w:val="705E4A2A"/>
    <w:rsid w:val="707F09CE"/>
    <w:rsid w:val="70893CDB"/>
    <w:rsid w:val="708B4CA4"/>
    <w:rsid w:val="70A14E01"/>
    <w:rsid w:val="70C7422C"/>
    <w:rsid w:val="70CF40EE"/>
    <w:rsid w:val="70D06C34"/>
    <w:rsid w:val="70EC5D69"/>
    <w:rsid w:val="70FC341B"/>
    <w:rsid w:val="71311E54"/>
    <w:rsid w:val="71337961"/>
    <w:rsid w:val="713D3B24"/>
    <w:rsid w:val="714B1575"/>
    <w:rsid w:val="715962BB"/>
    <w:rsid w:val="715A01CD"/>
    <w:rsid w:val="715A2D12"/>
    <w:rsid w:val="716A3D5A"/>
    <w:rsid w:val="718D0892"/>
    <w:rsid w:val="719253CB"/>
    <w:rsid w:val="71B05167"/>
    <w:rsid w:val="71B4219A"/>
    <w:rsid w:val="71B623F0"/>
    <w:rsid w:val="71CC043D"/>
    <w:rsid w:val="71CC461C"/>
    <w:rsid w:val="71D9745D"/>
    <w:rsid w:val="71DD2956"/>
    <w:rsid w:val="72303BB4"/>
    <w:rsid w:val="72407638"/>
    <w:rsid w:val="728B02DD"/>
    <w:rsid w:val="72AE419A"/>
    <w:rsid w:val="72D75341"/>
    <w:rsid w:val="72DD2AAB"/>
    <w:rsid w:val="72E7537F"/>
    <w:rsid w:val="730E66A8"/>
    <w:rsid w:val="734327B4"/>
    <w:rsid w:val="73465FB1"/>
    <w:rsid w:val="7361619B"/>
    <w:rsid w:val="736A6EC9"/>
    <w:rsid w:val="737369C6"/>
    <w:rsid w:val="73783004"/>
    <w:rsid w:val="737D6629"/>
    <w:rsid w:val="737F552B"/>
    <w:rsid w:val="73865EE2"/>
    <w:rsid w:val="739C403B"/>
    <w:rsid w:val="73B624A6"/>
    <w:rsid w:val="73C300B6"/>
    <w:rsid w:val="73C9192C"/>
    <w:rsid w:val="73D04B66"/>
    <w:rsid w:val="73DD310D"/>
    <w:rsid w:val="73F71E4C"/>
    <w:rsid w:val="74540290"/>
    <w:rsid w:val="74B70AA8"/>
    <w:rsid w:val="74DB4066"/>
    <w:rsid w:val="74EC6829"/>
    <w:rsid w:val="74FA2B1E"/>
    <w:rsid w:val="751723B2"/>
    <w:rsid w:val="752A3FE2"/>
    <w:rsid w:val="753A32A4"/>
    <w:rsid w:val="755A3B76"/>
    <w:rsid w:val="755B36E2"/>
    <w:rsid w:val="757E3092"/>
    <w:rsid w:val="75816C6B"/>
    <w:rsid w:val="758455D8"/>
    <w:rsid w:val="75A12DC3"/>
    <w:rsid w:val="75C509C1"/>
    <w:rsid w:val="75CF2457"/>
    <w:rsid w:val="75ED24F3"/>
    <w:rsid w:val="75EE730D"/>
    <w:rsid w:val="76055ECB"/>
    <w:rsid w:val="76576545"/>
    <w:rsid w:val="76583239"/>
    <w:rsid w:val="766414E0"/>
    <w:rsid w:val="76694BEC"/>
    <w:rsid w:val="76960696"/>
    <w:rsid w:val="769E1FE8"/>
    <w:rsid w:val="76A97805"/>
    <w:rsid w:val="76AA1A7E"/>
    <w:rsid w:val="76C4441E"/>
    <w:rsid w:val="76DB540C"/>
    <w:rsid w:val="76DF0DE6"/>
    <w:rsid w:val="76EC0820"/>
    <w:rsid w:val="76FB321F"/>
    <w:rsid w:val="76FC4623"/>
    <w:rsid w:val="7721710D"/>
    <w:rsid w:val="772F12E8"/>
    <w:rsid w:val="773D5787"/>
    <w:rsid w:val="77593007"/>
    <w:rsid w:val="775C345A"/>
    <w:rsid w:val="77645FD0"/>
    <w:rsid w:val="776A44D4"/>
    <w:rsid w:val="778812A1"/>
    <w:rsid w:val="779B11FF"/>
    <w:rsid w:val="77E9472B"/>
    <w:rsid w:val="77E973F7"/>
    <w:rsid w:val="78230F6D"/>
    <w:rsid w:val="783339D9"/>
    <w:rsid w:val="785504B4"/>
    <w:rsid w:val="786B7CDB"/>
    <w:rsid w:val="786C3EF8"/>
    <w:rsid w:val="787E6FDF"/>
    <w:rsid w:val="78971491"/>
    <w:rsid w:val="78C54C9A"/>
    <w:rsid w:val="78C60656"/>
    <w:rsid w:val="791217C3"/>
    <w:rsid w:val="79314BC4"/>
    <w:rsid w:val="79345B1F"/>
    <w:rsid w:val="795D38E9"/>
    <w:rsid w:val="79813307"/>
    <w:rsid w:val="799649F1"/>
    <w:rsid w:val="799A0B14"/>
    <w:rsid w:val="799D3A06"/>
    <w:rsid w:val="79C776C3"/>
    <w:rsid w:val="79D76C5A"/>
    <w:rsid w:val="79E5425F"/>
    <w:rsid w:val="7A076FC8"/>
    <w:rsid w:val="7A0E63E4"/>
    <w:rsid w:val="7A11541D"/>
    <w:rsid w:val="7A24072C"/>
    <w:rsid w:val="7A50553D"/>
    <w:rsid w:val="7A5A3203"/>
    <w:rsid w:val="7A7E2DD2"/>
    <w:rsid w:val="7A8C38B5"/>
    <w:rsid w:val="7A8C4C4A"/>
    <w:rsid w:val="7A966502"/>
    <w:rsid w:val="7A9D1510"/>
    <w:rsid w:val="7AD10C46"/>
    <w:rsid w:val="7AD5360C"/>
    <w:rsid w:val="7AD86681"/>
    <w:rsid w:val="7B074467"/>
    <w:rsid w:val="7B271702"/>
    <w:rsid w:val="7B297438"/>
    <w:rsid w:val="7B570B03"/>
    <w:rsid w:val="7B656EB9"/>
    <w:rsid w:val="7B773936"/>
    <w:rsid w:val="7B9C4976"/>
    <w:rsid w:val="7B9F791F"/>
    <w:rsid w:val="7B9F7A32"/>
    <w:rsid w:val="7BA3094A"/>
    <w:rsid w:val="7BCC5788"/>
    <w:rsid w:val="7BD7422A"/>
    <w:rsid w:val="7BE62053"/>
    <w:rsid w:val="7BF90A9A"/>
    <w:rsid w:val="7BFE72E4"/>
    <w:rsid w:val="7C155842"/>
    <w:rsid w:val="7C161A73"/>
    <w:rsid w:val="7C280982"/>
    <w:rsid w:val="7C2B6F48"/>
    <w:rsid w:val="7C517ABF"/>
    <w:rsid w:val="7C725C0E"/>
    <w:rsid w:val="7C791157"/>
    <w:rsid w:val="7CB83C04"/>
    <w:rsid w:val="7CC560F2"/>
    <w:rsid w:val="7CF33A85"/>
    <w:rsid w:val="7D116A11"/>
    <w:rsid w:val="7D322691"/>
    <w:rsid w:val="7D35296E"/>
    <w:rsid w:val="7D434FB7"/>
    <w:rsid w:val="7D451B73"/>
    <w:rsid w:val="7D4A6F9B"/>
    <w:rsid w:val="7D4E1DFC"/>
    <w:rsid w:val="7D6D1526"/>
    <w:rsid w:val="7D8C6BBD"/>
    <w:rsid w:val="7DA30C24"/>
    <w:rsid w:val="7DAF32A7"/>
    <w:rsid w:val="7DB46964"/>
    <w:rsid w:val="7DD07A3C"/>
    <w:rsid w:val="7DDC313C"/>
    <w:rsid w:val="7DE729EA"/>
    <w:rsid w:val="7DEC7DC1"/>
    <w:rsid w:val="7DF04145"/>
    <w:rsid w:val="7DF26DF3"/>
    <w:rsid w:val="7DFE5C6A"/>
    <w:rsid w:val="7E1D7F05"/>
    <w:rsid w:val="7E266FD9"/>
    <w:rsid w:val="7E463BAB"/>
    <w:rsid w:val="7E7878C6"/>
    <w:rsid w:val="7E7A6412"/>
    <w:rsid w:val="7E8F5820"/>
    <w:rsid w:val="7E95016C"/>
    <w:rsid w:val="7EA469A1"/>
    <w:rsid w:val="7EFC6E1B"/>
    <w:rsid w:val="7EFE5869"/>
    <w:rsid w:val="7F327FB4"/>
    <w:rsid w:val="7F4633FE"/>
    <w:rsid w:val="7F64578F"/>
    <w:rsid w:val="7F99366E"/>
    <w:rsid w:val="7FAA5A63"/>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Salutation"/>
    <w:basedOn w:val="1"/>
    <w:next w:val="1"/>
    <w:qFormat/>
    <w:uiPriority w:val="0"/>
    <w:rPr>
      <w:sz w:val="30"/>
      <w:szCs w:val="30"/>
    </w:rPr>
  </w:style>
  <w:style w:type="paragraph" w:styleId="7">
    <w:name w:val="Body Text"/>
    <w:basedOn w:val="1"/>
    <w:link w:val="39"/>
    <w:qFormat/>
    <w:uiPriority w:val="0"/>
    <w:rPr>
      <w:rFonts w:ascii="仿宋_GB2312" w:eastAsia="仿宋_GB2312"/>
      <w:sz w:val="28"/>
    </w:rPr>
  </w:style>
  <w:style w:type="paragraph" w:styleId="8">
    <w:name w:val="Body Text Indent"/>
    <w:basedOn w:val="1"/>
    <w:qFormat/>
    <w:uiPriority w:val="0"/>
    <w:pPr>
      <w:spacing w:after="120"/>
      <w:ind w:left="420" w:leftChars="200"/>
    </w:pPr>
  </w:style>
  <w:style w:type="paragraph" w:styleId="9">
    <w:name w:val="Plain Text"/>
    <w:basedOn w:val="1"/>
    <w:link w:val="38"/>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link w:val="41"/>
    <w:qFormat/>
    <w:uiPriority w:val="0"/>
    <w:pPr>
      <w:spacing w:after="120" w:line="480" w:lineRule="auto"/>
      <w:ind w:left="420" w:leftChars="200"/>
    </w:pPr>
  </w:style>
  <w:style w:type="paragraph" w:styleId="12">
    <w:name w:val="Balloon Text"/>
    <w:basedOn w:val="1"/>
    <w:qFormat/>
    <w:uiPriority w:val="0"/>
    <w:rPr>
      <w:sz w:val="18"/>
    </w:rPr>
  </w:style>
  <w:style w:type="paragraph" w:styleId="13">
    <w:name w:val="footer"/>
    <w:basedOn w:val="1"/>
    <w:link w:val="46"/>
    <w:qFormat/>
    <w:uiPriority w:val="99"/>
    <w:pPr>
      <w:tabs>
        <w:tab w:val="center" w:pos="4153"/>
        <w:tab w:val="right" w:pos="8306"/>
      </w:tabs>
      <w:snapToGrid w:val="0"/>
      <w:jc w:val="left"/>
    </w:pPr>
    <w:rPr>
      <w:sz w:val="18"/>
    </w:rPr>
  </w:style>
  <w:style w:type="paragraph" w:styleId="14">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Body Text Indent 3"/>
    <w:basedOn w:val="1"/>
    <w:qFormat/>
    <w:uiPriority w:val="0"/>
    <w:pPr>
      <w:snapToGrid w:val="0"/>
      <w:spacing w:line="288" w:lineRule="auto"/>
      <w:ind w:firstLine="560" w:firstLineChars="200"/>
    </w:pPr>
    <w:rPr>
      <w:rFonts w:ascii="宋体" w:hAnsi="宋体"/>
      <w:sz w:val="28"/>
    </w:rPr>
  </w:style>
  <w:style w:type="paragraph" w:styleId="17">
    <w:name w:val="toc 2"/>
    <w:basedOn w:val="1"/>
    <w:next w:val="1"/>
    <w:qFormat/>
    <w:uiPriority w:val="0"/>
    <w:pPr>
      <w:ind w:left="420" w:leftChars="200"/>
    </w:pPr>
  </w:style>
  <w:style w:type="paragraph" w:styleId="18">
    <w:name w:val="Body Text 2"/>
    <w:basedOn w:val="1"/>
    <w:link w:val="45"/>
    <w:qFormat/>
    <w:uiPriority w:val="0"/>
    <w:pPr>
      <w:spacing w:after="120" w:line="480" w:lineRule="auto"/>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annotation subject"/>
    <w:basedOn w:val="5"/>
    <w:next w:val="5"/>
    <w:qFormat/>
    <w:uiPriority w:val="0"/>
    <w:rPr>
      <w:b/>
    </w:rPr>
  </w:style>
  <w:style w:type="table" w:styleId="23">
    <w:name w:val="Table Grid"/>
    <w:basedOn w:val="2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4F4F4F"/>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Consolas" w:hAnsi="Consolas" w:eastAsia="Consolas" w:cs="Consolas"/>
      <w:sz w:val="21"/>
      <w:szCs w:val="21"/>
    </w:rPr>
  </w:style>
  <w:style w:type="character" w:styleId="34">
    <w:name w:val="annotation reference"/>
    <w:basedOn w:val="24"/>
    <w:qFormat/>
    <w:uiPriority w:val="0"/>
    <w:rPr>
      <w:sz w:val="21"/>
    </w:rPr>
  </w:style>
  <w:style w:type="character" w:styleId="35">
    <w:name w:val="HTML Cite"/>
    <w:basedOn w:val="24"/>
    <w:qFormat/>
    <w:uiPriority w:val="0"/>
  </w:style>
  <w:style w:type="character" w:styleId="36">
    <w:name w:val="HTML Keyboard"/>
    <w:basedOn w:val="24"/>
    <w:qFormat/>
    <w:uiPriority w:val="0"/>
    <w:rPr>
      <w:rFonts w:hint="default" w:ascii="Consolas" w:hAnsi="Consolas" w:eastAsia="Consolas" w:cs="Consolas"/>
      <w:sz w:val="21"/>
      <w:szCs w:val="21"/>
    </w:rPr>
  </w:style>
  <w:style w:type="character" w:styleId="37">
    <w:name w:val="HTML Sample"/>
    <w:basedOn w:val="24"/>
    <w:qFormat/>
    <w:uiPriority w:val="0"/>
    <w:rPr>
      <w:rFonts w:ascii="Consolas" w:hAnsi="Consolas" w:eastAsia="Consolas" w:cs="Consolas"/>
      <w:sz w:val="21"/>
      <w:szCs w:val="21"/>
    </w:rPr>
  </w:style>
  <w:style w:type="character" w:customStyle="1" w:styleId="38">
    <w:name w:val="纯文本 Char"/>
    <w:basedOn w:val="24"/>
    <w:link w:val="9"/>
    <w:qFormat/>
    <w:uiPriority w:val="0"/>
    <w:rPr>
      <w:rFonts w:hAnsi="Courier New"/>
      <w:kern w:val="2"/>
      <w:sz w:val="21"/>
      <w:szCs w:val="24"/>
    </w:rPr>
  </w:style>
  <w:style w:type="character" w:customStyle="1" w:styleId="39">
    <w:name w:val="正文文本 Char"/>
    <w:basedOn w:val="24"/>
    <w:link w:val="7"/>
    <w:qFormat/>
    <w:uiPriority w:val="0"/>
    <w:rPr>
      <w:rFonts w:ascii="仿宋_GB2312" w:eastAsia="仿宋_GB2312"/>
      <w:kern w:val="2"/>
      <w:sz w:val="28"/>
      <w:szCs w:val="24"/>
    </w:rPr>
  </w:style>
  <w:style w:type="character" w:customStyle="1" w:styleId="40">
    <w:name w:val="font41"/>
    <w:basedOn w:val="24"/>
    <w:qFormat/>
    <w:uiPriority w:val="0"/>
    <w:rPr>
      <w:rFonts w:hint="eastAsia" w:ascii="宋体" w:hAnsi="宋体" w:eastAsia="宋体"/>
      <w:color w:val="000000"/>
      <w:sz w:val="20"/>
      <w:szCs w:val="20"/>
      <w:u w:val="none"/>
    </w:rPr>
  </w:style>
  <w:style w:type="character" w:customStyle="1" w:styleId="41">
    <w:name w:val="正文文本缩进 2 Char"/>
    <w:basedOn w:val="24"/>
    <w:link w:val="11"/>
    <w:qFormat/>
    <w:uiPriority w:val="0"/>
    <w:rPr>
      <w:kern w:val="2"/>
      <w:sz w:val="21"/>
      <w:szCs w:val="24"/>
    </w:rPr>
  </w:style>
  <w:style w:type="character" w:customStyle="1" w:styleId="42">
    <w:name w:val="font71"/>
    <w:basedOn w:val="24"/>
    <w:qFormat/>
    <w:uiPriority w:val="0"/>
    <w:rPr>
      <w:rFonts w:hint="default" w:ascii="Times New Roman" w:hAnsi="Times New Roman" w:cs="Times New Roman"/>
      <w:color w:val="000000"/>
      <w:sz w:val="20"/>
      <w:szCs w:val="20"/>
      <w:u w:val="none"/>
    </w:rPr>
  </w:style>
  <w:style w:type="character" w:customStyle="1" w:styleId="43">
    <w:name w:val="font01"/>
    <w:basedOn w:val="24"/>
    <w:qFormat/>
    <w:uiPriority w:val="0"/>
    <w:rPr>
      <w:rFonts w:hint="default" w:ascii="Times New Roman" w:hAnsi="Times New Roman" w:cs="Times New Roman"/>
      <w:color w:val="000000"/>
      <w:sz w:val="24"/>
      <w:szCs w:val="24"/>
      <w:u w:val="none"/>
    </w:rPr>
  </w:style>
  <w:style w:type="character" w:customStyle="1" w:styleId="44">
    <w:name w:val="页眉 Char"/>
    <w:basedOn w:val="24"/>
    <w:link w:val="14"/>
    <w:qFormat/>
    <w:uiPriority w:val="99"/>
    <w:rPr>
      <w:kern w:val="2"/>
      <w:sz w:val="18"/>
      <w:szCs w:val="24"/>
    </w:rPr>
  </w:style>
  <w:style w:type="character" w:customStyle="1" w:styleId="45">
    <w:name w:val="正文文本 2 Char"/>
    <w:basedOn w:val="24"/>
    <w:link w:val="18"/>
    <w:qFormat/>
    <w:uiPriority w:val="0"/>
    <w:rPr>
      <w:kern w:val="2"/>
      <w:sz w:val="21"/>
      <w:szCs w:val="24"/>
    </w:rPr>
  </w:style>
  <w:style w:type="character" w:customStyle="1" w:styleId="46">
    <w:name w:val="页脚 Char"/>
    <w:basedOn w:val="24"/>
    <w:link w:val="13"/>
    <w:qFormat/>
    <w:uiPriority w:val="99"/>
    <w:rPr>
      <w:kern w:val="2"/>
      <w:sz w:val="18"/>
      <w:szCs w:val="24"/>
    </w:rPr>
  </w:style>
  <w:style w:type="character" w:customStyle="1" w:styleId="47">
    <w:name w:val="font21"/>
    <w:basedOn w:val="24"/>
    <w:qFormat/>
    <w:uiPriority w:val="0"/>
    <w:rPr>
      <w:rFonts w:hint="default" w:ascii="仿宋" w:hAnsi="仿宋" w:eastAsia="仿宋" w:cs="仿宋"/>
      <w:color w:val="000000"/>
      <w:sz w:val="24"/>
      <w:szCs w:val="24"/>
      <w:u w:val="none"/>
    </w:rPr>
  </w:style>
  <w:style w:type="paragraph" w:customStyle="1" w:styleId="48">
    <w:name w:val="p0"/>
    <w:basedOn w:val="1"/>
    <w:qFormat/>
    <w:uiPriority w:val="0"/>
    <w:pPr>
      <w:widowControl/>
      <w:jc w:val="left"/>
    </w:pPr>
    <w:rPr>
      <w:kern w:val="0"/>
      <w:sz w:val="20"/>
    </w:rPr>
  </w:style>
  <w:style w:type="paragraph" w:customStyle="1" w:styleId="49">
    <w:name w:val="Char Char Char1 Char Char Char Char"/>
    <w:basedOn w:val="1"/>
    <w:qFormat/>
    <w:uiPriority w:val="0"/>
    <w:rPr>
      <w:rFonts w:ascii="宋体" w:hAnsi="宋体" w:cs="Courier New"/>
      <w:sz w:val="32"/>
      <w:szCs w:val="32"/>
    </w:rPr>
  </w:style>
  <w:style w:type="paragraph" w:customStyle="1" w:styleId="50">
    <w:name w:val="样式3"/>
    <w:basedOn w:val="1"/>
    <w:qFormat/>
    <w:uiPriority w:val="0"/>
    <w:pPr>
      <w:jc w:val="center"/>
    </w:pPr>
    <w:rPr>
      <w:rFonts w:ascii="宋体"/>
      <w:spacing w:val="6"/>
      <w:szCs w:val="20"/>
    </w:rPr>
  </w:style>
  <w:style w:type="table" w:customStyle="1" w:styleId="51">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font31"/>
    <w:basedOn w:val="24"/>
    <w:qFormat/>
    <w:uiPriority w:val="0"/>
    <w:rPr>
      <w:rFonts w:hint="eastAsia" w:ascii="宋体" w:hAnsi="宋体" w:eastAsia="宋体" w:cs="宋体"/>
      <w:color w:val="000000"/>
      <w:sz w:val="20"/>
      <w:szCs w:val="20"/>
      <w:u w:val="none"/>
    </w:rPr>
  </w:style>
  <w:style w:type="character" w:customStyle="1" w:styleId="53">
    <w:name w:val="font11"/>
    <w:qFormat/>
    <w:uiPriority w:val="0"/>
    <w:rPr>
      <w:rFonts w:ascii="宋体" w:hAnsi="宋体" w:eastAsia="宋体" w:cs="宋体"/>
      <w:color w:val="000000"/>
      <w:sz w:val="20"/>
      <w:szCs w:val="20"/>
      <w:u w:val="none"/>
    </w:rPr>
  </w:style>
  <w:style w:type="paragraph" w:styleId="54">
    <w:name w:val="List Paragraph"/>
    <w:basedOn w:val="1"/>
    <w:qFormat/>
    <w:uiPriority w:val="99"/>
    <w:pPr>
      <w:ind w:firstLine="420" w:firstLineChars="200"/>
    </w:pPr>
  </w:style>
  <w:style w:type="character" w:customStyle="1" w:styleId="55">
    <w:name w:val="标题 3 Char"/>
    <w:basedOn w:val="24"/>
    <w:link w:val="4"/>
    <w:qFormat/>
    <w:uiPriority w:val="0"/>
    <w:rPr>
      <w:b/>
      <w:bCs/>
      <w:sz w:val="32"/>
      <w:szCs w:val="32"/>
    </w:rPr>
  </w:style>
  <w:style w:type="character" w:customStyle="1" w:styleId="56">
    <w:name w:val="hover"/>
    <w:basedOn w:val="24"/>
    <w:qFormat/>
    <w:uiPriority w:val="0"/>
    <w:rPr>
      <w:shd w:val="clear" w:fill="E4393C"/>
    </w:rPr>
  </w:style>
  <w:style w:type="character" w:customStyle="1" w:styleId="57">
    <w:name w:val="gz"/>
    <w:basedOn w:val="24"/>
    <w:qFormat/>
    <w:uiPriority w:val="0"/>
  </w:style>
  <w:style w:type="character" w:customStyle="1" w:styleId="58">
    <w:name w:val="app"/>
    <w:basedOn w:val="24"/>
    <w:qFormat/>
    <w:uiPriority w:val="0"/>
  </w:style>
  <w:style w:type="character" w:customStyle="1" w:styleId="59">
    <w:name w:val="disabled"/>
    <w:basedOn w:val="24"/>
    <w:qFormat/>
    <w:uiPriority w:val="0"/>
    <w:rPr>
      <w:color w:val="999999"/>
      <w:bdr w:val="single" w:color="DDDDDD" w:sz="6" w:space="0"/>
    </w:rPr>
  </w:style>
  <w:style w:type="character" w:customStyle="1" w:styleId="60">
    <w:name w:val="current"/>
    <w:basedOn w:val="24"/>
    <w:qFormat/>
    <w:uiPriority w:val="0"/>
    <w:rPr>
      <w:b/>
      <w:color w:val="FFFFFF"/>
      <w:shd w:val="clear" w:fill="1F7BE3"/>
    </w:rPr>
  </w:style>
  <w:style w:type="character" w:customStyle="1" w:styleId="61">
    <w:name w:val="first-child"/>
    <w:basedOn w:val="24"/>
    <w:qFormat/>
    <w:uiPriority w:val="0"/>
  </w:style>
  <w:style w:type="character" w:customStyle="1" w:styleId="62">
    <w:name w:val="sidecatalog-index1"/>
    <w:basedOn w:val="24"/>
    <w:qFormat/>
    <w:uiPriority w:val="0"/>
    <w:rPr>
      <w:rFonts w:ascii="Arial" w:hAnsi="Arial" w:cs="Arial"/>
      <w:b/>
      <w:color w:val="999999"/>
      <w:sz w:val="21"/>
      <w:szCs w:val="21"/>
    </w:rPr>
  </w:style>
  <w:style w:type="character" w:customStyle="1" w:styleId="63">
    <w:name w:val="sidecatalog-dot3"/>
    <w:basedOn w:val="24"/>
    <w:qFormat/>
    <w:uiPriority w:val="0"/>
  </w:style>
  <w:style w:type="character" w:customStyle="1" w:styleId="64">
    <w:name w:val="lemmatitleh1"/>
    <w:basedOn w:val="24"/>
    <w:qFormat/>
    <w:uiPriority w:val="0"/>
  </w:style>
  <w:style w:type="character" w:customStyle="1" w:styleId="65">
    <w:name w:val="before"/>
    <w:basedOn w:val="24"/>
    <w:qFormat/>
    <w:uiPriority w:val="0"/>
    <w:rPr>
      <w:shd w:val="clear" w:fill="E8E8E8"/>
    </w:rPr>
  </w:style>
  <w:style w:type="character" w:customStyle="1" w:styleId="66">
    <w:name w:val="layui-this"/>
    <w:basedOn w:val="24"/>
    <w:qFormat/>
    <w:uiPriority w:val="0"/>
    <w:rPr>
      <w:bdr w:val="single" w:color="EEEEEE" w:sz="6" w:space="0"/>
      <w:shd w:val="clear" w:fill="FFFFFF"/>
    </w:rPr>
  </w:style>
  <w:style w:type="paragraph" w:customStyle="1" w:styleId="67">
    <w:name w:val="WPSOffice手动目录 1"/>
    <w:qFormat/>
    <w:uiPriority w:val="0"/>
    <w:pPr>
      <w:ind w:leftChars="0"/>
    </w:pPr>
    <w:rPr>
      <w:rFonts w:ascii="Times New Roman" w:hAnsi="Times New Roman" w:eastAsia="宋体" w:cs="Times New Roman"/>
      <w:sz w:val="20"/>
      <w:szCs w:val="20"/>
    </w:rPr>
  </w:style>
  <w:style w:type="paragraph" w:customStyle="1" w:styleId="68">
    <w:name w:val="WPSOffice手动目录 2"/>
    <w:qFormat/>
    <w:uiPriority w:val="0"/>
    <w:pPr>
      <w:ind w:leftChars="200"/>
    </w:pPr>
    <w:rPr>
      <w:rFonts w:ascii="Times New Roman" w:hAnsi="Times New Roman" w:eastAsia="宋体" w:cs="Times New Roman"/>
      <w:sz w:val="20"/>
      <w:szCs w:val="20"/>
    </w:rPr>
  </w:style>
  <w:style w:type="character" w:customStyle="1" w:styleId="69">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7490</Words>
  <Characters>8012</Characters>
  <Lines>61</Lines>
  <Paragraphs>17</Paragraphs>
  <TotalTime>8</TotalTime>
  <ScaleCrop>false</ScaleCrop>
  <LinksUpToDate>false</LinksUpToDate>
  <CharactersWithSpaces>8343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cc</cp:lastModifiedBy>
  <cp:lastPrinted>2022-09-14T08:24:08Z</cp:lastPrinted>
  <dcterms:modified xsi:type="dcterms:W3CDTF">2022-09-14T08:30:47Z</dcterms:modified>
  <dc:title>××司法鉴定中心司法鉴定意见书</dc:title>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6846A133B47C4526A169507A7C9F7910</vt:lpwstr>
  </property>
</Properties>
</file>