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overflowPunct w:val="0"/>
        <w:topLinePunct/>
        <w:snapToGrid w:val="0"/>
        <w:spacing w:line="360" w:lineRule="auto"/>
        <w:rPr>
          <w:rFonts w:ascii="仿宋" w:hAnsi="仿宋" w:eastAsia="仿宋"/>
          <w:spacing w:val="60"/>
          <w:sz w:val="48"/>
        </w:rPr>
      </w:pPr>
      <w:bookmarkStart w:id="90" w:name="_GoBack"/>
      <w:bookmarkEnd w:id="90"/>
    </w:p>
    <w:p>
      <w:pPr>
        <w:overflowPunct w:val="0"/>
        <w:topLinePunct/>
        <w:snapToGrid w:val="0"/>
        <w:spacing w:line="360" w:lineRule="auto"/>
        <w:rPr>
          <w:rFonts w:ascii="仿宋" w:hAnsi="仿宋" w:eastAsia="仿宋"/>
          <w:spacing w:val="60"/>
          <w:sz w:val="48"/>
        </w:rPr>
      </w:pPr>
    </w:p>
    <w:p>
      <w:pPr>
        <w:overflowPunct w:val="0"/>
        <w:topLinePunct/>
        <w:snapToGrid w:val="0"/>
        <w:spacing w:line="360" w:lineRule="auto"/>
        <w:jc w:val="center"/>
        <w:rPr>
          <w:rFonts w:ascii="仿宋" w:hAnsi="仿宋" w:eastAsia="仿宋"/>
          <w:b/>
          <w:snapToGrid w:val="0"/>
          <w:spacing w:val="110"/>
          <w:w w:val="80"/>
          <w:kern w:val="0"/>
          <w:sz w:val="48"/>
          <w:szCs w:val="48"/>
        </w:rPr>
      </w:pPr>
      <w:r>
        <w:rPr>
          <w:rFonts w:ascii="仿宋" w:hAnsi="仿宋" w:eastAsia="仿宋"/>
          <w:b/>
          <w:snapToGrid w:val="0"/>
          <w:spacing w:val="110"/>
          <w:w w:val="80"/>
          <w:kern w:val="0"/>
          <w:sz w:val="48"/>
          <w:szCs w:val="48"/>
        </w:rPr>
        <w:t>涉执房地产处置司法评估报告</w:t>
      </w:r>
    </w:p>
    <w:p>
      <w:pPr>
        <w:overflowPunct w:val="0"/>
        <w:topLinePunct/>
        <w:snapToGrid w:val="0"/>
        <w:spacing w:line="360" w:lineRule="auto"/>
        <w:jc w:val="center"/>
        <w:rPr>
          <w:rFonts w:ascii="仿宋" w:hAnsi="仿宋" w:eastAsia="仿宋"/>
          <w:b/>
          <w:spacing w:val="60"/>
          <w:sz w:val="48"/>
          <w:szCs w:val="48"/>
        </w:rPr>
      </w:pPr>
    </w:p>
    <w:p>
      <w:pPr>
        <w:overflowPunct w:val="0"/>
        <w:topLinePunct/>
        <w:snapToGrid w:val="0"/>
        <w:spacing w:line="360" w:lineRule="auto"/>
        <w:jc w:val="center"/>
        <w:rPr>
          <w:rFonts w:ascii="仿宋" w:hAnsi="仿宋" w:eastAsia="仿宋"/>
          <w:b/>
          <w:spacing w:val="60"/>
          <w:sz w:val="48"/>
          <w:szCs w:val="48"/>
        </w:rPr>
      </w:pPr>
    </w:p>
    <w:tbl>
      <w:tblPr>
        <w:tblStyle w:val="24"/>
        <w:tblW w:w="7843" w:type="dxa"/>
        <w:jc w:val="center"/>
        <w:tblLayout w:type="fixed"/>
        <w:tblCellMar>
          <w:top w:w="0" w:type="dxa"/>
          <w:left w:w="108" w:type="dxa"/>
          <w:bottom w:w="0" w:type="dxa"/>
          <w:right w:w="108" w:type="dxa"/>
        </w:tblCellMar>
      </w:tblPr>
      <w:tblGrid>
        <w:gridCol w:w="2896"/>
        <w:gridCol w:w="4947"/>
      </w:tblGrid>
      <w:tr>
        <w:tblPrEx>
          <w:tblCellMar>
            <w:top w:w="0" w:type="dxa"/>
            <w:left w:w="108" w:type="dxa"/>
            <w:bottom w:w="0" w:type="dxa"/>
            <w:right w:w="108" w:type="dxa"/>
          </w:tblCellMar>
        </w:tblPrEx>
        <w:trPr>
          <w:trHeight w:val="825" w:hRule="atLeast"/>
          <w:jc w:val="center"/>
        </w:trPr>
        <w:tc>
          <w:tcPr>
            <w:tcW w:w="2896" w:type="dxa"/>
            <w:tcBorders>
              <w:top w:val="nil"/>
              <w:left w:val="nil"/>
              <w:bottom w:val="nil"/>
              <w:right w:val="nil"/>
            </w:tcBorders>
          </w:tcPr>
          <w:p>
            <w:pPr>
              <w:widowControl/>
              <w:overflowPunct w:val="0"/>
              <w:topLinePunct/>
              <w:jc w:val="distribute"/>
              <w:rPr>
                <w:rFonts w:ascii="仿宋" w:hAnsi="仿宋" w:eastAsia="仿宋"/>
                <w:b/>
                <w:bCs/>
                <w:kern w:val="0"/>
                <w:sz w:val="28"/>
                <w:szCs w:val="28"/>
              </w:rPr>
            </w:pPr>
            <w:r>
              <w:rPr>
                <w:rFonts w:ascii="仿宋" w:hAnsi="仿宋" w:eastAsia="仿宋"/>
                <w:b/>
                <w:bCs/>
                <w:kern w:val="0"/>
                <w:sz w:val="28"/>
                <w:szCs w:val="28"/>
              </w:rPr>
              <w:t>估价报告编号</w:t>
            </w:r>
            <w:r>
              <w:rPr>
                <w:rFonts w:ascii="仿宋" w:hAnsi="仿宋" w:eastAsia="仿宋"/>
                <w:kern w:val="0"/>
                <w:sz w:val="28"/>
                <w:szCs w:val="28"/>
              </w:rPr>
              <w:t>：</w:t>
            </w:r>
          </w:p>
        </w:tc>
        <w:tc>
          <w:tcPr>
            <w:tcW w:w="4947" w:type="dxa"/>
            <w:tcBorders>
              <w:top w:val="nil"/>
              <w:left w:val="nil"/>
              <w:bottom w:val="nil"/>
              <w:right w:val="nil"/>
            </w:tcBorders>
          </w:tcPr>
          <w:p>
            <w:pPr>
              <w:widowControl/>
              <w:overflowPunct w:val="0"/>
              <w:topLinePunct/>
              <w:jc w:val="left"/>
              <w:rPr>
                <w:rFonts w:ascii="仿宋" w:hAnsi="仿宋" w:eastAsia="仿宋"/>
                <w:kern w:val="0"/>
                <w:sz w:val="28"/>
                <w:szCs w:val="28"/>
              </w:rPr>
            </w:pPr>
            <w:r>
              <w:rPr>
                <w:rFonts w:hint="eastAsia" w:ascii="仿宋" w:hAnsi="仿宋" w:eastAsia="仿宋"/>
                <w:kern w:val="0"/>
                <w:sz w:val="28"/>
                <w:szCs w:val="28"/>
              </w:rPr>
              <w:t>明志房估（2021）第0903号</w:t>
            </w:r>
          </w:p>
        </w:tc>
      </w:tr>
      <w:tr>
        <w:tblPrEx>
          <w:tblCellMar>
            <w:top w:w="0" w:type="dxa"/>
            <w:left w:w="108" w:type="dxa"/>
            <w:bottom w:w="0" w:type="dxa"/>
            <w:right w:w="108" w:type="dxa"/>
          </w:tblCellMar>
        </w:tblPrEx>
        <w:trPr>
          <w:trHeight w:val="825" w:hRule="atLeast"/>
          <w:jc w:val="center"/>
        </w:trPr>
        <w:tc>
          <w:tcPr>
            <w:tcW w:w="2896" w:type="dxa"/>
            <w:tcBorders>
              <w:top w:val="nil"/>
              <w:left w:val="nil"/>
              <w:bottom w:val="nil"/>
              <w:right w:val="nil"/>
            </w:tcBorders>
          </w:tcPr>
          <w:p>
            <w:pPr>
              <w:widowControl/>
              <w:overflowPunct w:val="0"/>
              <w:topLinePunct/>
              <w:jc w:val="distribute"/>
              <w:rPr>
                <w:rFonts w:ascii="仿宋" w:hAnsi="仿宋" w:eastAsia="仿宋"/>
                <w:b/>
                <w:bCs/>
                <w:kern w:val="0"/>
                <w:sz w:val="28"/>
                <w:szCs w:val="28"/>
              </w:rPr>
            </w:pPr>
            <w:r>
              <w:rPr>
                <w:rFonts w:ascii="仿宋" w:hAnsi="仿宋" w:eastAsia="仿宋"/>
                <w:b/>
                <w:bCs/>
                <w:kern w:val="0"/>
                <w:sz w:val="28"/>
                <w:szCs w:val="28"/>
              </w:rPr>
              <w:t>估价项目名称</w:t>
            </w:r>
            <w:r>
              <w:rPr>
                <w:rFonts w:ascii="仿宋" w:hAnsi="仿宋" w:eastAsia="仿宋"/>
                <w:kern w:val="0"/>
                <w:sz w:val="28"/>
                <w:szCs w:val="28"/>
              </w:rPr>
              <w:t>：</w:t>
            </w:r>
          </w:p>
        </w:tc>
        <w:tc>
          <w:tcPr>
            <w:tcW w:w="4947" w:type="dxa"/>
            <w:tcBorders>
              <w:top w:val="nil"/>
              <w:left w:val="nil"/>
              <w:bottom w:val="nil"/>
              <w:right w:val="nil"/>
            </w:tcBorders>
          </w:tcPr>
          <w:p>
            <w:pPr>
              <w:widowControl/>
              <w:overflowPunct w:val="0"/>
              <w:topLinePunct/>
              <w:rPr>
                <w:rFonts w:ascii="仿宋" w:hAnsi="仿宋" w:eastAsia="仿宋"/>
                <w:kern w:val="0"/>
                <w:sz w:val="28"/>
                <w:szCs w:val="28"/>
              </w:rPr>
            </w:pPr>
            <w:r>
              <w:rPr>
                <w:rFonts w:hint="eastAsia" w:ascii="仿宋" w:hAnsi="仿宋" w:eastAsia="仿宋"/>
                <w:sz w:val="28"/>
                <w:szCs w:val="28"/>
              </w:rPr>
              <w:t>凯里市红洲路至金泉湖段320国道两侧北街5栋附1号2-4层</w:t>
            </w:r>
            <w:r>
              <w:rPr>
                <w:rFonts w:ascii="仿宋" w:hAnsi="仿宋" w:eastAsia="仿宋"/>
                <w:sz w:val="28"/>
                <w:szCs w:val="28"/>
              </w:rPr>
              <w:t>住宅用房市场价值评估</w:t>
            </w:r>
          </w:p>
        </w:tc>
      </w:tr>
      <w:tr>
        <w:tblPrEx>
          <w:tblCellMar>
            <w:top w:w="0" w:type="dxa"/>
            <w:left w:w="108" w:type="dxa"/>
            <w:bottom w:w="0" w:type="dxa"/>
            <w:right w:w="108" w:type="dxa"/>
          </w:tblCellMar>
        </w:tblPrEx>
        <w:trPr>
          <w:trHeight w:val="343" w:hRule="atLeast"/>
          <w:jc w:val="center"/>
        </w:trPr>
        <w:tc>
          <w:tcPr>
            <w:tcW w:w="2896" w:type="dxa"/>
            <w:tcBorders>
              <w:top w:val="nil"/>
              <w:left w:val="nil"/>
              <w:bottom w:val="nil"/>
              <w:right w:val="nil"/>
            </w:tcBorders>
          </w:tcPr>
          <w:p>
            <w:pPr>
              <w:widowControl/>
              <w:overflowPunct w:val="0"/>
              <w:topLinePunct/>
              <w:jc w:val="distribute"/>
              <w:rPr>
                <w:rFonts w:ascii="仿宋" w:hAnsi="仿宋" w:eastAsia="仿宋"/>
                <w:b/>
                <w:bCs/>
                <w:kern w:val="0"/>
                <w:sz w:val="28"/>
                <w:szCs w:val="28"/>
              </w:rPr>
            </w:pPr>
          </w:p>
        </w:tc>
        <w:tc>
          <w:tcPr>
            <w:tcW w:w="4947" w:type="dxa"/>
            <w:tcBorders>
              <w:top w:val="nil"/>
              <w:left w:val="nil"/>
              <w:bottom w:val="nil"/>
              <w:right w:val="nil"/>
            </w:tcBorders>
          </w:tcPr>
          <w:p>
            <w:pPr>
              <w:widowControl/>
              <w:overflowPunct w:val="0"/>
              <w:topLinePunct/>
              <w:jc w:val="left"/>
              <w:rPr>
                <w:rFonts w:ascii="仿宋" w:hAnsi="仿宋" w:eastAsia="仿宋"/>
                <w:kern w:val="0"/>
                <w:sz w:val="28"/>
                <w:szCs w:val="28"/>
              </w:rPr>
            </w:pPr>
          </w:p>
        </w:tc>
      </w:tr>
      <w:tr>
        <w:tblPrEx>
          <w:tblCellMar>
            <w:top w:w="0" w:type="dxa"/>
            <w:left w:w="108" w:type="dxa"/>
            <w:bottom w:w="0" w:type="dxa"/>
            <w:right w:w="108" w:type="dxa"/>
          </w:tblCellMar>
        </w:tblPrEx>
        <w:trPr>
          <w:trHeight w:val="699" w:hRule="atLeast"/>
          <w:jc w:val="center"/>
        </w:trPr>
        <w:tc>
          <w:tcPr>
            <w:tcW w:w="2896" w:type="dxa"/>
            <w:tcBorders>
              <w:top w:val="nil"/>
              <w:left w:val="nil"/>
              <w:bottom w:val="nil"/>
              <w:right w:val="nil"/>
            </w:tcBorders>
          </w:tcPr>
          <w:p>
            <w:pPr>
              <w:widowControl/>
              <w:overflowPunct w:val="0"/>
              <w:topLinePunct/>
              <w:jc w:val="distribute"/>
              <w:rPr>
                <w:rFonts w:ascii="仿宋" w:hAnsi="仿宋" w:eastAsia="仿宋"/>
                <w:b/>
                <w:bCs/>
                <w:kern w:val="0"/>
                <w:sz w:val="28"/>
                <w:szCs w:val="28"/>
              </w:rPr>
            </w:pPr>
            <w:r>
              <w:rPr>
                <w:rFonts w:ascii="仿宋" w:hAnsi="仿宋" w:eastAsia="仿宋"/>
                <w:b/>
                <w:bCs/>
                <w:kern w:val="0"/>
                <w:sz w:val="28"/>
                <w:szCs w:val="28"/>
              </w:rPr>
              <w:t>估价委托人</w:t>
            </w:r>
            <w:r>
              <w:rPr>
                <w:rFonts w:ascii="仿宋" w:hAnsi="仿宋" w:eastAsia="仿宋"/>
                <w:kern w:val="0"/>
                <w:sz w:val="28"/>
                <w:szCs w:val="28"/>
              </w:rPr>
              <w:t>：</w:t>
            </w:r>
          </w:p>
        </w:tc>
        <w:tc>
          <w:tcPr>
            <w:tcW w:w="4947" w:type="dxa"/>
            <w:tcBorders>
              <w:top w:val="nil"/>
              <w:left w:val="nil"/>
              <w:bottom w:val="nil"/>
              <w:right w:val="nil"/>
            </w:tcBorders>
          </w:tcPr>
          <w:p>
            <w:pPr>
              <w:widowControl/>
              <w:overflowPunct w:val="0"/>
              <w:topLinePunct/>
              <w:jc w:val="left"/>
              <w:rPr>
                <w:rFonts w:ascii="仿宋" w:hAnsi="仿宋" w:eastAsia="仿宋"/>
                <w:kern w:val="0"/>
                <w:sz w:val="28"/>
                <w:szCs w:val="28"/>
              </w:rPr>
            </w:pPr>
            <w:r>
              <w:rPr>
                <w:rFonts w:hint="eastAsia" w:ascii="仿宋" w:hAnsi="仿宋" w:eastAsia="仿宋"/>
                <w:kern w:val="0"/>
                <w:sz w:val="28"/>
                <w:szCs w:val="28"/>
              </w:rPr>
              <w:t>凯里市人民法院</w:t>
            </w:r>
          </w:p>
        </w:tc>
      </w:tr>
      <w:tr>
        <w:tblPrEx>
          <w:tblCellMar>
            <w:top w:w="0" w:type="dxa"/>
            <w:left w:w="108" w:type="dxa"/>
            <w:bottom w:w="0" w:type="dxa"/>
            <w:right w:w="108" w:type="dxa"/>
          </w:tblCellMar>
        </w:tblPrEx>
        <w:trPr>
          <w:trHeight w:val="358" w:hRule="atLeast"/>
          <w:jc w:val="center"/>
        </w:trPr>
        <w:tc>
          <w:tcPr>
            <w:tcW w:w="2896" w:type="dxa"/>
            <w:tcBorders>
              <w:top w:val="nil"/>
              <w:left w:val="nil"/>
              <w:bottom w:val="nil"/>
              <w:right w:val="nil"/>
            </w:tcBorders>
          </w:tcPr>
          <w:p>
            <w:pPr>
              <w:widowControl/>
              <w:overflowPunct w:val="0"/>
              <w:topLinePunct/>
              <w:jc w:val="distribute"/>
              <w:rPr>
                <w:rFonts w:ascii="仿宋" w:hAnsi="仿宋" w:eastAsia="仿宋"/>
                <w:kern w:val="0"/>
                <w:sz w:val="28"/>
                <w:szCs w:val="28"/>
              </w:rPr>
            </w:pPr>
          </w:p>
        </w:tc>
        <w:tc>
          <w:tcPr>
            <w:tcW w:w="4947" w:type="dxa"/>
            <w:tcBorders>
              <w:top w:val="nil"/>
              <w:left w:val="nil"/>
              <w:bottom w:val="nil"/>
              <w:right w:val="nil"/>
            </w:tcBorders>
          </w:tcPr>
          <w:p>
            <w:pPr>
              <w:widowControl/>
              <w:overflowPunct w:val="0"/>
              <w:topLinePunct/>
              <w:jc w:val="left"/>
              <w:rPr>
                <w:rFonts w:ascii="仿宋" w:hAnsi="仿宋" w:eastAsia="仿宋"/>
                <w:kern w:val="0"/>
                <w:sz w:val="28"/>
                <w:szCs w:val="28"/>
              </w:rPr>
            </w:pPr>
          </w:p>
        </w:tc>
      </w:tr>
      <w:tr>
        <w:tblPrEx>
          <w:tblCellMar>
            <w:top w:w="0" w:type="dxa"/>
            <w:left w:w="108" w:type="dxa"/>
            <w:bottom w:w="0" w:type="dxa"/>
            <w:right w:w="108" w:type="dxa"/>
          </w:tblCellMar>
        </w:tblPrEx>
        <w:trPr>
          <w:trHeight w:val="631" w:hRule="atLeast"/>
          <w:jc w:val="center"/>
        </w:trPr>
        <w:tc>
          <w:tcPr>
            <w:tcW w:w="2896" w:type="dxa"/>
            <w:tcBorders>
              <w:top w:val="nil"/>
              <w:left w:val="nil"/>
              <w:bottom w:val="nil"/>
              <w:right w:val="nil"/>
            </w:tcBorders>
          </w:tcPr>
          <w:p>
            <w:pPr>
              <w:widowControl/>
              <w:overflowPunct w:val="0"/>
              <w:topLinePunct/>
              <w:jc w:val="distribute"/>
              <w:rPr>
                <w:rFonts w:ascii="仿宋" w:hAnsi="仿宋" w:eastAsia="仿宋"/>
                <w:b/>
                <w:bCs/>
                <w:kern w:val="0"/>
                <w:sz w:val="28"/>
                <w:szCs w:val="28"/>
              </w:rPr>
            </w:pPr>
            <w:r>
              <w:rPr>
                <w:rFonts w:ascii="仿宋" w:hAnsi="仿宋" w:eastAsia="仿宋"/>
                <w:b/>
                <w:bCs/>
                <w:kern w:val="0"/>
                <w:sz w:val="28"/>
                <w:szCs w:val="28"/>
              </w:rPr>
              <w:t>房地产估价机构</w:t>
            </w:r>
            <w:r>
              <w:rPr>
                <w:rFonts w:ascii="仿宋" w:hAnsi="仿宋" w:eastAsia="仿宋"/>
                <w:kern w:val="0"/>
                <w:sz w:val="28"/>
                <w:szCs w:val="28"/>
              </w:rPr>
              <w:t>：</w:t>
            </w:r>
          </w:p>
        </w:tc>
        <w:tc>
          <w:tcPr>
            <w:tcW w:w="4947" w:type="dxa"/>
            <w:tcBorders>
              <w:top w:val="nil"/>
              <w:left w:val="nil"/>
              <w:bottom w:val="nil"/>
              <w:right w:val="nil"/>
            </w:tcBorders>
          </w:tcPr>
          <w:p>
            <w:pPr>
              <w:widowControl/>
              <w:overflowPunct w:val="0"/>
              <w:topLinePunct/>
              <w:jc w:val="left"/>
              <w:rPr>
                <w:rFonts w:ascii="仿宋" w:hAnsi="仿宋" w:eastAsia="仿宋"/>
                <w:kern w:val="0"/>
                <w:sz w:val="28"/>
                <w:szCs w:val="28"/>
              </w:rPr>
            </w:pPr>
            <w:r>
              <w:rPr>
                <w:rFonts w:ascii="仿宋" w:hAnsi="仿宋" w:eastAsia="仿宋"/>
                <w:kern w:val="0"/>
                <w:sz w:val="28"/>
                <w:szCs w:val="28"/>
              </w:rPr>
              <w:t>贵州明志房地产估价经纪有限公司</w:t>
            </w:r>
          </w:p>
        </w:tc>
      </w:tr>
      <w:tr>
        <w:tblPrEx>
          <w:tblCellMar>
            <w:top w:w="0" w:type="dxa"/>
            <w:left w:w="108" w:type="dxa"/>
            <w:bottom w:w="0" w:type="dxa"/>
            <w:right w:w="108" w:type="dxa"/>
          </w:tblCellMar>
        </w:tblPrEx>
        <w:trPr>
          <w:trHeight w:val="403" w:hRule="atLeast"/>
          <w:jc w:val="center"/>
        </w:trPr>
        <w:tc>
          <w:tcPr>
            <w:tcW w:w="2896" w:type="dxa"/>
            <w:tcBorders>
              <w:top w:val="nil"/>
              <w:left w:val="nil"/>
              <w:bottom w:val="nil"/>
              <w:right w:val="nil"/>
            </w:tcBorders>
          </w:tcPr>
          <w:p>
            <w:pPr>
              <w:widowControl/>
              <w:overflowPunct w:val="0"/>
              <w:topLinePunct/>
              <w:jc w:val="distribute"/>
              <w:rPr>
                <w:rFonts w:ascii="仿宋" w:hAnsi="仿宋" w:eastAsia="仿宋"/>
                <w:kern w:val="0"/>
                <w:sz w:val="28"/>
                <w:szCs w:val="28"/>
              </w:rPr>
            </w:pPr>
          </w:p>
        </w:tc>
        <w:tc>
          <w:tcPr>
            <w:tcW w:w="4947" w:type="dxa"/>
            <w:tcBorders>
              <w:top w:val="nil"/>
              <w:left w:val="nil"/>
              <w:bottom w:val="nil"/>
              <w:right w:val="nil"/>
            </w:tcBorders>
          </w:tcPr>
          <w:p>
            <w:pPr>
              <w:widowControl/>
              <w:overflowPunct w:val="0"/>
              <w:topLinePunct/>
              <w:jc w:val="left"/>
              <w:rPr>
                <w:rFonts w:ascii="仿宋" w:hAnsi="仿宋" w:eastAsia="仿宋"/>
                <w:kern w:val="0"/>
                <w:sz w:val="28"/>
                <w:szCs w:val="28"/>
              </w:rPr>
            </w:pPr>
          </w:p>
        </w:tc>
      </w:tr>
      <w:tr>
        <w:tblPrEx>
          <w:tblCellMar>
            <w:top w:w="0" w:type="dxa"/>
            <w:left w:w="108" w:type="dxa"/>
            <w:bottom w:w="0" w:type="dxa"/>
            <w:right w:w="108" w:type="dxa"/>
          </w:tblCellMar>
        </w:tblPrEx>
        <w:trPr>
          <w:trHeight w:val="825" w:hRule="atLeast"/>
          <w:jc w:val="center"/>
        </w:trPr>
        <w:tc>
          <w:tcPr>
            <w:tcW w:w="2896" w:type="dxa"/>
            <w:tcBorders>
              <w:top w:val="nil"/>
              <w:left w:val="nil"/>
              <w:bottom w:val="nil"/>
              <w:right w:val="nil"/>
            </w:tcBorders>
          </w:tcPr>
          <w:p>
            <w:pPr>
              <w:widowControl/>
              <w:overflowPunct w:val="0"/>
              <w:topLinePunct/>
              <w:jc w:val="distribute"/>
              <w:rPr>
                <w:rFonts w:ascii="仿宋" w:hAnsi="仿宋" w:eastAsia="仿宋"/>
                <w:b/>
                <w:bCs/>
                <w:kern w:val="0"/>
                <w:sz w:val="28"/>
                <w:szCs w:val="28"/>
              </w:rPr>
            </w:pPr>
            <w:r>
              <w:rPr>
                <w:rFonts w:ascii="仿宋" w:hAnsi="仿宋" w:eastAsia="仿宋"/>
                <w:b/>
                <w:bCs/>
                <w:kern w:val="0"/>
                <w:sz w:val="28"/>
                <w:szCs w:val="28"/>
              </w:rPr>
              <w:t>注册房地产估价师</w:t>
            </w:r>
            <w:r>
              <w:rPr>
                <w:rFonts w:ascii="仿宋" w:hAnsi="仿宋" w:eastAsia="仿宋"/>
                <w:kern w:val="0"/>
                <w:sz w:val="28"/>
                <w:szCs w:val="28"/>
              </w:rPr>
              <w:t>：</w:t>
            </w:r>
          </w:p>
        </w:tc>
        <w:tc>
          <w:tcPr>
            <w:tcW w:w="4947" w:type="dxa"/>
            <w:tcBorders>
              <w:top w:val="nil"/>
              <w:left w:val="nil"/>
              <w:bottom w:val="nil"/>
              <w:right w:val="nil"/>
            </w:tcBorders>
          </w:tcPr>
          <w:p>
            <w:pPr>
              <w:widowControl/>
              <w:overflowPunct w:val="0"/>
              <w:topLinePunct/>
              <w:jc w:val="left"/>
              <w:rPr>
                <w:rFonts w:ascii="仿宋" w:hAnsi="仿宋" w:eastAsia="仿宋"/>
                <w:kern w:val="0"/>
                <w:sz w:val="28"/>
                <w:szCs w:val="28"/>
              </w:rPr>
            </w:pPr>
            <w:r>
              <w:rPr>
                <w:rFonts w:ascii="仿宋" w:hAnsi="仿宋" w:eastAsia="仿宋"/>
                <w:kern w:val="0"/>
                <w:sz w:val="28"/>
                <w:szCs w:val="28"/>
              </w:rPr>
              <w:t>阳  科（注册号：3220180320）</w:t>
            </w:r>
          </w:p>
          <w:p>
            <w:pPr>
              <w:widowControl/>
              <w:overflowPunct w:val="0"/>
              <w:topLinePunct/>
              <w:jc w:val="left"/>
              <w:rPr>
                <w:rFonts w:ascii="仿宋" w:hAnsi="仿宋" w:eastAsia="仿宋"/>
                <w:kern w:val="0"/>
                <w:sz w:val="28"/>
                <w:szCs w:val="28"/>
              </w:rPr>
            </w:pPr>
            <w:r>
              <w:rPr>
                <w:rFonts w:hint="eastAsia" w:ascii="仿宋" w:hAnsi="仿宋" w:eastAsia="仿宋"/>
                <w:kern w:val="0"/>
                <w:sz w:val="28"/>
                <w:szCs w:val="28"/>
              </w:rPr>
              <w:t xml:space="preserve">邹 </w:t>
            </w:r>
            <w:r>
              <w:rPr>
                <w:rFonts w:ascii="仿宋" w:hAnsi="仿宋" w:eastAsia="仿宋"/>
                <w:kern w:val="0"/>
                <w:sz w:val="28"/>
                <w:szCs w:val="28"/>
              </w:rPr>
              <w:t xml:space="preserve"> </w:t>
            </w:r>
            <w:r>
              <w:rPr>
                <w:rFonts w:hint="eastAsia" w:ascii="仿宋" w:hAnsi="仿宋" w:eastAsia="仿宋"/>
                <w:kern w:val="0"/>
                <w:sz w:val="28"/>
                <w:szCs w:val="28"/>
              </w:rPr>
              <w:t>健</w:t>
            </w:r>
            <w:r>
              <w:rPr>
                <w:rFonts w:ascii="仿宋" w:hAnsi="仿宋" w:eastAsia="仿宋"/>
                <w:kern w:val="0"/>
                <w:sz w:val="28"/>
                <w:szCs w:val="28"/>
              </w:rPr>
              <w:t>（注册号：5220210007）</w:t>
            </w:r>
          </w:p>
          <w:p>
            <w:pPr>
              <w:widowControl/>
              <w:overflowPunct w:val="0"/>
              <w:topLinePunct/>
              <w:jc w:val="left"/>
              <w:rPr>
                <w:rFonts w:ascii="仿宋" w:hAnsi="仿宋" w:eastAsia="仿宋"/>
              </w:rPr>
            </w:pPr>
          </w:p>
        </w:tc>
      </w:tr>
      <w:tr>
        <w:tblPrEx>
          <w:tblCellMar>
            <w:top w:w="0" w:type="dxa"/>
            <w:left w:w="108" w:type="dxa"/>
            <w:bottom w:w="0" w:type="dxa"/>
            <w:right w:w="108" w:type="dxa"/>
          </w:tblCellMar>
        </w:tblPrEx>
        <w:trPr>
          <w:trHeight w:val="263" w:hRule="atLeast"/>
          <w:jc w:val="center"/>
        </w:trPr>
        <w:tc>
          <w:tcPr>
            <w:tcW w:w="2896" w:type="dxa"/>
            <w:tcBorders>
              <w:top w:val="nil"/>
              <w:left w:val="nil"/>
              <w:bottom w:val="nil"/>
              <w:right w:val="nil"/>
            </w:tcBorders>
          </w:tcPr>
          <w:p>
            <w:pPr>
              <w:widowControl/>
              <w:overflowPunct w:val="0"/>
              <w:topLinePunct/>
              <w:jc w:val="distribute"/>
              <w:rPr>
                <w:rFonts w:ascii="仿宋" w:hAnsi="仿宋" w:eastAsia="仿宋"/>
                <w:kern w:val="0"/>
                <w:sz w:val="28"/>
                <w:szCs w:val="28"/>
              </w:rPr>
            </w:pPr>
          </w:p>
        </w:tc>
        <w:tc>
          <w:tcPr>
            <w:tcW w:w="4947" w:type="dxa"/>
            <w:tcBorders>
              <w:top w:val="nil"/>
              <w:left w:val="nil"/>
              <w:bottom w:val="nil"/>
              <w:right w:val="nil"/>
            </w:tcBorders>
          </w:tcPr>
          <w:p>
            <w:pPr>
              <w:widowControl/>
              <w:overflowPunct w:val="0"/>
              <w:topLinePunct/>
              <w:jc w:val="left"/>
              <w:rPr>
                <w:rFonts w:ascii="仿宋" w:hAnsi="仿宋" w:eastAsia="仿宋"/>
                <w:kern w:val="0"/>
                <w:sz w:val="28"/>
                <w:szCs w:val="28"/>
              </w:rPr>
            </w:pPr>
          </w:p>
        </w:tc>
      </w:tr>
      <w:tr>
        <w:tblPrEx>
          <w:tblCellMar>
            <w:top w:w="0" w:type="dxa"/>
            <w:left w:w="108" w:type="dxa"/>
            <w:bottom w:w="0" w:type="dxa"/>
            <w:right w:w="108" w:type="dxa"/>
          </w:tblCellMar>
        </w:tblPrEx>
        <w:trPr>
          <w:trHeight w:val="825" w:hRule="atLeast"/>
          <w:jc w:val="center"/>
        </w:trPr>
        <w:tc>
          <w:tcPr>
            <w:tcW w:w="2896" w:type="dxa"/>
            <w:tcBorders>
              <w:top w:val="nil"/>
              <w:left w:val="nil"/>
              <w:bottom w:val="nil"/>
              <w:right w:val="nil"/>
            </w:tcBorders>
          </w:tcPr>
          <w:p>
            <w:pPr>
              <w:widowControl/>
              <w:overflowPunct w:val="0"/>
              <w:topLinePunct/>
              <w:jc w:val="distribute"/>
              <w:rPr>
                <w:rFonts w:ascii="仿宋" w:hAnsi="仿宋" w:eastAsia="仿宋"/>
                <w:b/>
                <w:bCs/>
                <w:kern w:val="0"/>
                <w:sz w:val="28"/>
                <w:szCs w:val="28"/>
              </w:rPr>
            </w:pPr>
            <w:r>
              <w:rPr>
                <w:rFonts w:ascii="仿宋" w:hAnsi="仿宋" w:eastAsia="仿宋"/>
                <w:b/>
                <w:bCs/>
                <w:kern w:val="0"/>
                <w:sz w:val="28"/>
                <w:szCs w:val="28"/>
              </w:rPr>
              <w:t>估价报告出具日期</w:t>
            </w:r>
            <w:r>
              <w:rPr>
                <w:rFonts w:ascii="仿宋" w:hAnsi="仿宋" w:eastAsia="仿宋"/>
                <w:kern w:val="0"/>
                <w:sz w:val="28"/>
                <w:szCs w:val="28"/>
              </w:rPr>
              <w:t>：</w:t>
            </w:r>
          </w:p>
        </w:tc>
        <w:tc>
          <w:tcPr>
            <w:tcW w:w="4947" w:type="dxa"/>
            <w:tcBorders>
              <w:top w:val="nil"/>
              <w:left w:val="nil"/>
              <w:bottom w:val="nil"/>
              <w:right w:val="nil"/>
            </w:tcBorders>
          </w:tcPr>
          <w:p>
            <w:pPr>
              <w:widowControl/>
              <w:overflowPunct w:val="0"/>
              <w:topLinePunct/>
              <w:jc w:val="left"/>
              <w:rPr>
                <w:rFonts w:ascii="仿宋" w:hAnsi="仿宋" w:eastAsia="仿宋"/>
                <w:kern w:val="0"/>
                <w:sz w:val="28"/>
                <w:szCs w:val="28"/>
              </w:rPr>
            </w:pPr>
            <w:r>
              <w:rPr>
                <w:rFonts w:hint="eastAsia" w:ascii="仿宋" w:hAnsi="仿宋" w:eastAsia="仿宋"/>
                <w:kern w:val="0"/>
                <w:sz w:val="28"/>
                <w:szCs w:val="28"/>
              </w:rPr>
              <w:t>2021年8月26日</w:t>
            </w:r>
          </w:p>
        </w:tc>
      </w:tr>
      <w:tr>
        <w:tblPrEx>
          <w:tblCellMar>
            <w:top w:w="0" w:type="dxa"/>
            <w:left w:w="108" w:type="dxa"/>
            <w:bottom w:w="0" w:type="dxa"/>
            <w:right w:w="108" w:type="dxa"/>
          </w:tblCellMar>
        </w:tblPrEx>
        <w:trPr>
          <w:trHeight w:val="321" w:hRule="atLeast"/>
          <w:jc w:val="center"/>
        </w:trPr>
        <w:tc>
          <w:tcPr>
            <w:tcW w:w="2896" w:type="dxa"/>
            <w:tcBorders>
              <w:top w:val="nil"/>
              <w:left w:val="nil"/>
              <w:bottom w:val="nil"/>
              <w:right w:val="nil"/>
            </w:tcBorders>
          </w:tcPr>
          <w:p>
            <w:pPr>
              <w:widowControl/>
              <w:overflowPunct w:val="0"/>
              <w:topLinePunct/>
              <w:jc w:val="distribute"/>
              <w:rPr>
                <w:rFonts w:ascii="仿宋" w:hAnsi="仿宋" w:eastAsia="仿宋"/>
                <w:kern w:val="0"/>
                <w:sz w:val="28"/>
                <w:szCs w:val="28"/>
              </w:rPr>
            </w:pPr>
          </w:p>
        </w:tc>
        <w:tc>
          <w:tcPr>
            <w:tcW w:w="4947" w:type="dxa"/>
            <w:tcBorders>
              <w:top w:val="nil"/>
              <w:left w:val="nil"/>
              <w:bottom w:val="nil"/>
              <w:right w:val="nil"/>
            </w:tcBorders>
          </w:tcPr>
          <w:p>
            <w:pPr>
              <w:widowControl/>
              <w:overflowPunct w:val="0"/>
              <w:topLinePunct/>
              <w:jc w:val="left"/>
              <w:rPr>
                <w:rFonts w:ascii="仿宋" w:hAnsi="仿宋" w:eastAsia="仿宋"/>
                <w:kern w:val="0"/>
                <w:sz w:val="28"/>
                <w:szCs w:val="28"/>
              </w:rPr>
            </w:pPr>
          </w:p>
        </w:tc>
      </w:tr>
    </w:tbl>
    <w:p>
      <w:pPr>
        <w:overflowPunct w:val="0"/>
        <w:topLinePunct/>
        <w:snapToGrid w:val="0"/>
        <w:spacing w:line="360" w:lineRule="auto"/>
        <w:jc w:val="left"/>
        <w:rPr>
          <w:rFonts w:ascii="仿宋" w:hAnsi="仿宋" w:eastAsia="仿宋"/>
          <w:sz w:val="32"/>
        </w:rPr>
      </w:pPr>
    </w:p>
    <w:p>
      <w:pPr>
        <w:overflowPunct w:val="0"/>
        <w:topLinePunct/>
        <w:snapToGrid w:val="0"/>
        <w:spacing w:line="360" w:lineRule="auto"/>
        <w:rPr>
          <w:rFonts w:ascii="仿宋" w:hAnsi="仿宋" w:eastAsia="仿宋"/>
          <w:b/>
          <w:sz w:val="24"/>
        </w:rPr>
      </w:pPr>
      <w:r>
        <w:rPr>
          <w:rFonts w:ascii="仿宋" w:hAnsi="仿宋" w:eastAsia="仿宋"/>
          <w:sz w:val="24"/>
        </w:rPr>
        <w:br w:type="page"/>
      </w:r>
    </w:p>
    <w:p>
      <w:pPr>
        <w:spacing w:before="468" w:beforeLines="150" w:after="468" w:afterLines="150"/>
        <w:jc w:val="center"/>
        <w:rPr>
          <w:rFonts w:ascii="仿宋" w:hAnsi="仿宋" w:eastAsia="仿宋"/>
          <w:b/>
          <w:snapToGrid w:val="0"/>
          <w:kern w:val="0"/>
          <w:sz w:val="44"/>
          <w:szCs w:val="44"/>
        </w:rPr>
      </w:pPr>
      <w:r>
        <w:rPr>
          <w:rFonts w:ascii="仿宋" w:hAnsi="仿宋" w:eastAsia="仿宋"/>
          <w:b/>
          <w:snapToGrid w:val="0"/>
          <w:kern w:val="0"/>
          <w:sz w:val="44"/>
          <w:szCs w:val="44"/>
        </w:rPr>
        <w:t>致 委 托 方 函</w:t>
      </w:r>
    </w:p>
    <w:p>
      <w:pPr>
        <w:pStyle w:val="10"/>
        <w:overflowPunct w:val="0"/>
        <w:topLinePunct/>
        <w:adjustRightInd w:val="0"/>
        <w:snapToGrid w:val="0"/>
        <w:spacing w:before="156" w:beforeLines="50" w:after="156" w:afterLines="50"/>
        <w:ind w:right="0" w:rightChars="0" w:firstLine="0" w:firstLineChars="0"/>
        <w:rPr>
          <w:rFonts w:ascii="仿宋" w:hAnsi="仿宋" w:eastAsia="仿宋"/>
          <w:b/>
          <w:snapToGrid w:val="0"/>
          <w:kern w:val="0"/>
          <w:sz w:val="28"/>
          <w:szCs w:val="28"/>
        </w:rPr>
      </w:pPr>
      <w:r>
        <w:rPr>
          <w:rFonts w:hint="eastAsia" w:ascii="仿宋" w:hAnsi="仿宋" w:eastAsia="仿宋"/>
          <w:kern w:val="0"/>
          <w:sz w:val="28"/>
          <w:szCs w:val="28"/>
        </w:rPr>
        <w:t>凯里市人民法院</w:t>
      </w:r>
      <w:r>
        <w:rPr>
          <w:rFonts w:ascii="仿宋" w:hAnsi="仿宋" w:eastAsia="仿宋"/>
          <w:b/>
          <w:snapToGrid w:val="0"/>
          <w:kern w:val="0"/>
          <w:sz w:val="28"/>
          <w:szCs w:val="28"/>
        </w:rPr>
        <w:t>：</w:t>
      </w:r>
    </w:p>
    <w:p>
      <w:pPr>
        <w:pStyle w:val="10"/>
        <w:overflowPunct w:val="0"/>
        <w:topLinePunct/>
        <w:adjustRightInd w:val="0"/>
        <w:snapToGrid w:val="0"/>
        <w:spacing w:before="156" w:beforeLines="50" w:after="156" w:afterLines="50"/>
        <w:ind w:right="-31" w:rightChars="-15" w:firstLine="560" w:firstLineChars="200"/>
        <w:jc w:val="both"/>
        <w:rPr>
          <w:rFonts w:ascii="仿宋" w:hAnsi="仿宋" w:eastAsia="仿宋"/>
          <w:bCs/>
          <w:snapToGrid w:val="0"/>
          <w:kern w:val="0"/>
          <w:sz w:val="28"/>
        </w:rPr>
      </w:pPr>
      <w:r>
        <w:rPr>
          <w:rFonts w:ascii="仿宋" w:hAnsi="仿宋" w:eastAsia="仿宋"/>
          <w:bCs/>
          <w:snapToGrid w:val="0"/>
          <w:kern w:val="0"/>
          <w:sz w:val="28"/>
        </w:rPr>
        <w:t>因</w:t>
      </w:r>
      <w:r>
        <w:rPr>
          <w:rFonts w:ascii="仿宋" w:hAnsi="仿宋" w:eastAsia="仿宋"/>
          <w:bCs/>
          <w:sz w:val="28"/>
        </w:rPr>
        <w:t>确定财产处置参考价</w:t>
      </w:r>
      <w:r>
        <w:rPr>
          <w:rFonts w:ascii="仿宋" w:hAnsi="仿宋" w:eastAsia="仿宋"/>
          <w:bCs/>
          <w:snapToGrid w:val="0"/>
          <w:kern w:val="0"/>
          <w:sz w:val="28"/>
        </w:rPr>
        <w:t>的需要，贵院委托我公司对位于</w:t>
      </w:r>
      <w:r>
        <w:rPr>
          <w:rFonts w:hint="eastAsia" w:ascii="仿宋" w:hAnsi="仿宋" w:eastAsia="仿宋"/>
          <w:bCs/>
          <w:snapToGrid w:val="0"/>
          <w:kern w:val="0"/>
          <w:sz w:val="28"/>
        </w:rPr>
        <w:t>凯里市红洲路至金泉湖段320国道两侧北街5栋附1号2-4层</w:t>
      </w:r>
      <w:r>
        <w:rPr>
          <w:rFonts w:ascii="仿宋" w:hAnsi="仿宋" w:eastAsia="仿宋"/>
          <w:bCs/>
          <w:snapToGrid w:val="0"/>
          <w:kern w:val="0"/>
          <w:sz w:val="28"/>
        </w:rPr>
        <w:t>住宅用房</w:t>
      </w:r>
      <w:r>
        <w:rPr>
          <w:rFonts w:ascii="仿宋" w:hAnsi="仿宋" w:eastAsia="仿宋"/>
          <w:sz w:val="28"/>
          <w:szCs w:val="28"/>
        </w:rPr>
        <w:t>（建筑面积：</w:t>
      </w:r>
      <w:r>
        <w:rPr>
          <w:rFonts w:hint="eastAsia" w:ascii="仿宋" w:hAnsi="仿宋" w:eastAsia="仿宋"/>
          <w:sz w:val="28"/>
          <w:szCs w:val="28"/>
        </w:rPr>
        <w:t>222.81</w:t>
      </w:r>
      <w:r>
        <w:rPr>
          <w:rFonts w:ascii="仿宋" w:hAnsi="仿宋" w:eastAsia="仿宋"/>
          <w:sz w:val="28"/>
          <w:szCs w:val="28"/>
        </w:rPr>
        <w:t>平方米）市场价值</w:t>
      </w:r>
      <w:r>
        <w:rPr>
          <w:rFonts w:ascii="仿宋" w:hAnsi="仿宋" w:eastAsia="仿宋"/>
          <w:bCs/>
          <w:snapToGrid w:val="0"/>
          <w:kern w:val="0"/>
          <w:sz w:val="28"/>
        </w:rPr>
        <w:t>进行评估，经估价人员现场勘查、市场调查及采用适当的估价方法（比较法）评定、估算等程序，得到估价结果如下：</w:t>
      </w:r>
    </w:p>
    <w:p>
      <w:pPr>
        <w:adjustRightInd w:val="0"/>
        <w:snapToGrid w:val="0"/>
        <w:spacing w:before="156" w:beforeLines="50" w:after="156" w:afterLines="50" w:line="360" w:lineRule="auto"/>
        <w:ind w:firstLine="560" w:firstLineChars="200"/>
        <w:rPr>
          <w:rFonts w:ascii="仿宋" w:hAnsi="仿宋" w:eastAsia="仿宋"/>
          <w:bCs/>
          <w:sz w:val="28"/>
          <w:szCs w:val="28"/>
        </w:rPr>
      </w:pPr>
      <w:r>
        <w:rPr>
          <w:rFonts w:hint="eastAsia" w:ascii="仿宋" w:hAnsi="仿宋" w:eastAsia="仿宋"/>
          <w:sz w:val="28"/>
          <w:szCs w:val="28"/>
        </w:rPr>
        <w:t>凯里市红洲路至金泉湖段320国道两侧北街5栋附1号2-4层</w:t>
      </w:r>
      <w:r>
        <w:rPr>
          <w:rFonts w:ascii="仿宋" w:hAnsi="仿宋" w:eastAsia="仿宋"/>
          <w:sz w:val="28"/>
          <w:szCs w:val="28"/>
        </w:rPr>
        <w:t>住宅用房（建筑面积：</w:t>
      </w:r>
      <w:r>
        <w:rPr>
          <w:rFonts w:hint="eastAsia" w:ascii="仿宋" w:hAnsi="仿宋" w:eastAsia="仿宋"/>
          <w:sz w:val="28"/>
          <w:szCs w:val="28"/>
        </w:rPr>
        <w:t>222.81</w:t>
      </w:r>
      <w:r>
        <w:rPr>
          <w:rFonts w:ascii="仿宋" w:hAnsi="仿宋" w:eastAsia="仿宋"/>
          <w:sz w:val="28"/>
          <w:szCs w:val="28"/>
        </w:rPr>
        <w:t>平方米）</w:t>
      </w:r>
      <w:r>
        <w:rPr>
          <w:rFonts w:ascii="仿宋" w:hAnsi="仿宋" w:eastAsia="仿宋"/>
          <w:bCs/>
          <w:sz w:val="28"/>
          <w:szCs w:val="28"/>
        </w:rPr>
        <w:t>在本报告假设及限制条件下于</w:t>
      </w:r>
      <w:r>
        <w:rPr>
          <w:rFonts w:hint="eastAsia" w:ascii="仿宋" w:hAnsi="仿宋" w:eastAsia="仿宋"/>
          <w:b/>
          <w:bCs/>
          <w:sz w:val="28"/>
          <w:szCs w:val="28"/>
        </w:rPr>
        <w:t>2021年8月16日</w:t>
      </w:r>
      <w:r>
        <w:rPr>
          <w:rFonts w:ascii="仿宋" w:hAnsi="仿宋" w:eastAsia="仿宋"/>
          <w:bCs/>
          <w:sz w:val="28"/>
          <w:szCs w:val="28"/>
        </w:rPr>
        <w:t>的市场价值为</w:t>
      </w:r>
      <w:r>
        <w:rPr>
          <w:rFonts w:ascii="仿宋" w:hAnsi="仿宋" w:eastAsia="仿宋"/>
          <w:b/>
          <w:sz w:val="28"/>
        </w:rPr>
        <w:t>人民币</w:t>
      </w:r>
      <w:r>
        <w:rPr>
          <w:rFonts w:hint="eastAsia" w:ascii="仿宋" w:hAnsi="仿宋" w:eastAsia="仿宋"/>
          <w:b/>
          <w:sz w:val="28"/>
        </w:rPr>
        <w:t>壹佰零柒万壹仟玖佰玖拾柒元整</w:t>
      </w:r>
      <w:r>
        <w:rPr>
          <w:rFonts w:ascii="仿宋" w:hAnsi="仿宋" w:eastAsia="仿宋"/>
          <w:b/>
          <w:sz w:val="28"/>
        </w:rPr>
        <w:t>（RMB</w:t>
      </w:r>
      <w:r>
        <w:rPr>
          <w:rFonts w:hint="eastAsia" w:ascii="仿宋" w:hAnsi="仿宋" w:eastAsia="仿宋"/>
          <w:b/>
          <w:sz w:val="28"/>
        </w:rPr>
        <w:t>1071997</w:t>
      </w:r>
      <w:r>
        <w:rPr>
          <w:rFonts w:ascii="仿宋" w:hAnsi="仿宋" w:eastAsia="仿宋"/>
          <w:b/>
          <w:sz w:val="28"/>
        </w:rPr>
        <w:t>元）</w:t>
      </w:r>
      <w:r>
        <w:rPr>
          <w:rFonts w:ascii="仿宋" w:hAnsi="仿宋" w:eastAsia="仿宋"/>
          <w:bCs/>
          <w:sz w:val="28"/>
          <w:szCs w:val="28"/>
        </w:rPr>
        <w:t>，按建筑面积折合成单价为</w:t>
      </w:r>
      <w:r>
        <w:rPr>
          <w:rFonts w:hint="eastAsia" w:ascii="仿宋" w:hAnsi="仿宋" w:eastAsia="仿宋"/>
          <w:bCs/>
          <w:sz w:val="28"/>
          <w:szCs w:val="28"/>
        </w:rPr>
        <w:t>4811.26</w:t>
      </w:r>
      <w:r>
        <w:rPr>
          <w:rFonts w:ascii="仿宋" w:hAnsi="仿宋" w:eastAsia="仿宋"/>
          <w:bCs/>
          <w:sz w:val="28"/>
          <w:szCs w:val="28"/>
        </w:rPr>
        <w:t>元/ m</w:t>
      </w:r>
      <w:r>
        <w:rPr>
          <w:rFonts w:ascii="仿宋" w:hAnsi="仿宋" w:eastAsia="仿宋"/>
          <w:bCs/>
          <w:sz w:val="28"/>
          <w:szCs w:val="28"/>
          <w:vertAlign w:val="superscript"/>
        </w:rPr>
        <w:t>2</w:t>
      </w:r>
      <w:r>
        <w:rPr>
          <w:rFonts w:ascii="仿宋" w:hAnsi="仿宋" w:eastAsia="仿宋"/>
          <w:bCs/>
          <w:sz w:val="28"/>
          <w:szCs w:val="28"/>
        </w:rPr>
        <w:t>。</w:t>
      </w:r>
    </w:p>
    <w:p>
      <w:pPr>
        <w:pStyle w:val="10"/>
        <w:shd w:val="clear" w:color="auto" w:fill="F3F3F3"/>
        <w:overflowPunct w:val="0"/>
        <w:topLinePunct/>
        <w:adjustRightInd w:val="0"/>
        <w:snapToGrid w:val="0"/>
        <w:ind w:right="0" w:rightChars="0" w:firstLine="562" w:firstLineChars="200"/>
        <w:rPr>
          <w:rFonts w:ascii="仿宋" w:hAnsi="仿宋" w:eastAsia="仿宋"/>
          <w:b/>
          <w:bCs/>
          <w:snapToGrid w:val="0"/>
          <w:kern w:val="0"/>
          <w:sz w:val="28"/>
        </w:rPr>
      </w:pPr>
      <w:r>
        <w:rPr>
          <w:rFonts w:ascii="仿宋" w:hAnsi="仿宋" w:eastAsia="仿宋"/>
          <w:b/>
          <w:bCs/>
          <w:snapToGrid w:val="0"/>
          <w:kern w:val="0"/>
          <w:sz w:val="28"/>
        </w:rPr>
        <w:t>特别提示：</w:t>
      </w:r>
    </w:p>
    <w:p>
      <w:pPr>
        <w:pStyle w:val="10"/>
        <w:shd w:val="clear" w:color="auto" w:fill="F3F3F3"/>
        <w:overflowPunct w:val="0"/>
        <w:topLinePunct/>
        <w:adjustRightInd w:val="0"/>
        <w:snapToGrid w:val="0"/>
        <w:ind w:right="0" w:rightChars="0" w:firstLine="560" w:firstLineChars="200"/>
        <w:rPr>
          <w:rFonts w:ascii="仿宋" w:hAnsi="仿宋" w:eastAsia="仿宋"/>
          <w:bCs/>
          <w:snapToGrid w:val="0"/>
          <w:kern w:val="0"/>
          <w:sz w:val="28"/>
        </w:rPr>
      </w:pPr>
      <w:r>
        <w:rPr>
          <w:rFonts w:ascii="仿宋" w:hAnsi="仿宋" w:eastAsia="仿宋"/>
          <w:bCs/>
          <w:snapToGrid w:val="0"/>
          <w:kern w:val="0"/>
          <w:sz w:val="28"/>
        </w:rPr>
        <w:t>1、上述估价结果中已包含估价对象应分摊的土地使用权价格，</w:t>
      </w:r>
      <w:r>
        <w:rPr>
          <w:rFonts w:hint="eastAsia" w:ascii="仿宋" w:hAnsi="仿宋" w:eastAsia="仿宋"/>
          <w:bCs/>
          <w:snapToGrid w:val="0"/>
          <w:kern w:val="0"/>
          <w:sz w:val="28"/>
        </w:rPr>
        <w:t>包含室内二次装修价值，</w:t>
      </w:r>
      <w:r>
        <w:rPr>
          <w:rFonts w:hint="eastAsia" w:ascii="仿宋" w:hAnsi="仿宋" w:eastAsia="仿宋"/>
          <w:snapToGrid w:val="0"/>
          <w:kern w:val="0"/>
          <w:sz w:val="28"/>
        </w:rPr>
        <w:t>未</w:t>
      </w:r>
      <w:r>
        <w:rPr>
          <w:rFonts w:ascii="仿宋" w:hAnsi="仿宋" w:eastAsia="仿宋"/>
          <w:snapToGrid w:val="0"/>
          <w:kern w:val="0"/>
          <w:sz w:val="28"/>
        </w:rPr>
        <w:t>包含房产交易环节相关税费</w:t>
      </w:r>
      <w:r>
        <w:rPr>
          <w:rFonts w:ascii="仿宋" w:hAnsi="仿宋" w:eastAsia="仿宋"/>
          <w:bCs/>
          <w:snapToGrid w:val="0"/>
          <w:kern w:val="0"/>
          <w:sz w:val="28"/>
        </w:rPr>
        <w:t>。</w:t>
      </w:r>
    </w:p>
    <w:p>
      <w:pPr>
        <w:pStyle w:val="10"/>
        <w:shd w:val="clear" w:color="auto" w:fill="F3F3F3"/>
        <w:overflowPunct w:val="0"/>
        <w:topLinePunct/>
        <w:adjustRightInd w:val="0"/>
        <w:snapToGrid w:val="0"/>
        <w:ind w:right="0" w:rightChars="0" w:firstLine="560" w:firstLineChars="200"/>
        <w:rPr>
          <w:rFonts w:ascii="仿宋" w:hAnsi="仿宋" w:eastAsia="仿宋"/>
          <w:bCs/>
          <w:snapToGrid w:val="0"/>
          <w:kern w:val="0"/>
          <w:sz w:val="28"/>
        </w:rPr>
      </w:pPr>
      <w:r>
        <w:rPr>
          <w:rFonts w:ascii="仿宋" w:hAnsi="仿宋" w:eastAsia="仿宋"/>
          <w:bCs/>
          <w:snapToGrid w:val="0"/>
          <w:kern w:val="0"/>
          <w:sz w:val="28"/>
        </w:rPr>
        <w:t>2、本报告使用人在使用本估价结论时，应认真阅读本报告书全文；本报告各附件与报告书具有同等效力，不可分割对待。</w:t>
      </w:r>
    </w:p>
    <w:p>
      <w:pPr>
        <w:pStyle w:val="10"/>
        <w:shd w:val="clear" w:color="auto" w:fill="F3F3F3"/>
        <w:overflowPunct w:val="0"/>
        <w:topLinePunct/>
        <w:adjustRightInd w:val="0"/>
        <w:snapToGrid w:val="0"/>
        <w:ind w:right="0" w:rightChars="0" w:firstLine="560" w:firstLineChars="200"/>
        <w:rPr>
          <w:rFonts w:ascii="仿宋" w:hAnsi="仿宋" w:eastAsia="仿宋"/>
          <w:snapToGrid w:val="0"/>
          <w:kern w:val="0"/>
          <w:sz w:val="28"/>
        </w:rPr>
      </w:pPr>
      <w:r>
        <w:rPr>
          <w:rFonts w:ascii="仿宋" w:hAnsi="仿宋" w:eastAsia="仿宋"/>
          <w:bCs/>
          <w:snapToGrid w:val="0"/>
          <w:kern w:val="0"/>
          <w:sz w:val="28"/>
        </w:rPr>
        <w:t>3、根据《中华人民共和国资产评估法》，委托人应当对其提供的权属证明、财务会计信息和其他资料的真实性、完整性和合法性负责。</w:t>
      </w:r>
    </w:p>
    <w:p>
      <w:pPr>
        <w:overflowPunct w:val="0"/>
        <w:topLinePunct/>
        <w:adjustRightInd w:val="0"/>
        <w:snapToGrid w:val="0"/>
        <w:spacing w:before="312" w:beforeLines="100" w:after="312" w:afterLines="100" w:line="360" w:lineRule="auto"/>
        <w:ind w:firstLine="4620" w:firstLineChars="1650"/>
        <w:jc w:val="left"/>
        <w:rPr>
          <w:rFonts w:ascii="仿宋" w:hAnsi="仿宋" w:eastAsia="仿宋"/>
          <w:snapToGrid w:val="0"/>
          <w:kern w:val="0"/>
          <w:sz w:val="28"/>
        </w:rPr>
      </w:pPr>
      <w:r>
        <w:rPr>
          <w:rFonts w:ascii="仿宋" w:hAnsi="仿宋" w:eastAsia="仿宋"/>
          <w:snapToGrid w:val="0"/>
          <w:kern w:val="0"/>
          <w:sz w:val="28"/>
        </w:rPr>
        <w:drawing>
          <wp:anchor distT="0" distB="0" distL="114300" distR="114300" simplePos="0" relativeHeight="251663360" behindDoc="0" locked="0" layoutInCell="1" allowOverlap="1">
            <wp:simplePos x="0" y="0"/>
            <wp:positionH relativeFrom="column">
              <wp:posOffset>0</wp:posOffset>
            </wp:positionH>
            <wp:positionV relativeFrom="paragraph">
              <wp:posOffset>51435</wp:posOffset>
            </wp:positionV>
            <wp:extent cx="1619885" cy="1619885"/>
            <wp:effectExtent l="0" t="0" r="18415" b="18415"/>
            <wp:wrapNone/>
            <wp:docPr id="2" name="图片 2"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33"/>
                    <pic:cNvPicPr>
                      <a:picLocks noChangeAspect="1"/>
                    </pic:cNvPicPr>
                  </pic:nvPicPr>
                  <pic:blipFill>
                    <a:blip r:embed="rId16"/>
                    <a:stretch>
                      <a:fillRect/>
                    </a:stretch>
                  </pic:blipFill>
                  <pic:spPr>
                    <a:xfrm>
                      <a:off x="0" y="0"/>
                      <a:ext cx="1619885" cy="1619885"/>
                    </a:xfrm>
                    <a:prstGeom prst="rect">
                      <a:avLst/>
                    </a:prstGeom>
                  </pic:spPr>
                </pic:pic>
              </a:graphicData>
            </a:graphic>
          </wp:anchor>
        </w:drawing>
      </w:r>
      <w:r>
        <w:rPr>
          <w:rFonts w:ascii="仿宋" w:hAnsi="仿宋" w:eastAsia="仿宋"/>
          <w:snapToGrid w:val="0"/>
          <w:kern w:val="0"/>
          <w:sz w:val="28"/>
        </w:rPr>
        <w:t xml:space="preserve">法定代表人：                </w:t>
      </w:r>
    </w:p>
    <w:p>
      <w:pPr>
        <w:overflowPunct w:val="0"/>
        <w:topLinePunct/>
        <w:adjustRightInd w:val="0"/>
        <w:snapToGrid w:val="0"/>
        <w:spacing w:before="100" w:after="312" w:afterLines="100" w:line="300" w:lineRule="exact"/>
        <w:ind w:firstLine="562" w:firstLineChars="200"/>
        <w:jc w:val="right"/>
        <w:rPr>
          <w:rFonts w:ascii="仿宋" w:hAnsi="仿宋" w:eastAsia="仿宋"/>
          <w:b/>
          <w:snapToGrid w:val="0"/>
          <w:kern w:val="0"/>
          <w:sz w:val="28"/>
        </w:rPr>
      </w:pPr>
      <w:r>
        <w:rPr>
          <w:rFonts w:ascii="仿宋" w:hAnsi="仿宋" w:eastAsia="仿宋"/>
          <w:b/>
          <w:snapToGrid w:val="0"/>
          <w:kern w:val="0"/>
          <w:sz w:val="28"/>
        </w:rPr>
        <w:t>贵州明志房地产估价经纪有限公司</w:t>
      </w:r>
    </w:p>
    <w:p>
      <w:pPr>
        <w:overflowPunct w:val="0"/>
        <w:topLinePunct/>
        <w:adjustRightInd w:val="0"/>
        <w:snapToGrid w:val="0"/>
        <w:spacing w:line="300" w:lineRule="exact"/>
        <w:ind w:firstLine="560" w:firstLineChars="200"/>
        <w:jc w:val="right"/>
        <w:rPr>
          <w:rFonts w:ascii="仿宋" w:hAnsi="仿宋" w:eastAsia="仿宋"/>
          <w:snapToGrid w:val="0"/>
          <w:kern w:val="0"/>
          <w:sz w:val="28"/>
        </w:rPr>
      </w:pPr>
      <w:r>
        <w:rPr>
          <w:rFonts w:hint="eastAsia" w:ascii="仿宋" w:hAnsi="仿宋" w:eastAsia="仿宋"/>
          <w:snapToGrid w:val="0"/>
          <w:kern w:val="0"/>
          <w:sz w:val="28"/>
        </w:rPr>
        <w:t>2021年8月26日</w:t>
      </w:r>
    </w:p>
    <w:p>
      <w:pPr>
        <w:pageBreakBefore/>
        <w:overflowPunct w:val="0"/>
        <w:topLinePunct/>
        <w:adjustRightInd w:val="0"/>
        <w:snapToGrid w:val="0"/>
        <w:spacing w:line="360" w:lineRule="auto"/>
        <w:jc w:val="center"/>
        <w:rPr>
          <w:rFonts w:ascii="仿宋" w:hAnsi="仿宋" w:eastAsia="仿宋"/>
          <w:b/>
          <w:sz w:val="44"/>
          <w:szCs w:val="44"/>
        </w:rPr>
      </w:pPr>
      <w:r>
        <w:rPr>
          <w:rFonts w:ascii="仿宋" w:hAnsi="仿宋" w:eastAsia="仿宋"/>
          <w:b/>
          <w:sz w:val="44"/>
          <w:szCs w:val="44"/>
        </w:rPr>
        <w:t>房 地 产 估 价 报 告</w:t>
      </w:r>
    </w:p>
    <w:p>
      <w:pPr>
        <w:overflowPunct w:val="0"/>
        <w:topLinePunct/>
        <w:adjustRightInd w:val="0"/>
        <w:snapToGrid w:val="0"/>
        <w:spacing w:line="360" w:lineRule="auto"/>
        <w:jc w:val="center"/>
        <w:rPr>
          <w:rFonts w:ascii="仿宋" w:hAnsi="仿宋" w:eastAsia="仿宋"/>
          <w:b/>
          <w:sz w:val="44"/>
          <w:szCs w:val="44"/>
        </w:rPr>
      </w:pPr>
      <w:r>
        <w:pict>
          <v:line id="Line 11" o:spid="_x0000_s1026" o:spt="20" style="position:absolute;left:0pt;flip:y;margin-left:-3.6pt;margin-top:39.3pt;height:0pt;width:441pt;z-index:2516623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">
            <v:path arrowok="t"/>
            <v:fill focussize="0,0"/>
            <v:stroke r:id="rId17" weight="2pt" o:relid="rId17" filltype="pattern"/>
            <v:imagedata o:title=""/>
            <o:lock v:ext="edit"/>
          </v:line>
        </w:pict>
      </w:r>
      <w:r>
        <w:rPr>
          <w:rFonts w:ascii="仿宋" w:hAnsi="仿宋" w:eastAsia="仿宋"/>
          <w:b/>
          <w:sz w:val="44"/>
          <w:szCs w:val="44"/>
        </w:rPr>
        <w:t>目    录</w:t>
      </w:r>
    </w:p>
    <w:p>
      <w:pPr>
        <w:overflowPunct w:val="0"/>
        <w:topLinePunct/>
        <w:adjustRightInd w:val="0"/>
        <w:snapToGrid w:val="0"/>
        <w:spacing w:line="360" w:lineRule="auto"/>
        <w:jc w:val="center"/>
        <w:rPr>
          <w:rFonts w:ascii="仿宋" w:hAnsi="仿宋" w:eastAsia="仿宋"/>
          <w:b/>
          <w:sz w:val="11"/>
          <w:szCs w:val="11"/>
        </w:rPr>
      </w:pPr>
    </w:p>
    <w:p>
      <w:pPr>
        <w:pStyle w:val="21"/>
        <w:tabs>
          <w:tab w:val="right" w:leader="dot" w:pos="8787"/>
        </w:tabs>
        <w:rPr>
          <w:rFonts w:ascii="仿宋" w:hAnsi="仿宋" w:eastAsia="仿宋"/>
        </w:rPr>
      </w:pPr>
      <w:r>
        <w:rPr>
          <w:rFonts w:ascii="仿宋" w:hAnsi="仿宋" w:eastAsia="仿宋"/>
        </w:rPr>
        <w:fldChar w:fldCharType="begin"/>
      </w:r>
      <w:r>
        <w:rPr>
          <w:rFonts w:ascii="仿宋" w:hAnsi="仿宋" w:eastAsia="仿宋"/>
        </w:rPr>
        <w:instrText xml:space="preserve">TOC \o "1-3" \h \u </w:instrText>
      </w:r>
      <w:r>
        <w:rPr>
          <w:rFonts w:ascii="仿宋" w:hAnsi="仿宋" w:eastAsia="仿宋"/>
        </w:rPr>
        <w:fldChar w:fldCharType="separate"/>
      </w:r>
      <w:r>
        <w:fldChar w:fldCharType="begin"/>
      </w:r>
      <w:r>
        <w:instrText xml:space="preserve"> HYPERLINK \l "_Toc31011" </w:instrText>
      </w:r>
      <w:r>
        <w:fldChar w:fldCharType="separate"/>
      </w:r>
      <w:r>
        <w:rPr>
          <w:rFonts w:ascii="仿宋" w:hAnsi="仿宋" w:eastAsia="仿宋"/>
          <w:snapToGrid w:val="0"/>
          <w:spacing w:val="40"/>
          <w:kern w:val="0"/>
          <w:szCs w:val="44"/>
        </w:rPr>
        <w:t>估价师声明</w:t>
      </w:r>
      <w:r>
        <w:rPr>
          <w:rFonts w:ascii="仿宋" w:hAnsi="仿宋" w:eastAsia="仿宋"/>
        </w:rPr>
        <w:tab/>
      </w:r>
      <w:r>
        <w:rPr>
          <w:rFonts w:ascii="仿宋" w:hAnsi="仿宋" w:eastAsia="仿宋"/>
        </w:rPr>
        <w:fldChar w:fldCharType="begin"/>
      </w:r>
      <w:r>
        <w:rPr>
          <w:rFonts w:ascii="仿宋" w:hAnsi="仿宋" w:eastAsia="仿宋"/>
        </w:rPr>
        <w:instrText xml:space="preserve"> PAGEREF _Toc31011 \h </w:instrText>
      </w:r>
      <w:r>
        <w:rPr>
          <w:rFonts w:ascii="仿宋" w:hAnsi="仿宋" w:eastAsia="仿宋"/>
        </w:rPr>
        <w:fldChar w:fldCharType="separate"/>
      </w:r>
      <w:r>
        <w:rPr>
          <w:rFonts w:ascii="仿宋" w:hAnsi="仿宋" w:eastAsia="仿宋"/>
        </w:rPr>
        <w:t>1</w:t>
      </w:r>
      <w:r>
        <w:rPr>
          <w:rFonts w:ascii="仿宋" w:hAnsi="仿宋" w:eastAsia="仿宋"/>
        </w:rPr>
        <w:fldChar w:fldCharType="end"/>
      </w:r>
      <w:r>
        <w:rPr>
          <w:rFonts w:ascii="仿宋" w:hAnsi="仿宋" w:eastAsia="仿宋"/>
        </w:rPr>
        <w:fldChar w:fldCharType="end"/>
      </w:r>
    </w:p>
    <w:p>
      <w:pPr>
        <w:pStyle w:val="21"/>
        <w:tabs>
          <w:tab w:val="right" w:leader="dot" w:pos="8787"/>
        </w:tabs>
        <w:rPr>
          <w:rFonts w:ascii="仿宋" w:hAnsi="仿宋" w:eastAsia="仿宋"/>
        </w:rPr>
      </w:pPr>
      <w:r>
        <w:fldChar w:fldCharType="begin"/>
      </w:r>
      <w:r>
        <w:instrText xml:space="preserve"> HYPERLINK \l "_Toc11785" </w:instrText>
      </w:r>
      <w:r>
        <w:fldChar w:fldCharType="separate"/>
      </w:r>
      <w:r>
        <w:rPr>
          <w:rFonts w:ascii="仿宋" w:hAnsi="仿宋" w:eastAsia="仿宋"/>
          <w:snapToGrid w:val="0"/>
          <w:spacing w:val="40"/>
          <w:kern w:val="0"/>
          <w:szCs w:val="44"/>
        </w:rPr>
        <w:t>估价的假设和限制条件</w:t>
      </w:r>
      <w:r>
        <w:rPr>
          <w:rFonts w:ascii="仿宋" w:hAnsi="仿宋" w:eastAsia="仿宋"/>
        </w:rPr>
        <w:tab/>
      </w:r>
      <w:r>
        <w:rPr>
          <w:rFonts w:ascii="仿宋" w:hAnsi="仿宋" w:eastAsia="仿宋"/>
        </w:rPr>
        <w:fldChar w:fldCharType="begin"/>
      </w:r>
      <w:r>
        <w:rPr>
          <w:rFonts w:ascii="仿宋" w:hAnsi="仿宋" w:eastAsia="仿宋"/>
        </w:rPr>
        <w:instrText xml:space="preserve"> PAGEREF _Toc11785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pPr>
        <w:pStyle w:val="21"/>
        <w:tabs>
          <w:tab w:val="right" w:leader="dot" w:pos="8787"/>
        </w:tabs>
        <w:rPr>
          <w:rFonts w:ascii="仿宋" w:hAnsi="仿宋" w:eastAsia="仿宋"/>
        </w:rPr>
      </w:pPr>
      <w:r>
        <w:fldChar w:fldCharType="begin"/>
      </w:r>
      <w:r>
        <w:instrText xml:space="preserve"> HYPERLINK \l "_Toc16868" </w:instrText>
      </w:r>
      <w:r>
        <w:fldChar w:fldCharType="separate"/>
      </w:r>
      <w:r>
        <w:rPr>
          <w:rFonts w:ascii="仿宋" w:hAnsi="仿宋" w:eastAsia="仿宋"/>
          <w:snapToGrid w:val="0"/>
          <w:spacing w:val="40"/>
          <w:kern w:val="0"/>
          <w:szCs w:val="44"/>
        </w:rPr>
        <w:t>估价结果报告</w:t>
      </w:r>
      <w:r>
        <w:rPr>
          <w:rFonts w:ascii="仿宋" w:hAnsi="仿宋" w:eastAsia="仿宋"/>
        </w:rPr>
        <w:tab/>
      </w:r>
      <w:r>
        <w:rPr>
          <w:rFonts w:ascii="仿宋" w:hAnsi="仿宋" w:eastAsia="仿宋"/>
        </w:rPr>
        <w:fldChar w:fldCharType="begin"/>
      </w:r>
      <w:r>
        <w:rPr>
          <w:rFonts w:ascii="仿宋" w:hAnsi="仿宋" w:eastAsia="仿宋"/>
        </w:rPr>
        <w:instrText xml:space="preserve"> PAGEREF _Toc16868 \h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"_Toc13214" </w:instrText>
      </w:r>
      <w:r>
        <w:fldChar w:fldCharType="separate"/>
      </w:r>
      <w:r>
        <w:rPr>
          <w:rFonts w:ascii="仿宋" w:hAnsi="仿宋" w:eastAsia="仿宋"/>
        </w:rPr>
        <w:t>一、估价委托人</w:t>
      </w:r>
      <w:r>
        <w:rPr>
          <w:rFonts w:ascii="仿宋" w:hAnsi="仿宋" w:eastAsia="仿宋"/>
        </w:rPr>
        <w:tab/>
      </w:r>
      <w:r>
        <w:rPr>
          <w:rFonts w:ascii="仿宋" w:hAnsi="仿宋" w:eastAsia="仿宋"/>
        </w:rPr>
        <w:fldChar w:fldCharType="begin"/>
      </w:r>
      <w:r>
        <w:rPr>
          <w:rFonts w:ascii="仿宋" w:hAnsi="仿宋" w:eastAsia="仿宋"/>
        </w:rPr>
        <w:instrText xml:space="preserve"> PAGEREF _Toc13214 \h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"_Toc18368" </w:instrText>
      </w:r>
      <w:r>
        <w:fldChar w:fldCharType="separate"/>
      </w:r>
      <w:r>
        <w:rPr>
          <w:rFonts w:ascii="仿宋" w:hAnsi="仿宋" w:eastAsia="仿宋"/>
        </w:rPr>
        <w:t>二、房地产估价机构</w:t>
      </w:r>
      <w:r>
        <w:rPr>
          <w:rFonts w:ascii="仿宋" w:hAnsi="仿宋" w:eastAsia="仿宋"/>
        </w:rPr>
        <w:tab/>
      </w:r>
      <w:r>
        <w:rPr>
          <w:rFonts w:ascii="仿宋" w:hAnsi="仿宋" w:eastAsia="仿宋"/>
        </w:rPr>
        <w:fldChar w:fldCharType="begin"/>
      </w:r>
      <w:r>
        <w:rPr>
          <w:rFonts w:ascii="仿宋" w:hAnsi="仿宋" w:eastAsia="仿宋"/>
        </w:rPr>
        <w:instrText xml:space="preserve"> PAGEREF _Toc18368 \h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"_Toc15320" </w:instrText>
      </w:r>
      <w:r>
        <w:fldChar w:fldCharType="separate"/>
      </w:r>
      <w:r>
        <w:rPr>
          <w:rFonts w:ascii="仿宋" w:hAnsi="仿宋" w:eastAsia="仿宋"/>
        </w:rPr>
        <w:t>三、估价目的</w:t>
      </w:r>
      <w:r>
        <w:rPr>
          <w:rFonts w:ascii="仿宋" w:hAnsi="仿宋" w:eastAsia="仿宋"/>
        </w:rPr>
        <w:tab/>
      </w:r>
      <w:r>
        <w:rPr>
          <w:rFonts w:ascii="仿宋" w:hAnsi="仿宋" w:eastAsia="仿宋"/>
        </w:rPr>
        <w:fldChar w:fldCharType="begin"/>
      </w:r>
      <w:r>
        <w:rPr>
          <w:rFonts w:ascii="仿宋" w:hAnsi="仿宋" w:eastAsia="仿宋"/>
        </w:rPr>
        <w:instrText xml:space="preserve"> PAGEREF _Toc15320 \h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"_Toc18628" </w:instrText>
      </w:r>
      <w:r>
        <w:fldChar w:fldCharType="separate"/>
      </w:r>
      <w:r>
        <w:rPr>
          <w:rFonts w:ascii="仿宋" w:hAnsi="仿宋" w:eastAsia="仿宋"/>
        </w:rPr>
        <w:t>四、估价对象</w:t>
      </w:r>
      <w:r>
        <w:rPr>
          <w:rFonts w:ascii="仿宋" w:hAnsi="仿宋" w:eastAsia="仿宋"/>
        </w:rPr>
        <w:tab/>
      </w:r>
      <w:r>
        <w:rPr>
          <w:rFonts w:ascii="仿宋" w:hAnsi="仿宋" w:eastAsia="仿宋"/>
        </w:rPr>
        <w:fldChar w:fldCharType="begin"/>
      </w:r>
      <w:r>
        <w:rPr>
          <w:rFonts w:ascii="仿宋" w:hAnsi="仿宋" w:eastAsia="仿宋"/>
        </w:rPr>
        <w:instrText xml:space="preserve"> PAGEREF _Toc18628 \h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"_Toc13911" </w:instrText>
      </w:r>
      <w:r>
        <w:fldChar w:fldCharType="separate"/>
      </w:r>
      <w:r>
        <w:rPr>
          <w:rFonts w:ascii="仿宋" w:hAnsi="仿宋" w:eastAsia="仿宋"/>
        </w:rPr>
        <w:t>（一）估价对象范围及用途</w:t>
      </w:r>
      <w:r>
        <w:rPr>
          <w:rFonts w:ascii="仿宋" w:hAnsi="仿宋" w:eastAsia="仿宋"/>
        </w:rPr>
        <w:tab/>
      </w:r>
      <w:r>
        <w:rPr>
          <w:rFonts w:ascii="仿宋" w:hAnsi="仿宋" w:eastAsia="仿宋"/>
        </w:rPr>
        <w:fldChar w:fldCharType="begin"/>
      </w:r>
      <w:r>
        <w:rPr>
          <w:rFonts w:ascii="仿宋" w:hAnsi="仿宋" w:eastAsia="仿宋"/>
        </w:rPr>
        <w:instrText xml:space="preserve"> PAGEREF _Toc13911 \h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"_Toc202" </w:instrText>
      </w:r>
      <w:r>
        <w:fldChar w:fldCharType="separate"/>
      </w:r>
      <w:r>
        <w:rPr>
          <w:rFonts w:ascii="仿宋" w:hAnsi="仿宋" w:eastAsia="仿宋"/>
        </w:rPr>
        <w:t>（二）估价对象权益状况</w:t>
      </w:r>
      <w:r>
        <w:rPr>
          <w:rFonts w:ascii="仿宋" w:hAnsi="仿宋" w:eastAsia="仿宋"/>
        </w:rPr>
        <w:tab/>
      </w:r>
      <w:r>
        <w:rPr>
          <w:rFonts w:ascii="仿宋" w:hAnsi="仿宋" w:eastAsia="仿宋"/>
        </w:rPr>
        <w:fldChar w:fldCharType="begin"/>
      </w:r>
      <w:r>
        <w:rPr>
          <w:rFonts w:ascii="仿宋" w:hAnsi="仿宋" w:eastAsia="仿宋"/>
        </w:rPr>
        <w:instrText xml:space="preserve"> PAGEREF _Toc202 \h </w:instrText>
      </w:r>
      <w:r>
        <w:rPr>
          <w:rFonts w:ascii="仿宋" w:hAnsi="仿宋" w:eastAsia="仿宋"/>
        </w:rPr>
        <w:fldChar w:fldCharType="separate"/>
      </w:r>
      <w:r>
        <w:rPr>
          <w:rFonts w:ascii="仿宋" w:hAnsi="仿宋" w:eastAsia="仿宋"/>
        </w:rPr>
        <w:t>6</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"_Toc14169" </w:instrText>
      </w:r>
      <w:r>
        <w:fldChar w:fldCharType="separate"/>
      </w:r>
      <w:r>
        <w:rPr>
          <w:rFonts w:ascii="仿宋" w:hAnsi="仿宋" w:eastAsia="仿宋"/>
          <w:szCs w:val="28"/>
        </w:rPr>
        <w:t>1、建筑物</w:t>
      </w:r>
      <w:r>
        <w:rPr>
          <w:rFonts w:hint="eastAsia" w:ascii="仿宋" w:hAnsi="仿宋" w:eastAsia="仿宋"/>
          <w:szCs w:val="28"/>
        </w:rPr>
        <w:t>、土地使用权</w:t>
      </w:r>
      <w:r>
        <w:rPr>
          <w:rFonts w:ascii="仿宋" w:hAnsi="仿宋" w:eastAsia="仿宋"/>
          <w:szCs w:val="28"/>
        </w:rPr>
        <w:t>权益状况</w:t>
      </w:r>
      <w:r>
        <w:rPr>
          <w:rFonts w:ascii="仿宋" w:hAnsi="仿宋" w:eastAsia="仿宋"/>
        </w:rPr>
        <w:tab/>
      </w:r>
      <w:r>
        <w:rPr>
          <w:rFonts w:ascii="仿宋" w:hAnsi="仿宋" w:eastAsia="仿宋"/>
        </w:rPr>
        <w:fldChar w:fldCharType="begin"/>
      </w:r>
      <w:r>
        <w:rPr>
          <w:rFonts w:ascii="仿宋" w:hAnsi="仿宋" w:eastAsia="仿宋"/>
        </w:rPr>
        <w:instrText xml:space="preserve"> PAGEREF _Toc14169 \h </w:instrText>
      </w:r>
      <w:r>
        <w:rPr>
          <w:rFonts w:ascii="仿宋" w:hAnsi="仿宋" w:eastAsia="仿宋"/>
        </w:rPr>
        <w:fldChar w:fldCharType="separate"/>
      </w:r>
      <w:r>
        <w:rPr>
          <w:rFonts w:ascii="仿宋" w:hAnsi="仿宋" w:eastAsia="仿宋"/>
        </w:rPr>
        <w:t>6</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"_Toc9122" </w:instrText>
      </w:r>
      <w:r>
        <w:fldChar w:fldCharType="separate"/>
      </w:r>
      <w:r>
        <w:rPr>
          <w:rFonts w:ascii="仿宋" w:hAnsi="仿宋" w:eastAsia="仿宋"/>
          <w:szCs w:val="28"/>
        </w:rPr>
        <w:t>2、 他项权利设立状况</w:t>
      </w:r>
      <w:r>
        <w:rPr>
          <w:rFonts w:ascii="仿宋" w:hAnsi="仿宋" w:eastAsia="仿宋"/>
        </w:rPr>
        <w:tab/>
      </w:r>
      <w:r>
        <w:rPr>
          <w:rFonts w:ascii="仿宋" w:hAnsi="仿宋" w:eastAsia="仿宋"/>
        </w:rPr>
        <w:fldChar w:fldCharType="begin"/>
      </w:r>
      <w:r>
        <w:rPr>
          <w:rFonts w:ascii="仿宋" w:hAnsi="仿宋" w:eastAsia="仿宋"/>
        </w:rPr>
        <w:instrText xml:space="preserve"> PAGEREF _Toc9122 \h </w:instrText>
      </w:r>
      <w:r>
        <w:rPr>
          <w:rFonts w:ascii="仿宋" w:hAnsi="仿宋" w:eastAsia="仿宋"/>
        </w:rPr>
        <w:fldChar w:fldCharType="separate"/>
      </w:r>
      <w:r>
        <w:rPr>
          <w:rFonts w:ascii="仿宋" w:hAnsi="仿宋" w:eastAsia="仿宋"/>
        </w:rPr>
        <w:t>6</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"_Toc31191" </w:instrText>
      </w:r>
      <w:r>
        <w:fldChar w:fldCharType="separate"/>
      </w:r>
      <w:r>
        <w:rPr>
          <w:rFonts w:ascii="仿宋" w:hAnsi="仿宋" w:eastAsia="仿宋"/>
        </w:rPr>
        <w:t>（三）估价对象实物状况</w:t>
      </w:r>
      <w:r>
        <w:rPr>
          <w:rFonts w:ascii="仿宋" w:hAnsi="仿宋" w:eastAsia="仿宋"/>
        </w:rPr>
        <w:tab/>
      </w:r>
      <w:r>
        <w:rPr>
          <w:rFonts w:ascii="仿宋" w:hAnsi="仿宋" w:eastAsia="仿宋"/>
        </w:rPr>
        <w:fldChar w:fldCharType="begin"/>
      </w:r>
      <w:r>
        <w:rPr>
          <w:rFonts w:ascii="仿宋" w:hAnsi="仿宋" w:eastAsia="仿宋"/>
        </w:rPr>
        <w:instrText xml:space="preserve"> PAGEREF _Toc31191 \h </w:instrText>
      </w:r>
      <w:r>
        <w:rPr>
          <w:rFonts w:ascii="仿宋" w:hAnsi="仿宋" w:eastAsia="仿宋"/>
        </w:rPr>
        <w:fldChar w:fldCharType="separate"/>
      </w:r>
      <w:r>
        <w:rPr>
          <w:rFonts w:ascii="仿宋" w:hAnsi="仿宋" w:eastAsia="仿宋"/>
        </w:rPr>
        <w:t>6</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"_Toc1342" </w:instrText>
      </w:r>
      <w:r>
        <w:fldChar w:fldCharType="separate"/>
      </w:r>
      <w:r>
        <w:rPr>
          <w:rFonts w:hint="eastAsia" w:ascii="仿宋" w:hAnsi="仿宋" w:eastAsia="仿宋"/>
        </w:rPr>
        <w:t xml:space="preserve">（四） </w:t>
      </w:r>
      <w:r>
        <w:rPr>
          <w:rFonts w:ascii="仿宋" w:hAnsi="仿宋" w:eastAsia="仿宋"/>
        </w:rPr>
        <w:t>估价对象区位状况</w:t>
      </w:r>
      <w:r>
        <w:rPr>
          <w:rFonts w:ascii="仿宋" w:hAnsi="仿宋" w:eastAsia="仿宋"/>
        </w:rPr>
        <w:tab/>
      </w:r>
      <w:r>
        <w:rPr>
          <w:rFonts w:ascii="仿宋" w:hAnsi="仿宋" w:eastAsia="仿宋"/>
        </w:rPr>
        <w:fldChar w:fldCharType="begin"/>
      </w:r>
      <w:r>
        <w:rPr>
          <w:rFonts w:ascii="仿宋" w:hAnsi="仿宋" w:eastAsia="仿宋"/>
        </w:rPr>
        <w:instrText xml:space="preserve"> PAGEREF _Toc1342 \h </w:instrText>
      </w:r>
      <w:r>
        <w:rPr>
          <w:rFonts w:ascii="仿宋" w:hAnsi="仿宋" w:eastAsia="仿宋"/>
        </w:rPr>
        <w:fldChar w:fldCharType="separate"/>
      </w:r>
      <w:r>
        <w:rPr>
          <w:rFonts w:ascii="仿宋" w:hAnsi="仿宋" w:eastAsia="仿宋"/>
        </w:rPr>
        <w:t>7</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"_Toc23397" </w:instrText>
      </w:r>
      <w:r>
        <w:fldChar w:fldCharType="separate"/>
      </w:r>
      <w:r>
        <w:rPr>
          <w:rFonts w:ascii="仿宋" w:hAnsi="仿宋" w:eastAsia="仿宋"/>
        </w:rPr>
        <w:t>五、价值时点</w:t>
      </w:r>
      <w:r>
        <w:rPr>
          <w:rFonts w:ascii="仿宋" w:hAnsi="仿宋" w:eastAsia="仿宋"/>
        </w:rPr>
        <w:tab/>
      </w:r>
      <w:r>
        <w:rPr>
          <w:rFonts w:ascii="仿宋" w:hAnsi="仿宋" w:eastAsia="仿宋"/>
        </w:rPr>
        <w:fldChar w:fldCharType="begin"/>
      </w:r>
      <w:r>
        <w:rPr>
          <w:rFonts w:ascii="仿宋" w:hAnsi="仿宋" w:eastAsia="仿宋"/>
        </w:rPr>
        <w:instrText xml:space="preserve"> PAGEREF _Toc23397 \h </w:instrText>
      </w:r>
      <w:r>
        <w:rPr>
          <w:rFonts w:ascii="仿宋" w:hAnsi="仿宋" w:eastAsia="仿宋"/>
        </w:rPr>
        <w:fldChar w:fldCharType="separate"/>
      </w:r>
      <w:r>
        <w:rPr>
          <w:rFonts w:ascii="仿宋" w:hAnsi="仿宋" w:eastAsia="仿宋"/>
        </w:rPr>
        <w:t>10</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"_Toc18565" </w:instrText>
      </w:r>
      <w:r>
        <w:fldChar w:fldCharType="separate"/>
      </w:r>
      <w:r>
        <w:rPr>
          <w:rFonts w:ascii="仿宋" w:hAnsi="仿宋" w:eastAsia="仿宋"/>
        </w:rPr>
        <w:t>六、价值类型</w:t>
      </w:r>
      <w:r>
        <w:rPr>
          <w:rFonts w:ascii="仿宋" w:hAnsi="仿宋" w:eastAsia="仿宋"/>
        </w:rPr>
        <w:tab/>
      </w:r>
      <w:r>
        <w:rPr>
          <w:rFonts w:ascii="仿宋" w:hAnsi="仿宋" w:eastAsia="仿宋"/>
        </w:rPr>
        <w:fldChar w:fldCharType="begin"/>
      </w:r>
      <w:r>
        <w:rPr>
          <w:rFonts w:ascii="仿宋" w:hAnsi="仿宋" w:eastAsia="仿宋"/>
        </w:rPr>
        <w:instrText xml:space="preserve"> PAGEREF _Toc18565 \h </w:instrText>
      </w:r>
      <w:r>
        <w:rPr>
          <w:rFonts w:ascii="仿宋" w:hAnsi="仿宋" w:eastAsia="仿宋"/>
        </w:rPr>
        <w:fldChar w:fldCharType="separate"/>
      </w:r>
      <w:r>
        <w:rPr>
          <w:rFonts w:ascii="仿宋" w:hAnsi="仿宋" w:eastAsia="仿宋"/>
        </w:rPr>
        <w:t>10</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"_Toc26712" </w:instrText>
      </w:r>
      <w:r>
        <w:fldChar w:fldCharType="separate"/>
      </w:r>
      <w:r>
        <w:rPr>
          <w:rFonts w:ascii="仿宋" w:hAnsi="仿宋" w:eastAsia="仿宋"/>
        </w:rPr>
        <w:t>七、估价原则</w:t>
      </w:r>
      <w:r>
        <w:rPr>
          <w:rFonts w:ascii="仿宋" w:hAnsi="仿宋" w:eastAsia="仿宋"/>
        </w:rPr>
        <w:tab/>
      </w:r>
      <w:r>
        <w:rPr>
          <w:rFonts w:ascii="仿宋" w:hAnsi="仿宋" w:eastAsia="仿宋"/>
        </w:rPr>
        <w:fldChar w:fldCharType="begin"/>
      </w:r>
      <w:r>
        <w:rPr>
          <w:rFonts w:ascii="仿宋" w:hAnsi="仿宋" w:eastAsia="仿宋"/>
        </w:rPr>
        <w:instrText xml:space="preserve"> PAGEREF _Toc26712 \h </w:instrText>
      </w:r>
      <w:r>
        <w:rPr>
          <w:rFonts w:ascii="仿宋" w:hAnsi="仿宋" w:eastAsia="仿宋"/>
        </w:rPr>
        <w:fldChar w:fldCharType="separate"/>
      </w:r>
      <w:r>
        <w:rPr>
          <w:rFonts w:ascii="仿宋" w:hAnsi="仿宋" w:eastAsia="仿宋"/>
        </w:rPr>
        <w:t>10</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"_Toc29050" </w:instrText>
      </w:r>
      <w:r>
        <w:fldChar w:fldCharType="separate"/>
      </w:r>
      <w:r>
        <w:rPr>
          <w:rFonts w:ascii="仿宋" w:hAnsi="仿宋" w:eastAsia="仿宋"/>
        </w:rPr>
        <w:t>八、估价依据</w:t>
      </w:r>
      <w:r>
        <w:rPr>
          <w:rFonts w:ascii="仿宋" w:hAnsi="仿宋" w:eastAsia="仿宋"/>
        </w:rPr>
        <w:tab/>
      </w:r>
      <w:r>
        <w:rPr>
          <w:rFonts w:ascii="仿宋" w:hAnsi="仿宋" w:eastAsia="仿宋"/>
        </w:rPr>
        <w:fldChar w:fldCharType="begin"/>
      </w:r>
      <w:r>
        <w:rPr>
          <w:rFonts w:ascii="仿宋" w:hAnsi="仿宋" w:eastAsia="仿宋"/>
        </w:rPr>
        <w:instrText xml:space="preserve"> PAGEREF _Toc29050 \h </w:instrText>
      </w:r>
      <w:r>
        <w:rPr>
          <w:rFonts w:ascii="仿宋" w:hAnsi="仿宋" w:eastAsia="仿宋"/>
        </w:rPr>
        <w:fldChar w:fldCharType="separate"/>
      </w:r>
      <w:r>
        <w:rPr>
          <w:rFonts w:ascii="仿宋" w:hAnsi="仿宋" w:eastAsia="仿宋"/>
        </w:rPr>
        <w:t>11</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"_Toc436" </w:instrText>
      </w:r>
      <w:r>
        <w:fldChar w:fldCharType="separate"/>
      </w:r>
      <w:r>
        <w:rPr>
          <w:rFonts w:ascii="仿宋" w:hAnsi="仿宋" w:eastAsia="仿宋"/>
        </w:rPr>
        <w:t>九、估价方法</w:t>
      </w:r>
      <w:r>
        <w:rPr>
          <w:rFonts w:ascii="仿宋" w:hAnsi="仿宋" w:eastAsia="仿宋"/>
        </w:rPr>
        <w:tab/>
      </w:r>
      <w:r>
        <w:rPr>
          <w:rFonts w:ascii="仿宋" w:hAnsi="仿宋" w:eastAsia="仿宋"/>
        </w:rPr>
        <w:fldChar w:fldCharType="begin"/>
      </w:r>
      <w:r>
        <w:rPr>
          <w:rFonts w:ascii="仿宋" w:hAnsi="仿宋" w:eastAsia="仿宋"/>
        </w:rPr>
        <w:instrText xml:space="preserve"> PAGEREF _Toc436 \h </w:instrText>
      </w:r>
      <w:r>
        <w:rPr>
          <w:rFonts w:ascii="仿宋" w:hAnsi="仿宋" w:eastAsia="仿宋"/>
        </w:rPr>
        <w:fldChar w:fldCharType="separate"/>
      </w:r>
      <w:r>
        <w:rPr>
          <w:rFonts w:ascii="仿宋" w:hAnsi="仿宋" w:eastAsia="仿宋"/>
        </w:rPr>
        <w:t>11</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"_Toc24022" </w:instrText>
      </w:r>
      <w:r>
        <w:fldChar w:fldCharType="separate"/>
      </w:r>
      <w:r>
        <w:rPr>
          <w:rFonts w:ascii="仿宋" w:hAnsi="仿宋" w:eastAsia="仿宋"/>
        </w:rPr>
        <w:t>十、 估价结果</w:t>
      </w:r>
      <w:r>
        <w:rPr>
          <w:rFonts w:ascii="仿宋" w:hAnsi="仿宋" w:eastAsia="仿宋"/>
        </w:rPr>
        <w:tab/>
      </w:r>
      <w:r>
        <w:rPr>
          <w:rFonts w:ascii="仿宋" w:hAnsi="仿宋" w:eastAsia="仿宋"/>
        </w:rPr>
        <w:fldChar w:fldCharType="begin"/>
      </w:r>
      <w:r>
        <w:rPr>
          <w:rFonts w:ascii="仿宋" w:hAnsi="仿宋" w:eastAsia="仿宋"/>
        </w:rPr>
        <w:instrText xml:space="preserve"> PAGEREF _Toc24022 \h </w:instrText>
      </w:r>
      <w:r>
        <w:rPr>
          <w:rFonts w:ascii="仿宋" w:hAnsi="仿宋" w:eastAsia="仿宋"/>
        </w:rPr>
        <w:fldChar w:fldCharType="separate"/>
      </w:r>
      <w:r>
        <w:rPr>
          <w:rFonts w:ascii="仿宋" w:hAnsi="仿宋" w:eastAsia="仿宋"/>
        </w:rPr>
        <w:t>13</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"_Toc13296" </w:instrText>
      </w:r>
      <w:r>
        <w:fldChar w:fldCharType="separate"/>
      </w:r>
      <w:r>
        <w:rPr>
          <w:rFonts w:ascii="仿宋" w:hAnsi="仿宋" w:eastAsia="仿宋"/>
        </w:rPr>
        <w:t>十一、参加估价的注册房地产估价师</w:t>
      </w:r>
      <w:r>
        <w:rPr>
          <w:rFonts w:ascii="仿宋" w:hAnsi="仿宋" w:eastAsia="仿宋"/>
        </w:rPr>
        <w:tab/>
      </w:r>
      <w:r>
        <w:rPr>
          <w:rFonts w:ascii="仿宋" w:hAnsi="仿宋" w:eastAsia="仿宋"/>
        </w:rPr>
        <w:fldChar w:fldCharType="begin"/>
      </w:r>
      <w:r>
        <w:rPr>
          <w:rFonts w:ascii="仿宋" w:hAnsi="仿宋" w:eastAsia="仿宋"/>
        </w:rPr>
        <w:instrText xml:space="preserve"> PAGEREF _Toc13296 \h </w:instrText>
      </w:r>
      <w:r>
        <w:rPr>
          <w:rFonts w:ascii="仿宋" w:hAnsi="仿宋" w:eastAsia="仿宋"/>
        </w:rPr>
        <w:fldChar w:fldCharType="separate"/>
      </w:r>
      <w:r>
        <w:rPr>
          <w:rFonts w:ascii="仿宋" w:hAnsi="仿宋" w:eastAsia="仿宋"/>
        </w:rPr>
        <w:t>14</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"_Toc32591" </w:instrText>
      </w:r>
      <w:r>
        <w:fldChar w:fldCharType="separate"/>
      </w:r>
      <w:r>
        <w:rPr>
          <w:rFonts w:ascii="仿宋" w:hAnsi="仿宋" w:eastAsia="仿宋"/>
        </w:rPr>
        <w:t>十二、实地查勘期</w:t>
      </w:r>
      <w:r>
        <w:rPr>
          <w:rFonts w:ascii="仿宋" w:hAnsi="仿宋" w:eastAsia="仿宋"/>
        </w:rPr>
        <w:tab/>
      </w:r>
      <w:r>
        <w:rPr>
          <w:rFonts w:ascii="仿宋" w:hAnsi="仿宋" w:eastAsia="仿宋"/>
        </w:rPr>
        <w:fldChar w:fldCharType="begin"/>
      </w:r>
      <w:r>
        <w:rPr>
          <w:rFonts w:ascii="仿宋" w:hAnsi="仿宋" w:eastAsia="仿宋"/>
        </w:rPr>
        <w:instrText xml:space="preserve"> PAGEREF _Toc32591 \h </w:instrText>
      </w:r>
      <w:r>
        <w:rPr>
          <w:rFonts w:ascii="仿宋" w:hAnsi="仿宋" w:eastAsia="仿宋"/>
        </w:rPr>
        <w:fldChar w:fldCharType="separate"/>
      </w:r>
      <w:r>
        <w:rPr>
          <w:rFonts w:ascii="仿宋" w:hAnsi="仿宋" w:eastAsia="仿宋"/>
        </w:rPr>
        <w:t>14</w:t>
      </w:r>
      <w:r>
        <w:rPr>
          <w:rFonts w:ascii="仿宋" w:hAnsi="仿宋" w:eastAsia="仿宋"/>
        </w:rPr>
        <w:fldChar w:fldCharType="end"/>
      </w:r>
      <w:r>
        <w:rPr>
          <w:rFonts w:ascii="仿宋" w:hAnsi="仿宋" w:eastAsia="仿宋"/>
        </w:rPr>
        <w:fldChar w:fldCharType="end"/>
      </w:r>
    </w:p>
    <w:p>
      <w:pPr>
        <w:pStyle w:val="12"/>
        <w:tabs>
          <w:tab w:val="right" w:leader="dot" w:pos="8787"/>
        </w:tabs>
        <w:rPr>
          <w:rFonts w:ascii="仿宋" w:hAnsi="仿宋" w:eastAsia="仿宋"/>
        </w:rPr>
      </w:pPr>
      <w:r>
        <w:fldChar w:fldCharType="begin"/>
      </w:r>
      <w:r>
        <w:instrText xml:space="preserve"> HYPERLINK \l "_Toc19615" </w:instrText>
      </w:r>
      <w:r>
        <w:fldChar w:fldCharType="separate"/>
      </w:r>
      <w:r>
        <w:rPr>
          <w:rFonts w:ascii="仿宋" w:hAnsi="仿宋" w:eastAsia="仿宋"/>
        </w:rPr>
        <w:t>十三、估价作业日期</w:t>
      </w:r>
      <w:r>
        <w:rPr>
          <w:rFonts w:ascii="仿宋" w:hAnsi="仿宋" w:eastAsia="仿宋"/>
        </w:rPr>
        <w:tab/>
      </w:r>
      <w:r>
        <w:rPr>
          <w:rFonts w:ascii="仿宋" w:hAnsi="仿宋" w:eastAsia="仿宋"/>
        </w:rPr>
        <w:fldChar w:fldCharType="begin"/>
      </w:r>
      <w:r>
        <w:rPr>
          <w:rFonts w:ascii="仿宋" w:hAnsi="仿宋" w:eastAsia="仿宋"/>
        </w:rPr>
        <w:instrText xml:space="preserve"> PAGEREF _Toc19615 \h </w:instrText>
      </w:r>
      <w:r>
        <w:rPr>
          <w:rFonts w:ascii="仿宋" w:hAnsi="仿宋" w:eastAsia="仿宋"/>
        </w:rPr>
        <w:fldChar w:fldCharType="separate"/>
      </w:r>
      <w:r>
        <w:rPr>
          <w:rFonts w:ascii="仿宋" w:hAnsi="仿宋" w:eastAsia="仿宋"/>
        </w:rPr>
        <w:t>14</w:t>
      </w:r>
      <w:r>
        <w:rPr>
          <w:rFonts w:ascii="仿宋" w:hAnsi="仿宋" w:eastAsia="仿宋"/>
        </w:rPr>
        <w:fldChar w:fldCharType="end"/>
      </w:r>
      <w:r>
        <w:rPr>
          <w:rFonts w:ascii="仿宋" w:hAnsi="仿宋" w:eastAsia="仿宋"/>
        </w:rPr>
        <w:fldChar w:fldCharType="end"/>
      </w:r>
    </w:p>
    <w:p>
      <w:pPr>
        <w:rPr>
          <w:rFonts w:ascii="仿宋" w:hAnsi="仿宋" w:eastAsia="仿宋"/>
        </w:rPr>
      </w:pPr>
      <w:r>
        <w:rPr>
          <w:rFonts w:ascii="仿宋" w:hAnsi="仿宋" w:eastAsia="仿宋"/>
        </w:rPr>
        <w:fldChar w:fldCharType="end"/>
      </w:r>
    </w:p>
    <w:p>
      <w:pPr>
        <w:tabs>
          <w:tab w:val="left" w:leader="dot" w:pos="8190"/>
        </w:tabs>
        <w:overflowPunct w:val="0"/>
        <w:topLinePunct/>
        <w:adjustRightInd w:val="0"/>
        <w:snapToGrid w:val="0"/>
        <w:spacing w:line="360" w:lineRule="auto"/>
        <w:jc w:val="left"/>
        <w:rPr>
          <w:rFonts w:ascii="仿宋" w:hAnsi="仿宋" w:eastAsia="仿宋"/>
          <w:bCs/>
          <w:sz w:val="24"/>
        </w:rPr>
      </w:pPr>
      <w:r>
        <w:rPr>
          <w:rFonts w:ascii="仿宋" w:hAnsi="仿宋" w:eastAsia="仿宋"/>
          <w:bCs/>
          <w:sz w:val="24"/>
        </w:rPr>
        <w:t>附件</w:t>
      </w:r>
    </w:p>
    <w:p>
      <w:pPr>
        <w:tabs>
          <w:tab w:val="left" w:leader="dot" w:pos="8190"/>
        </w:tabs>
        <w:overflowPunct w:val="0"/>
        <w:topLinePunct/>
        <w:adjustRightInd w:val="0"/>
        <w:snapToGrid w:val="0"/>
        <w:spacing w:line="400" w:lineRule="exact"/>
        <w:ind w:firstLine="480" w:firstLineChars="200"/>
        <w:jc w:val="left"/>
        <w:rPr>
          <w:rFonts w:ascii="仿宋" w:hAnsi="仿宋" w:eastAsia="仿宋"/>
          <w:bCs/>
          <w:sz w:val="24"/>
        </w:rPr>
      </w:pPr>
      <w:bookmarkStart w:id="0" w:name="OLE_LINK3"/>
      <w:r>
        <w:rPr>
          <w:rFonts w:ascii="仿宋" w:hAnsi="仿宋" w:eastAsia="仿宋"/>
          <w:bCs/>
          <w:sz w:val="24"/>
        </w:rPr>
        <w:t>1、估价对象照片及位置图；</w:t>
      </w:r>
    </w:p>
    <w:p>
      <w:pPr>
        <w:tabs>
          <w:tab w:val="left" w:leader="dot" w:pos="8190"/>
        </w:tabs>
        <w:overflowPunct w:val="0"/>
        <w:topLinePunct/>
        <w:adjustRightInd w:val="0"/>
        <w:snapToGrid w:val="0"/>
        <w:spacing w:line="400" w:lineRule="exact"/>
        <w:ind w:firstLine="480" w:firstLineChars="200"/>
        <w:jc w:val="left"/>
        <w:rPr>
          <w:rFonts w:ascii="仿宋" w:hAnsi="仿宋" w:eastAsia="仿宋"/>
          <w:bCs/>
          <w:sz w:val="24"/>
        </w:rPr>
      </w:pPr>
      <w:r>
        <w:rPr>
          <w:rFonts w:ascii="仿宋" w:hAnsi="仿宋" w:eastAsia="仿宋"/>
          <w:bCs/>
          <w:sz w:val="24"/>
        </w:rPr>
        <w:t>2、</w:t>
      </w:r>
      <w:r>
        <w:rPr>
          <w:rFonts w:hint="eastAsia" w:ascii="仿宋" w:hAnsi="仿宋" w:eastAsia="仿宋"/>
          <w:bCs/>
          <w:sz w:val="24"/>
        </w:rPr>
        <w:t>《贵州省凯里市人民法院评估委托函》（（2021）黔2601执恢219号）</w:t>
      </w:r>
      <w:r>
        <w:rPr>
          <w:rFonts w:ascii="仿宋" w:hAnsi="仿宋" w:eastAsia="仿宋"/>
          <w:bCs/>
          <w:sz w:val="24"/>
        </w:rPr>
        <w:t>（复印件）；</w:t>
      </w:r>
    </w:p>
    <w:p>
      <w:pPr>
        <w:tabs>
          <w:tab w:val="left" w:leader="dot" w:pos="8190"/>
        </w:tabs>
        <w:overflowPunct w:val="0"/>
        <w:topLinePunct/>
        <w:adjustRightInd w:val="0"/>
        <w:snapToGrid w:val="0"/>
        <w:spacing w:line="400" w:lineRule="exact"/>
        <w:ind w:firstLine="480" w:firstLineChars="200"/>
        <w:jc w:val="left"/>
        <w:rPr>
          <w:rFonts w:ascii="仿宋" w:hAnsi="仿宋" w:eastAsia="仿宋"/>
          <w:bCs/>
          <w:sz w:val="24"/>
        </w:rPr>
      </w:pPr>
      <w:r>
        <w:rPr>
          <w:rFonts w:ascii="仿宋" w:hAnsi="仿宋" w:eastAsia="仿宋"/>
          <w:bCs/>
          <w:sz w:val="24"/>
        </w:rPr>
        <w:t>3、</w:t>
      </w:r>
      <w:r>
        <w:rPr>
          <w:rFonts w:hint="eastAsia" w:ascii="仿宋" w:hAnsi="仿宋" w:eastAsia="仿宋"/>
          <w:bCs/>
          <w:sz w:val="24"/>
        </w:rPr>
        <w:t>《房屋所有权证》（凯里房权证城区字第00003321号）（复印件）</w:t>
      </w:r>
      <w:r>
        <w:rPr>
          <w:rFonts w:ascii="仿宋" w:hAnsi="仿宋" w:eastAsia="仿宋"/>
          <w:bCs/>
          <w:sz w:val="24"/>
        </w:rPr>
        <w:t>；</w:t>
      </w:r>
    </w:p>
    <w:p>
      <w:pPr>
        <w:tabs>
          <w:tab w:val="left" w:leader="dot" w:pos="8190"/>
        </w:tabs>
        <w:overflowPunct w:val="0"/>
        <w:topLinePunct/>
        <w:adjustRightInd w:val="0"/>
        <w:snapToGrid w:val="0"/>
        <w:spacing w:line="400" w:lineRule="exact"/>
        <w:ind w:firstLine="480" w:firstLineChars="200"/>
        <w:jc w:val="left"/>
        <w:rPr>
          <w:rFonts w:hint="eastAsia" w:ascii="仿宋" w:hAnsi="仿宋" w:eastAsia="仿宋"/>
          <w:bCs/>
          <w:sz w:val="24"/>
        </w:rPr>
      </w:pPr>
      <w:r>
        <w:rPr>
          <w:rFonts w:hint="eastAsia" w:ascii="仿宋" w:hAnsi="仿宋" w:eastAsia="仿宋"/>
          <w:bCs/>
          <w:sz w:val="24"/>
        </w:rPr>
        <w:t>4、</w:t>
      </w:r>
      <w:bookmarkStart w:id="1" w:name="_Hlk81229354"/>
      <w:r>
        <w:rPr>
          <w:rFonts w:hint="eastAsia" w:ascii="仿宋" w:hAnsi="仿宋" w:eastAsia="仿宋"/>
          <w:bCs/>
          <w:sz w:val="24"/>
        </w:rPr>
        <w:t>《房屋他项权证》（凯房他证凯里市字第2</w:t>
      </w:r>
      <w:r>
        <w:rPr>
          <w:rFonts w:ascii="仿宋" w:hAnsi="仿宋" w:eastAsia="仿宋"/>
          <w:bCs/>
          <w:sz w:val="24"/>
        </w:rPr>
        <w:t>016000682</w:t>
      </w:r>
      <w:r>
        <w:rPr>
          <w:rFonts w:hint="eastAsia" w:ascii="仿宋" w:hAnsi="仿宋" w:eastAsia="仿宋"/>
          <w:bCs/>
          <w:sz w:val="24"/>
        </w:rPr>
        <w:t>号）</w:t>
      </w:r>
      <w:bookmarkEnd w:id="1"/>
      <w:r>
        <w:rPr>
          <w:rFonts w:hint="eastAsia" w:ascii="仿宋" w:hAnsi="仿宋" w:eastAsia="仿宋"/>
          <w:bCs/>
          <w:sz w:val="24"/>
        </w:rPr>
        <w:t>（复印件）</w:t>
      </w:r>
      <w:r>
        <w:rPr>
          <w:rFonts w:ascii="仿宋" w:hAnsi="仿宋" w:eastAsia="仿宋"/>
          <w:bCs/>
          <w:sz w:val="24"/>
        </w:rPr>
        <w:t>；</w:t>
      </w:r>
    </w:p>
    <w:p>
      <w:pPr>
        <w:tabs>
          <w:tab w:val="left" w:leader="dot" w:pos="8190"/>
        </w:tabs>
        <w:overflowPunct w:val="0"/>
        <w:topLinePunct/>
        <w:adjustRightInd w:val="0"/>
        <w:snapToGrid w:val="0"/>
        <w:spacing w:line="400" w:lineRule="exact"/>
        <w:ind w:firstLine="480" w:firstLineChars="200"/>
        <w:jc w:val="left"/>
        <w:rPr>
          <w:rFonts w:ascii="仿宋" w:hAnsi="仿宋" w:eastAsia="仿宋"/>
          <w:bCs/>
          <w:sz w:val="24"/>
        </w:rPr>
      </w:pPr>
      <w:r>
        <w:rPr>
          <w:rFonts w:ascii="仿宋" w:hAnsi="仿宋" w:eastAsia="仿宋"/>
          <w:bCs/>
          <w:sz w:val="24"/>
        </w:rPr>
        <w:t>5、估价机构房地产估价资质证书（复印件）；</w:t>
      </w:r>
    </w:p>
    <w:p>
      <w:pPr>
        <w:tabs>
          <w:tab w:val="left" w:leader="dot" w:pos="8190"/>
        </w:tabs>
        <w:overflowPunct w:val="0"/>
        <w:topLinePunct/>
        <w:adjustRightInd w:val="0"/>
        <w:snapToGrid w:val="0"/>
        <w:spacing w:line="400" w:lineRule="exact"/>
        <w:ind w:firstLine="480" w:firstLineChars="200"/>
        <w:jc w:val="left"/>
        <w:rPr>
          <w:rFonts w:ascii="仿宋" w:hAnsi="仿宋" w:eastAsia="仿宋"/>
          <w:bCs/>
          <w:sz w:val="24"/>
        </w:rPr>
      </w:pPr>
      <w:r>
        <w:rPr>
          <w:rFonts w:ascii="仿宋" w:hAnsi="仿宋" w:eastAsia="仿宋"/>
          <w:bCs/>
          <w:sz w:val="24"/>
        </w:rPr>
        <w:t>6、估价机构营业执照（复印件）；</w:t>
      </w:r>
    </w:p>
    <w:p>
      <w:pPr>
        <w:tabs>
          <w:tab w:val="left" w:leader="dot" w:pos="8190"/>
        </w:tabs>
        <w:overflowPunct w:val="0"/>
        <w:topLinePunct/>
        <w:adjustRightInd w:val="0"/>
        <w:snapToGrid w:val="0"/>
        <w:spacing w:line="400" w:lineRule="exact"/>
        <w:ind w:firstLine="480" w:firstLineChars="200"/>
        <w:jc w:val="left"/>
        <w:rPr>
          <w:rFonts w:ascii="仿宋" w:hAnsi="仿宋" w:eastAsia="仿宋"/>
          <w:bCs/>
          <w:sz w:val="24"/>
        </w:rPr>
      </w:pPr>
      <w:r>
        <w:rPr>
          <w:rFonts w:ascii="仿宋" w:hAnsi="仿宋" w:eastAsia="仿宋"/>
          <w:bCs/>
          <w:sz w:val="24"/>
        </w:rPr>
        <w:t>7、估价人员注册证书（复印件）。</w:t>
      </w:r>
      <w:bookmarkEnd w:id="0"/>
    </w:p>
    <w:p>
      <w:pPr>
        <w:tabs>
          <w:tab w:val="left" w:leader="dot" w:pos="8190"/>
        </w:tabs>
        <w:overflowPunct w:val="0"/>
        <w:topLinePunct/>
        <w:adjustRightInd w:val="0"/>
        <w:snapToGrid w:val="0"/>
        <w:spacing w:line="400" w:lineRule="exact"/>
        <w:ind w:firstLine="480" w:firstLineChars="200"/>
        <w:jc w:val="left"/>
        <w:rPr>
          <w:rFonts w:ascii="仿宋" w:hAnsi="仿宋" w:eastAsia="仿宋"/>
          <w:bCs/>
          <w:sz w:val="24"/>
        </w:rPr>
      </w:pPr>
    </w:p>
    <w:p>
      <w:pPr>
        <w:tabs>
          <w:tab w:val="left" w:leader="dot" w:pos="8190"/>
        </w:tabs>
        <w:overflowPunct w:val="0"/>
        <w:topLinePunct/>
        <w:adjustRightInd w:val="0"/>
        <w:snapToGrid w:val="0"/>
        <w:spacing w:line="400" w:lineRule="exact"/>
        <w:ind w:firstLine="480" w:firstLineChars="200"/>
        <w:jc w:val="left"/>
        <w:rPr>
          <w:rFonts w:ascii="仿宋" w:hAnsi="仿宋" w:eastAsia="仿宋"/>
          <w:bCs/>
          <w:sz w:val="24"/>
        </w:rPr>
        <w:sectPr>
          <w:headerReference r:id="rId4" w:type="first"/>
          <w:footerReference r:id="rId7" w:type="first"/>
          <w:headerReference r:id="rId3" w:type="default"/>
          <w:footerReference r:id="rId5" w:type="default"/>
          <w:footerReference r:id="rId6" w:type="even"/>
          <w:pgSz w:w="11907" w:h="16840"/>
          <w:pgMar w:top="1418" w:right="1418" w:bottom="1418" w:left="1418" w:header="624" w:footer="737" w:gutter="284"/>
          <w:pgNumType w:start="1"/>
          <w:cols w:space="720" w:num="1"/>
          <w:titlePg/>
          <w:docGrid w:type="lines" w:linePitch="312" w:charSpace="0"/>
        </w:sectPr>
      </w:pPr>
    </w:p>
    <w:p>
      <w:pPr>
        <w:pStyle w:val="3"/>
        <w:overflowPunct w:val="0"/>
        <w:topLinePunct/>
        <w:snapToGrid w:val="0"/>
        <w:spacing w:before="156" w:beforeLines="50" w:after="312" w:afterLines="100" w:line="360" w:lineRule="auto"/>
        <w:jc w:val="center"/>
        <w:rPr>
          <w:rFonts w:ascii="仿宋" w:hAnsi="仿宋" w:eastAsia="仿宋"/>
          <w:snapToGrid w:val="0"/>
          <w:spacing w:val="40"/>
          <w:kern w:val="0"/>
          <w:sz w:val="44"/>
          <w:szCs w:val="44"/>
        </w:rPr>
      </w:pPr>
    </w:p>
    <w:p>
      <w:pPr>
        <w:pStyle w:val="3"/>
        <w:overflowPunct w:val="0"/>
        <w:topLinePunct/>
        <w:snapToGrid w:val="0"/>
        <w:spacing w:before="156" w:beforeLines="50" w:after="312" w:afterLines="100" w:line="360" w:lineRule="auto"/>
        <w:jc w:val="center"/>
        <w:rPr>
          <w:rFonts w:ascii="仿宋" w:hAnsi="仿宋" w:eastAsia="仿宋"/>
          <w:snapToGrid w:val="0"/>
          <w:spacing w:val="40"/>
          <w:kern w:val="0"/>
          <w:sz w:val="44"/>
          <w:szCs w:val="44"/>
        </w:rPr>
        <w:sectPr>
          <w:headerReference r:id="rId10" w:type="first"/>
          <w:footerReference r:id="rId12" w:type="first"/>
          <w:headerReference r:id="rId8" w:type="default"/>
          <w:footerReference r:id="rId11" w:type="default"/>
          <w:headerReference r:id="rId9" w:type="even"/>
          <w:type w:val="continuous"/>
          <w:pgSz w:w="11907" w:h="16840"/>
          <w:pgMar w:top="1418" w:right="1418" w:bottom="1418" w:left="1418" w:header="624" w:footer="737" w:gutter="284"/>
          <w:pgNumType w:start="1"/>
          <w:cols w:space="720" w:num="1"/>
          <w:titlePg/>
          <w:docGrid w:type="lines" w:linePitch="312" w:charSpace="0"/>
        </w:sectPr>
      </w:pPr>
    </w:p>
    <w:p>
      <w:pPr>
        <w:pStyle w:val="3"/>
        <w:overflowPunct w:val="0"/>
        <w:topLinePunct/>
        <w:snapToGrid w:val="0"/>
        <w:spacing w:before="156" w:beforeLines="50" w:after="312" w:afterLines="100" w:line="360" w:lineRule="auto"/>
        <w:jc w:val="center"/>
        <w:rPr>
          <w:rFonts w:ascii="仿宋" w:hAnsi="仿宋" w:eastAsia="仿宋"/>
          <w:snapToGrid w:val="0"/>
          <w:spacing w:val="40"/>
          <w:kern w:val="0"/>
          <w:sz w:val="44"/>
          <w:szCs w:val="44"/>
        </w:rPr>
      </w:pPr>
      <w:bookmarkStart w:id="2" w:name="_Toc21510"/>
      <w:bookmarkStart w:id="3" w:name="_Toc13413"/>
      <w:bookmarkStart w:id="4" w:name="_Toc31011"/>
      <w:r>
        <w:rPr>
          <w:rFonts w:ascii="仿宋" w:hAnsi="仿宋" w:eastAsia="仿宋"/>
          <w:snapToGrid w:val="0"/>
          <w:spacing w:val="40"/>
          <w:kern w:val="0"/>
          <w:sz w:val="44"/>
          <w:szCs w:val="44"/>
        </w:rPr>
        <w:t>估价师声明</w:t>
      </w:r>
      <w:bookmarkEnd w:id="2"/>
      <w:bookmarkEnd w:id="3"/>
      <w:bookmarkEnd w:id="4"/>
    </w:p>
    <w:p>
      <w:pPr>
        <w:pStyle w:val="10"/>
        <w:overflowPunct w:val="0"/>
        <w:topLinePunct/>
        <w:snapToGrid w:val="0"/>
        <w:ind w:right="0" w:rightChars="0" w:firstLine="562" w:firstLineChars="200"/>
        <w:rPr>
          <w:rFonts w:ascii="仿宋" w:hAnsi="仿宋" w:eastAsia="仿宋"/>
          <w:b/>
          <w:sz w:val="28"/>
        </w:rPr>
      </w:pPr>
      <w:r>
        <w:rPr>
          <w:rFonts w:ascii="仿宋" w:hAnsi="仿宋" w:eastAsia="仿宋"/>
          <w:b/>
          <w:sz w:val="28"/>
        </w:rPr>
        <w:t>郑重声明：</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1、我们在估价报告中对事实的说明是真实和准确的，没有虚假记载、误导性陈述和重大遗漏；</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2、本估价报告中的分析、意见和结论是我们独立、客观公正的专业分析、意见和结论，但受到本估价报告中已说明的估价假设和限制条件的限制；</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3、我们与估价报告中的估价对象没有现实和潜在的利益，与估价委托人及估价利害关系人没有利害关系，也对估价对象、估价委托人及估价利害关系人没有偏见；</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4、我们是按照有关房地产估价标准的规定进行估价工作、撰写本估价报告的；</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5、我们已对本估价报告中的估价对象进行了实地查勘，同时对估价对象的法律权属状况给予了必要的关注，对估价对象的法律权属资料进行了查验，但无法对估价对象的法律权属真实性做任何形式的保证；</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6、我们对估价对象的价值进行估算并发表的专业意见是经济行为实现的参考依据，我们出具的估价报告仅限用于估价报告载明的估价目的，仅在载明的估价报告应用有效期内使用，因使用不当造成的后果与我们无关；</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7、没有人对本估价报告提供重要专业帮助。</w:t>
      </w:r>
    </w:p>
    <w:p>
      <w:pPr>
        <w:overflowPunct w:val="0"/>
        <w:topLinePunct/>
        <w:adjustRightInd w:val="0"/>
        <w:snapToGrid w:val="0"/>
        <w:spacing w:line="300" w:lineRule="auto"/>
        <w:ind w:firstLine="560" w:firstLineChars="200"/>
        <w:jc w:val="left"/>
        <w:rPr>
          <w:rFonts w:ascii="仿宋" w:hAnsi="仿宋" w:eastAsia="仿宋"/>
          <w:bCs/>
          <w:sz w:val="28"/>
        </w:rPr>
      </w:pPr>
    </w:p>
    <w:p>
      <w:pPr>
        <w:overflowPunct w:val="0"/>
        <w:topLinePunct/>
        <w:adjustRightInd w:val="0"/>
        <w:snapToGrid w:val="0"/>
        <w:spacing w:line="300" w:lineRule="auto"/>
        <w:ind w:firstLine="560" w:firstLineChars="200"/>
        <w:jc w:val="left"/>
        <w:rPr>
          <w:rFonts w:ascii="仿宋" w:hAnsi="仿宋" w:eastAsia="仿宋"/>
          <w:sz w:val="28"/>
        </w:rPr>
      </w:pPr>
      <w:r>
        <w:rPr>
          <w:rFonts w:ascii="仿宋" w:hAnsi="仿宋" w:eastAsia="仿宋"/>
          <w:bCs/>
          <w:sz w:val="28"/>
        </w:rPr>
        <w:t>注册房地产估价师：             注册证号：</w:t>
      </w:r>
      <w:r>
        <w:rPr>
          <w:rFonts w:ascii="仿宋" w:hAnsi="仿宋" w:eastAsia="仿宋"/>
          <w:kern w:val="0"/>
          <w:sz w:val="28"/>
          <w:szCs w:val="28"/>
        </w:rPr>
        <w:t>3220180320</w:t>
      </w:r>
    </w:p>
    <w:p>
      <w:pPr>
        <w:overflowPunct w:val="0"/>
        <w:topLinePunct/>
        <w:adjustRightInd w:val="0"/>
        <w:snapToGrid w:val="0"/>
        <w:spacing w:line="300" w:lineRule="auto"/>
        <w:ind w:firstLine="560" w:firstLineChars="200"/>
        <w:jc w:val="left"/>
        <w:rPr>
          <w:rFonts w:ascii="仿宋" w:hAnsi="仿宋" w:eastAsia="仿宋"/>
          <w:bCs/>
          <w:sz w:val="28"/>
        </w:rPr>
      </w:pPr>
    </w:p>
    <w:p>
      <w:pPr>
        <w:overflowPunct w:val="0"/>
        <w:topLinePunct/>
        <w:adjustRightInd w:val="0"/>
        <w:snapToGrid w:val="0"/>
        <w:spacing w:line="300" w:lineRule="auto"/>
        <w:ind w:firstLine="560" w:firstLineChars="200"/>
        <w:jc w:val="left"/>
        <w:rPr>
          <w:rFonts w:ascii="仿宋" w:hAnsi="仿宋" w:eastAsia="仿宋"/>
          <w:bCs/>
          <w:sz w:val="28"/>
        </w:rPr>
      </w:pPr>
      <w:r>
        <w:rPr>
          <w:rFonts w:ascii="仿宋" w:hAnsi="仿宋" w:eastAsia="仿宋"/>
          <w:bCs/>
          <w:sz w:val="28"/>
        </w:rPr>
        <w:t>注册房地产估价师：             注册证号：</w:t>
      </w:r>
      <w:r>
        <w:rPr>
          <w:rFonts w:ascii="仿宋" w:hAnsi="仿宋" w:eastAsia="仿宋"/>
          <w:kern w:val="0"/>
          <w:sz w:val="28"/>
          <w:szCs w:val="28"/>
        </w:rPr>
        <w:t>5220210007</w:t>
      </w:r>
    </w:p>
    <w:p>
      <w:pPr>
        <w:overflowPunct w:val="0"/>
        <w:topLinePunct/>
        <w:adjustRightInd w:val="0"/>
        <w:snapToGrid w:val="0"/>
        <w:spacing w:line="300" w:lineRule="auto"/>
        <w:ind w:firstLine="560" w:firstLineChars="200"/>
        <w:jc w:val="right"/>
        <w:rPr>
          <w:rFonts w:ascii="仿宋" w:hAnsi="仿宋" w:eastAsia="仿宋"/>
          <w:bCs/>
          <w:snapToGrid w:val="0"/>
          <w:kern w:val="0"/>
          <w:sz w:val="28"/>
        </w:rPr>
      </w:pPr>
      <w:r>
        <w:rPr>
          <w:rFonts w:hint="eastAsia" w:ascii="仿宋" w:hAnsi="仿宋" w:eastAsia="仿宋"/>
          <w:bCs/>
          <w:snapToGrid w:val="0"/>
          <w:kern w:val="0"/>
          <w:sz w:val="28"/>
        </w:rPr>
        <w:t>2021年8月26日</w:t>
      </w:r>
    </w:p>
    <w:p>
      <w:pPr>
        <w:pStyle w:val="3"/>
        <w:overflowPunct w:val="0"/>
        <w:topLinePunct/>
        <w:snapToGrid w:val="0"/>
        <w:spacing w:before="312" w:beforeLines="100" w:after="312" w:afterLines="100" w:line="360" w:lineRule="auto"/>
        <w:jc w:val="center"/>
        <w:rPr>
          <w:rFonts w:ascii="仿宋" w:hAnsi="仿宋" w:eastAsia="仿宋"/>
          <w:snapToGrid w:val="0"/>
          <w:spacing w:val="40"/>
          <w:kern w:val="0"/>
          <w:sz w:val="44"/>
          <w:szCs w:val="44"/>
        </w:rPr>
      </w:pPr>
      <w:bookmarkStart w:id="5" w:name="_Toc11785"/>
      <w:bookmarkStart w:id="6" w:name="_Toc4412"/>
      <w:bookmarkStart w:id="7" w:name="_Toc22534"/>
      <w:r>
        <w:rPr>
          <w:rFonts w:ascii="仿宋" w:hAnsi="仿宋" w:eastAsia="仿宋"/>
          <w:snapToGrid w:val="0"/>
          <w:spacing w:val="40"/>
          <w:kern w:val="0"/>
          <w:sz w:val="44"/>
          <w:szCs w:val="44"/>
        </w:rPr>
        <w:t>估价的假设和限制条件</w:t>
      </w:r>
      <w:bookmarkEnd w:id="5"/>
      <w:bookmarkEnd w:id="6"/>
      <w:bookmarkEnd w:id="7"/>
    </w:p>
    <w:p>
      <w:pPr>
        <w:pStyle w:val="10"/>
        <w:overflowPunct w:val="0"/>
        <w:topLinePunct/>
        <w:adjustRightInd w:val="0"/>
        <w:snapToGrid w:val="0"/>
        <w:spacing w:before="312" w:beforeLines="100" w:after="312" w:afterLines="100"/>
        <w:ind w:right="0" w:rightChars="0" w:firstLine="562" w:firstLineChars="200"/>
        <w:rPr>
          <w:rFonts w:ascii="仿宋" w:hAnsi="仿宋" w:eastAsia="仿宋"/>
          <w:b/>
          <w:bCs/>
          <w:sz w:val="28"/>
        </w:rPr>
      </w:pPr>
      <w:r>
        <w:rPr>
          <w:rFonts w:ascii="仿宋" w:hAnsi="仿宋" w:eastAsia="仿宋"/>
          <w:b/>
          <w:bCs/>
          <w:sz w:val="28"/>
        </w:rPr>
        <w:t>一、一般假设</w:t>
      </w:r>
    </w:p>
    <w:p>
      <w:pPr>
        <w:tabs>
          <w:tab w:val="left" w:leader="dot" w:pos="8190"/>
        </w:tabs>
        <w:overflowPunct w:val="0"/>
        <w:topLinePunct/>
        <w:adjustRightInd w:val="0"/>
        <w:snapToGrid w:val="0"/>
        <w:spacing w:line="360" w:lineRule="auto"/>
        <w:ind w:firstLine="560" w:firstLineChars="200"/>
        <w:rPr>
          <w:rFonts w:ascii="仿宋" w:hAnsi="仿宋" w:eastAsia="仿宋"/>
          <w:bCs/>
          <w:sz w:val="28"/>
        </w:rPr>
      </w:pPr>
      <w:r>
        <w:rPr>
          <w:rFonts w:ascii="仿宋" w:hAnsi="仿宋" w:eastAsia="仿宋"/>
          <w:bCs/>
          <w:sz w:val="28"/>
        </w:rPr>
        <w:t>1、估价对象的权属、建筑面积、用途等，是根据委托方提供的</w:t>
      </w:r>
      <w:r>
        <w:rPr>
          <w:rFonts w:hint="eastAsia" w:ascii="仿宋" w:hAnsi="仿宋" w:eastAsia="仿宋"/>
          <w:bCs/>
          <w:sz w:val="28"/>
        </w:rPr>
        <w:t>《贵州省凯里市人民法院评估委托函》（（2021）黔2601执恢219号）</w:t>
      </w:r>
      <w:r>
        <w:rPr>
          <w:rFonts w:ascii="仿宋" w:hAnsi="仿宋" w:eastAsia="仿宋"/>
          <w:bCs/>
          <w:sz w:val="28"/>
        </w:rPr>
        <w:t>、</w:t>
      </w:r>
      <w:r>
        <w:rPr>
          <w:rFonts w:hint="eastAsia" w:ascii="仿宋" w:hAnsi="仿宋" w:eastAsia="仿宋"/>
          <w:bCs/>
          <w:sz w:val="28"/>
        </w:rPr>
        <w:t>《房屋所有权证》（凯里房权证城区字第00003321号）、《房屋他项权证》（凯房他证凯里市字第2016000682号）</w:t>
      </w:r>
      <w:r>
        <w:rPr>
          <w:rFonts w:ascii="仿宋" w:hAnsi="仿宋" w:eastAsia="仿宋"/>
          <w:bCs/>
          <w:sz w:val="28"/>
        </w:rPr>
        <w:t>等资料上取得的，估价人员对这些资料进行了必要的核查和验证，在无理由怀疑这些资料合法性、真实性、准确性和完整性的情况下，我们在报告中假定这些资料是合法、真实、准确和完整的。</w:t>
      </w:r>
    </w:p>
    <w:p>
      <w:pPr>
        <w:tabs>
          <w:tab w:val="left" w:leader="dot" w:pos="8190"/>
        </w:tabs>
        <w:overflowPunct w:val="0"/>
        <w:topLinePunct/>
        <w:adjustRightInd w:val="0"/>
        <w:snapToGrid w:val="0"/>
        <w:spacing w:line="360" w:lineRule="auto"/>
        <w:ind w:firstLine="560" w:firstLineChars="200"/>
        <w:rPr>
          <w:rFonts w:ascii="仿宋" w:hAnsi="仿宋" w:eastAsia="仿宋"/>
          <w:bCs/>
          <w:sz w:val="28"/>
        </w:rPr>
      </w:pPr>
      <w:r>
        <w:rPr>
          <w:rFonts w:ascii="仿宋" w:hAnsi="仿宋" w:eastAsia="仿宋"/>
          <w:bCs/>
          <w:sz w:val="28"/>
        </w:rPr>
        <w:t>2、估价人员对估价对象进行了实地查勘，但现场查勘仅限于估价对象的外观和使用状况、内部布局、装修及设施设备情况，并未对估价对象做建筑物基础、房屋结构上的测量和实验，因此无法确认其内部有无缺损、是否存在结构性损坏等。我们在报告中对被遮盖、未暴露及难以接触到的房屋结构部分及其内部设施、设备假定其无重大质量问题，符合国家有关技术、质量、验收规范，且符合国家有关安全使用标准。</w:t>
      </w:r>
    </w:p>
    <w:p>
      <w:pPr>
        <w:tabs>
          <w:tab w:val="left" w:leader="dot" w:pos="8190"/>
        </w:tabs>
        <w:overflowPunct w:val="0"/>
        <w:topLinePunct/>
        <w:adjustRightInd w:val="0"/>
        <w:snapToGrid w:val="0"/>
        <w:spacing w:line="360" w:lineRule="auto"/>
        <w:ind w:firstLine="560" w:firstLineChars="200"/>
        <w:rPr>
          <w:rFonts w:ascii="仿宋" w:hAnsi="仿宋" w:eastAsia="仿宋"/>
          <w:bCs/>
          <w:sz w:val="28"/>
        </w:rPr>
      </w:pPr>
      <w:r>
        <w:rPr>
          <w:rFonts w:hint="eastAsia" w:ascii="仿宋" w:hAnsi="仿宋" w:eastAsia="仿宋"/>
          <w:bCs/>
          <w:sz w:val="28"/>
        </w:rPr>
        <w:t>3、</w:t>
      </w:r>
      <w:r>
        <w:rPr>
          <w:rFonts w:hint="eastAsia" w:ascii="仿宋" w:hAnsi="仿宋" w:eastAsia="仿宋" w:cs="仿宋"/>
          <w:bCs/>
          <w:sz w:val="28"/>
        </w:rPr>
        <w:t>假设人民</w:t>
      </w:r>
      <w:r>
        <w:rPr>
          <w:rFonts w:ascii="仿宋" w:hAnsi="仿宋" w:eastAsia="仿宋" w:cs="仿宋"/>
          <w:bCs/>
          <w:sz w:val="28"/>
        </w:rPr>
        <w:t>法院拍卖（</w:t>
      </w:r>
      <w:r>
        <w:rPr>
          <w:rFonts w:hint="eastAsia" w:ascii="仿宋" w:hAnsi="仿宋" w:eastAsia="仿宋" w:cs="仿宋"/>
          <w:bCs/>
          <w:sz w:val="28"/>
        </w:rPr>
        <w:t>或</w:t>
      </w:r>
      <w:r>
        <w:rPr>
          <w:rFonts w:ascii="仿宋" w:hAnsi="仿宋" w:eastAsia="仿宋" w:cs="仿宋"/>
          <w:bCs/>
          <w:sz w:val="28"/>
        </w:rPr>
        <w:t>变卖）</w:t>
      </w:r>
      <w:r>
        <w:rPr>
          <w:rFonts w:hint="eastAsia" w:ascii="仿宋" w:hAnsi="仿宋" w:eastAsia="仿宋" w:cs="仿宋"/>
          <w:bCs/>
          <w:sz w:val="28"/>
        </w:rPr>
        <w:t>财产</w:t>
      </w:r>
      <w:r>
        <w:rPr>
          <w:rFonts w:ascii="仿宋" w:hAnsi="仿宋" w:eastAsia="仿宋" w:cs="仿宋"/>
          <w:bCs/>
          <w:sz w:val="28"/>
        </w:rPr>
        <w:t>之日的估价对象状况和房地产市场状况与</w:t>
      </w:r>
      <w:r>
        <w:rPr>
          <w:rFonts w:hint="eastAsia" w:ascii="仿宋" w:hAnsi="仿宋" w:eastAsia="仿宋" w:cs="仿宋"/>
          <w:bCs/>
          <w:sz w:val="28"/>
        </w:rPr>
        <w:t>实地查勘</w:t>
      </w:r>
      <w:r>
        <w:rPr>
          <w:rFonts w:ascii="仿宋" w:hAnsi="仿宋" w:eastAsia="仿宋" w:cs="仿宋"/>
          <w:bCs/>
          <w:sz w:val="28"/>
        </w:rPr>
        <w:t>之日的状况相同。</w:t>
      </w:r>
    </w:p>
    <w:p>
      <w:pPr>
        <w:pStyle w:val="10"/>
        <w:overflowPunct w:val="0"/>
        <w:topLinePunct/>
        <w:adjustRightInd w:val="0"/>
        <w:snapToGrid w:val="0"/>
        <w:spacing w:before="312" w:beforeLines="100" w:after="312" w:afterLines="100"/>
        <w:ind w:right="0" w:rightChars="0" w:firstLine="562" w:firstLineChars="200"/>
        <w:rPr>
          <w:rFonts w:ascii="仿宋" w:hAnsi="仿宋" w:eastAsia="仿宋"/>
          <w:b/>
          <w:bCs/>
          <w:sz w:val="28"/>
        </w:rPr>
      </w:pPr>
      <w:r>
        <w:rPr>
          <w:rFonts w:ascii="仿宋" w:hAnsi="仿宋" w:eastAsia="仿宋"/>
          <w:b/>
          <w:bCs/>
          <w:sz w:val="28"/>
        </w:rPr>
        <w:t>二、未定事项假设</w:t>
      </w:r>
    </w:p>
    <w:p>
      <w:pPr>
        <w:pStyle w:val="10"/>
        <w:overflowPunct w:val="0"/>
        <w:topLinePunct/>
        <w:adjustRightInd w:val="0"/>
        <w:snapToGrid w:val="0"/>
        <w:spacing w:before="312" w:beforeLines="100" w:after="312" w:afterLines="100"/>
        <w:ind w:firstLine="562" w:firstLineChars="200"/>
        <w:rPr>
          <w:rFonts w:ascii="仿宋" w:hAnsi="仿宋" w:eastAsia="仿宋"/>
          <w:b/>
          <w:bCs/>
          <w:sz w:val="28"/>
        </w:rPr>
      </w:pPr>
      <w:r>
        <w:rPr>
          <w:rFonts w:hint="eastAsia" w:ascii="仿宋" w:hAnsi="仿宋" w:eastAsia="仿宋"/>
          <w:b/>
          <w:bCs/>
          <w:sz w:val="28"/>
        </w:rPr>
        <w:t>由于无法获取估价对象的《国有土地使用证》或《不动产权证书》，且委托方提供的《房屋所有权证》（凯里房权证城区字第00003321号）上未登记估价对象土地用途用途，估价对象实际用途为住宅用房，本次估价以实际用途为准，故本次设定估价对象所应分摊的土地使用权用途为住宅用地。</w:t>
      </w:r>
    </w:p>
    <w:p>
      <w:pPr>
        <w:pStyle w:val="10"/>
        <w:overflowPunct w:val="0"/>
        <w:topLinePunct/>
        <w:adjustRightInd w:val="0"/>
        <w:snapToGrid w:val="0"/>
        <w:spacing w:before="312" w:beforeLines="100" w:after="312" w:afterLines="100"/>
        <w:ind w:right="0" w:rightChars="0" w:firstLine="562" w:firstLineChars="200"/>
        <w:rPr>
          <w:rFonts w:ascii="仿宋" w:hAnsi="仿宋" w:eastAsia="仿宋"/>
          <w:b/>
          <w:bCs/>
          <w:sz w:val="28"/>
        </w:rPr>
      </w:pPr>
      <w:r>
        <w:rPr>
          <w:rFonts w:hint="eastAsia" w:ascii="仿宋" w:hAnsi="仿宋" w:eastAsia="仿宋"/>
          <w:b/>
          <w:bCs/>
          <w:sz w:val="28"/>
        </w:rPr>
        <w:t>若该假设前提与事实不符，则本次评估结果无效，应重新评估，在此提请报告使用方注意。</w:t>
      </w:r>
    </w:p>
    <w:p>
      <w:pPr>
        <w:pStyle w:val="10"/>
        <w:overflowPunct w:val="0"/>
        <w:topLinePunct/>
        <w:adjustRightInd w:val="0"/>
        <w:snapToGrid w:val="0"/>
        <w:spacing w:before="312" w:beforeLines="100" w:after="312" w:afterLines="100"/>
        <w:ind w:right="0" w:rightChars="0" w:firstLine="562" w:firstLineChars="200"/>
        <w:rPr>
          <w:rFonts w:ascii="仿宋" w:hAnsi="仿宋" w:eastAsia="仿宋"/>
          <w:b/>
          <w:bCs/>
          <w:sz w:val="28"/>
        </w:rPr>
      </w:pPr>
      <w:r>
        <w:rPr>
          <w:rFonts w:ascii="仿宋" w:hAnsi="仿宋" w:eastAsia="仿宋"/>
          <w:b/>
          <w:bCs/>
          <w:sz w:val="28"/>
        </w:rPr>
        <w:t>三、背离事实假设</w:t>
      </w:r>
    </w:p>
    <w:p>
      <w:pPr>
        <w:pStyle w:val="10"/>
        <w:overflowPunct w:val="0"/>
        <w:topLinePunct/>
        <w:adjustRightInd w:val="0"/>
        <w:snapToGrid w:val="0"/>
        <w:spacing w:before="312" w:beforeLines="100" w:after="312" w:afterLines="100"/>
        <w:ind w:right="0" w:rightChars="0" w:firstLine="560" w:firstLineChars="200"/>
        <w:rPr>
          <w:rFonts w:ascii="仿宋" w:hAnsi="仿宋" w:eastAsia="仿宋"/>
          <w:kern w:val="0"/>
          <w:sz w:val="28"/>
          <w:szCs w:val="28"/>
        </w:rPr>
      </w:pPr>
      <w:r>
        <w:rPr>
          <w:rFonts w:ascii="仿宋" w:hAnsi="仿宋" w:eastAsia="仿宋"/>
          <w:bCs/>
          <w:sz w:val="28"/>
        </w:rPr>
        <w:t>截止价值时点，根据委托方提供资料，得知估价对象</w:t>
      </w:r>
      <w:r>
        <w:rPr>
          <w:rFonts w:ascii="仿宋" w:hAnsi="仿宋" w:eastAsia="仿宋"/>
          <w:bCs/>
          <w:snapToGrid w:val="0"/>
          <w:kern w:val="0"/>
          <w:sz w:val="28"/>
        </w:rPr>
        <w:t>存在</w:t>
      </w:r>
      <w:r>
        <w:rPr>
          <w:rFonts w:ascii="仿宋" w:hAnsi="仿宋" w:eastAsia="仿宋"/>
          <w:bCs/>
          <w:sz w:val="28"/>
        </w:rPr>
        <w:t>法定优先受偿款情况。根据估价目的，本次估价仅是为委托方确定估价对象在价值时点的处置参考价。因此本次评估未考虑估价对象法定优先受偿款情况，</w:t>
      </w:r>
      <w:r>
        <w:rPr>
          <w:rFonts w:hint="eastAsia" w:ascii="仿宋" w:hAnsi="仿宋" w:eastAsia="仿宋"/>
          <w:bCs/>
          <w:sz w:val="28"/>
        </w:rPr>
        <w:t>但</w:t>
      </w:r>
      <w:r>
        <w:rPr>
          <w:rFonts w:ascii="仿宋" w:hAnsi="仿宋" w:eastAsia="仿宋"/>
          <w:bCs/>
          <w:sz w:val="28"/>
        </w:rPr>
        <w:t>处置该房地产时，会涉及到法定优先受偿款，会影响到房产受让方收益价值，在此提请估价报告使用方注意。</w:t>
      </w:r>
    </w:p>
    <w:p>
      <w:pPr>
        <w:pStyle w:val="10"/>
        <w:overflowPunct w:val="0"/>
        <w:topLinePunct/>
        <w:adjustRightInd w:val="0"/>
        <w:snapToGrid w:val="0"/>
        <w:spacing w:before="312" w:beforeLines="100" w:after="312" w:afterLines="100"/>
        <w:ind w:right="0" w:rightChars="0" w:firstLine="562" w:firstLineChars="200"/>
        <w:rPr>
          <w:rFonts w:ascii="仿宋" w:hAnsi="仿宋" w:eastAsia="仿宋"/>
          <w:b/>
          <w:bCs/>
          <w:sz w:val="28"/>
        </w:rPr>
      </w:pPr>
      <w:r>
        <w:rPr>
          <w:rFonts w:ascii="仿宋" w:hAnsi="仿宋" w:eastAsia="仿宋"/>
          <w:b/>
          <w:bCs/>
          <w:sz w:val="28"/>
        </w:rPr>
        <w:t>四、不相一致假设</w:t>
      </w:r>
    </w:p>
    <w:p>
      <w:pPr>
        <w:pStyle w:val="10"/>
        <w:overflowPunct w:val="0"/>
        <w:topLinePunct/>
        <w:adjustRightInd w:val="0"/>
        <w:snapToGrid w:val="0"/>
        <w:spacing w:before="156" w:beforeLines="50" w:after="156" w:afterLines="50"/>
        <w:ind w:right="0" w:rightChars="0" w:firstLine="560" w:firstLineChars="200"/>
        <w:contextualSpacing/>
        <w:rPr>
          <w:rFonts w:ascii="仿宋" w:hAnsi="仿宋" w:eastAsia="仿宋"/>
          <w:bCs/>
          <w:sz w:val="28"/>
        </w:rPr>
      </w:pPr>
      <w:r>
        <w:rPr>
          <w:rFonts w:hint="eastAsia" w:ascii="仿宋" w:hAnsi="仿宋" w:eastAsia="仿宋"/>
          <w:bCs/>
          <w:sz w:val="28"/>
        </w:rPr>
        <w:t>无不相一致假设</w:t>
      </w:r>
      <w:r>
        <w:rPr>
          <w:rFonts w:ascii="仿宋" w:hAnsi="仿宋" w:eastAsia="仿宋"/>
          <w:bCs/>
          <w:sz w:val="28"/>
        </w:rPr>
        <w:t>。</w:t>
      </w:r>
    </w:p>
    <w:p>
      <w:pPr>
        <w:pStyle w:val="10"/>
        <w:overflowPunct w:val="0"/>
        <w:topLinePunct/>
        <w:adjustRightInd w:val="0"/>
        <w:snapToGrid w:val="0"/>
        <w:spacing w:before="312" w:beforeLines="100" w:after="312" w:afterLines="100"/>
        <w:ind w:right="0" w:rightChars="0" w:firstLine="562" w:firstLineChars="200"/>
        <w:rPr>
          <w:rFonts w:ascii="仿宋" w:hAnsi="仿宋" w:eastAsia="仿宋"/>
          <w:b/>
          <w:bCs/>
          <w:sz w:val="28"/>
        </w:rPr>
      </w:pPr>
      <w:r>
        <w:rPr>
          <w:rFonts w:ascii="仿宋" w:hAnsi="仿宋" w:eastAsia="仿宋"/>
          <w:b/>
          <w:bCs/>
          <w:sz w:val="28"/>
        </w:rPr>
        <w:t>五、依据不足假设</w:t>
      </w:r>
    </w:p>
    <w:p>
      <w:pPr>
        <w:pStyle w:val="10"/>
        <w:overflowPunct w:val="0"/>
        <w:topLinePunct/>
        <w:adjustRightInd w:val="0"/>
        <w:snapToGrid w:val="0"/>
        <w:spacing w:before="312" w:beforeLines="100" w:after="312" w:afterLines="100"/>
        <w:ind w:firstLine="562" w:firstLineChars="200"/>
        <w:rPr>
          <w:rFonts w:ascii="仿宋" w:hAnsi="仿宋" w:eastAsia="仿宋"/>
          <w:b/>
          <w:bCs/>
          <w:sz w:val="28"/>
        </w:rPr>
      </w:pPr>
      <w:r>
        <w:rPr>
          <w:rFonts w:hint="eastAsia" w:ascii="仿宋" w:hAnsi="仿宋" w:eastAsia="仿宋"/>
          <w:b/>
          <w:bCs/>
          <w:sz w:val="28"/>
        </w:rPr>
        <w:t>由于无法获取估价对象的《国有土地使用证》或《不动产权证书》，且委托方提供的《房屋所有权证》（凯里房权证城区字第00003321号）上未登记估价对象土地用途用途，估价对象实际用途为住宅用房，本次估价以实际用途为准，故本次设定估价对象所应分摊的土地使用权用途为住宅用地。</w:t>
      </w:r>
    </w:p>
    <w:p>
      <w:pPr>
        <w:pStyle w:val="10"/>
        <w:overflowPunct w:val="0"/>
        <w:topLinePunct/>
        <w:adjustRightInd w:val="0"/>
        <w:snapToGrid w:val="0"/>
        <w:spacing w:before="312" w:beforeLines="100" w:after="312" w:afterLines="100"/>
        <w:ind w:right="0" w:rightChars="0" w:firstLine="562" w:firstLineChars="200"/>
        <w:rPr>
          <w:rFonts w:ascii="仿宋" w:hAnsi="仿宋" w:eastAsia="仿宋"/>
          <w:b/>
          <w:bCs/>
          <w:sz w:val="28"/>
        </w:rPr>
      </w:pPr>
      <w:r>
        <w:rPr>
          <w:rFonts w:hint="eastAsia" w:ascii="仿宋" w:hAnsi="仿宋" w:eastAsia="仿宋"/>
          <w:b/>
          <w:bCs/>
          <w:sz w:val="28"/>
        </w:rPr>
        <w:t>若该假设前提与事实不符，则本次评估结果无效，应重新评估，在此提请报告使用方注意。</w:t>
      </w:r>
    </w:p>
    <w:p>
      <w:pPr>
        <w:pStyle w:val="10"/>
        <w:overflowPunct w:val="0"/>
        <w:topLinePunct/>
        <w:adjustRightInd w:val="0"/>
        <w:snapToGrid w:val="0"/>
        <w:spacing w:before="312" w:beforeLines="100" w:after="312" w:afterLines="100"/>
        <w:ind w:right="0" w:rightChars="0" w:firstLine="562" w:firstLineChars="200"/>
        <w:rPr>
          <w:rFonts w:ascii="仿宋" w:hAnsi="仿宋" w:eastAsia="仿宋"/>
          <w:b/>
          <w:bCs/>
          <w:sz w:val="28"/>
        </w:rPr>
      </w:pPr>
      <w:r>
        <w:rPr>
          <w:rFonts w:ascii="仿宋" w:hAnsi="仿宋" w:eastAsia="仿宋"/>
          <w:b/>
          <w:bCs/>
          <w:sz w:val="28"/>
        </w:rPr>
        <w:t>六、估价报告的使用限制</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1、本报告结果及附件仅供委托方用于估价目的所载明的用途，不对其它用途负责，不能作为估价对象权属界定的依据；非为法律、法规规定的需要，报告及附件的全部或部分内容不得向委托方、评估审查部门以外的单位和个人提供，未经估价机构许可，不得见诸于公开媒体。</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2、估价对象状况和房地产市场状况因时间变化对房地产价值可能产生影响。若估价对象状况和房地产市场价格变化较大，应对房地产价值进行调整或者重新评估。</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3、估价报告的有效期为12个月，即从</w:t>
      </w:r>
      <w:r>
        <w:rPr>
          <w:rFonts w:hint="eastAsia" w:ascii="仿宋" w:hAnsi="仿宋" w:eastAsia="仿宋"/>
          <w:bCs/>
          <w:sz w:val="28"/>
        </w:rPr>
        <w:t>2021年8月26日</w:t>
      </w:r>
      <w:r>
        <w:rPr>
          <w:rFonts w:ascii="仿宋" w:hAnsi="仿宋" w:eastAsia="仿宋"/>
          <w:bCs/>
          <w:sz w:val="28"/>
        </w:rPr>
        <w:t>至</w:t>
      </w:r>
      <w:r>
        <w:rPr>
          <w:rFonts w:hint="eastAsia" w:ascii="仿宋" w:hAnsi="仿宋" w:eastAsia="仿宋"/>
          <w:bCs/>
          <w:sz w:val="28"/>
        </w:rPr>
        <w:t>2022年8月25日</w:t>
      </w:r>
      <w:r>
        <w:rPr>
          <w:rFonts w:ascii="仿宋" w:hAnsi="仿宋" w:eastAsia="仿宋"/>
          <w:bCs/>
          <w:sz w:val="28"/>
        </w:rPr>
        <w:t>止。如果超过上述有效期使用本报告及估价结果，我们对所造成的后果及影响不负任何责任。</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4、报告中的假设条件对于报告使用人（包括可能的买受人）是重要的，报告使用人必须考虑上述因素对其即将做出的行为的影响；因报告使用人对这些设定的条件不重视而导致其利益受损，评估机构和评估人员不承担相应责任。</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5、委托方提供的资料直接影响我们的估价分析和结论，</w:t>
      </w:r>
      <w:r>
        <w:rPr>
          <w:rFonts w:ascii="仿宋" w:hAnsi="仿宋" w:eastAsia="仿宋"/>
          <w:bCs/>
          <w:snapToGrid w:val="0"/>
          <w:kern w:val="0"/>
          <w:sz w:val="28"/>
        </w:rPr>
        <w:t>根据《中华人民共和国资产评估法》，</w:t>
      </w:r>
      <w:r>
        <w:rPr>
          <w:rFonts w:ascii="仿宋" w:hAnsi="仿宋" w:eastAsia="仿宋"/>
          <w:b/>
          <w:bCs/>
          <w:snapToGrid w:val="0"/>
          <w:kern w:val="0"/>
          <w:sz w:val="28"/>
        </w:rPr>
        <w:t>委托人应当对其提供的权属证明、财务会计信息和其他资料的真实性、完整性和合法性负责</w:t>
      </w:r>
      <w:r>
        <w:rPr>
          <w:rFonts w:ascii="仿宋" w:hAnsi="仿宋" w:eastAsia="仿宋"/>
          <w:bCs/>
          <w:sz w:val="28"/>
        </w:rPr>
        <w:t>；因资料失实造成评估结果有误的，评估机构和评估人员不承担相应责任。</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6、我们已对本估价报告中的估价对象进行了实地查勘，同时对估价对象的法律权属状况给予了必要的关注，对估价对象的法律权属资料进行了查验，但无法对估价对象的法律权属真实性做任何形式的保证。</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7、当事人、利害关系人收到评估报告五日内对评估报告的参照标准、计算方法或者评估结果等提出书面异议的，人民法院应当在三日内交评估机构予以书面说明。</w:t>
      </w:r>
    </w:p>
    <w:p>
      <w:pPr>
        <w:pStyle w:val="10"/>
        <w:overflowPunct w:val="0"/>
        <w:topLinePunct/>
        <w:adjustRightInd w:val="0"/>
        <w:snapToGrid w:val="0"/>
        <w:ind w:right="0" w:rightChars="0" w:firstLine="560" w:firstLineChars="200"/>
        <w:rPr>
          <w:rFonts w:ascii="仿宋" w:hAnsi="仿宋" w:eastAsia="仿宋"/>
          <w:bCs/>
          <w:sz w:val="28"/>
        </w:rPr>
      </w:pPr>
    </w:p>
    <w:p>
      <w:pPr>
        <w:pStyle w:val="3"/>
        <w:overflowPunct w:val="0"/>
        <w:topLinePunct/>
        <w:snapToGrid w:val="0"/>
        <w:spacing w:before="312" w:beforeLines="100" w:after="312" w:afterLines="100" w:line="360" w:lineRule="auto"/>
        <w:jc w:val="center"/>
        <w:rPr>
          <w:rFonts w:ascii="仿宋" w:hAnsi="仿宋" w:eastAsia="仿宋"/>
          <w:snapToGrid w:val="0"/>
          <w:spacing w:val="40"/>
          <w:kern w:val="0"/>
          <w:sz w:val="44"/>
          <w:szCs w:val="44"/>
        </w:rPr>
      </w:pPr>
      <w:r>
        <w:rPr>
          <w:rFonts w:ascii="仿宋" w:hAnsi="仿宋" w:eastAsia="仿宋"/>
          <w:bCs w:val="0"/>
          <w:sz w:val="28"/>
        </w:rPr>
        <w:br w:type="page"/>
      </w:r>
      <w:bookmarkStart w:id="8" w:name="_Toc24549"/>
      <w:bookmarkStart w:id="9" w:name="_Toc22823"/>
      <w:bookmarkStart w:id="10" w:name="_Toc16868"/>
      <w:r>
        <w:rPr>
          <w:rFonts w:ascii="仿宋" w:hAnsi="仿宋" w:eastAsia="仿宋"/>
          <w:snapToGrid w:val="0"/>
          <w:spacing w:val="40"/>
          <w:kern w:val="0"/>
          <w:sz w:val="44"/>
          <w:szCs w:val="44"/>
        </w:rPr>
        <w:t>估价结果报告</w:t>
      </w:r>
      <w:bookmarkEnd w:id="8"/>
      <w:bookmarkEnd w:id="9"/>
      <w:bookmarkEnd w:id="10"/>
    </w:p>
    <w:p>
      <w:pPr>
        <w:pStyle w:val="4"/>
        <w:overflowPunct w:val="0"/>
        <w:topLinePunct/>
        <w:adjustRightInd w:val="0"/>
        <w:snapToGrid w:val="0"/>
        <w:spacing w:before="312" w:beforeLines="100" w:after="312" w:afterLines="100" w:line="360" w:lineRule="auto"/>
        <w:ind w:firstLine="562" w:firstLineChars="200"/>
        <w:jc w:val="left"/>
        <w:rPr>
          <w:rFonts w:ascii="仿宋" w:hAnsi="仿宋" w:eastAsia="仿宋"/>
          <w:sz w:val="28"/>
        </w:rPr>
      </w:pPr>
      <w:bookmarkStart w:id="11" w:name="_Toc13214"/>
      <w:bookmarkStart w:id="12" w:name="_Toc5621"/>
      <w:bookmarkStart w:id="13" w:name="_Toc30709"/>
      <w:r>
        <w:rPr>
          <w:rFonts w:ascii="仿宋" w:hAnsi="仿宋" w:eastAsia="仿宋"/>
          <w:sz w:val="28"/>
        </w:rPr>
        <w:t>一、估价委托人</w:t>
      </w:r>
      <w:bookmarkEnd w:id="11"/>
      <w:bookmarkEnd w:id="12"/>
      <w:bookmarkEnd w:id="13"/>
    </w:p>
    <w:p>
      <w:pPr>
        <w:spacing w:line="360" w:lineRule="auto"/>
        <w:ind w:firstLine="560"/>
        <w:rPr>
          <w:rFonts w:ascii="仿宋" w:hAnsi="仿宋" w:eastAsia="仿宋"/>
          <w:sz w:val="28"/>
        </w:rPr>
      </w:pPr>
      <w:r>
        <w:rPr>
          <w:rFonts w:ascii="仿宋" w:hAnsi="仿宋" w:eastAsia="仿宋"/>
          <w:sz w:val="28"/>
        </w:rPr>
        <w:t>单位名称：</w:t>
      </w:r>
      <w:r>
        <w:rPr>
          <w:rFonts w:hint="eastAsia" w:ascii="仿宋" w:hAnsi="仿宋" w:eastAsia="仿宋"/>
          <w:sz w:val="28"/>
        </w:rPr>
        <w:t>凯里市人民法院</w:t>
      </w:r>
    </w:p>
    <w:p>
      <w:pPr>
        <w:pStyle w:val="4"/>
        <w:overflowPunct w:val="0"/>
        <w:topLinePunct/>
        <w:adjustRightInd w:val="0"/>
        <w:snapToGrid w:val="0"/>
        <w:spacing w:before="312" w:beforeLines="100" w:after="312" w:afterLines="100" w:line="360" w:lineRule="auto"/>
        <w:ind w:firstLine="562" w:firstLineChars="200"/>
        <w:jc w:val="left"/>
        <w:rPr>
          <w:rFonts w:ascii="仿宋" w:hAnsi="仿宋" w:eastAsia="仿宋"/>
          <w:sz w:val="28"/>
        </w:rPr>
      </w:pPr>
      <w:bookmarkStart w:id="14" w:name="_Toc18670"/>
      <w:bookmarkStart w:id="15" w:name="_Toc18368"/>
      <w:bookmarkStart w:id="16" w:name="_Toc10317"/>
      <w:r>
        <w:rPr>
          <w:rFonts w:ascii="仿宋" w:hAnsi="仿宋" w:eastAsia="仿宋"/>
          <w:sz w:val="28"/>
        </w:rPr>
        <w:t>二、房地产估价机构</w:t>
      </w:r>
      <w:bookmarkEnd w:id="14"/>
      <w:bookmarkEnd w:id="15"/>
      <w:bookmarkEnd w:id="16"/>
    </w:p>
    <w:p>
      <w:pPr>
        <w:pStyle w:val="10"/>
        <w:overflowPunct w:val="0"/>
        <w:topLinePunct/>
        <w:adjustRightInd w:val="0"/>
        <w:snapToGrid w:val="0"/>
        <w:ind w:right="0" w:rightChars="0" w:firstLineChars="200"/>
        <w:rPr>
          <w:rFonts w:ascii="仿宋" w:hAnsi="仿宋" w:eastAsia="仿宋"/>
          <w:bCs/>
          <w:sz w:val="28"/>
        </w:rPr>
      </w:pPr>
      <w:r>
        <w:rPr>
          <w:rFonts w:ascii="仿宋" w:hAnsi="仿宋" w:eastAsia="仿宋"/>
          <w:bCs/>
          <w:spacing w:val="-10"/>
          <w:sz w:val="28"/>
        </w:rPr>
        <w:t>名称</w:t>
      </w:r>
      <w:r>
        <w:rPr>
          <w:rFonts w:ascii="仿宋" w:hAnsi="仿宋" w:eastAsia="仿宋"/>
          <w:bCs/>
          <w:sz w:val="28"/>
        </w:rPr>
        <w:t>：贵州明志房地产估价经纪有限公司</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统一社会信用代码：91520102795251566Q</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法定代表人：张勇</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房地产估价资质等级：贰级</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资质证书编号：黔建房估字A2007006</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经营范围：房地产估价、土地估价；房地产市场调查、中介、咨询及项目评估；房地产代理；房地产手续代办。</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地址：贵阳市云岩区大营坡187号中大国际广场A1栋29楼16号</w:t>
      </w:r>
    </w:p>
    <w:p>
      <w:pPr>
        <w:pStyle w:val="10"/>
        <w:overflowPunct w:val="0"/>
        <w:topLinePunct/>
        <w:adjustRightInd w:val="0"/>
        <w:snapToGrid w:val="0"/>
        <w:ind w:right="0" w:rightChars="0" w:firstLine="560" w:firstLineChars="200"/>
        <w:rPr>
          <w:rFonts w:ascii="仿宋" w:hAnsi="仿宋" w:eastAsia="仿宋"/>
          <w:bCs/>
          <w:sz w:val="28"/>
        </w:rPr>
      </w:pPr>
      <w:r>
        <w:rPr>
          <w:rFonts w:ascii="仿宋" w:hAnsi="仿宋" w:eastAsia="仿宋"/>
          <w:bCs/>
          <w:sz w:val="28"/>
        </w:rPr>
        <w:t>联系电话：0851-86857789</w:t>
      </w:r>
    </w:p>
    <w:p>
      <w:pPr>
        <w:pStyle w:val="4"/>
        <w:overflowPunct w:val="0"/>
        <w:topLinePunct/>
        <w:adjustRightInd w:val="0"/>
        <w:snapToGrid w:val="0"/>
        <w:spacing w:before="312" w:beforeLines="100" w:after="312" w:afterLines="100" w:line="360" w:lineRule="auto"/>
        <w:ind w:firstLine="562" w:firstLineChars="200"/>
        <w:jc w:val="left"/>
        <w:rPr>
          <w:rFonts w:ascii="仿宋" w:hAnsi="仿宋" w:eastAsia="仿宋"/>
          <w:sz w:val="28"/>
        </w:rPr>
      </w:pPr>
      <w:bookmarkStart w:id="17" w:name="_Toc15320"/>
      <w:bookmarkStart w:id="18" w:name="_Toc20978"/>
      <w:bookmarkStart w:id="19" w:name="_Toc17324"/>
      <w:r>
        <w:rPr>
          <w:rFonts w:ascii="仿宋" w:hAnsi="仿宋" w:eastAsia="仿宋"/>
          <w:sz w:val="28"/>
        </w:rPr>
        <w:t>三、估价目的</w:t>
      </w:r>
      <w:bookmarkEnd w:id="17"/>
      <w:bookmarkEnd w:id="18"/>
      <w:bookmarkEnd w:id="19"/>
    </w:p>
    <w:p>
      <w:pPr>
        <w:overflowPunct w:val="0"/>
        <w:topLinePunct/>
        <w:adjustRightInd w:val="0"/>
        <w:snapToGrid w:val="0"/>
        <w:spacing w:line="360" w:lineRule="auto"/>
        <w:ind w:firstLine="560" w:firstLineChars="200"/>
        <w:jc w:val="left"/>
        <w:rPr>
          <w:rFonts w:ascii="仿宋" w:hAnsi="仿宋" w:eastAsia="仿宋"/>
          <w:bCs/>
          <w:sz w:val="28"/>
        </w:rPr>
      </w:pPr>
      <w:r>
        <w:rPr>
          <w:rFonts w:ascii="仿宋" w:hAnsi="仿宋" w:eastAsia="仿宋"/>
          <w:bCs/>
          <w:sz w:val="28"/>
        </w:rPr>
        <w:t>为人民法院确定财产处置参考价提供参考依据。</w:t>
      </w:r>
    </w:p>
    <w:p>
      <w:pPr>
        <w:pStyle w:val="4"/>
        <w:overflowPunct w:val="0"/>
        <w:topLinePunct/>
        <w:adjustRightInd w:val="0"/>
        <w:snapToGrid w:val="0"/>
        <w:spacing w:before="312" w:beforeLines="100" w:after="312" w:afterLines="100" w:line="360" w:lineRule="auto"/>
        <w:ind w:firstLine="562" w:firstLineChars="200"/>
        <w:jc w:val="left"/>
        <w:rPr>
          <w:rFonts w:ascii="仿宋" w:hAnsi="仿宋" w:eastAsia="仿宋"/>
          <w:sz w:val="28"/>
        </w:rPr>
      </w:pPr>
      <w:bookmarkStart w:id="20" w:name="_Toc18628"/>
      <w:bookmarkStart w:id="21" w:name="_Toc13389"/>
      <w:bookmarkStart w:id="22" w:name="_Toc11467"/>
      <w:r>
        <w:rPr>
          <w:rFonts w:ascii="仿宋" w:hAnsi="仿宋" w:eastAsia="仿宋"/>
          <w:sz w:val="28"/>
        </w:rPr>
        <w:t>四、估价对象</w:t>
      </w:r>
      <w:bookmarkEnd w:id="20"/>
      <w:bookmarkEnd w:id="21"/>
      <w:bookmarkEnd w:id="22"/>
    </w:p>
    <w:p>
      <w:pPr>
        <w:pStyle w:val="4"/>
        <w:rPr>
          <w:rFonts w:ascii="仿宋" w:hAnsi="仿宋" w:eastAsia="仿宋"/>
          <w:bCs w:val="0"/>
          <w:sz w:val="28"/>
        </w:rPr>
      </w:pPr>
      <w:bookmarkStart w:id="23" w:name="_Toc15749"/>
      <w:bookmarkStart w:id="24" w:name="_Toc13911"/>
      <w:bookmarkStart w:id="25" w:name="_Toc11357"/>
      <w:bookmarkStart w:id="26" w:name="_Toc461005133"/>
      <w:r>
        <w:rPr>
          <w:rFonts w:ascii="仿宋" w:hAnsi="仿宋" w:eastAsia="仿宋"/>
          <w:bCs w:val="0"/>
          <w:sz w:val="28"/>
        </w:rPr>
        <w:t>（一）估价对象范围及用途</w:t>
      </w:r>
      <w:bookmarkEnd w:id="23"/>
      <w:bookmarkEnd w:id="24"/>
      <w:bookmarkEnd w:id="25"/>
    </w:p>
    <w:p>
      <w:pPr>
        <w:overflowPunct w:val="0"/>
        <w:topLinePunct/>
        <w:adjustRightInd w:val="0"/>
        <w:snapToGrid w:val="0"/>
        <w:spacing w:line="360" w:lineRule="auto"/>
        <w:ind w:firstLine="560" w:firstLineChars="200"/>
        <w:rPr>
          <w:rFonts w:ascii="仿宋" w:hAnsi="仿宋" w:eastAsia="仿宋"/>
          <w:sz w:val="28"/>
          <w:szCs w:val="28"/>
        </w:rPr>
      </w:pPr>
      <w:bookmarkStart w:id="27" w:name="_Hlk80865421"/>
      <w:r>
        <w:rPr>
          <w:rFonts w:ascii="仿宋" w:hAnsi="仿宋" w:eastAsia="仿宋"/>
          <w:sz w:val="28"/>
          <w:szCs w:val="28"/>
        </w:rPr>
        <w:t>估价对象为</w:t>
      </w:r>
      <w:r>
        <w:rPr>
          <w:rFonts w:hint="eastAsia" w:ascii="仿宋" w:hAnsi="仿宋" w:eastAsia="仿宋"/>
          <w:sz w:val="28"/>
          <w:szCs w:val="28"/>
        </w:rPr>
        <w:t>凯里市红洲路至金泉湖段320国道两侧北街5栋附1号2-4层</w:t>
      </w:r>
      <w:r>
        <w:rPr>
          <w:rFonts w:ascii="仿宋" w:hAnsi="仿宋" w:eastAsia="仿宋"/>
          <w:sz w:val="28"/>
          <w:szCs w:val="28"/>
        </w:rPr>
        <w:t>住宅用房（建筑面积：</w:t>
      </w:r>
      <w:r>
        <w:rPr>
          <w:rFonts w:hint="eastAsia" w:ascii="仿宋" w:hAnsi="仿宋" w:eastAsia="仿宋"/>
          <w:sz w:val="28"/>
          <w:szCs w:val="28"/>
        </w:rPr>
        <w:t>222.81</w:t>
      </w:r>
      <w:r>
        <w:rPr>
          <w:rFonts w:ascii="仿宋" w:hAnsi="仿宋" w:eastAsia="仿宋"/>
          <w:sz w:val="28"/>
          <w:szCs w:val="28"/>
        </w:rPr>
        <w:t>平方米，含所分摊的土地使用权</w:t>
      </w:r>
      <w:r>
        <w:rPr>
          <w:rFonts w:hint="eastAsia" w:ascii="仿宋" w:hAnsi="仿宋" w:eastAsia="仿宋"/>
          <w:sz w:val="28"/>
          <w:szCs w:val="28"/>
        </w:rPr>
        <w:t>，</w:t>
      </w:r>
      <w:r>
        <w:rPr>
          <w:rFonts w:ascii="仿宋" w:hAnsi="仿宋" w:eastAsia="仿宋"/>
          <w:sz w:val="28"/>
          <w:szCs w:val="28"/>
        </w:rPr>
        <w:t>含</w:t>
      </w:r>
      <w:r>
        <w:rPr>
          <w:rFonts w:hint="eastAsia" w:ascii="仿宋" w:hAnsi="仿宋" w:eastAsia="仿宋"/>
          <w:bCs/>
          <w:snapToGrid w:val="0"/>
          <w:kern w:val="0"/>
          <w:sz w:val="28"/>
        </w:rPr>
        <w:t>室内二次装修价值</w:t>
      </w:r>
      <w:r>
        <w:rPr>
          <w:rFonts w:ascii="仿宋" w:hAnsi="仿宋" w:eastAsia="仿宋"/>
          <w:sz w:val="28"/>
          <w:szCs w:val="28"/>
        </w:rPr>
        <w:t>）。</w:t>
      </w:r>
    </w:p>
    <w:bookmarkEnd w:id="27"/>
    <w:p>
      <w:pPr>
        <w:pStyle w:val="4"/>
        <w:rPr>
          <w:rFonts w:ascii="仿宋" w:hAnsi="仿宋" w:eastAsia="仿宋"/>
          <w:bCs w:val="0"/>
          <w:sz w:val="28"/>
        </w:rPr>
      </w:pPr>
      <w:bookmarkStart w:id="28" w:name="_Toc28611"/>
      <w:bookmarkStart w:id="29" w:name="_Toc24250"/>
      <w:bookmarkStart w:id="30" w:name="_Toc202"/>
      <w:r>
        <w:rPr>
          <w:rFonts w:ascii="仿宋" w:hAnsi="仿宋" w:eastAsia="仿宋"/>
          <w:bCs w:val="0"/>
          <w:sz w:val="28"/>
        </w:rPr>
        <w:t>（二）估价对象权益状况</w:t>
      </w:r>
      <w:bookmarkEnd w:id="28"/>
      <w:bookmarkEnd w:id="29"/>
      <w:bookmarkEnd w:id="30"/>
    </w:p>
    <w:p>
      <w:pPr>
        <w:overflowPunct w:val="0"/>
        <w:topLinePunct/>
        <w:adjustRightInd w:val="0"/>
        <w:snapToGrid w:val="0"/>
        <w:spacing w:line="360" w:lineRule="auto"/>
        <w:ind w:firstLine="560" w:firstLineChars="200"/>
        <w:outlineLvl w:val="2"/>
        <w:rPr>
          <w:rFonts w:ascii="仿宋" w:hAnsi="仿宋" w:eastAsia="仿宋"/>
          <w:sz w:val="28"/>
          <w:szCs w:val="28"/>
        </w:rPr>
      </w:pPr>
      <w:bookmarkStart w:id="31" w:name="_Toc7008"/>
      <w:bookmarkStart w:id="32" w:name="_Toc14169"/>
      <w:bookmarkStart w:id="33" w:name="_Toc1152"/>
      <w:bookmarkStart w:id="34" w:name="_Toc18049"/>
      <w:bookmarkStart w:id="35" w:name="_Hlk80865458"/>
      <w:r>
        <w:rPr>
          <w:rFonts w:ascii="仿宋" w:hAnsi="仿宋" w:eastAsia="仿宋"/>
          <w:sz w:val="28"/>
          <w:szCs w:val="28"/>
        </w:rPr>
        <w:t>1、建筑物</w:t>
      </w:r>
      <w:r>
        <w:rPr>
          <w:rFonts w:hint="eastAsia" w:ascii="仿宋" w:hAnsi="仿宋" w:eastAsia="仿宋"/>
          <w:sz w:val="28"/>
          <w:szCs w:val="28"/>
        </w:rPr>
        <w:t>、土地使用权</w:t>
      </w:r>
      <w:r>
        <w:rPr>
          <w:rFonts w:ascii="仿宋" w:hAnsi="仿宋" w:eastAsia="仿宋"/>
          <w:sz w:val="28"/>
          <w:szCs w:val="28"/>
        </w:rPr>
        <w:t>权益状况</w:t>
      </w:r>
      <w:bookmarkEnd w:id="31"/>
      <w:bookmarkEnd w:id="32"/>
      <w:bookmarkEnd w:id="33"/>
      <w:bookmarkEnd w:id="34"/>
    </w:p>
    <w:p>
      <w:pPr>
        <w:overflowPunct w:val="0"/>
        <w:topLinePunct/>
        <w:adjustRightInd w:val="0"/>
        <w:snapToGrid w:val="0"/>
        <w:spacing w:line="360" w:lineRule="auto"/>
        <w:ind w:firstLine="560" w:firstLineChars="200"/>
        <w:rPr>
          <w:rFonts w:ascii="仿宋" w:hAnsi="仿宋" w:eastAsia="仿宋"/>
          <w:bCs/>
          <w:sz w:val="28"/>
        </w:rPr>
      </w:pPr>
      <w:bookmarkStart w:id="36" w:name="_Hlk81231225"/>
      <w:r>
        <w:rPr>
          <w:rFonts w:ascii="仿宋" w:hAnsi="仿宋" w:eastAsia="仿宋"/>
          <w:sz w:val="28"/>
          <w:szCs w:val="28"/>
        </w:rPr>
        <w:t>根据委托方提供的</w:t>
      </w:r>
      <w:r>
        <w:rPr>
          <w:rFonts w:hint="eastAsia" w:ascii="仿宋" w:hAnsi="仿宋" w:eastAsia="仿宋"/>
          <w:sz w:val="28"/>
          <w:szCs w:val="28"/>
        </w:rPr>
        <w:t>《房屋所有权证》（凯里房权证城区字第00003321号）</w:t>
      </w:r>
      <w:r>
        <w:rPr>
          <w:rFonts w:ascii="仿宋" w:hAnsi="仿宋" w:eastAsia="仿宋"/>
          <w:bCs/>
          <w:sz w:val="28"/>
        </w:rPr>
        <w:t>，其</w:t>
      </w:r>
      <w:r>
        <w:rPr>
          <w:rFonts w:hint="eastAsia" w:ascii="仿宋" w:hAnsi="仿宋" w:eastAsia="仿宋"/>
          <w:bCs/>
          <w:sz w:val="28"/>
        </w:rPr>
        <w:t>登记结果</w:t>
      </w:r>
      <w:r>
        <w:rPr>
          <w:rFonts w:ascii="仿宋" w:hAnsi="仿宋" w:eastAsia="仿宋"/>
          <w:bCs/>
          <w:sz w:val="28"/>
        </w:rPr>
        <w:t>如下：</w:t>
      </w:r>
    </w:p>
    <w:tbl>
      <w:tblPr>
        <w:tblStyle w:val="24"/>
        <w:tblW w:w="9165" w:type="dxa"/>
        <w:tblInd w:w="113" w:type="dxa"/>
        <w:tblLayout w:type="autofit"/>
        <w:tblCellMar>
          <w:top w:w="0" w:type="dxa"/>
          <w:left w:w="108" w:type="dxa"/>
          <w:bottom w:w="0" w:type="dxa"/>
          <w:right w:w="108" w:type="dxa"/>
        </w:tblCellMar>
      </w:tblPr>
      <w:tblGrid>
        <w:gridCol w:w="1605"/>
        <w:gridCol w:w="558"/>
        <w:gridCol w:w="667"/>
        <w:gridCol w:w="709"/>
        <w:gridCol w:w="1081"/>
        <w:gridCol w:w="1045"/>
        <w:gridCol w:w="2127"/>
        <w:gridCol w:w="1373"/>
      </w:tblGrid>
      <w:tr>
        <w:tblPrEx>
          <w:tblCellMar>
            <w:top w:w="0" w:type="dxa"/>
            <w:left w:w="108" w:type="dxa"/>
            <w:bottom w:w="0" w:type="dxa"/>
            <w:right w:w="108" w:type="dxa"/>
          </w:tblCellMar>
        </w:tblPrEx>
        <w:trPr>
          <w:trHeight w:val="27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房屋所有权人</w:t>
            </w:r>
          </w:p>
        </w:tc>
        <w:tc>
          <w:tcPr>
            <w:tcW w:w="756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金剑</w:t>
            </w:r>
          </w:p>
        </w:tc>
      </w:tr>
      <w:tr>
        <w:tblPrEx>
          <w:tblCellMar>
            <w:top w:w="0" w:type="dxa"/>
            <w:left w:w="108" w:type="dxa"/>
            <w:bottom w:w="0" w:type="dxa"/>
            <w:right w:w="108" w:type="dxa"/>
          </w:tblCellMar>
        </w:tblPrEx>
        <w:trPr>
          <w:trHeight w:val="27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房屋坐落</w:t>
            </w:r>
          </w:p>
        </w:tc>
        <w:tc>
          <w:tcPr>
            <w:tcW w:w="756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凯里市红洲路至金泉湖路段320国道两侧北街5栋附1号</w:t>
            </w:r>
          </w:p>
        </w:tc>
      </w:tr>
      <w:tr>
        <w:tblPrEx>
          <w:tblCellMar>
            <w:top w:w="0" w:type="dxa"/>
            <w:left w:w="108" w:type="dxa"/>
            <w:bottom w:w="0" w:type="dxa"/>
            <w:right w:w="108" w:type="dxa"/>
          </w:tblCellMar>
        </w:tblPrEx>
        <w:trPr>
          <w:trHeight w:val="270" w:hRule="atLeast"/>
        </w:trPr>
        <w:tc>
          <w:tcPr>
            <w:tcW w:w="1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丘（地）号</w:t>
            </w:r>
          </w:p>
        </w:tc>
        <w:tc>
          <w:tcPr>
            <w:tcW w:w="301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产别</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私产</w:t>
            </w: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p>
        </w:tc>
      </w:tr>
      <w:tr>
        <w:tblPrEx>
          <w:tblCellMar>
            <w:top w:w="0" w:type="dxa"/>
            <w:left w:w="108" w:type="dxa"/>
            <w:bottom w:w="0" w:type="dxa"/>
            <w:right w:w="108" w:type="dxa"/>
          </w:tblCellMar>
        </w:tblPrEx>
        <w:trPr>
          <w:trHeight w:val="270" w:hRule="atLeast"/>
        </w:trPr>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房屋状况</w:t>
            </w:r>
          </w:p>
        </w:tc>
        <w:tc>
          <w:tcPr>
            <w:tcW w:w="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幢号</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房号</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结构</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房屋总层数</w:t>
            </w: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所在层数</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建筑面积（平方米）</w:t>
            </w: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设计用途</w:t>
            </w:r>
          </w:p>
        </w:tc>
      </w:tr>
      <w:tr>
        <w:tblPrEx>
          <w:tblCellMar>
            <w:top w:w="0" w:type="dxa"/>
            <w:left w:w="108" w:type="dxa"/>
            <w:bottom w:w="0" w:type="dxa"/>
            <w:right w:w="108" w:type="dxa"/>
          </w:tblCellMar>
        </w:tblPrEx>
        <w:trPr>
          <w:trHeight w:val="270" w:hRule="atLeast"/>
        </w:trPr>
        <w:tc>
          <w:tcPr>
            <w:tcW w:w="160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宋体"/>
                <w:color w:val="000000"/>
                <w:kern w:val="0"/>
                <w:sz w:val="22"/>
                <w:szCs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5</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附1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混合</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w:t>
            </w: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ascii="仿宋" w:hAnsi="仿宋" w:eastAsia="仿宋" w:cs="宋体"/>
                <w:color w:val="000000"/>
                <w:kern w:val="0"/>
                <w:sz w:val="22"/>
                <w:szCs w:val="22"/>
              </w:rPr>
              <w:t>2-4</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222.81</w:t>
            </w: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成套住宅</w:t>
            </w:r>
          </w:p>
        </w:tc>
      </w:tr>
      <w:tr>
        <w:tblPrEx>
          <w:tblCellMar>
            <w:top w:w="0" w:type="dxa"/>
            <w:left w:w="108" w:type="dxa"/>
            <w:bottom w:w="0" w:type="dxa"/>
            <w:right w:w="108" w:type="dxa"/>
          </w:tblCellMar>
        </w:tblPrEx>
        <w:trPr>
          <w:trHeight w:val="270" w:hRule="atLeast"/>
        </w:trPr>
        <w:tc>
          <w:tcPr>
            <w:tcW w:w="160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宋体"/>
                <w:color w:val="000000"/>
                <w:kern w:val="0"/>
                <w:sz w:val="22"/>
                <w:szCs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5</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附1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混合</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4</w:t>
            </w: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81.09</w:t>
            </w: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商业用房</w:t>
            </w:r>
          </w:p>
        </w:tc>
      </w:tr>
      <w:bookmarkEnd w:id="36"/>
    </w:tbl>
    <w:p>
      <w:pPr>
        <w:numPr>
          <w:ilvl w:val="0"/>
          <w:numId w:val="1"/>
        </w:numPr>
        <w:overflowPunct w:val="0"/>
        <w:topLinePunct/>
        <w:adjustRightInd w:val="0"/>
        <w:snapToGrid w:val="0"/>
        <w:spacing w:before="312" w:beforeLines="100" w:line="360" w:lineRule="auto"/>
        <w:ind w:firstLine="560" w:firstLineChars="200"/>
        <w:jc w:val="left"/>
        <w:outlineLvl w:val="2"/>
        <w:rPr>
          <w:rFonts w:ascii="仿宋" w:hAnsi="仿宋" w:eastAsia="仿宋"/>
          <w:sz w:val="28"/>
          <w:szCs w:val="28"/>
        </w:rPr>
      </w:pPr>
      <w:bookmarkStart w:id="37" w:name="_Toc18634"/>
      <w:bookmarkStart w:id="38" w:name="_Toc13414"/>
      <w:bookmarkStart w:id="39" w:name="_Toc9122"/>
      <w:bookmarkStart w:id="40" w:name="_Toc30031"/>
      <w:r>
        <w:rPr>
          <w:rFonts w:ascii="仿宋" w:hAnsi="仿宋" w:eastAsia="仿宋"/>
          <w:sz w:val="28"/>
          <w:szCs w:val="28"/>
        </w:rPr>
        <w:t>他项权利设立状况</w:t>
      </w:r>
      <w:bookmarkEnd w:id="37"/>
      <w:bookmarkEnd w:id="38"/>
      <w:bookmarkEnd w:id="39"/>
      <w:bookmarkEnd w:id="40"/>
    </w:p>
    <w:p>
      <w:pPr>
        <w:pStyle w:val="10"/>
        <w:overflowPunct w:val="0"/>
        <w:topLinePunct/>
        <w:adjustRightInd w:val="0"/>
        <w:snapToGrid w:val="0"/>
        <w:spacing w:before="312" w:beforeLines="100" w:after="312" w:afterLines="100"/>
        <w:ind w:right="0" w:rightChars="0" w:firstLine="560" w:firstLineChars="200"/>
        <w:rPr>
          <w:rFonts w:ascii="仿宋" w:hAnsi="仿宋" w:eastAsia="仿宋"/>
          <w:bCs/>
          <w:sz w:val="28"/>
        </w:rPr>
      </w:pPr>
      <w:bookmarkStart w:id="41" w:name="_Hlk81231236"/>
      <w:r>
        <w:rPr>
          <w:rFonts w:ascii="仿宋" w:hAnsi="仿宋" w:eastAsia="仿宋"/>
          <w:bCs/>
          <w:sz w:val="28"/>
        </w:rPr>
        <w:t>截止价值时点，根据委托方提供资料，得知估价对象</w:t>
      </w:r>
      <w:r>
        <w:rPr>
          <w:rFonts w:ascii="仿宋" w:hAnsi="仿宋" w:eastAsia="仿宋"/>
          <w:bCs/>
          <w:snapToGrid w:val="0"/>
          <w:kern w:val="0"/>
          <w:sz w:val="28"/>
        </w:rPr>
        <w:t>存在</w:t>
      </w:r>
      <w:r>
        <w:rPr>
          <w:rFonts w:ascii="仿宋" w:hAnsi="仿宋" w:eastAsia="仿宋"/>
          <w:bCs/>
          <w:sz w:val="28"/>
        </w:rPr>
        <w:t>法定优先受偿款情况</w:t>
      </w:r>
      <w:r>
        <w:rPr>
          <w:rFonts w:hint="eastAsia" w:ascii="仿宋" w:hAnsi="仿宋" w:eastAsia="仿宋"/>
          <w:bCs/>
          <w:sz w:val="28"/>
        </w:rPr>
        <w:t>，抵押权人为贵州凯里农村商业银行股份有限公司永丰东路支行，债权数额为</w:t>
      </w:r>
      <w:r>
        <w:rPr>
          <w:rFonts w:ascii="仿宋" w:hAnsi="仿宋" w:eastAsia="仿宋"/>
          <w:bCs/>
          <w:sz w:val="28"/>
        </w:rPr>
        <w:t>200</w:t>
      </w:r>
      <w:r>
        <w:rPr>
          <w:rFonts w:hint="eastAsia" w:ascii="仿宋" w:hAnsi="仿宋" w:eastAsia="仿宋"/>
          <w:bCs/>
          <w:sz w:val="28"/>
        </w:rPr>
        <w:t>万元，约定抵押期限为2</w:t>
      </w:r>
      <w:r>
        <w:rPr>
          <w:rFonts w:ascii="仿宋" w:hAnsi="仿宋" w:eastAsia="仿宋"/>
          <w:bCs/>
          <w:sz w:val="28"/>
        </w:rPr>
        <w:t>016</w:t>
      </w:r>
      <w:r>
        <w:rPr>
          <w:rFonts w:hint="eastAsia" w:ascii="仿宋" w:hAnsi="仿宋" w:eastAsia="仿宋"/>
          <w:bCs/>
          <w:sz w:val="28"/>
        </w:rPr>
        <w:t>年</w:t>
      </w:r>
      <w:r>
        <w:rPr>
          <w:rFonts w:ascii="仿宋" w:hAnsi="仿宋" w:eastAsia="仿宋"/>
          <w:bCs/>
          <w:sz w:val="28"/>
        </w:rPr>
        <w:t>3</w:t>
      </w:r>
      <w:r>
        <w:rPr>
          <w:rFonts w:hint="eastAsia" w:ascii="仿宋" w:hAnsi="仿宋" w:eastAsia="仿宋"/>
          <w:bCs/>
          <w:sz w:val="28"/>
        </w:rPr>
        <w:t>月3</w:t>
      </w:r>
      <w:r>
        <w:rPr>
          <w:rFonts w:ascii="仿宋" w:hAnsi="仿宋" w:eastAsia="仿宋"/>
          <w:bCs/>
          <w:sz w:val="28"/>
        </w:rPr>
        <w:t>1</w:t>
      </w:r>
      <w:r>
        <w:rPr>
          <w:rFonts w:hint="eastAsia" w:ascii="仿宋" w:hAnsi="仿宋" w:eastAsia="仿宋"/>
          <w:bCs/>
          <w:sz w:val="28"/>
        </w:rPr>
        <w:t>日起至2</w:t>
      </w:r>
      <w:r>
        <w:rPr>
          <w:rFonts w:ascii="仿宋" w:hAnsi="仿宋" w:eastAsia="仿宋"/>
          <w:bCs/>
          <w:sz w:val="28"/>
        </w:rPr>
        <w:t>017</w:t>
      </w:r>
      <w:r>
        <w:rPr>
          <w:rFonts w:hint="eastAsia" w:ascii="仿宋" w:hAnsi="仿宋" w:eastAsia="仿宋"/>
          <w:bCs/>
          <w:sz w:val="28"/>
        </w:rPr>
        <w:t>年</w:t>
      </w:r>
      <w:r>
        <w:rPr>
          <w:rFonts w:ascii="仿宋" w:hAnsi="仿宋" w:eastAsia="仿宋"/>
          <w:bCs/>
          <w:sz w:val="28"/>
        </w:rPr>
        <w:t>3</w:t>
      </w:r>
      <w:r>
        <w:rPr>
          <w:rFonts w:hint="eastAsia" w:ascii="仿宋" w:hAnsi="仿宋" w:eastAsia="仿宋"/>
          <w:bCs/>
          <w:sz w:val="28"/>
        </w:rPr>
        <w:t>月3</w:t>
      </w:r>
      <w:r>
        <w:rPr>
          <w:rFonts w:ascii="仿宋" w:hAnsi="仿宋" w:eastAsia="仿宋"/>
          <w:bCs/>
          <w:sz w:val="28"/>
        </w:rPr>
        <w:t>0</w:t>
      </w:r>
      <w:r>
        <w:rPr>
          <w:rFonts w:hint="eastAsia" w:ascii="仿宋" w:hAnsi="仿宋" w:eastAsia="仿宋"/>
          <w:bCs/>
          <w:sz w:val="28"/>
        </w:rPr>
        <w:t>日止</w:t>
      </w:r>
      <w:r>
        <w:rPr>
          <w:rFonts w:ascii="仿宋" w:hAnsi="仿宋" w:eastAsia="仿宋"/>
          <w:bCs/>
          <w:sz w:val="28"/>
        </w:rPr>
        <w:t>。根据估价目的，本次估价仅是为委托方确定估价对象在价值时点的处置参考价。因此本次评估未考虑法定优先受偿款情况，</w:t>
      </w:r>
      <w:r>
        <w:rPr>
          <w:rFonts w:hint="eastAsia" w:ascii="仿宋" w:hAnsi="仿宋" w:eastAsia="仿宋"/>
          <w:bCs/>
          <w:sz w:val="28"/>
        </w:rPr>
        <w:t>但</w:t>
      </w:r>
      <w:r>
        <w:rPr>
          <w:rFonts w:ascii="仿宋" w:hAnsi="仿宋" w:eastAsia="仿宋"/>
          <w:bCs/>
          <w:sz w:val="28"/>
        </w:rPr>
        <w:t>在处置该房地产时，会涉及到法定优先受偿款，会影响到房产受让方收益价值，在此提请估价报告使用方注意。</w:t>
      </w:r>
    </w:p>
    <w:bookmarkEnd w:id="35"/>
    <w:bookmarkEnd w:id="41"/>
    <w:p>
      <w:pPr>
        <w:pStyle w:val="4"/>
        <w:rPr>
          <w:rFonts w:ascii="仿宋" w:hAnsi="仿宋" w:eastAsia="仿宋"/>
          <w:bCs w:val="0"/>
          <w:sz w:val="28"/>
        </w:rPr>
      </w:pPr>
      <w:bookmarkStart w:id="42" w:name="_Toc31191"/>
      <w:bookmarkStart w:id="43" w:name="_Toc9675"/>
      <w:bookmarkStart w:id="44" w:name="_Toc21900"/>
      <w:r>
        <w:rPr>
          <w:rFonts w:ascii="仿宋" w:hAnsi="仿宋" w:eastAsia="仿宋"/>
          <w:bCs w:val="0"/>
          <w:sz w:val="28"/>
        </w:rPr>
        <w:t>（三）估价对象实物状况</w:t>
      </w:r>
      <w:bookmarkEnd w:id="42"/>
      <w:bookmarkEnd w:id="43"/>
      <w:bookmarkEnd w:id="44"/>
    </w:p>
    <w:tbl>
      <w:tblPr>
        <w:tblStyle w:val="24"/>
        <w:tblW w:w="880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842"/>
        <w:gridCol w:w="1396"/>
        <w:gridCol w:w="65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4" w:hRule="atLeast"/>
        </w:trPr>
        <w:tc>
          <w:tcPr>
            <w:tcW w:w="2238" w:type="dxa"/>
            <w:gridSpan w:val="2"/>
            <w:vMerge w:val="restart"/>
            <w:tcBorders>
              <w:tl2br w:val="single" w:color="000000" w:sz="8" w:space="0"/>
            </w:tcBorders>
            <w:shd w:val="clear" w:color="auto" w:fill="auto"/>
            <w:vAlign w:val="center"/>
          </w:tcPr>
          <w:p>
            <w:pPr>
              <w:widowControl/>
              <w:ind w:left="210" w:leftChars="100" w:firstLine="960" w:firstLineChars="400"/>
              <w:jc w:val="left"/>
              <w:textAlignment w:val="center"/>
              <w:rPr>
                <w:rFonts w:ascii="仿宋" w:hAnsi="仿宋" w:eastAsia="仿宋"/>
                <w:sz w:val="24"/>
              </w:rPr>
            </w:pPr>
            <w:bookmarkStart w:id="45" w:name="_Hlk80865480"/>
            <w:r>
              <w:rPr>
                <w:rFonts w:ascii="仿宋" w:hAnsi="仿宋" w:eastAsia="仿宋"/>
                <w:kern w:val="0"/>
                <w:sz w:val="24"/>
                <w:lang w:bidi="ar"/>
              </w:rPr>
              <w:t>基本状况      名称</w:t>
            </w:r>
          </w:p>
        </w:tc>
        <w:tc>
          <w:tcPr>
            <w:tcW w:w="6566" w:type="dxa"/>
            <w:vMerge w:val="restart"/>
            <w:shd w:val="clear" w:color="auto" w:fill="auto"/>
            <w:vAlign w:val="center"/>
          </w:tcPr>
          <w:p>
            <w:pPr>
              <w:widowControl/>
              <w:jc w:val="center"/>
              <w:textAlignment w:val="center"/>
              <w:rPr>
                <w:rFonts w:ascii="仿宋" w:hAnsi="仿宋" w:eastAsia="仿宋"/>
                <w:sz w:val="24"/>
              </w:rPr>
            </w:pPr>
            <w:r>
              <w:rPr>
                <w:rFonts w:hint="eastAsia" w:ascii="仿宋" w:hAnsi="仿宋" w:eastAsia="仿宋"/>
                <w:sz w:val="24"/>
              </w:rPr>
              <w:t>凯里市红洲路至金泉湖段320国道两侧北街5栋附1号2-4层</w:t>
            </w:r>
            <w:r>
              <w:rPr>
                <w:rFonts w:ascii="仿宋" w:hAnsi="仿宋" w:eastAsia="仿宋"/>
                <w:sz w:val="24"/>
              </w:rPr>
              <w:t>住宅用房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4" w:hRule="atLeast"/>
        </w:trPr>
        <w:tc>
          <w:tcPr>
            <w:tcW w:w="2238" w:type="dxa"/>
            <w:gridSpan w:val="2"/>
            <w:vMerge w:val="continue"/>
            <w:tcBorders>
              <w:tl2br w:val="single" w:color="000000" w:sz="8" w:space="0"/>
            </w:tcBorders>
            <w:shd w:val="clear" w:color="auto" w:fill="auto"/>
            <w:vAlign w:val="center"/>
          </w:tcPr>
          <w:p>
            <w:pPr>
              <w:jc w:val="left"/>
              <w:rPr>
                <w:rFonts w:ascii="仿宋" w:hAnsi="仿宋" w:eastAsia="仿宋"/>
                <w:sz w:val="24"/>
              </w:rPr>
            </w:pPr>
          </w:p>
        </w:tc>
        <w:tc>
          <w:tcPr>
            <w:tcW w:w="6566" w:type="dxa"/>
            <w:vMerge w:val="continue"/>
            <w:shd w:val="clear" w:color="auto" w:fill="auto"/>
            <w:vAlign w:val="center"/>
          </w:tcPr>
          <w:p>
            <w:pPr>
              <w:jc w:val="center"/>
              <w:rPr>
                <w:rFonts w:ascii="仿宋" w:hAnsi="仿宋" w:eastAsia="仿宋"/>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3" w:hRule="atLeast"/>
        </w:trPr>
        <w:tc>
          <w:tcPr>
            <w:tcW w:w="842" w:type="dxa"/>
            <w:vMerge w:val="restart"/>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土地实物状况</w:t>
            </w: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四至</w:t>
            </w:r>
          </w:p>
        </w:tc>
        <w:tc>
          <w:tcPr>
            <w:tcW w:w="6566" w:type="dxa"/>
            <w:shd w:val="clear" w:color="auto" w:fill="auto"/>
            <w:vAlign w:val="center"/>
          </w:tcPr>
          <w:p>
            <w:pPr>
              <w:widowControl/>
              <w:jc w:val="center"/>
              <w:textAlignment w:val="center"/>
              <w:rPr>
                <w:rFonts w:ascii="仿宋" w:hAnsi="仿宋" w:eastAsia="仿宋"/>
                <w:sz w:val="24"/>
              </w:rPr>
            </w:pPr>
            <w:r>
              <w:rPr>
                <w:rFonts w:hint="eastAsia" w:ascii="仿宋" w:hAnsi="仿宋" w:eastAsia="仿宋"/>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3" w:hRule="atLeast"/>
        </w:trPr>
        <w:tc>
          <w:tcPr>
            <w:tcW w:w="842" w:type="dxa"/>
            <w:vMerge w:val="continue"/>
            <w:shd w:val="clear" w:color="auto" w:fill="auto"/>
            <w:vAlign w:val="center"/>
          </w:tcPr>
          <w:p>
            <w:pPr>
              <w:jc w:val="center"/>
              <w:rPr>
                <w:rFonts w:ascii="仿宋" w:hAnsi="仿宋" w:eastAsia="仿宋"/>
                <w:sz w:val="24"/>
              </w:rPr>
            </w:pPr>
          </w:p>
        </w:tc>
        <w:tc>
          <w:tcPr>
            <w:tcW w:w="1396" w:type="dxa"/>
            <w:shd w:val="clear" w:color="auto" w:fill="auto"/>
            <w:vAlign w:val="center"/>
          </w:tcPr>
          <w:p>
            <w:pPr>
              <w:widowControl/>
              <w:jc w:val="center"/>
              <w:textAlignment w:val="center"/>
              <w:rPr>
                <w:rFonts w:ascii="仿宋" w:hAnsi="仿宋" w:eastAsia="仿宋"/>
                <w:sz w:val="24"/>
              </w:rPr>
            </w:pPr>
            <w:r>
              <w:rPr>
                <w:rFonts w:hint="eastAsia" w:ascii="仿宋" w:hAnsi="仿宋" w:eastAsia="仿宋"/>
                <w:kern w:val="0"/>
                <w:sz w:val="24"/>
                <w:lang w:bidi="ar"/>
              </w:rPr>
              <w:t>共有宗地</w:t>
            </w:r>
            <w:r>
              <w:rPr>
                <w:rFonts w:ascii="仿宋" w:hAnsi="仿宋" w:eastAsia="仿宋"/>
                <w:kern w:val="0"/>
                <w:sz w:val="24"/>
                <w:lang w:bidi="ar"/>
              </w:rPr>
              <w:t>面积（㎡）</w:t>
            </w:r>
          </w:p>
        </w:tc>
        <w:tc>
          <w:tcPr>
            <w:tcW w:w="656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3" w:hRule="atLeast"/>
        </w:trPr>
        <w:tc>
          <w:tcPr>
            <w:tcW w:w="842" w:type="dxa"/>
            <w:vMerge w:val="continue"/>
            <w:shd w:val="clear" w:color="auto" w:fill="auto"/>
            <w:vAlign w:val="center"/>
          </w:tcPr>
          <w:p>
            <w:pPr>
              <w:jc w:val="center"/>
              <w:rPr>
                <w:rFonts w:ascii="仿宋" w:hAnsi="仿宋" w:eastAsia="仿宋"/>
                <w:sz w:val="24"/>
              </w:rPr>
            </w:pP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用途</w:t>
            </w:r>
          </w:p>
        </w:tc>
        <w:tc>
          <w:tcPr>
            <w:tcW w:w="656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住宅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3" w:hRule="atLeast"/>
        </w:trPr>
        <w:tc>
          <w:tcPr>
            <w:tcW w:w="842" w:type="dxa"/>
            <w:vMerge w:val="continue"/>
            <w:shd w:val="clear" w:color="auto" w:fill="auto"/>
            <w:vAlign w:val="center"/>
          </w:tcPr>
          <w:p>
            <w:pPr>
              <w:jc w:val="center"/>
              <w:rPr>
                <w:rFonts w:ascii="仿宋" w:hAnsi="仿宋" w:eastAsia="仿宋"/>
                <w:sz w:val="24"/>
              </w:rPr>
            </w:pP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形状</w:t>
            </w:r>
          </w:p>
        </w:tc>
        <w:tc>
          <w:tcPr>
            <w:tcW w:w="656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较规整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3" w:hRule="atLeast"/>
        </w:trPr>
        <w:tc>
          <w:tcPr>
            <w:tcW w:w="842" w:type="dxa"/>
            <w:vMerge w:val="continue"/>
            <w:shd w:val="clear" w:color="auto" w:fill="auto"/>
            <w:vAlign w:val="center"/>
          </w:tcPr>
          <w:p>
            <w:pPr>
              <w:jc w:val="center"/>
              <w:rPr>
                <w:rFonts w:ascii="仿宋" w:hAnsi="仿宋" w:eastAsia="仿宋"/>
                <w:sz w:val="24"/>
              </w:rPr>
            </w:pP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地形地势</w:t>
            </w:r>
          </w:p>
        </w:tc>
        <w:tc>
          <w:tcPr>
            <w:tcW w:w="656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较平坦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94" w:hRule="atLeast"/>
        </w:trPr>
        <w:tc>
          <w:tcPr>
            <w:tcW w:w="842" w:type="dxa"/>
            <w:vMerge w:val="continue"/>
            <w:shd w:val="clear" w:color="auto" w:fill="auto"/>
            <w:vAlign w:val="center"/>
          </w:tcPr>
          <w:p>
            <w:pPr>
              <w:jc w:val="center"/>
              <w:rPr>
                <w:rFonts w:ascii="仿宋" w:hAnsi="仿宋" w:eastAsia="仿宋"/>
                <w:sz w:val="24"/>
              </w:rPr>
            </w:pP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开发程度</w:t>
            </w:r>
          </w:p>
        </w:tc>
        <w:tc>
          <w:tcPr>
            <w:tcW w:w="656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宗地红线内外五通(通上水、通下水、通路、通电、通讯)，宗地内场地较平整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016" w:hRule="atLeast"/>
        </w:trPr>
        <w:tc>
          <w:tcPr>
            <w:tcW w:w="842" w:type="dxa"/>
            <w:vMerge w:val="continue"/>
            <w:shd w:val="clear" w:color="auto" w:fill="auto"/>
            <w:vAlign w:val="center"/>
          </w:tcPr>
          <w:p>
            <w:pPr>
              <w:jc w:val="center"/>
              <w:rPr>
                <w:rFonts w:ascii="仿宋" w:hAnsi="仿宋" w:eastAsia="仿宋"/>
                <w:sz w:val="24"/>
              </w:rPr>
            </w:pP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土地实物状况分析</w:t>
            </w:r>
          </w:p>
        </w:tc>
        <w:tc>
          <w:tcPr>
            <w:tcW w:w="6566" w:type="dxa"/>
            <w:shd w:val="clear" w:color="auto" w:fill="auto"/>
            <w:vAlign w:val="center"/>
          </w:tcPr>
          <w:p>
            <w:pPr>
              <w:widowControl/>
              <w:jc w:val="left"/>
              <w:textAlignment w:val="center"/>
              <w:rPr>
                <w:rFonts w:ascii="仿宋" w:hAnsi="仿宋" w:eastAsia="仿宋"/>
                <w:sz w:val="24"/>
              </w:rPr>
            </w:pPr>
            <w:r>
              <w:rPr>
                <w:rFonts w:ascii="仿宋" w:hAnsi="仿宋" w:eastAsia="仿宋"/>
                <w:kern w:val="0"/>
                <w:sz w:val="24"/>
                <w:lang w:bidi="ar"/>
              </w:rPr>
              <w:t xml:space="preserve"> 估价对象土地形状规则，地形地势较平坦，所处位置周围大多为住宅</w:t>
            </w:r>
            <w:r>
              <w:rPr>
                <w:rFonts w:hint="eastAsia" w:ascii="仿宋" w:hAnsi="仿宋" w:eastAsia="仿宋"/>
                <w:kern w:val="0"/>
                <w:sz w:val="24"/>
                <w:lang w:bidi="ar"/>
              </w:rPr>
              <w:t>小区</w:t>
            </w:r>
            <w:r>
              <w:rPr>
                <w:rFonts w:ascii="仿宋" w:hAnsi="仿宋" w:eastAsia="仿宋"/>
                <w:kern w:val="0"/>
                <w:sz w:val="24"/>
                <w:lang w:bidi="ar"/>
              </w:rPr>
              <w:t>，交通便捷度较好，周边配套设施齐全，估价土地所处位置较好。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3" w:hRule="atLeast"/>
        </w:trPr>
        <w:tc>
          <w:tcPr>
            <w:tcW w:w="842" w:type="dxa"/>
            <w:vMerge w:val="restart"/>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建筑物实物状况</w:t>
            </w: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规模</w:t>
            </w:r>
          </w:p>
        </w:tc>
        <w:tc>
          <w:tcPr>
            <w:tcW w:w="656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一般</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3" w:hRule="atLeast"/>
        </w:trPr>
        <w:tc>
          <w:tcPr>
            <w:tcW w:w="842" w:type="dxa"/>
            <w:vMerge w:val="continue"/>
            <w:shd w:val="clear" w:color="auto" w:fill="auto"/>
            <w:vAlign w:val="center"/>
          </w:tcPr>
          <w:p>
            <w:pPr>
              <w:jc w:val="center"/>
              <w:rPr>
                <w:rFonts w:ascii="仿宋" w:hAnsi="仿宋" w:eastAsia="仿宋"/>
                <w:sz w:val="24"/>
              </w:rPr>
            </w:pP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用途</w:t>
            </w:r>
          </w:p>
        </w:tc>
        <w:tc>
          <w:tcPr>
            <w:tcW w:w="656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住宅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94" w:hRule="atLeast"/>
        </w:trPr>
        <w:tc>
          <w:tcPr>
            <w:tcW w:w="842" w:type="dxa"/>
            <w:vMerge w:val="continue"/>
            <w:shd w:val="clear" w:color="auto" w:fill="auto"/>
            <w:vAlign w:val="center"/>
          </w:tcPr>
          <w:p>
            <w:pPr>
              <w:jc w:val="center"/>
              <w:rPr>
                <w:rFonts w:ascii="仿宋" w:hAnsi="仿宋" w:eastAsia="仿宋"/>
                <w:sz w:val="24"/>
              </w:rPr>
            </w:pP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所在楼层/总楼层</w:t>
            </w:r>
          </w:p>
        </w:tc>
        <w:tc>
          <w:tcPr>
            <w:tcW w:w="6566" w:type="dxa"/>
            <w:shd w:val="clear" w:color="auto" w:fill="auto"/>
            <w:vAlign w:val="center"/>
          </w:tcPr>
          <w:p>
            <w:pPr>
              <w:widowControl/>
              <w:jc w:val="center"/>
              <w:textAlignment w:val="center"/>
              <w:rPr>
                <w:rFonts w:ascii="仿宋" w:hAnsi="仿宋" w:eastAsia="仿宋"/>
                <w:sz w:val="24"/>
              </w:rPr>
            </w:pPr>
            <w:r>
              <w:rPr>
                <w:rFonts w:ascii="仿宋" w:hAnsi="仿宋" w:eastAsia="仿宋"/>
                <w:sz w:val="24"/>
              </w:rPr>
              <w:t>2-4/4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3" w:hRule="atLeast"/>
        </w:trPr>
        <w:tc>
          <w:tcPr>
            <w:tcW w:w="842" w:type="dxa"/>
            <w:vMerge w:val="continue"/>
            <w:shd w:val="clear" w:color="auto" w:fill="auto"/>
            <w:vAlign w:val="center"/>
          </w:tcPr>
          <w:p>
            <w:pPr>
              <w:jc w:val="center"/>
              <w:rPr>
                <w:rFonts w:ascii="仿宋" w:hAnsi="仿宋" w:eastAsia="仿宋"/>
                <w:sz w:val="24"/>
              </w:rPr>
            </w:pP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建筑结构</w:t>
            </w:r>
          </w:p>
        </w:tc>
        <w:tc>
          <w:tcPr>
            <w:tcW w:w="6566" w:type="dxa"/>
            <w:shd w:val="clear" w:color="auto" w:fill="auto"/>
            <w:vAlign w:val="center"/>
          </w:tcPr>
          <w:p>
            <w:pPr>
              <w:widowControl/>
              <w:jc w:val="center"/>
              <w:textAlignment w:val="center"/>
              <w:rPr>
                <w:rFonts w:ascii="仿宋" w:hAnsi="仿宋" w:eastAsia="仿宋"/>
                <w:sz w:val="24"/>
              </w:rPr>
            </w:pPr>
            <w:r>
              <w:rPr>
                <w:rFonts w:hint="eastAsia" w:ascii="仿宋" w:hAnsi="仿宋" w:eastAsia="仿宋"/>
                <w:sz w:val="24"/>
              </w:rPr>
              <w:t>混合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3" w:hRule="atLeast"/>
        </w:trPr>
        <w:tc>
          <w:tcPr>
            <w:tcW w:w="842" w:type="dxa"/>
            <w:vMerge w:val="continue"/>
            <w:shd w:val="clear" w:color="auto" w:fill="auto"/>
            <w:vAlign w:val="center"/>
          </w:tcPr>
          <w:p>
            <w:pPr>
              <w:jc w:val="center"/>
              <w:rPr>
                <w:rFonts w:ascii="仿宋" w:hAnsi="仿宋" w:eastAsia="仿宋"/>
                <w:sz w:val="24"/>
              </w:rPr>
            </w:pP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设备设施</w:t>
            </w:r>
          </w:p>
        </w:tc>
        <w:tc>
          <w:tcPr>
            <w:tcW w:w="656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基础设施较齐全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3" w:hRule="atLeast"/>
        </w:trPr>
        <w:tc>
          <w:tcPr>
            <w:tcW w:w="842" w:type="dxa"/>
            <w:vMerge w:val="continue"/>
            <w:shd w:val="clear" w:color="auto" w:fill="auto"/>
            <w:vAlign w:val="center"/>
          </w:tcPr>
          <w:p>
            <w:pPr>
              <w:jc w:val="center"/>
              <w:rPr>
                <w:rFonts w:ascii="仿宋" w:hAnsi="仿宋" w:eastAsia="仿宋"/>
                <w:sz w:val="24"/>
              </w:rPr>
            </w:pP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装饰装修</w:t>
            </w:r>
          </w:p>
        </w:tc>
        <w:tc>
          <w:tcPr>
            <w:tcW w:w="6566" w:type="dxa"/>
            <w:shd w:val="clear" w:color="auto" w:fill="auto"/>
            <w:vAlign w:val="center"/>
          </w:tcPr>
          <w:p>
            <w:pPr>
              <w:widowControl/>
              <w:jc w:val="center"/>
              <w:textAlignment w:val="center"/>
              <w:rPr>
                <w:rFonts w:ascii="仿宋" w:hAnsi="仿宋" w:eastAsia="仿宋"/>
                <w:sz w:val="24"/>
              </w:rPr>
            </w:pPr>
            <w:r>
              <w:rPr>
                <w:rFonts w:hint="eastAsia" w:ascii="仿宋" w:hAnsi="仿宋" w:eastAsia="仿宋"/>
                <w:sz w:val="24"/>
              </w:rPr>
              <w:t>入户防盗门，</w:t>
            </w:r>
            <w:r>
              <w:rPr>
                <w:rFonts w:ascii="仿宋" w:hAnsi="仿宋" w:eastAsia="仿宋"/>
                <w:sz w:val="24"/>
              </w:rPr>
              <w:t>室内水电已安装</w:t>
            </w:r>
            <w:r>
              <w:rPr>
                <w:rFonts w:hint="eastAsia" w:ascii="仿宋" w:hAnsi="仿宋" w:eastAsia="仿宋"/>
                <w:sz w:val="24"/>
              </w:rPr>
              <w:t>，室内门为木门，铝合金窗。</w:t>
            </w:r>
            <w:r>
              <w:rPr>
                <w:rFonts w:ascii="仿宋" w:hAnsi="仿宋" w:eastAsia="仿宋"/>
                <w:sz w:val="24"/>
              </w:rPr>
              <w:t>厕所</w:t>
            </w:r>
            <w:r>
              <w:rPr>
                <w:rFonts w:hint="eastAsia" w:ascii="仿宋" w:hAnsi="仿宋" w:eastAsia="仿宋"/>
                <w:sz w:val="24"/>
              </w:rPr>
              <w:t>地面贴地砖，墙面贴墙砖，天棚面刮瓷粉/塑料扣板吊顶；厨房地面贴地砖，墙面贴墙砖，天棚面刮瓷粉；客厅及卧室地面铺地砖/木地板，墙面刮瓷粉/贴墙纸，天棚面刮瓷粉。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3" w:hRule="atLeast"/>
        </w:trPr>
        <w:tc>
          <w:tcPr>
            <w:tcW w:w="842" w:type="dxa"/>
            <w:vMerge w:val="continue"/>
            <w:shd w:val="clear" w:color="auto" w:fill="auto"/>
            <w:vAlign w:val="center"/>
          </w:tcPr>
          <w:p>
            <w:pPr>
              <w:jc w:val="center"/>
              <w:rPr>
                <w:rFonts w:ascii="仿宋" w:hAnsi="仿宋" w:eastAsia="仿宋"/>
                <w:sz w:val="24"/>
              </w:rPr>
            </w:pP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层高</w:t>
            </w:r>
          </w:p>
        </w:tc>
        <w:tc>
          <w:tcPr>
            <w:tcW w:w="6566" w:type="dxa"/>
            <w:shd w:val="clear" w:color="auto" w:fill="auto"/>
            <w:vAlign w:val="center"/>
          </w:tcPr>
          <w:p>
            <w:pPr>
              <w:widowControl/>
              <w:jc w:val="center"/>
              <w:textAlignment w:val="center"/>
              <w:rPr>
                <w:rFonts w:ascii="仿宋" w:hAnsi="仿宋" w:eastAsia="仿宋"/>
                <w:sz w:val="24"/>
              </w:rPr>
            </w:pPr>
            <w:r>
              <w:rPr>
                <w:rFonts w:hint="eastAsia" w:ascii="仿宋" w:hAnsi="仿宋" w:eastAsia="仿宋"/>
                <w:kern w:val="0"/>
                <w:sz w:val="24"/>
                <w:lang w:bidi="ar"/>
              </w:rPr>
              <w:t>2.</w:t>
            </w:r>
            <w:r>
              <w:rPr>
                <w:rFonts w:ascii="仿宋" w:hAnsi="仿宋" w:eastAsia="仿宋"/>
                <w:kern w:val="0"/>
                <w:sz w:val="24"/>
                <w:lang w:bidi="ar"/>
              </w:rPr>
              <w:t>8</w:t>
            </w:r>
            <w:r>
              <w:rPr>
                <w:rFonts w:hint="eastAsia" w:ascii="仿宋" w:hAnsi="仿宋" w:eastAsia="仿宋"/>
                <w:kern w:val="0"/>
                <w:sz w:val="24"/>
                <w:lang w:bidi="ar"/>
              </w:rPr>
              <w:t>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3" w:hRule="atLeast"/>
        </w:trPr>
        <w:tc>
          <w:tcPr>
            <w:tcW w:w="842" w:type="dxa"/>
            <w:vMerge w:val="continue"/>
            <w:shd w:val="clear" w:color="auto" w:fill="auto"/>
            <w:vAlign w:val="center"/>
          </w:tcPr>
          <w:p>
            <w:pPr>
              <w:jc w:val="center"/>
              <w:rPr>
                <w:rFonts w:ascii="仿宋" w:hAnsi="仿宋" w:eastAsia="仿宋"/>
                <w:sz w:val="24"/>
              </w:rPr>
            </w:pP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空间布局</w:t>
            </w:r>
          </w:p>
        </w:tc>
        <w:tc>
          <w:tcPr>
            <w:tcW w:w="6566" w:type="dxa"/>
            <w:shd w:val="clear" w:color="auto" w:fill="auto"/>
            <w:vAlign w:val="center"/>
          </w:tcPr>
          <w:p>
            <w:pPr>
              <w:widowControl/>
              <w:jc w:val="center"/>
              <w:textAlignment w:val="center"/>
              <w:rPr>
                <w:rFonts w:ascii="仿宋" w:hAnsi="仿宋" w:eastAsia="仿宋"/>
                <w:sz w:val="24"/>
              </w:rPr>
            </w:pPr>
            <w:r>
              <w:rPr>
                <w:rFonts w:hint="eastAsia" w:ascii="仿宋" w:hAnsi="仿宋" w:eastAsia="仿宋"/>
                <w:kern w:val="0"/>
                <w:sz w:val="24"/>
                <w:lang w:bidi="ar"/>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73" w:hRule="atLeast"/>
        </w:trPr>
        <w:tc>
          <w:tcPr>
            <w:tcW w:w="842" w:type="dxa"/>
            <w:vMerge w:val="continue"/>
            <w:shd w:val="clear" w:color="auto" w:fill="auto"/>
            <w:vAlign w:val="center"/>
          </w:tcPr>
          <w:p>
            <w:pPr>
              <w:jc w:val="center"/>
              <w:rPr>
                <w:rFonts w:ascii="仿宋" w:hAnsi="仿宋" w:eastAsia="仿宋"/>
                <w:sz w:val="24"/>
              </w:rPr>
            </w:pP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建成时间</w:t>
            </w:r>
          </w:p>
        </w:tc>
        <w:tc>
          <w:tcPr>
            <w:tcW w:w="656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2004</w:t>
            </w:r>
            <w:r>
              <w:rPr>
                <w:rFonts w:hint="eastAsia" w:ascii="仿宋" w:hAnsi="仿宋" w:eastAsia="仿宋"/>
                <w:kern w:val="0"/>
                <w:sz w:val="24"/>
                <w:lang w:bidi="ar"/>
              </w:rPr>
              <w:t>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94" w:hRule="atLeast"/>
        </w:trPr>
        <w:tc>
          <w:tcPr>
            <w:tcW w:w="842" w:type="dxa"/>
            <w:vMerge w:val="continue"/>
            <w:shd w:val="clear" w:color="auto" w:fill="auto"/>
            <w:vAlign w:val="center"/>
          </w:tcPr>
          <w:p>
            <w:pPr>
              <w:jc w:val="center"/>
              <w:rPr>
                <w:rFonts w:ascii="仿宋" w:hAnsi="仿宋" w:eastAsia="仿宋"/>
                <w:sz w:val="24"/>
              </w:rPr>
            </w:pP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使用及维护状况</w:t>
            </w:r>
          </w:p>
        </w:tc>
        <w:tc>
          <w:tcPr>
            <w:tcW w:w="6566" w:type="dxa"/>
            <w:shd w:val="clear" w:color="auto" w:fill="auto"/>
            <w:vAlign w:val="center"/>
          </w:tcPr>
          <w:p>
            <w:pPr>
              <w:widowControl/>
              <w:jc w:val="center"/>
              <w:textAlignment w:val="center"/>
              <w:rPr>
                <w:rFonts w:ascii="仿宋" w:hAnsi="仿宋" w:eastAsia="仿宋"/>
                <w:sz w:val="24"/>
              </w:rPr>
            </w:pPr>
            <w:r>
              <w:rPr>
                <w:rFonts w:hint="eastAsia" w:ascii="仿宋" w:hAnsi="仿宋" w:eastAsia="仿宋"/>
                <w:kern w:val="0"/>
                <w:sz w:val="24"/>
                <w:lang w:bidi="ar"/>
              </w:rPr>
              <w:t>一般</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93" w:hRule="atLeast"/>
        </w:trPr>
        <w:tc>
          <w:tcPr>
            <w:tcW w:w="842" w:type="dxa"/>
            <w:vMerge w:val="continue"/>
            <w:shd w:val="clear" w:color="auto" w:fill="auto"/>
            <w:vAlign w:val="center"/>
          </w:tcPr>
          <w:p>
            <w:pPr>
              <w:jc w:val="center"/>
              <w:rPr>
                <w:rFonts w:ascii="仿宋" w:hAnsi="仿宋" w:eastAsia="仿宋"/>
                <w:sz w:val="24"/>
              </w:rPr>
            </w:pPr>
          </w:p>
        </w:tc>
        <w:tc>
          <w:tcPr>
            <w:tcW w:w="1396" w:type="dxa"/>
            <w:shd w:val="clear" w:color="auto" w:fill="auto"/>
            <w:vAlign w:val="center"/>
          </w:tcPr>
          <w:p>
            <w:pPr>
              <w:widowControl/>
              <w:jc w:val="center"/>
              <w:textAlignment w:val="center"/>
              <w:rPr>
                <w:rFonts w:ascii="仿宋" w:hAnsi="仿宋" w:eastAsia="仿宋"/>
                <w:sz w:val="24"/>
              </w:rPr>
            </w:pPr>
            <w:r>
              <w:rPr>
                <w:rFonts w:ascii="仿宋" w:hAnsi="仿宋" w:eastAsia="仿宋"/>
                <w:kern w:val="0"/>
                <w:sz w:val="24"/>
                <w:lang w:bidi="ar"/>
              </w:rPr>
              <w:t>完损状况</w:t>
            </w:r>
          </w:p>
        </w:tc>
        <w:tc>
          <w:tcPr>
            <w:tcW w:w="6566" w:type="dxa"/>
            <w:shd w:val="clear" w:color="auto" w:fill="auto"/>
            <w:vAlign w:val="center"/>
          </w:tcPr>
          <w:p>
            <w:pPr>
              <w:widowControl/>
              <w:jc w:val="center"/>
              <w:textAlignment w:val="center"/>
              <w:rPr>
                <w:rFonts w:ascii="仿宋" w:hAnsi="仿宋" w:eastAsia="仿宋"/>
                <w:sz w:val="24"/>
              </w:rPr>
            </w:pPr>
            <w:r>
              <w:rPr>
                <w:rFonts w:hint="eastAsia" w:ascii="仿宋" w:hAnsi="仿宋" w:eastAsia="仿宋"/>
                <w:kern w:val="0"/>
                <w:sz w:val="24"/>
                <w:lang w:bidi="ar"/>
              </w:rPr>
              <w:t>一般</w:t>
            </w:r>
          </w:p>
        </w:tc>
      </w:tr>
      <w:bookmarkEnd w:id="45"/>
    </w:tbl>
    <w:p>
      <w:pPr>
        <w:rPr>
          <w:rFonts w:ascii="仿宋" w:hAnsi="仿宋" w:eastAsia="仿宋"/>
        </w:rPr>
      </w:pPr>
    </w:p>
    <w:p>
      <w:pPr>
        <w:pStyle w:val="4"/>
        <w:numPr>
          <w:ilvl w:val="0"/>
          <w:numId w:val="2"/>
        </w:numPr>
        <w:rPr>
          <w:rFonts w:ascii="仿宋" w:hAnsi="仿宋" w:eastAsia="仿宋"/>
          <w:bCs w:val="0"/>
          <w:sz w:val="28"/>
        </w:rPr>
      </w:pPr>
      <w:bookmarkStart w:id="46" w:name="_Toc20399"/>
      <w:bookmarkStart w:id="47" w:name="_Toc11787"/>
      <w:bookmarkStart w:id="48" w:name="_Toc1342"/>
      <w:r>
        <w:rPr>
          <w:rFonts w:ascii="仿宋" w:hAnsi="仿宋" w:eastAsia="仿宋"/>
          <w:bCs w:val="0"/>
          <w:sz w:val="28"/>
        </w:rPr>
        <w:t>估价对象区位状况</w:t>
      </w:r>
      <w:bookmarkEnd w:id="46"/>
      <w:bookmarkEnd w:id="47"/>
      <w:bookmarkEnd w:id="48"/>
    </w:p>
    <w:tbl>
      <w:tblPr>
        <w:tblStyle w:val="24"/>
        <w:tblW w:w="87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1344"/>
        <w:gridCol w:w="2420"/>
        <w:gridCol w:w="49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2" w:hRule="atLeast"/>
        </w:trPr>
        <w:tc>
          <w:tcPr>
            <w:tcW w:w="1344" w:type="dxa"/>
            <w:vMerge w:val="restart"/>
            <w:shd w:val="clear" w:color="auto" w:fill="FFFFFF"/>
            <w:vAlign w:val="center"/>
          </w:tcPr>
          <w:p>
            <w:pPr>
              <w:widowControl/>
              <w:jc w:val="center"/>
              <w:textAlignment w:val="center"/>
              <w:rPr>
                <w:rFonts w:ascii="仿宋" w:hAnsi="仿宋" w:eastAsia="仿宋"/>
                <w:bCs/>
                <w:sz w:val="24"/>
              </w:rPr>
            </w:pPr>
            <w:bookmarkStart w:id="49" w:name="_Hlk80865493"/>
            <w:r>
              <w:rPr>
                <w:rFonts w:ascii="仿宋" w:hAnsi="仿宋" w:eastAsia="仿宋"/>
                <w:bCs/>
                <w:kern w:val="0"/>
                <w:sz w:val="24"/>
                <w:lang w:bidi="ar"/>
              </w:rPr>
              <w:t>位置状况</w:t>
            </w:r>
          </w:p>
        </w:tc>
        <w:tc>
          <w:tcPr>
            <w:tcW w:w="2420" w:type="dxa"/>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坐落、方位</w:t>
            </w:r>
          </w:p>
        </w:tc>
        <w:tc>
          <w:tcPr>
            <w:tcW w:w="4965" w:type="dxa"/>
            <w:shd w:val="clear" w:color="auto" w:fill="auto"/>
            <w:vAlign w:val="center"/>
          </w:tcPr>
          <w:p>
            <w:pPr>
              <w:widowControl/>
              <w:textAlignment w:val="center"/>
              <w:rPr>
                <w:rFonts w:ascii="仿宋" w:hAnsi="仿宋" w:eastAsia="仿宋"/>
                <w:bCs/>
                <w:sz w:val="24"/>
              </w:rPr>
            </w:pPr>
            <w:bookmarkStart w:id="50" w:name="_Hlk81231320"/>
            <w:bookmarkStart w:id="51" w:name="_Hlk81231358"/>
            <w:r>
              <w:rPr>
                <w:rFonts w:hint="eastAsia" w:ascii="仿宋" w:hAnsi="仿宋" w:eastAsia="仿宋"/>
                <w:sz w:val="24"/>
              </w:rPr>
              <w:t>凯里市红洲路至金泉湖段320国道两侧北街5栋附1号</w:t>
            </w:r>
            <w:bookmarkEnd w:id="50"/>
            <w:r>
              <w:rPr>
                <w:rFonts w:hint="eastAsia" w:ascii="仿宋" w:hAnsi="仿宋" w:eastAsia="仿宋"/>
                <w:sz w:val="24"/>
              </w:rPr>
              <w:t>2-4层</w:t>
            </w:r>
            <w:bookmarkEnd w:id="51"/>
            <w:r>
              <w:rPr>
                <w:rFonts w:ascii="仿宋" w:hAnsi="仿宋" w:eastAsia="仿宋"/>
                <w:sz w:val="24"/>
              </w:rPr>
              <w:t>住宅用房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781" w:hRule="atLeast"/>
        </w:trPr>
        <w:tc>
          <w:tcPr>
            <w:tcW w:w="1344" w:type="dxa"/>
            <w:vMerge w:val="continue"/>
            <w:shd w:val="clear" w:color="auto" w:fill="FFFFFF"/>
            <w:vAlign w:val="center"/>
          </w:tcPr>
          <w:p>
            <w:pPr>
              <w:jc w:val="center"/>
              <w:rPr>
                <w:rFonts w:ascii="仿宋" w:hAnsi="仿宋" w:eastAsia="仿宋"/>
                <w:bCs/>
                <w:sz w:val="24"/>
              </w:rPr>
            </w:pPr>
          </w:p>
        </w:tc>
        <w:tc>
          <w:tcPr>
            <w:tcW w:w="2420" w:type="dxa"/>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楼层</w:t>
            </w:r>
          </w:p>
        </w:tc>
        <w:tc>
          <w:tcPr>
            <w:tcW w:w="4965" w:type="dxa"/>
            <w:shd w:val="clear" w:color="auto" w:fill="auto"/>
            <w:vAlign w:val="center"/>
          </w:tcPr>
          <w:p>
            <w:pPr>
              <w:widowControl/>
              <w:textAlignment w:val="center"/>
              <w:rPr>
                <w:rFonts w:ascii="仿宋" w:hAnsi="仿宋" w:eastAsia="仿宋"/>
                <w:bCs/>
                <w:sz w:val="24"/>
              </w:rPr>
            </w:pPr>
            <w:r>
              <w:rPr>
                <w:rFonts w:ascii="仿宋" w:hAnsi="仿宋" w:eastAsia="仿宋"/>
                <w:bCs/>
                <w:kern w:val="0"/>
                <w:sz w:val="24"/>
                <w:lang w:bidi="ar"/>
              </w:rPr>
              <w:t>该单元楼总层数为27层，估价对象位于第11层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842" w:hRule="atLeast"/>
        </w:trPr>
        <w:tc>
          <w:tcPr>
            <w:tcW w:w="1344" w:type="dxa"/>
            <w:vMerge w:val="continue"/>
            <w:shd w:val="clear" w:color="auto" w:fill="FFFFFF"/>
            <w:vAlign w:val="center"/>
          </w:tcPr>
          <w:p>
            <w:pPr>
              <w:jc w:val="center"/>
              <w:rPr>
                <w:rFonts w:ascii="仿宋" w:hAnsi="仿宋" w:eastAsia="仿宋"/>
                <w:bCs/>
                <w:sz w:val="24"/>
              </w:rPr>
            </w:pPr>
          </w:p>
        </w:tc>
        <w:tc>
          <w:tcPr>
            <w:tcW w:w="2420" w:type="dxa"/>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距离</w:t>
            </w:r>
          </w:p>
        </w:tc>
        <w:tc>
          <w:tcPr>
            <w:tcW w:w="4965" w:type="dxa"/>
            <w:shd w:val="clear" w:color="auto" w:fill="FFFFFF"/>
            <w:vAlign w:val="center"/>
          </w:tcPr>
          <w:p>
            <w:pPr>
              <w:widowControl/>
              <w:jc w:val="left"/>
              <w:textAlignment w:val="center"/>
              <w:rPr>
                <w:rFonts w:ascii="仿宋" w:hAnsi="仿宋" w:eastAsia="仿宋"/>
                <w:bCs/>
                <w:sz w:val="24"/>
              </w:rPr>
            </w:pPr>
            <w:r>
              <w:rPr>
                <w:rFonts w:ascii="仿宋" w:hAnsi="仿宋" w:eastAsia="仿宋"/>
                <w:bCs/>
                <w:kern w:val="0"/>
                <w:sz w:val="24"/>
                <w:lang w:bidi="ar"/>
              </w:rPr>
              <w:t>区域内多为住宅用房，医院、学习、金融服务半径为1KM以内。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2" w:hRule="atLeast"/>
        </w:trPr>
        <w:tc>
          <w:tcPr>
            <w:tcW w:w="1344" w:type="dxa"/>
            <w:vMerge w:val="continue"/>
            <w:shd w:val="clear" w:color="auto" w:fill="FFFFFF"/>
            <w:vAlign w:val="center"/>
          </w:tcPr>
          <w:p>
            <w:pPr>
              <w:jc w:val="center"/>
              <w:rPr>
                <w:rFonts w:ascii="仿宋" w:hAnsi="仿宋" w:eastAsia="仿宋"/>
                <w:bCs/>
                <w:sz w:val="24"/>
              </w:rPr>
            </w:pPr>
          </w:p>
        </w:tc>
        <w:tc>
          <w:tcPr>
            <w:tcW w:w="2420" w:type="dxa"/>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朝向</w:t>
            </w:r>
          </w:p>
        </w:tc>
        <w:tc>
          <w:tcPr>
            <w:tcW w:w="4965" w:type="dxa"/>
            <w:shd w:val="clear" w:color="auto" w:fill="FFFFFF"/>
            <w:vAlign w:val="center"/>
          </w:tcPr>
          <w:p>
            <w:pPr>
              <w:widowControl/>
              <w:jc w:val="left"/>
              <w:textAlignment w:val="center"/>
              <w:rPr>
                <w:rFonts w:ascii="仿宋" w:hAnsi="仿宋" w:eastAsia="仿宋"/>
                <w:bCs/>
                <w:sz w:val="24"/>
              </w:rPr>
            </w:pPr>
            <w:r>
              <w:rPr>
                <w:rFonts w:hint="eastAsia" w:ascii="仿宋" w:hAnsi="仿宋" w:eastAsia="仿宋"/>
                <w:bCs/>
                <w:kern w:val="0"/>
                <w:sz w:val="24"/>
                <w:lang w:bidi="ar"/>
              </w:rPr>
              <w:t>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74" w:hRule="atLeast"/>
        </w:trPr>
        <w:tc>
          <w:tcPr>
            <w:tcW w:w="1344" w:type="dxa"/>
            <w:vMerge w:val="restart"/>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交通状况</w:t>
            </w:r>
          </w:p>
        </w:tc>
        <w:tc>
          <w:tcPr>
            <w:tcW w:w="2420" w:type="dxa"/>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道路状况</w:t>
            </w:r>
          </w:p>
        </w:tc>
        <w:tc>
          <w:tcPr>
            <w:tcW w:w="4965" w:type="dxa"/>
            <w:shd w:val="clear" w:color="auto" w:fill="auto"/>
            <w:vAlign w:val="center"/>
          </w:tcPr>
          <w:p>
            <w:pPr>
              <w:widowControl/>
              <w:textAlignment w:val="center"/>
              <w:rPr>
                <w:rFonts w:ascii="仿宋" w:hAnsi="仿宋" w:eastAsia="仿宋"/>
                <w:bCs/>
                <w:sz w:val="24"/>
              </w:rPr>
            </w:pPr>
            <w:r>
              <w:rPr>
                <w:rFonts w:ascii="仿宋" w:hAnsi="仿宋" w:eastAsia="仿宋"/>
                <w:bCs/>
                <w:kern w:val="0"/>
                <w:sz w:val="24"/>
                <w:lang w:bidi="ar"/>
              </w:rPr>
              <w:t>外联</w:t>
            </w:r>
            <w:r>
              <w:rPr>
                <w:rFonts w:hint="eastAsia" w:ascii="仿宋" w:hAnsi="仿宋" w:eastAsia="仿宋"/>
                <w:bCs/>
                <w:kern w:val="0"/>
                <w:sz w:val="24"/>
                <w:lang w:bidi="ar"/>
              </w:rPr>
              <w:t>红洲路</w:t>
            </w:r>
            <w:r>
              <w:rPr>
                <w:rFonts w:ascii="仿宋" w:hAnsi="仿宋" w:eastAsia="仿宋"/>
                <w:bCs/>
                <w:kern w:val="0"/>
                <w:sz w:val="24"/>
                <w:lang w:bidi="ar"/>
              </w:rPr>
              <w:t>等，道路状况较优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842" w:hRule="atLeast"/>
        </w:trPr>
        <w:tc>
          <w:tcPr>
            <w:tcW w:w="1344" w:type="dxa"/>
            <w:vMerge w:val="continue"/>
            <w:shd w:val="clear" w:color="auto" w:fill="FFFFFF"/>
            <w:vAlign w:val="center"/>
          </w:tcPr>
          <w:p>
            <w:pPr>
              <w:jc w:val="center"/>
              <w:rPr>
                <w:rFonts w:ascii="仿宋" w:hAnsi="仿宋" w:eastAsia="仿宋"/>
                <w:bCs/>
                <w:sz w:val="24"/>
              </w:rPr>
            </w:pPr>
          </w:p>
        </w:tc>
        <w:tc>
          <w:tcPr>
            <w:tcW w:w="2420" w:type="dxa"/>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出入可利用交通工具</w:t>
            </w:r>
          </w:p>
        </w:tc>
        <w:tc>
          <w:tcPr>
            <w:tcW w:w="4965" w:type="dxa"/>
            <w:shd w:val="clear" w:color="auto" w:fill="FFFFFF"/>
            <w:vAlign w:val="center"/>
          </w:tcPr>
          <w:p>
            <w:pPr>
              <w:widowControl/>
              <w:jc w:val="left"/>
              <w:textAlignment w:val="center"/>
              <w:rPr>
                <w:rFonts w:ascii="仿宋" w:hAnsi="仿宋" w:eastAsia="仿宋"/>
                <w:bCs/>
                <w:sz w:val="24"/>
              </w:rPr>
            </w:pPr>
            <w:r>
              <w:rPr>
                <w:rFonts w:ascii="仿宋" w:hAnsi="仿宋" w:eastAsia="仿宋"/>
                <w:bCs/>
                <w:kern w:val="0"/>
                <w:sz w:val="24"/>
                <w:lang w:bidi="ar"/>
              </w:rPr>
              <w:t>有公交车、出租车途经周边区域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2" w:hRule="atLeast"/>
        </w:trPr>
        <w:tc>
          <w:tcPr>
            <w:tcW w:w="1344" w:type="dxa"/>
            <w:vMerge w:val="continue"/>
            <w:shd w:val="clear" w:color="auto" w:fill="FFFFFF"/>
            <w:vAlign w:val="center"/>
          </w:tcPr>
          <w:p>
            <w:pPr>
              <w:jc w:val="center"/>
              <w:rPr>
                <w:rFonts w:ascii="仿宋" w:hAnsi="仿宋" w:eastAsia="仿宋"/>
                <w:bCs/>
                <w:sz w:val="24"/>
              </w:rPr>
            </w:pPr>
          </w:p>
        </w:tc>
        <w:tc>
          <w:tcPr>
            <w:tcW w:w="2420" w:type="dxa"/>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交通管制</w:t>
            </w:r>
          </w:p>
        </w:tc>
        <w:tc>
          <w:tcPr>
            <w:tcW w:w="4965" w:type="dxa"/>
            <w:shd w:val="clear" w:color="auto" w:fill="FFFFFF"/>
            <w:vAlign w:val="center"/>
          </w:tcPr>
          <w:p>
            <w:pPr>
              <w:widowControl/>
              <w:jc w:val="left"/>
              <w:textAlignment w:val="center"/>
              <w:rPr>
                <w:rFonts w:ascii="仿宋" w:hAnsi="仿宋" w:eastAsia="仿宋"/>
                <w:bCs/>
                <w:sz w:val="24"/>
              </w:rPr>
            </w:pPr>
            <w:r>
              <w:rPr>
                <w:rFonts w:hint="eastAsia" w:ascii="仿宋" w:hAnsi="仿宋" w:eastAsia="仿宋"/>
                <w:bCs/>
                <w:kern w:val="0"/>
                <w:sz w:val="24"/>
                <w:lang w:bidi="ar"/>
              </w:rPr>
              <w:t>有</w:t>
            </w:r>
            <w:r>
              <w:rPr>
                <w:rFonts w:ascii="仿宋" w:hAnsi="仿宋" w:eastAsia="仿宋"/>
                <w:bCs/>
                <w:kern w:val="0"/>
                <w:sz w:val="24"/>
                <w:lang w:bidi="ar"/>
              </w:rPr>
              <w:t>交通管制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2" w:hRule="atLeast"/>
        </w:trPr>
        <w:tc>
          <w:tcPr>
            <w:tcW w:w="1344" w:type="dxa"/>
            <w:vMerge w:val="continue"/>
            <w:shd w:val="clear" w:color="auto" w:fill="FFFFFF"/>
            <w:vAlign w:val="center"/>
          </w:tcPr>
          <w:p>
            <w:pPr>
              <w:jc w:val="center"/>
              <w:rPr>
                <w:rFonts w:ascii="仿宋" w:hAnsi="仿宋" w:eastAsia="仿宋"/>
                <w:bCs/>
                <w:sz w:val="24"/>
              </w:rPr>
            </w:pPr>
          </w:p>
        </w:tc>
        <w:tc>
          <w:tcPr>
            <w:tcW w:w="2420" w:type="dxa"/>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停车便利度</w:t>
            </w:r>
          </w:p>
        </w:tc>
        <w:tc>
          <w:tcPr>
            <w:tcW w:w="4965" w:type="dxa"/>
            <w:shd w:val="clear" w:color="auto" w:fill="FFFFFF"/>
            <w:vAlign w:val="center"/>
          </w:tcPr>
          <w:p>
            <w:pPr>
              <w:widowControl/>
              <w:jc w:val="left"/>
              <w:textAlignment w:val="center"/>
              <w:rPr>
                <w:rFonts w:ascii="仿宋" w:hAnsi="仿宋" w:eastAsia="仿宋"/>
                <w:bCs/>
                <w:sz w:val="24"/>
              </w:rPr>
            </w:pPr>
            <w:r>
              <w:rPr>
                <w:rFonts w:ascii="仿宋" w:hAnsi="仿宋" w:eastAsia="仿宋"/>
                <w:bCs/>
                <w:kern w:val="0"/>
                <w:sz w:val="24"/>
                <w:lang w:bidi="ar"/>
              </w:rPr>
              <w:t>停车较便利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52" w:hRule="atLeast"/>
        </w:trPr>
        <w:tc>
          <w:tcPr>
            <w:tcW w:w="1344" w:type="dxa"/>
            <w:vMerge w:val="restart"/>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环境状况</w:t>
            </w:r>
          </w:p>
        </w:tc>
        <w:tc>
          <w:tcPr>
            <w:tcW w:w="2420" w:type="dxa"/>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自然环境</w:t>
            </w:r>
          </w:p>
        </w:tc>
        <w:tc>
          <w:tcPr>
            <w:tcW w:w="4965" w:type="dxa"/>
            <w:shd w:val="clear" w:color="auto" w:fill="FFFFFF"/>
            <w:vAlign w:val="center"/>
          </w:tcPr>
          <w:p>
            <w:pPr>
              <w:widowControl/>
              <w:jc w:val="left"/>
              <w:textAlignment w:val="center"/>
              <w:rPr>
                <w:rFonts w:ascii="仿宋" w:hAnsi="仿宋" w:eastAsia="仿宋"/>
                <w:bCs/>
                <w:sz w:val="24"/>
              </w:rPr>
            </w:pPr>
            <w:r>
              <w:rPr>
                <w:rFonts w:ascii="仿宋" w:hAnsi="仿宋" w:eastAsia="仿宋"/>
                <w:bCs/>
                <w:kern w:val="0"/>
                <w:sz w:val="24"/>
                <w:lang w:bidi="ar"/>
              </w:rPr>
              <w:t>周边自然环境一般</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69" w:hRule="atLeast"/>
        </w:trPr>
        <w:tc>
          <w:tcPr>
            <w:tcW w:w="1344" w:type="dxa"/>
            <w:vMerge w:val="continue"/>
            <w:shd w:val="clear" w:color="auto" w:fill="FFFFFF"/>
            <w:vAlign w:val="center"/>
          </w:tcPr>
          <w:p>
            <w:pPr>
              <w:jc w:val="center"/>
              <w:rPr>
                <w:rFonts w:ascii="仿宋" w:hAnsi="仿宋" w:eastAsia="仿宋"/>
                <w:bCs/>
                <w:sz w:val="24"/>
              </w:rPr>
            </w:pPr>
          </w:p>
        </w:tc>
        <w:tc>
          <w:tcPr>
            <w:tcW w:w="2420" w:type="dxa"/>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人文环境</w:t>
            </w:r>
          </w:p>
        </w:tc>
        <w:tc>
          <w:tcPr>
            <w:tcW w:w="4965" w:type="dxa"/>
            <w:shd w:val="clear" w:color="auto" w:fill="FFFFFF"/>
            <w:vAlign w:val="center"/>
          </w:tcPr>
          <w:p>
            <w:pPr>
              <w:widowControl/>
              <w:jc w:val="left"/>
              <w:textAlignment w:val="center"/>
              <w:rPr>
                <w:rFonts w:ascii="仿宋" w:hAnsi="仿宋" w:eastAsia="仿宋"/>
                <w:bCs/>
                <w:sz w:val="24"/>
              </w:rPr>
            </w:pPr>
            <w:r>
              <w:rPr>
                <w:rFonts w:ascii="仿宋" w:hAnsi="仿宋" w:eastAsia="仿宋"/>
                <w:bCs/>
                <w:kern w:val="0"/>
                <w:sz w:val="24"/>
                <w:lang w:bidi="ar"/>
              </w:rPr>
              <w:t>周边流动人口一般，人口素质差异性一般，治安管理压力一般，人文环境一般</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82" w:hRule="atLeast"/>
        </w:trPr>
        <w:tc>
          <w:tcPr>
            <w:tcW w:w="1344" w:type="dxa"/>
            <w:vMerge w:val="continue"/>
            <w:shd w:val="clear" w:color="auto" w:fill="FFFFFF"/>
            <w:vAlign w:val="center"/>
          </w:tcPr>
          <w:p>
            <w:pPr>
              <w:jc w:val="center"/>
              <w:rPr>
                <w:rFonts w:ascii="仿宋" w:hAnsi="仿宋" w:eastAsia="仿宋"/>
                <w:bCs/>
                <w:sz w:val="24"/>
              </w:rPr>
            </w:pPr>
          </w:p>
        </w:tc>
        <w:tc>
          <w:tcPr>
            <w:tcW w:w="2420" w:type="dxa"/>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景观</w:t>
            </w:r>
          </w:p>
        </w:tc>
        <w:tc>
          <w:tcPr>
            <w:tcW w:w="4965" w:type="dxa"/>
            <w:shd w:val="clear" w:color="auto" w:fill="auto"/>
            <w:vAlign w:val="center"/>
          </w:tcPr>
          <w:p>
            <w:pPr>
              <w:widowControl/>
              <w:textAlignment w:val="center"/>
              <w:rPr>
                <w:rFonts w:ascii="仿宋" w:hAnsi="仿宋" w:eastAsia="仿宋"/>
                <w:bCs/>
                <w:sz w:val="24"/>
              </w:rPr>
            </w:pPr>
            <w:r>
              <w:rPr>
                <w:rFonts w:hint="eastAsia" w:ascii="仿宋" w:hAnsi="仿宋" w:eastAsia="仿宋"/>
                <w:bCs/>
                <w:sz w:val="24"/>
              </w:rPr>
              <w:t>金泉湖广场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842" w:hRule="atLeast"/>
        </w:trPr>
        <w:tc>
          <w:tcPr>
            <w:tcW w:w="1344" w:type="dxa"/>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外部配套</w:t>
            </w:r>
          </w:p>
        </w:tc>
        <w:tc>
          <w:tcPr>
            <w:tcW w:w="2420" w:type="dxa"/>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基础设施</w:t>
            </w:r>
          </w:p>
        </w:tc>
        <w:tc>
          <w:tcPr>
            <w:tcW w:w="4965" w:type="dxa"/>
            <w:shd w:val="clear" w:color="auto" w:fill="FFFFFF"/>
            <w:vAlign w:val="center"/>
          </w:tcPr>
          <w:p>
            <w:pPr>
              <w:widowControl/>
              <w:jc w:val="left"/>
              <w:textAlignment w:val="center"/>
              <w:rPr>
                <w:rFonts w:ascii="仿宋" w:hAnsi="仿宋" w:eastAsia="仿宋"/>
                <w:bCs/>
                <w:sz w:val="24"/>
              </w:rPr>
            </w:pPr>
            <w:r>
              <w:rPr>
                <w:rFonts w:ascii="仿宋" w:hAnsi="仿宋" w:eastAsia="仿宋"/>
                <w:bCs/>
                <w:kern w:val="0"/>
                <w:sz w:val="24"/>
                <w:lang w:bidi="ar"/>
              </w:rPr>
              <w:t>周边基础设施已达到“五通”，即通上水、通下水、通路、通电、通讯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787" w:hRule="atLeast"/>
        </w:trPr>
        <w:tc>
          <w:tcPr>
            <w:tcW w:w="1344" w:type="dxa"/>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设施状况</w:t>
            </w:r>
          </w:p>
        </w:tc>
        <w:tc>
          <w:tcPr>
            <w:tcW w:w="2420" w:type="dxa"/>
            <w:shd w:val="clear" w:color="auto" w:fill="FFFFFF"/>
            <w:vAlign w:val="center"/>
          </w:tcPr>
          <w:p>
            <w:pPr>
              <w:widowControl/>
              <w:jc w:val="center"/>
              <w:textAlignment w:val="center"/>
              <w:rPr>
                <w:rFonts w:ascii="仿宋" w:hAnsi="仿宋" w:eastAsia="仿宋"/>
                <w:bCs/>
                <w:sz w:val="24"/>
              </w:rPr>
            </w:pPr>
            <w:r>
              <w:rPr>
                <w:rFonts w:ascii="仿宋" w:hAnsi="仿宋" w:eastAsia="仿宋"/>
                <w:bCs/>
                <w:kern w:val="0"/>
                <w:sz w:val="24"/>
                <w:lang w:bidi="ar"/>
              </w:rPr>
              <w:t>公共服务设施</w:t>
            </w:r>
          </w:p>
        </w:tc>
        <w:tc>
          <w:tcPr>
            <w:tcW w:w="4965" w:type="dxa"/>
            <w:shd w:val="clear" w:color="auto" w:fill="auto"/>
            <w:vAlign w:val="center"/>
          </w:tcPr>
          <w:p>
            <w:pPr>
              <w:widowControl/>
              <w:ind w:firstLine="480" w:firstLineChars="200"/>
              <w:textAlignment w:val="center"/>
              <w:rPr>
                <w:rFonts w:ascii="仿宋" w:hAnsi="仿宋" w:eastAsia="仿宋"/>
                <w:bCs/>
                <w:kern w:val="0"/>
                <w:sz w:val="24"/>
                <w:lang w:bidi="ar"/>
              </w:rPr>
            </w:pPr>
            <w:r>
              <w:rPr>
                <w:rFonts w:ascii="仿宋" w:hAnsi="仿宋" w:eastAsia="仿宋"/>
                <w:bCs/>
                <w:kern w:val="0"/>
                <w:sz w:val="24"/>
                <w:lang w:bidi="ar"/>
              </w:rPr>
              <w:t>区域范围内</w:t>
            </w:r>
          </w:p>
          <w:p>
            <w:pPr>
              <w:widowControl/>
              <w:ind w:firstLine="480" w:firstLineChars="200"/>
              <w:textAlignment w:val="center"/>
              <w:rPr>
                <w:rFonts w:hint="eastAsia" w:ascii="仿宋" w:hAnsi="仿宋" w:eastAsia="仿宋"/>
                <w:bCs/>
                <w:kern w:val="0"/>
                <w:sz w:val="24"/>
                <w:lang w:bidi="ar"/>
              </w:rPr>
            </w:pPr>
            <w:r>
              <w:rPr>
                <w:rFonts w:hint="eastAsia" w:ascii="仿宋" w:hAnsi="仿宋" w:eastAsia="仿宋"/>
                <w:bCs/>
                <w:kern w:val="0"/>
                <w:sz w:val="24"/>
                <w:lang w:bidi="ar"/>
              </w:rPr>
              <w:t>公交车站：红洲路口[公交站]（距离208.69米）、仰阿莎广场[公交站]（距离306.9米）、仰阿莎广场东[公交站]（距离315.35米）、老卫校[公交站]（距离346.09米）、红洲路[公交站]（距离430.14米）。</w:t>
            </w:r>
          </w:p>
          <w:p>
            <w:pPr>
              <w:widowControl/>
              <w:ind w:firstLine="480" w:firstLineChars="200"/>
              <w:textAlignment w:val="center"/>
              <w:rPr>
                <w:rFonts w:hint="eastAsia" w:ascii="仿宋" w:hAnsi="仿宋" w:eastAsia="仿宋"/>
                <w:bCs/>
                <w:kern w:val="0"/>
                <w:sz w:val="24"/>
                <w:lang w:val="en-US" w:eastAsia="zh-CN" w:bidi="ar"/>
              </w:rPr>
            </w:pPr>
            <w:r>
              <w:rPr>
                <w:rFonts w:hint="eastAsia" w:ascii="仿宋" w:hAnsi="仿宋" w:eastAsia="仿宋"/>
                <w:bCs/>
                <w:kern w:val="0"/>
                <w:sz w:val="24"/>
                <w:lang w:bidi="ar"/>
              </w:rPr>
              <w:t>地铁站：</w:t>
            </w:r>
            <w:r>
              <w:rPr>
                <w:rFonts w:hint="eastAsia" w:ascii="仿宋" w:hAnsi="仿宋" w:eastAsia="仿宋"/>
                <w:bCs/>
                <w:kern w:val="0"/>
                <w:sz w:val="24"/>
                <w:lang w:val="en-US" w:eastAsia="zh-CN" w:bidi="ar"/>
              </w:rPr>
              <w:t>无。</w:t>
            </w:r>
          </w:p>
          <w:p>
            <w:pPr>
              <w:widowControl/>
              <w:ind w:firstLine="480" w:firstLineChars="200"/>
              <w:textAlignment w:val="center"/>
              <w:rPr>
                <w:rFonts w:hint="eastAsia" w:ascii="仿宋" w:hAnsi="仿宋" w:eastAsia="仿宋"/>
                <w:bCs/>
                <w:kern w:val="0"/>
                <w:sz w:val="24"/>
                <w:lang w:bidi="ar"/>
              </w:rPr>
            </w:pPr>
            <w:r>
              <w:rPr>
                <w:rFonts w:hint="eastAsia" w:ascii="仿宋" w:hAnsi="仿宋" w:eastAsia="仿宋"/>
                <w:bCs/>
                <w:kern w:val="0"/>
                <w:sz w:val="24"/>
                <w:lang w:bidi="ar"/>
              </w:rPr>
              <w:t>长途汽车站：凯里客车站（距离2441.21米）、苗都客运站（距离2801.16米）、凯里城南客运站（距离3140.34米）、凯里高铁南站客运站（距离11321.89米）、望丰车站（距离18111.66米）。</w:t>
            </w:r>
          </w:p>
          <w:p>
            <w:pPr>
              <w:widowControl/>
              <w:ind w:firstLine="480" w:firstLineChars="200"/>
              <w:textAlignment w:val="center"/>
              <w:rPr>
                <w:rFonts w:hint="eastAsia" w:ascii="仿宋" w:hAnsi="仿宋" w:eastAsia="仿宋"/>
                <w:bCs/>
                <w:kern w:val="0"/>
                <w:sz w:val="24"/>
                <w:lang w:bidi="ar"/>
              </w:rPr>
            </w:pPr>
            <w:r>
              <w:rPr>
                <w:rFonts w:hint="eastAsia" w:ascii="仿宋" w:hAnsi="仿宋" w:eastAsia="仿宋"/>
                <w:bCs/>
                <w:kern w:val="0"/>
                <w:sz w:val="24"/>
                <w:lang w:bidi="ar"/>
              </w:rPr>
              <w:t>火车站：凯里站（距离4212.6米）。</w:t>
            </w:r>
          </w:p>
          <w:p>
            <w:pPr>
              <w:widowControl/>
              <w:ind w:firstLine="480" w:firstLineChars="200"/>
              <w:textAlignment w:val="center"/>
              <w:rPr>
                <w:rFonts w:hint="eastAsia" w:ascii="仿宋" w:hAnsi="仿宋" w:eastAsia="仿宋"/>
                <w:bCs/>
                <w:kern w:val="0"/>
                <w:sz w:val="24"/>
                <w:lang w:bidi="ar"/>
              </w:rPr>
            </w:pPr>
            <w:r>
              <w:rPr>
                <w:rFonts w:hint="eastAsia" w:ascii="仿宋" w:hAnsi="仿宋" w:eastAsia="仿宋"/>
                <w:bCs/>
                <w:kern w:val="0"/>
                <w:sz w:val="24"/>
                <w:lang w:bidi="ar"/>
              </w:rPr>
              <w:t>飞机场：凯里黄平机场（距离44655.62米）。</w:t>
            </w:r>
          </w:p>
          <w:p>
            <w:pPr>
              <w:widowControl/>
              <w:ind w:firstLine="480" w:firstLineChars="200"/>
              <w:textAlignment w:val="center"/>
              <w:rPr>
                <w:rFonts w:hint="eastAsia" w:ascii="仿宋" w:hAnsi="仿宋" w:eastAsia="仿宋"/>
                <w:bCs/>
                <w:kern w:val="0"/>
                <w:sz w:val="24"/>
                <w:lang w:bidi="ar"/>
              </w:rPr>
            </w:pPr>
            <w:r>
              <w:rPr>
                <w:rFonts w:hint="eastAsia" w:ascii="仿宋" w:hAnsi="仿宋" w:eastAsia="仿宋"/>
                <w:bCs/>
                <w:kern w:val="0"/>
                <w:sz w:val="24"/>
                <w:lang w:bidi="ar"/>
              </w:rPr>
              <w:t>道路附属：万博桥（距离984米）、G320与商贸街交叉口（距离151.12米）、金山大道与小高山路交叉口（距离656.17米）、凯丰二路与市府西路交叉口（距离857.6米）、金井路与宁波路交叉口（距离993.2米）。</w:t>
            </w:r>
          </w:p>
          <w:p>
            <w:pPr>
              <w:widowControl/>
              <w:ind w:firstLine="480" w:firstLineChars="200"/>
              <w:textAlignment w:val="center"/>
              <w:rPr>
                <w:rFonts w:hint="eastAsia" w:ascii="仿宋" w:hAnsi="仿宋" w:eastAsia="仿宋"/>
                <w:bCs/>
                <w:kern w:val="0"/>
                <w:sz w:val="24"/>
                <w:lang w:bidi="ar"/>
              </w:rPr>
            </w:pPr>
            <w:r>
              <w:rPr>
                <w:rFonts w:hint="eastAsia" w:ascii="仿宋" w:hAnsi="仿宋" w:eastAsia="仿宋"/>
                <w:bCs/>
                <w:kern w:val="0"/>
                <w:sz w:val="24"/>
                <w:lang w:bidi="ar"/>
              </w:rPr>
              <w:t>小学：凯里市第十一小学（距离259.68米）、凯里四小金溪巷校区（距离621.56米）、凯里市新兴小学（距离1016.21米）、凯里市第八小学(华联校区)（距离1048.31米）、凯里市丰球(十三)小学（距离1418.26米）。</w:t>
            </w:r>
          </w:p>
          <w:p>
            <w:pPr>
              <w:widowControl/>
              <w:ind w:firstLine="480" w:firstLineChars="200"/>
              <w:textAlignment w:val="center"/>
              <w:rPr>
                <w:rFonts w:hint="eastAsia" w:ascii="仿宋" w:hAnsi="仿宋" w:eastAsia="仿宋"/>
                <w:bCs/>
                <w:kern w:val="0"/>
                <w:sz w:val="24"/>
                <w:lang w:bidi="ar"/>
              </w:rPr>
            </w:pPr>
            <w:r>
              <w:rPr>
                <w:rFonts w:hint="eastAsia" w:ascii="仿宋" w:hAnsi="仿宋" w:eastAsia="仿宋"/>
                <w:bCs/>
                <w:kern w:val="0"/>
                <w:sz w:val="24"/>
                <w:lang w:bidi="ar"/>
              </w:rPr>
              <w:t>初中：凯里市第七中学（距离465.74米）、凯里市第十二中学（距离1064.01米）、凯里老一中（距离1204.14米）、黔东南州振华民族中学（距离1301.75米）、凯里市博南高级中学（距离1362.18米）。</w:t>
            </w:r>
          </w:p>
          <w:p>
            <w:pPr>
              <w:widowControl/>
              <w:ind w:firstLine="480" w:firstLineChars="200"/>
              <w:textAlignment w:val="center"/>
              <w:rPr>
                <w:rFonts w:hint="eastAsia" w:ascii="仿宋" w:hAnsi="仿宋" w:eastAsia="仿宋"/>
                <w:bCs/>
                <w:kern w:val="0"/>
                <w:sz w:val="24"/>
                <w:lang w:bidi="ar"/>
              </w:rPr>
            </w:pPr>
            <w:r>
              <w:rPr>
                <w:rFonts w:hint="eastAsia" w:ascii="仿宋" w:hAnsi="仿宋" w:eastAsia="仿宋"/>
                <w:bCs/>
                <w:kern w:val="0"/>
                <w:sz w:val="24"/>
                <w:lang w:bidi="ar"/>
              </w:rPr>
              <w:t>高中：凯里市第七中学（距离465.74米）、凯里市第十二中学（距离1064.01米）、凯里老一中（距离1204.14米）、黔东南州振华民族中学（距离1301.75米）、凯里市博南高级中学（距离1362.18米）。</w:t>
            </w:r>
          </w:p>
          <w:p>
            <w:pPr>
              <w:widowControl/>
              <w:ind w:firstLine="480" w:firstLineChars="200"/>
              <w:textAlignment w:val="center"/>
              <w:rPr>
                <w:rFonts w:hint="eastAsia" w:ascii="仿宋" w:hAnsi="仿宋" w:eastAsia="仿宋"/>
                <w:bCs/>
                <w:kern w:val="0"/>
                <w:sz w:val="24"/>
                <w:lang w:bidi="ar"/>
              </w:rPr>
            </w:pPr>
            <w:r>
              <w:rPr>
                <w:rFonts w:hint="eastAsia" w:ascii="仿宋" w:hAnsi="仿宋" w:eastAsia="仿宋"/>
                <w:bCs/>
                <w:kern w:val="0"/>
                <w:sz w:val="24"/>
                <w:lang w:bidi="ar"/>
              </w:rPr>
              <w:t>医院：凯里市大十字街道社区阳光服务中心（距离134.88米）、黔东南红州儿童医院（距离174.59米）、101医院（距离178.27米）、金山社区卫生服务站（距离307.74米）、舟溪青杠林龙氏草药骨伤科（距离407.7米）。</w:t>
            </w:r>
          </w:p>
          <w:p>
            <w:pPr>
              <w:widowControl/>
              <w:ind w:firstLine="480" w:firstLineChars="200"/>
              <w:textAlignment w:val="center"/>
              <w:rPr>
                <w:rFonts w:hint="eastAsia" w:ascii="仿宋" w:hAnsi="仿宋" w:eastAsia="仿宋"/>
                <w:bCs/>
                <w:kern w:val="0"/>
                <w:sz w:val="24"/>
                <w:lang w:bidi="ar"/>
              </w:rPr>
            </w:pPr>
            <w:r>
              <w:rPr>
                <w:rFonts w:hint="eastAsia" w:ascii="仿宋" w:hAnsi="仿宋" w:eastAsia="仿宋"/>
                <w:bCs/>
                <w:kern w:val="0"/>
                <w:sz w:val="24"/>
                <w:lang w:bidi="ar"/>
              </w:rPr>
              <w:t>农贸市场：金泉路临时农贸市场（距离636.27米）、农贸市场小百货（距离1119.65米）、金井农贸市场（距离1139.98米）、凯棉路口临时菜市场（距离1295.87米）、州建公司农贸市场（距离1778.01米）。</w:t>
            </w:r>
          </w:p>
          <w:p>
            <w:pPr>
              <w:widowControl/>
              <w:ind w:firstLine="480" w:firstLineChars="200"/>
              <w:textAlignment w:val="center"/>
              <w:rPr>
                <w:rFonts w:hint="eastAsia" w:ascii="仿宋" w:hAnsi="仿宋" w:eastAsia="仿宋"/>
                <w:bCs/>
                <w:kern w:val="0"/>
                <w:sz w:val="24"/>
                <w:lang w:bidi="ar"/>
              </w:rPr>
            </w:pPr>
            <w:r>
              <w:rPr>
                <w:rFonts w:hint="eastAsia" w:ascii="仿宋" w:hAnsi="仿宋" w:eastAsia="仿宋"/>
                <w:bCs/>
                <w:kern w:val="0"/>
                <w:sz w:val="24"/>
                <w:lang w:bidi="ar"/>
              </w:rPr>
              <w:t>超市：凯里市顾礼先烟酒店（距离39.83米）、四方安副食店（距离57.98米）、黔城壹家（距离65.89米）、随心副食便利店（距离113.75米）、红华便利(商贸街店)（距离120.95米）。</w:t>
            </w:r>
          </w:p>
          <w:p>
            <w:pPr>
              <w:widowControl/>
              <w:ind w:firstLine="480" w:firstLineChars="200"/>
              <w:textAlignment w:val="center"/>
              <w:rPr>
                <w:rFonts w:hint="eastAsia" w:ascii="仿宋" w:hAnsi="仿宋" w:eastAsia="仿宋"/>
                <w:bCs/>
                <w:kern w:val="0"/>
                <w:sz w:val="24"/>
                <w:lang w:bidi="ar"/>
              </w:rPr>
            </w:pPr>
            <w:r>
              <w:rPr>
                <w:rFonts w:hint="eastAsia" w:ascii="仿宋" w:hAnsi="仿宋" w:eastAsia="仿宋"/>
                <w:bCs/>
                <w:kern w:val="0"/>
                <w:sz w:val="24"/>
                <w:lang w:bidi="ar"/>
              </w:rPr>
              <w:t>综合商场：黔东南凯里万达广场（距离908.88米）、黔东南州万达广场售房部（距离963米）、纵横坐标商业广场（距离1000.71米）、星吉购物中心（距离1022.93米）、新世纪万博购物广场（距离1107.07米）。</w:t>
            </w:r>
          </w:p>
          <w:p>
            <w:pPr>
              <w:widowControl/>
              <w:ind w:firstLine="480" w:firstLineChars="200"/>
              <w:textAlignment w:val="center"/>
              <w:rPr>
                <w:rFonts w:hint="eastAsia" w:ascii="仿宋" w:hAnsi="仿宋" w:eastAsia="仿宋"/>
                <w:bCs/>
                <w:kern w:val="0"/>
                <w:sz w:val="24"/>
                <w:lang w:bidi="ar"/>
              </w:rPr>
            </w:pPr>
            <w:r>
              <w:rPr>
                <w:rFonts w:hint="eastAsia" w:ascii="仿宋" w:hAnsi="仿宋" w:eastAsia="仿宋"/>
                <w:bCs/>
                <w:kern w:val="0"/>
                <w:sz w:val="24"/>
                <w:lang w:bidi="ar"/>
              </w:rPr>
              <w:t>电影院：幕威影吧主题私人影院（距离1232.93米）、碧园国际影城(凯里店)（距离1883.53米）、乡旅公社（距离1931.16米）、凯瑞国际影城（距离2170.13米）、横店电影城(凯里店)（距离2177.7米）。</w:t>
            </w:r>
          </w:p>
          <w:p>
            <w:pPr>
              <w:widowControl/>
              <w:ind w:firstLine="480" w:firstLineChars="200"/>
              <w:textAlignment w:val="center"/>
              <w:rPr>
                <w:rFonts w:hint="eastAsia" w:ascii="仿宋" w:hAnsi="仿宋" w:eastAsia="仿宋"/>
                <w:bCs/>
                <w:kern w:val="0"/>
                <w:sz w:val="24"/>
                <w:lang w:bidi="ar"/>
              </w:rPr>
            </w:pPr>
            <w:r>
              <w:rPr>
                <w:rFonts w:hint="eastAsia" w:ascii="仿宋" w:hAnsi="仿宋" w:eastAsia="仿宋"/>
                <w:bCs/>
                <w:kern w:val="0"/>
                <w:sz w:val="24"/>
                <w:lang w:bidi="ar"/>
              </w:rPr>
              <w:t>文化场馆：金泉花园-销售展示中心（距离458.74米）、凯里市民族青少年宫（距离524.9米）、凯里市档案馆（距离786.37米）、黔东南州民族博物馆非物质文化遗产展馆（距离991.78米）、中国民族博物馆黔东南分馆（距离995.35米）。</w:t>
            </w:r>
          </w:p>
          <w:p>
            <w:pPr>
              <w:widowControl/>
              <w:ind w:firstLine="480" w:firstLineChars="200"/>
              <w:textAlignment w:val="center"/>
              <w:rPr>
                <w:rFonts w:hint="eastAsia" w:ascii="仿宋" w:hAnsi="仿宋" w:eastAsia="仿宋"/>
                <w:bCs/>
                <w:kern w:val="0"/>
                <w:sz w:val="24"/>
                <w:lang w:bidi="ar"/>
              </w:rPr>
            </w:pPr>
            <w:r>
              <w:rPr>
                <w:rFonts w:hint="eastAsia" w:ascii="仿宋" w:hAnsi="仿宋" w:eastAsia="仿宋"/>
                <w:bCs/>
                <w:kern w:val="0"/>
                <w:sz w:val="24"/>
                <w:lang w:bidi="ar"/>
              </w:rPr>
              <w:t>银行：中国建设银行24小时自助银行(红州儿童医院西)（距离55.51米）、中国邮政储蓄银行24小时自助银行(红洲路)（距离203.97米）、贵州银行ATM（距离705.43米）、贵阳银行(凯里博南支行)（距离716.64米）、凯里东南村镇银行(博南支行)（距离737.11米）。</w:t>
            </w:r>
          </w:p>
          <w:p>
            <w:pPr>
              <w:widowControl/>
              <w:ind w:firstLine="480" w:firstLineChars="200"/>
              <w:textAlignment w:val="center"/>
              <w:rPr>
                <w:rFonts w:ascii="仿宋" w:hAnsi="仿宋" w:eastAsia="仿宋"/>
                <w:bCs/>
                <w:sz w:val="24"/>
              </w:rPr>
            </w:pPr>
            <w:r>
              <w:rPr>
                <w:rFonts w:ascii="仿宋" w:hAnsi="仿宋" w:eastAsia="仿宋"/>
                <w:bCs/>
                <w:kern w:val="0"/>
                <w:sz w:val="24"/>
                <w:lang w:bidi="ar"/>
              </w:rPr>
              <w:t>区域内教育机构、金融机构等较为齐全，附近公共服务设施较为齐全。</w:t>
            </w:r>
          </w:p>
        </w:tc>
      </w:tr>
      <w:bookmarkEnd w:id="49"/>
    </w:tbl>
    <w:p>
      <w:pPr>
        <w:rPr>
          <w:rFonts w:ascii="仿宋" w:hAnsi="仿宋" w:eastAsia="仿宋"/>
        </w:rPr>
      </w:pPr>
    </w:p>
    <w:p>
      <w:pPr>
        <w:pStyle w:val="4"/>
        <w:overflowPunct w:val="0"/>
        <w:topLinePunct/>
        <w:adjustRightInd w:val="0"/>
        <w:snapToGrid w:val="0"/>
        <w:spacing w:before="312" w:beforeLines="100" w:after="312" w:afterLines="100" w:line="360" w:lineRule="auto"/>
        <w:ind w:firstLine="562" w:firstLineChars="200"/>
        <w:jc w:val="left"/>
        <w:rPr>
          <w:rFonts w:ascii="仿宋" w:hAnsi="仿宋" w:eastAsia="仿宋"/>
          <w:sz w:val="28"/>
        </w:rPr>
      </w:pPr>
      <w:bookmarkStart w:id="52" w:name="_Toc15206"/>
      <w:bookmarkStart w:id="53" w:name="_Toc23397"/>
      <w:bookmarkStart w:id="54" w:name="_Toc32107"/>
      <w:r>
        <w:rPr>
          <w:rFonts w:ascii="仿宋" w:hAnsi="仿宋" w:eastAsia="仿宋"/>
          <w:sz w:val="28"/>
        </w:rPr>
        <w:t>五、价值时点</w:t>
      </w:r>
      <w:bookmarkEnd w:id="26"/>
      <w:bookmarkEnd w:id="52"/>
      <w:bookmarkEnd w:id="53"/>
      <w:bookmarkEnd w:id="54"/>
    </w:p>
    <w:p>
      <w:pPr>
        <w:pStyle w:val="10"/>
        <w:overflowPunct w:val="0"/>
        <w:topLinePunct/>
        <w:adjustRightInd w:val="0"/>
        <w:snapToGrid w:val="0"/>
        <w:ind w:right="0" w:rightChars="0" w:firstLine="560" w:firstLineChars="200"/>
        <w:rPr>
          <w:rFonts w:ascii="仿宋" w:hAnsi="仿宋" w:eastAsia="仿宋"/>
          <w:bCs/>
          <w:sz w:val="28"/>
        </w:rPr>
      </w:pPr>
      <w:r>
        <w:rPr>
          <w:rFonts w:hint="eastAsia" w:ascii="仿宋" w:hAnsi="仿宋" w:eastAsia="仿宋"/>
          <w:bCs/>
          <w:sz w:val="28"/>
        </w:rPr>
        <w:t>根据估价目的，本次价值时点确定为实地查勘日期即2021年8月16日</w:t>
      </w:r>
      <w:r>
        <w:rPr>
          <w:rFonts w:ascii="仿宋" w:hAnsi="仿宋" w:eastAsia="仿宋"/>
          <w:bCs/>
          <w:sz w:val="28"/>
        </w:rPr>
        <w:t>。</w:t>
      </w:r>
    </w:p>
    <w:p>
      <w:pPr>
        <w:pStyle w:val="4"/>
        <w:overflowPunct w:val="0"/>
        <w:topLinePunct/>
        <w:adjustRightInd w:val="0"/>
        <w:snapToGrid w:val="0"/>
        <w:spacing w:before="312" w:beforeLines="100" w:after="312" w:afterLines="100" w:line="360" w:lineRule="auto"/>
        <w:ind w:firstLine="562" w:firstLineChars="200"/>
        <w:jc w:val="left"/>
        <w:rPr>
          <w:rFonts w:ascii="仿宋" w:hAnsi="仿宋" w:eastAsia="仿宋"/>
          <w:sz w:val="28"/>
        </w:rPr>
      </w:pPr>
      <w:bookmarkStart w:id="55" w:name="_Toc6580"/>
      <w:bookmarkStart w:id="56" w:name="_Toc18565"/>
      <w:bookmarkStart w:id="57" w:name="_Toc461005134"/>
      <w:bookmarkStart w:id="58" w:name="_Toc11969"/>
      <w:r>
        <w:rPr>
          <w:rFonts w:ascii="仿宋" w:hAnsi="仿宋" w:eastAsia="仿宋"/>
          <w:sz w:val="28"/>
        </w:rPr>
        <w:t>六、价值类型</w:t>
      </w:r>
      <w:bookmarkEnd w:id="55"/>
      <w:bookmarkEnd w:id="56"/>
      <w:bookmarkEnd w:id="57"/>
      <w:bookmarkEnd w:id="58"/>
    </w:p>
    <w:p>
      <w:pPr>
        <w:overflowPunct w:val="0"/>
        <w:topLinePunct/>
        <w:adjustRightInd w:val="0"/>
        <w:snapToGrid w:val="0"/>
        <w:spacing w:line="600" w:lineRule="exact"/>
        <w:ind w:firstLine="560" w:firstLineChars="200"/>
        <w:jc w:val="left"/>
        <w:rPr>
          <w:rFonts w:ascii="仿宋" w:hAnsi="仿宋" w:eastAsia="仿宋"/>
          <w:bCs/>
          <w:sz w:val="28"/>
        </w:rPr>
      </w:pPr>
      <w:r>
        <w:rPr>
          <w:rFonts w:ascii="仿宋" w:hAnsi="仿宋" w:eastAsia="仿宋"/>
          <w:bCs/>
          <w:sz w:val="28"/>
        </w:rPr>
        <w:t>本报告估价结果是反映估价对象在价值时点的公开</w:t>
      </w:r>
      <w:bookmarkStart w:id="59" w:name="OLE_LINK6"/>
      <w:r>
        <w:rPr>
          <w:rFonts w:ascii="仿宋" w:hAnsi="仿宋" w:eastAsia="仿宋"/>
          <w:bCs/>
          <w:sz w:val="28"/>
        </w:rPr>
        <w:t>市场价值</w:t>
      </w:r>
      <w:bookmarkEnd w:id="59"/>
      <w:r>
        <w:rPr>
          <w:rFonts w:ascii="仿宋" w:hAnsi="仿宋" w:eastAsia="仿宋"/>
          <w:bCs/>
          <w:sz w:val="28"/>
        </w:rPr>
        <w:t>（包含所分摊的土地使用权价格、包含室内二次装修价值</w:t>
      </w:r>
      <w:r>
        <w:rPr>
          <w:rFonts w:hint="eastAsia" w:ascii="仿宋" w:hAnsi="仿宋" w:eastAsia="仿宋"/>
          <w:bCs/>
          <w:sz w:val="28"/>
        </w:rPr>
        <w:t>及不可拆卸移动的家具家电</w:t>
      </w:r>
      <w:r>
        <w:rPr>
          <w:rFonts w:ascii="仿宋" w:hAnsi="仿宋" w:eastAsia="仿宋"/>
          <w:bCs/>
          <w:sz w:val="28"/>
        </w:rPr>
        <w:t>）。</w:t>
      </w:r>
    </w:p>
    <w:p>
      <w:pPr>
        <w:overflowPunct w:val="0"/>
        <w:topLinePunct/>
        <w:adjustRightInd w:val="0"/>
        <w:snapToGrid w:val="0"/>
        <w:spacing w:line="600" w:lineRule="exact"/>
        <w:ind w:firstLine="560" w:firstLineChars="200"/>
        <w:jc w:val="left"/>
        <w:rPr>
          <w:rFonts w:ascii="仿宋" w:hAnsi="仿宋" w:eastAsia="仿宋"/>
          <w:bCs/>
          <w:sz w:val="28"/>
        </w:rPr>
      </w:pPr>
      <w:r>
        <w:rPr>
          <w:rFonts w:ascii="仿宋" w:hAnsi="仿宋" w:eastAsia="仿宋"/>
          <w:bCs/>
          <w:sz w:val="28"/>
        </w:rPr>
        <w:t>公开市场价值是在公开市场上最可能形成的价格。公开市场指在该市场上交易双方进行交易的目的在于最大限度地追求经济效益，并掌握必要的市场信息，有较充裕的时间进行交易，对交易对象具有必要的专业知识，交易条件公开并不具有排他性。</w:t>
      </w:r>
    </w:p>
    <w:p>
      <w:pPr>
        <w:pStyle w:val="4"/>
        <w:overflowPunct w:val="0"/>
        <w:topLinePunct/>
        <w:adjustRightInd w:val="0"/>
        <w:snapToGrid w:val="0"/>
        <w:spacing w:before="312" w:beforeLines="100" w:after="312" w:afterLines="100" w:line="360" w:lineRule="auto"/>
        <w:ind w:firstLine="562" w:firstLineChars="200"/>
        <w:jc w:val="left"/>
        <w:rPr>
          <w:rFonts w:ascii="仿宋" w:hAnsi="仿宋" w:eastAsia="仿宋"/>
          <w:sz w:val="28"/>
        </w:rPr>
      </w:pPr>
      <w:bookmarkStart w:id="60" w:name="_Toc8864"/>
      <w:bookmarkStart w:id="61" w:name="_Toc7503"/>
      <w:bookmarkStart w:id="62" w:name="_Toc461005135"/>
      <w:bookmarkStart w:id="63" w:name="_Toc26712"/>
      <w:r>
        <w:rPr>
          <w:rFonts w:ascii="仿宋" w:hAnsi="仿宋" w:eastAsia="仿宋"/>
          <w:sz w:val="28"/>
        </w:rPr>
        <w:t>七、估价原则</w:t>
      </w:r>
      <w:bookmarkEnd w:id="60"/>
      <w:bookmarkEnd w:id="61"/>
      <w:bookmarkEnd w:id="62"/>
      <w:bookmarkEnd w:id="63"/>
    </w:p>
    <w:p>
      <w:pPr>
        <w:overflowPunct w:val="0"/>
        <w:topLinePunct/>
        <w:adjustRightInd w:val="0"/>
        <w:snapToGrid w:val="0"/>
        <w:spacing w:line="360" w:lineRule="auto"/>
        <w:ind w:firstLine="560" w:firstLineChars="200"/>
        <w:jc w:val="left"/>
        <w:rPr>
          <w:rFonts w:ascii="仿宋" w:hAnsi="仿宋" w:eastAsia="仿宋"/>
          <w:bCs/>
          <w:sz w:val="28"/>
        </w:rPr>
      </w:pPr>
      <w:r>
        <w:rPr>
          <w:rFonts w:ascii="仿宋" w:hAnsi="仿宋" w:eastAsia="仿宋"/>
          <w:bCs/>
          <w:sz w:val="28"/>
        </w:rPr>
        <w:t>1、独立、客观、公正原则：对各方估价利害关系人均是公平合理的价值或价格；</w:t>
      </w:r>
    </w:p>
    <w:p>
      <w:pPr>
        <w:overflowPunct w:val="0"/>
        <w:topLinePunct/>
        <w:adjustRightInd w:val="0"/>
        <w:snapToGrid w:val="0"/>
        <w:spacing w:line="360" w:lineRule="auto"/>
        <w:ind w:firstLine="560" w:firstLineChars="200"/>
        <w:jc w:val="left"/>
        <w:rPr>
          <w:rFonts w:ascii="仿宋" w:hAnsi="仿宋" w:eastAsia="仿宋"/>
          <w:bCs/>
          <w:sz w:val="28"/>
        </w:rPr>
      </w:pPr>
      <w:r>
        <w:rPr>
          <w:rFonts w:ascii="仿宋" w:hAnsi="仿宋" w:eastAsia="仿宋"/>
          <w:bCs/>
          <w:sz w:val="28"/>
        </w:rPr>
        <w:t>2、合法原则：在依法判定的估价对象状况下的价值或价格；</w:t>
      </w:r>
    </w:p>
    <w:p>
      <w:pPr>
        <w:overflowPunct w:val="0"/>
        <w:topLinePunct/>
        <w:adjustRightInd w:val="0"/>
        <w:snapToGrid w:val="0"/>
        <w:spacing w:line="360" w:lineRule="auto"/>
        <w:ind w:firstLine="560" w:firstLineChars="200"/>
        <w:jc w:val="left"/>
        <w:rPr>
          <w:rFonts w:ascii="仿宋" w:hAnsi="仿宋" w:eastAsia="仿宋"/>
          <w:bCs/>
          <w:sz w:val="28"/>
        </w:rPr>
      </w:pPr>
      <w:r>
        <w:rPr>
          <w:rFonts w:ascii="仿宋" w:hAnsi="仿宋" w:eastAsia="仿宋"/>
          <w:bCs/>
          <w:sz w:val="28"/>
        </w:rPr>
        <w:t>3、最高最佳利用原则：在估价对象最高最佳利用状况下的价值或价格；</w:t>
      </w:r>
    </w:p>
    <w:p>
      <w:pPr>
        <w:overflowPunct w:val="0"/>
        <w:topLinePunct/>
        <w:adjustRightInd w:val="0"/>
        <w:snapToGrid w:val="0"/>
        <w:spacing w:line="360" w:lineRule="auto"/>
        <w:ind w:firstLine="560" w:firstLineChars="200"/>
        <w:jc w:val="left"/>
        <w:rPr>
          <w:rFonts w:ascii="仿宋" w:hAnsi="仿宋" w:eastAsia="仿宋"/>
          <w:bCs/>
          <w:sz w:val="28"/>
        </w:rPr>
      </w:pPr>
      <w:r>
        <w:rPr>
          <w:rFonts w:ascii="仿宋" w:hAnsi="仿宋" w:eastAsia="仿宋"/>
          <w:bCs/>
          <w:sz w:val="28"/>
        </w:rPr>
        <w:t>4、替代原则：评估价值与估价对象的类似房地产在同等条件下的价值或价格偏差应在合理范围内；</w:t>
      </w:r>
    </w:p>
    <w:p>
      <w:pPr>
        <w:overflowPunct w:val="0"/>
        <w:topLinePunct/>
        <w:adjustRightInd w:val="0"/>
        <w:snapToGrid w:val="0"/>
        <w:spacing w:line="360" w:lineRule="auto"/>
        <w:ind w:firstLine="560" w:firstLineChars="200"/>
        <w:jc w:val="left"/>
        <w:rPr>
          <w:rFonts w:ascii="仿宋" w:hAnsi="仿宋" w:eastAsia="仿宋"/>
          <w:bCs/>
          <w:sz w:val="28"/>
        </w:rPr>
      </w:pPr>
      <w:r>
        <w:rPr>
          <w:rFonts w:ascii="仿宋" w:hAnsi="仿宋" w:eastAsia="仿宋"/>
          <w:bCs/>
          <w:sz w:val="28"/>
        </w:rPr>
        <w:t>5、价值时点原则：在根据估价目的确定的某一特定时间的价值或价格。</w:t>
      </w:r>
    </w:p>
    <w:p>
      <w:pPr>
        <w:pStyle w:val="4"/>
        <w:overflowPunct w:val="0"/>
        <w:topLinePunct/>
        <w:adjustRightInd w:val="0"/>
        <w:snapToGrid w:val="0"/>
        <w:spacing w:before="312" w:beforeLines="100" w:after="312" w:afterLines="100" w:line="360" w:lineRule="auto"/>
        <w:ind w:firstLine="562" w:firstLineChars="200"/>
        <w:jc w:val="left"/>
        <w:rPr>
          <w:rFonts w:ascii="仿宋" w:hAnsi="仿宋" w:eastAsia="仿宋"/>
          <w:sz w:val="28"/>
        </w:rPr>
      </w:pPr>
      <w:bookmarkStart w:id="64" w:name="_Toc15518"/>
      <w:bookmarkStart w:id="65" w:name="_Toc28233"/>
      <w:bookmarkStart w:id="66" w:name="_Toc29050"/>
      <w:bookmarkStart w:id="67" w:name="_Toc461005136"/>
      <w:r>
        <w:rPr>
          <w:rFonts w:ascii="仿宋" w:hAnsi="仿宋" w:eastAsia="仿宋"/>
          <w:sz w:val="28"/>
        </w:rPr>
        <w:t>八、估价依据</w:t>
      </w:r>
      <w:bookmarkEnd w:id="64"/>
      <w:bookmarkEnd w:id="65"/>
      <w:bookmarkEnd w:id="66"/>
      <w:bookmarkEnd w:id="67"/>
    </w:p>
    <w:p>
      <w:pPr>
        <w:overflowPunct w:val="0"/>
        <w:topLinePunct/>
        <w:adjustRightInd w:val="0"/>
        <w:snapToGrid w:val="0"/>
        <w:spacing w:line="600" w:lineRule="exact"/>
        <w:ind w:firstLine="560" w:firstLineChars="200"/>
        <w:jc w:val="left"/>
        <w:rPr>
          <w:rFonts w:ascii="仿宋" w:hAnsi="仿宋" w:eastAsia="仿宋"/>
          <w:bCs/>
          <w:sz w:val="28"/>
        </w:rPr>
      </w:pPr>
      <w:r>
        <w:rPr>
          <w:rFonts w:ascii="仿宋" w:hAnsi="仿宋" w:eastAsia="仿宋"/>
          <w:bCs/>
          <w:sz w:val="28"/>
        </w:rPr>
        <w:t>1、《中华人民共和国</w:t>
      </w:r>
      <w:r>
        <w:rPr>
          <w:rFonts w:hint="eastAsia" w:ascii="仿宋" w:hAnsi="仿宋" w:eastAsia="仿宋"/>
          <w:bCs/>
          <w:sz w:val="28"/>
        </w:rPr>
        <w:t>民法典</w:t>
      </w:r>
      <w:r>
        <w:rPr>
          <w:rFonts w:ascii="仿宋" w:hAnsi="仿宋" w:eastAsia="仿宋"/>
          <w:bCs/>
          <w:sz w:val="28"/>
        </w:rPr>
        <w:t>》；</w:t>
      </w:r>
    </w:p>
    <w:p>
      <w:pPr>
        <w:overflowPunct w:val="0"/>
        <w:topLinePunct/>
        <w:adjustRightInd w:val="0"/>
        <w:snapToGrid w:val="0"/>
        <w:spacing w:line="600" w:lineRule="exact"/>
        <w:ind w:firstLine="560" w:firstLineChars="200"/>
        <w:jc w:val="left"/>
        <w:rPr>
          <w:rFonts w:ascii="仿宋" w:hAnsi="仿宋" w:eastAsia="仿宋"/>
          <w:bCs/>
          <w:sz w:val="28"/>
        </w:rPr>
      </w:pPr>
      <w:r>
        <w:rPr>
          <w:rFonts w:ascii="仿宋" w:hAnsi="仿宋" w:eastAsia="仿宋"/>
          <w:bCs/>
          <w:sz w:val="28"/>
        </w:rPr>
        <w:t>2、《中华人民共和国城市房地产管理法》；</w:t>
      </w:r>
    </w:p>
    <w:p>
      <w:pPr>
        <w:overflowPunct w:val="0"/>
        <w:topLinePunct/>
        <w:adjustRightInd w:val="0"/>
        <w:snapToGrid w:val="0"/>
        <w:spacing w:line="600" w:lineRule="exact"/>
        <w:ind w:firstLine="560" w:firstLineChars="200"/>
        <w:jc w:val="left"/>
        <w:rPr>
          <w:rFonts w:ascii="仿宋" w:hAnsi="仿宋" w:eastAsia="仿宋"/>
          <w:bCs/>
          <w:sz w:val="28"/>
        </w:rPr>
      </w:pPr>
      <w:r>
        <w:rPr>
          <w:rFonts w:ascii="仿宋" w:hAnsi="仿宋" w:eastAsia="仿宋"/>
          <w:bCs/>
          <w:sz w:val="28"/>
        </w:rPr>
        <w:t>3、《中华人民共和国资产评估法》；</w:t>
      </w:r>
    </w:p>
    <w:p>
      <w:pPr>
        <w:overflowPunct w:val="0"/>
        <w:topLinePunct/>
        <w:adjustRightInd w:val="0"/>
        <w:snapToGrid w:val="0"/>
        <w:spacing w:line="600" w:lineRule="exact"/>
        <w:ind w:firstLine="560" w:firstLineChars="200"/>
        <w:jc w:val="left"/>
        <w:rPr>
          <w:rFonts w:ascii="仿宋" w:hAnsi="仿宋" w:eastAsia="仿宋"/>
          <w:bCs/>
          <w:sz w:val="28"/>
        </w:rPr>
      </w:pPr>
      <w:r>
        <w:rPr>
          <w:rFonts w:ascii="仿宋" w:hAnsi="仿宋" w:eastAsia="仿宋"/>
          <w:bCs/>
          <w:sz w:val="28"/>
        </w:rPr>
        <w:t>4、《房地产估价规范》（GB/T50291-2015）；</w:t>
      </w:r>
    </w:p>
    <w:p>
      <w:pPr>
        <w:overflowPunct w:val="0"/>
        <w:topLinePunct/>
        <w:adjustRightInd w:val="0"/>
        <w:snapToGrid w:val="0"/>
        <w:spacing w:line="600" w:lineRule="exact"/>
        <w:ind w:firstLine="560" w:firstLineChars="200"/>
        <w:jc w:val="left"/>
        <w:rPr>
          <w:rFonts w:ascii="仿宋" w:hAnsi="仿宋" w:eastAsia="仿宋"/>
          <w:bCs/>
          <w:sz w:val="28"/>
        </w:rPr>
      </w:pPr>
      <w:r>
        <w:rPr>
          <w:rFonts w:ascii="仿宋" w:hAnsi="仿宋" w:eastAsia="仿宋"/>
          <w:bCs/>
          <w:sz w:val="28"/>
        </w:rPr>
        <w:t>5、《房地产估价基本术语标准》（GB/T50899－2013）；</w:t>
      </w:r>
    </w:p>
    <w:p>
      <w:pPr>
        <w:overflowPunct w:val="0"/>
        <w:topLinePunct/>
        <w:adjustRightInd w:val="0"/>
        <w:snapToGrid w:val="0"/>
        <w:spacing w:line="600" w:lineRule="exact"/>
        <w:ind w:firstLine="560" w:firstLineChars="200"/>
        <w:jc w:val="left"/>
        <w:rPr>
          <w:rFonts w:ascii="仿宋" w:hAnsi="仿宋" w:eastAsia="仿宋"/>
          <w:bCs/>
          <w:sz w:val="28"/>
        </w:rPr>
      </w:pPr>
      <w:r>
        <w:rPr>
          <w:rFonts w:ascii="仿宋" w:hAnsi="仿宋" w:eastAsia="仿宋"/>
          <w:bCs/>
          <w:sz w:val="28"/>
        </w:rPr>
        <w:t>6、《最高人民法院关于人民法院确定财产处置参考价若干问题的规定》；</w:t>
      </w:r>
    </w:p>
    <w:p>
      <w:pPr>
        <w:overflowPunct w:val="0"/>
        <w:topLinePunct/>
        <w:adjustRightInd w:val="0"/>
        <w:snapToGrid w:val="0"/>
        <w:spacing w:line="600" w:lineRule="exact"/>
        <w:ind w:firstLine="560" w:firstLineChars="200"/>
        <w:jc w:val="left"/>
        <w:rPr>
          <w:rFonts w:ascii="仿宋" w:hAnsi="仿宋" w:eastAsia="仿宋"/>
          <w:bCs/>
          <w:sz w:val="28"/>
        </w:rPr>
      </w:pPr>
      <w:r>
        <w:rPr>
          <w:rFonts w:ascii="仿宋" w:hAnsi="仿宋" w:eastAsia="仿宋"/>
          <w:bCs/>
          <w:sz w:val="28"/>
        </w:rPr>
        <w:t>7、《人民法院委托评估工作规范》；</w:t>
      </w:r>
    </w:p>
    <w:p>
      <w:pPr>
        <w:overflowPunct w:val="0"/>
        <w:topLinePunct/>
        <w:adjustRightInd w:val="0"/>
        <w:snapToGrid w:val="0"/>
        <w:spacing w:line="600" w:lineRule="exact"/>
        <w:ind w:firstLine="560" w:firstLineChars="200"/>
        <w:rPr>
          <w:rFonts w:ascii="仿宋" w:hAnsi="仿宋" w:eastAsia="仿宋"/>
          <w:bCs/>
          <w:sz w:val="28"/>
        </w:rPr>
      </w:pPr>
      <w:r>
        <w:rPr>
          <w:rFonts w:ascii="仿宋" w:hAnsi="仿宋" w:eastAsia="仿宋"/>
          <w:bCs/>
          <w:sz w:val="28"/>
        </w:rPr>
        <w:t>8、</w:t>
      </w:r>
      <w:r>
        <w:rPr>
          <w:rFonts w:hint="eastAsia" w:ascii="仿宋" w:hAnsi="仿宋" w:eastAsia="仿宋"/>
          <w:bCs/>
          <w:sz w:val="28"/>
        </w:rPr>
        <w:t>《贵州省凯里市人民法院评估委托函》（（2021）黔2601执恢219号）</w:t>
      </w:r>
      <w:r>
        <w:rPr>
          <w:rFonts w:ascii="仿宋" w:hAnsi="仿宋" w:eastAsia="仿宋"/>
          <w:bCs/>
          <w:sz w:val="28"/>
        </w:rPr>
        <w:t>；</w:t>
      </w:r>
    </w:p>
    <w:p>
      <w:pPr>
        <w:overflowPunct w:val="0"/>
        <w:topLinePunct/>
        <w:adjustRightInd w:val="0"/>
        <w:snapToGrid w:val="0"/>
        <w:spacing w:line="600" w:lineRule="exact"/>
        <w:ind w:firstLine="560" w:firstLineChars="200"/>
        <w:jc w:val="left"/>
        <w:rPr>
          <w:rFonts w:ascii="仿宋" w:hAnsi="仿宋" w:eastAsia="仿宋"/>
          <w:bCs/>
          <w:sz w:val="28"/>
        </w:rPr>
      </w:pPr>
      <w:r>
        <w:rPr>
          <w:rFonts w:ascii="仿宋" w:hAnsi="仿宋" w:eastAsia="仿宋"/>
          <w:bCs/>
          <w:sz w:val="28"/>
        </w:rPr>
        <w:t>9、</w:t>
      </w:r>
      <w:r>
        <w:rPr>
          <w:rFonts w:hint="eastAsia" w:ascii="仿宋" w:hAnsi="仿宋" w:eastAsia="仿宋"/>
          <w:sz w:val="28"/>
          <w:szCs w:val="28"/>
        </w:rPr>
        <w:t>《房屋所有权证》（凯里房权证城区字第00003321号）</w:t>
      </w:r>
      <w:r>
        <w:rPr>
          <w:rFonts w:ascii="仿宋" w:hAnsi="仿宋" w:eastAsia="仿宋"/>
          <w:bCs/>
          <w:sz w:val="28"/>
        </w:rPr>
        <w:t>；</w:t>
      </w:r>
    </w:p>
    <w:p>
      <w:pPr>
        <w:overflowPunct w:val="0"/>
        <w:topLinePunct/>
        <w:adjustRightInd w:val="0"/>
        <w:snapToGrid w:val="0"/>
        <w:spacing w:line="600" w:lineRule="exact"/>
        <w:ind w:firstLine="560" w:firstLineChars="200"/>
        <w:jc w:val="left"/>
        <w:rPr>
          <w:rFonts w:hint="eastAsia" w:ascii="仿宋" w:hAnsi="仿宋" w:eastAsia="仿宋"/>
          <w:bCs/>
          <w:sz w:val="28"/>
        </w:rPr>
      </w:pPr>
      <w:r>
        <w:rPr>
          <w:rFonts w:hint="eastAsia" w:ascii="仿宋" w:hAnsi="仿宋" w:eastAsia="仿宋"/>
          <w:bCs/>
          <w:sz w:val="28"/>
        </w:rPr>
        <w:t>1</w:t>
      </w:r>
      <w:r>
        <w:rPr>
          <w:rFonts w:ascii="仿宋" w:hAnsi="仿宋" w:eastAsia="仿宋"/>
          <w:bCs/>
          <w:sz w:val="28"/>
        </w:rPr>
        <w:t>0</w:t>
      </w:r>
      <w:r>
        <w:rPr>
          <w:rFonts w:hint="eastAsia" w:ascii="仿宋" w:hAnsi="仿宋" w:eastAsia="仿宋"/>
          <w:bCs/>
          <w:sz w:val="28"/>
        </w:rPr>
        <w:t>、《房屋他项权证》（凯房他证凯里市字第2016000682号）；</w:t>
      </w:r>
    </w:p>
    <w:p>
      <w:pPr>
        <w:overflowPunct w:val="0"/>
        <w:topLinePunct/>
        <w:adjustRightInd w:val="0"/>
        <w:snapToGrid w:val="0"/>
        <w:spacing w:line="600" w:lineRule="exact"/>
        <w:ind w:firstLine="560" w:firstLineChars="200"/>
        <w:jc w:val="left"/>
        <w:rPr>
          <w:rFonts w:ascii="仿宋" w:hAnsi="仿宋" w:eastAsia="仿宋"/>
          <w:bCs/>
          <w:sz w:val="28"/>
        </w:rPr>
      </w:pPr>
      <w:r>
        <w:rPr>
          <w:rFonts w:ascii="仿宋" w:hAnsi="仿宋" w:eastAsia="仿宋"/>
          <w:bCs/>
          <w:sz w:val="28"/>
        </w:rPr>
        <w:t>11、国家有关房地产评估的法律、法规和政策；</w:t>
      </w:r>
    </w:p>
    <w:p>
      <w:pPr>
        <w:overflowPunct w:val="0"/>
        <w:topLinePunct/>
        <w:adjustRightInd w:val="0"/>
        <w:snapToGrid w:val="0"/>
        <w:spacing w:line="600" w:lineRule="exact"/>
        <w:ind w:firstLine="560" w:firstLineChars="200"/>
        <w:jc w:val="left"/>
        <w:rPr>
          <w:rFonts w:ascii="仿宋" w:hAnsi="仿宋" w:eastAsia="仿宋"/>
          <w:bCs/>
          <w:sz w:val="28"/>
        </w:rPr>
      </w:pPr>
      <w:r>
        <w:rPr>
          <w:rFonts w:ascii="仿宋" w:hAnsi="仿宋" w:eastAsia="仿宋"/>
          <w:bCs/>
          <w:sz w:val="28"/>
        </w:rPr>
        <w:t>12、估价人员现场勘察调查获得的资料。</w:t>
      </w:r>
    </w:p>
    <w:p>
      <w:pPr>
        <w:pStyle w:val="4"/>
        <w:overflowPunct w:val="0"/>
        <w:topLinePunct/>
        <w:adjustRightInd w:val="0"/>
        <w:snapToGrid w:val="0"/>
        <w:spacing w:before="312" w:beforeLines="100" w:after="312" w:afterLines="100" w:line="360" w:lineRule="auto"/>
        <w:ind w:firstLine="562" w:firstLineChars="200"/>
        <w:jc w:val="left"/>
        <w:rPr>
          <w:rFonts w:ascii="仿宋" w:hAnsi="仿宋" w:eastAsia="仿宋"/>
          <w:sz w:val="28"/>
        </w:rPr>
      </w:pPr>
      <w:bookmarkStart w:id="68" w:name="_Toc30830"/>
      <w:bookmarkStart w:id="69" w:name="_Toc436"/>
      <w:bookmarkStart w:id="70" w:name="_Toc461005137"/>
      <w:bookmarkStart w:id="71" w:name="_Toc12158"/>
      <w:r>
        <w:rPr>
          <w:rFonts w:ascii="仿宋" w:hAnsi="仿宋" w:eastAsia="仿宋"/>
          <w:sz w:val="28"/>
        </w:rPr>
        <w:t>九、估价方法</w:t>
      </w:r>
      <w:bookmarkEnd w:id="68"/>
      <w:bookmarkEnd w:id="69"/>
      <w:bookmarkEnd w:id="70"/>
      <w:bookmarkEnd w:id="71"/>
    </w:p>
    <w:p>
      <w:pPr>
        <w:adjustRightInd w:val="0"/>
        <w:snapToGrid w:val="0"/>
        <w:spacing w:line="360" w:lineRule="auto"/>
        <w:ind w:firstLine="560" w:firstLineChars="200"/>
        <w:rPr>
          <w:rFonts w:ascii="仿宋" w:hAnsi="仿宋" w:eastAsia="仿宋"/>
          <w:bCs/>
          <w:sz w:val="28"/>
        </w:rPr>
      </w:pPr>
      <w:bookmarkStart w:id="72" w:name="OLE_LINK9"/>
      <w:bookmarkStart w:id="73" w:name="OLE_LINK8"/>
      <w:bookmarkStart w:id="74" w:name="_Toc461005138"/>
      <w:r>
        <w:rPr>
          <w:rFonts w:ascii="仿宋" w:hAnsi="仿宋" w:eastAsia="仿宋"/>
          <w:sz w:val="28"/>
          <w:szCs w:val="28"/>
        </w:rPr>
        <w:t>本</w:t>
      </w:r>
      <w:r>
        <w:rPr>
          <w:rFonts w:ascii="仿宋" w:hAnsi="仿宋" w:eastAsia="仿宋"/>
          <w:bCs/>
          <w:sz w:val="28"/>
        </w:rPr>
        <w:t>次估价目的是为委托方受理案件提供估价对象在估价时点的公开市场价值的依据而评估房地产市场价值。</w:t>
      </w:r>
    </w:p>
    <w:p>
      <w:pPr>
        <w:adjustRightInd w:val="0"/>
        <w:snapToGrid w:val="0"/>
        <w:spacing w:line="360" w:lineRule="auto"/>
        <w:ind w:firstLine="560" w:firstLineChars="200"/>
        <w:rPr>
          <w:rFonts w:ascii="仿宋" w:hAnsi="仿宋" w:eastAsia="仿宋"/>
          <w:bCs/>
          <w:sz w:val="28"/>
        </w:rPr>
      </w:pPr>
      <w:r>
        <w:rPr>
          <w:rFonts w:ascii="仿宋" w:hAnsi="仿宋" w:eastAsia="仿宋"/>
          <w:bCs/>
          <w:sz w:val="28"/>
        </w:rPr>
        <w:t>房地产常用的估价方法有比较法、收益法、成本法及假设开发法四种。比较法适用于房地产市场成熟，同类房地产交易案例较多的估价；收益法适用于有收益或潜在收益的房地产估价；成本法适用于房地产市场不成熟或市场依据不充分而不适宜采用比较法、收益法及假设开发法的房地产估价；假设开发法适用于具有投资开发或再开发潜力的房地产的估价。</w:t>
      </w:r>
    </w:p>
    <w:bookmarkEnd w:id="72"/>
    <w:p>
      <w:pPr>
        <w:adjustRightInd w:val="0"/>
        <w:snapToGrid w:val="0"/>
        <w:spacing w:line="360" w:lineRule="auto"/>
        <w:ind w:firstLine="560" w:firstLineChars="200"/>
        <w:rPr>
          <w:rFonts w:ascii="仿宋" w:hAnsi="仿宋" w:eastAsia="仿宋"/>
          <w:bCs/>
          <w:sz w:val="28"/>
        </w:rPr>
      </w:pPr>
      <w:r>
        <w:rPr>
          <w:rFonts w:ascii="仿宋" w:hAnsi="仿宋" w:eastAsia="仿宋"/>
          <w:bCs/>
          <w:sz w:val="28"/>
        </w:rPr>
        <w:t>1、适用的估价方法</w:t>
      </w:r>
    </w:p>
    <w:p>
      <w:pPr>
        <w:adjustRightInd w:val="0"/>
        <w:snapToGrid w:val="0"/>
        <w:spacing w:line="360" w:lineRule="auto"/>
        <w:ind w:firstLine="560" w:firstLineChars="200"/>
        <w:rPr>
          <w:rFonts w:ascii="仿宋" w:hAnsi="仿宋" w:eastAsia="仿宋"/>
          <w:bCs/>
          <w:sz w:val="28"/>
        </w:rPr>
      </w:pPr>
      <w:r>
        <w:rPr>
          <w:rFonts w:ascii="仿宋" w:hAnsi="仿宋" w:eastAsia="仿宋"/>
          <w:bCs/>
          <w:sz w:val="28"/>
        </w:rPr>
        <w:t>估价对象为</w:t>
      </w:r>
      <w:r>
        <w:rPr>
          <w:rFonts w:hint="eastAsia" w:ascii="仿宋" w:hAnsi="仿宋" w:eastAsia="仿宋"/>
          <w:bCs/>
          <w:sz w:val="28"/>
        </w:rPr>
        <w:t>凯里市红洲路至金泉湖段320国道两侧北街5栋附1号2-4层</w:t>
      </w:r>
      <w:r>
        <w:rPr>
          <w:rFonts w:ascii="仿宋" w:hAnsi="仿宋" w:eastAsia="仿宋"/>
          <w:bCs/>
          <w:sz w:val="28"/>
        </w:rPr>
        <w:t>住宅用房，所处区域内房地产市场活跃度一般，根据估价人员现场调查，同类房地产市场租赁案例较少，销售案例较多，所处区域房地产市场成熟，根据《房地产估价规范》，宜采用比较法进行估价。</w:t>
      </w:r>
    </w:p>
    <w:p>
      <w:pPr>
        <w:adjustRightInd w:val="0"/>
        <w:snapToGrid w:val="0"/>
        <w:spacing w:line="360" w:lineRule="auto"/>
        <w:ind w:firstLine="560" w:firstLineChars="200"/>
        <w:rPr>
          <w:rFonts w:ascii="仿宋" w:hAnsi="仿宋" w:eastAsia="仿宋"/>
          <w:bCs/>
          <w:sz w:val="28"/>
        </w:rPr>
      </w:pPr>
      <w:r>
        <w:rPr>
          <w:rFonts w:ascii="仿宋" w:hAnsi="仿宋" w:eastAsia="仿宋"/>
          <w:bCs/>
          <w:sz w:val="28"/>
        </w:rPr>
        <w:t>2、不适用的估价方法</w:t>
      </w:r>
    </w:p>
    <w:p>
      <w:pPr>
        <w:adjustRightInd w:val="0"/>
        <w:snapToGrid w:val="0"/>
        <w:spacing w:line="360" w:lineRule="auto"/>
        <w:ind w:firstLine="560" w:firstLineChars="200"/>
        <w:rPr>
          <w:rFonts w:ascii="仿宋" w:hAnsi="仿宋" w:eastAsia="仿宋"/>
          <w:bCs/>
          <w:sz w:val="28"/>
        </w:rPr>
      </w:pPr>
      <w:r>
        <w:rPr>
          <w:rFonts w:hint="eastAsia" w:ascii="仿宋" w:hAnsi="仿宋" w:eastAsia="仿宋"/>
          <w:bCs/>
          <w:sz w:val="28"/>
        </w:rPr>
        <w:t>估价对象所在区域同类房屋租赁案例较少，故收益</w:t>
      </w:r>
      <w:r>
        <w:rPr>
          <w:rFonts w:ascii="仿宋" w:hAnsi="仿宋" w:eastAsia="仿宋"/>
          <w:bCs/>
          <w:sz w:val="28"/>
        </w:rPr>
        <w:t>法不适用于</w:t>
      </w:r>
      <w:r>
        <w:rPr>
          <w:rFonts w:hint="eastAsia" w:ascii="仿宋" w:hAnsi="仿宋" w:eastAsia="仿宋"/>
          <w:bCs/>
          <w:sz w:val="28"/>
        </w:rPr>
        <w:t>本次估价</w:t>
      </w:r>
      <w:r>
        <w:rPr>
          <w:rFonts w:ascii="仿宋" w:hAnsi="仿宋" w:eastAsia="仿宋"/>
          <w:bCs/>
          <w:sz w:val="28"/>
        </w:rPr>
        <w:t>；成本法是以房地产重新开发建设成本为导向求得房地产的价值或价格，不适用于周边的房地产市场成熟，市场依据充分的房地产估价，故本次估价不适用；假设开发法适用于尚未开发具有投资开发或再开发潜力的房地产的估价，而委托评估的房地产已建成并投入使用多年，故假设开发法也不适用于本次评估。</w:t>
      </w:r>
    </w:p>
    <w:p>
      <w:pPr>
        <w:adjustRightInd w:val="0"/>
        <w:snapToGrid w:val="0"/>
        <w:spacing w:line="360" w:lineRule="auto"/>
        <w:ind w:firstLine="560" w:firstLineChars="200"/>
        <w:rPr>
          <w:rFonts w:ascii="仿宋" w:hAnsi="仿宋" w:eastAsia="仿宋"/>
          <w:bCs/>
          <w:sz w:val="28"/>
        </w:rPr>
      </w:pPr>
      <w:r>
        <w:rPr>
          <w:rFonts w:ascii="仿宋" w:hAnsi="仿宋" w:eastAsia="仿宋"/>
          <w:bCs/>
          <w:sz w:val="28"/>
        </w:rPr>
        <w:t>综上，本次采用比较法进行估价。</w:t>
      </w:r>
    </w:p>
    <w:p>
      <w:pPr>
        <w:pStyle w:val="15"/>
        <w:tabs>
          <w:tab w:val="center" w:pos="360"/>
          <w:tab w:val="center" w:pos="8820"/>
        </w:tabs>
        <w:overflowPunct w:val="0"/>
        <w:topLinePunct/>
        <w:adjustRightInd w:val="0"/>
        <w:snapToGrid w:val="0"/>
        <w:ind w:firstLine="560" w:firstLineChars="200"/>
        <w:rPr>
          <w:rFonts w:ascii="仿宋" w:hAnsi="仿宋" w:eastAsia="仿宋"/>
          <w:sz w:val="28"/>
          <w:szCs w:val="28"/>
        </w:rPr>
      </w:pPr>
      <w:r>
        <w:rPr>
          <w:rFonts w:ascii="仿宋" w:hAnsi="仿宋" w:eastAsia="仿宋"/>
          <w:sz w:val="28"/>
          <w:szCs w:val="28"/>
        </w:rPr>
        <w:t>3、比较法是选取一定数量的可比实例，将它们与估价对象进行比较，根据其间的差异对可比实例成交价格进行处理后得到估价对象价值或价格的方法。</w:t>
      </w:r>
    </w:p>
    <w:p>
      <w:pPr>
        <w:pStyle w:val="15"/>
        <w:tabs>
          <w:tab w:val="center" w:pos="360"/>
          <w:tab w:val="center" w:pos="8820"/>
        </w:tabs>
        <w:adjustRightInd w:val="0"/>
        <w:snapToGrid w:val="0"/>
        <w:ind w:firstLine="560" w:firstLineChars="200"/>
        <w:rPr>
          <w:rFonts w:ascii="仿宋" w:hAnsi="仿宋" w:eastAsia="仿宋"/>
          <w:sz w:val="28"/>
          <w:szCs w:val="28"/>
        </w:rPr>
      </w:pPr>
      <w:r>
        <w:rPr>
          <w:rFonts w:ascii="仿宋" w:hAnsi="仿宋" w:eastAsia="仿宋"/>
          <w:sz w:val="28"/>
          <w:szCs w:val="28"/>
        </w:rPr>
        <w:t>比较法的计算公式：</w:t>
      </w:r>
    </w:p>
    <w:p>
      <w:pPr>
        <w:adjustRightInd w:val="0"/>
        <w:snapToGrid w:val="0"/>
        <w:spacing w:line="480" w:lineRule="auto"/>
        <w:ind w:firstLine="560" w:firstLineChars="200"/>
        <w:rPr>
          <w:rFonts w:ascii="仿宋" w:hAnsi="仿宋" w:eastAsia="仿宋"/>
          <w:bCs/>
          <w:sz w:val="28"/>
        </w:rPr>
      </w:pPr>
      <w:r>
        <w:rPr>
          <w:rFonts w:ascii="仿宋" w:hAnsi="仿宋" w:eastAsia="仿宋"/>
          <w:sz w:val="28"/>
          <w:szCs w:val="28"/>
        </w:rPr>
        <w:t>估价对象价值 = 可比实例价格×交易情况修正系数×市场状况修正系数×房地产状况修正系数</w:t>
      </w:r>
      <w:r>
        <w:rPr>
          <w:rFonts w:ascii="仿宋" w:hAnsi="仿宋" w:eastAsia="仿宋"/>
          <w:bCs/>
          <w:sz w:val="28"/>
        </w:rPr>
        <w:t>。</w:t>
      </w:r>
    </w:p>
    <w:bookmarkEnd w:id="73"/>
    <w:p>
      <w:pPr>
        <w:pStyle w:val="4"/>
        <w:numPr>
          <w:ilvl w:val="0"/>
          <w:numId w:val="3"/>
        </w:numPr>
        <w:overflowPunct w:val="0"/>
        <w:topLinePunct/>
        <w:adjustRightInd w:val="0"/>
        <w:snapToGrid w:val="0"/>
        <w:spacing w:before="312" w:beforeLines="100" w:after="0" w:line="360" w:lineRule="auto"/>
        <w:ind w:firstLine="562" w:firstLineChars="200"/>
        <w:jc w:val="left"/>
        <w:rPr>
          <w:rFonts w:ascii="仿宋" w:hAnsi="仿宋" w:eastAsia="仿宋"/>
          <w:sz w:val="28"/>
        </w:rPr>
      </w:pPr>
      <w:bookmarkStart w:id="75" w:name="_Toc24022"/>
      <w:bookmarkStart w:id="76" w:name="_Toc28481"/>
      <w:bookmarkStart w:id="77" w:name="_Toc29044"/>
      <w:r>
        <w:rPr>
          <w:rFonts w:ascii="仿宋" w:hAnsi="仿宋" w:eastAsia="仿宋"/>
          <w:sz w:val="28"/>
        </w:rPr>
        <w:t>估价结果</w:t>
      </w:r>
      <w:bookmarkEnd w:id="74"/>
      <w:bookmarkEnd w:id="75"/>
      <w:bookmarkEnd w:id="76"/>
      <w:bookmarkEnd w:id="77"/>
      <w:bookmarkStart w:id="78" w:name="_Toc461005139"/>
    </w:p>
    <w:p>
      <w:pPr>
        <w:ind w:firstLine="560" w:firstLineChars="200"/>
        <w:rPr>
          <w:rFonts w:ascii="仿宋" w:hAnsi="仿宋" w:eastAsia="仿宋"/>
          <w:bCs/>
          <w:sz w:val="28"/>
        </w:rPr>
      </w:pPr>
      <w:r>
        <w:rPr>
          <w:rFonts w:ascii="仿宋" w:hAnsi="仿宋" w:eastAsia="仿宋"/>
          <w:bCs/>
          <w:sz w:val="28"/>
        </w:rPr>
        <w:t>（1）本次估价采用了比较法测算估价对象的市场价值，估价对象的市场价值详见下表：</w:t>
      </w:r>
    </w:p>
    <w:tbl>
      <w:tblPr>
        <w:tblStyle w:val="24"/>
        <w:tblW w:w="4144" w:type="pct"/>
        <w:jc w:val="center"/>
        <w:tblLayout w:type="autofit"/>
        <w:tblCellMar>
          <w:top w:w="0" w:type="dxa"/>
          <w:left w:w="0" w:type="dxa"/>
          <w:bottom w:w="0" w:type="dxa"/>
          <w:right w:w="0" w:type="dxa"/>
        </w:tblCellMar>
      </w:tblPr>
      <w:tblGrid>
        <w:gridCol w:w="1821"/>
        <w:gridCol w:w="1828"/>
        <w:gridCol w:w="1823"/>
        <w:gridCol w:w="1836"/>
      </w:tblGrid>
      <w:tr>
        <w:tblPrEx>
          <w:tblCellMar>
            <w:top w:w="0" w:type="dxa"/>
            <w:left w:w="0" w:type="dxa"/>
            <w:bottom w:w="0" w:type="dxa"/>
            <w:right w:w="0" w:type="dxa"/>
          </w:tblCellMar>
        </w:tblPrEx>
        <w:trPr>
          <w:trHeight w:val="416" w:hRule="atLeast"/>
          <w:jc w:val="center"/>
        </w:trPr>
        <w:tc>
          <w:tcPr>
            <w:tcW w:w="5000" w:type="pct"/>
            <w:gridSpan w:val="4"/>
            <w:tcBorders>
              <w:top w:val="nil"/>
              <w:left w:val="nil"/>
              <w:bottom w:val="nil"/>
              <w:right w:val="nil"/>
            </w:tcBorders>
            <w:shd w:val="clear" w:color="auto" w:fill="auto"/>
            <w:tcMar>
              <w:top w:w="15" w:type="dxa"/>
              <w:left w:w="15" w:type="dxa"/>
              <w:right w:w="15" w:type="dxa"/>
            </w:tcMar>
            <w:vAlign w:val="center"/>
          </w:tcPr>
          <w:p>
            <w:pPr>
              <w:widowControl/>
              <w:jc w:val="right"/>
              <w:textAlignment w:val="center"/>
              <w:rPr>
                <w:rFonts w:ascii="仿宋" w:hAnsi="仿宋" w:eastAsia="仿宋"/>
                <w:sz w:val="24"/>
              </w:rPr>
            </w:pPr>
            <w:r>
              <w:rPr>
                <w:rFonts w:ascii="仿宋" w:hAnsi="仿宋" w:eastAsia="仿宋"/>
                <w:kern w:val="0"/>
                <w:sz w:val="24"/>
                <w:lang w:bidi="ar"/>
              </w:rPr>
              <w:t>币种：人民币</w:t>
            </w:r>
          </w:p>
        </w:tc>
      </w:tr>
      <w:tr>
        <w:tblPrEx>
          <w:tblCellMar>
            <w:top w:w="0" w:type="dxa"/>
            <w:left w:w="0" w:type="dxa"/>
            <w:bottom w:w="0" w:type="dxa"/>
            <w:right w:w="0" w:type="dxa"/>
          </w:tblCellMar>
        </w:tblPrEx>
        <w:trPr>
          <w:trHeight w:val="658" w:hRule="atLeast"/>
          <w:jc w:val="center"/>
        </w:trPr>
        <w:tc>
          <w:tcPr>
            <w:tcW w:w="2497" w:type="pct"/>
            <w:gridSpan w:val="2"/>
            <w:vMerge w:val="restart"/>
            <w:tcBorders>
              <w:top w:val="single" w:color="000000" w:sz="8" w:space="0"/>
              <w:left w:val="single" w:color="000000" w:sz="8" w:space="0"/>
              <w:bottom w:val="single" w:color="000000" w:sz="8" w:space="0"/>
              <w:right w:val="single" w:color="000000" w:sz="8" w:space="0"/>
              <w:tr2bl w:val="single" w:color="000000" w:sz="8" w:space="0"/>
            </w:tcBorders>
            <w:shd w:val="clear" w:color="auto" w:fill="auto"/>
            <w:tcMar>
              <w:top w:w="15" w:type="dxa"/>
              <w:left w:w="15" w:type="dxa"/>
              <w:right w:w="15" w:type="dxa"/>
            </w:tcMar>
            <w:vAlign w:val="center"/>
          </w:tcPr>
          <w:p>
            <w:pPr>
              <w:widowControl/>
              <w:jc w:val="left"/>
              <w:textAlignment w:val="center"/>
              <w:rPr>
                <w:rFonts w:ascii="仿宋" w:hAnsi="仿宋" w:eastAsia="仿宋"/>
                <w:sz w:val="24"/>
              </w:rPr>
            </w:pPr>
            <w:r>
              <w:rPr>
                <w:rFonts w:ascii="仿宋" w:hAnsi="仿宋" w:eastAsia="仿宋"/>
                <w:kern w:val="0"/>
                <w:sz w:val="24"/>
                <w:lang w:bidi="ar"/>
              </w:rPr>
              <w:t xml:space="preserve">相关结果   </w:t>
            </w:r>
            <w:r>
              <w:rPr>
                <w:rFonts w:ascii="仿宋" w:hAnsi="仿宋" w:eastAsia="仿宋"/>
                <w:kern w:val="0"/>
                <w:sz w:val="24"/>
                <w:lang w:bidi="ar"/>
              </w:rPr>
              <w:br w:type="textWrapping"/>
            </w:r>
            <w:r>
              <w:rPr>
                <w:rFonts w:ascii="仿宋" w:hAnsi="仿宋" w:eastAsia="仿宋"/>
                <w:kern w:val="0"/>
                <w:sz w:val="24"/>
                <w:lang w:bidi="ar"/>
              </w:rPr>
              <w:t xml:space="preserve">                  </w:t>
            </w:r>
            <w:r>
              <w:rPr>
                <w:rFonts w:hint="eastAsia" w:ascii="仿宋" w:hAnsi="仿宋" w:eastAsia="仿宋"/>
                <w:kern w:val="0"/>
                <w:sz w:val="24"/>
                <w:lang w:bidi="ar"/>
              </w:rPr>
              <w:t xml:space="preserve">    </w:t>
            </w:r>
            <w:r>
              <w:rPr>
                <w:rFonts w:ascii="仿宋" w:hAnsi="仿宋" w:eastAsia="仿宋"/>
                <w:kern w:val="0"/>
                <w:sz w:val="24"/>
                <w:lang w:bidi="ar"/>
              </w:rPr>
              <w:t>估价方法</w:t>
            </w:r>
          </w:p>
        </w:tc>
        <w:tc>
          <w:tcPr>
            <w:tcW w:w="1247"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sz w:val="22"/>
                <w:szCs w:val="22"/>
              </w:rPr>
            </w:pPr>
            <w:r>
              <w:rPr>
                <w:rFonts w:ascii="仿宋" w:hAnsi="仿宋" w:eastAsia="仿宋"/>
                <w:kern w:val="0"/>
                <w:sz w:val="22"/>
                <w:szCs w:val="22"/>
                <w:lang w:bidi="ar"/>
              </w:rPr>
              <w:t>比较法</w:t>
            </w:r>
          </w:p>
        </w:tc>
        <w:tc>
          <w:tcPr>
            <w:tcW w:w="1256"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sz w:val="24"/>
              </w:rPr>
            </w:pPr>
            <w:r>
              <w:rPr>
                <w:rFonts w:ascii="仿宋" w:hAnsi="仿宋" w:eastAsia="仿宋"/>
                <w:kern w:val="0"/>
                <w:sz w:val="24"/>
                <w:lang w:bidi="ar"/>
              </w:rPr>
              <w:t>收益法</w:t>
            </w:r>
          </w:p>
        </w:tc>
      </w:tr>
      <w:tr>
        <w:tblPrEx>
          <w:tblCellMar>
            <w:top w:w="0" w:type="dxa"/>
            <w:left w:w="0" w:type="dxa"/>
            <w:bottom w:w="0" w:type="dxa"/>
            <w:right w:w="0" w:type="dxa"/>
          </w:tblCellMar>
        </w:tblPrEx>
        <w:trPr>
          <w:trHeight w:val="516" w:hRule="atLeast"/>
          <w:jc w:val="center"/>
        </w:trPr>
        <w:tc>
          <w:tcPr>
            <w:tcW w:w="2497" w:type="pct"/>
            <w:gridSpan w:val="2"/>
            <w:vMerge w:val="continue"/>
            <w:tcBorders>
              <w:top w:val="single" w:color="000000" w:sz="8" w:space="0"/>
              <w:left w:val="single" w:color="000000" w:sz="8" w:space="0"/>
              <w:bottom w:val="single" w:color="000000" w:sz="8" w:space="0"/>
              <w:right w:val="single" w:color="000000" w:sz="8" w:space="0"/>
              <w:tr2bl w:val="single" w:color="000000" w:sz="8" w:space="0"/>
            </w:tcBorders>
            <w:shd w:val="clear" w:color="auto" w:fill="auto"/>
            <w:tcMar>
              <w:top w:w="15" w:type="dxa"/>
              <w:left w:w="15" w:type="dxa"/>
              <w:right w:w="15" w:type="dxa"/>
            </w:tcMar>
            <w:vAlign w:val="center"/>
          </w:tcPr>
          <w:p>
            <w:pPr>
              <w:rPr>
                <w:rFonts w:ascii="仿宋" w:hAnsi="仿宋" w:eastAsia="仿宋"/>
                <w:sz w:val="24"/>
              </w:rPr>
            </w:pPr>
          </w:p>
        </w:tc>
        <w:tc>
          <w:tcPr>
            <w:tcW w:w="1247"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sz w:val="22"/>
                <w:szCs w:val="22"/>
              </w:rPr>
            </w:pPr>
            <w:r>
              <w:rPr>
                <w:rFonts w:ascii="仿宋" w:hAnsi="仿宋" w:eastAsia="仿宋"/>
                <w:kern w:val="0"/>
                <w:sz w:val="22"/>
                <w:szCs w:val="22"/>
                <w:lang w:bidi="ar"/>
              </w:rPr>
              <w:t>权重100%</w:t>
            </w:r>
          </w:p>
        </w:tc>
        <w:tc>
          <w:tcPr>
            <w:tcW w:w="125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sz w:val="24"/>
              </w:rPr>
            </w:pPr>
            <w:r>
              <w:rPr>
                <w:rFonts w:ascii="仿宋" w:hAnsi="仿宋" w:eastAsia="仿宋"/>
                <w:kern w:val="0"/>
                <w:sz w:val="24"/>
                <w:lang w:bidi="ar"/>
              </w:rPr>
              <w:t>权重0%</w:t>
            </w:r>
          </w:p>
        </w:tc>
      </w:tr>
      <w:tr>
        <w:tblPrEx>
          <w:tblCellMar>
            <w:top w:w="0" w:type="dxa"/>
            <w:left w:w="0" w:type="dxa"/>
            <w:bottom w:w="0" w:type="dxa"/>
            <w:right w:w="0" w:type="dxa"/>
          </w:tblCellMar>
        </w:tblPrEx>
        <w:trPr>
          <w:trHeight w:val="708" w:hRule="atLeast"/>
          <w:jc w:val="center"/>
        </w:trPr>
        <w:tc>
          <w:tcPr>
            <w:tcW w:w="1246" w:type="pct"/>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sz w:val="24"/>
              </w:rPr>
            </w:pPr>
            <w:r>
              <w:rPr>
                <w:rFonts w:ascii="仿宋" w:hAnsi="仿宋" w:eastAsia="仿宋"/>
                <w:kern w:val="0"/>
                <w:sz w:val="24"/>
                <w:lang w:bidi="ar"/>
              </w:rPr>
              <w:t>测算结果</w:t>
            </w:r>
          </w:p>
        </w:tc>
        <w:tc>
          <w:tcPr>
            <w:tcW w:w="125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sz w:val="22"/>
                <w:szCs w:val="22"/>
              </w:rPr>
            </w:pPr>
            <w:r>
              <w:rPr>
                <w:rFonts w:ascii="仿宋" w:hAnsi="仿宋" w:eastAsia="仿宋"/>
                <w:kern w:val="0"/>
                <w:sz w:val="22"/>
                <w:szCs w:val="22"/>
                <w:lang w:bidi="ar"/>
              </w:rPr>
              <w:t>总价（元）</w:t>
            </w:r>
          </w:p>
        </w:tc>
        <w:tc>
          <w:tcPr>
            <w:tcW w:w="1247"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sz w:val="22"/>
                <w:szCs w:val="22"/>
              </w:rPr>
            </w:pPr>
            <w:r>
              <w:rPr>
                <w:rFonts w:hint="eastAsia" w:ascii="仿宋" w:hAnsi="仿宋" w:eastAsia="仿宋"/>
                <w:kern w:val="0"/>
                <w:sz w:val="22"/>
                <w:szCs w:val="22"/>
                <w:lang w:bidi="ar"/>
              </w:rPr>
              <w:t>1071997</w:t>
            </w:r>
          </w:p>
        </w:tc>
        <w:tc>
          <w:tcPr>
            <w:tcW w:w="1256" w:type="pc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sz w:val="24"/>
              </w:rPr>
            </w:pPr>
            <w:r>
              <w:rPr>
                <w:rFonts w:ascii="仿宋" w:hAnsi="仿宋" w:eastAsia="仿宋"/>
                <w:kern w:val="0"/>
                <w:sz w:val="24"/>
                <w:lang w:bidi="ar"/>
              </w:rPr>
              <w:t>/</w:t>
            </w:r>
          </w:p>
        </w:tc>
      </w:tr>
      <w:tr>
        <w:tblPrEx>
          <w:tblCellMar>
            <w:top w:w="0" w:type="dxa"/>
            <w:left w:w="0" w:type="dxa"/>
            <w:bottom w:w="0" w:type="dxa"/>
            <w:right w:w="0" w:type="dxa"/>
          </w:tblCellMar>
        </w:tblPrEx>
        <w:trPr>
          <w:trHeight w:val="726" w:hRule="atLeast"/>
          <w:jc w:val="center"/>
        </w:trPr>
        <w:tc>
          <w:tcPr>
            <w:tcW w:w="1246" w:type="pct"/>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sz w:val="24"/>
              </w:rPr>
            </w:pPr>
          </w:p>
        </w:tc>
        <w:tc>
          <w:tcPr>
            <w:tcW w:w="125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sz w:val="22"/>
                <w:szCs w:val="22"/>
              </w:rPr>
            </w:pPr>
            <w:r>
              <w:rPr>
                <w:rFonts w:ascii="仿宋" w:hAnsi="仿宋" w:eastAsia="仿宋"/>
                <w:kern w:val="0"/>
                <w:sz w:val="22"/>
                <w:szCs w:val="22"/>
                <w:lang w:bidi="ar"/>
              </w:rPr>
              <w:t>单价（元/m</w:t>
            </w:r>
            <w:r>
              <w:rPr>
                <w:rFonts w:ascii="仿宋" w:hAnsi="仿宋" w:eastAsia="仿宋"/>
                <w:kern w:val="0"/>
                <w:sz w:val="22"/>
                <w:szCs w:val="22"/>
                <w:vertAlign w:val="superscript"/>
                <w:lang w:bidi="ar"/>
              </w:rPr>
              <w:t>2</w:t>
            </w:r>
            <w:r>
              <w:rPr>
                <w:rFonts w:ascii="仿宋" w:hAnsi="仿宋" w:eastAsia="仿宋"/>
                <w:kern w:val="0"/>
                <w:sz w:val="22"/>
                <w:szCs w:val="22"/>
                <w:lang w:bidi="ar"/>
              </w:rPr>
              <w:t>）</w:t>
            </w:r>
          </w:p>
        </w:tc>
        <w:tc>
          <w:tcPr>
            <w:tcW w:w="1247"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sz w:val="22"/>
                <w:szCs w:val="22"/>
              </w:rPr>
            </w:pPr>
            <w:r>
              <w:rPr>
                <w:rFonts w:hint="eastAsia" w:ascii="仿宋" w:hAnsi="仿宋" w:eastAsia="仿宋"/>
                <w:kern w:val="0"/>
                <w:sz w:val="22"/>
                <w:szCs w:val="22"/>
                <w:lang w:bidi="ar"/>
              </w:rPr>
              <w:t>4811.26</w:t>
            </w:r>
          </w:p>
        </w:tc>
        <w:tc>
          <w:tcPr>
            <w:tcW w:w="125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sz w:val="24"/>
              </w:rPr>
            </w:pPr>
            <w:r>
              <w:rPr>
                <w:rFonts w:ascii="仿宋" w:hAnsi="仿宋" w:eastAsia="仿宋"/>
                <w:kern w:val="0"/>
                <w:sz w:val="24"/>
                <w:lang w:bidi="ar"/>
              </w:rPr>
              <w:t>/</w:t>
            </w:r>
          </w:p>
        </w:tc>
      </w:tr>
      <w:tr>
        <w:tblPrEx>
          <w:tblCellMar>
            <w:top w:w="0" w:type="dxa"/>
            <w:left w:w="0" w:type="dxa"/>
            <w:bottom w:w="0" w:type="dxa"/>
            <w:right w:w="0" w:type="dxa"/>
          </w:tblCellMar>
        </w:tblPrEx>
        <w:trPr>
          <w:trHeight w:val="739" w:hRule="atLeast"/>
          <w:jc w:val="center"/>
        </w:trPr>
        <w:tc>
          <w:tcPr>
            <w:tcW w:w="1246" w:type="pct"/>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sz w:val="24"/>
              </w:rPr>
            </w:pPr>
            <w:r>
              <w:rPr>
                <w:rFonts w:ascii="仿宋" w:hAnsi="仿宋" w:eastAsia="仿宋"/>
                <w:kern w:val="0"/>
                <w:sz w:val="24"/>
                <w:lang w:bidi="ar"/>
              </w:rPr>
              <w:t>评估价值</w:t>
            </w:r>
          </w:p>
        </w:tc>
        <w:tc>
          <w:tcPr>
            <w:tcW w:w="125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sz w:val="24"/>
              </w:rPr>
            </w:pPr>
            <w:r>
              <w:rPr>
                <w:rFonts w:ascii="仿宋" w:hAnsi="仿宋" w:eastAsia="仿宋"/>
                <w:kern w:val="0"/>
                <w:sz w:val="24"/>
                <w:lang w:bidi="ar"/>
              </w:rPr>
              <w:t>总价（元）</w:t>
            </w:r>
          </w:p>
        </w:tc>
        <w:tc>
          <w:tcPr>
            <w:tcW w:w="2503" w:type="pct"/>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sz w:val="22"/>
                <w:szCs w:val="22"/>
              </w:rPr>
            </w:pPr>
            <w:r>
              <w:rPr>
                <w:rFonts w:hint="eastAsia" w:ascii="仿宋" w:hAnsi="仿宋" w:eastAsia="仿宋"/>
                <w:kern w:val="0"/>
                <w:sz w:val="22"/>
                <w:szCs w:val="22"/>
                <w:lang w:bidi="ar"/>
              </w:rPr>
              <w:t>1071997</w:t>
            </w:r>
          </w:p>
        </w:tc>
      </w:tr>
      <w:tr>
        <w:tblPrEx>
          <w:tblCellMar>
            <w:top w:w="0" w:type="dxa"/>
            <w:left w:w="0" w:type="dxa"/>
            <w:bottom w:w="0" w:type="dxa"/>
            <w:right w:w="0" w:type="dxa"/>
          </w:tblCellMar>
        </w:tblPrEx>
        <w:trPr>
          <w:trHeight w:val="867" w:hRule="atLeast"/>
          <w:jc w:val="center"/>
        </w:trPr>
        <w:tc>
          <w:tcPr>
            <w:tcW w:w="1246" w:type="pct"/>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仿宋" w:hAnsi="仿宋" w:eastAsia="仿宋"/>
                <w:sz w:val="24"/>
              </w:rPr>
            </w:pPr>
          </w:p>
        </w:tc>
        <w:tc>
          <w:tcPr>
            <w:tcW w:w="125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sz w:val="24"/>
              </w:rPr>
            </w:pPr>
            <w:r>
              <w:rPr>
                <w:rFonts w:ascii="仿宋" w:hAnsi="仿宋" w:eastAsia="仿宋"/>
                <w:kern w:val="0"/>
                <w:sz w:val="24"/>
                <w:lang w:bidi="ar"/>
              </w:rPr>
              <w:t>单价（元/m</w:t>
            </w:r>
            <w:r>
              <w:rPr>
                <w:rFonts w:ascii="仿宋" w:hAnsi="仿宋" w:eastAsia="仿宋"/>
                <w:kern w:val="0"/>
                <w:sz w:val="24"/>
                <w:vertAlign w:val="superscript"/>
                <w:lang w:bidi="ar"/>
              </w:rPr>
              <w:t>2</w:t>
            </w:r>
            <w:r>
              <w:rPr>
                <w:rFonts w:ascii="仿宋" w:hAnsi="仿宋" w:eastAsia="仿宋"/>
                <w:kern w:val="0"/>
                <w:sz w:val="24"/>
                <w:lang w:bidi="ar"/>
              </w:rPr>
              <w:t>）</w:t>
            </w:r>
          </w:p>
        </w:tc>
        <w:tc>
          <w:tcPr>
            <w:tcW w:w="2503" w:type="pct"/>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sz w:val="22"/>
                <w:szCs w:val="22"/>
              </w:rPr>
            </w:pPr>
            <w:r>
              <w:rPr>
                <w:rFonts w:hint="eastAsia" w:ascii="仿宋" w:hAnsi="仿宋" w:eastAsia="仿宋"/>
                <w:kern w:val="0"/>
                <w:sz w:val="22"/>
                <w:szCs w:val="22"/>
                <w:lang w:bidi="ar"/>
              </w:rPr>
              <w:t>4811.26</w:t>
            </w:r>
          </w:p>
        </w:tc>
      </w:tr>
    </w:tbl>
    <w:p>
      <w:pPr>
        <w:numPr>
          <w:ilvl w:val="0"/>
          <w:numId w:val="4"/>
        </w:numPr>
        <w:adjustRightInd w:val="0"/>
        <w:snapToGrid w:val="0"/>
        <w:spacing w:before="312" w:beforeLines="100" w:after="156" w:afterLines="50" w:line="360" w:lineRule="auto"/>
        <w:ind w:firstLine="560" w:firstLineChars="200"/>
        <w:rPr>
          <w:rFonts w:ascii="仿宋" w:hAnsi="仿宋" w:eastAsia="仿宋"/>
          <w:bCs/>
          <w:sz w:val="28"/>
          <w:szCs w:val="28"/>
        </w:rPr>
      </w:pPr>
      <w:r>
        <w:rPr>
          <w:rFonts w:ascii="仿宋" w:hAnsi="仿宋" w:eastAsia="仿宋"/>
          <w:bCs/>
          <w:sz w:val="28"/>
          <w:szCs w:val="28"/>
        </w:rPr>
        <w:t>通过对估价对象的位置、环境、用途、现状、市场供求等价值影响因素进行综合考虑后，结合市场调查及评估人员经验，采用适当的估价方法（比较法）评定、估算</w:t>
      </w:r>
      <w:r>
        <w:rPr>
          <w:rFonts w:ascii="仿宋" w:hAnsi="仿宋" w:eastAsia="仿宋"/>
          <w:sz w:val="28"/>
          <w:szCs w:val="28"/>
        </w:rPr>
        <w:t>位于</w:t>
      </w:r>
      <w:r>
        <w:rPr>
          <w:rFonts w:hint="eastAsia" w:ascii="仿宋" w:hAnsi="仿宋" w:eastAsia="仿宋"/>
          <w:sz w:val="28"/>
          <w:szCs w:val="28"/>
        </w:rPr>
        <w:t>凯里市红洲路至金泉湖段320国道两侧北街5栋附1号2-4层</w:t>
      </w:r>
      <w:r>
        <w:rPr>
          <w:rFonts w:ascii="仿宋" w:hAnsi="仿宋" w:eastAsia="仿宋"/>
          <w:sz w:val="28"/>
          <w:szCs w:val="28"/>
        </w:rPr>
        <w:t>住宅用房（建筑总面积为：</w:t>
      </w:r>
      <w:r>
        <w:rPr>
          <w:rFonts w:hint="eastAsia" w:ascii="仿宋" w:hAnsi="仿宋" w:eastAsia="仿宋"/>
          <w:sz w:val="28"/>
          <w:szCs w:val="28"/>
        </w:rPr>
        <w:t>222.81</w:t>
      </w:r>
      <w:r>
        <w:rPr>
          <w:rFonts w:ascii="仿宋" w:hAnsi="仿宋" w:eastAsia="仿宋"/>
          <w:sz w:val="28"/>
          <w:szCs w:val="28"/>
        </w:rPr>
        <w:t>平方米）</w:t>
      </w:r>
      <w:r>
        <w:rPr>
          <w:rFonts w:ascii="仿宋" w:hAnsi="仿宋" w:eastAsia="仿宋"/>
          <w:bCs/>
          <w:sz w:val="28"/>
          <w:szCs w:val="28"/>
        </w:rPr>
        <w:t>在本报告假设及限制条件下于</w:t>
      </w:r>
      <w:r>
        <w:rPr>
          <w:rFonts w:hint="eastAsia" w:ascii="仿宋" w:hAnsi="仿宋" w:eastAsia="仿宋"/>
          <w:b/>
          <w:bCs/>
          <w:sz w:val="28"/>
          <w:szCs w:val="28"/>
        </w:rPr>
        <w:t>2021年8月16日</w:t>
      </w:r>
      <w:r>
        <w:rPr>
          <w:rFonts w:ascii="仿宋" w:hAnsi="仿宋" w:eastAsia="仿宋"/>
          <w:bCs/>
          <w:sz w:val="28"/>
          <w:szCs w:val="28"/>
        </w:rPr>
        <w:t>的市场价值为</w:t>
      </w:r>
      <w:r>
        <w:rPr>
          <w:rFonts w:ascii="仿宋" w:hAnsi="仿宋" w:eastAsia="仿宋"/>
          <w:b/>
          <w:sz w:val="28"/>
        </w:rPr>
        <w:t>人民币</w:t>
      </w:r>
      <w:r>
        <w:rPr>
          <w:rFonts w:hint="eastAsia" w:ascii="仿宋" w:hAnsi="仿宋" w:eastAsia="仿宋"/>
          <w:b/>
          <w:sz w:val="28"/>
        </w:rPr>
        <w:t>壹佰零柒万壹仟玖佰玖拾柒元整</w:t>
      </w:r>
      <w:r>
        <w:rPr>
          <w:rFonts w:ascii="仿宋" w:hAnsi="仿宋" w:eastAsia="仿宋"/>
          <w:b/>
          <w:sz w:val="28"/>
        </w:rPr>
        <w:t>（RMB</w:t>
      </w:r>
      <w:r>
        <w:rPr>
          <w:rFonts w:hint="eastAsia" w:ascii="仿宋" w:hAnsi="仿宋" w:eastAsia="仿宋"/>
          <w:b/>
          <w:sz w:val="28"/>
        </w:rPr>
        <w:t>1071997</w:t>
      </w:r>
      <w:r>
        <w:rPr>
          <w:rFonts w:ascii="仿宋" w:hAnsi="仿宋" w:eastAsia="仿宋"/>
          <w:b/>
          <w:sz w:val="28"/>
        </w:rPr>
        <w:t>元）</w:t>
      </w:r>
      <w:r>
        <w:rPr>
          <w:rFonts w:ascii="仿宋" w:hAnsi="仿宋" w:eastAsia="仿宋"/>
          <w:bCs/>
          <w:sz w:val="28"/>
          <w:szCs w:val="28"/>
        </w:rPr>
        <w:t>，按建筑面积折合成单价为</w:t>
      </w:r>
      <w:r>
        <w:rPr>
          <w:rFonts w:hint="eastAsia" w:ascii="仿宋" w:hAnsi="仿宋" w:eastAsia="仿宋"/>
          <w:bCs/>
          <w:sz w:val="28"/>
          <w:szCs w:val="28"/>
        </w:rPr>
        <w:t>4811.26</w:t>
      </w:r>
      <w:r>
        <w:rPr>
          <w:rFonts w:ascii="仿宋" w:hAnsi="仿宋" w:eastAsia="仿宋"/>
          <w:bCs/>
          <w:sz w:val="28"/>
          <w:szCs w:val="28"/>
        </w:rPr>
        <w:t>元/ m</w:t>
      </w:r>
      <w:r>
        <w:rPr>
          <w:rFonts w:ascii="仿宋" w:hAnsi="仿宋" w:eastAsia="仿宋"/>
          <w:bCs/>
          <w:sz w:val="28"/>
          <w:szCs w:val="28"/>
          <w:vertAlign w:val="superscript"/>
        </w:rPr>
        <w:t>2</w:t>
      </w:r>
      <w:r>
        <w:rPr>
          <w:rFonts w:ascii="仿宋" w:hAnsi="仿宋" w:eastAsia="仿宋"/>
          <w:bCs/>
          <w:sz w:val="28"/>
          <w:szCs w:val="28"/>
        </w:rPr>
        <w:t>（估价结果中包含应分摊的土地使用权价值</w:t>
      </w:r>
      <w:r>
        <w:rPr>
          <w:rFonts w:hint="eastAsia" w:ascii="仿宋" w:hAnsi="仿宋" w:eastAsia="仿宋"/>
          <w:bCs/>
          <w:sz w:val="28"/>
          <w:szCs w:val="28"/>
        </w:rPr>
        <w:t>，</w:t>
      </w:r>
      <w:r>
        <w:rPr>
          <w:rFonts w:ascii="仿宋" w:hAnsi="仿宋" w:eastAsia="仿宋"/>
          <w:bCs/>
          <w:sz w:val="28"/>
          <w:szCs w:val="28"/>
        </w:rPr>
        <w:t>含室内二次装修价值）。</w:t>
      </w:r>
    </w:p>
    <w:p>
      <w:pPr>
        <w:numPr>
          <w:numId w:val="0"/>
        </w:numPr>
        <w:adjustRightInd w:val="0"/>
        <w:snapToGrid w:val="0"/>
        <w:spacing w:before="312" w:beforeLines="100" w:after="156" w:afterLines="50" w:line="360" w:lineRule="auto"/>
        <w:rPr>
          <w:rFonts w:ascii="仿宋" w:hAnsi="仿宋" w:eastAsia="仿宋"/>
          <w:bCs/>
          <w:sz w:val="28"/>
          <w:szCs w:val="28"/>
        </w:rPr>
      </w:pPr>
    </w:p>
    <w:p>
      <w:pPr>
        <w:pStyle w:val="4"/>
        <w:overflowPunct w:val="0"/>
        <w:topLinePunct/>
        <w:adjustRightInd w:val="0"/>
        <w:snapToGrid w:val="0"/>
        <w:spacing w:before="312" w:beforeLines="100" w:after="312" w:afterLines="100" w:line="360" w:lineRule="auto"/>
        <w:ind w:firstLine="562" w:firstLineChars="200"/>
        <w:jc w:val="left"/>
        <w:rPr>
          <w:rFonts w:ascii="仿宋" w:hAnsi="仿宋" w:eastAsia="仿宋"/>
          <w:sz w:val="28"/>
        </w:rPr>
      </w:pPr>
      <w:bookmarkStart w:id="79" w:name="_Toc21491"/>
      <w:bookmarkStart w:id="80" w:name="_Toc13296"/>
      <w:bookmarkStart w:id="81" w:name="_Toc5634"/>
      <w:r>
        <w:rPr>
          <w:rFonts w:ascii="仿宋" w:hAnsi="仿宋" w:eastAsia="仿宋"/>
          <w:sz w:val="28"/>
        </w:rPr>
        <w:t>十一、参加估价的注册房地产估价师</w:t>
      </w:r>
      <w:bookmarkEnd w:id="78"/>
      <w:bookmarkEnd w:id="79"/>
      <w:bookmarkEnd w:id="80"/>
      <w:bookmarkEnd w:id="81"/>
    </w:p>
    <w:tbl>
      <w:tblPr>
        <w:tblStyle w:val="24"/>
        <w:tblW w:w="8760" w:type="dxa"/>
        <w:jc w:val="center"/>
        <w:tblLayout w:type="fixed"/>
        <w:tblCellMar>
          <w:top w:w="0" w:type="dxa"/>
          <w:left w:w="108" w:type="dxa"/>
          <w:bottom w:w="0" w:type="dxa"/>
          <w:right w:w="108" w:type="dxa"/>
        </w:tblCellMar>
      </w:tblPr>
      <w:tblGrid>
        <w:gridCol w:w="1976"/>
        <w:gridCol w:w="2190"/>
        <w:gridCol w:w="2007"/>
        <w:gridCol w:w="2587"/>
      </w:tblGrid>
      <w:tr>
        <w:tblPrEx>
          <w:tblCellMar>
            <w:top w:w="0" w:type="dxa"/>
            <w:left w:w="108" w:type="dxa"/>
            <w:bottom w:w="0" w:type="dxa"/>
            <w:right w:w="108" w:type="dxa"/>
          </w:tblCellMar>
        </w:tblPrEx>
        <w:trPr>
          <w:trHeight w:val="762" w:hRule="atLeast"/>
          <w:jc w:val="center"/>
        </w:trPr>
        <w:tc>
          <w:tcPr>
            <w:tcW w:w="1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kern w:val="0"/>
                <w:sz w:val="28"/>
                <w:szCs w:val="28"/>
              </w:rPr>
            </w:pPr>
            <w:r>
              <w:rPr>
                <w:rFonts w:ascii="仿宋" w:hAnsi="仿宋" w:eastAsia="仿宋"/>
                <w:kern w:val="0"/>
                <w:sz w:val="28"/>
                <w:szCs w:val="28"/>
              </w:rPr>
              <w:t>姓   名</w:t>
            </w:r>
          </w:p>
        </w:tc>
        <w:tc>
          <w:tcPr>
            <w:tcW w:w="219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kern w:val="0"/>
                <w:sz w:val="28"/>
                <w:szCs w:val="28"/>
              </w:rPr>
            </w:pPr>
            <w:r>
              <w:rPr>
                <w:rFonts w:ascii="仿宋" w:hAnsi="仿宋" w:eastAsia="仿宋"/>
                <w:kern w:val="0"/>
                <w:sz w:val="28"/>
                <w:szCs w:val="28"/>
              </w:rPr>
              <w:t>注册号</w:t>
            </w:r>
          </w:p>
        </w:tc>
        <w:tc>
          <w:tcPr>
            <w:tcW w:w="20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kern w:val="0"/>
                <w:sz w:val="28"/>
                <w:szCs w:val="28"/>
              </w:rPr>
            </w:pPr>
            <w:r>
              <w:rPr>
                <w:rFonts w:ascii="仿宋" w:hAnsi="仿宋" w:eastAsia="仿宋"/>
                <w:kern w:val="0"/>
                <w:sz w:val="28"/>
                <w:szCs w:val="28"/>
              </w:rPr>
              <w:t>签名</w:t>
            </w:r>
          </w:p>
        </w:tc>
        <w:tc>
          <w:tcPr>
            <w:tcW w:w="258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kern w:val="0"/>
                <w:sz w:val="28"/>
                <w:szCs w:val="28"/>
              </w:rPr>
            </w:pPr>
            <w:r>
              <w:rPr>
                <w:rFonts w:ascii="仿宋" w:hAnsi="仿宋" w:eastAsia="仿宋"/>
                <w:kern w:val="0"/>
                <w:sz w:val="28"/>
                <w:szCs w:val="28"/>
              </w:rPr>
              <w:t>签名日期</w:t>
            </w:r>
          </w:p>
        </w:tc>
      </w:tr>
      <w:tr>
        <w:tblPrEx>
          <w:tblCellMar>
            <w:top w:w="0" w:type="dxa"/>
            <w:left w:w="108" w:type="dxa"/>
            <w:bottom w:w="0" w:type="dxa"/>
            <w:right w:w="108" w:type="dxa"/>
          </w:tblCellMar>
        </w:tblPrEx>
        <w:trPr>
          <w:trHeight w:val="762" w:hRule="atLeast"/>
          <w:jc w:val="center"/>
        </w:trPr>
        <w:tc>
          <w:tcPr>
            <w:tcW w:w="19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kern w:val="0"/>
                <w:sz w:val="28"/>
                <w:szCs w:val="28"/>
              </w:rPr>
            </w:pPr>
            <w:r>
              <w:rPr>
                <w:rFonts w:ascii="仿宋" w:hAnsi="仿宋" w:eastAsia="仿宋"/>
                <w:kern w:val="0"/>
                <w:sz w:val="28"/>
                <w:szCs w:val="28"/>
              </w:rPr>
              <w:t>阳  科</w:t>
            </w:r>
          </w:p>
        </w:tc>
        <w:tc>
          <w:tcPr>
            <w:tcW w:w="219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kern w:val="0"/>
                <w:sz w:val="28"/>
                <w:szCs w:val="28"/>
              </w:rPr>
            </w:pPr>
            <w:r>
              <w:rPr>
                <w:rFonts w:ascii="仿宋" w:hAnsi="仿宋" w:eastAsia="仿宋"/>
                <w:kern w:val="0"/>
                <w:sz w:val="28"/>
                <w:szCs w:val="28"/>
              </w:rPr>
              <w:t>3220180320</w:t>
            </w:r>
          </w:p>
        </w:tc>
        <w:tc>
          <w:tcPr>
            <w:tcW w:w="200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kern w:val="0"/>
                <w:sz w:val="28"/>
                <w:szCs w:val="28"/>
              </w:rPr>
            </w:pPr>
          </w:p>
        </w:tc>
        <w:tc>
          <w:tcPr>
            <w:tcW w:w="25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kern w:val="0"/>
                <w:sz w:val="28"/>
                <w:szCs w:val="28"/>
              </w:rPr>
            </w:pPr>
            <w:r>
              <w:rPr>
                <w:rFonts w:hint="eastAsia" w:ascii="仿宋" w:hAnsi="仿宋" w:eastAsia="仿宋"/>
                <w:kern w:val="0"/>
                <w:sz w:val="28"/>
                <w:szCs w:val="28"/>
              </w:rPr>
              <w:t>2021年8月26日</w:t>
            </w:r>
          </w:p>
        </w:tc>
      </w:tr>
      <w:tr>
        <w:tblPrEx>
          <w:tblCellMar>
            <w:top w:w="0" w:type="dxa"/>
            <w:left w:w="108" w:type="dxa"/>
            <w:bottom w:w="0" w:type="dxa"/>
            <w:right w:w="108" w:type="dxa"/>
          </w:tblCellMar>
        </w:tblPrEx>
        <w:trPr>
          <w:trHeight w:val="762" w:hRule="atLeast"/>
          <w:jc w:val="center"/>
        </w:trPr>
        <w:tc>
          <w:tcPr>
            <w:tcW w:w="197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kern w:val="0"/>
                <w:sz w:val="28"/>
                <w:szCs w:val="28"/>
              </w:rPr>
            </w:pPr>
            <w:r>
              <w:rPr>
                <w:rFonts w:hint="eastAsia" w:ascii="仿宋" w:hAnsi="仿宋" w:eastAsia="仿宋"/>
                <w:kern w:val="0"/>
                <w:sz w:val="28"/>
                <w:szCs w:val="28"/>
              </w:rPr>
              <w:t>邹</w:t>
            </w:r>
            <w:r>
              <w:rPr>
                <w:rFonts w:hint="eastAsia" w:ascii="仿宋" w:hAnsi="仿宋" w:eastAsia="仿宋"/>
                <w:kern w:val="0"/>
                <w:sz w:val="28"/>
                <w:szCs w:val="28"/>
                <w:lang w:val="en-US" w:eastAsia="zh-CN"/>
              </w:rPr>
              <w:t xml:space="preserve"> </w:t>
            </w:r>
            <w:r>
              <w:rPr>
                <w:rFonts w:hint="eastAsia" w:ascii="仿宋" w:hAnsi="仿宋" w:eastAsia="仿宋"/>
                <w:kern w:val="0"/>
                <w:sz w:val="28"/>
                <w:szCs w:val="28"/>
              </w:rPr>
              <w:t xml:space="preserve"> 健</w:t>
            </w:r>
          </w:p>
        </w:tc>
        <w:tc>
          <w:tcPr>
            <w:tcW w:w="219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kern w:val="0"/>
                <w:sz w:val="28"/>
                <w:szCs w:val="28"/>
              </w:rPr>
            </w:pPr>
            <w:r>
              <w:rPr>
                <w:rFonts w:ascii="仿宋" w:hAnsi="仿宋" w:eastAsia="仿宋"/>
                <w:kern w:val="0"/>
                <w:sz w:val="28"/>
                <w:szCs w:val="28"/>
              </w:rPr>
              <w:t>5220210007</w:t>
            </w:r>
          </w:p>
        </w:tc>
        <w:tc>
          <w:tcPr>
            <w:tcW w:w="200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kern w:val="0"/>
                <w:sz w:val="28"/>
                <w:szCs w:val="28"/>
              </w:rPr>
            </w:pPr>
            <w:r>
              <w:rPr>
                <w:rFonts w:ascii="仿宋" w:hAnsi="仿宋" w:eastAsia="仿宋"/>
                <w:kern w:val="0"/>
                <w:sz w:val="28"/>
                <w:szCs w:val="28"/>
              </w:rPr>
              <w:t>　</w:t>
            </w:r>
          </w:p>
        </w:tc>
        <w:tc>
          <w:tcPr>
            <w:tcW w:w="258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kern w:val="0"/>
                <w:sz w:val="28"/>
                <w:szCs w:val="28"/>
              </w:rPr>
            </w:pPr>
            <w:r>
              <w:rPr>
                <w:rFonts w:hint="eastAsia" w:ascii="仿宋" w:hAnsi="仿宋" w:eastAsia="仿宋"/>
                <w:kern w:val="0"/>
                <w:sz w:val="28"/>
                <w:szCs w:val="28"/>
              </w:rPr>
              <w:t>2021年8月26日</w:t>
            </w:r>
          </w:p>
        </w:tc>
      </w:tr>
    </w:tbl>
    <w:p>
      <w:pPr>
        <w:pStyle w:val="10"/>
        <w:overflowPunct w:val="0"/>
        <w:topLinePunct/>
        <w:adjustRightInd w:val="0"/>
        <w:snapToGrid w:val="0"/>
        <w:ind w:right="0" w:rightChars="0" w:firstLine="300" w:firstLineChars="200"/>
        <w:rPr>
          <w:rFonts w:ascii="仿宋" w:hAnsi="仿宋" w:eastAsia="仿宋"/>
          <w:sz w:val="15"/>
          <w:szCs w:val="18"/>
        </w:rPr>
      </w:pPr>
    </w:p>
    <w:p>
      <w:pPr>
        <w:pStyle w:val="4"/>
        <w:overflowPunct w:val="0"/>
        <w:topLinePunct/>
        <w:adjustRightInd w:val="0"/>
        <w:snapToGrid w:val="0"/>
        <w:spacing w:before="312" w:beforeLines="100" w:after="312" w:afterLines="100" w:line="360" w:lineRule="auto"/>
        <w:ind w:firstLine="562" w:firstLineChars="200"/>
        <w:jc w:val="left"/>
        <w:rPr>
          <w:rFonts w:ascii="仿宋" w:hAnsi="仿宋" w:eastAsia="仿宋"/>
        </w:rPr>
      </w:pPr>
      <w:bookmarkStart w:id="82" w:name="_Toc32591"/>
      <w:bookmarkStart w:id="83" w:name="_Toc461005140"/>
      <w:bookmarkStart w:id="84" w:name="_Toc18413"/>
      <w:bookmarkStart w:id="85" w:name="_Toc8721"/>
      <w:r>
        <w:rPr>
          <w:rFonts w:ascii="仿宋" w:hAnsi="仿宋" w:eastAsia="仿宋"/>
          <w:sz w:val="28"/>
        </w:rPr>
        <w:t>十二、实地查勘期</w:t>
      </w:r>
      <w:bookmarkEnd w:id="82"/>
      <w:bookmarkEnd w:id="83"/>
      <w:bookmarkEnd w:id="84"/>
      <w:bookmarkEnd w:id="85"/>
    </w:p>
    <w:p>
      <w:pPr>
        <w:overflowPunct w:val="0"/>
        <w:topLinePunct/>
        <w:adjustRightInd w:val="0"/>
        <w:snapToGrid w:val="0"/>
        <w:spacing w:line="360" w:lineRule="auto"/>
        <w:ind w:firstLine="560" w:firstLineChars="200"/>
        <w:jc w:val="left"/>
        <w:rPr>
          <w:rFonts w:ascii="仿宋" w:hAnsi="仿宋" w:eastAsia="仿宋"/>
          <w:sz w:val="28"/>
        </w:rPr>
      </w:pPr>
      <w:r>
        <w:rPr>
          <w:rFonts w:ascii="仿宋" w:hAnsi="仿宋" w:eastAsia="仿宋"/>
          <w:sz w:val="28"/>
        </w:rPr>
        <w:t>本次实地勘查日期是</w:t>
      </w:r>
      <w:r>
        <w:rPr>
          <w:rFonts w:hint="eastAsia" w:ascii="仿宋" w:hAnsi="仿宋" w:eastAsia="仿宋"/>
          <w:sz w:val="28"/>
        </w:rPr>
        <w:t>2021年8月16日</w:t>
      </w:r>
      <w:r>
        <w:rPr>
          <w:rFonts w:ascii="仿宋" w:hAnsi="仿宋" w:eastAsia="仿宋"/>
          <w:sz w:val="28"/>
        </w:rPr>
        <w:t>。</w:t>
      </w:r>
    </w:p>
    <w:p>
      <w:pPr>
        <w:pStyle w:val="4"/>
        <w:overflowPunct w:val="0"/>
        <w:topLinePunct/>
        <w:adjustRightInd w:val="0"/>
        <w:snapToGrid w:val="0"/>
        <w:spacing w:before="312" w:beforeLines="100" w:after="312" w:afterLines="100" w:line="360" w:lineRule="auto"/>
        <w:ind w:firstLine="562" w:firstLineChars="200"/>
        <w:jc w:val="left"/>
        <w:rPr>
          <w:rFonts w:ascii="仿宋" w:hAnsi="仿宋" w:eastAsia="仿宋"/>
          <w:sz w:val="28"/>
        </w:rPr>
      </w:pPr>
      <w:bookmarkStart w:id="86" w:name="_Toc461005141"/>
      <w:bookmarkStart w:id="87" w:name="_Toc9629"/>
      <w:bookmarkStart w:id="88" w:name="_Toc19615"/>
      <w:bookmarkStart w:id="89" w:name="_Toc19725"/>
      <w:r>
        <w:rPr>
          <w:rFonts w:ascii="仿宋" w:hAnsi="仿宋" w:eastAsia="仿宋"/>
          <w:sz w:val="28"/>
        </w:rPr>
        <w:t>十三、估价作业日期</w:t>
      </w:r>
      <w:bookmarkEnd w:id="86"/>
      <w:bookmarkEnd w:id="87"/>
      <w:bookmarkEnd w:id="88"/>
      <w:bookmarkEnd w:id="89"/>
    </w:p>
    <w:p>
      <w:pPr>
        <w:pStyle w:val="10"/>
        <w:overflowPunct w:val="0"/>
        <w:topLinePunct/>
        <w:adjustRightInd w:val="0"/>
        <w:snapToGrid w:val="0"/>
        <w:ind w:right="0" w:rightChars="0" w:firstLine="560" w:firstLineChars="200"/>
        <w:rPr>
          <w:rFonts w:ascii="仿宋" w:hAnsi="仿宋" w:eastAsia="仿宋"/>
          <w:bCs/>
          <w:sz w:val="28"/>
          <w:szCs w:val="28"/>
        </w:rPr>
      </w:pPr>
      <w:r>
        <w:rPr>
          <w:rFonts w:ascii="仿宋" w:hAnsi="仿宋" w:eastAsia="仿宋"/>
          <w:bCs/>
          <w:sz w:val="28"/>
          <w:szCs w:val="28"/>
        </w:rPr>
        <w:t>本次估价的作业</w:t>
      </w:r>
      <w:r>
        <w:rPr>
          <w:rFonts w:ascii="仿宋" w:hAnsi="仿宋" w:eastAsia="仿宋"/>
          <w:sz w:val="28"/>
        </w:rPr>
        <w:t>日期是</w:t>
      </w:r>
      <w:r>
        <w:rPr>
          <w:rFonts w:hint="eastAsia" w:ascii="仿宋" w:hAnsi="仿宋" w:eastAsia="仿宋"/>
          <w:sz w:val="28"/>
        </w:rPr>
        <w:t>2021年8月</w:t>
      </w:r>
      <w:r>
        <w:rPr>
          <w:rFonts w:ascii="仿宋" w:hAnsi="仿宋" w:eastAsia="仿宋"/>
          <w:sz w:val="28"/>
        </w:rPr>
        <w:t>12</w:t>
      </w:r>
      <w:r>
        <w:rPr>
          <w:rFonts w:hint="eastAsia" w:ascii="仿宋" w:hAnsi="仿宋" w:eastAsia="仿宋"/>
          <w:sz w:val="28"/>
        </w:rPr>
        <w:t>日</w:t>
      </w:r>
      <w:r>
        <w:rPr>
          <w:rFonts w:ascii="仿宋" w:hAnsi="仿宋" w:eastAsia="仿宋"/>
          <w:sz w:val="28"/>
        </w:rPr>
        <w:t>至</w:t>
      </w:r>
      <w:r>
        <w:rPr>
          <w:rFonts w:hint="eastAsia" w:ascii="仿宋" w:hAnsi="仿宋" w:eastAsia="仿宋"/>
          <w:sz w:val="28"/>
        </w:rPr>
        <w:t>2021年8月26日</w:t>
      </w:r>
      <w:r>
        <w:rPr>
          <w:rFonts w:ascii="仿宋" w:hAnsi="仿宋" w:eastAsia="仿宋"/>
          <w:bCs/>
          <w:sz w:val="28"/>
          <w:szCs w:val="28"/>
        </w:rPr>
        <w:t>。</w:t>
      </w:r>
    </w:p>
    <w:p>
      <w:pPr>
        <w:overflowPunct w:val="0"/>
        <w:topLinePunct/>
        <w:adjustRightInd w:val="0"/>
        <w:snapToGrid w:val="0"/>
        <w:spacing w:line="360" w:lineRule="auto"/>
        <w:ind w:firstLine="562" w:firstLineChars="200"/>
        <w:jc w:val="right"/>
        <w:rPr>
          <w:rFonts w:ascii="仿宋" w:hAnsi="仿宋" w:eastAsia="仿宋"/>
          <w:b/>
          <w:snapToGrid w:val="0"/>
          <w:kern w:val="0"/>
          <w:sz w:val="28"/>
        </w:rPr>
      </w:pPr>
    </w:p>
    <w:p>
      <w:pPr>
        <w:overflowPunct w:val="0"/>
        <w:topLinePunct/>
        <w:adjustRightInd w:val="0"/>
        <w:snapToGrid w:val="0"/>
        <w:spacing w:line="360" w:lineRule="auto"/>
        <w:ind w:firstLine="562" w:firstLineChars="200"/>
        <w:jc w:val="right"/>
        <w:rPr>
          <w:rFonts w:ascii="仿宋" w:hAnsi="仿宋" w:eastAsia="仿宋"/>
          <w:b/>
          <w:snapToGrid w:val="0"/>
          <w:kern w:val="0"/>
          <w:sz w:val="28"/>
        </w:rPr>
      </w:pPr>
      <w:r>
        <w:rPr>
          <w:rFonts w:ascii="仿宋" w:hAnsi="仿宋" w:eastAsia="仿宋"/>
          <w:b/>
          <w:snapToGrid w:val="0"/>
          <w:kern w:val="0"/>
          <w:sz w:val="28"/>
        </w:rPr>
        <w:t>贵州明志房地产估价经纪有限公司</w:t>
      </w:r>
    </w:p>
    <w:p>
      <w:pPr>
        <w:overflowPunct w:val="0"/>
        <w:topLinePunct/>
        <w:adjustRightInd w:val="0"/>
        <w:snapToGrid w:val="0"/>
        <w:spacing w:line="360" w:lineRule="auto"/>
        <w:ind w:firstLine="200"/>
        <w:jc w:val="right"/>
        <w:rPr>
          <w:rFonts w:ascii="仿宋" w:hAnsi="仿宋" w:eastAsia="仿宋"/>
          <w:snapToGrid w:val="0"/>
          <w:kern w:val="0"/>
          <w:sz w:val="28"/>
        </w:rPr>
      </w:pPr>
      <w:r>
        <w:rPr>
          <w:rFonts w:hint="eastAsia" w:ascii="仿宋" w:hAnsi="仿宋" w:eastAsia="仿宋"/>
          <w:snapToGrid w:val="0"/>
          <w:kern w:val="0"/>
          <w:sz w:val="28"/>
        </w:rPr>
        <w:t>2021年8月26日</w:t>
      </w:r>
    </w:p>
    <w:sectPr>
      <w:footerReference r:id="rId14" w:type="first"/>
      <w:footerReference r:id="rId13" w:type="default"/>
      <w:pgSz w:w="11907" w:h="16840"/>
      <w:pgMar w:top="1418" w:right="1418" w:bottom="1418" w:left="1418" w:header="624" w:footer="624" w:gutter="284"/>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1B7733D-30F2-46D5-8137-D96A19C6BD53}"/>
  </w:font>
  <w:font w:name="Arial">
    <w:panose1 w:val="020B0604020202020204"/>
    <w:charset w:val="01"/>
    <w:family w:val="swiss"/>
    <w:pitch w:val="default"/>
    <w:sig w:usb0="E0002EFF" w:usb1="C000785B" w:usb2="00000009" w:usb3="00000000" w:csb0="400001FF" w:csb1="FFFF0000"/>
    <w:embedRegular r:id="rId2" w:fontKey="{795C2FE3-6E45-4F80-9F18-C5BC5C8431E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87CE74F-A4F4-40B2-97F7-2D7CF8296876}"/>
  </w:font>
  <w:font w:name="Symbol">
    <w:panose1 w:val="05050102010706020507"/>
    <w:charset w:val="02"/>
    <w:family w:val="roman"/>
    <w:pitch w:val="default"/>
    <w:sig w:usb0="00000000" w:usb1="00000000" w:usb2="00000000" w:usb3="00000000" w:csb0="80000000" w:csb1="00000000"/>
    <w:embedRegular r:id="rId4" w:fontKey="{DAFF7B70-8BD7-4215-B0E6-A0533F94DB1C}"/>
  </w:font>
  <w:font w:name="Calibri">
    <w:panose1 w:val="020F0502020204030204"/>
    <w:charset w:val="00"/>
    <w:family w:val="swiss"/>
    <w:pitch w:val="default"/>
    <w:sig w:usb0="E4002EFF" w:usb1="C000247B" w:usb2="00000009" w:usb3="00000000" w:csb0="200001FF" w:csb1="00000000"/>
    <w:embedRegular r:id="rId5" w:fontKey="{35DA4548-AA43-4DC9-BA09-6665FC9DF66E}"/>
  </w:font>
  <w:font w:name="Arial">
    <w:panose1 w:val="020B0604020202020204"/>
    <w:charset w:val="00"/>
    <w:family w:val="swiss"/>
    <w:pitch w:val="default"/>
    <w:sig w:usb0="E0002EFF" w:usb1="C000785B" w:usb2="00000009" w:usb3="00000000" w:csb0="400001FF" w:csb1="FFFF0000"/>
    <w:embedRegular r:id="rId6" w:fontKey="{8E90A6FF-0F01-467E-BD5C-AD7039B07950}"/>
  </w:font>
  <w:font w:name="Courier New">
    <w:panose1 w:val="02070309020205020404"/>
    <w:charset w:val="00"/>
    <w:family w:val="modern"/>
    <w:pitch w:val="default"/>
    <w:sig w:usb0="E0002EFF" w:usb1="C0007843" w:usb2="00000009" w:usb3="00000000" w:csb0="400001FF" w:csb1="FFFF0000"/>
    <w:embedRegular r:id="rId7" w:fontKey="{C6598C07-3084-4EB3-BEC4-71DC3EE4BAAA}"/>
  </w:font>
  <w:font w:name="幼圆">
    <w:panose1 w:val="0201050906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Adobe 仿宋 Std R">
    <w:altName w:val="仿宋"/>
    <w:panose1 w:val="00000000000000000000"/>
    <w:charset w:val="86"/>
    <w:family w:val="roman"/>
    <w:pitch w:val="default"/>
    <w:sig w:usb0="00000000" w:usb1="00000000" w:usb2="00000016" w:usb3="00000000" w:csb0="00060007" w:csb1="00000000"/>
  </w:font>
  <w:font w:name="仿宋">
    <w:panose1 w:val="02010609060101010101"/>
    <w:charset w:val="86"/>
    <w:family w:val="auto"/>
    <w:pitch w:val="default"/>
    <w:sig w:usb0="800002BF" w:usb1="38CF7CFA" w:usb2="00000016" w:usb3="00000000" w:csb0="00040001" w:csb1="00000000"/>
    <w:embedRegular r:id="rId8" w:fontKey="{D3956DA3-7BF1-4E03-AED7-0E372E6F67CF}"/>
  </w:font>
  <w:font w:name="楷体">
    <w:panose1 w:val="02010609060101010101"/>
    <w:charset w:val="86"/>
    <w:family w:val="modern"/>
    <w:pitch w:val="default"/>
    <w:sig w:usb0="800002BF" w:usb1="38CF7CFA" w:usb2="00000016" w:usb3="00000000" w:csb0="00040001" w:csb1="00000000"/>
    <w:embedRegular r:id="rId9" w:fontKey="{3A6D29B3-3324-45B4-BB3D-A5BDFB508E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line id="Line 23" o:spid="_x0000_s2056" o:spt="20" style="position:absolute;left:0pt;margin-left:0pt;margin-top:0pt;height:0pt;width:441pt;z-index:2516654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">
          <v:path arrowok="t"/>
          <v:fill focussize="0,0"/>
          <v:stroke/>
          <v:imagedata o:title=""/>
          <o:lock v:ext="edit"/>
        </v:line>
      </w:pict>
    </w:r>
    <w:r>
      <w:rPr>
        <w:rFonts w:hint="eastAsia"/>
      </w:rPr>
      <w:t>地址：</w:t>
    </w:r>
    <w:r>
      <w:t>贵阳市</w:t>
    </w:r>
    <w:r>
      <w:rPr>
        <w:rFonts w:hint="eastAsia"/>
      </w:rPr>
      <w:t>云岩区大营坡187号</w:t>
    </w:r>
    <w:r>
      <w:t>中大国际广场</w:t>
    </w:r>
    <w:r>
      <w:rPr>
        <w:rFonts w:hint="eastAsia"/>
      </w:rPr>
      <w:t>A1栋29楼16号       电话：（0851）86857789</w:t>
    </w:r>
  </w:p>
  <w:p>
    <w:pPr>
      <w:pStyle w:val="17"/>
    </w:pPr>
    <w:r>
      <w:rPr>
        <w:rFonts w:hint="eastAsia"/>
      </w:rPr>
      <w:t>报告数字编码</w:t>
    </w:r>
    <w:r>
      <w:rPr>
        <w:rFonts w:ascii="宋体" w:hAnsi="宋体" w:eastAsia="宋体" w:cs="宋体"/>
        <w:sz w:val="21"/>
        <w:szCs w:val="21"/>
      </w:rPr>
      <w:t>a797857a5a6561b6e7c9d6c7410dfeb1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7"/>
      </w:rPr>
    </w:pPr>
    <w:r>
      <w:fldChar w:fldCharType="begin"/>
    </w:r>
    <w:r>
      <w:rPr>
        <w:rStyle w:val="27"/>
      </w:rPr>
      <w:instrText xml:space="preserve">PAGE  </w:instrText>
    </w:r>
    <w:r>
      <w:fldChar w:fldCharType="separate"/>
    </w:r>
    <w:r>
      <w:rPr>
        <w:rStyle w:val="27"/>
        <w:lang w:val="zh-CN"/>
      </w:rPr>
      <w:t>10</w:t>
    </w:r>
    <w:r>
      <w:fldChar w:fldCharType="end"/>
    </w:r>
  </w:p>
  <w:p>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line id="_x0000_s2055" o:spid="_x0000_s2055" o:spt="20" style="position:absolute;left:0pt;margin-left:0pt;margin-top:0pt;height:0pt;width:441pt;z-index:2516664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">
          <v:path arrowok="t"/>
          <v:fill focussize="0,0"/>
          <v:stroke/>
          <v:imagedata o:title=""/>
          <o:lock v:ext="edit"/>
        </v:line>
      </w:pict>
    </w:r>
    <w:r>
      <w:rPr>
        <w:rFonts w:hint="eastAsia"/>
      </w:rPr>
      <w:t>地址：</w:t>
    </w:r>
    <w:r>
      <w:t>贵阳市</w:t>
    </w:r>
    <w:r>
      <w:rPr>
        <w:rFonts w:hint="eastAsia"/>
      </w:rPr>
      <w:t>云岩区大营坡187号</w:t>
    </w:r>
    <w:r>
      <w:t>中大国际广场</w:t>
    </w:r>
    <w:r>
      <w:rPr>
        <w:rFonts w:hint="eastAsia"/>
      </w:rPr>
      <w:t>A1栋29楼16号       电话：（0851）86857789</w:t>
    </w:r>
  </w:p>
  <w:p>
    <w:pPr>
      <w:pStyle w:val="17"/>
    </w:pPr>
    <w:r>
      <w:rPr>
        <w:rFonts w:hint="eastAsia"/>
      </w:rPr>
      <w:t>报告数字编码a797857a5a6561b6e7c9d6c7410dfeb1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right" w:pos="8820"/>
        <w:tab w:val="clear" w:pos="8306"/>
      </w:tabs>
      <w:jc w:val="right"/>
    </w:pPr>
    <w:r>
      <w:pict>
        <v:line id="Line 14" o:spid="_x0000_s2054" o:spt="20" style="position:absolute;left:0pt;margin-left:0pt;margin-top:-1.05pt;height:0pt;width:441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">
          <v:path arrowok="t"/>
          <v:fill focussize="0,0"/>
          <v:stroke weight="0.5pt"/>
          <v:imagedata o:title=""/>
          <o:lock v:ext="edit"/>
        </v:line>
      </w:pict>
    </w:r>
    <w:r>
      <w:rPr>
        <w:rFonts w:hint="eastAsia"/>
      </w:rPr>
      <w:t>估价报告- 第</w:t>
    </w:r>
    <w:r>
      <w:fldChar w:fldCharType="begin"/>
    </w:r>
    <w:r>
      <w:rPr>
        <w:rStyle w:val="27"/>
      </w:rPr>
      <w:instrText xml:space="preserve"> PAGE </w:instrText>
    </w:r>
    <w:r>
      <w:fldChar w:fldCharType="separate"/>
    </w:r>
    <w:r>
      <w:rPr>
        <w:rStyle w:val="27"/>
      </w:rPr>
      <w:t>13</w:t>
    </w:r>
    <w:r>
      <w:fldChar w:fldCharType="end"/>
    </w:r>
    <w:r>
      <w:rPr>
        <w:rStyle w:val="27"/>
        <w:rFonts w:hint="eastAsia"/>
      </w:rPr>
      <w:t>页</w:t>
    </w:r>
  </w:p>
  <w:p>
    <w:pPr>
      <w:pStyle w:val="17"/>
    </w:pPr>
    <w:r>
      <w:rPr>
        <w:rFonts w:hint="eastAsia"/>
      </w:rPr>
      <w:t>地址：</w:t>
    </w:r>
    <w:r>
      <w:t>贵阳市</w:t>
    </w:r>
    <w:r>
      <w:rPr>
        <w:rFonts w:hint="eastAsia"/>
      </w:rPr>
      <w:t>云岩区大营坡187号</w:t>
    </w:r>
    <w:r>
      <w:t>中大国际广场</w:t>
    </w:r>
    <w:r>
      <w:rPr>
        <w:rFonts w:hint="eastAsia"/>
      </w:rPr>
      <w:t xml:space="preserve">A1栋29楼16号       电话：（0851）86857789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pict>
        <v:line id="Line 20" o:spid="_x0000_s2053" o:spt="20" style="position:absolute;left:0pt;margin-left:-1.65pt;margin-top:-1.05pt;height:0pt;width:441pt;z-index:2516613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">
          <v:path arrowok="t"/>
          <v:fill focussize="0,0"/>
          <v:stroke/>
          <v:imagedata o:title=""/>
          <o:lock v:ext="edit"/>
        </v:line>
      </w:pict>
    </w:r>
    <w:r>
      <w:rPr>
        <w:rFonts w:hint="eastAsia"/>
      </w:rPr>
      <w:t>估价报告- 第</w:t>
    </w:r>
    <w:r>
      <w:fldChar w:fldCharType="begin"/>
    </w:r>
    <w:r>
      <w:rPr>
        <w:rStyle w:val="27"/>
      </w:rPr>
      <w:instrText xml:space="preserve"> PAGE </w:instrText>
    </w:r>
    <w:r>
      <w:fldChar w:fldCharType="separate"/>
    </w:r>
    <w:r>
      <w:rPr>
        <w:rStyle w:val="27"/>
      </w:rPr>
      <w:t>1</w:t>
    </w:r>
    <w:r>
      <w:fldChar w:fldCharType="end"/>
    </w:r>
    <w:r>
      <w:rPr>
        <w:rStyle w:val="27"/>
        <w:rFonts w:hint="eastAsia"/>
      </w:rPr>
      <w:t>页</w:t>
    </w:r>
  </w:p>
  <w:p>
    <w:pPr>
      <w:pStyle w:val="17"/>
    </w:pPr>
    <w:r>
      <w:rPr>
        <w:rFonts w:hint="eastAsia"/>
      </w:rPr>
      <w:t>地址：</w:t>
    </w:r>
    <w:r>
      <w:t>贵阳市</w:t>
    </w:r>
    <w:r>
      <w:rPr>
        <w:rFonts w:hint="eastAsia"/>
      </w:rPr>
      <w:t>云岩区大营坡187号</w:t>
    </w:r>
    <w:r>
      <w:t>中大国际广场</w:t>
    </w:r>
    <w:r>
      <w:rPr>
        <w:rFonts w:hint="eastAsia"/>
      </w:rPr>
      <w:t>A1栋29楼16号       电话：（0851）86857789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right" w:pos="8820"/>
        <w:tab w:val="clear" w:pos="8306"/>
      </w:tabs>
      <w:jc w:val="right"/>
    </w:pPr>
    <w:r>
      <w:pict>
        <v:shape id="文本框 7" o:spid="_x0000_s2052" o:spt="202" type="#_x0000_t202" style="position:absolute;left:0pt;margin-top:0pt;height:144pt;width:144pt;mso-position-horizontal:right;mso-position-horizontal-relative:margin;mso-wrap-style:none;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oJFrZbYBAABMAwAADgAAAAAAAAAAAAAAAAAuAgAAZHJzL2Uyb0RvYy54bWxQ&#10;SwECLQAUAAYACAAAACEADErw7tYAAAAFAQAADwAAAAAAAAAAAAAAAAAQBAAAZHJzL2Rvd25yZXYu&#10;eG1sUEsFBgAAAAAEAAQA8wAAABMFAAAAAA==&#10;">
          <v:path/>
          <v:fill on="f" focussize="0,0"/>
          <v:stroke on="f" joinstyle="miter"/>
          <v:imagedata o:title=""/>
          <o:lock v:ext="edit"/>
          <v:textbox inset="0mm,0mm,0mm,0mm" style="mso-fit-shape-to-text:t;">
            <w:txbxContent>
              <w:p>
                <w:pPr>
                  <w:pStyle w:val="17"/>
                  <w:tabs>
                    <w:tab w:val="right" w:pos="8820"/>
                    <w:tab w:val="clear" w:pos="8306"/>
                  </w:tabs>
                  <w:jc w:val="right"/>
                </w:pPr>
                <w:r>
                  <w:rPr>
                    <w:rFonts w:hint="eastAsia"/>
                  </w:rPr>
                  <w:t>估价报告- 第</w:t>
                </w:r>
                <w:r>
                  <w:fldChar w:fldCharType="begin"/>
                </w:r>
                <w:r>
                  <w:rPr>
                    <w:rStyle w:val="27"/>
                  </w:rPr>
                  <w:instrText xml:space="preserve"> PAGE </w:instrText>
                </w:r>
                <w:r>
                  <w:fldChar w:fldCharType="separate"/>
                </w:r>
                <w:r>
                  <w:rPr>
                    <w:rStyle w:val="27"/>
                  </w:rPr>
                  <w:t>7</w:t>
                </w:r>
                <w:r>
                  <w:fldChar w:fldCharType="end"/>
                </w:r>
                <w:r>
                  <w:rPr>
                    <w:rStyle w:val="27"/>
                    <w:rFonts w:hint="eastAsia"/>
                  </w:rPr>
                  <w:t>页</w:t>
                </w:r>
              </w:p>
            </w:txbxContent>
          </v:textbox>
        </v:shape>
      </w:pict>
    </w:r>
    <w:r>
      <w:pict>
        <v:line id="_x0000_s2051" o:spid="_x0000_s2051" o:spt="20" style="position:absolute;left:0pt;margin-left:0pt;margin-top:-1.05pt;height:0pt;width:441pt;z-index:2516602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">
          <v:path arrowok="t"/>
          <v:fill focussize="0,0"/>
          <v:stroke weight="0.5pt"/>
          <v:imagedata o:title=""/>
          <o:lock v:ext="edit"/>
        </v:line>
      </w:pict>
    </w:r>
  </w:p>
  <w:p>
    <w:pPr>
      <w:pStyle w:val="17"/>
    </w:pPr>
    <w:r>
      <w:rPr>
        <w:rFonts w:hint="eastAsia"/>
      </w:rPr>
      <w:t>地址：</w:t>
    </w:r>
    <w:r>
      <w:t>贵阳市</w:t>
    </w:r>
    <w:r>
      <w:rPr>
        <w:rFonts w:hint="eastAsia"/>
      </w:rPr>
      <w:t>云岩区大营坡187号</w:t>
    </w:r>
    <w:r>
      <w:t>中大国际广场</w:t>
    </w:r>
    <w:r>
      <w:rPr>
        <w:rFonts w:hint="eastAsia"/>
      </w:rPr>
      <w:t xml:space="preserve">A1栋29楼16号       电话：（0851）86857789  </w:t>
    </w:r>
  </w:p>
  <w:p>
    <w:pPr>
      <w:pStyle w:val="17"/>
    </w:pPr>
    <w:r>
      <w:rPr>
        <w:rFonts w:hint="eastAsia"/>
      </w:rPr>
      <w:t>报告数字编码</w:t>
    </w:r>
    <w:r>
      <w:rPr>
        <w:rFonts w:ascii="宋体" w:hAnsi="宋体" w:eastAsia="宋体" w:cs="宋体"/>
        <w:sz w:val="21"/>
        <w:szCs w:val="21"/>
      </w:rPr>
      <w:t>a797857a5a6561b6e7c9d6c7410dfeb1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pict>
        <v:shape id="文本框 8" o:spid="_x0000_s2050" o:spt="202" type="#_x0000_t202" style="position:absolute;left:0pt;margin-top:0pt;height:144pt;width:144pt;mso-position-horizontal:right;mso-position-horizontal-relative:margin;mso-wrap-style:none;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MlDvK23AQAAUwMAAA4AAAAAAAAAAAAAAAAALgIAAGRycy9lMm9Eb2MueG1s&#10;UEsBAi0AFAAGAAgAAAAhAAxK8O7WAAAABQEAAA8AAAAAAAAAAAAAAAAAEQQAAGRycy9kb3ducmV2&#10;LnhtbFBLBQYAAAAABAAEAPMAAAAUBQAAAAA=&#10;">
          <v:path/>
          <v:fill on="f" focussize="0,0"/>
          <v:stroke on="f" joinstyle="miter"/>
          <v:imagedata o:title=""/>
          <o:lock v:ext="edit"/>
          <v:textbox inset="0mm,0mm,0mm,0mm" style="mso-fit-shape-to-text:t;">
            <w:txbxContent>
              <w:p>
                <w:pPr>
                  <w:pStyle w:val="17"/>
                  <w:jc w:val="right"/>
                </w:pPr>
                <w:r>
                  <w:rPr>
                    <w:rFonts w:hint="eastAsia"/>
                  </w:rPr>
                  <w:t>估价报告- 第</w:t>
                </w:r>
                <w:r>
                  <w:fldChar w:fldCharType="begin"/>
                </w:r>
                <w:r>
                  <w:rPr>
                    <w:rStyle w:val="27"/>
                  </w:rPr>
                  <w:instrText xml:space="preserve"> PAGE </w:instrText>
                </w:r>
                <w:r>
                  <w:fldChar w:fldCharType="separate"/>
                </w:r>
                <w:r>
                  <w:rPr>
                    <w:rStyle w:val="27"/>
                  </w:rPr>
                  <w:t>1</w:t>
                </w:r>
                <w:r>
                  <w:fldChar w:fldCharType="end"/>
                </w:r>
                <w:r>
                  <w:rPr>
                    <w:rStyle w:val="27"/>
                    <w:rFonts w:hint="eastAsia"/>
                  </w:rPr>
                  <w:t>页</w:t>
                </w:r>
              </w:p>
            </w:txbxContent>
          </v:textbox>
        </v:shape>
      </w:pict>
    </w:r>
    <w:r>
      <w:pict>
        <v:line id="_x0000_s2049" o:spid="_x0000_s2049" o:spt="20" style="position:absolute;left:0pt;margin-left:-1.65pt;margin-top:-1.05pt;height:0pt;width:441pt;z-index:2516623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">
          <v:path arrowok="t"/>
          <v:fill focussize="0,0"/>
          <v:stroke/>
          <v:imagedata o:title=""/>
          <o:lock v:ext="edit"/>
        </v:line>
      </w:pict>
    </w:r>
  </w:p>
  <w:p>
    <w:pPr>
      <w:pStyle w:val="17"/>
    </w:pPr>
    <w:r>
      <w:rPr>
        <w:rFonts w:hint="eastAsia"/>
      </w:rPr>
      <w:t>地址：</w:t>
    </w:r>
    <w:r>
      <w:t>贵阳市</w:t>
    </w:r>
    <w:r>
      <w:rPr>
        <w:rFonts w:hint="eastAsia"/>
      </w:rPr>
      <w:t>云岩区大营坡187号</w:t>
    </w:r>
    <w:r>
      <w:t>中大国际广场</w:t>
    </w:r>
    <w:r>
      <w:rPr>
        <w:rFonts w:hint="eastAsia"/>
      </w:rPr>
      <w:t>A1栋29楼16号    电话：（0851）86857789</w:t>
    </w:r>
  </w:p>
  <w:p>
    <w:pPr>
      <w:pStyle w:val="17"/>
    </w:pPr>
    <w:r>
      <w:rPr>
        <w:rFonts w:hint="eastAsia"/>
      </w:rPr>
      <w:t>报告数字编码</w:t>
    </w:r>
    <w:r>
      <w:rPr>
        <w:rFonts w:ascii="宋体" w:hAnsi="宋体" w:eastAsia="宋体" w:cs="宋体"/>
        <w:sz w:val="21"/>
        <w:szCs w:val="21"/>
      </w:rPr>
      <w:t>a797857a5a6561b6e7c9d6c7410dfeb1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rFonts w:ascii="仿宋" w:hAnsi="仿宋" w:eastAsia="仿宋"/>
      </w:rPr>
    </w:pPr>
    <w:r>
      <w:rPr>
        <w:rFonts w:ascii="仿宋" w:hAnsi="仿宋" w:eastAsia="仿宋"/>
      </w:rPr>
      <w:drawing>
        <wp:inline distT="0" distB="0" distL="114300" distR="114300">
          <wp:extent cx="225425" cy="224155"/>
          <wp:effectExtent l="0" t="0" r="3175" b="4445"/>
          <wp:docPr id="6" name="Picture 1" descr="公司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公司LOGO－1"/>
                  <pic:cNvPicPr>
                    <a:picLocks noChangeAspect="1"/>
                  </pic:cNvPicPr>
                </pic:nvPicPr>
                <pic:blipFill>
                  <a:blip r:embed="rId1"/>
                  <a:stretch>
                    <a:fillRect/>
                  </a:stretch>
                </pic:blipFill>
                <pic:spPr>
                  <a:xfrm>
                    <a:off x="0" y="0"/>
                    <a:ext cx="225425" cy="224155"/>
                  </a:xfrm>
                  <a:prstGeom prst="rect">
                    <a:avLst/>
                  </a:prstGeom>
                  <a:noFill/>
                  <a:ln w="9525">
                    <a:noFill/>
                    <a:miter/>
                  </a:ln>
                </pic:spPr>
              </pic:pic>
            </a:graphicData>
          </a:graphic>
        </wp:inline>
      </w:drawing>
    </w:r>
    <w:r>
      <w:rPr>
        <w:rFonts w:hint="eastAsia" w:ascii="仿宋" w:hAnsi="仿宋" w:eastAsia="仿宋"/>
      </w:rPr>
      <w:t>贵州明志房地产估价经纪有限公司                                                房地产估价报告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仿宋" w:hAnsi="仿宋" w:eastAsia="仿宋"/>
      </w:rPr>
    </w:pPr>
    <w:r>
      <w:rPr>
        <w:rFonts w:ascii="仿宋" w:hAnsi="仿宋" w:eastAsia="仿宋"/>
      </w:rPr>
      <w:drawing>
        <wp:inline distT="0" distB="0" distL="114300" distR="114300">
          <wp:extent cx="225425" cy="224155"/>
          <wp:effectExtent l="0" t="0" r="3175" b="4445"/>
          <wp:docPr id="7" name="Picture 2" descr="公司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公司LOGO－1"/>
                  <pic:cNvPicPr>
                    <a:picLocks noChangeAspect="1"/>
                  </pic:cNvPicPr>
                </pic:nvPicPr>
                <pic:blipFill>
                  <a:blip r:embed="rId1"/>
                  <a:stretch>
                    <a:fillRect/>
                  </a:stretch>
                </pic:blipFill>
                <pic:spPr>
                  <a:xfrm>
                    <a:off x="0" y="0"/>
                    <a:ext cx="225425" cy="224155"/>
                  </a:xfrm>
                  <a:prstGeom prst="rect">
                    <a:avLst/>
                  </a:prstGeom>
                  <a:noFill/>
                  <a:ln w="9525">
                    <a:noFill/>
                    <a:miter/>
                  </a:ln>
                </pic:spPr>
              </pic:pic>
            </a:graphicData>
          </a:graphic>
        </wp:inline>
      </w:drawing>
    </w:r>
    <w:r>
      <w:rPr>
        <w:rFonts w:hint="eastAsia" w:ascii="楷体" w:hAnsi="楷体" w:eastAsia="楷体"/>
      </w:rPr>
      <w:t xml:space="preserve">贵州明志房地产估价经纪有限公司 </w:t>
    </w:r>
    <w:r>
      <w:rPr>
        <w:rFonts w:ascii="楷体" w:hAnsi="楷体" w:eastAsia="楷体"/>
      </w:rPr>
      <w:t xml:space="preserve">                                              </w:t>
    </w:r>
    <w:r>
      <w:rPr>
        <w:rFonts w:hint="eastAsia" w:ascii="楷体" w:hAnsi="楷体" w:eastAsia="楷体"/>
      </w:rPr>
      <w:t xml:space="preserve"> 房地产估价报告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rFonts w:ascii="仿宋" w:hAnsi="仿宋" w:eastAsia="仿宋"/>
      </w:rPr>
    </w:pPr>
    <w:r>
      <w:rPr>
        <w:rFonts w:ascii="仿宋" w:hAnsi="仿宋" w:eastAsia="仿宋"/>
      </w:rPr>
      <w:drawing>
        <wp:inline distT="0" distB="0" distL="114300" distR="114300">
          <wp:extent cx="225425" cy="224155"/>
          <wp:effectExtent l="0" t="0" r="3175" b="4445"/>
          <wp:docPr id="8" name="Picture 3" descr="公司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公司LOGO－1"/>
                  <pic:cNvPicPr>
                    <a:picLocks noChangeAspect="1"/>
                  </pic:cNvPicPr>
                </pic:nvPicPr>
                <pic:blipFill>
                  <a:blip r:embed="rId1"/>
                  <a:stretch>
                    <a:fillRect/>
                  </a:stretch>
                </pic:blipFill>
                <pic:spPr>
                  <a:xfrm>
                    <a:off x="0" y="0"/>
                    <a:ext cx="225425" cy="224155"/>
                  </a:xfrm>
                  <a:prstGeom prst="rect">
                    <a:avLst/>
                  </a:prstGeom>
                  <a:noFill/>
                  <a:ln w="9525">
                    <a:noFill/>
                    <a:miter/>
                  </a:ln>
                </pic:spPr>
              </pic:pic>
            </a:graphicData>
          </a:graphic>
        </wp:inline>
      </w:drawing>
    </w:r>
    <w:r>
      <w:rPr>
        <w:rFonts w:hint="eastAsia" w:ascii="仿宋" w:hAnsi="仿宋" w:eastAsia="仿宋"/>
      </w:rPr>
      <w:t>贵州明志房地产估价经纪有限公司                                                房地产估价报告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仿宋" w:hAnsi="仿宋" w:eastAsia="仿宋"/>
      </w:rPr>
    </w:pPr>
    <w:r>
      <w:rPr>
        <w:rFonts w:ascii="仿宋" w:hAnsi="仿宋" w:eastAsia="仿宋"/>
      </w:rPr>
      <w:drawing>
        <wp:inline distT="0" distB="0" distL="114300" distR="114300">
          <wp:extent cx="225425" cy="224155"/>
          <wp:effectExtent l="0" t="0" r="3175" b="4445"/>
          <wp:docPr id="9" name="Picture 4" descr="公司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公司LOGO－1"/>
                  <pic:cNvPicPr>
                    <a:picLocks noChangeAspect="1"/>
                  </pic:cNvPicPr>
                </pic:nvPicPr>
                <pic:blipFill>
                  <a:blip r:embed="rId1"/>
                  <a:stretch>
                    <a:fillRect/>
                  </a:stretch>
                </pic:blipFill>
                <pic:spPr>
                  <a:xfrm>
                    <a:off x="0" y="0"/>
                    <a:ext cx="225425" cy="224155"/>
                  </a:xfrm>
                  <a:prstGeom prst="rect">
                    <a:avLst/>
                  </a:prstGeom>
                  <a:noFill/>
                  <a:ln w="9525">
                    <a:noFill/>
                    <a:miter/>
                  </a:ln>
                </pic:spPr>
              </pic:pic>
            </a:graphicData>
          </a:graphic>
        </wp:inline>
      </w:drawing>
    </w:r>
    <w:r>
      <w:rPr>
        <w:rFonts w:hint="eastAsia" w:ascii="仿宋" w:hAnsi="仿宋" w:eastAsia="仿宋"/>
      </w:rPr>
      <w:t>贵州明志房地产估价经纪有限公司                                                 房地产估价报告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4333F"/>
    <w:multiLevelType w:val="singleLevel"/>
    <w:tmpl w:val="8AE4333F"/>
    <w:lvl w:ilvl="0" w:tentative="0">
      <w:start w:val="4"/>
      <w:numFmt w:val="chineseCounting"/>
      <w:suff w:val="nothing"/>
      <w:lvlText w:val="（%1）"/>
      <w:lvlJc w:val="left"/>
      <w:rPr>
        <w:rFonts w:hint="eastAsia"/>
      </w:rPr>
    </w:lvl>
  </w:abstractNum>
  <w:abstractNum w:abstractNumId="1">
    <w:nsid w:val="0F9A0459"/>
    <w:multiLevelType w:val="singleLevel"/>
    <w:tmpl w:val="0F9A0459"/>
    <w:lvl w:ilvl="0" w:tentative="0">
      <w:start w:val="2"/>
      <w:numFmt w:val="decimal"/>
      <w:suff w:val="nothing"/>
      <w:lvlText w:val="（%1）"/>
      <w:lvlJc w:val="left"/>
    </w:lvl>
  </w:abstractNum>
  <w:abstractNum w:abstractNumId="2">
    <w:nsid w:val="5871C156"/>
    <w:multiLevelType w:val="singleLevel"/>
    <w:tmpl w:val="5871C156"/>
    <w:lvl w:ilvl="0" w:tentative="0">
      <w:start w:val="10"/>
      <w:numFmt w:val="chineseCounting"/>
      <w:suff w:val="nothing"/>
      <w:lvlText w:val="%1、"/>
      <w:lvlJc w:val="left"/>
    </w:lvl>
  </w:abstractNum>
  <w:abstractNum w:abstractNumId="3">
    <w:nsid w:val="5A588856"/>
    <w:multiLevelType w:val="singleLevel"/>
    <w:tmpl w:val="5A588856"/>
    <w:lvl w:ilvl="0" w:tentative="0">
      <w:start w:val="2"/>
      <w:numFmt w:val="decimal"/>
      <w:suff w:val="nothing"/>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useFELayout/>
    <w:doNotUseIndentAsNumberingTabStop/>
    <w:useAltKinsokuLineBreakRules/>
    <w:compatSetting w:name="compatibilityMode" w:uri="http://schemas.microsoft.com/office/word" w:val="12"/>
  </w:compat>
  <w:rsids>
    <w:rsidRoot w:val="71A47E7A"/>
    <w:rsid w:val="0000003E"/>
    <w:rsid w:val="00001D66"/>
    <w:rsid w:val="00001D8B"/>
    <w:rsid w:val="00003C5C"/>
    <w:rsid w:val="000040CE"/>
    <w:rsid w:val="00005E20"/>
    <w:rsid w:val="00007F38"/>
    <w:rsid w:val="00012812"/>
    <w:rsid w:val="000137F2"/>
    <w:rsid w:val="00013F8E"/>
    <w:rsid w:val="000158D0"/>
    <w:rsid w:val="0001759E"/>
    <w:rsid w:val="00020233"/>
    <w:rsid w:val="00020AA4"/>
    <w:rsid w:val="00025FEA"/>
    <w:rsid w:val="00032857"/>
    <w:rsid w:val="000412F4"/>
    <w:rsid w:val="000426DF"/>
    <w:rsid w:val="00042849"/>
    <w:rsid w:val="000465F2"/>
    <w:rsid w:val="0005164F"/>
    <w:rsid w:val="00060645"/>
    <w:rsid w:val="000636B3"/>
    <w:rsid w:val="00063DBA"/>
    <w:rsid w:val="000645B1"/>
    <w:rsid w:val="000665BC"/>
    <w:rsid w:val="00070F13"/>
    <w:rsid w:val="00073694"/>
    <w:rsid w:val="00075B4B"/>
    <w:rsid w:val="00076DA8"/>
    <w:rsid w:val="00081583"/>
    <w:rsid w:val="0008476B"/>
    <w:rsid w:val="00084ADA"/>
    <w:rsid w:val="00087B1A"/>
    <w:rsid w:val="00093B7D"/>
    <w:rsid w:val="000949D4"/>
    <w:rsid w:val="00096506"/>
    <w:rsid w:val="000B0F25"/>
    <w:rsid w:val="000B1BB7"/>
    <w:rsid w:val="000C323B"/>
    <w:rsid w:val="000C6466"/>
    <w:rsid w:val="000D2AA5"/>
    <w:rsid w:val="000E187A"/>
    <w:rsid w:val="000E1CA0"/>
    <w:rsid w:val="000E6DF9"/>
    <w:rsid w:val="000F0574"/>
    <w:rsid w:val="000F0661"/>
    <w:rsid w:val="000F1876"/>
    <w:rsid w:val="000F2ACE"/>
    <w:rsid w:val="000F40A3"/>
    <w:rsid w:val="000F6BDE"/>
    <w:rsid w:val="00100B21"/>
    <w:rsid w:val="0011019D"/>
    <w:rsid w:val="00111767"/>
    <w:rsid w:val="00111BA2"/>
    <w:rsid w:val="001123CA"/>
    <w:rsid w:val="00115A99"/>
    <w:rsid w:val="00117704"/>
    <w:rsid w:val="00120277"/>
    <w:rsid w:val="00120728"/>
    <w:rsid w:val="0012259D"/>
    <w:rsid w:val="0013715C"/>
    <w:rsid w:val="001411D8"/>
    <w:rsid w:val="00143583"/>
    <w:rsid w:val="00144864"/>
    <w:rsid w:val="0014571B"/>
    <w:rsid w:val="00147487"/>
    <w:rsid w:val="001502EF"/>
    <w:rsid w:val="001514E6"/>
    <w:rsid w:val="00153EB0"/>
    <w:rsid w:val="00154120"/>
    <w:rsid w:val="0016124B"/>
    <w:rsid w:val="00184B60"/>
    <w:rsid w:val="00192B5C"/>
    <w:rsid w:val="00193ED4"/>
    <w:rsid w:val="0019558F"/>
    <w:rsid w:val="00195AA4"/>
    <w:rsid w:val="00196857"/>
    <w:rsid w:val="001A2325"/>
    <w:rsid w:val="001B7DAE"/>
    <w:rsid w:val="001C75C4"/>
    <w:rsid w:val="001E09A9"/>
    <w:rsid w:val="001E2A79"/>
    <w:rsid w:val="001E345E"/>
    <w:rsid w:val="001E4BF2"/>
    <w:rsid w:val="001E5D08"/>
    <w:rsid w:val="001E6B2D"/>
    <w:rsid w:val="001F0703"/>
    <w:rsid w:val="001F6765"/>
    <w:rsid w:val="001F695B"/>
    <w:rsid w:val="001F6CF1"/>
    <w:rsid w:val="001F71C2"/>
    <w:rsid w:val="0020296E"/>
    <w:rsid w:val="00202FFD"/>
    <w:rsid w:val="002035FB"/>
    <w:rsid w:val="00206835"/>
    <w:rsid w:val="0022157C"/>
    <w:rsid w:val="00222A03"/>
    <w:rsid w:val="00234189"/>
    <w:rsid w:val="00237E5A"/>
    <w:rsid w:val="00242800"/>
    <w:rsid w:val="00247FF9"/>
    <w:rsid w:val="00250C37"/>
    <w:rsid w:val="00254DC2"/>
    <w:rsid w:val="00255E30"/>
    <w:rsid w:val="00263378"/>
    <w:rsid w:val="00270FB4"/>
    <w:rsid w:val="002714D0"/>
    <w:rsid w:val="00275528"/>
    <w:rsid w:val="00277D49"/>
    <w:rsid w:val="002808E9"/>
    <w:rsid w:val="0028361E"/>
    <w:rsid w:val="00284B3C"/>
    <w:rsid w:val="0028736C"/>
    <w:rsid w:val="00294467"/>
    <w:rsid w:val="00297525"/>
    <w:rsid w:val="002A04C1"/>
    <w:rsid w:val="002A3472"/>
    <w:rsid w:val="002A3BD6"/>
    <w:rsid w:val="002A493A"/>
    <w:rsid w:val="002B1651"/>
    <w:rsid w:val="002B5042"/>
    <w:rsid w:val="002C72BF"/>
    <w:rsid w:val="002D0FC0"/>
    <w:rsid w:val="002D50F9"/>
    <w:rsid w:val="002D5565"/>
    <w:rsid w:val="002D7BF2"/>
    <w:rsid w:val="002F0357"/>
    <w:rsid w:val="002F4483"/>
    <w:rsid w:val="0030051A"/>
    <w:rsid w:val="003018B4"/>
    <w:rsid w:val="0030690E"/>
    <w:rsid w:val="00313D31"/>
    <w:rsid w:val="00314CCB"/>
    <w:rsid w:val="00315A2E"/>
    <w:rsid w:val="003244C2"/>
    <w:rsid w:val="00325F74"/>
    <w:rsid w:val="0033285C"/>
    <w:rsid w:val="00337A33"/>
    <w:rsid w:val="0034072D"/>
    <w:rsid w:val="00343107"/>
    <w:rsid w:val="003432FE"/>
    <w:rsid w:val="00343452"/>
    <w:rsid w:val="00343DF7"/>
    <w:rsid w:val="00352C76"/>
    <w:rsid w:val="0035577D"/>
    <w:rsid w:val="00364495"/>
    <w:rsid w:val="0037101F"/>
    <w:rsid w:val="003746F1"/>
    <w:rsid w:val="003756EC"/>
    <w:rsid w:val="00375973"/>
    <w:rsid w:val="00377892"/>
    <w:rsid w:val="003802A4"/>
    <w:rsid w:val="00383126"/>
    <w:rsid w:val="00383E77"/>
    <w:rsid w:val="00391266"/>
    <w:rsid w:val="003963C3"/>
    <w:rsid w:val="00396D89"/>
    <w:rsid w:val="00397010"/>
    <w:rsid w:val="00397826"/>
    <w:rsid w:val="003A162C"/>
    <w:rsid w:val="003A1EE0"/>
    <w:rsid w:val="003A291E"/>
    <w:rsid w:val="003A346E"/>
    <w:rsid w:val="003A42D5"/>
    <w:rsid w:val="003B096D"/>
    <w:rsid w:val="003B528F"/>
    <w:rsid w:val="003B5D8E"/>
    <w:rsid w:val="003C29C4"/>
    <w:rsid w:val="003C6129"/>
    <w:rsid w:val="003C6FCE"/>
    <w:rsid w:val="003D03FD"/>
    <w:rsid w:val="003D0DBC"/>
    <w:rsid w:val="003D111D"/>
    <w:rsid w:val="003D7B4D"/>
    <w:rsid w:val="003E1A08"/>
    <w:rsid w:val="003E2014"/>
    <w:rsid w:val="003E28F9"/>
    <w:rsid w:val="003E3BB4"/>
    <w:rsid w:val="003E3C06"/>
    <w:rsid w:val="003E3F8D"/>
    <w:rsid w:val="003E5EAD"/>
    <w:rsid w:val="003E7018"/>
    <w:rsid w:val="003E7581"/>
    <w:rsid w:val="003F1E3A"/>
    <w:rsid w:val="003F43B1"/>
    <w:rsid w:val="0040672A"/>
    <w:rsid w:val="00407469"/>
    <w:rsid w:val="00407C97"/>
    <w:rsid w:val="00412405"/>
    <w:rsid w:val="00414085"/>
    <w:rsid w:val="00414E21"/>
    <w:rsid w:val="00415B6C"/>
    <w:rsid w:val="0041754B"/>
    <w:rsid w:val="00422F21"/>
    <w:rsid w:val="0043672B"/>
    <w:rsid w:val="0045532C"/>
    <w:rsid w:val="0045649F"/>
    <w:rsid w:val="0045673E"/>
    <w:rsid w:val="0045780B"/>
    <w:rsid w:val="004604DB"/>
    <w:rsid w:val="00466B6B"/>
    <w:rsid w:val="004676ED"/>
    <w:rsid w:val="00470E6D"/>
    <w:rsid w:val="00475665"/>
    <w:rsid w:val="00481A6E"/>
    <w:rsid w:val="00485DED"/>
    <w:rsid w:val="00491F34"/>
    <w:rsid w:val="004931D6"/>
    <w:rsid w:val="004932C1"/>
    <w:rsid w:val="00494747"/>
    <w:rsid w:val="00495EE9"/>
    <w:rsid w:val="0049761D"/>
    <w:rsid w:val="004979B5"/>
    <w:rsid w:val="004A0C60"/>
    <w:rsid w:val="004A33A0"/>
    <w:rsid w:val="004A4A92"/>
    <w:rsid w:val="004A6D4F"/>
    <w:rsid w:val="004B05ED"/>
    <w:rsid w:val="004B1489"/>
    <w:rsid w:val="004B56D1"/>
    <w:rsid w:val="004B5DE4"/>
    <w:rsid w:val="004B7D56"/>
    <w:rsid w:val="004C0011"/>
    <w:rsid w:val="004C0F05"/>
    <w:rsid w:val="004C2FEE"/>
    <w:rsid w:val="004C32FE"/>
    <w:rsid w:val="004C65C2"/>
    <w:rsid w:val="004D0676"/>
    <w:rsid w:val="004D0973"/>
    <w:rsid w:val="004D3027"/>
    <w:rsid w:val="004D56E4"/>
    <w:rsid w:val="004E102C"/>
    <w:rsid w:val="004E1EAF"/>
    <w:rsid w:val="004E2CF4"/>
    <w:rsid w:val="004E4F36"/>
    <w:rsid w:val="004F5FD0"/>
    <w:rsid w:val="00504396"/>
    <w:rsid w:val="00515472"/>
    <w:rsid w:val="00520C9F"/>
    <w:rsid w:val="005216FD"/>
    <w:rsid w:val="00521C6D"/>
    <w:rsid w:val="00524D88"/>
    <w:rsid w:val="00526A7F"/>
    <w:rsid w:val="005309B1"/>
    <w:rsid w:val="00534852"/>
    <w:rsid w:val="00537CEE"/>
    <w:rsid w:val="0054222F"/>
    <w:rsid w:val="00550386"/>
    <w:rsid w:val="00552A62"/>
    <w:rsid w:val="00556714"/>
    <w:rsid w:val="00560256"/>
    <w:rsid w:val="005618E5"/>
    <w:rsid w:val="005640D9"/>
    <w:rsid w:val="00567B3D"/>
    <w:rsid w:val="005717EC"/>
    <w:rsid w:val="005744A5"/>
    <w:rsid w:val="00582AF6"/>
    <w:rsid w:val="005900C2"/>
    <w:rsid w:val="005916D1"/>
    <w:rsid w:val="00593E87"/>
    <w:rsid w:val="005A040F"/>
    <w:rsid w:val="005A0E94"/>
    <w:rsid w:val="005A48BA"/>
    <w:rsid w:val="005B0DE9"/>
    <w:rsid w:val="005B10FA"/>
    <w:rsid w:val="005B1340"/>
    <w:rsid w:val="005B34C0"/>
    <w:rsid w:val="005B3AD2"/>
    <w:rsid w:val="005B3E22"/>
    <w:rsid w:val="005C35A5"/>
    <w:rsid w:val="005C3A2F"/>
    <w:rsid w:val="005C730D"/>
    <w:rsid w:val="005C7D10"/>
    <w:rsid w:val="005D3322"/>
    <w:rsid w:val="005E1365"/>
    <w:rsid w:val="005E6620"/>
    <w:rsid w:val="005E7691"/>
    <w:rsid w:val="005F5825"/>
    <w:rsid w:val="0060091B"/>
    <w:rsid w:val="006051CB"/>
    <w:rsid w:val="00606DC4"/>
    <w:rsid w:val="00607346"/>
    <w:rsid w:val="006145AD"/>
    <w:rsid w:val="006170E8"/>
    <w:rsid w:val="00625617"/>
    <w:rsid w:val="006271AA"/>
    <w:rsid w:val="00631B57"/>
    <w:rsid w:val="00635638"/>
    <w:rsid w:val="00642F1A"/>
    <w:rsid w:val="0064439E"/>
    <w:rsid w:val="006459DE"/>
    <w:rsid w:val="0065390A"/>
    <w:rsid w:val="006545B4"/>
    <w:rsid w:val="00663883"/>
    <w:rsid w:val="00665730"/>
    <w:rsid w:val="00665D8C"/>
    <w:rsid w:val="006661B4"/>
    <w:rsid w:val="006830FE"/>
    <w:rsid w:val="00683555"/>
    <w:rsid w:val="006901B5"/>
    <w:rsid w:val="00690257"/>
    <w:rsid w:val="0069309A"/>
    <w:rsid w:val="00694D68"/>
    <w:rsid w:val="006A0EBE"/>
    <w:rsid w:val="006A4612"/>
    <w:rsid w:val="006A5B33"/>
    <w:rsid w:val="006A62C9"/>
    <w:rsid w:val="006B1145"/>
    <w:rsid w:val="006B1A2D"/>
    <w:rsid w:val="006B5902"/>
    <w:rsid w:val="006B593A"/>
    <w:rsid w:val="006B6EFA"/>
    <w:rsid w:val="006C00D5"/>
    <w:rsid w:val="006C3A4C"/>
    <w:rsid w:val="006C4836"/>
    <w:rsid w:val="006C6535"/>
    <w:rsid w:val="006C6722"/>
    <w:rsid w:val="006C6F70"/>
    <w:rsid w:val="006D2758"/>
    <w:rsid w:val="006D35F0"/>
    <w:rsid w:val="006D7B61"/>
    <w:rsid w:val="006E193A"/>
    <w:rsid w:val="006F0C96"/>
    <w:rsid w:val="006F0FCA"/>
    <w:rsid w:val="006F2C17"/>
    <w:rsid w:val="006F553F"/>
    <w:rsid w:val="006F5C1B"/>
    <w:rsid w:val="006F6ACC"/>
    <w:rsid w:val="00702FB1"/>
    <w:rsid w:val="00703214"/>
    <w:rsid w:val="007050C7"/>
    <w:rsid w:val="00705CDD"/>
    <w:rsid w:val="007077E7"/>
    <w:rsid w:val="0071364C"/>
    <w:rsid w:val="00717309"/>
    <w:rsid w:val="00720D63"/>
    <w:rsid w:val="00727207"/>
    <w:rsid w:val="00730CD6"/>
    <w:rsid w:val="007312A1"/>
    <w:rsid w:val="007312B8"/>
    <w:rsid w:val="0073162E"/>
    <w:rsid w:val="007321FA"/>
    <w:rsid w:val="007336CF"/>
    <w:rsid w:val="007402C8"/>
    <w:rsid w:val="00756949"/>
    <w:rsid w:val="007612E5"/>
    <w:rsid w:val="00765C27"/>
    <w:rsid w:val="00771180"/>
    <w:rsid w:val="0077300E"/>
    <w:rsid w:val="0077430F"/>
    <w:rsid w:val="00781794"/>
    <w:rsid w:val="00790DCB"/>
    <w:rsid w:val="007966BF"/>
    <w:rsid w:val="007A49DA"/>
    <w:rsid w:val="007A6050"/>
    <w:rsid w:val="007A7A7F"/>
    <w:rsid w:val="007B1306"/>
    <w:rsid w:val="007C0627"/>
    <w:rsid w:val="007C4B90"/>
    <w:rsid w:val="007C5F00"/>
    <w:rsid w:val="007C5FB2"/>
    <w:rsid w:val="007D16F1"/>
    <w:rsid w:val="007D1832"/>
    <w:rsid w:val="007D1EA4"/>
    <w:rsid w:val="007D5254"/>
    <w:rsid w:val="007E34B9"/>
    <w:rsid w:val="007E4D3D"/>
    <w:rsid w:val="007F055C"/>
    <w:rsid w:val="007F61CF"/>
    <w:rsid w:val="00802CBA"/>
    <w:rsid w:val="00807AA4"/>
    <w:rsid w:val="00810E8B"/>
    <w:rsid w:val="00811179"/>
    <w:rsid w:val="00813445"/>
    <w:rsid w:val="00813B6F"/>
    <w:rsid w:val="0081412D"/>
    <w:rsid w:val="00815971"/>
    <w:rsid w:val="00820013"/>
    <w:rsid w:val="00825201"/>
    <w:rsid w:val="008261EA"/>
    <w:rsid w:val="00826931"/>
    <w:rsid w:val="008302E4"/>
    <w:rsid w:val="00831E69"/>
    <w:rsid w:val="00833568"/>
    <w:rsid w:val="00834DE4"/>
    <w:rsid w:val="00835FA4"/>
    <w:rsid w:val="00847E61"/>
    <w:rsid w:val="008505B0"/>
    <w:rsid w:val="00851DEC"/>
    <w:rsid w:val="0085340B"/>
    <w:rsid w:val="008541EC"/>
    <w:rsid w:val="00855EF3"/>
    <w:rsid w:val="00857DF1"/>
    <w:rsid w:val="008605FB"/>
    <w:rsid w:val="00867885"/>
    <w:rsid w:val="00871334"/>
    <w:rsid w:val="00874305"/>
    <w:rsid w:val="0087515B"/>
    <w:rsid w:val="00875F4B"/>
    <w:rsid w:val="00876175"/>
    <w:rsid w:val="008802FE"/>
    <w:rsid w:val="00880ED5"/>
    <w:rsid w:val="0088153A"/>
    <w:rsid w:val="00882B38"/>
    <w:rsid w:val="00883B85"/>
    <w:rsid w:val="0088403D"/>
    <w:rsid w:val="00885D2B"/>
    <w:rsid w:val="00890A80"/>
    <w:rsid w:val="008B1249"/>
    <w:rsid w:val="008B7834"/>
    <w:rsid w:val="008C425D"/>
    <w:rsid w:val="008C4463"/>
    <w:rsid w:val="008C7030"/>
    <w:rsid w:val="008C7DB6"/>
    <w:rsid w:val="008D124F"/>
    <w:rsid w:val="008D246A"/>
    <w:rsid w:val="008D30D5"/>
    <w:rsid w:val="008D7090"/>
    <w:rsid w:val="008F1C4D"/>
    <w:rsid w:val="008F2777"/>
    <w:rsid w:val="00900B3C"/>
    <w:rsid w:val="009011FC"/>
    <w:rsid w:val="009047B3"/>
    <w:rsid w:val="009108CD"/>
    <w:rsid w:val="0091146D"/>
    <w:rsid w:val="00911E35"/>
    <w:rsid w:val="009165DD"/>
    <w:rsid w:val="00917172"/>
    <w:rsid w:val="0092065A"/>
    <w:rsid w:val="0092318C"/>
    <w:rsid w:val="009232EB"/>
    <w:rsid w:val="00924B6D"/>
    <w:rsid w:val="00936B18"/>
    <w:rsid w:val="0094147A"/>
    <w:rsid w:val="00942590"/>
    <w:rsid w:val="00950A9E"/>
    <w:rsid w:val="00952C0E"/>
    <w:rsid w:val="0095342D"/>
    <w:rsid w:val="00971521"/>
    <w:rsid w:val="00971B6B"/>
    <w:rsid w:val="009732C6"/>
    <w:rsid w:val="00980572"/>
    <w:rsid w:val="00981A82"/>
    <w:rsid w:val="00983402"/>
    <w:rsid w:val="00993B1F"/>
    <w:rsid w:val="009960FE"/>
    <w:rsid w:val="00996BAA"/>
    <w:rsid w:val="009A10A6"/>
    <w:rsid w:val="009A13C0"/>
    <w:rsid w:val="009A166D"/>
    <w:rsid w:val="009B1046"/>
    <w:rsid w:val="009B49EC"/>
    <w:rsid w:val="009B4D45"/>
    <w:rsid w:val="009B63DE"/>
    <w:rsid w:val="009C17A6"/>
    <w:rsid w:val="009C4D98"/>
    <w:rsid w:val="009D171F"/>
    <w:rsid w:val="009D4549"/>
    <w:rsid w:val="009D561A"/>
    <w:rsid w:val="009D761D"/>
    <w:rsid w:val="009E2932"/>
    <w:rsid w:val="009E6BBD"/>
    <w:rsid w:val="009F10B9"/>
    <w:rsid w:val="009F1CFD"/>
    <w:rsid w:val="009F2D7C"/>
    <w:rsid w:val="00A01509"/>
    <w:rsid w:val="00A04A42"/>
    <w:rsid w:val="00A25896"/>
    <w:rsid w:val="00A27021"/>
    <w:rsid w:val="00A32FBA"/>
    <w:rsid w:val="00A34760"/>
    <w:rsid w:val="00A357AA"/>
    <w:rsid w:val="00A35AF4"/>
    <w:rsid w:val="00A36374"/>
    <w:rsid w:val="00A4175A"/>
    <w:rsid w:val="00A463D0"/>
    <w:rsid w:val="00A546A7"/>
    <w:rsid w:val="00A554C6"/>
    <w:rsid w:val="00A555D4"/>
    <w:rsid w:val="00A57F5B"/>
    <w:rsid w:val="00A60AC6"/>
    <w:rsid w:val="00A61098"/>
    <w:rsid w:val="00A63B96"/>
    <w:rsid w:val="00A70B32"/>
    <w:rsid w:val="00A72D0F"/>
    <w:rsid w:val="00A76FDA"/>
    <w:rsid w:val="00A8507C"/>
    <w:rsid w:val="00A85774"/>
    <w:rsid w:val="00A90EC6"/>
    <w:rsid w:val="00A91781"/>
    <w:rsid w:val="00A94395"/>
    <w:rsid w:val="00A94E4C"/>
    <w:rsid w:val="00A94F89"/>
    <w:rsid w:val="00A977E6"/>
    <w:rsid w:val="00AA007F"/>
    <w:rsid w:val="00AA2393"/>
    <w:rsid w:val="00AA6FC8"/>
    <w:rsid w:val="00AB1596"/>
    <w:rsid w:val="00AB1FE0"/>
    <w:rsid w:val="00AB2D40"/>
    <w:rsid w:val="00AB4C4E"/>
    <w:rsid w:val="00AC1A5B"/>
    <w:rsid w:val="00AC1C95"/>
    <w:rsid w:val="00AC3B45"/>
    <w:rsid w:val="00AC7E10"/>
    <w:rsid w:val="00AD020B"/>
    <w:rsid w:val="00AD146A"/>
    <w:rsid w:val="00AD1EC7"/>
    <w:rsid w:val="00AD2321"/>
    <w:rsid w:val="00AD2C03"/>
    <w:rsid w:val="00AD3B26"/>
    <w:rsid w:val="00AD46FC"/>
    <w:rsid w:val="00AD56E8"/>
    <w:rsid w:val="00AD780F"/>
    <w:rsid w:val="00AE00E6"/>
    <w:rsid w:val="00AE47B2"/>
    <w:rsid w:val="00AF0656"/>
    <w:rsid w:val="00AF222D"/>
    <w:rsid w:val="00AF2CD5"/>
    <w:rsid w:val="00AF7FF1"/>
    <w:rsid w:val="00B040DD"/>
    <w:rsid w:val="00B060C3"/>
    <w:rsid w:val="00B066D8"/>
    <w:rsid w:val="00B06B06"/>
    <w:rsid w:val="00B06B0C"/>
    <w:rsid w:val="00B06F56"/>
    <w:rsid w:val="00B07A61"/>
    <w:rsid w:val="00B10C7E"/>
    <w:rsid w:val="00B13803"/>
    <w:rsid w:val="00B16B7B"/>
    <w:rsid w:val="00B23DF0"/>
    <w:rsid w:val="00B352AA"/>
    <w:rsid w:val="00B35FD0"/>
    <w:rsid w:val="00B37B33"/>
    <w:rsid w:val="00B44DC4"/>
    <w:rsid w:val="00B44EC0"/>
    <w:rsid w:val="00B4570A"/>
    <w:rsid w:val="00B544FD"/>
    <w:rsid w:val="00B54D1C"/>
    <w:rsid w:val="00B57B08"/>
    <w:rsid w:val="00B609AD"/>
    <w:rsid w:val="00B60B42"/>
    <w:rsid w:val="00B61724"/>
    <w:rsid w:val="00B61E30"/>
    <w:rsid w:val="00B63FD6"/>
    <w:rsid w:val="00B66D9D"/>
    <w:rsid w:val="00B70CB3"/>
    <w:rsid w:val="00B736E9"/>
    <w:rsid w:val="00B754CA"/>
    <w:rsid w:val="00B82D9F"/>
    <w:rsid w:val="00B84C97"/>
    <w:rsid w:val="00B85488"/>
    <w:rsid w:val="00B91CF4"/>
    <w:rsid w:val="00B91ED5"/>
    <w:rsid w:val="00B92A29"/>
    <w:rsid w:val="00BA68D6"/>
    <w:rsid w:val="00BB1C9F"/>
    <w:rsid w:val="00BB29E9"/>
    <w:rsid w:val="00BC570E"/>
    <w:rsid w:val="00BC5BCE"/>
    <w:rsid w:val="00BD05AA"/>
    <w:rsid w:val="00BD1659"/>
    <w:rsid w:val="00BD1F09"/>
    <w:rsid w:val="00BD39ED"/>
    <w:rsid w:val="00BE6BC4"/>
    <w:rsid w:val="00BE6C10"/>
    <w:rsid w:val="00BF0612"/>
    <w:rsid w:val="00BF1BB1"/>
    <w:rsid w:val="00BF2CB8"/>
    <w:rsid w:val="00BF3F47"/>
    <w:rsid w:val="00BF4CF9"/>
    <w:rsid w:val="00BF7EF6"/>
    <w:rsid w:val="00BF7F57"/>
    <w:rsid w:val="00C01024"/>
    <w:rsid w:val="00C042C3"/>
    <w:rsid w:val="00C06C59"/>
    <w:rsid w:val="00C06D17"/>
    <w:rsid w:val="00C07F1A"/>
    <w:rsid w:val="00C13290"/>
    <w:rsid w:val="00C14095"/>
    <w:rsid w:val="00C14E9E"/>
    <w:rsid w:val="00C15288"/>
    <w:rsid w:val="00C1581C"/>
    <w:rsid w:val="00C20780"/>
    <w:rsid w:val="00C20B44"/>
    <w:rsid w:val="00C228AC"/>
    <w:rsid w:val="00C31248"/>
    <w:rsid w:val="00C33199"/>
    <w:rsid w:val="00C33DD9"/>
    <w:rsid w:val="00C45B20"/>
    <w:rsid w:val="00C46B98"/>
    <w:rsid w:val="00C4789F"/>
    <w:rsid w:val="00C5012A"/>
    <w:rsid w:val="00C56540"/>
    <w:rsid w:val="00C57094"/>
    <w:rsid w:val="00C612A1"/>
    <w:rsid w:val="00C65731"/>
    <w:rsid w:val="00C673DB"/>
    <w:rsid w:val="00C74A80"/>
    <w:rsid w:val="00C7750F"/>
    <w:rsid w:val="00C837B6"/>
    <w:rsid w:val="00C83D0E"/>
    <w:rsid w:val="00C92259"/>
    <w:rsid w:val="00C95412"/>
    <w:rsid w:val="00CA1BA4"/>
    <w:rsid w:val="00CA420E"/>
    <w:rsid w:val="00CA5131"/>
    <w:rsid w:val="00CB5578"/>
    <w:rsid w:val="00CB6383"/>
    <w:rsid w:val="00CB6526"/>
    <w:rsid w:val="00CC542C"/>
    <w:rsid w:val="00CC616D"/>
    <w:rsid w:val="00CD0A58"/>
    <w:rsid w:val="00CE2D12"/>
    <w:rsid w:val="00CF276B"/>
    <w:rsid w:val="00D01436"/>
    <w:rsid w:val="00D02BD4"/>
    <w:rsid w:val="00D05653"/>
    <w:rsid w:val="00D057D6"/>
    <w:rsid w:val="00D115CD"/>
    <w:rsid w:val="00D1421D"/>
    <w:rsid w:val="00D14C45"/>
    <w:rsid w:val="00D15B13"/>
    <w:rsid w:val="00D1727B"/>
    <w:rsid w:val="00D245E6"/>
    <w:rsid w:val="00D26A04"/>
    <w:rsid w:val="00D30DFE"/>
    <w:rsid w:val="00D320FF"/>
    <w:rsid w:val="00D34622"/>
    <w:rsid w:val="00D36879"/>
    <w:rsid w:val="00D40630"/>
    <w:rsid w:val="00D46B66"/>
    <w:rsid w:val="00D54C83"/>
    <w:rsid w:val="00D551A7"/>
    <w:rsid w:val="00D57B97"/>
    <w:rsid w:val="00D64E93"/>
    <w:rsid w:val="00D66000"/>
    <w:rsid w:val="00D8169C"/>
    <w:rsid w:val="00D823C9"/>
    <w:rsid w:val="00D84C10"/>
    <w:rsid w:val="00D85795"/>
    <w:rsid w:val="00D85C99"/>
    <w:rsid w:val="00D94003"/>
    <w:rsid w:val="00DA1A26"/>
    <w:rsid w:val="00DA234A"/>
    <w:rsid w:val="00DA7E26"/>
    <w:rsid w:val="00DB0A9D"/>
    <w:rsid w:val="00DB3F42"/>
    <w:rsid w:val="00DB62FA"/>
    <w:rsid w:val="00DB72F4"/>
    <w:rsid w:val="00DC0C46"/>
    <w:rsid w:val="00DC775E"/>
    <w:rsid w:val="00DD3DF3"/>
    <w:rsid w:val="00DE3C60"/>
    <w:rsid w:val="00DE44D3"/>
    <w:rsid w:val="00DE4623"/>
    <w:rsid w:val="00DE4EDE"/>
    <w:rsid w:val="00DF24C8"/>
    <w:rsid w:val="00E01974"/>
    <w:rsid w:val="00E069C6"/>
    <w:rsid w:val="00E15790"/>
    <w:rsid w:val="00E2195B"/>
    <w:rsid w:val="00E22412"/>
    <w:rsid w:val="00E22A41"/>
    <w:rsid w:val="00E24D17"/>
    <w:rsid w:val="00E26493"/>
    <w:rsid w:val="00E2671C"/>
    <w:rsid w:val="00E33274"/>
    <w:rsid w:val="00E349A4"/>
    <w:rsid w:val="00E40A29"/>
    <w:rsid w:val="00E44C4E"/>
    <w:rsid w:val="00E510B8"/>
    <w:rsid w:val="00E51E4F"/>
    <w:rsid w:val="00E5242A"/>
    <w:rsid w:val="00E567C7"/>
    <w:rsid w:val="00E61223"/>
    <w:rsid w:val="00E62B9D"/>
    <w:rsid w:val="00E6368A"/>
    <w:rsid w:val="00E64075"/>
    <w:rsid w:val="00E67546"/>
    <w:rsid w:val="00E67694"/>
    <w:rsid w:val="00E6782C"/>
    <w:rsid w:val="00E72EB8"/>
    <w:rsid w:val="00E85C48"/>
    <w:rsid w:val="00E86645"/>
    <w:rsid w:val="00E95BDE"/>
    <w:rsid w:val="00EA5AE1"/>
    <w:rsid w:val="00EB4D5D"/>
    <w:rsid w:val="00EB6228"/>
    <w:rsid w:val="00EC10D6"/>
    <w:rsid w:val="00EC1549"/>
    <w:rsid w:val="00EE4929"/>
    <w:rsid w:val="00EE4A76"/>
    <w:rsid w:val="00EE5050"/>
    <w:rsid w:val="00EF0EF7"/>
    <w:rsid w:val="00EF1290"/>
    <w:rsid w:val="00EF6BA2"/>
    <w:rsid w:val="00F02994"/>
    <w:rsid w:val="00F06489"/>
    <w:rsid w:val="00F117B0"/>
    <w:rsid w:val="00F13C62"/>
    <w:rsid w:val="00F227AA"/>
    <w:rsid w:val="00F25F42"/>
    <w:rsid w:val="00F437E9"/>
    <w:rsid w:val="00F529CA"/>
    <w:rsid w:val="00F75C72"/>
    <w:rsid w:val="00F82EEA"/>
    <w:rsid w:val="00F87018"/>
    <w:rsid w:val="00F97A0E"/>
    <w:rsid w:val="00FA29B8"/>
    <w:rsid w:val="00FA2E9C"/>
    <w:rsid w:val="00FA7248"/>
    <w:rsid w:val="00FB4DFF"/>
    <w:rsid w:val="00FC05AA"/>
    <w:rsid w:val="00FC11EC"/>
    <w:rsid w:val="00FC382E"/>
    <w:rsid w:val="00FC4EFA"/>
    <w:rsid w:val="00FC6879"/>
    <w:rsid w:val="00FC78C7"/>
    <w:rsid w:val="00FD0CAC"/>
    <w:rsid w:val="00FE25BD"/>
    <w:rsid w:val="00FE4D9A"/>
    <w:rsid w:val="00FF14BC"/>
    <w:rsid w:val="00FF1FE6"/>
    <w:rsid w:val="00FF37F4"/>
    <w:rsid w:val="00FF4571"/>
    <w:rsid w:val="00FF514E"/>
    <w:rsid w:val="00FF7838"/>
    <w:rsid w:val="00FF7A86"/>
    <w:rsid w:val="01DF0574"/>
    <w:rsid w:val="01EE082F"/>
    <w:rsid w:val="05DF5EB4"/>
    <w:rsid w:val="062D433B"/>
    <w:rsid w:val="064814F9"/>
    <w:rsid w:val="066D6229"/>
    <w:rsid w:val="085D4048"/>
    <w:rsid w:val="09BE3597"/>
    <w:rsid w:val="0BC40680"/>
    <w:rsid w:val="0CA14E02"/>
    <w:rsid w:val="0EF8313E"/>
    <w:rsid w:val="0F292DAA"/>
    <w:rsid w:val="100D225C"/>
    <w:rsid w:val="1170076B"/>
    <w:rsid w:val="119A6079"/>
    <w:rsid w:val="11E407D8"/>
    <w:rsid w:val="12271324"/>
    <w:rsid w:val="1244129B"/>
    <w:rsid w:val="12A63CA4"/>
    <w:rsid w:val="13D93258"/>
    <w:rsid w:val="14674086"/>
    <w:rsid w:val="15B05A44"/>
    <w:rsid w:val="15C0283D"/>
    <w:rsid w:val="16773CD8"/>
    <w:rsid w:val="16996995"/>
    <w:rsid w:val="18025938"/>
    <w:rsid w:val="180E4754"/>
    <w:rsid w:val="18A85BEA"/>
    <w:rsid w:val="192533AE"/>
    <w:rsid w:val="1A1C1746"/>
    <w:rsid w:val="1B6B6B3D"/>
    <w:rsid w:val="1C8A608D"/>
    <w:rsid w:val="1F980FF8"/>
    <w:rsid w:val="1FB357B6"/>
    <w:rsid w:val="200F6603"/>
    <w:rsid w:val="2113721A"/>
    <w:rsid w:val="21CB652F"/>
    <w:rsid w:val="224B4114"/>
    <w:rsid w:val="230A2A20"/>
    <w:rsid w:val="23501D9D"/>
    <w:rsid w:val="259206FB"/>
    <w:rsid w:val="25DC6023"/>
    <w:rsid w:val="275C0407"/>
    <w:rsid w:val="27B94597"/>
    <w:rsid w:val="27F74F76"/>
    <w:rsid w:val="28682F3D"/>
    <w:rsid w:val="292F0965"/>
    <w:rsid w:val="29CA0B24"/>
    <w:rsid w:val="2A310B82"/>
    <w:rsid w:val="2B490A33"/>
    <w:rsid w:val="2C331E05"/>
    <w:rsid w:val="2C8F13FD"/>
    <w:rsid w:val="2E22606D"/>
    <w:rsid w:val="2E417F79"/>
    <w:rsid w:val="2EA66B40"/>
    <w:rsid w:val="2EF95645"/>
    <w:rsid w:val="2F6F187E"/>
    <w:rsid w:val="30CB6E3E"/>
    <w:rsid w:val="31994E33"/>
    <w:rsid w:val="31A866BD"/>
    <w:rsid w:val="31B36C73"/>
    <w:rsid w:val="31D66F1D"/>
    <w:rsid w:val="31DF4EF7"/>
    <w:rsid w:val="320D25FA"/>
    <w:rsid w:val="33853C5E"/>
    <w:rsid w:val="340E19BE"/>
    <w:rsid w:val="35300E0A"/>
    <w:rsid w:val="367D2E3E"/>
    <w:rsid w:val="36982160"/>
    <w:rsid w:val="36A80385"/>
    <w:rsid w:val="36EA6F59"/>
    <w:rsid w:val="3A095926"/>
    <w:rsid w:val="3ABA2F25"/>
    <w:rsid w:val="3ADA5C64"/>
    <w:rsid w:val="3B2C168B"/>
    <w:rsid w:val="3B2F4944"/>
    <w:rsid w:val="3B3E6F08"/>
    <w:rsid w:val="3BE31764"/>
    <w:rsid w:val="3CE3183B"/>
    <w:rsid w:val="3D307D7D"/>
    <w:rsid w:val="40617448"/>
    <w:rsid w:val="41876D95"/>
    <w:rsid w:val="42513B24"/>
    <w:rsid w:val="43B82E1E"/>
    <w:rsid w:val="44D23096"/>
    <w:rsid w:val="454C740B"/>
    <w:rsid w:val="46312E22"/>
    <w:rsid w:val="468A1B05"/>
    <w:rsid w:val="47915802"/>
    <w:rsid w:val="47A137E1"/>
    <w:rsid w:val="485E72CB"/>
    <w:rsid w:val="49027C78"/>
    <w:rsid w:val="49A051DD"/>
    <w:rsid w:val="4A2F657B"/>
    <w:rsid w:val="4C421D93"/>
    <w:rsid w:val="4CB56488"/>
    <w:rsid w:val="4DCC46B1"/>
    <w:rsid w:val="4F5D5E10"/>
    <w:rsid w:val="5060696B"/>
    <w:rsid w:val="5202343C"/>
    <w:rsid w:val="5279608F"/>
    <w:rsid w:val="533B3F37"/>
    <w:rsid w:val="536F12AA"/>
    <w:rsid w:val="54706136"/>
    <w:rsid w:val="54A964B8"/>
    <w:rsid w:val="55143001"/>
    <w:rsid w:val="55E53FE0"/>
    <w:rsid w:val="570A4945"/>
    <w:rsid w:val="58A545FC"/>
    <w:rsid w:val="59262EFE"/>
    <w:rsid w:val="59602ADC"/>
    <w:rsid w:val="5AB94E4F"/>
    <w:rsid w:val="5ABB219C"/>
    <w:rsid w:val="5B667C76"/>
    <w:rsid w:val="5B826C67"/>
    <w:rsid w:val="5B837E0F"/>
    <w:rsid w:val="5C5077EC"/>
    <w:rsid w:val="5C8C534C"/>
    <w:rsid w:val="5CF5413E"/>
    <w:rsid w:val="5D516DF8"/>
    <w:rsid w:val="5E940F4C"/>
    <w:rsid w:val="5F1F3FE1"/>
    <w:rsid w:val="5F382EA4"/>
    <w:rsid w:val="5F7506AD"/>
    <w:rsid w:val="5FD0338A"/>
    <w:rsid w:val="60503300"/>
    <w:rsid w:val="611F6051"/>
    <w:rsid w:val="61270B1E"/>
    <w:rsid w:val="6299378F"/>
    <w:rsid w:val="638275BF"/>
    <w:rsid w:val="63DD326B"/>
    <w:rsid w:val="645B1E05"/>
    <w:rsid w:val="648714AD"/>
    <w:rsid w:val="655052BD"/>
    <w:rsid w:val="65AB0A5E"/>
    <w:rsid w:val="664B2705"/>
    <w:rsid w:val="67746A18"/>
    <w:rsid w:val="678C07D2"/>
    <w:rsid w:val="67D16AB7"/>
    <w:rsid w:val="687C6A7B"/>
    <w:rsid w:val="6A552505"/>
    <w:rsid w:val="6B9E0A8F"/>
    <w:rsid w:val="6BC93FE5"/>
    <w:rsid w:val="6C7B240C"/>
    <w:rsid w:val="6D6179B2"/>
    <w:rsid w:val="6E1922EB"/>
    <w:rsid w:val="6E2A3C2B"/>
    <w:rsid w:val="6E702077"/>
    <w:rsid w:val="6F12492B"/>
    <w:rsid w:val="6F770477"/>
    <w:rsid w:val="6FBC7E65"/>
    <w:rsid w:val="70F14448"/>
    <w:rsid w:val="71A47E7A"/>
    <w:rsid w:val="71C42BE9"/>
    <w:rsid w:val="71DD6AD3"/>
    <w:rsid w:val="72223568"/>
    <w:rsid w:val="724D72F1"/>
    <w:rsid w:val="73097F18"/>
    <w:rsid w:val="73413F59"/>
    <w:rsid w:val="737F4D55"/>
    <w:rsid w:val="73D96C78"/>
    <w:rsid w:val="75B31BB6"/>
    <w:rsid w:val="77956EE0"/>
    <w:rsid w:val="77F17831"/>
    <w:rsid w:val="7B740522"/>
    <w:rsid w:val="7BB75413"/>
    <w:rsid w:val="7BC7047B"/>
    <w:rsid w:val="7C003296"/>
    <w:rsid w:val="7C6E1CAE"/>
    <w:rsid w:val="7CC81AA3"/>
    <w:rsid w:val="7D8D519A"/>
    <w:rsid w:val="7D964D01"/>
    <w:rsid w:val="7D9C78F8"/>
    <w:rsid w:val="7DCE1BA2"/>
    <w:rsid w:val="7DE57114"/>
    <w:rsid w:val="7E331FE5"/>
    <w:rsid w:val="7EE42C42"/>
    <w:rsid w:val="7F8C64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startarrow="block" endarrow="block"/>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7">
    <w:name w:val="table of authorities"/>
    <w:basedOn w:val="1"/>
    <w:next w:val="1"/>
    <w:semiHidden/>
    <w:qFormat/>
    <w:uiPriority w:val="0"/>
    <w:pPr>
      <w:ind w:left="420" w:leftChars="200"/>
    </w:pPr>
  </w:style>
  <w:style w:type="paragraph" w:styleId="8">
    <w:name w:val="annotation text"/>
    <w:basedOn w:val="1"/>
    <w:link w:val="73"/>
    <w:qFormat/>
    <w:uiPriority w:val="99"/>
  </w:style>
  <w:style w:type="paragraph" w:styleId="9">
    <w:name w:val="Body Text"/>
    <w:basedOn w:val="1"/>
    <w:qFormat/>
    <w:uiPriority w:val="0"/>
    <w:pPr>
      <w:jc w:val="left"/>
    </w:pPr>
    <w:rPr>
      <w:sz w:val="28"/>
    </w:rPr>
  </w:style>
  <w:style w:type="paragraph" w:styleId="10">
    <w:name w:val="Body Text Indent"/>
    <w:basedOn w:val="1"/>
    <w:link w:val="72"/>
    <w:qFormat/>
    <w:uiPriority w:val="0"/>
    <w:pPr>
      <w:spacing w:line="360" w:lineRule="auto"/>
      <w:ind w:right="-334" w:rightChars="-159" w:firstLine="540" w:firstLineChars="225"/>
      <w:jc w:val="left"/>
    </w:pPr>
    <w:rPr>
      <w:rFonts w:ascii="宋体" w:hAnsi="宋体"/>
      <w:sz w:val="24"/>
    </w:rPr>
  </w:style>
  <w:style w:type="paragraph" w:styleId="11">
    <w:name w:val="Block Text"/>
    <w:basedOn w:val="1"/>
    <w:qFormat/>
    <w:uiPriority w:val="0"/>
    <w:pPr>
      <w:spacing w:line="360" w:lineRule="auto"/>
      <w:ind w:left="178" w:leftChars="85" w:right="-334" w:rightChars="-159" w:firstLine="540" w:firstLineChars="225"/>
      <w:jc w:val="left"/>
    </w:pPr>
    <w:rPr>
      <w:rFonts w:ascii="宋体" w:hAnsi="宋体"/>
      <w:sz w:val="24"/>
    </w:rPr>
  </w:style>
  <w:style w:type="paragraph" w:styleId="12">
    <w:name w:val="toc 3"/>
    <w:basedOn w:val="1"/>
    <w:next w:val="1"/>
    <w:qFormat/>
    <w:uiPriority w:val="39"/>
    <w:pPr>
      <w:ind w:left="840" w:leftChars="400"/>
    </w:pPr>
  </w:style>
  <w:style w:type="paragraph" w:styleId="13">
    <w:name w:val="Plain Text"/>
    <w:basedOn w:val="1"/>
    <w:qFormat/>
    <w:uiPriority w:val="0"/>
    <w:rPr>
      <w:rFonts w:ascii="宋体" w:hAnsi="Courier New"/>
    </w:rPr>
  </w:style>
  <w:style w:type="paragraph" w:styleId="14">
    <w:name w:val="Date"/>
    <w:basedOn w:val="1"/>
    <w:next w:val="1"/>
    <w:qFormat/>
    <w:uiPriority w:val="0"/>
    <w:pPr>
      <w:ind w:left="100" w:leftChars="2500"/>
    </w:pPr>
    <w:rPr>
      <w:rFonts w:ascii="宋体" w:hAnsi="宋体"/>
      <w:sz w:val="24"/>
    </w:rPr>
  </w:style>
  <w:style w:type="paragraph" w:styleId="15">
    <w:name w:val="Body Text Indent 2"/>
    <w:basedOn w:val="1"/>
    <w:link w:val="70"/>
    <w:qFormat/>
    <w:uiPriority w:val="0"/>
    <w:pPr>
      <w:spacing w:line="360" w:lineRule="auto"/>
      <w:ind w:firstLine="540" w:firstLineChars="225"/>
      <w:jc w:val="left"/>
    </w:pPr>
    <w:rPr>
      <w:rFonts w:ascii="宋体" w:hAnsi="宋体"/>
      <w:sz w:val="24"/>
    </w:rPr>
  </w:style>
  <w:style w:type="paragraph" w:styleId="16">
    <w:name w:val="Balloon Text"/>
    <w:basedOn w:val="1"/>
    <w:link w:val="68"/>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semiHidden/>
    <w:qFormat/>
    <w:uiPriority w:val="0"/>
  </w:style>
  <w:style w:type="paragraph" w:styleId="20">
    <w:name w:val="Body Text Indent 3"/>
    <w:basedOn w:val="1"/>
    <w:qFormat/>
    <w:uiPriority w:val="0"/>
    <w:pPr>
      <w:spacing w:line="480" w:lineRule="auto"/>
      <w:ind w:firstLine="482"/>
      <w:jc w:val="left"/>
    </w:pPr>
    <w:rPr>
      <w:rFonts w:ascii="幼圆" w:hAnsi="宋体" w:eastAsia="幼圆"/>
      <w:b/>
      <w:sz w:val="24"/>
    </w:rPr>
  </w:style>
  <w:style w:type="paragraph" w:styleId="21">
    <w:name w:val="toc 2"/>
    <w:basedOn w:val="1"/>
    <w:next w:val="1"/>
    <w:qFormat/>
    <w:uiPriority w:val="39"/>
    <w:pPr>
      <w:ind w:left="420" w:leftChars="200"/>
    </w:p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3">
    <w:name w:val="annotation subject"/>
    <w:basedOn w:val="8"/>
    <w:next w:val="8"/>
    <w:link w:val="74"/>
    <w:qFormat/>
    <w:uiPriority w:val="0"/>
    <w:pPr>
      <w:jc w:val="left"/>
    </w:pPr>
    <w:rPr>
      <w:b/>
      <w:bCs/>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qFormat/>
    <w:uiPriority w:val="0"/>
  </w:style>
  <w:style w:type="character" w:styleId="28">
    <w:name w:val="Emphasis"/>
    <w:basedOn w:val="26"/>
    <w:qFormat/>
    <w:uiPriority w:val="0"/>
    <w:rPr>
      <w:i/>
    </w:rPr>
  </w:style>
  <w:style w:type="character" w:styleId="29">
    <w:name w:val="Hyperlink"/>
    <w:basedOn w:val="26"/>
    <w:qFormat/>
    <w:uiPriority w:val="0"/>
    <w:rPr>
      <w:color w:val="0000FF"/>
      <w:u w:val="single"/>
    </w:rPr>
  </w:style>
  <w:style w:type="character" w:styleId="30">
    <w:name w:val="annotation reference"/>
    <w:basedOn w:val="26"/>
    <w:qFormat/>
    <w:uiPriority w:val="0"/>
    <w:rPr>
      <w:sz w:val="21"/>
      <w:szCs w:val="21"/>
    </w:rPr>
  </w:style>
  <w:style w:type="character" w:styleId="31">
    <w:name w:val="footnote reference"/>
    <w:basedOn w:val="26"/>
    <w:semiHidden/>
    <w:qFormat/>
    <w:uiPriority w:val="0"/>
    <w:rPr>
      <w:rFonts w:ascii="宋体"/>
      <w:position w:val="6"/>
      <w:sz w:val="18"/>
      <w:szCs w:val="18"/>
    </w:rPr>
  </w:style>
  <w:style w:type="paragraph" w:customStyle="1" w:styleId="32">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int="eastAsia" w:ascii="幼圆" w:hAnsi="Arial Unicode MS" w:eastAsia="幼圆" w:cs="Arial Unicode MS"/>
      <w:kern w:val="0"/>
      <w:szCs w:val="21"/>
    </w:rPr>
  </w:style>
  <w:style w:type="paragraph" w:customStyle="1" w:styleId="33">
    <w:name w:val="xl4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top"/>
    </w:pPr>
    <w:rPr>
      <w:rFonts w:eastAsia="Arial Unicode MS"/>
      <w:kern w:val="0"/>
      <w:szCs w:val="21"/>
    </w:rPr>
  </w:style>
  <w:style w:type="paragraph" w:customStyle="1" w:styleId="34">
    <w:name w:val="xl3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hint="eastAsia" w:ascii="幼圆" w:hAnsi="Arial Unicode MS" w:eastAsia="幼圆" w:cs="Arial Unicode MS"/>
      <w:kern w:val="0"/>
      <w:szCs w:val="21"/>
    </w:rPr>
  </w:style>
  <w:style w:type="paragraph" w:customStyle="1" w:styleId="35">
    <w:name w:val="xl42"/>
    <w:basedOn w:val="1"/>
    <w:qFormat/>
    <w:uiPriority w:val="0"/>
    <w:pPr>
      <w:widowControl/>
      <w:pBdr>
        <w:left w:val="single" w:color="auto" w:sz="4" w:space="0"/>
        <w:right w:val="single" w:color="auto" w:sz="4" w:space="0"/>
      </w:pBdr>
      <w:spacing w:before="100" w:beforeAutospacing="1" w:after="100" w:afterAutospacing="1"/>
      <w:jc w:val="center"/>
      <w:textAlignment w:val="top"/>
    </w:pPr>
    <w:rPr>
      <w:rFonts w:hint="eastAsia" w:ascii="幼圆" w:hAnsi="Arial Unicode MS" w:eastAsia="幼圆" w:cs="Arial Unicode MS"/>
      <w:kern w:val="0"/>
      <w:szCs w:val="21"/>
    </w:rPr>
  </w:style>
  <w:style w:type="paragraph" w:customStyle="1" w:styleId="36">
    <w:name w:val="font5"/>
    <w:basedOn w:val="1"/>
    <w:qFormat/>
    <w:uiPriority w:val="0"/>
    <w:pPr>
      <w:widowControl/>
      <w:spacing w:before="100" w:beforeAutospacing="1" w:after="100" w:afterAutospacing="1"/>
      <w:jc w:val="left"/>
    </w:pPr>
    <w:rPr>
      <w:rFonts w:eastAsia="Arial Unicode MS"/>
      <w:kern w:val="0"/>
      <w:szCs w:val="21"/>
    </w:rPr>
  </w:style>
  <w:style w:type="paragraph" w:customStyle="1" w:styleId="37">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top"/>
    </w:pPr>
    <w:rPr>
      <w:rFonts w:hint="eastAsia" w:ascii="幼圆" w:hAnsi="Arial Unicode MS" w:eastAsia="幼圆" w:cs="Arial Unicode MS"/>
      <w:kern w:val="0"/>
      <w:szCs w:val="21"/>
    </w:rPr>
  </w:style>
  <w:style w:type="paragraph" w:customStyle="1" w:styleId="38">
    <w:name w:val="xl30"/>
    <w:basedOn w:val="1"/>
    <w:qFormat/>
    <w:uiPriority w:val="0"/>
    <w:pPr>
      <w:widowControl/>
      <w:pBdr>
        <w:top w:val="single" w:color="auto" w:sz="4" w:space="0"/>
        <w:bottom w:val="single" w:color="auto" w:sz="4" w:space="0"/>
      </w:pBdr>
      <w:spacing w:before="100" w:beforeAutospacing="1" w:after="100" w:afterAutospacing="1"/>
      <w:jc w:val="center"/>
    </w:pPr>
    <w:rPr>
      <w:rFonts w:hint="eastAsia" w:ascii="幼圆" w:hAnsi="Arial Unicode MS" w:eastAsia="幼圆" w:cs="Arial Unicode MS"/>
      <w:kern w:val="0"/>
      <w:szCs w:val="21"/>
    </w:rPr>
  </w:style>
  <w:style w:type="paragraph" w:customStyle="1" w:styleId="39">
    <w:name w:val="xl3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40">
    <w:name w:val="xl3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top"/>
    </w:pPr>
    <w:rPr>
      <w:rFonts w:hint="eastAsia" w:ascii="幼圆" w:hAnsi="Arial Unicode MS" w:eastAsia="幼圆" w:cs="Arial Unicode MS"/>
      <w:kern w:val="0"/>
      <w:szCs w:val="21"/>
    </w:rPr>
  </w:style>
  <w:style w:type="paragraph" w:customStyle="1" w:styleId="4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eastAsia="Arial Unicode MS"/>
      <w:kern w:val="0"/>
      <w:szCs w:val="21"/>
    </w:rPr>
  </w:style>
  <w:style w:type="paragraph" w:customStyle="1" w:styleId="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43">
    <w:name w:val="xl5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top"/>
    </w:pPr>
    <w:rPr>
      <w:rFonts w:hint="eastAsia" w:ascii="幼圆" w:hAnsi="Arial Unicode MS" w:eastAsia="幼圆" w:cs="Arial Unicode MS"/>
      <w:kern w:val="0"/>
      <w:szCs w:val="21"/>
    </w:rPr>
  </w:style>
  <w:style w:type="paragraph" w:customStyle="1" w:styleId="44">
    <w:name w:val="xl3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eastAsia="Arial Unicode MS"/>
      <w:kern w:val="0"/>
      <w:szCs w:val="21"/>
    </w:rPr>
  </w:style>
  <w:style w:type="paragraph" w:customStyle="1" w:styleId="45">
    <w:name w:val="xl3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int="eastAsia" w:ascii="幼圆" w:hAnsi="Arial Unicode MS" w:eastAsia="幼圆" w:cs="Arial Unicode MS"/>
      <w:kern w:val="0"/>
      <w:szCs w:val="21"/>
    </w:rPr>
  </w:style>
  <w:style w:type="paragraph" w:customStyle="1" w:styleId="46">
    <w:name w:val="font6"/>
    <w:basedOn w:val="1"/>
    <w:qFormat/>
    <w:uiPriority w:val="0"/>
    <w:pPr>
      <w:widowControl/>
      <w:spacing w:before="100" w:beforeAutospacing="1" w:after="100" w:afterAutospacing="1"/>
      <w:jc w:val="left"/>
    </w:pPr>
    <w:rPr>
      <w:rFonts w:hint="eastAsia" w:ascii="幼圆" w:hAnsi="Arial Unicode MS" w:eastAsia="幼圆" w:cs="Arial Unicode MS"/>
      <w:kern w:val="0"/>
      <w:szCs w:val="21"/>
    </w:rPr>
  </w:style>
  <w:style w:type="paragraph" w:customStyle="1" w:styleId="47">
    <w:name w:val="样式2"/>
    <w:basedOn w:val="7"/>
    <w:next w:val="7"/>
    <w:qFormat/>
    <w:uiPriority w:val="0"/>
    <w:pPr>
      <w:tabs>
        <w:tab w:val="left" w:pos="480"/>
      </w:tabs>
      <w:spacing w:line="360" w:lineRule="auto"/>
      <w:ind w:left="480" w:right="2" w:rightChars="1" w:hanging="480"/>
    </w:pPr>
    <w:rPr>
      <w:sz w:val="24"/>
    </w:rPr>
  </w:style>
  <w:style w:type="paragraph" w:customStyle="1" w:styleId="48">
    <w:name w:val="xl33"/>
    <w:basedOn w:val="1"/>
    <w:qFormat/>
    <w:uiPriority w:val="0"/>
    <w:pPr>
      <w:widowControl/>
      <w:pBdr>
        <w:top w:val="single" w:color="auto" w:sz="4" w:space="0"/>
        <w:bottom w:val="single" w:color="auto" w:sz="4" w:space="0"/>
      </w:pBdr>
      <w:spacing w:before="100" w:beforeAutospacing="1" w:after="100" w:afterAutospacing="1"/>
      <w:jc w:val="center"/>
    </w:pPr>
    <w:rPr>
      <w:rFonts w:hint="eastAsia" w:ascii="幼圆" w:hAnsi="Arial Unicode MS" w:eastAsia="幼圆" w:cs="Arial Unicode MS"/>
      <w:kern w:val="0"/>
      <w:szCs w:val="21"/>
    </w:rPr>
  </w:style>
  <w:style w:type="paragraph" w:customStyle="1" w:styleId="49">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int="eastAsia" w:ascii="幼圆" w:hAnsi="Arial Unicode MS" w:eastAsia="幼圆" w:cs="Arial Unicode MS"/>
      <w:kern w:val="0"/>
      <w:szCs w:val="21"/>
    </w:rPr>
  </w:style>
  <w:style w:type="paragraph" w:customStyle="1" w:styleId="50">
    <w:name w:val="xl4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top"/>
    </w:pPr>
    <w:rPr>
      <w:rFonts w:eastAsia="Arial Unicode MS"/>
      <w:kern w:val="0"/>
      <w:szCs w:val="21"/>
    </w:rPr>
  </w:style>
  <w:style w:type="paragraph" w:customStyle="1" w:styleId="51">
    <w:name w:val="xl46"/>
    <w:basedOn w:val="1"/>
    <w:qFormat/>
    <w:uiPriority w:val="0"/>
    <w:pPr>
      <w:widowControl/>
      <w:pBdr>
        <w:top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52">
    <w:name w:val="xl3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hint="eastAsia" w:ascii="幼圆" w:hAnsi="Arial Unicode MS" w:eastAsia="幼圆" w:cs="Arial Unicode MS"/>
      <w:kern w:val="0"/>
      <w:szCs w:val="21"/>
    </w:rPr>
  </w:style>
  <w:style w:type="paragraph" w:customStyle="1" w:styleId="53">
    <w:name w:val="font9"/>
    <w:basedOn w:val="1"/>
    <w:qFormat/>
    <w:uiPriority w:val="0"/>
    <w:pPr>
      <w:widowControl/>
      <w:spacing w:before="100" w:beforeAutospacing="1" w:after="100" w:afterAutospacing="1"/>
      <w:jc w:val="left"/>
    </w:pPr>
    <w:rPr>
      <w:rFonts w:eastAsia="Arial Unicode MS"/>
      <w:kern w:val="0"/>
      <w:szCs w:val="21"/>
    </w:rPr>
  </w:style>
  <w:style w:type="paragraph" w:customStyle="1" w:styleId="54">
    <w:name w:val="font10"/>
    <w:basedOn w:val="1"/>
    <w:qFormat/>
    <w:uiPriority w:val="0"/>
    <w:pPr>
      <w:widowControl/>
      <w:spacing w:before="100" w:beforeAutospacing="1" w:after="100" w:afterAutospacing="1"/>
      <w:jc w:val="left"/>
    </w:pPr>
    <w:rPr>
      <w:rFonts w:hint="eastAsia" w:ascii="幼圆" w:hAnsi="Arial Unicode MS" w:eastAsia="幼圆" w:cs="Arial Unicode MS"/>
      <w:kern w:val="0"/>
      <w:szCs w:val="21"/>
    </w:rPr>
  </w:style>
  <w:style w:type="paragraph" w:customStyle="1" w:styleId="55">
    <w:name w:val="xl3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int="eastAsia" w:ascii="幼圆" w:hAnsi="Arial Unicode MS" w:eastAsia="幼圆" w:cs="Arial Unicode MS"/>
      <w:kern w:val="0"/>
      <w:szCs w:val="21"/>
    </w:rPr>
  </w:style>
  <w:style w:type="paragraph" w:customStyle="1" w:styleId="56">
    <w:name w:val="xl3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hint="eastAsia" w:ascii="幼圆" w:hAnsi="Arial Unicode MS" w:eastAsia="幼圆" w:cs="Arial Unicode MS"/>
      <w:kern w:val="0"/>
      <w:szCs w:val="21"/>
    </w:rPr>
  </w:style>
  <w:style w:type="paragraph" w:customStyle="1" w:styleId="57">
    <w:name w:val="font7"/>
    <w:basedOn w:val="1"/>
    <w:qFormat/>
    <w:uiPriority w:val="0"/>
    <w:pPr>
      <w:widowControl/>
      <w:spacing w:before="100" w:beforeAutospacing="1" w:after="100" w:afterAutospacing="1"/>
      <w:jc w:val="left"/>
    </w:pPr>
    <w:rPr>
      <w:rFonts w:hint="eastAsia" w:ascii="宋体" w:hAnsi="宋体" w:cs="Arial Unicode MS"/>
      <w:kern w:val="0"/>
      <w:szCs w:val="21"/>
    </w:rPr>
  </w:style>
  <w:style w:type="paragraph" w:customStyle="1" w:styleId="58">
    <w:name w:val="xl4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top"/>
    </w:pPr>
    <w:rPr>
      <w:rFonts w:ascii="Arial Unicode MS" w:hAnsi="Arial Unicode MS" w:eastAsia="Arial Unicode MS" w:cs="Arial Unicode MS"/>
      <w:kern w:val="0"/>
      <w:szCs w:val="21"/>
    </w:rPr>
  </w:style>
  <w:style w:type="paragraph" w:customStyle="1" w:styleId="5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hint="eastAsia" w:ascii="幼圆" w:hAnsi="Arial Unicode MS" w:eastAsia="幼圆" w:cs="Arial Unicode MS"/>
      <w:kern w:val="0"/>
      <w:szCs w:val="21"/>
    </w:rPr>
  </w:style>
  <w:style w:type="paragraph" w:customStyle="1" w:styleId="60">
    <w:name w:val="font8"/>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61">
    <w:name w:val="xl5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top"/>
    </w:pPr>
    <w:rPr>
      <w:rFonts w:eastAsia="Arial Unicode MS"/>
      <w:kern w:val="0"/>
      <w:szCs w:val="21"/>
    </w:rPr>
  </w:style>
  <w:style w:type="paragraph" w:customStyle="1" w:styleId="62">
    <w:name w:val="xl4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6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幼圆" w:hAnsi="Arial Unicode MS" w:eastAsia="幼圆" w:cs="Arial Unicode MS"/>
      <w:kern w:val="0"/>
      <w:szCs w:val="21"/>
    </w:rPr>
  </w:style>
  <w:style w:type="paragraph" w:customStyle="1" w:styleId="64">
    <w:name w:val="xl52"/>
    <w:basedOn w:val="1"/>
    <w:qFormat/>
    <w:uiPriority w:val="0"/>
    <w:pPr>
      <w:widowControl/>
      <w:pBdr>
        <w:bottom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65">
    <w:name w:val="xl2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int="eastAsia" w:ascii="幼圆" w:hAnsi="Arial Unicode MS" w:eastAsia="幼圆" w:cs="Arial Unicode MS"/>
      <w:kern w:val="0"/>
      <w:szCs w:val="21"/>
    </w:rPr>
  </w:style>
  <w:style w:type="paragraph" w:customStyle="1" w:styleId="66">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top"/>
    </w:pPr>
    <w:rPr>
      <w:rFonts w:hint="eastAsia" w:ascii="幼圆" w:hAnsi="Arial Unicode MS" w:eastAsia="幼圆" w:cs="Arial Unicode MS"/>
      <w:kern w:val="0"/>
      <w:szCs w:val="21"/>
    </w:rPr>
  </w:style>
  <w:style w:type="paragraph" w:customStyle="1" w:styleId="67">
    <w:name w:val="xl4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character" w:customStyle="1" w:styleId="68">
    <w:name w:val="批注框文本 字符"/>
    <w:basedOn w:val="26"/>
    <w:link w:val="16"/>
    <w:qFormat/>
    <w:uiPriority w:val="0"/>
    <w:rPr>
      <w:kern w:val="2"/>
      <w:sz w:val="18"/>
      <w:szCs w:val="18"/>
    </w:rPr>
  </w:style>
  <w:style w:type="paragraph" w:customStyle="1" w:styleId="69">
    <w:name w:val="列出段落1"/>
    <w:basedOn w:val="1"/>
    <w:unhideWhenUsed/>
    <w:qFormat/>
    <w:uiPriority w:val="99"/>
    <w:pPr>
      <w:ind w:firstLine="420" w:firstLineChars="200"/>
    </w:pPr>
  </w:style>
  <w:style w:type="character" w:customStyle="1" w:styleId="70">
    <w:name w:val="正文文本缩进 2 字符"/>
    <w:basedOn w:val="26"/>
    <w:link w:val="15"/>
    <w:qFormat/>
    <w:uiPriority w:val="0"/>
    <w:rPr>
      <w:rFonts w:ascii="宋体" w:hAnsi="宋体"/>
      <w:kern w:val="2"/>
      <w:sz w:val="24"/>
      <w:szCs w:val="24"/>
    </w:rPr>
  </w:style>
  <w:style w:type="character" w:customStyle="1" w:styleId="71">
    <w:name w:val="标题 2 字符"/>
    <w:basedOn w:val="26"/>
    <w:link w:val="3"/>
    <w:qFormat/>
    <w:uiPriority w:val="0"/>
    <w:rPr>
      <w:rFonts w:ascii="Arial" w:hAnsi="Arial" w:eastAsia="黑体"/>
      <w:b/>
      <w:bCs/>
      <w:kern w:val="2"/>
      <w:sz w:val="32"/>
      <w:szCs w:val="32"/>
    </w:rPr>
  </w:style>
  <w:style w:type="character" w:customStyle="1" w:styleId="72">
    <w:name w:val="正文文本缩进 字符"/>
    <w:basedOn w:val="26"/>
    <w:link w:val="10"/>
    <w:qFormat/>
    <w:uiPriority w:val="0"/>
    <w:rPr>
      <w:rFonts w:ascii="宋体" w:hAnsi="宋体"/>
      <w:kern w:val="2"/>
      <w:sz w:val="24"/>
      <w:szCs w:val="24"/>
    </w:rPr>
  </w:style>
  <w:style w:type="character" w:customStyle="1" w:styleId="73">
    <w:name w:val="批注文字 字符"/>
    <w:basedOn w:val="26"/>
    <w:link w:val="8"/>
    <w:qFormat/>
    <w:uiPriority w:val="99"/>
    <w:rPr>
      <w:kern w:val="2"/>
      <w:sz w:val="21"/>
      <w:szCs w:val="24"/>
    </w:rPr>
  </w:style>
  <w:style w:type="character" w:customStyle="1" w:styleId="74">
    <w:name w:val="批注主题 字符"/>
    <w:basedOn w:val="73"/>
    <w:link w:val="23"/>
    <w:qFormat/>
    <w:uiPriority w:val="0"/>
    <w:rPr>
      <w:b/>
      <w:bCs/>
      <w:kern w:val="2"/>
      <w:sz w:val="21"/>
      <w:szCs w:val="24"/>
    </w:rPr>
  </w:style>
  <w:style w:type="paragraph" w:customStyle="1" w:styleId="75">
    <w:name w:val="列出段落2"/>
    <w:basedOn w:val="1"/>
    <w:qFormat/>
    <w:uiPriority w:val="99"/>
    <w:pPr>
      <w:ind w:firstLine="420" w:firstLineChars="200"/>
    </w:pPr>
  </w:style>
  <w:style w:type="character" w:customStyle="1" w:styleId="76">
    <w:name w:val="font91"/>
    <w:qFormat/>
    <w:uiPriority w:val="0"/>
    <w:rPr>
      <w:rFonts w:hint="eastAsia" w:ascii="宋体" w:hAnsi="宋体" w:eastAsia="宋体" w:cs="宋体"/>
      <w:color w:val="0000FF"/>
      <w:sz w:val="20"/>
      <w:szCs w:val="20"/>
      <w:u w:val="none"/>
    </w:rPr>
  </w:style>
  <w:style w:type="character" w:customStyle="1" w:styleId="77">
    <w:name w:val="font61"/>
    <w:qFormat/>
    <w:uiPriority w:val="0"/>
    <w:rPr>
      <w:rFonts w:hint="default" w:ascii="Times New Roman" w:hAnsi="Times New Roman" w:cs="Times New Roman"/>
      <w:color w:val="000000"/>
      <w:sz w:val="20"/>
      <w:szCs w:val="20"/>
      <w:u w:val="none"/>
    </w:rPr>
  </w:style>
  <w:style w:type="character" w:customStyle="1" w:styleId="78">
    <w:name w:val="font41"/>
    <w:basedOn w:val="26"/>
    <w:qFormat/>
    <w:uiPriority w:val="0"/>
    <w:rPr>
      <w:rFonts w:hint="eastAsia" w:ascii="Adobe 仿宋 Std R" w:hAnsi="Adobe 仿宋 Std R" w:eastAsia="Adobe 仿宋 Std R" w:cs="Adobe 仿宋 Std R"/>
      <w:color w:val="000000"/>
      <w:sz w:val="22"/>
      <w:szCs w:val="22"/>
      <w:u w:val="none"/>
    </w:rPr>
  </w:style>
  <w:style w:type="character" w:customStyle="1" w:styleId="79">
    <w:name w:val="font21"/>
    <w:basedOn w:val="26"/>
    <w:qFormat/>
    <w:uiPriority w:val="0"/>
    <w:rPr>
      <w:rFonts w:hint="eastAsia" w:ascii="Adobe 仿宋 Std R" w:hAnsi="Adobe 仿宋 Std R" w:eastAsia="Adobe 仿宋 Std R" w:cs="Adobe 仿宋 Std R"/>
      <w:color w:val="000000"/>
      <w:sz w:val="22"/>
      <w:szCs w:val="22"/>
      <w:u w:val="none"/>
      <w:vertAlign w:val="superscript"/>
    </w:rPr>
  </w:style>
  <w:style w:type="character" w:customStyle="1" w:styleId="80">
    <w:name w:val="font31"/>
    <w:basedOn w:val="26"/>
    <w:qFormat/>
    <w:uiPriority w:val="0"/>
    <w:rPr>
      <w:rFonts w:hint="eastAsia" w:ascii="Adobe 仿宋 Std R" w:hAnsi="Adobe 仿宋 Std R" w:eastAsia="Adobe 仿宋 Std R" w:cs="Adobe 仿宋 Std R"/>
      <w:color w:val="000000"/>
      <w:sz w:val="24"/>
      <w:szCs w:val="24"/>
      <w:u w:val="none"/>
    </w:rPr>
  </w:style>
  <w:style w:type="character" w:customStyle="1" w:styleId="81">
    <w:name w:val="font11"/>
    <w:basedOn w:val="26"/>
    <w:qFormat/>
    <w:uiPriority w:val="0"/>
    <w:rPr>
      <w:rFonts w:hint="eastAsia" w:ascii="Adobe 仿宋 Std R" w:hAnsi="Adobe 仿宋 Std R" w:eastAsia="Adobe 仿宋 Std R" w:cs="Adobe 仿宋 Std R"/>
      <w:color w:val="000000"/>
      <w:sz w:val="24"/>
      <w:szCs w:val="24"/>
      <w:u w:val="none"/>
      <w:vertAlign w:val="superscript"/>
    </w:rPr>
  </w:style>
  <w:style w:type="character" w:customStyle="1" w:styleId="82">
    <w:name w:val="font81"/>
    <w:basedOn w:val="26"/>
    <w:qFormat/>
    <w:uiPriority w:val="0"/>
    <w:rPr>
      <w:rFonts w:hint="eastAsia" w:ascii="Adobe 仿宋 Std R" w:hAnsi="Adobe 仿宋 Std R" w:eastAsia="Adobe 仿宋 Std R" w:cs="Adobe 仿宋 Std R"/>
      <w:color w:val="000000"/>
      <w:sz w:val="22"/>
      <w:szCs w:val="22"/>
      <w:u w:val="none"/>
    </w:rPr>
  </w:style>
  <w:style w:type="character" w:customStyle="1" w:styleId="83">
    <w:name w:val="font51"/>
    <w:basedOn w:val="26"/>
    <w:qFormat/>
    <w:uiPriority w:val="0"/>
    <w:rPr>
      <w:rFonts w:hint="eastAsia" w:ascii="Adobe 仿宋 Std R" w:hAnsi="Adobe 仿宋 Std R" w:eastAsia="Adobe 仿宋 Std R" w:cs="Adobe 仿宋 Std R"/>
      <w:color w:val="000000"/>
      <w:sz w:val="24"/>
      <w:szCs w:val="24"/>
      <w:u w:val="none"/>
    </w:rPr>
  </w:style>
  <w:style w:type="paragraph" w:styleId="84">
    <w:name w:val="List Paragraph"/>
    <w:basedOn w:val="1"/>
    <w:qFormat/>
    <w:uiPriority w:val="99"/>
    <w:pPr>
      <w:ind w:firstLine="420" w:firstLineChars="200"/>
    </w:pPr>
  </w:style>
  <w:style w:type="character" w:customStyle="1" w:styleId="85">
    <w:name w:val="font111"/>
    <w:qFormat/>
    <w:uiPriority w:val="0"/>
    <w:rPr>
      <w:rFonts w:hint="default" w:ascii="Times New Roman" w:hAnsi="Times New Roman" w:cs="Times New Roman"/>
      <w:b/>
      <w:color w:val="auto"/>
      <w:sz w:val="20"/>
      <w:szCs w:val="20"/>
      <w:u w:val="none"/>
    </w:rPr>
  </w:style>
  <w:style w:type="character" w:customStyle="1" w:styleId="86">
    <w:name w:val="font01"/>
    <w:basedOn w:val="26"/>
    <w:qFormat/>
    <w:uiPriority w:val="0"/>
    <w:rPr>
      <w:rFonts w:hint="eastAsia" w:ascii="宋体" w:hAnsi="宋体" w:eastAsia="宋体" w:cs="宋体"/>
      <w:color w:val="000000"/>
      <w:sz w:val="22"/>
      <w:szCs w:val="22"/>
      <w:u w:val="singl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GIF"/><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6"/>
    <customShpInfo spid="_x0000_s2055"/>
    <customShpInfo spid="_x0000_s2054"/>
    <customShpInfo spid="_x0000_s2053"/>
    <customShpInfo spid="_x0000_s2052"/>
    <customShpInfo spid="_x0000_s2051"/>
    <customShpInfo spid="_x0000_s2050"/>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E6C02A-4D63-4E32-9A85-E1ECC3DA9B69}">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18</Pages>
  <Words>1473</Words>
  <Characters>8400</Characters>
  <Lines>70</Lines>
  <Paragraphs>19</Paragraphs>
  <TotalTime>126</TotalTime>
  <ScaleCrop>false</ScaleCrop>
  <LinksUpToDate>false</LinksUpToDate>
  <CharactersWithSpaces>9854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2016-09-05T09:44:00Z</dcterms:created>
  <dc:creator>Administrator</dc:creator>
  <cp:keywords>估价 的 房地产 报告 本 </cp:keywords>
  <cp:lastModifiedBy>阳</cp:lastModifiedBy>
  <cp:lastPrinted>2021-06-18T07:20:00Z</cp:lastPrinted>
  <dcterms:modified xsi:type="dcterms:W3CDTF">2021-09-10T03:26:20Z</dcterms:modified>
  <dc:title>房地产估价报告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C4E3B0AFF67F4C259710B749B8E7846A</vt:lpwstr>
  </property>
</Properties>
</file>