
<file path=[Content_Types].xml><?xml version="1.0" encoding="utf-8"?>
<Types xmlns="http://schemas.openxmlformats.org/package/2006/content-types">
  <Default Extension="xml" ContentType="application/xml"/>
  <Default Extension="png" ContentType="image/png"/>
  <Default Extension="jpeg" ContentType="image/jpe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0000">
    <v:background id="_x0000_s2049">
      <v:fill type="pattern" on="t" color2="#FFFFFF" focussize="0,0" r:id="rId10"/>
    </v:background>
  </w:background>
  <w:body>
    <w:p>
      <w:pPr>
        <w:spacing w:line="440" w:lineRule="exact"/>
        <w:jc w:val="center"/>
        <w:rPr>
          <w:rFonts w:ascii="仿宋_GB2312" w:hAnsi="仿宋" w:eastAsia="仿宋_GB2312"/>
          <w:i/>
          <w:iCs/>
          <w:color w:val="000000" w:themeColor="text1"/>
          <w:sz w:val="36"/>
          <w:szCs w:val="36"/>
        </w:rPr>
      </w:pPr>
    </w:p>
    <w:p>
      <w:pPr>
        <w:spacing w:line="440" w:lineRule="exact"/>
        <w:ind w:firstLine="1325" w:firstLineChars="300"/>
        <w:rPr>
          <w:rFonts w:hint="eastAsia" w:ascii="仿宋_GB2312" w:hAnsi="仿宋" w:eastAsia="仿宋_GB2312"/>
          <w:b/>
          <w:bCs/>
          <w:color w:val="000000" w:themeColor="text1"/>
          <w:sz w:val="40"/>
          <w:szCs w:val="40"/>
          <w:lang w:val="en-US" w:eastAsia="zh-CN"/>
        </w:rPr>
      </w:pPr>
      <w:r>
        <w:rPr>
          <w:rFonts w:hint="eastAsia" w:ascii="仿宋_GB2312" w:hAnsi="仿宋" w:eastAsia="仿宋_GB2312"/>
          <w:b/>
          <w:bCs/>
          <w:color w:val="000000" w:themeColor="text1"/>
          <w:sz w:val="44"/>
          <w:szCs w:val="44"/>
          <w:lang w:val="en-US" w:eastAsia="zh-CN"/>
        </w:rPr>
        <w:t xml:space="preserve">涉执房地产处置司法评估报告 </w:t>
      </w:r>
      <w:r>
        <w:rPr>
          <w:rFonts w:hint="eastAsia" w:ascii="仿宋_GB2312" w:hAnsi="仿宋" w:eastAsia="仿宋_GB2312"/>
          <w:b/>
          <w:bCs/>
          <w:color w:val="000000" w:themeColor="text1"/>
          <w:sz w:val="40"/>
          <w:szCs w:val="40"/>
          <w:lang w:val="en-US" w:eastAsia="zh-CN"/>
        </w:rPr>
        <w:t xml:space="preserve"> </w:t>
      </w:r>
    </w:p>
    <w:p>
      <w:pPr>
        <w:spacing w:line="440" w:lineRule="exact"/>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                   </w:t>
      </w:r>
    </w:p>
    <w:p>
      <w:pPr>
        <w:spacing w:line="600" w:lineRule="exact"/>
        <w:ind w:left="1233" w:leftChars="87" w:hanging="1050" w:hangingChars="500"/>
        <w:rPr>
          <w:rFonts w:ascii="仿宋_GB2312" w:hAnsi="仿宋" w:eastAsia="仿宋_GB2312"/>
          <w:color w:val="000000" w:themeColor="text1"/>
          <w:sz w:val="32"/>
          <w:szCs w:val="32"/>
        </w:rPr>
      </w:pPr>
      <w:r>
        <w:rPr>
          <w:rFonts w:hint="eastAsia" w:ascii="微软雅黑" w:hAnsi="微软雅黑" w:eastAsia="微软雅黑" w:cs="微软雅黑"/>
        </w:rPr>
        <w:drawing>
          <wp:anchor distT="0" distB="0" distL="114300" distR="114300" simplePos="0" relativeHeight="251677696" behindDoc="1" locked="0" layoutInCell="1" allowOverlap="1">
            <wp:simplePos x="0" y="0"/>
            <wp:positionH relativeFrom="margin">
              <wp:posOffset>3860165</wp:posOffset>
            </wp:positionH>
            <wp:positionV relativeFrom="page">
              <wp:posOffset>2326640</wp:posOffset>
            </wp:positionV>
            <wp:extent cx="2015490" cy="2015490"/>
            <wp:effectExtent l="0" t="0" r="0" b="0"/>
            <wp:wrapNone/>
            <wp:docPr id="8" name="图片 8" descr="5984289f7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984289f71421"/>
                    <pic:cNvPicPr>
                      <a:picLocks noChangeAspect="1"/>
                    </pic:cNvPicPr>
                  </pic:nvPicPr>
                  <pic:blipFill>
                    <a:blip r:embed="rId11"/>
                    <a:stretch>
                      <a:fillRect/>
                    </a:stretch>
                  </pic:blipFill>
                  <pic:spPr>
                    <a:xfrm>
                      <a:off x="0" y="0"/>
                      <a:ext cx="2015490" cy="2015490"/>
                    </a:xfrm>
                    <a:prstGeom prst="rect">
                      <a:avLst/>
                    </a:prstGeom>
                  </pic:spPr>
                </pic:pic>
              </a:graphicData>
            </a:graphic>
          </wp:anchor>
        </w:drawing>
      </w:r>
      <w:r>
        <w:rPr>
          <w:rFonts w:hint="eastAsia" w:ascii="仿宋_GB2312" w:hAnsi="仿宋" w:eastAsia="仿宋_GB2312"/>
          <w:color w:val="000000" w:themeColor="text1"/>
          <w:sz w:val="32"/>
          <w:szCs w:val="32"/>
        </w:rPr>
        <w:t xml:space="preserve">                   </w:t>
      </w:r>
    </w:p>
    <w:p>
      <w:pPr>
        <w:spacing w:line="600" w:lineRule="exact"/>
        <w:ind w:left="1719" w:hanging="1718" w:hangingChars="467"/>
        <w:rPr>
          <w:rFonts w:ascii="仿宋_GB2312" w:hAnsi="仿宋" w:eastAsia="仿宋_GB2312"/>
          <w:color w:val="000000" w:themeColor="text1"/>
          <w:spacing w:val="36"/>
          <w:sz w:val="32"/>
          <w:szCs w:val="32"/>
        </w:rPr>
      </w:pPr>
      <w:r>
        <w:rPr>
          <w:rFonts w:hint="eastAsia" w:ascii="仿宋_GB2312" w:hAnsi="仿宋" w:eastAsia="仿宋_GB2312" w:cs="仿宋_GB2312"/>
          <w:color w:val="000000" w:themeColor="text1"/>
          <w:spacing w:val="24"/>
          <w:sz w:val="32"/>
          <w:szCs w:val="32"/>
        </w:rPr>
        <w:t>估价报告编号</w:t>
      </w:r>
      <w:r>
        <w:rPr>
          <w:rFonts w:hint="eastAsia" w:ascii="仿宋_GB2312" w:hAnsi="仿宋" w:eastAsia="仿宋_GB2312" w:cs="仿宋_GB2312"/>
          <w:color w:val="000000" w:themeColor="text1"/>
          <w:sz w:val="32"/>
          <w:szCs w:val="32"/>
        </w:rPr>
        <w:t>：皖中信房估字</w:t>
      </w:r>
      <w:r>
        <w:rPr>
          <w:rFonts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rPr>
        <w:t>202</w:t>
      </w:r>
      <w:r>
        <w:rPr>
          <w:rFonts w:hint="eastAsia" w:ascii="仿宋_GB2312" w:hAnsi="仿宋" w:eastAsia="仿宋_GB2312" w:cs="仿宋_GB2312"/>
          <w:color w:val="000000" w:themeColor="text1"/>
          <w:sz w:val="32"/>
          <w:szCs w:val="32"/>
          <w:lang w:val="en-US" w:eastAsia="zh-CN"/>
        </w:rPr>
        <w:t>2</w:t>
      </w:r>
      <w:r>
        <w:rPr>
          <w:rFonts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rPr>
        <w:t>M-</w:t>
      </w:r>
      <w:r>
        <w:rPr>
          <w:rFonts w:hint="eastAsia" w:ascii="仿宋_GB2312" w:hAnsi="仿宋" w:eastAsia="仿宋_GB2312" w:cs="仿宋_GB2312"/>
          <w:color w:val="000000" w:themeColor="text1"/>
          <w:sz w:val="32"/>
          <w:szCs w:val="32"/>
          <w:lang w:val="en-US" w:eastAsia="zh-CN"/>
        </w:rPr>
        <w:t>0337</w:t>
      </w:r>
      <w:r>
        <w:rPr>
          <w:rFonts w:hint="eastAsia" w:ascii="仿宋_GB2312" w:hAnsi="仿宋" w:eastAsia="仿宋_GB2312" w:cs="仿宋_GB2312"/>
          <w:color w:val="000000" w:themeColor="text1"/>
          <w:sz w:val="32"/>
          <w:szCs w:val="32"/>
        </w:rPr>
        <w:t>号</w:t>
      </w:r>
    </w:p>
    <w:p>
      <w:pPr>
        <w:spacing w:line="600" w:lineRule="exact"/>
        <w:ind w:left="2631" w:hanging="2631" w:hangingChars="715"/>
        <w:rPr>
          <w:rFonts w:ascii="仿宋_GB2312" w:hAnsi="仿宋" w:eastAsia="仿宋_GB2312" w:cs="仿宋_GB2312"/>
          <w:color w:val="000000" w:themeColor="text1"/>
          <w:spacing w:val="24"/>
          <w:sz w:val="32"/>
          <w:szCs w:val="32"/>
        </w:rPr>
      </w:pPr>
    </w:p>
    <w:p>
      <w:pPr>
        <w:spacing w:line="600" w:lineRule="exact"/>
        <w:ind w:left="1719" w:hanging="1718" w:hangingChars="467"/>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pacing w:val="24"/>
          <w:sz w:val="32"/>
          <w:szCs w:val="32"/>
        </w:rPr>
        <w:t>估价项目名称</w:t>
      </w:r>
      <w:r>
        <w:rPr>
          <w:rFonts w:hint="eastAsia"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lang w:eastAsia="zh-CN"/>
        </w:rPr>
        <w:t>全椒县襄河镇椒陵大道1号正东凯旋名门45幢2单元406室</w:t>
      </w:r>
      <w:r>
        <w:rPr>
          <w:rFonts w:hint="eastAsia" w:ascii="仿宋_GB2312" w:hAnsi="仿宋" w:eastAsia="仿宋_GB2312" w:cs="仿宋_GB2312"/>
          <w:color w:val="000000" w:themeColor="text1"/>
          <w:sz w:val="32"/>
          <w:szCs w:val="32"/>
        </w:rPr>
        <w:t>住宅用房市场价值评估</w:t>
      </w:r>
    </w:p>
    <w:p>
      <w:pPr>
        <w:spacing w:line="600" w:lineRule="exact"/>
        <w:rPr>
          <w:rFonts w:ascii="仿宋_GB2312" w:hAnsi="仿宋" w:eastAsia="仿宋_GB2312" w:cs="仿宋_GB2312"/>
          <w:color w:val="000000" w:themeColor="text1"/>
          <w:sz w:val="32"/>
          <w:szCs w:val="32"/>
        </w:rPr>
      </w:pPr>
    </w:p>
    <w:p>
      <w:pPr>
        <w:spacing w:line="600" w:lineRule="exact"/>
        <w:rPr>
          <w:rFonts w:hint="eastAsia" w:ascii="仿宋_GB2312" w:hAnsi="仿宋" w:eastAsia="仿宋_GB2312"/>
          <w:color w:val="000000" w:themeColor="text1"/>
          <w:spacing w:val="-20"/>
          <w:sz w:val="32"/>
          <w:szCs w:val="32"/>
          <w:lang w:eastAsia="zh-CN"/>
        </w:rPr>
      </w:pPr>
      <w:r>
        <w:rPr>
          <w:rFonts w:hint="eastAsia" w:ascii="仿宋_GB2312" w:hAnsi="仿宋" w:eastAsia="仿宋_GB2312" w:cs="仿宋_GB2312"/>
          <w:color w:val="000000" w:themeColor="text1"/>
          <w:sz w:val="32"/>
          <w:szCs w:val="32"/>
        </w:rPr>
        <w:t>估 价 委 托 人</w:t>
      </w:r>
      <w:r>
        <w:rPr>
          <w:rFonts w:hint="eastAsia" w:ascii="仿宋_GB2312" w:hAnsi="仿宋" w:eastAsia="仿宋_GB2312" w:cs="仿宋_GB2312"/>
          <w:color w:val="000000" w:themeColor="text1"/>
          <w:spacing w:val="-20"/>
          <w:sz w:val="32"/>
          <w:szCs w:val="32"/>
        </w:rPr>
        <w:t>：</w:t>
      </w:r>
      <w:r>
        <w:rPr>
          <w:rFonts w:hint="eastAsia" w:ascii="仿宋_GB2312" w:hAnsi="仿宋" w:eastAsia="仿宋_GB2312" w:cs="仿宋_GB2312"/>
          <w:color w:val="000000" w:themeColor="text1"/>
          <w:spacing w:val="-20"/>
          <w:sz w:val="32"/>
          <w:szCs w:val="32"/>
          <w:lang w:eastAsia="zh-CN"/>
        </w:rPr>
        <w:t>全椒县人民法院</w:t>
      </w:r>
    </w:p>
    <w:p>
      <w:pPr>
        <w:spacing w:line="600" w:lineRule="exact"/>
        <w:ind w:left="1494" w:hanging="1494" w:hangingChars="467"/>
        <w:rPr>
          <w:rFonts w:ascii="仿宋_GB2312" w:hAnsi="仿宋" w:eastAsia="仿宋_GB2312" w:cs="仿宋_GB2312"/>
          <w:color w:val="000000" w:themeColor="text1"/>
          <w:sz w:val="32"/>
          <w:szCs w:val="32"/>
        </w:rPr>
      </w:pPr>
    </w:p>
    <w:p>
      <w:pPr>
        <w:spacing w:line="600" w:lineRule="exact"/>
        <w:ind w:left="1494" w:hanging="1494" w:hangingChars="467"/>
        <w:rPr>
          <w:rFonts w:ascii="仿宋_GB2312" w:hAnsi="仿宋" w:eastAsia="仿宋_GB2312"/>
          <w:color w:val="000000" w:themeColor="text1"/>
          <w:spacing w:val="-20"/>
          <w:sz w:val="32"/>
          <w:szCs w:val="32"/>
        </w:rPr>
      </w:pPr>
      <w:r>
        <w:rPr>
          <w:rFonts w:hint="eastAsia" w:ascii="仿宋_GB2312" w:hAnsi="仿宋" w:eastAsia="仿宋_GB2312" w:cs="仿宋_GB2312"/>
          <w:color w:val="000000" w:themeColor="text1"/>
          <w:sz w:val="32"/>
          <w:szCs w:val="32"/>
        </w:rPr>
        <w:t>房地产估价机构：</w:t>
      </w:r>
      <w:r>
        <w:rPr>
          <w:rFonts w:hint="eastAsia" w:ascii="仿宋_GB2312" w:hAnsi="仿宋" w:eastAsia="仿宋_GB2312" w:cs="仿宋_GB2312"/>
          <w:color w:val="000000" w:themeColor="text1"/>
          <w:spacing w:val="-20"/>
          <w:sz w:val="32"/>
          <w:szCs w:val="32"/>
        </w:rPr>
        <w:t>安徽中信房地产土地资产价格评估有限公司</w:t>
      </w:r>
    </w:p>
    <w:p>
      <w:pPr>
        <w:spacing w:line="600" w:lineRule="exact"/>
        <w:ind w:left="1400" w:hanging="1400" w:hangingChars="500"/>
        <w:rPr>
          <w:rFonts w:ascii="仿宋_GB2312" w:hAnsi="仿宋" w:eastAsia="仿宋_GB2312" w:cs="仿宋_GB2312"/>
          <w:color w:val="000000" w:themeColor="text1"/>
          <w:spacing w:val="-20"/>
          <w:sz w:val="32"/>
          <w:szCs w:val="32"/>
        </w:rPr>
      </w:pPr>
    </w:p>
    <w:p>
      <w:pPr>
        <w:spacing w:line="600" w:lineRule="exact"/>
        <w:ind w:left="1400" w:hanging="1400" w:hangingChars="500"/>
        <w:rPr>
          <w:rFonts w:hint="eastAsia" w:ascii="仿宋_GB2312" w:hAnsi="仿宋" w:eastAsia="仿宋_GB2312"/>
          <w:color w:val="000000" w:themeColor="text1"/>
          <w:sz w:val="32"/>
          <w:szCs w:val="32"/>
          <w:lang w:eastAsia="zh-CN"/>
        </w:rPr>
      </w:pPr>
      <w:r>
        <w:rPr>
          <w:rFonts w:hint="eastAsia" w:ascii="仿宋_GB2312" w:hAnsi="仿宋" w:eastAsia="仿宋_GB2312" w:cs="仿宋_GB2312"/>
          <w:color w:val="000000" w:themeColor="text1"/>
          <w:spacing w:val="-20"/>
          <w:sz w:val="32"/>
          <w:szCs w:val="32"/>
        </w:rPr>
        <w:t>注册房地产估价师</w:t>
      </w:r>
      <w:r>
        <w:rPr>
          <w:rFonts w:hint="eastAsia" w:ascii="仿宋_GB2312" w:hAnsi="仿宋" w:eastAsia="仿宋_GB2312" w:cs="仿宋_GB2312"/>
          <w:color w:val="000000" w:themeColor="text1"/>
          <w:sz w:val="32"/>
          <w:szCs w:val="32"/>
        </w:rPr>
        <w:t xml:space="preserve">：  姬再娟         </w:t>
      </w:r>
      <w:r>
        <w:rPr>
          <w:rFonts w:hint="eastAsia" w:ascii="仿宋_GB2312" w:hAnsi="仿宋" w:eastAsia="仿宋_GB2312" w:cs="仿宋_GB2312"/>
          <w:color w:val="000000" w:themeColor="text1"/>
          <w:sz w:val="32"/>
          <w:szCs w:val="32"/>
          <w:lang w:eastAsia="zh-CN"/>
        </w:rPr>
        <w:t>金</w:t>
      </w:r>
      <w:r>
        <w:rPr>
          <w:rFonts w:hint="eastAsia" w:ascii="仿宋_GB2312" w:hAnsi="仿宋" w:eastAsia="仿宋_GB2312" w:cs="仿宋_GB2312"/>
          <w:color w:val="000000" w:themeColor="text1"/>
          <w:sz w:val="32"/>
          <w:szCs w:val="32"/>
          <w:lang w:val="en-US" w:eastAsia="zh-CN"/>
        </w:rPr>
        <w:t xml:space="preserve"> </w:t>
      </w:r>
      <w:r>
        <w:rPr>
          <w:rFonts w:hint="eastAsia" w:ascii="仿宋_GB2312" w:hAnsi="仿宋" w:eastAsia="仿宋_GB2312" w:cs="仿宋_GB2312"/>
          <w:color w:val="000000" w:themeColor="text1"/>
          <w:sz w:val="32"/>
          <w:szCs w:val="32"/>
          <w:lang w:eastAsia="zh-CN"/>
        </w:rPr>
        <w:t>涛</w:t>
      </w:r>
    </w:p>
    <w:p>
      <w:pPr>
        <w:spacing w:line="600" w:lineRule="exact"/>
        <w:ind w:left="1800" w:hanging="1800" w:hangingChars="500"/>
        <w:rPr>
          <w:rFonts w:ascii="仿宋_GB2312" w:hAnsi="仿宋" w:eastAsia="仿宋_GB2312" w:cs="仿宋_GB2312"/>
          <w:color w:val="000000" w:themeColor="text1"/>
          <w:spacing w:val="20"/>
          <w:sz w:val="32"/>
          <w:szCs w:val="32"/>
        </w:rPr>
      </w:pPr>
    </w:p>
    <w:p>
      <w:pPr>
        <w:spacing w:line="600" w:lineRule="exact"/>
        <w:ind w:left="1800" w:hanging="1800" w:hangingChars="5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pacing w:val="20"/>
          <w:sz w:val="32"/>
          <w:szCs w:val="32"/>
        </w:rPr>
        <w:t>注   册   号</w:t>
      </w:r>
      <w:r>
        <w:rPr>
          <w:rFonts w:hint="eastAsia" w:ascii="仿宋_GB2312" w:hAnsi="仿宋" w:eastAsia="仿宋_GB2312" w:cs="仿宋_GB2312"/>
          <w:color w:val="000000" w:themeColor="text1"/>
          <w:sz w:val="32"/>
          <w:szCs w:val="32"/>
        </w:rPr>
        <w:t>：</w:t>
      </w:r>
      <w:r>
        <w:rPr>
          <w:rFonts w:ascii="仿宋_GB2312" w:hAnsi="仿宋" w:eastAsia="仿宋_GB2312" w:cs="仿宋_GB2312"/>
          <w:color w:val="000000" w:themeColor="text1"/>
          <w:sz w:val="32"/>
          <w:szCs w:val="32"/>
        </w:rPr>
        <w:t xml:space="preserve">3420150050      </w:t>
      </w:r>
      <w:r>
        <w:rPr>
          <w:rFonts w:hint="eastAsia" w:ascii="仿宋_GB2312" w:hAnsi="仿宋" w:eastAsia="仿宋_GB2312" w:cs="仿宋_GB2312"/>
          <w:color w:val="000000" w:themeColor="text1"/>
          <w:sz w:val="32"/>
          <w:szCs w:val="32"/>
          <w:lang w:eastAsia="zh-CN"/>
        </w:rPr>
        <w:t>3420190095</w:t>
      </w:r>
    </w:p>
    <w:p>
      <w:pPr>
        <w:spacing w:line="600" w:lineRule="exact"/>
        <w:ind w:left="1494" w:hanging="1494" w:hangingChars="467"/>
        <w:rPr>
          <w:rFonts w:ascii="仿宋_GB2312" w:hAnsi="仿宋" w:eastAsia="仿宋_GB2312" w:cs="仿宋_GB2312"/>
          <w:color w:val="000000" w:themeColor="text1"/>
          <w:sz w:val="32"/>
          <w:szCs w:val="32"/>
        </w:rPr>
      </w:pPr>
    </w:p>
    <w:p>
      <w:pPr>
        <w:spacing w:line="600" w:lineRule="exact"/>
        <w:ind w:left="1494" w:hanging="1494" w:hangingChars="467"/>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rPr>
        <w:t>估价报告出具日：</w:t>
      </w:r>
      <w:r>
        <w:rPr>
          <w:rFonts w:hint="eastAsia" w:ascii="仿宋_GB2312" w:hAnsi="仿宋" w:eastAsia="仿宋_GB2312" w:cs="仿宋_GB2312"/>
          <w:color w:val="000000" w:themeColor="text1"/>
          <w:sz w:val="32"/>
          <w:szCs w:val="32"/>
          <w:lang w:eastAsia="zh-CN"/>
        </w:rPr>
        <w:t>二零二二年八月二十九日</w:t>
      </w:r>
    </w:p>
    <w:p>
      <w:pPr>
        <w:rPr>
          <w:rFonts w:ascii="仿宋" w:hAnsi="仿宋" w:eastAsia="仿宋" w:cs="宋体"/>
          <w:color w:val="000000" w:themeColor="text1"/>
        </w:rPr>
        <w:sectPr>
          <w:headerReference r:id="rId3" w:type="default"/>
          <w:footerReference r:id="rId4" w:type="default"/>
          <w:pgSz w:w="11906" w:h="16838"/>
          <w:pgMar w:top="1797" w:right="1797" w:bottom="1797" w:left="1797" w:header="680" w:footer="851" w:gutter="0"/>
          <w:pgNumType w:fmt="numberInDash" w:start="1"/>
          <w:cols w:space="720" w:num="1"/>
          <w:docGrid w:linePitch="285" w:charSpace="0"/>
        </w:sectPr>
      </w:pPr>
      <w:r>
        <w:rPr>
          <w:rFonts w:hint="eastAsia" w:ascii="仿宋_GB2312" w:hAnsi="仿宋" w:eastAsia="仿宋_GB2312" w:cs="仿宋_GB2312"/>
          <w:color w:val="000000" w:themeColor="text1"/>
          <w:sz w:val="32"/>
          <w:szCs w:val="32"/>
        </w:rPr>
        <w:br w:type="page"/>
      </w:r>
      <w:bookmarkStart w:id="0" w:name="_Toc433731386"/>
      <w:bookmarkStart w:id="1" w:name="_Toc530663967"/>
      <w:bookmarkStart w:id="2" w:name="_Toc439232011"/>
      <w:bookmarkStart w:id="3" w:name="_Toc433731411"/>
    </w:p>
    <w:p>
      <w:pPr>
        <w:pStyle w:val="2"/>
        <w:pageBreakBefore w:val="0"/>
        <w:widowControl w:val="0"/>
        <w:kinsoku/>
        <w:wordWrap/>
        <w:overflowPunct/>
        <w:autoSpaceDE/>
        <w:autoSpaceDN/>
        <w:bidi w:val="0"/>
        <w:spacing w:line="480" w:lineRule="exact"/>
        <w:textAlignment w:val="auto"/>
        <w:rPr>
          <w:rFonts w:ascii="仿宋" w:hAnsi="仿宋" w:eastAsia="仿宋" w:cs="宋体"/>
          <w:bCs w:val="0"/>
          <w:color w:val="000000" w:themeColor="text1"/>
        </w:rPr>
      </w:pPr>
      <w:bookmarkStart w:id="4" w:name="_Toc29875"/>
      <w:r>
        <w:rPr>
          <w:rFonts w:hint="eastAsia" w:ascii="仿宋" w:hAnsi="仿宋" w:eastAsia="仿宋" w:cs="宋体"/>
          <w:bCs w:val="0"/>
          <w:color w:val="000000" w:themeColor="text1"/>
        </w:rPr>
        <w:t>致 估 价 委 托 人 函</w:t>
      </w:r>
      <w:bookmarkEnd w:id="0"/>
      <w:bookmarkEnd w:id="1"/>
      <w:bookmarkEnd w:id="4"/>
    </w:p>
    <w:p>
      <w:pPr>
        <w:pageBreakBefore w:val="0"/>
        <w:widowControl w:val="0"/>
        <w:kinsoku/>
        <w:wordWrap/>
        <w:overflowPunct/>
        <w:autoSpaceDE/>
        <w:autoSpaceDN/>
        <w:bidi w:val="0"/>
        <w:spacing w:line="480" w:lineRule="exact"/>
        <w:textAlignment w:val="auto"/>
        <w:rPr>
          <w:rFonts w:ascii="仿宋" w:hAnsi="仿宋" w:eastAsia="仿宋" w:cs="仿宋"/>
          <w:sz w:val="24"/>
          <w:szCs w:val="24"/>
        </w:rPr>
      </w:pPr>
      <w:r>
        <w:rPr>
          <w:rFonts w:hint="eastAsia" w:ascii="仿宋" w:hAnsi="仿宋" w:eastAsia="仿宋" w:cs="仿宋"/>
          <w:sz w:val="24"/>
          <w:szCs w:val="24"/>
          <w:lang w:eastAsia="zh-CN"/>
        </w:rPr>
        <w:t>全椒县人民法院</w:t>
      </w:r>
      <w:r>
        <w:rPr>
          <w:rFonts w:hint="eastAsia" w:ascii="仿宋" w:hAnsi="仿宋" w:eastAsia="仿宋" w:cs="仿宋"/>
          <w:sz w:val="24"/>
          <w:szCs w:val="24"/>
        </w:rPr>
        <w:t>：</w:t>
      </w:r>
    </w:p>
    <w:p>
      <w:pPr>
        <w:pageBreakBefore w:val="0"/>
        <w:widowControl w:val="0"/>
        <w:kinsoku/>
        <w:wordWrap/>
        <w:overflowPunct/>
        <w:autoSpaceDE/>
        <w:autoSpaceDN/>
        <w:bidi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受贵</w:t>
      </w:r>
      <w:r>
        <w:rPr>
          <w:rFonts w:hint="eastAsia" w:ascii="仿宋" w:hAnsi="仿宋" w:eastAsia="仿宋" w:cs="仿宋"/>
          <w:sz w:val="24"/>
          <w:szCs w:val="24"/>
          <w:lang w:val="en-US" w:eastAsia="zh-CN"/>
        </w:rPr>
        <w:t>院</w:t>
      </w:r>
      <w:r>
        <w:rPr>
          <w:rFonts w:hint="eastAsia" w:ascii="仿宋" w:hAnsi="仿宋" w:eastAsia="仿宋" w:cs="仿宋"/>
          <w:sz w:val="24"/>
          <w:szCs w:val="24"/>
        </w:rPr>
        <w:t>的委托,我公司对</w:t>
      </w:r>
      <w:r>
        <w:rPr>
          <w:rFonts w:hint="eastAsia" w:ascii="仿宋" w:hAnsi="仿宋" w:eastAsia="仿宋" w:cs="仿宋"/>
          <w:sz w:val="24"/>
          <w:szCs w:val="24"/>
          <w:lang w:eastAsia="zh-CN"/>
        </w:rPr>
        <w:t>魏新成、韩梅</w:t>
      </w:r>
      <w:r>
        <w:rPr>
          <w:rFonts w:hint="eastAsia" w:ascii="仿宋" w:hAnsi="仿宋" w:eastAsia="仿宋" w:cs="仿宋"/>
          <w:color w:val="auto"/>
          <w:sz w:val="24"/>
          <w:szCs w:val="24"/>
          <w:highlight w:val="none"/>
          <w:lang w:eastAsia="zh-CN"/>
        </w:rPr>
        <w:t>共同共有</w:t>
      </w:r>
      <w:r>
        <w:rPr>
          <w:rFonts w:hint="eastAsia" w:ascii="仿宋" w:hAnsi="仿宋" w:eastAsia="仿宋" w:cs="仿宋"/>
          <w:color w:val="auto"/>
          <w:sz w:val="24"/>
          <w:szCs w:val="24"/>
          <w:highlight w:val="none"/>
        </w:rPr>
        <w:t>的位于【估价</w:t>
      </w:r>
      <w:r>
        <w:rPr>
          <w:rFonts w:hint="eastAsia" w:ascii="仿宋" w:hAnsi="仿宋" w:eastAsia="仿宋" w:cs="仿宋"/>
          <w:sz w:val="24"/>
          <w:szCs w:val="24"/>
        </w:rPr>
        <w:t>对象：</w:t>
      </w:r>
      <w:r>
        <w:rPr>
          <w:rFonts w:hint="eastAsia" w:ascii="仿宋" w:hAnsi="仿宋" w:eastAsia="仿宋" w:cs="仿宋"/>
          <w:sz w:val="24"/>
          <w:szCs w:val="24"/>
          <w:lang w:eastAsia="zh-CN"/>
        </w:rPr>
        <w:t>全椒县襄河镇椒陵大道1号正东凯旋名门45幢2单元406室</w:t>
      </w:r>
      <w:r>
        <w:rPr>
          <w:rFonts w:hint="eastAsia" w:ascii="仿宋" w:hAnsi="仿宋" w:eastAsia="仿宋" w:cs="仿宋"/>
          <w:sz w:val="24"/>
          <w:szCs w:val="24"/>
        </w:rPr>
        <w:t>住宅用房，钢混结构，建筑面积为</w:t>
      </w:r>
      <w:r>
        <w:rPr>
          <w:rFonts w:hint="eastAsia" w:ascii="仿宋" w:hAnsi="仿宋" w:eastAsia="仿宋" w:cs="仿宋"/>
          <w:sz w:val="24"/>
          <w:szCs w:val="24"/>
          <w:lang w:eastAsia="zh-CN"/>
        </w:rPr>
        <w:t>112.45</w:t>
      </w:r>
      <w:r>
        <w:rPr>
          <w:rFonts w:hint="eastAsia" w:ascii="仿宋" w:hAnsi="仿宋" w:eastAsia="仿宋" w:cs="仿宋"/>
          <w:sz w:val="24"/>
          <w:szCs w:val="24"/>
        </w:rPr>
        <w:t>平方米，分摊</w:t>
      </w:r>
      <w:r>
        <w:rPr>
          <w:rFonts w:hint="eastAsia" w:ascii="仿宋_GB2312" w:hAnsi="仿宋" w:eastAsia="仿宋_GB2312"/>
          <w:sz w:val="24"/>
          <w:szCs w:val="24"/>
        </w:rPr>
        <w:t>土地面积</w:t>
      </w:r>
      <w:r>
        <w:rPr>
          <w:rFonts w:hint="eastAsia" w:ascii="仿宋_GB2312" w:hAnsi="仿宋" w:eastAsia="仿宋_GB2312"/>
          <w:sz w:val="24"/>
          <w:szCs w:val="24"/>
          <w:lang w:val="en-US" w:eastAsia="zh-CN"/>
        </w:rPr>
        <w:t>为49.71平方米</w:t>
      </w:r>
      <w:r>
        <w:rPr>
          <w:rFonts w:hint="eastAsia" w:ascii="仿宋" w:hAnsi="仿宋" w:eastAsia="仿宋" w:cs="仿宋"/>
          <w:sz w:val="24"/>
          <w:szCs w:val="24"/>
        </w:rPr>
        <w:t>（产权证号：</w:t>
      </w:r>
      <w:r>
        <w:rPr>
          <w:rFonts w:hint="eastAsia" w:ascii="仿宋" w:hAnsi="仿宋" w:eastAsia="仿宋" w:cs="仿宋"/>
          <w:sz w:val="24"/>
          <w:szCs w:val="24"/>
          <w:lang w:val="en-US" w:eastAsia="zh-CN"/>
        </w:rPr>
        <w:t>皖（2020）全椒县不动产权第0007324号</w:t>
      </w:r>
      <w:r>
        <w:rPr>
          <w:rFonts w:hint="eastAsia" w:ascii="仿宋" w:hAnsi="仿宋" w:eastAsia="仿宋" w:cs="仿宋"/>
          <w:sz w:val="24"/>
          <w:szCs w:val="24"/>
        </w:rPr>
        <w:t>）】的房地产，在现状利用条件下的市场价值进行了估价。估价人员遵循各项估价原则，根据估价目的和国家有关房地产估价的规范、规定，按照估价程序，经过了实地查勘与市场调查。</w:t>
      </w:r>
    </w:p>
    <w:p>
      <w:pPr>
        <w:pageBreakBefore w:val="0"/>
        <w:widowControl w:val="0"/>
        <w:kinsoku/>
        <w:wordWrap/>
        <w:overflowPunct/>
        <w:autoSpaceDE/>
        <w:autoSpaceDN/>
        <w:bidi w:val="0"/>
        <w:spacing w:line="48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估价报告摘要如下：</w:t>
      </w:r>
    </w:p>
    <w:p>
      <w:pPr>
        <w:keepNext w:val="0"/>
        <w:keepLines w:val="0"/>
        <w:pageBreakBefore w:val="0"/>
        <w:widowControl w:val="0"/>
        <w:kinsoku/>
        <w:wordWrap/>
        <w:overflowPunct/>
        <w:topLinePunct/>
        <w:autoSpaceDE/>
        <w:autoSpaceDN/>
        <w:bidi w:val="0"/>
        <w:adjustRightInd w:val="0"/>
        <w:snapToGrid w:val="0"/>
        <w:spacing w:line="480" w:lineRule="exact"/>
        <w:ind w:firstLine="472" w:firstLineChars="200"/>
        <w:textAlignment w:val="auto"/>
        <w:rPr>
          <w:rFonts w:ascii="仿宋_GB2312" w:hAnsi="仿宋" w:eastAsia="仿宋_GB2312" w:cs="新宋体-18030"/>
          <w:color w:val="auto"/>
          <w:spacing w:val="-2"/>
          <w:sz w:val="24"/>
        </w:rPr>
      </w:pPr>
      <w:r>
        <w:rPr>
          <w:rFonts w:hint="eastAsia" w:ascii="仿宋_GB2312" w:hAnsi="仿宋" w:eastAsia="仿宋_GB2312" w:cs="新宋体-18030"/>
          <w:color w:val="auto"/>
          <w:spacing w:val="-2"/>
          <w:sz w:val="24"/>
        </w:rPr>
        <w:t>根据</w:t>
      </w:r>
      <w:r>
        <w:rPr>
          <w:rFonts w:hint="eastAsia" w:ascii="仿宋_GB2312" w:hAnsi="仿宋" w:eastAsia="仿宋_GB2312" w:cs="新宋体-18030"/>
          <w:color w:val="auto"/>
          <w:spacing w:val="-2"/>
          <w:sz w:val="24"/>
          <w:lang w:val="en-US" w:eastAsia="zh-CN"/>
        </w:rPr>
        <w:t>委托方</w:t>
      </w:r>
      <w:r>
        <w:rPr>
          <w:rFonts w:hint="eastAsia" w:ascii="仿宋_GB2312" w:hAnsi="仿宋" w:eastAsia="仿宋_GB2312" w:cs="新宋体-18030"/>
          <w:color w:val="auto"/>
          <w:spacing w:val="-2"/>
          <w:sz w:val="24"/>
        </w:rPr>
        <w:t>提供的</w:t>
      </w:r>
      <w:r>
        <w:rPr>
          <w:rFonts w:hint="eastAsia" w:ascii="仿宋_GB2312" w:hAnsi="仿宋" w:eastAsia="仿宋_GB2312" w:cs="新宋体-18030"/>
          <w:color w:val="auto"/>
          <w:spacing w:val="-2"/>
          <w:sz w:val="24"/>
          <w:lang w:eastAsia="zh-CN"/>
        </w:rPr>
        <w:t>《</w:t>
      </w:r>
      <w:r>
        <w:rPr>
          <w:rFonts w:hint="eastAsia" w:ascii="仿宋_GB2312" w:hAnsi="仿宋" w:eastAsia="仿宋_GB2312" w:cs="新宋体-18030"/>
          <w:color w:val="auto"/>
          <w:spacing w:val="-2"/>
          <w:sz w:val="24"/>
          <w:lang w:val="en-US" w:eastAsia="zh-CN"/>
        </w:rPr>
        <w:t>不动产权证</w:t>
      </w:r>
      <w:r>
        <w:rPr>
          <w:rFonts w:hint="eastAsia" w:ascii="仿宋_GB2312" w:hAnsi="仿宋" w:eastAsia="仿宋_GB2312" w:cs="新宋体-18030"/>
          <w:color w:val="auto"/>
          <w:spacing w:val="-2"/>
          <w:sz w:val="24"/>
          <w:lang w:eastAsia="zh-CN"/>
        </w:rPr>
        <w:t>》、</w:t>
      </w:r>
      <w:r>
        <w:rPr>
          <w:rFonts w:hint="eastAsia" w:ascii="仿宋_GB2312" w:hAnsi="仿宋" w:eastAsia="仿宋_GB2312" w:cs="新宋体-18030"/>
          <w:color w:val="auto"/>
          <w:spacing w:val="-2"/>
          <w:sz w:val="24"/>
        </w:rPr>
        <w:t>《</w:t>
      </w:r>
      <w:r>
        <w:rPr>
          <w:rFonts w:hint="eastAsia" w:ascii="仿宋_GB2312" w:hAnsi="仿宋" w:eastAsia="仿宋_GB2312" w:cs="新宋体-18030"/>
          <w:color w:val="auto"/>
          <w:spacing w:val="-2"/>
          <w:sz w:val="24"/>
          <w:lang w:val="en-US" w:eastAsia="zh-CN"/>
        </w:rPr>
        <w:t>不动产登记信息</w:t>
      </w:r>
      <w:r>
        <w:rPr>
          <w:rFonts w:hint="eastAsia" w:ascii="仿宋_GB2312" w:hAnsi="仿宋" w:eastAsia="仿宋_GB2312" w:cs="新宋体-18030"/>
          <w:color w:val="auto"/>
          <w:spacing w:val="-2"/>
          <w:sz w:val="24"/>
        </w:rPr>
        <w:t>》及《估价委托书》，本次估价对象具体范围及座落、规模、用途等权属情况见下表：</w:t>
      </w:r>
    </w:p>
    <w:p>
      <w:pPr>
        <w:keepNext w:val="0"/>
        <w:keepLines w:val="0"/>
        <w:pageBreakBefore w:val="0"/>
        <w:widowControl w:val="0"/>
        <w:kinsoku/>
        <w:wordWrap/>
        <w:overflowPunct/>
        <w:topLinePunct/>
        <w:autoSpaceDE/>
        <w:autoSpaceDN/>
        <w:bidi w:val="0"/>
        <w:adjustRightInd w:val="0"/>
        <w:snapToGrid w:val="0"/>
        <w:spacing w:line="480" w:lineRule="exact"/>
        <w:jc w:val="center"/>
        <w:textAlignment w:val="auto"/>
        <w:rPr>
          <w:rFonts w:hint="eastAsia" w:ascii="微软雅黑" w:hAnsi="微软雅黑" w:eastAsia="微软雅黑"/>
          <w:b w:val="0"/>
          <w:bCs w:val="0"/>
          <w:color w:val="auto"/>
        </w:rPr>
      </w:pPr>
      <w:r>
        <w:rPr>
          <w:rFonts w:hint="eastAsia" w:ascii="微软雅黑" w:hAnsi="微软雅黑" w:eastAsia="微软雅黑"/>
          <w:b w:val="0"/>
          <w:bCs w:val="0"/>
          <w:color w:val="auto"/>
        </w:rPr>
        <w:t>估价对象一览表</w:t>
      </w:r>
    </w:p>
    <w:tbl>
      <w:tblPr>
        <w:tblStyle w:val="26"/>
        <w:tblW w:w="10319" w:type="dxa"/>
        <w:tblInd w:w="-934" w:type="dxa"/>
        <w:shd w:val="clear" w:color="auto" w:fill="auto"/>
        <w:tblLayout w:type="fixed"/>
        <w:tblCellMar>
          <w:top w:w="0" w:type="dxa"/>
          <w:left w:w="0" w:type="dxa"/>
          <w:bottom w:w="0" w:type="dxa"/>
          <w:right w:w="0" w:type="dxa"/>
        </w:tblCellMar>
      </w:tblPr>
      <w:tblGrid>
        <w:gridCol w:w="727"/>
        <w:gridCol w:w="1927"/>
        <w:gridCol w:w="1073"/>
        <w:gridCol w:w="808"/>
        <w:gridCol w:w="819"/>
        <w:gridCol w:w="912"/>
        <w:gridCol w:w="934"/>
        <w:gridCol w:w="739"/>
        <w:gridCol w:w="715"/>
        <w:gridCol w:w="665"/>
        <w:gridCol w:w="1000"/>
      </w:tblGrid>
      <w:tr>
        <w:tblPrEx>
          <w:tblCellMar>
            <w:top w:w="0" w:type="dxa"/>
            <w:left w:w="0" w:type="dxa"/>
            <w:bottom w:w="0" w:type="dxa"/>
            <w:right w:w="0" w:type="dxa"/>
          </w:tblCellMar>
        </w:tblPrEx>
        <w:trPr>
          <w:trHeight w:val="8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序号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坐落</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产权人/权利人</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建筑面积（M</w:t>
            </w:r>
            <w:r>
              <w:rPr>
                <w:rFonts w:hint="eastAsia" w:ascii="仿宋_GB2312" w:hAnsi="仿宋" w:eastAsia="仿宋_GB2312" w:cs="新宋体-18030"/>
                <w:color w:val="auto"/>
                <w:spacing w:val="-2"/>
                <w:sz w:val="20"/>
                <w:szCs w:val="16"/>
                <w:vertAlign w:val="superscript"/>
                <w:lang w:val="en-US" w:eastAsia="zh-CN"/>
              </w:rPr>
              <w:t>2</w:t>
            </w:r>
            <w:r>
              <w:rPr>
                <w:rFonts w:hint="eastAsia" w:ascii="仿宋_GB2312" w:hAnsi="仿宋" w:eastAsia="仿宋_GB2312" w:cs="新宋体-18030"/>
                <w:color w:val="auto"/>
                <w:spacing w:val="-2"/>
                <w:sz w:val="20"/>
                <w:szCs w:val="16"/>
                <w:lang w:val="en-US" w:eastAsia="zh-CN"/>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分摊土地面积（M</w:t>
            </w:r>
            <w:r>
              <w:rPr>
                <w:rFonts w:hint="eastAsia" w:ascii="仿宋_GB2312" w:hAnsi="仿宋" w:eastAsia="仿宋_GB2312" w:cs="新宋体-18030"/>
                <w:color w:val="auto"/>
                <w:spacing w:val="-2"/>
                <w:sz w:val="20"/>
                <w:szCs w:val="16"/>
                <w:vertAlign w:val="superscript"/>
                <w:lang w:val="en-US" w:eastAsia="zh-CN"/>
              </w:rPr>
              <w:t>2</w:t>
            </w:r>
            <w:r>
              <w:rPr>
                <w:rFonts w:hint="eastAsia" w:ascii="仿宋_GB2312" w:hAnsi="仿宋" w:eastAsia="仿宋_GB2312" w:cs="新宋体-18030"/>
                <w:color w:val="auto"/>
                <w:spacing w:val="-2"/>
                <w:sz w:val="20"/>
                <w:szCs w:val="16"/>
                <w:lang w:val="en-US" w:eastAsia="zh-CN"/>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规划/设计用途</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证载土地用途</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建筑结构</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总楼层</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所在层</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备注</w:t>
            </w:r>
          </w:p>
        </w:tc>
      </w:tr>
      <w:tr>
        <w:tblPrEx>
          <w:tblCellMar>
            <w:top w:w="0" w:type="dxa"/>
            <w:left w:w="0" w:type="dxa"/>
            <w:bottom w:w="0" w:type="dxa"/>
            <w:right w:w="0" w:type="dxa"/>
          </w:tblCellMar>
        </w:tblPrEx>
        <w:trPr>
          <w:trHeight w:val="111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adjustRightInd w:val="0"/>
              <w:snapToGrid w:val="0"/>
              <w:spacing w:line="276" w:lineRule="auto"/>
              <w:ind w:firstLine="196" w:firstLineChars="100"/>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1</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default" w:ascii="仿宋_GB2312" w:hAnsi="仿宋" w:eastAsia="仿宋_GB2312" w:cs="新宋体-18030"/>
                <w:color w:val="auto"/>
                <w:spacing w:val="-2"/>
                <w:sz w:val="20"/>
                <w:szCs w:val="16"/>
                <w:lang w:val="en-US" w:eastAsia="zh-CN"/>
              </w:rPr>
            </w:pPr>
            <w:r>
              <w:rPr>
                <w:rFonts w:hint="eastAsia" w:ascii="仿宋_GB2312" w:hAnsi="仿宋" w:eastAsia="仿宋_GB2312" w:cs="新宋体-18030"/>
                <w:color w:val="auto"/>
                <w:spacing w:val="-2"/>
                <w:sz w:val="20"/>
                <w:szCs w:val="16"/>
                <w:lang w:val="en-US" w:eastAsia="zh-CN"/>
              </w:rPr>
              <w:t>全椒县襄河镇椒陵大道1号正东凯旋名门45幢2单元406室</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eastAsia="zh-CN"/>
              </w:rPr>
              <w:t>魏新成、韩梅</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val="0"/>
                <w:i w:val="0"/>
                <w:color w:val="auto"/>
                <w:sz w:val="20"/>
                <w:szCs w:val="20"/>
                <w:u w:val="none"/>
                <w:lang w:val="en-US" w:eastAsia="zh-CN"/>
              </w:rPr>
            </w:pPr>
            <w:r>
              <w:rPr>
                <w:rFonts w:hint="eastAsia" w:ascii="仿宋" w:hAnsi="仿宋" w:cs="仿宋"/>
                <w:b w:val="0"/>
                <w:bCs w:val="0"/>
                <w:i w:val="0"/>
                <w:color w:val="auto"/>
                <w:sz w:val="20"/>
                <w:szCs w:val="20"/>
                <w:u w:val="none"/>
                <w:lang w:eastAsia="zh-CN"/>
              </w:rPr>
              <w:t>112.45</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ind w:firstLine="200" w:firstLineChars="100"/>
              <w:jc w:val="center"/>
              <w:rPr>
                <w:rFonts w:hint="default" w:ascii="仿宋_GB2312" w:hAnsi="仿宋" w:eastAsia="仿宋_GB2312" w:cs="新宋体-18030"/>
                <w:color w:val="auto"/>
                <w:spacing w:val="-2"/>
                <w:sz w:val="20"/>
                <w:szCs w:val="16"/>
                <w:lang w:val="en-US" w:eastAsia="zh-CN"/>
              </w:rPr>
            </w:pPr>
            <w:r>
              <w:rPr>
                <w:rFonts w:hint="eastAsia" w:ascii="仿宋" w:hAnsi="仿宋" w:cs="仿宋"/>
                <w:b w:val="0"/>
                <w:bCs w:val="0"/>
                <w:i w:val="0"/>
                <w:color w:val="auto"/>
                <w:sz w:val="20"/>
                <w:szCs w:val="20"/>
                <w:u w:val="none"/>
                <w:lang w:val="en-US" w:eastAsia="zh-CN"/>
              </w:rPr>
              <w:t>49.71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住宅</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住宅</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lang w:val="en-US" w:eastAsia="zh-CN"/>
              </w:rPr>
            </w:pPr>
            <w:r>
              <w:rPr>
                <w:rFonts w:hint="eastAsia" w:ascii="仿宋_GB2312" w:hAnsi="仿宋" w:eastAsia="仿宋_GB2312" w:cs="新宋体-18030"/>
                <w:color w:val="auto"/>
                <w:spacing w:val="-2"/>
                <w:sz w:val="20"/>
                <w:szCs w:val="16"/>
                <w:lang w:val="en-US" w:eastAsia="zh-CN"/>
              </w:rPr>
              <w:t>钢混</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ind w:firstLine="196" w:firstLineChars="100"/>
              <w:jc w:val="center"/>
              <w:rPr>
                <w:rFonts w:hint="default" w:ascii="仿宋_GB2312" w:hAnsi="仿宋" w:eastAsia="仿宋_GB2312" w:cs="新宋体-18030"/>
                <w:color w:val="auto"/>
                <w:spacing w:val="-2"/>
                <w:sz w:val="20"/>
                <w:szCs w:val="16"/>
                <w:lang w:val="en-US" w:eastAsia="zh-CN"/>
              </w:rPr>
            </w:pPr>
            <w:r>
              <w:rPr>
                <w:rFonts w:hint="eastAsia" w:ascii="仿宋_GB2312" w:hAnsi="仿宋" w:eastAsia="仿宋_GB2312" w:cs="新宋体-18030"/>
                <w:color w:val="auto"/>
                <w:spacing w:val="-2"/>
                <w:sz w:val="20"/>
                <w:szCs w:val="16"/>
                <w:lang w:val="en-US" w:eastAsia="zh-CN"/>
              </w:rPr>
              <w:t>17</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ind w:firstLine="392" w:firstLineChars="200"/>
              <w:jc w:val="center"/>
              <w:rPr>
                <w:rFonts w:hint="default" w:ascii="仿宋_GB2312" w:hAnsi="仿宋" w:eastAsia="仿宋_GB2312" w:cs="新宋体-18030"/>
                <w:color w:val="auto"/>
                <w:spacing w:val="-2"/>
                <w:sz w:val="20"/>
                <w:szCs w:val="16"/>
                <w:lang w:val="en-US"/>
              </w:rPr>
            </w:pPr>
            <w:r>
              <w:rPr>
                <w:rFonts w:hint="eastAsia" w:ascii="仿宋_GB2312" w:hAnsi="仿宋" w:eastAsia="仿宋_GB2312" w:cs="新宋体-18030"/>
                <w:color w:val="auto"/>
                <w:spacing w:val="-2"/>
                <w:sz w:val="20"/>
                <w:szCs w:val="16"/>
                <w:lang w:val="en-US" w:eastAsia="zh-CN"/>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 w:hAnsi="仿宋" w:cs="仿宋"/>
                <w:b w:val="0"/>
                <w:bCs w:val="0"/>
                <w:i w:val="0"/>
                <w:color w:val="auto"/>
                <w:sz w:val="20"/>
                <w:szCs w:val="20"/>
                <w:u w:val="none"/>
                <w:lang w:eastAsia="zh-CN"/>
              </w:rPr>
              <w:t>——</w:t>
            </w:r>
          </w:p>
        </w:tc>
      </w:tr>
      <w:tr>
        <w:tblPrEx>
          <w:tblCellMar>
            <w:top w:w="0" w:type="dxa"/>
            <w:left w:w="0" w:type="dxa"/>
            <w:bottom w:w="0" w:type="dxa"/>
            <w:right w:w="0" w:type="dxa"/>
          </w:tblCellMar>
        </w:tblPrEx>
        <w:trPr>
          <w:trHeight w:val="36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_GB2312" w:hAnsi="仿宋" w:eastAsia="仿宋_GB2312" w:cs="新宋体-18030"/>
                <w:color w:val="auto"/>
                <w:spacing w:val="-2"/>
                <w:sz w:val="20"/>
                <w:szCs w:val="16"/>
                <w:lang w:val="en-US" w:eastAsia="zh-CN"/>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lang w:eastAsia="zh-CN"/>
              </w:rPr>
            </w:pPr>
            <w:r>
              <w:rPr>
                <w:rFonts w:hint="eastAsia" w:ascii="仿宋" w:hAnsi="仿宋" w:cs="仿宋"/>
                <w:b w:val="0"/>
                <w:bCs w:val="0"/>
                <w:i w:val="0"/>
                <w:color w:val="auto"/>
                <w:sz w:val="20"/>
                <w:szCs w:val="20"/>
                <w:u w:val="none"/>
                <w:lang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val="0"/>
                <w:i w:val="0"/>
                <w:color w:val="auto"/>
                <w:sz w:val="20"/>
                <w:szCs w:val="20"/>
                <w:u w:val="none"/>
                <w:lang w:val="en-US" w:eastAsia="zh-CN"/>
              </w:rPr>
            </w:pPr>
            <w:r>
              <w:rPr>
                <w:rFonts w:hint="eastAsia" w:ascii="仿宋" w:hAnsi="仿宋" w:cs="仿宋"/>
                <w:b w:val="0"/>
                <w:bCs w:val="0"/>
                <w:i w:val="0"/>
                <w:color w:val="auto"/>
                <w:sz w:val="20"/>
                <w:szCs w:val="20"/>
                <w:u w:val="none"/>
                <w:lang w:eastAsia="zh-CN"/>
              </w:rPr>
              <w:t>112.45</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ind w:firstLine="200" w:firstLineChars="100"/>
              <w:jc w:val="center"/>
              <w:rPr>
                <w:rFonts w:hint="eastAsia" w:ascii="仿宋_GB2312" w:hAnsi="仿宋" w:eastAsia="仿宋_GB2312" w:cs="新宋体-18030"/>
                <w:color w:val="auto"/>
                <w:spacing w:val="-2"/>
                <w:sz w:val="20"/>
                <w:szCs w:val="16"/>
                <w:lang w:val="en-US" w:eastAsia="zh-CN"/>
              </w:rPr>
            </w:pPr>
            <w:r>
              <w:rPr>
                <w:rFonts w:hint="eastAsia" w:ascii="仿宋" w:hAnsi="仿宋" w:cs="仿宋"/>
                <w:b w:val="0"/>
                <w:bCs w:val="0"/>
                <w:i w:val="0"/>
                <w:color w:val="auto"/>
                <w:sz w:val="20"/>
                <w:szCs w:val="20"/>
                <w:u w:val="none"/>
                <w:lang w:val="en-US" w:eastAsia="zh-CN"/>
              </w:rPr>
              <w:t>49.71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估价目的：</w:t>
      </w:r>
      <w:r>
        <w:rPr>
          <w:rFonts w:hint="eastAsia" w:ascii="仿宋" w:hAnsi="仿宋" w:eastAsia="仿宋" w:cs="新宋体-18030"/>
          <w:color w:val="000000"/>
          <w:sz w:val="24"/>
          <w:lang w:eastAsia="zh-CN"/>
        </w:rPr>
        <w:t>为人民法院确定财产处置参考价提供参考依据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价值时点：</w:t>
      </w:r>
      <w:r>
        <w:rPr>
          <w:rFonts w:hint="eastAsia" w:ascii="仿宋" w:hAnsi="仿宋" w:eastAsia="仿宋" w:cs="仿宋"/>
          <w:sz w:val="24"/>
          <w:szCs w:val="24"/>
          <w:lang w:eastAsia="zh-CN"/>
        </w:rPr>
        <w:t>2022年7月21日</w:t>
      </w:r>
      <w:r>
        <w:rPr>
          <w:rFonts w:hint="eastAsia" w:ascii="仿宋" w:hAnsi="仿宋" w:eastAsia="仿宋" w:cs="仿宋"/>
          <w:sz w:val="24"/>
          <w:szCs w:val="24"/>
        </w:rPr>
        <w:t>（实地查勘日）</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估价方法：比较法</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价值类型：房地产市场价值</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估价结果：估价对象房地产在满足本估价报告中“估价的假设和限制条件”下，在价值时点的房地产市场价值总价</w:t>
      </w:r>
      <w:r>
        <w:rPr>
          <w:rFonts w:hint="eastAsia" w:ascii="仿宋" w:hAnsi="仿宋" w:eastAsia="仿宋" w:cs="仿宋"/>
          <w:color w:val="auto"/>
          <w:sz w:val="24"/>
          <w:szCs w:val="24"/>
          <w:highlight w:val="none"/>
        </w:rPr>
        <w:t>为:</w:t>
      </w:r>
      <w:r>
        <w:rPr>
          <w:rFonts w:ascii="宋体" w:hAnsi="宋体" w:eastAsia="宋体" w:cs="宋体"/>
          <w:color w:val="auto"/>
          <w:sz w:val="24"/>
          <w:szCs w:val="24"/>
          <w:highlight w:val="none"/>
        </w:rPr>
        <w:t>¥</w:t>
      </w:r>
      <w:r>
        <w:rPr>
          <w:rFonts w:hint="eastAsia" w:ascii="仿宋" w:hAnsi="仿宋" w:eastAsia="仿宋" w:cs="仿宋"/>
          <w:color w:val="auto"/>
          <w:sz w:val="24"/>
          <w:szCs w:val="24"/>
          <w:highlight w:val="none"/>
          <w:lang w:eastAsia="zh-CN"/>
        </w:rPr>
        <w:t>63.98</w:t>
      </w:r>
      <w:r>
        <w:rPr>
          <w:rFonts w:hint="eastAsia" w:ascii="仿宋" w:hAnsi="仿宋" w:eastAsia="仿宋" w:cs="仿宋"/>
          <w:color w:val="auto"/>
          <w:sz w:val="24"/>
          <w:szCs w:val="24"/>
          <w:highlight w:val="none"/>
        </w:rPr>
        <w:t>万元，大写金额</w:t>
      </w:r>
      <w:r>
        <w:rPr>
          <w:rFonts w:hint="eastAsia" w:ascii="仿宋" w:hAnsi="仿宋" w:eastAsia="仿宋" w:cs="仿宋"/>
          <w:sz w:val="24"/>
          <w:szCs w:val="24"/>
        </w:rPr>
        <w:t>：</w:t>
      </w:r>
      <w:r>
        <w:rPr>
          <w:rFonts w:hint="eastAsia" w:ascii="仿宋" w:hAnsi="仿宋" w:eastAsia="仿宋" w:cs="仿宋"/>
          <w:sz w:val="24"/>
          <w:szCs w:val="24"/>
          <w:lang w:val="en-US" w:eastAsia="zh-CN"/>
        </w:rPr>
        <w:t>人民币</w:t>
      </w:r>
      <w:r>
        <w:rPr>
          <w:rFonts w:hint="eastAsia" w:ascii="仿宋" w:hAnsi="仿宋" w:eastAsia="仿宋" w:cs="仿宋"/>
          <w:sz w:val="24"/>
          <w:szCs w:val="24"/>
          <w:lang w:eastAsia="zh-CN"/>
        </w:rPr>
        <w:t>陆拾叁万玖仟捌佰元整</w:t>
      </w:r>
      <w:r>
        <w:rPr>
          <w:rFonts w:hint="eastAsia" w:ascii="仿宋" w:hAnsi="仿宋" w:eastAsia="仿宋" w:cs="仿宋"/>
          <w:sz w:val="24"/>
          <w:szCs w:val="24"/>
        </w:rPr>
        <w:t>，评估单价：</w:t>
      </w:r>
      <w:r>
        <w:rPr>
          <w:rFonts w:hint="eastAsia" w:ascii="仿宋" w:hAnsi="仿宋" w:eastAsia="仿宋" w:cs="仿宋"/>
          <w:sz w:val="24"/>
          <w:szCs w:val="24"/>
          <w:lang w:val="en-US" w:eastAsia="zh-CN"/>
        </w:rPr>
        <w:t>5690</w:t>
      </w:r>
      <w:r>
        <w:rPr>
          <w:rFonts w:hint="eastAsia" w:ascii="仿宋" w:hAnsi="仿宋" w:eastAsia="仿宋" w:cs="仿宋"/>
          <w:sz w:val="24"/>
          <w:szCs w:val="24"/>
          <w:lang w:eastAsia="zh-CN"/>
        </w:rPr>
        <w:t>.00</w:t>
      </w:r>
      <w:r>
        <w:rPr>
          <w:rFonts w:hint="eastAsia" w:ascii="仿宋" w:hAnsi="仿宋" w:eastAsia="仿宋" w:cs="仿宋"/>
          <w:sz w:val="24"/>
          <w:szCs w:val="24"/>
        </w:rPr>
        <w:t>元/平方米。</w:t>
      </w:r>
    </w:p>
    <w:p>
      <w:pPr>
        <w:keepNext w:val="0"/>
        <w:keepLines w:val="0"/>
        <w:pageBreakBefore w:val="0"/>
        <w:widowControl w:val="0"/>
        <w:kinsoku/>
        <w:wordWrap/>
        <w:overflowPunct/>
        <w:topLinePunct w:val="0"/>
        <w:autoSpaceDE/>
        <w:autoSpaceDN/>
        <w:bidi w:val="0"/>
        <w:adjustRightInd w:val="0"/>
        <w:snapToGrid w:val="0"/>
        <w:spacing w:line="480" w:lineRule="exact"/>
        <w:ind w:firstLine="474" w:firstLineChars="200"/>
        <w:textAlignment w:val="auto"/>
        <w:rPr>
          <w:rFonts w:ascii="仿宋" w:hAnsi="仿宋" w:eastAsia="仿宋" w:cs="新宋体-18030"/>
          <w:b/>
          <w:color w:val="000000" w:themeColor="text1"/>
          <w:spacing w:val="-2"/>
          <w:sz w:val="24"/>
          <w:szCs w:val="24"/>
        </w:rPr>
      </w:pPr>
      <w:r>
        <w:rPr>
          <w:rFonts w:hint="eastAsia" w:ascii="仿宋" w:hAnsi="仿宋" w:eastAsia="仿宋" w:cs="新宋体-18030"/>
          <w:b/>
          <w:color w:val="000000" w:themeColor="text1"/>
          <w:spacing w:val="-2"/>
          <w:sz w:val="24"/>
          <w:szCs w:val="24"/>
        </w:rPr>
        <w:t>特别提示:</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rPr>
          <w:rFonts w:ascii="仿宋_GB2312" w:hAnsi="仿宋" w:eastAsia="仿宋_GB2312" w:cs="新宋体-18030"/>
          <w:color w:val="000000" w:themeColor="text1"/>
          <w:spacing w:val="-2"/>
          <w:sz w:val="24"/>
        </w:rPr>
      </w:pPr>
      <w:r>
        <w:rPr>
          <w:rFonts w:hint="eastAsia" w:ascii="仿宋_GB2312" w:hAnsi="仿宋" w:eastAsia="仿宋_GB2312" w:cs="新宋体-18030"/>
          <w:color w:val="000000" w:themeColor="text1"/>
          <w:spacing w:val="-2"/>
          <w:sz w:val="24"/>
        </w:rPr>
        <w:t>（一）上述评估值为估价对象在满足本报告全部假设和限制条件下于价值时点</w:t>
      </w:r>
      <w:r>
        <w:rPr>
          <w:rFonts w:hint="eastAsia" w:ascii="仿宋_GB2312" w:hAnsi="仿宋" w:eastAsia="仿宋_GB2312" w:cs="新宋体-18030"/>
          <w:color w:val="000000" w:themeColor="text1"/>
          <w:spacing w:val="-2"/>
          <w:sz w:val="24"/>
          <w:lang w:eastAsia="zh-CN"/>
        </w:rPr>
        <w:t>2022年7月21日</w:t>
      </w:r>
      <w:r>
        <w:rPr>
          <w:rFonts w:hint="eastAsia" w:ascii="仿宋_GB2312" w:hAnsi="仿宋" w:eastAsia="仿宋_GB2312" w:cs="新宋体-18030"/>
          <w:color w:val="000000" w:themeColor="text1"/>
          <w:spacing w:val="-2"/>
          <w:sz w:val="24"/>
        </w:rPr>
        <w:t xml:space="preserve">的估价结果。 </w:t>
      </w:r>
    </w:p>
    <w:p>
      <w:pPr>
        <w:keepNext w:val="0"/>
        <w:keepLines w:val="0"/>
        <w:pageBreakBefore w:val="0"/>
        <w:widowControl w:val="0"/>
        <w:kinsoku/>
        <w:wordWrap/>
        <w:overflowPunct/>
        <w:topLinePunct w:val="0"/>
        <w:autoSpaceDE/>
        <w:autoSpaceDN/>
        <w:bidi w:val="0"/>
        <w:spacing w:line="480" w:lineRule="exact"/>
        <w:ind w:firstLine="472" w:firstLineChars="200"/>
        <w:textAlignment w:val="auto"/>
        <w:rPr>
          <w:rFonts w:ascii="仿宋_GB2312" w:hAnsi="仿宋" w:eastAsia="仿宋_GB2312" w:cs="新宋体-18030"/>
          <w:color w:val="000000" w:themeColor="text1"/>
          <w:spacing w:val="-2"/>
          <w:sz w:val="24"/>
        </w:rPr>
      </w:pPr>
      <w:r>
        <w:rPr>
          <w:rFonts w:hint="eastAsia" w:ascii="仿宋_GB2312" w:hAnsi="仿宋" w:eastAsia="仿宋_GB2312" w:cs="新宋体-18030"/>
          <w:color w:val="000000" w:themeColor="text1"/>
          <w:spacing w:val="-2"/>
          <w:sz w:val="24"/>
        </w:rPr>
        <w:t>（二）</w:t>
      </w:r>
      <w:r>
        <w:rPr>
          <w:rFonts w:ascii="仿宋_GB2312" w:hAnsi="仿宋" w:eastAsia="仿宋_GB2312" w:cs="新宋体-18030"/>
          <w:color w:val="000000" w:themeColor="text1"/>
          <w:spacing w:val="-2"/>
          <w:sz w:val="24"/>
        </w:rPr>
        <w:t>本报告的使用有效期为自估价报告出具之日</w:t>
      </w:r>
      <w:r>
        <w:rPr>
          <w:rFonts w:hint="eastAsia" w:ascii="仿宋_GB2312" w:hAnsi="仿宋" w:eastAsia="仿宋_GB2312" w:cs="新宋体-18030"/>
          <w:color w:val="000000" w:themeColor="text1"/>
          <w:spacing w:val="-2"/>
          <w:sz w:val="24"/>
          <w:lang w:eastAsia="zh-CN"/>
        </w:rPr>
        <w:t>2022年8月29日</w:t>
      </w:r>
      <w:r>
        <w:rPr>
          <w:rFonts w:ascii="仿宋_GB2312" w:hAnsi="仿宋" w:eastAsia="仿宋_GB2312" w:cs="新宋体-18030"/>
          <w:color w:val="000000" w:themeColor="text1"/>
          <w:spacing w:val="-2"/>
          <w:sz w:val="24"/>
        </w:rPr>
        <w:t>起计算为壹年。</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rPr>
          <w:rFonts w:ascii="仿宋_GB2312" w:hAnsi="仿宋" w:eastAsia="仿宋_GB2312" w:cs="新宋体-18030"/>
          <w:color w:val="000000" w:themeColor="text1"/>
          <w:spacing w:val="-2"/>
          <w:sz w:val="24"/>
        </w:rPr>
      </w:pPr>
      <w:r>
        <w:rPr>
          <w:rFonts w:hint="eastAsia" w:ascii="仿宋_GB2312" w:hAnsi="仿宋" w:eastAsia="仿宋_GB2312" w:cs="新宋体-18030"/>
          <w:color w:val="000000" w:themeColor="text1"/>
          <w:spacing w:val="-2"/>
          <w:sz w:val="24"/>
        </w:rPr>
        <w:t>（三）上述结论在应用时应认真阅读本估价报告书全文。</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p>
    <w:p>
      <w:pPr>
        <w:adjustRightInd w:val="0"/>
        <w:snapToGrid w:val="0"/>
        <w:rPr>
          <w:rFonts w:ascii="仿宋_GB2312" w:hAnsi="仿宋" w:eastAsia="仿宋_GB2312"/>
          <w:sz w:val="24"/>
          <w:szCs w:val="24"/>
        </w:rPr>
      </w:pPr>
    </w:p>
    <w:p>
      <w:pPr>
        <w:spacing w:line="340" w:lineRule="exact"/>
        <w:rPr>
          <w:rFonts w:ascii="仿宋_GB2312" w:hAnsi="仿宋" w:eastAsia="仿宋_GB2312" w:cs="新宋体-18030"/>
          <w:b/>
          <w:bCs/>
          <w:color w:val="000000" w:themeColor="text1"/>
          <w:spacing w:val="20"/>
          <w:sz w:val="24"/>
        </w:rPr>
      </w:pPr>
      <w:bookmarkStart w:id="5" w:name="_Toc433731387"/>
    </w:p>
    <w:p>
      <w:pPr>
        <w:spacing w:line="340" w:lineRule="exact"/>
        <w:ind w:firstLine="281" w:firstLineChars="100"/>
        <w:rPr>
          <w:rFonts w:ascii="仿宋_GB2312" w:hAnsi="仿宋" w:eastAsia="仿宋_GB2312" w:cs="新宋体-18030"/>
          <w:b/>
          <w:bCs/>
          <w:color w:val="000000" w:themeColor="text1"/>
          <w:spacing w:val="20"/>
          <w:sz w:val="24"/>
        </w:rPr>
      </w:pPr>
      <w:r>
        <w:rPr>
          <w:rFonts w:hint="eastAsia" w:ascii="仿宋_GB2312" w:hAnsi="仿宋" w:eastAsia="仿宋_GB2312" w:cs="新宋体-18030"/>
          <w:b/>
          <w:bCs/>
          <w:color w:val="000000" w:themeColor="text1"/>
          <w:spacing w:val="20"/>
          <w:sz w:val="24"/>
        </w:rPr>
        <w:t xml:space="preserve">法定代表人（盖章）  </w:t>
      </w:r>
    </w:p>
    <w:p>
      <w:pPr>
        <w:spacing w:line="340" w:lineRule="exact"/>
        <w:ind w:firstLine="200"/>
        <w:rPr>
          <w:rFonts w:ascii="仿宋_GB2312" w:hAnsi="仿宋" w:eastAsia="仿宋_GB2312" w:cs="新宋体-18030"/>
          <w:b/>
          <w:bCs/>
          <w:color w:val="000000" w:themeColor="text1"/>
          <w:spacing w:val="20"/>
          <w:sz w:val="24"/>
        </w:rPr>
      </w:pPr>
    </w:p>
    <w:p>
      <w:pPr>
        <w:spacing w:line="340" w:lineRule="exact"/>
        <w:ind w:firstLine="200"/>
        <w:rPr>
          <w:rFonts w:hint="eastAsia" w:ascii="仿宋_GB2312" w:hAnsi="仿宋" w:eastAsia="仿宋_GB2312" w:cs="新宋体-18030"/>
          <w:b/>
          <w:bCs/>
          <w:color w:val="000000" w:themeColor="text1"/>
          <w:spacing w:val="20"/>
          <w:sz w:val="24"/>
          <w:lang w:val="en-US" w:eastAsia="zh-CN"/>
        </w:rPr>
      </w:pPr>
      <w:r>
        <w:rPr>
          <w:rFonts w:hint="eastAsia" w:ascii="仿宋_GB2312" w:hAnsi="仿宋" w:eastAsia="仿宋_GB2312" w:cs="新宋体-18030"/>
          <w:b/>
          <w:bCs/>
          <w:color w:val="000000" w:themeColor="text1"/>
          <w:spacing w:val="20"/>
          <w:sz w:val="24"/>
          <w:lang w:val="en-US" w:eastAsia="zh-CN"/>
        </w:rPr>
        <w:t xml:space="preserve"> </w:t>
      </w:r>
    </w:p>
    <w:p>
      <w:pPr>
        <w:spacing w:line="340" w:lineRule="exact"/>
        <w:ind w:right="140" w:firstLine="200"/>
        <w:jc w:val="center"/>
        <w:rPr>
          <w:rFonts w:ascii="仿宋_GB2312" w:hAnsi="仿宋" w:eastAsia="仿宋_GB2312" w:cs="新宋体-18030"/>
          <w:b/>
          <w:bCs/>
          <w:color w:val="000000" w:themeColor="text1"/>
          <w:spacing w:val="20"/>
          <w:sz w:val="24"/>
        </w:rPr>
      </w:pPr>
      <w:r>
        <w:rPr>
          <w:rFonts w:hint="eastAsia" w:ascii="仿宋_GB2312" w:hAnsi="仿宋" w:eastAsia="仿宋_GB2312" w:cs="新宋体-18030"/>
          <w:b/>
          <w:bCs/>
          <w:color w:val="000000" w:themeColor="text1"/>
          <w:spacing w:val="20"/>
          <w:sz w:val="24"/>
          <w:lang w:val="en-US" w:eastAsia="zh-CN"/>
        </w:rPr>
        <w:t xml:space="preserve">                    </w:t>
      </w:r>
      <w:r>
        <w:rPr>
          <w:rFonts w:hint="eastAsia" w:ascii="仿宋_GB2312" w:hAnsi="仿宋" w:eastAsia="仿宋_GB2312" w:cs="新宋体-18030"/>
          <w:b/>
          <w:bCs/>
          <w:color w:val="000000" w:themeColor="text1"/>
          <w:spacing w:val="20"/>
          <w:sz w:val="24"/>
        </w:rPr>
        <w:t xml:space="preserve">安徽中信房地产土地资产价格评估有限公司 </w:t>
      </w:r>
    </w:p>
    <w:bookmarkEnd w:id="5"/>
    <w:p>
      <w:pPr>
        <w:spacing w:line="340" w:lineRule="exact"/>
        <w:ind w:firstLine="5057" w:firstLineChars="1800"/>
        <w:jc w:val="both"/>
        <w:rPr>
          <w:rFonts w:hint="eastAsia" w:ascii="仿宋_GB2312" w:hAnsi="仿宋" w:eastAsia="仿宋_GB2312" w:cs="仿宋_GB2312"/>
          <w:b/>
          <w:bCs/>
          <w:color w:val="000000" w:themeColor="text1"/>
          <w:sz w:val="44"/>
          <w:szCs w:val="44"/>
        </w:rPr>
      </w:pPr>
      <w:bookmarkStart w:id="6" w:name="_Toc18392"/>
      <w:r>
        <w:rPr>
          <w:rFonts w:hint="eastAsia" w:ascii="仿宋_GB2312" w:hAnsi="仿宋" w:eastAsia="仿宋_GB2312" w:cs="新宋体-18030"/>
          <w:b/>
          <w:bCs/>
          <w:color w:val="000000" w:themeColor="text1"/>
          <w:spacing w:val="20"/>
          <w:sz w:val="24"/>
          <w:lang w:eastAsia="zh-CN"/>
        </w:rPr>
        <w:t>二零二二年八月二十九日</w:t>
      </w:r>
      <w:r>
        <w:rPr>
          <w:rFonts w:ascii="仿宋" w:hAnsi="仿宋" w:eastAsia="仿宋" w:cs="宋体"/>
          <w:bCs/>
          <w:color w:val="000000" w:themeColor="text1"/>
        </w:rPr>
        <w:br w:type="page"/>
      </w:r>
    </w:p>
    <w:p>
      <w:pPr>
        <w:spacing w:line="440" w:lineRule="exact"/>
        <w:jc w:val="center"/>
        <w:rPr>
          <w:rFonts w:hint="eastAsia" w:ascii="仿宋_GB2312" w:hAnsi="仿宋" w:eastAsia="仿宋_GB2312" w:cs="仿宋_GB2312"/>
          <w:b/>
          <w:bCs/>
          <w:color w:val="000000" w:themeColor="text1"/>
          <w:sz w:val="44"/>
          <w:szCs w:val="44"/>
        </w:rPr>
      </w:pPr>
    </w:p>
    <w:p>
      <w:pPr>
        <w:spacing w:line="440" w:lineRule="exact"/>
        <w:jc w:val="center"/>
        <w:rPr>
          <w:rFonts w:hint="eastAsia" w:ascii="仿宋_GB2312" w:hAnsi="仿宋" w:eastAsia="仿宋_GB2312" w:cs="仿宋_GB2312"/>
          <w:b/>
          <w:bCs/>
          <w:color w:val="000000" w:themeColor="text1"/>
          <w:sz w:val="44"/>
          <w:szCs w:val="44"/>
        </w:rPr>
      </w:pPr>
    </w:p>
    <w:p>
      <w:pPr>
        <w:spacing w:line="440" w:lineRule="exact"/>
        <w:jc w:val="center"/>
        <w:rPr>
          <w:rFonts w:hint="eastAsia" w:ascii="仿宋_GB2312" w:hAnsi="仿宋" w:eastAsia="仿宋_GB2312" w:cs="仿宋_GB2312"/>
          <w:b/>
          <w:bCs/>
          <w:color w:val="000000" w:themeColor="text1"/>
          <w:sz w:val="44"/>
          <w:szCs w:val="44"/>
        </w:rPr>
      </w:pPr>
      <w:r>
        <w:rPr>
          <w:rFonts w:hint="eastAsia" w:ascii="仿宋_GB2312" w:hAnsi="仿宋" w:eastAsia="仿宋_GB2312" w:cs="仿宋_GB2312"/>
          <w:b/>
          <w:bCs/>
          <w:color w:val="000000" w:themeColor="text1"/>
          <w:sz w:val="44"/>
          <w:szCs w:val="44"/>
        </w:rPr>
        <w:t>目</w:t>
      </w:r>
      <w:r>
        <w:rPr>
          <w:rFonts w:hint="eastAsia" w:ascii="仿宋_GB2312" w:hAnsi="仿宋" w:eastAsia="仿宋_GB2312" w:cs="仿宋_GB2312"/>
          <w:b/>
          <w:bCs/>
          <w:color w:val="000000" w:themeColor="text1"/>
          <w:sz w:val="44"/>
          <w:szCs w:val="44"/>
          <w:lang w:val="en-US" w:eastAsia="zh-CN"/>
        </w:rPr>
        <w:t xml:space="preserve"> </w:t>
      </w:r>
      <w:bookmarkStart w:id="71" w:name="_GoBack"/>
      <w:bookmarkEnd w:id="71"/>
      <w:r>
        <w:rPr>
          <w:rFonts w:hint="eastAsia" w:ascii="仿宋_GB2312" w:hAnsi="仿宋" w:eastAsia="仿宋_GB2312" w:cs="仿宋_GB2312"/>
          <w:b/>
          <w:bCs/>
          <w:color w:val="000000" w:themeColor="text1"/>
          <w:sz w:val="44"/>
          <w:szCs w:val="44"/>
        </w:rPr>
        <w:t>录</w:t>
      </w:r>
    </w:p>
    <w:p>
      <w:pPr>
        <w:spacing w:line="440" w:lineRule="exact"/>
        <w:jc w:val="center"/>
        <w:rPr>
          <w:rFonts w:hint="eastAsia" w:ascii="仿宋_GB2312" w:hAnsi="仿宋" w:eastAsia="仿宋_GB2312" w:cs="仿宋_GB2312"/>
          <w:b/>
          <w:bCs/>
          <w:color w:val="000000" w:themeColor="text1"/>
          <w:sz w:val="44"/>
          <w:szCs w:val="44"/>
        </w:rPr>
      </w:pPr>
    </w:p>
    <w:p>
      <w:pPr>
        <w:pStyle w:val="18"/>
        <w:tabs>
          <w:tab w:val="right" w:leader="dot" w:pos="8900"/>
          <w:tab w:val="clear" w:pos="8890"/>
        </w:tabs>
      </w:pPr>
      <w:r>
        <w:rPr>
          <w:rFonts w:ascii="仿宋_GB2312" w:hAnsi="仿宋" w:cs="仿宋_GB2312"/>
          <w:b w:val="0"/>
          <w:bCs w:val="0"/>
          <w:color w:val="000000" w:themeColor="text1"/>
        </w:rPr>
        <w:fldChar w:fldCharType="begin"/>
      </w:r>
      <w:r>
        <w:rPr>
          <w:rFonts w:ascii="仿宋_GB2312" w:hAnsi="仿宋" w:cs="仿宋_GB2312"/>
          <w:b w:val="0"/>
          <w:bCs w:val="0"/>
          <w:color w:val="000000" w:themeColor="text1"/>
        </w:rPr>
        <w:instrText xml:space="preserve"> TOC \o "1-3" \h \z \u </w:instrText>
      </w:r>
      <w:r>
        <w:rPr>
          <w:rFonts w:ascii="仿宋_GB2312" w:hAnsi="仿宋" w:cs="仿宋_GB2312"/>
          <w:b w:val="0"/>
          <w:bCs w:val="0"/>
          <w:color w:val="000000" w:themeColor="text1"/>
        </w:rPr>
        <w:fldChar w:fldCharType="separate"/>
      </w:r>
      <w:r>
        <w:rPr>
          <w:rFonts w:ascii="仿宋_GB2312" w:hAnsi="仿宋" w:cs="仿宋_GB2312"/>
          <w:bCs w:val="0"/>
          <w:color w:val="000000" w:themeColor="text1"/>
        </w:rPr>
        <w:fldChar w:fldCharType="begin"/>
      </w:r>
      <w:r>
        <w:rPr>
          <w:rFonts w:ascii="仿宋_GB2312" w:hAnsi="仿宋" w:cs="仿宋_GB2312"/>
          <w:bCs w:val="0"/>
        </w:rPr>
        <w:instrText xml:space="preserve"> HYPERLINK \l _Toc29875 </w:instrText>
      </w:r>
      <w:r>
        <w:rPr>
          <w:rFonts w:ascii="仿宋_GB2312" w:hAnsi="仿宋" w:cs="仿宋_GB2312"/>
          <w:bCs w:val="0"/>
        </w:rPr>
        <w:fldChar w:fldCharType="separate"/>
      </w:r>
      <w:r>
        <w:rPr>
          <w:rFonts w:hint="eastAsia" w:ascii="仿宋" w:hAnsi="仿宋" w:eastAsia="仿宋" w:cs="宋体"/>
          <w:bCs w:val="0"/>
        </w:rPr>
        <w:t>致 估 价 委 托 人 函</w:t>
      </w:r>
      <w:r>
        <w:tab/>
      </w:r>
      <w:r>
        <w:fldChar w:fldCharType="begin"/>
      </w:r>
      <w:r>
        <w:instrText xml:space="preserve"> PAGEREF _Toc29875 </w:instrText>
      </w:r>
      <w:r>
        <w:fldChar w:fldCharType="separate"/>
      </w:r>
      <w:r>
        <w:t>- 2 -</w:t>
      </w:r>
      <w:r>
        <w:fldChar w:fldCharType="end"/>
      </w:r>
      <w:r>
        <w:rPr>
          <w:rFonts w:ascii="仿宋_GB2312" w:hAnsi="仿宋" w:cs="仿宋_GB2312"/>
          <w:bCs w:val="0"/>
          <w:color w:val="000000" w:themeColor="text1"/>
        </w:rPr>
        <w:fldChar w:fldCharType="end"/>
      </w:r>
    </w:p>
    <w:p>
      <w:pPr>
        <w:pStyle w:val="18"/>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_Toc2732 </w:instrText>
      </w:r>
      <w:r>
        <w:rPr>
          <w:rFonts w:ascii="仿宋_GB2312" w:hAnsi="仿宋" w:cs="仿宋_GB2312"/>
          <w:bCs/>
        </w:rPr>
        <w:fldChar w:fldCharType="separate"/>
      </w:r>
      <w:r>
        <w:rPr>
          <w:rFonts w:hint="eastAsia" w:ascii="仿宋" w:hAnsi="仿宋" w:eastAsia="仿宋" w:cs="宋体"/>
          <w:bCs w:val="0"/>
        </w:rPr>
        <w:t>房地产估价师声明</w:t>
      </w:r>
      <w:r>
        <w:tab/>
      </w:r>
      <w:r>
        <w:fldChar w:fldCharType="begin"/>
      </w:r>
      <w:r>
        <w:instrText xml:space="preserve"> PAGEREF _Toc2732 </w:instrText>
      </w:r>
      <w:r>
        <w:fldChar w:fldCharType="separate"/>
      </w:r>
      <w:r>
        <w:t>- 5 -</w:t>
      </w:r>
      <w:r>
        <w:fldChar w:fldCharType="end"/>
      </w:r>
      <w:r>
        <w:rPr>
          <w:rFonts w:ascii="仿宋_GB2312" w:hAnsi="仿宋" w:cs="仿宋_GB2312"/>
          <w:bCs/>
          <w:color w:val="000000" w:themeColor="text1"/>
        </w:rPr>
        <w:fldChar w:fldCharType="end"/>
      </w:r>
    </w:p>
    <w:p>
      <w:pPr>
        <w:pStyle w:val="18"/>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_Toc27634 </w:instrText>
      </w:r>
      <w:r>
        <w:rPr>
          <w:rFonts w:ascii="仿宋_GB2312" w:hAnsi="仿宋" w:cs="仿宋_GB2312"/>
          <w:bCs/>
        </w:rPr>
        <w:fldChar w:fldCharType="separate"/>
      </w:r>
      <w:r>
        <w:rPr>
          <w:rFonts w:hint="eastAsia" w:ascii="仿宋_GB2312" w:hAnsi="仿宋"/>
        </w:rPr>
        <w:t>估价的假设和限制条件</w:t>
      </w:r>
      <w:r>
        <w:tab/>
      </w:r>
      <w:r>
        <w:fldChar w:fldCharType="begin"/>
      </w:r>
      <w:r>
        <w:instrText xml:space="preserve"> PAGEREF _Toc27634 </w:instrText>
      </w:r>
      <w:r>
        <w:fldChar w:fldCharType="separate"/>
      </w:r>
      <w:r>
        <w:t>- 6 -</w:t>
      </w:r>
      <w:r>
        <w:fldChar w:fldCharType="end"/>
      </w:r>
      <w:r>
        <w:rPr>
          <w:rFonts w:ascii="仿宋_GB2312" w:hAnsi="仿宋" w:cs="仿宋_GB2312"/>
          <w:bCs/>
          <w:color w:val="000000" w:themeColor="text1"/>
        </w:rPr>
        <w:fldChar w:fldCharType="end"/>
      </w:r>
    </w:p>
    <w:p>
      <w:pPr>
        <w:pStyle w:val="18"/>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_Toc11195 </w:instrText>
      </w:r>
      <w:r>
        <w:rPr>
          <w:rFonts w:ascii="仿宋_GB2312" w:hAnsi="仿宋" w:cs="仿宋_GB2312"/>
          <w:bCs/>
        </w:rPr>
        <w:fldChar w:fldCharType="separate"/>
      </w:r>
      <w:r>
        <w:rPr>
          <w:rFonts w:hint="eastAsia" w:ascii="仿宋" w:hAnsi="仿宋" w:eastAsia="仿宋" w:cs="新宋体-18030"/>
          <w:bCs/>
          <w:szCs w:val="44"/>
        </w:rPr>
        <w:t>房地产估价结果报告</w:t>
      </w:r>
      <w:r>
        <w:tab/>
      </w:r>
      <w:r>
        <w:fldChar w:fldCharType="begin"/>
      </w:r>
      <w:r>
        <w:instrText xml:space="preserve"> PAGEREF _Toc11195 </w:instrText>
      </w:r>
      <w:r>
        <w:fldChar w:fldCharType="separate"/>
      </w:r>
      <w:r>
        <w:t>- 8 -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_Toc6654 </w:instrText>
      </w:r>
      <w:r>
        <w:rPr>
          <w:rFonts w:ascii="仿宋_GB2312" w:hAnsi="仿宋" w:cs="仿宋_GB2312"/>
          <w:bCs/>
        </w:rPr>
        <w:fldChar w:fldCharType="separate"/>
      </w:r>
      <w:r>
        <w:rPr>
          <w:rFonts w:hint="eastAsia" w:ascii="仿宋_GB2312" w:hAnsi="仿宋" w:eastAsia="仿宋_GB2312" w:cs="新宋体-18030"/>
          <w:bCs/>
        </w:rPr>
        <w:t>一、估价委托人</w:t>
      </w:r>
      <w:r>
        <w:tab/>
      </w:r>
      <w:r>
        <w:fldChar w:fldCharType="begin"/>
      </w:r>
      <w:r>
        <w:instrText xml:space="preserve"> PAGEREF _Toc6654 </w:instrText>
      </w:r>
      <w:r>
        <w:fldChar w:fldCharType="separate"/>
      </w:r>
      <w:r>
        <w:t>- 8 -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_Toc32012 </w:instrText>
      </w:r>
      <w:r>
        <w:rPr>
          <w:rFonts w:ascii="仿宋_GB2312" w:hAnsi="仿宋" w:cs="仿宋_GB2312"/>
          <w:bCs/>
        </w:rPr>
        <w:fldChar w:fldCharType="separate"/>
      </w:r>
      <w:r>
        <w:rPr>
          <w:rFonts w:hint="eastAsia" w:ascii="仿宋_GB2312" w:hAnsi="仿宋" w:eastAsia="仿宋_GB2312" w:cs="新宋体-18030"/>
          <w:bCs/>
        </w:rPr>
        <w:t>二、房地产估价机构</w:t>
      </w:r>
      <w:r>
        <w:tab/>
      </w:r>
      <w:r>
        <w:fldChar w:fldCharType="begin"/>
      </w:r>
      <w:r>
        <w:instrText xml:space="preserve"> PAGEREF _Toc32012 </w:instrText>
      </w:r>
      <w:r>
        <w:fldChar w:fldCharType="separate"/>
      </w:r>
      <w:r>
        <w:t>- 8 -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_Toc26191 </w:instrText>
      </w:r>
      <w:r>
        <w:rPr>
          <w:rFonts w:ascii="仿宋_GB2312" w:hAnsi="仿宋" w:cs="仿宋_GB2312"/>
          <w:bCs/>
        </w:rPr>
        <w:fldChar w:fldCharType="separate"/>
      </w:r>
      <w:r>
        <w:rPr>
          <w:rFonts w:hint="eastAsia" w:ascii="仿宋_GB2312" w:hAnsi="仿宋" w:eastAsia="仿宋_GB2312" w:cs="新宋体-18030"/>
          <w:bCs/>
        </w:rPr>
        <w:t>三、估价目的</w:t>
      </w:r>
      <w:r>
        <w:tab/>
      </w:r>
      <w:r>
        <w:fldChar w:fldCharType="begin"/>
      </w:r>
      <w:r>
        <w:instrText xml:space="preserve"> PAGEREF _Toc26191 </w:instrText>
      </w:r>
      <w:r>
        <w:fldChar w:fldCharType="separate"/>
      </w:r>
      <w:r>
        <w:t>- 8 -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_Toc24431 </w:instrText>
      </w:r>
      <w:r>
        <w:rPr>
          <w:rFonts w:ascii="仿宋_GB2312" w:hAnsi="仿宋" w:cs="仿宋_GB2312"/>
          <w:bCs/>
        </w:rPr>
        <w:fldChar w:fldCharType="separate"/>
      </w:r>
      <w:r>
        <w:rPr>
          <w:rFonts w:hint="eastAsia" w:ascii="仿宋_GB2312" w:hAnsi="仿宋" w:eastAsia="仿宋_GB2312" w:cs="新宋体-18030"/>
          <w:bCs/>
        </w:rPr>
        <w:t>四、估价对象</w:t>
      </w:r>
      <w:r>
        <w:tab/>
      </w:r>
      <w:r>
        <w:fldChar w:fldCharType="begin"/>
      </w:r>
      <w:r>
        <w:instrText xml:space="preserve"> PAGEREF _Toc24431 </w:instrText>
      </w:r>
      <w:r>
        <w:fldChar w:fldCharType="separate"/>
      </w:r>
      <w:r>
        <w:t>- 8 -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_Toc20677 </w:instrText>
      </w:r>
      <w:r>
        <w:rPr>
          <w:rFonts w:ascii="仿宋_GB2312" w:hAnsi="仿宋" w:cs="仿宋_GB2312"/>
          <w:bCs/>
        </w:rPr>
        <w:fldChar w:fldCharType="separate"/>
      </w:r>
      <w:r>
        <w:rPr>
          <w:rFonts w:hint="eastAsia" w:ascii="仿宋_GB2312" w:hAnsi="仿宋" w:eastAsia="仿宋_GB2312" w:cs="新宋体-18030"/>
          <w:bCs/>
        </w:rPr>
        <w:t>五、价值时点</w:t>
      </w:r>
      <w:r>
        <w:tab/>
      </w:r>
      <w:r>
        <w:fldChar w:fldCharType="begin"/>
      </w:r>
      <w:r>
        <w:instrText xml:space="preserve"> PAGEREF _Toc20677 </w:instrText>
      </w:r>
      <w:r>
        <w:fldChar w:fldCharType="separate"/>
      </w:r>
      <w:r>
        <w:t>- 10 -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_Toc13388 </w:instrText>
      </w:r>
      <w:r>
        <w:rPr>
          <w:rFonts w:ascii="仿宋_GB2312" w:hAnsi="仿宋" w:cs="仿宋_GB2312"/>
          <w:bCs/>
        </w:rPr>
        <w:fldChar w:fldCharType="separate"/>
      </w:r>
      <w:r>
        <w:rPr>
          <w:rFonts w:hint="eastAsia" w:ascii="仿宋_GB2312" w:hAnsi="仿宋" w:eastAsia="仿宋_GB2312" w:cs="新宋体-18030"/>
        </w:rPr>
        <w:t>六、价值类型</w:t>
      </w:r>
      <w:r>
        <w:tab/>
      </w:r>
      <w:r>
        <w:fldChar w:fldCharType="begin"/>
      </w:r>
      <w:r>
        <w:instrText xml:space="preserve"> PAGEREF _Toc13388 </w:instrText>
      </w:r>
      <w:r>
        <w:fldChar w:fldCharType="separate"/>
      </w:r>
      <w:r>
        <w:t>- 10 -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_Toc14860 </w:instrText>
      </w:r>
      <w:r>
        <w:rPr>
          <w:rFonts w:ascii="仿宋_GB2312" w:hAnsi="仿宋" w:cs="仿宋_GB2312"/>
          <w:bCs/>
        </w:rPr>
        <w:fldChar w:fldCharType="separate"/>
      </w:r>
      <w:r>
        <w:rPr>
          <w:rFonts w:hint="eastAsia" w:ascii="仿宋_GB2312" w:hAnsi="仿宋" w:eastAsia="仿宋_GB2312" w:cs="新宋体-18030"/>
          <w:bCs/>
        </w:rPr>
        <w:t>七、估价依据</w:t>
      </w:r>
      <w:r>
        <w:tab/>
      </w:r>
      <w:r>
        <w:fldChar w:fldCharType="begin"/>
      </w:r>
      <w:r>
        <w:instrText xml:space="preserve"> PAGEREF _Toc14860 </w:instrText>
      </w:r>
      <w:r>
        <w:fldChar w:fldCharType="separate"/>
      </w:r>
      <w:r>
        <w:t>- 10 -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_Toc21246 </w:instrText>
      </w:r>
      <w:r>
        <w:rPr>
          <w:rFonts w:ascii="仿宋_GB2312" w:hAnsi="仿宋" w:cs="仿宋_GB2312"/>
          <w:bCs/>
        </w:rPr>
        <w:fldChar w:fldCharType="separate"/>
      </w:r>
      <w:r>
        <w:rPr>
          <w:rFonts w:hint="eastAsia" w:ascii="仿宋_GB2312" w:hAnsi="仿宋" w:eastAsia="仿宋_GB2312" w:cs="新宋体-18030"/>
          <w:bCs/>
        </w:rPr>
        <w:t>八、估价原则</w:t>
      </w:r>
      <w:r>
        <w:tab/>
      </w:r>
      <w:r>
        <w:fldChar w:fldCharType="begin"/>
      </w:r>
      <w:r>
        <w:instrText xml:space="preserve"> PAGEREF _Toc21246 </w:instrText>
      </w:r>
      <w:r>
        <w:fldChar w:fldCharType="separate"/>
      </w:r>
      <w:r>
        <w:t>- 11 -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_Toc6150 </w:instrText>
      </w:r>
      <w:r>
        <w:rPr>
          <w:rFonts w:ascii="仿宋_GB2312" w:hAnsi="仿宋" w:cs="仿宋_GB2312"/>
          <w:bCs/>
        </w:rPr>
        <w:fldChar w:fldCharType="separate"/>
      </w:r>
      <w:r>
        <w:rPr>
          <w:rFonts w:hint="eastAsia" w:ascii="仿宋_GB2312" w:hAnsi="仿宋" w:eastAsia="仿宋_GB2312" w:cs="新宋体-18030"/>
          <w:bCs/>
        </w:rPr>
        <w:t>九、估价方法</w:t>
      </w:r>
      <w:r>
        <w:tab/>
      </w:r>
      <w:r>
        <w:fldChar w:fldCharType="begin"/>
      </w:r>
      <w:r>
        <w:instrText xml:space="preserve"> PAGEREF _Toc6150 </w:instrText>
      </w:r>
      <w:r>
        <w:fldChar w:fldCharType="separate"/>
      </w:r>
      <w:r>
        <w:t>- 14 -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_Toc11780 </w:instrText>
      </w:r>
      <w:r>
        <w:rPr>
          <w:rFonts w:ascii="仿宋_GB2312" w:hAnsi="仿宋" w:cs="仿宋_GB2312"/>
          <w:bCs/>
        </w:rPr>
        <w:fldChar w:fldCharType="separate"/>
      </w:r>
      <w:r>
        <w:rPr>
          <w:rFonts w:hint="eastAsia" w:ascii="仿宋_GB2312" w:hAnsi="仿宋_GB2312" w:eastAsia="仿宋_GB2312" w:cs="仿宋_GB2312"/>
          <w:kern w:val="2"/>
        </w:rPr>
        <w:t>十、估价结果</w:t>
      </w:r>
      <w:r>
        <w:tab/>
      </w:r>
      <w:r>
        <w:fldChar w:fldCharType="begin"/>
      </w:r>
      <w:r>
        <w:instrText xml:space="preserve"> PAGEREF _Toc11780 </w:instrText>
      </w:r>
      <w:r>
        <w:fldChar w:fldCharType="separate"/>
      </w:r>
      <w:r>
        <w:t>- 14 -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_Toc16051 </w:instrText>
      </w:r>
      <w:r>
        <w:rPr>
          <w:rFonts w:ascii="仿宋_GB2312" w:hAnsi="仿宋" w:cs="仿宋_GB2312"/>
          <w:bCs/>
        </w:rPr>
        <w:fldChar w:fldCharType="separate"/>
      </w:r>
      <w:r>
        <w:rPr>
          <w:rFonts w:hint="eastAsia" w:ascii="仿宋_GB2312" w:hAnsi="仿宋" w:cs="新宋体-18030"/>
        </w:rPr>
        <w:t>十一、注册房地产估价师</w:t>
      </w:r>
      <w:r>
        <w:tab/>
      </w:r>
      <w:r>
        <w:fldChar w:fldCharType="begin"/>
      </w:r>
      <w:r>
        <w:instrText xml:space="preserve"> PAGEREF _Toc16051 </w:instrText>
      </w:r>
      <w:r>
        <w:fldChar w:fldCharType="separate"/>
      </w:r>
      <w:r>
        <w:t>- 14 -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_Toc20189 </w:instrText>
      </w:r>
      <w:r>
        <w:rPr>
          <w:rFonts w:ascii="仿宋_GB2312" w:hAnsi="仿宋" w:cs="仿宋_GB2312"/>
          <w:bCs/>
        </w:rPr>
        <w:fldChar w:fldCharType="separate"/>
      </w:r>
      <w:r>
        <w:rPr>
          <w:rFonts w:hint="eastAsia" w:ascii="仿宋_GB2312" w:hAnsi="仿宋" w:eastAsia="仿宋_GB2312" w:cs="新宋体-18030"/>
          <w:bCs/>
        </w:rPr>
        <w:t>十二、实地查勘期</w:t>
      </w:r>
      <w:r>
        <w:tab/>
      </w:r>
      <w:r>
        <w:fldChar w:fldCharType="begin"/>
      </w:r>
      <w:r>
        <w:instrText xml:space="preserve"> PAGEREF _Toc20189 </w:instrText>
      </w:r>
      <w:r>
        <w:fldChar w:fldCharType="separate"/>
      </w:r>
      <w:r>
        <w:t>- 14 -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_Toc26926 </w:instrText>
      </w:r>
      <w:r>
        <w:rPr>
          <w:rFonts w:ascii="仿宋_GB2312" w:hAnsi="仿宋" w:cs="仿宋_GB2312"/>
          <w:bCs/>
        </w:rPr>
        <w:fldChar w:fldCharType="separate"/>
      </w:r>
      <w:r>
        <w:rPr>
          <w:rFonts w:hint="eastAsia" w:ascii="仿宋_GB2312" w:hAnsi="仿宋" w:eastAsia="仿宋_GB2312" w:cs="新宋体-18030"/>
          <w:bCs/>
        </w:rPr>
        <w:t>十三、估价作业日期</w:t>
      </w:r>
      <w:r>
        <w:tab/>
      </w:r>
      <w:r>
        <w:fldChar w:fldCharType="begin"/>
      </w:r>
      <w:r>
        <w:instrText xml:space="preserve"> PAGEREF _Toc26926 </w:instrText>
      </w:r>
      <w:r>
        <w:fldChar w:fldCharType="separate"/>
      </w:r>
      <w:r>
        <w:t>- 14 -</w:t>
      </w:r>
      <w:r>
        <w:fldChar w:fldCharType="end"/>
      </w:r>
      <w:r>
        <w:rPr>
          <w:rFonts w:ascii="仿宋_GB2312" w:hAnsi="仿宋" w:cs="仿宋_GB2312"/>
          <w:bCs/>
          <w:color w:val="000000" w:themeColor="text1"/>
        </w:rPr>
        <w:fldChar w:fldCharType="end"/>
      </w:r>
    </w:p>
    <w:p>
      <w:pPr>
        <w:spacing w:line="360" w:lineRule="auto"/>
        <w:jc w:val="left"/>
        <w:rPr>
          <w:rFonts w:ascii="仿宋_GB2312" w:hAnsi="仿宋" w:cs="仿宋_GB2312"/>
          <w:bCs/>
          <w:color w:val="000000" w:themeColor="text1"/>
        </w:rPr>
      </w:pPr>
      <w:r>
        <w:rPr>
          <w:rFonts w:ascii="仿宋_GB2312" w:hAnsi="仿宋" w:cs="仿宋_GB2312"/>
          <w:bCs/>
          <w:color w:val="000000" w:themeColor="text1"/>
        </w:rPr>
        <w:fldChar w:fldCharType="end"/>
      </w: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spacing w:line="360" w:lineRule="auto"/>
        <w:jc w:val="left"/>
        <w:rPr>
          <w:rFonts w:ascii="仿宋_GB2312" w:hAnsi="仿宋" w:cs="仿宋_GB2312"/>
          <w:bCs/>
          <w:color w:val="000000" w:themeColor="text1"/>
        </w:rPr>
      </w:pPr>
    </w:p>
    <w:p>
      <w:pPr>
        <w:pStyle w:val="2"/>
        <w:ind w:firstLine="2891" w:firstLineChars="900"/>
        <w:jc w:val="both"/>
        <w:rPr>
          <w:rFonts w:ascii="仿宋" w:hAnsi="仿宋" w:eastAsia="仿宋" w:cs="宋体"/>
          <w:bCs w:val="0"/>
          <w:color w:val="000000" w:themeColor="text1"/>
          <w:sz w:val="24"/>
        </w:rPr>
      </w:pPr>
      <w:bookmarkStart w:id="7" w:name="_Toc2732"/>
      <w:r>
        <w:rPr>
          <w:rFonts w:hint="eastAsia" w:ascii="仿宋" w:hAnsi="仿宋" w:eastAsia="仿宋" w:cs="宋体"/>
          <w:bCs w:val="0"/>
          <w:color w:val="000000" w:themeColor="text1"/>
        </w:rPr>
        <w:t>房地产估价师声明</w:t>
      </w:r>
      <w:bookmarkEnd w:id="7"/>
    </w:p>
    <w:p>
      <w:pPr>
        <w:spacing w:line="480" w:lineRule="exact"/>
        <w:ind w:firstLine="562" w:firstLineChars="200"/>
        <w:rPr>
          <w:rFonts w:ascii="仿宋" w:hAnsi="仿宋" w:eastAsia="仿宋" w:cs="宋体"/>
          <w:b/>
          <w:bCs/>
          <w:color w:val="000000" w:themeColor="text1"/>
          <w:spacing w:val="20"/>
          <w:sz w:val="24"/>
        </w:rPr>
      </w:pPr>
      <w:r>
        <w:rPr>
          <w:rFonts w:hint="eastAsia" w:ascii="仿宋" w:hAnsi="仿宋" w:eastAsia="仿宋" w:cs="宋体"/>
          <w:b/>
          <w:bCs/>
          <w:color w:val="000000" w:themeColor="text1"/>
          <w:spacing w:val="20"/>
          <w:sz w:val="24"/>
        </w:rPr>
        <w:t>我们郑重声明：</w:t>
      </w:r>
    </w:p>
    <w:p>
      <w:pPr>
        <w:numPr>
          <w:ilvl w:val="0"/>
          <w:numId w:val="0"/>
        </w:numPr>
        <w:spacing w:line="480" w:lineRule="exact"/>
        <w:ind w:firstLine="480" w:firstLineChars="200"/>
        <w:rPr>
          <w:rFonts w:hint="eastAsia" w:ascii="仿宋" w:hAnsi="仿宋" w:eastAsia="仿宋" w:cs="宋体"/>
          <w:color w:val="000000" w:themeColor="text1"/>
          <w:sz w:val="24"/>
        </w:rPr>
      </w:pPr>
      <w:r>
        <w:rPr>
          <w:rFonts w:hint="eastAsia" w:ascii="仿宋" w:hAnsi="仿宋" w:eastAsia="仿宋" w:cs="宋体"/>
          <w:color w:val="000000" w:themeColor="text1"/>
          <w:sz w:val="24"/>
          <w:lang w:val="en-US" w:eastAsia="zh-CN"/>
        </w:rPr>
        <w:t>一、</w:t>
      </w:r>
      <w:r>
        <w:rPr>
          <w:rFonts w:hint="eastAsia" w:ascii="仿宋" w:hAnsi="仿宋" w:eastAsia="仿宋" w:cs="宋体"/>
          <w:color w:val="000000" w:themeColor="text1"/>
          <w:sz w:val="24"/>
        </w:rPr>
        <w:t>注册房地产估价师在本估价报告中陈述的事实是真实的和准确的，没有虚假记载、误导性陈述和重大遗漏；</w:t>
      </w:r>
    </w:p>
    <w:p>
      <w:pPr>
        <w:numPr>
          <w:ilvl w:val="0"/>
          <w:numId w:val="0"/>
        </w:numPr>
        <w:spacing w:line="480" w:lineRule="exact"/>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二、本估价报告中的分析、意见和结论是注册房地产估价师独立、客观、公正的专业分析、意见和结论，但受本估价报告中已说明的假设和限制条件的限制。</w:t>
      </w:r>
    </w:p>
    <w:p>
      <w:pPr>
        <w:spacing w:line="480" w:lineRule="exact"/>
        <w:ind w:firstLine="470" w:firstLineChars="196"/>
        <w:rPr>
          <w:rFonts w:ascii="仿宋" w:hAnsi="仿宋" w:eastAsia="仿宋" w:cs="宋体"/>
          <w:color w:val="000000" w:themeColor="text1"/>
          <w:sz w:val="24"/>
        </w:rPr>
      </w:pPr>
      <w:r>
        <w:rPr>
          <w:rFonts w:hint="eastAsia" w:ascii="仿宋" w:hAnsi="仿宋" w:eastAsia="仿宋" w:cs="宋体"/>
          <w:color w:val="000000" w:themeColor="text1"/>
          <w:sz w:val="24"/>
        </w:rPr>
        <w:t>三、本公司及本次参与估价的注册房地产估价师与估价对象没有现实或潜在的利益关系，与估价委托人、估价当事人及估价利害关系人没有利害关系，对估价对象、估价委托人及估价利害关系人没有偏见；</w:t>
      </w:r>
    </w:p>
    <w:p>
      <w:pPr>
        <w:spacing w:line="480" w:lineRule="exact"/>
        <w:ind w:firstLine="470" w:firstLineChars="196"/>
        <w:rPr>
          <w:rFonts w:ascii="仿宋" w:hAnsi="仿宋" w:eastAsia="仿宋" w:cs="宋体"/>
          <w:color w:val="000000" w:themeColor="text1"/>
          <w:sz w:val="24"/>
        </w:rPr>
      </w:pPr>
      <w:r>
        <w:rPr>
          <w:rFonts w:hint="eastAsia" w:ascii="仿宋" w:hAnsi="仿宋" w:eastAsia="仿宋" w:cs="宋体"/>
          <w:color w:val="000000" w:themeColor="text1"/>
          <w:sz w:val="24"/>
        </w:rPr>
        <w:t>四、注册房地产估价师</w:t>
      </w:r>
      <w:r>
        <w:rPr>
          <w:rFonts w:hint="eastAsia" w:ascii="仿宋" w:hAnsi="仿宋" w:eastAsia="仿宋" w:cs="宋体"/>
          <w:color w:val="000000" w:themeColor="text1"/>
          <w:sz w:val="24"/>
          <w:lang w:val="en-US" w:eastAsia="zh-CN"/>
        </w:rPr>
        <w:t>金涛</w:t>
      </w:r>
      <w:r>
        <w:rPr>
          <w:rFonts w:hint="eastAsia" w:ascii="仿宋" w:hAnsi="仿宋" w:eastAsia="仿宋" w:cs="宋体"/>
          <w:color w:val="000000" w:themeColor="text1"/>
          <w:sz w:val="24"/>
        </w:rPr>
        <w:t>和估价人员钱玉琴于</w:t>
      </w:r>
      <w:r>
        <w:rPr>
          <w:rFonts w:hint="eastAsia" w:ascii="仿宋" w:hAnsi="仿宋" w:eastAsia="仿宋" w:cs="宋体"/>
          <w:color w:val="000000" w:themeColor="text1"/>
          <w:sz w:val="24"/>
          <w:lang w:eastAsia="zh-CN"/>
        </w:rPr>
        <w:t>2022年7月21日</w:t>
      </w:r>
      <w:r>
        <w:rPr>
          <w:rFonts w:hint="eastAsia" w:ascii="仿宋" w:hAnsi="仿宋" w:eastAsia="仿宋" w:cs="宋体"/>
          <w:color w:val="000000" w:themeColor="text1"/>
          <w:sz w:val="24"/>
        </w:rPr>
        <w:t>对估价对象进行了实地查勘。负责本项目的注册房地产估价师具备相关专业知识和相应的房地产市场分析能力。</w:t>
      </w:r>
    </w:p>
    <w:p>
      <w:pPr>
        <w:spacing w:line="480" w:lineRule="exact"/>
        <w:ind w:firstLine="470" w:firstLineChars="196"/>
        <w:rPr>
          <w:rFonts w:ascii="仿宋" w:hAnsi="仿宋" w:eastAsia="仿宋" w:cs="宋体"/>
          <w:color w:val="000000" w:themeColor="text1"/>
          <w:sz w:val="24"/>
        </w:rPr>
      </w:pPr>
      <w:r>
        <w:rPr>
          <w:rFonts w:hint="eastAsia" w:ascii="仿宋" w:hAnsi="仿宋" w:eastAsia="仿宋" w:cs="宋体"/>
          <w:color w:val="000000" w:themeColor="text1"/>
          <w:sz w:val="24"/>
        </w:rPr>
        <w:t>五、注册房地产估价师是按照中华人民共和国国家标准《房地产估价规范》【GB/T 5</w:t>
      </w:r>
      <w:r>
        <w:rPr>
          <w:rFonts w:hint="eastAsia" w:ascii="仿宋" w:hAnsi="仿宋" w:eastAsia="仿宋" w:cs="宋体"/>
          <w:color w:val="000000" w:themeColor="text1"/>
          <w:sz w:val="24"/>
          <w:lang w:eastAsia="zh-CN"/>
        </w:rPr>
        <w:t>0026</w:t>
      </w:r>
      <w:r>
        <w:rPr>
          <w:rFonts w:hint="eastAsia" w:ascii="仿宋" w:hAnsi="仿宋" w:eastAsia="仿宋" w:cs="宋体"/>
          <w:color w:val="000000" w:themeColor="text1"/>
          <w:sz w:val="24"/>
        </w:rPr>
        <w:t>-2015】、《房地产估价基本术语标准》【GB/T 50899-2013】、《房地产估价指导意见》的规定进行估价工作，形成意见和结论，撰写本估价报告。</w:t>
      </w:r>
    </w:p>
    <w:p>
      <w:pPr>
        <w:spacing w:line="480" w:lineRule="exact"/>
        <w:ind w:firstLine="470" w:firstLineChars="196"/>
        <w:rPr>
          <w:rFonts w:ascii="仿宋_GB2312" w:hAnsi="仿宋" w:eastAsia="仿宋_GB2312"/>
          <w:sz w:val="24"/>
        </w:rPr>
      </w:pPr>
      <w:r>
        <w:rPr>
          <w:rFonts w:hint="eastAsia" w:ascii="仿宋_GB2312" w:hAnsi="仿宋" w:eastAsia="仿宋_GB2312"/>
          <w:sz w:val="24"/>
        </w:rPr>
        <w:t>六、本估价报告是由专业估价师完成的，没有其他人对本估价报告提供重要专业帮助。</w:t>
      </w:r>
    </w:p>
    <w:tbl>
      <w:tblPr>
        <w:tblStyle w:val="26"/>
        <w:tblpPr w:leftFromText="180" w:rightFromText="180" w:vertAnchor="text" w:horzAnchor="page" w:tblpX="1538" w:tblpY="20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2279"/>
        <w:gridCol w:w="207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79"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姓名</w:t>
            </w:r>
          </w:p>
        </w:tc>
        <w:tc>
          <w:tcPr>
            <w:tcW w:w="2279"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注册号</w:t>
            </w:r>
          </w:p>
        </w:tc>
        <w:tc>
          <w:tcPr>
            <w:tcW w:w="2071"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签名</w:t>
            </w:r>
          </w:p>
        </w:tc>
        <w:tc>
          <w:tcPr>
            <w:tcW w:w="2551"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279" w:type="dxa"/>
            <w:vAlign w:val="center"/>
          </w:tcPr>
          <w:p>
            <w:pPr>
              <w:spacing w:line="440" w:lineRule="exact"/>
              <w:jc w:val="center"/>
              <w:rPr>
                <w:rFonts w:ascii="仿宋_GB2312" w:hAnsi="仿宋" w:eastAsia="仿宋_GB2312"/>
                <w:color w:val="000000" w:themeColor="text1"/>
                <w:sz w:val="24"/>
              </w:rPr>
            </w:pPr>
            <w:r>
              <w:rPr>
                <w:rFonts w:hint="eastAsia" w:ascii="仿宋_GB2312" w:hAnsi="仿宋" w:eastAsia="仿宋_GB2312"/>
                <w:color w:val="000000" w:themeColor="text1"/>
                <w:sz w:val="24"/>
              </w:rPr>
              <w:t>姬再娟</w:t>
            </w:r>
          </w:p>
        </w:tc>
        <w:tc>
          <w:tcPr>
            <w:tcW w:w="2279" w:type="dxa"/>
            <w:vAlign w:val="center"/>
          </w:tcPr>
          <w:p>
            <w:pPr>
              <w:spacing w:line="440" w:lineRule="exact"/>
              <w:jc w:val="center"/>
              <w:rPr>
                <w:rFonts w:ascii="仿宋_GB2312" w:hAnsi="仿宋" w:eastAsia="仿宋_GB2312"/>
                <w:color w:val="000000" w:themeColor="text1"/>
                <w:sz w:val="24"/>
              </w:rPr>
            </w:pPr>
            <w:r>
              <w:rPr>
                <w:rFonts w:ascii="仿宋_GB2312" w:hAnsi="仿宋" w:eastAsia="仿宋_GB2312"/>
                <w:color w:val="000000" w:themeColor="text1"/>
                <w:sz w:val="24"/>
              </w:rPr>
              <w:t>3420150050</w:t>
            </w:r>
          </w:p>
        </w:tc>
        <w:tc>
          <w:tcPr>
            <w:tcW w:w="2071" w:type="dxa"/>
            <w:vAlign w:val="center"/>
          </w:tcPr>
          <w:p>
            <w:pPr>
              <w:spacing w:line="440" w:lineRule="exact"/>
              <w:jc w:val="center"/>
              <w:rPr>
                <w:rFonts w:ascii="仿宋_GB2312" w:hAnsi="仿宋" w:eastAsia="仿宋_GB2312"/>
                <w:color w:val="000000" w:themeColor="text1"/>
                <w:sz w:val="24"/>
              </w:rPr>
            </w:pPr>
          </w:p>
        </w:tc>
        <w:tc>
          <w:tcPr>
            <w:tcW w:w="2551"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_GB2312" w:hAnsi="仿宋" w:eastAsia="仿宋_GB2312"/>
                <w:color w:val="000000" w:themeColor="text1"/>
                <w:sz w:val="24"/>
                <w:lang w:eastAsia="zh-CN"/>
              </w:rPr>
              <w:t>2022年8月29日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279"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 w:hAnsi="仿宋" w:eastAsia="仿宋"/>
                <w:sz w:val="24"/>
                <w:szCs w:val="24"/>
                <w:lang w:eastAsia="zh-CN"/>
              </w:rPr>
              <w:t>金</w:t>
            </w:r>
            <w:r>
              <w:rPr>
                <w:rFonts w:hint="eastAsia" w:ascii="仿宋" w:hAnsi="仿宋" w:eastAsia="仿宋"/>
                <w:sz w:val="24"/>
                <w:szCs w:val="24"/>
                <w:lang w:val="en-US" w:eastAsia="zh-CN"/>
              </w:rPr>
              <w:t xml:space="preserve"> </w:t>
            </w:r>
            <w:r>
              <w:rPr>
                <w:rFonts w:hint="eastAsia" w:ascii="仿宋" w:hAnsi="仿宋" w:eastAsia="仿宋"/>
                <w:sz w:val="24"/>
                <w:szCs w:val="24"/>
                <w:lang w:eastAsia="zh-CN"/>
              </w:rPr>
              <w:t>涛</w:t>
            </w:r>
          </w:p>
        </w:tc>
        <w:tc>
          <w:tcPr>
            <w:tcW w:w="2279"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_GB2312" w:hAnsi="仿宋" w:eastAsia="仿宋_GB2312"/>
                <w:color w:val="000000" w:themeColor="text1"/>
                <w:sz w:val="24"/>
                <w:lang w:eastAsia="zh-CN"/>
              </w:rPr>
              <w:t>3420190095</w:t>
            </w:r>
          </w:p>
        </w:tc>
        <w:tc>
          <w:tcPr>
            <w:tcW w:w="2071" w:type="dxa"/>
            <w:vAlign w:val="center"/>
          </w:tcPr>
          <w:p>
            <w:pPr>
              <w:spacing w:line="440" w:lineRule="exact"/>
              <w:jc w:val="center"/>
              <w:rPr>
                <w:rFonts w:ascii="仿宋_GB2312" w:hAnsi="仿宋" w:eastAsia="仿宋_GB2312"/>
                <w:color w:val="000000" w:themeColor="text1"/>
                <w:sz w:val="24"/>
              </w:rPr>
            </w:pPr>
          </w:p>
        </w:tc>
        <w:tc>
          <w:tcPr>
            <w:tcW w:w="2551"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_GB2312" w:hAnsi="仿宋" w:eastAsia="仿宋_GB2312"/>
                <w:color w:val="000000" w:themeColor="text1"/>
                <w:sz w:val="24"/>
                <w:lang w:eastAsia="zh-CN"/>
              </w:rPr>
              <w:t>2022年8月29日</w:t>
            </w:r>
          </w:p>
        </w:tc>
      </w:tr>
    </w:tbl>
    <w:p>
      <w:pPr>
        <w:pStyle w:val="2"/>
        <w:ind w:firstLine="2570" w:firstLineChars="800"/>
        <w:jc w:val="both"/>
        <w:rPr>
          <w:rFonts w:hint="eastAsia" w:ascii="仿宋" w:hAnsi="仿宋" w:eastAsia="仿宋" w:cs="宋体"/>
          <w:bCs w:val="0"/>
          <w:color w:val="000000" w:themeColor="text1"/>
        </w:rPr>
      </w:pPr>
    </w:p>
    <w:bookmarkEnd w:id="6"/>
    <w:p>
      <w:pPr>
        <w:spacing w:line="440" w:lineRule="exact"/>
        <w:ind w:firstLine="482" w:firstLineChars="200"/>
        <w:rPr>
          <w:rFonts w:hint="eastAsia" w:ascii="仿宋_GB2312" w:hAnsi="仿宋" w:eastAsia="仿宋_GB2312" w:cs="新宋体-18030"/>
          <w:b/>
          <w:color w:val="000000" w:themeColor="text1"/>
          <w:sz w:val="24"/>
        </w:rPr>
      </w:pPr>
      <w:bookmarkStart w:id="8" w:name="_Toc503262042"/>
      <w:bookmarkStart w:id="9" w:name="_Toc503261500"/>
      <w:bookmarkStart w:id="10" w:name="_Toc499561844"/>
      <w:bookmarkStart w:id="11" w:name="_Toc490812574"/>
    </w:p>
    <w:p>
      <w:pPr>
        <w:spacing w:line="440" w:lineRule="exact"/>
        <w:ind w:firstLine="482" w:firstLineChars="200"/>
        <w:rPr>
          <w:rFonts w:hint="eastAsia" w:ascii="仿宋_GB2312" w:hAnsi="仿宋" w:eastAsia="仿宋_GB2312" w:cs="新宋体-18030"/>
          <w:b/>
          <w:color w:val="000000" w:themeColor="text1"/>
          <w:sz w:val="24"/>
        </w:rPr>
      </w:pPr>
    </w:p>
    <w:p>
      <w:pPr>
        <w:spacing w:line="440" w:lineRule="exact"/>
        <w:ind w:firstLine="482" w:firstLineChars="200"/>
        <w:rPr>
          <w:rFonts w:hint="eastAsia" w:ascii="仿宋_GB2312" w:hAnsi="仿宋" w:eastAsia="仿宋_GB2312" w:cs="新宋体-18030"/>
          <w:b/>
          <w:color w:val="000000" w:themeColor="text1"/>
          <w:sz w:val="24"/>
        </w:rPr>
      </w:pPr>
    </w:p>
    <w:p>
      <w:pPr>
        <w:pStyle w:val="2"/>
        <w:pageBreakBefore w:val="0"/>
        <w:kinsoku/>
        <w:wordWrap/>
        <w:overflowPunct/>
        <w:autoSpaceDE/>
        <w:autoSpaceDN/>
        <w:bidi w:val="0"/>
        <w:spacing w:line="480" w:lineRule="exact"/>
        <w:ind w:firstLine="2891" w:firstLineChars="900"/>
        <w:jc w:val="both"/>
        <w:textAlignment w:val="auto"/>
        <w:rPr>
          <w:rFonts w:ascii="仿宋_GB2312" w:hAnsi="仿宋"/>
          <w:color w:val="000000" w:themeColor="text1"/>
        </w:rPr>
      </w:pPr>
      <w:bookmarkStart w:id="12" w:name="_Toc27634"/>
      <w:r>
        <w:rPr>
          <w:rFonts w:hint="eastAsia" w:ascii="仿宋_GB2312" w:hAnsi="仿宋"/>
          <w:color w:val="000000" w:themeColor="text1"/>
        </w:rPr>
        <w:t>估价的假设和限制条件</w:t>
      </w:r>
      <w:bookmarkEnd w:id="12"/>
    </w:p>
    <w:p>
      <w:pPr>
        <w:pageBreakBefore w:val="0"/>
        <w:kinsoku/>
        <w:wordWrap/>
        <w:overflowPunct/>
        <w:autoSpaceDE/>
        <w:autoSpaceDN/>
        <w:bidi w:val="0"/>
        <w:spacing w:line="480" w:lineRule="exact"/>
        <w:ind w:firstLine="602" w:firstLineChars="250"/>
        <w:textAlignment w:val="auto"/>
        <w:rPr>
          <w:rFonts w:ascii="仿宋_GB2312" w:hAnsi="仿宋" w:eastAsia="仿宋_GB2312" w:cs="新宋体-18030"/>
          <w:b/>
          <w:color w:val="000000" w:themeColor="text1"/>
          <w:sz w:val="24"/>
        </w:rPr>
      </w:pPr>
      <w:r>
        <w:rPr>
          <w:rFonts w:hint="eastAsia" w:ascii="仿宋_GB2312" w:hAnsi="仿宋" w:eastAsia="仿宋_GB2312" w:cs="新宋体-18030"/>
          <w:b/>
          <w:color w:val="000000" w:themeColor="text1"/>
          <w:sz w:val="24"/>
        </w:rPr>
        <w:t>估价的假设：</w:t>
      </w:r>
    </w:p>
    <w:p>
      <w:pPr>
        <w:pageBreakBefore w:val="0"/>
        <w:kinsoku/>
        <w:wordWrap/>
        <w:overflowPunct/>
        <w:autoSpaceDE/>
        <w:autoSpaceDN/>
        <w:bidi w:val="0"/>
        <w:spacing w:line="480" w:lineRule="exact"/>
        <w:ind w:firstLine="482" w:firstLineChars="200"/>
        <w:textAlignment w:val="auto"/>
        <w:rPr>
          <w:rFonts w:ascii="华文仿宋" w:hAnsi="华文仿宋" w:eastAsia="华文仿宋" w:cs="新宋体-18030"/>
          <w:b/>
          <w:color w:val="000000" w:themeColor="text1"/>
          <w:sz w:val="24"/>
          <w:szCs w:val="24"/>
        </w:rPr>
      </w:pPr>
      <w:r>
        <w:rPr>
          <w:rFonts w:hint="eastAsia" w:ascii="仿宋_GB2312" w:hAnsi="仿宋" w:eastAsia="仿宋_GB2312" w:cs="新宋体-18030"/>
          <w:b/>
          <w:color w:val="000000" w:themeColor="text1"/>
          <w:sz w:val="24"/>
        </w:rPr>
        <w:t>一、</w:t>
      </w:r>
      <w:r>
        <w:rPr>
          <w:rFonts w:hint="eastAsia" w:ascii="华文仿宋" w:hAnsi="华文仿宋" w:eastAsia="华文仿宋" w:cs="新宋体-18030"/>
          <w:b/>
          <w:color w:val="000000" w:themeColor="text1"/>
          <w:sz w:val="24"/>
          <w:szCs w:val="24"/>
        </w:rPr>
        <w:t>一般假设</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一）注册房地产估价师根据估价业务的具体情况，对估价对象进行了实地查勘，收集了权属证明、租赁信息和其它相关资料，经核对，估价委托人所提供的产权资料复印件与原件一致；但目前受国土、房屋、规划管理等相关部门对档案查询资格的限制，注册房地产估价师无法到上述主管部门对权属证明材料及其记载的内容进行核实验证，上述相关部门官网公众信息平台也无法查询。本次估价是以估价委托人提供的与估价对象有关的权属证明、租赁信息及其它相关资料真实、合法、准确、完整为前提。</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二）估价师对估价对象的实地查勘仅限于估价对象的外观和使用状况、内部布局、装修及设备情况，并未对估价对象做房地产基础、房屋结构上的测量和实验，因此无法确认其内部有无缺损、是否存在结构性损坏。对被遮盖、未暴露及难以接触到的房屋结构部分及其内部设施、设备，本报告假设其无房地产基础、房屋结构等方面的重大质量问题，符合国家有关技术、质量、验收规范，且符合国家有关安全使用标准。</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（三）假设市场上交易双方进行交易的目的在于最大限度地追求经济利益，并掌握必要的市场信息，有较充裕的时间进行交易，对交易对象具有必要的专业知识，交易条件公开且不具有排他性。</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（四）假设估价对象在价值时点和未来合理存续期间，按目前使用方式、规模、环境和用途等情况下可以继续使用。</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仿宋_GB2312"/>
          <w:color w:val="000000" w:themeColor="text1"/>
          <w:sz w:val="24"/>
          <w:szCs w:val="24"/>
        </w:rPr>
        <w:t>（五）估价结果是</w:t>
      </w:r>
      <w:r>
        <w:rPr>
          <w:rFonts w:hint="eastAsia" w:ascii="仿宋" w:hAnsi="仿宋" w:eastAsia="仿宋" w:cs="仿宋_GB2312"/>
          <w:color w:val="000000" w:themeColor="text1"/>
          <w:sz w:val="24"/>
          <w:szCs w:val="24"/>
          <w:lang w:eastAsia="zh-CN"/>
        </w:rPr>
        <w:t>为人民法院确定财产处置参考价提供参考依据</w:t>
      </w:r>
      <w:r>
        <w:rPr>
          <w:rFonts w:hint="eastAsia" w:ascii="仿宋" w:hAnsi="仿宋" w:eastAsia="仿宋" w:cs="仿宋_GB2312"/>
          <w:color w:val="000000" w:themeColor="text1"/>
          <w:sz w:val="24"/>
          <w:szCs w:val="24"/>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w:t>
      </w:r>
      <w:r>
        <w:rPr>
          <w:rFonts w:hint="eastAsia" w:ascii="仿宋" w:hAnsi="仿宋" w:eastAsia="仿宋" w:cs="新宋体-18030"/>
          <w:color w:val="000000" w:themeColor="text1"/>
          <w:sz w:val="24"/>
          <w:szCs w:val="24"/>
        </w:rPr>
        <w:t>发生变化时，估价结果一般亦会发生变化。</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二、未定事项假设</w:t>
      </w:r>
      <w:bookmarkEnd w:id="8"/>
      <w:bookmarkEnd w:id="9"/>
      <w:bookmarkEnd w:id="10"/>
      <w:bookmarkEnd w:id="11"/>
    </w:p>
    <w:p>
      <w:pPr>
        <w:pageBreakBefore w:val="0"/>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0070C0"/>
          <w:sz w:val="24"/>
          <w:szCs w:val="24"/>
        </w:rPr>
      </w:pPr>
      <w:r>
        <w:rPr>
          <w:rFonts w:hint="eastAsia" w:ascii="华文仿宋" w:hAnsi="华文仿宋" w:eastAsia="华文仿宋"/>
          <w:sz w:val="24"/>
          <w:szCs w:val="24"/>
        </w:rPr>
        <w:t>本次估价的估价对象不存在未定事项，故本估价报告无未定事项假设。</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bookmarkStart w:id="13" w:name="_Toc499561845"/>
      <w:bookmarkStart w:id="14" w:name="_Toc503262043"/>
      <w:bookmarkStart w:id="15" w:name="_Toc503261501"/>
      <w:bookmarkStart w:id="16" w:name="_Toc490812575"/>
      <w:r>
        <w:rPr>
          <w:rFonts w:hint="eastAsia" w:ascii="华文仿宋" w:hAnsi="华文仿宋" w:eastAsia="华文仿宋"/>
          <w:b/>
          <w:color w:val="000000"/>
          <w:sz w:val="24"/>
          <w:szCs w:val="24"/>
        </w:rPr>
        <w:t>三、背离事实假设</w:t>
      </w:r>
      <w:bookmarkEnd w:id="13"/>
      <w:bookmarkEnd w:id="14"/>
      <w:bookmarkEnd w:id="15"/>
      <w:bookmarkEnd w:id="16"/>
    </w:p>
    <w:p>
      <w:pPr>
        <w:pageBreakBefore w:val="0"/>
        <w:kinsoku/>
        <w:wordWrap/>
        <w:overflowPunct/>
        <w:topLinePunct/>
        <w:autoSpaceDE/>
        <w:autoSpaceDN/>
        <w:bidi w:val="0"/>
        <w:adjustRightInd w:val="0"/>
        <w:snapToGrid w:val="0"/>
        <w:spacing w:line="480" w:lineRule="exact"/>
        <w:ind w:firstLine="480" w:firstLineChars="200"/>
        <w:textAlignment w:val="auto"/>
        <w:rPr>
          <w:rFonts w:hint="eastAsia" w:ascii="仿宋_GB2312" w:hAnsi="仿宋" w:eastAsia="仿宋_GB2312" w:cs="新宋体-18030"/>
          <w:bCs/>
          <w:color w:val="auto"/>
          <w:sz w:val="24"/>
          <w:lang w:eastAsia="zh-CN"/>
        </w:rPr>
      </w:pPr>
      <w:bookmarkStart w:id="17" w:name="_Toc503261502"/>
      <w:bookmarkStart w:id="18" w:name="_Toc499561846"/>
      <w:bookmarkStart w:id="19" w:name="_Toc490812576"/>
      <w:bookmarkStart w:id="20" w:name="_Toc503262044"/>
      <w:r>
        <w:rPr>
          <w:rFonts w:hint="eastAsia" w:ascii="仿宋_GB2312" w:hAnsi="仿宋" w:eastAsia="仿宋_GB2312" w:cs="新宋体-18030"/>
          <w:bCs/>
          <w:color w:val="auto"/>
          <w:sz w:val="24"/>
          <w:lang w:eastAsia="zh-CN"/>
        </w:rPr>
        <w:t>估价对象于2019年5月30日至2049年5月30日被中国建设银行股份有限公司全椒支行抵押，估价对象存在他项权。根据本次估价目的，不考虑其对本次估价价值的影响。</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四、不相一致假设</w:t>
      </w:r>
      <w:bookmarkEnd w:id="17"/>
      <w:bookmarkEnd w:id="18"/>
      <w:bookmarkEnd w:id="19"/>
      <w:bookmarkEnd w:id="20"/>
    </w:p>
    <w:p>
      <w:pPr>
        <w:pageBreakBefore w:val="0"/>
        <w:tabs>
          <w:tab w:val="left" w:pos="1134"/>
        </w:tabs>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auto"/>
          <w:sz w:val="24"/>
          <w:szCs w:val="24"/>
        </w:rPr>
      </w:pPr>
      <w:bookmarkStart w:id="21" w:name="_Toc503261503"/>
      <w:bookmarkStart w:id="22" w:name="_Toc503262045"/>
      <w:bookmarkStart w:id="23" w:name="_Toc490812577"/>
      <w:bookmarkStart w:id="24" w:name="_Toc499561847"/>
      <w:r>
        <w:rPr>
          <w:rFonts w:hint="eastAsia" w:ascii="华文仿宋" w:hAnsi="华文仿宋" w:eastAsia="华文仿宋"/>
          <w:sz w:val="24"/>
          <w:szCs w:val="24"/>
        </w:rPr>
        <w:t>本次估价的估价对象不存在</w:t>
      </w:r>
      <w:r>
        <w:rPr>
          <w:rFonts w:hint="eastAsia" w:ascii="华文仿宋" w:hAnsi="华文仿宋" w:eastAsia="华文仿宋"/>
          <w:sz w:val="24"/>
          <w:szCs w:val="24"/>
          <w:lang w:val="en-US" w:eastAsia="zh-CN"/>
        </w:rPr>
        <w:t>不相一致</w:t>
      </w:r>
      <w:r>
        <w:rPr>
          <w:rFonts w:hint="eastAsia" w:ascii="华文仿宋" w:hAnsi="华文仿宋" w:eastAsia="华文仿宋"/>
          <w:sz w:val="24"/>
          <w:szCs w:val="24"/>
        </w:rPr>
        <w:t>事项，故本估价报告无</w:t>
      </w:r>
      <w:r>
        <w:rPr>
          <w:rFonts w:hint="eastAsia" w:ascii="华文仿宋" w:hAnsi="华文仿宋" w:eastAsia="华文仿宋"/>
          <w:sz w:val="24"/>
          <w:szCs w:val="24"/>
          <w:lang w:val="en-US" w:eastAsia="zh-CN"/>
        </w:rPr>
        <w:t>不相一致</w:t>
      </w:r>
      <w:r>
        <w:rPr>
          <w:rFonts w:hint="eastAsia" w:ascii="华文仿宋" w:hAnsi="华文仿宋" w:eastAsia="华文仿宋"/>
          <w:color w:val="auto"/>
          <w:sz w:val="24"/>
          <w:szCs w:val="24"/>
        </w:rPr>
        <w:t>假设。</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五、依据不足假设</w:t>
      </w:r>
      <w:bookmarkEnd w:id="21"/>
      <w:bookmarkEnd w:id="22"/>
      <w:bookmarkEnd w:id="23"/>
      <w:bookmarkEnd w:id="24"/>
    </w:p>
    <w:p>
      <w:pPr>
        <w:pageBreakBefore w:val="0"/>
        <w:tabs>
          <w:tab w:val="left" w:pos="1134"/>
        </w:tabs>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auto"/>
          <w:sz w:val="24"/>
          <w:szCs w:val="24"/>
        </w:rPr>
      </w:pPr>
      <w:r>
        <w:rPr>
          <w:rFonts w:hint="eastAsia" w:ascii="华文仿宋" w:hAnsi="华文仿宋" w:eastAsia="华文仿宋"/>
          <w:sz w:val="24"/>
          <w:szCs w:val="24"/>
        </w:rPr>
        <w:t>本次估价的估价对象不存在依据不足事项，故本估价报告无</w:t>
      </w:r>
      <w:r>
        <w:rPr>
          <w:rFonts w:hint="eastAsia" w:ascii="华文仿宋" w:hAnsi="华文仿宋" w:eastAsia="华文仿宋"/>
          <w:color w:val="auto"/>
          <w:sz w:val="24"/>
          <w:szCs w:val="24"/>
        </w:rPr>
        <w:t>依据不足假设。</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六、估价报告使用限制</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（一）估价报告的估价目的具有唯一性。本估价报告书仅为人民法院确定财产处置参考价提供参考依据，不作抵押、担保、征收等其他任何估价目的之用。如果估价条件或目的发生变化，估价报告需作相应调整。</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（二）未经本估价机构书面同意，本报告的全部或任何一部分均不得向估价委托人、报告使用者、报告审查部门之外的单位和个人提供，也不得以任何形式公开发表。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（三）委托人、报告使用者、报告审查部门之外的单位和个人提供，也不得以任何形式公开发表。</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（四）本报告必须完整使用方为有效，对仅使用本报告中部分内容而导致可能的损失，本估价机构不承担责任。</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五）本次估价结果受价值时点的限制，且本估价报告使用期限自估价报告出具之日2022年8月29日起为壹年。若报告使用期限内，房地产市场、建筑市场或估价对象自身状况发生重大变化，估价结果也需作相应调整或委托估价机构重新估价。</w:t>
      </w:r>
    </w:p>
    <w:p>
      <w:pPr>
        <w:pStyle w:val="66"/>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（六）本次估价结果是指在目前房地产市场状况下，估价对象在现状利用条件下的房地产价值，包括国有出让土地使用权价值和与房屋有关的土建、安装、二次装修。</w:t>
      </w:r>
    </w:p>
    <w:p>
      <w:pPr>
        <w:pStyle w:val="66"/>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textAlignment w:val="auto"/>
        <w:rPr>
          <w:rFonts w:ascii="华文仿宋" w:hAnsi="华文仿宋" w:eastAsia="华文仿宋"/>
          <w:sz w:val="24"/>
          <w:szCs w:val="24"/>
        </w:rPr>
      </w:pPr>
      <w:r>
        <w:rPr>
          <w:rFonts w:hint="eastAsia" w:ascii="华文仿宋" w:hAnsi="华文仿宋" w:eastAsia="华文仿宋" w:cs="Times New Roman"/>
          <w:color w:val="000000"/>
          <w:kern w:val="2"/>
          <w:sz w:val="24"/>
          <w:szCs w:val="24"/>
          <w:lang w:val="en-US" w:eastAsia="zh-CN" w:bidi="ar-SA"/>
        </w:rPr>
        <w:t>（七）本报告书由正文和附件两部分共同组成，不得随意分割使用。且本报告书应与估价对象的合法产权证明一并使用、经两名注册房地产估价师签字、估价机构</w:t>
      </w:r>
      <w:r>
        <w:rPr>
          <w:rFonts w:hint="eastAsia" w:ascii="华文仿宋" w:hAnsi="华文仿宋" w:eastAsia="华文仿宋"/>
          <w:color w:val="000000"/>
          <w:sz w:val="24"/>
          <w:szCs w:val="24"/>
        </w:rPr>
        <w:t>盖章并作为一个整体时有效。对仅使用本报告中部分内容而导致可能的损失，本估价机构不承担责任。</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s="新宋体-18030"/>
          <w:b/>
          <w:bCs/>
          <w:color w:val="7030A0"/>
          <w:sz w:val="24"/>
          <w:szCs w:val="24"/>
        </w:rPr>
      </w:pPr>
      <w:r>
        <w:rPr>
          <w:rFonts w:hint="eastAsia" w:ascii="华文仿宋" w:hAnsi="华文仿宋" w:eastAsia="华文仿宋"/>
          <w:color w:val="000000"/>
          <w:sz w:val="24"/>
          <w:szCs w:val="24"/>
        </w:rPr>
        <w:t>（</w:t>
      </w:r>
      <w:r>
        <w:rPr>
          <w:rFonts w:hint="eastAsia" w:ascii="华文仿宋" w:hAnsi="华文仿宋" w:eastAsia="华文仿宋"/>
          <w:color w:val="000000"/>
          <w:sz w:val="24"/>
          <w:szCs w:val="24"/>
          <w:lang w:val="en-US" w:eastAsia="zh-CN"/>
        </w:rPr>
        <w:t>八</w:t>
      </w:r>
      <w:r>
        <w:rPr>
          <w:rFonts w:hint="eastAsia" w:ascii="华文仿宋" w:hAnsi="华文仿宋" w:eastAsia="华文仿宋"/>
          <w:color w:val="000000"/>
          <w:sz w:val="24"/>
          <w:szCs w:val="24"/>
        </w:rPr>
        <w:t>）本报告的最终解释权由本估价机构所有。</w:t>
      </w:r>
      <w:bookmarkStart w:id="25" w:name="_Toc1247"/>
      <w:bookmarkStart w:id="26" w:name="_Toc18854"/>
      <w:bookmarkStart w:id="27" w:name="_Toc13624"/>
      <w:bookmarkStart w:id="28" w:name="_Toc433731390"/>
      <w:bookmarkStart w:id="29" w:name="_Toc530663971"/>
    </w:p>
    <w:p>
      <w:pPr>
        <w:spacing w:line="440" w:lineRule="exact"/>
        <w:ind w:firstLine="2650" w:firstLineChars="600"/>
        <w:outlineLvl w:val="0"/>
        <w:rPr>
          <w:rFonts w:hint="eastAsia" w:ascii="仿宋" w:hAnsi="仿宋" w:eastAsia="仿宋" w:cs="新宋体-18030"/>
          <w:b/>
          <w:bCs/>
          <w:color w:val="000000"/>
          <w:sz w:val="44"/>
          <w:szCs w:val="44"/>
        </w:rPr>
      </w:pPr>
    </w:p>
    <w:p>
      <w:pPr>
        <w:spacing w:line="440" w:lineRule="exact"/>
        <w:ind w:firstLine="2650" w:firstLineChars="600"/>
        <w:outlineLvl w:val="0"/>
        <w:rPr>
          <w:rFonts w:ascii="仿宋" w:hAnsi="仿宋" w:eastAsia="仿宋" w:cs="新宋体-18030"/>
          <w:b/>
          <w:bCs/>
          <w:color w:val="000000"/>
          <w:sz w:val="44"/>
          <w:szCs w:val="44"/>
        </w:rPr>
      </w:pPr>
      <w:bookmarkStart w:id="30" w:name="_Toc11195"/>
      <w:r>
        <w:rPr>
          <w:rFonts w:hint="eastAsia" w:ascii="仿宋" w:hAnsi="仿宋" w:eastAsia="仿宋" w:cs="新宋体-18030"/>
          <w:b/>
          <w:bCs/>
          <w:color w:val="000000"/>
          <w:sz w:val="44"/>
          <w:szCs w:val="44"/>
        </w:rPr>
        <w:t>房地产估价结果报告</w:t>
      </w:r>
      <w:bookmarkEnd w:id="25"/>
      <w:bookmarkEnd w:id="26"/>
      <w:bookmarkEnd w:id="27"/>
      <w:bookmarkEnd w:id="30"/>
    </w:p>
    <w:p>
      <w:pPr>
        <w:spacing w:line="440" w:lineRule="exact"/>
        <w:ind w:firstLine="3080" w:firstLineChars="1400"/>
        <w:rPr>
          <w:rFonts w:ascii="仿宋" w:hAnsi="仿宋" w:eastAsia="仿宋" w:cs="新宋体-18030"/>
          <w:sz w:val="22"/>
          <w:szCs w:val="20"/>
        </w:rPr>
      </w:pPr>
      <w:r>
        <w:rPr>
          <w:rFonts w:hint="eastAsia" w:ascii="仿宋" w:hAnsi="仿宋" w:eastAsia="仿宋" w:cs="新宋体-18030"/>
          <w:sz w:val="22"/>
          <w:szCs w:val="20"/>
        </w:rPr>
        <w:t>皖中信房估字[202</w:t>
      </w:r>
      <w:r>
        <w:rPr>
          <w:rFonts w:hint="eastAsia" w:ascii="仿宋" w:hAnsi="仿宋" w:eastAsia="仿宋" w:cs="新宋体-18030"/>
          <w:sz w:val="22"/>
          <w:szCs w:val="20"/>
          <w:lang w:val="en-US" w:eastAsia="zh-CN"/>
        </w:rPr>
        <w:t>2</w:t>
      </w:r>
      <w:r>
        <w:rPr>
          <w:rFonts w:hint="eastAsia" w:ascii="仿宋" w:hAnsi="仿宋" w:eastAsia="仿宋" w:cs="新宋体-18030"/>
          <w:sz w:val="22"/>
          <w:szCs w:val="20"/>
        </w:rPr>
        <w:t>]M-</w:t>
      </w:r>
      <w:r>
        <w:rPr>
          <w:rFonts w:hint="eastAsia" w:ascii="仿宋" w:hAnsi="仿宋" w:eastAsia="仿宋" w:cs="新宋体-18030"/>
          <w:sz w:val="22"/>
          <w:szCs w:val="20"/>
          <w:lang w:eastAsia="zh-CN"/>
        </w:rPr>
        <w:t>0</w:t>
      </w:r>
      <w:r>
        <w:rPr>
          <w:rFonts w:hint="eastAsia" w:ascii="仿宋" w:hAnsi="仿宋" w:eastAsia="仿宋" w:cs="新宋体-18030"/>
          <w:sz w:val="22"/>
          <w:szCs w:val="20"/>
          <w:lang w:val="en-US" w:eastAsia="zh-CN"/>
        </w:rPr>
        <w:t>337</w:t>
      </w:r>
      <w:r>
        <w:rPr>
          <w:rFonts w:hint="eastAsia" w:ascii="仿宋" w:hAnsi="仿宋" w:eastAsia="仿宋" w:cs="新宋体-18030"/>
          <w:sz w:val="22"/>
          <w:szCs w:val="20"/>
        </w:rPr>
        <w:t>号</w:t>
      </w:r>
    </w:p>
    <w:p>
      <w:pPr>
        <w:spacing w:line="470" w:lineRule="exact"/>
        <w:ind w:firstLine="482" w:firstLineChars="200"/>
        <w:outlineLvl w:val="1"/>
        <w:rPr>
          <w:rFonts w:ascii="仿宋_GB2312" w:hAnsi="仿宋" w:eastAsia="仿宋_GB2312" w:cs="新宋体-18030"/>
          <w:b/>
          <w:bCs/>
          <w:color w:val="000000" w:themeColor="text1"/>
          <w:sz w:val="24"/>
        </w:rPr>
      </w:pPr>
      <w:bookmarkStart w:id="31" w:name="_Toc6654"/>
      <w:r>
        <w:rPr>
          <w:rFonts w:hint="eastAsia" w:ascii="仿宋_GB2312" w:hAnsi="仿宋" w:eastAsia="仿宋_GB2312" w:cs="新宋体-18030"/>
          <w:b/>
          <w:bCs/>
          <w:color w:val="000000" w:themeColor="text1"/>
          <w:sz w:val="24"/>
        </w:rPr>
        <w:t>一、估价委托人</w:t>
      </w:r>
      <w:bookmarkEnd w:id="28"/>
      <w:bookmarkEnd w:id="29"/>
      <w:bookmarkEnd w:id="31"/>
    </w:p>
    <w:p>
      <w:pPr>
        <w:spacing w:line="440" w:lineRule="exact"/>
        <w:ind w:firstLine="480" w:firstLineChars="200"/>
        <w:rPr>
          <w:rFonts w:hint="eastAsia" w:ascii="仿宋" w:hAnsi="仿宋" w:eastAsia="仿宋" w:cs="新宋体-18030"/>
          <w:sz w:val="24"/>
          <w:lang w:eastAsia="zh-CN"/>
        </w:rPr>
      </w:pPr>
      <w:bookmarkStart w:id="32" w:name="_Toc530663972"/>
      <w:bookmarkStart w:id="33" w:name="_Toc433731391"/>
      <w:r>
        <w:rPr>
          <w:rFonts w:hint="eastAsia" w:ascii="仿宋" w:hAnsi="仿宋" w:eastAsia="仿宋" w:cs="新宋体-18030"/>
          <w:sz w:val="24"/>
        </w:rPr>
        <w:t>名    称：</w:t>
      </w:r>
      <w:r>
        <w:rPr>
          <w:rFonts w:hint="eastAsia" w:ascii="仿宋" w:hAnsi="仿宋" w:eastAsia="仿宋" w:cs="新宋体-18030"/>
          <w:sz w:val="24"/>
          <w:lang w:eastAsia="zh-CN"/>
        </w:rPr>
        <w:t>全椒县人民法院</w:t>
      </w:r>
    </w:p>
    <w:p>
      <w:pPr>
        <w:spacing w:line="470" w:lineRule="exact"/>
        <w:ind w:firstLine="482" w:firstLineChars="200"/>
        <w:outlineLvl w:val="1"/>
        <w:rPr>
          <w:rFonts w:ascii="仿宋_GB2312" w:hAnsi="仿宋" w:eastAsia="仿宋_GB2312" w:cs="新宋体-18030"/>
          <w:b/>
          <w:bCs/>
          <w:color w:val="000000" w:themeColor="text1"/>
          <w:sz w:val="24"/>
        </w:rPr>
      </w:pPr>
      <w:bookmarkStart w:id="34" w:name="_Toc32012"/>
      <w:r>
        <w:rPr>
          <w:rFonts w:hint="eastAsia" w:ascii="仿宋_GB2312" w:hAnsi="仿宋" w:eastAsia="仿宋_GB2312" w:cs="新宋体-18030"/>
          <w:b/>
          <w:bCs/>
          <w:color w:val="000000" w:themeColor="text1"/>
          <w:sz w:val="24"/>
        </w:rPr>
        <w:t>二、房地产估价机构</w:t>
      </w:r>
      <w:bookmarkEnd w:id="32"/>
      <w:bookmarkEnd w:id="33"/>
      <w:bookmarkEnd w:id="34"/>
    </w:p>
    <w:p>
      <w:pPr>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估价机构：安徽中信房地产土地资产价格评估有限公司</w:t>
      </w:r>
    </w:p>
    <w:p>
      <w:pPr>
        <w:spacing w:line="480" w:lineRule="exact"/>
        <w:ind w:firstLine="480" w:firstLineChars="200"/>
        <w:rPr>
          <w:rFonts w:ascii="仿宋" w:hAnsi="仿宋" w:eastAsia="仿宋"/>
          <w:sz w:val="24"/>
        </w:rPr>
      </w:pPr>
      <w:r>
        <w:rPr>
          <w:rFonts w:hint="eastAsia" w:ascii="仿宋_GB2312" w:hAnsi="仿宋" w:eastAsia="仿宋_GB2312" w:cs="新宋体-18030"/>
          <w:color w:val="000000" w:themeColor="text1"/>
          <w:sz w:val="24"/>
        </w:rPr>
        <w:t>地    址：</w:t>
      </w:r>
      <w:r>
        <w:rPr>
          <w:rFonts w:hint="eastAsia" w:ascii="仿宋" w:hAnsi="仿宋" w:eastAsia="仿宋"/>
          <w:sz w:val="24"/>
        </w:rPr>
        <w:t>合肥市蜀山区潜山路525号方大郢综合楼10-11层整层</w:t>
      </w:r>
    </w:p>
    <w:p>
      <w:pPr>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法定代表人：胡朝伟</w:t>
      </w:r>
    </w:p>
    <w:p>
      <w:pPr>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机构资质等级：国家壹级资质</w:t>
      </w:r>
    </w:p>
    <w:p>
      <w:pPr>
        <w:spacing w:line="480" w:lineRule="exact"/>
        <w:ind w:firstLine="480" w:firstLineChars="200"/>
        <w:rPr>
          <w:rFonts w:hint="eastAsia" w:ascii="仿宋_GB2312" w:hAnsi="仿宋" w:eastAsia="仿宋_GB2312" w:cs="新宋体-18030"/>
          <w:color w:val="000000" w:themeColor="text1"/>
          <w:sz w:val="24"/>
        </w:rPr>
      </w:pPr>
      <w:bookmarkStart w:id="35" w:name="_Toc433731392"/>
      <w:bookmarkStart w:id="36" w:name="_Toc530663973"/>
      <w:r>
        <w:rPr>
          <w:rFonts w:hint="eastAsia" w:ascii="仿宋_GB2312" w:hAnsi="仿宋" w:eastAsia="仿宋_GB2312" w:cs="新宋体-18030"/>
          <w:color w:val="000000" w:themeColor="text1"/>
          <w:sz w:val="24"/>
        </w:rPr>
        <w:t>证书编号</w:t>
      </w:r>
      <w:r>
        <w:rPr>
          <w:rFonts w:hint="eastAsia" w:ascii="仿宋_GB2312" w:hAnsi="仿宋" w:eastAsia="仿宋_GB2312" w:cs="新宋体-18030"/>
          <w:color w:val="000000" w:themeColor="text1"/>
          <w:sz w:val="24"/>
          <w:lang w:eastAsia="zh-CN"/>
        </w:rPr>
        <w:t>：</w:t>
      </w:r>
      <w:r>
        <w:rPr>
          <w:rFonts w:hint="eastAsia" w:ascii="仿宋_GB2312" w:hAnsi="仿宋" w:eastAsia="仿宋_GB2312" w:cs="新宋体-18030"/>
          <w:color w:val="000000" w:themeColor="text1"/>
          <w:sz w:val="24"/>
        </w:rPr>
        <w:t>GA221804</w:t>
      </w:r>
    </w:p>
    <w:p>
      <w:pPr>
        <w:spacing w:line="470" w:lineRule="exact"/>
        <w:ind w:firstLine="482" w:firstLineChars="200"/>
        <w:outlineLvl w:val="1"/>
        <w:rPr>
          <w:rFonts w:ascii="仿宋_GB2312" w:hAnsi="仿宋" w:eastAsia="仿宋_GB2312" w:cs="新宋体-18030"/>
          <w:b/>
          <w:bCs/>
          <w:color w:val="000000" w:themeColor="text1"/>
          <w:sz w:val="24"/>
        </w:rPr>
      </w:pPr>
      <w:bookmarkStart w:id="37" w:name="_Toc26191"/>
      <w:r>
        <w:rPr>
          <w:rFonts w:hint="eastAsia" w:ascii="仿宋_GB2312" w:hAnsi="仿宋" w:eastAsia="仿宋_GB2312" w:cs="新宋体-18030"/>
          <w:b/>
          <w:bCs/>
          <w:color w:val="000000" w:themeColor="text1"/>
          <w:sz w:val="24"/>
        </w:rPr>
        <w:t>三、估价目的</w:t>
      </w:r>
      <w:bookmarkEnd w:id="35"/>
      <w:bookmarkEnd w:id="36"/>
      <w:bookmarkEnd w:id="37"/>
    </w:p>
    <w:p>
      <w:pPr>
        <w:adjustRightInd w:val="0"/>
        <w:snapToGrid w:val="0"/>
        <w:spacing w:line="440" w:lineRule="exact"/>
        <w:ind w:firstLine="480" w:firstLineChars="200"/>
        <w:rPr>
          <w:rFonts w:ascii="仿宋_GB2312" w:hAnsi="仿宋" w:eastAsia="仿宋_GB2312"/>
          <w:sz w:val="24"/>
          <w:szCs w:val="24"/>
        </w:rPr>
      </w:pPr>
      <w:bookmarkStart w:id="38" w:name="_Toc530663974"/>
      <w:bookmarkStart w:id="39" w:name="_Toc433731393"/>
      <w:r>
        <w:rPr>
          <w:rFonts w:hint="eastAsia" w:ascii="仿宋" w:hAnsi="仿宋" w:eastAsia="仿宋" w:cs="新宋体-18030"/>
          <w:sz w:val="24"/>
          <w:lang w:eastAsia="zh-CN"/>
        </w:rPr>
        <w:t>为人民法院确定财产处置参考价提供参考依据</w:t>
      </w:r>
      <w:r>
        <w:rPr>
          <w:rFonts w:hint="eastAsia" w:ascii="仿宋" w:hAnsi="仿宋" w:eastAsia="仿宋" w:cs="新宋体-18030"/>
          <w:sz w:val="24"/>
        </w:rPr>
        <w:t>。</w:t>
      </w:r>
    </w:p>
    <w:p>
      <w:pPr>
        <w:spacing w:line="470" w:lineRule="exact"/>
        <w:ind w:firstLine="482" w:firstLineChars="200"/>
        <w:outlineLvl w:val="1"/>
        <w:rPr>
          <w:rFonts w:ascii="仿宋_GB2312" w:hAnsi="仿宋" w:eastAsia="仿宋_GB2312" w:cs="新宋体-18030"/>
          <w:b/>
          <w:bCs/>
          <w:color w:val="000000" w:themeColor="text1"/>
          <w:sz w:val="24"/>
        </w:rPr>
      </w:pPr>
      <w:bookmarkStart w:id="40" w:name="_Toc24431"/>
      <w:r>
        <w:rPr>
          <w:rFonts w:hint="eastAsia" w:ascii="仿宋_GB2312" w:hAnsi="仿宋" w:eastAsia="仿宋_GB2312" w:cs="新宋体-18030"/>
          <w:b/>
          <w:bCs/>
          <w:color w:val="000000" w:themeColor="text1"/>
          <w:sz w:val="24"/>
        </w:rPr>
        <w:t>四、估价对象</w:t>
      </w:r>
      <w:bookmarkEnd w:id="38"/>
      <w:bookmarkEnd w:id="39"/>
      <w:bookmarkEnd w:id="40"/>
    </w:p>
    <w:p>
      <w:pPr>
        <w:snapToGrid w:val="0"/>
        <w:spacing w:line="470" w:lineRule="exact"/>
        <w:ind w:firstLine="482" w:firstLineChars="200"/>
        <w:rPr>
          <w:rFonts w:ascii="仿宋_GB2312" w:hAnsi="仿宋" w:eastAsia="仿宋_GB2312"/>
          <w:b/>
          <w:caps/>
          <w:color w:val="000000" w:themeColor="text1"/>
          <w:sz w:val="24"/>
        </w:rPr>
      </w:pPr>
      <w:bookmarkStart w:id="41" w:name="_Toc433731394"/>
      <w:bookmarkStart w:id="42" w:name="_Toc530663975"/>
      <w:r>
        <w:rPr>
          <w:rFonts w:hint="eastAsia" w:ascii="仿宋_GB2312" w:hAnsi="仿宋" w:eastAsia="仿宋_GB2312"/>
          <w:b/>
          <w:caps/>
          <w:color w:val="000000" w:themeColor="text1"/>
          <w:sz w:val="24"/>
        </w:rPr>
        <w:t>（一）估价对象财产范围及概况：</w:t>
      </w:r>
    </w:p>
    <w:p>
      <w:pPr>
        <w:spacing w:line="470" w:lineRule="exact"/>
        <w:ind w:firstLine="480" w:firstLineChars="200"/>
        <w:rPr>
          <w:rFonts w:ascii="仿宋_GB2312" w:hAnsi="仿宋" w:eastAsia="仿宋_GB2312" w:cs="新宋体-18030"/>
          <w:bCs/>
          <w:color w:val="auto"/>
          <w:sz w:val="24"/>
        </w:rPr>
      </w:pPr>
      <w:r>
        <w:rPr>
          <w:rFonts w:hint="eastAsia" w:ascii="仿宋_GB2312" w:hAnsi="仿宋" w:eastAsia="仿宋_GB2312" w:cs="新宋体-18030"/>
          <w:bCs/>
          <w:color w:val="000000" w:themeColor="text1"/>
          <w:sz w:val="24"/>
        </w:rPr>
        <w:t>估价对象：为</w:t>
      </w:r>
      <w:r>
        <w:rPr>
          <w:rFonts w:hint="eastAsia" w:ascii="仿宋_GB2312" w:hAnsi="仿宋" w:eastAsia="仿宋_GB2312" w:cs="新宋体-18030"/>
          <w:bCs/>
          <w:color w:val="000000" w:themeColor="text1"/>
          <w:sz w:val="24"/>
          <w:lang w:eastAsia="zh-CN"/>
        </w:rPr>
        <w:t>全椒县襄河镇椒陵大道1号正东凯旋名门45幢2单元406室</w:t>
      </w:r>
      <w:r>
        <w:rPr>
          <w:rFonts w:hint="eastAsia" w:ascii="仿宋_GB2312" w:hAnsi="仿宋" w:eastAsia="仿宋_GB2312" w:cs="新宋体-18030"/>
          <w:bCs/>
          <w:color w:val="000000" w:themeColor="text1"/>
          <w:sz w:val="24"/>
        </w:rPr>
        <w:t>住宅用房，房屋建筑面积为</w:t>
      </w:r>
      <w:r>
        <w:rPr>
          <w:rFonts w:hint="eastAsia" w:ascii="仿宋_GB2312" w:hAnsi="仿宋" w:eastAsia="仿宋_GB2312" w:cs="新宋体-18030"/>
          <w:bCs/>
          <w:color w:val="000000" w:themeColor="text1"/>
          <w:sz w:val="24"/>
          <w:lang w:eastAsia="zh-CN"/>
        </w:rPr>
        <w:t>112.45</w:t>
      </w:r>
      <w:r>
        <w:rPr>
          <w:rFonts w:hint="eastAsia" w:ascii="仿宋_GB2312" w:hAnsi="仿宋" w:eastAsia="仿宋_GB2312" w:cs="新宋体-18030"/>
          <w:bCs/>
          <w:color w:val="000000" w:themeColor="text1"/>
          <w:sz w:val="24"/>
        </w:rPr>
        <w:t>平方米，分摊土地面积</w:t>
      </w:r>
      <w:r>
        <w:rPr>
          <w:rFonts w:hint="eastAsia" w:ascii="仿宋_GB2312" w:hAnsi="仿宋" w:eastAsia="仿宋_GB2312" w:cs="新宋体-18030"/>
          <w:bCs/>
          <w:color w:val="000000" w:themeColor="text1"/>
          <w:sz w:val="24"/>
          <w:lang w:val="en-US" w:eastAsia="zh-CN"/>
        </w:rPr>
        <w:t>为49.71平方米</w:t>
      </w:r>
      <w:r>
        <w:rPr>
          <w:rFonts w:hint="eastAsia" w:ascii="仿宋_GB2312" w:hAnsi="仿宋" w:eastAsia="仿宋_GB2312" w:cs="新宋体-18030"/>
          <w:bCs/>
          <w:color w:val="000000" w:themeColor="text1"/>
          <w:sz w:val="24"/>
        </w:rPr>
        <w:t>，土地剩余使用年限为</w:t>
      </w:r>
      <w:r>
        <w:rPr>
          <w:rFonts w:hint="eastAsia" w:ascii="仿宋_GB2312" w:hAnsi="仿宋" w:eastAsia="仿宋_GB2312" w:cs="新宋体-18030"/>
          <w:bCs/>
          <w:sz w:val="24"/>
          <w:lang w:val="en-US" w:eastAsia="zh-CN"/>
        </w:rPr>
        <w:t>60.02</w:t>
      </w:r>
      <w:r>
        <w:rPr>
          <w:rFonts w:hint="eastAsia" w:ascii="仿宋_GB2312" w:hAnsi="仿宋" w:eastAsia="仿宋_GB2312" w:cs="新宋体-18030"/>
          <w:bCs/>
          <w:sz w:val="24"/>
        </w:rPr>
        <w:t>年。总</w:t>
      </w:r>
      <w:r>
        <w:rPr>
          <w:rFonts w:hint="eastAsia" w:ascii="仿宋_GB2312" w:hAnsi="仿宋" w:eastAsia="仿宋_GB2312" w:cs="新宋体-18030"/>
          <w:bCs/>
          <w:color w:val="000000" w:themeColor="text1"/>
          <w:sz w:val="24"/>
        </w:rPr>
        <w:t>楼层为</w:t>
      </w:r>
      <w:r>
        <w:rPr>
          <w:rFonts w:hint="eastAsia" w:ascii="仿宋_GB2312" w:hAnsi="仿宋" w:eastAsia="仿宋_GB2312" w:cs="新宋体-18030"/>
          <w:bCs/>
          <w:color w:val="000000" w:themeColor="text1"/>
          <w:sz w:val="24"/>
          <w:lang w:val="en-US" w:eastAsia="zh-CN"/>
        </w:rPr>
        <w:t>十七</w:t>
      </w:r>
      <w:r>
        <w:rPr>
          <w:rFonts w:hint="eastAsia" w:ascii="仿宋_GB2312" w:hAnsi="仿宋" w:eastAsia="仿宋_GB2312" w:cs="新宋体-18030"/>
          <w:bCs/>
          <w:color w:val="000000" w:themeColor="text1"/>
          <w:sz w:val="24"/>
        </w:rPr>
        <w:t>层，估价对象位于第</w:t>
      </w:r>
      <w:r>
        <w:rPr>
          <w:rFonts w:hint="eastAsia" w:ascii="仿宋_GB2312" w:hAnsi="仿宋" w:eastAsia="仿宋_GB2312" w:cs="新宋体-18030"/>
          <w:bCs/>
          <w:color w:val="000000" w:themeColor="text1"/>
          <w:sz w:val="24"/>
          <w:lang w:val="en-US" w:eastAsia="zh-CN"/>
        </w:rPr>
        <w:t>十七</w:t>
      </w:r>
      <w:r>
        <w:rPr>
          <w:rFonts w:hint="eastAsia" w:ascii="仿宋_GB2312" w:hAnsi="仿宋" w:eastAsia="仿宋_GB2312" w:cs="新宋体-18030"/>
          <w:bCs/>
          <w:color w:val="000000" w:themeColor="text1"/>
          <w:sz w:val="24"/>
        </w:rPr>
        <w:t>层</w:t>
      </w:r>
      <w:r>
        <w:rPr>
          <w:rFonts w:hint="eastAsia" w:ascii="仿宋_GB2312" w:hAnsi="仿宋" w:eastAsia="仿宋_GB2312" w:cs="新宋体-18030"/>
          <w:bCs/>
          <w:color w:val="000000" w:themeColor="text1"/>
          <w:sz w:val="24"/>
          <w:lang w:eastAsia="zh-CN"/>
        </w:rPr>
        <w:t>，</w:t>
      </w:r>
      <w:r>
        <w:rPr>
          <w:rFonts w:hint="eastAsia" w:ascii="仿宋_GB2312" w:hAnsi="仿宋" w:eastAsia="仿宋_GB2312" w:cs="仿宋_GB2312"/>
          <w:color w:val="000000" w:themeColor="text1"/>
          <w:sz w:val="24"/>
          <w:szCs w:val="24"/>
          <w:lang w:val="en-US" w:eastAsia="zh-CN"/>
        </w:rPr>
        <w:t>第四</w:t>
      </w:r>
      <w:r>
        <w:rPr>
          <w:rFonts w:hint="eastAsia" w:ascii="仿宋_GB2312" w:hAnsi="仿宋" w:eastAsia="仿宋_GB2312" w:cs="仿宋_GB2312"/>
          <w:color w:val="000000" w:themeColor="text1"/>
          <w:sz w:val="24"/>
          <w:szCs w:val="24"/>
        </w:rPr>
        <w:t>层现用于</w:t>
      </w:r>
      <w:r>
        <w:rPr>
          <w:rFonts w:hint="eastAsia" w:ascii="仿宋_GB2312" w:hAnsi="仿宋" w:eastAsia="仿宋_GB2312" w:cs="仿宋_GB2312"/>
          <w:color w:val="000000" w:themeColor="text1"/>
          <w:sz w:val="24"/>
          <w:szCs w:val="24"/>
          <w:lang w:val="en-US" w:eastAsia="zh-CN"/>
        </w:rPr>
        <w:t>住宅。</w:t>
      </w:r>
      <w:r>
        <w:rPr>
          <w:rFonts w:hint="eastAsia" w:ascii="仿宋_GB2312" w:hAnsi="仿宋" w:eastAsia="仿宋_GB2312" w:cs="新宋体-18030"/>
          <w:bCs/>
          <w:color w:val="000000" w:themeColor="text1"/>
          <w:sz w:val="24"/>
        </w:rPr>
        <w:t>估价对象房屋证载用途为住宅，实际用途为住宅；</w:t>
      </w:r>
      <w:r>
        <w:rPr>
          <w:rFonts w:hint="eastAsia" w:ascii="仿宋_GB2312" w:hAnsi="仿宋" w:eastAsia="仿宋_GB2312" w:cs="新宋体-18030"/>
          <w:bCs/>
          <w:color w:val="auto"/>
          <w:sz w:val="24"/>
          <w:lang w:val="en-US" w:eastAsia="zh-CN"/>
        </w:rPr>
        <w:t>土地</w:t>
      </w:r>
      <w:r>
        <w:rPr>
          <w:rFonts w:hint="eastAsia" w:ascii="仿宋_GB2312" w:hAnsi="仿宋" w:eastAsia="仿宋_GB2312" w:cs="新宋体-18030"/>
          <w:bCs/>
          <w:color w:val="auto"/>
          <w:sz w:val="24"/>
        </w:rPr>
        <w:t>证载使用权类型为出让，用途为城镇住宅用地。</w:t>
      </w:r>
    </w:p>
    <w:p>
      <w:pPr>
        <w:snapToGrid w:val="0"/>
        <w:spacing w:line="470" w:lineRule="exact"/>
        <w:ind w:firstLine="480" w:firstLineChars="200"/>
        <w:rPr>
          <w:rFonts w:ascii="仿宋_GB2312" w:hAnsi="仿宋" w:eastAsia="仿宋_GB2312"/>
          <w:caps/>
          <w:color w:val="000000" w:themeColor="text1"/>
          <w:sz w:val="24"/>
        </w:rPr>
      </w:pPr>
      <w:r>
        <w:rPr>
          <w:rFonts w:hint="eastAsia" w:ascii="仿宋_GB2312" w:hAnsi="仿宋" w:eastAsia="仿宋_GB2312" w:cs="新宋体-18030"/>
          <w:bCs/>
          <w:color w:val="000000" w:themeColor="text1"/>
          <w:sz w:val="24"/>
        </w:rPr>
        <w:t>本估价对象属</w:t>
      </w:r>
      <w:r>
        <w:rPr>
          <w:rFonts w:hint="eastAsia" w:ascii="仿宋_GB2312" w:hAnsi="仿宋" w:eastAsia="仿宋_GB2312" w:cs="新宋体-18030"/>
          <w:bCs/>
          <w:color w:val="000000" w:themeColor="text1"/>
          <w:sz w:val="24"/>
          <w:lang w:eastAsia="zh-CN"/>
        </w:rPr>
        <w:t>魏新成、韩梅</w:t>
      </w:r>
      <w:r>
        <w:rPr>
          <w:rFonts w:hint="eastAsia" w:ascii="仿宋_GB2312" w:hAnsi="仿宋" w:eastAsia="仿宋_GB2312" w:cs="新宋体-18030"/>
          <w:bCs/>
          <w:color w:val="000000" w:themeColor="text1"/>
          <w:sz w:val="24"/>
          <w:highlight w:val="none"/>
          <w:lang w:eastAsia="zh-CN"/>
        </w:rPr>
        <w:t>共同共有</w:t>
      </w:r>
      <w:r>
        <w:rPr>
          <w:rFonts w:hint="eastAsia" w:ascii="仿宋_GB2312" w:hAnsi="仿宋" w:eastAsia="仿宋_GB2312" w:cs="新宋体-18030"/>
          <w:bCs/>
          <w:color w:val="000000" w:themeColor="text1"/>
          <w:sz w:val="24"/>
          <w:highlight w:val="none"/>
        </w:rPr>
        <w:t>，估价对</w:t>
      </w:r>
      <w:r>
        <w:rPr>
          <w:rFonts w:hint="eastAsia" w:ascii="仿宋_GB2312" w:hAnsi="仿宋" w:eastAsia="仿宋_GB2312" w:cs="新宋体-18030"/>
          <w:bCs/>
          <w:color w:val="000000" w:themeColor="text1"/>
          <w:sz w:val="24"/>
        </w:rPr>
        <w:t>象的财产范围包</w:t>
      </w:r>
      <w:r>
        <w:rPr>
          <w:rFonts w:hint="eastAsia" w:ascii="仿宋_GB2312" w:hAnsi="仿宋" w:eastAsia="仿宋_GB2312" w:cs="新宋体-18030"/>
          <w:bCs/>
          <w:color w:val="000000" w:themeColor="text1"/>
          <w:sz w:val="24"/>
          <w:highlight w:val="none"/>
        </w:rPr>
        <w:t>括建筑物</w:t>
      </w:r>
      <w:r>
        <w:rPr>
          <w:rFonts w:hint="eastAsia" w:ascii="仿宋_GB2312" w:hAnsi="仿宋" w:eastAsia="仿宋_GB2312" w:cs="新宋体-18030"/>
          <w:bCs/>
          <w:color w:val="000000" w:themeColor="text1"/>
          <w:sz w:val="24"/>
          <w:highlight w:val="none"/>
          <w:lang w:eastAsia="zh-CN"/>
        </w:rPr>
        <w:t>（</w:t>
      </w:r>
      <w:r>
        <w:rPr>
          <w:rFonts w:hint="eastAsia" w:ascii="仿宋_GB2312" w:hAnsi="仿宋" w:eastAsia="仿宋_GB2312" w:cs="新宋体-18030"/>
          <w:bCs/>
          <w:color w:val="000000" w:themeColor="text1"/>
          <w:sz w:val="24"/>
          <w:highlight w:val="none"/>
          <w:lang w:val="en-US" w:eastAsia="zh-CN"/>
        </w:rPr>
        <w:t>含装修</w:t>
      </w:r>
      <w:r>
        <w:rPr>
          <w:rFonts w:hint="eastAsia" w:ascii="仿宋_GB2312" w:hAnsi="仿宋" w:eastAsia="仿宋_GB2312" w:cs="新宋体-18030"/>
          <w:bCs/>
          <w:color w:val="000000" w:themeColor="text1"/>
          <w:sz w:val="24"/>
          <w:highlight w:val="none"/>
          <w:lang w:eastAsia="zh-CN"/>
        </w:rPr>
        <w:t>）</w:t>
      </w:r>
      <w:r>
        <w:rPr>
          <w:rFonts w:hint="eastAsia" w:ascii="仿宋_GB2312" w:hAnsi="仿宋" w:eastAsia="仿宋_GB2312" w:cs="新宋体-18030"/>
          <w:bCs/>
          <w:color w:val="000000" w:themeColor="text1"/>
          <w:sz w:val="24"/>
          <w:highlight w:val="none"/>
        </w:rPr>
        <w:t>、</w:t>
      </w:r>
      <w:r>
        <w:rPr>
          <w:rFonts w:hint="eastAsia" w:ascii="仿宋_GB2312" w:hAnsi="仿宋" w:eastAsia="仿宋_GB2312" w:cs="新宋体-18030"/>
          <w:bCs/>
          <w:color w:val="000000" w:themeColor="text1"/>
          <w:sz w:val="24"/>
        </w:rPr>
        <w:t>分摊的土地使用权（含土地出让金），不包括动产、债权债务、特许经营权等及其他财产或权益。</w:t>
      </w:r>
    </w:p>
    <w:p>
      <w:pPr>
        <w:spacing w:line="470" w:lineRule="exact"/>
        <w:ind w:firstLine="482" w:firstLineChars="200"/>
        <w:rPr>
          <w:rFonts w:ascii="仿宋_GB2312" w:hAnsi="仿宋" w:eastAsia="仿宋_GB2312" w:cs="新宋体-18030"/>
          <w:b/>
          <w:color w:val="000000" w:themeColor="text1"/>
          <w:sz w:val="24"/>
        </w:rPr>
      </w:pPr>
      <w:r>
        <w:rPr>
          <w:rFonts w:hint="eastAsia" w:ascii="仿宋_GB2312" w:hAnsi="仿宋" w:eastAsia="仿宋_GB2312" w:cs="新宋体-18030"/>
          <w:b/>
          <w:color w:val="000000" w:themeColor="text1"/>
          <w:sz w:val="24"/>
        </w:rPr>
        <w:t>（二）房地产权益情况</w:t>
      </w:r>
    </w:p>
    <w:p>
      <w:pPr>
        <w:spacing w:line="47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（1）</w:t>
      </w:r>
      <w:r>
        <w:rPr>
          <w:rFonts w:hint="eastAsia" w:ascii="仿宋_GB2312" w:hAnsi="仿宋" w:eastAsia="仿宋_GB2312" w:cs="新宋体-18030"/>
          <w:bCs/>
          <w:color w:val="000000" w:themeColor="text1"/>
          <w:sz w:val="24"/>
          <w:lang w:val="en-US" w:eastAsia="zh-CN"/>
        </w:rPr>
        <w:t>不动产权证登记信息</w:t>
      </w:r>
      <w:r>
        <w:rPr>
          <w:rFonts w:hint="eastAsia" w:ascii="仿宋_GB2312" w:hAnsi="仿宋" w:eastAsia="仿宋_GB2312" w:cs="新宋体-18030"/>
          <w:color w:val="000000" w:themeColor="text1"/>
          <w:sz w:val="24"/>
        </w:rPr>
        <w:t>状况</w:t>
      </w:r>
    </w:p>
    <w:tbl>
      <w:tblPr>
        <w:tblStyle w:val="26"/>
        <w:tblW w:w="11406" w:type="dxa"/>
        <w:jc w:val="center"/>
        <w:tblLayout w:type="fixed"/>
        <w:tblCellMar>
          <w:top w:w="0" w:type="dxa"/>
          <w:left w:w="108" w:type="dxa"/>
          <w:bottom w:w="0" w:type="dxa"/>
          <w:right w:w="108" w:type="dxa"/>
        </w:tblCellMar>
      </w:tblPr>
      <w:tblGrid>
        <w:gridCol w:w="718"/>
        <w:gridCol w:w="1451"/>
        <w:gridCol w:w="946"/>
        <w:gridCol w:w="1431"/>
        <w:gridCol w:w="900"/>
        <w:gridCol w:w="923"/>
        <w:gridCol w:w="785"/>
        <w:gridCol w:w="755"/>
        <w:gridCol w:w="965"/>
        <w:gridCol w:w="1022"/>
        <w:gridCol w:w="755"/>
        <w:gridCol w:w="755"/>
      </w:tblGrid>
      <w:tr>
        <w:tblPrEx>
          <w:tblCellMar>
            <w:top w:w="0" w:type="dxa"/>
            <w:left w:w="108" w:type="dxa"/>
            <w:bottom w:w="0" w:type="dxa"/>
            <w:right w:w="108" w:type="dxa"/>
          </w:tblCellMar>
        </w:tblPrEx>
        <w:trPr>
          <w:trHeight w:val="641"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估价</w:t>
            </w:r>
            <w:r>
              <w:rPr>
                <w:rFonts w:ascii="仿宋_GB2312" w:hAnsi="宋体" w:eastAsia="仿宋_GB2312"/>
                <w:color w:val="000000" w:themeColor="text1"/>
                <w:kern w:val="0"/>
                <w:sz w:val="22"/>
                <w:szCs w:val="22"/>
              </w:rPr>
              <w:br w:type="textWrapping"/>
            </w:r>
            <w:r>
              <w:rPr>
                <w:rFonts w:hint="eastAsia" w:ascii="仿宋_GB2312" w:hAnsi="宋体" w:eastAsia="仿宋_GB2312" w:cs="仿宋_GB2312"/>
                <w:color w:val="000000" w:themeColor="text1"/>
                <w:kern w:val="0"/>
                <w:sz w:val="22"/>
                <w:szCs w:val="22"/>
              </w:rPr>
              <w:t>对象</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房屋坐落</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产权人</w:t>
            </w:r>
          </w:p>
        </w:tc>
        <w:tc>
          <w:tcPr>
            <w:tcW w:w="14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产权证号</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建筑面积（</w:t>
            </w:r>
            <w:r>
              <w:rPr>
                <w:rFonts w:ascii="仿宋_GB2312" w:hAnsi="宋体" w:eastAsia="仿宋_GB2312" w:cs="仿宋_GB2312"/>
                <w:color w:val="000000" w:themeColor="text1"/>
                <w:kern w:val="0"/>
                <w:sz w:val="22"/>
                <w:szCs w:val="22"/>
              </w:rPr>
              <w:t>m</w:t>
            </w:r>
            <w:r>
              <w:rPr>
                <w:rFonts w:ascii="仿宋_GB2312" w:hAnsi="宋体" w:eastAsia="仿宋_GB2312" w:cs="仿宋_GB2312"/>
                <w:color w:val="000000" w:themeColor="text1"/>
                <w:kern w:val="0"/>
                <w:szCs w:val="24"/>
                <w:vertAlign w:val="superscript"/>
              </w:rPr>
              <w:t>2</w:t>
            </w:r>
            <w:r>
              <w:rPr>
                <w:rFonts w:hint="eastAsia" w:ascii="仿宋_GB2312" w:hAnsi="宋体" w:eastAsia="仿宋_GB2312" w:cs="仿宋_GB2312"/>
                <w:color w:val="000000" w:themeColor="text1"/>
                <w:kern w:val="0"/>
                <w:sz w:val="22"/>
                <w:szCs w:val="22"/>
              </w:rPr>
              <w:t>）</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分摊土地面积（</w:t>
            </w:r>
            <w:r>
              <w:rPr>
                <w:rFonts w:ascii="仿宋_GB2312" w:hAnsi="宋体" w:eastAsia="仿宋_GB2312" w:cs="仿宋_GB2312"/>
                <w:color w:val="000000" w:themeColor="text1"/>
                <w:kern w:val="0"/>
                <w:sz w:val="22"/>
                <w:szCs w:val="22"/>
              </w:rPr>
              <w:t>m</w:t>
            </w:r>
            <w:r>
              <w:rPr>
                <w:rFonts w:ascii="仿宋_GB2312" w:hAnsi="宋体" w:eastAsia="仿宋_GB2312" w:cs="仿宋_GB2312"/>
                <w:color w:val="000000" w:themeColor="text1"/>
                <w:kern w:val="0"/>
                <w:szCs w:val="24"/>
                <w:vertAlign w:val="superscript"/>
              </w:rPr>
              <w:t>2</w:t>
            </w:r>
            <w:r>
              <w:rPr>
                <w:rFonts w:hint="eastAsia" w:ascii="仿宋_GB2312" w:hAnsi="宋体" w:eastAsia="仿宋_GB2312" w:cs="仿宋_GB2312"/>
                <w:color w:val="000000" w:themeColor="text1"/>
                <w:kern w:val="0"/>
                <w:sz w:val="22"/>
                <w:szCs w:val="22"/>
              </w:rPr>
              <w:t>）</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层次</w:t>
            </w:r>
          </w:p>
          <w:p>
            <w:pPr>
              <w:widowControl/>
              <w:jc w:val="center"/>
              <w:rPr>
                <w:rFonts w:ascii="仿宋_GB2312" w:hAnsi="宋体" w:eastAsia="仿宋_GB2312"/>
                <w:color w:val="000000" w:themeColor="text1"/>
                <w:kern w:val="0"/>
                <w:sz w:val="22"/>
              </w:rPr>
            </w:pPr>
            <w:r>
              <w:rPr>
                <w:rFonts w:ascii="仿宋_GB2312" w:hAnsi="宋体" w:eastAsia="仿宋_GB2312" w:cs="仿宋_GB2312"/>
                <w:color w:val="000000" w:themeColor="text1"/>
                <w:kern w:val="0"/>
                <w:sz w:val="22"/>
                <w:szCs w:val="22"/>
              </w:rPr>
              <w:t>/</w:t>
            </w:r>
            <w:r>
              <w:rPr>
                <w:rFonts w:hint="eastAsia" w:ascii="仿宋_GB2312" w:hAnsi="宋体" w:eastAsia="仿宋_GB2312" w:cs="仿宋_GB2312"/>
                <w:color w:val="000000" w:themeColor="text1"/>
                <w:kern w:val="0"/>
                <w:sz w:val="22"/>
                <w:szCs w:val="22"/>
              </w:rPr>
              <w:t>总层数</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建筑</w:t>
            </w:r>
            <w:r>
              <w:rPr>
                <w:rFonts w:ascii="仿宋_GB2312" w:hAnsi="宋体" w:eastAsia="仿宋_GB2312"/>
                <w:color w:val="000000" w:themeColor="text1"/>
                <w:kern w:val="0"/>
                <w:sz w:val="22"/>
                <w:szCs w:val="22"/>
              </w:rPr>
              <w:br w:type="textWrapping"/>
            </w:r>
            <w:r>
              <w:rPr>
                <w:rFonts w:hint="eastAsia" w:ascii="仿宋_GB2312" w:hAnsi="宋体" w:eastAsia="仿宋_GB2312" w:cs="仿宋_GB2312"/>
                <w:color w:val="000000" w:themeColor="text1"/>
                <w:kern w:val="0"/>
                <w:sz w:val="22"/>
                <w:szCs w:val="22"/>
              </w:rPr>
              <w:t>结构</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建筑</w:t>
            </w:r>
            <w:r>
              <w:rPr>
                <w:rFonts w:ascii="仿宋_GB2312" w:hAnsi="宋体" w:eastAsia="仿宋_GB2312"/>
                <w:color w:val="000000" w:themeColor="text1"/>
                <w:kern w:val="0"/>
                <w:sz w:val="22"/>
                <w:szCs w:val="22"/>
              </w:rPr>
              <w:br w:type="textWrapping"/>
            </w:r>
            <w:r>
              <w:rPr>
                <w:rFonts w:hint="eastAsia" w:ascii="仿宋_GB2312" w:hAnsi="宋体" w:eastAsia="仿宋_GB2312" w:cs="仿宋_GB2312"/>
                <w:color w:val="000000" w:themeColor="text1"/>
                <w:kern w:val="0"/>
                <w:sz w:val="22"/>
                <w:szCs w:val="22"/>
              </w:rPr>
              <w:t>年代</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土地使用期限</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用途</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权利性质</w:t>
            </w:r>
          </w:p>
        </w:tc>
      </w:tr>
      <w:tr>
        <w:tblPrEx>
          <w:tblCellMar>
            <w:top w:w="0" w:type="dxa"/>
            <w:left w:w="108" w:type="dxa"/>
            <w:bottom w:w="0" w:type="dxa"/>
            <w:right w:w="108" w:type="dxa"/>
          </w:tblCellMar>
        </w:tblPrEx>
        <w:trPr>
          <w:trHeight w:val="1275" w:hRule="atLeast"/>
          <w:jc w:val="center"/>
        </w:trPr>
        <w:tc>
          <w:tcPr>
            <w:tcW w:w="7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1</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全椒县襄河镇椒陵大道1号正东凯旋名门45幢2单元406室</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魏新成、韩梅</w:t>
            </w:r>
          </w:p>
        </w:tc>
        <w:tc>
          <w:tcPr>
            <w:tcW w:w="143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皖（2020）全椒县不动产权第0007324号</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112.45</w:t>
            </w:r>
          </w:p>
        </w:tc>
        <w:tc>
          <w:tcPr>
            <w:tcW w:w="923"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仿宋_GB2312"/>
                <w:color w:val="000000" w:themeColor="text1"/>
                <w:kern w:val="0"/>
                <w:sz w:val="22"/>
                <w:szCs w:val="22"/>
                <w:lang w:val="en-US" w:eastAsia="zh-CN"/>
              </w:rPr>
            </w:pPr>
            <w:r>
              <w:rPr>
                <w:rFonts w:hint="eastAsia" w:ascii="仿宋_GB2312" w:hAnsi="宋体" w:eastAsia="仿宋_GB2312" w:cs="仿宋_GB2312"/>
                <w:color w:val="000000" w:themeColor="text1"/>
                <w:kern w:val="0"/>
                <w:sz w:val="22"/>
                <w:szCs w:val="22"/>
                <w:lang w:val="en-US" w:eastAsia="zh-CN"/>
              </w:rPr>
              <w:t>49.71</w:t>
            </w:r>
          </w:p>
        </w:tc>
        <w:tc>
          <w:tcPr>
            <w:tcW w:w="785"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仿宋_GB2312"/>
                <w:color w:val="000000" w:themeColor="text1"/>
                <w:kern w:val="0"/>
                <w:sz w:val="22"/>
                <w:szCs w:val="22"/>
                <w:lang w:val="en-US" w:eastAsia="zh-CN"/>
              </w:rPr>
            </w:pPr>
            <w:r>
              <w:rPr>
                <w:rFonts w:hint="eastAsia" w:ascii="仿宋_GB2312" w:hAnsi="宋体" w:eastAsia="仿宋_GB2312" w:cs="仿宋_GB2312"/>
                <w:color w:val="000000" w:themeColor="text1"/>
                <w:kern w:val="0"/>
                <w:sz w:val="22"/>
                <w:szCs w:val="22"/>
                <w:lang w:val="en-US" w:eastAsia="zh-CN"/>
              </w:rPr>
              <w:t>4/17层</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钢混</w:t>
            </w:r>
          </w:p>
        </w:tc>
        <w:tc>
          <w:tcPr>
            <w:tcW w:w="965"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仿宋_GB2312"/>
                <w:color w:val="000000" w:themeColor="text1"/>
                <w:kern w:val="0"/>
                <w:sz w:val="22"/>
                <w:szCs w:val="22"/>
                <w:lang w:val="en-US" w:eastAsia="zh-CN"/>
              </w:rPr>
            </w:pPr>
            <w:r>
              <w:rPr>
                <w:rFonts w:hint="eastAsia" w:ascii="仿宋_GB2312" w:hAnsi="宋体" w:eastAsia="仿宋_GB2312" w:cs="仿宋_GB2312"/>
                <w:color w:val="000000" w:themeColor="text1"/>
                <w:kern w:val="0"/>
                <w:sz w:val="22"/>
                <w:szCs w:val="22"/>
                <w:lang w:val="en-US" w:eastAsia="zh-CN"/>
              </w:rPr>
              <w:t>2019</w:t>
            </w:r>
            <w:r>
              <w:rPr>
                <w:rFonts w:hint="eastAsia" w:ascii="仿宋_GB2312" w:hAnsi="宋体" w:eastAsia="仿宋_GB2312" w:cs="仿宋_GB2312"/>
                <w:color w:val="000000" w:themeColor="text1"/>
                <w:kern w:val="0"/>
                <w:sz w:val="22"/>
                <w:szCs w:val="22"/>
              </w:rPr>
              <w:t>年</w:t>
            </w:r>
            <w:r>
              <w:rPr>
                <w:rFonts w:hint="eastAsia" w:ascii="仿宋_GB2312" w:hAnsi="宋体" w:eastAsia="仿宋_GB2312" w:cs="仿宋_GB2312"/>
                <w:color w:val="000000" w:themeColor="text1"/>
                <w:kern w:val="0"/>
                <w:sz w:val="22"/>
                <w:szCs w:val="22"/>
                <w:lang w:val="en-US" w:eastAsia="zh-CN"/>
              </w:rPr>
              <w:t>6月5日</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仿宋_GB2312"/>
                <w:color w:val="000000" w:themeColor="text1"/>
                <w:kern w:val="0"/>
                <w:sz w:val="22"/>
                <w:szCs w:val="22"/>
                <w:lang w:val="en-US" w:eastAsia="zh-CN"/>
              </w:rPr>
            </w:pPr>
            <w:r>
              <w:rPr>
                <w:rFonts w:hint="eastAsia" w:ascii="仿宋_GB2312" w:hAnsi="宋体" w:eastAsia="仿宋_GB2312" w:cs="仿宋_GB2312"/>
                <w:color w:val="000000" w:themeColor="text1"/>
                <w:kern w:val="0"/>
                <w:sz w:val="22"/>
                <w:szCs w:val="22"/>
              </w:rPr>
              <w:t>至</w:t>
            </w:r>
            <w:r>
              <w:rPr>
                <w:rFonts w:hint="eastAsia" w:ascii="仿宋_GB2312" w:hAnsi="宋体" w:eastAsia="仿宋_GB2312" w:cs="仿宋_GB2312"/>
                <w:color w:val="000000" w:themeColor="text1"/>
                <w:kern w:val="0"/>
                <w:sz w:val="22"/>
                <w:szCs w:val="22"/>
                <w:lang w:val="en-US" w:eastAsia="zh-CN"/>
              </w:rPr>
              <w:t>2082年7月30日</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住宅</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出让</w:t>
            </w:r>
          </w:p>
        </w:tc>
      </w:tr>
    </w:tbl>
    <w:p>
      <w:pPr>
        <w:spacing w:line="480" w:lineRule="exact"/>
        <w:ind w:firstLine="240" w:firstLineChars="100"/>
        <w:rPr>
          <w:rFonts w:ascii="仿宋_GB2312" w:hAnsi="仿宋" w:eastAsia="仿宋_GB2312" w:cs="新宋体-18030"/>
          <w:bCs/>
          <w:color w:val="000000" w:themeColor="text1"/>
          <w:sz w:val="24"/>
        </w:rPr>
      </w:pPr>
      <w:r>
        <w:rPr>
          <w:rFonts w:hint="eastAsia" w:ascii="仿宋_GB2312" w:hAnsi="仿宋" w:eastAsia="仿宋_GB2312" w:cs="新宋体-18030"/>
          <w:bCs/>
          <w:color w:val="000000" w:themeColor="text1"/>
          <w:sz w:val="24"/>
        </w:rPr>
        <w:t>（2）估价对象其他权利状况</w:t>
      </w:r>
    </w:p>
    <w:p>
      <w:pPr>
        <w:keepNext w:val="0"/>
        <w:keepLines w:val="0"/>
        <w:pageBreakBefore w:val="0"/>
        <w:widowControl w:val="0"/>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0070C0"/>
          <w:sz w:val="24"/>
          <w:szCs w:val="24"/>
        </w:rPr>
      </w:pPr>
      <w:r>
        <w:rPr>
          <w:rFonts w:hint="eastAsia" w:ascii="仿宋_GB2312" w:hAnsi="仿宋" w:eastAsia="仿宋_GB2312" w:cs="新宋体-18030"/>
          <w:bCs/>
          <w:color w:val="auto"/>
          <w:sz w:val="24"/>
          <w:lang w:eastAsia="zh-CN"/>
        </w:rPr>
        <w:t>估价对象于2019年5月30日至2049年5月30日被中国建设银行股份有限公司全椒支行抵押，估价对象存在他项权。根据本次估价目的，不考虑其对本次估价价值的影响。</w:t>
      </w:r>
    </w:p>
    <w:p>
      <w:pPr>
        <w:spacing w:line="480" w:lineRule="exact"/>
        <w:ind w:firstLine="482" w:firstLineChars="200"/>
        <w:rPr>
          <w:rFonts w:ascii="仿宋_GB2312" w:hAnsi="仿宋" w:eastAsia="仿宋_GB2312" w:cs="新宋体-18030"/>
          <w:b/>
          <w:bCs/>
          <w:color w:val="000000" w:themeColor="text1"/>
          <w:sz w:val="24"/>
        </w:rPr>
      </w:pPr>
      <w:r>
        <w:rPr>
          <w:rFonts w:hint="eastAsia" w:ascii="仿宋_GB2312" w:hAnsi="仿宋" w:eastAsia="仿宋_GB2312" w:cs="新宋体-18030"/>
          <w:b/>
          <w:bCs/>
          <w:color w:val="000000" w:themeColor="text1"/>
          <w:sz w:val="24"/>
        </w:rPr>
        <w:t>（三）估价对象区位状况</w:t>
      </w:r>
    </w:p>
    <w:tbl>
      <w:tblPr>
        <w:tblStyle w:val="26"/>
        <w:tblW w:w="911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310"/>
        <w:gridCol w:w="68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1"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交通状况</w:t>
            </w:r>
          </w:p>
        </w:tc>
        <w:tc>
          <w:tcPr>
            <w:tcW w:w="6804"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全椒1</w:t>
            </w:r>
            <w:r>
              <w:rPr>
                <w:rFonts w:hint="eastAsia" w:ascii="仿宋" w:hAnsi="仿宋" w:eastAsia="仿宋" w:cs="宋体"/>
                <w:color w:val="auto"/>
                <w:kern w:val="0"/>
                <w:sz w:val="24"/>
                <w:highlight w:val="none"/>
              </w:rPr>
              <w:t>路、</w:t>
            </w:r>
            <w:r>
              <w:rPr>
                <w:rFonts w:hint="eastAsia" w:ascii="仿宋" w:hAnsi="仿宋" w:eastAsia="仿宋" w:cs="宋体"/>
                <w:color w:val="auto"/>
                <w:kern w:val="0"/>
                <w:sz w:val="24"/>
                <w:highlight w:val="none"/>
                <w:lang w:val="en-US" w:eastAsia="zh-CN"/>
              </w:rPr>
              <w:t>全椒2</w:t>
            </w:r>
            <w:r>
              <w:rPr>
                <w:rFonts w:hint="eastAsia" w:ascii="仿宋" w:hAnsi="仿宋" w:eastAsia="仿宋" w:cs="宋体"/>
                <w:color w:val="auto"/>
                <w:kern w:val="0"/>
                <w:sz w:val="24"/>
                <w:highlight w:val="none"/>
              </w:rPr>
              <w:t>路等多路公交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自然人文环境质量</w:t>
            </w:r>
          </w:p>
        </w:tc>
        <w:tc>
          <w:tcPr>
            <w:tcW w:w="6804"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自然人文环境较优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基础设施配套情况</w:t>
            </w:r>
          </w:p>
        </w:tc>
        <w:tc>
          <w:tcPr>
            <w:tcW w:w="6804"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已达到“六通一平”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公共配套情况</w:t>
            </w:r>
          </w:p>
        </w:tc>
        <w:tc>
          <w:tcPr>
            <w:tcW w:w="6804"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周边有</w:t>
            </w:r>
            <w:r>
              <w:rPr>
                <w:rFonts w:hint="eastAsia" w:ascii="仿宋" w:hAnsi="仿宋" w:eastAsia="仿宋" w:cs="宋体"/>
                <w:color w:val="auto"/>
                <w:kern w:val="0"/>
                <w:sz w:val="24"/>
                <w:highlight w:val="none"/>
                <w:lang w:val="en-US" w:eastAsia="zh-CN"/>
              </w:rPr>
              <w:t>全椒县人民医院</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城东中学</w:t>
            </w:r>
            <w:r>
              <w:rPr>
                <w:rFonts w:hint="eastAsia" w:ascii="仿宋" w:hAnsi="仿宋" w:eastAsia="仿宋" w:cs="宋体"/>
                <w:color w:val="auto"/>
                <w:kern w:val="0"/>
                <w:sz w:val="24"/>
                <w:highlight w:val="none"/>
              </w:rPr>
              <w:t>等公建配套设施</w:t>
            </w:r>
          </w:p>
        </w:tc>
      </w:tr>
    </w:tbl>
    <w:p>
      <w:pPr>
        <w:spacing w:line="360" w:lineRule="auto"/>
        <w:ind w:firstLine="482" w:firstLineChars="200"/>
        <w:jc w:val="center"/>
        <w:rPr>
          <w:rFonts w:ascii="仿宋_GB2312" w:hAnsi="仿宋" w:eastAsia="仿宋_GB2312" w:cs="新宋体-18030"/>
          <w:b/>
          <w:color w:val="000000" w:themeColor="text1"/>
          <w:sz w:val="24"/>
        </w:rPr>
      </w:pPr>
      <w:r>
        <w:rPr>
          <w:rFonts w:hint="eastAsia" w:ascii="仿宋_GB2312" w:hAnsi="仿宋" w:eastAsia="仿宋_GB2312" w:cs="新宋体-18030"/>
          <w:b/>
          <w:color w:val="000000" w:themeColor="text1"/>
          <w:sz w:val="24"/>
        </w:rPr>
        <w:t>估价对象位置示意图</w:t>
      </w:r>
    </w:p>
    <w:p>
      <w:pPr>
        <w:widowControl/>
        <w:jc w:val="left"/>
        <w:rPr>
          <w:rFonts w:hint="eastAsia" w:eastAsia="宋体"/>
          <w:b/>
          <w:lang w:eastAsia="zh-CN"/>
        </w:rPr>
      </w:pPr>
      <w:r>
        <w:rPr>
          <w:rFonts w:hint="eastAsia" w:eastAsia="宋体"/>
          <w:b/>
          <w:lang w:eastAsia="zh-CN"/>
        </w:rPr>
        <w:drawing>
          <wp:inline distT="0" distB="0" distL="114300" distR="114300">
            <wp:extent cx="5285740" cy="2373630"/>
            <wp:effectExtent l="0" t="0" r="10160" b="7620"/>
            <wp:docPr id="1" name="图片 1" descr="C:\Users\Administrator\Desktop\1660011075(1).png1660011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660011075(1).png1660011075(1)"/>
                    <pic:cNvPicPr>
                      <a:picLocks noChangeAspect="1"/>
                    </pic:cNvPicPr>
                  </pic:nvPicPr>
                  <pic:blipFill>
                    <a:blip r:embed="rId12"/>
                    <a:srcRect/>
                    <a:stretch>
                      <a:fillRect/>
                    </a:stretch>
                  </pic:blipFill>
                  <pic:spPr>
                    <a:xfrm>
                      <a:off x="0" y="0"/>
                      <a:ext cx="5285740" cy="2373630"/>
                    </a:xfrm>
                    <a:prstGeom prst="rect">
                      <a:avLst/>
                    </a:prstGeom>
                  </pic:spPr>
                </pic:pic>
              </a:graphicData>
            </a:graphic>
          </wp:inline>
        </w:drawing>
      </w:r>
    </w:p>
    <w:p>
      <w:pPr>
        <w:pageBreakBefore w:val="0"/>
        <w:kinsoku/>
        <w:wordWrap/>
        <w:overflowPunct/>
        <w:autoSpaceDE/>
        <w:autoSpaceDN/>
        <w:bidi w:val="0"/>
        <w:spacing w:line="480" w:lineRule="exact"/>
        <w:ind w:firstLine="241" w:firstLineChars="100"/>
        <w:textAlignment w:val="auto"/>
        <w:rPr>
          <w:rFonts w:hint="eastAsia" w:ascii="仿宋_GB2312" w:hAnsi="仿宋" w:eastAsia="仿宋_GB2312" w:cs="新宋体-18030"/>
          <w:b/>
          <w:bCs/>
          <w:color w:val="000000" w:themeColor="text1"/>
          <w:sz w:val="24"/>
        </w:rPr>
      </w:pPr>
      <w:r>
        <w:rPr>
          <w:rFonts w:hint="eastAsia" w:ascii="仿宋_GB2312" w:hAnsi="仿宋" w:eastAsia="仿宋_GB2312" w:cs="新宋体-18030"/>
          <w:b/>
          <w:bCs/>
          <w:color w:val="000000" w:themeColor="text1"/>
          <w:sz w:val="24"/>
        </w:rPr>
        <w:t>（</w:t>
      </w:r>
      <w:r>
        <w:rPr>
          <w:rFonts w:hint="eastAsia" w:ascii="仿宋_GB2312" w:hAnsi="仿宋" w:eastAsia="仿宋_GB2312" w:cs="新宋体-18030"/>
          <w:b/>
          <w:bCs/>
          <w:color w:val="000000" w:themeColor="text1"/>
          <w:sz w:val="24"/>
          <w:lang w:val="en-US" w:eastAsia="zh-CN"/>
        </w:rPr>
        <w:t>四</w:t>
      </w:r>
      <w:r>
        <w:rPr>
          <w:rFonts w:hint="eastAsia" w:ascii="仿宋_GB2312" w:hAnsi="仿宋" w:eastAsia="仿宋_GB2312" w:cs="新宋体-18030"/>
          <w:b/>
          <w:bCs/>
          <w:color w:val="000000" w:themeColor="text1"/>
          <w:sz w:val="24"/>
        </w:rPr>
        <w:t>）</w:t>
      </w:r>
      <w:r>
        <w:rPr>
          <w:rFonts w:hint="eastAsia" w:ascii="仿宋_GB2312" w:hAnsi="仿宋" w:eastAsia="仿宋_GB2312" w:cs="新宋体-18030"/>
          <w:b/>
          <w:color w:val="000000" w:themeColor="text1"/>
          <w:sz w:val="24"/>
        </w:rPr>
        <w:t>估价对象实物状况</w:t>
      </w:r>
    </w:p>
    <w:p>
      <w:pPr>
        <w:keepNext w:val="0"/>
        <w:keepLines w:val="0"/>
        <w:pageBreakBefore w:val="0"/>
        <w:widowControl w:val="0"/>
        <w:tabs>
          <w:tab w:val="left" w:pos="2655"/>
        </w:tabs>
        <w:kinsoku/>
        <w:wordWrap/>
        <w:overflowPunct/>
        <w:topLinePunct w:val="0"/>
        <w:autoSpaceDE/>
        <w:autoSpaceDN/>
        <w:bidi w:val="0"/>
        <w:adjustRightInd/>
        <w:snapToGrid/>
        <w:spacing w:line="480" w:lineRule="exact"/>
        <w:ind w:firstLine="470" w:firstLineChars="196"/>
        <w:textAlignment w:val="auto"/>
        <w:rPr>
          <w:rFonts w:ascii="仿宋" w:hAnsi="仿宋" w:eastAsia="仿宋" w:cs="宋体"/>
          <w:kern w:val="0"/>
          <w:sz w:val="24"/>
        </w:rPr>
      </w:pPr>
      <w:r>
        <w:rPr>
          <w:rFonts w:hint="eastAsia" w:ascii="仿宋" w:hAnsi="仿宋" w:eastAsia="仿宋"/>
          <w:sz w:val="24"/>
        </w:rPr>
        <w:t>1、建筑物基本状况</w:t>
      </w:r>
    </w:p>
    <w:p>
      <w:pPr>
        <w:keepNext w:val="0"/>
        <w:keepLines w:val="0"/>
        <w:pageBreakBefore w:val="0"/>
        <w:widowControl w:val="0"/>
        <w:tabs>
          <w:tab w:val="left" w:pos="2655"/>
        </w:tabs>
        <w:kinsoku/>
        <w:wordWrap/>
        <w:overflowPunct/>
        <w:topLinePunct w:val="0"/>
        <w:autoSpaceDE/>
        <w:autoSpaceDN/>
        <w:bidi w:val="0"/>
        <w:adjustRightInd/>
        <w:snapToGrid/>
        <w:spacing w:line="480" w:lineRule="exact"/>
        <w:ind w:firstLine="470" w:firstLineChars="196"/>
        <w:textAlignment w:val="auto"/>
        <w:rPr>
          <w:rFonts w:hint="eastAsia" w:ascii="仿宋_GB2312" w:hAnsi="宋体" w:eastAsia="仿宋_GB2312" w:cs="仿宋_GB2312"/>
          <w:color w:val="000000" w:themeColor="text1"/>
          <w:kern w:val="0"/>
          <w:sz w:val="24"/>
        </w:rPr>
      </w:pPr>
      <w:r>
        <w:rPr>
          <w:rFonts w:hint="eastAsia" w:ascii="仿宋_GB2312" w:hAnsi="宋体" w:eastAsia="仿宋_GB2312" w:cs="仿宋_GB2312"/>
          <w:color w:val="000000" w:themeColor="text1"/>
          <w:kern w:val="0"/>
          <w:sz w:val="24"/>
          <w:szCs w:val="24"/>
        </w:rPr>
        <w:t>估价对象：为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用房，</w:t>
      </w:r>
      <w:r>
        <w:rPr>
          <w:rFonts w:hint="eastAsia" w:ascii="仿宋" w:hAnsi="仿宋" w:eastAsia="仿宋" w:cs="宋体"/>
          <w:kern w:val="0"/>
          <w:sz w:val="24"/>
          <w:lang w:val="en-US" w:eastAsia="zh-CN"/>
        </w:rPr>
        <w:t>钢混</w:t>
      </w:r>
      <w:r>
        <w:rPr>
          <w:rFonts w:hint="eastAsia" w:ascii="仿宋_GB2312" w:hAnsi="宋体" w:eastAsia="仿宋_GB2312" w:cs="仿宋_GB2312"/>
          <w:color w:val="000000" w:themeColor="text1"/>
          <w:kern w:val="0"/>
          <w:sz w:val="24"/>
        </w:rPr>
        <w:t>结构，房屋总层数为</w:t>
      </w:r>
      <w:r>
        <w:rPr>
          <w:rFonts w:hint="eastAsia" w:ascii="仿宋_GB2312" w:hAnsi="宋体" w:eastAsia="仿宋_GB2312" w:cs="仿宋_GB2312"/>
          <w:color w:val="000000" w:themeColor="text1"/>
          <w:kern w:val="0"/>
          <w:sz w:val="24"/>
          <w:lang w:val="en-US" w:eastAsia="zh-CN"/>
        </w:rPr>
        <w:t>17</w:t>
      </w:r>
      <w:r>
        <w:rPr>
          <w:rFonts w:hint="eastAsia" w:ascii="仿宋_GB2312" w:hAnsi="宋体" w:eastAsia="仿宋_GB2312" w:cs="仿宋_GB2312"/>
          <w:color w:val="000000" w:themeColor="text1"/>
          <w:kern w:val="0"/>
          <w:sz w:val="24"/>
        </w:rPr>
        <w:t>层，位于第</w:t>
      </w:r>
      <w:r>
        <w:rPr>
          <w:rFonts w:hint="eastAsia" w:ascii="仿宋_GB2312" w:hAnsi="宋体" w:eastAsia="仿宋_GB2312" w:cs="仿宋_GB2312"/>
          <w:color w:val="000000" w:themeColor="text1"/>
          <w:kern w:val="0"/>
          <w:sz w:val="24"/>
          <w:lang w:val="en-US" w:eastAsia="zh-CN"/>
        </w:rPr>
        <w:t>4</w:t>
      </w:r>
      <w:r>
        <w:rPr>
          <w:rFonts w:hint="eastAsia" w:ascii="仿宋_GB2312" w:hAnsi="宋体" w:eastAsia="仿宋_GB2312" w:cs="仿宋_GB2312"/>
          <w:color w:val="000000" w:themeColor="text1"/>
          <w:kern w:val="0"/>
          <w:sz w:val="24"/>
        </w:rPr>
        <w:t>层，建筑面积为</w:t>
      </w:r>
      <w:r>
        <w:rPr>
          <w:rFonts w:hint="eastAsia" w:ascii="仿宋_GB2312" w:hAnsi="宋体" w:eastAsia="仿宋_GB2312" w:cs="仿宋_GB2312"/>
          <w:color w:val="000000" w:themeColor="text1"/>
          <w:kern w:val="0"/>
          <w:sz w:val="24"/>
          <w:lang w:val="en-US" w:eastAsia="zh-CN"/>
        </w:rPr>
        <w:t>112.45</w:t>
      </w:r>
      <w:r>
        <w:rPr>
          <w:rFonts w:hint="eastAsia" w:ascii="仿宋_GB2312" w:hAnsi="宋体" w:eastAsia="仿宋_GB2312" w:cs="仿宋_GB2312"/>
          <w:color w:val="000000" w:themeColor="text1"/>
          <w:kern w:val="0"/>
          <w:sz w:val="24"/>
        </w:rPr>
        <w:t>平方米，于</w:t>
      </w:r>
      <w:r>
        <w:rPr>
          <w:rFonts w:hint="eastAsia" w:ascii="仿宋_GB2312" w:hAnsi="宋体" w:eastAsia="仿宋_GB2312" w:cs="仿宋_GB2312"/>
          <w:color w:val="000000" w:themeColor="text1"/>
          <w:kern w:val="0"/>
          <w:sz w:val="24"/>
          <w:lang w:val="en-US" w:eastAsia="zh-CN"/>
        </w:rPr>
        <w:t>2019</w:t>
      </w:r>
      <w:r>
        <w:rPr>
          <w:rFonts w:hint="eastAsia" w:ascii="仿宋_GB2312" w:hAnsi="宋体" w:eastAsia="仿宋_GB2312" w:cs="仿宋_GB2312"/>
          <w:color w:val="000000" w:themeColor="text1"/>
          <w:kern w:val="0"/>
          <w:sz w:val="24"/>
        </w:rPr>
        <w:t>年建成，层高约</w:t>
      </w:r>
      <w:r>
        <w:rPr>
          <w:rFonts w:hint="eastAsia" w:ascii="仿宋_GB2312" w:hAnsi="宋体" w:eastAsia="仿宋_GB2312" w:cs="仿宋_GB2312"/>
          <w:color w:val="000000" w:themeColor="text1"/>
          <w:kern w:val="0"/>
          <w:sz w:val="24"/>
          <w:lang w:val="en-US" w:eastAsia="zh-CN"/>
        </w:rPr>
        <w:t>2.9</w:t>
      </w:r>
      <w:r>
        <w:rPr>
          <w:rFonts w:hint="eastAsia" w:ascii="仿宋_GB2312" w:hAnsi="宋体" w:eastAsia="仿宋_GB2312" w:cs="仿宋_GB2312"/>
          <w:color w:val="000000" w:themeColor="text1"/>
          <w:kern w:val="0"/>
          <w:sz w:val="24"/>
        </w:rPr>
        <w:t>米，房屋规划用途为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，实际用途为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w:t>
      </w:r>
      <w:r>
        <w:rPr>
          <w:rFonts w:hint="eastAsia" w:ascii="仿宋" w:hAnsi="仿宋" w:eastAsia="仿宋"/>
          <w:sz w:val="24"/>
        </w:rPr>
        <w:t>外墙涂料，</w:t>
      </w:r>
      <w:r>
        <w:rPr>
          <w:rFonts w:hint="eastAsia" w:ascii="仿宋_GB2312" w:hAnsi="宋体" w:eastAsia="仿宋_GB2312" w:cs="仿宋_GB2312"/>
          <w:color w:val="000000" w:themeColor="text1"/>
          <w:kern w:val="0"/>
          <w:sz w:val="24"/>
        </w:rPr>
        <w:t>内墙</w:t>
      </w:r>
      <w:r>
        <w:rPr>
          <w:rFonts w:hint="eastAsia" w:ascii="仿宋_GB2312" w:hAnsi="宋体" w:eastAsia="仿宋_GB2312" w:cs="仿宋_GB2312"/>
          <w:color w:val="000000" w:themeColor="text1"/>
          <w:kern w:val="0"/>
          <w:sz w:val="24"/>
          <w:lang w:val="en-US" w:eastAsia="zh-CN"/>
        </w:rPr>
        <w:t>乳胶漆</w:t>
      </w:r>
      <w:r>
        <w:rPr>
          <w:rFonts w:hint="eastAsia" w:ascii="仿宋_GB2312" w:hAnsi="宋体" w:eastAsia="仿宋_GB2312" w:cs="仿宋_GB2312"/>
          <w:color w:val="000000" w:themeColor="text1"/>
          <w:kern w:val="0"/>
          <w:sz w:val="24"/>
        </w:rPr>
        <w:t>，</w:t>
      </w:r>
      <w:r>
        <w:rPr>
          <w:rFonts w:hint="eastAsia" w:ascii="仿宋" w:hAnsi="仿宋" w:eastAsia="仿宋"/>
          <w:sz w:val="24"/>
        </w:rPr>
        <w:t>顶部</w:t>
      </w:r>
      <w:r>
        <w:rPr>
          <w:rFonts w:hint="eastAsia" w:ascii="仿宋" w:hAnsi="仿宋" w:eastAsia="仿宋"/>
          <w:sz w:val="24"/>
          <w:lang w:val="en-US" w:eastAsia="zh-CN"/>
        </w:rPr>
        <w:t>石膏顶</w:t>
      </w:r>
      <w:r>
        <w:rPr>
          <w:rFonts w:hint="eastAsia" w:ascii="仿宋" w:hAnsi="仿宋" w:eastAsia="仿宋"/>
          <w:sz w:val="24"/>
        </w:rPr>
        <w:t>，地面</w:t>
      </w:r>
      <w:r>
        <w:rPr>
          <w:rFonts w:hint="eastAsia" w:ascii="仿宋" w:hAnsi="仿宋" w:eastAsia="仿宋"/>
          <w:sz w:val="24"/>
          <w:lang w:val="en-US" w:eastAsia="zh-CN"/>
        </w:rPr>
        <w:t>地板砖、木地板</w:t>
      </w:r>
      <w:r>
        <w:rPr>
          <w:rFonts w:hint="eastAsia" w:ascii="仿宋_GB2312" w:hAnsi="宋体" w:eastAsia="仿宋_GB2312" w:cs="仿宋_GB2312"/>
          <w:color w:val="000000" w:themeColor="text1"/>
          <w:kern w:val="0"/>
          <w:sz w:val="24"/>
        </w:rPr>
        <w:t>，</w:t>
      </w:r>
      <w:r>
        <w:rPr>
          <w:rFonts w:hint="eastAsia" w:ascii="仿宋_GB2312" w:hAnsi="宋体" w:eastAsia="仿宋_GB2312" w:cs="仿宋_GB2312"/>
          <w:color w:val="000000" w:themeColor="text1"/>
          <w:kern w:val="0"/>
          <w:sz w:val="24"/>
          <w:lang w:val="en-US" w:eastAsia="zh-CN"/>
        </w:rPr>
        <w:t>防盗门</w:t>
      </w:r>
      <w:r>
        <w:rPr>
          <w:rFonts w:hint="eastAsia" w:ascii="仿宋_GB2312" w:hAnsi="宋体" w:eastAsia="仿宋_GB2312" w:cs="仿宋_GB2312"/>
          <w:color w:val="000000" w:themeColor="text1"/>
          <w:kern w:val="0"/>
          <w:sz w:val="24"/>
        </w:rPr>
        <w:t>，</w:t>
      </w:r>
      <w:r>
        <w:rPr>
          <w:rFonts w:hint="eastAsia" w:ascii="仿宋_GB2312" w:hAnsi="宋体" w:eastAsia="仿宋_GB2312" w:cs="仿宋_GB2312"/>
          <w:color w:val="000000" w:themeColor="text1"/>
          <w:kern w:val="0"/>
          <w:sz w:val="24"/>
          <w:lang w:val="en-US" w:eastAsia="zh-CN"/>
        </w:rPr>
        <w:t>塑钢窗，</w:t>
      </w:r>
      <w:r>
        <w:rPr>
          <w:rFonts w:hint="eastAsia" w:ascii="仿宋_GB2312" w:hAnsi="宋体" w:eastAsia="仿宋_GB2312" w:cs="仿宋_GB2312"/>
          <w:color w:val="000000" w:themeColor="text1"/>
          <w:kern w:val="0"/>
          <w:sz w:val="24"/>
        </w:rPr>
        <w:t>水、电、</w:t>
      </w:r>
      <w:r>
        <w:rPr>
          <w:rFonts w:hint="eastAsia" w:ascii="仿宋_GB2312" w:hAnsi="宋体" w:eastAsia="仿宋_GB2312" w:cs="仿宋_GB2312"/>
          <w:color w:val="000000" w:themeColor="text1"/>
          <w:kern w:val="0"/>
          <w:sz w:val="24"/>
          <w:lang w:val="en-US" w:eastAsia="zh-CN"/>
        </w:rPr>
        <w:t>卫</w:t>
      </w:r>
      <w:r>
        <w:rPr>
          <w:rFonts w:hint="eastAsia" w:ascii="仿宋_GB2312" w:hAnsi="宋体" w:eastAsia="仿宋_GB2312" w:cs="仿宋_GB2312"/>
          <w:color w:val="000000" w:themeColor="text1"/>
          <w:kern w:val="0"/>
          <w:sz w:val="24"/>
        </w:rPr>
        <w:t>配套设施齐全。</w:t>
      </w:r>
    </w:p>
    <w:p>
      <w:pPr>
        <w:pageBreakBefore w:val="0"/>
        <w:kinsoku/>
        <w:wordWrap/>
        <w:overflowPunct/>
        <w:autoSpaceDE/>
        <w:autoSpaceDN/>
        <w:bidi w:val="0"/>
        <w:spacing w:line="480" w:lineRule="exact"/>
        <w:ind w:right="8" w:firstLine="480" w:firstLineChars="200"/>
        <w:textAlignment w:val="auto"/>
        <w:rPr>
          <w:rFonts w:hint="eastAsia" w:ascii="仿宋_GB2312" w:hAnsi="宋体" w:eastAsia="仿宋_GB2312" w:cs="仿宋_GB2312"/>
          <w:color w:val="000000" w:themeColor="text1"/>
          <w:kern w:val="0"/>
          <w:sz w:val="24"/>
          <w:szCs w:val="24"/>
          <w:lang w:eastAsia="zh-CN"/>
        </w:rPr>
      </w:pPr>
      <w:r>
        <w:rPr>
          <w:rFonts w:hint="eastAsia" w:ascii="仿宋_GB2312" w:hAnsi="宋体" w:eastAsia="仿宋_GB2312" w:cs="仿宋_GB2312"/>
          <w:color w:val="000000" w:themeColor="text1"/>
          <w:kern w:val="0"/>
          <w:sz w:val="24"/>
          <w:szCs w:val="24"/>
        </w:rPr>
        <w:t>估价对象建筑物经实地查勘，维护保养状况较好，承重结构未见不均匀沉降，门窗保存完好，整体观感较好，为完好房，成新率为</w:t>
      </w:r>
      <w:r>
        <w:rPr>
          <w:rFonts w:hint="eastAsia" w:ascii="仿宋_GB2312" w:hAnsi="宋体" w:eastAsia="仿宋_GB2312" w:cs="仿宋_GB2312"/>
          <w:color w:val="000000" w:themeColor="text1"/>
          <w:kern w:val="0"/>
          <w:sz w:val="24"/>
          <w:szCs w:val="24"/>
          <w:lang w:val="en-US" w:eastAsia="zh-CN"/>
        </w:rPr>
        <w:t>九成新。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eastAsia="仿宋_GB2312" w:cs="仿宋_GB2312"/>
          <w:color w:val="000000" w:themeColor="text1"/>
          <w:kern w:val="0"/>
          <w:sz w:val="24"/>
        </w:rPr>
      </w:pPr>
      <w:r>
        <w:rPr>
          <w:rFonts w:hint="eastAsia" w:ascii="仿宋_GB2312" w:hAnsi="宋体" w:eastAsia="仿宋_GB2312" w:cs="仿宋_GB2312"/>
          <w:color w:val="000000" w:themeColor="text1"/>
          <w:kern w:val="0"/>
          <w:sz w:val="24"/>
        </w:rPr>
        <w:t>2、土地基本情况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eastAsia="仿宋_GB2312" w:cs="仿宋_GB2312"/>
          <w:color w:val="00B050"/>
          <w:kern w:val="0"/>
          <w:sz w:val="24"/>
        </w:rPr>
      </w:pPr>
      <w:r>
        <w:rPr>
          <w:rFonts w:hint="eastAsia" w:ascii="仿宋_GB2312" w:hAnsi="宋体" w:eastAsia="仿宋_GB2312" w:cs="仿宋_GB2312"/>
          <w:color w:val="000000" w:themeColor="text1"/>
          <w:kern w:val="0"/>
          <w:sz w:val="24"/>
        </w:rPr>
        <w:t>估价对象</w:t>
      </w:r>
      <w:r>
        <w:rPr>
          <w:rFonts w:hint="eastAsia" w:ascii="仿宋_GB2312" w:hAnsi="宋体" w:eastAsia="仿宋_GB2312" w:cs="仿宋_GB2312"/>
          <w:color w:val="000000" w:themeColor="text1"/>
          <w:kern w:val="0"/>
          <w:sz w:val="24"/>
          <w:lang w:val="en-US" w:eastAsia="zh-CN"/>
        </w:rPr>
        <w:t>座</w:t>
      </w:r>
      <w:r>
        <w:rPr>
          <w:rFonts w:hint="eastAsia" w:ascii="仿宋_GB2312" w:hAnsi="宋体" w:eastAsia="仿宋_GB2312" w:cs="仿宋_GB2312"/>
          <w:color w:val="000000" w:themeColor="text1"/>
          <w:kern w:val="0"/>
          <w:sz w:val="24"/>
        </w:rPr>
        <w:t>落于</w:t>
      </w:r>
      <w:r>
        <w:rPr>
          <w:rFonts w:hint="eastAsia" w:ascii="仿宋" w:hAnsi="仿宋" w:eastAsia="仿宋" w:cs="宋体"/>
          <w:kern w:val="0"/>
          <w:sz w:val="24"/>
          <w:lang w:val="en-US" w:eastAsia="zh-CN"/>
        </w:rPr>
        <w:t>全椒县襄河镇椒陵大道1号正东凯旋名门45幢2单元406室</w:t>
      </w:r>
      <w:r>
        <w:rPr>
          <w:rFonts w:hint="eastAsia" w:ascii="仿宋_GB2312" w:hAnsi="宋体" w:eastAsia="仿宋_GB2312" w:cs="仿宋_GB2312"/>
          <w:color w:val="000000" w:themeColor="text1"/>
          <w:kern w:val="0"/>
          <w:sz w:val="24"/>
        </w:rPr>
        <w:t>，</w:t>
      </w:r>
      <w:r>
        <w:rPr>
          <w:rFonts w:hint="eastAsia" w:ascii="仿宋_GB2312" w:hAnsi="宋体" w:eastAsia="仿宋_GB2312" w:cs="仿宋_GB2312"/>
          <w:color w:val="000000" w:themeColor="text1"/>
          <w:kern w:val="0"/>
          <w:sz w:val="24"/>
          <w:szCs w:val="24"/>
        </w:rPr>
        <w:t>其四至为：</w:t>
      </w:r>
      <w:r>
        <w:rPr>
          <w:rFonts w:hint="eastAsia" w:ascii="仿宋_GB2312" w:hAnsi="宋体" w:eastAsia="仿宋_GB2312" w:cs="仿宋_GB2312"/>
          <w:color w:val="000000" w:themeColor="text1"/>
          <w:kern w:val="0"/>
          <w:sz w:val="24"/>
          <w:szCs w:val="24"/>
          <w:lang w:eastAsia="zh-CN"/>
        </w:rPr>
        <w:t>东至椒陵大道，南至支一路，西至大石潭路，北至杨桥路</w:t>
      </w:r>
      <w:r>
        <w:rPr>
          <w:rFonts w:hint="eastAsia" w:ascii="仿宋_GB2312" w:hAnsi="宋体" w:eastAsia="仿宋_GB2312" w:cs="仿宋_GB2312"/>
          <w:color w:val="000000" w:themeColor="text1"/>
          <w:kern w:val="0"/>
          <w:sz w:val="24"/>
          <w:szCs w:val="24"/>
        </w:rPr>
        <w:t>。</w:t>
      </w:r>
      <w:r>
        <w:rPr>
          <w:rFonts w:hint="eastAsia" w:ascii="仿宋_GB2312" w:hAnsi="宋体" w:eastAsia="仿宋_GB2312" w:cs="仿宋_GB2312"/>
          <w:color w:val="000000" w:themeColor="text1"/>
          <w:kern w:val="0"/>
          <w:sz w:val="24"/>
        </w:rPr>
        <w:t>土地形状规则，估价对象所占用土地为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用地</w:t>
      </w:r>
      <w:r>
        <w:rPr>
          <w:rFonts w:hint="eastAsia" w:ascii="仿宋_GB2312" w:hAnsi="宋体" w:eastAsia="仿宋_GB2312" w:cs="仿宋_GB2312"/>
          <w:color w:val="000000" w:themeColor="text1"/>
          <w:kern w:val="0"/>
          <w:sz w:val="24"/>
          <w:lang w:val="en-US" w:eastAsia="zh-CN"/>
        </w:rPr>
        <w:t>，</w:t>
      </w:r>
      <w:r>
        <w:rPr>
          <w:rFonts w:hint="eastAsia" w:ascii="仿宋_GB2312" w:hAnsi="仿宋" w:eastAsia="仿宋_GB2312" w:cs="新宋体-18030"/>
          <w:bCs/>
          <w:color w:val="000000" w:themeColor="text1"/>
          <w:sz w:val="24"/>
        </w:rPr>
        <w:t>分摊土地面积</w:t>
      </w:r>
      <w:r>
        <w:rPr>
          <w:rFonts w:hint="eastAsia" w:ascii="仿宋_GB2312" w:hAnsi="仿宋" w:eastAsia="仿宋_GB2312" w:cs="新宋体-18030"/>
          <w:bCs/>
          <w:color w:val="000000" w:themeColor="text1"/>
          <w:sz w:val="24"/>
          <w:lang w:val="en-US" w:eastAsia="zh-CN"/>
        </w:rPr>
        <w:t>为49.71平方米</w:t>
      </w:r>
      <w:r>
        <w:rPr>
          <w:rFonts w:hint="eastAsia" w:ascii="仿宋_GB2312" w:hAnsi="宋体" w:eastAsia="仿宋_GB2312" w:cs="仿宋_GB2312"/>
          <w:color w:val="000000" w:themeColor="text1"/>
          <w:kern w:val="0"/>
          <w:sz w:val="24"/>
          <w:lang w:val="en-US" w:eastAsia="zh-CN"/>
        </w:rPr>
        <w:t>，</w:t>
      </w:r>
      <w:r>
        <w:rPr>
          <w:rFonts w:hint="eastAsia" w:ascii="仿宋_GB2312" w:hAnsi="宋体" w:eastAsia="仿宋_GB2312" w:cs="仿宋_GB2312"/>
          <w:color w:val="000000" w:themeColor="text1"/>
          <w:kern w:val="0"/>
          <w:sz w:val="24"/>
          <w:szCs w:val="24"/>
        </w:rPr>
        <w:t>于价值时点，土地剩余使用年限为</w:t>
      </w:r>
      <w:r>
        <w:rPr>
          <w:rFonts w:hint="eastAsia" w:ascii="仿宋_GB2312" w:hAnsi="仿宋" w:eastAsia="仿宋_GB2312" w:cs="新宋体-18030"/>
          <w:bCs/>
          <w:sz w:val="24"/>
          <w:lang w:val="en-US" w:eastAsia="zh-CN"/>
        </w:rPr>
        <w:t>60.02</w:t>
      </w:r>
      <w:r>
        <w:rPr>
          <w:rFonts w:hint="eastAsia" w:ascii="仿宋_GB2312" w:hAnsi="仿宋" w:eastAsia="仿宋_GB2312" w:cs="新宋体-18030"/>
          <w:bCs/>
          <w:sz w:val="24"/>
        </w:rPr>
        <w:t>年</w:t>
      </w:r>
      <w:r>
        <w:rPr>
          <w:rFonts w:hint="eastAsia" w:ascii="仿宋_GB2312" w:hAnsi="宋体" w:eastAsia="仿宋_GB2312" w:cs="仿宋_GB2312"/>
          <w:color w:val="000000" w:themeColor="text1"/>
          <w:kern w:val="0"/>
          <w:sz w:val="24"/>
        </w:rPr>
        <w:t>。该宗土地</w:t>
      </w:r>
      <w:r>
        <w:rPr>
          <w:rFonts w:hint="eastAsia" w:ascii="仿宋" w:hAnsi="仿宋" w:eastAsia="仿宋" w:cs="仿宋"/>
          <w:color w:val="000000" w:themeColor="text1"/>
          <w:sz w:val="24"/>
        </w:rPr>
        <w:t>地形为平原地，</w:t>
      </w:r>
      <w:r>
        <w:rPr>
          <w:rFonts w:hint="eastAsia" w:ascii="仿宋_GB2312" w:hAnsi="宋体" w:eastAsia="仿宋_GB2312" w:cs="仿宋_GB2312"/>
          <w:color w:val="000000" w:themeColor="text1"/>
          <w:kern w:val="0"/>
          <w:sz w:val="24"/>
        </w:rPr>
        <w:t>地势平坦、</w:t>
      </w:r>
      <w:r>
        <w:rPr>
          <w:rFonts w:hint="eastAsia" w:ascii="仿宋" w:hAnsi="仿宋" w:eastAsia="仿宋" w:cs="仿宋"/>
          <w:color w:val="000000" w:themeColor="text1"/>
          <w:sz w:val="24"/>
        </w:rPr>
        <w:t>起伏＜2米，</w:t>
      </w:r>
      <w:r>
        <w:rPr>
          <w:rFonts w:hint="eastAsia" w:ascii="仿宋_GB2312" w:hAnsi="宋体" w:eastAsia="仿宋_GB2312" w:cs="仿宋_GB2312"/>
          <w:color w:val="000000" w:themeColor="text1"/>
          <w:kern w:val="0"/>
          <w:sz w:val="24"/>
        </w:rPr>
        <w:t>地基承载力强，土壤状况优，基础设施配套完备，已达“</w:t>
      </w:r>
      <w:r>
        <w:rPr>
          <w:rFonts w:hint="eastAsia" w:ascii="仿宋_GB2312" w:hAnsi="宋体" w:eastAsia="仿宋_GB2312" w:cs="仿宋_GB2312"/>
          <w:color w:val="000000" w:themeColor="text1"/>
          <w:kern w:val="0"/>
          <w:sz w:val="24"/>
          <w:lang w:val="en-US" w:eastAsia="zh-CN"/>
        </w:rPr>
        <w:t>六</w:t>
      </w:r>
      <w:r>
        <w:rPr>
          <w:rFonts w:hint="eastAsia" w:ascii="仿宋_GB2312" w:hAnsi="宋体" w:eastAsia="仿宋_GB2312" w:cs="仿宋_GB2312"/>
          <w:color w:val="000000" w:themeColor="text1"/>
          <w:kern w:val="0"/>
          <w:sz w:val="24"/>
        </w:rPr>
        <w:t>通一平”。</w:t>
      </w:r>
    </w:p>
    <w:p>
      <w:pPr>
        <w:pageBreakBefore w:val="0"/>
        <w:kinsoku/>
        <w:wordWrap/>
        <w:overflowPunct/>
        <w:autoSpaceDE/>
        <w:autoSpaceDN/>
        <w:bidi w:val="0"/>
        <w:spacing w:line="480" w:lineRule="exact"/>
        <w:ind w:firstLine="482" w:firstLineChars="200"/>
        <w:textAlignment w:val="auto"/>
        <w:outlineLvl w:val="1"/>
        <w:rPr>
          <w:rFonts w:ascii="仿宋_GB2312" w:hAnsi="仿宋" w:eastAsia="仿宋_GB2312" w:cs="新宋体-18030"/>
          <w:b/>
          <w:bCs/>
          <w:color w:val="000000" w:themeColor="text1"/>
          <w:sz w:val="24"/>
        </w:rPr>
      </w:pPr>
      <w:bookmarkStart w:id="43" w:name="_Toc20677"/>
      <w:r>
        <w:rPr>
          <w:rFonts w:hint="eastAsia" w:ascii="仿宋_GB2312" w:hAnsi="仿宋" w:eastAsia="仿宋_GB2312" w:cs="新宋体-18030"/>
          <w:b/>
          <w:bCs/>
          <w:color w:val="000000" w:themeColor="text1"/>
          <w:sz w:val="24"/>
        </w:rPr>
        <w:t>五、价值时点</w:t>
      </w:r>
      <w:bookmarkEnd w:id="41"/>
      <w:bookmarkEnd w:id="42"/>
      <w:bookmarkEnd w:id="43"/>
    </w:p>
    <w:p>
      <w:pPr>
        <w:pStyle w:val="13"/>
        <w:pageBreakBefore w:val="0"/>
        <w:kinsoku/>
        <w:wordWrap/>
        <w:overflowPunct/>
        <w:autoSpaceDE/>
        <w:autoSpaceDN/>
        <w:bidi w:val="0"/>
        <w:spacing w:line="480" w:lineRule="exact"/>
        <w:ind w:firstLine="480" w:firstLineChars="200"/>
        <w:textAlignment w:val="auto"/>
        <w:rPr>
          <w:rFonts w:ascii="仿宋_GB2312" w:hAnsi="仿宋" w:cs="新宋体-18030"/>
          <w:color w:val="000000" w:themeColor="text1"/>
          <w:sz w:val="24"/>
          <w:szCs w:val="24"/>
        </w:rPr>
      </w:pPr>
      <w:r>
        <w:rPr>
          <w:rFonts w:hint="eastAsia" w:ascii="仿宋_GB2312" w:hAnsi="仿宋" w:cs="新宋体-18030"/>
          <w:color w:val="000000" w:themeColor="text1"/>
          <w:sz w:val="24"/>
          <w:szCs w:val="24"/>
        </w:rPr>
        <w:t>注册房地产估价师实地查勘之日</w:t>
      </w:r>
      <w:r>
        <w:rPr>
          <w:rFonts w:hint="eastAsia" w:ascii="仿宋_GB2312" w:hAnsi="仿宋" w:cs="新宋体-18030"/>
          <w:color w:val="000000" w:themeColor="text1"/>
          <w:sz w:val="24"/>
          <w:szCs w:val="24"/>
          <w:lang w:eastAsia="zh-CN"/>
        </w:rPr>
        <w:t>2022年7月21日</w:t>
      </w:r>
      <w:r>
        <w:rPr>
          <w:rFonts w:hint="eastAsia" w:ascii="仿宋_GB2312" w:hAnsi="仿宋" w:cs="新宋体-18030"/>
          <w:color w:val="000000" w:themeColor="text1"/>
          <w:sz w:val="24"/>
          <w:szCs w:val="24"/>
        </w:rPr>
        <w:t>作为本次估价对象的价值时点。</w:t>
      </w:r>
    </w:p>
    <w:p>
      <w:pPr>
        <w:pageBreakBefore w:val="0"/>
        <w:kinsoku/>
        <w:wordWrap/>
        <w:overflowPunct/>
        <w:autoSpaceDE/>
        <w:autoSpaceDN/>
        <w:bidi w:val="0"/>
        <w:spacing w:line="480" w:lineRule="exact"/>
        <w:ind w:firstLine="482" w:firstLineChars="200"/>
        <w:textAlignment w:val="auto"/>
        <w:outlineLvl w:val="1"/>
        <w:rPr>
          <w:rFonts w:ascii="仿宋_GB2312" w:hAnsi="仿宋" w:eastAsia="仿宋_GB2312" w:cs="新宋体-18030"/>
          <w:b/>
          <w:color w:val="000000" w:themeColor="text1"/>
          <w:sz w:val="24"/>
        </w:rPr>
      </w:pPr>
      <w:bookmarkStart w:id="44" w:name="_Toc433731395"/>
      <w:bookmarkStart w:id="45" w:name="_Toc530663976"/>
      <w:bookmarkStart w:id="46" w:name="_Toc13388"/>
      <w:r>
        <w:rPr>
          <w:rFonts w:hint="eastAsia" w:ascii="仿宋_GB2312" w:hAnsi="仿宋" w:eastAsia="仿宋_GB2312" w:cs="新宋体-18030"/>
          <w:b/>
          <w:color w:val="000000" w:themeColor="text1"/>
          <w:sz w:val="24"/>
        </w:rPr>
        <w:t>六、价值</w:t>
      </w:r>
      <w:bookmarkEnd w:id="44"/>
      <w:bookmarkEnd w:id="45"/>
      <w:r>
        <w:rPr>
          <w:rFonts w:hint="eastAsia" w:ascii="仿宋_GB2312" w:hAnsi="仿宋" w:eastAsia="仿宋_GB2312" w:cs="新宋体-18030"/>
          <w:b/>
          <w:color w:val="000000" w:themeColor="text1"/>
          <w:sz w:val="24"/>
        </w:rPr>
        <w:t>类型</w:t>
      </w:r>
      <w:bookmarkEnd w:id="46"/>
    </w:p>
    <w:p>
      <w:pPr>
        <w:pageBreakBefore w:val="0"/>
        <w:kinsoku/>
        <w:wordWrap/>
        <w:overflow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bookmarkStart w:id="47" w:name="_Toc433731396"/>
      <w:bookmarkStart w:id="48" w:name="_Toc530663977"/>
      <w:r>
        <w:rPr>
          <w:rFonts w:hint="eastAsia" w:ascii="仿宋_GB2312" w:hAnsi="仿宋" w:eastAsia="仿宋_GB2312" w:cs="新宋体-18030"/>
          <w:color w:val="000000" w:themeColor="text1"/>
          <w:sz w:val="24"/>
        </w:rPr>
        <w:t>本报告的估价结果是指估价对象在规划用途并正常使用的条件下，于价值时点</w:t>
      </w:r>
      <w:r>
        <w:rPr>
          <w:rFonts w:hint="eastAsia" w:ascii="仿宋_GB2312" w:hAnsi="仿宋" w:eastAsia="仿宋_GB2312" w:cs="新宋体-18030"/>
          <w:color w:val="000000" w:themeColor="text1"/>
          <w:sz w:val="24"/>
          <w:lang w:eastAsia="zh-CN"/>
        </w:rPr>
        <w:t>2022年7月21日</w:t>
      </w:r>
      <w:r>
        <w:rPr>
          <w:rFonts w:hint="eastAsia" w:ascii="仿宋_GB2312" w:hAnsi="仿宋" w:eastAsia="仿宋_GB2312" w:cs="新宋体-18030"/>
          <w:color w:val="000000" w:themeColor="text1"/>
          <w:sz w:val="24"/>
        </w:rPr>
        <w:t>的住宅房地产市场价值。</w:t>
      </w:r>
    </w:p>
    <w:p>
      <w:pPr>
        <w:pageBreakBefore w:val="0"/>
        <w:kinsoku/>
        <w:wordWrap/>
        <w:overflowPunct/>
        <w:autoSpaceDE/>
        <w:autoSpaceDN/>
        <w:bidi w:val="0"/>
        <w:spacing w:line="480" w:lineRule="exact"/>
        <w:ind w:firstLine="482" w:firstLineChars="200"/>
        <w:textAlignment w:val="auto"/>
        <w:outlineLvl w:val="1"/>
        <w:rPr>
          <w:rFonts w:ascii="仿宋_GB2312" w:hAnsi="仿宋" w:eastAsia="仿宋_GB2312" w:cs="新宋体-18030"/>
          <w:b/>
          <w:bCs/>
          <w:color w:val="000000" w:themeColor="text1"/>
          <w:sz w:val="24"/>
        </w:rPr>
      </w:pPr>
      <w:bookmarkStart w:id="49" w:name="_Toc14860"/>
      <w:r>
        <w:rPr>
          <w:rFonts w:hint="eastAsia" w:ascii="仿宋_GB2312" w:hAnsi="仿宋" w:eastAsia="仿宋_GB2312" w:cs="新宋体-18030"/>
          <w:b/>
          <w:bCs/>
          <w:color w:val="000000" w:themeColor="text1"/>
          <w:sz w:val="24"/>
        </w:rPr>
        <w:t>七、估价依据</w:t>
      </w:r>
      <w:bookmarkEnd w:id="47"/>
      <w:bookmarkEnd w:id="48"/>
      <w:bookmarkEnd w:id="49"/>
    </w:p>
    <w:p>
      <w:pPr>
        <w:pStyle w:val="21"/>
        <w:pageBreakBefore w:val="0"/>
        <w:kinsoku/>
        <w:wordWrap/>
        <w:overflowPunct/>
        <w:autoSpaceDE/>
        <w:autoSpaceDN/>
        <w:bidi w:val="0"/>
        <w:snapToGrid w:val="0"/>
        <w:spacing w:line="480" w:lineRule="exact"/>
        <w:ind w:firstLine="480"/>
        <w:textAlignment w:val="auto"/>
        <w:rPr>
          <w:rFonts w:ascii="仿宋_GB2312" w:hAnsi="仿宋" w:cs="新宋体-18030"/>
          <w:color w:val="000000" w:themeColor="text1"/>
          <w:sz w:val="24"/>
        </w:rPr>
      </w:pPr>
      <w:r>
        <w:rPr>
          <w:rFonts w:hint="eastAsia" w:ascii="仿宋_GB2312" w:hAnsi="仿宋" w:cs="新宋体-18030"/>
          <w:color w:val="000000" w:themeColor="text1"/>
          <w:sz w:val="24"/>
        </w:rPr>
        <w:t>(一)法律、法规、规章、政策性文件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新宋体-18030"/>
          <w:color w:val="000000"/>
          <w:sz w:val="24"/>
          <w:lang w:val="en-US" w:eastAsia="zh-CN"/>
        </w:rPr>
      </w:pPr>
      <w:r>
        <w:rPr>
          <w:rFonts w:hint="eastAsia" w:ascii="仿宋" w:hAnsi="仿宋" w:eastAsia="仿宋" w:cs="新宋体-18030"/>
          <w:color w:val="000000"/>
          <w:sz w:val="24"/>
          <w:lang w:val="en-US" w:eastAsia="zh-CN"/>
        </w:rPr>
        <w:t>1、</w:t>
      </w:r>
      <w:r>
        <w:rPr>
          <w:rFonts w:hint="eastAsia" w:ascii="仿宋" w:hAnsi="仿宋" w:eastAsia="仿宋" w:cs="新宋体-18030"/>
          <w:color w:val="000000"/>
          <w:sz w:val="24"/>
        </w:rPr>
        <w:t>《中华人民共和国</w:t>
      </w:r>
      <w:r>
        <w:rPr>
          <w:rFonts w:hint="eastAsia" w:ascii="仿宋" w:hAnsi="仿宋" w:eastAsia="仿宋" w:cs="新宋体-18030"/>
          <w:color w:val="000000"/>
          <w:sz w:val="24"/>
          <w:lang w:val="en-US" w:eastAsia="zh-CN"/>
        </w:rPr>
        <w:t>民法典</w:t>
      </w:r>
      <w:r>
        <w:rPr>
          <w:rFonts w:hint="eastAsia" w:ascii="仿宋" w:hAnsi="仿宋" w:eastAsia="仿宋" w:cs="新宋体-18030"/>
          <w:color w:val="000000"/>
          <w:sz w:val="24"/>
        </w:rPr>
        <w:t>》(主席令第</w:t>
      </w:r>
      <w:r>
        <w:rPr>
          <w:rFonts w:hint="eastAsia" w:ascii="仿宋" w:hAnsi="仿宋" w:eastAsia="仿宋" w:cs="新宋体-18030"/>
          <w:color w:val="000000"/>
          <w:sz w:val="24"/>
          <w:lang w:val="en-US" w:eastAsia="zh-CN"/>
        </w:rPr>
        <w:t>45</w:t>
      </w:r>
      <w:r>
        <w:rPr>
          <w:rFonts w:hint="eastAsia" w:ascii="仿宋" w:hAnsi="仿宋" w:eastAsia="仿宋" w:cs="新宋体-18030"/>
          <w:color w:val="000000"/>
          <w:sz w:val="24"/>
        </w:rPr>
        <w:t>号，2020年5月28日，十三届全国人大三次会议表决通过，自2021年1月1日起施行)；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2</w:t>
      </w:r>
      <w:r>
        <w:rPr>
          <w:rFonts w:hint="eastAsia" w:ascii="仿宋" w:hAnsi="仿宋" w:eastAsia="仿宋" w:cs="新宋体-18030"/>
          <w:color w:val="000000"/>
          <w:sz w:val="24"/>
        </w:rPr>
        <w:t>、《中华人民共和国城市房地产管理法》(主席令第72号，2019年8月26日第十三届全国人民代表大会常务委员会第十二次会议第三次修正，2020年1月1日起实施)；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新宋体-18030"/>
          <w:color w:val="000000"/>
          <w:sz w:val="24"/>
        </w:rPr>
      </w:pPr>
      <w:r>
        <w:rPr>
          <w:rFonts w:hint="eastAsia" w:ascii="仿宋" w:hAnsi="仿宋" w:eastAsia="仿宋" w:cs="新宋体-18030"/>
          <w:color w:val="000000"/>
          <w:sz w:val="24"/>
          <w:lang w:val="en-US" w:eastAsia="zh-CN"/>
        </w:rPr>
        <w:t>3</w:t>
      </w:r>
      <w:r>
        <w:rPr>
          <w:rFonts w:hint="eastAsia" w:ascii="仿宋" w:hAnsi="仿宋" w:eastAsia="仿宋" w:cs="新宋体-18030"/>
          <w:color w:val="000000"/>
          <w:sz w:val="24"/>
        </w:rPr>
        <w:t>、《中华人民共和国土地管理法》(主席令第28号，2019年8月26日第十三届全国人民代表大会常务委员会第十二次会议第三次修正，2020年1月1日起实施)；</w:t>
      </w:r>
    </w:p>
    <w:p>
      <w:pPr>
        <w:pStyle w:val="21"/>
        <w:keepNext w:val="0"/>
        <w:keepLines w:val="0"/>
        <w:pageBreakBefore w:val="0"/>
        <w:widowControl w:val="0"/>
        <w:kinsoku/>
        <w:wordWrap/>
        <w:overflowPunct/>
        <w:autoSpaceDE/>
        <w:autoSpaceDN/>
        <w:bidi w:val="0"/>
        <w:snapToGrid w:val="0"/>
        <w:spacing w:line="480" w:lineRule="exact"/>
        <w:ind w:firstLine="480"/>
        <w:textAlignment w:val="auto"/>
        <w:rPr>
          <w:rFonts w:hint="eastAsia" w:ascii="仿宋" w:hAnsi="仿宋" w:eastAsia="仿宋" w:cs="新宋体-18030"/>
          <w:color w:val="000000"/>
          <w:sz w:val="24"/>
        </w:rPr>
      </w:pPr>
      <w:r>
        <w:rPr>
          <w:rFonts w:hint="eastAsia" w:ascii="仿宋_GB2312" w:hAnsi="仿宋" w:cs="新宋体-18030"/>
          <w:color w:val="000000" w:themeColor="text1"/>
          <w:sz w:val="24"/>
          <w:lang w:val="en-US" w:eastAsia="zh-CN"/>
        </w:rPr>
        <w:t>4</w:t>
      </w:r>
      <w:r>
        <w:rPr>
          <w:rFonts w:hint="eastAsia" w:ascii="仿宋_GB2312" w:hAnsi="仿宋" w:cs="新宋体-18030"/>
          <w:color w:val="000000" w:themeColor="text1"/>
          <w:sz w:val="24"/>
        </w:rPr>
        <w:t>、《中华人民共和国土地管理法实施条例》</w:t>
      </w:r>
      <w:r>
        <w:rPr>
          <w:rFonts w:hint="eastAsia" w:ascii="仿宋_GB2312" w:hAnsi="仿宋" w:cs="新宋体-18030"/>
          <w:color w:val="000000" w:themeColor="text1"/>
          <w:sz w:val="24"/>
          <w:lang w:val="en-US" w:eastAsia="zh-CN"/>
        </w:rPr>
        <w:t>(中华人民共和国国务院令第743号，自2021年9月1日起施行，2021年7月2日第三次修订)</w:t>
      </w:r>
      <w:r>
        <w:rPr>
          <w:rFonts w:hint="eastAsia" w:ascii="仿宋_GB2312" w:hAnsi="仿宋" w:cs="新宋体-18030"/>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5</w:t>
      </w:r>
      <w:r>
        <w:rPr>
          <w:rFonts w:hint="eastAsia" w:ascii="仿宋" w:hAnsi="仿宋" w:eastAsia="仿宋" w:cs="新宋体-18030"/>
          <w:color w:val="000000"/>
          <w:sz w:val="24"/>
        </w:rPr>
        <w:t>、《中华人民共和国资产评估法》(</w:t>
      </w:r>
      <w:r>
        <w:rPr>
          <w:rFonts w:hint="eastAsia" w:ascii="仿宋_GB2312" w:hAnsi="仿宋" w:eastAsia="仿宋_GB2312" w:cs="新宋体-18030"/>
          <w:color w:val="000000" w:themeColor="text1"/>
          <w:kern w:val="2"/>
          <w:sz w:val="24"/>
          <w:szCs w:val="30"/>
          <w:lang w:val="en-US" w:eastAsia="zh-CN" w:bidi="ar-SA"/>
        </w:rPr>
        <w:t>主席令第46号，自2016年12月1日起施行</w:t>
      </w:r>
      <w:r>
        <w:rPr>
          <w:rFonts w:hint="eastAsia" w:ascii="仿宋" w:hAnsi="仿宋" w:eastAsia="仿宋" w:cs="新宋体-18030"/>
          <w:color w:val="000000"/>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6</w:t>
      </w:r>
      <w:r>
        <w:rPr>
          <w:rFonts w:hint="eastAsia" w:ascii="仿宋" w:hAnsi="仿宋" w:eastAsia="仿宋" w:cs="新宋体-18030"/>
          <w:color w:val="000000"/>
          <w:sz w:val="24"/>
        </w:rPr>
        <w:t>、《最高人民法院关于人民法院民事执行中拍卖、变卖财产的规定》（法释[2004]16号）；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7</w:t>
      </w:r>
      <w:r>
        <w:rPr>
          <w:rFonts w:hint="eastAsia" w:ascii="仿宋" w:hAnsi="仿宋" w:eastAsia="仿宋" w:cs="新宋体-18030"/>
          <w:color w:val="000000"/>
          <w:sz w:val="24"/>
        </w:rPr>
        <w:t>、《最高人民法院对外委托鉴定、评估、拍卖等工作管理规定》（法办发[2007]5号）；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8</w:t>
      </w:r>
      <w:r>
        <w:rPr>
          <w:rFonts w:hint="eastAsia" w:ascii="仿宋" w:hAnsi="仿宋" w:eastAsia="仿宋" w:cs="新宋体-18030"/>
          <w:color w:val="000000"/>
          <w:sz w:val="24"/>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新宋体-18030"/>
          <w:color w:val="000000"/>
          <w:sz w:val="24"/>
        </w:rPr>
      </w:pPr>
      <w:r>
        <w:rPr>
          <w:rFonts w:hint="eastAsia" w:ascii="仿宋" w:hAnsi="仿宋" w:eastAsia="仿宋" w:cs="新宋体-18030"/>
          <w:color w:val="000000"/>
          <w:sz w:val="24"/>
          <w:lang w:val="en-US" w:eastAsia="zh-CN"/>
        </w:rPr>
        <w:t>9</w:t>
      </w:r>
      <w:r>
        <w:rPr>
          <w:rFonts w:hint="eastAsia" w:ascii="仿宋" w:hAnsi="仿宋" w:eastAsia="仿宋" w:cs="新宋体-18030"/>
          <w:color w:val="000000"/>
          <w:sz w:val="24"/>
        </w:rPr>
        <w:t>、《司法鉴定程序通则》（司法部令第107号、132号）。</w:t>
      </w:r>
    </w:p>
    <w:p>
      <w:pPr>
        <w:pStyle w:val="21"/>
        <w:keepNext w:val="0"/>
        <w:keepLines w:val="0"/>
        <w:pageBreakBefore w:val="0"/>
        <w:widowControl w:val="0"/>
        <w:kinsoku/>
        <w:wordWrap/>
        <w:overflowPunct/>
        <w:autoSpaceDE/>
        <w:autoSpaceDN/>
        <w:bidi w:val="0"/>
        <w:snapToGrid w:val="0"/>
        <w:spacing w:line="480" w:lineRule="exact"/>
        <w:ind w:firstLine="480"/>
        <w:textAlignment w:val="auto"/>
        <w:rPr>
          <w:rFonts w:ascii="仿宋_GB2312" w:hAnsi="仿宋" w:cs="新宋体-18030"/>
          <w:color w:val="000000" w:themeColor="text1"/>
          <w:sz w:val="24"/>
        </w:rPr>
      </w:pPr>
      <w:r>
        <w:rPr>
          <w:rFonts w:hint="eastAsia" w:ascii="仿宋_GB2312" w:hAnsi="仿宋" w:cs="新宋体-18030"/>
          <w:color w:val="000000" w:themeColor="text1"/>
          <w:sz w:val="24"/>
        </w:rPr>
        <w:t xml:space="preserve"> (二)技术标准、规程、规范</w:t>
      </w:r>
    </w:p>
    <w:p>
      <w:pPr>
        <w:pStyle w:val="21"/>
        <w:keepNext w:val="0"/>
        <w:keepLines w:val="0"/>
        <w:pageBreakBefore w:val="0"/>
        <w:widowControl w:val="0"/>
        <w:kinsoku/>
        <w:wordWrap/>
        <w:overflowPunct/>
        <w:autoSpaceDE/>
        <w:autoSpaceDN/>
        <w:bidi w:val="0"/>
        <w:snapToGrid w:val="0"/>
        <w:spacing w:line="480" w:lineRule="exact"/>
        <w:ind w:firstLine="480"/>
        <w:textAlignment w:val="auto"/>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1.《房地产估价规范》</w:t>
      </w:r>
      <w:r>
        <w:rPr>
          <w:rFonts w:hint="eastAsia" w:ascii="华文仿宋" w:hAnsi="华文仿宋" w:eastAsia="华文仿宋"/>
          <w:color w:val="000000"/>
          <w:sz w:val="24"/>
          <w:szCs w:val="24"/>
        </w:rPr>
        <w:t>（GB/T5</w:t>
      </w:r>
      <w:r>
        <w:rPr>
          <w:rFonts w:hint="eastAsia" w:ascii="华文仿宋" w:hAnsi="华文仿宋" w:eastAsia="华文仿宋"/>
          <w:color w:val="000000"/>
          <w:sz w:val="24"/>
          <w:szCs w:val="24"/>
          <w:lang w:eastAsia="zh-CN"/>
        </w:rPr>
        <w:t>0026</w:t>
      </w:r>
      <w:r>
        <w:rPr>
          <w:rFonts w:hint="eastAsia" w:ascii="华文仿宋" w:hAnsi="华文仿宋" w:eastAsia="华文仿宋"/>
          <w:color w:val="000000"/>
          <w:sz w:val="24"/>
          <w:szCs w:val="24"/>
        </w:rPr>
        <w:t>-2015、中华人民共和国住房和城乡建设部、中华人民共和国国家质量监督检验检疫总局联合发布、2015年4月8日发布、2015年12月1日实施）；</w:t>
      </w:r>
    </w:p>
    <w:p>
      <w:pPr>
        <w:pStyle w:val="68"/>
        <w:keepNext w:val="0"/>
        <w:keepLines w:val="0"/>
        <w:pageBreakBefore w:val="0"/>
        <w:widowControl w:val="0"/>
        <w:tabs>
          <w:tab w:val="left" w:pos="709"/>
        </w:tabs>
        <w:kinsoku/>
        <w:wordWrap/>
        <w:overflowPunct/>
        <w:topLinePunct/>
        <w:autoSpaceDE/>
        <w:autoSpaceDN/>
        <w:bidi w:val="0"/>
        <w:adjustRightInd w:val="0"/>
        <w:snapToGrid w:val="0"/>
        <w:spacing w:line="480" w:lineRule="exact"/>
        <w:ind w:firstLineChars="0"/>
        <w:textAlignment w:val="auto"/>
        <w:rPr>
          <w:rFonts w:ascii="华文仿宋" w:hAnsi="华文仿宋" w:eastAsia="华文仿宋" w:cs="微软雅黑"/>
          <w:sz w:val="24"/>
        </w:rPr>
      </w:pPr>
      <w:r>
        <w:rPr>
          <w:rFonts w:hint="eastAsia" w:ascii="华文仿宋" w:hAnsi="华文仿宋" w:eastAsia="华文仿宋" w:cs="新宋体-18030"/>
          <w:color w:val="000000" w:themeColor="text1"/>
          <w:sz w:val="24"/>
        </w:rPr>
        <w:t>2.</w:t>
      </w:r>
      <w:r>
        <w:rPr>
          <w:rFonts w:ascii="华文仿宋" w:hAnsi="华文仿宋" w:eastAsia="华文仿宋" w:cs="新宋体-18030"/>
          <w:color w:val="000000" w:themeColor="text1"/>
          <w:sz w:val="24"/>
        </w:rPr>
        <w:t>《房地产估价基本术语标准》</w:t>
      </w:r>
      <w:r>
        <w:rPr>
          <w:rFonts w:hint="eastAsia" w:ascii="华文仿宋" w:hAnsi="华文仿宋" w:eastAsia="华文仿宋"/>
          <w:color w:val="000000"/>
          <w:sz w:val="24"/>
        </w:rPr>
        <w:t>（GB/T50899-2013、中华人民共和国住房和城乡建设部、中华人民共和国国家质量监督检验检疫总局2013年6月26日联合发布、2014年2月1日实施）；</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ascii="华文仿宋" w:hAnsi="华文仿宋" w:eastAsia="华文仿宋" w:cs="新宋体-18030"/>
          <w:sz w:val="24"/>
          <w:szCs w:val="24"/>
        </w:rPr>
      </w:pPr>
      <w:r>
        <w:rPr>
          <w:rFonts w:hint="eastAsia" w:ascii="华文仿宋" w:hAnsi="华文仿宋" w:eastAsia="华文仿宋" w:cs="新宋体-18030"/>
          <w:sz w:val="24"/>
          <w:szCs w:val="24"/>
        </w:rPr>
        <w:t xml:space="preserve"> (三)估价委托人提供的有关资料</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ascii="华文仿宋" w:hAnsi="华文仿宋" w:eastAsia="华文仿宋" w:cs="微软雅黑"/>
          <w:sz w:val="24"/>
        </w:rPr>
      </w:pPr>
      <w:r>
        <w:rPr>
          <w:rFonts w:hint="eastAsia" w:ascii="华文仿宋" w:hAnsi="华文仿宋" w:eastAsia="华文仿宋" w:cs="新宋体-18030"/>
          <w:sz w:val="24"/>
        </w:rPr>
        <w:t>1.</w:t>
      </w:r>
      <w:r>
        <w:rPr>
          <w:rFonts w:hint="eastAsia" w:ascii="华文仿宋" w:hAnsi="华文仿宋" w:eastAsia="华文仿宋" w:cs="微软雅黑"/>
          <w:sz w:val="24"/>
        </w:rPr>
        <w:t>《</w:t>
      </w:r>
      <w:r>
        <w:rPr>
          <w:rFonts w:hint="eastAsia" w:ascii="华文仿宋" w:hAnsi="华文仿宋" w:eastAsia="华文仿宋"/>
          <w:sz w:val="24"/>
          <w:lang w:val="en-US" w:eastAsia="zh-CN"/>
        </w:rPr>
        <w:t>司法鉴定</w:t>
      </w:r>
      <w:r>
        <w:rPr>
          <w:rFonts w:hint="eastAsia" w:ascii="华文仿宋" w:hAnsi="华文仿宋" w:eastAsia="华文仿宋"/>
          <w:sz w:val="24"/>
        </w:rPr>
        <w:t>委托书</w:t>
      </w:r>
      <w:r>
        <w:rPr>
          <w:rFonts w:hint="eastAsia" w:ascii="华文仿宋" w:hAnsi="华文仿宋" w:eastAsia="华文仿宋" w:cs="微软雅黑"/>
          <w:sz w:val="24"/>
        </w:rPr>
        <w:t>》；</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hint="eastAsia" w:ascii="华文仿宋" w:hAnsi="华文仿宋" w:eastAsia="华文仿宋"/>
          <w:sz w:val="24"/>
        </w:rPr>
      </w:pPr>
      <w:r>
        <w:rPr>
          <w:rFonts w:hint="eastAsia" w:ascii="华文仿宋" w:hAnsi="华文仿宋" w:eastAsia="华文仿宋"/>
          <w:sz w:val="24"/>
        </w:rPr>
        <w:t>2.《</w:t>
      </w:r>
      <w:r>
        <w:rPr>
          <w:rFonts w:hint="eastAsia" w:ascii="华文仿宋" w:hAnsi="华文仿宋" w:eastAsia="华文仿宋"/>
          <w:sz w:val="24"/>
          <w:lang w:val="en-US" w:eastAsia="zh-CN"/>
        </w:rPr>
        <w:t>不动产登记信息</w:t>
      </w:r>
      <w:r>
        <w:rPr>
          <w:rFonts w:hint="eastAsia" w:ascii="华文仿宋" w:hAnsi="华文仿宋" w:eastAsia="华文仿宋"/>
          <w:sz w:val="24"/>
        </w:rPr>
        <w:t>》复印件；</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hint="default" w:ascii="华文仿宋" w:hAnsi="华文仿宋" w:eastAsia="华文仿宋"/>
          <w:sz w:val="24"/>
          <w:lang w:val="en-US" w:eastAsia="zh-CN"/>
        </w:rPr>
      </w:pPr>
      <w:r>
        <w:rPr>
          <w:rFonts w:hint="eastAsia" w:ascii="华文仿宋" w:hAnsi="华文仿宋" w:eastAsia="华文仿宋"/>
          <w:sz w:val="24"/>
          <w:lang w:val="en-US" w:eastAsia="zh-CN"/>
        </w:rPr>
        <w:t>3.《不动产权证》[皖（2020）全椒县不动产权第0007324号]</w:t>
      </w:r>
      <w:r>
        <w:rPr>
          <w:rFonts w:hint="eastAsia" w:ascii="华文仿宋" w:hAnsi="华文仿宋" w:eastAsia="华文仿宋"/>
          <w:sz w:val="24"/>
        </w:rPr>
        <w:t>复印件；</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ascii="华文仿宋" w:hAnsi="华文仿宋" w:eastAsia="华文仿宋" w:cs="微软雅黑"/>
          <w:sz w:val="24"/>
        </w:rPr>
      </w:pPr>
      <w:r>
        <w:rPr>
          <w:rFonts w:hint="eastAsia" w:ascii="华文仿宋" w:hAnsi="华文仿宋" w:eastAsia="华文仿宋"/>
          <w:color w:val="000000"/>
          <w:sz w:val="24"/>
          <w:lang w:val="en-US" w:eastAsia="zh-CN"/>
        </w:rPr>
        <w:t>4</w:t>
      </w:r>
      <w:r>
        <w:rPr>
          <w:rFonts w:hint="eastAsia" w:ascii="华文仿宋" w:hAnsi="华文仿宋" w:eastAsia="华文仿宋"/>
          <w:color w:val="000000"/>
          <w:sz w:val="24"/>
        </w:rPr>
        <w:t>.估价</w:t>
      </w:r>
      <w:r>
        <w:rPr>
          <w:rFonts w:hint="eastAsia" w:ascii="华文仿宋" w:hAnsi="华文仿宋" w:eastAsia="华文仿宋" w:cs="微软雅黑"/>
          <w:sz w:val="24"/>
        </w:rPr>
        <w:t>委托人</w:t>
      </w:r>
      <w:r>
        <w:rPr>
          <w:rFonts w:hint="eastAsia" w:ascii="华文仿宋" w:hAnsi="华文仿宋" w:eastAsia="华文仿宋"/>
          <w:color w:val="000000"/>
          <w:sz w:val="24"/>
        </w:rPr>
        <w:t>提供的其他有关资料；</w:t>
      </w:r>
    </w:p>
    <w:p>
      <w:pPr>
        <w:pStyle w:val="21"/>
        <w:pageBreakBefore w:val="0"/>
        <w:kinsoku/>
        <w:wordWrap/>
        <w:overflowPunct/>
        <w:autoSpaceDE/>
        <w:autoSpaceDN/>
        <w:bidi w:val="0"/>
        <w:snapToGrid w:val="0"/>
        <w:spacing w:line="480" w:lineRule="exact"/>
        <w:ind w:firstLine="480"/>
        <w:textAlignment w:val="auto"/>
        <w:rPr>
          <w:rFonts w:ascii="仿宋_GB2312" w:hAnsi="仿宋" w:cs="新宋体-18030"/>
          <w:color w:val="000000" w:themeColor="text1"/>
          <w:sz w:val="24"/>
        </w:rPr>
      </w:pPr>
      <w:r>
        <w:rPr>
          <w:rFonts w:hint="eastAsia" w:ascii="仿宋_GB2312" w:hAnsi="仿宋" w:cs="新宋体-18030"/>
          <w:color w:val="000000" w:themeColor="text1"/>
          <w:sz w:val="24"/>
        </w:rPr>
        <w:t>(四)估价机构实地查勘的资料</w:t>
      </w:r>
    </w:p>
    <w:p>
      <w:pPr>
        <w:pStyle w:val="21"/>
        <w:pageBreakBefore w:val="0"/>
        <w:kinsoku/>
        <w:wordWrap/>
        <w:overflowPunct/>
        <w:autoSpaceDE/>
        <w:autoSpaceDN/>
        <w:bidi w:val="0"/>
        <w:snapToGrid w:val="0"/>
        <w:spacing w:line="480" w:lineRule="exact"/>
        <w:ind w:firstLine="480"/>
        <w:textAlignment w:val="auto"/>
        <w:rPr>
          <w:rFonts w:ascii="仿宋_GB2312" w:hAnsi="仿宋" w:cs="新宋体-18030"/>
          <w:color w:val="000000" w:themeColor="text1"/>
          <w:sz w:val="24"/>
        </w:rPr>
      </w:pPr>
      <w:r>
        <w:rPr>
          <w:rFonts w:hint="eastAsia" w:ascii="仿宋_GB2312" w:hAnsi="仿宋" w:cs="新宋体-18030"/>
          <w:color w:val="000000" w:themeColor="text1"/>
          <w:sz w:val="24"/>
        </w:rPr>
        <w:t>实地查勘记录、实地查勘拍摄照片等。</w:t>
      </w:r>
    </w:p>
    <w:p>
      <w:pPr>
        <w:pStyle w:val="21"/>
        <w:pageBreakBefore w:val="0"/>
        <w:kinsoku/>
        <w:wordWrap/>
        <w:overflowPunct/>
        <w:autoSpaceDE/>
        <w:autoSpaceDN/>
        <w:bidi w:val="0"/>
        <w:snapToGrid w:val="0"/>
        <w:spacing w:line="480" w:lineRule="exact"/>
        <w:ind w:firstLine="480"/>
        <w:textAlignment w:val="auto"/>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 xml:space="preserve"> (五)估价机构和估价人员掌握和搜集的资料</w:t>
      </w:r>
    </w:p>
    <w:p>
      <w:pPr>
        <w:pStyle w:val="21"/>
        <w:pageBreakBefore w:val="0"/>
        <w:kinsoku/>
        <w:wordWrap/>
        <w:overflowPunct/>
        <w:autoSpaceDE/>
        <w:autoSpaceDN/>
        <w:bidi w:val="0"/>
        <w:snapToGrid w:val="0"/>
        <w:spacing w:line="480" w:lineRule="exact"/>
        <w:ind w:firstLine="480"/>
        <w:textAlignment w:val="auto"/>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1.可比实例市场交易资料；</w:t>
      </w:r>
    </w:p>
    <w:p>
      <w:pPr>
        <w:pStyle w:val="21"/>
        <w:pageBreakBefore w:val="0"/>
        <w:kinsoku/>
        <w:wordWrap/>
        <w:overflowPunct/>
        <w:autoSpaceDE/>
        <w:autoSpaceDN/>
        <w:bidi w:val="0"/>
        <w:snapToGrid w:val="0"/>
        <w:spacing w:line="480" w:lineRule="exact"/>
        <w:ind w:firstLine="480"/>
        <w:textAlignment w:val="auto"/>
        <w:rPr>
          <w:rFonts w:ascii="华文仿宋" w:hAnsi="华文仿宋" w:eastAsia="华文仿宋" w:cs="新宋体-18030"/>
          <w:sz w:val="24"/>
          <w:szCs w:val="24"/>
        </w:rPr>
      </w:pPr>
      <w:r>
        <w:rPr>
          <w:rFonts w:hint="eastAsia" w:ascii="华文仿宋" w:hAnsi="华文仿宋" w:eastAsia="华文仿宋" w:cs="新宋体-18030"/>
          <w:sz w:val="24"/>
          <w:szCs w:val="24"/>
        </w:rPr>
        <w:t>2.</w:t>
      </w:r>
      <w:r>
        <w:rPr>
          <w:rFonts w:hint="eastAsia" w:ascii="华文仿宋" w:hAnsi="华文仿宋" w:eastAsia="华文仿宋" w:cs="新宋体-18030"/>
          <w:sz w:val="24"/>
          <w:szCs w:val="24"/>
          <w:lang w:val="en-US" w:eastAsia="zh-CN"/>
        </w:rPr>
        <w:t>全椒县</w:t>
      </w:r>
      <w:r>
        <w:rPr>
          <w:rFonts w:hint="eastAsia" w:ascii="华文仿宋" w:hAnsi="华文仿宋" w:eastAsia="华文仿宋" w:cs="新宋体-18030"/>
          <w:sz w:val="24"/>
          <w:szCs w:val="24"/>
        </w:rPr>
        <w:t>房地产市场信息；</w:t>
      </w:r>
    </w:p>
    <w:p>
      <w:pPr>
        <w:pStyle w:val="21"/>
        <w:pageBreakBefore w:val="0"/>
        <w:kinsoku/>
        <w:wordWrap/>
        <w:overflowPunct/>
        <w:autoSpaceDE/>
        <w:autoSpaceDN/>
        <w:bidi w:val="0"/>
        <w:snapToGrid w:val="0"/>
        <w:spacing w:line="480" w:lineRule="exact"/>
        <w:ind w:firstLine="480"/>
        <w:textAlignment w:val="auto"/>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3.估价机构及估价人员掌握的其他相关信息资料。</w:t>
      </w:r>
    </w:p>
    <w:p>
      <w:pPr>
        <w:pageBreakBefore w:val="0"/>
        <w:kinsoku/>
        <w:wordWrap/>
        <w:overflowPunct/>
        <w:autoSpaceDE/>
        <w:autoSpaceDN/>
        <w:bidi w:val="0"/>
        <w:spacing w:line="480" w:lineRule="exact"/>
        <w:ind w:firstLine="482" w:firstLineChars="200"/>
        <w:textAlignment w:val="auto"/>
        <w:outlineLvl w:val="1"/>
        <w:rPr>
          <w:rFonts w:ascii="仿宋_GB2312" w:hAnsi="仿宋" w:eastAsia="仿宋_GB2312" w:cs="新宋体-18030"/>
          <w:b/>
          <w:bCs/>
          <w:color w:val="000000" w:themeColor="text1"/>
          <w:sz w:val="24"/>
        </w:rPr>
      </w:pPr>
      <w:bookmarkStart w:id="50" w:name="_Toc530663978"/>
      <w:bookmarkStart w:id="51" w:name="_Toc21246"/>
      <w:bookmarkStart w:id="52" w:name="_Toc433731397"/>
      <w:r>
        <w:rPr>
          <w:rFonts w:hint="eastAsia" w:ascii="仿宋_GB2312" w:hAnsi="仿宋" w:eastAsia="仿宋_GB2312" w:cs="新宋体-18030"/>
          <w:b/>
          <w:bCs/>
          <w:color w:val="000000" w:themeColor="text1"/>
          <w:sz w:val="24"/>
        </w:rPr>
        <w:t>八、估价原则</w:t>
      </w:r>
      <w:bookmarkEnd w:id="50"/>
      <w:bookmarkEnd w:id="51"/>
      <w:bookmarkEnd w:id="52"/>
    </w:p>
    <w:p>
      <w:pPr>
        <w:pageBreakBefore w:val="0"/>
        <w:kinsoku/>
        <w:wordWrap/>
        <w:overflowPunct/>
        <w:autoSpaceDE/>
        <w:autoSpaceDN/>
        <w:bidi w:val="0"/>
        <w:spacing w:line="480" w:lineRule="exact"/>
        <w:ind w:firstLine="480" w:firstLineChars="200"/>
        <w:textAlignment w:val="auto"/>
        <w:rPr>
          <w:rFonts w:ascii="仿宋" w:hAnsi="仿宋" w:eastAsia="仿宋" w:cs="新宋体-18030"/>
          <w:sz w:val="24"/>
        </w:rPr>
      </w:pPr>
      <w:bookmarkStart w:id="53" w:name="_Toc433731398"/>
      <w:bookmarkStart w:id="54" w:name="_Toc530663979"/>
      <w:r>
        <w:rPr>
          <w:rFonts w:hint="eastAsia" w:ascii="仿宋" w:hAnsi="仿宋" w:eastAsia="仿宋" w:cs="新宋体-18030"/>
          <w:color w:val="000000" w:themeColor="text1"/>
          <w:sz w:val="24"/>
        </w:rPr>
        <w:t>根据估价委托，结合估价对象的有关情况，本次房地产估价遵循下列原则：独立、客观公正原则、合法原则、价值时点原则、替代原则、最高最佳利用原则。</w:t>
      </w:r>
    </w:p>
    <w:p>
      <w:pPr>
        <w:pageBreakBefore w:val="0"/>
        <w:kinsoku/>
        <w:wordWrap/>
        <w:overflowPunct/>
        <w:autoSpaceDE/>
        <w:autoSpaceDN/>
        <w:bidi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 w:hAnsi="仿宋" w:eastAsia="仿宋" w:cs="新宋体-18030"/>
          <w:sz w:val="24"/>
        </w:rPr>
        <w:t>1</w:t>
      </w:r>
      <w:r>
        <w:rPr>
          <w:rFonts w:hint="eastAsia" w:ascii="仿宋" w:hAnsi="仿宋" w:eastAsia="仿宋" w:cs="新宋体-18030"/>
          <w:color w:val="000000" w:themeColor="text1"/>
          <w:sz w:val="24"/>
          <w:szCs w:val="24"/>
        </w:rPr>
        <w:t>、独立、客观、公正原则：</w:t>
      </w:r>
      <w:r>
        <w:rPr>
          <w:rFonts w:hint="eastAsia" w:ascii="仿宋_GB2312" w:hAnsi="仿宋" w:eastAsia="仿宋_GB2312" w:cs="新宋体-18030"/>
          <w:color w:val="000000" w:themeColor="text1"/>
          <w:sz w:val="24"/>
        </w:rPr>
        <w:t>指站在中立的立场上，实事求是、公平正直地评估出对各方估价利害关系人均是公平合理的价值或价格。估价机构和估价师与委托人及估价利害关系人没有利害关系，与估价对象没有利益关系，不带着自己的情感、好恶和偏见，按照事物的本来面目、实事求是地进行估价，估价师和估价机构在估价中不偏袒估价利害关系人中的任何一方，坚持原则、公平正直地进行估价。</w:t>
      </w:r>
    </w:p>
    <w:p>
      <w:pPr>
        <w:pStyle w:val="21"/>
        <w:pageBreakBefore w:val="0"/>
        <w:kinsoku/>
        <w:wordWrap/>
        <w:overflowPunct/>
        <w:autoSpaceDE/>
        <w:autoSpaceDN/>
        <w:bidi w:val="0"/>
        <w:snapToGrid w:val="0"/>
        <w:spacing w:line="480" w:lineRule="exact"/>
        <w:ind w:firstLine="480"/>
        <w:textAlignment w:val="auto"/>
        <w:rPr>
          <w:rFonts w:ascii="仿宋" w:hAnsi="仿宋" w:eastAsia="仿宋" w:cs="新宋体-18030"/>
          <w:color w:val="000000" w:themeColor="text1"/>
          <w:sz w:val="24"/>
          <w:szCs w:val="24"/>
        </w:rPr>
      </w:pPr>
      <w:r>
        <w:rPr>
          <w:rFonts w:hint="eastAsia" w:ascii="仿宋_GB2312" w:hAnsi="仿宋" w:cs="新宋体-18030"/>
          <w:color w:val="000000" w:themeColor="text1"/>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pStyle w:val="21"/>
        <w:pageBreakBefore w:val="0"/>
        <w:kinsoku/>
        <w:wordWrap/>
        <w:overflowPunct/>
        <w:autoSpaceDE/>
        <w:autoSpaceDN/>
        <w:bidi w:val="0"/>
        <w:snapToGrid w:val="0"/>
        <w:spacing w:line="480" w:lineRule="exact"/>
        <w:ind w:firstLine="48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2、合法原则：估价结果是在依法判定的估价对象状况下的价值或价格。依法判定的估价对象权益可分解为依法判定的权利类型及归属，以及使用、处分等权利。</w:t>
      </w:r>
    </w:p>
    <w:p>
      <w:pPr>
        <w:pageBreakBefore w:val="0"/>
        <w:kinsoku/>
        <w:wordWrap/>
        <w:overflowPunct/>
        <w:autoSpaceDE/>
        <w:autoSpaceDN/>
        <w:bidi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依法是指不仅要依据有关法律、行政法规、最高人民法院和最高人民检察院发布的有关司法解释，还要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pageBreakBefore w:val="0"/>
        <w:kinsoku/>
        <w:wordWrap/>
        <w:overflowPunct/>
        <w:autoSpaceDE/>
        <w:autoSpaceDN/>
        <w:bidi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遵循合法原则并不意味着只有合法的房地产才能成为估价对象，而是指依法判定估价对象是哪种状况的房地产，就应将其作为那种状况的房地产来估价。</w:t>
      </w:r>
    </w:p>
    <w:p>
      <w:pPr>
        <w:pStyle w:val="21"/>
        <w:pageBreakBefore w:val="0"/>
        <w:kinsoku/>
        <w:wordWrap/>
        <w:overflowPunct/>
        <w:autoSpaceDE/>
        <w:autoSpaceDN/>
        <w:bidi w:val="0"/>
        <w:snapToGrid w:val="0"/>
        <w:spacing w:line="480" w:lineRule="exact"/>
        <w:ind w:firstLine="480"/>
        <w:textAlignment w:val="auto"/>
        <w:rPr>
          <w:rFonts w:ascii="仿宋" w:hAnsi="仿宋" w:eastAsia="仿宋" w:cs="新宋体-18030"/>
          <w:color w:val="000000" w:themeColor="text1"/>
          <w:sz w:val="24"/>
          <w:szCs w:val="24"/>
        </w:rPr>
      </w:pPr>
      <w:r>
        <w:rPr>
          <w:rFonts w:hint="eastAsia" w:ascii="仿宋_GB2312" w:hAnsi="仿宋" w:cs="新宋体-18030"/>
          <w:color w:val="000000" w:themeColor="text1"/>
          <w:sz w:val="24"/>
        </w:rPr>
        <w:t>本次估价以估价对象合法用途为前提，根据估价委托人提供的合法权属证明等资料进行评估。</w:t>
      </w:r>
    </w:p>
    <w:p>
      <w:pPr>
        <w:pageBreakBefore w:val="0"/>
        <w:kinsoku/>
        <w:wordWrap/>
        <w:overflowPunct/>
        <w:autoSpaceDE/>
        <w:autoSpaceDN/>
        <w:bidi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 w:hAnsi="仿宋" w:eastAsia="仿宋" w:cs="新宋体-18030"/>
          <w:color w:val="000000" w:themeColor="text1"/>
          <w:sz w:val="24"/>
          <w:szCs w:val="24"/>
        </w:rPr>
        <w:t>3、价值时点原则：</w:t>
      </w:r>
      <w:r>
        <w:rPr>
          <w:rFonts w:hint="eastAsia" w:ascii="仿宋_GB2312" w:hAnsi="仿宋" w:eastAsia="仿宋_GB2312" w:cs="新宋体-18030"/>
          <w:color w:val="000000" w:themeColor="text1"/>
          <w:sz w:val="24"/>
        </w:rPr>
        <w:t>指估价结果是在根据估价目的确定的某一特定时间的价值或价格。</w:t>
      </w:r>
    </w:p>
    <w:p>
      <w:pPr>
        <w:pageBreakBefore w:val="0"/>
        <w:kinsoku/>
        <w:wordWrap/>
        <w:overflowPunct/>
        <w:autoSpaceDE/>
        <w:autoSpaceDN/>
        <w:bidi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影响房地产价格的因素是不断变化的，房地产市场是不断变化的，同一估价对象在不同时点会具不同的市场价格。</w:t>
      </w:r>
    </w:p>
    <w:p>
      <w:pPr>
        <w:pageBreakBefore w:val="0"/>
        <w:kinsoku/>
        <w:wordWrap/>
        <w:overflowPunct/>
        <w:autoSpaceDE/>
        <w:autoSpaceDN/>
        <w:bidi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本次估价以价值时点原则为前提，根据价值时点原则确定政府有关房地产的法律、法规、税收政策、估价标准等的发布、变更、实施日期等估价依据。估价结果是根据估价目的确定的价值时点对应的市场价值。</w:t>
      </w:r>
      <w:r>
        <w:rPr>
          <w:rFonts w:hint="eastAsia" w:ascii="华文仿宋" w:hAnsi="华文仿宋" w:eastAsia="华文仿宋"/>
          <w:caps/>
          <w:color w:val="000000" w:themeColor="text1"/>
          <w:sz w:val="24"/>
          <w:szCs w:val="24"/>
        </w:rPr>
        <w:t>运用比较法时，对可比案例的期日修正体现了价值时点原则。</w:t>
      </w:r>
    </w:p>
    <w:p>
      <w:pPr>
        <w:pageBreakBefore w:val="0"/>
        <w:kinsoku/>
        <w:wordWrap/>
        <w:overflowPunct/>
        <w:autoSpaceDE/>
        <w:autoSpaceDN/>
        <w:bidi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 w:hAnsi="仿宋" w:eastAsia="仿宋" w:cs="新宋体-18030"/>
          <w:color w:val="000000" w:themeColor="text1"/>
          <w:sz w:val="24"/>
          <w:szCs w:val="24"/>
        </w:rPr>
        <w:t>4、替代原则：</w:t>
      </w:r>
      <w:r>
        <w:rPr>
          <w:rFonts w:hint="eastAsia" w:ascii="仿宋_GB2312" w:hAnsi="仿宋" w:eastAsia="仿宋_GB2312" w:cs="新宋体-18030"/>
          <w:color w:val="000000" w:themeColor="text1"/>
          <w:sz w:val="24"/>
        </w:rPr>
        <w:t>指估价结果与估价对象的类似房地产在同等条件下的价值或价格偏差在合理范围内。</w:t>
      </w:r>
    </w:p>
    <w:p>
      <w:pPr>
        <w:pageBreakBefore w:val="0"/>
        <w:kinsoku/>
        <w:wordWrap/>
        <w:overflowPunct/>
        <w:autoSpaceDE/>
        <w:autoSpaceDN/>
        <w:bidi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房地产具有独一无二的特性。虽然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本次评估中，比较法选取具有替代性的案例就遵循了替代原则。</w:t>
      </w:r>
    </w:p>
    <w:p>
      <w:pPr>
        <w:pStyle w:val="21"/>
        <w:pageBreakBefore w:val="0"/>
        <w:kinsoku/>
        <w:wordWrap/>
        <w:overflowPunct/>
        <w:autoSpaceDE/>
        <w:autoSpaceDN/>
        <w:bidi w:val="0"/>
        <w:snapToGrid w:val="0"/>
        <w:spacing w:line="480" w:lineRule="exact"/>
        <w:ind w:firstLine="48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5、最高最佳利用原则：估价是在估价对象最高最佳利用状况下的价值或价格。</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（1）以维持现状、继续利用最为合理的，应选择该前提进行估价；</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（2）以更新改造再予以利用最为合理的，应选择该前提进行估价；</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（3）以改变用途再予以利用最为合理的，应选择该前提进行估价；</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（4）以改变规模再予以利用最为合理的，应选择该前提进行估价；</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（5）以重新开发再予以利用最为合理的，应选择该前提进行估价；</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（6）其他情况，应采用上述前提的组合或其他特殊利用前提进行估价。</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经研究分析，我们认为估价对象维持现状、继续利用为其最高最佳利用方式。这是因为：</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（1）法律上允许。</w:t>
      </w:r>
      <w:r>
        <w:rPr>
          <w:rFonts w:hint="eastAsia" w:ascii="仿宋_GB2312" w:hAnsi="仿宋" w:eastAsia="仿宋_GB2312" w:cs="新宋体-18030"/>
          <w:color w:val="000000" w:themeColor="text1"/>
          <w:sz w:val="24"/>
          <w:lang w:val="en-US" w:eastAsia="zh-CN"/>
        </w:rPr>
        <w:t>根据委托方提供的</w:t>
      </w:r>
      <w:r>
        <w:rPr>
          <w:rFonts w:hint="eastAsia" w:ascii="仿宋_GB2312" w:hAnsi="仿宋" w:eastAsia="仿宋_GB2312" w:cs="新宋体-18030"/>
          <w:color w:val="000000" w:themeColor="text1"/>
          <w:sz w:val="24"/>
        </w:rPr>
        <w:t>《</w:t>
      </w:r>
      <w:r>
        <w:rPr>
          <w:rFonts w:hint="eastAsia" w:ascii="仿宋_GB2312" w:hAnsi="仿宋" w:eastAsia="仿宋_GB2312" w:cs="新宋体-18030"/>
          <w:color w:val="000000" w:themeColor="text1"/>
          <w:sz w:val="24"/>
          <w:lang w:val="en-US" w:eastAsia="zh-CN"/>
        </w:rPr>
        <w:t>不动产登记信息</w:t>
      </w:r>
      <w:r>
        <w:rPr>
          <w:rFonts w:hint="eastAsia" w:ascii="仿宋_GB2312" w:hAnsi="仿宋" w:eastAsia="仿宋_GB2312" w:cs="新宋体-18030"/>
          <w:color w:val="000000" w:themeColor="text1"/>
          <w:sz w:val="24"/>
        </w:rPr>
        <w:t>》</w:t>
      </w:r>
      <w:r>
        <w:rPr>
          <w:rFonts w:hint="eastAsia" w:ascii="仿宋_GB2312" w:hAnsi="仿宋" w:eastAsia="仿宋_GB2312" w:cs="新宋体-18030"/>
          <w:color w:val="000000" w:themeColor="text1"/>
          <w:sz w:val="24"/>
          <w:lang w:val="en-US" w:eastAsia="zh-CN"/>
        </w:rPr>
        <w:t>及</w:t>
      </w:r>
      <w:r>
        <w:rPr>
          <w:rFonts w:hint="eastAsia" w:ascii="华文仿宋" w:hAnsi="华文仿宋" w:eastAsia="华文仿宋"/>
          <w:sz w:val="24"/>
          <w:lang w:val="en-US" w:eastAsia="zh-CN"/>
        </w:rPr>
        <w:t>《不动产权证》[皖（2020）全椒县不动产权第0007324号]</w:t>
      </w:r>
      <w:r>
        <w:rPr>
          <w:rFonts w:hint="eastAsia" w:ascii="仿宋_GB2312" w:hAnsi="仿宋" w:eastAsia="仿宋_GB2312" w:cs="新宋体-18030"/>
          <w:color w:val="000000" w:themeColor="text1"/>
          <w:sz w:val="24"/>
        </w:rPr>
        <w:t>，证载用途为住宅，用途及建设规模已经确定；本次估价目的是</w:t>
      </w:r>
      <w:r>
        <w:rPr>
          <w:rFonts w:hint="eastAsia" w:ascii="仿宋_GB2312" w:hAnsi="仿宋" w:eastAsia="仿宋_GB2312" w:cs="新宋体-18030"/>
          <w:color w:val="000000" w:themeColor="text1"/>
          <w:sz w:val="24"/>
          <w:lang w:eastAsia="zh-CN"/>
        </w:rPr>
        <w:t>为人民法院确定财产处置参考价提供参考依据</w:t>
      </w:r>
      <w:r>
        <w:rPr>
          <w:rFonts w:hint="eastAsia" w:ascii="仿宋_GB2312" w:hAnsi="仿宋" w:eastAsia="仿宋_GB2312" w:cs="新宋体-18030"/>
          <w:color w:val="000000" w:themeColor="text1"/>
          <w:sz w:val="24"/>
        </w:rPr>
        <w:t>，应以合法原则及谨慎原则为基础，从现有权属资料上看，估价对象从法律上暂时不具备更新改造、改变用途、规模或者重新开发再利用的可能。故维持现状、持续使用在法律上是允许的，符合合法原则；</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（2）技术上可能。估价对象规划用途为住宅，形状规则、建筑规模及层高合理、维护保养情况良好。从实地查勘的情况来看，估价对象维持现状利用在技术上是非常适宜和可行的；</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（3）财务上可行。估价对象已经投入使用，其产生的收益能够支持项目的正常运营，因此，本次估价采用维持现状用途来实现估价对象最高最佳价值在经济上是可行的；</w:t>
      </w:r>
    </w:p>
    <w:p>
      <w:pPr>
        <w:pageBreakBefore w:val="0"/>
        <w:kinsoku/>
        <w:wordWrap/>
        <w:overflowPunct/>
        <w:topLinePunct/>
        <w:autoSpaceDE/>
        <w:autoSpaceDN/>
        <w:bidi w:val="0"/>
        <w:adjustRightInd w:val="0"/>
        <w:snapToGrid w:val="0"/>
        <w:spacing w:line="480" w:lineRule="exact"/>
        <w:ind w:firstLine="480" w:firstLineChars="200"/>
        <w:textAlignment w:val="auto"/>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（4）价值最大化。估价对象已取得相关权属资料，用途、规模已经确定，故维持现状、持续使用能在合法原则的前提下，使估价对象产生最高经济收益。</w:t>
      </w:r>
    </w:p>
    <w:p>
      <w:pPr>
        <w:pStyle w:val="21"/>
        <w:pageBreakBefore w:val="0"/>
        <w:kinsoku/>
        <w:wordWrap/>
        <w:overflowPunct/>
        <w:autoSpaceDE/>
        <w:autoSpaceDN/>
        <w:bidi w:val="0"/>
        <w:snapToGrid w:val="0"/>
        <w:spacing w:line="480" w:lineRule="exact"/>
        <w:ind w:firstLine="480"/>
        <w:textAlignment w:val="auto"/>
        <w:rPr>
          <w:rFonts w:ascii="仿宋_GB2312" w:hAnsi="仿宋" w:cs="新宋体-18030"/>
          <w:color w:val="000000" w:themeColor="text1"/>
          <w:sz w:val="24"/>
          <w:szCs w:val="21"/>
        </w:rPr>
      </w:pPr>
      <w:r>
        <w:rPr>
          <w:rFonts w:hint="eastAsia" w:ascii="仿宋_GB2312" w:hAnsi="仿宋" w:cs="新宋体-18030"/>
          <w:color w:val="000000" w:themeColor="text1"/>
          <w:sz w:val="24"/>
          <w:szCs w:val="21"/>
        </w:rPr>
        <w:t>综合以上分析，估价对象按其合法用途——住宅，维持现状利用为其法律上允许、技术上可能、经济上可行、价值最大化的最高最佳用途。</w:t>
      </w:r>
    </w:p>
    <w:p>
      <w:pPr>
        <w:pageBreakBefore w:val="0"/>
        <w:kinsoku/>
        <w:wordWrap/>
        <w:overflowPunct/>
        <w:autoSpaceDE/>
        <w:autoSpaceDN/>
        <w:bidi w:val="0"/>
        <w:spacing w:line="480" w:lineRule="exact"/>
        <w:ind w:firstLine="482" w:firstLineChars="200"/>
        <w:textAlignment w:val="auto"/>
        <w:outlineLvl w:val="1"/>
        <w:rPr>
          <w:rFonts w:ascii="仿宋_GB2312" w:hAnsi="仿宋" w:eastAsia="仿宋_GB2312" w:cs="新宋体-18030"/>
          <w:b/>
          <w:bCs/>
          <w:color w:val="000000" w:themeColor="text1"/>
          <w:sz w:val="24"/>
        </w:rPr>
      </w:pPr>
      <w:bookmarkStart w:id="55" w:name="_Toc6150"/>
      <w:r>
        <w:rPr>
          <w:rFonts w:hint="eastAsia" w:ascii="仿宋_GB2312" w:hAnsi="仿宋" w:eastAsia="仿宋_GB2312" w:cs="新宋体-18030"/>
          <w:b/>
          <w:bCs/>
          <w:color w:val="000000" w:themeColor="text1"/>
          <w:sz w:val="24"/>
        </w:rPr>
        <w:t>九、估价方法</w:t>
      </w:r>
      <w:bookmarkEnd w:id="53"/>
      <w:bookmarkEnd w:id="54"/>
      <w:bookmarkEnd w:id="55"/>
    </w:p>
    <w:p>
      <w:pPr>
        <w:pageBreakBefore w:val="0"/>
        <w:kinsoku/>
        <w:wordWrap/>
        <w:overflowPunct/>
        <w:autoSpaceDE/>
        <w:autoSpaceDN/>
        <w:bidi w:val="0"/>
        <w:spacing w:line="480" w:lineRule="exact"/>
        <w:ind w:firstLine="480" w:firstLineChars="200"/>
        <w:textAlignment w:val="auto"/>
        <w:rPr>
          <w:rFonts w:hAnsi="宋体" w:eastAsia="仿宋_GB2312"/>
          <w:color w:val="000000" w:themeColor="text1"/>
          <w:sz w:val="24"/>
        </w:rPr>
      </w:pPr>
      <w:r>
        <w:rPr>
          <w:rFonts w:hint="eastAsia" w:hAnsi="宋体" w:eastAsia="仿宋_GB2312"/>
          <w:color w:val="000000" w:themeColor="text1"/>
          <w:sz w:val="24"/>
        </w:rPr>
        <w:t>根据《房地产估价规范》(GB/T 5</w:t>
      </w:r>
      <w:r>
        <w:rPr>
          <w:rFonts w:hint="eastAsia" w:hAnsi="宋体" w:eastAsia="仿宋_GB2312"/>
          <w:color w:val="000000" w:themeColor="text1"/>
          <w:sz w:val="24"/>
          <w:lang w:eastAsia="zh-CN"/>
        </w:rPr>
        <w:t>0026</w:t>
      </w:r>
      <w:r>
        <w:rPr>
          <w:rFonts w:hint="eastAsia" w:hAnsi="宋体" w:eastAsia="仿宋_GB2312"/>
          <w:color w:val="000000" w:themeColor="text1"/>
          <w:sz w:val="24"/>
        </w:rPr>
        <w:t>-2015)，通行的估价方法有比较法、收益法、成本法、假设开发法等。估价方法的选择应根据当地房地产市场发育情况并结合估价对象的具体特点及估价目的等，选择适当的估价方法。</w:t>
      </w:r>
    </w:p>
    <w:p>
      <w:pPr>
        <w:pStyle w:val="21"/>
        <w:pageBreakBefore w:val="0"/>
        <w:kinsoku/>
        <w:wordWrap/>
        <w:overflowPunct/>
        <w:autoSpaceDE/>
        <w:autoSpaceDN/>
        <w:bidi w:val="0"/>
        <w:snapToGrid w:val="0"/>
        <w:spacing w:line="480" w:lineRule="exact"/>
        <w:ind w:firstLine="480"/>
        <w:textAlignment w:val="auto"/>
        <w:rPr>
          <w:rFonts w:hAnsi="宋体"/>
          <w:sz w:val="24"/>
        </w:rPr>
      </w:pPr>
      <w:r>
        <w:rPr>
          <w:rFonts w:hint="eastAsia" w:hAnsi="宋体"/>
          <w:color w:val="000000" w:themeColor="text1"/>
          <w:sz w:val="24"/>
        </w:rPr>
        <w:t>估价人员在认真分析所掌握的资料，并对估价对象进行了实地查勘以及对周边房地产市场进行调查后，根据《房地产估价规范》(GB/T 5</w:t>
      </w:r>
      <w:r>
        <w:rPr>
          <w:rFonts w:hint="eastAsia" w:hAnsi="宋体"/>
          <w:color w:val="000000" w:themeColor="text1"/>
          <w:sz w:val="24"/>
          <w:lang w:eastAsia="zh-CN"/>
        </w:rPr>
        <w:t>0026</w:t>
      </w:r>
      <w:r>
        <w:rPr>
          <w:rFonts w:hint="eastAsia" w:hAnsi="宋体"/>
          <w:color w:val="000000" w:themeColor="text1"/>
          <w:sz w:val="24"/>
        </w:rPr>
        <w:t>-2015)，遵照国家有关法律、法规、估价技术标准，经过反复研究，</w:t>
      </w:r>
      <w:r>
        <w:rPr>
          <w:rFonts w:hint="eastAsia" w:hAnsi="宋体"/>
          <w:sz w:val="24"/>
        </w:rPr>
        <w:t>最终选取比较法对估价对象房地产进行估价。</w:t>
      </w:r>
    </w:p>
    <w:p>
      <w:pPr>
        <w:pStyle w:val="21"/>
        <w:pageBreakBefore w:val="0"/>
        <w:kinsoku/>
        <w:wordWrap/>
        <w:overflowPunct/>
        <w:autoSpaceDE/>
        <w:autoSpaceDN/>
        <w:bidi w:val="0"/>
        <w:snapToGrid w:val="0"/>
        <w:spacing w:line="480" w:lineRule="exact"/>
        <w:ind w:firstLine="480"/>
        <w:textAlignment w:val="auto"/>
        <w:rPr>
          <w:rFonts w:ascii="仿宋_GB2312" w:hAnsi="仿宋" w:cs="仿宋_GB2312"/>
          <w:color w:val="000000" w:themeColor="text1"/>
          <w:sz w:val="24"/>
          <w:szCs w:val="24"/>
        </w:rPr>
      </w:pPr>
      <w:r>
        <w:rPr>
          <w:rFonts w:hint="eastAsia" w:ascii="仿宋_GB2312" w:hAnsi="仿宋" w:cs="仿宋_GB2312"/>
          <w:color w:val="000000" w:themeColor="text1"/>
          <w:sz w:val="24"/>
          <w:szCs w:val="24"/>
        </w:rPr>
        <w:t>比较法是选取一定数量的可比实例，将它们与估价对象进行比较，根据其间的差异对可比实例成交价格进行处理后得到估价对象价值或价格的方法。</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39" w:firstLineChars="182"/>
        <w:textAlignment w:val="auto"/>
        <w:outlineLvl w:val="1"/>
        <w:rPr>
          <w:rFonts w:ascii="仿宋_GB2312" w:hAnsi="仿宋_GB2312" w:eastAsia="仿宋_GB2312" w:cs="仿宋_GB2312"/>
          <w:b/>
          <w:color w:val="000000" w:themeColor="text1"/>
          <w:kern w:val="2"/>
        </w:rPr>
      </w:pPr>
      <w:bookmarkStart w:id="56" w:name="_Toc11780"/>
      <w:bookmarkStart w:id="57" w:name="_Toc433731399"/>
      <w:bookmarkStart w:id="58" w:name="_Toc530663980"/>
      <w:r>
        <w:rPr>
          <w:rFonts w:hint="eastAsia" w:ascii="仿宋_GB2312" w:hAnsi="仿宋_GB2312" w:eastAsia="仿宋_GB2312" w:cs="仿宋_GB2312"/>
          <w:b/>
          <w:color w:val="000000" w:themeColor="text1"/>
          <w:kern w:val="2"/>
        </w:rPr>
        <w:t>十、估价结果</w:t>
      </w:r>
      <w:bookmarkEnd w:id="56"/>
      <w:bookmarkEnd w:id="57"/>
      <w:bookmarkEnd w:id="58"/>
    </w:p>
    <w:p>
      <w:pPr>
        <w:pageBreakBefore w:val="0"/>
        <w:kinsoku/>
        <w:wordWrap/>
        <w:overflowPunct/>
        <w:autoSpaceDE/>
        <w:autoSpaceDN/>
        <w:bidi w:val="0"/>
        <w:adjustRightInd w:val="0"/>
        <w:snapToGrid w:val="0"/>
        <w:spacing w:line="48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 xml:space="preserve">估价对象房地产在满足本估价报告中“估价的假设和限制条件”下，在价值时点的房地产市场价值总价为: </w:t>
      </w:r>
      <w:r>
        <w:rPr>
          <w:rFonts w:ascii="宋体" w:hAnsi="宋体" w:eastAsia="宋体" w:cs="宋体"/>
          <w:color w:val="auto"/>
          <w:sz w:val="22"/>
          <w:szCs w:val="22"/>
          <w:highlight w:val="none"/>
        </w:rPr>
        <w:t>¥</w:t>
      </w:r>
      <w:r>
        <w:rPr>
          <w:rFonts w:hint="eastAsia" w:ascii="仿宋_GB2312" w:hAnsi="仿宋" w:eastAsia="仿宋_GB2312"/>
          <w:sz w:val="24"/>
          <w:szCs w:val="24"/>
          <w:lang w:eastAsia="zh-CN"/>
        </w:rPr>
        <w:t>63.98</w:t>
      </w:r>
      <w:r>
        <w:rPr>
          <w:rFonts w:hint="eastAsia" w:ascii="仿宋_GB2312" w:hAnsi="仿宋" w:eastAsia="仿宋_GB2312"/>
          <w:sz w:val="24"/>
          <w:szCs w:val="24"/>
        </w:rPr>
        <w:t>万元，大写金额：</w:t>
      </w:r>
      <w:r>
        <w:rPr>
          <w:rFonts w:hint="eastAsia" w:ascii="仿宋_GB2312" w:hAnsi="仿宋" w:eastAsia="仿宋_GB2312"/>
          <w:sz w:val="24"/>
          <w:szCs w:val="24"/>
          <w:lang w:val="en-US" w:eastAsia="zh-CN"/>
        </w:rPr>
        <w:t>人民币</w:t>
      </w:r>
      <w:r>
        <w:rPr>
          <w:rFonts w:hint="eastAsia" w:ascii="仿宋_GB2312" w:hAnsi="仿宋" w:eastAsia="仿宋_GB2312"/>
          <w:sz w:val="24"/>
          <w:szCs w:val="24"/>
          <w:lang w:eastAsia="zh-CN"/>
        </w:rPr>
        <w:t>陆拾叁万玖仟捌佰元整</w:t>
      </w:r>
      <w:r>
        <w:rPr>
          <w:rFonts w:hint="eastAsia" w:ascii="仿宋_GB2312" w:hAnsi="仿宋" w:eastAsia="仿宋_GB2312"/>
          <w:sz w:val="24"/>
          <w:szCs w:val="24"/>
        </w:rPr>
        <w:t>，评估单价：</w:t>
      </w:r>
      <w:r>
        <w:rPr>
          <w:rFonts w:hint="eastAsia" w:ascii="仿宋_GB2312" w:hAnsi="仿宋" w:eastAsia="仿宋_GB2312"/>
          <w:sz w:val="24"/>
          <w:szCs w:val="24"/>
          <w:lang w:val="en-US" w:eastAsia="zh-CN"/>
        </w:rPr>
        <w:t>5690</w:t>
      </w:r>
      <w:r>
        <w:rPr>
          <w:rFonts w:hint="eastAsia" w:ascii="仿宋_GB2312" w:hAnsi="仿宋" w:eastAsia="仿宋_GB2312"/>
          <w:sz w:val="24"/>
          <w:szCs w:val="24"/>
          <w:lang w:eastAsia="zh-CN"/>
        </w:rPr>
        <w:t>.00</w:t>
      </w:r>
      <w:r>
        <w:rPr>
          <w:rFonts w:hint="eastAsia" w:ascii="仿宋_GB2312" w:hAnsi="仿宋" w:eastAsia="仿宋_GB2312"/>
          <w:sz w:val="24"/>
          <w:szCs w:val="24"/>
        </w:rPr>
        <w:t>元/平方米。</w:t>
      </w:r>
    </w:p>
    <w:p>
      <w:pPr>
        <w:pStyle w:val="3"/>
        <w:pageBreakBefore w:val="0"/>
        <w:kinsoku/>
        <w:wordWrap/>
        <w:overflowPunct/>
        <w:autoSpaceDE/>
        <w:autoSpaceDN/>
        <w:bidi w:val="0"/>
        <w:spacing w:line="480" w:lineRule="exact"/>
        <w:ind w:firstLine="482"/>
        <w:textAlignment w:val="auto"/>
        <w:rPr>
          <w:rFonts w:ascii="仿宋_GB2312" w:hAnsi="仿宋" w:cs="新宋体-18030"/>
          <w:color w:val="000000" w:themeColor="text1"/>
        </w:rPr>
      </w:pPr>
      <w:bookmarkStart w:id="59" w:name="_Toc433731400"/>
      <w:bookmarkStart w:id="60" w:name="_Toc530663983"/>
      <w:bookmarkStart w:id="61" w:name="_Toc16051"/>
      <w:bookmarkStart w:id="62" w:name="_Toc530663981"/>
      <w:bookmarkStart w:id="63" w:name="_Toc433731401"/>
      <w:r>
        <w:rPr>
          <w:rFonts w:hint="eastAsia" w:ascii="仿宋_GB2312" w:hAnsi="仿宋" w:cs="新宋体-18030"/>
          <w:color w:val="000000" w:themeColor="text1"/>
        </w:rPr>
        <w:t>十一、</w:t>
      </w:r>
      <w:bookmarkEnd w:id="59"/>
      <w:r>
        <w:rPr>
          <w:rFonts w:hint="eastAsia" w:ascii="仿宋_GB2312" w:hAnsi="仿宋" w:cs="新宋体-18030"/>
          <w:color w:val="000000" w:themeColor="text1"/>
        </w:rPr>
        <w:t>注册房地产估价师</w:t>
      </w:r>
      <w:bookmarkEnd w:id="60"/>
      <w:bookmarkEnd w:id="61"/>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1"/>
        <w:gridCol w:w="1798"/>
        <w:gridCol w:w="2268"/>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71"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姓名</w:t>
            </w:r>
          </w:p>
        </w:tc>
        <w:tc>
          <w:tcPr>
            <w:tcW w:w="1798"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注册号</w:t>
            </w:r>
          </w:p>
        </w:tc>
        <w:tc>
          <w:tcPr>
            <w:tcW w:w="2268"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签名</w:t>
            </w:r>
          </w:p>
        </w:tc>
        <w:tc>
          <w:tcPr>
            <w:tcW w:w="2771"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171" w:type="dxa"/>
            <w:shd w:val="clear" w:color="auto" w:fill="auto"/>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姬再娟</w:t>
            </w:r>
          </w:p>
        </w:tc>
        <w:tc>
          <w:tcPr>
            <w:tcW w:w="1798" w:type="dxa"/>
            <w:shd w:val="clear" w:color="auto" w:fill="auto"/>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3420150050</w:t>
            </w:r>
          </w:p>
        </w:tc>
        <w:tc>
          <w:tcPr>
            <w:tcW w:w="2268" w:type="dxa"/>
            <w:shd w:val="clear" w:color="auto" w:fill="auto"/>
            <w:vAlign w:val="center"/>
          </w:tcPr>
          <w:p>
            <w:pPr>
              <w:spacing w:line="440" w:lineRule="exact"/>
              <w:ind w:firstLine="480" w:firstLineChars="200"/>
              <w:jc w:val="center"/>
              <w:rPr>
                <w:rFonts w:ascii="仿宋" w:hAnsi="仿宋" w:eastAsia="仿宋"/>
                <w:color w:val="000000"/>
                <w:sz w:val="24"/>
                <w:szCs w:val="24"/>
              </w:rPr>
            </w:pPr>
          </w:p>
        </w:tc>
        <w:tc>
          <w:tcPr>
            <w:tcW w:w="2771"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s="新宋体-18030"/>
                <w:color w:val="000000"/>
                <w:spacing w:val="20"/>
                <w:sz w:val="24"/>
                <w:szCs w:val="24"/>
                <w:lang w:eastAsia="zh-CN"/>
              </w:rPr>
              <w:t>2022年8月29日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171"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金</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lang w:eastAsia="zh-CN"/>
              </w:rPr>
              <w:t>涛</w:t>
            </w:r>
          </w:p>
        </w:tc>
        <w:tc>
          <w:tcPr>
            <w:tcW w:w="1798"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3420190095</w:t>
            </w:r>
          </w:p>
        </w:tc>
        <w:tc>
          <w:tcPr>
            <w:tcW w:w="2268" w:type="dxa"/>
            <w:shd w:val="clear" w:color="auto" w:fill="auto"/>
            <w:vAlign w:val="center"/>
          </w:tcPr>
          <w:p>
            <w:pPr>
              <w:spacing w:line="440" w:lineRule="exact"/>
              <w:ind w:firstLine="480" w:firstLineChars="200"/>
              <w:jc w:val="center"/>
              <w:rPr>
                <w:rFonts w:ascii="仿宋" w:hAnsi="仿宋" w:eastAsia="仿宋"/>
                <w:color w:val="000000"/>
                <w:sz w:val="24"/>
                <w:szCs w:val="24"/>
              </w:rPr>
            </w:pPr>
          </w:p>
        </w:tc>
        <w:tc>
          <w:tcPr>
            <w:tcW w:w="2771"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s="新宋体-18030"/>
                <w:color w:val="000000"/>
                <w:spacing w:val="20"/>
                <w:sz w:val="24"/>
                <w:szCs w:val="24"/>
                <w:lang w:eastAsia="zh-CN"/>
              </w:rPr>
              <w:t>2022年8月29日</w:t>
            </w:r>
          </w:p>
        </w:tc>
      </w:tr>
    </w:tbl>
    <w:p>
      <w:pPr>
        <w:keepNext w:val="0"/>
        <w:keepLines w:val="0"/>
        <w:pageBreakBefore w:val="0"/>
        <w:widowControl w:val="0"/>
        <w:kinsoku/>
        <w:wordWrap/>
        <w:overflowPunct/>
        <w:autoSpaceDE/>
        <w:autoSpaceDN/>
        <w:bidi w:val="0"/>
        <w:spacing w:line="480" w:lineRule="exact"/>
        <w:ind w:firstLine="482" w:firstLineChars="200"/>
        <w:textAlignment w:val="auto"/>
        <w:outlineLvl w:val="1"/>
        <w:rPr>
          <w:rFonts w:ascii="仿宋_GB2312" w:hAnsi="仿宋" w:eastAsia="仿宋_GB2312" w:cs="新宋体-18030"/>
          <w:b/>
          <w:bCs/>
          <w:color w:val="000000" w:themeColor="text1"/>
          <w:sz w:val="24"/>
        </w:rPr>
      </w:pPr>
      <w:bookmarkStart w:id="64" w:name="_Toc530663984"/>
      <w:bookmarkStart w:id="65" w:name="_Toc20189"/>
      <w:r>
        <w:rPr>
          <w:rFonts w:hint="eastAsia" w:ascii="仿宋_GB2312" w:hAnsi="仿宋" w:eastAsia="仿宋_GB2312" w:cs="新宋体-18030"/>
          <w:b/>
          <w:bCs/>
          <w:color w:val="000000" w:themeColor="text1"/>
          <w:sz w:val="24"/>
        </w:rPr>
        <w:t>十二、实地查勘期</w:t>
      </w:r>
      <w:bookmarkEnd w:id="64"/>
      <w:bookmarkEnd w:id="65"/>
    </w:p>
    <w:p>
      <w:pPr>
        <w:keepNext w:val="0"/>
        <w:keepLines w:val="0"/>
        <w:pageBreakBefore w:val="0"/>
        <w:widowControl w:val="0"/>
        <w:kinsoku/>
        <w:wordWrap/>
        <w:overflowPunct/>
        <w:autoSpaceDE/>
        <w:autoSpaceDN/>
        <w:bidi w:val="0"/>
        <w:spacing w:line="480" w:lineRule="exact"/>
        <w:ind w:firstLine="560" w:firstLineChars="200"/>
        <w:textAlignment w:val="auto"/>
        <w:rPr>
          <w:rFonts w:hint="eastAsia" w:ascii="仿宋_GB2312" w:hAnsi="仿宋" w:eastAsia="仿宋_GB2312" w:cs="新宋体-18030"/>
          <w:color w:val="000000" w:themeColor="text1"/>
          <w:spacing w:val="20"/>
          <w:sz w:val="24"/>
          <w:shd w:val="pct10" w:color="auto" w:fill="FFFFFF"/>
          <w:lang w:eastAsia="zh-CN"/>
        </w:rPr>
      </w:pPr>
      <w:r>
        <w:rPr>
          <w:rFonts w:hint="eastAsia" w:ascii="仿宋_GB2312" w:hAnsi="仿宋" w:eastAsia="仿宋_GB2312" w:cs="新宋体-18030"/>
          <w:color w:val="000000" w:themeColor="text1"/>
          <w:spacing w:val="20"/>
          <w:sz w:val="24"/>
          <w:lang w:eastAsia="zh-CN"/>
        </w:rPr>
        <w:t>2022年7月21日</w:t>
      </w:r>
    </w:p>
    <w:p>
      <w:pPr>
        <w:keepNext w:val="0"/>
        <w:keepLines w:val="0"/>
        <w:pageBreakBefore w:val="0"/>
        <w:widowControl w:val="0"/>
        <w:kinsoku/>
        <w:wordWrap/>
        <w:overflowPunct/>
        <w:autoSpaceDE/>
        <w:autoSpaceDN/>
        <w:bidi w:val="0"/>
        <w:spacing w:line="480" w:lineRule="exact"/>
        <w:ind w:firstLine="482" w:firstLineChars="200"/>
        <w:textAlignment w:val="auto"/>
        <w:outlineLvl w:val="1"/>
        <w:rPr>
          <w:rFonts w:ascii="仿宋_GB2312" w:hAnsi="仿宋" w:eastAsia="仿宋_GB2312" w:cs="新宋体-18030"/>
          <w:b/>
          <w:bCs/>
          <w:color w:val="000000" w:themeColor="text1"/>
          <w:sz w:val="24"/>
        </w:rPr>
      </w:pPr>
      <w:bookmarkStart w:id="66" w:name="_Toc530663985"/>
      <w:bookmarkStart w:id="67" w:name="_Toc26926"/>
      <w:r>
        <w:rPr>
          <w:rFonts w:hint="eastAsia" w:ascii="仿宋_GB2312" w:hAnsi="仿宋" w:eastAsia="仿宋_GB2312" w:cs="新宋体-18030"/>
          <w:b/>
          <w:bCs/>
          <w:color w:val="000000" w:themeColor="text1"/>
          <w:sz w:val="24"/>
        </w:rPr>
        <w:t>十三、估价作业日期</w:t>
      </w:r>
      <w:bookmarkEnd w:id="66"/>
      <w:bookmarkEnd w:id="67"/>
    </w:p>
    <w:p>
      <w:pPr>
        <w:pStyle w:val="68"/>
        <w:keepNext w:val="0"/>
        <w:keepLines w:val="0"/>
        <w:pageBreakBefore w:val="0"/>
        <w:widowControl w:val="0"/>
        <w:kinsoku/>
        <w:wordWrap/>
        <w:overflowPunct/>
        <w:topLinePunct/>
        <w:autoSpaceDE/>
        <w:autoSpaceDN/>
        <w:bidi w:val="0"/>
        <w:adjustRightInd w:val="0"/>
        <w:snapToGrid w:val="0"/>
        <w:spacing w:line="480" w:lineRule="exact"/>
        <w:ind w:firstLine="560"/>
        <w:textAlignment w:val="auto"/>
        <w:rPr>
          <w:rFonts w:hint="eastAsia" w:ascii="仿宋_GB2312" w:hAnsi="仿宋" w:eastAsia="仿宋_GB2312"/>
          <w:b/>
          <w:color w:val="000000" w:themeColor="text1"/>
          <w:sz w:val="24"/>
        </w:rPr>
      </w:pPr>
      <w:bookmarkStart w:id="68" w:name="_Toc433731404"/>
      <w:r>
        <w:rPr>
          <w:rFonts w:hint="eastAsia" w:ascii="仿宋_GB2312" w:hAnsi="仿宋" w:eastAsia="仿宋_GB2312" w:cs="新宋体-18030"/>
          <w:color w:val="000000" w:themeColor="text1"/>
          <w:spacing w:val="20"/>
          <w:sz w:val="24"/>
          <w:lang w:val="en-US" w:eastAsia="zh-CN"/>
        </w:rPr>
        <w:t>2022</w:t>
      </w:r>
      <w:r>
        <w:rPr>
          <w:rFonts w:hint="eastAsia" w:ascii="仿宋_GB2312" w:hAnsi="仿宋" w:eastAsia="仿宋_GB2312" w:cs="新宋体-18030"/>
          <w:color w:val="000000" w:themeColor="text1"/>
          <w:spacing w:val="20"/>
          <w:sz w:val="24"/>
          <w:lang w:eastAsia="zh-CN"/>
        </w:rPr>
        <w:t>年</w:t>
      </w:r>
      <w:r>
        <w:rPr>
          <w:rFonts w:hint="eastAsia" w:ascii="仿宋_GB2312" w:hAnsi="仿宋" w:eastAsia="仿宋_GB2312" w:cs="新宋体-18030"/>
          <w:color w:val="000000" w:themeColor="text1"/>
          <w:spacing w:val="20"/>
          <w:sz w:val="24"/>
          <w:lang w:val="en-US" w:eastAsia="zh-CN"/>
        </w:rPr>
        <w:t>7</w:t>
      </w:r>
      <w:r>
        <w:rPr>
          <w:rFonts w:hint="eastAsia" w:ascii="仿宋_GB2312" w:hAnsi="仿宋" w:eastAsia="仿宋_GB2312" w:cs="新宋体-18030"/>
          <w:color w:val="000000" w:themeColor="text1"/>
          <w:spacing w:val="20"/>
          <w:sz w:val="24"/>
          <w:lang w:eastAsia="zh-CN"/>
        </w:rPr>
        <w:t>月</w:t>
      </w:r>
      <w:r>
        <w:rPr>
          <w:rFonts w:hint="eastAsia" w:ascii="仿宋_GB2312" w:hAnsi="仿宋" w:eastAsia="仿宋_GB2312" w:cs="新宋体-18030"/>
          <w:color w:val="000000" w:themeColor="text1"/>
          <w:spacing w:val="20"/>
          <w:sz w:val="24"/>
          <w:lang w:val="en-US" w:eastAsia="zh-CN"/>
        </w:rPr>
        <w:t>11</w:t>
      </w:r>
      <w:r>
        <w:rPr>
          <w:rFonts w:hint="eastAsia" w:ascii="仿宋_GB2312" w:hAnsi="仿宋" w:eastAsia="仿宋_GB2312" w:cs="新宋体-18030"/>
          <w:color w:val="000000" w:themeColor="text1"/>
          <w:spacing w:val="20"/>
          <w:sz w:val="24"/>
          <w:lang w:eastAsia="zh-CN"/>
        </w:rPr>
        <w:t>日</w:t>
      </w:r>
      <w:r>
        <w:rPr>
          <w:rFonts w:hint="eastAsia" w:ascii="仿宋_GB2312" w:hAnsi="仿宋" w:eastAsia="仿宋_GB2312" w:cs="新宋体-18030"/>
          <w:color w:val="000000" w:themeColor="text1"/>
          <w:spacing w:val="20"/>
          <w:sz w:val="24"/>
        </w:rPr>
        <w:t>-</w:t>
      </w:r>
      <w:r>
        <w:rPr>
          <w:rFonts w:hint="eastAsia" w:ascii="仿宋_GB2312" w:hAnsi="仿宋" w:eastAsia="仿宋_GB2312" w:cs="新宋体-18030"/>
          <w:color w:val="000000" w:themeColor="text1"/>
          <w:spacing w:val="20"/>
          <w:sz w:val="24"/>
          <w:lang w:eastAsia="zh-CN"/>
        </w:rPr>
        <w:t>2022年8月29日</w:t>
      </w:r>
      <w:r>
        <w:rPr>
          <w:rFonts w:hint="eastAsia" w:ascii="微软雅黑" w:hAnsi="微软雅黑" w:eastAsia="微软雅黑" w:cs="微软雅黑"/>
          <w:szCs w:val="21"/>
        </w:rPr>
        <w:t>。</w:t>
      </w:r>
      <w:bookmarkEnd w:id="68"/>
    </w:p>
    <w:p>
      <w:pPr>
        <w:keepNext w:val="0"/>
        <w:keepLines w:val="0"/>
        <w:pageBreakBefore w:val="0"/>
        <w:widowControl w:val="0"/>
        <w:kinsoku/>
        <w:wordWrap/>
        <w:overflowPunct/>
        <w:autoSpaceDE/>
        <w:autoSpaceDN/>
        <w:bidi w:val="0"/>
        <w:spacing w:line="480" w:lineRule="exact"/>
        <w:ind w:firstLine="3132" w:firstLineChars="1300"/>
        <w:textAlignment w:val="auto"/>
        <w:rPr>
          <w:rFonts w:hint="eastAsia" w:ascii="仿宋_GB2312" w:hAnsi="仿宋" w:eastAsia="仿宋_GB2312"/>
          <w:b/>
          <w:color w:val="000000" w:themeColor="text1"/>
          <w:sz w:val="24"/>
        </w:rPr>
      </w:pPr>
    </w:p>
    <w:p>
      <w:pPr>
        <w:keepNext w:val="0"/>
        <w:keepLines w:val="0"/>
        <w:pageBreakBefore w:val="0"/>
        <w:widowControl w:val="0"/>
        <w:kinsoku/>
        <w:wordWrap/>
        <w:overflowPunct/>
        <w:autoSpaceDE/>
        <w:autoSpaceDN/>
        <w:bidi w:val="0"/>
        <w:spacing w:line="480" w:lineRule="exact"/>
        <w:ind w:firstLine="3132" w:firstLineChars="1300"/>
        <w:textAlignment w:val="auto"/>
        <w:rPr>
          <w:rFonts w:ascii="仿宋_GB2312" w:hAnsi="仿宋" w:eastAsia="仿宋_GB2312"/>
          <w:b/>
          <w:color w:val="000000" w:themeColor="text1"/>
          <w:sz w:val="24"/>
        </w:rPr>
      </w:pPr>
      <w:r>
        <w:rPr>
          <w:rFonts w:hint="eastAsia" w:ascii="仿宋_GB2312" w:hAnsi="仿宋" w:eastAsia="仿宋_GB2312"/>
          <w:b/>
          <w:color w:val="000000" w:themeColor="text1"/>
          <w:sz w:val="24"/>
        </w:rPr>
        <w:t>安徽中信房地产土地资产价格评估有限公司</w:t>
      </w:r>
    </w:p>
    <w:bookmarkEnd w:id="62"/>
    <w:bookmarkEnd w:id="63"/>
    <w:p>
      <w:pPr>
        <w:keepNext w:val="0"/>
        <w:keepLines w:val="0"/>
        <w:pageBreakBefore w:val="0"/>
        <w:widowControl w:val="0"/>
        <w:kinsoku/>
        <w:wordWrap/>
        <w:overflowPunct/>
        <w:autoSpaceDE/>
        <w:autoSpaceDN/>
        <w:bidi w:val="0"/>
        <w:spacing w:line="480" w:lineRule="exact"/>
        <w:ind w:right="480" w:firstLine="4096" w:firstLineChars="1700"/>
        <w:textAlignment w:val="auto"/>
        <w:rPr>
          <w:rFonts w:hint="eastAsia" w:ascii="仿宋_GB2312" w:hAnsi="仿宋" w:eastAsia="仿宋_GB2312"/>
          <w:b/>
          <w:color w:val="000000" w:themeColor="text1"/>
          <w:sz w:val="24"/>
          <w:lang w:eastAsia="zh-CN"/>
        </w:rPr>
      </w:pPr>
      <w:bookmarkStart w:id="69" w:name="_Toc32039"/>
      <w:bookmarkStart w:id="70" w:name="_Toc530663987"/>
      <w:r>
        <w:rPr>
          <w:rFonts w:hint="eastAsia" w:ascii="仿宋_GB2312" w:hAnsi="仿宋" w:eastAsia="仿宋_GB2312"/>
          <w:b/>
          <w:color w:val="000000" w:themeColor="text1"/>
          <w:sz w:val="24"/>
          <w:lang w:eastAsia="zh-CN"/>
        </w:rPr>
        <w:t>二零二二年八月二十九日</w:t>
      </w: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p>
      <w:pPr>
        <w:spacing w:line="400" w:lineRule="exact"/>
        <w:ind w:right="480" w:firstLine="4096" w:firstLineChars="1700"/>
        <w:rPr>
          <w:rFonts w:hint="eastAsia" w:ascii="仿宋_GB2312" w:hAnsi="仿宋" w:eastAsia="仿宋_GB2312"/>
          <w:b/>
          <w:color w:val="000000" w:themeColor="text1"/>
          <w:sz w:val="24"/>
          <w:lang w:eastAsia="zh-CN"/>
        </w:rPr>
      </w:pPr>
    </w:p>
    <w:bookmarkEnd w:id="2"/>
    <w:bookmarkEnd w:id="3"/>
    <w:bookmarkEnd w:id="69"/>
    <w:bookmarkEnd w:id="70"/>
    <w:p>
      <w:pPr>
        <w:widowControl/>
        <w:jc w:val="left"/>
        <w:rPr>
          <w:rFonts w:ascii="微软雅黑" w:hAnsi="微软雅黑" w:eastAsia="微软雅黑"/>
          <w:spacing w:val="20"/>
          <w:szCs w:val="32"/>
        </w:rPr>
      </w:pPr>
    </w:p>
    <w:sectPr>
      <w:headerReference r:id="rId6" w:type="first"/>
      <w:footerReference r:id="rId8" w:type="first"/>
      <w:headerReference r:id="rId5" w:type="default"/>
      <w:footerReference r:id="rId7" w:type="default"/>
      <w:pgSz w:w="11906" w:h="16838"/>
      <w:pgMar w:top="1560" w:right="1418" w:bottom="1276" w:left="1588" w:header="709" w:footer="639"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新宋体-18030">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方正姚体" w:eastAsia="方正姚体"/>
        <w:snapToGrid w:val="0"/>
        <w:kern w:val="0"/>
        <w:sz w:val="21"/>
        <w:szCs w:val="21"/>
      </w:rPr>
      <w:t>序列号：202</w:t>
    </w:r>
    <w:r>
      <w:rPr>
        <w:rFonts w:hint="eastAsia" w:ascii="方正姚体" w:eastAsia="方正姚体"/>
        <w:snapToGrid w:val="0"/>
        <w:kern w:val="0"/>
        <w:sz w:val="21"/>
        <w:szCs w:val="21"/>
        <w:lang w:val="en-US" w:eastAsia="zh-CN"/>
      </w:rPr>
      <w:t>2</w:t>
    </w:r>
    <w:r>
      <w:rPr>
        <w:rFonts w:hint="eastAsia" w:ascii="方正姚体" w:eastAsia="方正姚体"/>
        <w:snapToGrid w:val="0"/>
        <w:kern w:val="0"/>
        <w:sz w:val="21"/>
        <w:szCs w:val="21"/>
        <w:lang w:eastAsia="zh-CN"/>
      </w:rPr>
      <w:t>M-0</w:t>
    </w:r>
    <w:r>
      <w:rPr>
        <w:rFonts w:hint="eastAsia" w:ascii="方正姚体" w:eastAsia="方正姚体"/>
        <w:snapToGrid w:val="0"/>
        <w:kern w:val="0"/>
        <w:sz w:val="21"/>
        <w:szCs w:val="21"/>
        <w:lang w:val="en-US" w:eastAsia="zh-CN"/>
      </w:rPr>
      <w:t>337</w:t>
    </w:r>
    <w:r>
      <w:rPr>
        <w:rFonts w:hint="eastAsia" w:ascii="方正姚体" w:eastAsia="方正姚体"/>
        <w:snapToGrid w:val="0"/>
        <w:kern w:val="0"/>
        <w:sz w:val="21"/>
        <w:szCs w:val="21"/>
      </w:rPr>
      <w:t xml:space="preserve">号      </w:t>
    </w:r>
    <w:r>
      <w:rPr>
        <w:rFonts w:hint="eastAsia" w:ascii="方正姚体" w:eastAsia="方正姚体"/>
        <w:snapToGrid w:val="0"/>
        <w:color w:val="FF0000"/>
        <w:kern w:val="0"/>
        <w:sz w:val="21"/>
        <w:szCs w:val="21"/>
      </w:rPr>
      <w:t xml:space="preserve">                            </w:t>
    </w:r>
    <w:r>
      <w:rPr>
        <w:rFonts w:hint="eastAsia" w:ascii="方正姚体" w:eastAsia="方正姚体"/>
        <w:snapToGrid w:val="0"/>
        <w:color w:val="FF0000"/>
        <w:kern w:val="0"/>
        <w:sz w:val="21"/>
        <w:szCs w:val="21"/>
        <w:lang w:val="en-US" w:eastAsia="zh-CN"/>
      </w:rPr>
      <w:t xml:space="preserve">  </w:t>
    </w:r>
    <w:r>
      <w:rPr>
        <w:rFonts w:hint="eastAsia" w:ascii="方正姚体" w:eastAsia="方正姚体"/>
        <w:snapToGrid w:val="0"/>
        <w:color w:val="FF0000"/>
        <w:kern w:val="0"/>
        <w:sz w:val="21"/>
        <w:szCs w:val="21"/>
      </w:rPr>
      <w:t xml:space="preserve">    </w:t>
    </w:r>
    <w:r>
      <w:rPr>
        <w:rFonts w:hint="eastAsia" w:ascii="方正姚体" w:eastAsia="方正姚体"/>
        <w:snapToGrid w:val="0"/>
        <w:kern w:val="0"/>
        <w:sz w:val="21"/>
        <w:szCs w:val="21"/>
      </w:rPr>
      <w:t>独立 客观 廉洁 高效</w: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Lines="50"/>
      <w:rPr>
        <w:snapToGrid w:val="0"/>
        <w:kern w:val="0"/>
        <w:sz w:val="21"/>
        <w:szCs w:val="21"/>
      </w:rPr>
    </w:pPr>
    <w:r>
      <w:pict>
        <v:shape id="_x0000_s3079" o:spid="_x0000_s3079" o:spt="202" type="#_x0000_t202" style="position:absolute;left:0pt;margin-left:205.85pt;margin-top:6.7pt;height:9.85pt;width:17.9pt;mso-position-horizontal-relative:margin;z-index:252312576;mso-width-relative:page;mso-height-relative:page;" filled="f" stroked="f" coordsize="21600,21600">
          <v:path/>
          <v:fill on="f" focussize="0,0"/>
          <v:stroke on="f" weight="0.5pt"/>
          <v:imagedata o:title=""/>
          <o:lock v:ext="edit" aspectratio="f"/>
          <v:textbox inset="0mm,0mm,0mm,0mm">
            <w:txbxContent>
              <w:p>
                <w:pPr>
                  <w:pStyle w:val="16"/>
                </w:pPr>
                <w:r>
                  <w:fldChar w:fldCharType="begin"/>
                </w:r>
                <w:r>
                  <w:instrText xml:space="preserve"> PAGE  \* MERGEFORMAT </w:instrText>
                </w:r>
                <w:r>
                  <w:fldChar w:fldCharType="separate"/>
                </w:r>
                <w:r>
                  <w:t>- 28 -</w:t>
                </w:r>
                <w:r>
                  <w:fldChar w:fldCharType="end"/>
                </w:r>
              </w:p>
            </w:txbxContent>
          </v:textbox>
        </v:shape>
      </w:pict>
    </w:r>
    <w:r>
      <w:rPr>
        <w:kern w:val="0"/>
      </w:rPr>
      <w:pict>
        <v:shape id="_x0000_s3078" o:spid="_x0000_s3078" o:spt="32" type="#_x0000_t32" style="position:absolute;left:0pt;flip:y;margin-left:-0.1pt;margin-top:2.3pt;height:0.1pt;width:441.4pt;z-index:252293120;mso-width-relative:page;mso-height-relative:page;" filled="f" stroked="t" coordsize="21600,21600">
          <v:path arrowok="t"/>
          <v:fill on="f" focussize="0,0"/>
          <v:stroke weight="0.25pt" color="#000000"/>
          <v:imagedata o:title=""/>
          <o:lock v:ext="edit" aspectratio="f"/>
        </v:shape>
      </w:pict>
    </w:r>
    <w:r>
      <w:rPr>
        <w:rFonts w:hint="eastAsia" w:ascii="方正姚体" w:eastAsia="方正姚体"/>
        <w:snapToGrid w:val="0"/>
        <w:kern w:val="0"/>
        <w:sz w:val="21"/>
        <w:szCs w:val="21"/>
      </w:rPr>
      <w:t>联系地址:滁州</w:t>
    </w:r>
    <w:r>
      <w:rPr>
        <w:rFonts w:hint="eastAsia" w:ascii="方正姚体" w:eastAsia="方正姚体"/>
        <w:snapToGrid w:val="0"/>
        <w:kern w:val="0"/>
        <w:sz w:val="21"/>
        <w:szCs w:val="21"/>
        <w:lang w:val="en-US" w:eastAsia="zh-CN"/>
      </w:rPr>
      <w:t>市皖东</w:t>
    </w:r>
    <w:r>
      <w:rPr>
        <w:rFonts w:hint="eastAsia" w:ascii="方正姚体" w:eastAsia="方正姚体"/>
        <w:snapToGrid w:val="0"/>
        <w:kern w:val="0"/>
        <w:sz w:val="21"/>
        <w:szCs w:val="21"/>
      </w:rPr>
      <w:t xml:space="preserve">国际车城A区                       </w:t>
    </w:r>
    <w:r>
      <w:rPr>
        <w:rFonts w:hint="eastAsia" w:ascii="方正姚体" w:eastAsia="方正姚体"/>
        <w:snapToGrid w:val="0"/>
        <w:kern w:val="0"/>
        <w:sz w:val="21"/>
        <w:szCs w:val="21"/>
        <w:lang w:val="en-US" w:eastAsia="zh-CN"/>
      </w:rPr>
      <w:t xml:space="preserve">    </w:t>
    </w:r>
    <w:r>
      <w:rPr>
        <w:rFonts w:hint="eastAsia" w:ascii="方正姚体" w:eastAsia="方正姚体"/>
        <w:snapToGrid w:val="0"/>
        <w:kern w:val="0"/>
        <w:sz w:val="21"/>
        <w:szCs w:val="21"/>
      </w:rPr>
      <w:t>项目联系电话：</w:t>
    </w:r>
    <w:r>
      <w:rPr>
        <w:rFonts w:hint="eastAsia"/>
        <w:snapToGrid w:val="0"/>
        <w:kern w:val="0"/>
        <w:sz w:val="21"/>
        <w:szCs w:val="21"/>
      </w:rPr>
      <w:t>0550-3057788</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Lines="50"/>
      <w:rPr>
        <w:snapToGrid w:val="0"/>
        <w:kern w:val="0"/>
        <w:sz w:val="21"/>
        <w:szCs w:val="21"/>
      </w:rPr>
    </w:pPr>
    <w:r>
      <w:rPr>
        <w:kern w:val="0"/>
      </w:rPr>
      <w:pict>
        <v:shape id="_x0000_s3076" o:spid="_x0000_s3076" o:spt="32" type="#_x0000_t32" style="position:absolute;left:0pt;margin-left:1.5pt;margin-top:2.4pt;height:0.55pt;width:439.5pt;z-index:251965440;mso-width-relative:page;mso-height-relative:page;" filled="f" stroked="t" coordsize="21600,21600">
          <v:path arrowok="t"/>
          <v:fill on="f" focussize="0,0"/>
          <v:stroke weight="0.25pt" color="#000000"/>
          <v:imagedata o:title=""/>
          <o:lock v:ext="edit" aspectratio="f"/>
        </v:shape>
      </w:pict>
    </w:r>
    <w:r>
      <w:pict>
        <v:shape id="_x0000_s3075" o:spid="_x0000_s3075" o:spt="202" type="#_x0000_t202" style="position:absolute;left:0pt;margin-left:199.55pt;margin-top:6.7pt;height:144pt;width:144pt;mso-position-horizontal-relative:margin;mso-wrap-style:none;z-index:251984896;mso-width-relative:page;mso-height-relative:page;" filled="f" stroked="f" coordsize="21600,21600" o:gfxdata="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NcAsD1gAAAAoBAAAPAAAAAAAAAAEA&#10;IAAAACIAAABkcnMvZG93bnJldi54bWxQSwECFAAUAAAACACHTuJAspcyjxECAAAJBAAADgAAAAAA&#10;AAABACAAAAAlAQAAZHJzL2Uyb0RvYy54bWxQSwUGAAAAAAYABgBZAQAAqAU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- 2 -</w:t>
                </w:r>
                <w:r>
                  <w:fldChar w:fldCharType="end"/>
                </w:r>
              </w:p>
            </w:txbxContent>
          </v:textbox>
        </v:shape>
      </w:pict>
    </w:r>
    <w:r>
      <w:rPr>
        <w:rFonts w:hint="eastAsia" w:ascii="方正姚体" w:eastAsia="方正姚体"/>
        <w:snapToGrid w:val="0"/>
        <w:kern w:val="0"/>
        <w:sz w:val="21"/>
        <w:szCs w:val="21"/>
      </w:rPr>
      <w:t>联系地址:滁州</w:t>
    </w:r>
    <w:r>
      <w:rPr>
        <w:rFonts w:hint="eastAsia" w:ascii="方正姚体" w:eastAsia="方正姚体"/>
        <w:snapToGrid w:val="0"/>
        <w:kern w:val="0"/>
        <w:sz w:val="21"/>
        <w:szCs w:val="21"/>
        <w:lang w:val="en-US" w:eastAsia="zh-CN"/>
      </w:rPr>
      <w:t>市</w:t>
    </w:r>
    <w:r>
      <w:rPr>
        <w:rFonts w:hint="eastAsia" w:ascii="方正姚体" w:eastAsia="方正姚体"/>
        <w:snapToGrid w:val="0"/>
        <w:kern w:val="0"/>
        <w:sz w:val="21"/>
        <w:szCs w:val="21"/>
      </w:rPr>
      <w:t xml:space="preserve">国际车城A区                           </w:t>
    </w:r>
    <w:r>
      <w:rPr>
        <w:rFonts w:hint="eastAsia" w:ascii="方正姚体" w:eastAsia="方正姚体"/>
        <w:snapToGrid w:val="0"/>
        <w:kern w:val="0"/>
        <w:sz w:val="21"/>
        <w:szCs w:val="21"/>
        <w:lang w:val="en-US" w:eastAsia="zh-CN"/>
      </w:rPr>
      <w:t xml:space="preserve">    </w:t>
    </w:r>
    <w:r>
      <w:rPr>
        <w:rFonts w:hint="eastAsia" w:ascii="方正姚体" w:eastAsia="方正姚体"/>
        <w:snapToGrid w:val="0"/>
        <w:kern w:val="0"/>
        <w:sz w:val="21"/>
        <w:szCs w:val="21"/>
      </w:rPr>
      <w:t xml:space="preserve"> 项目联系电话：</w:t>
    </w:r>
    <w:r>
      <w:rPr>
        <w:rFonts w:hint="eastAsia"/>
        <w:snapToGrid w:val="0"/>
        <w:kern w:val="0"/>
        <w:sz w:val="21"/>
        <w:szCs w:val="21"/>
      </w:rPr>
      <w:t xml:space="preserve"> 0550-3057788</w: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3900"/>
        <w:tab w:val="clear" w:pos="4153"/>
        <w:tab w:val="clear" w:pos="8306"/>
      </w:tabs>
      <w:ind w:right="105"/>
      <w:jc w:val="right"/>
    </w:pPr>
    <w:r>
      <w:drawing>
        <wp:anchor distT="0" distB="0" distL="114300" distR="114300" simplePos="0" relativeHeight="251658240" behindDoc="1" locked="0" layoutInCell="1" allowOverlap="1">
          <wp:simplePos x="0" y="0"/>
          <wp:positionH relativeFrom="column">
            <wp:posOffset>5080</wp:posOffset>
          </wp:positionH>
          <wp:positionV relativeFrom="paragraph">
            <wp:posOffset>-24130</wp:posOffset>
          </wp:positionV>
          <wp:extent cx="1326515" cy="403225"/>
          <wp:effectExtent l="0" t="0" r="6985" b="0"/>
          <wp:wrapTight wrapText="bothSides">
            <wp:wrapPolygon>
              <wp:start x="0" y="0"/>
              <wp:lineTo x="0" y="20409"/>
              <wp:lineTo x="21404" y="20409"/>
              <wp:lineTo x="21404"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6515" cy="403225"/>
                  </a:xfrm>
                  <a:prstGeom prst="rect">
                    <a:avLst/>
                  </a:prstGeom>
                  <a:noFill/>
                </pic:spPr>
              </pic:pic>
            </a:graphicData>
          </a:graphic>
        </wp:anchor>
      </w:drawing>
    </w:r>
    <w:r>
      <w:pict>
        <v:shape id="_x0000_s3073" o:spid="_x0000_s3073" o:spt="136" type="#_x0000_t136" style="position:absolute;left:0pt;height:36pt;width:144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t" xscale="f" string="中信评估" style="font-family:隶书;font-size:36pt;v-text-align:center;"/>
        </v:shape>
      </w:pict>
    </w:r>
    <w:r>
      <w:rPr>
        <w:b/>
        <w:bCs/>
      </w:rPr>
      <w:drawing>
        <wp:inline distT="0" distB="0" distL="0" distR="0">
          <wp:extent cx="708660" cy="426720"/>
          <wp:effectExtent l="0" t="0" r="0" b="0"/>
          <wp:docPr id="10" name="图片 17"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8660" cy="426720"/>
                  </a:xfrm>
                  <a:prstGeom prst="rect">
                    <a:avLst/>
                  </a:prstGeom>
                  <a:noFill/>
                  <a:ln>
                    <a:noFill/>
                  </a:ln>
                </pic:spPr>
              </pic:pic>
            </a:graphicData>
          </a:graphic>
        </wp:inline>
      </w:drawing>
    </w:r>
    <w:r>
      <w:rPr>
        <w:rFonts w:hint="eastAsia" w:eastAsia="隶书" w:cs="隶书"/>
        <w:i/>
        <w:iCs/>
        <w:sz w:val="21"/>
        <w:szCs w:val="21"/>
      </w:rPr>
      <w:t>中信评估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6660" w:firstLineChars="3700"/>
      <w:jc w:val="both"/>
      <w:rPr>
        <w:rFonts w:eastAsia="隶书"/>
        <w:i/>
        <w:iCs/>
        <w:sz w:val="21"/>
        <w:szCs w:val="21"/>
      </w:rPr>
    </w:pPr>
    <w:r>
      <w:drawing>
        <wp:anchor distT="0" distB="0" distL="114300" distR="114300" simplePos="0" relativeHeight="251646976" behindDoc="1" locked="0" layoutInCell="1" allowOverlap="1">
          <wp:simplePos x="0" y="0"/>
          <wp:positionH relativeFrom="column">
            <wp:posOffset>-4445</wp:posOffset>
          </wp:positionH>
          <wp:positionV relativeFrom="paragraph">
            <wp:posOffset>42545</wp:posOffset>
          </wp:positionV>
          <wp:extent cx="1326515" cy="403225"/>
          <wp:effectExtent l="0" t="0" r="6985" b="0"/>
          <wp:wrapTight wrapText="bothSides">
            <wp:wrapPolygon>
              <wp:start x="0" y="0"/>
              <wp:lineTo x="0" y="20409"/>
              <wp:lineTo x="21404" y="20409"/>
              <wp:lineTo x="21404" y="0"/>
              <wp:lineTo x="0" y="0"/>
            </wp:wrapPolygon>
          </wp:wrapTight>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6515" cy="403225"/>
                  </a:xfrm>
                  <a:prstGeom prst="rect">
                    <a:avLst/>
                  </a:prstGeom>
                  <a:noFill/>
                </pic:spPr>
              </pic:pic>
            </a:graphicData>
          </a:graphic>
        </wp:anchor>
      </w:drawing>
    </w:r>
    <w:r>
      <w:pict>
        <v:shape id="PowerPlusWaterMarkObject19739448" o:spid="_x0000_s3077" o:spt="136" type="#_x0000_t136" style="position:absolute;left:0pt;height:36pt;width:14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中信评估" style="font-family:隶书;font-size:36pt;v-text-align:center;"/>
        </v:shape>
      </w:pict>
    </w:r>
    <w:r>
      <w:rPr>
        <w:b/>
        <w:bCs/>
      </w:rPr>
      <w:drawing>
        <wp:inline distT="0" distB="0" distL="0" distR="0">
          <wp:extent cx="708660" cy="426720"/>
          <wp:effectExtent l="0" t="0" r="0" b="0"/>
          <wp:docPr id="44" name="图片 1"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8660" cy="426720"/>
                  </a:xfrm>
                  <a:prstGeom prst="rect">
                    <a:avLst/>
                  </a:prstGeom>
                  <a:noFill/>
                  <a:ln>
                    <a:noFill/>
                  </a:ln>
                </pic:spPr>
              </pic:pic>
            </a:graphicData>
          </a:graphic>
        </wp:inline>
      </w:drawing>
    </w:r>
    <w:r>
      <w:rPr>
        <w:rFonts w:hint="eastAsia" w:eastAsia="隶书" w:cs="隶书"/>
        <w:i/>
        <w:iCs/>
        <w:sz w:val="21"/>
        <w:szCs w:val="21"/>
      </w:rPr>
      <w:t>中信评估</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3900"/>
        <w:tab w:val="clear" w:pos="4153"/>
        <w:tab w:val="clear" w:pos="8306"/>
      </w:tabs>
      <w:jc w:val="right"/>
    </w:pPr>
    <w:r>
      <w:drawing>
        <wp:anchor distT="0" distB="0" distL="114300" distR="114300" simplePos="0" relativeHeight="251648000" behindDoc="1" locked="0" layoutInCell="1" allowOverlap="1">
          <wp:simplePos x="0" y="0"/>
          <wp:positionH relativeFrom="column">
            <wp:posOffset>5080</wp:posOffset>
          </wp:positionH>
          <wp:positionV relativeFrom="paragraph">
            <wp:posOffset>-24130</wp:posOffset>
          </wp:positionV>
          <wp:extent cx="1326515" cy="403225"/>
          <wp:effectExtent l="0" t="0" r="6985" b="0"/>
          <wp:wrapTight wrapText="bothSides">
            <wp:wrapPolygon>
              <wp:start x="0" y="0"/>
              <wp:lineTo x="0" y="20409"/>
              <wp:lineTo x="21404" y="20409"/>
              <wp:lineTo x="21404"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6515" cy="403225"/>
                  </a:xfrm>
                  <a:prstGeom prst="rect">
                    <a:avLst/>
                  </a:prstGeom>
                  <a:noFill/>
                </pic:spPr>
              </pic:pic>
            </a:graphicData>
          </a:graphic>
        </wp:anchor>
      </w:drawing>
    </w:r>
    <w:r>
      <w:pict>
        <v:shape id="PowerPlusWaterMarkObject19739446" o:spid="_x0000_s3074" o:spt="136" type="#_x0000_t136" style="position:absolute;left:0pt;height:36pt;width:14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中信评估" style="font-family:隶书;font-size:36pt;v-text-align:center;"/>
        </v:shape>
      </w:pict>
    </w:r>
    <w:r>
      <w:rPr>
        <w:b/>
        <w:bCs/>
      </w:rPr>
      <w:drawing>
        <wp:inline distT="0" distB="0" distL="0" distR="0">
          <wp:extent cx="708660" cy="426720"/>
          <wp:effectExtent l="0" t="0" r="0" b="0"/>
          <wp:docPr id="45" name="图片 17"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7"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8660" cy="426720"/>
                  </a:xfrm>
                  <a:prstGeom prst="rect">
                    <a:avLst/>
                  </a:prstGeom>
                  <a:noFill/>
                  <a:ln>
                    <a:noFill/>
                  </a:ln>
                </pic:spPr>
              </pic:pic>
            </a:graphicData>
          </a:graphic>
        </wp:inline>
      </w:drawing>
    </w:r>
    <w:r>
      <w:rPr>
        <w:rFonts w:hint="eastAsia" w:eastAsia="隶书" w:cs="隶书"/>
        <w:i/>
        <w:iCs/>
        <w:sz w:val="21"/>
        <w:szCs w:val="21"/>
      </w:rPr>
      <w:t>中信评估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rules v:ext="edit">
        <o:r id="V:Rule1" type="connector" idref="#_x0000_s3076"/>
        <o:r id="V:Rule2" type="connector" idref="#_x0000_s3078"/>
      </o:rules>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C8146D"/>
    <w:rsid w:val="00000B13"/>
    <w:rsid w:val="00000BFF"/>
    <w:rsid w:val="00001059"/>
    <w:rsid w:val="000014A4"/>
    <w:rsid w:val="0000157F"/>
    <w:rsid w:val="00001639"/>
    <w:rsid w:val="000016B6"/>
    <w:rsid w:val="00002623"/>
    <w:rsid w:val="00002897"/>
    <w:rsid w:val="00005DE7"/>
    <w:rsid w:val="000060A1"/>
    <w:rsid w:val="0000620F"/>
    <w:rsid w:val="00006C18"/>
    <w:rsid w:val="00006D2D"/>
    <w:rsid w:val="000077E1"/>
    <w:rsid w:val="0000782D"/>
    <w:rsid w:val="00007A54"/>
    <w:rsid w:val="00007CD8"/>
    <w:rsid w:val="00010A9A"/>
    <w:rsid w:val="00010DC7"/>
    <w:rsid w:val="00010EC9"/>
    <w:rsid w:val="000113BC"/>
    <w:rsid w:val="00011909"/>
    <w:rsid w:val="00011F68"/>
    <w:rsid w:val="000121B8"/>
    <w:rsid w:val="0001265F"/>
    <w:rsid w:val="000137F8"/>
    <w:rsid w:val="000138E5"/>
    <w:rsid w:val="00013937"/>
    <w:rsid w:val="00013B6D"/>
    <w:rsid w:val="00013B93"/>
    <w:rsid w:val="0001413E"/>
    <w:rsid w:val="00014A52"/>
    <w:rsid w:val="00014E48"/>
    <w:rsid w:val="0001659C"/>
    <w:rsid w:val="000166BB"/>
    <w:rsid w:val="000167CE"/>
    <w:rsid w:val="000167DE"/>
    <w:rsid w:val="00016E21"/>
    <w:rsid w:val="000177FD"/>
    <w:rsid w:val="00017975"/>
    <w:rsid w:val="00017B8A"/>
    <w:rsid w:val="000202D4"/>
    <w:rsid w:val="000205B2"/>
    <w:rsid w:val="0002186C"/>
    <w:rsid w:val="00022273"/>
    <w:rsid w:val="0002243B"/>
    <w:rsid w:val="0002248B"/>
    <w:rsid w:val="00023065"/>
    <w:rsid w:val="0002322C"/>
    <w:rsid w:val="0002396D"/>
    <w:rsid w:val="00024CC1"/>
    <w:rsid w:val="0002574B"/>
    <w:rsid w:val="0002695E"/>
    <w:rsid w:val="00026FC5"/>
    <w:rsid w:val="00027416"/>
    <w:rsid w:val="00027485"/>
    <w:rsid w:val="00027CD5"/>
    <w:rsid w:val="0003183C"/>
    <w:rsid w:val="00031AF4"/>
    <w:rsid w:val="000328D2"/>
    <w:rsid w:val="000332D5"/>
    <w:rsid w:val="00033451"/>
    <w:rsid w:val="000336A9"/>
    <w:rsid w:val="00034008"/>
    <w:rsid w:val="00034528"/>
    <w:rsid w:val="000347AD"/>
    <w:rsid w:val="00034846"/>
    <w:rsid w:val="00034AF7"/>
    <w:rsid w:val="0003538C"/>
    <w:rsid w:val="00035560"/>
    <w:rsid w:val="00035CA3"/>
    <w:rsid w:val="00035CEF"/>
    <w:rsid w:val="00035D48"/>
    <w:rsid w:val="00036536"/>
    <w:rsid w:val="00036B3E"/>
    <w:rsid w:val="00036CC5"/>
    <w:rsid w:val="000371E0"/>
    <w:rsid w:val="00037ECA"/>
    <w:rsid w:val="00037F5B"/>
    <w:rsid w:val="00040938"/>
    <w:rsid w:val="00040D10"/>
    <w:rsid w:val="00040D4E"/>
    <w:rsid w:val="0004227C"/>
    <w:rsid w:val="00042300"/>
    <w:rsid w:val="0004239A"/>
    <w:rsid w:val="0004243E"/>
    <w:rsid w:val="000428D3"/>
    <w:rsid w:val="00042DCF"/>
    <w:rsid w:val="00043FF2"/>
    <w:rsid w:val="0004439B"/>
    <w:rsid w:val="000444BD"/>
    <w:rsid w:val="00044771"/>
    <w:rsid w:val="00044E1F"/>
    <w:rsid w:val="00045F51"/>
    <w:rsid w:val="000465FE"/>
    <w:rsid w:val="00046743"/>
    <w:rsid w:val="000469CC"/>
    <w:rsid w:val="000472CB"/>
    <w:rsid w:val="00047961"/>
    <w:rsid w:val="000501E4"/>
    <w:rsid w:val="000509B3"/>
    <w:rsid w:val="00050E39"/>
    <w:rsid w:val="0005141D"/>
    <w:rsid w:val="00052B08"/>
    <w:rsid w:val="00052F54"/>
    <w:rsid w:val="0005302C"/>
    <w:rsid w:val="00053127"/>
    <w:rsid w:val="00053188"/>
    <w:rsid w:val="0005327C"/>
    <w:rsid w:val="00053EF5"/>
    <w:rsid w:val="000547D1"/>
    <w:rsid w:val="00054C90"/>
    <w:rsid w:val="0005676D"/>
    <w:rsid w:val="0005687F"/>
    <w:rsid w:val="00056BB0"/>
    <w:rsid w:val="000575F8"/>
    <w:rsid w:val="00060025"/>
    <w:rsid w:val="000602EF"/>
    <w:rsid w:val="00060BA4"/>
    <w:rsid w:val="00061603"/>
    <w:rsid w:val="000619B7"/>
    <w:rsid w:val="00063171"/>
    <w:rsid w:val="000637F3"/>
    <w:rsid w:val="000638E4"/>
    <w:rsid w:val="00063F74"/>
    <w:rsid w:val="000640BB"/>
    <w:rsid w:val="0006421F"/>
    <w:rsid w:val="0006423A"/>
    <w:rsid w:val="00065346"/>
    <w:rsid w:val="00065AF1"/>
    <w:rsid w:val="00066AE5"/>
    <w:rsid w:val="00066AFB"/>
    <w:rsid w:val="00067809"/>
    <w:rsid w:val="00067B63"/>
    <w:rsid w:val="0007088B"/>
    <w:rsid w:val="00071DCF"/>
    <w:rsid w:val="0007221B"/>
    <w:rsid w:val="00072671"/>
    <w:rsid w:val="000730DA"/>
    <w:rsid w:val="00073A03"/>
    <w:rsid w:val="00073F93"/>
    <w:rsid w:val="00074061"/>
    <w:rsid w:val="00074230"/>
    <w:rsid w:val="00074846"/>
    <w:rsid w:val="00074A3B"/>
    <w:rsid w:val="00075E02"/>
    <w:rsid w:val="00076CE5"/>
    <w:rsid w:val="00076D27"/>
    <w:rsid w:val="00076E84"/>
    <w:rsid w:val="00080579"/>
    <w:rsid w:val="00080D6E"/>
    <w:rsid w:val="000812BF"/>
    <w:rsid w:val="000812E4"/>
    <w:rsid w:val="00081372"/>
    <w:rsid w:val="0008162C"/>
    <w:rsid w:val="000816E5"/>
    <w:rsid w:val="000822AE"/>
    <w:rsid w:val="0008323B"/>
    <w:rsid w:val="00083B37"/>
    <w:rsid w:val="00083D17"/>
    <w:rsid w:val="000846DF"/>
    <w:rsid w:val="00084D30"/>
    <w:rsid w:val="00085B7F"/>
    <w:rsid w:val="00085CBF"/>
    <w:rsid w:val="0008620A"/>
    <w:rsid w:val="000865D9"/>
    <w:rsid w:val="0008732F"/>
    <w:rsid w:val="00087692"/>
    <w:rsid w:val="00087C4B"/>
    <w:rsid w:val="00087DE4"/>
    <w:rsid w:val="00090030"/>
    <w:rsid w:val="00090EDC"/>
    <w:rsid w:val="00091176"/>
    <w:rsid w:val="00091B14"/>
    <w:rsid w:val="00091C00"/>
    <w:rsid w:val="0009270A"/>
    <w:rsid w:val="00094547"/>
    <w:rsid w:val="00094734"/>
    <w:rsid w:val="00095398"/>
    <w:rsid w:val="00095795"/>
    <w:rsid w:val="0009612D"/>
    <w:rsid w:val="00096423"/>
    <w:rsid w:val="000A0037"/>
    <w:rsid w:val="000A01D4"/>
    <w:rsid w:val="000A083D"/>
    <w:rsid w:val="000A0840"/>
    <w:rsid w:val="000A11E8"/>
    <w:rsid w:val="000A1406"/>
    <w:rsid w:val="000A184A"/>
    <w:rsid w:val="000A1F2D"/>
    <w:rsid w:val="000A2521"/>
    <w:rsid w:val="000A2CC3"/>
    <w:rsid w:val="000A2F81"/>
    <w:rsid w:val="000A33A8"/>
    <w:rsid w:val="000A44EE"/>
    <w:rsid w:val="000A529B"/>
    <w:rsid w:val="000A7626"/>
    <w:rsid w:val="000B1127"/>
    <w:rsid w:val="000B182C"/>
    <w:rsid w:val="000B24C7"/>
    <w:rsid w:val="000B2FD5"/>
    <w:rsid w:val="000B3EEC"/>
    <w:rsid w:val="000B471F"/>
    <w:rsid w:val="000B479F"/>
    <w:rsid w:val="000B4A5E"/>
    <w:rsid w:val="000B4B57"/>
    <w:rsid w:val="000B4EF3"/>
    <w:rsid w:val="000B5B67"/>
    <w:rsid w:val="000B6513"/>
    <w:rsid w:val="000B72A8"/>
    <w:rsid w:val="000B7BD5"/>
    <w:rsid w:val="000B7CED"/>
    <w:rsid w:val="000C083B"/>
    <w:rsid w:val="000C08A1"/>
    <w:rsid w:val="000C103B"/>
    <w:rsid w:val="000C1214"/>
    <w:rsid w:val="000C1454"/>
    <w:rsid w:val="000C18DD"/>
    <w:rsid w:val="000C1CEA"/>
    <w:rsid w:val="000C2B94"/>
    <w:rsid w:val="000C3041"/>
    <w:rsid w:val="000C3D55"/>
    <w:rsid w:val="000C3E4C"/>
    <w:rsid w:val="000C4A15"/>
    <w:rsid w:val="000C4AD0"/>
    <w:rsid w:val="000C51AE"/>
    <w:rsid w:val="000C5AF2"/>
    <w:rsid w:val="000C6B15"/>
    <w:rsid w:val="000C6BBE"/>
    <w:rsid w:val="000C743C"/>
    <w:rsid w:val="000C780A"/>
    <w:rsid w:val="000C7DCF"/>
    <w:rsid w:val="000D0191"/>
    <w:rsid w:val="000D05BA"/>
    <w:rsid w:val="000D0CFA"/>
    <w:rsid w:val="000D0E18"/>
    <w:rsid w:val="000D153A"/>
    <w:rsid w:val="000D243C"/>
    <w:rsid w:val="000D294F"/>
    <w:rsid w:val="000D3511"/>
    <w:rsid w:val="000D37E2"/>
    <w:rsid w:val="000D4ACA"/>
    <w:rsid w:val="000D4E11"/>
    <w:rsid w:val="000D55EB"/>
    <w:rsid w:val="000D5C4E"/>
    <w:rsid w:val="000D69A0"/>
    <w:rsid w:val="000D69E2"/>
    <w:rsid w:val="000D6D2C"/>
    <w:rsid w:val="000D6D46"/>
    <w:rsid w:val="000D76F4"/>
    <w:rsid w:val="000D7F81"/>
    <w:rsid w:val="000E01C5"/>
    <w:rsid w:val="000E0EC9"/>
    <w:rsid w:val="000E13B5"/>
    <w:rsid w:val="000E1C0D"/>
    <w:rsid w:val="000E1D6B"/>
    <w:rsid w:val="000E2026"/>
    <w:rsid w:val="000E21CC"/>
    <w:rsid w:val="000E27C1"/>
    <w:rsid w:val="000E298A"/>
    <w:rsid w:val="000E3244"/>
    <w:rsid w:val="000E3468"/>
    <w:rsid w:val="000E39C2"/>
    <w:rsid w:val="000E39D6"/>
    <w:rsid w:val="000E4656"/>
    <w:rsid w:val="000E51C3"/>
    <w:rsid w:val="000E5427"/>
    <w:rsid w:val="000E58FE"/>
    <w:rsid w:val="000E5A7A"/>
    <w:rsid w:val="000E6094"/>
    <w:rsid w:val="000E60EC"/>
    <w:rsid w:val="000E6406"/>
    <w:rsid w:val="000E6A0D"/>
    <w:rsid w:val="000E6C0D"/>
    <w:rsid w:val="000E6D41"/>
    <w:rsid w:val="000E6DE8"/>
    <w:rsid w:val="000E7394"/>
    <w:rsid w:val="000E7786"/>
    <w:rsid w:val="000F0812"/>
    <w:rsid w:val="000F0BC5"/>
    <w:rsid w:val="000F1EBA"/>
    <w:rsid w:val="000F2BF9"/>
    <w:rsid w:val="000F3B1C"/>
    <w:rsid w:val="000F422F"/>
    <w:rsid w:val="000F43F3"/>
    <w:rsid w:val="000F47D2"/>
    <w:rsid w:val="000F5379"/>
    <w:rsid w:val="000F5BEE"/>
    <w:rsid w:val="000F749A"/>
    <w:rsid w:val="001002B5"/>
    <w:rsid w:val="001002E3"/>
    <w:rsid w:val="001004BF"/>
    <w:rsid w:val="00100889"/>
    <w:rsid w:val="00100E4E"/>
    <w:rsid w:val="00101225"/>
    <w:rsid w:val="00101D48"/>
    <w:rsid w:val="0010244D"/>
    <w:rsid w:val="00102E74"/>
    <w:rsid w:val="00103B1F"/>
    <w:rsid w:val="00103C85"/>
    <w:rsid w:val="00103E40"/>
    <w:rsid w:val="001040B9"/>
    <w:rsid w:val="001042CC"/>
    <w:rsid w:val="00104539"/>
    <w:rsid w:val="0010457F"/>
    <w:rsid w:val="0010554D"/>
    <w:rsid w:val="0010565B"/>
    <w:rsid w:val="00105CDF"/>
    <w:rsid w:val="00106B5D"/>
    <w:rsid w:val="00106B9B"/>
    <w:rsid w:val="00106F55"/>
    <w:rsid w:val="001075A8"/>
    <w:rsid w:val="00111FE5"/>
    <w:rsid w:val="00112BAA"/>
    <w:rsid w:val="00112E52"/>
    <w:rsid w:val="00112F07"/>
    <w:rsid w:val="00112F0A"/>
    <w:rsid w:val="00113FC2"/>
    <w:rsid w:val="001146F8"/>
    <w:rsid w:val="00114BF9"/>
    <w:rsid w:val="0011596D"/>
    <w:rsid w:val="00116FEA"/>
    <w:rsid w:val="001200E9"/>
    <w:rsid w:val="001208AD"/>
    <w:rsid w:val="001209AE"/>
    <w:rsid w:val="0012126A"/>
    <w:rsid w:val="00121545"/>
    <w:rsid w:val="0012178C"/>
    <w:rsid w:val="00121A1E"/>
    <w:rsid w:val="00121A6B"/>
    <w:rsid w:val="00121B27"/>
    <w:rsid w:val="00122520"/>
    <w:rsid w:val="00122BD0"/>
    <w:rsid w:val="00122EDC"/>
    <w:rsid w:val="0012322C"/>
    <w:rsid w:val="00123277"/>
    <w:rsid w:val="001233EA"/>
    <w:rsid w:val="00123AE6"/>
    <w:rsid w:val="00123BA7"/>
    <w:rsid w:val="001240BB"/>
    <w:rsid w:val="00124832"/>
    <w:rsid w:val="00124B95"/>
    <w:rsid w:val="001257EA"/>
    <w:rsid w:val="001265E4"/>
    <w:rsid w:val="00126EAA"/>
    <w:rsid w:val="00126FE9"/>
    <w:rsid w:val="00127982"/>
    <w:rsid w:val="00127A92"/>
    <w:rsid w:val="00127B6F"/>
    <w:rsid w:val="00130170"/>
    <w:rsid w:val="001312F2"/>
    <w:rsid w:val="00132688"/>
    <w:rsid w:val="0013351C"/>
    <w:rsid w:val="00133AC9"/>
    <w:rsid w:val="00134058"/>
    <w:rsid w:val="00134836"/>
    <w:rsid w:val="0013506E"/>
    <w:rsid w:val="00135BFD"/>
    <w:rsid w:val="00135DE7"/>
    <w:rsid w:val="001363C4"/>
    <w:rsid w:val="00137D7A"/>
    <w:rsid w:val="00140DCD"/>
    <w:rsid w:val="001413F4"/>
    <w:rsid w:val="00141591"/>
    <w:rsid w:val="00141D40"/>
    <w:rsid w:val="0014299F"/>
    <w:rsid w:val="00143690"/>
    <w:rsid w:val="00143CE0"/>
    <w:rsid w:val="00143DE1"/>
    <w:rsid w:val="00144552"/>
    <w:rsid w:val="00144576"/>
    <w:rsid w:val="00144C69"/>
    <w:rsid w:val="00144E1B"/>
    <w:rsid w:val="001452AC"/>
    <w:rsid w:val="001452BF"/>
    <w:rsid w:val="001453AF"/>
    <w:rsid w:val="00150563"/>
    <w:rsid w:val="00150DCA"/>
    <w:rsid w:val="00151482"/>
    <w:rsid w:val="00152B78"/>
    <w:rsid w:val="0015352C"/>
    <w:rsid w:val="00153797"/>
    <w:rsid w:val="00153990"/>
    <w:rsid w:val="00153D7F"/>
    <w:rsid w:val="00153EC0"/>
    <w:rsid w:val="00154BBB"/>
    <w:rsid w:val="00154F5B"/>
    <w:rsid w:val="001559E3"/>
    <w:rsid w:val="00155C83"/>
    <w:rsid w:val="00155D70"/>
    <w:rsid w:val="00156140"/>
    <w:rsid w:val="00157389"/>
    <w:rsid w:val="00157DE2"/>
    <w:rsid w:val="00160025"/>
    <w:rsid w:val="00160919"/>
    <w:rsid w:val="00161AA6"/>
    <w:rsid w:val="001621C8"/>
    <w:rsid w:val="00162460"/>
    <w:rsid w:val="0016266F"/>
    <w:rsid w:val="001628B0"/>
    <w:rsid w:val="00163161"/>
    <w:rsid w:val="00163306"/>
    <w:rsid w:val="00163375"/>
    <w:rsid w:val="001635EF"/>
    <w:rsid w:val="00163C58"/>
    <w:rsid w:val="001641A1"/>
    <w:rsid w:val="00164E94"/>
    <w:rsid w:val="00165225"/>
    <w:rsid w:val="0016669A"/>
    <w:rsid w:val="0016694C"/>
    <w:rsid w:val="001705AA"/>
    <w:rsid w:val="001710C3"/>
    <w:rsid w:val="00171903"/>
    <w:rsid w:val="001724DF"/>
    <w:rsid w:val="00172B62"/>
    <w:rsid w:val="001730AA"/>
    <w:rsid w:val="0017359A"/>
    <w:rsid w:val="001736EB"/>
    <w:rsid w:val="0017384A"/>
    <w:rsid w:val="001740B7"/>
    <w:rsid w:val="0017589B"/>
    <w:rsid w:val="001764C4"/>
    <w:rsid w:val="00176C7C"/>
    <w:rsid w:val="001775B6"/>
    <w:rsid w:val="00177CD7"/>
    <w:rsid w:val="00177EEF"/>
    <w:rsid w:val="0018151A"/>
    <w:rsid w:val="00181E4E"/>
    <w:rsid w:val="00182714"/>
    <w:rsid w:val="0018283C"/>
    <w:rsid w:val="001841C3"/>
    <w:rsid w:val="00184F1E"/>
    <w:rsid w:val="00185DCB"/>
    <w:rsid w:val="00187240"/>
    <w:rsid w:val="0018796C"/>
    <w:rsid w:val="00187C59"/>
    <w:rsid w:val="00187C8D"/>
    <w:rsid w:val="001900D5"/>
    <w:rsid w:val="0019019E"/>
    <w:rsid w:val="001908B4"/>
    <w:rsid w:val="001909DC"/>
    <w:rsid w:val="00191093"/>
    <w:rsid w:val="001918A9"/>
    <w:rsid w:val="00191EA7"/>
    <w:rsid w:val="00191F5C"/>
    <w:rsid w:val="00192067"/>
    <w:rsid w:val="001924BC"/>
    <w:rsid w:val="00193083"/>
    <w:rsid w:val="00193220"/>
    <w:rsid w:val="00193F5A"/>
    <w:rsid w:val="001946ED"/>
    <w:rsid w:val="00195504"/>
    <w:rsid w:val="001956F4"/>
    <w:rsid w:val="00195A28"/>
    <w:rsid w:val="001961DB"/>
    <w:rsid w:val="001961F4"/>
    <w:rsid w:val="0019633F"/>
    <w:rsid w:val="001965F5"/>
    <w:rsid w:val="0019692B"/>
    <w:rsid w:val="00196959"/>
    <w:rsid w:val="0019743C"/>
    <w:rsid w:val="001974F8"/>
    <w:rsid w:val="001976CB"/>
    <w:rsid w:val="00197E4A"/>
    <w:rsid w:val="001A0315"/>
    <w:rsid w:val="001A082E"/>
    <w:rsid w:val="001A0B33"/>
    <w:rsid w:val="001A0E52"/>
    <w:rsid w:val="001A16A9"/>
    <w:rsid w:val="001A1C67"/>
    <w:rsid w:val="001A2009"/>
    <w:rsid w:val="001A2748"/>
    <w:rsid w:val="001A3423"/>
    <w:rsid w:val="001A467B"/>
    <w:rsid w:val="001A4816"/>
    <w:rsid w:val="001A4FA5"/>
    <w:rsid w:val="001A502B"/>
    <w:rsid w:val="001A574A"/>
    <w:rsid w:val="001A6159"/>
    <w:rsid w:val="001A6371"/>
    <w:rsid w:val="001A6409"/>
    <w:rsid w:val="001A6CA0"/>
    <w:rsid w:val="001A6DC3"/>
    <w:rsid w:val="001A73A6"/>
    <w:rsid w:val="001A7D92"/>
    <w:rsid w:val="001B1179"/>
    <w:rsid w:val="001B1393"/>
    <w:rsid w:val="001B2150"/>
    <w:rsid w:val="001B21C1"/>
    <w:rsid w:val="001B2221"/>
    <w:rsid w:val="001B24D3"/>
    <w:rsid w:val="001B2B34"/>
    <w:rsid w:val="001B3AD8"/>
    <w:rsid w:val="001B3C4C"/>
    <w:rsid w:val="001B4DB3"/>
    <w:rsid w:val="001B5450"/>
    <w:rsid w:val="001B765A"/>
    <w:rsid w:val="001B7832"/>
    <w:rsid w:val="001B7991"/>
    <w:rsid w:val="001C02FF"/>
    <w:rsid w:val="001C0D12"/>
    <w:rsid w:val="001C1E71"/>
    <w:rsid w:val="001C20FE"/>
    <w:rsid w:val="001C2FCD"/>
    <w:rsid w:val="001C53EF"/>
    <w:rsid w:val="001C5A1A"/>
    <w:rsid w:val="001C659E"/>
    <w:rsid w:val="001C6720"/>
    <w:rsid w:val="001C6FDE"/>
    <w:rsid w:val="001C73CE"/>
    <w:rsid w:val="001C7692"/>
    <w:rsid w:val="001D03F9"/>
    <w:rsid w:val="001D0603"/>
    <w:rsid w:val="001D0859"/>
    <w:rsid w:val="001D0A75"/>
    <w:rsid w:val="001D14FC"/>
    <w:rsid w:val="001D22C4"/>
    <w:rsid w:val="001D23D2"/>
    <w:rsid w:val="001D2E76"/>
    <w:rsid w:val="001D3169"/>
    <w:rsid w:val="001D34B5"/>
    <w:rsid w:val="001D4942"/>
    <w:rsid w:val="001D4AD2"/>
    <w:rsid w:val="001D66F7"/>
    <w:rsid w:val="001D7640"/>
    <w:rsid w:val="001D76FB"/>
    <w:rsid w:val="001D7ADD"/>
    <w:rsid w:val="001E0485"/>
    <w:rsid w:val="001E0511"/>
    <w:rsid w:val="001E0C75"/>
    <w:rsid w:val="001E0D0D"/>
    <w:rsid w:val="001E0F41"/>
    <w:rsid w:val="001E17BF"/>
    <w:rsid w:val="001E1D97"/>
    <w:rsid w:val="001E1F6F"/>
    <w:rsid w:val="001E2062"/>
    <w:rsid w:val="001E27BE"/>
    <w:rsid w:val="001E3E5F"/>
    <w:rsid w:val="001E417A"/>
    <w:rsid w:val="001E4239"/>
    <w:rsid w:val="001E4815"/>
    <w:rsid w:val="001E485D"/>
    <w:rsid w:val="001E48A0"/>
    <w:rsid w:val="001F043F"/>
    <w:rsid w:val="001F0D7E"/>
    <w:rsid w:val="001F21CD"/>
    <w:rsid w:val="001F2493"/>
    <w:rsid w:val="001F3C3F"/>
    <w:rsid w:val="001F3D73"/>
    <w:rsid w:val="001F5170"/>
    <w:rsid w:val="001F5DF8"/>
    <w:rsid w:val="001F656A"/>
    <w:rsid w:val="001F7694"/>
    <w:rsid w:val="001F78E6"/>
    <w:rsid w:val="001F7914"/>
    <w:rsid w:val="00200181"/>
    <w:rsid w:val="002016E9"/>
    <w:rsid w:val="00201B66"/>
    <w:rsid w:val="00202C7B"/>
    <w:rsid w:val="0020303C"/>
    <w:rsid w:val="002033BC"/>
    <w:rsid w:val="002055AC"/>
    <w:rsid w:val="0020572F"/>
    <w:rsid w:val="00205AB1"/>
    <w:rsid w:val="00205DB9"/>
    <w:rsid w:val="00205DE6"/>
    <w:rsid w:val="00205DFF"/>
    <w:rsid w:val="0020600A"/>
    <w:rsid w:val="0020603A"/>
    <w:rsid w:val="0020622E"/>
    <w:rsid w:val="0020659E"/>
    <w:rsid w:val="002070BA"/>
    <w:rsid w:val="00207B2A"/>
    <w:rsid w:val="00207C3F"/>
    <w:rsid w:val="00211187"/>
    <w:rsid w:val="002113E9"/>
    <w:rsid w:val="00211888"/>
    <w:rsid w:val="00211AF8"/>
    <w:rsid w:val="00212690"/>
    <w:rsid w:val="002128AF"/>
    <w:rsid w:val="0021391B"/>
    <w:rsid w:val="00213D9B"/>
    <w:rsid w:val="00214DDC"/>
    <w:rsid w:val="00215372"/>
    <w:rsid w:val="002157D2"/>
    <w:rsid w:val="00216097"/>
    <w:rsid w:val="00216481"/>
    <w:rsid w:val="002176C7"/>
    <w:rsid w:val="00217CA2"/>
    <w:rsid w:val="00217E88"/>
    <w:rsid w:val="00220B68"/>
    <w:rsid w:val="00221779"/>
    <w:rsid w:val="00221868"/>
    <w:rsid w:val="00221B28"/>
    <w:rsid w:val="00221BEC"/>
    <w:rsid w:val="00221DBE"/>
    <w:rsid w:val="00221FD3"/>
    <w:rsid w:val="00222194"/>
    <w:rsid w:val="002225F6"/>
    <w:rsid w:val="00222C32"/>
    <w:rsid w:val="00222DDB"/>
    <w:rsid w:val="00222F7E"/>
    <w:rsid w:val="00223B78"/>
    <w:rsid w:val="002240B9"/>
    <w:rsid w:val="00224AE7"/>
    <w:rsid w:val="00224EAF"/>
    <w:rsid w:val="00225113"/>
    <w:rsid w:val="00225187"/>
    <w:rsid w:val="0022670D"/>
    <w:rsid w:val="00227464"/>
    <w:rsid w:val="002277C3"/>
    <w:rsid w:val="00227C6D"/>
    <w:rsid w:val="00230822"/>
    <w:rsid w:val="00231276"/>
    <w:rsid w:val="00231E30"/>
    <w:rsid w:val="00231E48"/>
    <w:rsid w:val="0023221F"/>
    <w:rsid w:val="0023245D"/>
    <w:rsid w:val="0023273B"/>
    <w:rsid w:val="00232A6F"/>
    <w:rsid w:val="00233403"/>
    <w:rsid w:val="00233611"/>
    <w:rsid w:val="00233E78"/>
    <w:rsid w:val="00234035"/>
    <w:rsid w:val="002343EC"/>
    <w:rsid w:val="0023465A"/>
    <w:rsid w:val="002355F9"/>
    <w:rsid w:val="002365D7"/>
    <w:rsid w:val="002366D8"/>
    <w:rsid w:val="00237B42"/>
    <w:rsid w:val="00237DDC"/>
    <w:rsid w:val="002401DB"/>
    <w:rsid w:val="00240E20"/>
    <w:rsid w:val="00240F56"/>
    <w:rsid w:val="0024195C"/>
    <w:rsid w:val="00242139"/>
    <w:rsid w:val="0024262C"/>
    <w:rsid w:val="0024291A"/>
    <w:rsid w:val="0024301A"/>
    <w:rsid w:val="002433C2"/>
    <w:rsid w:val="00246B04"/>
    <w:rsid w:val="00246D97"/>
    <w:rsid w:val="00247804"/>
    <w:rsid w:val="00247AA6"/>
    <w:rsid w:val="00247C5F"/>
    <w:rsid w:val="002502DA"/>
    <w:rsid w:val="002507FA"/>
    <w:rsid w:val="00250F4B"/>
    <w:rsid w:val="00251728"/>
    <w:rsid w:val="00251817"/>
    <w:rsid w:val="00252359"/>
    <w:rsid w:val="00252603"/>
    <w:rsid w:val="00252E2A"/>
    <w:rsid w:val="00252E2B"/>
    <w:rsid w:val="00252FA7"/>
    <w:rsid w:val="0025317F"/>
    <w:rsid w:val="00253641"/>
    <w:rsid w:val="00254E10"/>
    <w:rsid w:val="002550E0"/>
    <w:rsid w:val="0025525A"/>
    <w:rsid w:val="0025542E"/>
    <w:rsid w:val="00255A6E"/>
    <w:rsid w:val="00256090"/>
    <w:rsid w:val="0025635B"/>
    <w:rsid w:val="0025643C"/>
    <w:rsid w:val="00256AC4"/>
    <w:rsid w:val="00256C6A"/>
    <w:rsid w:val="00257207"/>
    <w:rsid w:val="002578C8"/>
    <w:rsid w:val="00260D51"/>
    <w:rsid w:val="002617FD"/>
    <w:rsid w:val="00261A23"/>
    <w:rsid w:val="00261FD9"/>
    <w:rsid w:val="0026354F"/>
    <w:rsid w:val="00263E95"/>
    <w:rsid w:val="002640A1"/>
    <w:rsid w:val="0026445A"/>
    <w:rsid w:val="002646B8"/>
    <w:rsid w:val="00265030"/>
    <w:rsid w:val="00266575"/>
    <w:rsid w:val="00266662"/>
    <w:rsid w:val="00266798"/>
    <w:rsid w:val="0026713F"/>
    <w:rsid w:val="00267279"/>
    <w:rsid w:val="002675F5"/>
    <w:rsid w:val="00267C2B"/>
    <w:rsid w:val="002701C6"/>
    <w:rsid w:val="002707BB"/>
    <w:rsid w:val="00271112"/>
    <w:rsid w:val="002725EA"/>
    <w:rsid w:val="00272EFB"/>
    <w:rsid w:val="002739A9"/>
    <w:rsid w:val="00275259"/>
    <w:rsid w:val="0027563F"/>
    <w:rsid w:val="00275C5E"/>
    <w:rsid w:val="00275ED0"/>
    <w:rsid w:val="002769B8"/>
    <w:rsid w:val="00276EBC"/>
    <w:rsid w:val="00277040"/>
    <w:rsid w:val="00277533"/>
    <w:rsid w:val="002804E8"/>
    <w:rsid w:val="00280520"/>
    <w:rsid w:val="0028061F"/>
    <w:rsid w:val="00280BA7"/>
    <w:rsid w:val="00281823"/>
    <w:rsid w:val="002820F1"/>
    <w:rsid w:val="0028229F"/>
    <w:rsid w:val="00282FF7"/>
    <w:rsid w:val="00283073"/>
    <w:rsid w:val="0028325D"/>
    <w:rsid w:val="0028326B"/>
    <w:rsid w:val="0028347A"/>
    <w:rsid w:val="0028415A"/>
    <w:rsid w:val="00284BF2"/>
    <w:rsid w:val="00284D79"/>
    <w:rsid w:val="002860F8"/>
    <w:rsid w:val="002864E3"/>
    <w:rsid w:val="00286661"/>
    <w:rsid w:val="00286841"/>
    <w:rsid w:val="00286A2E"/>
    <w:rsid w:val="00286A49"/>
    <w:rsid w:val="00286CF4"/>
    <w:rsid w:val="00286DE3"/>
    <w:rsid w:val="00287816"/>
    <w:rsid w:val="00287961"/>
    <w:rsid w:val="00291665"/>
    <w:rsid w:val="0029243B"/>
    <w:rsid w:val="002926C0"/>
    <w:rsid w:val="00292D4A"/>
    <w:rsid w:val="002930B1"/>
    <w:rsid w:val="00293AB9"/>
    <w:rsid w:val="00293DFD"/>
    <w:rsid w:val="002941CB"/>
    <w:rsid w:val="0029465E"/>
    <w:rsid w:val="0029558D"/>
    <w:rsid w:val="00295ABB"/>
    <w:rsid w:val="00296056"/>
    <w:rsid w:val="0029626B"/>
    <w:rsid w:val="0029683D"/>
    <w:rsid w:val="00296A9D"/>
    <w:rsid w:val="00296B44"/>
    <w:rsid w:val="00296E7B"/>
    <w:rsid w:val="0029708F"/>
    <w:rsid w:val="0029750D"/>
    <w:rsid w:val="00297DDE"/>
    <w:rsid w:val="002A032C"/>
    <w:rsid w:val="002A05B9"/>
    <w:rsid w:val="002A0608"/>
    <w:rsid w:val="002A0ACD"/>
    <w:rsid w:val="002A0FBE"/>
    <w:rsid w:val="002A1954"/>
    <w:rsid w:val="002A25F7"/>
    <w:rsid w:val="002A2CA7"/>
    <w:rsid w:val="002A2F6B"/>
    <w:rsid w:val="002A44DC"/>
    <w:rsid w:val="002A45E7"/>
    <w:rsid w:val="002A4DD1"/>
    <w:rsid w:val="002A67BC"/>
    <w:rsid w:val="002A68CB"/>
    <w:rsid w:val="002A7444"/>
    <w:rsid w:val="002A7708"/>
    <w:rsid w:val="002B002B"/>
    <w:rsid w:val="002B05C9"/>
    <w:rsid w:val="002B07DA"/>
    <w:rsid w:val="002B07F4"/>
    <w:rsid w:val="002B0C26"/>
    <w:rsid w:val="002B0D9D"/>
    <w:rsid w:val="002B0DFF"/>
    <w:rsid w:val="002B117C"/>
    <w:rsid w:val="002B1CD4"/>
    <w:rsid w:val="002B2075"/>
    <w:rsid w:val="002B2C4A"/>
    <w:rsid w:val="002B45BF"/>
    <w:rsid w:val="002B46BF"/>
    <w:rsid w:val="002B4D1D"/>
    <w:rsid w:val="002B689B"/>
    <w:rsid w:val="002B738F"/>
    <w:rsid w:val="002B7452"/>
    <w:rsid w:val="002B75FE"/>
    <w:rsid w:val="002C053B"/>
    <w:rsid w:val="002C1665"/>
    <w:rsid w:val="002C1A22"/>
    <w:rsid w:val="002C1E72"/>
    <w:rsid w:val="002C20C5"/>
    <w:rsid w:val="002C270F"/>
    <w:rsid w:val="002C2C45"/>
    <w:rsid w:val="002C3B23"/>
    <w:rsid w:val="002C3D83"/>
    <w:rsid w:val="002C3F71"/>
    <w:rsid w:val="002C3F80"/>
    <w:rsid w:val="002C412C"/>
    <w:rsid w:val="002C48F9"/>
    <w:rsid w:val="002C49B0"/>
    <w:rsid w:val="002C579A"/>
    <w:rsid w:val="002C5A5B"/>
    <w:rsid w:val="002C5C91"/>
    <w:rsid w:val="002C6396"/>
    <w:rsid w:val="002C6F08"/>
    <w:rsid w:val="002C6F24"/>
    <w:rsid w:val="002C7AE2"/>
    <w:rsid w:val="002D0B10"/>
    <w:rsid w:val="002D1228"/>
    <w:rsid w:val="002D1504"/>
    <w:rsid w:val="002D2BAE"/>
    <w:rsid w:val="002D3D70"/>
    <w:rsid w:val="002D45F1"/>
    <w:rsid w:val="002D4B54"/>
    <w:rsid w:val="002D4F70"/>
    <w:rsid w:val="002D54A3"/>
    <w:rsid w:val="002D5924"/>
    <w:rsid w:val="002D64F2"/>
    <w:rsid w:val="002D72E7"/>
    <w:rsid w:val="002D74B5"/>
    <w:rsid w:val="002D7613"/>
    <w:rsid w:val="002D7982"/>
    <w:rsid w:val="002E09AB"/>
    <w:rsid w:val="002E0C29"/>
    <w:rsid w:val="002E21AA"/>
    <w:rsid w:val="002E21D2"/>
    <w:rsid w:val="002E236D"/>
    <w:rsid w:val="002E239B"/>
    <w:rsid w:val="002E290C"/>
    <w:rsid w:val="002E29A1"/>
    <w:rsid w:val="002E3170"/>
    <w:rsid w:val="002E3656"/>
    <w:rsid w:val="002E3895"/>
    <w:rsid w:val="002E3A54"/>
    <w:rsid w:val="002E3B26"/>
    <w:rsid w:val="002E3CC8"/>
    <w:rsid w:val="002E463A"/>
    <w:rsid w:val="002E483D"/>
    <w:rsid w:val="002E4F25"/>
    <w:rsid w:val="002E51B6"/>
    <w:rsid w:val="002E5DD6"/>
    <w:rsid w:val="002E6696"/>
    <w:rsid w:val="002E68DD"/>
    <w:rsid w:val="002E7176"/>
    <w:rsid w:val="002E7494"/>
    <w:rsid w:val="002E7D93"/>
    <w:rsid w:val="002F004B"/>
    <w:rsid w:val="002F07A2"/>
    <w:rsid w:val="002F08D9"/>
    <w:rsid w:val="002F11C1"/>
    <w:rsid w:val="002F139A"/>
    <w:rsid w:val="002F179B"/>
    <w:rsid w:val="002F1FD3"/>
    <w:rsid w:val="002F2970"/>
    <w:rsid w:val="002F3088"/>
    <w:rsid w:val="002F32F3"/>
    <w:rsid w:val="002F40D1"/>
    <w:rsid w:val="002F4231"/>
    <w:rsid w:val="002F4276"/>
    <w:rsid w:val="002F4D7F"/>
    <w:rsid w:val="002F50DF"/>
    <w:rsid w:val="002F5959"/>
    <w:rsid w:val="002F69B8"/>
    <w:rsid w:val="002F7142"/>
    <w:rsid w:val="00300116"/>
    <w:rsid w:val="0030053B"/>
    <w:rsid w:val="0030076D"/>
    <w:rsid w:val="00301699"/>
    <w:rsid w:val="00301881"/>
    <w:rsid w:val="00302925"/>
    <w:rsid w:val="00302BDF"/>
    <w:rsid w:val="00302CB1"/>
    <w:rsid w:val="00303161"/>
    <w:rsid w:val="00303402"/>
    <w:rsid w:val="00303703"/>
    <w:rsid w:val="00303C9C"/>
    <w:rsid w:val="00303E46"/>
    <w:rsid w:val="003052A7"/>
    <w:rsid w:val="0030597A"/>
    <w:rsid w:val="00306323"/>
    <w:rsid w:val="003068E6"/>
    <w:rsid w:val="00306D74"/>
    <w:rsid w:val="00306EFC"/>
    <w:rsid w:val="00307089"/>
    <w:rsid w:val="00307201"/>
    <w:rsid w:val="0030742B"/>
    <w:rsid w:val="00307E50"/>
    <w:rsid w:val="00310057"/>
    <w:rsid w:val="00310771"/>
    <w:rsid w:val="00310CFD"/>
    <w:rsid w:val="00310E48"/>
    <w:rsid w:val="00311944"/>
    <w:rsid w:val="00311ACC"/>
    <w:rsid w:val="00311D85"/>
    <w:rsid w:val="00311E40"/>
    <w:rsid w:val="00312551"/>
    <w:rsid w:val="00312853"/>
    <w:rsid w:val="003137BB"/>
    <w:rsid w:val="00313D3C"/>
    <w:rsid w:val="00314624"/>
    <w:rsid w:val="00314693"/>
    <w:rsid w:val="003150AC"/>
    <w:rsid w:val="003154A3"/>
    <w:rsid w:val="00315644"/>
    <w:rsid w:val="00315E95"/>
    <w:rsid w:val="0031608F"/>
    <w:rsid w:val="003160E3"/>
    <w:rsid w:val="00316BC0"/>
    <w:rsid w:val="0031763B"/>
    <w:rsid w:val="00317EE8"/>
    <w:rsid w:val="00320B7F"/>
    <w:rsid w:val="00321221"/>
    <w:rsid w:val="0032149D"/>
    <w:rsid w:val="00321EE1"/>
    <w:rsid w:val="00321F53"/>
    <w:rsid w:val="003234CF"/>
    <w:rsid w:val="00323EF1"/>
    <w:rsid w:val="00324823"/>
    <w:rsid w:val="0032484A"/>
    <w:rsid w:val="00325EB3"/>
    <w:rsid w:val="003262F2"/>
    <w:rsid w:val="003269BD"/>
    <w:rsid w:val="00327A3D"/>
    <w:rsid w:val="00330BF5"/>
    <w:rsid w:val="00331447"/>
    <w:rsid w:val="00333430"/>
    <w:rsid w:val="00333898"/>
    <w:rsid w:val="00335FC7"/>
    <w:rsid w:val="00336185"/>
    <w:rsid w:val="00336495"/>
    <w:rsid w:val="00336BB7"/>
    <w:rsid w:val="00337595"/>
    <w:rsid w:val="00337682"/>
    <w:rsid w:val="00337761"/>
    <w:rsid w:val="00337D7E"/>
    <w:rsid w:val="00340422"/>
    <w:rsid w:val="003410DA"/>
    <w:rsid w:val="00341E3B"/>
    <w:rsid w:val="00341E81"/>
    <w:rsid w:val="00341E99"/>
    <w:rsid w:val="00342283"/>
    <w:rsid w:val="00342401"/>
    <w:rsid w:val="00342433"/>
    <w:rsid w:val="00342B13"/>
    <w:rsid w:val="00342EE4"/>
    <w:rsid w:val="00343A89"/>
    <w:rsid w:val="00343FF3"/>
    <w:rsid w:val="003440F9"/>
    <w:rsid w:val="003442DC"/>
    <w:rsid w:val="0034450B"/>
    <w:rsid w:val="00344690"/>
    <w:rsid w:val="003447E1"/>
    <w:rsid w:val="00344CDC"/>
    <w:rsid w:val="0034546E"/>
    <w:rsid w:val="00347720"/>
    <w:rsid w:val="00347BFC"/>
    <w:rsid w:val="0035047D"/>
    <w:rsid w:val="00350517"/>
    <w:rsid w:val="003509B8"/>
    <w:rsid w:val="00350B30"/>
    <w:rsid w:val="00350CEA"/>
    <w:rsid w:val="003513A9"/>
    <w:rsid w:val="00351958"/>
    <w:rsid w:val="00351E0E"/>
    <w:rsid w:val="00352A8D"/>
    <w:rsid w:val="00352ABA"/>
    <w:rsid w:val="00352CD5"/>
    <w:rsid w:val="00352CF4"/>
    <w:rsid w:val="00352F18"/>
    <w:rsid w:val="0035394B"/>
    <w:rsid w:val="00353C5C"/>
    <w:rsid w:val="00353CB9"/>
    <w:rsid w:val="0035408F"/>
    <w:rsid w:val="00354264"/>
    <w:rsid w:val="00354280"/>
    <w:rsid w:val="00354E1F"/>
    <w:rsid w:val="003550D9"/>
    <w:rsid w:val="00355F36"/>
    <w:rsid w:val="00356828"/>
    <w:rsid w:val="00356A72"/>
    <w:rsid w:val="00356C5A"/>
    <w:rsid w:val="003576C0"/>
    <w:rsid w:val="00360C44"/>
    <w:rsid w:val="00360FA3"/>
    <w:rsid w:val="0036212D"/>
    <w:rsid w:val="00362325"/>
    <w:rsid w:val="0036294B"/>
    <w:rsid w:val="0036299A"/>
    <w:rsid w:val="0036310D"/>
    <w:rsid w:val="003632F6"/>
    <w:rsid w:val="003633F5"/>
    <w:rsid w:val="00363A0D"/>
    <w:rsid w:val="00364894"/>
    <w:rsid w:val="00364D41"/>
    <w:rsid w:val="00365054"/>
    <w:rsid w:val="00365100"/>
    <w:rsid w:val="0036579D"/>
    <w:rsid w:val="003658BE"/>
    <w:rsid w:val="00366624"/>
    <w:rsid w:val="003668E7"/>
    <w:rsid w:val="00367505"/>
    <w:rsid w:val="00370BF3"/>
    <w:rsid w:val="003710E3"/>
    <w:rsid w:val="0037123A"/>
    <w:rsid w:val="0037156B"/>
    <w:rsid w:val="0037162A"/>
    <w:rsid w:val="0037162C"/>
    <w:rsid w:val="00372F80"/>
    <w:rsid w:val="00373303"/>
    <w:rsid w:val="003739F9"/>
    <w:rsid w:val="00373D2F"/>
    <w:rsid w:val="00374152"/>
    <w:rsid w:val="00374434"/>
    <w:rsid w:val="00374BF8"/>
    <w:rsid w:val="00374C56"/>
    <w:rsid w:val="00375B4B"/>
    <w:rsid w:val="003763EC"/>
    <w:rsid w:val="003767E1"/>
    <w:rsid w:val="003767F3"/>
    <w:rsid w:val="00376FDE"/>
    <w:rsid w:val="00377398"/>
    <w:rsid w:val="00377559"/>
    <w:rsid w:val="003777CF"/>
    <w:rsid w:val="00377D58"/>
    <w:rsid w:val="00381266"/>
    <w:rsid w:val="00381C05"/>
    <w:rsid w:val="0038200C"/>
    <w:rsid w:val="0038287F"/>
    <w:rsid w:val="00382B85"/>
    <w:rsid w:val="00382DA1"/>
    <w:rsid w:val="00382DBA"/>
    <w:rsid w:val="00382E8A"/>
    <w:rsid w:val="00384299"/>
    <w:rsid w:val="0038482A"/>
    <w:rsid w:val="003852E4"/>
    <w:rsid w:val="003861D8"/>
    <w:rsid w:val="0038642C"/>
    <w:rsid w:val="0038695D"/>
    <w:rsid w:val="00387DFF"/>
    <w:rsid w:val="003900DE"/>
    <w:rsid w:val="00390B47"/>
    <w:rsid w:val="00390CC6"/>
    <w:rsid w:val="0039150A"/>
    <w:rsid w:val="003920E6"/>
    <w:rsid w:val="00392906"/>
    <w:rsid w:val="0039314B"/>
    <w:rsid w:val="0039388A"/>
    <w:rsid w:val="00394A5B"/>
    <w:rsid w:val="00394AD1"/>
    <w:rsid w:val="00394E5B"/>
    <w:rsid w:val="00394ECF"/>
    <w:rsid w:val="003958C5"/>
    <w:rsid w:val="00396D07"/>
    <w:rsid w:val="00396F33"/>
    <w:rsid w:val="00397263"/>
    <w:rsid w:val="003A06BD"/>
    <w:rsid w:val="003A0C93"/>
    <w:rsid w:val="003A114E"/>
    <w:rsid w:val="003A22A0"/>
    <w:rsid w:val="003A2494"/>
    <w:rsid w:val="003A2DE0"/>
    <w:rsid w:val="003A32A0"/>
    <w:rsid w:val="003A330C"/>
    <w:rsid w:val="003A373C"/>
    <w:rsid w:val="003A4251"/>
    <w:rsid w:val="003A46D1"/>
    <w:rsid w:val="003A4DAC"/>
    <w:rsid w:val="003A5110"/>
    <w:rsid w:val="003A5811"/>
    <w:rsid w:val="003A5B47"/>
    <w:rsid w:val="003A5F83"/>
    <w:rsid w:val="003A6036"/>
    <w:rsid w:val="003A605F"/>
    <w:rsid w:val="003A6419"/>
    <w:rsid w:val="003A69B3"/>
    <w:rsid w:val="003B0A83"/>
    <w:rsid w:val="003B12FF"/>
    <w:rsid w:val="003B151B"/>
    <w:rsid w:val="003B407A"/>
    <w:rsid w:val="003B4282"/>
    <w:rsid w:val="003B4771"/>
    <w:rsid w:val="003B4A8D"/>
    <w:rsid w:val="003B5014"/>
    <w:rsid w:val="003B5C0D"/>
    <w:rsid w:val="003B5D03"/>
    <w:rsid w:val="003B5E81"/>
    <w:rsid w:val="003B5FBF"/>
    <w:rsid w:val="003B6079"/>
    <w:rsid w:val="003B6810"/>
    <w:rsid w:val="003B6C8F"/>
    <w:rsid w:val="003B7313"/>
    <w:rsid w:val="003B79D8"/>
    <w:rsid w:val="003B7D9B"/>
    <w:rsid w:val="003C05A8"/>
    <w:rsid w:val="003C1245"/>
    <w:rsid w:val="003C1564"/>
    <w:rsid w:val="003C1960"/>
    <w:rsid w:val="003C1A4D"/>
    <w:rsid w:val="003C2448"/>
    <w:rsid w:val="003C2EB3"/>
    <w:rsid w:val="003C3AFC"/>
    <w:rsid w:val="003C4053"/>
    <w:rsid w:val="003C4100"/>
    <w:rsid w:val="003C425B"/>
    <w:rsid w:val="003C4532"/>
    <w:rsid w:val="003C490E"/>
    <w:rsid w:val="003C4FC7"/>
    <w:rsid w:val="003C5A79"/>
    <w:rsid w:val="003C5F03"/>
    <w:rsid w:val="003C5FAF"/>
    <w:rsid w:val="003C6109"/>
    <w:rsid w:val="003C64BC"/>
    <w:rsid w:val="003C6792"/>
    <w:rsid w:val="003C7423"/>
    <w:rsid w:val="003C75A0"/>
    <w:rsid w:val="003C79B8"/>
    <w:rsid w:val="003C7D22"/>
    <w:rsid w:val="003C7DD1"/>
    <w:rsid w:val="003D01BD"/>
    <w:rsid w:val="003D130D"/>
    <w:rsid w:val="003D19CA"/>
    <w:rsid w:val="003D1C11"/>
    <w:rsid w:val="003D1EAD"/>
    <w:rsid w:val="003D25E5"/>
    <w:rsid w:val="003D2627"/>
    <w:rsid w:val="003D2F9F"/>
    <w:rsid w:val="003D310B"/>
    <w:rsid w:val="003D31F8"/>
    <w:rsid w:val="003D3CBE"/>
    <w:rsid w:val="003D40CC"/>
    <w:rsid w:val="003D6347"/>
    <w:rsid w:val="003D63CC"/>
    <w:rsid w:val="003D63D1"/>
    <w:rsid w:val="003D67A7"/>
    <w:rsid w:val="003D6BB5"/>
    <w:rsid w:val="003D792D"/>
    <w:rsid w:val="003D7FE7"/>
    <w:rsid w:val="003E0D14"/>
    <w:rsid w:val="003E0E56"/>
    <w:rsid w:val="003E0FB2"/>
    <w:rsid w:val="003E18D8"/>
    <w:rsid w:val="003E1D2E"/>
    <w:rsid w:val="003E20F4"/>
    <w:rsid w:val="003E29C2"/>
    <w:rsid w:val="003E2B69"/>
    <w:rsid w:val="003E2FF6"/>
    <w:rsid w:val="003E3376"/>
    <w:rsid w:val="003E3791"/>
    <w:rsid w:val="003E3C93"/>
    <w:rsid w:val="003E3CDC"/>
    <w:rsid w:val="003E3E30"/>
    <w:rsid w:val="003E4B0C"/>
    <w:rsid w:val="003E4F9B"/>
    <w:rsid w:val="003E61F9"/>
    <w:rsid w:val="003E69DD"/>
    <w:rsid w:val="003F0A59"/>
    <w:rsid w:val="003F0E2C"/>
    <w:rsid w:val="003F104E"/>
    <w:rsid w:val="003F120F"/>
    <w:rsid w:val="003F13DC"/>
    <w:rsid w:val="003F146D"/>
    <w:rsid w:val="003F1771"/>
    <w:rsid w:val="003F1855"/>
    <w:rsid w:val="003F221E"/>
    <w:rsid w:val="003F3553"/>
    <w:rsid w:val="003F38A8"/>
    <w:rsid w:val="003F3CD1"/>
    <w:rsid w:val="003F42AE"/>
    <w:rsid w:val="003F4E78"/>
    <w:rsid w:val="003F4FB7"/>
    <w:rsid w:val="003F5624"/>
    <w:rsid w:val="003F6CD6"/>
    <w:rsid w:val="003F74BE"/>
    <w:rsid w:val="003F7690"/>
    <w:rsid w:val="003F790D"/>
    <w:rsid w:val="003F7C87"/>
    <w:rsid w:val="0040079E"/>
    <w:rsid w:val="004008F3"/>
    <w:rsid w:val="004009C0"/>
    <w:rsid w:val="00401529"/>
    <w:rsid w:val="00401860"/>
    <w:rsid w:val="00401A21"/>
    <w:rsid w:val="00401DCA"/>
    <w:rsid w:val="0040235B"/>
    <w:rsid w:val="004024FF"/>
    <w:rsid w:val="004025EF"/>
    <w:rsid w:val="00402A91"/>
    <w:rsid w:val="00402C5B"/>
    <w:rsid w:val="0040397E"/>
    <w:rsid w:val="00403DFB"/>
    <w:rsid w:val="004041DC"/>
    <w:rsid w:val="004044BF"/>
    <w:rsid w:val="00404D57"/>
    <w:rsid w:val="00404FAE"/>
    <w:rsid w:val="0040524E"/>
    <w:rsid w:val="0040653D"/>
    <w:rsid w:val="004065B6"/>
    <w:rsid w:val="00406938"/>
    <w:rsid w:val="004074C7"/>
    <w:rsid w:val="00410B0B"/>
    <w:rsid w:val="00410D6B"/>
    <w:rsid w:val="00411BF4"/>
    <w:rsid w:val="00411C6C"/>
    <w:rsid w:val="004124AD"/>
    <w:rsid w:val="00412821"/>
    <w:rsid w:val="00412A39"/>
    <w:rsid w:val="00412D67"/>
    <w:rsid w:val="004130C9"/>
    <w:rsid w:val="004132B7"/>
    <w:rsid w:val="004134C3"/>
    <w:rsid w:val="00413610"/>
    <w:rsid w:val="004136D6"/>
    <w:rsid w:val="00413AD1"/>
    <w:rsid w:val="00413B78"/>
    <w:rsid w:val="00414E6F"/>
    <w:rsid w:val="00414FAF"/>
    <w:rsid w:val="0041521F"/>
    <w:rsid w:val="00415464"/>
    <w:rsid w:val="0041560F"/>
    <w:rsid w:val="00415B7E"/>
    <w:rsid w:val="00415E4B"/>
    <w:rsid w:val="00416A63"/>
    <w:rsid w:val="00416EB8"/>
    <w:rsid w:val="00416EF7"/>
    <w:rsid w:val="00416FD7"/>
    <w:rsid w:val="004175D1"/>
    <w:rsid w:val="00417F79"/>
    <w:rsid w:val="00420BF0"/>
    <w:rsid w:val="0042226A"/>
    <w:rsid w:val="004222B2"/>
    <w:rsid w:val="00423BC8"/>
    <w:rsid w:val="00423CA0"/>
    <w:rsid w:val="00423F9B"/>
    <w:rsid w:val="00424E12"/>
    <w:rsid w:val="00425803"/>
    <w:rsid w:val="004267BF"/>
    <w:rsid w:val="00426A5A"/>
    <w:rsid w:val="00426B66"/>
    <w:rsid w:val="00426B8B"/>
    <w:rsid w:val="0042705D"/>
    <w:rsid w:val="004271F4"/>
    <w:rsid w:val="00427663"/>
    <w:rsid w:val="00427796"/>
    <w:rsid w:val="00427AA5"/>
    <w:rsid w:val="00427B5E"/>
    <w:rsid w:val="0043004C"/>
    <w:rsid w:val="00430472"/>
    <w:rsid w:val="00430920"/>
    <w:rsid w:val="00430DC7"/>
    <w:rsid w:val="004329AA"/>
    <w:rsid w:val="00432CB3"/>
    <w:rsid w:val="00433504"/>
    <w:rsid w:val="00433AD0"/>
    <w:rsid w:val="004342DF"/>
    <w:rsid w:val="004344DF"/>
    <w:rsid w:val="00435976"/>
    <w:rsid w:val="0043599C"/>
    <w:rsid w:val="00435DCF"/>
    <w:rsid w:val="00435E83"/>
    <w:rsid w:val="004361CD"/>
    <w:rsid w:val="004362BD"/>
    <w:rsid w:val="0043635D"/>
    <w:rsid w:val="00436532"/>
    <w:rsid w:val="00437BF0"/>
    <w:rsid w:val="00440A00"/>
    <w:rsid w:val="00440B25"/>
    <w:rsid w:val="00440E0D"/>
    <w:rsid w:val="00440F1F"/>
    <w:rsid w:val="0044168E"/>
    <w:rsid w:val="00441997"/>
    <w:rsid w:val="00441FF2"/>
    <w:rsid w:val="004420C4"/>
    <w:rsid w:val="00442457"/>
    <w:rsid w:val="00442B5D"/>
    <w:rsid w:val="00443F46"/>
    <w:rsid w:val="004445D8"/>
    <w:rsid w:val="00444861"/>
    <w:rsid w:val="00445750"/>
    <w:rsid w:val="00445E07"/>
    <w:rsid w:val="00445F2D"/>
    <w:rsid w:val="004461A8"/>
    <w:rsid w:val="00446835"/>
    <w:rsid w:val="004468DA"/>
    <w:rsid w:val="004470C9"/>
    <w:rsid w:val="00447E8A"/>
    <w:rsid w:val="004505F2"/>
    <w:rsid w:val="00450CB6"/>
    <w:rsid w:val="0045279F"/>
    <w:rsid w:val="00452B1D"/>
    <w:rsid w:val="004535C5"/>
    <w:rsid w:val="00453C67"/>
    <w:rsid w:val="00454706"/>
    <w:rsid w:val="004547FC"/>
    <w:rsid w:val="00454DD3"/>
    <w:rsid w:val="00456374"/>
    <w:rsid w:val="004569F1"/>
    <w:rsid w:val="00457D65"/>
    <w:rsid w:val="00460BBC"/>
    <w:rsid w:val="00461326"/>
    <w:rsid w:val="00461B47"/>
    <w:rsid w:val="00461C75"/>
    <w:rsid w:val="00461F66"/>
    <w:rsid w:val="004622D4"/>
    <w:rsid w:val="004629EC"/>
    <w:rsid w:val="00464721"/>
    <w:rsid w:val="00464A24"/>
    <w:rsid w:val="00465B07"/>
    <w:rsid w:val="00466FBA"/>
    <w:rsid w:val="004674EC"/>
    <w:rsid w:val="00467C06"/>
    <w:rsid w:val="00470483"/>
    <w:rsid w:val="0047127D"/>
    <w:rsid w:val="00471443"/>
    <w:rsid w:val="00471FD0"/>
    <w:rsid w:val="00471FD1"/>
    <w:rsid w:val="00472B36"/>
    <w:rsid w:val="00472F4D"/>
    <w:rsid w:val="00473399"/>
    <w:rsid w:val="00473A39"/>
    <w:rsid w:val="00473E2E"/>
    <w:rsid w:val="00474547"/>
    <w:rsid w:val="0047526A"/>
    <w:rsid w:val="00476376"/>
    <w:rsid w:val="004763FD"/>
    <w:rsid w:val="00480A7C"/>
    <w:rsid w:val="00480E76"/>
    <w:rsid w:val="004816DC"/>
    <w:rsid w:val="004821FC"/>
    <w:rsid w:val="004823D5"/>
    <w:rsid w:val="00482503"/>
    <w:rsid w:val="004839AA"/>
    <w:rsid w:val="00483EF8"/>
    <w:rsid w:val="0048444C"/>
    <w:rsid w:val="004844D8"/>
    <w:rsid w:val="00484584"/>
    <w:rsid w:val="004850C7"/>
    <w:rsid w:val="0048536B"/>
    <w:rsid w:val="004854FA"/>
    <w:rsid w:val="00485892"/>
    <w:rsid w:val="00485B2F"/>
    <w:rsid w:val="00485D80"/>
    <w:rsid w:val="0048608D"/>
    <w:rsid w:val="00486DDE"/>
    <w:rsid w:val="00486EE9"/>
    <w:rsid w:val="00486FD8"/>
    <w:rsid w:val="00487241"/>
    <w:rsid w:val="004918C9"/>
    <w:rsid w:val="004929E0"/>
    <w:rsid w:val="00492B22"/>
    <w:rsid w:val="00492ED5"/>
    <w:rsid w:val="00493265"/>
    <w:rsid w:val="004932C7"/>
    <w:rsid w:val="004934C8"/>
    <w:rsid w:val="00493595"/>
    <w:rsid w:val="00493C5B"/>
    <w:rsid w:val="00494F60"/>
    <w:rsid w:val="004958B1"/>
    <w:rsid w:val="004960A3"/>
    <w:rsid w:val="0049659C"/>
    <w:rsid w:val="00496A4C"/>
    <w:rsid w:val="00496EDA"/>
    <w:rsid w:val="0049742E"/>
    <w:rsid w:val="0049780C"/>
    <w:rsid w:val="00497D48"/>
    <w:rsid w:val="00497FB8"/>
    <w:rsid w:val="004A06CB"/>
    <w:rsid w:val="004A0B1E"/>
    <w:rsid w:val="004A0BC1"/>
    <w:rsid w:val="004A21D2"/>
    <w:rsid w:val="004A25FE"/>
    <w:rsid w:val="004A3185"/>
    <w:rsid w:val="004A3D5E"/>
    <w:rsid w:val="004A3DD5"/>
    <w:rsid w:val="004A441B"/>
    <w:rsid w:val="004A499C"/>
    <w:rsid w:val="004A4B64"/>
    <w:rsid w:val="004A4C01"/>
    <w:rsid w:val="004A4C3D"/>
    <w:rsid w:val="004A5022"/>
    <w:rsid w:val="004A5A01"/>
    <w:rsid w:val="004A5E7B"/>
    <w:rsid w:val="004A6393"/>
    <w:rsid w:val="004A7324"/>
    <w:rsid w:val="004A7621"/>
    <w:rsid w:val="004A7B91"/>
    <w:rsid w:val="004A7CA7"/>
    <w:rsid w:val="004A7EC3"/>
    <w:rsid w:val="004B0918"/>
    <w:rsid w:val="004B0B67"/>
    <w:rsid w:val="004B0F24"/>
    <w:rsid w:val="004B1230"/>
    <w:rsid w:val="004B1F2C"/>
    <w:rsid w:val="004B24A2"/>
    <w:rsid w:val="004B2819"/>
    <w:rsid w:val="004B28F1"/>
    <w:rsid w:val="004B2A1E"/>
    <w:rsid w:val="004B3A5E"/>
    <w:rsid w:val="004B4577"/>
    <w:rsid w:val="004B5ECF"/>
    <w:rsid w:val="004B7097"/>
    <w:rsid w:val="004B7391"/>
    <w:rsid w:val="004C00C5"/>
    <w:rsid w:val="004C04F1"/>
    <w:rsid w:val="004C0794"/>
    <w:rsid w:val="004C08CE"/>
    <w:rsid w:val="004C0C03"/>
    <w:rsid w:val="004C0D26"/>
    <w:rsid w:val="004C11A7"/>
    <w:rsid w:val="004C197B"/>
    <w:rsid w:val="004C1BF2"/>
    <w:rsid w:val="004C2095"/>
    <w:rsid w:val="004C2E84"/>
    <w:rsid w:val="004C2FAC"/>
    <w:rsid w:val="004C3310"/>
    <w:rsid w:val="004C4DA3"/>
    <w:rsid w:val="004C4E4A"/>
    <w:rsid w:val="004C5AC1"/>
    <w:rsid w:val="004C5B5F"/>
    <w:rsid w:val="004C5DE5"/>
    <w:rsid w:val="004C5F98"/>
    <w:rsid w:val="004C6ECB"/>
    <w:rsid w:val="004C7504"/>
    <w:rsid w:val="004C7518"/>
    <w:rsid w:val="004C7952"/>
    <w:rsid w:val="004C7E78"/>
    <w:rsid w:val="004D04DB"/>
    <w:rsid w:val="004D0544"/>
    <w:rsid w:val="004D0975"/>
    <w:rsid w:val="004D0FDD"/>
    <w:rsid w:val="004D1B5D"/>
    <w:rsid w:val="004D1CFC"/>
    <w:rsid w:val="004D1E66"/>
    <w:rsid w:val="004D3047"/>
    <w:rsid w:val="004D34C6"/>
    <w:rsid w:val="004D4494"/>
    <w:rsid w:val="004D468F"/>
    <w:rsid w:val="004D58E4"/>
    <w:rsid w:val="004D6061"/>
    <w:rsid w:val="004D6BC4"/>
    <w:rsid w:val="004D7979"/>
    <w:rsid w:val="004D7AE9"/>
    <w:rsid w:val="004E0739"/>
    <w:rsid w:val="004E13B8"/>
    <w:rsid w:val="004E1900"/>
    <w:rsid w:val="004E1EC5"/>
    <w:rsid w:val="004E2261"/>
    <w:rsid w:val="004E2424"/>
    <w:rsid w:val="004E367B"/>
    <w:rsid w:val="004E4274"/>
    <w:rsid w:val="004E497B"/>
    <w:rsid w:val="004E5C02"/>
    <w:rsid w:val="004E5ECE"/>
    <w:rsid w:val="004E628D"/>
    <w:rsid w:val="004E6A8F"/>
    <w:rsid w:val="004E6B73"/>
    <w:rsid w:val="004E7496"/>
    <w:rsid w:val="004E7637"/>
    <w:rsid w:val="004E771D"/>
    <w:rsid w:val="004E7E52"/>
    <w:rsid w:val="004E7FF7"/>
    <w:rsid w:val="004F05AF"/>
    <w:rsid w:val="004F06F3"/>
    <w:rsid w:val="004F0733"/>
    <w:rsid w:val="004F17F5"/>
    <w:rsid w:val="004F3F84"/>
    <w:rsid w:val="004F4630"/>
    <w:rsid w:val="004F4A57"/>
    <w:rsid w:val="004F5DE0"/>
    <w:rsid w:val="004F6445"/>
    <w:rsid w:val="004F68F9"/>
    <w:rsid w:val="004F6F91"/>
    <w:rsid w:val="004F6FF6"/>
    <w:rsid w:val="004F710C"/>
    <w:rsid w:val="004F73E7"/>
    <w:rsid w:val="004F79C8"/>
    <w:rsid w:val="00500848"/>
    <w:rsid w:val="00500A51"/>
    <w:rsid w:val="00500AFE"/>
    <w:rsid w:val="00500BE2"/>
    <w:rsid w:val="00501A2A"/>
    <w:rsid w:val="005022B5"/>
    <w:rsid w:val="00502A9B"/>
    <w:rsid w:val="0050322F"/>
    <w:rsid w:val="005035AC"/>
    <w:rsid w:val="00503F8E"/>
    <w:rsid w:val="0050400A"/>
    <w:rsid w:val="00504613"/>
    <w:rsid w:val="00504E1A"/>
    <w:rsid w:val="00505228"/>
    <w:rsid w:val="0050523D"/>
    <w:rsid w:val="00505243"/>
    <w:rsid w:val="00505850"/>
    <w:rsid w:val="00505A5D"/>
    <w:rsid w:val="00507525"/>
    <w:rsid w:val="00507654"/>
    <w:rsid w:val="00510300"/>
    <w:rsid w:val="005113DB"/>
    <w:rsid w:val="00511CD8"/>
    <w:rsid w:val="00511D82"/>
    <w:rsid w:val="00512064"/>
    <w:rsid w:val="0051282B"/>
    <w:rsid w:val="005134CC"/>
    <w:rsid w:val="00513ABA"/>
    <w:rsid w:val="00513B46"/>
    <w:rsid w:val="00513DC3"/>
    <w:rsid w:val="00513F35"/>
    <w:rsid w:val="00514431"/>
    <w:rsid w:val="005160DA"/>
    <w:rsid w:val="0051618D"/>
    <w:rsid w:val="005162F2"/>
    <w:rsid w:val="00516A9D"/>
    <w:rsid w:val="00517FEE"/>
    <w:rsid w:val="00520321"/>
    <w:rsid w:val="00521C29"/>
    <w:rsid w:val="0052210C"/>
    <w:rsid w:val="00523C1A"/>
    <w:rsid w:val="00523F7C"/>
    <w:rsid w:val="005246DD"/>
    <w:rsid w:val="00525744"/>
    <w:rsid w:val="00525D0F"/>
    <w:rsid w:val="00526549"/>
    <w:rsid w:val="00526968"/>
    <w:rsid w:val="005300EC"/>
    <w:rsid w:val="0053034E"/>
    <w:rsid w:val="0053051C"/>
    <w:rsid w:val="005309E3"/>
    <w:rsid w:val="00530D87"/>
    <w:rsid w:val="00531286"/>
    <w:rsid w:val="0053288D"/>
    <w:rsid w:val="00533179"/>
    <w:rsid w:val="00533428"/>
    <w:rsid w:val="00534CED"/>
    <w:rsid w:val="0053644D"/>
    <w:rsid w:val="00536747"/>
    <w:rsid w:val="00536CFB"/>
    <w:rsid w:val="00536CFE"/>
    <w:rsid w:val="00537148"/>
    <w:rsid w:val="00537709"/>
    <w:rsid w:val="00537C43"/>
    <w:rsid w:val="00540B65"/>
    <w:rsid w:val="00540EB5"/>
    <w:rsid w:val="00541040"/>
    <w:rsid w:val="005414F7"/>
    <w:rsid w:val="005416A9"/>
    <w:rsid w:val="00541DED"/>
    <w:rsid w:val="00541E43"/>
    <w:rsid w:val="00542398"/>
    <w:rsid w:val="00542599"/>
    <w:rsid w:val="00543D0C"/>
    <w:rsid w:val="00544EF5"/>
    <w:rsid w:val="0054513D"/>
    <w:rsid w:val="00545742"/>
    <w:rsid w:val="00545925"/>
    <w:rsid w:val="00545958"/>
    <w:rsid w:val="00546683"/>
    <w:rsid w:val="00546775"/>
    <w:rsid w:val="00546C4E"/>
    <w:rsid w:val="00546C80"/>
    <w:rsid w:val="00547C33"/>
    <w:rsid w:val="00547F2E"/>
    <w:rsid w:val="005500C8"/>
    <w:rsid w:val="00550182"/>
    <w:rsid w:val="0055090A"/>
    <w:rsid w:val="00550A3F"/>
    <w:rsid w:val="00551562"/>
    <w:rsid w:val="005523EA"/>
    <w:rsid w:val="005523F6"/>
    <w:rsid w:val="005540B0"/>
    <w:rsid w:val="00554194"/>
    <w:rsid w:val="005547C5"/>
    <w:rsid w:val="00554A8F"/>
    <w:rsid w:val="00554E28"/>
    <w:rsid w:val="00555586"/>
    <w:rsid w:val="00555FD5"/>
    <w:rsid w:val="00556281"/>
    <w:rsid w:val="00556A32"/>
    <w:rsid w:val="00556BB9"/>
    <w:rsid w:val="00557885"/>
    <w:rsid w:val="005578D6"/>
    <w:rsid w:val="00557B66"/>
    <w:rsid w:val="00560376"/>
    <w:rsid w:val="00560778"/>
    <w:rsid w:val="00561995"/>
    <w:rsid w:val="00562ECC"/>
    <w:rsid w:val="00563764"/>
    <w:rsid w:val="005638D8"/>
    <w:rsid w:val="0056438C"/>
    <w:rsid w:val="005652C0"/>
    <w:rsid w:val="00565A8E"/>
    <w:rsid w:val="00565ADE"/>
    <w:rsid w:val="005672C0"/>
    <w:rsid w:val="00567623"/>
    <w:rsid w:val="00567B46"/>
    <w:rsid w:val="00570457"/>
    <w:rsid w:val="00571597"/>
    <w:rsid w:val="005717F2"/>
    <w:rsid w:val="00571A0E"/>
    <w:rsid w:val="00571C5D"/>
    <w:rsid w:val="00572460"/>
    <w:rsid w:val="0057280C"/>
    <w:rsid w:val="00573556"/>
    <w:rsid w:val="0057400B"/>
    <w:rsid w:val="00574387"/>
    <w:rsid w:val="005746C0"/>
    <w:rsid w:val="00575279"/>
    <w:rsid w:val="0057658B"/>
    <w:rsid w:val="0057675E"/>
    <w:rsid w:val="00576AAA"/>
    <w:rsid w:val="00580BCE"/>
    <w:rsid w:val="00581B15"/>
    <w:rsid w:val="00581C03"/>
    <w:rsid w:val="00581DD7"/>
    <w:rsid w:val="005823DF"/>
    <w:rsid w:val="00582E98"/>
    <w:rsid w:val="005848FA"/>
    <w:rsid w:val="00584DE7"/>
    <w:rsid w:val="00586052"/>
    <w:rsid w:val="0058653A"/>
    <w:rsid w:val="0058740C"/>
    <w:rsid w:val="005879A2"/>
    <w:rsid w:val="005879E7"/>
    <w:rsid w:val="00590DFC"/>
    <w:rsid w:val="005917DD"/>
    <w:rsid w:val="00591858"/>
    <w:rsid w:val="0059211D"/>
    <w:rsid w:val="00593039"/>
    <w:rsid w:val="005937DD"/>
    <w:rsid w:val="00594154"/>
    <w:rsid w:val="005945AE"/>
    <w:rsid w:val="0059499B"/>
    <w:rsid w:val="0059514E"/>
    <w:rsid w:val="0059515F"/>
    <w:rsid w:val="005956C8"/>
    <w:rsid w:val="005960E1"/>
    <w:rsid w:val="005964C0"/>
    <w:rsid w:val="00596540"/>
    <w:rsid w:val="00597086"/>
    <w:rsid w:val="005971CB"/>
    <w:rsid w:val="005A016C"/>
    <w:rsid w:val="005A06C2"/>
    <w:rsid w:val="005A08B2"/>
    <w:rsid w:val="005A0AD3"/>
    <w:rsid w:val="005A1109"/>
    <w:rsid w:val="005A1168"/>
    <w:rsid w:val="005A157D"/>
    <w:rsid w:val="005A1778"/>
    <w:rsid w:val="005A19B1"/>
    <w:rsid w:val="005A1E10"/>
    <w:rsid w:val="005A207C"/>
    <w:rsid w:val="005A2B33"/>
    <w:rsid w:val="005A31FA"/>
    <w:rsid w:val="005A36A7"/>
    <w:rsid w:val="005A3F69"/>
    <w:rsid w:val="005A40FD"/>
    <w:rsid w:val="005A41D2"/>
    <w:rsid w:val="005A4532"/>
    <w:rsid w:val="005A4C17"/>
    <w:rsid w:val="005A53F2"/>
    <w:rsid w:val="005A5B8B"/>
    <w:rsid w:val="005A606F"/>
    <w:rsid w:val="005A6D1E"/>
    <w:rsid w:val="005A6F56"/>
    <w:rsid w:val="005A71E2"/>
    <w:rsid w:val="005A723C"/>
    <w:rsid w:val="005B018F"/>
    <w:rsid w:val="005B0B9F"/>
    <w:rsid w:val="005B0D76"/>
    <w:rsid w:val="005B1228"/>
    <w:rsid w:val="005B14AB"/>
    <w:rsid w:val="005B14C7"/>
    <w:rsid w:val="005B22DF"/>
    <w:rsid w:val="005B238A"/>
    <w:rsid w:val="005B3870"/>
    <w:rsid w:val="005B432D"/>
    <w:rsid w:val="005B43B1"/>
    <w:rsid w:val="005B4503"/>
    <w:rsid w:val="005B4601"/>
    <w:rsid w:val="005B4751"/>
    <w:rsid w:val="005B5296"/>
    <w:rsid w:val="005B5461"/>
    <w:rsid w:val="005B5A90"/>
    <w:rsid w:val="005B5BA5"/>
    <w:rsid w:val="005B5CE7"/>
    <w:rsid w:val="005B5D72"/>
    <w:rsid w:val="005B6064"/>
    <w:rsid w:val="005B6BAE"/>
    <w:rsid w:val="005B7AC9"/>
    <w:rsid w:val="005C06E7"/>
    <w:rsid w:val="005C0B0B"/>
    <w:rsid w:val="005C10E7"/>
    <w:rsid w:val="005C1614"/>
    <w:rsid w:val="005C177F"/>
    <w:rsid w:val="005C4216"/>
    <w:rsid w:val="005C4397"/>
    <w:rsid w:val="005C4731"/>
    <w:rsid w:val="005C4DA7"/>
    <w:rsid w:val="005C5347"/>
    <w:rsid w:val="005C6A82"/>
    <w:rsid w:val="005C6C29"/>
    <w:rsid w:val="005C6D3E"/>
    <w:rsid w:val="005C745C"/>
    <w:rsid w:val="005C7C6F"/>
    <w:rsid w:val="005D0769"/>
    <w:rsid w:val="005D1D7F"/>
    <w:rsid w:val="005D1DD4"/>
    <w:rsid w:val="005D2CF3"/>
    <w:rsid w:val="005D39F1"/>
    <w:rsid w:val="005D3AD6"/>
    <w:rsid w:val="005D3DB3"/>
    <w:rsid w:val="005D40DA"/>
    <w:rsid w:val="005D5C6F"/>
    <w:rsid w:val="005D6090"/>
    <w:rsid w:val="005D6858"/>
    <w:rsid w:val="005D6F84"/>
    <w:rsid w:val="005D6FA7"/>
    <w:rsid w:val="005D742A"/>
    <w:rsid w:val="005E0B42"/>
    <w:rsid w:val="005E0CC0"/>
    <w:rsid w:val="005E11EF"/>
    <w:rsid w:val="005E188B"/>
    <w:rsid w:val="005E2332"/>
    <w:rsid w:val="005E23CA"/>
    <w:rsid w:val="005E2F39"/>
    <w:rsid w:val="005E342B"/>
    <w:rsid w:val="005E3B2B"/>
    <w:rsid w:val="005E4E6B"/>
    <w:rsid w:val="005E5770"/>
    <w:rsid w:val="005E5A74"/>
    <w:rsid w:val="005E620F"/>
    <w:rsid w:val="005E62D6"/>
    <w:rsid w:val="005E75ED"/>
    <w:rsid w:val="005E7928"/>
    <w:rsid w:val="005F029A"/>
    <w:rsid w:val="005F09F5"/>
    <w:rsid w:val="005F0D1F"/>
    <w:rsid w:val="005F1CFC"/>
    <w:rsid w:val="005F1F10"/>
    <w:rsid w:val="005F2274"/>
    <w:rsid w:val="005F3D22"/>
    <w:rsid w:val="005F3EF5"/>
    <w:rsid w:val="005F4AE5"/>
    <w:rsid w:val="005F5FD8"/>
    <w:rsid w:val="005F607E"/>
    <w:rsid w:val="005F6C0E"/>
    <w:rsid w:val="005F7DFA"/>
    <w:rsid w:val="00601670"/>
    <w:rsid w:val="006020B8"/>
    <w:rsid w:val="0060275C"/>
    <w:rsid w:val="00602962"/>
    <w:rsid w:val="00602C43"/>
    <w:rsid w:val="0060301A"/>
    <w:rsid w:val="00603764"/>
    <w:rsid w:val="006040E8"/>
    <w:rsid w:val="0060458F"/>
    <w:rsid w:val="00604AF1"/>
    <w:rsid w:val="00604BA0"/>
    <w:rsid w:val="00604F0F"/>
    <w:rsid w:val="00605FAC"/>
    <w:rsid w:val="00606861"/>
    <w:rsid w:val="00606ED9"/>
    <w:rsid w:val="00607082"/>
    <w:rsid w:val="00607235"/>
    <w:rsid w:val="00607315"/>
    <w:rsid w:val="006076E4"/>
    <w:rsid w:val="006079F7"/>
    <w:rsid w:val="00607C7F"/>
    <w:rsid w:val="00607FDF"/>
    <w:rsid w:val="00610003"/>
    <w:rsid w:val="00610156"/>
    <w:rsid w:val="00611957"/>
    <w:rsid w:val="00612237"/>
    <w:rsid w:val="00613205"/>
    <w:rsid w:val="006141F0"/>
    <w:rsid w:val="006146A9"/>
    <w:rsid w:val="00615459"/>
    <w:rsid w:val="0061657E"/>
    <w:rsid w:val="006168EE"/>
    <w:rsid w:val="00617EE6"/>
    <w:rsid w:val="00620526"/>
    <w:rsid w:val="0062089E"/>
    <w:rsid w:val="006209D6"/>
    <w:rsid w:val="00621617"/>
    <w:rsid w:val="006216AD"/>
    <w:rsid w:val="00622526"/>
    <w:rsid w:val="0062315A"/>
    <w:rsid w:val="00623CE9"/>
    <w:rsid w:val="00623D81"/>
    <w:rsid w:val="0062417C"/>
    <w:rsid w:val="00624F91"/>
    <w:rsid w:val="00625A3A"/>
    <w:rsid w:val="00625D36"/>
    <w:rsid w:val="0062650A"/>
    <w:rsid w:val="00626EF3"/>
    <w:rsid w:val="0062713A"/>
    <w:rsid w:val="006274A5"/>
    <w:rsid w:val="0062798C"/>
    <w:rsid w:val="00627DB3"/>
    <w:rsid w:val="00630139"/>
    <w:rsid w:val="0063056D"/>
    <w:rsid w:val="00630600"/>
    <w:rsid w:val="006309B3"/>
    <w:rsid w:val="00630AAE"/>
    <w:rsid w:val="00630CA8"/>
    <w:rsid w:val="00631AE1"/>
    <w:rsid w:val="00631D67"/>
    <w:rsid w:val="006323DF"/>
    <w:rsid w:val="0063274F"/>
    <w:rsid w:val="00632DA7"/>
    <w:rsid w:val="00632FC2"/>
    <w:rsid w:val="00633040"/>
    <w:rsid w:val="006334CC"/>
    <w:rsid w:val="006338B6"/>
    <w:rsid w:val="006344D4"/>
    <w:rsid w:val="00634562"/>
    <w:rsid w:val="00634BA5"/>
    <w:rsid w:val="006350E6"/>
    <w:rsid w:val="0063561C"/>
    <w:rsid w:val="00635F90"/>
    <w:rsid w:val="00636537"/>
    <w:rsid w:val="00636702"/>
    <w:rsid w:val="00636817"/>
    <w:rsid w:val="00636929"/>
    <w:rsid w:val="00637A34"/>
    <w:rsid w:val="00637B5D"/>
    <w:rsid w:val="00640518"/>
    <w:rsid w:val="006414F4"/>
    <w:rsid w:val="006419CC"/>
    <w:rsid w:val="00641BD6"/>
    <w:rsid w:val="00642207"/>
    <w:rsid w:val="006430C0"/>
    <w:rsid w:val="00644647"/>
    <w:rsid w:val="006447DC"/>
    <w:rsid w:val="00644982"/>
    <w:rsid w:val="00645049"/>
    <w:rsid w:val="006450B5"/>
    <w:rsid w:val="006451D6"/>
    <w:rsid w:val="006452B7"/>
    <w:rsid w:val="00645BDD"/>
    <w:rsid w:val="00645F81"/>
    <w:rsid w:val="00645FCA"/>
    <w:rsid w:val="006463FB"/>
    <w:rsid w:val="00646752"/>
    <w:rsid w:val="00646EA9"/>
    <w:rsid w:val="00647141"/>
    <w:rsid w:val="00647417"/>
    <w:rsid w:val="00647600"/>
    <w:rsid w:val="00647725"/>
    <w:rsid w:val="0064783D"/>
    <w:rsid w:val="00647923"/>
    <w:rsid w:val="00651219"/>
    <w:rsid w:val="00651286"/>
    <w:rsid w:val="00651E1C"/>
    <w:rsid w:val="00652941"/>
    <w:rsid w:val="00652A6A"/>
    <w:rsid w:val="00652BD2"/>
    <w:rsid w:val="00653078"/>
    <w:rsid w:val="006538C6"/>
    <w:rsid w:val="00653C43"/>
    <w:rsid w:val="00654BC4"/>
    <w:rsid w:val="006559AC"/>
    <w:rsid w:val="00656188"/>
    <w:rsid w:val="00656329"/>
    <w:rsid w:val="0065703B"/>
    <w:rsid w:val="006575B7"/>
    <w:rsid w:val="00660164"/>
    <w:rsid w:val="006606F1"/>
    <w:rsid w:val="00660EAC"/>
    <w:rsid w:val="00661554"/>
    <w:rsid w:val="00661AD7"/>
    <w:rsid w:val="0066222E"/>
    <w:rsid w:val="00662B4F"/>
    <w:rsid w:val="0066345D"/>
    <w:rsid w:val="0066355B"/>
    <w:rsid w:val="00663CD4"/>
    <w:rsid w:val="006643C2"/>
    <w:rsid w:val="006643DD"/>
    <w:rsid w:val="00665498"/>
    <w:rsid w:val="00665BDC"/>
    <w:rsid w:val="00665DB8"/>
    <w:rsid w:val="0066618E"/>
    <w:rsid w:val="00666672"/>
    <w:rsid w:val="00666E14"/>
    <w:rsid w:val="006675E8"/>
    <w:rsid w:val="00667B38"/>
    <w:rsid w:val="006711B8"/>
    <w:rsid w:val="006711C1"/>
    <w:rsid w:val="0067213B"/>
    <w:rsid w:val="00672ECF"/>
    <w:rsid w:val="00673092"/>
    <w:rsid w:val="00673A2E"/>
    <w:rsid w:val="00673D93"/>
    <w:rsid w:val="00674024"/>
    <w:rsid w:val="006740B9"/>
    <w:rsid w:val="00674138"/>
    <w:rsid w:val="00675266"/>
    <w:rsid w:val="006756D3"/>
    <w:rsid w:val="006775F1"/>
    <w:rsid w:val="0068188F"/>
    <w:rsid w:val="006818D6"/>
    <w:rsid w:val="0068227C"/>
    <w:rsid w:val="0068236C"/>
    <w:rsid w:val="00682C15"/>
    <w:rsid w:val="00682FC6"/>
    <w:rsid w:val="006844D2"/>
    <w:rsid w:val="006852D6"/>
    <w:rsid w:val="00685970"/>
    <w:rsid w:val="00686814"/>
    <w:rsid w:val="00686D09"/>
    <w:rsid w:val="006873AC"/>
    <w:rsid w:val="00687D33"/>
    <w:rsid w:val="006905A3"/>
    <w:rsid w:val="00690C1A"/>
    <w:rsid w:val="00690E1F"/>
    <w:rsid w:val="006910DA"/>
    <w:rsid w:val="006919FD"/>
    <w:rsid w:val="00691B95"/>
    <w:rsid w:val="00691FC6"/>
    <w:rsid w:val="0069290D"/>
    <w:rsid w:val="0069290F"/>
    <w:rsid w:val="00692A36"/>
    <w:rsid w:val="00692B86"/>
    <w:rsid w:val="00693980"/>
    <w:rsid w:val="00693A75"/>
    <w:rsid w:val="00693C0A"/>
    <w:rsid w:val="006948EF"/>
    <w:rsid w:val="00694FA8"/>
    <w:rsid w:val="00695061"/>
    <w:rsid w:val="00695787"/>
    <w:rsid w:val="00695ACE"/>
    <w:rsid w:val="006960AE"/>
    <w:rsid w:val="00697500"/>
    <w:rsid w:val="00697928"/>
    <w:rsid w:val="006A0E10"/>
    <w:rsid w:val="006A1259"/>
    <w:rsid w:val="006A1684"/>
    <w:rsid w:val="006A279F"/>
    <w:rsid w:val="006A2D35"/>
    <w:rsid w:val="006A43BE"/>
    <w:rsid w:val="006A46A2"/>
    <w:rsid w:val="006A5444"/>
    <w:rsid w:val="006A54CC"/>
    <w:rsid w:val="006A5BF3"/>
    <w:rsid w:val="006A5FF9"/>
    <w:rsid w:val="006A61CE"/>
    <w:rsid w:val="006A63A6"/>
    <w:rsid w:val="006A6B10"/>
    <w:rsid w:val="006A7708"/>
    <w:rsid w:val="006B0F84"/>
    <w:rsid w:val="006B2903"/>
    <w:rsid w:val="006B4C73"/>
    <w:rsid w:val="006B517A"/>
    <w:rsid w:val="006B5E5C"/>
    <w:rsid w:val="006B66ED"/>
    <w:rsid w:val="006B67CB"/>
    <w:rsid w:val="006B71A0"/>
    <w:rsid w:val="006B73C9"/>
    <w:rsid w:val="006C0921"/>
    <w:rsid w:val="006C21FE"/>
    <w:rsid w:val="006C224B"/>
    <w:rsid w:val="006C23ED"/>
    <w:rsid w:val="006C3011"/>
    <w:rsid w:val="006C3395"/>
    <w:rsid w:val="006C340B"/>
    <w:rsid w:val="006C3678"/>
    <w:rsid w:val="006C3731"/>
    <w:rsid w:val="006C37FD"/>
    <w:rsid w:val="006C3809"/>
    <w:rsid w:val="006C3D5E"/>
    <w:rsid w:val="006C3F51"/>
    <w:rsid w:val="006C4148"/>
    <w:rsid w:val="006C4690"/>
    <w:rsid w:val="006C4C93"/>
    <w:rsid w:val="006C585A"/>
    <w:rsid w:val="006C5CD4"/>
    <w:rsid w:val="006C5D5C"/>
    <w:rsid w:val="006C654C"/>
    <w:rsid w:val="006C65D7"/>
    <w:rsid w:val="006C6D0C"/>
    <w:rsid w:val="006C70E1"/>
    <w:rsid w:val="006C771D"/>
    <w:rsid w:val="006C78CF"/>
    <w:rsid w:val="006D1040"/>
    <w:rsid w:val="006D179F"/>
    <w:rsid w:val="006D3141"/>
    <w:rsid w:val="006D315D"/>
    <w:rsid w:val="006D3878"/>
    <w:rsid w:val="006D4061"/>
    <w:rsid w:val="006D442B"/>
    <w:rsid w:val="006D4A15"/>
    <w:rsid w:val="006D50CC"/>
    <w:rsid w:val="006D6547"/>
    <w:rsid w:val="006D783D"/>
    <w:rsid w:val="006D7BBF"/>
    <w:rsid w:val="006D7D0B"/>
    <w:rsid w:val="006D7D95"/>
    <w:rsid w:val="006D7DB4"/>
    <w:rsid w:val="006E02FD"/>
    <w:rsid w:val="006E0570"/>
    <w:rsid w:val="006E161E"/>
    <w:rsid w:val="006E226D"/>
    <w:rsid w:val="006E25C6"/>
    <w:rsid w:val="006E2C55"/>
    <w:rsid w:val="006E373C"/>
    <w:rsid w:val="006E4B68"/>
    <w:rsid w:val="006E5087"/>
    <w:rsid w:val="006E53F6"/>
    <w:rsid w:val="006E572D"/>
    <w:rsid w:val="006E5BC5"/>
    <w:rsid w:val="006E60B8"/>
    <w:rsid w:val="006E60EF"/>
    <w:rsid w:val="006E6C9C"/>
    <w:rsid w:val="006E6DC4"/>
    <w:rsid w:val="006E7228"/>
    <w:rsid w:val="006E74BA"/>
    <w:rsid w:val="006E753D"/>
    <w:rsid w:val="006E788A"/>
    <w:rsid w:val="006E7AEC"/>
    <w:rsid w:val="006E7F32"/>
    <w:rsid w:val="006F073B"/>
    <w:rsid w:val="006F13E2"/>
    <w:rsid w:val="006F1F2D"/>
    <w:rsid w:val="006F2124"/>
    <w:rsid w:val="006F284F"/>
    <w:rsid w:val="006F2F46"/>
    <w:rsid w:val="006F2FCB"/>
    <w:rsid w:val="006F3434"/>
    <w:rsid w:val="006F36D5"/>
    <w:rsid w:val="006F3EFF"/>
    <w:rsid w:val="006F3F7A"/>
    <w:rsid w:val="006F4937"/>
    <w:rsid w:val="006F5729"/>
    <w:rsid w:val="006F632C"/>
    <w:rsid w:val="006F6DA6"/>
    <w:rsid w:val="006F7693"/>
    <w:rsid w:val="006F79AA"/>
    <w:rsid w:val="006F7DA9"/>
    <w:rsid w:val="007000CE"/>
    <w:rsid w:val="00700203"/>
    <w:rsid w:val="007003A0"/>
    <w:rsid w:val="00700ACE"/>
    <w:rsid w:val="007010DB"/>
    <w:rsid w:val="0070122C"/>
    <w:rsid w:val="00702E3A"/>
    <w:rsid w:val="00703102"/>
    <w:rsid w:val="0070326F"/>
    <w:rsid w:val="007034BD"/>
    <w:rsid w:val="00703E0E"/>
    <w:rsid w:val="00704292"/>
    <w:rsid w:val="00704627"/>
    <w:rsid w:val="00704993"/>
    <w:rsid w:val="00704BD6"/>
    <w:rsid w:val="007056FC"/>
    <w:rsid w:val="00705814"/>
    <w:rsid w:val="00705B67"/>
    <w:rsid w:val="00705CA0"/>
    <w:rsid w:val="00707981"/>
    <w:rsid w:val="00707B5D"/>
    <w:rsid w:val="00707D9C"/>
    <w:rsid w:val="00710886"/>
    <w:rsid w:val="00710A46"/>
    <w:rsid w:val="00711952"/>
    <w:rsid w:val="0071211E"/>
    <w:rsid w:val="00712593"/>
    <w:rsid w:val="00712F6A"/>
    <w:rsid w:val="007137AA"/>
    <w:rsid w:val="007137E2"/>
    <w:rsid w:val="007142E2"/>
    <w:rsid w:val="00714499"/>
    <w:rsid w:val="00714CE0"/>
    <w:rsid w:val="0071521E"/>
    <w:rsid w:val="00715993"/>
    <w:rsid w:val="00715A4D"/>
    <w:rsid w:val="00715E37"/>
    <w:rsid w:val="00715E3C"/>
    <w:rsid w:val="00715F19"/>
    <w:rsid w:val="00717E49"/>
    <w:rsid w:val="00717F03"/>
    <w:rsid w:val="00720AF2"/>
    <w:rsid w:val="0072110A"/>
    <w:rsid w:val="007212EB"/>
    <w:rsid w:val="00721702"/>
    <w:rsid w:val="00721856"/>
    <w:rsid w:val="00721AFA"/>
    <w:rsid w:val="007231B5"/>
    <w:rsid w:val="0072320E"/>
    <w:rsid w:val="007238E9"/>
    <w:rsid w:val="007239CD"/>
    <w:rsid w:val="00723CBA"/>
    <w:rsid w:val="00724400"/>
    <w:rsid w:val="00724FB6"/>
    <w:rsid w:val="007250AC"/>
    <w:rsid w:val="007255F9"/>
    <w:rsid w:val="00725A78"/>
    <w:rsid w:val="00726428"/>
    <w:rsid w:val="0072745C"/>
    <w:rsid w:val="007274C3"/>
    <w:rsid w:val="00730084"/>
    <w:rsid w:val="00731A86"/>
    <w:rsid w:val="00731C41"/>
    <w:rsid w:val="007321E9"/>
    <w:rsid w:val="0073236E"/>
    <w:rsid w:val="00732C76"/>
    <w:rsid w:val="00733A93"/>
    <w:rsid w:val="00733B6D"/>
    <w:rsid w:val="00734173"/>
    <w:rsid w:val="00734233"/>
    <w:rsid w:val="00734C85"/>
    <w:rsid w:val="0073591F"/>
    <w:rsid w:val="00735BC1"/>
    <w:rsid w:val="007365F3"/>
    <w:rsid w:val="00736BDA"/>
    <w:rsid w:val="00737FA1"/>
    <w:rsid w:val="007400B2"/>
    <w:rsid w:val="00740906"/>
    <w:rsid w:val="00741000"/>
    <w:rsid w:val="0074103E"/>
    <w:rsid w:val="00741FFF"/>
    <w:rsid w:val="00742861"/>
    <w:rsid w:val="007428CB"/>
    <w:rsid w:val="007431AA"/>
    <w:rsid w:val="00743369"/>
    <w:rsid w:val="0074393D"/>
    <w:rsid w:val="007444D0"/>
    <w:rsid w:val="00746598"/>
    <w:rsid w:val="00747571"/>
    <w:rsid w:val="00747798"/>
    <w:rsid w:val="00747973"/>
    <w:rsid w:val="00747C5E"/>
    <w:rsid w:val="0075076C"/>
    <w:rsid w:val="007508B5"/>
    <w:rsid w:val="00751435"/>
    <w:rsid w:val="0075153D"/>
    <w:rsid w:val="00751545"/>
    <w:rsid w:val="00751E39"/>
    <w:rsid w:val="00752557"/>
    <w:rsid w:val="00752F9B"/>
    <w:rsid w:val="007530E2"/>
    <w:rsid w:val="0075363C"/>
    <w:rsid w:val="0075404D"/>
    <w:rsid w:val="0075426E"/>
    <w:rsid w:val="007543E8"/>
    <w:rsid w:val="007549DA"/>
    <w:rsid w:val="00754C65"/>
    <w:rsid w:val="00757A24"/>
    <w:rsid w:val="00760041"/>
    <w:rsid w:val="00760C6F"/>
    <w:rsid w:val="00761028"/>
    <w:rsid w:val="00761F83"/>
    <w:rsid w:val="00762064"/>
    <w:rsid w:val="00762439"/>
    <w:rsid w:val="00762676"/>
    <w:rsid w:val="0076375D"/>
    <w:rsid w:val="00763FDA"/>
    <w:rsid w:val="0076426F"/>
    <w:rsid w:val="007643DD"/>
    <w:rsid w:val="00764D1D"/>
    <w:rsid w:val="00765572"/>
    <w:rsid w:val="00765700"/>
    <w:rsid w:val="00765DE4"/>
    <w:rsid w:val="00765E1D"/>
    <w:rsid w:val="0076671C"/>
    <w:rsid w:val="00766AB3"/>
    <w:rsid w:val="00766D2B"/>
    <w:rsid w:val="00770175"/>
    <w:rsid w:val="007701B9"/>
    <w:rsid w:val="007701D4"/>
    <w:rsid w:val="00771875"/>
    <w:rsid w:val="00771B96"/>
    <w:rsid w:val="00771E51"/>
    <w:rsid w:val="00771E6B"/>
    <w:rsid w:val="0077221B"/>
    <w:rsid w:val="00772303"/>
    <w:rsid w:val="00772E1F"/>
    <w:rsid w:val="00773264"/>
    <w:rsid w:val="00773430"/>
    <w:rsid w:val="00773DB2"/>
    <w:rsid w:val="00774422"/>
    <w:rsid w:val="00774F05"/>
    <w:rsid w:val="00775335"/>
    <w:rsid w:val="00775CF3"/>
    <w:rsid w:val="00776434"/>
    <w:rsid w:val="00776DF1"/>
    <w:rsid w:val="007772CC"/>
    <w:rsid w:val="007773F8"/>
    <w:rsid w:val="00777A80"/>
    <w:rsid w:val="00780431"/>
    <w:rsid w:val="00780666"/>
    <w:rsid w:val="00780ABB"/>
    <w:rsid w:val="0078119E"/>
    <w:rsid w:val="0078125E"/>
    <w:rsid w:val="00781751"/>
    <w:rsid w:val="00782641"/>
    <w:rsid w:val="00782F11"/>
    <w:rsid w:val="0078478B"/>
    <w:rsid w:val="00784920"/>
    <w:rsid w:val="00785A31"/>
    <w:rsid w:val="00785AE6"/>
    <w:rsid w:val="0078635B"/>
    <w:rsid w:val="007868A1"/>
    <w:rsid w:val="00786A2F"/>
    <w:rsid w:val="0078720C"/>
    <w:rsid w:val="0079083C"/>
    <w:rsid w:val="00790E5C"/>
    <w:rsid w:val="00791868"/>
    <w:rsid w:val="00791B37"/>
    <w:rsid w:val="00792319"/>
    <w:rsid w:val="00792995"/>
    <w:rsid w:val="007931DA"/>
    <w:rsid w:val="00793295"/>
    <w:rsid w:val="00793CC9"/>
    <w:rsid w:val="00794F69"/>
    <w:rsid w:val="00795895"/>
    <w:rsid w:val="00795B26"/>
    <w:rsid w:val="00797006"/>
    <w:rsid w:val="00797340"/>
    <w:rsid w:val="00797C18"/>
    <w:rsid w:val="00797CFB"/>
    <w:rsid w:val="00797DFB"/>
    <w:rsid w:val="00797E31"/>
    <w:rsid w:val="007A0B3E"/>
    <w:rsid w:val="007A0D19"/>
    <w:rsid w:val="007A1526"/>
    <w:rsid w:val="007A1AD3"/>
    <w:rsid w:val="007A2D71"/>
    <w:rsid w:val="007A3864"/>
    <w:rsid w:val="007A3946"/>
    <w:rsid w:val="007A46A6"/>
    <w:rsid w:val="007A4CD1"/>
    <w:rsid w:val="007A4CDD"/>
    <w:rsid w:val="007A4F21"/>
    <w:rsid w:val="007A54B6"/>
    <w:rsid w:val="007A5BD0"/>
    <w:rsid w:val="007A5CA1"/>
    <w:rsid w:val="007A6555"/>
    <w:rsid w:val="007A6A23"/>
    <w:rsid w:val="007A6B12"/>
    <w:rsid w:val="007A6C56"/>
    <w:rsid w:val="007A6F70"/>
    <w:rsid w:val="007A7639"/>
    <w:rsid w:val="007A7E22"/>
    <w:rsid w:val="007B00BC"/>
    <w:rsid w:val="007B025D"/>
    <w:rsid w:val="007B04E3"/>
    <w:rsid w:val="007B053C"/>
    <w:rsid w:val="007B0E74"/>
    <w:rsid w:val="007B139D"/>
    <w:rsid w:val="007B1438"/>
    <w:rsid w:val="007B31EF"/>
    <w:rsid w:val="007B370A"/>
    <w:rsid w:val="007B43A7"/>
    <w:rsid w:val="007B4AC3"/>
    <w:rsid w:val="007B5467"/>
    <w:rsid w:val="007B5723"/>
    <w:rsid w:val="007B5DF4"/>
    <w:rsid w:val="007B6C5F"/>
    <w:rsid w:val="007B7490"/>
    <w:rsid w:val="007B7A95"/>
    <w:rsid w:val="007B7F5B"/>
    <w:rsid w:val="007C0279"/>
    <w:rsid w:val="007C0927"/>
    <w:rsid w:val="007C0DD5"/>
    <w:rsid w:val="007C149E"/>
    <w:rsid w:val="007C1879"/>
    <w:rsid w:val="007C18A0"/>
    <w:rsid w:val="007C1A62"/>
    <w:rsid w:val="007C21D1"/>
    <w:rsid w:val="007C38F3"/>
    <w:rsid w:val="007C3FEA"/>
    <w:rsid w:val="007C4565"/>
    <w:rsid w:val="007C47EB"/>
    <w:rsid w:val="007C4CCA"/>
    <w:rsid w:val="007C79E6"/>
    <w:rsid w:val="007C7A00"/>
    <w:rsid w:val="007C7A18"/>
    <w:rsid w:val="007C7F6C"/>
    <w:rsid w:val="007D01EA"/>
    <w:rsid w:val="007D12E8"/>
    <w:rsid w:val="007D1DBF"/>
    <w:rsid w:val="007D3355"/>
    <w:rsid w:val="007D5A27"/>
    <w:rsid w:val="007D5AD3"/>
    <w:rsid w:val="007D5AE3"/>
    <w:rsid w:val="007D5CF8"/>
    <w:rsid w:val="007D6F3A"/>
    <w:rsid w:val="007D70FC"/>
    <w:rsid w:val="007D7299"/>
    <w:rsid w:val="007D7F52"/>
    <w:rsid w:val="007E1534"/>
    <w:rsid w:val="007E271F"/>
    <w:rsid w:val="007E3224"/>
    <w:rsid w:val="007E3311"/>
    <w:rsid w:val="007E3692"/>
    <w:rsid w:val="007E3D25"/>
    <w:rsid w:val="007E40D4"/>
    <w:rsid w:val="007E4489"/>
    <w:rsid w:val="007E5286"/>
    <w:rsid w:val="007E5460"/>
    <w:rsid w:val="007E57E4"/>
    <w:rsid w:val="007E5B2E"/>
    <w:rsid w:val="007E5DA9"/>
    <w:rsid w:val="007E61B0"/>
    <w:rsid w:val="007E6330"/>
    <w:rsid w:val="007E664E"/>
    <w:rsid w:val="007E6678"/>
    <w:rsid w:val="007E6DA2"/>
    <w:rsid w:val="007F15D4"/>
    <w:rsid w:val="007F1935"/>
    <w:rsid w:val="007F1BE7"/>
    <w:rsid w:val="007F2E0B"/>
    <w:rsid w:val="007F31FE"/>
    <w:rsid w:val="007F3637"/>
    <w:rsid w:val="007F3780"/>
    <w:rsid w:val="007F3808"/>
    <w:rsid w:val="007F3DD6"/>
    <w:rsid w:val="007F4254"/>
    <w:rsid w:val="007F4286"/>
    <w:rsid w:val="007F521E"/>
    <w:rsid w:val="007F547D"/>
    <w:rsid w:val="007F5A74"/>
    <w:rsid w:val="007F6367"/>
    <w:rsid w:val="007F6E50"/>
    <w:rsid w:val="007F7029"/>
    <w:rsid w:val="007F7628"/>
    <w:rsid w:val="007F7854"/>
    <w:rsid w:val="007F7E21"/>
    <w:rsid w:val="00800B6A"/>
    <w:rsid w:val="00801581"/>
    <w:rsid w:val="00801C13"/>
    <w:rsid w:val="00802686"/>
    <w:rsid w:val="00802B54"/>
    <w:rsid w:val="008030F7"/>
    <w:rsid w:val="008053B3"/>
    <w:rsid w:val="00805ADB"/>
    <w:rsid w:val="008069DF"/>
    <w:rsid w:val="008102D0"/>
    <w:rsid w:val="0081136B"/>
    <w:rsid w:val="00811573"/>
    <w:rsid w:val="00811671"/>
    <w:rsid w:val="008118F3"/>
    <w:rsid w:val="008120FA"/>
    <w:rsid w:val="008124F0"/>
    <w:rsid w:val="008131EA"/>
    <w:rsid w:val="008134C3"/>
    <w:rsid w:val="0081373E"/>
    <w:rsid w:val="00813ABF"/>
    <w:rsid w:val="008146AE"/>
    <w:rsid w:val="00814860"/>
    <w:rsid w:val="008151A7"/>
    <w:rsid w:val="0081666E"/>
    <w:rsid w:val="008167AA"/>
    <w:rsid w:val="00816F4F"/>
    <w:rsid w:val="0081701C"/>
    <w:rsid w:val="008171C0"/>
    <w:rsid w:val="00817312"/>
    <w:rsid w:val="00817C9C"/>
    <w:rsid w:val="0082029F"/>
    <w:rsid w:val="00820C6C"/>
    <w:rsid w:val="0082109D"/>
    <w:rsid w:val="008210B2"/>
    <w:rsid w:val="008210C5"/>
    <w:rsid w:val="00821A79"/>
    <w:rsid w:val="00821AD2"/>
    <w:rsid w:val="00821C00"/>
    <w:rsid w:val="00822A92"/>
    <w:rsid w:val="00822BBB"/>
    <w:rsid w:val="00823671"/>
    <w:rsid w:val="008240EB"/>
    <w:rsid w:val="0082459F"/>
    <w:rsid w:val="008247CA"/>
    <w:rsid w:val="00824940"/>
    <w:rsid w:val="00824DFB"/>
    <w:rsid w:val="00825749"/>
    <w:rsid w:val="00825B33"/>
    <w:rsid w:val="00825D1E"/>
    <w:rsid w:val="00825E8D"/>
    <w:rsid w:val="00827265"/>
    <w:rsid w:val="008273D6"/>
    <w:rsid w:val="00827732"/>
    <w:rsid w:val="0083107E"/>
    <w:rsid w:val="008312FB"/>
    <w:rsid w:val="00831926"/>
    <w:rsid w:val="00832422"/>
    <w:rsid w:val="0083295C"/>
    <w:rsid w:val="00832AAE"/>
    <w:rsid w:val="00833290"/>
    <w:rsid w:val="00833C32"/>
    <w:rsid w:val="00833D0A"/>
    <w:rsid w:val="00834793"/>
    <w:rsid w:val="008358BF"/>
    <w:rsid w:val="00835FA1"/>
    <w:rsid w:val="00835FF6"/>
    <w:rsid w:val="00836D4E"/>
    <w:rsid w:val="008371D3"/>
    <w:rsid w:val="00837384"/>
    <w:rsid w:val="008379F1"/>
    <w:rsid w:val="00837E90"/>
    <w:rsid w:val="00840EB3"/>
    <w:rsid w:val="00841052"/>
    <w:rsid w:val="0084108E"/>
    <w:rsid w:val="008417E7"/>
    <w:rsid w:val="0084184B"/>
    <w:rsid w:val="0084194F"/>
    <w:rsid w:val="0084215F"/>
    <w:rsid w:val="008423AF"/>
    <w:rsid w:val="00842D7F"/>
    <w:rsid w:val="008435C9"/>
    <w:rsid w:val="00843BF4"/>
    <w:rsid w:val="008449F3"/>
    <w:rsid w:val="00845256"/>
    <w:rsid w:val="00845F87"/>
    <w:rsid w:val="0084612F"/>
    <w:rsid w:val="008461E3"/>
    <w:rsid w:val="008465D7"/>
    <w:rsid w:val="008466E2"/>
    <w:rsid w:val="00847229"/>
    <w:rsid w:val="00847C29"/>
    <w:rsid w:val="00847F02"/>
    <w:rsid w:val="0085015A"/>
    <w:rsid w:val="008501AD"/>
    <w:rsid w:val="00851117"/>
    <w:rsid w:val="008520D9"/>
    <w:rsid w:val="00852D42"/>
    <w:rsid w:val="00852F1B"/>
    <w:rsid w:val="008533E3"/>
    <w:rsid w:val="00853507"/>
    <w:rsid w:val="0085547E"/>
    <w:rsid w:val="00855B8F"/>
    <w:rsid w:val="00855D9E"/>
    <w:rsid w:val="0085642D"/>
    <w:rsid w:val="008569C2"/>
    <w:rsid w:val="00857489"/>
    <w:rsid w:val="00857529"/>
    <w:rsid w:val="00857CDB"/>
    <w:rsid w:val="008601D5"/>
    <w:rsid w:val="00860294"/>
    <w:rsid w:val="00860FCC"/>
    <w:rsid w:val="00861913"/>
    <w:rsid w:val="008619AE"/>
    <w:rsid w:val="00862541"/>
    <w:rsid w:val="00862D74"/>
    <w:rsid w:val="00862F6A"/>
    <w:rsid w:val="00863A12"/>
    <w:rsid w:val="008648E2"/>
    <w:rsid w:val="00865C94"/>
    <w:rsid w:val="0086696F"/>
    <w:rsid w:val="008707AD"/>
    <w:rsid w:val="00870BC6"/>
    <w:rsid w:val="00870C6C"/>
    <w:rsid w:val="0087108E"/>
    <w:rsid w:val="008716F9"/>
    <w:rsid w:val="008718AC"/>
    <w:rsid w:val="00872042"/>
    <w:rsid w:val="008720C9"/>
    <w:rsid w:val="00873007"/>
    <w:rsid w:val="008732CA"/>
    <w:rsid w:val="0087368F"/>
    <w:rsid w:val="00873782"/>
    <w:rsid w:val="00873F4B"/>
    <w:rsid w:val="0087433F"/>
    <w:rsid w:val="00874D0E"/>
    <w:rsid w:val="00874E0D"/>
    <w:rsid w:val="0087597A"/>
    <w:rsid w:val="008762D0"/>
    <w:rsid w:val="0087737B"/>
    <w:rsid w:val="008802BF"/>
    <w:rsid w:val="008819AB"/>
    <w:rsid w:val="008819D3"/>
    <w:rsid w:val="00881F65"/>
    <w:rsid w:val="00881FAD"/>
    <w:rsid w:val="008825AA"/>
    <w:rsid w:val="00882732"/>
    <w:rsid w:val="00882D34"/>
    <w:rsid w:val="00882D57"/>
    <w:rsid w:val="00882E8D"/>
    <w:rsid w:val="008831DC"/>
    <w:rsid w:val="0088332A"/>
    <w:rsid w:val="00883C9F"/>
    <w:rsid w:val="00884203"/>
    <w:rsid w:val="0088454E"/>
    <w:rsid w:val="008854DC"/>
    <w:rsid w:val="0088608A"/>
    <w:rsid w:val="00886A8C"/>
    <w:rsid w:val="00886E61"/>
    <w:rsid w:val="00886F2B"/>
    <w:rsid w:val="00887886"/>
    <w:rsid w:val="008878E5"/>
    <w:rsid w:val="00887C88"/>
    <w:rsid w:val="0089046E"/>
    <w:rsid w:val="00890DF3"/>
    <w:rsid w:val="008916A8"/>
    <w:rsid w:val="00891CAC"/>
    <w:rsid w:val="008924BC"/>
    <w:rsid w:val="0089263A"/>
    <w:rsid w:val="008936FB"/>
    <w:rsid w:val="00893CF4"/>
    <w:rsid w:val="0089411F"/>
    <w:rsid w:val="00894429"/>
    <w:rsid w:val="00894C20"/>
    <w:rsid w:val="00894E59"/>
    <w:rsid w:val="00895658"/>
    <w:rsid w:val="00895FD6"/>
    <w:rsid w:val="008A02BA"/>
    <w:rsid w:val="008A0719"/>
    <w:rsid w:val="008A092B"/>
    <w:rsid w:val="008A0A57"/>
    <w:rsid w:val="008A0AA1"/>
    <w:rsid w:val="008A0CBE"/>
    <w:rsid w:val="008A0E82"/>
    <w:rsid w:val="008A13C8"/>
    <w:rsid w:val="008A1457"/>
    <w:rsid w:val="008A14E0"/>
    <w:rsid w:val="008A174F"/>
    <w:rsid w:val="008A1AF7"/>
    <w:rsid w:val="008A1DC7"/>
    <w:rsid w:val="008A20A5"/>
    <w:rsid w:val="008A20FB"/>
    <w:rsid w:val="008A2173"/>
    <w:rsid w:val="008A2410"/>
    <w:rsid w:val="008A2D3E"/>
    <w:rsid w:val="008A3706"/>
    <w:rsid w:val="008A3BFA"/>
    <w:rsid w:val="008A3C3A"/>
    <w:rsid w:val="008A3C80"/>
    <w:rsid w:val="008A4D39"/>
    <w:rsid w:val="008A4E48"/>
    <w:rsid w:val="008A526E"/>
    <w:rsid w:val="008A52D3"/>
    <w:rsid w:val="008A5C49"/>
    <w:rsid w:val="008A5D4A"/>
    <w:rsid w:val="008A6100"/>
    <w:rsid w:val="008A6E12"/>
    <w:rsid w:val="008A7914"/>
    <w:rsid w:val="008A7B18"/>
    <w:rsid w:val="008B0267"/>
    <w:rsid w:val="008B09CA"/>
    <w:rsid w:val="008B0AC0"/>
    <w:rsid w:val="008B0CC7"/>
    <w:rsid w:val="008B117C"/>
    <w:rsid w:val="008B11CA"/>
    <w:rsid w:val="008B1842"/>
    <w:rsid w:val="008B1D70"/>
    <w:rsid w:val="008B1E31"/>
    <w:rsid w:val="008B1FA9"/>
    <w:rsid w:val="008B24D1"/>
    <w:rsid w:val="008B250D"/>
    <w:rsid w:val="008B26DC"/>
    <w:rsid w:val="008B2C1A"/>
    <w:rsid w:val="008B2EA6"/>
    <w:rsid w:val="008B3CFA"/>
    <w:rsid w:val="008B3D55"/>
    <w:rsid w:val="008B51DF"/>
    <w:rsid w:val="008B53F7"/>
    <w:rsid w:val="008B5A17"/>
    <w:rsid w:val="008B5A2B"/>
    <w:rsid w:val="008B5D90"/>
    <w:rsid w:val="008B6276"/>
    <w:rsid w:val="008B65A0"/>
    <w:rsid w:val="008B6B16"/>
    <w:rsid w:val="008B7070"/>
    <w:rsid w:val="008B71C1"/>
    <w:rsid w:val="008B7523"/>
    <w:rsid w:val="008B7A71"/>
    <w:rsid w:val="008B7DEF"/>
    <w:rsid w:val="008C0255"/>
    <w:rsid w:val="008C02A0"/>
    <w:rsid w:val="008C0C88"/>
    <w:rsid w:val="008C0E4B"/>
    <w:rsid w:val="008C1B82"/>
    <w:rsid w:val="008C3121"/>
    <w:rsid w:val="008C3308"/>
    <w:rsid w:val="008C34B0"/>
    <w:rsid w:val="008C386F"/>
    <w:rsid w:val="008C3F0B"/>
    <w:rsid w:val="008C45D7"/>
    <w:rsid w:val="008C4A81"/>
    <w:rsid w:val="008C7CF4"/>
    <w:rsid w:val="008C7DA1"/>
    <w:rsid w:val="008D0025"/>
    <w:rsid w:val="008D01BE"/>
    <w:rsid w:val="008D029F"/>
    <w:rsid w:val="008D10D2"/>
    <w:rsid w:val="008D1263"/>
    <w:rsid w:val="008D168F"/>
    <w:rsid w:val="008D1D9A"/>
    <w:rsid w:val="008D23D8"/>
    <w:rsid w:val="008D242C"/>
    <w:rsid w:val="008D2435"/>
    <w:rsid w:val="008D302A"/>
    <w:rsid w:val="008D313D"/>
    <w:rsid w:val="008D3285"/>
    <w:rsid w:val="008D33FC"/>
    <w:rsid w:val="008D34DC"/>
    <w:rsid w:val="008D357B"/>
    <w:rsid w:val="008D35DE"/>
    <w:rsid w:val="008D40FB"/>
    <w:rsid w:val="008D44C3"/>
    <w:rsid w:val="008D481A"/>
    <w:rsid w:val="008D49C5"/>
    <w:rsid w:val="008D4EE5"/>
    <w:rsid w:val="008D5FA5"/>
    <w:rsid w:val="008D6222"/>
    <w:rsid w:val="008D6D1B"/>
    <w:rsid w:val="008D7B01"/>
    <w:rsid w:val="008D7DC0"/>
    <w:rsid w:val="008E0A2C"/>
    <w:rsid w:val="008E13C8"/>
    <w:rsid w:val="008E1DF8"/>
    <w:rsid w:val="008E1E04"/>
    <w:rsid w:val="008E2B66"/>
    <w:rsid w:val="008E2C35"/>
    <w:rsid w:val="008E331A"/>
    <w:rsid w:val="008E350B"/>
    <w:rsid w:val="008E3879"/>
    <w:rsid w:val="008E3CB9"/>
    <w:rsid w:val="008E550A"/>
    <w:rsid w:val="008E581A"/>
    <w:rsid w:val="008E5912"/>
    <w:rsid w:val="008E5A5A"/>
    <w:rsid w:val="008E5F37"/>
    <w:rsid w:val="008E6526"/>
    <w:rsid w:val="008E674A"/>
    <w:rsid w:val="008E69A3"/>
    <w:rsid w:val="008E69DE"/>
    <w:rsid w:val="008E70BA"/>
    <w:rsid w:val="008E7658"/>
    <w:rsid w:val="008F13ED"/>
    <w:rsid w:val="008F1700"/>
    <w:rsid w:val="008F18E9"/>
    <w:rsid w:val="008F2866"/>
    <w:rsid w:val="008F2DAD"/>
    <w:rsid w:val="008F2E72"/>
    <w:rsid w:val="008F388D"/>
    <w:rsid w:val="008F3A3D"/>
    <w:rsid w:val="008F3E13"/>
    <w:rsid w:val="008F4227"/>
    <w:rsid w:val="008F4A1E"/>
    <w:rsid w:val="008F5771"/>
    <w:rsid w:val="008F58FC"/>
    <w:rsid w:val="008F5AF7"/>
    <w:rsid w:val="008F5D6B"/>
    <w:rsid w:val="008F5FEC"/>
    <w:rsid w:val="008F69C7"/>
    <w:rsid w:val="008F7385"/>
    <w:rsid w:val="008F770F"/>
    <w:rsid w:val="008F7E84"/>
    <w:rsid w:val="00900FD0"/>
    <w:rsid w:val="00902973"/>
    <w:rsid w:val="00902C7A"/>
    <w:rsid w:val="00902FD6"/>
    <w:rsid w:val="0090300C"/>
    <w:rsid w:val="009033DA"/>
    <w:rsid w:val="009034D6"/>
    <w:rsid w:val="009037B6"/>
    <w:rsid w:val="00904BD9"/>
    <w:rsid w:val="00905404"/>
    <w:rsid w:val="0090645F"/>
    <w:rsid w:val="009065DE"/>
    <w:rsid w:val="00906E43"/>
    <w:rsid w:val="00907B78"/>
    <w:rsid w:val="00907CFF"/>
    <w:rsid w:val="009101B8"/>
    <w:rsid w:val="00910563"/>
    <w:rsid w:val="00911581"/>
    <w:rsid w:val="009119D2"/>
    <w:rsid w:val="00912473"/>
    <w:rsid w:val="00912DB1"/>
    <w:rsid w:val="00912F40"/>
    <w:rsid w:val="0091316B"/>
    <w:rsid w:val="0091373C"/>
    <w:rsid w:val="00913981"/>
    <w:rsid w:val="00913B2F"/>
    <w:rsid w:val="009144D6"/>
    <w:rsid w:val="00915751"/>
    <w:rsid w:val="00916CF5"/>
    <w:rsid w:val="0091744E"/>
    <w:rsid w:val="00920C3B"/>
    <w:rsid w:val="00920C78"/>
    <w:rsid w:val="00920F50"/>
    <w:rsid w:val="00920F52"/>
    <w:rsid w:val="00920FA3"/>
    <w:rsid w:val="00921FD7"/>
    <w:rsid w:val="00922DD7"/>
    <w:rsid w:val="0092355B"/>
    <w:rsid w:val="00923845"/>
    <w:rsid w:val="00923889"/>
    <w:rsid w:val="00924248"/>
    <w:rsid w:val="00924923"/>
    <w:rsid w:val="00924DA9"/>
    <w:rsid w:val="00924EDE"/>
    <w:rsid w:val="00925201"/>
    <w:rsid w:val="00926AA2"/>
    <w:rsid w:val="00927270"/>
    <w:rsid w:val="00927383"/>
    <w:rsid w:val="0092766E"/>
    <w:rsid w:val="00927BAB"/>
    <w:rsid w:val="00927FE6"/>
    <w:rsid w:val="00930E6E"/>
    <w:rsid w:val="00931118"/>
    <w:rsid w:val="009322D7"/>
    <w:rsid w:val="009322F0"/>
    <w:rsid w:val="00933B55"/>
    <w:rsid w:val="009346A0"/>
    <w:rsid w:val="009348B6"/>
    <w:rsid w:val="009348DB"/>
    <w:rsid w:val="00934EB5"/>
    <w:rsid w:val="00935D67"/>
    <w:rsid w:val="00935EE3"/>
    <w:rsid w:val="009369CE"/>
    <w:rsid w:val="00937110"/>
    <w:rsid w:val="00937837"/>
    <w:rsid w:val="00937D86"/>
    <w:rsid w:val="00940013"/>
    <w:rsid w:val="009405CA"/>
    <w:rsid w:val="00940ADC"/>
    <w:rsid w:val="00940B01"/>
    <w:rsid w:val="00941512"/>
    <w:rsid w:val="009418CB"/>
    <w:rsid w:val="00941C05"/>
    <w:rsid w:val="00942628"/>
    <w:rsid w:val="00942744"/>
    <w:rsid w:val="00943B94"/>
    <w:rsid w:val="00944A24"/>
    <w:rsid w:val="00945245"/>
    <w:rsid w:val="009463D8"/>
    <w:rsid w:val="00947CEB"/>
    <w:rsid w:val="0095076C"/>
    <w:rsid w:val="009508E7"/>
    <w:rsid w:val="00950A99"/>
    <w:rsid w:val="00951283"/>
    <w:rsid w:val="00951404"/>
    <w:rsid w:val="00952B47"/>
    <w:rsid w:val="00952D77"/>
    <w:rsid w:val="00953523"/>
    <w:rsid w:val="00953620"/>
    <w:rsid w:val="00953A0D"/>
    <w:rsid w:val="00954597"/>
    <w:rsid w:val="009551A5"/>
    <w:rsid w:val="009552F9"/>
    <w:rsid w:val="00955530"/>
    <w:rsid w:val="00955663"/>
    <w:rsid w:val="00955791"/>
    <w:rsid w:val="009558D5"/>
    <w:rsid w:val="00955EBF"/>
    <w:rsid w:val="009563F9"/>
    <w:rsid w:val="00956BE1"/>
    <w:rsid w:val="0096047B"/>
    <w:rsid w:val="00960A07"/>
    <w:rsid w:val="00960C29"/>
    <w:rsid w:val="00960FD6"/>
    <w:rsid w:val="00961240"/>
    <w:rsid w:val="00961260"/>
    <w:rsid w:val="009613F1"/>
    <w:rsid w:val="0096194C"/>
    <w:rsid w:val="00961BAD"/>
    <w:rsid w:val="00962370"/>
    <w:rsid w:val="00962617"/>
    <w:rsid w:val="009626AC"/>
    <w:rsid w:val="00963009"/>
    <w:rsid w:val="00964A44"/>
    <w:rsid w:val="00964A69"/>
    <w:rsid w:val="00964BD7"/>
    <w:rsid w:val="00964C2F"/>
    <w:rsid w:val="00964F33"/>
    <w:rsid w:val="00965B7E"/>
    <w:rsid w:val="0096651B"/>
    <w:rsid w:val="00966D88"/>
    <w:rsid w:val="00967B25"/>
    <w:rsid w:val="009709A0"/>
    <w:rsid w:val="00971E39"/>
    <w:rsid w:val="00971F3A"/>
    <w:rsid w:val="00972097"/>
    <w:rsid w:val="009720E3"/>
    <w:rsid w:val="00972866"/>
    <w:rsid w:val="00972A20"/>
    <w:rsid w:val="009736E6"/>
    <w:rsid w:val="00973BEA"/>
    <w:rsid w:val="00974291"/>
    <w:rsid w:val="009749C6"/>
    <w:rsid w:val="00974A74"/>
    <w:rsid w:val="00974EDD"/>
    <w:rsid w:val="009752B8"/>
    <w:rsid w:val="009754E6"/>
    <w:rsid w:val="00976676"/>
    <w:rsid w:val="00976F9A"/>
    <w:rsid w:val="009770F7"/>
    <w:rsid w:val="00977769"/>
    <w:rsid w:val="00977A27"/>
    <w:rsid w:val="00977BA1"/>
    <w:rsid w:val="009807E9"/>
    <w:rsid w:val="0098190A"/>
    <w:rsid w:val="00981C43"/>
    <w:rsid w:val="00983A10"/>
    <w:rsid w:val="009844BD"/>
    <w:rsid w:val="00984A4A"/>
    <w:rsid w:val="0098519A"/>
    <w:rsid w:val="0098580A"/>
    <w:rsid w:val="00985985"/>
    <w:rsid w:val="00985B21"/>
    <w:rsid w:val="00986312"/>
    <w:rsid w:val="00987695"/>
    <w:rsid w:val="0099120E"/>
    <w:rsid w:val="0099123B"/>
    <w:rsid w:val="0099149C"/>
    <w:rsid w:val="009918E1"/>
    <w:rsid w:val="0099233E"/>
    <w:rsid w:val="0099237C"/>
    <w:rsid w:val="0099250D"/>
    <w:rsid w:val="00992704"/>
    <w:rsid w:val="00992BFD"/>
    <w:rsid w:val="00992F2E"/>
    <w:rsid w:val="009938B2"/>
    <w:rsid w:val="00993FC8"/>
    <w:rsid w:val="009940BC"/>
    <w:rsid w:val="00994F26"/>
    <w:rsid w:val="0099564B"/>
    <w:rsid w:val="009957AE"/>
    <w:rsid w:val="00995A68"/>
    <w:rsid w:val="0099638A"/>
    <w:rsid w:val="00996687"/>
    <w:rsid w:val="00996CE9"/>
    <w:rsid w:val="00997471"/>
    <w:rsid w:val="00997BF0"/>
    <w:rsid w:val="00997E2E"/>
    <w:rsid w:val="009A0007"/>
    <w:rsid w:val="009A040E"/>
    <w:rsid w:val="009A0496"/>
    <w:rsid w:val="009A07AE"/>
    <w:rsid w:val="009A17AC"/>
    <w:rsid w:val="009A1A11"/>
    <w:rsid w:val="009A313E"/>
    <w:rsid w:val="009A31AF"/>
    <w:rsid w:val="009A3AAF"/>
    <w:rsid w:val="009A3FCD"/>
    <w:rsid w:val="009A4180"/>
    <w:rsid w:val="009A443A"/>
    <w:rsid w:val="009A4548"/>
    <w:rsid w:val="009A4DC1"/>
    <w:rsid w:val="009A57BD"/>
    <w:rsid w:val="009A6B2F"/>
    <w:rsid w:val="009A6C12"/>
    <w:rsid w:val="009A6CB8"/>
    <w:rsid w:val="009A7524"/>
    <w:rsid w:val="009A7708"/>
    <w:rsid w:val="009B0190"/>
    <w:rsid w:val="009B0431"/>
    <w:rsid w:val="009B0894"/>
    <w:rsid w:val="009B0C8A"/>
    <w:rsid w:val="009B1885"/>
    <w:rsid w:val="009B22F6"/>
    <w:rsid w:val="009B24DA"/>
    <w:rsid w:val="009B2FEB"/>
    <w:rsid w:val="009B3B7A"/>
    <w:rsid w:val="009B3C98"/>
    <w:rsid w:val="009B5BC3"/>
    <w:rsid w:val="009B6FE8"/>
    <w:rsid w:val="009C0521"/>
    <w:rsid w:val="009C1EDD"/>
    <w:rsid w:val="009C2948"/>
    <w:rsid w:val="009C373A"/>
    <w:rsid w:val="009C4792"/>
    <w:rsid w:val="009C5422"/>
    <w:rsid w:val="009C571A"/>
    <w:rsid w:val="009C58D5"/>
    <w:rsid w:val="009C6794"/>
    <w:rsid w:val="009C699B"/>
    <w:rsid w:val="009C7013"/>
    <w:rsid w:val="009C78CE"/>
    <w:rsid w:val="009D04DC"/>
    <w:rsid w:val="009D095E"/>
    <w:rsid w:val="009D1172"/>
    <w:rsid w:val="009D1207"/>
    <w:rsid w:val="009D190D"/>
    <w:rsid w:val="009D25E8"/>
    <w:rsid w:val="009D2669"/>
    <w:rsid w:val="009D2FFE"/>
    <w:rsid w:val="009D3021"/>
    <w:rsid w:val="009D513E"/>
    <w:rsid w:val="009D59D5"/>
    <w:rsid w:val="009D5AAF"/>
    <w:rsid w:val="009D5B03"/>
    <w:rsid w:val="009D6498"/>
    <w:rsid w:val="009D65BD"/>
    <w:rsid w:val="009D6E19"/>
    <w:rsid w:val="009D6F51"/>
    <w:rsid w:val="009D7B55"/>
    <w:rsid w:val="009D7CE1"/>
    <w:rsid w:val="009E0367"/>
    <w:rsid w:val="009E03A9"/>
    <w:rsid w:val="009E0432"/>
    <w:rsid w:val="009E061F"/>
    <w:rsid w:val="009E06EF"/>
    <w:rsid w:val="009E0E58"/>
    <w:rsid w:val="009E0FBE"/>
    <w:rsid w:val="009E1196"/>
    <w:rsid w:val="009E1575"/>
    <w:rsid w:val="009E1675"/>
    <w:rsid w:val="009E2085"/>
    <w:rsid w:val="009E2237"/>
    <w:rsid w:val="009E2558"/>
    <w:rsid w:val="009E344A"/>
    <w:rsid w:val="009E50F3"/>
    <w:rsid w:val="009E55EE"/>
    <w:rsid w:val="009E70D5"/>
    <w:rsid w:val="009F04F8"/>
    <w:rsid w:val="009F05F7"/>
    <w:rsid w:val="009F0DF2"/>
    <w:rsid w:val="009F153C"/>
    <w:rsid w:val="009F15FA"/>
    <w:rsid w:val="009F19CC"/>
    <w:rsid w:val="009F2295"/>
    <w:rsid w:val="009F2390"/>
    <w:rsid w:val="009F2457"/>
    <w:rsid w:val="009F39F0"/>
    <w:rsid w:val="009F3CE4"/>
    <w:rsid w:val="009F4097"/>
    <w:rsid w:val="009F58A4"/>
    <w:rsid w:val="00A00357"/>
    <w:rsid w:val="00A01910"/>
    <w:rsid w:val="00A01929"/>
    <w:rsid w:val="00A02658"/>
    <w:rsid w:val="00A04079"/>
    <w:rsid w:val="00A047DA"/>
    <w:rsid w:val="00A04925"/>
    <w:rsid w:val="00A04E84"/>
    <w:rsid w:val="00A0519A"/>
    <w:rsid w:val="00A0540F"/>
    <w:rsid w:val="00A061DE"/>
    <w:rsid w:val="00A065DF"/>
    <w:rsid w:val="00A067C6"/>
    <w:rsid w:val="00A0715A"/>
    <w:rsid w:val="00A0763C"/>
    <w:rsid w:val="00A07F5A"/>
    <w:rsid w:val="00A1000F"/>
    <w:rsid w:val="00A10D3B"/>
    <w:rsid w:val="00A11DC2"/>
    <w:rsid w:val="00A120C4"/>
    <w:rsid w:val="00A12161"/>
    <w:rsid w:val="00A12229"/>
    <w:rsid w:val="00A1307C"/>
    <w:rsid w:val="00A132A7"/>
    <w:rsid w:val="00A13ADD"/>
    <w:rsid w:val="00A13E92"/>
    <w:rsid w:val="00A13FD2"/>
    <w:rsid w:val="00A155CA"/>
    <w:rsid w:val="00A15A6C"/>
    <w:rsid w:val="00A165A1"/>
    <w:rsid w:val="00A16886"/>
    <w:rsid w:val="00A176E9"/>
    <w:rsid w:val="00A177BF"/>
    <w:rsid w:val="00A208E3"/>
    <w:rsid w:val="00A20B33"/>
    <w:rsid w:val="00A21598"/>
    <w:rsid w:val="00A21EF1"/>
    <w:rsid w:val="00A229EE"/>
    <w:rsid w:val="00A23157"/>
    <w:rsid w:val="00A2330A"/>
    <w:rsid w:val="00A23435"/>
    <w:rsid w:val="00A23792"/>
    <w:rsid w:val="00A23BA8"/>
    <w:rsid w:val="00A26281"/>
    <w:rsid w:val="00A265E4"/>
    <w:rsid w:val="00A26DEC"/>
    <w:rsid w:val="00A2753C"/>
    <w:rsid w:val="00A27BB3"/>
    <w:rsid w:val="00A27BE7"/>
    <w:rsid w:val="00A30D76"/>
    <w:rsid w:val="00A31C95"/>
    <w:rsid w:val="00A324C9"/>
    <w:rsid w:val="00A329DE"/>
    <w:rsid w:val="00A33279"/>
    <w:rsid w:val="00A33682"/>
    <w:rsid w:val="00A336AB"/>
    <w:rsid w:val="00A338CE"/>
    <w:rsid w:val="00A340B1"/>
    <w:rsid w:val="00A34458"/>
    <w:rsid w:val="00A3549C"/>
    <w:rsid w:val="00A355C0"/>
    <w:rsid w:val="00A35D38"/>
    <w:rsid w:val="00A35DBC"/>
    <w:rsid w:val="00A36776"/>
    <w:rsid w:val="00A40E9A"/>
    <w:rsid w:val="00A411C9"/>
    <w:rsid w:val="00A41450"/>
    <w:rsid w:val="00A414E9"/>
    <w:rsid w:val="00A42318"/>
    <w:rsid w:val="00A44BBC"/>
    <w:rsid w:val="00A44C05"/>
    <w:rsid w:val="00A45F3D"/>
    <w:rsid w:val="00A46004"/>
    <w:rsid w:val="00A46532"/>
    <w:rsid w:val="00A46E54"/>
    <w:rsid w:val="00A474A9"/>
    <w:rsid w:val="00A476FE"/>
    <w:rsid w:val="00A47966"/>
    <w:rsid w:val="00A47EFF"/>
    <w:rsid w:val="00A47F5E"/>
    <w:rsid w:val="00A50B01"/>
    <w:rsid w:val="00A50E2B"/>
    <w:rsid w:val="00A50E78"/>
    <w:rsid w:val="00A50EF8"/>
    <w:rsid w:val="00A50FDE"/>
    <w:rsid w:val="00A51E40"/>
    <w:rsid w:val="00A51FF4"/>
    <w:rsid w:val="00A52839"/>
    <w:rsid w:val="00A52F34"/>
    <w:rsid w:val="00A53CCA"/>
    <w:rsid w:val="00A54A77"/>
    <w:rsid w:val="00A55CA0"/>
    <w:rsid w:val="00A55F92"/>
    <w:rsid w:val="00A56958"/>
    <w:rsid w:val="00A57378"/>
    <w:rsid w:val="00A57DB5"/>
    <w:rsid w:val="00A57DC2"/>
    <w:rsid w:val="00A6056F"/>
    <w:rsid w:val="00A60A8C"/>
    <w:rsid w:val="00A60C99"/>
    <w:rsid w:val="00A61DD1"/>
    <w:rsid w:val="00A62411"/>
    <w:rsid w:val="00A625C2"/>
    <w:rsid w:val="00A6357D"/>
    <w:rsid w:val="00A63821"/>
    <w:rsid w:val="00A638FE"/>
    <w:rsid w:val="00A64117"/>
    <w:rsid w:val="00A64364"/>
    <w:rsid w:val="00A64632"/>
    <w:rsid w:val="00A64F5F"/>
    <w:rsid w:val="00A65642"/>
    <w:rsid w:val="00A661A3"/>
    <w:rsid w:val="00A6652F"/>
    <w:rsid w:val="00A674E1"/>
    <w:rsid w:val="00A67781"/>
    <w:rsid w:val="00A67C7F"/>
    <w:rsid w:val="00A67D0B"/>
    <w:rsid w:val="00A67FB3"/>
    <w:rsid w:val="00A700FD"/>
    <w:rsid w:val="00A704BA"/>
    <w:rsid w:val="00A71970"/>
    <w:rsid w:val="00A73454"/>
    <w:rsid w:val="00A7382B"/>
    <w:rsid w:val="00A73E68"/>
    <w:rsid w:val="00A74492"/>
    <w:rsid w:val="00A74C71"/>
    <w:rsid w:val="00A75901"/>
    <w:rsid w:val="00A75C55"/>
    <w:rsid w:val="00A7664B"/>
    <w:rsid w:val="00A775CB"/>
    <w:rsid w:val="00A77B93"/>
    <w:rsid w:val="00A77D4E"/>
    <w:rsid w:val="00A82EE7"/>
    <w:rsid w:val="00A8372D"/>
    <w:rsid w:val="00A83854"/>
    <w:rsid w:val="00A83FFF"/>
    <w:rsid w:val="00A84297"/>
    <w:rsid w:val="00A84846"/>
    <w:rsid w:val="00A8504A"/>
    <w:rsid w:val="00A8551A"/>
    <w:rsid w:val="00A85CEE"/>
    <w:rsid w:val="00A85D25"/>
    <w:rsid w:val="00A86895"/>
    <w:rsid w:val="00A8767F"/>
    <w:rsid w:val="00A8775C"/>
    <w:rsid w:val="00A87949"/>
    <w:rsid w:val="00A90986"/>
    <w:rsid w:val="00A93A0C"/>
    <w:rsid w:val="00A94944"/>
    <w:rsid w:val="00A94B13"/>
    <w:rsid w:val="00A94C24"/>
    <w:rsid w:val="00A94DBA"/>
    <w:rsid w:val="00A94FDC"/>
    <w:rsid w:val="00A9569D"/>
    <w:rsid w:val="00A956C2"/>
    <w:rsid w:val="00A96076"/>
    <w:rsid w:val="00A961E1"/>
    <w:rsid w:val="00A96406"/>
    <w:rsid w:val="00A9655B"/>
    <w:rsid w:val="00A97CAB"/>
    <w:rsid w:val="00AA0C40"/>
    <w:rsid w:val="00AA100F"/>
    <w:rsid w:val="00AA10C3"/>
    <w:rsid w:val="00AA12C7"/>
    <w:rsid w:val="00AA1341"/>
    <w:rsid w:val="00AA320D"/>
    <w:rsid w:val="00AA3C07"/>
    <w:rsid w:val="00AA4387"/>
    <w:rsid w:val="00AA4FC0"/>
    <w:rsid w:val="00AA52E8"/>
    <w:rsid w:val="00AA585D"/>
    <w:rsid w:val="00AA5B82"/>
    <w:rsid w:val="00AA5C6F"/>
    <w:rsid w:val="00AA5DAF"/>
    <w:rsid w:val="00AA64F9"/>
    <w:rsid w:val="00AA6668"/>
    <w:rsid w:val="00AA6E4F"/>
    <w:rsid w:val="00AA710B"/>
    <w:rsid w:val="00AA75EF"/>
    <w:rsid w:val="00AA7E93"/>
    <w:rsid w:val="00AB0D03"/>
    <w:rsid w:val="00AB0EC0"/>
    <w:rsid w:val="00AB178C"/>
    <w:rsid w:val="00AB21C1"/>
    <w:rsid w:val="00AB23C6"/>
    <w:rsid w:val="00AB2834"/>
    <w:rsid w:val="00AB2A95"/>
    <w:rsid w:val="00AB3B77"/>
    <w:rsid w:val="00AB3D78"/>
    <w:rsid w:val="00AB49C9"/>
    <w:rsid w:val="00AB5085"/>
    <w:rsid w:val="00AB5CDF"/>
    <w:rsid w:val="00AB6A21"/>
    <w:rsid w:val="00AB723D"/>
    <w:rsid w:val="00AB7DC1"/>
    <w:rsid w:val="00AC06EF"/>
    <w:rsid w:val="00AC10ED"/>
    <w:rsid w:val="00AC1F78"/>
    <w:rsid w:val="00AC2441"/>
    <w:rsid w:val="00AC28B8"/>
    <w:rsid w:val="00AC296E"/>
    <w:rsid w:val="00AC2C48"/>
    <w:rsid w:val="00AC38B6"/>
    <w:rsid w:val="00AC3A12"/>
    <w:rsid w:val="00AC4324"/>
    <w:rsid w:val="00AC56AC"/>
    <w:rsid w:val="00AC5FB5"/>
    <w:rsid w:val="00AC6A6A"/>
    <w:rsid w:val="00AC6D52"/>
    <w:rsid w:val="00AC6E0A"/>
    <w:rsid w:val="00AC6E4F"/>
    <w:rsid w:val="00AC6F14"/>
    <w:rsid w:val="00AC7020"/>
    <w:rsid w:val="00AC7B6F"/>
    <w:rsid w:val="00AD02D8"/>
    <w:rsid w:val="00AD02E0"/>
    <w:rsid w:val="00AD0B24"/>
    <w:rsid w:val="00AD158C"/>
    <w:rsid w:val="00AD1707"/>
    <w:rsid w:val="00AD22F8"/>
    <w:rsid w:val="00AD2C70"/>
    <w:rsid w:val="00AD505F"/>
    <w:rsid w:val="00AD5280"/>
    <w:rsid w:val="00AD5B6B"/>
    <w:rsid w:val="00AD644F"/>
    <w:rsid w:val="00AD6DE6"/>
    <w:rsid w:val="00AD7025"/>
    <w:rsid w:val="00AD717F"/>
    <w:rsid w:val="00AE08C3"/>
    <w:rsid w:val="00AE08E5"/>
    <w:rsid w:val="00AE0ED9"/>
    <w:rsid w:val="00AE2877"/>
    <w:rsid w:val="00AE2896"/>
    <w:rsid w:val="00AE2ABD"/>
    <w:rsid w:val="00AE2CB7"/>
    <w:rsid w:val="00AE2D11"/>
    <w:rsid w:val="00AE3845"/>
    <w:rsid w:val="00AE3967"/>
    <w:rsid w:val="00AE5247"/>
    <w:rsid w:val="00AE6595"/>
    <w:rsid w:val="00AE69A3"/>
    <w:rsid w:val="00AF00F8"/>
    <w:rsid w:val="00AF0259"/>
    <w:rsid w:val="00AF0921"/>
    <w:rsid w:val="00AF0BE5"/>
    <w:rsid w:val="00AF23F4"/>
    <w:rsid w:val="00AF2760"/>
    <w:rsid w:val="00AF3363"/>
    <w:rsid w:val="00AF3C7F"/>
    <w:rsid w:val="00AF3CA7"/>
    <w:rsid w:val="00AF5408"/>
    <w:rsid w:val="00AF56EE"/>
    <w:rsid w:val="00AF5BEC"/>
    <w:rsid w:val="00AF5E1C"/>
    <w:rsid w:val="00AF679D"/>
    <w:rsid w:val="00AF6FA2"/>
    <w:rsid w:val="00AF6FBE"/>
    <w:rsid w:val="00AF74B8"/>
    <w:rsid w:val="00AF7C5E"/>
    <w:rsid w:val="00B00657"/>
    <w:rsid w:val="00B01E10"/>
    <w:rsid w:val="00B02475"/>
    <w:rsid w:val="00B0256B"/>
    <w:rsid w:val="00B03113"/>
    <w:rsid w:val="00B03B73"/>
    <w:rsid w:val="00B03E34"/>
    <w:rsid w:val="00B044D2"/>
    <w:rsid w:val="00B047EA"/>
    <w:rsid w:val="00B056C8"/>
    <w:rsid w:val="00B05A2E"/>
    <w:rsid w:val="00B065B9"/>
    <w:rsid w:val="00B065DC"/>
    <w:rsid w:val="00B06F00"/>
    <w:rsid w:val="00B07483"/>
    <w:rsid w:val="00B074B4"/>
    <w:rsid w:val="00B074CA"/>
    <w:rsid w:val="00B07B61"/>
    <w:rsid w:val="00B07B9D"/>
    <w:rsid w:val="00B07CC2"/>
    <w:rsid w:val="00B106C8"/>
    <w:rsid w:val="00B108E9"/>
    <w:rsid w:val="00B1145A"/>
    <w:rsid w:val="00B11D16"/>
    <w:rsid w:val="00B123F9"/>
    <w:rsid w:val="00B12A4D"/>
    <w:rsid w:val="00B13121"/>
    <w:rsid w:val="00B13253"/>
    <w:rsid w:val="00B13501"/>
    <w:rsid w:val="00B139EA"/>
    <w:rsid w:val="00B14144"/>
    <w:rsid w:val="00B146A6"/>
    <w:rsid w:val="00B14A6E"/>
    <w:rsid w:val="00B14B8F"/>
    <w:rsid w:val="00B15F04"/>
    <w:rsid w:val="00B17530"/>
    <w:rsid w:val="00B20DE7"/>
    <w:rsid w:val="00B21B1A"/>
    <w:rsid w:val="00B225BC"/>
    <w:rsid w:val="00B23496"/>
    <w:rsid w:val="00B23DBE"/>
    <w:rsid w:val="00B248C9"/>
    <w:rsid w:val="00B2495D"/>
    <w:rsid w:val="00B25006"/>
    <w:rsid w:val="00B25316"/>
    <w:rsid w:val="00B25B7C"/>
    <w:rsid w:val="00B261BE"/>
    <w:rsid w:val="00B26245"/>
    <w:rsid w:val="00B26601"/>
    <w:rsid w:val="00B2777C"/>
    <w:rsid w:val="00B27ABB"/>
    <w:rsid w:val="00B27AE2"/>
    <w:rsid w:val="00B3030F"/>
    <w:rsid w:val="00B309D1"/>
    <w:rsid w:val="00B31B8F"/>
    <w:rsid w:val="00B31DB2"/>
    <w:rsid w:val="00B33AB1"/>
    <w:rsid w:val="00B34403"/>
    <w:rsid w:val="00B3484E"/>
    <w:rsid w:val="00B353D1"/>
    <w:rsid w:val="00B35776"/>
    <w:rsid w:val="00B35873"/>
    <w:rsid w:val="00B35A0C"/>
    <w:rsid w:val="00B35A36"/>
    <w:rsid w:val="00B36169"/>
    <w:rsid w:val="00B36C30"/>
    <w:rsid w:val="00B36E16"/>
    <w:rsid w:val="00B37B0F"/>
    <w:rsid w:val="00B40757"/>
    <w:rsid w:val="00B41B11"/>
    <w:rsid w:val="00B42711"/>
    <w:rsid w:val="00B42904"/>
    <w:rsid w:val="00B42E16"/>
    <w:rsid w:val="00B4353B"/>
    <w:rsid w:val="00B44C7D"/>
    <w:rsid w:val="00B44FAE"/>
    <w:rsid w:val="00B45203"/>
    <w:rsid w:val="00B45ED3"/>
    <w:rsid w:val="00B45F49"/>
    <w:rsid w:val="00B45F93"/>
    <w:rsid w:val="00B473D3"/>
    <w:rsid w:val="00B474F3"/>
    <w:rsid w:val="00B477CE"/>
    <w:rsid w:val="00B505C2"/>
    <w:rsid w:val="00B50799"/>
    <w:rsid w:val="00B50AD3"/>
    <w:rsid w:val="00B51240"/>
    <w:rsid w:val="00B51D28"/>
    <w:rsid w:val="00B51EC7"/>
    <w:rsid w:val="00B51F55"/>
    <w:rsid w:val="00B5203B"/>
    <w:rsid w:val="00B521D5"/>
    <w:rsid w:val="00B522F2"/>
    <w:rsid w:val="00B524E5"/>
    <w:rsid w:val="00B53009"/>
    <w:rsid w:val="00B54071"/>
    <w:rsid w:val="00B5470D"/>
    <w:rsid w:val="00B5550D"/>
    <w:rsid w:val="00B555EF"/>
    <w:rsid w:val="00B556A9"/>
    <w:rsid w:val="00B556E8"/>
    <w:rsid w:val="00B55949"/>
    <w:rsid w:val="00B56501"/>
    <w:rsid w:val="00B56652"/>
    <w:rsid w:val="00B574A6"/>
    <w:rsid w:val="00B57C0F"/>
    <w:rsid w:val="00B613B1"/>
    <w:rsid w:val="00B61992"/>
    <w:rsid w:val="00B63064"/>
    <w:rsid w:val="00B63B5D"/>
    <w:rsid w:val="00B63E87"/>
    <w:rsid w:val="00B6535A"/>
    <w:rsid w:val="00B65D0C"/>
    <w:rsid w:val="00B66097"/>
    <w:rsid w:val="00B664AE"/>
    <w:rsid w:val="00B664B5"/>
    <w:rsid w:val="00B66551"/>
    <w:rsid w:val="00B67125"/>
    <w:rsid w:val="00B70110"/>
    <w:rsid w:val="00B70983"/>
    <w:rsid w:val="00B70A43"/>
    <w:rsid w:val="00B70BBA"/>
    <w:rsid w:val="00B71604"/>
    <w:rsid w:val="00B71DBF"/>
    <w:rsid w:val="00B71F5D"/>
    <w:rsid w:val="00B72A09"/>
    <w:rsid w:val="00B72ACA"/>
    <w:rsid w:val="00B73A48"/>
    <w:rsid w:val="00B756E4"/>
    <w:rsid w:val="00B76901"/>
    <w:rsid w:val="00B76D02"/>
    <w:rsid w:val="00B77834"/>
    <w:rsid w:val="00B80188"/>
    <w:rsid w:val="00B80890"/>
    <w:rsid w:val="00B817C4"/>
    <w:rsid w:val="00B81A95"/>
    <w:rsid w:val="00B81D2F"/>
    <w:rsid w:val="00B82051"/>
    <w:rsid w:val="00B820C1"/>
    <w:rsid w:val="00B8260C"/>
    <w:rsid w:val="00B833FD"/>
    <w:rsid w:val="00B83E77"/>
    <w:rsid w:val="00B842F3"/>
    <w:rsid w:val="00B85C8C"/>
    <w:rsid w:val="00B86AD8"/>
    <w:rsid w:val="00B87AEA"/>
    <w:rsid w:val="00B87B0A"/>
    <w:rsid w:val="00B87F1C"/>
    <w:rsid w:val="00B905F1"/>
    <w:rsid w:val="00B9132A"/>
    <w:rsid w:val="00B916DA"/>
    <w:rsid w:val="00B91D9E"/>
    <w:rsid w:val="00B92881"/>
    <w:rsid w:val="00B93476"/>
    <w:rsid w:val="00B936E7"/>
    <w:rsid w:val="00B9429A"/>
    <w:rsid w:val="00B95599"/>
    <w:rsid w:val="00B96033"/>
    <w:rsid w:val="00B963FA"/>
    <w:rsid w:val="00B97555"/>
    <w:rsid w:val="00B976D5"/>
    <w:rsid w:val="00B97A33"/>
    <w:rsid w:val="00BA0E79"/>
    <w:rsid w:val="00BA144C"/>
    <w:rsid w:val="00BA1751"/>
    <w:rsid w:val="00BA2BB9"/>
    <w:rsid w:val="00BA342B"/>
    <w:rsid w:val="00BA38DC"/>
    <w:rsid w:val="00BA3D51"/>
    <w:rsid w:val="00BA473B"/>
    <w:rsid w:val="00BA4968"/>
    <w:rsid w:val="00BA6070"/>
    <w:rsid w:val="00BA6832"/>
    <w:rsid w:val="00BA6A07"/>
    <w:rsid w:val="00BA6ED8"/>
    <w:rsid w:val="00BA7511"/>
    <w:rsid w:val="00BB0186"/>
    <w:rsid w:val="00BB078C"/>
    <w:rsid w:val="00BB2222"/>
    <w:rsid w:val="00BB3586"/>
    <w:rsid w:val="00BB4D1C"/>
    <w:rsid w:val="00BB4DD2"/>
    <w:rsid w:val="00BB5197"/>
    <w:rsid w:val="00BB5835"/>
    <w:rsid w:val="00BB735A"/>
    <w:rsid w:val="00BB7CD5"/>
    <w:rsid w:val="00BC0418"/>
    <w:rsid w:val="00BC0AAB"/>
    <w:rsid w:val="00BC0D33"/>
    <w:rsid w:val="00BC112A"/>
    <w:rsid w:val="00BC17C5"/>
    <w:rsid w:val="00BC1D24"/>
    <w:rsid w:val="00BC2011"/>
    <w:rsid w:val="00BC20E7"/>
    <w:rsid w:val="00BC2288"/>
    <w:rsid w:val="00BC2DEC"/>
    <w:rsid w:val="00BC3975"/>
    <w:rsid w:val="00BC3B27"/>
    <w:rsid w:val="00BC3CF9"/>
    <w:rsid w:val="00BC42E5"/>
    <w:rsid w:val="00BC4491"/>
    <w:rsid w:val="00BC4639"/>
    <w:rsid w:val="00BC4DE8"/>
    <w:rsid w:val="00BC5A4F"/>
    <w:rsid w:val="00BC5D25"/>
    <w:rsid w:val="00BC5E41"/>
    <w:rsid w:val="00BC61AC"/>
    <w:rsid w:val="00BC6B46"/>
    <w:rsid w:val="00BC7291"/>
    <w:rsid w:val="00BC7DC1"/>
    <w:rsid w:val="00BD08C6"/>
    <w:rsid w:val="00BD1BA4"/>
    <w:rsid w:val="00BD23EB"/>
    <w:rsid w:val="00BD2A99"/>
    <w:rsid w:val="00BD3888"/>
    <w:rsid w:val="00BD438D"/>
    <w:rsid w:val="00BD4418"/>
    <w:rsid w:val="00BD49D6"/>
    <w:rsid w:val="00BD5108"/>
    <w:rsid w:val="00BD5837"/>
    <w:rsid w:val="00BD6191"/>
    <w:rsid w:val="00BD6209"/>
    <w:rsid w:val="00BD6465"/>
    <w:rsid w:val="00BD659E"/>
    <w:rsid w:val="00BD6F00"/>
    <w:rsid w:val="00BD75D6"/>
    <w:rsid w:val="00BD7951"/>
    <w:rsid w:val="00BD7FF0"/>
    <w:rsid w:val="00BE083E"/>
    <w:rsid w:val="00BE0919"/>
    <w:rsid w:val="00BE0E49"/>
    <w:rsid w:val="00BE12E9"/>
    <w:rsid w:val="00BE174C"/>
    <w:rsid w:val="00BE2197"/>
    <w:rsid w:val="00BE24F7"/>
    <w:rsid w:val="00BE2C70"/>
    <w:rsid w:val="00BE2F15"/>
    <w:rsid w:val="00BE2FC9"/>
    <w:rsid w:val="00BE2FD4"/>
    <w:rsid w:val="00BE3219"/>
    <w:rsid w:val="00BE43BE"/>
    <w:rsid w:val="00BE4E07"/>
    <w:rsid w:val="00BE4E46"/>
    <w:rsid w:val="00BE52D0"/>
    <w:rsid w:val="00BE5718"/>
    <w:rsid w:val="00BE5B7B"/>
    <w:rsid w:val="00BE6358"/>
    <w:rsid w:val="00BE6B33"/>
    <w:rsid w:val="00BE6C01"/>
    <w:rsid w:val="00BE74D7"/>
    <w:rsid w:val="00BF04A8"/>
    <w:rsid w:val="00BF078F"/>
    <w:rsid w:val="00BF125E"/>
    <w:rsid w:val="00BF1717"/>
    <w:rsid w:val="00BF205E"/>
    <w:rsid w:val="00BF2405"/>
    <w:rsid w:val="00BF2428"/>
    <w:rsid w:val="00BF2495"/>
    <w:rsid w:val="00BF3046"/>
    <w:rsid w:val="00BF38AE"/>
    <w:rsid w:val="00BF38CB"/>
    <w:rsid w:val="00BF3E00"/>
    <w:rsid w:val="00BF503C"/>
    <w:rsid w:val="00BF5A08"/>
    <w:rsid w:val="00BF5C97"/>
    <w:rsid w:val="00BF5D32"/>
    <w:rsid w:val="00BF658F"/>
    <w:rsid w:val="00BF6767"/>
    <w:rsid w:val="00BF6F1F"/>
    <w:rsid w:val="00BF7120"/>
    <w:rsid w:val="00BF744E"/>
    <w:rsid w:val="00BF7864"/>
    <w:rsid w:val="00C00D73"/>
    <w:rsid w:val="00C00E4A"/>
    <w:rsid w:val="00C01608"/>
    <w:rsid w:val="00C0214D"/>
    <w:rsid w:val="00C02198"/>
    <w:rsid w:val="00C021EE"/>
    <w:rsid w:val="00C02A6D"/>
    <w:rsid w:val="00C03611"/>
    <w:rsid w:val="00C047B2"/>
    <w:rsid w:val="00C04BF4"/>
    <w:rsid w:val="00C05825"/>
    <w:rsid w:val="00C05DF4"/>
    <w:rsid w:val="00C06145"/>
    <w:rsid w:val="00C06328"/>
    <w:rsid w:val="00C06736"/>
    <w:rsid w:val="00C070AE"/>
    <w:rsid w:val="00C1076A"/>
    <w:rsid w:val="00C10CE1"/>
    <w:rsid w:val="00C12E1E"/>
    <w:rsid w:val="00C12FBF"/>
    <w:rsid w:val="00C133C6"/>
    <w:rsid w:val="00C13774"/>
    <w:rsid w:val="00C138FB"/>
    <w:rsid w:val="00C13C20"/>
    <w:rsid w:val="00C13C72"/>
    <w:rsid w:val="00C13D0E"/>
    <w:rsid w:val="00C14315"/>
    <w:rsid w:val="00C1487B"/>
    <w:rsid w:val="00C148D6"/>
    <w:rsid w:val="00C15D32"/>
    <w:rsid w:val="00C16385"/>
    <w:rsid w:val="00C16B13"/>
    <w:rsid w:val="00C16D80"/>
    <w:rsid w:val="00C17050"/>
    <w:rsid w:val="00C17611"/>
    <w:rsid w:val="00C20B9C"/>
    <w:rsid w:val="00C2276E"/>
    <w:rsid w:val="00C2314F"/>
    <w:rsid w:val="00C237B9"/>
    <w:rsid w:val="00C238B6"/>
    <w:rsid w:val="00C239CB"/>
    <w:rsid w:val="00C23C3B"/>
    <w:rsid w:val="00C244E1"/>
    <w:rsid w:val="00C250B8"/>
    <w:rsid w:val="00C252C6"/>
    <w:rsid w:val="00C258BF"/>
    <w:rsid w:val="00C25CF0"/>
    <w:rsid w:val="00C25D22"/>
    <w:rsid w:val="00C2728A"/>
    <w:rsid w:val="00C2738C"/>
    <w:rsid w:val="00C27635"/>
    <w:rsid w:val="00C27CB0"/>
    <w:rsid w:val="00C27FA0"/>
    <w:rsid w:val="00C30102"/>
    <w:rsid w:val="00C3133E"/>
    <w:rsid w:val="00C31861"/>
    <w:rsid w:val="00C32D26"/>
    <w:rsid w:val="00C3372B"/>
    <w:rsid w:val="00C344D1"/>
    <w:rsid w:val="00C34615"/>
    <w:rsid w:val="00C35392"/>
    <w:rsid w:val="00C358BB"/>
    <w:rsid w:val="00C368B2"/>
    <w:rsid w:val="00C36D3B"/>
    <w:rsid w:val="00C36FA3"/>
    <w:rsid w:val="00C36FF2"/>
    <w:rsid w:val="00C372B4"/>
    <w:rsid w:val="00C37324"/>
    <w:rsid w:val="00C37AE3"/>
    <w:rsid w:val="00C37F90"/>
    <w:rsid w:val="00C40665"/>
    <w:rsid w:val="00C406EC"/>
    <w:rsid w:val="00C409B3"/>
    <w:rsid w:val="00C41D5A"/>
    <w:rsid w:val="00C421FE"/>
    <w:rsid w:val="00C429E9"/>
    <w:rsid w:val="00C42F3D"/>
    <w:rsid w:val="00C4316F"/>
    <w:rsid w:val="00C4375C"/>
    <w:rsid w:val="00C43BCE"/>
    <w:rsid w:val="00C45033"/>
    <w:rsid w:val="00C45734"/>
    <w:rsid w:val="00C45D15"/>
    <w:rsid w:val="00C45E96"/>
    <w:rsid w:val="00C46961"/>
    <w:rsid w:val="00C470AA"/>
    <w:rsid w:val="00C475BE"/>
    <w:rsid w:val="00C503D7"/>
    <w:rsid w:val="00C51602"/>
    <w:rsid w:val="00C51F5C"/>
    <w:rsid w:val="00C52312"/>
    <w:rsid w:val="00C525D0"/>
    <w:rsid w:val="00C52CBD"/>
    <w:rsid w:val="00C530C2"/>
    <w:rsid w:val="00C53415"/>
    <w:rsid w:val="00C535AA"/>
    <w:rsid w:val="00C536E7"/>
    <w:rsid w:val="00C53750"/>
    <w:rsid w:val="00C53C58"/>
    <w:rsid w:val="00C541D2"/>
    <w:rsid w:val="00C54977"/>
    <w:rsid w:val="00C551D6"/>
    <w:rsid w:val="00C558BE"/>
    <w:rsid w:val="00C55D42"/>
    <w:rsid w:val="00C56123"/>
    <w:rsid w:val="00C5619A"/>
    <w:rsid w:val="00C5635B"/>
    <w:rsid w:val="00C564A2"/>
    <w:rsid w:val="00C575EA"/>
    <w:rsid w:val="00C577A3"/>
    <w:rsid w:val="00C577C4"/>
    <w:rsid w:val="00C57CBD"/>
    <w:rsid w:val="00C61650"/>
    <w:rsid w:val="00C61E2F"/>
    <w:rsid w:val="00C61F21"/>
    <w:rsid w:val="00C6219A"/>
    <w:rsid w:val="00C6275F"/>
    <w:rsid w:val="00C62AEC"/>
    <w:rsid w:val="00C62D29"/>
    <w:rsid w:val="00C639BE"/>
    <w:rsid w:val="00C6508D"/>
    <w:rsid w:val="00C655D4"/>
    <w:rsid w:val="00C65949"/>
    <w:rsid w:val="00C66ED5"/>
    <w:rsid w:val="00C678FE"/>
    <w:rsid w:val="00C702D0"/>
    <w:rsid w:val="00C705A4"/>
    <w:rsid w:val="00C72E2B"/>
    <w:rsid w:val="00C7387D"/>
    <w:rsid w:val="00C73A2E"/>
    <w:rsid w:val="00C73A4C"/>
    <w:rsid w:val="00C73C9B"/>
    <w:rsid w:val="00C73DD4"/>
    <w:rsid w:val="00C74C09"/>
    <w:rsid w:val="00C7524F"/>
    <w:rsid w:val="00C755D9"/>
    <w:rsid w:val="00C75ED8"/>
    <w:rsid w:val="00C766D6"/>
    <w:rsid w:val="00C80B52"/>
    <w:rsid w:val="00C80CAE"/>
    <w:rsid w:val="00C8146D"/>
    <w:rsid w:val="00C81E91"/>
    <w:rsid w:val="00C81FCF"/>
    <w:rsid w:val="00C826DF"/>
    <w:rsid w:val="00C83C15"/>
    <w:rsid w:val="00C840B8"/>
    <w:rsid w:val="00C846A1"/>
    <w:rsid w:val="00C850BC"/>
    <w:rsid w:val="00C85EE5"/>
    <w:rsid w:val="00C86ABC"/>
    <w:rsid w:val="00C8742B"/>
    <w:rsid w:val="00C874E7"/>
    <w:rsid w:val="00C877E9"/>
    <w:rsid w:val="00C87DD3"/>
    <w:rsid w:val="00C90078"/>
    <w:rsid w:val="00C913AB"/>
    <w:rsid w:val="00C91DC8"/>
    <w:rsid w:val="00C93AAE"/>
    <w:rsid w:val="00C93BF0"/>
    <w:rsid w:val="00C94227"/>
    <w:rsid w:val="00C94E3B"/>
    <w:rsid w:val="00C95607"/>
    <w:rsid w:val="00C966B6"/>
    <w:rsid w:val="00C9773F"/>
    <w:rsid w:val="00CA11FD"/>
    <w:rsid w:val="00CA16E0"/>
    <w:rsid w:val="00CA1B78"/>
    <w:rsid w:val="00CA267A"/>
    <w:rsid w:val="00CA3152"/>
    <w:rsid w:val="00CA449B"/>
    <w:rsid w:val="00CA4E8E"/>
    <w:rsid w:val="00CA62E1"/>
    <w:rsid w:val="00CA695A"/>
    <w:rsid w:val="00CA6A70"/>
    <w:rsid w:val="00CA6E72"/>
    <w:rsid w:val="00CB084C"/>
    <w:rsid w:val="00CB09D5"/>
    <w:rsid w:val="00CB0F81"/>
    <w:rsid w:val="00CB1213"/>
    <w:rsid w:val="00CB1223"/>
    <w:rsid w:val="00CB14C4"/>
    <w:rsid w:val="00CB1C16"/>
    <w:rsid w:val="00CB1D93"/>
    <w:rsid w:val="00CB1F8E"/>
    <w:rsid w:val="00CB2B6F"/>
    <w:rsid w:val="00CB3477"/>
    <w:rsid w:val="00CB36E6"/>
    <w:rsid w:val="00CB45A2"/>
    <w:rsid w:val="00CB53C0"/>
    <w:rsid w:val="00CB59C5"/>
    <w:rsid w:val="00CB6023"/>
    <w:rsid w:val="00CB607D"/>
    <w:rsid w:val="00CB6520"/>
    <w:rsid w:val="00CB6661"/>
    <w:rsid w:val="00CB6748"/>
    <w:rsid w:val="00CB6B97"/>
    <w:rsid w:val="00CB7905"/>
    <w:rsid w:val="00CB7A5D"/>
    <w:rsid w:val="00CB7C24"/>
    <w:rsid w:val="00CB7DA2"/>
    <w:rsid w:val="00CC0221"/>
    <w:rsid w:val="00CC043F"/>
    <w:rsid w:val="00CC0686"/>
    <w:rsid w:val="00CC20FD"/>
    <w:rsid w:val="00CC2CE7"/>
    <w:rsid w:val="00CC338D"/>
    <w:rsid w:val="00CC3A84"/>
    <w:rsid w:val="00CC4002"/>
    <w:rsid w:val="00CC4F3C"/>
    <w:rsid w:val="00CC5891"/>
    <w:rsid w:val="00CC5CA6"/>
    <w:rsid w:val="00CC738A"/>
    <w:rsid w:val="00CC763C"/>
    <w:rsid w:val="00CC7C86"/>
    <w:rsid w:val="00CD04D2"/>
    <w:rsid w:val="00CD19D0"/>
    <w:rsid w:val="00CD222C"/>
    <w:rsid w:val="00CD357F"/>
    <w:rsid w:val="00CD3A52"/>
    <w:rsid w:val="00CD3BA4"/>
    <w:rsid w:val="00CD3C6B"/>
    <w:rsid w:val="00CD505A"/>
    <w:rsid w:val="00CD5655"/>
    <w:rsid w:val="00CD56AC"/>
    <w:rsid w:val="00CD56E2"/>
    <w:rsid w:val="00CD5837"/>
    <w:rsid w:val="00CD5A52"/>
    <w:rsid w:val="00CD5EC6"/>
    <w:rsid w:val="00CD6198"/>
    <w:rsid w:val="00CD6C48"/>
    <w:rsid w:val="00CD7D47"/>
    <w:rsid w:val="00CD7D4A"/>
    <w:rsid w:val="00CE00E2"/>
    <w:rsid w:val="00CE0344"/>
    <w:rsid w:val="00CE197D"/>
    <w:rsid w:val="00CE2483"/>
    <w:rsid w:val="00CE2F86"/>
    <w:rsid w:val="00CE3311"/>
    <w:rsid w:val="00CE3403"/>
    <w:rsid w:val="00CE3418"/>
    <w:rsid w:val="00CE415D"/>
    <w:rsid w:val="00CE4441"/>
    <w:rsid w:val="00CE4A1B"/>
    <w:rsid w:val="00CE54CA"/>
    <w:rsid w:val="00CE580A"/>
    <w:rsid w:val="00CE5B2F"/>
    <w:rsid w:val="00CE5CEF"/>
    <w:rsid w:val="00CE6075"/>
    <w:rsid w:val="00CE62E8"/>
    <w:rsid w:val="00CE724F"/>
    <w:rsid w:val="00CE7CE6"/>
    <w:rsid w:val="00CF02B7"/>
    <w:rsid w:val="00CF16E7"/>
    <w:rsid w:val="00CF18E4"/>
    <w:rsid w:val="00CF1B99"/>
    <w:rsid w:val="00CF26E2"/>
    <w:rsid w:val="00CF3087"/>
    <w:rsid w:val="00CF3144"/>
    <w:rsid w:val="00CF31E7"/>
    <w:rsid w:val="00CF4225"/>
    <w:rsid w:val="00CF427C"/>
    <w:rsid w:val="00CF4356"/>
    <w:rsid w:val="00CF48B1"/>
    <w:rsid w:val="00CF48B5"/>
    <w:rsid w:val="00CF4E2C"/>
    <w:rsid w:val="00CF5294"/>
    <w:rsid w:val="00CF5909"/>
    <w:rsid w:val="00CF72EE"/>
    <w:rsid w:val="00D0066A"/>
    <w:rsid w:val="00D01622"/>
    <w:rsid w:val="00D01AB3"/>
    <w:rsid w:val="00D01C02"/>
    <w:rsid w:val="00D0291D"/>
    <w:rsid w:val="00D02A28"/>
    <w:rsid w:val="00D03024"/>
    <w:rsid w:val="00D03458"/>
    <w:rsid w:val="00D041D4"/>
    <w:rsid w:val="00D04D07"/>
    <w:rsid w:val="00D050C8"/>
    <w:rsid w:val="00D051BC"/>
    <w:rsid w:val="00D05CA5"/>
    <w:rsid w:val="00D061E5"/>
    <w:rsid w:val="00D06750"/>
    <w:rsid w:val="00D073D7"/>
    <w:rsid w:val="00D07F59"/>
    <w:rsid w:val="00D100CD"/>
    <w:rsid w:val="00D10170"/>
    <w:rsid w:val="00D117F0"/>
    <w:rsid w:val="00D144E8"/>
    <w:rsid w:val="00D1474C"/>
    <w:rsid w:val="00D148B5"/>
    <w:rsid w:val="00D14CA3"/>
    <w:rsid w:val="00D151F1"/>
    <w:rsid w:val="00D15267"/>
    <w:rsid w:val="00D15B11"/>
    <w:rsid w:val="00D15C84"/>
    <w:rsid w:val="00D1645F"/>
    <w:rsid w:val="00D165C3"/>
    <w:rsid w:val="00D167CA"/>
    <w:rsid w:val="00D1754E"/>
    <w:rsid w:val="00D17574"/>
    <w:rsid w:val="00D17907"/>
    <w:rsid w:val="00D17AC9"/>
    <w:rsid w:val="00D17BFB"/>
    <w:rsid w:val="00D206A4"/>
    <w:rsid w:val="00D20B9C"/>
    <w:rsid w:val="00D20EDB"/>
    <w:rsid w:val="00D2130C"/>
    <w:rsid w:val="00D21EAA"/>
    <w:rsid w:val="00D21F16"/>
    <w:rsid w:val="00D22091"/>
    <w:rsid w:val="00D22B95"/>
    <w:rsid w:val="00D23894"/>
    <w:rsid w:val="00D2404E"/>
    <w:rsid w:val="00D24FFE"/>
    <w:rsid w:val="00D25ACE"/>
    <w:rsid w:val="00D25EBA"/>
    <w:rsid w:val="00D26393"/>
    <w:rsid w:val="00D267AD"/>
    <w:rsid w:val="00D27593"/>
    <w:rsid w:val="00D30935"/>
    <w:rsid w:val="00D30C3C"/>
    <w:rsid w:val="00D311F3"/>
    <w:rsid w:val="00D321F1"/>
    <w:rsid w:val="00D3231D"/>
    <w:rsid w:val="00D32667"/>
    <w:rsid w:val="00D33DA6"/>
    <w:rsid w:val="00D3454D"/>
    <w:rsid w:val="00D345BF"/>
    <w:rsid w:val="00D3465B"/>
    <w:rsid w:val="00D35BAB"/>
    <w:rsid w:val="00D362B9"/>
    <w:rsid w:val="00D369CA"/>
    <w:rsid w:val="00D36FB8"/>
    <w:rsid w:val="00D36FD4"/>
    <w:rsid w:val="00D3752D"/>
    <w:rsid w:val="00D400E4"/>
    <w:rsid w:val="00D4010D"/>
    <w:rsid w:val="00D41642"/>
    <w:rsid w:val="00D41E3B"/>
    <w:rsid w:val="00D41F86"/>
    <w:rsid w:val="00D4253E"/>
    <w:rsid w:val="00D42D32"/>
    <w:rsid w:val="00D42E3D"/>
    <w:rsid w:val="00D43B09"/>
    <w:rsid w:val="00D43DE2"/>
    <w:rsid w:val="00D440CF"/>
    <w:rsid w:val="00D451AE"/>
    <w:rsid w:val="00D45D57"/>
    <w:rsid w:val="00D4646D"/>
    <w:rsid w:val="00D467BF"/>
    <w:rsid w:val="00D47ECF"/>
    <w:rsid w:val="00D50472"/>
    <w:rsid w:val="00D504D5"/>
    <w:rsid w:val="00D50670"/>
    <w:rsid w:val="00D50B7C"/>
    <w:rsid w:val="00D51002"/>
    <w:rsid w:val="00D52E61"/>
    <w:rsid w:val="00D5311C"/>
    <w:rsid w:val="00D53A21"/>
    <w:rsid w:val="00D53DDC"/>
    <w:rsid w:val="00D540FB"/>
    <w:rsid w:val="00D55429"/>
    <w:rsid w:val="00D55724"/>
    <w:rsid w:val="00D55739"/>
    <w:rsid w:val="00D55E20"/>
    <w:rsid w:val="00D55FBC"/>
    <w:rsid w:val="00D5656E"/>
    <w:rsid w:val="00D5725F"/>
    <w:rsid w:val="00D575BF"/>
    <w:rsid w:val="00D61178"/>
    <w:rsid w:val="00D61562"/>
    <w:rsid w:val="00D61957"/>
    <w:rsid w:val="00D62247"/>
    <w:rsid w:val="00D6346D"/>
    <w:rsid w:val="00D648C3"/>
    <w:rsid w:val="00D64B7C"/>
    <w:rsid w:val="00D6576C"/>
    <w:rsid w:val="00D659DB"/>
    <w:rsid w:val="00D65C99"/>
    <w:rsid w:val="00D66230"/>
    <w:rsid w:val="00D66254"/>
    <w:rsid w:val="00D66950"/>
    <w:rsid w:val="00D673F9"/>
    <w:rsid w:val="00D67ADE"/>
    <w:rsid w:val="00D67CDC"/>
    <w:rsid w:val="00D700C2"/>
    <w:rsid w:val="00D70DE6"/>
    <w:rsid w:val="00D70E56"/>
    <w:rsid w:val="00D717FE"/>
    <w:rsid w:val="00D71D72"/>
    <w:rsid w:val="00D727BF"/>
    <w:rsid w:val="00D72A48"/>
    <w:rsid w:val="00D732F7"/>
    <w:rsid w:val="00D74548"/>
    <w:rsid w:val="00D74C28"/>
    <w:rsid w:val="00D7583A"/>
    <w:rsid w:val="00D75FB9"/>
    <w:rsid w:val="00D81070"/>
    <w:rsid w:val="00D81EE9"/>
    <w:rsid w:val="00D8218E"/>
    <w:rsid w:val="00D839B3"/>
    <w:rsid w:val="00D83BF8"/>
    <w:rsid w:val="00D83CD4"/>
    <w:rsid w:val="00D84711"/>
    <w:rsid w:val="00D84D96"/>
    <w:rsid w:val="00D867B6"/>
    <w:rsid w:val="00D86E0A"/>
    <w:rsid w:val="00D874ED"/>
    <w:rsid w:val="00D87635"/>
    <w:rsid w:val="00D908B1"/>
    <w:rsid w:val="00D90AE7"/>
    <w:rsid w:val="00D91A24"/>
    <w:rsid w:val="00D91E8F"/>
    <w:rsid w:val="00D92A04"/>
    <w:rsid w:val="00D92ACF"/>
    <w:rsid w:val="00D93D83"/>
    <w:rsid w:val="00D947E9"/>
    <w:rsid w:val="00D94ADD"/>
    <w:rsid w:val="00D94D5B"/>
    <w:rsid w:val="00D95D6D"/>
    <w:rsid w:val="00D96194"/>
    <w:rsid w:val="00D96261"/>
    <w:rsid w:val="00D96739"/>
    <w:rsid w:val="00D96922"/>
    <w:rsid w:val="00D96DEC"/>
    <w:rsid w:val="00D96DFC"/>
    <w:rsid w:val="00D974B6"/>
    <w:rsid w:val="00D97DB7"/>
    <w:rsid w:val="00DA037F"/>
    <w:rsid w:val="00DA04B3"/>
    <w:rsid w:val="00DA0B94"/>
    <w:rsid w:val="00DA1A00"/>
    <w:rsid w:val="00DA1EFD"/>
    <w:rsid w:val="00DA1F5D"/>
    <w:rsid w:val="00DA2BCE"/>
    <w:rsid w:val="00DA381E"/>
    <w:rsid w:val="00DA42C5"/>
    <w:rsid w:val="00DA5C80"/>
    <w:rsid w:val="00DA5CA0"/>
    <w:rsid w:val="00DA6CA3"/>
    <w:rsid w:val="00DA6D9F"/>
    <w:rsid w:val="00DA7259"/>
    <w:rsid w:val="00DA7CFB"/>
    <w:rsid w:val="00DA7D7E"/>
    <w:rsid w:val="00DB049E"/>
    <w:rsid w:val="00DB0E06"/>
    <w:rsid w:val="00DB1C47"/>
    <w:rsid w:val="00DB2A40"/>
    <w:rsid w:val="00DB2CB9"/>
    <w:rsid w:val="00DB2E0D"/>
    <w:rsid w:val="00DB2E21"/>
    <w:rsid w:val="00DB3516"/>
    <w:rsid w:val="00DB44C2"/>
    <w:rsid w:val="00DB5A78"/>
    <w:rsid w:val="00DB5B85"/>
    <w:rsid w:val="00DB5CBA"/>
    <w:rsid w:val="00DB6B35"/>
    <w:rsid w:val="00DB6E70"/>
    <w:rsid w:val="00DB7D33"/>
    <w:rsid w:val="00DC09FB"/>
    <w:rsid w:val="00DC12DB"/>
    <w:rsid w:val="00DC13D7"/>
    <w:rsid w:val="00DC143C"/>
    <w:rsid w:val="00DC16B9"/>
    <w:rsid w:val="00DC1B05"/>
    <w:rsid w:val="00DC1E19"/>
    <w:rsid w:val="00DC28FF"/>
    <w:rsid w:val="00DC2E32"/>
    <w:rsid w:val="00DC3062"/>
    <w:rsid w:val="00DC4682"/>
    <w:rsid w:val="00DC4883"/>
    <w:rsid w:val="00DC5086"/>
    <w:rsid w:val="00DC58D8"/>
    <w:rsid w:val="00DC5A4F"/>
    <w:rsid w:val="00DC5D41"/>
    <w:rsid w:val="00DC5DB7"/>
    <w:rsid w:val="00DC5E64"/>
    <w:rsid w:val="00DC5FF5"/>
    <w:rsid w:val="00DC60B7"/>
    <w:rsid w:val="00DC6A83"/>
    <w:rsid w:val="00DC6BDB"/>
    <w:rsid w:val="00DC7856"/>
    <w:rsid w:val="00DC7C4B"/>
    <w:rsid w:val="00DC7EA3"/>
    <w:rsid w:val="00DD0EBA"/>
    <w:rsid w:val="00DD14FA"/>
    <w:rsid w:val="00DD2CBC"/>
    <w:rsid w:val="00DD338B"/>
    <w:rsid w:val="00DD3B63"/>
    <w:rsid w:val="00DD3FD3"/>
    <w:rsid w:val="00DD402C"/>
    <w:rsid w:val="00DD41B9"/>
    <w:rsid w:val="00DD4E1B"/>
    <w:rsid w:val="00DD6449"/>
    <w:rsid w:val="00DD651D"/>
    <w:rsid w:val="00DD6BC5"/>
    <w:rsid w:val="00DD6C7A"/>
    <w:rsid w:val="00DD6FFB"/>
    <w:rsid w:val="00DD7027"/>
    <w:rsid w:val="00DD7047"/>
    <w:rsid w:val="00DD7806"/>
    <w:rsid w:val="00DD7E22"/>
    <w:rsid w:val="00DE0CF8"/>
    <w:rsid w:val="00DE10D4"/>
    <w:rsid w:val="00DE168F"/>
    <w:rsid w:val="00DE17BC"/>
    <w:rsid w:val="00DE1815"/>
    <w:rsid w:val="00DE27CB"/>
    <w:rsid w:val="00DE3A5C"/>
    <w:rsid w:val="00DE3C68"/>
    <w:rsid w:val="00DE4285"/>
    <w:rsid w:val="00DE441D"/>
    <w:rsid w:val="00DE4870"/>
    <w:rsid w:val="00DE4B82"/>
    <w:rsid w:val="00DE541C"/>
    <w:rsid w:val="00DE5D21"/>
    <w:rsid w:val="00DE601A"/>
    <w:rsid w:val="00DE6127"/>
    <w:rsid w:val="00DE718B"/>
    <w:rsid w:val="00DF00ED"/>
    <w:rsid w:val="00DF02C3"/>
    <w:rsid w:val="00DF091D"/>
    <w:rsid w:val="00DF0A37"/>
    <w:rsid w:val="00DF105F"/>
    <w:rsid w:val="00DF1A88"/>
    <w:rsid w:val="00DF2067"/>
    <w:rsid w:val="00DF24CD"/>
    <w:rsid w:val="00DF2701"/>
    <w:rsid w:val="00DF2BDB"/>
    <w:rsid w:val="00DF2F19"/>
    <w:rsid w:val="00DF3814"/>
    <w:rsid w:val="00DF38C5"/>
    <w:rsid w:val="00DF43A0"/>
    <w:rsid w:val="00DF44F3"/>
    <w:rsid w:val="00DF4565"/>
    <w:rsid w:val="00DF4FEF"/>
    <w:rsid w:val="00DF60A6"/>
    <w:rsid w:val="00DF6443"/>
    <w:rsid w:val="00DF65C8"/>
    <w:rsid w:val="00DF6BF4"/>
    <w:rsid w:val="00DF73C5"/>
    <w:rsid w:val="00E00C45"/>
    <w:rsid w:val="00E00E59"/>
    <w:rsid w:val="00E01E6A"/>
    <w:rsid w:val="00E01EAA"/>
    <w:rsid w:val="00E021A9"/>
    <w:rsid w:val="00E02CB2"/>
    <w:rsid w:val="00E02EFB"/>
    <w:rsid w:val="00E032B1"/>
    <w:rsid w:val="00E03465"/>
    <w:rsid w:val="00E05F91"/>
    <w:rsid w:val="00E062FF"/>
    <w:rsid w:val="00E070C2"/>
    <w:rsid w:val="00E071D1"/>
    <w:rsid w:val="00E07405"/>
    <w:rsid w:val="00E079AB"/>
    <w:rsid w:val="00E07B3F"/>
    <w:rsid w:val="00E07BCE"/>
    <w:rsid w:val="00E1012B"/>
    <w:rsid w:val="00E10A04"/>
    <w:rsid w:val="00E10D07"/>
    <w:rsid w:val="00E111E0"/>
    <w:rsid w:val="00E119FB"/>
    <w:rsid w:val="00E11F71"/>
    <w:rsid w:val="00E122F1"/>
    <w:rsid w:val="00E12773"/>
    <w:rsid w:val="00E13184"/>
    <w:rsid w:val="00E1328D"/>
    <w:rsid w:val="00E14164"/>
    <w:rsid w:val="00E14200"/>
    <w:rsid w:val="00E142A1"/>
    <w:rsid w:val="00E14831"/>
    <w:rsid w:val="00E14A08"/>
    <w:rsid w:val="00E14EC3"/>
    <w:rsid w:val="00E1581D"/>
    <w:rsid w:val="00E160EF"/>
    <w:rsid w:val="00E168F7"/>
    <w:rsid w:val="00E16D47"/>
    <w:rsid w:val="00E1791D"/>
    <w:rsid w:val="00E17B91"/>
    <w:rsid w:val="00E2031E"/>
    <w:rsid w:val="00E205EE"/>
    <w:rsid w:val="00E207D6"/>
    <w:rsid w:val="00E20959"/>
    <w:rsid w:val="00E210CE"/>
    <w:rsid w:val="00E21309"/>
    <w:rsid w:val="00E2130D"/>
    <w:rsid w:val="00E21C67"/>
    <w:rsid w:val="00E21DFF"/>
    <w:rsid w:val="00E21F89"/>
    <w:rsid w:val="00E22090"/>
    <w:rsid w:val="00E221B0"/>
    <w:rsid w:val="00E23001"/>
    <w:rsid w:val="00E232F8"/>
    <w:rsid w:val="00E2376F"/>
    <w:rsid w:val="00E23F0C"/>
    <w:rsid w:val="00E241DD"/>
    <w:rsid w:val="00E24A71"/>
    <w:rsid w:val="00E253AF"/>
    <w:rsid w:val="00E2699C"/>
    <w:rsid w:val="00E27353"/>
    <w:rsid w:val="00E2761F"/>
    <w:rsid w:val="00E27FA0"/>
    <w:rsid w:val="00E30BEE"/>
    <w:rsid w:val="00E31146"/>
    <w:rsid w:val="00E31549"/>
    <w:rsid w:val="00E3187E"/>
    <w:rsid w:val="00E31A81"/>
    <w:rsid w:val="00E31DF8"/>
    <w:rsid w:val="00E3228E"/>
    <w:rsid w:val="00E32BAB"/>
    <w:rsid w:val="00E332B2"/>
    <w:rsid w:val="00E342BE"/>
    <w:rsid w:val="00E346CC"/>
    <w:rsid w:val="00E34F8D"/>
    <w:rsid w:val="00E351E2"/>
    <w:rsid w:val="00E35227"/>
    <w:rsid w:val="00E35643"/>
    <w:rsid w:val="00E35807"/>
    <w:rsid w:val="00E36171"/>
    <w:rsid w:val="00E3702A"/>
    <w:rsid w:val="00E377F4"/>
    <w:rsid w:val="00E37BDB"/>
    <w:rsid w:val="00E402FE"/>
    <w:rsid w:val="00E4091E"/>
    <w:rsid w:val="00E40947"/>
    <w:rsid w:val="00E40AA3"/>
    <w:rsid w:val="00E41093"/>
    <w:rsid w:val="00E4142D"/>
    <w:rsid w:val="00E41748"/>
    <w:rsid w:val="00E41BBC"/>
    <w:rsid w:val="00E41E3D"/>
    <w:rsid w:val="00E4312A"/>
    <w:rsid w:val="00E4362A"/>
    <w:rsid w:val="00E43D55"/>
    <w:rsid w:val="00E44526"/>
    <w:rsid w:val="00E450FF"/>
    <w:rsid w:val="00E45ADA"/>
    <w:rsid w:val="00E45FFD"/>
    <w:rsid w:val="00E46385"/>
    <w:rsid w:val="00E46433"/>
    <w:rsid w:val="00E46446"/>
    <w:rsid w:val="00E46614"/>
    <w:rsid w:val="00E4705B"/>
    <w:rsid w:val="00E50775"/>
    <w:rsid w:val="00E508FD"/>
    <w:rsid w:val="00E52BDB"/>
    <w:rsid w:val="00E535D1"/>
    <w:rsid w:val="00E54154"/>
    <w:rsid w:val="00E541C0"/>
    <w:rsid w:val="00E544F3"/>
    <w:rsid w:val="00E551DB"/>
    <w:rsid w:val="00E5523B"/>
    <w:rsid w:val="00E55CBA"/>
    <w:rsid w:val="00E55E92"/>
    <w:rsid w:val="00E55FCB"/>
    <w:rsid w:val="00E56F51"/>
    <w:rsid w:val="00E602A3"/>
    <w:rsid w:val="00E609DD"/>
    <w:rsid w:val="00E62762"/>
    <w:rsid w:val="00E62AC7"/>
    <w:rsid w:val="00E62F8A"/>
    <w:rsid w:val="00E63941"/>
    <w:rsid w:val="00E63B90"/>
    <w:rsid w:val="00E63FD1"/>
    <w:rsid w:val="00E64499"/>
    <w:rsid w:val="00E66687"/>
    <w:rsid w:val="00E66714"/>
    <w:rsid w:val="00E66747"/>
    <w:rsid w:val="00E66C21"/>
    <w:rsid w:val="00E671C5"/>
    <w:rsid w:val="00E6741E"/>
    <w:rsid w:val="00E67D59"/>
    <w:rsid w:val="00E7011F"/>
    <w:rsid w:val="00E70B07"/>
    <w:rsid w:val="00E70CDB"/>
    <w:rsid w:val="00E71420"/>
    <w:rsid w:val="00E72218"/>
    <w:rsid w:val="00E72646"/>
    <w:rsid w:val="00E7283D"/>
    <w:rsid w:val="00E72B3F"/>
    <w:rsid w:val="00E72FCB"/>
    <w:rsid w:val="00E7341A"/>
    <w:rsid w:val="00E73B76"/>
    <w:rsid w:val="00E73E19"/>
    <w:rsid w:val="00E74727"/>
    <w:rsid w:val="00E75027"/>
    <w:rsid w:val="00E7537C"/>
    <w:rsid w:val="00E75455"/>
    <w:rsid w:val="00E758CC"/>
    <w:rsid w:val="00E75EB3"/>
    <w:rsid w:val="00E76406"/>
    <w:rsid w:val="00E76477"/>
    <w:rsid w:val="00E7648B"/>
    <w:rsid w:val="00E76A1F"/>
    <w:rsid w:val="00E77C2F"/>
    <w:rsid w:val="00E77DA5"/>
    <w:rsid w:val="00E80A69"/>
    <w:rsid w:val="00E81060"/>
    <w:rsid w:val="00E82088"/>
    <w:rsid w:val="00E8220D"/>
    <w:rsid w:val="00E823A8"/>
    <w:rsid w:val="00E82402"/>
    <w:rsid w:val="00E8361E"/>
    <w:rsid w:val="00E83A30"/>
    <w:rsid w:val="00E84120"/>
    <w:rsid w:val="00E84125"/>
    <w:rsid w:val="00E84691"/>
    <w:rsid w:val="00E84E9D"/>
    <w:rsid w:val="00E850A2"/>
    <w:rsid w:val="00E8559B"/>
    <w:rsid w:val="00E8590D"/>
    <w:rsid w:val="00E8667D"/>
    <w:rsid w:val="00E869A4"/>
    <w:rsid w:val="00E874CC"/>
    <w:rsid w:val="00E877A4"/>
    <w:rsid w:val="00E87853"/>
    <w:rsid w:val="00E87BE9"/>
    <w:rsid w:val="00E900C2"/>
    <w:rsid w:val="00E909A2"/>
    <w:rsid w:val="00E90DF0"/>
    <w:rsid w:val="00E92079"/>
    <w:rsid w:val="00E92253"/>
    <w:rsid w:val="00E932AF"/>
    <w:rsid w:val="00E93467"/>
    <w:rsid w:val="00E9355B"/>
    <w:rsid w:val="00E9359C"/>
    <w:rsid w:val="00E93AF0"/>
    <w:rsid w:val="00E93DB8"/>
    <w:rsid w:val="00E94270"/>
    <w:rsid w:val="00E94CB3"/>
    <w:rsid w:val="00E95036"/>
    <w:rsid w:val="00E9666E"/>
    <w:rsid w:val="00E974A3"/>
    <w:rsid w:val="00E978F9"/>
    <w:rsid w:val="00E97995"/>
    <w:rsid w:val="00EA1328"/>
    <w:rsid w:val="00EA137F"/>
    <w:rsid w:val="00EA1B5A"/>
    <w:rsid w:val="00EA3815"/>
    <w:rsid w:val="00EA50D6"/>
    <w:rsid w:val="00EA71B0"/>
    <w:rsid w:val="00EA76FF"/>
    <w:rsid w:val="00EA7FFB"/>
    <w:rsid w:val="00EB0234"/>
    <w:rsid w:val="00EB092D"/>
    <w:rsid w:val="00EB0C1D"/>
    <w:rsid w:val="00EB0C91"/>
    <w:rsid w:val="00EB1A4A"/>
    <w:rsid w:val="00EB2ABE"/>
    <w:rsid w:val="00EB36CF"/>
    <w:rsid w:val="00EB37C5"/>
    <w:rsid w:val="00EB3CB6"/>
    <w:rsid w:val="00EB419D"/>
    <w:rsid w:val="00EB4A35"/>
    <w:rsid w:val="00EB6087"/>
    <w:rsid w:val="00EB615F"/>
    <w:rsid w:val="00EB67A6"/>
    <w:rsid w:val="00EC038B"/>
    <w:rsid w:val="00EC059E"/>
    <w:rsid w:val="00EC0942"/>
    <w:rsid w:val="00EC0A8A"/>
    <w:rsid w:val="00EC0ADE"/>
    <w:rsid w:val="00EC0E16"/>
    <w:rsid w:val="00EC13E0"/>
    <w:rsid w:val="00EC2451"/>
    <w:rsid w:val="00EC257A"/>
    <w:rsid w:val="00EC3042"/>
    <w:rsid w:val="00EC3394"/>
    <w:rsid w:val="00EC4230"/>
    <w:rsid w:val="00EC4758"/>
    <w:rsid w:val="00EC4FA0"/>
    <w:rsid w:val="00EC5C66"/>
    <w:rsid w:val="00EC5EAE"/>
    <w:rsid w:val="00EC6AD9"/>
    <w:rsid w:val="00EC7DC3"/>
    <w:rsid w:val="00ED0707"/>
    <w:rsid w:val="00ED09B5"/>
    <w:rsid w:val="00ED11BF"/>
    <w:rsid w:val="00ED15A3"/>
    <w:rsid w:val="00ED2A18"/>
    <w:rsid w:val="00ED2B80"/>
    <w:rsid w:val="00ED349F"/>
    <w:rsid w:val="00ED3744"/>
    <w:rsid w:val="00ED4C19"/>
    <w:rsid w:val="00ED707A"/>
    <w:rsid w:val="00ED7129"/>
    <w:rsid w:val="00ED76AB"/>
    <w:rsid w:val="00ED77C5"/>
    <w:rsid w:val="00ED78D4"/>
    <w:rsid w:val="00ED7D28"/>
    <w:rsid w:val="00ED7FED"/>
    <w:rsid w:val="00EE03D3"/>
    <w:rsid w:val="00EE0697"/>
    <w:rsid w:val="00EE0A18"/>
    <w:rsid w:val="00EE0D43"/>
    <w:rsid w:val="00EE1AA8"/>
    <w:rsid w:val="00EE1D6E"/>
    <w:rsid w:val="00EE21F0"/>
    <w:rsid w:val="00EE2640"/>
    <w:rsid w:val="00EE3C43"/>
    <w:rsid w:val="00EE3EE2"/>
    <w:rsid w:val="00EE4686"/>
    <w:rsid w:val="00EE4F9C"/>
    <w:rsid w:val="00EE5910"/>
    <w:rsid w:val="00EE65C6"/>
    <w:rsid w:val="00EE6685"/>
    <w:rsid w:val="00EE742C"/>
    <w:rsid w:val="00EF1CD1"/>
    <w:rsid w:val="00EF1D43"/>
    <w:rsid w:val="00EF1EF7"/>
    <w:rsid w:val="00EF316D"/>
    <w:rsid w:val="00EF3B7C"/>
    <w:rsid w:val="00EF469D"/>
    <w:rsid w:val="00EF4B89"/>
    <w:rsid w:val="00EF54F9"/>
    <w:rsid w:val="00EF5AEF"/>
    <w:rsid w:val="00EF5BB1"/>
    <w:rsid w:val="00EF6441"/>
    <w:rsid w:val="00EF7187"/>
    <w:rsid w:val="00EF7824"/>
    <w:rsid w:val="00EF7A92"/>
    <w:rsid w:val="00F0075A"/>
    <w:rsid w:val="00F01FE9"/>
    <w:rsid w:val="00F02D58"/>
    <w:rsid w:val="00F037E1"/>
    <w:rsid w:val="00F04634"/>
    <w:rsid w:val="00F046E3"/>
    <w:rsid w:val="00F0524E"/>
    <w:rsid w:val="00F059E1"/>
    <w:rsid w:val="00F06D8E"/>
    <w:rsid w:val="00F0730B"/>
    <w:rsid w:val="00F105B4"/>
    <w:rsid w:val="00F110DF"/>
    <w:rsid w:val="00F11998"/>
    <w:rsid w:val="00F11D43"/>
    <w:rsid w:val="00F121BD"/>
    <w:rsid w:val="00F12CBB"/>
    <w:rsid w:val="00F1317E"/>
    <w:rsid w:val="00F13258"/>
    <w:rsid w:val="00F1435C"/>
    <w:rsid w:val="00F153CE"/>
    <w:rsid w:val="00F172E4"/>
    <w:rsid w:val="00F17761"/>
    <w:rsid w:val="00F17AE3"/>
    <w:rsid w:val="00F204AB"/>
    <w:rsid w:val="00F20615"/>
    <w:rsid w:val="00F20838"/>
    <w:rsid w:val="00F2084A"/>
    <w:rsid w:val="00F21757"/>
    <w:rsid w:val="00F21AF5"/>
    <w:rsid w:val="00F2241D"/>
    <w:rsid w:val="00F22D4C"/>
    <w:rsid w:val="00F23E53"/>
    <w:rsid w:val="00F24055"/>
    <w:rsid w:val="00F24B8A"/>
    <w:rsid w:val="00F2569B"/>
    <w:rsid w:val="00F256B0"/>
    <w:rsid w:val="00F2651B"/>
    <w:rsid w:val="00F272C3"/>
    <w:rsid w:val="00F275F2"/>
    <w:rsid w:val="00F277D5"/>
    <w:rsid w:val="00F27897"/>
    <w:rsid w:val="00F27AF4"/>
    <w:rsid w:val="00F27B68"/>
    <w:rsid w:val="00F3227A"/>
    <w:rsid w:val="00F32FFE"/>
    <w:rsid w:val="00F3309E"/>
    <w:rsid w:val="00F343D9"/>
    <w:rsid w:val="00F34698"/>
    <w:rsid w:val="00F35E69"/>
    <w:rsid w:val="00F3621B"/>
    <w:rsid w:val="00F365E6"/>
    <w:rsid w:val="00F37164"/>
    <w:rsid w:val="00F3767A"/>
    <w:rsid w:val="00F37A8E"/>
    <w:rsid w:val="00F37CA3"/>
    <w:rsid w:val="00F401A7"/>
    <w:rsid w:val="00F40A4D"/>
    <w:rsid w:val="00F40CB6"/>
    <w:rsid w:val="00F40EDC"/>
    <w:rsid w:val="00F41BFE"/>
    <w:rsid w:val="00F41D29"/>
    <w:rsid w:val="00F42618"/>
    <w:rsid w:val="00F4333F"/>
    <w:rsid w:val="00F44104"/>
    <w:rsid w:val="00F4417A"/>
    <w:rsid w:val="00F44352"/>
    <w:rsid w:val="00F44A7C"/>
    <w:rsid w:val="00F44C17"/>
    <w:rsid w:val="00F45133"/>
    <w:rsid w:val="00F45C39"/>
    <w:rsid w:val="00F45F17"/>
    <w:rsid w:val="00F468BC"/>
    <w:rsid w:val="00F46B5F"/>
    <w:rsid w:val="00F46CF8"/>
    <w:rsid w:val="00F47DA8"/>
    <w:rsid w:val="00F50EEE"/>
    <w:rsid w:val="00F5153A"/>
    <w:rsid w:val="00F51CA8"/>
    <w:rsid w:val="00F51DBE"/>
    <w:rsid w:val="00F51E3F"/>
    <w:rsid w:val="00F52C04"/>
    <w:rsid w:val="00F533BE"/>
    <w:rsid w:val="00F53D41"/>
    <w:rsid w:val="00F54723"/>
    <w:rsid w:val="00F55260"/>
    <w:rsid w:val="00F555BB"/>
    <w:rsid w:val="00F556FB"/>
    <w:rsid w:val="00F55E2F"/>
    <w:rsid w:val="00F560C2"/>
    <w:rsid w:val="00F56D49"/>
    <w:rsid w:val="00F56E92"/>
    <w:rsid w:val="00F57617"/>
    <w:rsid w:val="00F5783B"/>
    <w:rsid w:val="00F5793B"/>
    <w:rsid w:val="00F60C7C"/>
    <w:rsid w:val="00F60C83"/>
    <w:rsid w:val="00F62041"/>
    <w:rsid w:val="00F62D4B"/>
    <w:rsid w:val="00F63058"/>
    <w:rsid w:val="00F636FD"/>
    <w:rsid w:val="00F63806"/>
    <w:rsid w:val="00F6385B"/>
    <w:rsid w:val="00F63BE3"/>
    <w:rsid w:val="00F6408E"/>
    <w:rsid w:val="00F64E4F"/>
    <w:rsid w:val="00F64F3D"/>
    <w:rsid w:val="00F65841"/>
    <w:rsid w:val="00F664AF"/>
    <w:rsid w:val="00F66AA5"/>
    <w:rsid w:val="00F67208"/>
    <w:rsid w:val="00F6771B"/>
    <w:rsid w:val="00F67AAF"/>
    <w:rsid w:val="00F67E05"/>
    <w:rsid w:val="00F7009F"/>
    <w:rsid w:val="00F70C8F"/>
    <w:rsid w:val="00F70CA5"/>
    <w:rsid w:val="00F713E6"/>
    <w:rsid w:val="00F718C0"/>
    <w:rsid w:val="00F71E5A"/>
    <w:rsid w:val="00F73962"/>
    <w:rsid w:val="00F74011"/>
    <w:rsid w:val="00F75106"/>
    <w:rsid w:val="00F765E2"/>
    <w:rsid w:val="00F7689C"/>
    <w:rsid w:val="00F771AC"/>
    <w:rsid w:val="00F803C0"/>
    <w:rsid w:val="00F81AF7"/>
    <w:rsid w:val="00F8230C"/>
    <w:rsid w:val="00F82679"/>
    <w:rsid w:val="00F8267C"/>
    <w:rsid w:val="00F83A17"/>
    <w:rsid w:val="00F841E2"/>
    <w:rsid w:val="00F842AE"/>
    <w:rsid w:val="00F84AED"/>
    <w:rsid w:val="00F8507D"/>
    <w:rsid w:val="00F85302"/>
    <w:rsid w:val="00F85B5B"/>
    <w:rsid w:val="00F87712"/>
    <w:rsid w:val="00F87CB2"/>
    <w:rsid w:val="00F87FF5"/>
    <w:rsid w:val="00F91D94"/>
    <w:rsid w:val="00F92729"/>
    <w:rsid w:val="00F92941"/>
    <w:rsid w:val="00F93311"/>
    <w:rsid w:val="00F93EF8"/>
    <w:rsid w:val="00F9409C"/>
    <w:rsid w:val="00F941B1"/>
    <w:rsid w:val="00F941E7"/>
    <w:rsid w:val="00F945FC"/>
    <w:rsid w:val="00F95260"/>
    <w:rsid w:val="00F95743"/>
    <w:rsid w:val="00F95D66"/>
    <w:rsid w:val="00F96587"/>
    <w:rsid w:val="00F970E1"/>
    <w:rsid w:val="00F972D1"/>
    <w:rsid w:val="00F9796E"/>
    <w:rsid w:val="00F979A7"/>
    <w:rsid w:val="00FA0933"/>
    <w:rsid w:val="00FA0A3B"/>
    <w:rsid w:val="00FA0B21"/>
    <w:rsid w:val="00FA0DE4"/>
    <w:rsid w:val="00FA12BC"/>
    <w:rsid w:val="00FA21E3"/>
    <w:rsid w:val="00FA2767"/>
    <w:rsid w:val="00FA2DE9"/>
    <w:rsid w:val="00FA3255"/>
    <w:rsid w:val="00FA37DC"/>
    <w:rsid w:val="00FA3B33"/>
    <w:rsid w:val="00FA3BB2"/>
    <w:rsid w:val="00FA426C"/>
    <w:rsid w:val="00FA4432"/>
    <w:rsid w:val="00FA4685"/>
    <w:rsid w:val="00FA49B1"/>
    <w:rsid w:val="00FA590A"/>
    <w:rsid w:val="00FA5D43"/>
    <w:rsid w:val="00FA6829"/>
    <w:rsid w:val="00FA71B5"/>
    <w:rsid w:val="00FA75CC"/>
    <w:rsid w:val="00FB0130"/>
    <w:rsid w:val="00FB0495"/>
    <w:rsid w:val="00FB0910"/>
    <w:rsid w:val="00FB0D72"/>
    <w:rsid w:val="00FB0E11"/>
    <w:rsid w:val="00FB139D"/>
    <w:rsid w:val="00FB146A"/>
    <w:rsid w:val="00FB1811"/>
    <w:rsid w:val="00FB1F93"/>
    <w:rsid w:val="00FB220B"/>
    <w:rsid w:val="00FB2A39"/>
    <w:rsid w:val="00FB2FA0"/>
    <w:rsid w:val="00FB2FAF"/>
    <w:rsid w:val="00FB360D"/>
    <w:rsid w:val="00FB39DA"/>
    <w:rsid w:val="00FB4B67"/>
    <w:rsid w:val="00FB5105"/>
    <w:rsid w:val="00FB557C"/>
    <w:rsid w:val="00FB5B78"/>
    <w:rsid w:val="00FB5F87"/>
    <w:rsid w:val="00FB650C"/>
    <w:rsid w:val="00FB67D6"/>
    <w:rsid w:val="00FB6D22"/>
    <w:rsid w:val="00FB6E66"/>
    <w:rsid w:val="00FC0C92"/>
    <w:rsid w:val="00FC1036"/>
    <w:rsid w:val="00FC1199"/>
    <w:rsid w:val="00FC1343"/>
    <w:rsid w:val="00FC2816"/>
    <w:rsid w:val="00FC3553"/>
    <w:rsid w:val="00FC3BA4"/>
    <w:rsid w:val="00FC462C"/>
    <w:rsid w:val="00FC4CCF"/>
    <w:rsid w:val="00FC56FD"/>
    <w:rsid w:val="00FC57DF"/>
    <w:rsid w:val="00FC583D"/>
    <w:rsid w:val="00FC5C00"/>
    <w:rsid w:val="00FC5FF9"/>
    <w:rsid w:val="00FC6350"/>
    <w:rsid w:val="00FC6B1C"/>
    <w:rsid w:val="00FC753C"/>
    <w:rsid w:val="00FC7755"/>
    <w:rsid w:val="00FD0226"/>
    <w:rsid w:val="00FD033B"/>
    <w:rsid w:val="00FD05BE"/>
    <w:rsid w:val="00FD05EA"/>
    <w:rsid w:val="00FD087E"/>
    <w:rsid w:val="00FD0934"/>
    <w:rsid w:val="00FD100E"/>
    <w:rsid w:val="00FD16A4"/>
    <w:rsid w:val="00FD29B0"/>
    <w:rsid w:val="00FD2D59"/>
    <w:rsid w:val="00FD30B8"/>
    <w:rsid w:val="00FD402F"/>
    <w:rsid w:val="00FD49CE"/>
    <w:rsid w:val="00FD5881"/>
    <w:rsid w:val="00FD7335"/>
    <w:rsid w:val="00FE0358"/>
    <w:rsid w:val="00FE035C"/>
    <w:rsid w:val="00FE1734"/>
    <w:rsid w:val="00FE20B2"/>
    <w:rsid w:val="00FE2B10"/>
    <w:rsid w:val="00FE2DC4"/>
    <w:rsid w:val="00FE448C"/>
    <w:rsid w:val="00FE5141"/>
    <w:rsid w:val="00FE519E"/>
    <w:rsid w:val="00FE61C1"/>
    <w:rsid w:val="00FE6CEF"/>
    <w:rsid w:val="00FE6F13"/>
    <w:rsid w:val="00FE77DC"/>
    <w:rsid w:val="00FE7E4F"/>
    <w:rsid w:val="00FF0086"/>
    <w:rsid w:val="00FF0CC9"/>
    <w:rsid w:val="00FF110B"/>
    <w:rsid w:val="00FF167B"/>
    <w:rsid w:val="00FF1D78"/>
    <w:rsid w:val="00FF1DA5"/>
    <w:rsid w:val="00FF2EA8"/>
    <w:rsid w:val="00FF325F"/>
    <w:rsid w:val="00FF3878"/>
    <w:rsid w:val="00FF3F9E"/>
    <w:rsid w:val="00FF46EC"/>
    <w:rsid w:val="00FF4885"/>
    <w:rsid w:val="00FF4972"/>
    <w:rsid w:val="00FF4AB0"/>
    <w:rsid w:val="00FF696C"/>
    <w:rsid w:val="00FF6A4C"/>
    <w:rsid w:val="00FF6F04"/>
    <w:rsid w:val="00FF6F30"/>
    <w:rsid w:val="00FF7826"/>
    <w:rsid w:val="00FF791A"/>
    <w:rsid w:val="00FF797F"/>
    <w:rsid w:val="01155348"/>
    <w:rsid w:val="014B3C99"/>
    <w:rsid w:val="017A4BDD"/>
    <w:rsid w:val="01895F26"/>
    <w:rsid w:val="01974E31"/>
    <w:rsid w:val="019976B6"/>
    <w:rsid w:val="01C31844"/>
    <w:rsid w:val="0214656E"/>
    <w:rsid w:val="0254783A"/>
    <w:rsid w:val="0278321A"/>
    <w:rsid w:val="02AA15DE"/>
    <w:rsid w:val="02FD1FEF"/>
    <w:rsid w:val="030331EC"/>
    <w:rsid w:val="03A94EDD"/>
    <w:rsid w:val="040F39F3"/>
    <w:rsid w:val="04437FA4"/>
    <w:rsid w:val="046700D6"/>
    <w:rsid w:val="047F629E"/>
    <w:rsid w:val="04E16EFC"/>
    <w:rsid w:val="04EC1318"/>
    <w:rsid w:val="052B148A"/>
    <w:rsid w:val="05521621"/>
    <w:rsid w:val="057B66F4"/>
    <w:rsid w:val="058B69D6"/>
    <w:rsid w:val="05F37065"/>
    <w:rsid w:val="05FE7AE6"/>
    <w:rsid w:val="062E6BD1"/>
    <w:rsid w:val="063B14E0"/>
    <w:rsid w:val="063E7887"/>
    <w:rsid w:val="07482082"/>
    <w:rsid w:val="076E1C93"/>
    <w:rsid w:val="077542DE"/>
    <w:rsid w:val="077866DD"/>
    <w:rsid w:val="08074E94"/>
    <w:rsid w:val="08135A08"/>
    <w:rsid w:val="086D5296"/>
    <w:rsid w:val="088310DC"/>
    <w:rsid w:val="08896855"/>
    <w:rsid w:val="090D24C2"/>
    <w:rsid w:val="093740B9"/>
    <w:rsid w:val="094C04AD"/>
    <w:rsid w:val="09A26FE9"/>
    <w:rsid w:val="0A0A0B12"/>
    <w:rsid w:val="0A0B1863"/>
    <w:rsid w:val="0A404567"/>
    <w:rsid w:val="0A565702"/>
    <w:rsid w:val="0A7D4307"/>
    <w:rsid w:val="0B1026B1"/>
    <w:rsid w:val="0B5B0B00"/>
    <w:rsid w:val="0B6E4C6F"/>
    <w:rsid w:val="0C09272D"/>
    <w:rsid w:val="0C3F5A38"/>
    <w:rsid w:val="0CA40CD0"/>
    <w:rsid w:val="0CBE1483"/>
    <w:rsid w:val="0CDB6231"/>
    <w:rsid w:val="0CE569CE"/>
    <w:rsid w:val="0CFA4AC6"/>
    <w:rsid w:val="0D094667"/>
    <w:rsid w:val="0D2A2991"/>
    <w:rsid w:val="0D2E2463"/>
    <w:rsid w:val="0D985D79"/>
    <w:rsid w:val="0DDE13F8"/>
    <w:rsid w:val="0E03078F"/>
    <w:rsid w:val="0E411E52"/>
    <w:rsid w:val="0E94293A"/>
    <w:rsid w:val="0E9B47EF"/>
    <w:rsid w:val="0ECE5396"/>
    <w:rsid w:val="0ED71A2E"/>
    <w:rsid w:val="0EEA403C"/>
    <w:rsid w:val="0EF5573B"/>
    <w:rsid w:val="0F1E68DC"/>
    <w:rsid w:val="0F4A7AF4"/>
    <w:rsid w:val="104A5FBF"/>
    <w:rsid w:val="108D520E"/>
    <w:rsid w:val="11172C00"/>
    <w:rsid w:val="111C1306"/>
    <w:rsid w:val="111F2194"/>
    <w:rsid w:val="1147495F"/>
    <w:rsid w:val="114D7627"/>
    <w:rsid w:val="117C5B22"/>
    <w:rsid w:val="11BD0339"/>
    <w:rsid w:val="11D66AE7"/>
    <w:rsid w:val="11FD2697"/>
    <w:rsid w:val="122C40E9"/>
    <w:rsid w:val="126B5D0A"/>
    <w:rsid w:val="12A87F57"/>
    <w:rsid w:val="13372EF9"/>
    <w:rsid w:val="139A4D28"/>
    <w:rsid w:val="13BA14D5"/>
    <w:rsid w:val="141325EF"/>
    <w:rsid w:val="148475A3"/>
    <w:rsid w:val="14BA1869"/>
    <w:rsid w:val="151D336F"/>
    <w:rsid w:val="15602E19"/>
    <w:rsid w:val="158400F2"/>
    <w:rsid w:val="15C93518"/>
    <w:rsid w:val="15D5372F"/>
    <w:rsid w:val="164A67E3"/>
    <w:rsid w:val="16794379"/>
    <w:rsid w:val="16C71F9A"/>
    <w:rsid w:val="16E61B71"/>
    <w:rsid w:val="17091AAA"/>
    <w:rsid w:val="178D7238"/>
    <w:rsid w:val="17AA6924"/>
    <w:rsid w:val="17E044FE"/>
    <w:rsid w:val="18585C39"/>
    <w:rsid w:val="186327F8"/>
    <w:rsid w:val="18A41857"/>
    <w:rsid w:val="18D17B4A"/>
    <w:rsid w:val="18EA32B9"/>
    <w:rsid w:val="194D1112"/>
    <w:rsid w:val="19714112"/>
    <w:rsid w:val="19CB3BC3"/>
    <w:rsid w:val="1A0B0F07"/>
    <w:rsid w:val="1A1B16A4"/>
    <w:rsid w:val="1A4E0F92"/>
    <w:rsid w:val="1A88543A"/>
    <w:rsid w:val="1AB106A7"/>
    <w:rsid w:val="1B3E6D65"/>
    <w:rsid w:val="1B594B2A"/>
    <w:rsid w:val="1B5C22A3"/>
    <w:rsid w:val="1C494F1B"/>
    <w:rsid w:val="1C505751"/>
    <w:rsid w:val="1C530990"/>
    <w:rsid w:val="1C5F71E3"/>
    <w:rsid w:val="1C727A94"/>
    <w:rsid w:val="1C765179"/>
    <w:rsid w:val="1CB75643"/>
    <w:rsid w:val="1CCF14CB"/>
    <w:rsid w:val="1CD70394"/>
    <w:rsid w:val="1CE531F5"/>
    <w:rsid w:val="1D1F3EC5"/>
    <w:rsid w:val="1DBD6547"/>
    <w:rsid w:val="1DF75145"/>
    <w:rsid w:val="1DF9580C"/>
    <w:rsid w:val="1E3864A8"/>
    <w:rsid w:val="1E6E1D80"/>
    <w:rsid w:val="1E973886"/>
    <w:rsid w:val="1EFC72D4"/>
    <w:rsid w:val="1F025E30"/>
    <w:rsid w:val="1F680D14"/>
    <w:rsid w:val="1F737B16"/>
    <w:rsid w:val="1FF928E0"/>
    <w:rsid w:val="201273B0"/>
    <w:rsid w:val="20802019"/>
    <w:rsid w:val="20A93005"/>
    <w:rsid w:val="21011E91"/>
    <w:rsid w:val="219175F2"/>
    <w:rsid w:val="21A943C5"/>
    <w:rsid w:val="21C102E1"/>
    <w:rsid w:val="21CA0FC5"/>
    <w:rsid w:val="21CB7A8D"/>
    <w:rsid w:val="222C5F0C"/>
    <w:rsid w:val="228947D3"/>
    <w:rsid w:val="228A7AB4"/>
    <w:rsid w:val="22A22CC2"/>
    <w:rsid w:val="22AC58FA"/>
    <w:rsid w:val="22C61955"/>
    <w:rsid w:val="23822D90"/>
    <w:rsid w:val="23837A2D"/>
    <w:rsid w:val="23F83683"/>
    <w:rsid w:val="24136C8F"/>
    <w:rsid w:val="24E55539"/>
    <w:rsid w:val="24EE0C29"/>
    <w:rsid w:val="25AC5839"/>
    <w:rsid w:val="25E83E88"/>
    <w:rsid w:val="2636098C"/>
    <w:rsid w:val="266535E3"/>
    <w:rsid w:val="269D412F"/>
    <w:rsid w:val="26C4367E"/>
    <w:rsid w:val="26C53D2A"/>
    <w:rsid w:val="26D356BC"/>
    <w:rsid w:val="27712341"/>
    <w:rsid w:val="27A76424"/>
    <w:rsid w:val="27B269BB"/>
    <w:rsid w:val="28183041"/>
    <w:rsid w:val="28385D2A"/>
    <w:rsid w:val="28525107"/>
    <w:rsid w:val="2878298C"/>
    <w:rsid w:val="287E5A09"/>
    <w:rsid w:val="28DC1FDA"/>
    <w:rsid w:val="28F06F95"/>
    <w:rsid w:val="29803FAC"/>
    <w:rsid w:val="299C2454"/>
    <w:rsid w:val="29B7347D"/>
    <w:rsid w:val="2A675F00"/>
    <w:rsid w:val="2AD97480"/>
    <w:rsid w:val="2B3623DF"/>
    <w:rsid w:val="2BFB3928"/>
    <w:rsid w:val="2C567F97"/>
    <w:rsid w:val="2CB508DB"/>
    <w:rsid w:val="2CBD10D4"/>
    <w:rsid w:val="2CBE21DF"/>
    <w:rsid w:val="2CF263E7"/>
    <w:rsid w:val="2D8414CD"/>
    <w:rsid w:val="2D9A142E"/>
    <w:rsid w:val="2D9E586D"/>
    <w:rsid w:val="2DB02E51"/>
    <w:rsid w:val="2DB96302"/>
    <w:rsid w:val="2DD572DC"/>
    <w:rsid w:val="2E133583"/>
    <w:rsid w:val="2EA22960"/>
    <w:rsid w:val="2EA905B7"/>
    <w:rsid w:val="2F0467ED"/>
    <w:rsid w:val="2F966ECB"/>
    <w:rsid w:val="2FA45F9C"/>
    <w:rsid w:val="3039418B"/>
    <w:rsid w:val="3053118A"/>
    <w:rsid w:val="30A6740B"/>
    <w:rsid w:val="313C25AF"/>
    <w:rsid w:val="31BB41A9"/>
    <w:rsid w:val="31CE3CFE"/>
    <w:rsid w:val="320C0E1E"/>
    <w:rsid w:val="321D4A2C"/>
    <w:rsid w:val="323D51F1"/>
    <w:rsid w:val="325D4B52"/>
    <w:rsid w:val="331C1947"/>
    <w:rsid w:val="33622C84"/>
    <w:rsid w:val="33A6164F"/>
    <w:rsid w:val="341D2BA4"/>
    <w:rsid w:val="34D02188"/>
    <w:rsid w:val="34EA52CB"/>
    <w:rsid w:val="35AC50E1"/>
    <w:rsid w:val="36111D9D"/>
    <w:rsid w:val="364C410D"/>
    <w:rsid w:val="36C76613"/>
    <w:rsid w:val="37362E8A"/>
    <w:rsid w:val="37570993"/>
    <w:rsid w:val="37F73B3A"/>
    <w:rsid w:val="38232F84"/>
    <w:rsid w:val="3824288D"/>
    <w:rsid w:val="393C6B83"/>
    <w:rsid w:val="39D44CC7"/>
    <w:rsid w:val="3A1270A7"/>
    <w:rsid w:val="3A3F439C"/>
    <w:rsid w:val="3A590B56"/>
    <w:rsid w:val="3ACC331B"/>
    <w:rsid w:val="3B0C73DB"/>
    <w:rsid w:val="3BD8250B"/>
    <w:rsid w:val="3C384B25"/>
    <w:rsid w:val="3C52403C"/>
    <w:rsid w:val="3C620F8A"/>
    <w:rsid w:val="3C8817F9"/>
    <w:rsid w:val="3D7F2363"/>
    <w:rsid w:val="3D957D09"/>
    <w:rsid w:val="3DBF6E20"/>
    <w:rsid w:val="3E2E5899"/>
    <w:rsid w:val="3E376205"/>
    <w:rsid w:val="3E4A142D"/>
    <w:rsid w:val="3E4F6D08"/>
    <w:rsid w:val="3E6D64BB"/>
    <w:rsid w:val="3E832438"/>
    <w:rsid w:val="3E9E1BB6"/>
    <w:rsid w:val="3EF5551F"/>
    <w:rsid w:val="3F656F05"/>
    <w:rsid w:val="3FD46898"/>
    <w:rsid w:val="40183A24"/>
    <w:rsid w:val="40434A93"/>
    <w:rsid w:val="40474FE4"/>
    <w:rsid w:val="404C7F74"/>
    <w:rsid w:val="41963DC9"/>
    <w:rsid w:val="41E65E55"/>
    <w:rsid w:val="42265E2C"/>
    <w:rsid w:val="42393AA8"/>
    <w:rsid w:val="42774060"/>
    <w:rsid w:val="427F2E3D"/>
    <w:rsid w:val="42980C07"/>
    <w:rsid w:val="42E632A2"/>
    <w:rsid w:val="436377CC"/>
    <w:rsid w:val="43910CE7"/>
    <w:rsid w:val="43D64743"/>
    <w:rsid w:val="440971C7"/>
    <w:rsid w:val="442D3AB5"/>
    <w:rsid w:val="44942722"/>
    <w:rsid w:val="44C514DC"/>
    <w:rsid w:val="44D114B0"/>
    <w:rsid w:val="45457FC8"/>
    <w:rsid w:val="46B41E45"/>
    <w:rsid w:val="46F5486C"/>
    <w:rsid w:val="470B025B"/>
    <w:rsid w:val="47246AA6"/>
    <w:rsid w:val="4728277B"/>
    <w:rsid w:val="476F15B7"/>
    <w:rsid w:val="486148C2"/>
    <w:rsid w:val="48C679F2"/>
    <w:rsid w:val="49127E1E"/>
    <w:rsid w:val="493A71A3"/>
    <w:rsid w:val="494E511A"/>
    <w:rsid w:val="49A5101E"/>
    <w:rsid w:val="49D64FBE"/>
    <w:rsid w:val="4A095C7F"/>
    <w:rsid w:val="4A1E3943"/>
    <w:rsid w:val="4A4578A8"/>
    <w:rsid w:val="4AB8556D"/>
    <w:rsid w:val="4B114133"/>
    <w:rsid w:val="4B2118C3"/>
    <w:rsid w:val="4B6D1EF0"/>
    <w:rsid w:val="4B933557"/>
    <w:rsid w:val="4BAF7C10"/>
    <w:rsid w:val="4BFA4068"/>
    <w:rsid w:val="4C041109"/>
    <w:rsid w:val="4C54010E"/>
    <w:rsid w:val="4C6018F1"/>
    <w:rsid w:val="4C6E379B"/>
    <w:rsid w:val="4C7E3321"/>
    <w:rsid w:val="4CAD4EE9"/>
    <w:rsid w:val="4CBB5CB1"/>
    <w:rsid w:val="4CF25AD7"/>
    <w:rsid w:val="4D4D4D9D"/>
    <w:rsid w:val="4E07714F"/>
    <w:rsid w:val="4E484ABB"/>
    <w:rsid w:val="4E7A4BF1"/>
    <w:rsid w:val="4E867330"/>
    <w:rsid w:val="4E91383D"/>
    <w:rsid w:val="4F0E6C82"/>
    <w:rsid w:val="4F694416"/>
    <w:rsid w:val="4F7934A7"/>
    <w:rsid w:val="4F8D5546"/>
    <w:rsid w:val="4F9B378B"/>
    <w:rsid w:val="4FF81B4C"/>
    <w:rsid w:val="4FFA2ABB"/>
    <w:rsid w:val="504F6BEF"/>
    <w:rsid w:val="50B53E0C"/>
    <w:rsid w:val="50DB2EBD"/>
    <w:rsid w:val="50DF5B53"/>
    <w:rsid w:val="51706E54"/>
    <w:rsid w:val="51796D24"/>
    <w:rsid w:val="51BE4753"/>
    <w:rsid w:val="51D9504A"/>
    <w:rsid w:val="52181C74"/>
    <w:rsid w:val="526636E5"/>
    <w:rsid w:val="52A12A6D"/>
    <w:rsid w:val="53C105AE"/>
    <w:rsid w:val="546631EF"/>
    <w:rsid w:val="548C28CA"/>
    <w:rsid w:val="54A702C1"/>
    <w:rsid w:val="54CF6520"/>
    <w:rsid w:val="54E05B2D"/>
    <w:rsid w:val="554C26B5"/>
    <w:rsid w:val="555100C4"/>
    <w:rsid w:val="55C30DCE"/>
    <w:rsid w:val="5607173E"/>
    <w:rsid w:val="565468E6"/>
    <w:rsid w:val="566930C5"/>
    <w:rsid w:val="56B44B21"/>
    <w:rsid w:val="56BA5C28"/>
    <w:rsid w:val="56BF5839"/>
    <w:rsid w:val="57321BE3"/>
    <w:rsid w:val="575448AE"/>
    <w:rsid w:val="576D52D4"/>
    <w:rsid w:val="57826A63"/>
    <w:rsid w:val="58146F98"/>
    <w:rsid w:val="58690003"/>
    <w:rsid w:val="59143830"/>
    <w:rsid w:val="592042EE"/>
    <w:rsid w:val="59706DB8"/>
    <w:rsid w:val="59B37E14"/>
    <w:rsid w:val="5A3D05B1"/>
    <w:rsid w:val="5AE05D29"/>
    <w:rsid w:val="5B1A08E1"/>
    <w:rsid w:val="5B6F655E"/>
    <w:rsid w:val="5B775172"/>
    <w:rsid w:val="5BB46081"/>
    <w:rsid w:val="5C886C36"/>
    <w:rsid w:val="5CF5740D"/>
    <w:rsid w:val="5D157204"/>
    <w:rsid w:val="5D3F1A18"/>
    <w:rsid w:val="5D455776"/>
    <w:rsid w:val="5DF81349"/>
    <w:rsid w:val="5E1A7141"/>
    <w:rsid w:val="5E480638"/>
    <w:rsid w:val="5EC843A2"/>
    <w:rsid w:val="5EE4684A"/>
    <w:rsid w:val="5F264E44"/>
    <w:rsid w:val="5F5D2712"/>
    <w:rsid w:val="60A85AF4"/>
    <w:rsid w:val="60E90094"/>
    <w:rsid w:val="60F56F73"/>
    <w:rsid w:val="6123423B"/>
    <w:rsid w:val="615A5095"/>
    <w:rsid w:val="615F4DCC"/>
    <w:rsid w:val="61712C6E"/>
    <w:rsid w:val="619E72BD"/>
    <w:rsid w:val="623E2BB4"/>
    <w:rsid w:val="62B57B44"/>
    <w:rsid w:val="62F20DD2"/>
    <w:rsid w:val="63140E02"/>
    <w:rsid w:val="6365634F"/>
    <w:rsid w:val="6415564E"/>
    <w:rsid w:val="647008AE"/>
    <w:rsid w:val="64793317"/>
    <w:rsid w:val="649F395D"/>
    <w:rsid w:val="64DF0295"/>
    <w:rsid w:val="64E17A5E"/>
    <w:rsid w:val="651257C9"/>
    <w:rsid w:val="65AE4B5E"/>
    <w:rsid w:val="65CA1462"/>
    <w:rsid w:val="66104455"/>
    <w:rsid w:val="667C4E23"/>
    <w:rsid w:val="66DC5AC2"/>
    <w:rsid w:val="66EA3F39"/>
    <w:rsid w:val="67543487"/>
    <w:rsid w:val="67FA2719"/>
    <w:rsid w:val="68054C77"/>
    <w:rsid w:val="68115665"/>
    <w:rsid w:val="68A5792E"/>
    <w:rsid w:val="68B47B70"/>
    <w:rsid w:val="68D2509D"/>
    <w:rsid w:val="691D5BEC"/>
    <w:rsid w:val="693F0F67"/>
    <w:rsid w:val="69470EFB"/>
    <w:rsid w:val="694C3ED0"/>
    <w:rsid w:val="6AE121F3"/>
    <w:rsid w:val="6B167961"/>
    <w:rsid w:val="6B4920E9"/>
    <w:rsid w:val="6B4A25FC"/>
    <w:rsid w:val="6B997898"/>
    <w:rsid w:val="6BC17147"/>
    <w:rsid w:val="6BDC2542"/>
    <w:rsid w:val="6BDD28BF"/>
    <w:rsid w:val="6BF27CB5"/>
    <w:rsid w:val="6C456F8C"/>
    <w:rsid w:val="6C4E7E00"/>
    <w:rsid w:val="6C845BC4"/>
    <w:rsid w:val="6C8945BC"/>
    <w:rsid w:val="6CA55ED4"/>
    <w:rsid w:val="6D166D19"/>
    <w:rsid w:val="6D5952BE"/>
    <w:rsid w:val="6D5E113B"/>
    <w:rsid w:val="6D644D3E"/>
    <w:rsid w:val="6D8542FA"/>
    <w:rsid w:val="6DA42CEF"/>
    <w:rsid w:val="6DAD357E"/>
    <w:rsid w:val="6DAD5C9A"/>
    <w:rsid w:val="6DEE0D7C"/>
    <w:rsid w:val="6E6D399C"/>
    <w:rsid w:val="6E8275D2"/>
    <w:rsid w:val="6EB53813"/>
    <w:rsid w:val="6F3E5012"/>
    <w:rsid w:val="6F997E4A"/>
    <w:rsid w:val="6FCA2126"/>
    <w:rsid w:val="6FD8428D"/>
    <w:rsid w:val="705679BD"/>
    <w:rsid w:val="706D22C3"/>
    <w:rsid w:val="70845466"/>
    <w:rsid w:val="712B2D0D"/>
    <w:rsid w:val="716F270D"/>
    <w:rsid w:val="71FA600D"/>
    <w:rsid w:val="72442AD4"/>
    <w:rsid w:val="73452BFE"/>
    <w:rsid w:val="734852DC"/>
    <w:rsid w:val="739215A4"/>
    <w:rsid w:val="7429253F"/>
    <w:rsid w:val="74A458F6"/>
    <w:rsid w:val="74FE5F73"/>
    <w:rsid w:val="75B165DE"/>
    <w:rsid w:val="7692511F"/>
    <w:rsid w:val="76CB046F"/>
    <w:rsid w:val="76E03CAD"/>
    <w:rsid w:val="77086171"/>
    <w:rsid w:val="7724248A"/>
    <w:rsid w:val="774D5C29"/>
    <w:rsid w:val="777E0025"/>
    <w:rsid w:val="77AE061D"/>
    <w:rsid w:val="77EE367D"/>
    <w:rsid w:val="796F5689"/>
    <w:rsid w:val="79785121"/>
    <w:rsid w:val="79D67C53"/>
    <w:rsid w:val="79F54E35"/>
    <w:rsid w:val="7A36143C"/>
    <w:rsid w:val="7A467A64"/>
    <w:rsid w:val="7ACD1E65"/>
    <w:rsid w:val="7C670900"/>
    <w:rsid w:val="7CD72AE7"/>
    <w:rsid w:val="7CF61806"/>
    <w:rsid w:val="7D092744"/>
    <w:rsid w:val="7D182D8C"/>
    <w:rsid w:val="7D43668E"/>
    <w:rsid w:val="7D6F1669"/>
    <w:rsid w:val="7DF71248"/>
    <w:rsid w:val="7DFF4E3E"/>
    <w:rsid w:val="7E1C355E"/>
    <w:rsid w:val="7E285A43"/>
    <w:rsid w:val="7EAD69BA"/>
    <w:rsid w:val="7F227268"/>
    <w:rsid w:val="7FD67C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0"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qFormat="1" w:unhideWhenUsed="0" w:uiPriority="99" w:semiHidden="0" w:name="Closing"/>
    <w:lsdException w:uiPriority="99" w:name="Signature" w:locked="1"/>
    <w:lsdException w:qFormat="1" w:uiPriority="1"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name="Body Text Indent 2"/>
    <w:lsdException w:qFormat="1" w:unhideWhenUsed="0" w:uiPriority="99" w:name="Body Text Indent 3"/>
    <w:lsdException w:uiPriority="99" w:name="Block Text" w:locked="1"/>
    <w:lsdException w:qFormat="1" w:unhideWhenUsed="0" w:uiPriority="99" w:semiHidden="0" w:name="Hyperlink"/>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ocked="1"/>
    <w:lsdException w:qFormat="1" w:unhideWhenUsed="0" w:uiPriority="99"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0" w:semiHidden="0" w:name="HTML Cite" w:locked="1"/>
    <w:lsdException w:uiPriority="99" w:name="HTML Code" w:locked="1"/>
    <w:lsdException w:qFormat="1" w:unhideWhenUsed="0" w:uiPriority="0"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0" w:semiHidden="0"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8"/>
    <w:qFormat/>
    <w:uiPriority w:val="99"/>
    <w:pPr>
      <w:keepNext/>
      <w:keepLines/>
      <w:spacing w:before="120" w:after="120" w:line="480" w:lineRule="exact"/>
      <w:jc w:val="center"/>
      <w:outlineLvl w:val="0"/>
    </w:pPr>
    <w:rPr>
      <w:rFonts w:eastAsia="仿宋_GB2312"/>
      <w:b/>
      <w:bCs/>
      <w:kern w:val="44"/>
      <w:sz w:val="32"/>
      <w:szCs w:val="32"/>
    </w:rPr>
  </w:style>
  <w:style w:type="paragraph" w:styleId="3">
    <w:name w:val="heading 2"/>
    <w:basedOn w:val="1"/>
    <w:next w:val="1"/>
    <w:link w:val="39"/>
    <w:qFormat/>
    <w:uiPriority w:val="99"/>
    <w:pPr>
      <w:keepNext/>
      <w:keepLines/>
      <w:spacing w:line="480" w:lineRule="exact"/>
      <w:ind w:firstLine="200" w:firstLineChars="200"/>
      <w:outlineLvl w:val="1"/>
    </w:pPr>
    <w:rPr>
      <w:rFonts w:eastAsia="仿宋_GB2312"/>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99"/>
    <w:pPr>
      <w:ind w:left="1260"/>
      <w:jc w:val="left"/>
    </w:pPr>
    <w:rPr>
      <w:sz w:val="18"/>
      <w:szCs w:val="18"/>
    </w:rPr>
  </w:style>
  <w:style w:type="paragraph" w:styleId="5">
    <w:name w:val="annotation text"/>
    <w:basedOn w:val="1"/>
    <w:link w:val="43"/>
    <w:qFormat/>
    <w:uiPriority w:val="99"/>
    <w:pPr>
      <w:jc w:val="left"/>
    </w:pPr>
  </w:style>
  <w:style w:type="paragraph" w:styleId="6">
    <w:name w:val="Salutation"/>
    <w:basedOn w:val="1"/>
    <w:next w:val="1"/>
    <w:link w:val="44"/>
    <w:qFormat/>
    <w:uiPriority w:val="99"/>
    <w:rPr>
      <w:rFonts w:ascii="仿宋_GB2312" w:hAnsi="仿宋" w:eastAsia="仿宋_GB2312" w:cs="仿宋_GB2312"/>
      <w:b/>
      <w:bCs/>
      <w:sz w:val="24"/>
      <w:szCs w:val="24"/>
    </w:rPr>
  </w:style>
  <w:style w:type="paragraph" w:styleId="7">
    <w:name w:val="Closing"/>
    <w:basedOn w:val="1"/>
    <w:link w:val="41"/>
    <w:qFormat/>
    <w:uiPriority w:val="99"/>
    <w:pPr>
      <w:ind w:left="100" w:leftChars="2100"/>
    </w:pPr>
    <w:rPr>
      <w:rFonts w:ascii="仿宋_GB2312" w:hAnsi="仿宋" w:eastAsia="仿宋_GB2312" w:cs="仿宋_GB2312"/>
      <w:b/>
      <w:bCs/>
      <w:sz w:val="24"/>
      <w:szCs w:val="24"/>
    </w:rPr>
  </w:style>
  <w:style w:type="paragraph" w:styleId="8">
    <w:name w:val="Body Text Indent"/>
    <w:basedOn w:val="1"/>
    <w:link w:val="53"/>
    <w:semiHidden/>
    <w:qFormat/>
    <w:uiPriority w:val="99"/>
    <w:pPr>
      <w:spacing w:line="600" w:lineRule="exact"/>
      <w:ind w:firstLine="720"/>
    </w:pPr>
    <w:rPr>
      <w:rFonts w:ascii="仿宋_GB2312" w:eastAsia="仿宋_GB2312" w:cs="仿宋_GB2312"/>
      <w:spacing w:val="10"/>
      <w:sz w:val="32"/>
      <w:szCs w:val="32"/>
    </w:rPr>
  </w:style>
  <w:style w:type="paragraph" w:styleId="9">
    <w:name w:val="toc 5"/>
    <w:basedOn w:val="1"/>
    <w:next w:val="1"/>
    <w:semiHidden/>
    <w:qFormat/>
    <w:uiPriority w:val="99"/>
    <w:pPr>
      <w:ind w:left="840"/>
      <w:jc w:val="left"/>
    </w:pPr>
    <w:rPr>
      <w:sz w:val="18"/>
      <w:szCs w:val="18"/>
    </w:rPr>
  </w:style>
  <w:style w:type="paragraph" w:styleId="10">
    <w:name w:val="toc 3"/>
    <w:basedOn w:val="1"/>
    <w:next w:val="1"/>
    <w:semiHidden/>
    <w:qFormat/>
    <w:uiPriority w:val="99"/>
    <w:pPr>
      <w:ind w:left="420"/>
      <w:jc w:val="left"/>
    </w:pPr>
    <w:rPr>
      <w:i/>
      <w:iCs/>
      <w:sz w:val="20"/>
      <w:szCs w:val="20"/>
    </w:rPr>
  </w:style>
  <w:style w:type="paragraph" w:styleId="11">
    <w:name w:val="Plain Text"/>
    <w:basedOn w:val="1"/>
    <w:link w:val="54"/>
    <w:semiHidden/>
    <w:qFormat/>
    <w:uiPriority w:val="99"/>
    <w:pPr>
      <w:widowControl/>
      <w:spacing w:before="100" w:beforeAutospacing="1" w:after="100" w:afterAutospacing="1" w:line="300" w:lineRule="atLeast"/>
      <w:jc w:val="left"/>
    </w:pPr>
    <w:rPr>
      <w:rFonts w:ascii="宋体" w:hAnsi="宋体" w:cs="宋体"/>
      <w:color w:val="333333"/>
      <w:kern w:val="0"/>
      <w:sz w:val="18"/>
      <w:szCs w:val="18"/>
    </w:rPr>
  </w:style>
  <w:style w:type="paragraph" w:styleId="12">
    <w:name w:val="toc 8"/>
    <w:basedOn w:val="1"/>
    <w:next w:val="1"/>
    <w:semiHidden/>
    <w:qFormat/>
    <w:uiPriority w:val="99"/>
    <w:pPr>
      <w:ind w:left="1470"/>
      <w:jc w:val="left"/>
    </w:pPr>
    <w:rPr>
      <w:sz w:val="18"/>
      <w:szCs w:val="18"/>
    </w:rPr>
  </w:style>
  <w:style w:type="paragraph" w:styleId="13">
    <w:name w:val="Date"/>
    <w:basedOn w:val="1"/>
    <w:next w:val="1"/>
    <w:link w:val="48"/>
    <w:semiHidden/>
    <w:qFormat/>
    <w:uiPriority w:val="99"/>
    <w:rPr>
      <w:rFonts w:eastAsia="仿宋_GB2312"/>
      <w:sz w:val="28"/>
      <w:szCs w:val="28"/>
    </w:rPr>
  </w:style>
  <w:style w:type="paragraph" w:styleId="14">
    <w:name w:val="Body Text Indent 2"/>
    <w:basedOn w:val="1"/>
    <w:link w:val="51"/>
    <w:semiHidden/>
    <w:qFormat/>
    <w:uiPriority w:val="99"/>
    <w:pPr>
      <w:spacing w:line="500" w:lineRule="exact"/>
      <w:ind w:left="-49" w:firstLine="680" w:firstLineChars="200"/>
    </w:pPr>
    <w:rPr>
      <w:rFonts w:ascii="仿宋_GB2312" w:hAnsi="宋体" w:eastAsia="仿宋_GB2312" w:cs="仿宋_GB2312"/>
      <w:spacing w:val="20"/>
      <w:sz w:val="30"/>
      <w:szCs w:val="30"/>
    </w:rPr>
  </w:style>
  <w:style w:type="paragraph" w:styleId="15">
    <w:name w:val="Balloon Text"/>
    <w:basedOn w:val="1"/>
    <w:link w:val="58"/>
    <w:semiHidden/>
    <w:qFormat/>
    <w:uiPriority w:val="99"/>
    <w:rPr>
      <w:sz w:val="18"/>
      <w:szCs w:val="18"/>
    </w:rPr>
  </w:style>
  <w:style w:type="paragraph" w:styleId="16">
    <w:name w:val="footer"/>
    <w:basedOn w:val="1"/>
    <w:link w:val="49"/>
    <w:qFormat/>
    <w:uiPriority w:val="99"/>
    <w:pPr>
      <w:tabs>
        <w:tab w:val="center" w:pos="4153"/>
        <w:tab w:val="right" w:pos="8306"/>
      </w:tabs>
      <w:snapToGrid w:val="0"/>
      <w:jc w:val="left"/>
    </w:pPr>
    <w:rPr>
      <w:sz w:val="18"/>
      <w:szCs w:val="18"/>
    </w:rPr>
  </w:style>
  <w:style w:type="paragraph" w:styleId="17">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890"/>
      </w:tabs>
      <w:spacing w:line="360" w:lineRule="exact"/>
      <w:jc w:val="left"/>
    </w:pPr>
    <w:rPr>
      <w:rFonts w:eastAsia="仿宋_GB2312"/>
      <w:b/>
      <w:bCs/>
      <w:caps/>
    </w:rPr>
  </w:style>
  <w:style w:type="paragraph" w:styleId="19">
    <w:name w:val="toc 4"/>
    <w:basedOn w:val="1"/>
    <w:next w:val="1"/>
    <w:semiHidden/>
    <w:qFormat/>
    <w:uiPriority w:val="0"/>
    <w:pPr>
      <w:ind w:left="630"/>
      <w:jc w:val="left"/>
    </w:pPr>
    <w:rPr>
      <w:sz w:val="18"/>
      <w:szCs w:val="18"/>
    </w:rPr>
  </w:style>
  <w:style w:type="paragraph" w:styleId="20">
    <w:name w:val="toc 6"/>
    <w:basedOn w:val="1"/>
    <w:next w:val="1"/>
    <w:semiHidden/>
    <w:qFormat/>
    <w:uiPriority w:val="99"/>
    <w:pPr>
      <w:ind w:left="1050"/>
      <w:jc w:val="left"/>
    </w:pPr>
    <w:rPr>
      <w:sz w:val="18"/>
      <w:szCs w:val="18"/>
    </w:rPr>
  </w:style>
  <w:style w:type="paragraph" w:styleId="21">
    <w:name w:val="Body Text Indent 3"/>
    <w:basedOn w:val="1"/>
    <w:link w:val="50"/>
    <w:semiHidden/>
    <w:qFormat/>
    <w:uiPriority w:val="99"/>
    <w:pPr>
      <w:spacing w:line="500" w:lineRule="exact"/>
      <w:ind w:firstLine="600" w:firstLineChars="200"/>
    </w:pPr>
    <w:rPr>
      <w:rFonts w:eastAsia="仿宋_GB2312"/>
      <w:sz w:val="30"/>
      <w:szCs w:val="30"/>
    </w:rPr>
  </w:style>
  <w:style w:type="paragraph" w:styleId="22">
    <w:name w:val="toc 2"/>
    <w:basedOn w:val="1"/>
    <w:next w:val="1"/>
    <w:qFormat/>
    <w:uiPriority w:val="39"/>
    <w:pPr>
      <w:tabs>
        <w:tab w:val="right" w:leader="dot" w:pos="8890"/>
      </w:tabs>
      <w:spacing w:line="360" w:lineRule="exact"/>
      <w:ind w:firstLine="210" w:firstLineChars="100"/>
      <w:jc w:val="left"/>
    </w:pPr>
    <w:rPr>
      <w:rFonts w:eastAsia="仿宋_GB2312"/>
      <w:b/>
      <w:bCs/>
      <w:smallCaps/>
    </w:rPr>
  </w:style>
  <w:style w:type="paragraph" w:styleId="23">
    <w:name w:val="toc 9"/>
    <w:basedOn w:val="1"/>
    <w:next w:val="1"/>
    <w:semiHidden/>
    <w:qFormat/>
    <w:uiPriority w:val="99"/>
    <w:pPr>
      <w:ind w:left="1680"/>
      <w:jc w:val="left"/>
    </w:pPr>
    <w:rPr>
      <w:sz w:val="18"/>
      <w:szCs w:val="18"/>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5"/>
    <w:next w:val="5"/>
    <w:link w:val="42"/>
    <w:semiHidden/>
    <w:qFormat/>
    <w:uiPriority w:val="99"/>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locked/>
    <w:uiPriority w:val="0"/>
  </w:style>
  <w:style w:type="character" w:styleId="30">
    <w:name w:val="page number"/>
    <w:basedOn w:val="28"/>
    <w:qFormat/>
    <w:uiPriority w:val="0"/>
  </w:style>
  <w:style w:type="character" w:styleId="31">
    <w:name w:val="FollowedHyperlink"/>
    <w:qFormat/>
    <w:locked/>
    <w:uiPriority w:val="0"/>
    <w:rPr>
      <w:color w:val="333333"/>
      <w:u w:val="none"/>
    </w:rPr>
  </w:style>
  <w:style w:type="character" w:styleId="32">
    <w:name w:val="Emphasis"/>
    <w:qFormat/>
    <w:locked/>
    <w:uiPriority w:val="0"/>
  </w:style>
  <w:style w:type="character" w:styleId="33">
    <w:name w:val="HTML Definition"/>
    <w:qFormat/>
    <w:locked/>
    <w:uiPriority w:val="0"/>
  </w:style>
  <w:style w:type="character" w:styleId="34">
    <w:name w:val="HTML Variable"/>
    <w:qFormat/>
    <w:locked/>
    <w:uiPriority w:val="0"/>
  </w:style>
  <w:style w:type="character" w:styleId="35">
    <w:name w:val="Hyperlink"/>
    <w:qFormat/>
    <w:uiPriority w:val="99"/>
    <w:rPr>
      <w:color w:val="0000FF"/>
      <w:u w:val="single"/>
    </w:rPr>
  </w:style>
  <w:style w:type="character" w:styleId="36">
    <w:name w:val="annotation reference"/>
    <w:semiHidden/>
    <w:qFormat/>
    <w:uiPriority w:val="99"/>
    <w:rPr>
      <w:sz w:val="21"/>
      <w:szCs w:val="21"/>
    </w:rPr>
  </w:style>
  <w:style w:type="character" w:styleId="37">
    <w:name w:val="HTML Cite"/>
    <w:qFormat/>
    <w:locked/>
    <w:uiPriority w:val="0"/>
  </w:style>
  <w:style w:type="character" w:customStyle="1" w:styleId="38">
    <w:name w:val="标题 1 Char"/>
    <w:link w:val="2"/>
    <w:qFormat/>
    <w:locked/>
    <w:uiPriority w:val="99"/>
    <w:rPr>
      <w:rFonts w:eastAsia="仿宋_GB2312"/>
      <w:b/>
      <w:bCs/>
      <w:kern w:val="44"/>
      <w:sz w:val="44"/>
      <w:szCs w:val="44"/>
    </w:rPr>
  </w:style>
  <w:style w:type="character" w:customStyle="1" w:styleId="39">
    <w:name w:val="标题 2 Char"/>
    <w:link w:val="3"/>
    <w:qFormat/>
    <w:locked/>
    <w:uiPriority w:val="99"/>
    <w:rPr>
      <w:rFonts w:eastAsia="仿宋_GB2312"/>
      <w:b/>
      <w:bCs/>
      <w:kern w:val="2"/>
      <w:sz w:val="32"/>
      <w:szCs w:val="32"/>
    </w:rPr>
  </w:style>
  <w:style w:type="character" w:customStyle="1" w:styleId="40">
    <w:name w:val="font11"/>
    <w:qFormat/>
    <w:uiPriority w:val="99"/>
    <w:rPr>
      <w:rFonts w:ascii="仿宋" w:hAnsi="仿宋" w:eastAsia="仿宋" w:cs="仿宋"/>
      <w:color w:val="000000"/>
      <w:sz w:val="21"/>
      <w:szCs w:val="21"/>
      <w:u w:val="none"/>
    </w:rPr>
  </w:style>
  <w:style w:type="character" w:customStyle="1" w:styleId="41">
    <w:name w:val="结束语 Char"/>
    <w:link w:val="7"/>
    <w:qFormat/>
    <w:locked/>
    <w:uiPriority w:val="99"/>
    <w:rPr>
      <w:rFonts w:ascii="仿宋_GB2312" w:hAnsi="仿宋" w:eastAsia="仿宋_GB2312" w:cs="仿宋_GB2312"/>
      <w:b/>
      <w:bCs/>
      <w:kern w:val="2"/>
      <w:sz w:val="24"/>
      <w:szCs w:val="24"/>
    </w:rPr>
  </w:style>
  <w:style w:type="character" w:customStyle="1" w:styleId="42">
    <w:name w:val="批注主题 Char"/>
    <w:link w:val="25"/>
    <w:semiHidden/>
    <w:qFormat/>
    <w:locked/>
    <w:uiPriority w:val="99"/>
    <w:rPr>
      <w:b/>
      <w:bCs/>
      <w:kern w:val="2"/>
      <w:sz w:val="24"/>
      <w:szCs w:val="24"/>
    </w:rPr>
  </w:style>
  <w:style w:type="character" w:customStyle="1" w:styleId="43">
    <w:name w:val="批注文字 Char"/>
    <w:link w:val="5"/>
    <w:qFormat/>
    <w:locked/>
    <w:uiPriority w:val="99"/>
    <w:rPr>
      <w:kern w:val="2"/>
      <w:sz w:val="24"/>
      <w:szCs w:val="24"/>
    </w:rPr>
  </w:style>
  <w:style w:type="character" w:customStyle="1" w:styleId="44">
    <w:name w:val="称呼 Char"/>
    <w:link w:val="6"/>
    <w:qFormat/>
    <w:locked/>
    <w:uiPriority w:val="99"/>
    <w:rPr>
      <w:rFonts w:ascii="仿宋_GB2312" w:hAnsi="仿宋" w:eastAsia="仿宋_GB2312" w:cs="仿宋_GB2312"/>
      <w:b/>
      <w:bCs/>
      <w:kern w:val="2"/>
      <w:sz w:val="24"/>
      <w:szCs w:val="24"/>
    </w:rPr>
  </w:style>
  <w:style w:type="character" w:customStyle="1" w:styleId="45">
    <w:name w:val="apple-style-span"/>
    <w:basedOn w:val="28"/>
    <w:qFormat/>
    <w:uiPriority w:val="99"/>
  </w:style>
  <w:style w:type="character" w:customStyle="1" w:styleId="46">
    <w:name w:val="content1"/>
    <w:qFormat/>
    <w:uiPriority w:val="99"/>
    <w:rPr>
      <w:color w:val="000000"/>
      <w:sz w:val="21"/>
      <w:szCs w:val="21"/>
    </w:rPr>
  </w:style>
  <w:style w:type="character" w:customStyle="1" w:styleId="47">
    <w:name w:val="页眉 Char"/>
    <w:link w:val="17"/>
    <w:qFormat/>
    <w:locked/>
    <w:uiPriority w:val="0"/>
    <w:rPr>
      <w:kern w:val="2"/>
      <w:sz w:val="18"/>
      <w:szCs w:val="18"/>
    </w:rPr>
  </w:style>
  <w:style w:type="character" w:customStyle="1" w:styleId="48">
    <w:name w:val="日期 Char"/>
    <w:link w:val="13"/>
    <w:semiHidden/>
    <w:qFormat/>
    <w:locked/>
    <w:uiPriority w:val="99"/>
    <w:rPr>
      <w:rFonts w:eastAsia="仿宋_GB2312"/>
      <w:kern w:val="2"/>
      <w:sz w:val="28"/>
      <w:szCs w:val="28"/>
    </w:rPr>
  </w:style>
  <w:style w:type="character" w:customStyle="1" w:styleId="49">
    <w:name w:val="页脚 Char"/>
    <w:link w:val="16"/>
    <w:qFormat/>
    <w:locked/>
    <w:uiPriority w:val="0"/>
    <w:rPr>
      <w:kern w:val="2"/>
      <w:sz w:val="18"/>
      <w:szCs w:val="18"/>
    </w:rPr>
  </w:style>
  <w:style w:type="character" w:customStyle="1" w:styleId="50">
    <w:name w:val="正文文本缩进 3 Char"/>
    <w:link w:val="21"/>
    <w:semiHidden/>
    <w:qFormat/>
    <w:uiPriority w:val="99"/>
    <w:rPr>
      <w:sz w:val="16"/>
      <w:szCs w:val="16"/>
    </w:rPr>
  </w:style>
  <w:style w:type="character" w:customStyle="1" w:styleId="51">
    <w:name w:val="正文文本缩进 2 Char"/>
    <w:link w:val="14"/>
    <w:semiHidden/>
    <w:qFormat/>
    <w:uiPriority w:val="99"/>
    <w:rPr>
      <w:szCs w:val="21"/>
    </w:rPr>
  </w:style>
  <w:style w:type="character" w:customStyle="1" w:styleId="52">
    <w:name w:val="Salutation Char1"/>
    <w:semiHidden/>
    <w:qFormat/>
    <w:uiPriority w:val="99"/>
    <w:rPr>
      <w:szCs w:val="21"/>
    </w:rPr>
  </w:style>
  <w:style w:type="character" w:customStyle="1" w:styleId="53">
    <w:name w:val="正文文本缩进 Char"/>
    <w:link w:val="8"/>
    <w:semiHidden/>
    <w:qFormat/>
    <w:uiPriority w:val="99"/>
    <w:rPr>
      <w:szCs w:val="21"/>
    </w:rPr>
  </w:style>
  <w:style w:type="character" w:customStyle="1" w:styleId="54">
    <w:name w:val="纯文本 Char"/>
    <w:link w:val="11"/>
    <w:semiHidden/>
    <w:qFormat/>
    <w:uiPriority w:val="99"/>
    <w:rPr>
      <w:rFonts w:ascii="宋体" w:hAnsi="Courier New" w:cs="Courier New"/>
      <w:szCs w:val="21"/>
    </w:rPr>
  </w:style>
  <w:style w:type="character" w:customStyle="1" w:styleId="55">
    <w:name w:val="Closing Char1"/>
    <w:semiHidden/>
    <w:qFormat/>
    <w:uiPriority w:val="99"/>
    <w:rPr>
      <w:szCs w:val="21"/>
    </w:rPr>
  </w:style>
  <w:style w:type="character" w:customStyle="1" w:styleId="56">
    <w:name w:val="Comment Text Char1"/>
    <w:semiHidden/>
    <w:qFormat/>
    <w:uiPriority w:val="99"/>
    <w:rPr>
      <w:szCs w:val="21"/>
    </w:rPr>
  </w:style>
  <w:style w:type="character" w:customStyle="1" w:styleId="57">
    <w:name w:val="Comment Subject Char1"/>
    <w:semiHidden/>
    <w:qFormat/>
    <w:uiPriority w:val="99"/>
    <w:rPr>
      <w:b/>
      <w:bCs/>
      <w:kern w:val="2"/>
      <w:sz w:val="24"/>
      <w:szCs w:val="21"/>
    </w:rPr>
  </w:style>
  <w:style w:type="character" w:customStyle="1" w:styleId="58">
    <w:name w:val="批注框文本 Char"/>
    <w:link w:val="15"/>
    <w:qFormat/>
    <w:uiPriority w:val="0"/>
    <w:rPr>
      <w:sz w:val="0"/>
      <w:szCs w:val="0"/>
    </w:rPr>
  </w:style>
  <w:style w:type="character" w:customStyle="1" w:styleId="59">
    <w:name w:val="Header Char1"/>
    <w:semiHidden/>
    <w:qFormat/>
    <w:uiPriority w:val="99"/>
    <w:rPr>
      <w:sz w:val="18"/>
      <w:szCs w:val="18"/>
    </w:rPr>
  </w:style>
  <w:style w:type="character" w:customStyle="1" w:styleId="60">
    <w:name w:val="Footer Char1"/>
    <w:semiHidden/>
    <w:qFormat/>
    <w:uiPriority w:val="99"/>
    <w:rPr>
      <w:sz w:val="18"/>
      <w:szCs w:val="18"/>
    </w:rPr>
  </w:style>
  <w:style w:type="character" w:customStyle="1" w:styleId="61">
    <w:name w:val="Date Char1"/>
    <w:semiHidden/>
    <w:qFormat/>
    <w:uiPriority w:val="99"/>
    <w:rPr>
      <w:szCs w:val="21"/>
    </w:rPr>
  </w:style>
  <w:style w:type="paragraph" w:customStyle="1" w:styleId="62">
    <w:name w:val="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3">
    <w:name w:val="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6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65">
    <w:name w:val="Placeholder Text"/>
    <w:basedOn w:val="28"/>
    <w:semiHidden/>
    <w:qFormat/>
    <w:uiPriority w:val="99"/>
    <w:rPr>
      <w:color w:val="808080"/>
    </w:rPr>
  </w:style>
  <w:style w:type="paragraph" w:styleId="66">
    <w:name w:val="List Paragraph"/>
    <w:basedOn w:val="1"/>
    <w:unhideWhenUsed/>
    <w:qFormat/>
    <w:uiPriority w:val="34"/>
    <w:pPr>
      <w:ind w:firstLine="420" w:firstLineChars="200"/>
    </w:pPr>
  </w:style>
  <w:style w:type="paragraph" w:customStyle="1" w:styleId="67">
    <w:name w:val="列出段落3"/>
    <w:basedOn w:val="1"/>
    <w:qFormat/>
    <w:uiPriority w:val="34"/>
    <w:pPr>
      <w:ind w:firstLine="420" w:firstLineChars="200"/>
    </w:pPr>
    <w:rPr>
      <w:szCs w:val="24"/>
    </w:rPr>
  </w:style>
  <w:style w:type="paragraph" w:customStyle="1" w:styleId="68">
    <w:name w:val="列出段落1"/>
    <w:basedOn w:val="1"/>
    <w:qFormat/>
    <w:uiPriority w:val="34"/>
    <w:pPr>
      <w:ind w:firstLine="420" w:firstLineChars="200"/>
    </w:pPr>
    <w:rPr>
      <w:rFonts w:asciiTheme="minorHAnsi" w:hAnsiTheme="minorHAnsi" w:eastAsiaTheme="minorEastAsia" w:cstheme="minorBidi"/>
      <w:szCs w:val="24"/>
    </w:rPr>
  </w:style>
  <w:style w:type="character" w:customStyle="1" w:styleId="69">
    <w:name w:val="title-name-bg"/>
    <w:basedOn w:val="28"/>
    <w:qFormat/>
    <w:uiPriority w:val="0"/>
  </w:style>
  <w:style w:type="character" w:customStyle="1" w:styleId="70">
    <w:name w:val="icon-sohu-b"/>
    <w:basedOn w:val="28"/>
    <w:qFormat/>
    <w:uiPriority w:val="0"/>
  </w:style>
  <w:style w:type="character" w:customStyle="1" w:styleId="71">
    <w:name w:val="btn-load-bf2"/>
    <w:basedOn w:val="28"/>
    <w:qFormat/>
    <w:uiPriority w:val="0"/>
  </w:style>
  <w:style w:type="character" w:customStyle="1" w:styleId="72">
    <w:name w:val="icon-renren-b"/>
    <w:basedOn w:val="28"/>
    <w:qFormat/>
    <w:uiPriority w:val="0"/>
  </w:style>
  <w:style w:type="character" w:customStyle="1" w:styleId="73">
    <w:name w:val="hover74"/>
    <w:qFormat/>
    <w:uiPriority w:val="0"/>
  </w:style>
  <w:style w:type="character" w:customStyle="1" w:styleId="74">
    <w:name w:val="current1"/>
    <w:qFormat/>
    <w:uiPriority w:val="0"/>
    <w:rPr>
      <w:color w:val="FFFFFF"/>
      <w:u w:val="none"/>
    </w:rPr>
  </w:style>
  <w:style w:type="character" w:customStyle="1" w:styleId="75">
    <w:name w:val="btn-fw"/>
    <w:basedOn w:val="28"/>
    <w:qFormat/>
    <w:uiPriority w:val="0"/>
  </w:style>
  <w:style w:type="character" w:customStyle="1" w:styleId="76">
    <w:name w:val="current"/>
    <w:qFormat/>
    <w:uiPriority w:val="0"/>
    <w:rPr>
      <w:color w:val="FFFFFF"/>
      <w:u w:val="none"/>
    </w:rPr>
  </w:style>
  <w:style w:type="character" w:customStyle="1" w:styleId="77">
    <w:name w:val="icon-sohu-b1"/>
    <w:basedOn w:val="28"/>
    <w:qFormat/>
    <w:uiPriority w:val="0"/>
  </w:style>
  <w:style w:type="character" w:customStyle="1" w:styleId="78">
    <w:name w:val="icon30-sina-b6"/>
    <w:basedOn w:val="28"/>
    <w:qFormat/>
    <w:uiPriority w:val="0"/>
  </w:style>
  <w:style w:type="character" w:customStyle="1" w:styleId="79">
    <w:name w:val="icon30-qq-b1"/>
    <w:basedOn w:val="28"/>
    <w:qFormat/>
    <w:uiPriority w:val="0"/>
  </w:style>
  <w:style w:type="character" w:customStyle="1" w:styleId="80">
    <w:name w:val="icon-sina-b2"/>
    <w:basedOn w:val="28"/>
    <w:qFormat/>
    <w:uiPriority w:val="0"/>
  </w:style>
  <w:style w:type="character" w:customStyle="1" w:styleId="81">
    <w:name w:val="user-floor-gw2"/>
    <w:qFormat/>
    <w:uiPriority w:val="0"/>
  </w:style>
  <w:style w:type="character" w:customStyle="1" w:styleId="82">
    <w:name w:val="icon30-renren-b2"/>
    <w:basedOn w:val="28"/>
    <w:qFormat/>
    <w:uiPriority w:val="0"/>
  </w:style>
  <w:style w:type="character" w:customStyle="1" w:styleId="83">
    <w:name w:val="icon30-sohu-b2"/>
    <w:basedOn w:val="28"/>
    <w:qFormat/>
    <w:uiPriority w:val="0"/>
  </w:style>
  <w:style w:type="character" w:customStyle="1" w:styleId="84">
    <w:name w:val="icon30-sohu-b6"/>
    <w:basedOn w:val="28"/>
    <w:qFormat/>
    <w:uiPriority w:val="0"/>
  </w:style>
  <w:style w:type="character" w:customStyle="1" w:styleId="85">
    <w:name w:val="icon30-visitor-b2"/>
    <w:basedOn w:val="28"/>
    <w:qFormat/>
    <w:uiPriority w:val="0"/>
  </w:style>
  <w:style w:type="character" w:customStyle="1" w:styleId="86">
    <w:name w:val="icon-sohu-cancel-b2"/>
    <w:basedOn w:val="28"/>
    <w:qFormat/>
    <w:uiPriority w:val="0"/>
  </w:style>
  <w:style w:type="character" w:customStyle="1" w:styleId="87">
    <w:name w:val="icon-sina-cancel-b2"/>
    <w:basedOn w:val="28"/>
    <w:qFormat/>
    <w:uiPriority w:val="0"/>
  </w:style>
  <w:style w:type="character" w:customStyle="1" w:styleId="88">
    <w:name w:val="btn-fw7"/>
    <w:basedOn w:val="28"/>
    <w:qFormat/>
    <w:uiPriority w:val="0"/>
  </w:style>
  <w:style w:type="character" w:customStyle="1" w:styleId="89">
    <w:name w:val="icon-qq-b"/>
    <w:basedOn w:val="28"/>
    <w:qFormat/>
    <w:uiPriority w:val="0"/>
  </w:style>
  <w:style w:type="character" w:customStyle="1" w:styleId="90">
    <w:name w:val="icon-qzone-b2"/>
    <w:basedOn w:val="28"/>
    <w:qFormat/>
    <w:uiPriority w:val="0"/>
  </w:style>
  <w:style w:type="character" w:customStyle="1" w:styleId="91">
    <w:name w:val="btn-fw6"/>
    <w:basedOn w:val="28"/>
    <w:qFormat/>
    <w:uiPriority w:val="0"/>
  </w:style>
  <w:style w:type="character" w:customStyle="1" w:styleId="92">
    <w:name w:val="wrap-join-b"/>
    <w:qFormat/>
    <w:uiPriority w:val="0"/>
    <w:rPr>
      <w:color w:val="333333"/>
    </w:rPr>
  </w:style>
  <w:style w:type="character" w:customStyle="1" w:styleId="93">
    <w:name w:val="title-word-gw2"/>
    <w:qFormat/>
    <w:uiPriority w:val="0"/>
  </w:style>
  <w:style w:type="character" w:customStyle="1" w:styleId="94">
    <w:name w:val="icon-sina-click-b"/>
    <w:basedOn w:val="28"/>
    <w:qFormat/>
    <w:uiPriority w:val="0"/>
  </w:style>
  <w:style w:type="character" w:customStyle="1" w:styleId="95">
    <w:name w:val="title-word-gw"/>
    <w:qFormat/>
    <w:uiPriority w:val="0"/>
  </w:style>
  <w:style w:type="character" w:customStyle="1" w:styleId="96">
    <w:name w:val="btn-load-bf3"/>
    <w:qFormat/>
    <w:uiPriority w:val="0"/>
  </w:style>
  <w:style w:type="character" w:customStyle="1" w:styleId="97">
    <w:name w:val="icon30-sina-b"/>
    <w:basedOn w:val="28"/>
    <w:qFormat/>
    <w:uiPriority w:val="0"/>
  </w:style>
  <w:style w:type="character" w:customStyle="1" w:styleId="98">
    <w:name w:val="current2"/>
    <w:qFormat/>
    <w:uiPriority w:val="0"/>
    <w:rPr>
      <w:color w:val="FFFFFF"/>
      <w:u w:val="none"/>
    </w:rPr>
  </w:style>
  <w:style w:type="character" w:customStyle="1" w:styleId="99">
    <w:name w:val="icon30-renren-b4"/>
    <w:basedOn w:val="28"/>
    <w:qFormat/>
    <w:uiPriority w:val="0"/>
  </w:style>
  <w:style w:type="character" w:customStyle="1" w:styleId="100">
    <w:name w:val="icon30-qq-b7"/>
    <w:basedOn w:val="28"/>
    <w:qFormat/>
    <w:uiPriority w:val="0"/>
  </w:style>
  <w:style w:type="character" w:customStyle="1" w:styleId="101">
    <w:name w:val="icon30-sina-b4"/>
    <w:basedOn w:val="28"/>
    <w:qFormat/>
    <w:uiPriority w:val="0"/>
  </w:style>
  <w:style w:type="character" w:customStyle="1" w:styleId="102">
    <w:name w:val="title-word-bg"/>
    <w:qFormat/>
    <w:uiPriority w:val="0"/>
    <w:rPr>
      <w:color w:val="FFDCD3"/>
    </w:rPr>
  </w:style>
  <w:style w:type="character" w:customStyle="1" w:styleId="103">
    <w:name w:val="icon30-qq-b6"/>
    <w:basedOn w:val="28"/>
    <w:qFormat/>
    <w:uiPriority w:val="0"/>
  </w:style>
  <w:style w:type="character" w:customStyle="1" w:styleId="104">
    <w:name w:val="title-word-bg2"/>
    <w:qFormat/>
    <w:uiPriority w:val="0"/>
    <w:rPr>
      <w:color w:val="FFDCD3"/>
    </w:rPr>
  </w:style>
  <w:style w:type="character" w:customStyle="1" w:styleId="105">
    <w:name w:val="icon-qzone-b1"/>
    <w:basedOn w:val="28"/>
    <w:qFormat/>
    <w:uiPriority w:val="0"/>
  </w:style>
  <w:style w:type="character" w:customStyle="1" w:styleId="106">
    <w:name w:val="icon30-renren-b"/>
    <w:basedOn w:val="28"/>
    <w:qFormat/>
    <w:uiPriority w:val="0"/>
  </w:style>
  <w:style w:type="character" w:customStyle="1" w:styleId="107">
    <w:name w:val="icon-sina-click-b1"/>
    <w:basedOn w:val="28"/>
    <w:qFormat/>
    <w:uiPriority w:val="0"/>
  </w:style>
  <w:style w:type="character" w:customStyle="1" w:styleId="108">
    <w:name w:val="icon-qq-click-b"/>
    <w:basedOn w:val="28"/>
    <w:qFormat/>
    <w:uiPriority w:val="0"/>
  </w:style>
  <w:style w:type="character" w:customStyle="1" w:styleId="109">
    <w:name w:val="comment-text-w1"/>
    <w:qFormat/>
    <w:uiPriority w:val="0"/>
    <w:rPr>
      <w:color w:val="333333"/>
    </w:rPr>
  </w:style>
  <w:style w:type="character" w:customStyle="1" w:styleId="110">
    <w:name w:val="icon-renren-cancel-b1"/>
    <w:basedOn w:val="28"/>
    <w:qFormat/>
    <w:uiPriority w:val="0"/>
  </w:style>
  <w:style w:type="character" w:customStyle="1" w:styleId="111">
    <w:name w:val="icon-sohu-click-b2"/>
    <w:basedOn w:val="28"/>
    <w:qFormat/>
    <w:uiPriority w:val="0"/>
  </w:style>
  <w:style w:type="character" w:customStyle="1" w:styleId="112">
    <w:name w:val="icon30-sina-b2"/>
    <w:basedOn w:val="28"/>
    <w:qFormat/>
    <w:uiPriority w:val="0"/>
  </w:style>
  <w:style w:type="character" w:customStyle="1" w:styleId="113">
    <w:name w:val="btn-load-bf1"/>
    <w:qFormat/>
    <w:uiPriority w:val="0"/>
  </w:style>
  <w:style w:type="character" w:customStyle="1" w:styleId="114">
    <w:name w:val="icon-renren-b1"/>
    <w:basedOn w:val="28"/>
    <w:qFormat/>
    <w:uiPriority w:val="0"/>
  </w:style>
  <w:style w:type="character" w:customStyle="1" w:styleId="115">
    <w:name w:val="icon-sina-click-b2"/>
    <w:basedOn w:val="28"/>
    <w:qFormat/>
    <w:uiPriority w:val="0"/>
  </w:style>
  <w:style w:type="character" w:customStyle="1" w:styleId="116">
    <w:name w:val="icon30-visitor-b"/>
    <w:basedOn w:val="28"/>
    <w:qFormat/>
    <w:uiPriority w:val="0"/>
  </w:style>
  <w:style w:type="character" w:customStyle="1" w:styleId="117">
    <w:name w:val="icon-sina-b1"/>
    <w:basedOn w:val="28"/>
    <w:qFormat/>
    <w:uiPriority w:val="0"/>
  </w:style>
  <w:style w:type="character" w:customStyle="1" w:styleId="118">
    <w:name w:val="icon30-qq-b"/>
    <w:basedOn w:val="28"/>
    <w:qFormat/>
    <w:uiPriority w:val="0"/>
  </w:style>
  <w:style w:type="character" w:customStyle="1" w:styleId="119">
    <w:name w:val="icon-sina-cancel-b"/>
    <w:basedOn w:val="28"/>
    <w:qFormat/>
    <w:uiPriority w:val="0"/>
  </w:style>
  <w:style w:type="character" w:customStyle="1" w:styleId="120">
    <w:name w:val="comment-text-w"/>
    <w:qFormat/>
    <w:uiPriority w:val="0"/>
    <w:rPr>
      <w:vanish/>
      <w:color w:val="5788AA"/>
    </w:rPr>
  </w:style>
  <w:style w:type="character" w:customStyle="1" w:styleId="121">
    <w:name w:val="icon-qq-click-b2"/>
    <w:basedOn w:val="28"/>
    <w:qFormat/>
    <w:uiPriority w:val="0"/>
  </w:style>
  <w:style w:type="character" w:customStyle="1" w:styleId="122">
    <w:name w:val="icon30-sohu-b7"/>
    <w:basedOn w:val="28"/>
    <w:qFormat/>
    <w:uiPriority w:val="0"/>
  </w:style>
  <w:style w:type="character" w:customStyle="1" w:styleId="123">
    <w:name w:val="hover77"/>
    <w:basedOn w:val="28"/>
    <w:qFormat/>
    <w:uiPriority w:val="0"/>
  </w:style>
  <w:style w:type="character" w:customStyle="1" w:styleId="124">
    <w:name w:val="icon30-renren-b1"/>
    <w:basedOn w:val="28"/>
    <w:qFormat/>
    <w:uiPriority w:val="0"/>
  </w:style>
  <w:style w:type="character" w:customStyle="1" w:styleId="125">
    <w:name w:val="prompt-empty-w"/>
    <w:qFormat/>
    <w:uiPriority w:val="0"/>
    <w:rPr>
      <w:color w:val="EE542A"/>
    </w:rPr>
  </w:style>
  <w:style w:type="character" w:customStyle="1" w:styleId="126">
    <w:name w:val="btn-load-bf5"/>
    <w:qFormat/>
    <w:uiPriority w:val="0"/>
  </w:style>
  <w:style w:type="character" w:customStyle="1" w:styleId="127">
    <w:name w:val="icon30-sohu-b1"/>
    <w:basedOn w:val="28"/>
    <w:qFormat/>
    <w:uiPriority w:val="0"/>
  </w:style>
  <w:style w:type="character" w:customStyle="1" w:styleId="128">
    <w:name w:val="icon-renren-click-b2"/>
    <w:basedOn w:val="28"/>
    <w:qFormat/>
    <w:uiPriority w:val="0"/>
  </w:style>
  <w:style w:type="character" w:customStyle="1" w:styleId="129">
    <w:name w:val="icon-qq-cancel-b2"/>
    <w:basedOn w:val="28"/>
    <w:qFormat/>
    <w:uiPriority w:val="0"/>
  </w:style>
  <w:style w:type="character" w:customStyle="1" w:styleId="130">
    <w:name w:val="prompt-succeed-w"/>
    <w:basedOn w:val="28"/>
    <w:qFormat/>
    <w:uiPriority w:val="0"/>
  </w:style>
  <w:style w:type="character" w:customStyle="1" w:styleId="131">
    <w:name w:val="icon-renren-click-b1"/>
    <w:basedOn w:val="28"/>
    <w:qFormat/>
    <w:uiPriority w:val="0"/>
  </w:style>
  <w:style w:type="character" w:customStyle="1" w:styleId="132">
    <w:name w:val="icon30-sohu-b8"/>
    <w:basedOn w:val="28"/>
    <w:qFormat/>
    <w:uiPriority w:val="0"/>
  </w:style>
  <w:style w:type="character" w:customStyle="1" w:styleId="133">
    <w:name w:val="icon-qq-b1"/>
    <w:basedOn w:val="28"/>
    <w:qFormat/>
    <w:uiPriority w:val="0"/>
  </w:style>
  <w:style w:type="character" w:customStyle="1" w:styleId="134">
    <w:name w:val="icon-sohu-cancel-b1"/>
    <w:basedOn w:val="28"/>
    <w:qFormat/>
    <w:uiPriority w:val="0"/>
  </w:style>
  <w:style w:type="character" w:customStyle="1" w:styleId="135">
    <w:name w:val="icon30-sina-b1"/>
    <w:basedOn w:val="28"/>
    <w:qFormat/>
    <w:uiPriority w:val="0"/>
  </w:style>
  <w:style w:type="character" w:customStyle="1" w:styleId="136">
    <w:name w:val="icon30-qq-b8"/>
    <w:basedOn w:val="28"/>
    <w:qFormat/>
    <w:uiPriority w:val="0"/>
  </w:style>
  <w:style w:type="character" w:customStyle="1" w:styleId="137">
    <w:name w:val="icon-renren-click-b"/>
    <w:basedOn w:val="28"/>
    <w:qFormat/>
    <w:uiPriority w:val="0"/>
  </w:style>
  <w:style w:type="character" w:customStyle="1" w:styleId="138">
    <w:name w:val="icon-sohu-b2"/>
    <w:basedOn w:val="28"/>
    <w:qFormat/>
    <w:uiPriority w:val="0"/>
  </w:style>
  <w:style w:type="character" w:customStyle="1" w:styleId="139">
    <w:name w:val="user-time-gw4"/>
    <w:qFormat/>
    <w:uiPriority w:val="0"/>
    <w:rPr>
      <w:vanish/>
    </w:rPr>
  </w:style>
  <w:style w:type="character" w:customStyle="1" w:styleId="140">
    <w:name w:val="icon30-sohu-b"/>
    <w:basedOn w:val="28"/>
    <w:qFormat/>
    <w:uiPriority w:val="0"/>
  </w:style>
  <w:style w:type="character" w:customStyle="1" w:styleId="141">
    <w:name w:val="current3"/>
    <w:qFormat/>
    <w:uiPriority w:val="0"/>
    <w:rPr>
      <w:color w:val="FFFFFF"/>
      <w:u w:val="none"/>
    </w:rPr>
  </w:style>
  <w:style w:type="character" w:customStyle="1" w:styleId="142">
    <w:name w:val="hover76"/>
    <w:qFormat/>
    <w:uiPriority w:val="0"/>
  </w:style>
  <w:style w:type="character" w:customStyle="1" w:styleId="143">
    <w:name w:val="icon-renren-cancel-b"/>
    <w:basedOn w:val="28"/>
    <w:qFormat/>
    <w:uiPriority w:val="0"/>
  </w:style>
  <w:style w:type="character" w:customStyle="1" w:styleId="144">
    <w:name w:val="title-name-gw2"/>
    <w:basedOn w:val="28"/>
    <w:qFormat/>
    <w:uiPriority w:val="0"/>
  </w:style>
  <w:style w:type="character" w:customStyle="1" w:styleId="145">
    <w:name w:val="icon-renren-cancel-b2"/>
    <w:basedOn w:val="28"/>
    <w:qFormat/>
    <w:uiPriority w:val="0"/>
  </w:style>
  <w:style w:type="character" w:customStyle="1" w:styleId="146">
    <w:name w:val="icon-qq-b2"/>
    <w:basedOn w:val="28"/>
    <w:qFormat/>
    <w:uiPriority w:val="0"/>
  </w:style>
  <w:style w:type="character" w:customStyle="1" w:styleId="147">
    <w:name w:val="hover75"/>
    <w:basedOn w:val="28"/>
    <w:qFormat/>
    <w:uiPriority w:val="0"/>
  </w:style>
  <w:style w:type="character" w:customStyle="1" w:styleId="148">
    <w:name w:val="icon-sina-b"/>
    <w:basedOn w:val="28"/>
    <w:qFormat/>
    <w:uiPriority w:val="0"/>
  </w:style>
  <w:style w:type="character" w:customStyle="1" w:styleId="149">
    <w:name w:val="btn-load-bf"/>
    <w:basedOn w:val="28"/>
    <w:qFormat/>
    <w:uiPriority w:val="0"/>
  </w:style>
  <w:style w:type="character" w:customStyle="1" w:styleId="150">
    <w:name w:val="icon-qq-cancel-b"/>
    <w:basedOn w:val="28"/>
    <w:qFormat/>
    <w:uiPriority w:val="0"/>
  </w:style>
  <w:style w:type="character" w:customStyle="1" w:styleId="151">
    <w:name w:val="icon30-renren-b3"/>
    <w:basedOn w:val="28"/>
    <w:qFormat/>
    <w:uiPriority w:val="0"/>
  </w:style>
  <w:style w:type="character" w:customStyle="1" w:styleId="152">
    <w:name w:val="icon30-sina-b5"/>
    <w:basedOn w:val="28"/>
    <w:qFormat/>
    <w:uiPriority w:val="0"/>
  </w:style>
  <w:style w:type="character" w:customStyle="1" w:styleId="153">
    <w:name w:val="icon-qq-cancel-b1"/>
    <w:basedOn w:val="28"/>
    <w:qFormat/>
    <w:uiPriority w:val="0"/>
  </w:style>
  <w:style w:type="character" w:customStyle="1" w:styleId="154">
    <w:name w:val="icon-sohu-click-b1"/>
    <w:basedOn w:val="28"/>
    <w:qFormat/>
    <w:uiPriority w:val="0"/>
  </w:style>
  <w:style w:type="character" w:customStyle="1" w:styleId="155">
    <w:name w:val="icon-sohu-click-b"/>
    <w:basedOn w:val="28"/>
    <w:qFormat/>
    <w:uiPriority w:val="0"/>
  </w:style>
  <w:style w:type="character" w:customStyle="1" w:styleId="156">
    <w:name w:val="icon30-qq-b2"/>
    <w:basedOn w:val="28"/>
    <w:qFormat/>
    <w:uiPriority w:val="0"/>
  </w:style>
  <w:style w:type="character" w:customStyle="1" w:styleId="157">
    <w:name w:val="icon-renren-b2"/>
    <w:basedOn w:val="28"/>
    <w:qFormat/>
    <w:uiPriority w:val="0"/>
  </w:style>
  <w:style w:type="character" w:customStyle="1" w:styleId="158">
    <w:name w:val="icon-qzone-b"/>
    <w:basedOn w:val="28"/>
    <w:qFormat/>
    <w:uiPriority w:val="0"/>
  </w:style>
  <w:style w:type="character" w:customStyle="1" w:styleId="159">
    <w:name w:val="user-top-gw2"/>
    <w:qFormat/>
    <w:uiPriority w:val="0"/>
    <w:rPr>
      <w:vanish/>
    </w:rPr>
  </w:style>
  <w:style w:type="character" w:customStyle="1" w:styleId="160">
    <w:name w:val="icon-qq-click-b1"/>
    <w:basedOn w:val="28"/>
    <w:qFormat/>
    <w:uiPriority w:val="0"/>
  </w:style>
  <w:style w:type="character" w:customStyle="1" w:styleId="161">
    <w:name w:val="icon-sohu-cancel-b"/>
    <w:basedOn w:val="28"/>
    <w:qFormat/>
    <w:uiPriority w:val="0"/>
  </w:style>
  <w:style w:type="character" w:customStyle="1" w:styleId="162">
    <w:name w:val="icon-sina-cancel-b1"/>
    <w:basedOn w:val="28"/>
    <w:qFormat/>
    <w:uiPriority w:val="0"/>
  </w:style>
  <w:style w:type="character" w:customStyle="1" w:styleId="163">
    <w:name w:val="btn-load-bf4"/>
    <w:qFormat/>
    <w:uiPriority w:val="0"/>
  </w:style>
  <w:style w:type="table" w:customStyle="1" w:styleId="164">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5">
    <w:name w:val="页眉 Char1"/>
    <w:qFormat/>
    <w:uiPriority w:val="99"/>
    <w:rPr>
      <w:sz w:val="18"/>
      <w:szCs w:val="18"/>
    </w:rPr>
  </w:style>
  <w:style w:type="character" w:customStyle="1" w:styleId="166">
    <w:name w:val="页脚 Char1"/>
    <w:qFormat/>
    <w:uiPriority w:val="99"/>
    <w:rPr>
      <w:sz w:val="18"/>
      <w:szCs w:val="18"/>
    </w:rPr>
  </w:style>
  <w:style w:type="character" w:customStyle="1" w:styleId="167">
    <w:name w:val="font21"/>
    <w:basedOn w:val="28"/>
    <w:qFormat/>
    <w:uiPriority w:val="0"/>
    <w:rPr>
      <w:rFonts w:hint="eastAsia" w:ascii="宋体" w:hAnsi="宋体" w:eastAsia="宋体" w:cs="宋体"/>
      <w:color w:val="333333"/>
      <w:sz w:val="22"/>
      <w:szCs w:val="22"/>
      <w:u w:val="none"/>
    </w:rPr>
  </w:style>
  <w:style w:type="character" w:customStyle="1" w:styleId="168">
    <w:name w:val="font01"/>
    <w:basedOn w:val="28"/>
    <w:qFormat/>
    <w:uiPriority w:val="0"/>
    <w:rPr>
      <w:rFonts w:ascii="Helvetica" w:hAnsi="Helvetica" w:eastAsia="Helvetica" w:cs="Helvetica"/>
      <w:color w:val="333333"/>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bmp"/><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7"/>
    <customShpInfo spid="_x0000_s3074"/>
    <customShpInfo spid="_x0000_s3079"/>
    <customShpInfo spid="_x0000_s3078"/>
    <customShpInfo spid="_x0000_s3076"/>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2A166-206F-4009-A527-25398953C6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3355</Words>
  <Characters>19129</Characters>
  <Lines>159</Lines>
  <Paragraphs>44</Paragraphs>
  <TotalTime>2</TotalTime>
  <ScaleCrop>false</ScaleCrop>
  <LinksUpToDate>false</LinksUpToDate>
  <CharactersWithSpaces>22440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2020-09-15T07:22:00Z</dcterms:created>
  <dc:creator>job</dc:creator>
  <cp:lastModifiedBy>123</cp:lastModifiedBy>
  <cp:lastPrinted>2022-08-11T07:58:00Z</cp:lastPrinted>
  <dcterms:modified xsi:type="dcterms:W3CDTF">2022-09-19T02:49:48Z</dcterms:modified>
  <dc:title>房地产价格评估报告</dc:title>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