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6" w:rsidRDefault="00E62AD6">
      <w:pPr>
        <w:spacing w:line="600" w:lineRule="exact"/>
        <w:jc w:val="center"/>
        <w:rPr>
          <w:rFonts w:ascii="黑体" w:eastAsia="黑体" w:hAnsi="宋体"/>
          <w:spacing w:val="-20"/>
          <w:sz w:val="52"/>
        </w:rPr>
      </w:pPr>
    </w:p>
    <w:p w:rsidR="00E62AD6" w:rsidRDefault="00E62AD6">
      <w:pPr>
        <w:jc w:val="center"/>
        <w:rPr>
          <w:rFonts w:ascii="黑体" w:eastAsia="黑体" w:hAnsi="宋体"/>
          <w:sz w:val="52"/>
          <w:szCs w:val="52"/>
        </w:rPr>
      </w:pPr>
      <w:r>
        <w:rPr>
          <w:rFonts w:ascii="黑体" w:eastAsia="黑体" w:hAnsi="宋体" w:hint="eastAsia"/>
          <w:spacing w:val="-20"/>
          <w:sz w:val="52"/>
        </w:rPr>
        <w:t>涉执房地产处置司法评估报告</w:t>
      </w:r>
    </w:p>
    <w:p w:rsidR="00E62AD6" w:rsidRDefault="00E62AD6" w:rsidP="00F23040">
      <w:pPr>
        <w:tabs>
          <w:tab w:val="left" w:pos="1944"/>
          <w:tab w:val="left" w:pos="2160"/>
        </w:tabs>
        <w:spacing w:line="600" w:lineRule="exact"/>
        <w:ind w:left="31680" w:rightChars="37" w:right="31680" w:hangingChars="1076" w:firstLine="31680"/>
        <w:rPr>
          <w:rFonts w:ascii="黑体" w:eastAsia="黑体" w:hAnsi="宋体"/>
          <w:spacing w:val="6"/>
          <w:sz w:val="32"/>
        </w:rPr>
      </w:pPr>
    </w:p>
    <w:p w:rsidR="00E62AD6" w:rsidRDefault="00E62AD6" w:rsidP="00F23040">
      <w:pPr>
        <w:tabs>
          <w:tab w:val="left" w:pos="1944"/>
          <w:tab w:val="left" w:pos="2160"/>
        </w:tabs>
        <w:spacing w:line="600" w:lineRule="exact"/>
        <w:ind w:left="31680" w:rightChars="37" w:right="31680" w:hangingChars="1076" w:firstLine="31680"/>
        <w:rPr>
          <w:rFonts w:ascii="黑体" w:eastAsia="黑体" w:hAnsi="宋体"/>
          <w:spacing w:val="6"/>
          <w:sz w:val="32"/>
        </w:rPr>
      </w:pPr>
    </w:p>
    <w:p w:rsidR="00E62AD6" w:rsidRDefault="00E62AD6" w:rsidP="00F23040">
      <w:pPr>
        <w:tabs>
          <w:tab w:val="left" w:pos="1944"/>
          <w:tab w:val="left" w:pos="2160"/>
        </w:tabs>
        <w:spacing w:line="600" w:lineRule="exact"/>
        <w:ind w:leftChars="42" w:left="31680" w:rightChars="37" w:right="31680" w:hangingChars="1118" w:firstLine="31680"/>
        <w:rPr>
          <w:rFonts w:ascii="黑体" w:eastAsia="黑体" w:hAnsi="宋体"/>
          <w:sz w:val="32"/>
        </w:rPr>
      </w:pPr>
      <w:r>
        <w:rPr>
          <w:rFonts w:ascii="黑体" w:eastAsia="黑体" w:hAnsi="宋体" w:hint="eastAsia"/>
          <w:spacing w:val="6"/>
          <w:sz w:val="32"/>
        </w:rPr>
        <w:t>估价项目名称</w:t>
      </w:r>
      <w:r>
        <w:rPr>
          <w:rFonts w:ascii="黑体" w:eastAsia="黑体" w:hAnsi="宋体" w:hint="eastAsia"/>
          <w:sz w:val="32"/>
        </w:rPr>
        <w:t>：汕头市龙湖区碧霞庄北区</w:t>
      </w:r>
      <w:r>
        <w:rPr>
          <w:rFonts w:ascii="黑体" w:eastAsia="黑体" w:hAnsi="宋体"/>
          <w:sz w:val="32"/>
        </w:rPr>
        <w:t>2</w:t>
      </w:r>
      <w:r>
        <w:rPr>
          <w:rFonts w:ascii="黑体" w:eastAsia="黑体" w:hAnsi="宋体" w:hint="eastAsia"/>
          <w:sz w:val="32"/>
        </w:rPr>
        <w:t>幢</w:t>
      </w:r>
      <w:r>
        <w:rPr>
          <w:rFonts w:ascii="黑体" w:eastAsia="黑体" w:hAnsi="宋体"/>
          <w:sz w:val="32"/>
        </w:rPr>
        <w:t>125</w:t>
      </w:r>
      <w:r>
        <w:rPr>
          <w:rFonts w:ascii="黑体" w:eastAsia="黑体" w:hAnsi="宋体" w:hint="eastAsia"/>
          <w:sz w:val="32"/>
        </w:rPr>
        <w:t>号房</w:t>
      </w:r>
      <w:r>
        <w:rPr>
          <w:rFonts w:ascii="黑体" w:eastAsia="黑体" w:hAnsi="宋体"/>
          <w:sz w:val="32"/>
        </w:rPr>
        <w:t xml:space="preserve">   </w:t>
      </w:r>
      <w:r>
        <w:rPr>
          <w:rFonts w:ascii="黑体" w:eastAsia="黑体" w:hAnsi="宋体" w:hint="eastAsia"/>
          <w:sz w:val="32"/>
        </w:rPr>
        <w:t>房地产价值评估</w:t>
      </w:r>
    </w:p>
    <w:p w:rsidR="00E62AD6" w:rsidRDefault="00E62AD6">
      <w:pPr>
        <w:spacing w:line="760" w:lineRule="exact"/>
        <w:rPr>
          <w:rFonts w:ascii="黑体" w:eastAsia="黑体" w:hAnsi="宋体"/>
          <w:sz w:val="32"/>
        </w:rPr>
      </w:pPr>
    </w:p>
    <w:p w:rsidR="00E62AD6" w:rsidRDefault="00E62AD6" w:rsidP="00F23040">
      <w:pPr>
        <w:spacing w:line="600" w:lineRule="exact"/>
        <w:ind w:left="31680" w:hangingChars="66" w:firstLine="31680"/>
        <w:rPr>
          <w:rFonts w:ascii="黑体" w:eastAsia="黑体" w:hAnsi="宋体"/>
          <w:sz w:val="32"/>
        </w:rPr>
      </w:pPr>
      <w:r>
        <w:rPr>
          <w:rFonts w:ascii="黑体" w:eastAsia="黑体" w:hAnsi="宋体" w:hint="eastAsia"/>
          <w:sz w:val="32"/>
        </w:rPr>
        <w:t>估</w:t>
      </w:r>
      <w:r>
        <w:rPr>
          <w:rFonts w:ascii="黑体" w:eastAsia="黑体" w:hAnsi="宋体"/>
          <w:sz w:val="32"/>
        </w:rPr>
        <w:t xml:space="preserve"> </w:t>
      </w:r>
      <w:r>
        <w:rPr>
          <w:rFonts w:ascii="黑体" w:eastAsia="黑体" w:hAnsi="宋体" w:hint="eastAsia"/>
          <w:sz w:val="32"/>
        </w:rPr>
        <w:t>价</w:t>
      </w:r>
      <w:r>
        <w:rPr>
          <w:rFonts w:ascii="黑体" w:eastAsia="黑体" w:hAnsi="宋体"/>
          <w:sz w:val="32"/>
        </w:rPr>
        <w:t xml:space="preserve"> </w:t>
      </w:r>
      <w:r>
        <w:rPr>
          <w:rFonts w:ascii="黑体" w:eastAsia="黑体" w:hAnsi="宋体" w:hint="eastAsia"/>
          <w:sz w:val="32"/>
        </w:rPr>
        <w:t>委</w:t>
      </w:r>
      <w:r>
        <w:rPr>
          <w:rFonts w:ascii="黑体" w:eastAsia="黑体" w:hAnsi="宋体"/>
          <w:sz w:val="32"/>
        </w:rPr>
        <w:t xml:space="preserve"> </w:t>
      </w:r>
      <w:r>
        <w:rPr>
          <w:rFonts w:ascii="黑体" w:eastAsia="黑体" w:hAnsi="宋体" w:hint="eastAsia"/>
          <w:sz w:val="32"/>
        </w:rPr>
        <w:t>托</w:t>
      </w:r>
      <w:r>
        <w:rPr>
          <w:rFonts w:ascii="黑体" w:eastAsia="黑体" w:hAnsi="宋体"/>
          <w:sz w:val="32"/>
        </w:rPr>
        <w:t xml:space="preserve"> </w:t>
      </w:r>
      <w:r>
        <w:rPr>
          <w:rFonts w:ascii="黑体" w:eastAsia="黑体" w:hAnsi="宋体" w:hint="eastAsia"/>
          <w:sz w:val="32"/>
        </w:rPr>
        <w:t>人：汕头市龙湖区人民法院</w:t>
      </w:r>
    </w:p>
    <w:p w:rsidR="00E62AD6" w:rsidRDefault="00E62AD6">
      <w:pPr>
        <w:spacing w:line="760" w:lineRule="exact"/>
        <w:rPr>
          <w:rFonts w:ascii="黑体" w:eastAsia="黑体" w:hAnsi="宋体"/>
          <w:sz w:val="32"/>
        </w:rPr>
      </w:pPr>
    </w:p>
    <w:p w:rsidR="00E62AD6" w:rsidRDefault="00E62AD6" w:rsidP="00F23040">
      <w:pPr>
        <w:spacing w:line="600" w:lineRule="exact"/>
        <w:ind w:left="31680" w:rightChars="-164" w:right="31680" w:hangingChars="66" w:firstLine="31680"/>
        <w:rPr>
          <w:rFonts w:ascii="黑体" w:eastAsia="黑体" w:hAnsi="宋体"/>
          <w:sz w:val="32"/>
        </w:rPr>
      </w:pPr>
      <w:r>
        <w:rPr>
          <w:rFonts w:ascii="黑体" w:eastAsia="黑体" w:hAnsi="宋体" w:hint="eastAsia"/>
          <w:sz w:val="32"/>
        </w:rPr>
        <w:t>房地产估价机构：广东瑞基资产评估土地房地产估价有限公司</w:t>
      </w:r>
    </w:p>
    <w:p w:rsidR="00E62AD6" w:rsidRDefault="00E62AD6">
      <w:pPr>
        <w:spacing w:line="760" w:lineRule="exact"/>
        <w:rPr>
          <w:rFonts w:ascii="黑体" w:eastAsia="黑体" w:hAnsi="宋体"/>
          <w:sz w:val="32"/>
        </w:rPr>
      </w:pPr>
    </w:p>
    <w:p w:rsidR="00E62AD6" w:rsidRDefault="00E62AD6" w:rsidP="00F23040">
      <w:pPr>
        <w:spacing w:line="1040" w:lineRule="exact"/>
        <w:ind w:left="31680" w:hangingChars="66" w:firstLine="31680"/>
        <w:rPr>
          <w:rFonts w:ascii="黑体" w:eastAsia="黑体" w:hAnsi="宋体"/>
          <w:sz w:val="32"/>
        </w:rPr>
      </w:pPr>
      <w:r>
        <w:rPr>
          <w:rFonts w:ascii="黑体" w:eastAsia="黑体" w:hAnsi="宋体" w:hint="eastAsia"/>
          <w:sz w:val="32"/>
        </w:rPr>
        <w:t>注册房地产估价师：黄晓彬（注册号：</w:t>
      </w:r>
      <w:r>
        <w:rPr>
          <w:rFonts w:ascii="黑体" w:eastAsia="黑体" w:hAnsi="宋体"/>
          <w:sz w:val="32"/>
        </w:rPr>
        <w:t>4420050157</w:t>
      </w:r>
      <w:r>
        <w:rPr>
          <w:rFonts w:ascii="黑体" w:eastAsia="黑体" w:hAnsi="宋体" w:hint="eastAsia"/>
          <w:sz w:val="32"/>
        </w:rPr>
        <w:t>）</w:t>
      </w:r>
    </w:p>
    <w:p w:rsidR="00E62AD6" w:rsidRDefault="00E62AD6" w:rsidP="00F23040">
      <w:pPr>
        <w:spacing w:line="1040" w:lineRule="exact"/>
        <w:ind w:firstLineChars="450" w:firstLine="31680"/>
        <w:rPr>
          <w:rFonts w:ascii="黑体" w:eastAsia="黑体" w:hAnsi="宋体"/>
          <w:sz w:val="32"/>
        </w:rPr>
      </w:pPr>
      <w:r>
        <w:rPr>
          <w:rFonts w:ascii="黑体" w:eastAsia="黑体" w:hAnsi="宋体"/>
          <w:sz w:val="32"/>
        </w:rPr>
        <w:t xml:space="preserve">         </w:t>
      </w:r>
      <w:r>
        <w:rPr>
          <w:rFonts w:ascii="黑体" w:eastAsia="黑体" w:hAnsi="宋体" w:hint="eastAsia"/>
          <w:sz w:val="32"/>
        </w:rPr>
        <w:t>黄翠竹（注册号：</w:t>
      </w:r>
      <w:r>
        <w:rPr>
          <w:rFonts w:ascii="黑体" w:eastAsia="黑体" w:hAnsi="宋体"/>
          <w:sz w:val="32"/>
        </w:rPr>
        <w:t>4420040143</w:t>
      </w:r>
      <w:r>
        <w:rPr>
          <w:rFonts w:ascii="黑体" w:eastAsia="黑体" w:hAnsi="宋体" w:hint="eastAsia"/>
          <w:sz w:val="32"/>
        </w:rPr>
        <w:t>）</w:t>
      </w:r>
    </w:p>
    <w:p w:rsidR="00E62AD6" w:rsidRDefault="00E62AD6" w:rsidP="00F23040">
      <w:pPr>
        <w:spacing w:line="600" w:lineRule="exact"/>
        <w:ind w:left="31680" w:hangingChars="66" w:firstLine="31680"/>
        <w:rPr>
          <w:rFonts w:ascii="黑体" w:eastAsia="黑体" w:hAnsi="宋体"/>
          <w:sz w:val="32"/>
        </w:rPr>
      </w:pPr>
    </w:p>
    <w:p w:rsidR="00E62AD6" w:rsidRDefault="00E62AD6">
      <w:pPr>
        <w:spacing w:line="600" w:lineRule="exact"/>
        <w:ind w:left="1"/>
        <w:rPr>
          <w:rFonts w:ascii="黑体" w:eastAsia="黑体" w:hAnsi="宋体"/>
          <w:sz w:val="32"/>
        </w:rPr>
      </w:pPr>
      <w:r>
        <w:rPr>
          <w:rFonts w:ascii="黑体" w:eastAsia="黑体" w:hAnsi="宋体" w:hint="eastAsia"/>
          <w:spacing w:val="34"/>
          <w:sz w:val="32"/>
        </w:rPr>
        <w:t>报告出具日期</w:t>
      </w:r>
      <w:r>
        <w:rPr>
          <w:rFonts w:ascii="黑体" w:eastAsia="黑体" w:hAnsi="宋体" w:hint="eastAsia"/>
          <w:sz w:val="32"/>
        </w:rPr>
        <w:t>：</w:t>
      </w:r>
      <w:smartTag w:uri="urn:schemas-microsoft-com:office:smarttags" w:element="chsdate">
        <w:smartTagPr>
          <w:attr w:name="IsROCDate" w:val="False"/>
          <w:attr w:name="IsLunarDate" w:val="False"/>
          <w:attr w:name="Day" w:val="8"/>
          <w:attr w:name="Month" w:val="9"/>
          <w:attr w:name="Year" w:val="2022"/>
        </w:smartTagPr>
        <w:r>
          <w:rPr>
            <w:rFonts w:ascii="黑体" w:eastAsia="黑体" w:hAnsi="宋体"/>
            <w:sz w:val="32"/>
          </w:rPr>
          <w:t>2022</w:t>
        </w:r>
        <w:r>
          <w:rPr>
            <w:rFonts w:ascii="黑体" w:eastAsia="黑体" w:hAnsi="宋体" w:hint="eastAsia"/>
            <w:sz w:val="32"/>
          </w:rPr>
          <w:t>年</w:t>
        </w:r>
        <w:r>
          <w:rPr>
            <w:rFonts w:ascii="黑体" w:eastAsia="黑体" w:hAnsi="宋体"/>
            <w:sz w:val="32"/>
          </w:rPr>
          <w:t>9</w:t>
        </w:r>
        <w:r>
          <w:rPr>
            <w:rFonts w:ascii="黑体" w:eastAsia="黑体" w:hAnsi="宋体" w:hint="eastAsia"/>
            <w:sz w:val="32"/>
          </w:rPr>
          <w:t>月</w:t>
        </w:r>
        <w:r>
          <w:rPr>
            <w:rFonts w:ascii="黑体" w:eastAsia="黑体" w:hAnsi="宋体"/>
            <w:sz w:val="32"/>
          </w:rPr>
          <w:t>8</w:t>
        </w:r>
        <w:r>
          <w:rPr>
            <w:rFonts w:ascii="黑体" w:eastAsia="黑体" w:hAnsi="宋体" w:hint="eastAsia"/>
            <w:sz w:val="32"/>
          </w:rPr>
          <w:t>日</w:t>
        </w:r>
      </w:smartTag>
    </w:p>
    <w:p w:rsidR="00E62AD6" w:rsidRDefault="00E62AD6">
      <w:pPr>
        <w:spacing w:line="760" w:lineRule="exact"/>
        <w:rPr>
          <w:rFonts w:ascii="黑体" w:eastAsia="黑体" w:hAnsi="宋体"/>
          <w:sz w:val="32"/>
        </w:rPr>
      </w:pPr>
    </w:p>
    <w:p w:rsidR="00E62AD6" w:rsidRDefault="00E62AD6">
      <w:pPr>
        <w:spacing w:line="600" w:lineRule="exact"/>
        <w:rPr>
          <w:rFonts w:ascii="黑体" w:eastAsia="黑体" w:hAnsi="宋体"/>
          <w:sz w:val="32"/>
        </w:rPr>
      </w:pPr>
      <w:r>
        <w:rPr>
          <w:rFonts w:ascii="黑体" w:eastAsia="黑体" w:hAnsi="宋体" w:hint="eastAsia"/>
          <w:spacing w:val="34"/>
          <w:sz w:val="32"/>
        </w:rPr>
        <w:t>估价报告编号</w:t>
      </w:r>
      <w:r>
        <w:rPr>
          <w:rFonts w:ascii="黑体" w:eastAsia="黑体" w:hAnsi="宋体" w:hint="eastAsia"/>
          <w:sz w:val="32"/>
        </w:rPr>
        <w:t>：粤瑞基房估字</w:t>
      </w:r>
      <w:r>
        <w:rPr>
          <w:rFonts w:ascii="黑体" w:eastAsia="黑体" w:hAnsi="宋体"/>
          <w:sz w:val="32"/>
        </w:rPr>
        <w:t>[2022]</w:t>
      </w:r>
      <w:r>
        <w:rPr>
          <w:rFonts w:ascii="黑体" w:eastAsia="黑体" w:hAnsi="宋体" w:hint="eastAsia"/>
          <w:sz w:val="32"/>
        </w:rPr>
        <w:t>第</w:t>
      </w:r>
      <w:r>
        <w:rPr>
          <w:rFonts w:ascii="黑体" w:eastAsia="黑体" w:hAnsi="宋体"/>
          <w:sz w:val="32"/>
        </w:rPr>
        <w:t>556</w:t>
      </w:r>
      <w:r>
        <w:rPr>
          <w:rFonts w:ascii="黑体" w:eastAsia="黑体" w:hAnsi="宋体" w:hint="eastAsia"/>
          <w:sz w:val="32"/>
        </w:rPr>
        <w:t>号</w:t>
      </w:r>
    </w:p>
    <w:p w:rsidR="00E62AD6" w:rsidRDefault="00E62AD6">
      <w:pPr>
        <w:spacing w:line="600" w:lineRule="exact"/>
        <w:rPr>
          <w:rFonts w:ascii="黑体" w:eastAsia="黑体" w:hAnsi="宋体"/>
          <w:sz w:val="32"/>
        </w:rPr>
      </w:pPr>
    </w:p>
    <w:p w:rsidR="00E62AD6" w:rsidRDefault="00E62AD6">
      <w:pPr>
        <w:spacing w:line="600" w:lineRule="exact"/>
        <w:rPr>
          <w:rFonts w:ascii="黑体" w:eastAsia="黑体" w:hAnsi="宋体"/>
          <w:sz w:val="32"/>
        </w:rPr>
      </w:pPr>
    </w:p>
    <w:p w:rsidR="00E62AD6" w:rsidRDefault="00E62AD6">
      <w:pPr>
        <w:spacing w:line="600" w:lineRule="exact"/>
        <w:rPr>
          <w:rFonts w:ascii="黑体" w:eastAsia="黑体" w:hAnsi="宋体"/>
          <w:sz w:val="32"/>
        </w:rPr>
      </w:pPr>
    </w:p>
    <w:p w:rsidR="00E62AD6" w:rsidRDefault="00E62AD6">
      <w:pPr>
        <w:jc w:val="center"/>
        <w:rPr>
          <w:rFonts w:ascii="黑体" w:eastAsia="黑体" w:hAnsi="宋体"/>
          <w:sz w:val="44"/>
        </w:rPr>
        <w:sectPr w:rsidR="00E62AD6">
          <w:headerReference w:type="default" r:id="rId6"/>
          <w:footnotePr>
            <w:numRestart w:val="eachPage"/>
          </w:footnotePr>
          <w:pgSz w:w="11907" w:h="16840"/>
          <w:pgMar w:top="1429" w:right="1690" w:bottom="1429" w:left="1916" w:header="737" w:footer="737" w:gutter="0"/>
          <w:cols w:space="720"/>
          <w:titlePg/>
          <w:docGrid w:linePitch="286" w:charSpace="1259"/>
        </w:sectPr>
      </w:pPr>
    </w:p>
    <w:p w:rsidR="00E62AD6" w:rsidRDefault="00E62AD6">
      <w:pPr>
        <w:jc w:val="center"/>
        <w:rPr>
          <w:rFonts w:ascii="黑体" w:eastAsia="黑体" w:hAnsi="宋体"/>
          <w:sz w:val="44"/>
        </w:rPr>
      </w:pPr>
      <w:r>
        <w:rPr>
          <w:rFonts w:ascii="黑体" w:eastAsia="黑体" w:hAnsi="宋体" w:hint="eastAsia"/>
          <w:sz w:val="44"/>
        </w:rPr>
        <w:t>目</w:t>
      </w:r>
      <w:r>
        <w:rPr>
          <w:rFonts w:ascii="黑体" w:eastAsia="黑体" w:hAnsi="宋体"/>
          <w:sz w:val="44"/>
        </w:rPr>
        <w:t xml:space="preserve">     </w:t>
      </w:r>
      <w:r>
        <w:rPr>
          <w:rFonts w:ascii="黑体" w:eastAsia="黑体" w:hAnsi="宋体" w:hint="eastAsia"/>
          <w:sz w:val="44"/>
        </w:rPr>
        <w:t>录</w:t>
      </w:r>
    </w:p>
    <w:p w:rsidR="00E62AD6" w:rsidRDefault="00E62AD6">
      <w:pPr>
        <w:spacing w:line="360" w:lineRule="exact"/>
        <w:rPr>
          <w:rFonts w:ascii="宋体"/>
        </w:rPr>
      </w:pPr>
    </w:p>
    <w:p w:rsidR="00E62AD6" w:rsidRDefault="00E62AD6">
      <w:pPr>
        <w:spacing w:line="360" w:lineRule="exact"/>
        <w:rPr>
          <w:rFonts w:ascii="宋体"/>
        </w:rPr>
      </w:pPr>
    </w:p>
    <w:p w:rsidR="00E62AD6" w:rsidRDefault="00E62AD6">
      <w:pPr>
        <w:tabs>
          <w:tab w:val="left" w:pos="6912"/>
          <w:tab w:val="left" w:pos="7120"/>
        </w:tabs>
        <w:spacing w:line="500" w:lineRule="exact"/>
        <w:rPr>
          <w:rFonts w:ascii="宋体"/>
          <w:b/>
          <w:bCs/>
          <w:sz w:val="24"/>
        </w:rPr>
      </w:pPr>
      <w:r>
        <w:rPr>
          <w:rFonts w:ascii="宋体" w:hAnsi="宋体" w:hint="eastAsia"/>
          <w:b/>
          <w:bCs/>
          <w:sz w:val="24"/>
        </w:rPr>
        <w:t>一、致估价委托人函</w:t>
      </w:r>
      <w:r>
        <w:rPr>
          <w:rFonts w:ascii="宋体" w:hAnsi="宋体"/>
          <w:b/>
          <w:bCs/>
          <w:sz w:val="24"/>
        </w:rPr>
        <w:t xml:space="preserve"> </w:t>
      </w:r>
      <w:r>
        <w:rPr>
          <w:rFonts w:ascii="宋体" w:hAnsi="宋体" w:hint="eastAsia"/>
          <w:b/>
          <w:bCs/>
          <w:sz w:val="24"/>
        </w:rPr>
        <w:t>……………………………………………………</w:t>
      </w:r>
      <w:r>
        <w:rPr>
          <w:rFonts w:ascii="宋体" w:hAnsi="宋体"/>
          <w:b/>
          <w:bCs/>
          <w:sz w:val="24"/>
        </w:rPr>
        <w:t xml:space="preserve"> </w:t>
      </w:r>
      <w:r>
        <w:rPr>
          <w:rFonts w:ascii="宋体" w:hAnsi="宋体" w:hint="eastAsia"/>
          <w:b/>
          <w:bCs/>
          <w:sz w:val="24"/>
        </w:rPr>
        <w:t>第</w:t>
      </w:r>
      <w:r>
        <w:rPr>
          <w:rFonts w:ascii="宋体" w:hAnsi="宋体"/>
          <w:b/>
          <w:bCs/>
          <w:sz w:val="24"/>
        </w:rPr>
        <w:t xml:space="preserve"> 1 </w:t>
      </w:r>
      <w:r>
        <w:rPr>
          <w:rFonts w:ascii="宋体" w:hAnsi="宋体" w:hint="eastAsia"/>
          <w:b/>
          <w:bCs/>
          <w:sz w:val="24"/>
        </w:rPr>
        <w:t>页</w:t>
      </w:r>
    </w:p>
    <w:p w:rsidR="00E62AD6" w:rsidRDefault="00E62AD6">
      <w:pPr>
        <w:spacing w:line="500" w:lineRule="exact"/>
        <w:rPr>
          <w:rFonts w:ascii="宋体"/>
          <w:b/>
          <w:bCs/>
          <w:sz w:val="24"/>
        </w:rPr>
      </w:pPr>
      <w:r>
        <w:rPr>
          <w:rFonts w:ascii="宋体" w:hAnsi="宋体" w:hint="eastAsia"/>
          <w:b/>
          <w:bCs/>
          <w:sz w:val="24"/>
        </w:rPr>
        <w:t>二、估价师声明</w:t>
      </w:r>
      <w:r>
        <w:rPr>
          <w:rFonts w:ascii="宋体" w:hAnsi="宋体"/>
          <w:b/>
          <w:bCs/>
          <w:sz w:val="24"/>
        </w:rPr>
        <w:t xml:space="preserve"> </w:t>
      </w:r>
      <w:r>
        <w:rPr>
          <w:rFonts w:ascii="宋体" w:hAnsi="宋体" w:hint="eastAsia"/>
          <w:b/>
          <w:bCs/>
          <w:sz w:val="24"/>
        </w:rPr>
        <w:t>…………………………………………………………</w:t>
      </w:r>
      <w:r>
        <w:rPr>
          <w:rFonts w:ascii="宋体" w:hAnsi="宋体"/>
          <w:b/>
          <w:bCs/>
          <w:sz w:val="24"/>
        </w:rPr>
        <w:t xml:space="preserve"> </w:t>
      </w:r>
      <w:r>
        <w:rPr>
          <w:rFonts w:ascii="宋体" w:hAnsi="宋体" w:hint="eastAsia"/>
          <w:b/>
          <w:bCs/>
          <w:sz w:val="24"/>
        </w:rPr>
        <w:t>第</w:t>
      </w:r>
      <w:r>
        <w:rPr>
          <w:rFonts w:ascii="宋体" w:hAnsi="宋体"/>
          <w:b/>
          <w:bCs/>
          <w:sz w:val="24"/>
        </w:rPr>
        <w:t xml:space="preserve"> 2 </w:t>
      </w:r>
      <w:r>
        <w:rPr>
          <w:rFonts w:ascii="宋体" w:hAnsi="宋体" w:hint="eastAsia"/>
          <w:b/>
          <w:bCs/>
          <w:sz w:val="24"/>
        </w:rPr>
        <w:t>页</w:t>
      </w:r>
    </w:p>
    <w:p w:rsidR="00E62AD6" w:rsidRDefault="00E62AD6">
      <w:pPr>
        <w:spacing w:line="500" w:lineRule="exact"/>
        <w:rPr>
          <w:rFonts w:ascii="宋体"/>
          <w:b/>
          <w:bCs/>
          <w:sz w:val="24"/>
        </w:rPr>
      </w:pPr>
      <w:r>
        <w:rPr>
          <w:rFonts w:ascii="宋体" w:hAnsi="宋体" w:hint="eastAsia"/>
          <w:b/>
          <w:bCs/>
          <w:sz w:val="24"/>
        </w:rPr>
        <w:t>三、估价的假设和限制条件</w:t>
      </w:r>
      <w:r>
        <w:rPr>
          <w:rFonts w:ascii="宋体" w:hAnsi="宋体"/>
          <w:b/>
          <w:bCs/>
          <w:sz w:val="24"/>
        </w:rPr>
        <w:t xml:space="preserve"> </w:t>
      </w:r>
      <w:r>
        <w:rPr>
          <w:rFonts w:ascii="宋体" w:hAnsi="宋体" w:hint="eastAsia"/>
          <w:b/>
          <w:bCs/>
          <w:sz w:val="24"/>
        </w:rPr>
        <w:t>……………………………………………</w:t>
      </w:r>
      <w:r>
        <w:rPr>
          <w:rFonts w:ascii="宋体" w:hAnsi="宋体"/>
          <w:b/>
          <w:bCs/>
          <w:sz w:val="24"/>
        </w:rPr>
        <w:t xml:space="preserve"> </w:t>
      </w:r>
      <w:r>
        <w:rPr>
          <w:rFonts w:ascii="宋体" w:hAnsi="宋体" w:hint="eastAsia"/>
          <w:b/>
          <w:bCs/>
          <w:sz w:val="24"/>
        </w:rPr>
        <w:t>第</w:t>
      </w:r>
      <w:r>
        <w:rPr>
          <w:rFonts w:ascii="宋体" w:hAnsi="宋体"/>
          <w:b/>
          <w:bCs/>
          <w:sz w:val="24"/>
        </w:rPr>
        <w:t xml:space="preserve"> 3 </w:t>
      </w:r>
      <w:r>
        <w:rPr>
          <w:rFonts w:ascii="宋体" w:hAnsi="宋体" w:hint="eastAsia"/>
          <w:b/>
          <w:bCs/>
          <w:sz w:val="24"/>
        </w:rPr>
        <w:t>页</w:t>
      </w:r>
    </w:p>
    <w:p w:rsidR="00E62AD6" w:rsidRDefault="00E62AD6">
      <w:pPr>
        <w:tabs>
          <w:tab w:val="left" w:pos="7128"/>
        </w:tabs>
        <w:spacing w:line="500" w:lineRule="exact"/>
        <w:rPr>
          <w:rFonts w:ascii="宋体"/>
          <w:b/>
          <w:bCs/>
          <w:sz w:val="24"/>
        </w:rPr>
      </w:pPr>
      <w:r>
        <w:rPr>
          <w:rFonts w:ascii="宋体" w:hAnsi="宋体" w:hint="eastAsia"/>
          <w:b/>
          <w:bCs/>
          <w:sz w:val="24"/>
        </w:rPr>
        <w:t>四、房地产估价结果报告</w:t>
      </w:r>
      <w:r>
        <w:rPr>
          <w:rFonts w:ascii="宋体" w:hAnsi="宋体"/>
          <w:b/>
          <w:bCs/>
          <w:sz w:val="24"/>
        </w:rPr>
        <w:t xml:space="preserve"> </w:t>
      </w:r>
      <w:r>
        <w:rPr>
          <w:rFonts w:ascii="宋体" w:hAnsi="宋体" w:hint="eastAsia"/>
          <w:b/>
          <w:bCs/>
          <w:sz w:val="24"/>
        </w:rPr>
        <w:t>………………………………………………</w:t>
      </w:r>
      <w:r>
        <w:rPr>
          <w:rFonts w:ascii="宋体" w:hAnsi="宋体"/>
          <w:b/>
          <w:bCs/>
          <w:sz w:val="24"/>
        </w:rPr>
        <w:t xml:space="preserve"> </w:t>
      </w:r>
      <w:r>
        <w:rPr>
          <w:rFonts w:ascii="宋体" w:hAnsi="宋体" w:hint="eastAsia"/>
          <w:b/>
          <w:bCs/>
          <w:sz w:val="24"/>
        </w:rPr>
        <w:t>第</w:t>
      </w:r>
      <w:r>
        <w:rPr>
          <w:rFonts w:ascii="宋体" w:hAnsi="宋体"/>
          <w:b/>
          <w:bCs/>
          <w:sz w:val="24"/>
        </w:rPr>
        <w:t xml:space="preserve"> 6 </w:t>
      </w:r>
      <w:r>
        <w:rPr>
          <w:rFonts w:ascii="宋体" w:hAnsi="宋体" w:hint="eastAsia"/>
          <w:b/>
          <w:bCs/>
          <w:sz w:val="24"/>
        </w:rPr>
        <w:t>页</w:t>
      </w:r>
    </w:p>
    <w:p w:rsidR="00E62AD6" w:rsidRDefault="00E62AD6">
      <w:pPr>
        <w:tabs>
          <w:tab w:val="left" w:pos="7128"/>
        </w:tabs>
        <w:spacing w:line="500" w:lineRule="exact"/>
        <w:rPr>
          <w:rFonts w:ascii="宋体"/>
          <w:sz w:val="24"/>
        </w:rPr>
      </w:pPr>
      <w:r>
        <w:rPr>
          <w:rFonts w:ascii="宋体" w:hAnsi="宋体" w:hint="eastAsia"/>
          <w:sz w:val="24"/>
        </w:rPr>
        <w:t>（一）估价委托人</w:t>
      </w:r>
    </w:p>
    <w:p w:rsidR="00E62AD6" w:rsidRDefault="00E62AD6">
      <w:pPr>
        <w:tabs>
          <w:tab w:val="left" w:pos="7128"/>
        </w:tabs>
        <w:spacing w:line="500" w:lineRule="exact"/>
        <w:rPr>
          <w:rFonts w:ascii="宋体"/>
          <w:sz w:val="24"/>
        </w:rPr>
      </w:pPr>
      <w:r>
        <w:rPr>
          <w:rFonts w:ascii="宋体" w:hAnsi="宋体" w:hint="eastAsia"/>
          <w:sz w:val="24"/>
        </w:rPr>
        <w:t>（二）房地产估价机构</w:t>
      </w:r>
    </w:p>
    <w:p w:rsidR="00E62AD6" w:rsidRDefault="00E62AD6">
      <w:pPr>
        <w:tabs>
          <w:tab w:val="left" w:pos="7128"/>
        </w:tabs>
        <w:spacing w:line="500" w:lineRule="exact"/>
        <w:rPr>
          <w:rFonts w:ascii="宋体"/>
          <w:sz w:val="24"/>
        </w:rPr>
      </w:pPr>
      <w:r>
        <w:rPr>
          <w:rFonts w:ascii="宋体" w:hAnsi="宋体" w:hint="eastAsia"/>
          <w:sz w:val="24"/>
        </w:rPr>
        <w:t>（三）估价对象</w:t>
      </w:r>
    </w:p>
    <w:p w:rsidR="00E62AD6" w:rsidRDefault="00E62AD6">
      <w:pPr>
        <w:tabs>
          <w:tab w:val="left" w:pos="7128"/>
        </w:tabs>
        <w:spacing w:line="500" w:lineRule="exact"/>
        <w:rPr>
          <w:rFonts w:ascii="宋体"/>
          <w:sz w:val="24"/>
        </w:rPr>
      </w:pPr>
      <w:r>
        <w:rPr>
          <w:rFonts w:ascii="宋体" w:hAnsi="宋体" w:hint="eastAsia"/>
          <w:sz w:val="24"/>
        </w:rPr>
        <w:t>（四）估价目的</w:t>
      </w:r>
    </w:p>
    <w:p w:rsidR="00E62AD6" w:rsidRDefault="00E62AD6">
      <w:pPr>
        <w:tabs>
          <w:tab w:val="left" w:pos="7128"/>
        </w:tabs>
        <w:spacing w:line="500" w:lineRule="exact"/>
        <w:rPr>
          <w:rFonts w:ascii="宋体"/>
          <w:sz w:val="24"/>
        </w:rPr>
      </w:pPr>
      <w:r>
        <w:rPr>
          <w:rFonts w:ascii="宋体" w:hAnsi="宋体" w:hint="eastAsia"/>
          <w:sz w:val="24"/>
        </w:rPr>
        <w:t>（五）价值时点</w:t>
      </w:r>
    </w:p>
    <w:p w:rsidR="00E62AD6" w:rsidRDefault="00E62AD6">
      <w:pPr>
        <w:tabs>
          <w:tab w:val="left" w:pos="7128"/>
        </w:tabs>
        <w:spacing w:line="500" w:lineRule="exact"/>
        <w:rPr>
          <w:rFonts w:ascii="宋体"/>
          <w:sz w:val="24"/>
        </w:rPr>
      </w:pPr>
      <w:r>
        <w:rPr>
          <w:rFonts w:ascii="宋体" w:hAnsi="宋体" w:hint="eastAsia"/>
          <w:sz w:val="24"/>
        </w:rPr>
        <w:t>（六）价值类型</w:t>
      </w:r>
    </w:p>
    <w:p w:rsidR="00E62AD6" w:rsidRDefault="00E62AD6">
      <w:pPr>
        <w:tabs>
          <w:tab w:val="left" w:pos="7128"/>
        </w:tabs>
        <w:spacing w:line="500" w:lineRule="exact"/>
        <w:rPr>
          <w:rFonts w:ascii="宋体"/>
          <w:sz w:val="24"/>
        </w:rPr>
      </w:pPr>
      <w:r>
        <w:rPr>
          <w:rFonts w:ascii="宋体" w:hAnsi="宋体" w:hint="eastAsia"/>
          <w:sz w:val="24"/>
        </w:rPr>
        <w:t>（七）估价依据</w:t>
      </w:r>
    </w:p>
    <w:p w:rsidR="00E62AD6" w:rsidRDefault="00E62AD6">
      <w:pPr>
        <w:tabs>
          <w:tab w:val="left" w:pos="7128"/>
        </w:tabs>
        <w:spacing w:line="500" w:lineRule="exact"/>
        <w:rPr>
          <w:rFonts w:ascii="宋体"/>
          <w:sz w:val="24"/>
        </w:rPr>
      </w:pPr>
      <w:r>
        <w:rPr>
          <w:rFonts w:ascii="宋体" w:hAnsi="宋体" w:hint="eastAsia"/>
          <w:sz w:val="24"/>
        </w:rPr>
        <w:t>（八）估价原则</w:t>
      </w:r>
    </w:p>
    <w:p w:rsidR="00E62AD6" w:rsidRDefault="00E62AD6">
      <w:pPr>
        <w:tabs>
          <w:tab w:val="left" w:pos="7128"/>
        </w:tabs>
        <w:spacing w:line="500" w:lineRule="exact"/>
        <w:rPr>
          <w:rFonts w:ascii="宋体"/>
          <w:sz w:val="24"/>
        </w:rPr>
      </w:pPr>
      <w:r>
        <w:rPr>
          <w:rFonts w:ascii="宋体" w:hAnsi="宋体" w:hint="eastAsia"/>
          <w:sz w:val="24"/>
        </w:rPr>
        <w:t>（九）估价方法</w:t>
      </w:r>
    </w:p>
    <w:p w:rsidR="00E62AD6" w:rsidRDefault="00E62AD6">
      <w:pPr>
        <w:tabs>
          <w:tab w:val="left" w:pos="7128"/>
        </w:tabs>
        <w:spacing w:line="500" w:lineRule="exact"/>
        <w:rPr>
          <w:rFonts w:ascii="宋体"/>
          <w:sz w:val="24"/>
        </w:rPr>
      </w:pPr>
      <w:r>
        <w:rPr>
          <w:rFonts w:ascii="宋体" w:hAnsi="宋体" w:hint="eastAsia"/>
          <w:sz w:val="24"/>
        </w:rPr>
        <w:t>（十）估价结果</w:t>
      </w:r>
    </w:p>
    <w:p w:rsidR="00E62AD6" w:rsidRDefault="00E62AD6">
      <w:pPr>
        <w:tabs>
          <w:tab w:val="left" w:pos="7128"/>
        </w:tabs>
        <w:spacing w:line="500" w:lineRule="exact"/>
        <w:rPr>
          <w:rFonts w:ascii="宋体"/>
          <w:sz w:val="24"/>
        </w:rPr>
      </w:pPr>
      <w:r>
        <w:rPr>
          <w:rFonts w:ascii="宋体" w:hAnsi="宋体" w:hint="eastAsia"/>
          <w:sz w:val="24"/>
        </w:rPr>
        <w:t>（十一）注册房地产估价师</w:t>
      </w:r>
    </w:p>
    <w:p w:rsidR="00E62AD6" w:rsidRDefault="00E62AD6">
      <w:pPr>
        <w:tabs>
          <w:tab w:val="left" w:pos="7128"/>
        </w:tabs>
        <w:spacing w:line="500" w:lineRule="exact"/>
        <w:rPr>
          <w:rFonts w:ascii="宋体"/>
          <w:sz w:val="24"/>
        </w:rPr>
      </w:pPr>
      <w:r>
        <w:rPr>
          <w:rFonts w:ascii="宋体" w:hAnsi="宋体" w:hint="eastAsia"/>
          <w:sz w:val="24"/>
        </w:rPr>
        <w:t>（十二）实地查勘期</w:t>
      </w:r>
    </w:p>
    <w:p w:rsidR="00E62AD6" w:rsidRDefault="00E62AD6">
      <w:pPr>
        <w:tabs>
          <w:tab w:val="left" w:pos="7128"/>
        </w:tabs>
        <w:spacing w:line="500" w:lineRule="exact"/>
        <w:rPr>
          <w:rFonts w:ascii="宋体"/>
          <w:sz w:val="24"/>
        </w:rPr>
      </w:pPr>
      <w:r>
        <w:rPr>
          <w:rFonts w:ascii="宋体" w:hAnsi="宋体" w:hint="eastAsia"/>
          <w:sz w:val="24"/>
        </w:rPr>
        <w:t>（十三）估价作业期</w:t>
      </w:r>
    </w:p>
    <w:p w:rsidR="00E62AD6" w:rsidRDefault="00E62AD6">
      <w:pPr>
        <w:tabs>
          <w:tab w:val="left" w:pos="7128"/>
        </w:tabs>
        <w:spacing w:line="500" w:lineRule="exact"/>
        <w:rPr>
          <w:rFonts w:ascii="宋体"/>
          <w:sz w:val="24"/>
        </w:rPr>
      </w:pPr>
      <w:r>
        <w:rPr>
          <w:rFonts w:ascii="宋体" w:hAnsi="宋体" w:hint="eastAsia"/>
          <w:sz w:val="24"/>
        </w:rPr>
        <w:t>（十四）估价报告书应用的有效期</w:t>
      </w:r>
    </w:p>
    <w:p w:rsidR="00E62AD6" w:rsidRDefault="00E62AD6">
      <w:pPr>
        <w:spacing w:line="460" w:lineRule="exact"/>
        <w:rPr>
          <w:rFonts w:ascii="宋体"/>
          <w:sz w:val="24"/>
        </w:rPr>
      </w:pPr>
      <w:r>
        <w:rPr>
          <w:rFonts w:ascii="宋体" w:hAnsi="宋体" w:hint="eastAsia"/>
          <w:b/>
          <w:bCs/>
          <w:sz w:val="24"/>
        </w:rPr>
        <w:t>五、附</w:t>
      </w:r>
      <w:r>
        <w:rPr>
          <w:rFonts w:ascii="宋体" w:hAnsi="宋体"/>
          <w:b/>
          <w:bCs/>
          <w:sz w:val="24"/>
        </w:rPr>
        <w:t xml:space="preserve">  </w:t>
      </w:r>
      <w:r>
        <w:rPr>
          <w:rFonts w:ascii="宋体" w:hAnsi="宋体" w:hint="eastAsia"/>
          <w:b/>
          <w:bCs/>
          <w:sz w:val="24"/>
        </w:rPr>
        <w:t>件</w:t>
      </w:r>
      <w:r>
        <w:rPr>
          <w:rFonts w:ascii="宋体" w:hAnsi="宋体"/>
          <w:b/>
          <w:bCs/>
          <w:sz w:val="24"/>
        </w:rPr>
        <w:t xml:space="preserve"> </w:t>
      </w:r>
      <w:r>
        <w:rPr>
          <w:rFonts w:ascii="宋体" w:hAnsi="宋体" w:hint="eastAsia"/>
          <w:b/>
          <w:bCs/>
          <w:sz w:val="24"/>
        </w:rPr>
        <w:t>…………………………………</w:t>
      </w:r>
      <w:r>
        <w:rPr>
          <w:rFonts w:ascii="宋体" w:hint="eastAsia"/>
          <w:b/>
          <w:bCs/>
          <w:sz w:val="24"/>
        </w:rPr>
        <w:t>………………</w:t>
      </w:r>
      <w:r>
        <w:rPr>
          <w:rFonts w:ascii="宋体" w:hAnsi="宋体" w:hint="eastAsia"/>
          <w:b/>
          <w:bCs/>
          <w:sz w:val="24"/>
        </w:rPr>
        <w:t>…………</w:t>
      </w:r>
      <w:r>
        <w:rPr>
          <w:rFonts w:ascii="宋体" w:hint="eastAsia"/>
          <w:b/>
          <w:bCs/>
          <w:sz w:val="24"/>
        </w:rPr>
        <w:t>…</w:t>
      </w:r>
      <w:r>
        <w:rPr>
          <w:rFonts w:ascii="宋体" w:hAnsi="宋体"/>
          <w:b/>
          <w:bCs/>
          <w:sz w:val="24"/>
        </w:rPr>
        <w:t xml:space="preserve"> </w:t>
      </w:r>
      <w:r>
        <w:rPr>
          <w:rFonts w:ascii="宋体" w:hAnsi="宋体" w:hint="eastAsia"/>
          <w:b/>
          <w:bCs/>
          <w:sz w:val="24"/>
        </w:rPr>
        <w:t>第</w:t>
      </w:r>
      <w:r>
        <w:rPr>
          <w:rFonts w:ascii="宋体" w:hAnsi="宋体"/>
          <w:b/>
          <w:bCs/>
          <w:sz w:val="24"/>
        </w:rPr>
        <w:t xml:space="preserve"> 12</w:t>
      </w:r>
      <w:r>
        <w:rPr>
          <w:rFonts w:ascii="宋体" w:hAnsi="宋体" w:hint="eastAsia"/>
          <w:b/>
          <w:bCs/>
          <w:sz w:val="24"/>
        </w:rPr>
        <w:t>页</w:t>
      </w:r>
      <w:r>
        <w:rPr>
          <w:rFonts w:ascii="宋体" w:hAnsi="宋体" w:hint="eastAsia"/>
          <w:sz w:val="24"/>
        </w:rPr>
        <w:t>（一）房产评估明细表</w:t>
      </w:r>
    </w:p>
    <w:p w:rsidR="00E62AD6" w:rsidRDefault="00E62AD6">
      <w:pPr>
        <w:spacing w:line="460" w:lineRule="exact"/>
        <w:rPr>
          <w:rFonts w:ascii="宋体"/>
          <w:sz w:val="24"/>
        </w:rPr>
      </w:pPr>
      <w:r>
        <w:rPr>
          <w:rFonts w:ascii="宋体" w:hAnsi="宋体" w:hint="eastAsia"/>
          <w:sz w:val="24"/>
        </w:rPr>
        <w:t>（二）估价对象现场照片</w:t>
      </w:r>
    </w:p>
    <w:p w:rsidR="00E62AD6" w:rsidRDefault="00E62AD6">
      <w:pPr>
        <w:spacing w:line="460" w:lineRule="exact"/>
        <w:rPr>
          <w:rFonts w:ascii="宋体"/>
          <w:sz w:val="24"/>
        </w:rPr>
      </w:pPr>
      <w:r>
        <w:rPr>
          <w:rFonts w:ascii="宋体" w:hAnsi="宋体" w:hint="eastAsia"/>
          <w:sz w:val="24"/>
        </w:rPr>
        <w:t>（三）估价对象位置示意图</w:t>
      </w:r>
    </w:p>
    <w:p w:rsidR="00E62AD6" w:rsidRDefault="00E62AD6">
      <w:pPr>
        <w:tabs>
          <w:tab w:val="left" w:pos="7344"/>
        </w:tabs>
        <w:spacing w:line="460" w:lineRule="exact"/>
        <w:rPr>
          <w:rFonts w:ascii="宋体"/>
          <w:sz w:val="24"/>
        </w:rPr>
      </w:pPr>
      <w:r>
        <w:rPr>
          <w:rFonts w:ascii="宋体" w:hAnsi="宋体" w:hint="eastAsia"/>
          <w:sz w:val="24"/>
        </w:rPr>
        <w:t>（四）《司法评估委托书》</w:t>
      </w:r>
      <w:r>
        <w:rPr>
          <w:rFonts w:ascii="宋体" w:hint="eastAsia"/>
          <w:sz w:val="24"/>
        </w:rPr>
        <w:t>及《执行裁定书》（复印件）</w:t>
      </w:r>
    </w:p>
    <w:p w:rsidR="00E62AD6" w:rsidRDefault="00E62AD6">
      <w:pPr>
        <w:spacing w:line="460" w:lineRule="exact"/>
        <w:rPr>
          <w:rFonts w:ascii="宋体"/>
          <w:sz w:val="24"/>
        </w:rPr>
      </w:pPr>
      <w:r>
        <w:rPr>
          <w:rFonts w:ascii="宋体" w:hAnsi="宋体" w:hint="eastAsia"/>
          <w:sz w:val="24"/>
        </w:rPr>
        <w:t>（五）《财产清单》、《房地产权结果信息一览表》（复印件）</w:t>
      </w:r>
    </w:p>
    <w:p w:rsidR="00E62AD6" w:rsidRDefault="00E62AD6">
      <w:pPr>
        <w:spacing w:line="460" w:lineRule="exact"/>
        <w:rPr>
          <w:rFonts w:ascii="宋体"/>
          <w:sz w:val="24"/>
        </w:rPr>
      </w:pPr>
      <w:r>
        <w:rPr>
          <w:rFonts w:ascii="宋体" w:hAnsi="宋体" w:hint="eastAsia"/>
          <w:sz w:val="24"/>
        </w:rPr>
        <w:t>（六）房地产评估机构《营业执照》（复印件）</w:t>
      </w:r>
    </w:p>
    <w:p w:rsidR="00E62AD6" w:rsidRDefault="00E62AD6">
      <w:pPr>
        <w:spacing w:line="460" w:lineRule="exact"/>
        <w:rPr>
          <w:rFonts w:ascii="宋体"/>
          <w:b/>
          <w:bCs/>
          <w:sz w:val="24"/>
        </w:rPr>
      </w:pPr>
      <w:r>
        <w:rPr>
          <w:rFonts w:ascii="宋体" w:hAnsi="宋体" w:hint="eastAsia"/>
          <w:sz w:val="24"/>
        </w:rPr>
        <w:t>（七）房地产评估机构备案证书及注册房地产估价师资格证书（复印件）</w:t>
      </w:r>
    </w:p>
    <w:p w:rsidR="00E62AD6" w:rsidRDefault="00E62AD6">
      <w:pPr>
        <w:spacing w:line="440" w:lineRule="exact"/>
        <w:rPr>
          <w:rFonts w:ascii="宋体"/>
          <w:sz w:val="24"/>
        </w:rPr>
        <w:sectPr w:rsidR="00E62AD6">
          <w:headerReference w:type="default" r:id="rId7"/>
          <w:footnotePr>
            <w:numRestart w:val="eachPage"/>
          </w:footnotePr>
          <w:pgSz w:w="11907" w:h="16840"/>
          <w:pgMar w:top="1429" w:right="1690" w:bottom="1429" w:left="1916" w:header="737" w:footer="737" w:gutter="0"/>
          <w:pgNumType w:start="1"/>
          <w:cols w:space="720"/>
          <w:titlePg/>
          <w:docGrid w:linePitch="286" w:charSpace="1259"/>
        </w:sectPr>
      </w:pPr>
    </w:p>
    <w:p w:rsidR="00E62AD6" w:rsidRDefault="00E62AD6">
      <w:pPr>
        <w:jc w:val="center"/>
        <w:rPr>
          <w:rFonts w:ascii="黑体" w:eastAsia="黑体" w:hAnsi="宋体"/>
          <w:sz w:val="44"/>
        </w:rPr>
        <w:sectPr w:rsidR="00E62AD6">
          <w:headerReference w:type="default" r:id="rId8"/>
          <w:footerReference w:type="even" r:id="rId9"/>
          <w:footerReference w:type="default" r:id="rId10"/>
          <w:footnotePr>
            <w:numRestart w:val="eachPage"/>
          </w:footnotePr>
          <w:type w:val="continuous"/>
          <w:pgSz w:w="11907" w:h="16840"/>
          <w:pgMar w:top="1429" w:right="1690" w:bottom="1429" w:left="1690" w:header="737" w:footer="737" w:gutter="0"/>
          <w:pgNumType w:start="1"/>
          <w:cols w:space="720"/>
          <w:docGrid w:linePitch="286" w:charSpace="1259"/>
        </w:sectPr>
      </w:pPr>
    </w:p>
    <w:p w:rsidR="00E62AD6" w:rsidRDefault="00E62AD6">
      <w:pPr>
        <w:jc w:val="center"/>
        <w:rPr>
          <w:rFonts w:ascii="黑体" w:eastAsia="黑体" w:hAnsi="宋体"/>
          <w:sz w:val="44"/>
        </w:rPr>
      </w:pPr>
      <w:r>
        <w:rPr>
          <w:rFonts w:ascii="黑体" w:eastAsia="黑体" w:hAnsi="宋体" w:hint="eastAsia"/>
          <w:sz w:val="44"/>
        </w:rPr>
        <w:t>目</w:t>
      </w:r>
      <w:r>
        <w:rPr>
          <w:rFonts w:ascii="黑体" w:eastAsia="黑体" w:hAnsi="宋体"/>
          <w:sz w:val="44"/>
        </w:rPr>
        <w:t xml:space="preserve">     </w:t>
      </w:r>
      <w:r>
        <w:rPr>
          <w:rFonts w:ascii="黑体" w:eastAsia="黑体" w:hAnsi="宋体" w:hint="eastAsia"/>
          <w:sz w:val="44"/>
        </w:rPr>
        <w:t>录</w:t>
      </w:r>
    </w:p>
    <w:p w:rsidR="00E62AD6" w:rsidRDefault="00E62AD6">
      <w:pPr>
        <w:spacing w:line="360" w:lineRule="exact"/>
        <w:rPr>
          <w:rFonts w:ascii="宋体"/>
        </w:rPr>
      </w:pPr>
    </w:p>
    <w:p w:rsidR="00E62AD6" w:rsidRDefault="00E62AD6">
      <w:pPr>
        <w:spacing w:line="360" w:lineRule="exact"/>
        <w:rPr>
          <w:rFonts w:ascii="宋体"/>
        </w:rPr>
      </w:pPr>
    </w:p>
    <w:p w:rsidR="00E62AD6" w:rsidRDefault="00E62AD6">
      <w:pPr>
        <w:spacing w:line="380" w:lineRule="exact"/>
        <w:rPr>
          <w:rFonts w:ascii="宋体"/>
          <w:b/>
          <w:bCs/>
          <w:sz w:val="24"/>
        </w:rPr>
      </w:pPr>
      <w:r>
        <w:rPr>
          <w:rFonts w:ascii="宋体" w:hAnsi="宋体" w:hint="eastAsia"/>
          <w:b/>
          <w:bCs/>
          <w:sz w:val="24"/>
        </w:rPr>
        <w:t>一、致估价委托人函</w:t>
      </w:r>
      <w:r>
        <w:rPr>
          <w:rFonts w:ascii="宋体" w:hAnsi="宋体"/>
          <w:b/>
          <w:bCs/>
          <w:sz w:val="24"/>
        </w:rPr>
        <w:t xml:space="preserve"> </w:t>
      </w:r>
      <w:r>
        <w:rPr>
          <w:rFonts w:ascii="宋体" w:hAnsi="宋体" w:hint="eastAsia"/>
          <w:b/>
          <w:bCs/>
          <w:sz w:val="24"/>
        </w:rPr>
        <w:t>………………………………………………………</w:t>
      </w:r>
      <w:r>
        <w:rPr>
          <w:rFonts w:ascii="宋体" w:hAnsi="宋体"/>
          <w:b/>
          <w:bCs/>
          <w:sz w:val="24"/>
        </w:rPr>
        <w:t xml:space="preserve"> </w:t>
      </w:r>
      <w:r>
        <w:rPr>
          <w:rFonts w:ascii="宋体" w:hAnsi="宋体" w:hint="eastAsia"/>
          <w:b/>
          <w:bCs/>
          <w:sz w:val="24"/>
        </w:rPr>
        <w:t>第</w:t>
      </w:r>
      <w:r>
        <w:rPr>
          <w:rFonts w:ascii="宋体" w:hAnsi="宋体"/>
          <w:b/>
          <w:bCs/>
          <w:sz w:val="24"/>
        </w:rPr>
        <w:t xml:space="preserve"> 1 </w:t>
      </w:r>
      <w:r>
        <w:rPr>
          <w:rFonts w:ascii="宋体" w:hAnsi="宋体" w:hint="eastAsia"/>
          <w:b/>
          <w:bCs/>
          <w:sz w:val="24"/>
        </w:rPr>
        <w:t>页</w:t>
      </w:r>
    </w:p>
    <w:p w:rsidR="00E62AD6" w:rsidRDefault="00E62AD6">
      <w:pPr>
        <w:spacing w:line="380" w:lineRule="exact"/>
        <w:rPr>
          <w:rFonts w:ascii="宋体"/>
          <w:b/>
          <w:bCs/>
          <w:sz w:val="24"/>
        </w:rPr>
      </w:pPr>
      <w:r>
        <w:rPr>
          <w:rFonts w:ascii="宋体" w:hAnsi="宋体" w:hint="eastAsia"/>
          <w:b/>
          <w:bCs/>
          <w:sz w:val="24"/>
        </w:rPr>
        <w:t>二、估价师声明</w:t>
      </w:r>
      <w:r>
        <w:rPr>
          <w:rFonts w:ascii="宋体" w:hAnsi="宋体"/>
          <w:b/>
          <w:bCs/>
          <w:sz w:val="24"/>
        </w:rPr>
        <w:t xml:space="preserve"> </w:t>
      </w:r>
      <w:r>
        <w:rPr>
          <w:rFonts w:ascii="宋体" w:hAnsi="宋体" w:hint="eastAsia"/>
          <w:b/>
          <w:bCs/>
          <w:sz w:val="24"/>
        </w:rPr>
        <w:t>……………………………………………………………</w:t>
      </w:r>
      <w:r>
        <w:rPr>
          <w:rFonts w:ascii="宋体" w:hAnsi="宋体"/>
          <w:b/>
          <w:bCs/>
          <w:sz w:val="24"/>
        </w:rPr>
        <w:t xml:space="preserve"> </w:t>
      </w:r>
      <w:r>
        <w:rPr>
          <w:rFonts w:ascii="宋体" w:hAnsi="宋体" w:hint="eastAsia"/>
          <w:b/>
          <w:bCs/>
          <w:sz w:val="24"/>
        </w:rPr>
        <w:t>第</w:t>
      </w:r>
      <w:r>
        <w:rPr>
          <w:rFonts w:ascii="宋体" w:hAnsi="宋体"/>
          <w:b/>
          <w:bCs/>
          <w:sz w:val="24"/>
        </w:rPr>
        <w:t xml:space="preserve"> 2 </w:t>
      </w:r>
      <w:r>
        <w:rPr>
          <w:rFonts w:ascii="宋体" w:hAnsi="宋体" w:hint="eastAsia"/>
          <w:b/>
          <w:bCs/>
          <w:sz w:val="24"/>
        </w:rPr>
        <w:t>页</w:t>
      </w:r>
    </w:p>
    <w:p w:rsidR="00E62AD6" w:rsidRDefault="00E62AD6">
      <w:pPr>
        <w:spacing w:line="380" w:lineRule="exact"/>
        <w:rPr>
          <w:rFonts w:ascii="宋体"/>
          <w:b/>
          <w:bCs/>
          <w:sz w:val="24"/>
        </w:rPr>
      </w:pPr>
      <w:r>
        <w:rPr>
          <w:rFonts w:ascii="宋体" w:hAnsi="宋体" w:hint="eastAsia"/>
          <w:b/>
          <w:bCs/>
          <w:sz w:val="24"/>
        </w:rPr>
        <w:t>三、估价的假设和限制条件</w:t>
      </w:r>
      <w:r>
        <w:rPr>
          <w:rFonts w:ascii="宋体" w:hAnsi="宋体"/>
          <w:b/>
          <w:bCs/>
          <w:sz w:val="24"/>
        </w:rPr>
        <w:t xml:space="preserve"> </w:t>
      </w:r>
      <w:r>
        <w:rPr>
          <w:rFonts w:ascii="宋体" w:hAnsi="宋体" w:hint="eastAsia"/>
          <w:b/>
          <w:bCs/>
          <w:sz w:val="24"/>
        </w:rPr>
        <w:t>………………………………………………</w:t>
      </w:r>
      <w:r>
        <w:rPr>
          <w:rFonts w:ascii="宋体" w:hAnsi="宋体"/>
          <w:b/>
          <w:bCs/>
          <w:sz w:val="24"/>
        </w:rPr>
        <w:t xml:space="preserve"> </w:t>
      </w:r>
      <w:r>
        <w:rPr>
          <w:rFonts w:ascii="宋体" w:hAnsi="宋体" w:hint="eastAsia"/>
          <w:b/>
          <w:bCs/>
          <w:sz w:val="24"/>
        </w:rPr>
        <w:t>第</w:t>
      </w:r>
      <w:r>
        <w:rPr>
          <w:rFonts w:ascii="宋体" w:hAnsi="宋体"/>
          <w:b/>
          <w:bCs/>
          <w:sz w:val="24"/>
        </w:rPr>
        <w:t xml:space="preserve"> 3 </w:t>
      </w:r>
      <w:r>
        <w:rPr>
          <w:rFonts w:ascii="宋体" w:hAnsi="宋体" w:hint="eastAsia"/>
          <w:b/>
          <w:bCs/>
          <w:sz w:val="24"/>
        </w:rPr>
        <w:t>页</w:t>
      </w:r>
    </w:p>
    <w:p w:rsidR="00E62AD6" w:rsidRDefault="00E62AD6">
      <w:pPr>
        <w:tabs>
          <w:tab w:val="left" w:pos="6912"/>
        </w:tabs>
        <w:spacing w:line="380" w:lineRule="exact"/>
        <w:rPr>
          <w:rFonts w:ascii="宋体"/>
          <w:b/>
          <w:bCs/>
          <w:sz w:val="24"/>
        </w:rPr>
      </w:pPr>
      <w:r>
        <w:rPr>
          <w:rFonts w:ascii="宋体" w:hAnsi="宋体" w:hint="eastAsia"/>
          <w:b/>
          <w:bCs/>
          <w:sz w:val="24"/>
        </w:rPr>
        <w:t>四、房地产估价结果报告</w:t>
      </w:r>
      <w:r>
        <w:rPr>
          <w:rFonts w:ascii="宋体" w:hAnsi="宋体"/>
          <w:b/>
          <w:bCs/>
          <w:sz w:val="24"/>
        </w:rPr>
        <w:t xml:space="preserve"> </w:t>
      </w:r>
      <w:r>
        <w:rPr>
          <w:rFonts w:ascii="宋体" w:hAnsi="宋体" w:hint="eastAsia"/>
          <w:b/>
          <w:bCs/>
          <w:sz w:val="24"/>
        </w:rPr>
        <w:t>…………………………………………………</w:t>
      </w:r>
      <w:r>
        <w:rPr>
          <w:rFonts w:ascii="宋体" w:hAnsi="宋体"/>
          <w:b/>
          <w:bCs/>
          <w:sz w:val="24"/>
        </w:rPr>
        <w:t xml:space="preserve"> </w:t>
      </w:r>
      <w:r>
        <w:rPr>
          <w:rFonts w:ascii="宋体" w:hAnsi="宋体" w:hint="eastAsia"/>
          <w:b/>
          <w:bCs/>
          <w:sz w:val="24"/>
        </w:rPr>
        <w:t>第</w:t>
      </w:r>
      <w:r>
        <w:rPr>
          <w:rFonts w:ascii="宋体" w:hAnsi="宋体"/>
          <w:b/>
          <w:bCs/>
          <w:sz w:val="24"/>
        </w:rPr>
        <w:t xml:space="preserve"> 6 </w:t>
      </w:r>
      <w:r>
        <w:rPr>
          <w:rFonts w:ascii="宋体" w:hAnsi="宋体" w:hint="eastAsia"/>
          <w:b/>
          <w:bCs/>
          <w:sz w:val="24"/>
        </w:rPr>
        <w:t>页</w:t>
      </w:r>
    </w:p>
    <w:p w:rsidR="00E62AD6" w:rsidRDefault="00E62AD6">
      <w:pPr>
        <w:spacing w:line="360" w:lineRule="exact"/>
        <w:rPr>
          <w:rFonts w:ascii="宋体"/>
          <w:sz w:val="24"/>
        </w:rPr>
      </w:pPr>
      <w:r>
        <w:rPr>
          <w:rFonts w:ascii="宋体" w:hAnsi="宋体" w:hint="eastAsia"/>
          <w:sz w:val="24"/>
        </w:rPr>
        <w:t>（一）估价委托人</w:t>
      </w:r>
    </w:p>
    <w:p w:rsidR="00E62AD6" w:rsidRDefault="00E62AD6">
      <w:pPr>
        <w:spacing w:line="360" w:lineRule="exact"/>
        <w:rPr>
          <w:rFonts w:ascii="宋体"/>
          <w:sz w:val="24"/>
        </w:rPr>
      </w:pPr>
      <w:r>
        <w:rPr>
          <w:rFonts w:ascii="宋体" w:hAnsi="宋体" w:hint="eastAsia"/>
          <w:sz w:val="24"/>
        </w:rPr>
        <w:t>（二）房地产估价机构</w:t>
      </w:r>
    </w:p>
    <w:p w:rsidR="00E62AD6" w:rsidRDefault="00E62AD6">
      <w:pPr>
        <w:spacing w:line="360" w:lineRule="exact"/>
        <w:rPr>
          <w:rFonts w:ascii="宋体"/>
          <w:sz w:val="24"/>
        </w:rPr>
      </w:pPr>
      <w:r>
        <w:rPr>
          <w:rFonts w:ascii="宋体" w:hAnsi="宋体" w:hint="eastAsia"/>
          <w:sz w:val="24"/>
        </w:rPr>
        <w:t>（三）估价对象</w:t>
      </w:r>
    </w:p>
    <w:p w:rsidR="00E62AD6" w:rsidRDefault="00E62AD6">
      <w:pPr>
        <w:spacing w:line="360" w:lineRule="exact"/>
        <w:rPr>
          <w:rFonts w:ascii="宋体"/>
          <w:sz w:val="24"/>
        </w:rPr>
      </w:pPr>
      <w:r>
        <w:rPr>
          <w:rFonts w:ascii="宋体" w:hAnsi="宋体" w:hint="eastAsia"/>
          <w:sz w:val="24"/>
        </w:rPr>
        <w:t>（四）估价目的</w:t>
      </w:r>
    </w:p>
    <w:p w:rsidR="00E62AD6" w:rsidRDefault="00E62AD6">
      <w:pPr>
        <w:spacing w:line="360" w:lineRule="exact"/>
        <w:rPr>
          <w:rFonts w:ascii="宋体"/>
          <w:sz w:val="24"/>
        </w:rPr>
      </w:pPr>
      <w:r>
        <w:rPr>
          <w:rFonts w:ascii="宋体" w:hAnsi="宋体" w:hint="eastAsia"/>
          <w:sz w:val="24"/>
        </w:rPr>
        <w:t>（五）价值时点</w:t>
      </w:r>
    </w:p>
    <w:p w:rsidR="00E62AD6" w:rsidRDefault="00E62AD6">
      <w:pPr>
        <w:spacing w:line="360" w:lineRule="exact"/>
        <w:rPr>
          <w:rFonts w:ascii="宋体"/>
          <w:sz w:val="24"/>
        </w:rPr>
      </w:pPr>
      <w:r>
        <w:rPr>
          <w:rFonts w:ascii="宋体" w:hAnsi="宋体" w:hint="eastAsia"/>
          <w:sz w:val="24"/>
        </w:rPr>
        <w:t>（六）价值类型</w:t>
      </w:r>
    </w:p>
    <w:p w:rsidR="00E62AD6" w:rsidRDefault="00E62AD6">
      <w:pPr>
        <w:spacing w:line="360" w:lineRule="exact"/>
        <w:rPr>
          <w:rFonts w:ascii="宋体"/>
          <w:sz w:val="24"/>
        </w:rPr>
      </w:pPr>
      <w:r>
        <w:rPr>
          <w:rFonts w:ascii="宋体" w:hAnsi="宋体" w:hint="eastAsia"/>
          <w:sz w:val="24"/>
        </w:rPr>
        <w:t>（七）估价依据</w:t>
      </w:r>
    </w:p>
    <w:p w:rsidR="00E62AD6" w:rsidRDefault="00E62AD6">
      <w:pPr>
        <w:spacing w:line="360" w:lineRule="exact"/>
        <w:rPr>
          <w:rFonts w:ascii="宋体"/>
          <w:sz w:val="24"/>
        </w:rPr>
      </w:pPr>
      <w:r>
        <w:rPr>
          <w:rFonts w:ascii="宋体" w:hAnsi="宋体" w:hint="eastAsia"/>
          <w:sz w:val="24"/>
        </w:rPr>
        <w:t>（八）估价原则</w:t>
      </w:r>
    </w:p>
    <w:p w:rsidR="00E62AD6" w:rsidRDefault="00E62AD6">
      <w:pPr>
        <w:spacing w:line="360" w:lineRule="exact"/>
        <w:rPr>
          <w:rFonts w:ascii="宋体"/>
          <w:sz w:val="24"/>
        </w:rPr>
      </w:pPr>
      <w:r>
        <w:rPr>
          <w:rFonts w:ascii="宋体" w:hAnsi="宋体" w:hint="eastAsia"/>
          <w:sz w:val="24"/>
        </w:rPr>
        <w:t>（九）估价方法</w:t>
      </w:r>
    </w:p>
    <w:p w:rsidR="00E62AD6" w:rsidRDefault="00E62AD6">
      <w:pPr>
        <w:spacing w:line="360" w:lineRule="exact"/>
        <w:rPr>
          <w:rFonts w:ascii="宋体"/>
          <w:sz w:val="24"/>
        </w:rPr>
      </w:pPr>
      <w:r>
        <w:rPr>
          <w:rFonts w:ascii="宋体" w:hAnsi="宋体" w:hint="eastAsia"/>
          <w:sz w:val="24"/>
        </w:rPr>
        <w:t>（十）估价结果</w:t>
      </w:r>
    </w:p>
    <w:p w:rsidR="00E62AD6" w:rsidRDefault="00E62AD6">
      <w:pPr>
        <w:spacing w:line="360" w:lineRule="exact"/>
        <w:rPr>
          <w:rFonts w:ascii="宋体"/>
          <w:sz w:val="24"/>
        </w:rPr>
      </w:pPr>
      <w:r>
        <w:rPr>
          <w:rFonts w:ascii="宋体" w:hAnsi="宋体" w:hint="eastAsia"/>
          <w:sz w:val="24"/>
        </w:rPr>
        <w:t>（十一）注册房地产估价师</w:t>
      </w:r>
    </w:p>
    <w:p w:rsidR="00E62AD6" w:rsidRDefault="00E62AD6">
      <w:pPr>
        <w:spacing w:line="360" w:lineRule="exact"/>
        <w:rPr>
          <w:rFonts w:ascii="宋体"/>
          <w:sz w:val="24"/>
        </w:rPr>
      </w:pPr>
      <w:r>
        <w:rPr>
          <w:rFonts w:ascii="宋体" w:hAnsi="宋体" w:hint="eastAsia"/>
          <w:sz w:val="24"/>
        </w:rPr>
        <w:t>（十二）实地查勘期</w:t>
      </w:r>
    </w:p>
    <w:p w:rsidR="00E62AD6" w:rsidRDefault="00E62AD6">
      <w:pPr>
        <w:spacing w:line="360" w:lineRule="exact"/>
        <w:rPr>
          <w:rFonts w:ascii="宋体"/>
          <w:sz w:val="24"/>
        </w:rPr>
      </w:pPr>
      <w:r>
        <w:rPr>
          <w:rFonts w:ascii="宋体" w:hAnsi="宋体" w:hint="eastAsia"/>
          <w:sz w:val="24"/>
        </w:rPr>
        <w:t>（十三）估价作业期</w:t>
      </w:r>
    </w:p>
    <w:p w:rsidR="00E62AD6" w:rsidRDefault="00E62AD6">
      <w:pPr>
        <w:spacing w:line="360" w:lineRule="exact"/>
        <w:rPr>
          <w:rFonts w:ascii="宋体"/>
          <w:sz w:val="24"/>
        </w:rPr>
      </w:pPr>
      <w:r>
        <w:rPr>
          <w:rFonts w:ascii="宋体" w:hAnsi="宋体" w:hint="eastAsia"/>
          <w:sz w:val="24"/>
        </w:rPr>
        <w:t>（十四）估价报告书应用的有效期</w:t>
      </w:r>
    </w:p>
    <w:p w:rsidR="00E62AD6" w:rsidRDefault="00E62AD6">
      <w:pPr>
        <w:tabs>
          <w:tab w:val="left" w:pos="7344"/>
        </w:tabs>
        <w:spacing w:line="380" w:lineRule="exact"/>
        <w:rPr>
          <w:rFonts w:ascii="宋体"/>
          <w:b/>
          <w:bCs/>
          <w:sz w:val="24"/>
        </w:rPr>
      </w:pPr>
      <w:r>
        <w:rPr>
          <w:rFonts w:ascii="宋体" w:hAnsi="宋体" w:hint="eastAsia"/>
          <w:b/>
          <w:bCs/>
          <w:sz w:val="24"/>
        </w:rPr>
        <w:t>五、房地产估价技术报告</w:t>
      </w:r>
      <w:r>
        <w:rPr>
          <w:rFonts w:ascii="宋体" w:hAnsi="宋体"/>
          <w:b/>
          <w:bCs/>
          <w:sz w:val="24"/>
        </w:rPr>
        <w:t xml:space="preserve"> </w:t>
      </w:r>
      <w:r>
        <w:rPr>
          <w:rFonts w:ascii="宋体" w:hAnsi="宋体" w:hint="eastAsia"/>
          <w:b/>
          <w:bCs/>
          <w:sz w:val="24"/>
        </w:rPr>
        <w:t>………………………………………………</w:t>
      </w:r>
      <w:r>
        <w:rPr>
          <w:rFonts w:ascii="宋体" w:hAnsi="宋体"/>
          <w:b/>
          <w:bCs/>
          <w:sz w:val="24"/>
        </w:rPr>
        <w:t xml:space="preserve"> </w:t>
      </w:r>
      <w:r>
        <w:rPr>
          <w:rFonts w:ascii="宋体" w:hAnsi="宋体" w:hint="eastAsia"/>
          <w:b/>
          <w:bCs/>
          <w:sz w:val="24"/>
        </w:rPr>
        <w:t>第</w:t>
      </w:r>
      <w:r>
        <w:rPr>
          <w:rFonts w:ascii="宋体" w:hAnsi="宋体"/>
          <w:b/>
          <w:bCs/>
          <w:sz w:val="24"/>
        </w:rPr>
        <w:t xml:space="preserve"> 12 </w:t>
      </w:r>
      <w:r>
        <w:rPr>
          <w:rFonts w:ascii="宋体" w:hAnsi="宋体" w:hint="eastAsia"/>
          <w:b/>
          <w:bCs/>
          <w:sz w:val="24"/>
        </w:rPr>
        <w:t>页</w:t>
      </w:r>
    </w:p>
    <w:p w:rsidR="00E62AD6" w:rsidRDefault="00E62AD6">
      <w:pPr>
        <w:spacing w:line="380" w:lineRule="exact"/>
        <w:rPr>
          <w:rFonts w:ascii="宋体"/>
          <w:sz w:val="24"/>
        </w:rPr>
      </w:pPr>
      <w:r>
        <w:rPr>
          <w:rFonts w:ascii="宋体" w:hAnsi="宋体" w:hint="eastAsia"/>
          <w:sz w:val="24"/>
        </w:rPr>
        <w:t>（一）实物状况分析</w:t>
      </w:r>
    </w:p>
    <w:p w:rsidR="00E62AD6" w:rsidRDefault="00E62AD6">
      <w:pPr>
        <w:spacing w:line="380" w:lineRule="exact"/>
        <w:rPr>
          <w:rFonts w:ascii="宋体"/>
          <w:sz w:val="24"/>
        </w:rPr>
      </w:pPr>
      <w:r>
        <w:rPr>
          <w:rFonts w:ascii="宋体" w:hAnsi="宋体" w:hint="eastAsia"/>
          <w:sz w:val="24"/>
        </w:rPr>
        <w:t>（二）区位状况分析</w:t>
      </w:r>
    </w:p>
    <w:p w:rsidR="00E62AD6" w:rsidRDefault="00E62AD6">
      <w:pPr>
        <w:spacing w:line="380" w:lineRule="exact"/>
        <w:rPr>
          <w:rFonts w:ascii="宋体"/>
          <w:sz w:val="24"/>
        </w:rPr>
      </w:pPr>
      <w:r>
        <w:rPr>
          <w:rFonts w:ascii="宋体" w:hAnsi="宋体" w:hint="eastAsia"/>
          <w:sz w:val="24"/>
        </w:rPr>
        <w:t>（三）市场背景分析</w:t>
      </w:r>
    </w:p>
    <w:p w:rsidR="00E62AD6" w:rsidRDefault="00E62AD6">
      <w:pPr>
        <w:spacing w:line="380" w:lineRule="exact"/>
        <w:rPr>
          <w:rFonts w:ascii="宋体"/>
          <w:sz w:val="24"/>
        </w:rPr>
      </w:pPr>
      <w:r>
        <w:rPr>
          <w:rFonts w:ascii="宋体" w:hAnsi="宋体" w:hint="eastAsia"/>
          <w:sz w:val="24"/>
        </w:rPr>
        <w:t>（四）最高最佳使用分析</w:t>
      </w:r>
    </w:p>
    <w:p w:rsidR="00E62AD6" w:rsidRDefault="00E62AD6">
      <w:pPr>
        <w:spacing w:line="380" w:lineRule="exact"/>
        <w:rPr>
          <w:rFonts w:ascii="宋体"/>
          <w:sz w:val="24"/>
        </w:rPr>
      </w:pPr>
      <w:r>
        <w:rPr>
          <w:rFonts w:ascii="宋体" w:hAnsi="宋体" w:hint="eastAsia"/>
          <w:sz w:val="24"/>
        </w:rPr>
        <w:t>（五）估价方法选用</w:t>
      </w:r>
    </w:p>
    <w:p w:rsidR="00E62AD6" w:rsidRDefault="00E62AD6">
      <w:pPr>
        <w:spacing w:line="380" w:lineRule="exact"/>
        <w:rPr>
          <w:rFonts w:ascii="宋体"/>
          <w:sz w:val="24"/>
        </w:rPr>
      </w:pPr>
      <w:r>
        <w:rPr>
          <w:rFonts w:ascii="宋体" w:hAnsi="宋体" w:hint="eastAsia"/>
          <w:sz w:val="24"/>
        </w:rPr>
        <w:t>（六）估价测算过程</w:t>
      </w:r>
    </w:p>
    <w:p w:rsidR="00E62AD6" w:rsidRDefault="00E62AD6">
      <w:pPr>
        <w:spacing w:line="380" w:lineRule="exact"/>
        <w:rPr>
          <w:rFonts w:ascii="宋体"/>
          <w:sz w:val="24"/>
        </w:rPr>
      </w:pPr>
      <w:r>
        <w:rPr>
          <w:rFonts w:ascii="宋体" w:hAnsi="宋体" w:hint="eastAsia"/>
          <w:sz w:val="24"/>
        </w:rPr>
        <w:t>（七）估价结果确定</w:t>
      </w:r>
    </w:p>
    <w:p w:rsidR="00E62AD6" w:rsidRDefault="00E62AD6">
      <w:pPr>
        <w:tabs>
          <w:tab w:val="left" w:pos="7344"/>
        </w:tabs>
        <w:spacing w:line="380" w:lineRule="exact"/>
        <w:rPr>
          <w:rFonts w:ascii="宋体"/>
          <w:b/>
          <w:bCs/>
          <w:sz w:val="24"/>
        </w:rPr>
      </w:pPr>
      <w:r>
        <w:rPr>
          <w:rFonts w:ascii="宋体" w:hAnsi="宋体" w:hint="eastAsia"/>
          <w:b/>
          <w:bCs/>
          <w:sz w:val="24"/>
        </w:rPr>
        <w:t>六、附</w:t>
      </w:r>
      <w:r>
        <w:rPr>
          <w:rFonts w:ascii="宋体" w:hAnsi="宋体"/>
          <w:b/>
          <w:bCs/>
          <w:sz w:val="24"/>
        </w:rPr>
        <w:t xml:space="preserve">  </w:t>
      </w:r>
      <w:r>
        <w:rPr>
          <w:rFonts w:ascii="宋体" w:hAnsi="宋体" w:hint="eastAsia"/>
          <w:b/>
          <w:bCs/>
          <w:sz w:val="24"/>
        </w:rPr>
        <w:t>件</w:t>
      </w:r>
      <w:r>
        <w:rPr>
          <w:rFonts w:ascii="宋体" w:hAnsi="宋体"/>
          <w:b/>
          <w:bCs/>
          <w:sz w:val="24"/>
        </w:rPr>
        <w:t xml:space="preserve"> </w:t>
      </w:r>
      <w:r>
        <w:rPr>
          <w:rFonts w:ascii="宋体" w:hAnsi="宋体" w:hint="eastAsia"/>
          <w:b/>
          <w:bCs/>
          <w:sz w:val="24"/>
        </w:rPr>
        <w:t>…………………………………</w:t>
      </w:r>
      <w:r>
        <w:rPr>
          <w:rFonts w:ascii="宋体" w:hint="eastAsia"/>
          <w:b/>
          <w:bCs/>
          <w:sz w:val="24"/>
        </w:rPr>
        <w:t>……………</w:t>
      </w:r>
      <w:r>
        <w:rPr>
          <w:rFonts w:ascii="宋体" w:hAnsi="宋体" w:hint="eastAsia"/>
          <w:b/>
          <w:bCs/>
          <w:sz w:val="24"/>
        </w:rPr>
        <w:t>………………</w:t>
      </w:r>
      <w:r>
        <w:rPr>
          <w:rFonts w:ascii="宋体" w:hAnsi="宋体"/>
          <w:b/>
          <w:bCs/>
          <w:sz w:val="24"/>
        </w:rPr>
        <w:t xml:space="preserve"> </w:t>
      </w:r>
      <w:r>
        <w:rPr>
          <w:rFonts w:ascii="宋体" w:hAnsi="宋体" w:hint="eastAsia"/>
          <w:b/>
          <w:bCs/>
          <w:sz w:val="24"/>
        </w:rPr>
        <w:t>第</w:t>
      </w:r>
      <w:r>
        <w:rPr>
          <w:rFonts w:ascii="宋体" w:hAnsi="宋体"/>
          <w:b/>
          <w:bCs/>
          <w:sz w:val="24"/>
        </w:rPr>
        <w:t xml:space="preserve"> 23 </w:t>
      </w:r>
      <w:r>
        <w:rPr>
          <w:rFonts w:ascii="宋体" w:hAnsi="宋体" w:hint="eastAsia"/>
          <w:b/>
          <w:bCs/>
          <w:sz w:val="24"/>
        </w:rPr>
        <w:t>页</w:t>
      </w:r>
    </w:p>
    <w:p w:rsidR="00E62AD6" w:rsidRDefault="00E62AD6">
      <w:pPr>
        <w:spacing w:line="360" w:lineRule="exact"/>
        <w:rPr>
          <w:rFonts w:ascii="宋体"/>
          <w:sz w:val="24"/>
        </w:rPr>
      </w:pPr>
      <w:r>
        <w:rPr>
          <w:rFonts w:ascii="宋体" w:hAnsi="宋体" w:hint="eastAsia"/>
          <w:sz w:val="24"/>
        </w:rPr>
        <w:t>（一）房产评估明细表</w:t>
      </w:r>
    </w:p>
    <w:p w:rsidR="00E62AD6" w:rsidRDefault="00E62AD6">
      <w:pPr>
        <w:spacing w:line="360" w:lineRule="exact"/>
        <w:rPr>
          <w:rFonts w:ascii="宋体"/>
          <w:sz w:val="24"/>
        </w:rPr>
      </w:pPr>
      <w:r>
        <w:rPr>
          <w:rFonts w:ascii="宋体" w:hAnsi="宋体" w:hint="eastAsia"/>
          <w:sz w:val="24"/>
        </w:rPr>
        <w:t>（二）估价对象现场照片</w:t>
      </w:r>
    </w:p>
    <w:p w:rsidR="00E62AD6" w:rsidRDefault="00E62AD6">
      <w:pPr>
        <w:spacing w:line="360" w:lineRule="exact"/>
        <w:rPr>
          <w:rFonts w:ascii="宋体"/>
          <w:sz w:val="24"/>
        </w:rPr>
      </w:pPr>
      <w:r>
        <w:rPr>
          <w:rFonts w:ascii="宋体" w:hAnsi="宋体" w:hint="eastAsia"/>
          <w:sz w:val="24"/>
        </w:rPr>
        <w:t>（三）估价对象位置示意图</w:t>
      </w:r>
    </w:p>
    <w:p w:rsidR="00E62AD6" w:rsidRDefault="00E62AD6">
      <w:pPr>
        <w:tabs>
          <w:tab w:val="left" w:pos="7344"/>
        </w:tabs>
        <w:spacing w:line="460" w:lineRule="exact"/>
        <w:rPr>
          <w:rFonts w:ascii="宋体"/>
          <w:sz w:val="24"/>
        </w:rPr>
      </w:pPr>
      <w:r>
        <w:rPr>
          <w:rFonts w:ascii="宋体" w:hAnsi="宋体" w:hint="eastAsia"/>
          <w:sz w:val="24"/>
        </w:rPr>
        <w:t>（四）《司法评估委托书》</w:t>
      </w:r>
      <w:r>
        <w:rPr>
          <w:rFonts w:ascii="宋体" w:hint="eastAsia"/>
          <w:sz w:val="24"/>
        </w:rPr>
        <w:t>及《执行裁定书》（复印件）</w:t>
      </w:r>
    </w:p>
    <w:p w:rsidR="00E62AD6" w:rsidRDefault="00E62AD6">
      <w:pPr>
        <w:spacing w:line="360" w:lineRule="exact"/>
        <w:rPr>
          <w:rFonts w:ascii="宋体"/>
          <w:sz w:val="24"/>
        </w:rPr>
      </w:pPr>
      <w:r>
        <w:rPr>
          <w:rFonts w:ascii="宋体" w:hAnsi="宋体" w:hint="eastAsia"/>
          <w:sz w:val="24"/>
        </w:rPr>
        <w:t>（五）《财产清单》、《房地产权结果信息一览表》（复印件）</w:t>
      </w:r>
    </w:p>
    <w:p w:rsidR="00E62AD6" w:rsidRDefault="00E62AD6">
      <w:pPr>
        <w:spacing w:line="360" w:lineRule="exact"/>
        <w:rPr>
          <w:rFonts w:ascii="宋体"/>
          <w:sz w:val="24"/>
        </w:rPr>
      </w:pPr>
      <w:r>
        <w:rPr>
          <w:rFonts w:ascii="宋体" w:hAnsi="宋体" w:hint="eastAsia"/>
          <w:sz w:val="24"/>
        </w:rPr>
        <w:t>（六）房地产评估机构《营业执照》（复印件）</w:t>
      </w:r>
    </w:p>
    <w:p w:rsidR="00E62AD6" w:rsidRDefault="00E62AD6">
      <w:pPr>
        <w:spacing w:line="360" w:lineRule="exact"/>
        <w:rPr>
          <w:rFonts w:ascii="宋体"/>
          <w:sz w:val="24"/>
        </w:rPr>
        <w:sectPr w:rsidR="00E62AD6">
          <w:headerReference w:type="default" r:id="rId11"/>
          <w:footnotePr>
            <w:numRestart w:val="eachPage"/>
          </w:footnotePr>
          <w:pgSz w:w="11907" w:h="16840"/>
          <w:pgMar w:top="1429" w:right="1690" w:bottom="1429" w:left="1916" w:header="737" w:footer="737" w:gutter="0"/>
          <w:pgNumType w:start="1"/>
          <w:cols w:space="720"/>
          <w:titlePg/>
          <w:docGrid w:linePitch="286" w:charSpace="1259"/>
        </w:sectPr>
      </w:pPr>
      <w:r>
        <w:rPr>
          <w:rFonts w:ascii="宋体" w:hAnsi="宋体" w:hint="eastAsia"/>
          <w:sz w:val="24"/>
        </w:rPr>
        <w:t>（七）房地产评估机构备案证书及注册房地产估价师资格证书（复印件）</w:t>
      </w:r>
    </w:p>
    <w:p w:rsidR="00E62AD6" w:rsidRDefault="00E62AD6">
      <w:pPr>
        <w:jc w:val="center"/>
        <w:rPr>
          <w:rFonts w:ascii="黑体" w:eastAsia="黑体" w:hAnsi="宋体"/>
          <w:sz w:val="44"/>
        </w:rPr>
      </w:pPr>
      <w:r>
        <w:rPr>
          <w:rFonts w:ascii="黑体" w:eastAsia="黑体" w:hAnsi="宋体" w:hint="eastAsia"/>
          <w:sz w:val="44"/>
        </w:rPr>
        <w:t>一、致估价委托人函</w:t>
      </w:r>
    </w:p>
    <w:p w:rsidR="00E62AD6" w:rsidRDefault="00E62AD6">
      <w:pPr>
        <w:spacing w:line="360" w:lineRule="exact"/>
        <w:rPr>
          <w:rFonts w:ascii="宋体"/>
          <w:sz w:val="24"/>
        </w:rPr>
      </w:pPr>
    </w:p>
    <w:p w:rsidR="00E62AD6" w:rsidRDefault="00E62AD6">
      <w:pPr>
        <w:spacing w:line="360" w:lineRule="exact"/>
        <w:rPr>
          <w:rFonts w:ascii="宋体"/>
          <w:sz w:val="24"/>
        </w:rPr>
      </w:pPr>
    </w:p>
    <w:p w:rsidR="00E62AD6" w:rsidRDefault="00E62AD6">
      <w:pPr>
        <w:spacing w:line="600" w:lineRule="exact"/>
        <w:rPr>
          <w:rFonts w:ascii="宋体"/>
          <w:sz w:val="24"/>
        </w:rPr>
      </w:pPr>
      <w:r>
        <w:rPr>
          <w:rFonts w:ascii="宋体" w:hAnsi="宋体" w:hint="eastAsia"/>
          <w:sz w:val="24"/>
          <w:u w:val="single"/>
        </w:rPr>
        <w:t>汕头市龙湖区人民法院</w:t>
      </w:r>
      <w:r>
        <w:rPr>
          <w:rFonts w:ascii="宋体" w:hAnsi="宋体" w:hint="eastAsia"/>
          <w:sz w:val="24"/>
        </w:rPr>
        <w:t>：</w:t>
      </w:r>
    </w:p>
    <w:p w:rsidR="00E62AD6" w:rsidRDefault="00E62AD6" w:rsidP="00F23040">
      <w:pPr>
        <w:spacing w:line="600" w:lineRule="exact"/>
        <w:ind w:firstLineChars="200" w:firstLine="31680"/>
        <w:rPr>
          <w:rFonts w:ascii="宋体"/>
          <w:sz w:val="24"/>
        </w:rPr>
      </w:pPr>
      <w:r>
        <w:rPr>
          <w:rFonts w:ascii="宋体" w:hAnsi="宋体" w:hint="eastAsia"/>
          <w:sz w:val="24"/>
        </w:rPr>
        <w:t>受贵法院委托，我公司根据国家有关评估的规定，本着客观、独立、公正、科学的原则，按照公认的估价方法及必要的估价程序，对委估房地产的市场价值进行了评估。</w:t>
      </w:r>
    </w:p>
    <w:p w:rsidR="00E62AD6" w:rsidRDefault="00E62AD6" w:rsidP="00F23040">
      <w:pPr>
        <w:spacing w:line="600" w:lineRule="exact"/>
        <w:ind w:firstLineChars="200" w:firstLine="31680"/>
        <w:rPr>
          <w:rFonts w:ascii="宋体"/>
          <w:sz w:val="24"/>
        </w:rPr>
      </w:pPr>
      <w:r>
        <w:rPr>
          <w:rFonts w:ascii="宋体" w:hAnsi="宋体" w:hint="eastAsia"/>
          <w:sz w:val="24"/>
        </w:rPr>
        <w:t>经过评估，委估的位于</w:t>
      </w:r>
      <w:r>
        <w:rPr>
          <w:rFonts w:ascii="宋体" w:hAnsi="宋体" w:hint="eastAsia"/>
          <w:sz w:val="24"/>
          <w:u w:val="single"/>
        </w:rPr>
        <w:t>汕头市龙湖区碧霞庄北区</w:t>
      </w:r>
      <w:r>
        <w:rPr>
          <w:rFonts w:ascii="宋体" w:hAnsi="宋体"/>
          <w:sz w:val="24"/>
          <w:u w:val="single"/>
        </w:rPr>
        <w:t>2</w:t>
      </w:r>
      <w:r>
        <w:rPr>
          <w:rFonts w:ascii="宋体" w:hAnsi="宋体" w:hint="eastAsia"/>
          <w:sz w:val="24"/>
          <w:u w:val="single"/>
        </w:rPr>
        <w:t>幢</w:t>
      </w:r>
      <w:r>
        <w:rPr>
          <w:rFonts w:ascii="宋体" w:hAnsi="宋体"/>
          <w:sz w:val="24"/>
          <w:u w:val="single"/>
        </w:rPr>
        <w:t>125</w:t>
      </w:r>
      <w:r>
        <w:rPr>
          <w:rFonts w:ascii="宋体" w:hAnsi="宋体" w:hint="eastAsia"/>
          <w:sz w:val="24"/>
          <w:u w:val="single"/>
        </w:rPr>
        <w:t>号房</w:t>
      </w:r>
      <w:r>
        <w:rPr>
          <w:rFonts w:ascii="宋体" w:hAnsi="宋体" w:hint="eastAsia"/>
          <w:sz w:val="24"/>
        </w:rPr>
        <w:t>，</w:t>
      </w:r>
      <w:r>
        <w:rPr>
          <w:rFonts w:ascii="宋体" w:hAnsi="宋体" w:hint="eastAsia"/>
          <w:spacing w:val="-6"/>
          <w:sz w:val="24"/>
        </w:rPr>
        <w:t>建筑面积为</w:t>
      </w:r>
      <w:r>
        <w:rPr>
          <w:rFonts w:ascii="宋体" w:hAnsi="宋体"/>
          <w:spacing w:val="-6"/>
          <w:sz w:val="24"/>
          <w:u w:val="single"/>
        </w:rPr>
        <w:t>22.03</w:t>
      </w:r>
      <w:r>
        <w:rPr>
          <w:rFonts w:ascii="宋体" w:hAnsi="宋体" w:hint="eastAsia"/>
          <w:sz w:val="24"/>
          <w:u w:val="single"/>
        </w:rPr>
        <w:t>㎡</w:t>
      </w:r>
      <w:r>
        <w:rPr>
          <w:rFonts w:ascii="宋体" w:hAnsi="宋体" w:hint="eastAsia"/>
          <w:sz w:val="24"/>
        </w:rPr>
        <w:t>的房地产，于价值时点</w:t>
      </w:r>
      <w:smartTag w:uri="urn:schemas-microsoft-com:office:smarttags" w:element="chsdate">
        <w:smartTagPr>
          <w:attr w:name="IsROCDate" w:val="False"/>
          <w:attr w:name="IsLunarDate" w:val="False"/>
          <w:attr w:name="Day" w:val="5"/>
          <w:attr w:name="Month" w:val="9"/>
          <w:attr w:name="Year" w:val="2022"/>
        </w:smartTagPr>
        <w:r>
          <w:rPr>
            <w:rFonts w:ascii="宋体" w:hAnsi="宋体"/>
            <w:sz w:val="24"/>
            <w:u w:val="single"/>
          </w:rPr>
          <w:t>2022</w:t>
        </w:r>
        <w:r>
          <w:rPr>
            <w:rFonts w:ascii="宋体" w:hAnsi="宋体" w:hint="eastAsia"/>
            <w:sz w:val="24"/>
            <w:u w:val="single"/>
          </w:rPr>
          <w:t>年</w:t>
        </w:r>
        <w:r>
          <w:rPr>
            <w:rFonts w:ascii="宋体" w:hAnsi="宋体"/>
            <w:sz w:val="24"/>
            <w:u w:val="single"/>
          </w:rPr>
          <w:t>9</w:t>
        </w:r>
        <w:r>
          <w:rPr>
            <w:rFonts w:ascii="宋体" w:hAnsi="宋体" w:hint="eastAsia"/>
            <w:sz w:val="24"/>
            <w:u w:val="single"/>
          </w:rPr>
          <w:t>月</w:t>
        </w:r>
        <w:r>
          <w:rPr>
            <w:rFonts w:ascii="宋体" w:hAnsi="宋体"/>
            <w:sz w:val="24"/>
            <w:u w:val="single"/>
          </w:rPr>
          <w:t>5</w:t>
        </w:r>
        <w:r>
          <w:rPr>
            <w:rFonts w:ascii="宋体" w:hAnsi="宋体" w:hint="eastAsia"/>
            <w:sz w:val="24"/>
            <w:u w:val="single"/>
          </w:rPr>
          <w:t>日</w:t>
        </w:r>
      </w:smartTag>
      <w:r>
        <w:rPr>
          <w:rFonts w:ascii="宋体" w:hAnsi="宋体" w:hint="eastAsia"/>
          <w:sz w:val="24"/>
        </w:rPr>
        <w:t>市场价值为</w:t>
      </w:r>
      <w:r>
        <w:rPr>
          <w:rFonts w:ascii="宋体" w:hAnsi="宋体"/>
          <w:sz w:val="24"/>
        </w:rPr>
        <w:t>CNY</w:t>
      </w:r>
      <w:r>
        <w:rPr>
          <w:rFonts w:ascii="宋体" w:hAnsi="宋体"/>
          <w:sz w:val="24"/>
          <w:u w:val="single"/>
        </w:rPr>
        <w:t>304,000.00</w:t>
      </w:r>
      <w:r>
        <w:rPr>
          <w:rFonts w:ascii="宋体" w:hAnsi="宋体" w:hint="eastAsia"/>
          <w:sz w:val="24"/>
        </w:rPr>
        <w:t>元，大写：人民币</w:t>
      </w:r>
      <w:r>
        <w:rPr>
          <w:rFonts w:ascii="宋体" w:hAnsi="宋体" w:hint="eastAsia"/>
          <w:sz w:val="24"/>
          <w:u w:val="single"/>
        </w:rPr>
        <w:t>叁拾万肆仟元正</w:t>
      </w:r>
      <w:r>
        <w:rPr>
          <w:rFonts w:ascii="宋体" w:hAnsi="宋体" w:hint="eastAsia"/>
          <w:sz w:val="24"/>
        </w:rPr>
        <w:t>。为人民法院确定</w:t>
      </w:r>
      <w:r>
        <w:rPr>
          <w:rFonts w:ascii="宋体" w:hAnsi="宋体" w:hint="eastAsia"/>
          <w:sz w:val="24"/>
          <w:u w:val="single"/>
        </w:rPr>
        <w:t>财产处置参考价</w:t>
      </w:r>
      <w:r>
        <w:rPr>
          <w:rFonts w:ascii="宋体" w:hAnsi="宋体" w:hint="eastAsia"/>
          <w:sz w:val="24"/>
        </w:rPr>
        <w:t>提供参考依据。</w:t>
      </w:r>
    </w:p>
    <w:p w:rsidR="00E62AD6" w:rsidRDefault="00E62AD6" w:rsidP="00F23040">
      <w:pPr>
        <w:spacing w:line="120" w:lineRule="exact"/>
        <w:ind w:firstLineChars="200" w:firstLine="31680"/>
        <w:rPr>
          <w:rFonts w:ascii="宋体"/>
          <w:sz w:val="24"/>
        </w:rPr>
      </w:pPr>
    </w:p>
    <w:p w:rsidR="00E62AD6" w:rsidRDefault="00E62AD6">
      <w:pPr>
        <w:spacing w:line="360" w:lineRule="exact"/>
        <w:ind w:firstLine="482"/>
        <w:jc w:val="center"/>
        <w:rPr>
          <w:rFonts w:ascii="宋体"/>
          <w:spacing w:val="-4"/>
          <w:szCs w:val="21"/>
        </w:rPr>
      </w:pPr>
      <w:r>
        <w:rPr>
          <w:rFonts w:ascii="宋体" w:hAnsi="宋体" w:hint="eastAsia"/>
          <w:b/>
          <w:sz w:val="24"/>
          <w:u w:val="single"/>
        </w:rPr>
        <w:t>估价结果明细表</w:t>
      </w:r>
      <w:r>
        <w:rPr>
          <w:rFonts w:ascii="宋体" w:hAnsi="宋体"/>
          <w:b/>
          <w:sz w:val="24"/>
        </w:rPr>
        <w:t xml:space="preserve">                                             </w:t>
      </w:r>
    </w:p>
    <w:tbl>
      <w:tblPr>
        <w:tblW w:w="8732" w:type="dxa"/>
        <w:jc w:val="center"/>
        <w:tblLayout w:type="fixed"/>
        <w:tblLook w:val="00A0"/>
      </w:tblPr>
      <w:tblGrid>
        <w:gridCol w:w="636"/>
        <w:gridCol w:w="2857"/>
        <w:gridCol w:w="1035"/>
        <w:gridCol w:w="1050"/>
        <w:gridCol w:w="1470"/>
        <w:gridCol w:w="1684"/>
      </w:tblGrid>
      <w:tr w:rsidR="00E62AD6">
        <w:trPr>
          <w:trHeight w:val="646"/>
          <w:jc w:val="center"/>
        </w:trPr>
        <w:tc>
          <w:tcPr>
            <w:tcW w:w="636" w:type="dxa"/>
            <w:tcBorders>
              <w:top w:val="single" w:sz="4" w:space="0" w:color="auto"/>
              <w:left w:val="single" w:sz="4" w:space="0" w:color="auto"/>
              <w:bottom w:val="single" w:sz="4" w:space="0" w:color="auto"/>
              <w:right w:val="single" w:sz="4" w:space="0" w:color="auto"/>
            </w:tcBorders>
            <w:vAlign w:val="center"/>
          </w:tcPr>
          <w:p w:rsidR="00E62AD6" w:rsidRDefault="00E62AD6">
            <w:pPr>
              <w:widowControl/>
              <w:spacing w:line="240" w:lineRule="exact"/>
              <w:jc w:val="center"/>
              <w:rPr>
                <w:rFonts w:ascii="宋体" w:cs="宋体"/>
                <w:b/>
                <w:bCs/>
                <w:kern w:val="0"/>
                <w:sz w:val="20"/>
                <w:szCs w:val="20"/>
              </w:rPr>
            </w:pPr>
            <w:r>
              <w:rPr>
                <w:rFonts w:ascii="宋体" w:hAnsi="宋体" w:cs="宋体" w:hint="eastAsia"/>
                <w:b/>
                <w:bCs/>
                <w:kern w:val="0"/>
                <w:sz w:val="20"/>
                <w:szCs w:val="20"/>
              </w:rPr>
              <w:t>序号</w:t>
            </w:r>
          </w:p>
        </w:tc>
        <w:tc>
          <w:tcPr>
            <w:tcW w:w="2857" w:type="dxa"/>
            <w:tcBorders>
              <w:top w:val="single" w:sz="4" w:space="0" w:color="auto"/>
              <w:left w:val="nil"/>
              <w:bottom w:val="single" w:sz="4" w:space="0" w:color="auto"/>
              <w:right w:val="single" w:sz="4" w:space="0" w:color="auto"/>
            </w:tcBorders>
            <w:vAlign w:val="center"/>
          </w:tcPr>
          <w:p w:rsidR="00E62AD6" w:rsidRDefault="00E62AD6">
            <w:pPr>
              <w:widowControl/>
              <w:spacing w:line="240" w:lineRule="exact"/>
              <w:jc w:val="center"/>
              <w:rPr>
                <w:rFonts w:ascii="宋体" w:cs="宋体"/>
                <w:b/>
                <w:bCs/>
                <w:kern w:val="0"/>
                <w:sz w:val="20"/>
                <w:szCs w:val="20"/>
              </w:rPr>
            </w:pPr>
            <w:r>
              <w:rPr>
                <w:rFonts w:ascii="宋体" w:hAnsi="宋体" w:cs="宋体" w:hint="eastAsia"/>
                <w:b/>
                <w:bCs/>
                <w:kern w:val="0"/>
                <w:sz w:val="20"/>
                <w:szCs w:val="20"/>
              </w:rPr>
              <w:t>房地产项目</w:t>
            </w:r>
          </w:p>
        </w:tc>
        <w:tc>
          <w:tcPr>
            <w:tcW w:w="1035" w:type="dxa"/>
            <w:tcBorders>
              <w:top w:val="single" w:sz="4" w:space="0" w:color="auto"/>
              <w:left w:val="nil"/>
              <w:bottom w:val="single" w:sz="4" w:space="0" w:color="auto"/>
              <w:right w:val="single" w:sz="4" w:space="0" w:color="auto"/>
            </w:tcBorders>
            <w:vAlign w:val="center"/>
          </w:tcPr>
          <w:p w:rsidR="00E62AD6" w:rsidRDefault="00E62AD6">
            <w:pPr>
              <w:widowControl/>
              <w:spacing w:line="240" w:lineRule="exact"/>
              <w:jc w:val="center"/>
              <w:rPr>
                <w:rFonts w:ascii="宋体" w:cs="宋体"/>
                <w:b/>
                <w:bCs/>
                <w:kern w:val="0"/>
                <w:sz w:val="20"/>
                <w:szCs w:val="20"/>
              </w:rPr>
            </w:pPr>
            <w:r>
              <w:rPr>
                <w:rFonts w:ascii="宋体" w:cs="宋体" w:hint="eastAsia"/>
                <w:b/>
                <w:bCs/>
                <w:kern w:val="0"/>
                <w:sz w:val="20"/>
                <w:szCs w:val="20"/>
              </w:rPr>
              <w:t>分摊土地面积</w:t>
            </w:r>
            <w:r>
              <w:rPr>
                <w:rFonts w:ascii="宋体" w:hAnsi="宋体" w:cs="宋体" w:hint="eastAsia"/>
                <w:b/>
                <w:bCs/>
                <w:kern w:val="0"/>
                <w:sz w:val="20"/>
                <w:szCs w:val="20"/>
              </w:rPr>
              <w:t>（㎡）</w:t>
            </w:r>
          </w:p>
        </w:tc>
        <w:tc>
          <w:tcPr>
            <w:tcW w:w="1050" w:type="dxa"/>
            <w:tcBorders>
              <w:top w:val="single" w:sz="4" w:space="0" w:color="auto"/>
              <w:left w:val="single" w:sz="4" w:space="0" w:color="auto"/>
              <w:bottom w:val="single" w:sz="4" w:space="0" w:color="auto"/>
              <w:right w:val="single" w:sz="4" w:space="0" w:color="auto"/>
            </w:tcBorders>
            <w:vAlign w:val="center"/>
          </w:tcPr>
          <w:p w:rsidR="00E62AD6" w:rsidRDefault="00E62AD6">
            <w:pPr>
              <w:widowControl/>
              <w:spacing w:line="240" w:lineRule="exact"/>
              <w:jc w:val="center"/>
              <w:rPr>
                <w:rFonts w:ascii="宋体" w:cs="宋体"/>
                <w:b/>
                <w:bCs/>
                <w:kern w:val="0"/>
                <w:sz w:val="20"/>
                <w:szCs w:val="20"/>
              </w:rPr>
            </w:pPr>
            <w:r>
              <w:rPr>
                <w:rFonts w:ascii="宋体" w:hAnsi="宋体" w:cs="宋体" w:hint="eastAsia"/>
                <w:b/>
                <w:bCs/>
                <w:kern w:val="0"/>
                <w:sz w:val="20"/>
                <w:szCs w:val="20"/>
              </w:rPr>
              <w:t>建筑面积（㎡）</w:t>
            </w:r>
          </w:p>
        </w:tc>
        <w:tc>
          <w:tcPr>
            <w:tcW w:w="1470" w:type="dxa"/>
            <w:tcBorders>
              <w:top w:val="single" w:sz="4" w:space="0" w:color="auto"/>
              <w:left w:val="nil"/>
              <w:bottom w:val="single" w:sz="4" w:space="0" w:color="auto"/>
              <w:right w:val="single" w:sz="4" w:space="0" w:color="auto"/>
            </w:tcBorders>
            <w:vAlign w:val="center"/>
          </w:tcPr>
          <w:p w:rsidR="00E62AD6" w:rsidRDefault="00E62AD6">
            <w:pPr>
              <w:widowControl/>
              <w:spacing w:line="240" w:lineRule="exact"/>
              <w:jc w:val="center"/>
              <w:rPr>
                <w:rFonts w:ascii="宋体" w:cs="宋体"/>
                <w:b/>
                <w:bCs/>
                <w:kern w:val="0"/>
                <w:sz w:val="20"/>
                <w:szCs w:val="20"/>
              </w:rPr>
            </w:pPr>
            <w:r>
              <w:rPr>
                <w:rFonts w:ascii="宋体" w:hAnsi="宋体" w:cs="宋体" w:hint="eastAsia"/>
                <w:b/>
                <w:bCs/>
                <w:kern w:val="0"/>
                <w:sz w:val="20"/>
                <w:szCs w:val="20"/>
              </w:rPr>
              <w:t>单价（元</w:t>
            </w:r>
            <w:r>
              <w:rPr>
                <w:rFonts w:ascii="宋体" w:hAnsi="宋体" w:cs="宋体"/>
                <w:b/>
                <w:bCs/>
                <w:kern w:val="0"/>
                <w:sz w:val="20"/>
                <w:szCs w:val="20"/>
              </w:rPr>
              <w:t>/</w:t>
            </w:r>
            <w:r>
              <w:rPr>
                <w:rFonts w:ascii="宋体" w:hAnsi="宋体" w:cs="宋体" w:hint="eastAsia"/>
                <w:b/>
                <w:bCs/>
                <w:kern w:val="0"/>
                <w:sz w:val="20"/>
                <w:szCs w:val="20"/>
              </w:rPr>
              <w:t>㎡）</w:t>
            </w:r>
          </w:p>
        </w:tc>
        <w:tc>
          <w:tcPr>
            <w:tcW w:w="1684" w:type="dxa"/>
            <w:tcBorders>
              <w:top w:val="single" w:sz="4" w:space="0" w:color="auto"/>
              <w:left w:val="nil"/>
              <w:bottom w:val="single" w:sz="4" w:space="0" w:color="auto"/>
              <w:right w:val="single" w:sz="4" w:space="0" w:color="auto"/>
            </w:tcBorders>
            <w:vAlign w:val="center"/>
          </w:tcPr>
          <w:p w:rsidR="00E62AD6" w:rsidRDefault="00E62AD6">
            <w:pPr>
              <w:widowControl/>
              <w:spacing w:line="240" w:lineRule="exact"/>
              <w:jc w:val="center"/>
              <w:rPr>
                <w:rFonts w:ascii="宋体" w:cs="宋体"/>
                <w:b/>
                <w:bCs/>
                <w:kern w:val="0"/>
                <w:sz w:val="20"/>
                <w:szCs w:val="20"/>
              </w:rPr>
            </w:pPr>
            <w:r>
              <w:rPr>
                <w:rFonts w:ascii="宋体" w:hAnsi="宋体" w:cs="宋体" w:hint="eastAsia"/>
                <w:b/>
                <w:bCs/>
                <w:kern w:val="0"/>
                <w:sz w:val="20"/>
                <w:szCs w:val="20"/>
              </w:rPr>
              <w:t>市场价值</w:t>
            </w:r>
            <w:r>
              <w:rPr>
                <w:rFonts w:hint="eastAsia"/>
                <w:b/>
                <w:bCs/>
                <w:sz w:val="20"/>
                <w:szCs w:val="20"/>
              </w:rPr>
              <w:t>（元）</w:t>
            </w:r>
          </w:p>
        </w:tc>
      </w:tr>
      <w:tr w:rsidR="00E62AD6">
        <w:trPr>
          <w:trHeight w:val="676"/>
          <w:jc w:val="center"/>
        </w:trPr>
        <w:tc>
          <w:tcPr>
            <w:tcW w:w="636" w:type="dxa"/>
            <w:tcBorders>
              <w:top w:val="nil"/>
              <w:left w:val="single" w:sz="4" w:space="0" w:color="auto"/>
              <w:bottom w:val="single" w:sz="4" w:space="0" w:color="auto"/>
              <w:right w:val="single" w:sz="4" w:space="0" w:color="auto"/>
            </w:tcBorders>
            <w:vAlign w:val="center"/>
          </w:tcPr>
          <w:p w:rsidR="00E62AD6" w:rsidRDefault="00E62AD6">
            <w:pPr>
              <w:widowControl/>
              <w:spacing w:line="240" w:lineRule="exact"/>
              <w:jc w:val="center"/>
              <w:rPr>
                <w:rFonts w:ascii="宋体" w:cs="宋体"/>
                <w:kern w:val="0"/>
                <w:sz w:val="20"/>
                <w:szCs w:val="20"/>
              </w:rPr>
            </w:pPr>
            <w:r>
              <w:rPr>
                <w:rFonts w:ascii="宋体" w:hAnsi="宋体" w:cs="宋体"/>
                <w:kern w:val="0"/>
                <w:sz w:val="20"/>
                <w:szCs w:val="20"/>
              </w:rPr>
              <w:t>1</w:t>
            </w:r>
          </w:p>
        </w:tc>
        <w:tc>
          <w:tcPr>
            <w:tcW w:w="2857" w:type="dxa"/>
            <w:tcBorders>
              <w:top w:val="nil"/>
              <w:left w:val="nil"/>
              <w:bottom w:val="single" w:sz="4" w:space="0" w:color="auto"/>
              <w:right w:val="single" w:sz="4" w:space="0" w:color="auto"/>
            </w:tcBorders>
            <w:vAlign w:val="center"/>
          </w:tcPr>
          <w:p w:rsidR="00E62AD6" w:rsidRDefault="00E62AD6">
            <w:pPr>
              <w:widowControl/>
              <w:spacing w:line="240" w:lineRule="exact"/>
              <w:jc w:val="center"/>
              <w:rPr>
                <w:rFonts w:ascii="宋体" w:cs="宋体"/>
                <w:kern w:val="0"/>
                <w:sz w:val="20"/>
                <w:szCs w:val="20"/>
              </w:rPr>
            </w:pPr>
            <w:r>
              <w:rPr>
                <w:rFonts w:ascii="宋体" w:hAnsi="宋体" w:cs="宋体" w:hint="eastAsia"/>
                <w:kern w:val="0"/>
                <w:sz w:val="20"/>
                <w:szCs w:val="20"/>
              </w:rPr>
              <w:t>汕头市龙湖区碧霞庄北区</w:t>
            </w:r>
            <w:r>
              <w:rPr>
                <w:rFonts w:ascii="宋体" w:hAnsi="宋体" w:cs="宋体"/>
                <w:kern w:val="0"/>
                <w:sz w:val="20"/>
                <w:szCs w:val="20"/>
              </w:rPr>
              <w:t>2</w:t>
            </w:r>
            <w:r>
              <w:rPr>
                <w:rFonts w:ascii="宋体" w:hAnsi="宋体" w:cs="宋体" w:hint="eastAsia"/>
                <w:kern w:val="0"/>
                <w:sz w:val="20"/>
                <w:szCs w:val="20"/>
              </w:rPr>
              <w:t>幢</w:t>
            </w:r>
            <w:r>
              <w:rPr>
                <w:rFonts w:ascii="宋体" w:hAnsi="宋体" w:cs="宋体"/>
                <w:kern w:val="0"/>
                <w:sz w:val="20"/>
                <w:szCs w:val="20"/>
              </w:rPr>
              <w:t>125</w:t>
            </w:r>
            <w:r>
              <w:rPr>
                <w:rFonts w:ascii="宋体" w:hAnsi="宋体" w:cs="宋体" w:hint="eastAsia"/>
                <w:kern w:val="0"/>
                <w:sz w:val="20"/>
                <w:szCs w:val="20"/>
              </w:rPr>
              <w:t>号房</w:t>
            </w:r>
          </w:p>
        </w:tc>
        <w:tc>
          <w:tcPr>
            <w:tcW w:w="1035" w:type="dxa"/>
            <w:tcBorders>
              <w:top w:val="nil"/>
              <w:left w:val="nil"/>
              <w:bottom w:val="single" w:sz="4" w:space="0" w:color="auto"/>
              <w:right w:val="single" w:sz="4" w:space="0" w:color="auto"/>
            </w:tcBorders>
            <w:vAlign w:val="center"/>
          </w:tcPr>
          <w:p w:rsidR="00E62AD6" w:rsidRDefault="00E62AD6">
            <w:pPr>
              <w:widowControl/>
              <w:spacing w:line="240" w:lineRule="exact"/>
              <w:jc w:val="center"/>
              <w:rPr>
                <w:rFonts w:ascii="宋体" w:cs="宋体"/>
                <w:kern w:val="0"/>
                <w:sz w:val="20"/>
                <w:szCs w:val="20"/>
              </w:rPr>
            </w:pPr>
            <w:r>
              <w:rPr>
                <w:rFonts w:ascii="宋体" w:cs="宋体"/>
                <w:kern w:val="0"/>
                <w:sz w:val="20"/>
                <w:szCs w:val="20"/>
              </w:rPr>
              <w:t>-</w:t>
            </w:r>
          </w:p>
        </w:tc>
        <w:tc>
          <w:tcPr>
            <w:tcW w:w="1050" w:type="dxa"/>
            <w:tcBorders>
              <w:top w:val="nil"/>
              <w:left w:val="single" w:sz="4" w:space="0" w:color="auto"/>
              <w:bottom w:val="single" w:sz="4" w:space="0" w:color="auto"/>
              <w:right w:val="single" w:sz="4" w:space="0" w:color="auto"/>
            </w:tcBorders>
            <w:vAlign w:val="center"/>
          </w:tcPr>
          <w:p w:rsidR="00E62AD6" w:rsidRDefault="00E62AD6">
            <w:pPr>
              <w:widowControl/>
              <w:spacing w:line="240" w:lineRule="exact"/>
              <w:jc w:val="center"/>
              <w:rPr>
                <w:rFonts w:ascii="宋体" w:cs="宋体"/>
                <w:kern w:val="0"/>
                <w:sz w:val="20"/>
                <w:szCs w:val="20"/>
              </w:rPr>
            </w:pPr>
            <w:r>
              <w:rPr>
                <w:rFonts w:ascii="宋体" w:hAnsi="宋体" w:cs="宋体"/>
                <w:kern w:val="0"/>
                <w:sz w:val="20"/>
                <w:szCs w:val="20"/>
              </w:rPr>
              <w:t>22.03</w:t>
            </w:r>
          </w:p>
        </w:tc>
        <w:tc>
          <w:tcPr>
            <w:tcW w:w="1470" w:type="dxa"/>
            <w:tcBorders>
              <w:top w:val="nil"/>
              <w:left w:val="nil"/>
              <w:bottom w:val="single" w:sz="4" w:space="0" w:color="auto"/>
              <w:right w:val="single" w:sz="4" w:space="0" w:color="auto"/>
            </w:tcBorders>
            <w:vAlign w:val="center"/>
          </w:tcPr>
          <w:p w:rsidR="00E62AD6" w:rsidRDefault="00E62AD6">
            <w:pPr>
              <w:widowControl/>
              <w:spacing w:line="240" w:lineRule="exact"/>
              <w:jc w:val="center"/>
              <w:rPr>
                <w:rFonts w:ascii="宋体" w:cs="宋体"/>
                <w:kern w:val="0"/>
                <w:sz w:val="20"/>
                <w:szCs w:val="20"/>
              </w:rPr>
            </w:pPr>
            <w:r>
              <w:rPr>
                <w:rFonts w:ascii="宋体" w:hAnsi="宋体" w:cs="宋体"/>
                <w:kern w:val="0"/>
                <w:sz w:val="20"/>
                <w:szCs w:val="20"/>
              </w:rPr>
              <w:t>13,800.00</w:t>
            </w:r>
          </w:p>
        </w:tc>
        <w:tc>
          <w:tcPr>
            <w:tcW w:w="1684" w:type="dxa"/>
            <w:tcBorders>
              <w:top w:val="single" w:sz="4" w:space="0" w:color="auto"/>
              <w:left w:val="nil"/>
              <w:bottom w:val="single" w:sz="4" w:space="0" w:color="auto"/>
              <w:right w:val="single" w:sz="4" w:space="0" w:color="auto"/>
            </w:tcBorders>
            <w:vAlign w:val="center"/>
          </w:tcPr>
          <w:p w:rsidR="00E62AD6" w:rsidRDefault="00E62AD6">
            <w:pPr>
              <w:widowControl/>
              <w:spacing w:line="240" w:lineRule="exact"/>
              <w:jc w:val="center"/>
              <w:rPr>
                <w:rFonts w:ascii="宋体" w:cs="宋体"/>
                <w:kern w:val="0"/>
                <w:sz w:val="20"/>
                <w:szCs w:val="20"/>
              </w:rPr>
            </w:pPr>
            <w:r>
              <w:rPr>
                <w:rFonts w:ascii="宋体" w:hAnsi="宋体" w:cs="宋体"/>
                <w:kern w:val="0"/>
                <w:sz w:val="20"/>
                <w:szCs w:val="20"/>
              </w:rPr>
              <w:t>304,000.00</w:t>
            </w:r>
          </w:p>
        </w:tc>
      </w:tr>
    </w:tbl>
    <w:p w:rsidR="00E62AD6" w:rsidRDefault="00E62AD6" w:rsidP="00E62AD6">
      <w:pPr>
        <w:spacing w:line="600" w:lineRule="exact"/>
        <w:ind w:firstLineChars="200" w:firstLine="31680"/>
        <w:rPr>
          <w:rFonts w:ascii="宋体"/>
          <w:sz w:val="24"/>
        </w:rPr>
      </w:pPr>
      <w:r>
        <w:rPr>
          <w:rFonts w:ascii="宋体" w:hAnsi="宋体" w:hint="eastAsia"/>
          <w:sz w:val="24"/>
        </w:rPr>
        <w:t>评估的详细结果及有关说明，请阅读估价结果报告书。</w:t>
      </w:r>
    </w:p>
    <w:p w:rsidR="00E62AD6" w:rsidRDefault="00E62AD6" w:rsidP="00F23040">
      <w:pPr>
        <w:spacing w:line="600" w:lineRule="exact"/>
        <w:ind w:firstLineChars="200" w:firstLine="31680"/>
        <w:rPr>
          <w:rFonts w:ascii="宋体"/>
          <w:sz w:val="24"/>
        </w:rPr>
      </w:pPr>
    </w:p>
    <w:p w:rsidR="00E62AD6" w:rsidRDefault="00E62AD6" w:rsidP="00F23040">
      <w:pPr>
        <w:spacing w:line="600" w:lineRule="exact"/>
        <w:ind w:firstLineChars="200" w:firstLine="31680"/>
        <w:rPr>
          <w:rFonts w:ascii="宋体"/>
          <w:sz w:val="24"/>
        </w:rPr>
      </w:pPr>
    </w:p>
    <w:p w:rsidR="00E62AD6" w:rsidRDefault="00E62AD6" w:rsidP="00F23040">
      <w:pPr>
        <w:spacing w:line="600" w:lineRule="exact"/>
        <w:ind w:firstLineChars="200" w:firstLine="31680"/>
        <w:rPr>
          <w:rFonts w:ascii="宋体"/>
          <w:sz w:val="24"/>
        </w:rPr>
      </w:pPr>
    </w:p>
    <w:p w:rsidR="00E62AD6" w:rsidRDefault="00E62AD6">
      <w:pPr>
        <w:spacing w:line="600" w:lineRule="exact"/>
        <w:rPr>
          <w:rFonts w:ascii="宋体"/>
          <w:sz w:val="24"/>
        </w:rPr>
      </w:pPr>
      <w:r>
        <w:rPr>
          <w:rFonts w:ascii="宋体" w:hAnsi="宋体"/>
          <w:sz w:val="24"/>
        </w:rPr>
        <w:t xml:space="preserve">                               </w:t>
      </w:r>
      <w:r>
        <w:rPr>
          <w:rFonts w:ascii="宋体" w:hAnsi="宋体" w:hint="eastAsia"/>
          <w:sz w:val="24"/>
        </w:rPr>
        <w:t>广东瑞基资产评估土地房地产估价有限公司</w:t>
      </w:r>
    </w:p>
    <w:p w:rsidR="00E62AD6" w:rsidRDefault="00E62AD6">
      <w:pPr>
        <w:spacing w:line="600" w:lineRule="exact"/>
        <w:rPr>
          <w:rFonts w:ascii="宋体"/>
          <w:sz w:val="24"/>
        </w:rPr>
      </w:pPr>
    </w:p>
    <w:p w:rsidR="00E62AD6" w:rsidRDefault="00E62AD6">
      <w:pPr>
        <w:spacing w:line="600" w:lineRule="exact"/>
        <w:rPr>
          <w:rFonts w:ascii="宋体"/>
          <w:sz w:val="24"/>
        </w:rPr>
      </w:pPr>
    </w:p>
    <w:p w:rsidR="00E62AD6" w:rsidRDefault="00E62AD6">
      <w:pPr>
        <w:tabs>
          <w:tab w:val="left" w:pos="4500"/>
        </w:tabs>
        <w:spacing w:line="600" w:lineRule="exact"/>
        <w:rPr>
          <w:rFonts w:ascii="宋体"/>
          <w:sz w:val="24"/>
        </w:rPr>
      </w:pPr>
      <w:r>
        <w:rPr>
          <w:rFonts w:ascii="宋体" w:hAnsi="宋体"/>
          <w:sz w:val="24"/>
        </w:rPr>
        <w:t xml:space="preserve">                               </w:t>
      </w:r>
      <w:r>
        <w:rPr>
          <w:rFonts w:ascii="宋体" w:hAnsi="宋体" w:hint="eastAsia"/>
          <w:sz w:val="24"/>
        </w:rPr>
        <w:t>法定代表人：</w:t>
      </w:r>
    </w:p>
    <w:p w:rsidR="00E62AD6" w:rsidRDefault="00E62AD6">
      <w:pPr>
        <w:tabs>
          <w:tab w:val="left" w:pos="4500"/>
        </w:tabs>
        <w:spacing w:line="600" w:lineRule="exact"/>
        <w:rPr>
          <w:rFonts w:ascii="宋体"/>
          <w:sz w:val="24"/>
        </w:rPr>
      </w:pPr>
    </w:p>
    <w:p w:rsidR="00E62AD6" w:rsidRDefault="00E62AD6">
      <w:pPr>
        <w:tabs>
          <w:tab w:val="left" w:pos="4500"/>
        </w:tabs>
        <w:spacing w:line="600" w:lineRule="exact"/>
        <w:rPr>
          <w:rFonts w:ascii="宋体"/>
          <w:sz w:val="24"/>
        </w:rPr>
      </w:pPr>
    </w:p>
    <w:p w:rsidR="00E62AD6" w:rsidRDefault="00E62AD6" w:rsidP="00F23040">
      <w:pPr>
        <w:spacing w:line="600" w:lineRule="exact"/>
        <w:ind w:leftChars="100" w:left="31680" w:hangingChars="3018" w:firstLine="31680"/>
        <w:rPr>
          <w:rFonts w:ascii="宋体"/>
          <w:sz w:val="24"/>
        </w:rPr>
      </w:pPr>
      <w:r>
        <w:rPr>
          <w:rFonts w:ascii="宋体" w:hAnsi="宋体"/>
          <w:sz w:val="24"/>
        </w:rPr>
        <w:t xml:space="preserve">                                                  </w:t>
      </w:r>
      <w:smartTag w:uri="urn:schemas-microsoft-com:office:smarttags" w:element="chsdate">
        <w:smartTagPr>
          <w:attr w:name="IsROCDate" w:val="False"/>
          <w:attr w:name="IsLunarDate" w:val="False"/>
          <w:attr w:name="Day" w:val="8"/>
          <w:attr w:name="Month" w:val="9"/>
          <w:attr w:name="Year" w:val="2022"/>
        </w:smartTagPr>
        <w:r>
          <w:rPr>
            <w:rFonts w:ascii="宋体" w:hAnsi="宋体"/>
            <w:sz w:val="24"/>
          </w:rPr>
          <w:t>2022</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8</w:t>
        </w:r>
        <w:r>
          <w:rPr>
            <w:rFonts w:ascii="宋体" w:hAnsi="宋体" w:hint="eastAsia"/>
            <w:sz w:val="24"/>
          </w:rPr>
          <w:t>日</w:t>
        </w:r>
      </w:smartTag>
    </w:p>
    <w:p w:rsidR="00E62AD6" w:rsidRDefault="00E62AD6">
      <w:pPr>
        <w:jc w:val="center"/>
        <w:rPr>
          <w:rFonts w:ascii="黑体" w:eastAsia="黑体" w:hAnsi="宋体"/>
          <w:sz w:val="44"/>
        </w:rPr>
      </w:pPr>
      <w:r>
        <w:rPr>
          <w:rFonts w:ascii="黑体" w:eastAsia="黑体" w:hAnsi="宋体" w:hint="eastAsia"/>
          <w:sz w:val="44"/>
        </w:rPr>
        <w:t>二、估价师声明</w:t>
      </w:r>
    </w:p>
    <w:p w:rsidR="00E62AD6" w:rsidRDefault="00E62AD6">
      <w:pPr>
        <w:spacing w:line="360" w:lineRule="exact"/>
        <w:rPr>
          <w:rFonts w:ascii="宋体"/>
          <w:sz w:val="24"/>
        </w:rPr>
      </w:pPr>
    </w:p>
    <w:p w:rsidR="00E62AD6" w:rsidRDefault="00E62AD6">
      <w:pPr>
        <w:spacing w:line="360" w:lineRule="exact"/>
        <w:rPr>
          <w:rFonts w:ascii="宋体"/>
          <w:sz w:val="24"/>
        </w:rPr>
      </w:pPr>
    </w:p>
    <w:p w:rsidR="00E62AD6" w:rsidRDefault="00E62AD6">
      <w:pPr>
        <w:tabs>
          <w:tab w:val="right" w:pos="8901"/>
        </w:tabs>
        <w:spacing w:line="640" w:lineRule="exact"/>
        <w:rPr>
          <w:rFonts w:ascii="宋体"/>
          <w:sz w:val="24"/>
        </w:rPr>
      </w:pPr>
      <w:r>
        <w:rPr>
          <w:rFonts w:ascii="宋体" w:hint="eastAsia"/>
          <w:sz w:val="24"/>
        </w:rPr>
        <w:t>我们郑重声明：</w:t>
      </w:r>
    </w:p>
    <w:p w:rsidR="00E62AD6" w:rsidRDefault="00E62AD6" w:rsidP="00F23040">
      <w:pPr>
        <w:tabs>
          <w:tab w:val="right" w:pos="8901"/>
        </w:tabs>
        <w:spacing w:line="640" w:lineRule="exact"/>
        <w:ind w:firstLineChars="200" w:firstLine="31680"/>
        <w:rPr>
          <w:rFonts w:hAnsi="宋体"/>
          <w:sz w:val="24"/>
        </w:rPr>
      </w:pPr>
      <w:r>
        <w:rPr>
          <w:rFonts w:ascii="宋体"/>
          <w:sz w:val="24"/>
        </w:rPr>
        <w:t>1</w:t>
      </w:r>
      <w:r>
        <w:rPr>
          <w:rFonts w:ascii="宋体" w:hint="eastAsia"/>
          <w:sz w:val="24"/>
        </w:rPr>
        <w:t>、</w:t>
      </w:r>
      <w:r>
        <w:rPr>
          <w:rFonts w:hAnsi="宋体" w:hint="eastAsia"/>
          <w:sz w:val="24"/>
        </w:rPr>
        <w:t>我们在本估价报告中陈述的事实是真实的和准确的，没有虚假记载、误导性陈述和重大遗漏；</w:t>
      </w:r>
    </w:p>
    <w:p w:rsidR="00E62AD6" w:rsidRDefault="00E62AD6">
      <w:pPr>
        <w:tabs>
          <w:tab w:val="right" w:pos="8901"/>
        </w:tabs>
        <w:adjustRightInd w:val="0"/>
        <w:snapToGrid w:val="0"/>
        <w:spacing w:line="640" w:lineRule="exact"/>
        <w:ind w:firstLine="480"/>
        <w:rPr>
          <w:sz w:val="24"/>
        </w:rPr>
      </w:pPr>
      <w:r>
        <w:rPr>
          <w:rFonts w:ascii="宋体"/>
          <w:sz w:val="24"/>
        </w:rPr>
        <w:t>2</w:t>
      </w:r>
      <w:r>
        <w:rPr>
          <w:rFonts w:ascii="宋体" w:hint="eastAsia"/>
          <w:sz w:val="24"/>
        </w:rPr>
        <w:t>、</w:t>
      </w:r>
      <w:r>
        <w:rPr>
          <w:rFonts w:hint="eastAsia"/>
          <w:sz w:val="24"/>
        </w:rPr>
        <w:t>本估价报告中的分析、意见和结论是我们独立、客观、公正的专业分析、意见和结论，但受到本估价报告中已说明的假设和限制条件的限制；</w:t>
      </w:r>
    </w:p>
    <w:p w:rsidR="00E62AD6" w:rsidRDefault="00E62AD6">
      <w:pPr>
        <w:tabs>
          <w:tab w:val="right" w:pos="8901"/>
        </w:tabs>
        <w:adjustRightInd w:val="0"/>
        <w:snapToGrid w:val="0"/>
        <w:spacing w:line="640" w:lineRule="exact"/>
        <w:ind w:firstLine="480"/>
        <w:rPr>
          <w:sz w:val="24"/>
        </w:rPr>
      </w:pPr>
      <w:r>
        <w:rPr>
          <w:rFonts w:ascii="宋体"/>
          <w:sz w:val="24"/>
        </w:rPr>
        <w:t>3</w:t>
      </w:r>
      <w:r>
        <w:rPr>
          <w:rFonts w:ascii="宋体" w:hint="eastAsia"/>
          <w:sz w:val="24"/>
        </w:rPr>
        <w:t>、</w:t>
      </w:r>
      <w:r>
        <w:rPr>
          <w:rFonts w:hint="eastAsia"/>
          <w:sz w:val="24"/>
        </w:rPr>
        <w:t>我们与本估价报告中的被评估对象没有利害关系，也与有关当事人没有个人利害关系或偏见。</w:t>
      </w:r>
    </w:p>
    <w:p w:rsidR="00E62AD6" w:rsidRDefault="00E62AD6">
      <w:pPr>
        <w:tabs>
          <w:tab w:val="right" w:pos="8901"/>
        </w:tabs>
        <w:adjustRightInd w:val="0"/>
        <w:snapToGrid w:val="0"/>
        <w:spacing w:line="640" w:lineRule="exact"/>
        <w:ind w:firstLine="480"/>
        <w:rPr>
          <w:sz w:val="24"/>
        </w:rPr>
      </w:pPr>
      <w:r>
        <w:rPr>
          <w:rFonts w:ascii="宋体"/>
          <w:sz w:val="24"/>
        </w:rPr>
        <w:t>4</w:t>
      </w:r>
      <w:r>
        <w:rPr>
          <w:rFonts w:ascii="宋体" w:hint="eastAsia"/>
          <w:sz w:val="24"/>
        </w:rPr>
        <w:t>、</w:t>
      </w:r>
      <w:r>
        <w:rPr>
          <w:rFonts w:hint="eastAsia"/>
          <w:sz w:val="24"/>
        </w:rPr>
        <w:t>我们依照中华人民共和国国家标准《房地产估价规范》</w:t>
      </w:r>
      <w:r>
        <w:rPr>
          <w:rFonts w:ascii="宋体" w:hAnsi="宋体" w:cs="宋体" w:hint="eastAsia"/>
          <w:sz w:val="24"/>
        </w:rPr>
        <w:t>（</w:t>
      </w:r>
      <w:r>
        <w:rPr>
          <w:rFonts w:ascii="宋体" w:hAnsi="宋体" w:cs="宋体"/>
          <w:sz w:val="24"/>
        </w:rPr>
        <w:t>GB/T 50291-2015</w:t>
      </w:r>
      <w:r>
        <w:rPr>
          <w:rFonts w:ascii="宋体" w:hAnsi="宋体" w:cs="宋体" w:hint="eastAsia"/>
          <w:sz w:val="24"/>
        </w:rPr>
        <w:t>）、</w:t>
      </w:r>
      <w:r>
        <w:rPr>
          <w:rFonts w:hint="eastAsia"/>
          <w:sz w:val="24"/>
        </w:rPr>
        <w:t>《房地产估价基本术语标准》</w:t>
      </w:r>
      <w:r>
        <w:rPr>
          <w:rFonts w:ascii="宋体" w:hAnsi="宋体" w:cs="宋体" w:hint="eastAsia"/>
          <w:sz w:val="24"/>
        </w:rPr>
        <w:t>（</w:t>
      </w:r>
      <w:r>
        <w:rPr>
          <w:rFonts w:ascii="宋体" w:hAnsi="宋体" w:cs="宋体"/>
          <w:sz w:val="24"/>
        </w:rPr>
        <w:t>GB/T 50899-2013</w:t>
      </w:r>
      <w:r>
        <w:rPr>
          <w:rFonts w:ascii="宋体" w:hAnsi="宋体" w:cs="宋体" w:hint="eastAsia"/>
          <w:sz w:val="24"/>
        </w:rPr>
        <w:t>）</w:t>
      </w:r>
      <w:r>
        <w:rPr>
          <w:rFonts w:hint="eastAsia"/>
          <w:sz w:val="24"/>
        </w:rPr>
        <w:t>进行估价工作，撰写估价报告。</w:t>
      </w:r>
    </w:p>
    <w:p w:rsidR="00E62AD6" w:rsidRDefault="00E62AD6" w:rsidP="00F23040">
      <w:pPr>
        <w:tabs>
          <w:tab w:val="left" w:pos="900"/>
          <w:tab w:val="left" w:pos="1080"/>
          <w:tab w:val="left" w:pos="1288"/>
        </w:tabs>
        <w:snapToGrid w:val="0"/>
        <w:spacing w:line="640" w:lineRule="exact"/>
        <w:ind w:firstLineChars="177" w:firstLine="31680"/>
        <w:rPr>
          <w:sz w:val="24"/>
        </w:rPr>
      </w:pPr>
      <w:r>
        <w:rPr>
          <w:rFonts w:ascii="宋体"/>
          <w:sz w:val="24"/>
        </w:rPr>
        <w:t>5</w:t>
      </w:r>
      <w:r>
        <w:rPr>
          <w:rFonts w:ascii="宋体" w:hint="eastAsia"/>
          <w:sz w:val="24"/>
        </w:rPr>
        <w:t>、</w:t>
      </w:r>
      <w:r>
        <w:rPr>
          <w:rFonts w:ascii="宋体" w:hAnsi="宋体" w:hint="eastAsia"/>
          <w:sz w:val="24"/>
        </w:rPr>
        <w:t>我们已对本估价报告中的估价对象进行了实地查勘，勘查日期为</w:t>
      </w:r>
      <w:smartTag w:uri="urn:schemas-microsoft-com:office:smarttags" w:element="chsdate">
        <w:smartTagPr>
          <w:attr w:name="IsROCDate" w:val="False"/>
          <w:attr w:name="IsLunarDate" w:val="False"/>
          <w:attr w:name="Day" w:val="5"/>
          <w:attr w:name="Month" w:val="9"/>
          <w:attr w:name="Year" w:val="2022"/>
        </w:smartTagPr>
        <w:r>
          <w:rPr>
            <w:rFonts w:ascii="宋体" w:hAnsi="宋体"/>
            <w:sz w:val="24"/>
          </w:rPr>
          <w:t>2022</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5</w:t>
        </w:r>
        <w:r>
          <w:rPr>
            <w:rFonts w:ascii="宋体" w:hAnsi="宋体" w:hint="eastAsia"/>
            <w:sz w:val="24"/>
          </w:rPr>
          <w:t>日</w:t>
        </w:r>
      </w:smartTag>
      <w:r>
        <w:rPr>
          <w:rFonts w:ascii="宋体" w:hAnsi="宋体" w:hint="eastAsia"/>
          <w:sz w:val="24"/>
        </w:rPr>
        <w:t>。估价师仅对委估房地产的区位状况、外观及公共部位作一般性勘查，评估时亦没有接受进行结构测试和设备检验的要求，因此不能确定其是否存在内部缺损。</w:t>
      </w:r>
      <w:r>
        <w:rPr>
          <w:rFonts w:hint="eastAsia"/>
          <w:sz w:val="24"/>
        </w:rPr>
        <w:t>我们已对房屋安全、环境污染等影响估价对象价值的重大因素给予了关注。在无理由怀疑估价对象存在安全、环境污染隐患且无相应的专业机构进行鉴定、检测的情况下，假定估价对象能正常安全使用。</w:t>
      </w:r>
    </w:p>
    <w:p w:rsidR="00E62AD6" w:rsidRDefault="00E62AD6" w:rsidP="00F23040">
      <w:pPr>
        <w:spacing w:line="640" w:lineRule="exact"/>
        <w:ind w:firstLineChars="200" w:firstLine="31680"/>
        <w:rPr>
          <w:rFonts w:ascii="宋体"/>
          <w:sz w:val="24"/>
        </w:rPr>
      </w:pPr>
      <w:r>
        <w:rPr>
          <w:rFonts w:ascii="宋体" w:hAnsi="宋体"/>
          <w:sz w:val="24"/>
        </w:rPr>
        <w:t>6</w:t>
      </w:r>
      <w:r>
        <w:rPr>
          <w:rFonts w:ascii="宋体" w:hAnsi="宋体" w:hint="eastAsia"/>
          <w:sz w:val="24"/>
        </w:rPr>
        <w:t>、没有人对本估价报告提供了重要专业帮助。</w:t>
      </w:r>
    </w:p>
    <w:p w:rsidR="00E62AD6" w:rsidRDefault="00E62AD6" w:rsidP="00F23040">
      <w:pPr>
        <w:spacing w:line="640" w:lineRule="exact"/>
        <w:ind w:firstLineChars="200" w:firstLine="31680"/>
        <w:rPr>
          <w:rFonts w:ascii="宋体"/>
          <w:sz w:val="24"/>
        </w:rPr>
      </w:pPr>
      <w:r>
        <w:rPr>
          <w:rFonts w:ascii="宋体" w:hAnsi="宋体"/>
          <w:sz w:val="24"/>
        </w:rPr>
        <w:t>7</w:t>
      </w:r>
      <w:r>
        <w:rPr>
          <w:rFonts w:ascii="宋体" w:hAnsi="宋体" w:hint="eastAsia"/>
          <w:sz w:val="24"/>
        </w:rPr>
        <w:t>、房地产面积以《房地产权结果信息一览表》写明的面积为准，估价人员未作实地丈量。</w:t>
      </w:r>
    </w:p>
    <w:p w:rsidR="00E62AD6" w:rsidRDefault="00E62AD6">
      <w:pPr>
        <w:jc w:val="center"/>
        <w:rPr>
          <w:rFonts w:ascii="黑体" w:eastAsia="黑体" w:hAnsi="宋体"/>
          <w:sz w:val="44"/>
        </w:rPr>
      </w:pPr>
      <w:r>
        <w:rPr>
          <w:rFonts w:ascii="黑体" w:eastAsia="黑体" w:hAnsi="宋体" w:hint="eastAsia"/>
          <w:sz w:val="44"/>
        </w:rPr>
        <w:t>三、估价的假设和限制条件</w:t>
      </w:r>
    </w:p>
    <w:p w:rsidR="00E62AD6" w:rsidRDefault="00E62AD6" w:rsidP="00F23040">
      <w:pPr>
        <w:snapToGrid w:val="0"/>
        <w:spacing w:line="360" w:lineRule="exact"/>
        <w:ind w:firstLineChars="177" w:firstLine="31680"/>
        <w:rPr>
          <w:rFonts w:ascii="宋体"/>
          <w:sz w:val="24"/>
        </w:rPr>
      </w:pPr>
    </w:p>
    <w:p w:rsidR="00E62AD6" w:rsidRDefault="00E62AD6" w:rsidP="00F23040">
      <w:pPr>
        <w:snapToGrid w:val="0"/>
        <w:spacing w:line="360" w:lineRule="exact"/>
        <w:ind w:firstLineChars="177" w:firstLine="31680"/>
        <w:rPr>
          <w:rFonts w:ascii="宋体"/>
          <w:sz w:val="24"/>
        </w:rPr>
      </w:pPr>
    </w:p>
    <w:p w:rsidR="00E62AD6" w:rsidRDefault="00E62AD6" w:rsidP="00F23040">
      <w:pPr>
        <w:snapToGrid w:val="0"/>
        <w:spacing w:line="620" w:lineRule="exact"/>
        <w:ind w:firstLineChars="177" w:firstLine="31680"/>
        <w:rPr>
          <w:rFonts w:ascii="宋体"/>
          <w:b/>
          <w:bCs/>
          <w:sz w:val="24"/>
        </w:rPr>
      </w:pPr>
      <w:r>
        <w:rPr>
          <w:rFonts w:ascii="宋体" w:hAnsi="宋体" w:hint="eastAsia"/>
          <w:b/>
          <w:bCs/>
          <w:sz w:val="24"/>
        </w:rPr>
        <w:t>（一）一般假设</w:t>
      </w:r>
    </w:p>
    <w:p w:rsidR="00E62AD6" w:rsidRDefault="00E62AD6" w:rsidP="00F23040">
      <w:pPr>
        <w:snapToGrid w:val="0"/>
        <w:spacing w:line="620" w:lineRule="exact"/>
        <w:ind w:firstLineChars="177" w:firstLine="31680"/>
        <w:rPr>
          <w:rFonts w:ascii="宋体" w:cs="宋体"/>
          <w:sz w:val="24"/>
        </w:rPr>
      </w:pPr>
      <w:r>
        <w:rPr>
          <w:rFonts w:ascii="宋体" w:hAnsi="宋体" w:cs="宋体"/>
          <w:sz w:val="24"/>
        </w:rPr>
        <w:t>1</w:t>
      </w:r>
      <w:r>
        <w:rPr>
          <w:rFonts w:ascii="宋体" w:hAnsi="宋体" w:cs="宋体" w:hint="eastAsia"/>
          <w:sz w:val="24"/>
        </w:rPr>
        <w:t>、</w:t>
      </w:r>
      <w:r>
        <w:rPr>
          <w:rFonts w:ascii="宋体" w:hAnsi="宋体" w:hint="eastAsia"/>
          <w:sz w:val="24"/>
        </w:rPr>
        <w:t>本评估报告建立在估价委托人提供所有文件、资料真实、准确、完整、客观基础上，为估价委托人指定的评估对象在价值时点的市场价值。</w:t>
      </w:r>
      <w:r>
        <w:rPr>
          <w:rFonts w:ascii="宋体" w:hAnsi="宋体" w:cs="宋体" w:hint="eastAsia"/>
          <w:sz w:val="24"/>
        </w:rPr>
        <w:t>我们慎审检查了估价委托人提供的</w:t>
      </w:r>
      <w:r>
        <w:rPr>
          <w:rFonts w:ascii="宋体" w:hAnsi="宋体" w:hint="eastAsia"/>
          <w:sz w:val="24"/>
        </w:rPr>
        <w:t>《房地产权结果信息一览表》</w:t>
      </w:r>
      <w:r>
        <w:rPr>
          <w:rFonts w:ascii="宋体" w:hAnsi="宋体" w:cs="宋体" w:hint="eastAsia"/>
          <w:sz w:val="24"/>
        </w:rPr>
        <w:t>及其它相关资料（复印件），但未能核查其资料原件，并未能向政府有关部门进行核实。在无理由怀疑其合法性、真实性、准确性和完整性的情况下，本次估价假定估价委托人提供的资料是合法、真实、准确、完整的。估价人员及估价机构不对上述资料的合法、真实、准确、完整性负责。本次估价以上述资料所载的相关内容作为估价依据。</w:t>
      </w:r>
    </w:p>
    <w:p w:rsidR="00E62AD6" w:rsidRDefault="00E62AD6" w:rsidP="00F23040">
      <w:pPr>
        <w:snapToGrid w:val="0"/>
        <w:spacing w:line="620" w:lineRule="exact"/>
        <w:ind w:firstLineChars="177" w:firstLine="31680"/>
        <w:rPr>
          <w:rFonts w:ascii="宋体" w:cs="宋体"/>
          <w:sz w:val="24"/>
        </w:rPr>
      </w:pPr>
      <w:r>
        <w:rPr>
          <w:rFonts w:ascii="宋体" w:hAnsi="宋体" w:cs="宋体"/>
          <w:sz w:val="24"/>
        </w:rPr>
        <w:t>2</w:t>
      </w:r>
      <w:r>
        <w:rPr>
          <w:rFonts w:ascii="宋体" w:hAnsi="宋体" w:cs="宋体" w:hint="eastAsia"/>
          <w:sz w:val="24"/>
        </w:rPr>
        <w:t>、我们未获得估价对象的地块面积、建筑面积的测量专业意见，亦未对其进行专业测量。本次估价时我们以委托人提供的</w:t>
      </w:r>
      <w:r>
        <w:rPr>
          <w:rFonts w:ascii="宋体" w:hAnsi="宋体" w:hint="eastAsia"/>
          <w:sz w:val="24"/>
        </w:rPr>
        <w:t>《房地产权结果信息一览表》</w:t>
      </w:r>
      <w:r>
        <w:rPr>
          <w:rFonts w:ascii="宋体" w:hAnsi="宋体" w:cs="宋体" w:hint="eastAsia"/>
          <w:sz w:val="24"/>
        </w:rPr>
        <w:t>复印件</w:t>
      </w:r>
      <w:r>
        <w:rPr>
          <w:rFonts w:ascii="宋体" w:hAnsi="宋体" w:hint="eastAsia"/>
          <w:sz w:val="24"/>
        </w:rPr>
        <w:t>中载明数据</w:t>
      </w:r>
      <w:r>
        <w:rPr>
          <w:rFonts w:ascii="宋体" w:hAnsi="宋体" w:cs="宋体" w:hint="eastAsia"/>
          <w:sz w:val="24"/>
        </w:rPr>
        <w:t>为准进行相关说明和测算。</w:t>
      </w:r>
    </w:p>
    <w:p w:rsidR="00E62AD6" w:rsidRDefault="00E62AD6" w:rsidP="00F23040">
      <w:pPr>
        <w:tabs>
          <w:tab w:val="left" w:pos="900"/>
          <w:tab w:val="left" w:pos="1080"/>
          <w:tab w:val="left" w:pos="1288"/>
        </w:tabs>
        <w:snapToGrid w:val="0"/>
        <w:spacing w:line="620" w:lineRule="exact"/>
        <w:ind w:firstLineChars="177" w:firstLine="31680"/>
        <w:rPr>
          <w:rFonts w:ascii="宋体" w:cs="宋体"/>
          <w:sz w:val="24"/>
        </w:rPr>
      </w:pPr>
      <w:r>
        <w:rPr>
          <w:rFonts w:ascii="宋体" w:hAnsi="宋体" w:cs="宋体"/>
          <w:sz w:val="24"/>
        </w:rPr>
        <w:t>3</w:t>
      </w:r>
      <w:r>
        <w:rPr>
          <w:rFonts w:ascii="宋体" w:hAnsi="宋体" w:cs="宋体" w:hint="eastAsia"/>
          <w:sz w:val="24"/>
        </w:rPr>
        <w:t>、我们对估价对象进行了实地查勘，但我们对估价对象的查勘仅限于其外观和使用状况，并未进行结构测量和设备测试以确认估价对象是否存在结构性损害或其他缺陷；我们已对房屋安全、环境污染等影响估价对象价值的重大因素给予了关注。在无理由怀疑估价对象存在安全、环境污染隐患且无相应的专业机构进行鉴定、检测的情况下，假定估价对象能正常安全使用。</w:t>
      </w:r>
    </w:p>
    <w:p w:rsidR="00E62AD6" w:rsidRDefault="00E62AD6" w:rsidP="00F23040">
      <w:pPr>
        <w:snapToGrid w:val="0"/>
        <w:spacing w:line="620" w:lineRule="exact"/>
        <w:ind w:firstLineChars="177" w:firstLine="31680"/>
        <w:rPr>
          <w:rFonts w:ascii="宋体" w:cs="宋体"/>
          <w:sz w:val="24"/>
        </w:rPr>
      </w:pPr>
      <w:r>
        <w:rPr>
          <w:rFonts w:ascii="宋体" w:hAnsi="宋体" w:cs="宋体"/>
          <w:sz w:val="24"/>
        </w:rPr>
        <w:t>4</w:t>
      </w:r>
      <w:r>
        <w:rPr>
          <w:rFonts w:ascii="宋体" w:hAnsi="宋体" w:cs="宋体" w:hint="eastAsia"/>
          <w:sz w:val="24"/>
        </w:rPr>
        <w:t>、估价对象在价值时点的房地产市场为公开、平等、自愿的市场交易，即能满足以下条件：</w:t>
      </w:r>
    </w:p>
    <w:p w:rsidR="00E62AD6" w:rsidRDefault="00E62AD6" w:rsidP="00F23040">
      <w:pPr>
        <w:tabs>
          <w:tab w:val="left" w:pos="900"/>
          <w:tab w:val="left" w:pos="1004"/>
          <w:tab w:val="left" w:pos="1080"/>
          <w:tab w:val="left" w:pos="1288"/>
        </w:tabs>
        <w:snapToGrid w:val="0"/>
        <w:spacing w:line="620" w:lineRule="exact"/>
        <w:ind w:leftChars="200" w:left="316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）交易双方是自愿地进行交易的；</w:t>
      </w:r>
    </w:p>
    <w:p w:rsidR="00E62AD6" w:rsidRDefault="00E62AD6" w:rsidP="00F23040">
      <w:pPr>
        <w:tabs>
          <w:tab w:val="left" w:pos="900"/>
          <w:tab w:val="left" w:pos="1004"/>
          <w:tab w:val="left" w:pos="1080"/>
          <w:tab w:val="left" w:pos="1288"/>
        </w:tabs>
        <w:snapToGrid w:val="0"/>
        <w:spacing w:line="620" w:lineRule="exact"/>
        <w:ind w:leftChars="200" w:left="316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）交易双方是出于利己动机进行交易的；</w:t>
      </w:r>
      <w:r>
        <w:rPr>
          <w:rFonts w:ascii="宋体" w:hAnsi="宋体" w:cs="宋体"/>
          <w:sz w:val="24"/>
        </w:rPr>
        <w:t xml:space="preserve"> </w:t>
      </w:r>
    </w:p>
    <w:p w:rsidR="00E62AD6" w:rsidRDefault="00E62AD6" w:rsidP="00F23040">
      <w:pPr>
        <w:tabs>
          <w:tab w:val="left" w:pos="900"/>
          <w:tab w:val="left" w:pos="1004"/>
          <w:tab w:val="left" w:pos="1080"/>
          <w:tab w:val="left" w:pos="1288"/>
        </w:tabs>
        <w:snapToGrid w:val="0"/>
        <w:spacing w:line="620" w:lineRule="exact"/>
        <w:ind w:leftChars="200" w:left="316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）交易双方是精明的、谨慎行事的，并且了解交易对象、知晓市场行情；</w:t>
      </w:r>
    </w:p>
    <w:p w:rsidR="00E62AD6" w:rsidRDefault="00E62AD6" w:rsidP="00F23040">
      <w:pPr>
        <w:tabs>
          <w:tab w:val="left" w:pos="900"/>
          <w:tab w:val="left" w:pos="1004"/>
          <w:tab w:val="left" w:pos="1080"/>
          <w:tab w:val="left" w:pos="1288"/>
        </w:tabs>
        <w:snapToGrid w:val="0"/>
        <w:spacing w:line="620" w:lineRule="exact"/>
        <w:ind w:leftChars="200" w:left="316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）交易双方有较充裕的时间进行交易；</w:t>
      </w:r>
    </w:p>
    <w:p w:rsidR="00E62AD6" w:rsidRDefault="00E62AD6" w:rsidP="00F23040">
      <w:pPr>
        <w:tabs>
          <w:tab w:val="left" w:pos="900"/>
          <w:tab w:val="left" w:pos="1004"/>
          <w:tab w:val="left" w:pos="1080"/>
          <w:tab w:val="left" w:pos="1288"/>
        </w:tabs>
        <w:snapToGrid w:val="0"/>
        <w:spacing w:line="620" w:lineRule="exact"/>
        <w:ind w:leftChars="200" w:left="3168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）该房地产可以继续使用；</w:t>
      </w:r>
    </w:p>
    <w:p w:rsidR="00E62AD6" w:rsidRDefault="00E62AD6" w:rsidP="00F23040">
      <w:pPr>
        <w:tabs>
          <w:tab w:val="left" w:pos="900"/>
          <w:tab w:val="left" w:pos="1004"/>
          <w:tab w:val="left" w:pos="1080"/>
          <w:tab w:val="left" w:pos="1288"/>
        </w:tabs>
        <w:snapToGrid w:val="0"/>
        <w:spacing w:line="620" w:lineRule="exact"/>
        <w:ind w:leftChars="200" w:left="31680"/>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w:t>
      </w:r>
      <w:r>
        <w:rPr>
          <w:rFonts w:ascii="宋体" w:hAnsi="宋体" w:cs="宋体" w:hint="eastAsia"/>
          <w:snapToGrid w:val="0"/>
          <w:kern w:val="0"/>
          <w:sz w:val="24"/>
        </w:rPr>
        <w:t>在此期间物业价值将保持稳定</w:t>
      </w:r>
      <w:r>
        <w:rPr>
          <w:rFonts w:ascii="宋体" w:hAnsi="宋体" w:cs="宋体" w:hint="eastAsia"/>
          <w:sz w:val="24"/>
        </w:rPr>
        <w:t>；</w:t>
      </w:r>
    </w:p>
    <w:p w:rsidR="00E62AD6" w:rsidRDefault="00E62AD6" w:rsidP="00F23040">
      <w:pPr>
        <w:tabs>
          <w:tab w:val="left" w:pos="900"/>
          <w:tab w:val="left" w:pos="1004"/>
          <w:tab w:val="left" w:pos="1080"/>
          <w:tab w:val="left" w:pos="1288"/>
        </w:tabs>
        <w:snapToGrid w:val="0"/>
        <w:spacing w:line="620" w:lineRule="exact"/>
        <w:ind w:leftChars="200" w:left="31680"/>
        <w:rPr>
          <w:rFonts w:asci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）不考虑特殊买家的额外出价。</w:t>
      </w:r>
    </w:p>
    <w:p w:rsidR="00E62AD6" w:rsidRDefault="00E62AD6" w:rsidP="00F23040">
      <w:pPr>
        <w:snapToGrid w:val="0"/>
        <w:spacing w:line="620" w:lineRule="exact"/>
        <w:ind w:firstLineChars="177" w:firstLine="31680"/>
        <w:rPr>
          <w:rFonts w:ascii="宋体"/>
          <w:b/>
          <w:bCs/>
          <w:sz w:val="24"/>
        </w:rPr>
      </w:pPr>
      <w:r>
        <w:rPr>
          <w:rFonts w:ascii="宋体" w:hAnsi="宋体" w:hint="eastAsia"/>
          <w:b/>
          <w:bCs/>
          <w:sz w:val="24"/>
        </w:rPr>
        <w:t>（二）未定事项假设</w:t>
      </w:r>
    </w:p>
    <w:p w:rsidR="00E62AD6" w:rsidRDefault="00E62AD6" w:rsidP="00F23040">
      <w:pPr>
        <w:snapToGrid w:val="0"/>
        <w:spacing w:line="620" w:lineRule="exact"/>
        <w:ind w:firstLineChars="177" w:firstLine="31680"/>
        <w:rPr>
          <w:rFonts w:ascii="宋体" w:cs="宋体"/>
          <w:sz w:val="24"/>
        </w:rPr>
      </w:pPr>
      <w:r>
        <w:rPr>
          <w:rFonts w:ascii="宋体" w:hAnsi="宋体" w:cs="宋体" w:hint="eastAsia"/>
          <w:sz w:val="24"/>
        </w:rPr>
        <w:t>估价对象无未定事项，本次评估无未定事项假设。</w:t>
      </w:r>
    </w:p>
    <w:p w:rsidR="00E62AD6" w:rsidRDefault="00E62AD6" w:rsidP="00F23040">
      <w:pPr>
        <w:snapToGrid w:val="0"/>
        <w:spacing w:line="620" w:lineRule="exact"/>
        <w:ind w:firstLineChars="177" w:firstLine="31680"/>
        <w:rPr>
          <w:rFonts w:ascii="宋体"/>
          <w:b/>
          <w:bCs/>
          <w:sz w:val="24"/>
        </w:rPr>
      </w:pPr>
      <w:r>
        <w:rPr>
          <w:rFonts w:ascii="宋体" w:hAnsi="宋体" w:hint="eastAsia"/>
          <w:b/>
          <w:bCs/>
          <w:sz w:val="24"/>
        </w:rPr>
        <w:t>（三）背离事实假设</w:t>
      </w:r>
    </w:p>
    <w:p w:rsidR="00E62AD6" w:rsidRDefault="00E62AD6" w:rsidP="00F23040">
      <w:pPr>
        <w:snapToGrid w:val="0"/>
        <w:spacing w:line="620" w:lineRule="exact"/>
        <w:ind w:firstLineChars="177" w:firstLine="31680"/>
        <w:rPr>
          <w:rFonts w:ascii="宋体" w:cs="宋体"/>
          <w:sz w:val="24"/>
        </w:rPr>
      </w:pPr>
      <w:r>
        <w:rPr>
          <w:rFonts w:ascii="宋体" w:hAnsi="宋体" w:cs="宋体" w:hint="eastAsia"/>
          <w:sz w:val="24"/>
        </w:rPr>
        <w:t>在价值时点，估价对象已设立抵押权，本次估价不考虑该因素对估价对象已的影响</w:t>
      </w:r>
      <w:r>
        <w:rPr>
          <w:rFonts w:ascii="宋体" w:cs="宋体" w:hint="eastAsia"/>
          <w:sz w:val="24"/>
        </w:rPr>
        <w:t>，</w:t>
      </w:r>
      <w:r>
        <w:rPr>
          <w:rFonts w:ascii="宋体" w:hAnsi="宋体" w:cs="宋体" w:hint="eastAsia"/>
          <w:sz w:val="24"/>
        </w:rPr>
        <w:t>提请报告使用人注意该事项。</w:t>
      </w:r>
    </w:p>
    <w:p w:rsidR="00E62AD6" w:rsidRDefault="00E62AD6" w:rsidP="00F23040">
      <w:pPr>
        <w:snapToGrid w:val="0"/>
        <w:spacing w:line="620" w:lineRule="exact"/>
        <w:ind w:firstLineChars="177" w:firstLine="31680"/>
        <w:rPr>
          <w:rFonts w:ascii="宋体"/>
          <w:b/>
          <w:bCs/>
          <w:sz w:val="24"/>
        </w:rPr>
      </w:pPr>
      <w:r>
        <w:rPr>
          <w:rFonts w:ascii="宋体" w:hAnsi="宋体" w:hint="eastAsia"/>
          <w:b/>
          <w:bCs/>
          <w:sz w:val="24"/>
        </w:rPr>
        <w:t>（四）不相一致假设</w:t>
      </w:r>
    </w:p>
    <w:p w:rsidR="00E62AD6" w:rsidRDefault="00E62AD6" w:rsidP="00F23040">
      <w:pPr>
        <w:snapToGrid w:val="0"/>
        <w:spacing w:line="620" w:lineRule="exact"/>
        <w:ind w:firstLineChars="177" w:firstLine="31680"/>
        <w:rPr>
          <w:rFonts w:ascii="宋体" w:cs="宋体"/>
          <w:sz w:val="24"/>
        </w:rPr>
      </w:pPr>
      <w:r>
        <w:rPr>
          <w:rFonts w:ascii="宋体" w:hAnsi="宋体" w:cs="宋体" w:hint="eastAsia"/>
          <w:sz w:val="24"/>
        </w:rPr>
        <w:t>估价对象不存在不相一致事项，故本估价报告无不相一致假设。</w:t>
      </w:r>
    </w:p>
    <w:p w:rsidR="00E62AD6" w:rsidRDefault="00E62AD6" w:rsidP="00F23040">
      <w:pPr>
        <w:snapToGrid w:val="0"/>
        <w:spacing w:line="620" w:lineRule="exact"/>
        <w:ind w:firstLineChars="177" w:firstLine="31680"/>
        <w:rPr>
          <w:rFonts w:ascii="宋体"/>
          <w:b/>
          <w:bCs/>
          <w:sz w:val="24"/>
        </w:rPr>
      </w:pPr>
      <w:r>
        <w:rPr>
          <w:rFonts w:ascii="宋体" w:hAnsi="宋体" w:hint="eastAsia"/>
          <w:b/>
          <w:bCs/>
          <w:sz w:val="24"/>
        </w:rPr>
        <w:t>（五）依据不足假设</w:t>
      </w:r>
    </w:p>
    <w:p w:rsidR="00E62AD6" w:rsidRDefault="00E62AD6" w:rsidP="00F23040">
      <w:pPr>
        <w:snapToGrid w:val="0"/>
        <w:spacing w:line="620" w:lineRule="exact"/>
        <w:ind w:firstLineChars="177" w:firstLine="31680"/>
        <w:rPr>
          <w:sz w:val="24"/>
        </w:rPr>
      </w:pPr>
      <w:r>
        <w:rPr>
          <w:rFonts w:hint="eastAsia"/>
          <w:sz w:val="24"/>
        </w:rPr>
        <w:t>估价委托人提供了权属证书的复印件，本次估价假设估价委托人提供的权属证书复印件及其记载信息合法、真实、准确、完整为估价前提。</w:t>
      </w:r>
    </w:p>
    <w:p w:rsidR="00E62AD6" w:rsidRDefault="00E62AD6" w:rsidP="00F23040">
      <w:pPr>
        <w:snapToGrid w:val="0"/>
        <w:spacing w:line="620" w:lineRule="exact"/>
        <w:ind w:firstLineChars="177" w:firstLine="31680"/>
        <w:rPr>
          <w:rFonts w:ascii="宋体"/>
          <w:b/>
          <w:bCs/>
          <w:sz w:val="24"/>
        </w:rPr>
      </w:pPr>
      <w:r>
        <w:rPr>
          <w:rFonts w:ascii="宋体" w:hAnsi="宋体" w:hint="eastAsia"/>
          <w:b/>
          <w:bCs/>
          <w:sz w:val="24"/>
        </w:rPr>
        <w:t>（六）估价报告使用限制</w:t>
      </w:r>
    </w:p>
    <w:p w:rsidR="00E62AD6" w:rsidRDefault="00E62AD6" w:rsidP="00F23040">
      <w:pPr>
        <w:snapToGrid w:val="0"/>
        <w:spacing w:line="620" w:lineRule="exact"/>
        <w:ind w:firstLineChars="177" w:firstLine="31680"/>
        <w:rPr>
          <w:rFonts w:ascii="宋体" w:cs="宋体"/>
          <w:sz w:val="24"/>
        </w:rPr>
      </w:pPr>
      <w:r>
        <w:rPr>
          <w:rFonts w:ascii="宋体" w:hAnsi="宋体" w:cs="宋体"/>
          <w:sz w:val="24"/>
        </w:rPr>
        <w:t>1</w:t>
      </w:r>
      <w:r>
        <w:rPr>
          <w:rFonts w:ascii="宋体" w:hAnsi="宋体" w:cs="宋体" w:hint="eastAsia"/>
          <w:sz w:val="24"/>
        </w:rPr>
        <w:t>、本估价报告</w:t>
      </w:r>
      <w:r>
        <w:rPr>
          <w:rFonts w:ascii="宋体" w:hAnsi="宋体" w:hint="eastAsia"/>
          <w:sz w:val="24"/>
        </w:rPr>
        <w:t>为人民法院确定财产处置参考价提供参考依据</w:t>
      </w:r>
      <w:r>
        <w:rPr>
          <w:rFonts w:ascii="宋体" w:hAnsi="宋体" w:cs="宋体" w:hint="eastAsia"/>
          <w:sz w:val="24"/>
        </w:rPr>
        <w:t>而评估房地产市场价值，不对其他用途负责。</w:t>
      </w:r>
    </w:p>
    <w:p w:rsidR="00E62AD6" w:rsidRDefault="00E62AD6" w:rsidP="00F23040">
      <w:pPr>
        <w:snapToGrid w:val="0"/>
        <w:spacing w:line="620" w:lineRule="exact"/>
        <w:ind w:firstLineChars="177" w:firstLine="31680"/>
        <w:rPr>
          <w:rFonts w:ascii="宋体" w:cs="宋体"/>
          <w:sz w:val="24"/>
        </w:rPr>
      </w:pPr>
      <w:r>
        <w:rPr>
          <w:rFonts w:ascii="宋体" w:hAnsi="宋体" w:cs="宋体"/>
          <w:sz w:val="24"/>
        </w:rPr>
        <w:t>2</w:t>
      </w:r>
      <w:r>
        <w:rPr>
          <w:rFonts w:ascii="宋体" w:hAnsi="宋体" w:cs="宋体" w:hint="eastAsia"/>
          <w:sz w:val="24"/>
        </w:rPr>
        <w:t>、本估价结果仅为人民法院确定财产处置参考价服务，不是估价对象处置可实现的成交价格，也不应当被视为对估价对象处置成交价格的保证。</w:t>
      </w:r>
    </w:p>
    <w:p w:rsidR="00E62AD6" w:rsidRDefault="00E62AD6" w:rsidP="00F23040">
      <w:pPr>
        <w:snapToGrid w:val="0"/>
        <w:spacing w:line="620" w:lineRule="exact"/>
        <w:ind w:firstLineChars="177" w:firstLine="31680"/>
        <w:rPr>
          <w:rFonts w:ascii="宋体" w:cs="宋体"/>
          <w:sz w:val="24"/>
        </w:rPr>
      </w:pPr>
      <w:r>
        <w:rPr>
          <w:rFonts w:ascii="宋体" w:hAnsi="宋体" w:cs="宋体"/>
          <w:sz w:val="24"/>
        </w:rPr>
        <w:t>3</w:t>
      </w:r>
      <w:r>
        <w:rPr>
          <w:rFonts w:ascii="宋体" w:hAnsi="宋体" w:cs="宋体" w:hint="eastAsia"/>
          <w:sz w:val="24"/>
        </w:rPr>
        <w:t>、在估价报告使用期限或估价结果有效期内，估价报告或者估价结果未使用之前，如果估价对象状况或者房地产市场状况发生明显变化的，估价结果应当进行相应调整后才可使用。</w:t>
      </w:r>
    </w:p>
    <w:p w:rsidR="00E62AD6" w:rsidRDefault="00E62AD6" w:rsidP="00F23040">
      <w:pPr>
        <w:snapToGrid w:val="0"/>
        <w:spacing w:line="620" w:lineRule="exact"/>
        <w:ind w:firstLineChars="177" w:firstLine="31680"/>
        <w:rPr>
          <w:rFonts w:ascii="宋体" w:cs="宋体"/>
          <w:sz w:val="24"/>
        </w:rPr>
      </w:pPr>
      <w:r>
        <w:rPr>
          <w:rFonts w:ascii="宋体" w:hAnsi="宋体" w:cs="宋体"/>
          <w:sz w:val="24"/>
        </w:rPr>
        <w:t>4</w:t>
      </w:r>
      <w:r>
        <w:rPr>
          <w:rFonts w:ascii="宋体" w:hAnsi="宋体" w:cs="宋体" w:hint="eastAsia"/>
          <w:sz w:val="24"/>
        </w:rPr>
        <w:t>、财产拍卖或者变卖之日与价值时点不一致，可能导致评估结果对应的评估对象状况、房地产市场状况、欠缴税费状况等与财产拍卖或者变卖时的相应状况不一致，发生明显变化的，评估结果应当进行相应调整后才可使用。</w:t>
      </w:r>
    </w:p>
    <w:p w:rsidR="00E62AD6" w:rsidRDefault="00E62AD6" w:rsidP="00F23040">
      <w:pPr>
        <w:snapToGrid w:val="0"/>
        <w:spacing w:line="620" w:lineRule="exact"/>
        <w:ind w:firstLineChars="177" w:firstLine="31680"/>
        <w:rPr>
          <w:rFonts w:ascii="宋体" w:cs="宋体"/>
          <w:sz w:val="24"/>
        </w:rPr>
      </w:pPr>
      <w:r>
        <w:rPr>
          <w:rFonts w:ascii="宋体" w:hAnsi="宋体" w:cs="宋体"/>
          <w:sz w:val="24"/>
        </w:rPr>
        <w:t>5</w:t>
      </w:r>
      <w:r>
        <w:rPr>
          <w:rFonts w:ascii="宋体" w:hAnsi="宋体" w:cs="宋体" w:hint="eastAsia"/>
          <w:sz w:val="24"/>
        </w:rPr>
        <w:t>、应当按照法律规定和估价报告载明的用途、使用人、使用期限等使用范围使用估价报告。否则，房地产估价机构和注册房地产估价师依法不承担责任。</w:t>
      </w:r>
    </w:p>
    <w:p w:rsidR="00E62AD6" w:rsidRDefault="00E62AD6" w:rsidP="00F23040">
      <w:pPr>
        <w:snapToGrid w:val="0"/>
        <w:spacing w:line="620" w:lineRule="exact"/>
        <w:ind w:firstLineChars="177" w:firstLine="31680"/>
        <w:rPr>
          <w:rFonts w:ascii="宋体" w:cs="宋体"/>
          <w:sz w:val="24"/>
        </w:rPr>
      </w:pPr>
      <w:r>
        <w:rPr>
          <w:rFonts w:ascii="宋体" w:hAnsi="宋体" w:cs="宋体"/>
          <w:sz w:val="24"/>
        </w:rPr>
        <w:t>6</w:t>
      </w:r>
      <w:r>
        <w:rPr>
          <w:rFonts w:ascii="宋体" w:hAnsi="宋体" w:cs="宋体" w:hint="eastAsia"/>
          <w:sz w:val="24"/>
        </w:rPr>
        <w:t>、本估价报告的使用者为估价委托人和国家法律、法规规定的估价报告使用者。估价机构不承担上述以外的任何单位和个人对本估价报告书的全文或部分内容提出的任何责任。</w:t>
      </w:r>
    </w:p>
    <w:p w:rsidR="00E62AD6" w:rsidRDefault="00E62AD6" w:rsidP="00F23040">
      <w:pPr>
        <w:snapToGrid w:val="0"/>
        <w:spacing w:line="620" w:lineRule="exact"/>
        <w:ind w:firstLineChars="177" w:firstLine="31680"/>
        <w:rPr>
          <w:rFonts w:ascii="宋体" w:cs="宋体"/>
          <w:sz w:val="24"/>
        </w:rPr>
      </w:pPr>
      <w:r>
        <w:rPr>
          <w:rFonts w:ascii="宋体" w:hAnsi="宋体" w:cs="宋体"/>
          <w:sz w:val="24"/>
        </w:rPr>
        <w:t>7</w:t>
      </w:r>
      <w:r>
        <w:rPr>
          <w:rFonts w:ascii="宋体" w:hAnsi="宋体" w:cs="宋体" w:hint="eastAsia"/>
          <w:sz w:val="24"/>
        </w:rPr>
        <w:t>、使用本报告有关人士，如有疑问，可向本公司咨询，任何其它单位或个人意见不代表我公司对该物业价值之意见。如报告使用不当引起的任何法律、民事责任等与估价机构无关，同时，估价机构保留追究因报告使用不当给估价机构造成损失的法律责任。</w:t>
      </w:r>
    </w:p>
    <w:p w:rsidR="00E62AD6" w:rsidRDefault="00E62AD6" w:rsidP="00F23040">
      <w:pPr>
        <w:snapToGrid w:val="0"/>
        <w:spacing w:line="620" w:lineRule="exact"/>
        <w:ind w:firstLineChars="177" w:firstLine="31680"/>
        <w:rPr>
          <w:rFonts w:ascii="宋体" w:cs="宋体"/>
          <w:sz w:val="24"/>
        </w:rPr>
      </w:pPr>
      <w:r>
        <w:rPr>
          <w:rFonts w:ascii="宋体" w:hAnsi="宋体" w:cs="宋体"/>
          <w:sz w:val="24"/>
        </w:rPr>
        <w:t>8</w:t>
      </w:r>
      <w:r>
        <w:rPr>
          <w:rFonts w:ascii="宋体" w:hAnsi="宋体" w:cs="宋体" w:hint="eastAsia"/>
          <w:sz w:val="24"/>
        </w:rPr>
        <w:t>、本估价报告包括致估价委托人函、估价师声明、估价的假设和限制条件、估价结果报告、估价技术报告、附件共六部分，必须完整使用方为有效，对使用本报告中部分内容而导致的损失，我公司不承担责任。</w:t>
      </w:r>
    </w:p>
    <w:p w:rsidR="00E62AD6" w:rsidRDefault="00E62AD6" w:rsidP="00F23040">
      <w:pPr>
        <w:snapToGrid w:val="0"/>
        <w:spacing w:line="620" w:lineRule="exact"/>
        <w:ind w:firstLineChars="177" w:firstLine="31680"/>
        <w:rPr>
          <w:rFonts w:ascii="宋体" w:cs="宋体"/>
          <w:sz w:val="24"/>
        </w:rPr>
      </w:pPr>
      <w:r>
        <w:rPr>
          <w:rFonts w:ascii="宋体" w:hAnsi="宋体" w:cs="宋体"/>
          <w:sz w:val="24"/>
        </w:rPr>
        <w:t>9</w:t>
      </w:r>
      <w:r>
        <w:rPr>
          <w:rFonts w:ascii="宋体" w:hAnsi="宋体" w:cs="宋体" w:hint="eastAsia"/>
          <w:sz w:val="24"/>
        </w:rPr>
        <w:t>、未经本公司同意，任何单位或个人不得将本报告的全部或部分内容在任何公开的文件、通告或声明中引用，亦不得以其他任何方式公开发表。</w:t>
      </w:r>
    </w:p>
    <w:p w:rsidR="00E62AD6" w:rsidRDefault="00E62AD6" w:rsidP="00F23040">
      <w:pPr>
        <w:snapToGrid w:val="0"/>
        <w:spacing w:line="620" w:lineRule="exact"/>
        <w:ind w:firstLineChars="177" w:firstLine="31680"/>
        <w:rPr>
          <w:rFonts w:ascii="宋体" w:cs="宋体"/>
          <w:sz w:val="24"/>
        </w:rPr>
      </w:pPr>
      <w:r>
        <w:rPr>
          <w:rFonts w:ascii="宋体" w:hAnsi="宋体" w:cs="宋体"/>
          <w:sz w:val="24"/>
        </w:rPr>
        <w:t>10</w:t>
      </w:r>
      <w:r>
        <w:rPr>
          <w:rFonts w:ascii="宋体" w:hAnsi="宋体" w:cs="宋体" w:hint="eastAsia"/>
          <w:sz w:val="24"/>
        </w:rPr>
        <w:t>、本估价报告分为《房地产估价结果报告》和《房地产估价技术报告》；其中《房地产估价结果报告》提供委托方使用，《房地产估价技术报告》仅供估价机构存档之用。</w:t>
      </w:r>
    </w:p>
    <w:p w:rsidR="00E62AD6" w:rsidRDefault="00E62AD6" w:rsidP="00F23040">
      <w:pPr>
        <w:snapToGrid w:val="0"/>
        <w:spacing w:line="620" w:lineRule="exact"/>
        <w:ind w:firstLineChars="177" w:firstLine="31680"/>
        <w:rPr>
          <w:rFonts w:ascii="宋体" w:cs="宋体"/>
          <w:sz w:val="24"/>
        </w:rPr>
      </w:pPr>
    </w:p>
    <w:p w:rsidR="00E62AD6" w:rsidRDefault="00E62AD6" w:rsidP="00F23040">
      <w:pPr>
        <w:spacing w:line="480" w:lineRule="exact"/>
        <w:ind w:firstLineChars="200" w:firstLine="31680"/>
        <w:jc w:val="center"/>
        <w:rPr>
          <w:rFonts w:ascii="黑体" w:eastAsia="黑体" w:hAnsi="宋体"/>
          <w:sz w:val="44"/>
        </w:rPr>
      </w:pPr>
      <w:r>
        <w:rPr>
          <w:rFonts w:ascii="黑体" w:eastAsia="黑体" w:hAnsi="宋体" w:hint="eastAsia"/>
          <w:sz w:val="44"/>
        </w:rPr>
        <w:t>四、房地产估价结果报告</w:t>
      </w:r>
    </w:p>
    <w:p w:rsidR="00E62AD6" w:rsidRDefault="00E62AD6" w:rsidP="00F23040">
      <w:pPr>
        <w:spacing w:line="360" w:lineRule="exact"/>
        <w:ind w:firstLineChars="200" w:firstLine="31680"/>
        <w:rPr>
          <w:rFonts w:ascii="宋体"/>
          <w:b/>
          <w:bCs/>
        </w:rPr>
      </w:pPr>
    </w:p>
    <w:p w:rsidR="00E62AD6" w:rsidRDefault="00E62AD6" w:rsidP="00F23040">
      <w:pPr>
        <w:spacing w:line="360" w:lineRule="exact"/>
        <w:ind w:firstLineChars="200" w:firstLine="31680"/>
        <w:rPr>
          <w:rFonts w:ascii="宋体"/>
          <w:b/>
          <w:bCs/>
        </w:rPr>
      </w:pPr>
    </w:p>
    <w:p w:rsidR="00E62AD6" w:rsidRDefault="00E62AD6" w:rsidP="00F23040">
      <w:pPr>
        <w:spacing w:line="660" w:lineRule="exact"/>
        <w:ind w:firstLineChars="200" w:firstLine="31680"/>
        <w:rPr>
          <w:rFonts w:ascii="宋体"/>
          <w:b/>
          <w:bCs/>
          <w:sz w:val="24"/>
        </w:rPr>
      </w:pPr>
      <w:r>
        <w:rPr>
          <w:rFonts w:ascii="宋体" w:hAnsi="宋体" w:hint="eastAsia"/>
          <w:b/>
          <w:bCs/>
          <w:sz w:val="24"/>
        </w:rPr>
        <w:t>（一）估价委托人</w:t>
      </w:r>
    </w:p>
    <w:p w:rsidR="00E62AD6" w:rsidRDefault="00E62AD6" w:rsidP="00F23040">
      <w:pPr>
        <w:spacing w:line="660" w:lineRule="exact"/>
        <w:ind w:firstLineChars="200" w:firstLine="31680"/>
        <w:rPr>
          <w:rFonts w:ascii="宋体"/>
          <w:sz w:val="24"/>
        </w:rPr>
      </w:pPr>
      <w:r>
        <w:rPr>
          <w:rFonts w:ascii="宋体" w:hAnsi="宋体" w:hint="eastAsia"/>
          <w:sz w:val="24"/>
        </w:rPr>
        <w:t>名</w:t>
      </w:r>
      <w:r>
        <w:rPr>
          <w:rFonts w:ascii="宋体" w:hAnsi="宋体"/>
          <w:sz w:val="24"/>
        </w:rPr>
        <w:t xml:space="preserve">  </w:t>
      </w:r>
      <w:r>
        <w:rPr>
          <w:rFonts w:ascii="宋体" w:hAnsi="宋体" w:hint="eastAsia"/>
          <w:sz w:val="24"/>
        </w:rPr>
        <w:t>称：汕头市龙湖区人民法院</w:t>
      </w:r>
    </w:p>
    <w:p w:rsidR="00E62AD6" w:rsidRDefault="00E62AD6" w:rsidP="00F23040">
      <w:pPr>
        <w:spacing w:line="660" w:lineRule="exact"/>
        <w:ind w:firstLineChars="200" w:firstLine="31680"/>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址：汕头市黄河路</w:t>
      </w:r>
      <w:r>
        <w:rPr>
          <w:rFonts w:ascii="宋体" w:hAnsi="宋体"/>
          <w:sz w:val="24"/>
        </w:rPr>
        <w:t>31</w:t>
      </w:r>
      <w:r>
        <w:rPr>
          <w:rFonts w:ascii="宋体" w:hAnsi="宋体" w:hint="eastAsia"/>
          <w:sz w:val="24"/>
        </w:rPr>
        <w:t>号</w:t>
      </w:r>
    </w:p>
    <w:p w:rsidR="00E62AD6" w:rsidRDefault="00E62AD6" w:rsidP="00F23040">
      <w:pPr>
        <w:spacing w:line="660" w:lineRule="exact"/>
        <w:ind w:firstLineChars="200" w:firstLine="31680"/>
        <w:rPr>
          <w:rFonts w:ascii="宋体"/>
          <w:sz w:val="24"/>
        </w:rPr>
      </w:pPr>
      <w:r>
        <w:rPr>
          <w:rFonts w:ascii="宋体" w:hAnsi="宋体" w:hint="eastAsia"/>
          <w:sz w:val="24"/>
        </w:rPr>
        <w:t>联系电话：</w:t>
      </w:r>
      <w:r>
        <w:rPr>
          <w:rFonts w:ascii="宋体" w:hAnsi="宋体"/>
          <w:sz w:val="24"/>
        </w:rPr>
        <w:t>0754-88887074</w:t>
      </w:r>
    </w:p>
    <w:p w:rsidR="00E62AD6" w:rsidRDefault="00E62AD6" w:rsidP="00F23040">
      <w:pPr>
        <w:spacing w:line="660" w:lineRule="exact"/>
        <w:ind w:firstLineChars="200" w:firstLine="31680"/>
        <w:rPr>
          <w:rFonts w:ascii="宋体"/>
          <w:sz w:val="24"/>
        </w:rPr>
      </w:pPr>
      <w:r>
        <w:rPr>
          <w:rFonts w:ascii="宋体" w:hAnsi="宋体" w:hint="eastAsia"/>
          <w:sz w:val="24"/>
        </w:rPr>
        <w:t>邮政编码：</w:t>
      </w:r>
      <w:r>
        <w:rPr>
          <w:rFonts w:ascii="宋体" w:hAnsi="宋体"/>
          <w:sz w:val="24"/>
        </w:rPr>
        <w:t>515800</w:t>
      </w:r>
    </w:p>
    <w:p w:rsidR="00E62AD6" w:rsidRDefault="00E62AD6" w:rsidP="00F23040">
      <w:pPr>
        <w:spacing w:line="660" w:lineRule="exact"/>
        <w:ind w:firstLineChars="200" w:firstLine="31680"/>
        <w:rPr>
          <w:rFonts w:ascii="宋体"/>
          <w:b/>
          <w:bCs/>
          <w:sz w:val="24"/>
        </w:rPr>
      </w:pPr>
      <w:r>
        <w:rPr>
          <w:rFonts w:ascii="宋体" w:hAnsi="宋体" w:hint="eastAsia"/>
          <w:b/>
          <w:bCs/>
          <w:sz w:val="24"/>
        </w:rPr>
        <w:t>（二）房地产估价机构</w:t>
      </w:r>
    </w:p>
    <w:p w:rsidR="00E62AD6" w:rsidRDefault="00E62AD6" w:rsidP="005B19AF">
      <w:pPr>
        <w:spacing w:line="660" w:lineRule="exact"/>
        <w:ind w:firstLineChars="200" w:firstLine="31680"/>
        <w:rPr>
          <w:rFonts w:ascii="宋体"/>
          <w:sz w:val="24"/>
        </w:rPr>
      </w:pPr>
      <w:bookmarkStart w:id="0" w:name="OLE_LINK4"/>
      <w:r>
        <w:rPr>
          <w:rFonts w:ascii="宋体" w:hAnsi="宋体" w:hint="eastAsia"/>
          <w:sz w:val="24"/>
        </w:rPr>
        <w:t>名</w:t>
      </w:r>
      <w:r>
        <w:rPr>
          <w:rFonts w:ascii="宋体" w:hAnsi="宋体"/>
          <w:sz w:val="24"/>
        </w:rPr>
        <w:t xml:space="preserve">  </w:t>
      </w:r>
      <w:r>
        <w:rPr>
          <w:rFonts w:ascii="宋体" w:hAnsi="宋体" w:hint="eastAsia"/>
          <w:sz w:val="24"/>
        </w:rPr>
        <w:t>称：广东瑞基资产评估土地房地产估价有限公司</w:t>
      </w:r>
    </w:p>
    <w:p w:rsidR="00E62AD6" w:rsidRDefault="00E62AD6" w:rsidP="00F23040">
      <w:pPr>
        <w:spacing w:line="660" w:lineRule="exact"/>
        <w:ind w:firstLineChars="200" w:firstLine="31680"/>
        <w:rPr>
          <w:rFonts w:ascii="宋体"/>
          <w:sz w:val="24"/>
        </w:rPr>
      </w:pPr>
      <w:r>
        <w:rPr>
          <w:rFonts w:ascii="宋体" w:hAnsi="宋体" w:hint="eastAsia"/>
          <w:sz w:val="24"/>
        </w:rPr>
        <w:t>法定代表人：谢</w:t>
      </w:r>
      <w:r>
        <w:rPr>
          <w:rFonts w:ascii="宋体" w:hAnsi="宋体"/>
          <w:sz w:val="24"/>
        </w:rPr>
        <w:t xml:space="preserve"> </w:t>
      </w:r>
      <w:r>
        <w:rPr>
          <w:rFonts w:ascii="宋体" w:hAnsi="宋体" w:hint="eastAsia"/>
          <w:sz w:val="24"/>
        </w:rPr>
        <w:t>镇</w:t>
      </w:r>
      <w:r>
        <w:rPr>
          <w:rFonts w:ascii="宋体" w:hAnsi="宋体"/>
          <w:sz w:val="24"/>
        </w:rPr>
        <w:t xml:space="preserve"> </w:t>
      </w:r>
      <w:r>
        <w:rPr>
          <w:rFonts w:ascii="宋体" w:hAnsi="宋体" w:hint="eastAsia"/>
          <w:sz w:val="24"/>
        </w:rPr>
        <w:t>华</w:t>
      </w:r>
    </w:p>
    <w:p w:rsidR="00E62AD6" w:rsidRDefault="00E62AD6" w:rsidP="00F23040">
      <w:pPr>
        <w:spacing w:line="660" w:lineRule="exact"/>
        <w:ind w:firstLineChars="200" w:firstLine="31680"/>
        <w:rPr>
          <w:rFonts w:ascii="宋体"/>
          <w:sz w:val="24"/>
        </w:rPr>
      </w:pPr>
      <w:r>
        <w:rPr>
          <w:rFonts w:ascii="宋体" w:hAnsi="宋体" w:hint="eastAsia"/>
          <w:sz w:val="24"/>
        </w:rPr>
        <w:t>住</w:t>
      </w:r>
      <w:r>
        <w:rPr>
          <w:rFonts w:ascii="宋体" w:hAnsi="宋体"/>
          <w:sz w:val="24"/>
        </w:rPr>
        <w:t xml:space="preserve">  </w:t>
      </w:r>
      <w:r>
        <w:rPr>
          <w:rFonts w:ascii="宋体" w:hAnsi="宋体" w:hint="eastAsia"/>
          <w:sz w:val="24"/>
        </w:rPr>
        <w:t>所：汕头市龙眼路</w:t>
      </w:r>
      <w:r>
        <w:rPr>
          <w:rFonts w:ascii="宋体" w:hAnsi="宋体"/>
          <w:sz w:val="24"/>
        </w:rPr>
        <w:t>20</w:t>
      </w:r>
      <w:r>
        <w:rPr>
          <w:rFonts w:ascii="宋体" w:hAnsi="宋体" w:hint="eastAsia"/>
          <w:sz w:val="24"/>
        </w:rPr>
        <w:t>号泰联商厦十楼东侧</w:t>
      </w:r>
      <w:r>
        <w:rPr>
          <w:rFonts w:ascii="宋体" w:hAnsi="宋体"/>
          <w:sz w:val="24"/>
        </w:rPr>
        <w:t>1002</w:t>
      </w:r>
      <w:r>
        <w:rPr>
          <w:rFonts w:ascii="宋体" w:hAnsi="宋体" w:hint="eastAsia"/>
          <w:sz w:val="24"/>
        </w:rPr>
        <w:t>房</w:t>
      </w:r>
    </w:p>
    <w:p w:rsidR="00E62AD6" w:rsidRDefault="00E62AD6" w:rsidP="00F23040">
      <w:pPr>
        <w:spacing w:line="660" w:lineRule="exact"/>
        <w:ind w:firstLineChars="200" w:firstLine="31680"/>
        <w:rPr>
          <w:rFonts w:ascii="宋体"/>
          <w:sz w:val="24"/>
        </w:rPr>
      </w:pPr>
      <w:r>
        <w:rPr>
          <w:rFonts w:ascii="宋体" w:hAnsi="宋体" w:hint="eastAsia"/>
          <w:sz w:val="24"/>
        </w:rPr>
        <w:t>统一社会信用代码：</w:t>
      </w:r>
      <w:r>
        <w:rPr>
          <w:rFonts w:ascii="宋体" w:hAnsi="宋体"/>
          <w:sz w:val="24"/>
        </w:rPr>
        <w:t>914405007270883063</w:t>
      </w:r>
    </w:p>
    <w:p w:rsidR="00E62AD6" w:rsidRDefault="00E62AD6" w:rsidP="00F23040">
      <w:pPr>
        <w:spacing w:line="660" w:lineRule="exact"/>
        <w:ind w:firstLineChars="200" w:firstLine="31680"/>
        <w:rPr>
          <w:rFonts w:ascii="宋体"/>
          <w:sz w:val="24"/>
        </w:rPr>
      </w:pPr>
      <w:r>
        <w:rPr>
          <w:rFonts w:ascii="宋体" w:hAnsi="宋体" w:hint="eastAsia"/>
          <w:sz w:val="24"/>
        </w:rPr>
        <w:t>资</w:t>
      </w:r>
      <w:r>
        <w:rPr>
          <w:rFonts w:ascii="宋体" w:hAnsi="宋体"/>
          <w:sz w:val="24"/>
        </w:rPr>
        <w:t xml:space="preserve"> </w:t>
      </w:r>
      <w:r>
        <w:rPr>
          <w:rFonts w:ascii="宋体" w:hAnsi="宋体" w:hint="eastAsia"/>
          <w:sz w:val="24"/>
        </w:rPr>
        <w:t>质</w:t>
      </w:r>
      <w:r>
        <w:rPr>
          <w:rFonts w:ascii="宋体" w:hAnsi="宋体"/>
          <w:sz w:val="24"/>
        </w:rPr>
        <w:t xml:space="preserve"> </w:t>
      </w:r>
      <w:r>
        <w:rPr>
          <w:rFonts w:ascii="宋体" w:hAnsi="宋体" w:hint="eastAsia"/>
          <w:sz w:val="24"/>
        </w:rPr>
        <w:t>等</w:t>
      </w:r>
      <w:r>
        <w:rPr>
          <w:rFonts w:ascii="宋体" w:hAnsi="宋体"/>
          <w:sz w:val="24"/>
        </w:rPr>
        <w:t xml:space="preserve"> </w:t>
      </w:r>
      <w:r>
        <w:rPr>
          <w:rFonts w:ascii="宋体" w:hAnsi="宋体" w:hint="eastAsia"/>
          <w:sz w:val="24"/>
        </w:rPr>
        <w:t>级：贰</w:t>
      </w:r>
      <w:r>
        <w:rPr>
          <w:rFonts w:ascii="宋体" w:hAnsi="宋体"/>
          <w:sz w:val="24"/>
        </w:rPr>
        <w:t xml:space="preserve">  </w:t>
      </w:r>
      <w:r>
        <w:rPr>
          <w:rFonts w:ascii="宋体" w:hAnsi="宋体" w:hint="eastAsia"/>
          <w:sz w:val="24"/>
        </w:rPr>
        <w:t>级</w:t>
      </w:r>
    </w:p>
    <w:p w:rsidR="00E62AD6" w:rsidRDefault="00E62AD6" w:rsidP="00F23040">
      <w:pPr>
        <w:spacing w:line="660" w:lineRule="exact"/>
        <w:ind w:firstLineChars="200" w:firstLine="31680"/>
        <w:rPr>
          <w:rFonts w:ascii="宋体"/>
          <w:sz w:val="24"/>
        </w:rPr>
      </w:pPr>
      <w:r>
        <w:rPr>
          <w:rFonts w:ascii="宋体" w:hAnsi="宋体" w:hint="eastAsia"/>
          <w:sz w:val="24"/>
        </w:rPr>
        <w:t>证</w:t>
      </w:r>
      <w:r>
        <w:rPr>
          <w:rFonts w:ascii="宋体" w:hAnsi="宋体"/>
          <w:sz w:val="24"/>
        </w:rPr>
        <w:t xml:space="preserve"> </w:t>
      </w:r>
      <w:r>
        <w:rPr>
          <w:rFonts w:ascii="宋体" w:hAnsi="宋体" w:hint="eastAsia"/>
          <w:sz w:val="24"/>
        </w:rPr>
        <w:t>书</w:t>
      </w:r>
      <w:r>
        <w:rPr>
          <w:rFonts w:ascii="宋体" w:hAnsi="宋体"/>
          <w:sz w:val="24"/>
        </w:rPr>
        <w:t xml:space="preserve"> </w:t>
      </w:r>
      <w:r>
        <w:rPr>
          <w:rFonts w:ascii="宋体" w:hAnsi="宋体" w:hint="eastAsia"/>
          <w:sz w:val="24"/>
        </w:rPr>
        <w:t>编</w:t>
      </w:r>
      <w:r>
        <w:rPr>
          <w:rFonts w:ascii="宋体" w:hAnsi="宋体"/>
          <w:sz w:val="24"/>
        </w:rPr>
        <w:t xml:space="preserve"> </w:t>
      </w:r>
      <w:r>
        <w:rPr>
          <w:rFonts w:ascii="宋体" w:hAnsi="宋体" w:hint="eastAsia"/>
          <w:sz w:val="24"/>
        </w:rPr>
        <w:t>号：粤房估备字贰</w:t>
      </w:r>
      <w:r>
        <w:rPr>
          <w:rFonts w:ascii="宋体" w:hAnsi="宋体"/>
          <w:sz w:val="24"/>
        </w:rPr>
        <w:t>0400004</w:t>
      </w:r>
    </w:p>
    <w:p w:rsidR="00E62AD6" w:rsidRDefault="00E62AD6" w:rsidP="005B19AF">
      <w:pPr>
        <w:spacing w:line="660" w:lineRule="exact"/>
        <w:ind w:firstLineChars="200" w:firstLine="31680"/>
        <w:rPr>
          <w:rFonts w:ascii="宋体"/>
          <w:sz w:val="24"/>
        </w:rPr>
      </w:pPr>
      <w:r>
        <w:rPr>
          <w:rFonts w:ascii="宋体" w:hAnsi="宋体" w:hint="eastAsia"/>
          <w:sz w:val="24"/>
        </w:rPr>
        <w:t>联系电话：</w:t>
      </w:r>
      <w:r>
        <w:rPr>
          <w:rFonts w:ascii="宋体" w:hAnsi="宋体"/>
          <w:sz w:val="24"/>
        </w:rPr>
        <w:t>0754—88525964</w:t>
      </w:r>
    </w:p>
    <w:bookmarkEnd w:id="0"/>
    <w:p w:rsidR="00E62AD6" w:rsidRDefault="00E62AD6" w:rsidP="00F23040">
      <w:pPr>
        <w:spacing w:line="660" w:lineRule="exact"/>
        <w:ind w:firstLineChars="200" w:firstLine="31680"/>
        <w:rPr>
          <w:rFonts w:ascii="宋体"/>
          <w:b/>
          <w:bCs/>
          <w:sz w:val="24"/>
        </w:rPr>
      </w:pPr>
      <w:r>
        <w:rPr>
          <w:rFonts w:ascii="宋体" w:hAnsi="宋体" w:hint="eastAsia"/>
          <w:b/>
          <w:bCs/>
          <w:sz w:val="24"/>
        </w:rPr>
        <w:t>（三）估价对象</w:t>
      </w:r>
    </w:p>
    <w:p w:rsidR="00E62AD6" w:rsidRDefault="00E62AD6" w:rsidP="00F23040">
      <w:pPr>
        <w:spacing w:line="660" w:lineRule="exact"/>
        <w:ind w:firstLineChars="200" w:firstLine="31680"/>
        <w:rPr>
          <w:rFonts w:ascii="宋体"/>
          <w:sz w:val="24"/>
        </w:rPr>
      </w:pPr>
      <w:r>
        <w:rPr>
          <w:rFonts w:ascii="宋体" w:hAnsi="宋体"/>
          <w:sz w:val="24"/>
        </w:rPr>
        <w:t>1</w:t>
      </w:r>
      <w:r>
        <w:rPr>
          <w:rFonts w:ascii="宋体" w:hAnsi="宋体" w:hint="eastAsia"/>
          <w:sz w:val="24"/>
        </w:rPr>
        <w:t>、名称及范围</w:t>
      </w:r>
    </w:p>
    <w:p w:rsidR="00E62AD6" w:rsidRDefault="00E62AD6" w:rsidP="00F23040">
      <w:pPr>
        <w:spacing w:line="660" w:lineRule="exact"/>
        <w:ind w:firstLineChars="200" w:firstLine="31680"/>
        <w:rPr>
          <w:rFonts w:ascii="宋体"/>
          <w:sz w:val="24"/>
        </w:rPr>
      </w:pPr>
      <w:r>
        <w:rPr>
          <w:rFonts w:ascii="宋体" w:hAnsi="宋体" w:hint="eastAsia"/>
          <w:sz w:val="24"/>
        </w:rPr>
        <w:t>估价对象为汕头市龙湖区碧霞庄北区</w:t>
      </w:r>
      <w:r>
        <w:rPr>
          <w:rFonts w:ascii="宋体" w:hAnsi="宋体"/>
          <w:sz w:val="24"/>
        </w:rPr>
        <w:t>2</w:t>
      </w:r>
      <w:r>
        <w:rPr>
          <w:rFonts w:ascii="宋体" w:hAnsi="宋体" w:hint="eastAsia"/>
          <w:sz w:val="24"/>
        </w:rPr>
        <w:t>幢</w:t>
      </w:r>
      <w:r>
        <w:rPr>
          <w:rFonts w:ascii="宋体" w:hAnsi="宋体"/>
          <w:sz w:val="24"/>
        </w:rPr>
        <w:t>125</w:t>
      </w:r>
      <w:r>
        <w:rPr>
          <w:rFonts w:ascii="宋体" w:hAnsi="宋体" w:hint="eastAsia"/>
          <w:sz w:val="24"/>
        </w:rPr>
        <w:t>号房，建筑面积</w:t>
      </w:r>
      <w:r>
        <w:rPr>
          <w:rFonts w:ascii="宋体" w:hAnsi="宋体"/>
          <w:sz w:val="24"/>
        </w:rPr>
        <w:t>22.03</w:t>
      </w:r>
      <w:r>
        <w:rPr>
          <w:rFonts w:ascii="宋体" w:hAnsi="宋体" w:hint="eastAsia"/>
          <w:sz w:val="24"/>
        </w:rPr>
        <w:t>㎡的房地产。</w:t>
      </w:r>
    </w:p>
    <w:p w:rsidR="00E62AD6" w:rsidRDefault="00E62AD6" w:rsidP="00F23040">
      <w:pPr>
        <w:spacing w:line="660" w:lineRule="exact"/>
        <w:ind w:firstLineChars="200" w:firstLine="31680"/>
        <w:rPr>
          <w:rFonts w:ascii="宋体"/>
          <w:sz w:val="24"/>
        </w:rPr>
      </w:pPr>
      <w:r>
        <w:rPr>
          <w:rFonts w:ascii="宋体" w:hAnsi="宋体"/>
          <w:sz w:val="24"/>
        </w:rPr>
        <w:t>2</w:t>
      </w:r>
      <w:r>
        <w:rPr>
          <w:rFonts w:ascii="宋体" w:hAnsi="宋体" w:hint="eastAsia"/>
          <w:sz w:val="24"/>
        </w:rPr>
        <w:t>、权属状况</w:t>
      </w:r>
    </w:p>
    <w:p w:rsidR="00E62AD6" w:rsidRDefault="00E62AD6" w:rsidP="00F23040">
      <w:pPr>
        <w:spacing w:line="660" w:lineRule="exact"/>
        <w:ind w:firstLineChars="200" w:firstLine="31680"/>
        <w:rPr>
          <w:rFonts w:ascii="宋体"/>
          <w:sz w:val="24"/>
        </w:rPr>
      </w:pPr>
      <w:r>
        <w:rPr>
          <w:rFonts w:ascii="宋体" w:hAnsi="宋体" w:hint="eastAsia"/>
          <w:sz w:val="24"/>
        </w:rPr>
        <w:t>根据《房地产权结果信息一览表》载明：该房地产权属证号为粤房地证字第</w:t>
      </w:r>
      <w:r>
        <w:rPr>
          <w:rFonts w:ascii="宋体" w:hAnsi="宋体"/>
          <w:sz w:val="24"/>
        </w:rPr>
        <w:t>2820728</w:t>
      </w:r>
      <w:r>
        <w:rPr>
          <w:rFonts w:ascii="宋体" w:hAnsi="宋体" w:hint="eastAsia"/>
          <w:sz w:val="24"/>
        </w:rPr>
        <w:t>号，权属人为杨汉民，地号为</w:t>
      </w:r>
      <w:r>
        <w:rPr>
          <w:rFonts w:ascii="宋体" w:hAnsi="宋体"/>
          <w:sz w:val="24"/>
        </w:rPr>
        <w:t>309-</w:t>
      </w: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rPr>
          <w:t>00-02-009</w:t>
        </w:r>
      </w:smartTag>
      <w:r>
        <w:rPr>
          <w:rFonts w:ascii="宋体" w:hAnsi="宋体" w:hint="eastAsia"/>
          <w:sz w:val="24"/>
        </w:rPr>
        <w:t>，单元号</w:t>
      </w:r>
      <w:r>
        <w:rPr>
          <w:rFonts w:ascii="宋体" w:hAnsi="宋体"/>
          <w:sz w:val="24"/>
        </w:rPr>
        <w:t>440507005012GB</w:t>
      </w:r>
      <w:smartTag w:uri="urn:schemas-microsoft-com:office:smarttags" w:element="chsdate">
        <w:smartTagPr>
          <w:attr w:name="IsROCDate" w:val="False"/>
          <w:attr w:name="IsLunarDate" w:val="False"/>
          <w:attr w:name="Day" w:val="31"/>
          <w:attr w:name="Month" w:val="12"/>
          <w:attr w:name="Year" w:val="2021"/>
        </w:smartTagPr>
        <w:smartTag w:uri="urn:schemas-microsoft-com:office:smarttags" w:element="chmetcnv">
          <w:smartTagPr>
            <w:attr w:name="TCSC" w:val="0"/>
            <w:attr w:name="NumberType" w:val="1"/>
            <w:attr w:name="Negative" w:val="False"/>
            <w:attr w:name="HasSpace" w:val="False"/>
            <w:attr w:name="SourceValue" w:val="26"/>
            <w:attr w:name="UnitName" w:val="F"/>
          </w:smartTagPr>
          <w:r>
            <w:rPr>
              <w:rFonts w:ascii="宋体" w:hAnsi="宋体"/>
              <w:sz w:val="24"/>
            </w:rPr>
            <w:t>00026F</w:t>
          </w:r>
        </w:smartTag>
      </w:smartTag>
      <w:r>
        <w:rPr>
          <w:rFonts w:ascii="宋体" w:hAnsi="宋体"/>
          <w:sz w:val="24"/>
        </w:rPr>
        <w:t>0002</w:t>
      </w:r>
      <w:r>
        <w:rPr>
          <w:rFonts w:ascii="宋体"/>
          <w:sz w:val="24"/>
        </w:rPr>
        <w:t>0</w:t>
      </w:r>
      <w:r>
        <w:rPr>
          <w:rFonts w:ascii="宋体" w:hAnsi="宋体"/>
          <w:sz w:val="24"/>
        </w:rPr>
        <w:t>011</w:t>
      </w:r>
      <w:r>
        <w:rPr>
          <w:rFonts w:ascii="宋体" w:hAnsi="宋体" w:hint="eastAsia"/>
          <w:sz w:val="24"/>
        </w:rPr>
        <w:t>，房屋用途为其他，房屋性质为市场化商品房，土地终止日期为</w:t>
      </w: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rPr>
          <w:t>2065</w:t>
        </w:r>
        <w:r>
          <w:rPr>
            <w:rFonts w:ascii="宋体" w:hAnsi="宋体" w:hint="eastAsia"/>
            <w:sz w:val="24"/>
          </w:rPr>
          <w:t>年</w:t>
        </w:r>
        <w:r>
          <w:rPr>
            <w:rFonts w:ascii="宋体"/>
            <w:sz w:val="24"/>
          </w:rPr>
          <w:t>05</w:t>
        </w:r>
        <w:r>
          <w:rPr>
            <w:rFonts w:ascii="宋体" w:hAnsi="宋体" w:hint="eastAsia"/>
            <w:sz w:val="24"/>
          </w:rPr>
          <w:t>月</w:t>
        </w:r>
        <w:r>
          <w:rPr>
            <w:rFonts w:ascii="宋体" w:hAnsi="宋体"/>
            <w:sz w:val="24"/>
          </w:rPr>
          <w:t>31</w:t>
        </w:r>
        <w:r>
          <w:rPr>
            <w:rFonts w:ascii="宋体" w:hAnsi="宋体" w:hint="eastAsia"/>
            <w:sz w:val="24"/>
          </w:rPr>
          <w:t>日</w:t>
        </w:r>
      </w:smartTag>
      <w:r>
        <w:rPr>
          <w:rFonts w:ascii="宋体" w:hAnsi="宋体" w:hint="eastAsia"/>
          <w:sz w:val="24"/>
        </w:rPr>
        <w:t>，土地来源、土地用途未载明。</w:t>
      </w:r>
    </w:p>
    <w:p w:rsidR="00E62AD6" w:rsidRDefault="00E62AD6" w:rsidP="00F23040">
      <w:pPr>
        <w:spacing w:line="660" w:lineRule="exact"/>
        <w:ind w:firstLineChars="200" w:firstLine="31680"/>
        <w:rPr>
          <w:rFonts w:ascii="宋体"/>
          <w:sz w:val="24"/>
        </w:rPr>
      </w:pPr>
      <w:r>
        <w:rPr>
          <w:rFonts w:ascii="宋体" w:hAnsi="宋体" w:hint="eastAsia"/>
          <w:sz w:val="24"/>
        </w:rPr>
        <w:t>上述房地产已于</w:t>
      </w: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rPr>
          <w:t>2022</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19</w:t>
        </w:r>
        <w:r>
          <w:rPr>
            <w:rFonts w:ascii="宋体" w:hAnsi="宋体" w:hint="eastAsia"/>
            <w:sz w:val="24"/>
          </w:rPr>
          <w:t>日</w:t>
        </w:r>
      </w:smartTag>
      <w:r>
        <w:rPr>
          <w:rFonts w:ascii="宋体" w:hAnsi="宋体" w:hint="eastAsia"/>
          <w:sz w:val="24"/>
        </w:rPr>
        <w:t>由汕头市龙湖区人民法院（</w:t>
      </w:r>
      <w:r>
        <w:rPr>
          <w:rFonts w:ascii="宋体" w:hAnsi="宋体"/>
          <w:sz w:val="24"/>
        </w:rPr>
        <w:t>2022</w:t>
      </w:r>
      <w:r>
        <w:rPr>
          <w:rFonts w:ascii="宋体" w:hAnsi="宋体" w:hint="eastAsia"/>
          <w:sz w:val="24"/>
        </w:rPr>
        <w:t>）粤</w:t>
      </w:r>
      <w:r>
        <w:rPr>
          <w:rFonts w:ascii="宋体" w:hAnsi="宋体"/>
          <w:sz w:val="24"/>
        </w:rPr>
        <w:t>0507</w:t>
      </w:r>
      <w:r>
        <w:rPr>
          <w:rFonts w:ascii="宋体" w:hAnsi="宋体" w:hint="eastAsia"/>
          <w:sz w:val="24"/>
        </w:rPr>
        <w:t>执</w:t>
      </w:r>
      <w:r>
        <w:rPr>
          <w:rFonts w:ascii="宋体" w:hAnsi="宋体"/>
          <w:sz w:val="24"/>
        </w:rPr>
        <w:t>1235</w:t>
      </w:r>
      <w:r>
        <w:rPr>
          <w:rFonts w:ascii="宋体" w:hAnsi="宋体" w:hint="eastAsia"/>
          <w:sz w:val="24"/>
        </w:rPr>
        <w:t>号《执行裁定书》查封</w:t>
      </w:r>
      <w:r>
        <w:rPr>
          <w:rFonts w:ascii="宋体" w:hint="eastAsia"/>
          <w:sz w:val="24"/>
        </w:rPr>
        <w:t>，</w:t>
      </w:r>
      <w:r>
        <w:rPr>
          <w:rFonts w:ascii="宋体" w:hAnsi="宋体" w:hint="eastAsia"/>
          <w:sz w:val="24"/>
        </w:rPr>
        <w:t>并由（</w:t>
      </w:r>
      <w:r>
        <w:rPr>
          <w:rFonts w:ascii="宋体" w:hAnsi="宋体"/>
          <w:sz w:val="24"/>
        </w:rPr>
        <w:t>2022</w:t>
      </w:r>
      <w:r>
        <w:rPr>
          <w:rFonts w:ascii="宋体" w:hAnsi="宋体" w:hint="eastAsia"/>
          <w:sz w:val="24"/>
        </w:rPr>
        <w:t>）粤</w:t>
      </w:r>
      <w:r>
        <w:rPr>
          <w:rFonts w:ascii="宋体" w:hAnsi="宋体"/>
          <w:sz w:val="24"/>
        </w:rPr>
        <w:t>0507</w:t>
      </w:r>
      <w:r>
        <w:rPr>
          <w:rFonts w:ascii="宋体" w:hAnsi="宋体" w:hint="eastAsia"/>
          <w:sz w:val="24"/>
        </w:rPr>
        <w:t>执</w:t>
      </w:r>
      <w:r>
        <w:rPr>
          <w:rFonts w:ascii="宋体" w:hAnsi="宋体"/>
          <w:sz w:val="24"/>
        </w:rPr>
        <w:t>1235</w:t>
      </w:r>
      <w:r>
        <w:rPr>
          <w:rFonts w:ascii="宋体" w:hAnsi="宋体" w:hint="eastAsia"/>
          <w:sz w:val="24"/>
        </w:rPr>
        <w:t>号《司法评估委托书》委托评估。</w:t>
      </w:r>
    </w:p>
    <w:p w:rsidR="00E62AD6" w:rsidRDefault="00E62AD6" w:rsidP="00F23040">
      <w:pPr>
        <w:spacing w:line="660" w:lineRule="exact"/>
        <w:ind w:firstLineChars="200" w:firstLine="31680"/>
        <w:rPr>
          <w:rFonts w:ascii="宋体"/>
          <w:sz w:val="24"/>
        </w:rPr>
      </w:pPr>
      <w:r>
        <w:rPr>
          <w:rFonts w:ascii="宋体" w:hAnsi="宋体"/>
          <w:sz w:val="24"/>
        </w:rPr>
        <w:t>3</w:t>
      </w:r>
      <w:r>
        <w:rPr>
          <w:rFonts w:ascii="宋体" w:hAnsi="宋体" w:hint="eastAsia"/>
          <w:sz w:val="24"/>
        </w:rPr>
        <w:t>、实物状况分析</w:t>
      </w:r>
    </w:p>
    <w:p w:rsidR="00E62AD6" w:rsidRDefault="00E62AD6" w:rsidP="00F23040">
      <w:pPr>
        <w:spacing w:line="660" w:lineRule="exact"/>
        <w:ind w:firstLineChars="200" w:firstLine="31680"/>
        <w:rPr>
          <w:rFonts w:ascii="宋体"/>
          <w:sz w:val="24"/>
        </w:rPr>
      </w:pPr>
      <w:r>
        <w:rPr>
          <w:rFonts w:ascii="宋体" w:hAnsi="宋体" w:hint="eastAsia"/>
          <w:sz w:val="24"/>
        </w:rPr>
        <w:t>估价对象所在建筑物为龙湖区碧霞庄北</w:t>
      </w:r>
      <w:r>
        <w:rPr>
          <w:rFonts w:ascii="宋体" w:hAnsi="宋体"/>
          <w:sz w:val="24"/>
        </w:rPr>
        <w:t>2</w:t>
      </w:r>
      <w:r>
        <w:rPr>
          <w:rFonts w:ascii="宋体" w:hAnsi="宋体" w:hint="eastAsia"/>
          <w:sz w:val="24"/>
        </w:rPr>
        <w:t>幢</w:t>
      </w:r>
      <w:r>
        <w:rPr>
          <w:rFonts w:ascii="宋体" w:hAnsi="宋体"/>
          <w:sz w:val="24"/>
        </w:rPr>
        <w:t>125</w:t>
      </w:r>
      <w:r>
        <w:rPr>
          <w:rFonts w:ascii="宋体" w:hAnsi="宋体" w:hint="eastAsia"/>
          <w:sz w:val="24"/>
        </w:rPr>
        <w:t>号房，建筑结构为钢混框架结构，总层数为</w:t>
      </w:r>
      <w:r>
        <w:rPr>
          <w:rFonts w:ascii="宋体" w:hAnsi="宋体"/>
          <w:sz w:val="24"/>
        </w:rPr>
        <w:t>8</w:t>
      </w:r>
      <w:r>
        <w:rPr>
          <w:rFonts w:ascii="宋体" w:hAnsi="宋体" w:hint="eastAsia"/>
          <w:sz w:val="24"/>
        </w:rPr>
        <w:t>层。外墙面贴马赛克</w:t>
      </w:r>
      <w:r>
        <w:rPr>
          <w:rFonts w:ascii="宋体" w:hint="eastAsia"/>
          <w:sz w:val="24"/>
        </w:rPr>
        <w:t>，</w:t>
      </w:r>
      <w:r>
        <w:rPr>
          <w:rFonts w:ascii="宋体" w:hAnsi="宋体" w:hint="eastAsia"/>
          <w:sz w:val="24"/>
        </w:rPr>
        <w:t>配铝合金玻璃窗，整体外部观感普通。</w:t>
      </w:r>
    </w:p>
    <w:p w:rsidR="00E62AD6" w:rsidRDefault="00E62AD6" w:rsidP="00F23040">
      <w:pPr>
        <w:snapToGrid w:val="0"/>
        <w:spacing w:line="600" w:lineRule="exact"/>
        <w:ind w:firstLineChars="177" w:firstLine="31680"/>
        <w:rPr>
          <w:rFonts w:ascii="宋体" w:cs="宋体"/>
          <w:sz w:val="24"/>
        </w:rPr>
      </w:pPr>
      <w:r>
        <w:rPr>
          <w:rFonts w:ascii="宋体" w:hAnsi="宋体" w:hint="eastAsia"/>
          <w:sz w:val="24"/>
        </w:rPr>
        <w:t>估价对象位于该建筑物第</w:t>
      </w:r>
      <w:r>
        <w:rPr>
          <w:rFonts w:ascii="宋体" w:hAnsi="宋体"/>
          <w:sz w:val="24"/>
        </w:rPr>
        <w:t>1</w:t>
      </w:r>
      <w:r>
        <w:rPr>
          <w:rFonts w:ascii="宋体" w:hAnsi="宋体" w:hint="eastAsia"/>
          <w:sz w:val="24"/>
        </w:rPr>
        <w:t>层</w:t>
      </w:r>
      <w:r>
        <w:rPr>
          <w:rFonts w:ascii="宋体"/>
          <w:sz w:val="24"/>
        </w:rPr>
        <w:t>125</w:t>
      </w:r>
      <w:r>
        <w:rPr>
          <w:rFonts w:ascii="宋体" w:hAnsi="宋体" w:hint="eastAsia"/>
          <w:sz w:val="24"/>
        </w:rPr>
        <w:t>号房，</w:t>
      </w:r>
      <w:r>
        <w:rPr>
          <w:rFonts w:ascii="宋体" w:hAnsi="宋体" w:cs="宋体" w:hint="eastAsia"/>
          <w:sz w:val="24"/>
        </w:rPr>
        <w:t>配铝合金卷闸</w:t>
      </w:r>
      <w:r>
        <w:rPr>
          <w:rFonts w:ascii="宋体" w:hAnsi="宋体" w:hint="eastAsia"/>
          <w:sz w:val="24"/>
        </w:rPr>
        <w:t>门、落地玻璃门，楼地面贴普通地砖，内墙面：下部贴磁砖，上部刷乳胶漆；天花刷乳胶漆。</w:t>
      </w:r>
    </w:p>
    <w:p w:rsidR="00E62AD6" w:rsidRDefault="00E62AD6" w:rsidP="00F23040">
      <w:pPr>
        <w:spacing w:line="660" w:lineRule="exact"/>
        <w:ind w:firstLineChars="200" w:firstLine="31680"/>
        <w:rPr>
          <w:rFonts w:ascii="宋体"/>
          <w:sz w:val="24"/>
        </w:rPr>
      </w:pPr>
      <w:r>
        <w:rPr>
          <w:rFonts w:ascii="宋体" w:hAnsi="宋体"/>
          <w:sz w:val="24"/>
        </w:rPr>
        <w:t>4</w:t>
      </w:r>
      <w:r>
        <w:rPr>
          <w:rFonts w:ascii="宋体" w:hAnsi="宋体" w:hint="eastAsia"/>
          <w:sz w:val="24"/>
        </w:rPr>
        <w:t>、区位状况分析</w:t>
      </w:r>
    </w:p>
    <w:p w:rsidR="00E62AD6" w:rsidRDefault="00E62AD6" w:rsidP="00F23040">
      <w:pPr>
        <w:spacing w:line="660" w:lineRule="exact"/>
        <w:ind w:firstLineChars="200" w:firstLine="31680"/>
        <w:rPr>
          <w:rFonts w:ascii="宋体"/>
          <w:sz w:val="24"/>
        </w:rPr>
      </w:pPr>
      <w:r>
        <w:rPr>
          <w:rFonts w:ascii="宋体" w:hAnsi="宋体" w:hint="eastAsia"/>
          <w:sz w:val="24"/>
        </w:rPr>
        <w:t>估价对象所在区域为龙湖区碧霞庄北区，东为天山路，南为中山路，西临华山路、北临长平路，交通便捷。周围有万象城、苏宁广场、市行政服务中心、群光广场、林百欣国际会议展中心、丹霞小学及中信碧霞花园、爵士花园、永成大厦等住宅区。该区域各项生活、教育、市政等设施配套完善。</w:t>
      </w:r>
    </w:p>
    <w:p w:rsidR="00E62AD6" w:rsidRDefault="00E62AD6" w:rsidP="00F23040">
      <w:pPr>
        <w:spacing w:line="660" w:lineRule="exact"/>
        <w:ind w:firstLineChars="200" w:firstLine="31680"/>
        <w:rPr>
          <w:rFonts w:ascii="宋体"/>
          <w:b/>
          <w:bCs/>
          <w:sz w:val="24"/>
        </w:rPr>
      </w:pPr>
      <w:r>
        <w:rPr>
          <w:rFonts w:ascii="宋体" w:hAnsi="宋体" w:hint="eastAsia"/>
          <w:b/>
          <w:bCs/>
          <w:sz w:val="24"/>
        </w:rPr>
        <w:t>（四）估价目的</w:t>
      </w:r>
    </w:p>
    <w:p w:rsidR="00E62AD6" w:rsidRDefault="00E62AD6" w:rsidP="00F23040">
      <w:pPr>
        <w:spacing w:line="660" w:lineRule="exact"/>
        <w:ind w:firstLineChars="200" w:firstLine="31680"/>
        <w:rPr>
          <w:rFonts w:ascii="宋体"/>
          <w:sz w:val="24"/>
        </w:rPr>
      </w:pPr>
      <w:r>
        <w:rPr>
          <w:rFonts w:ascii="宋体" w:hAnsi="宋体" w:hint="eastAsia"/>
          <w:sz w:val="24"/>
        </w:rPr>
        <w:t>为人民法院确定财产处置参考价提供参考依据。</w:t>
      </w:r>
    </w:p>
    <w:p w:rsidR="00E62AD6" w:rsidRDefault="00E62AD6" w:rsidP="00F23040">
      <w:pPr>
        <w:spacing w:line="660" w:lineRule="exact"/>
        <w:ind w:firstLineChars="200" w:firstLine="31680"/>
        <w:rPr>
          <w:rFonts w:ascii="宋体"/>
          <w:b/>
          <w:bCs/>
          <w:sz w:val="24"/>
        </w:rPr>
      </w:pPr>
      <w:r>
        <w:rPr>
          <w:rFonts w:ascii="宋体" w:hAnsi="宋体" w:hint="eastAsia"/>
          <w:b/>
          <w:bCs/>
          <w:sz w:val="24"/>
        </w:rPr>
        <w:t>（五）价值时点</w:t>
      </w:r>
    </w:p>
    <w:p w:rsidR="00E62AD6" w:rsidRDefault="00E62AD6" w:rsidP="00F23040">
      <w:pPr>
        <w:pStyle w:val="PlainText"/>
        <w:tabs>
          <w:tab w:val="left" w:pos="105"/>
        </w:tabs>
        <w:snapToGrid w:val="0"/>
        <w:spacing w:line="660" w:lineRule="exact"/>
        <w:ind w:firstLineChars="200" w:firstLine="31680"/>
        <w:rPr>
          <w:rFonts w:hAnsi="宋体"/>
          <w:szCs w:val="24"/>
        </w:rPr>
      </w:pPr>
      <w:r>
        <w:rPr>
          <w:rFonts w:hAnsi="宋体" w:hint="eastAsia"/>
          <w:szCs w:val="24"/>
        </w:rPr>
        <w:t>本次评估在委托人及相关工作人员的陪同下，于</w:t>
      </w:r>
      <w:smartTag w:uri="urn:schemas-microsoft-com:office:smarttags" w:element="chsdate">
        <w:smartTagPr>
          <w:attr w:name="IsROCDate" w:val="False"/>
          <w:attr w:name="IsLunarDate" w:val="False"/>
          <w:attr w:name="Day" w:val="31"/>
          <w:attr w:name="Month" w:val="12"/>
          <w:attr w:name="Year" w:val="2021"/>
        </w:smartTagPr>
        <w:r>
          <w:rPr>
            <w:rFonts w:hAnsi="宋体"/>
            <w:szCs w:val="24"/>
          </w:rPr>
          <w:t>2022</w:t>
        </w:r>
        <w:r>
          <w:rPr>
            <w:rFonts w:hAnsi="宋体" w:hint="eastAsia"/>
            <w:szCs w:val="24"/>
          </w:rPr>
          <w:t>年</w:t>
        </w:r>
        <w:r>
          <w:rPr>
            <w:rFonts w:hAnsi="宋体"/>
            <w:szCs w:val="24"/>
          </w:rPr>
          <w:t>9</w:t>
        </w:r>
        <w:r>
          <w:rPr>
            <w:rFonts w:hAnsi="宋体" w:hint="eastAsia"/>
            <w:szCs w:val="24"/>
          </w:rPr>
          <w:t>月</w:t>
        </w:r>
        <w:r>
          <w:rPr>
            <w:rFonts w:hAnsi="宋体"/>
            <w:szCs w:val="24"/>
          </w:rPr>
          <w:t>5</w:t>
        </w:r>
        <w:r>
          <w:rPr>
            <w:rFonts w:hAnsi="宋体" w:hint="eastAsia"/>
            <w:szCs w:val="24"/>
          </w:rPr>
          <w:t>日</w:t>
        </w:r>
      </w:smartTag>
      <w:r>
        <w:rPr>
          <w:rFonts w:hAnsi="宋体" w:hint="eastAsia"/>
          <w:szCs w:val="24"/>
        </w:rPr>
        <w:t>对涉执房地产进行现场勘查，故以现场勘查日期作为本次评估的价值时点，即价值时点为</w:t>
      </w:r>
      <w:smartTag w:uri="urn:schemas-microsoft-com:office:smarttags" w:element="chsdate">
        <w:smartTagPr>
          <w:attr w:name="IsROCDate" w:val="False"/>
          <w:attr w:name="IsLunarDate" w:val="False"/>
          <w:attr w:name="Day" w:val="31"/>
          <w:attr w:name="Month" w:val="12"/>
          <w:attr w:name="Year" w:val="2021"/>
        </w:smartTagPr>
        <w:r>
          <w:rPr>
            <w:rFonts w:hAnsi="宋体"/>
            <w:szCs w:val="24"/>
          </w:rPr>
          <w:t>2022</w:t>
        </w:r>
        <w:r>
          <w:rPr>
            <w:rFonts w:hAnsi="宋体" w:hint="eastAsia"/>
            <w:szCs w:val="24"/>
          </w:rPr>
          <w:t>年</w:t>
        </w:r>
        <w:r>
          <w:rPr>
            <w:rFonts w:hAnsi="宋体"/>
            <w:szCs w:val="24"/>
          </w:rPr>
          <w:t>9</w:t>
        </w:r>
        <w:r>
          <w:rPr>
            <w:rFonts w:hAnsi="宋体" w:hint="eastAsia"/>
            <w:szCs w:val="24"/>
          </w:rPr>
          <w:t>月</w:t>
        </w:r>
        <w:r>
          <w:rPr>
            <w:rFonts w:hAnsi="宋体"/>
            <w:szCs w:val="24"/>
          </w:rPr>
          <w:t>5</w:t>
        </w:r>
        <w:r>
          <w:rPr>
            <w:rFonts w:hAnsi="宋体" w:hint="eastAsia"/>
            <w:szCs w:val="24"/>
          </w:rPr>
          <w:t>日</w:t>
        </w:r>
      </w:smartTag>
      <w:r>
        <w:rPr>
          <w:rFonts w:hAnsi="宋体" w:hint="eastAsia"/>
          <w:szCs w:val="24"/>
        </w:rPr>
        <w:t>。</w:t>
      </w:r>
    </w:p>
    <w:p w:rsidR="00E62AD6" w:rsidRDefault="00E62AD6" w:rsidP="00F23040">
      <w:pPr>
        <w:spacing w:line="660" w:lineRule="exact"/>
        <w:ind w:firstLineChars="200" w:firstLine="31680"/>
        <w:rPr>
          <w:rFonts w:ascii="宋体"/>
          <w:b/>
          <w:bCs/>
          <w:sz w:val="24"/>
        </w:rPr>
      </w:pPr>
      <w:r>
        <w:rPr>
          <w:rFonts w:ascii="宋体" w:hAnsi="宋体" w:hint="eastAsia"/>
          <w:b/>
          <w:bCs/>
          <w:sz w:val="24"/>
        </w:rPr>
        <w:t>（六）价值类型</w:t>
      </w:r>
    </w:p>
    <w:p w:rsidR="00E62AD6" w:rsidRDefault="00E62AD6" w:rsidP="00F23040">
      <w:pPr>
        <w:pStyle w:val="PlainText"/>
        <w:tabs>
          <w:tab w:val="left" w:pos="105"/>
        </w:tabs>
        <w:snapToGrid w:val="0"/>
        <w:spacing w:line="660" w:lineRule="exact"/>
        <w:ind w:firstLineChars="200" w:firstLine="31680"/>
        <w:rPr>
          <w:rFonts w:hAnsi="宋体"/>
          <w:szCs w:val="24"/>
        </w:rPr>
      </w:pPr>
      <w:r>
        <w:rPr>
          <w:rFonts w:hAnsi="宋体" w:hint="eastAsia"/>
          <w:szCs w:val="24"/>
        </w:rPr>
        <w:t>本次估价的价值类型为市场价值，市场价值即是在现实权利状况下，以及公开市场假设条件下，于价值时点最可能形成的价格。</w:t>
      </w:r>
    </w:p>
    <w:p w:rsidR="00E62AD6" w:rsidRDefault="00E62AD6" w:rsidP="00F23040">
      <w:pPr>
        <w:spacing w:line="660" w:lineRule="exact"/>
        <w:ind w:firstLineChars="200" w:firstLine="31680"/>
        <w:rPr>
          <w:rFonts w:ascii="宋体"/>
          <w:b/>
          <w:bCs/>
          <w:sz w:val="24"/>
        </w:rPr>
      </w:pPr>
      <w:r>
        <w:rPr>
          <w:rFonts w:ascii="宋体" w:hAnsi="宋体" w:hint="eastAsia"/>
          <w:b/>
          <w:bCs/>
          <w:sz w:val="24"/>
        </w:rPr>
        <w:t>（七）估价依据</w:t>
      </w:r>
    </w:p>
    <w:p w:rsidR="00E62AD6" w:rsidRDefault="00E62AD6" w:rsidP="00F23040">
      <w:pPr>
        <w:pStyle w:val="PlainText"/>
        <w:tabs>
          <w:tab w:val="left" w:pos="105"/>
        </w:tabs>
        <w:snapToGrid w:val="0"/>
        <w:spacing w:line="660" w:lineRule="exact"/>
        <w:ind w:firstLineChars="200" w:firstLine="31680"/>
        <w:rPr>
          <w:rFonts w:hAnsi="宋体"/>
          <w:szCs w:val="24"/>
        </w:rPr>
      </w:pPr>
      <w:r>
        <w:rPr>
          <w:rFonts w:hAnsi="宋体" w:hint="eastAsia"/>
          <w:szCs w:val="24"/>
        </w:rPr>
        <w:t>本次评估依据国家、广东省和汕头市人民政府及其有关部门颁布的法律规定和政策性文件以及评估房地产的具体资料，主要有：</w:t>
      </w:r>
    </w:p>
    <w:p w:rsidR="00E62AD6" w:rsidRDefault="00E62AD6" w:rsidP="00F23040">
      <w:pPr>
        <w:pStyle w:val="PlainText"/>
        <w:tabs>
          <w:tab w:val="left" w:pos="105"/>
        </w:tabs>
        <w:snapToGrid w:val="0"/>
        <w:spacing w:line="660" w:lineRule="exact"/>
        <w:ind w:firstLineChars="200" w:firstLine="31680"/>
        <w:rPr>
          <w:rFonts w:hAnsi="宋体"/>
          <w:szCs w:val="24"/>
        </w:rPr>
      </w:pPr>
      <w:r>
        <w:rPr>
          <w:rFonts w:hAnsi="宋体"/>
          <w:szCs w:val="24"/>
        </w:rPr>
        <w:t>1</w:t>
      </w:r>
      <w:r>
        <w:rPr>
          <w:rFonts w:hAnsi="宋体" w:hint="eastAsia"/>
          <w:szCs w:val="24"/>
        </w:rPr>
        <w:t>、法律、法规和政策文件</w:t>
      </w:r>
    </w:p>
    <w:p w:rsidR="00E62AD6" w:rsidRDefault="00E62AD6" w:rsidP="00F23040">
      <w:pPr>
        <w:tabs>
          <w:tab w:val="left" w:pos="105"/>
        </w:tabs>
        <w:snapToGrid w:val="0"/>
        <w:spacing w:line="660" w:lineRule="exact"/>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）《中华人民共和国城市房地产管理法》（主席令第</w:t>
      </w:r>
      <w:r>
        <w:rPr>
          <w:rFonts w:ascii="宋体" w:hAnsi="宋体"/>
          <w:sz w:val="24"/>
        </w:rPr>
        <w:t>32</w:t>
      </w:r>
      <w:r>
        <w:rPr>
          <w:rFonts w:ascii="宋体" w:hAnsi="宋体" w:hint="eastAsia"/>
          <w:sz w:val="24"/>
        </w:rPr>
        <w:t>号</w:t>
      </w: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rPr>
          <w:t>2019</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26</w:t>
        </w:r>
        <w:r>
          <w:rPr>
            <w:rFonts w:ascii="宋体" w:hAnsi="宋体" w:hint="eastAsia"/>
            <w:sz w:val="24"/>
          </w:rPr>
          <w:t>日</w:t>
        </w:r>
      </w:smartTag>
      <w:r>
        <w:rPr>
          <w:rFonts w:ascii="宋体" w:hAnsi="宋体" w:hint="eastAsia"/>
          <w:sz w:val="24"/>
        </w:rPr>
        <w:t>修改）；</w:t>
      </w:r>
    </w:p>
    <w:p w:rsidR="00E62AD6" w:rsidRDefault="00E62AD6" w:rsidP="00F23040">
      <w:pPr>
        <w:tabs>
          <w:tab w:val="left" w:pos="105"/>
        </w:tabs>
        <w:snapToGrid w:val="0"/>
        <w:spacing w:line="66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）《中华人民共和国土地管理法》（主席令第</w:t>
      </w:r>
      <w:r>
        <w:rPr>
          <w:rFonts w:ascii="宋体" w:hAnsi="宋体"/>
          <w:sz w:val="24"/>
        </w:rPr>
        <w:t>32</w:t>
      </w:r>
      <w:r>
        <w:rPr>
          <w:rFonts w:ascii="宋体" w:hAnsi="宋体" w:hint="eastAsia"/>
          <w:sz w:val="24"/>
        </w:rPr>
        <w:t>号</w:t>
      </w: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rPr>
          <w:t>2019</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26</w:t>
        </w:r>
        <w:r>
          <w:rPr>
            <w:rFonts w:ascii="宋体" w:hAnsi="宋体" w:hint="eastAsia"/>
            <w:sz w:val="24"/>
          </w:rPr>
          <w:t>日</w:t>
        </w:r>
      </w:smartTag>
      <w:r>
        <w:rPr>
          <w:rFonts w:ascii="宋体" w:hAnsi="宋体" w:hint="eastAsia"/>
          <w:sz w:val="24"/>
        </w:rPr>
        <w:t>修改）；</w:t>
      </w:r>
    </w:p>
    <w:p w:rsidR="00E62AD6" w:rsidRDefault="00E62AD6" w:rsidP="00F23040">
      <w:pPr>
        <w:tabs>
          <w:tab w:val="left" w:pos="105"/>
        </w:tabs>
        <w:snapToGrid w:val="0"/>
        <w:spacing w:line="660" w:lineRule="exact"/>
        <w:ind w:firstLineChars="200"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）《中华人民共和国民法典》（</w:t>
      </w: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rPr>
          <w:t>2020</w:t>
        </w:r>
        <w:r>
          <w:rPr>
            <w:rFonts w:ascii="宋体" w:hAnsi="宋体" w:hint="eastAsia"/>
            <w:sz w:val="24"/>
          </w:rPr>
          <w:t>年</w:t>
        </w:r>
        <w:r>
          <w:rPr>
            <w:rFonts w:ascii="宋体" w:hAnsi="宋体"/>
            <w:sz w:val="24"/>
          </w:rPr>
          <w:t>5</w:t>
        </w:r>
        <w:r>
          <w:rPr>
            <w:rFonts w:ascii="宋体" w:hAnsi="宋体" w:hint="eastAsia"/>
            <w:sz w:val="24"/>
          </w:rPr>
          <w:t>月</w:t>
        </w:r>
        <w:r>
          <w:rPr>
            <w:rFonts w:ascii="宋体" w:hAnsi="宋体"/>
            <w:sz w:val="24"/>
          </w:rPr>
          <w:t>28</w:t>
        </w:r>
        <w:r>
          <w:rPr>
            <w:rFonts w:ascii="宋体" w:hAnsi="宋体" w:hint="eastAsia"/>
            <w:sz w:val="24"/>
          </w:rPr>
          <w:t>日</w:t>
        </w:r>
      </w:smartTag>
      <w:r>
        <w:rPr>
          <w:rFonts w:ascii="宋体" w:hAnsi="宋体" w:hint="eastAsia"/>
          <w:sz w:val="24"/>
        </w:rPr>
        <w:t>第十三届全国人民代表大会第三次会议用过，自</w:t>
      </w: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rPr>
          <w:t>2021</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日起</w:t>
        </w:r>
      </w:smartTag>
      <w:r>
        <w:rPr>
          <w:rFonts w:ascii="宋体" w:hAnsi="宋体" w:hint="eastAsia"/>
          <w:sz w:val="24"/>
        </w:rPr>
        <w:t>施行）；</w:t>
      </w:r>
    </w:p>
    <w:p w:rsidR="00E62AD6" w:rsidRDefault="00E62AD6" w:rsidP="00F23040">
      <w:pPr>
        <w:tabs>
          <w:tab w:val="left" w:pos="105"/>
        </w:tabs>
        <w:snapToGrid w:val="0"/>
        <w:spacing w:line="660" w:lineRule="exact"/>
        <w:ind w:firstLineChars="200" w:firstLine="31680"/>
        <w:rPr>
          <w:rFonts w:ascii="宋体"/>
          <w:sz w:val="24"/>
        </w:rPr>
      </w:pPr>
      <w:r>
        <w:rPr>
          <w:rFonts w:ascii="宋体" w:hAnsi="宋体" w:hint="eastAsia"/>
          <w:sz w:val="24"/>
        </w:rPr>
        <w:t>（</w:t>
      </w:r>
      <w:r>
        <w:rPr>
          <w:rFonts w:ascii="宋体" w:hAnsi="宋体"/>
          <w:sz w:val="24"/>
        </w:rPr>
        <w:t>4</w:t>
      </w:r>
      <w:r>
        <w:rPr>
          <w:rFonts w:ascii="宋体" w:hAnsi="宋体" w:hint="eastAsia"/>
          <w:sz w:val="24"/>
        </w:rPr>
        <w:t>）《中华人民共和国城乡规划法》（主席令第</w:t>
      </w:r>
      <w:r>
        <w:rPr>
          <w:rFonts w:ascii="宋体" w:hAnsi="宋体"/>
          <w:sz w:val="24"/>
        </w:rPr>
        <w:t>74</w:t>
      </w:r>
      <w:r>
        <w:rPr>
          <w:rFonts w:ascii="宋体" w:hAnsi="宋体" w:hint="eastAsia"/>
          <w:sz w:val="24"/>
        </w:rPr>
        <w:t>号</w:t>
      </w: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rPr>
          <w:t>2008</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日起</w:t>
        </w:r>
      </w:smartTag>
      <w:r>
        <w:rPr>
          <w:rFonts w:ascii="宋体" w:hAnsi="宋体" w:hint="eastAsia"/>
          <w:sz w:val="24"/>
        </w:rPr>
        <w:t>实施）；</w:t>
      </w:r>
    </w:p>
    <w:p w:rsidR="00E62AD6" w:rsidRDefault="00E62AD6" w:rsidP="00F23040">
      <w:pPr>
        <w:tabs>
          <w:tab w:val="left" w:pos="105"/>
        </w:tabs>
        <w:snapToGrid w:val="0"/>
        <w:spacing w:line="660" w:lineRule="exact"/>
        <w:ind w:firstLineChars="200" w:firstLine="31680"/>
        <w:rPr>
          <w:rFonts w:ascii="宋体"/>
          <w:sz w:val="24"/>
        </w:rPr>
      </w:pPr>
      <w:r>
        <w:rPr>
          <w:rFonts w:ascii="宋体" w:hAnsi="宋体" w:hint="eastAsia"/>
          <w:sz w:val="24"/>
        </w:rPr>
        <w:t>（</w:t>
      </w:r>
      <w:r>
        <w:rPr>
          <w:rFonts w:ascii="宋体" w:hAnsi="宋体"/>
          <w:sz w:val="24"/>
        </w:rPr>
        <w:t>5</w:t>
      </w:r>
      <w:r>
        <w:rPr>
          <w:rFonts w:ascii="宋体" w:hAnsi="宋体" w:hint="eastAsia"/>
          <w:sz w:val="24"/>
        </w:rPr>
        <w:t>）《中华人民共和国资产评估法》（自</w:t>
      </w: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rPr>
          <w:t>2016</w:t>
        </w:r>
        <w:r>
          <w:rPr>
            <w:rFonts w:ascii="宋体" w:hAnsi="宋体" w:hint="eastAsia"/>
            <w:sz w:val="24"/>
          </w:rPr>
          <w:t>年</w:t>
        </w:r>
        <w:r>
          <w:rPr>
            <w:rFonts w:ascii="宋体" w:hAnsi="宋体"/>
            <w:sz w:val="24"/>
          </w:rPr>
          <w:t>12</w:t>
        </w:r>
        <w:r>
          <w:rPr>
            <w:rFonts w:ascii="宋体" w:hAnsi="宋体" w:hint="eastAsia"/>
            <w:sz w:val="24"/>
          </w:rPr>
          <w:t>月</w:t>
        </w:r>
        <w:r>
          <w:rPr>
            <w:rFonts w:ascii="宋体" w:hAnsi="宋体"/>
            <w:sz w:val="24"/>
          </w:rPr>
          <w:t>1</w:t>
        </w:r>
        <w:r>
          <w:rPr>
            <w:rFonts w:ascii="宋体" w:hAnsi="宋体" w:hint="eastAsia"/>
            <w:sz w:val="24"/>
          </w:rPr>
          <w:t>日起</w:t>
        </w:r>
      </w:smartTag>
      <w:r>
        <w:rPr>
          <w:rFonts w:ascii="宋体" w:hAnsi="宋体" w:hint="eastAsia"/>
          <w:sz w:val="24"/>
        </w:rPr>
        <w:t>施行）；</w:t>
      </w:r>
    </w:p>
    <w:p w:rsidR="00E62AD6" w:rsidRDefault="00E62AD6" w:rsidP="00F23040">
      <w:pPr>
        <w:tabs>
          <w:tab w:val="left" w:pos="105"/>
        </w:tabs>
        <w:snapToGrid w:val="0"/>
        <w:spacing w:line="660" w:lineRule="exact"/>
        <w:ind w:firstLineChars="200" w:firstLine="31680"/>
        <w:rPr>
          <w:rFonts w:ascii="宋体"/>
          <w:sz w:val="24"/>
        </w:rPr>
      </w:pPr>
      <w:r>
        <w:rPr>
          <w:rFonts w:ascii="宋体" w:hAnsi="宋体"/>
          <w:sz w:val="24"/>
        </w:rPr>
        <w:t>2</w:t>
      </w:r>
      <w:r>
        <w:rPr>
          <w:rFonts w:ascii="宋体" w:hAnsi="宋体" w:hint="eastAsia"/>
          <w:sz w:val="24"/>
        </w:rPr>
        <w:t>、技术规程</w:t>
      </w:r>
    </w:p>
    <w:p w:rsidR="00E62AD6" w:rsidRDefault="00E62AD6" w:rsidP="00F23040">
      <w:pPr>
        <w:pStyle w:val="PlainText"/>
        <w:tabs>
          <w:tab w:val="left" w:pos="105"/>
        </w:tabs>
        <w:snapToGrid w:val="0"/>
        <w:spacing w:line="660" w:lineRule="exact"/>
        <w:ind w:firstLineChars="200" w:firstLine="31680"/>
        <w:rPr>
          <w:rFonts w:hAnsi="宋体"/>
          <w:szCs w:val="24"/>
        </w:rPr>
      </w:pPr>
      <w:r>
        <w:rPr>
          <w:rFonts w:hAnsi="宋体" w:hint="eastAsia"/>
          <w:szCs w:val="24"/>
        </w:rPr>
        <w:t>（</w:t>
      </w:r>
      <w:r>
        <w:rPr>
          <w:rFonts w:hAnsi="宋体"/>
          <w:szCs w:val="24"/>
        </w:rPr>
        <w:t>1</w:t>
      </w:r>
      <w:r>
        <w:rPr>
          <w:rFonts w:hAnsi="宋体" w:hint="eastAsia"/>
          <w:szCs w:val="24"/>
        </w:rPr>
        <w:t>）《房地产估价规范》（</w:t>
      </w:r>
      <w:r>
        <w:rPr>
          <w:rFonts w:hAnsi="宋体"/>
          <w:szCs w:val="24"/>
        </w:rPr>
        <w:t>GB/T50291-2015</w:t>
      </w:r>
      <w:r>
        <w:rPr>
          <w:rFonts w:hAnsi="宋体" w:hint="eastAsia"/>
          <w:szCs w:val="24"/>
        </w:rPr>
        <w:t>）；</w:t>
      </w:r>
    </w:p>
    <w:p w:rsidR="00E62AD6" w:rsidRDefault="00E62AD6" w:rsidP="00F23040">
      <w:pPr>
        <w:pStyle w:val="PlainText"/>
        <w:tabs>
          <w:tab w:val="left" w:pos="105"/>
        </w:tabs>
        <w:snapToGrid w:val="0"/>
        <w:spacing w:line="660" w:lineRule="exact"/>
        <w:ind w:firstLineChars="200" w:firstLine="31680"/>
        <w:rPr>
          <w:rFonts w:hAnsi="宋体"/>
          <w:szCs w:val="24"/>
        </w:rPr>
      </w:pPr>
      <w:r>
        <w:rPr>
          <w:rFonts w:hAnsi="宋体" w:hint="eastAsia"/>
          <w:szCs w:val="24"/>
        </w:rPr>
        <w:t>（</w:t>
      </w:r>
      <w:r>
        <w:rPr>
          <w:rFonts w:hAnsi="宋体"/>
          <w:szCs w:val="24"/>
        </w:rPr>
        <w:t>2</w:t>
      </w:r>
      <w:r>
        <w:rPr>
          <w:rFonts w:hAnsi="宋体" w:hint="eastAsia"/>
          <w:szCs w:val="24"/>
        </w:rPr>
        <w:t>）《房地产估价基本术语标准》（</w:t>
      </w:r>
      <w:r>
        <w:rPr>
          <w:rFonts w:hAnsi="宋体"/>
          <w:szCs w:val="24"/>
        </w:rPr>
        <w:t>GB/T50899-2013</w:t>
      </w:r>
      <w:r>
        <w:rPr>
          <w:rFonts w:hAnsi="宋体" w:hint="eastAsia"/>
          <w:szCs w:val="24"/>
        </w:rPr>
        <w:t>）；</w:t>
      </w:r>
    </w:p>
    <w:p w:rsidR="00E62AD6" w:rsidRDefault="00E62AD6" w:rsidP="00F23040">
      <w:pPr>
        <w:tabs>
          <w:tab w:val="left" w:pos="105"/>
        </w:tabs>
        <w:snapToGrid w:val="0"/>
        <w:spacing w:line="660" w:lineRule="exact"/>
        <w:ind w:firstLineChars="200"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）《涉执房地产处置司法评估指导意见（试行）》（</w:t>
      </w:r>
      <w:r>
        <w:rPr>
          <w:rFonts w:ascii="宋体" w:hAnsi="宋体" w:cs="宋体" w:hint="eastAsia"/>
          <w:color w:val="000000"/>
          <w:sz w:val="24"/>
          <w:szCs w:val="24"/>
          <w:shd w:val="clear" w:color="auto" w:fill="FFFFFF"/>
        </w:rPr>
        <w:t>中房学〔</w:t>
      </w:r>
      <w:r>
        <w:rPr>
          <w:rFonts w:ascii="宋体" w:hAnsi="宋体" w:cs="宋体"/>
          <w:color w:val="000000"/>
          <w:sz w:val="24"/>
          <w:szCs w:val="24"/>
          <w:shd w:val="clear" w:color="auto" w:fill="FFFFFF"/>
        </w:rPr>
        <w:t>2021</w:t>
      </w:r>
      <w:r>
        <w:rPr>
          <w:rFonts w:ascii="宋体" w:hAnsi="宋体" w:cs="宋体" w:hint="eastAsia"/>
          <w:color w:val="000000"/>
          <w:sz w:val="24"/>
          <w:szCs w:val="24"/>
          <w:shd w:val="clear" w:color="auto" w:fill="FFFFFF"/>
        </w:rPr>
        <w:t>〕</w:t>
      </w:r>
      <w:r>
        <w:rPr>
          <w:rFonts w:ascii="宋体" w:hAnsi="宋体" w:cs="宋体"/>
          <w:color w:val="000000"/>
          <w:sz w:val="24"/>
          <w:szCs w:val="24"/>
          <w:shd w:val="clear" w:color="auto" w:fill="FFFFFF"/>
        </w:rPr>
        <w:t>37</w:t>
      </w:r>
      <w:r>
        <w:rPr>
          <w:rFonts w:ascii="宋体" w:hAnsi="宋体" w:cs="宋体" w:hint="eastAsia"/>
          <w:color w:val="000000"/>
          <w:sz w:val="24"/>
          <w:szCs w:val="24"/>
          <w:shd w:val="clear" w:color="auto" w:fill="FFFFFF"/>
        </w:rPr>
        <w:t>号，</w:t>
      </w:r>
      <w:r>
        <w:rPr>
          <w:rFonts w:ascii="宋体" w:hAnsi="宋体" w:hint="eastAsia"/>
          <w:sz w:val="24"/>
        </w:rPr>
        <w:t>自</w:t>
      </w: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rPr>
          <w:t>2021</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1</w:t>
        </w:r>
        <w:r>
          <w:rPr>
            <w:rFonts w:ascii="宋体" w:hAnsi="宋体" w:hint="eastAsia"/>
            <w:sz w:val="24"/>
          </w:rPr>
          <w:t>日起</w:t>
        </w:r>
      </w:smartTag>
      <w:r>
        <w:rPr>
          <w:rFonts w:ascii="宋体" w:hAnsi="宋体" w:hint="eastAsia"/>
          <w:sz w:val="24"/>
        </w:rPr>
        <w:t>施行</w:t>
      </w:r>
      <w:r>
        <w:rPr>
          <w:rFonts w:ascii="宋体" w:hAnsi="宋体" w:cs="宋体" w:hint="eastAsia"/>
          <w:color w:val="000000"/>
          <w:sz w:val="24"/>
          <w:szCs w:val="24"/>
          <w:shd w:val="clear" w:color="auto" w:fill="FFFFFF"/>
        </w:rPr>
        <w:t>）。</w:t>
      </w:r>
    </w:p>
    <w:p w:rsidR="00E62AD6" w:rsidRDefault="00E62AD6" w:rsidP="00F23040">
      <w:pPr>
        <w:pStyle w:val="PlainText"/>
        <w:tabs>
          <w:tab w:val="left" w:pos="105"/>
        </w:tabs>
        <w:snapToGrid w:val="0"/>
        <w:spacing w:line="660" w:lineRule="exact"/>
        <w:ind w:firstLineChars="200" w:firstLine="31680"/>
        <w:rPr>
          <w:rFonts w:hAnsi="宋体"/>
          <w:szCs w:val="24"/>
        </w:rPr>
      </w:pPr>
      <w:r>
        <w:rPr>
          <w:rFonts w:hAnsi="宋体"/>
          <w:szCs w:val="24"/>
        </w:rPr>
        <w:t>3</w:t>
      </w:r>
      <w:r>
        <w:rPr>
          <w:rFonts w:hAnsi="宋体" w:hint="eastAsia"/>
          <w:szCs w:val="24"/>
        </w:rPr>
        <w:t>、估价委托人提供的资料</w:t>
      </w:r>
    </w:p>
    <w:p w:rsidR="00E62AD6" w:rsidRDefault="00E62AD6" w:rsidP="00F23040">
      <w:pPr>
        <w:pStyle w:val="PlainText"/>
        <w:tabs>
          <w:tab w:val="left" w:pos="105"/>
        </w:tabs>
        <w:snapToGrid w:val="0"/>
        <w:spacing w:line="660" w:lineRule="exact"/>
        <w:ind w:firstLineChars="200" w:firstLine="31680"/>
        <w:rPr>
          <w:rFonts w:hAnsi="宋体"/>
          <w:szCs w:val="24"/>
        </w:rPr>
      </w:pPr>
      <w:r>
        <w:rPr>
          <w:rFonts w:hAnsi="宋体" w:hint="eastAsia"/>
          <w:szCs w:val="24"/>
        </w:rPr>
        <w:t>（</w:t>
      </w:r>
      <w:r>
        <w:rPr>
          <w:rFonts w:hAnsi="宋体"/>
          <w:szCs w:val="24"/>
        </w:rPr>
        <w:t>1</w:t>
      </w:r>
      <w:r>
        <w:rPr>
          <w:rFonts w:hAnsi="宋体" w:hint="eastAsia"/>
          <w:szCs w:val="24"/>
        </w:rPr>
        <w:t>）</w:t>
      </w:r>
      <w:r>
        <w:rPr>
          <w:rFonts w:hAnsi="宋体" w:hint="eastAsia"/>
        </w:rPr>
        <w:t>《司法评估委托书》</w:t>
      </w:r>
      <w:r>
        <w:rPr>
          <w:rFonts w:hAnsi="宋体" w:hint="eastAsia"/>
          <w:szCs w:val="24"/>
        </w:rPr>
        <w:t>；</w:t>
      </w:r>
    </w:p>
    <w:p w:rsidR="00E62AD6" w:rsidRDefault="00E62AD6" w:rsidP="00F23040">
      <w:pPr>
        <w:pStyle w:val="PlainText"/>
        <w:tabs>
          <w:tab w:val="left" w:pos="105"/>
        </w:tabs>
        <w:snapToGrid w:val="0"/>
        <w:spacing w:line="660" w:lineRule="exact"/>
        <w:ind w:firstLineChars="200" w:firstLine="31680"/>
        <w:rPr>
          <w:rFonts w:hAnsi="宋体"/>
          <w:color w:val="FF0000"/>
          <w:szCs w:val="24"/>
        </w:rPr>
      </w:pPr>
      <w:r>
        <w:rPr>
          <w:rFonts w:hAnsi="宋体" w:hint="eastAsia"/>
          <w:szCs w:val="24"/>
        </w:rPr>
        <w:t>（</w:t>
      </w:r>
      <w:r>
        <w:rPr>
          <w:rFonts w:hAnsi="宋体"/>
          <w:szCs w:val="24"/>
        </w:rPr>
        <w:t>2</w:t>
      </w:r>
      <w:r>
        <w:rPr>
          <w:rFonts w:hAnsi="宋体" w:hint="eastAsia"/>
          <w:szCs w:val="24"/>
        </w:rPr>
        <w:t>）</w:t>
      </w:r>
      <w:r>
        <w:rPr>
          <w:rFonts w:hAnsi="宋体" w:hint="eastAsia"/>
        </w:rPr>
        <w:t>《房地产权结果信息一览表》等相关资料</w:t>
      </w:r>
      <w:r>
        <w:rPr>
          <w:rFonts w:hAnsi="宋体" w:hint="eastAsia"/>
          <w:szCs w:val="24"/>
        </w:rPr>
        <w:t>复印件；</w:t>
      </w:r>
    </w:p>
    <w:p w:rsidR="00E62AD6" w:rsidRDefault="00E62AD6" w:rsidP="00F23040">
      <w:pPr>
        <w:pStyle w:val="PlainText"/>
        <w:tabs>
          <w:tab w:val="left" w:pos="105"/>
        </w:tabs>
        <w:snapToGrid w:val="0"/>
        <w:spacing w:line="660" w:lineRule="exact"/>
        <w:ind w:firstLineChars="200" w:firstLine="31680"/>
        <w:rPr>
          <w:rFonts w:hAnsi="宋体"/>
          <w:szCs w:val="24"/>
        </w:rPr>
      </w:pPr>
      <w:r>
        <w:rPr>
          <w:rFonts w:hAnsi="宋体"/>
          <w:szCs w:val="24"/>
        </w:rPr>
        <w:t>4</w:t>
      </w:r>
      <w:r>
        <w:rPr>
          <w:rFonts w:hAnsi="宋体" w:hint="eastAsia"/>
          <w:szCs w:val="24"/>
        </w:rPr>
        <w:t>、其他资料</w:t>
      </w:r>
    </w:p>
    <w:p w:rsidR="00E62AD6" w:rsidRDefault="00E62AD6" w:rsidP="00F23040">
      <w:pPr>
        <w:pStyle w:val="PlainText"/>
        <w:tabs>
          <w:tab w:val="left" w:pos="105"/>
        </w:tabs>
        <w:snapToGrid w:val="0"/>
        <w:spacing w:line="660" w:lineRule="exact"/>
        <w:ind w:firstLineChars="200" w:firstLine="31680"/>
        <w:rPr>
          <w:rFonts w:hAnsi="宋体"/>
          <w:szCs w:val="24"/>
        </w:rPr>
      </w:pPr>
      <w:r>
        <w:rPr>
          <w:rFonts w:hAnsi="宋体" w:hint="eastAsia"/>
          <w:szCs w:val="24"/>
        </w:rPr>
        <w:t>（</w:t>
      </w:r>
      <w:r>
        <w:rPr>
          <w:rFonts w:hAnsi="宋体"/>
          <w:szCs w:val="24"/>
        </w:rPr>
        <w:t>1</w:t>
      </w:r>
      <w:r>
        <w:rPr>
          <w:rFonts w:hAnsi="宋体" w:hint="eastAsia"/>
          <w:szCs w:val="24"/>
        </w:rPr>
        <w:t>）估价人员现场勘察调查获得的实况和资料；</w:t>
      </w:r>
    </w:p>
    <w:p w:rsidR="00E62AD6" w:rsidRDefault="00E62AD6" w:rsidP="00F23040">
      <w:pPr>
        <w:pStyle w:val="PlainText"/>
        <w:tabs>
          <w:tab w:val="left" w:pos="105"/>
        </w:tabs>
        <w:snapToGrid w:val="0"/>
        <w:spacing w:line="660" w:lineRule="exact"/>
        <w:ind w:firstLineChars="200" w:firstLine="31680"/>
        <w:rPr>
          <w:szCs w:val="24"/>
        </w:rPr>
      </w:pPr>
      <w:r>
        <w:rPr>
          <w:rFonts w:hint="eastAsia"/>
          <w:szCs w:val="24"/>
        </w:rPr>
        <w:t>（</w:t>
      </w:r>
      <w:r>
        <w:rPr>
          <w:szCs w:val="24"/>
        </w:rPr>
        <w:t>2</w:t>
      </w:r>
      <w:r>
        <w:rPr>
          <w:rFonts w:hint="eastAsia"/>
          <w:szCs w:val="24"/>
        </w:rPr>
        <w:t>）当地近期房地产市场交易资料及技术参数；</w:t>
      </w:r>
    </w:p>
    <w:p w:rsidR="00E62AD6" w:rsidRDefault="00E62AD6" w:rsidP="00F23040">
      <w:pPr>
        <w:pStyle w:val="PlainText"/>
        <w:tabs>
          <w:tab w:val="left" w:pos="105"/>
        </w:tabs>
        <w:snapToGrid w:val="0"/>
        <w:spacing w:line="660" w:lineRule="exact"/>
        <w:ind w:firstLineChars="200" w:firstLine="31680"/>
        <w:rPr>
          <w:szCs w:val="24"/>
        </w:rPr>
      </w:pPr>
      <w:r>
        <w:rPr>
          <w:rFonts w:hint="eastAsia"/>
          <w:szCs w:val="24"/>
        </w:rPr>
        <w:t>（</w:t>
      </w:r>
      <w:r>
        <w:rPr>
          <w:szCs w:val="24"/>
        </w:rPr>
        <w:t>3</w:t>
      </w:r>
      <w:r>
        <w:rPr>
          <w:rFonts w:hint="eastAsia"/>
          <w:szCs w:val="24"/>
        </w:rPr>
        <w:t>）估价机构及估价人员掌握的其他相关信息资料。</w:t>
      </w:r>
    </w:p>
    <w:p w:rsidR="00E62AD6" w:rsidRDefault="00E62AD6" w:rsidP="00F23040">
      <w:pPr>
        <w:spacing w:line="660" w:lineRule="exact"/>
        <w:ind w:firstLineChars="200" w:firstLine="31680"/>
        <w:rPr>
          <w:rFonts w:ascii="宋体"/>
          <w:b/>
          <w:bCs/>
          <w:sz w:val="24"/>
        </w:rPr>
      </w:pPr>
      <w:r>
        <w:rPr>
          <w:rFonts w:ascii="宋体" w:hAnsi="宋体" w:hint="eastAsia"/>
          <w:b/>
          <w:bCs/>
          <w:sz w:val="24"/>
        </w:rPr>
        <w:t>（八）估价原则</w:t>
      </w:r>
    </w:p>
    <w:p w:rsidR="00E62AD6" w:rsidRDefault="00E62AD6" w:rsidP="00F23040">
      <w:pPr>
        <w:spacing w:line="660" w:lineRule="exact"/>
        <w:ind w:firstLineChars="200" w:firstLine="31680"/>
        <w:rPr>
          <w:rFonts w:ascii="宋体"/>
          <w:sz w:val="24"/>
        </w:rPr>
      </w:pPr>
      <w:r>
        <w:rPr>
          <w:rFonts w:ascii="宋体" w:hAnsi="宋体"/>
          <w:sz w:val="24"/>
        </w:rPr>
        <w:t>1</w:t>
      </w:r>
      <w:r>
        <w:rPr>
          <w:rFonts w:ascii="宋体" w:hAnsi="宋体" w:hint="eastAsia"/>
          <w:sz w:val="24"/>
        </w:rPr>
        <w:t>、遵循独立、客观、公正的原则，评估价值应为对各方的估价利害关系人均是公平合理的价值或价格；</w:t>
      </w:r>
    </w:p>
    <w:p w:rsidR="00E62AD6" w:rsidRDefault="00E62AD6" w:rsidP="00F23040">
      <w:pPr>
        <w:spacing w:line="660" w:lineRule="exact"/>
        <w:ind w:firstLineChars="200" w:firstLine="31680"/>
        <w:rPr>
          <w:rFonts w:ascii="宋体"/>
          <w:sz w:val="24"/>
        </w:rPr>
      </w:pPr>
      <w:r>
        <w:rPr>
          <w:rFonts w:ascii="宋体" w:hAnsi="宋体"/>
          <w:sz w:val="24"/>
        </w:rPr>
        <w:t>2</w:t>
      </w:r>
      <w:r>
        <w:rPr>
          <w:rFonts w:ascii="宋体" w:hAnsi="宋体" w:hint="eastAsia"/>
          <w:sz w:val="24"/>
        </w:rPr>
        <w:t>、遵循合法原则，评估价值应为在依法判定的估价对象状况下的价值或价格；</w:t>
      </w:r>
    </w:p>
    <w:p w:rsidR="00E62AD6" w:rsidRDefault="00E62AD6" w:rsidP="00F23040">
      <w:pPr>
        <w:spacing w:line="660" w:lineRule="exact"/>
        <w:ind w:firstLineChars="200" w:firstLine="31680"/>
        <w:rPr>
          <w:rFonts w:ascii="宋体"/>
          <w:sz w:val="24"/>
        </w:rPr>
      </w:pPr>
      <w:r>
        <w:rPr>
          <w:rFonts w:ascii="宋体" w:hAnsi="宋体"/>
          <w:sz w:val="24"/>
        </w:rPr>
        <w:t>3</w:t>
      </w:r>
      <w:r>
        <w:rPr>
          <w:rFonts w:ascii="宋体" w:hAnsi="宋体" w:hint="eastAsia"/>
          <w:sz w:val="24"/>
        </w:rPr>
        <w:t>、遵循价值时点原则，评估价值应为在根据估价目的确定的某一特定时间的价值或价格；</w:t>
      </w:r>
    </w:p>
    <w:p w:rsidR="00E62AD6" w:rsidRDefault="00E62AD6" w:rsidP="00F23040">
      <w:pPr>
        <w:spacing w:line="660" w:lineRule="exact"/>
        <w:ind w:firstLineChars="200" w:firstLine="31680"/>
        <w:rPr>
          <w:rFonts w:ascii="宋体"/>
          <w:sz w:val="24"/>
        </w:rPr>
      </w:pPr>
      <w:r>
        <w:rPr>
          <w:rFonts w:ascii="宋体" w:hAnsi="宋体"/>
          <w:sz w:val="24"/>
        </w:rPr>
        <w:t>4</w:t>
      </w:r>
      <w:r>
        <w:rPr>
          <w:rFonts w:ascii="宋体" w:hAnsi="宋体" w:hint="eastAsia"/>
          <w:sz w:val="24"/>
        </w:rPr>
        <w:t>、遵循替代原则，评估价值与估价对象的类似房地产在同等条件下的价值或价格偏差应在合理范围内；</w:t>
      </w:r>
    </w:p>
    <w:p w:rsidR="00E62AD6" w:rsidRDefault="00E62AD6" w:rsidP="00F23040">
      <w:pPr>
        <w:spacing w:line="660" w:lineRule="exact"/>
        <w:ind w:firstLineChars="200" w:firstLine="31680"/>
        <w:rPr>
          <w:rFonts w:ascii="宋体"/>
          <w:sz w:val="24"/>
        </w:rPr>
      </w:pPr>
      <w:r>
        <w:rPr>
          <w:rFonts w:ascii="宋体" w:hAnsi="宋体"/>
          <w:sz w:val="24"/>
        </w:rPr>
        <w:t>5</w:t>
      </w:r>
      <w:r>
        <w:rPr>
          <w:rFonts w:ascii="宋体" w:hAnsi="宋体" w:hint="eastAsia"/>
          <w:sz w:val="24"/>
        </w:rPr>
        <w:t>、遵循最高最佳利用原则，评估价值应为在估价对象最高最佳利用状况下的价值或价格；</w:t>
      </w:r>
    </w:p>
    <w:p w:rsidR="00E62AD6" w:rsidRDefault="00E62AD6" w:rsidP="00F23040">
      <w:pPr>
        <w:spacing w:line="660" w:lineRule="exact"/>
        <w:ind w:firstLineChars="200" w:firstLine="31680"/>
        <w:rPr>
          <w:rFonts w:ascii="宋体"/>
          <w:b/>
          <w:bCs/>
          <w:sz w:val="24"/>
        </w:rPr>
      </w:pPr>
      <w:r>
        <w:rPr>
          <w:rFonts w:ascii="宋体" w:hAnsi="宋体" w:hint="eastAsia"/>
          <w:b/>
          <w:bCs/>
          <w:sz w:val="24"/>
        </w:rPr>
        <w:t>（九）估价方法</w:t>
      </w:r>
    </w:p>
    <w:p w:rsidR="00E62AD6" w:rsidRDefault="00E62AD6" w:rsidP="00F23040">
      <w:pPr>
        <w:spacing w:line="660" w:lineRule="exact"/>
        <w:ind w:firstLineChars="200" w:firstLine="31680"/>
        <w:rPr>
          <w:rFonts w:ascii="宋体"/>
          <w:sz w:val="24"/>
        </w:rPr>
      </w:pPr>
      <w:r>
        <w:rPr>
          <w:rFonts w:ascii="宋体" w:hAnsi="宋体" w:cs="宋体" w:hint="eastAsia"/>
          <w:sz w:val="24"/>
        </w:rPr>
        <w:t>根据《房地产估价规范》，估价对象的同类房地产有较多交易的，应选用比较</w:t>
      </w:r>
      <w:r>
        <w:rPr>
          <w:rFonts w:ascii="宋体" w:hAnsi="宋体" w:hint="eastAsia"/>
          <w:sz w:val="24"/>
        </w:rPr>
        <w:t>法；估价对象或其同类房地产通常有租金等经济收入的，应选用收益法；估价对象可假定为独立的开发建设项目进行重新开发建设的，宜选用成本法；当估价对象的同类房地产没有交易或交易很少，且估价对象或其同类房地产没有租金等经济收入时，应选用成本法；估价对象具有开发或再开发潜力且开发完成后的价值可采用除成本法以外的方法测算的，应选用假设开发法。</w:t>
      </w:r>
    </w:p>
    <w:p w:rsidR="00E62AD6" w:rsidRDefault="00E62AD6" w:rsidP="00F23040">
      <w:pPr>
        <w:spacing w:line="660" w:lineRule="exact"/>
        <w:ind w:firstLineChars="200" w:firstLine="31680"/>
        <w:rPr>
          <w:rFonts w:ascii="宋体" w:cs="宋体"/>
          <w:sz w:val="24"/>
        </w:rPr>
      </w:pPr>
      <w:r>
        <w:rPr>
          <w:rFonts w:ascii="宋体" w:hAnsi="宋体" w:cs="宋体" w:hint="eastAsia"/>
          <w:sz w:val="24"/>
        </w:rPr>
        <w:t>本项目为房地产市场价值评估，根据市场调查，估价对象所在区域的房地产交易市场较活跃，同类型的房地产交易案例较多，适宜用比较法进行评估；收益法是通过收益测算市场价值的计算方法，全国及本地房地产市场均不同程度存在租金较低、租售倒挂现象，故收益法不是最适宜的方法；估价对象作为住宅用房，其市场价值大于以各成本累加为基础的积累结果，故成本法不适宜；估价对象为已建成房地产，不具有开发或再开发潜力，故假设开发法不适宜。</w:t>
      </w:r>
    </w:p>
    <w:p w:rsidR="00E62AD6" w:rsidRDefault="00E62AD6" w:rsidP="00F23040">
      <w:pPr>
        <w:spacing w:line="720" w:lineRule="exact"/>
        <w:ind w:firstLineChars="200" w:firstLine="31680"/>
        <w:rPr>
          <w:rFonts w:ascii="宋体"/>
          <w:sz w:val="24"/>
        </w:rPr>
      </w:pPr>
      <w:r>
        <w:rPr>
          <w:rFonts w:ascii="宋体" w:hAnsi="宋体" w:cs="宋体" w:hint="eastAsia"/>
          <w:sz w:val="24"/>
        </w:rPr>
        <w:t>经综合分析，</w:t>
      </w:r>
      <w:r>
        <w:rPr>
          <w:rFonts w:ascii="宋体" w:hAnsi="宋体" w:hint="eastAsia"/>
          <w:sz w:val="24"/>
        </w:rPr>
        <w:t>本项目采用比较法进行评估。</w:t>
      </w:r>
    </w:p>
    <w:p w:rsidR="00E62AD6" w:rsidRDefault="00E62AD6" w:rsidP="00F23040">
      <w:pPr>
        <w:spacing w:line="720" w:lineRule="exact"/>
        <w:ind w:firstLineChars="200" w:firstLine="31680"/>
        <w:rPr>
          <w:sz w:val="24"/>
        </w:rPr>
      </w:pPr>
      <w:r>
        <w:rPr>
          <w:rFonts w:hint="eastAsia"/>
          <w:sz w:val="24"/>
        </w:rPr>
        <w:t>比较法就是依据替代原理，将估价对象与在价值时点近期有过交易的类似房地产进行比较，并对这些类似房地产的已知价格作适当的修正，以此估算估价对象在价值时点的客观合理价值的方法。</w:t>
      </w:r>
    </w:p>
    <w:p w:rsidR="00E62AD6" w:rsidRDefault="00E62AD6" w:rsidP="00F23040">
      <w:pPr>
        <w:spacing w:line="660" w:lineRule="exact"/>
        <w:ind w:firstLineChars="200" w:firstLine="31680"/>
        <w:rPr>
          <w:rFonts w:ascii="宋体"/>
          <w:b/>
          <w:bCs/>
          <w:sz w:val="24"/>
        </w:rPr>
      </w:pPr>
      <w:r>
        <w:rPr>
          <w:rFonts w:ascii="宋体" w:hAnsi="宋体" w:hint="eastAsia"/>
          <w:b/>
          <w:bCs/>
          <w:sz w:val="24"/>
        </w:rPr>
        <w:t>（十）估价结果</w:t>
      </w:r>
    </w:p>
    <w:p w:rsidR="00E62AD6" w:rsidRDefault="00E62AD6" w:rsidP="00F23040">
      <w:pPr>
        <w:spacing w:line="660" w:lineRule="exact"/>
        <w:ind w:firstLineChars="200" w:firstLine="31680"/>
        <w:rPr>
          <w:rFonts w:ascii="宋体"/>
          <w:sz w:val="24"/>
        </w:rPr>
      </w:pPr>
      <w:r>
        <w:rPr>
          <w:rFonts w:ascii="宋体" w:hAnsi="宋体" w:hint="eastAsia"/>
          <w:sz w:val="24"/>
        </w:rPr>
        <w:t>经过评估，估价委托人委估的位于</w:t>
      </w:r>
      <w:r>
        <w:rPr>
          <w:rFonts w:ascii="宋体" w:hAnsi="宋体" w:hint="eastAsia"/>
          <w:sz w:val="24"/>
          <w:u w:val="single"/>
        </w:rPr>
        <w:t>汕头市龙湖区碧霞庄北区</w:t>
      </w:r>
      <w:r>
        <w:rPr>
          <w:rFonts w:ascii="宋体" w:hAnsi="宋体"/>
          <w:sz w:val="24"/>
          <w:u w:val="single"/>
        </w:rPr>
        <w:t>2</w:t>
      </w:r>
      <w:r>
        <w:rPr>
          <w:rFonts w:ascii="宋体" w:hAnsi="宋体" w:hint="eastAsia"/>
          <w:sz w:val="24"/>
          <w:u w:val="single"/>
        </w:rPr>
        <w:t>幢</w:t>
      </w:r>
      <w:r>
        <w:rPr>
          <w:rFonts w:ascii="宋体" w:hAnsi="宋体"/>
          <w:sz w:val="24"/>
          <w:u w:val="single"/>
        </w:rPr>
        <w:t>125</w:t>
      </w:r>
      <w:r>
        <w:rPr>
          <w:rFonts w:ascii="宋体" w:hAnsi="宋体" w:hint="eastAsia"/>
          <w:sz w:val="24"/>
          <w:u w:val="single"/>
        </w:rPr>
        <w:t>号房</w:t>
      </w:r>
      <w:r>
        <w:rPr>
          <w:rFonts w:ascii="宋体" w:hAnsi="宋体" w:hint="eastAsia"/>
          <w:sz w:val="24"/>
        </w:rPr>
        <w:t>，</w:t>
      </w:r>
      <w:r>
        <w:rPr>
          <w:rFonts w:ascii="宋体" w:hAnsi="宋体" w:hint="eastAsia"/>
          <w:spacing w:val="-6"/>
          <w:sz w:val="24"/>
        </w:rPr>
        <w:t>建筑面积为</w:t>
      </w:r>
      <w:r>
        <w:rPr>
          <w:rFonts w:ascii="宋体" w:hAnsi="宋体"/>
          <w:spacing w:val="-6"/>
          <w:sz w:val="24"/>
          <w:u w:val="single"/>
        </w:rPr>
        <w:t>22.03</w:t>
      </w:r>
      <w:r>
        <w:rPr>
          <w:rFonts w:ascii="宋体" w:hAnsi="宋体" w:hint="eastAsia"/>
          <w:sz w:val="24"/>
          <w:u w:val="single"/>
        </w:rPr>
        <w:t>㎡</w:t>
      </w:r>
      <w:r>
        <w:rPr>
          <w:rFonts w:ascii="宋体" w:hAnsi="宋体" w:hint="eastAsia"/>
          <w:sz w:val="24"/>
        </w:rPr>
        <w:t>的房地产于价值时点</w:t>
      </w: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u w:val="single"/>
          </w:rPr>
          <w:t>2022</w:t>
        </w:r>
        <w:r>
          <w:rPr>
            <w:rFonts w:ascii="宋体" w:hAnsi="宋体" w:hint="eastAsia"/>
            <w:sz w:val="24"/>
            <w:u w:val="single"/>
          </w:rPr>
          <w:t>年</w:t>
        </w:r>
        <w:r>
          <w:rPr>
            <w:rFonts w:ascii="宋体" w:hAnsi="宋体"/>
            <w:sz w:val="24"/>
            <w:u w:val="single"/>
          </w:rPr>
          <w:t>9</w:t>
        </w:r>
        <w:r>
          <w:rPr>
            <w:rFonts w:ascii="宋体" w:hAnsi="宋体" w:hint="eastAsia"/>
            <w:sz w:val="24"/>
            <w:u w:val="single"/>
          </w:rPr>
          <w:t>月</w:t>
        </w:r>
        <w:r>
          <w:rPr>
            <w:rFonts w:ascii="宋体" w:hAnsi="宋体"/>
            <w:sz w:val="24"/>
            <w:u w:val="single"/>
          </w:rPr>
          <w:t>5</w:t>
        </w:r>
        <w:r>
          <w:rPr>
            <w:rFonts w:ascii="宋体" w:hAnsi="宋体" w:hint="eastAsia"/>
            <w:sz w:val="24"/>
            <w:u w:val="single"/>
          </w:rPr>
          <w:t>日</w:t>
        </w:r>
      </w:smartTag>
      <w:r>
        <w:rPr>
          <w:rFonts w:ascii="宋体" w:hAnsi="宋体" w:hint="eastAsia"/>
          <w:sz w:val="24"/>
        </w:rPr>
        <w:t>市场价值为</w:t>
      </w:r>
      <w:r>
        <w:rPr>
          <w:rFonts w:ascii="宋体" w:hAnsi="宋体"/>
          <w:sz w:val="24"/>
        </w:rPr>
        <w:t>CNY</w:t>
      </w:r>
      <w:r>
        <w:rPr>
          <w:rFonts w:ascii="宋体" w:hAnsi="宋体"/>
          <w:sz w:val="24"/>
          <w:u w:val="single"/>
        </w:rPr>
        <w:t>304,000.00</w:t>
      </w:r>
      <w:r>
        <w:rPr>
          <w:rFonts w:ascii="宋体" w:hAnsi="宋体" w:hint="eastAsia"/>
          <w:sz w:val="24"/>
        </w:rPr>
        <w:t>元，大写：人民币</w:t>
      </w:r>
      <w:r>
        <w:rPr>
          <w:rFonts w:ascii="宋体" w:hAnsi="宋体" w:hint="eastAsia"/>
          <w:sz w:val="24"/>
          <w:u w:val="single"/>
        </w:rPr>
        <w:t>叁拾万肆仟元正</w:t>
      </w:r>
      <w:r>
        <w:rPr>
          <w:rFonts w:ascii="宋体" w:hAnsi="宋体" w:hint="eastAsia"/>
          <w:sz w:val="24"/>
        </w:rPr>
        <w:t>。</w:t>
      </w:r>
    </w:p>
    <w:p w:rsidR="00E62AD6" w:rsidRDefault="00E62AD6" w:rsidP="00F23040">
      <w:pPr>
        <w:spacing w:line="660" w:lineRule="exact"/>
        <w:ind w:firstLineChars="200" w:firstLine="31680"/>
        <w:rPr>
          <w:rFonts w:ascii="宋体"/>
          <w:sz w:val="24"/>
        </w:rPr>
      </w:pPr>
      <w:bookmarkStart w:id="1" w:name="_GoBack"/>
      <w:bookmarkEnd w:id="1"/>
    </w:p>
    <w:p w:rsidR="00E62AD6" w:rsidRDefault="00E62AD6" w:rsidP="00F23040">
      <w:pPr>
        <w:spacing w:line="660" w:lineRule="exact"/>
        <w:ind w:firstLineChars="200" w:firstLine="31680"/>
        <w:rPr>
          <w:rFonts w:ascii="宋体"/>
          <w:b/>
          <w:bCs/>
          <w:sz w:val="24"/>
        </w:rPr>
      </w:pPr>
      <w:r>
        <w:rPr>
          <w:rFonts w:ascii="宋体" w:hAnsi="宋体" w:hint="eastAsia"/>
          <w:b/>
          <w:bCs/>
          <w:sz w:val="24"/>
        </w:rPr>
        <w:t>（十一）注册房地产估价师</w:t>
      </w:r>
    </w:p>
    <w:p w:rsidR="00E62AD6" w:rsidRDefault="00E62AD6" w:rsidP="00F23040">
      <w:pPr>
        <w:spacing w:line="100" w:lineRule="exact"/>
        <w:ind w:firstLineChars="200" w:firstLine="31680"/>
        <w:rPr>
          <w:rFonts w:ascii="宋体"/>
          <w:b/>
          <w:bCs/>
          <w:sz w:val="24"/>
        </w:rPr>
      </w:pPr>
    </w:p>
    <w:tbl>
      <w:tblPr>
        <w:tblW w:w="87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334"/>
        <w:gridCol w:w="1638"/>
        <w:gridCol w:w="3771"/>
        <w:gridCol w:w="1997"/>
      </w:tblGrid>
      <w:tr w:rsidR="00E62AD6">
        <w:trPr>
          <w:trHeight w:val="844"/>
          <w:jc w:val="center"/>
        </w:trPr>
        <w:tc>
          <w:tcPr>
            <w:tcW w:w="1334" w:type="dxa"/>
            <w:tcBorders>
              <w:top w:val="single" w:sz="4" w:space="0" w:color="auto"/>
            </w:tcBorders>
            <w:vAlign w:val="center"/>
          </w:tcPr>
          <w:p w:rsidR="00E62AD6" w:rsidRDefault="00E62AD6">
            <w:pPr>
              <w:widowControl/>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638" w:type="dxa"/>
            <w:tcBorders>
              <w:top w:val="single" w:sz="4" w:space="0" w:color="auto"/>
            </w:tcBorders>
            <w:vAlign w:val="center"/>
          </w:tcPr>
          <w:p w:rsidR="00E62AD6" w:rsidRDefault="00E62AD6">
            <w:pPr>
              <w:widowControl/>
              <w:jc w:val="center"/>
              <w:rPr>
                <w:rFonts w:ascii="宋体"/>
                <w:szCs w:val="21"/>
              </w:rPr>
            </w:pPr>
            <w:r>
              <w:rPr>
                <w:rFonts w:ascii="宋体" w:hAnsi="宋体" w:hint="eastAsia"/>
                <w:szCs w:val="21"/>
              </w:rPr>
              <w:t>注册号</w:t>
            </w:r>
          </w:p>
        </w:tc>
        <w:tc>
          <w:tcPr>
            <w:tcW w:w="3771" w:type="dxa"/>
            <w:tcBorders>
              <w:top w:val="single" w:sz="4" w:space="0" w:color="auto"/>
            </w:tcBorders>
            <w:vAlign w:val="center"/>
          </w:tcPr>
          <w:p w:rsidR="00E62AD6" w:rsidRDefault="00E62AD6">
            <w:pPr>
              <w:widowControl/>
              <w:jc w:val="center"/>
              <w:rPr>
                <w:rFonts w:ascii="宋体" w:cs="宋体"/>
                <w:bCs/>
                <w:kern w:val="0"/>
                <w:szCs w:val="21"/>
              </w:rPr>
            </w:pPr>
            <w:r>
              <w:rPr>
                <w:rFonts w:ascii="宋体" w:hAnsi="宋体" w:hint="eastAsia"/>
                <w:szCs w:val="21"/>
              </w:rPr>
              <w:t>签</w:t>
            </w:r>
            <w:r>
              <w:rPr>
                <w:rFonts w:ascii="宋体" w:hAnsi="宋体"/>
                <w:szCs w:val="21"/>
              </w:rPr>
              <w:t xml:space="preserve"> </w:t>
            </w:r>
            <w:r>
              <w:rPr>
                <w:rFonts w:ascii="宋体" w:hAnsi="宋体" w:hint="eastAsia"/>
                <w:szCs w:val="21"/>
              </w:rPr>
              <w:t>名</w:t>
            </w:r>
          </w:p>
        </w:tc>
        <w:tc>
          <w:tcPr>
            <w:tcW w:w="1997" w:type="dxa"/>
            <w:tcBorders>
              <w:top w:val="single" w:sz="4" w:space="0" w:color="auto"/>
            </w:tcBorders>
            <w:vAlign w:val="center"/>
          </w:tcPr>
          <w:p w:rsidR="00E62AD6" w:rsidRDefault="00E62AD6">
            <w:pPr>
              <w:widowControl/>
              <w:jc w:val="center"/>
              <w:rPr>
                <w:rFonts w:ascii="宋体" w:cs="宋体"/>
                <w:bCs/>
                <w:kern w:val="0"/>
                <w:szCs w:val="21"/>
              </w:rPr>
            </w:pPr>
            <w:r>
              <w:rPr>
                <w:rFonts w:ascii="宋体" w:hAnsi="宋体" w:cs="宋体" w:hint="eastAsia"/>
                <w:bCs/>
                <w:kern w:val="0"/>
                <w:szCs w:val="21"/>
              </w:rPr>
              <w:t>签名日期</w:t>
            </w:r>
          </w:p>
        </w:tc>
      </w:tr>
      <w:tr w:rsidR="00E62AD6">
        <w:trPr>
          <w:trHeight w:val="968"/>
          <w:jc w:val="center"/>
        </w:trPr>
        <w:tc>
          <w:tcPr>
            <w:tcW w:w="1334" w:type="dxa"/>
            <w:vAlign w:val="center"/>
          </w:tcPr>
          <w:p w:rsidR="00E62AD6" w:rsidRDefault="00E62AD6">
            <w:pPr>
              <w:widowControl/>
              <w:jc w:val="center"/>
              <w:rPr>
                <w:rFonts w:ascii="宋体"/>
                <w:sz w:val="24"/>
                <w:szCs w:val="24"/>
              </w:rPr>
            </w:pPr>
            <w:r>
              <w:rPr>
                <w:rFonts w:ascii="宋体" w:hAnsi="宋体" w:hint="eastAsia"/>
                <w:sz w:val="24"/>
                <w:szCs w:val="24"/>
              </w:rPr>
              <w:t>黄</w:t>
            </w:r>
            <w:r>
              <w:rPr>
                <w:rFonts w:ascii="宋体" w:hAnsi="宋体"/>
                <w:sz w:val="24"/>
                <w:szCs w:val="24"/>
              </w:rPr>
              <w:t xml:space="preserve"> </w:t>
            </w:r>
            <w:r>
              <w:rPr>
                <w:rFonts w:ascii="宋体" w:hAnsi="宋体" w:hint="eastAsia"/>
                <w:sz w:val="24"/>
                <w:szCs w:val="24"/>
              </w:rPr>
              <w:t>晓</w:t>
            </w:r>
            <w:r>
              <w:rPr>
                <w:rFonts w:ascii="宋体" w:hAnsi="宋体"/>
                <w:sz w:val="24"/>
                <w:szCs w:val="24"/>
              </w:rPr>
              <w:t xml:space="preserve"> </w:t>
            </w:r>
            <w:r>
              <w:rPr>
                <w:rFonts w:ascii="宋体" w:hAnsi="宋体" w:hint="eastAsia"/>
                <w:sz w:val="24"/>
                <w:szCs w:val="24"/>
              </w:rPr>
              <w:t>彬</w:t>
            </w:r>
          </w:p>
        </w:tc>
        <w:tc>
          <w:tcPr>
            <w:tcW w:w="1638" w:type="dxa"/>
            <w:noWrap/>
            <w:vAlign w:val="center"/>
          </w:tcPr>
          <w:p w:rsidR="00E62AD6" w:rsidRDefault="00E62AD6">
            <w:pPr>
              <w:spacing w:line="240" w:lineRule="exact"/>
              <w:jc w:val="center"/>
              <w:rPr>
                <w:rFonts w:ascii="宋体" w:cs="宋体"/>
                <w:kern w:val="0"/>
                <w:szCs w:val="21"/>
              </w:rPr>
            </w:pPr>
            <w:r>
              <w:rPr>
                <w:rFonts w:ascii="宋体" w:hAnsi="宋体"/>
                <w:sz w:val="24"/>
              </w:rPr>
              <w:t>4420050157</w:t>
            </w:r>
          </w:p>
        </w:tc>
        <w:tc>
          <w:tcPr>
            <w:tcW w:w="3771" w:type="dxa"/>
            <w:vAlign w:val="center"/>
          </w:tcPr>
          <w:p w:rsidR="00E62AD6" w:rsidRDefault="00E62AD6">
            <w:pPr>
              <w:spacing w:line="240" w:lineRule="exact"/>
              <w:jc w:val="center"/>
              <w:rPr>
                <w:rFonts w:ascii="宋体" w:cs="宋体"/>
                <w:kern w:val="0"/>
                <w:szCs w:val="21"/>
              </w:rPr>
            </w:pPr>
          </w:p>
        </w:tc>
        <w:tc>
          <w:tcPr>
            <w:tcW w:w="1997" w:type="dxa"/>
            <w:vAlign w:val="center"/>
          </w:tcPr>
          <w:p w:rsidR="00E62AD6" w:rsidRDefault="00E62AD6">
            <w:pPr>
              <w:spacing w:line="240" w:lineRule="exact"/>
              <w:jc w:val="center"/>
              <w:rPr>
                <w:rFonts w:ascii="宋体" w:cs="宋体"/>
                <w:kern w:val="0"/>
                <w:szCs w:val="21"/>
              </w:rPr>
            </w:pPr>
            <w:smartTag w:uri="urn:schemas-microsoft-com:office:smarttags" w:element="chsdate">
              <w:smartTagPr>
                <w:attr w:name="IsROCDate" w:val="False"/>
                <w:attr w:name="IsLunarDate" w:val="False"/>
                <w:attr w:name="Day" w:val="31"/>
                <w:attr w:name="Month" w:val="12"/>
                <w:attr w:name="Year" w:val="2021"/>
              </w:smartTagPr>
              <w:r>
                <w:rPr>
                  <w:rFonts w:ascii="宋体" w:hAnsi="宋体"/>
                  <w:szCs w:val="21"/>
                </w:rPr>
                <w:t>2022</w:t>
              </w:r>
              <w:r>
                <w:rPr>
                  <w:rFonts w:ascii="宋体" w:hAnsi="宋体" w:hint="eastAsia"/>
                  <w:szCs w:val="21"/>
                </w:rPr>
                <w:t>年</w:t>
              </w:r>
              <w:r>
                <w:rPr>
                  <w:rFonts w:ascii="宋体" w:hAnsi="宋体"/>
                  <w:szCs w:val="21"/>
                </w:rPr>
                <w:t>9</w:t>
              </w:r>
              <w:r>
                <w:rPr>
                  <w:rFonts w:ascii="宋体" w:hAnsi="宋体" w:hint="eastAsia"/>
                  <w:szCs w:val="21"/>
                </w:rPr>
                <w:t>月</w:t>
              </w:r>
              <w:r>
                <w:rPr>
                  <w:rFonts w:ascii="宋体" w:hAnsi="宋体"/>
                  <w:szCs w:val="21"/>
                </w:rPr>
                <w:t>8</w:t>
              </w:r>
              <w:r>
                <w:rPr>
                  <w:rFonts w:ascii="宋体" w:hAnsi="宋体" w:hint="eastAsia"/>
                  <w:szCs w:val="21"/>
                </w:rPr>
                <w:t>日</w:t>
              </w:r>
            </w:smartTag>
          </w:p>
        </w:tc>
      </w:tr>
      <w:tr w:rsidR="00E62AD6">
        <w:trPr>
          <w:trHeight w:val="962"/>
          <w:jc w:val="center"/>
        </w:trPr>
        <w:tc>
          <w:tcPr>
            <w:tcW w:w="1334" w:type="dxa"/>
            <w:tcBorders>
              <w:bottom w:val="single" w:sz="4" w:space="0" w:color="auto"/>
            </w:tcBorders>
            <w:vAlign w:val="center"/>
          </w:tcPr>
          <w:p w:rsidR="00E62AD6" w:rsidRDefault="00E62AD6">
            <w:pPr>
              <w:widowControl/>
              <w:jc w:val="center"/>
              <w:rPr>
                <w:rFonts w:ascii="宋体"/>
                <w:sz w:val="24"/>
                <w:szCs w:val="24"/>
              </w:rPr>
            </w:pPr>
            <w:r>
              <w:rPr>
                <w:rFonts w:ascii="宋体" w:hAnsi="宋体" w:hint="eastAsia"/>
                <w:sz w:val="24"/>
                <w:szCs w:val="24"/>
              </w:rPr>
              <w:t>黄</w:t>
            </w:r>
            <w:r>
              <w:rPr>
                <w:rFonts w:ascii="宋体" w:hAnsi="宋体"/>
                <w:sz w:val="24"/>
                <w:szCs w:val="24"/>
              </w:rPr>
              <w:t xml:space="preserve"> </w:t>
            </w:r>
            <w:r>
              <w:rPr>
                <w:rFonts w:ascii="宋体" w:hAnsi="宋体" w:hint="eastAsia"/>
                <w:sz w:val="24"/>
                <w:szCs w:val="24"/>
              </w:rPr>
              <w:t>翠</w:t>
            </w:r>
            <w:r>
              <w:rPr>
                <w:rFonts w:ascii="宋体" w:hAnsi="宋体"/>
                <w:sz w:val="24"/>
                <w:szCs w:val="24"/>
              </w:rPr>
              <w:t xml:space="preserve"> </w:t>
            </w:r>
            <w:r>
              <w:rPr>
                <w:rFonts w:ascii="宋体" w:hAnsi="宋体" w:hint="eastAsia"/>
                <w:sz w:val="24"/>
                <w:szCs w:val="24"/>
              </w:rPr>
              <w:t>竹</w:t>
            </w:r>
            <w:r>
              <w:rPr>
                <w:rFonts w:ascii="宋体" w:hAnsi="宋体"/>
                <w:sz w:val="24"/>
                <w:szCs w:val="24"/>
              </w:rPr>
              <w:t xml:space="preserve">  </w:t>
            </w:r>
          </w:p>
        </w:tc>
        <w:tc>
          <w:tcPr>
            <w:tcW w:w="1638" w:type="dxa"/>
            <w:tcBorders>
              <w:bottom w:val="single" w:sz="4" w:space="0" w:color="auto"/>
            </w:tcBorders>
            <w:noWrap/>
            <w:vAlign w:val="center"/>
          </w:tcPr>
          <w:p w:rsidR="00E62AD6" w:rsidRDefault="00E62AD6">
            <w:pPr>
              <w:spacing w:line="240" w:lineRule="exact"/>
              <w:jc w:val="center"/>
              <w:rPr>
                <w:rFonts w:ascii="宋体" w:cs="宋体"/>
                <w:kern w:val="0"/>
                <w:szCs w:val="21"/>
              </w:rPr>
            </w:pPr>
            <w:r>
              <w:rPr>
                <w:rFonts w:ascii="宋体" w:hAnsi="宋体"/>
                <w:sz w:val="24"/>
              </w:rPr>
              <w:t>4420040143</w:t>
            </w:r>
          </w:p>
        </w:tc>
        <w:tc>
          <w:tcPr>
            <w:tcW w:w="3771" w:type="dxa"/>
            <w:tcBorders>
              <w:bottom w:val="single" w:sz="4" w:space="0" w:color="auto"/>
            </w:tcBorders>
            <w:vAlign w:val="center"/>
          </w:tcPr>
          <w:p w:rsidR="00E62AD6" w:rsidRDefault="00E62AD6">
            <w:pPr>
              <w:spacing w:line="240" w:lineRule="exact"/>
              <w:jc w:val="center"/>
              <w:rPr>
                <w:rFonts w:ascii="宋体" w:cs="宋体"/>
                <w:kern w:val="0"/>
                <w:szCs w:val="21"/>
              </w:rPr>
            </w:pPr>
          </w:p>
        </w:tc>
        <w:tc>
          <w:tcPr>
            <w:tcW w:w="1997" w:type="dxa"/>
            <w:tcBorders>
              <w:bottom w:val="single" w:sz="4" w:space="0" w:color="auto"/>
            </w:tcBorders>
            <w:vAlign w:val="center"/>
          </w:tcPr>
          <w:p w:rsidR="00E62AD6" w:rsidRDefault="00E62AD6">
            <w:pPr>
              <w:spacing w:line="240" w:lineRule="exact"/>
              <w:jc w:val="center"/>
              <w:rPr>
                <w:rFonts w:ascii="宋体" w:cs="宋体"/>
                <w:kern w:val="0"/>
                <w:szCs w:val="21"/>
              </w:rPr>
            </w:pPr>
            <w:smartTag w:uri="urn:schemas-microsoft-com:office:smarttags" w:element="chsdate">
              <w:smartTagPr>
                <w:attr w:name="IsROCDate" w:val="False"/>
                <w:attr w:name="IsLunarDate" w:val="False"/>
                <w:attr w:name="Day" w:val="31"/>
                <w:attr w:name="Month" w:val="12"/>
                <w:attr w:name="Year" w:val="2021"/>
              </w:smartTagPr>
              <w:r>
                <w:rPr>
                  <w:rFonts w:ascii="宋体" w:hAnsi="宋体"/>
                  <w:szCs w:val="21"/>
                </w:rPr>
                <w:t>2022</w:t>
              </w:r>
              <w:r>
                <w:rPr>
                  <w:rFonts w:ascii="宋体" w:hAnsi="宋体" w:hint="eastAsia"/>
                  <w:szCs w:val="21"/>
                </w:rPr>
                <w:t>年</w:t>
              </w:r>
              <w:r>
                <w:rPr>
                  <w:rFonts w:ascii="宋体" w:hAnsi="宋体"/>
                  <w:szCs w:val="21"/>
                </w:rPr>
                <w:t>9</w:t>
              </w:r>
              <w:r>
                <w:rPr>
                  <w:rFonts w:ascii="宋体" w:hAnsi="宋体" w:hint="eastAsia"/>
                  <w:szCs w:val="21"/>
                </w:rPr>
                <w:t>月</w:t>
              </w:r>
              <w:r>
                <w:rPr>
                  <w:rFonts w:ascii="宋体" w:hAnsi="宋体"/>
                  <w:szCs w:val="21"/>
                </w:rPr>
                <w:t>8</w:t>
              </w:r>
              <w:r>
                <w:rPr>
                  <w:rFonts w:ascii="宋体" w:hAnsi="宋体" w:hint="eastAsia"/>
                  <w:szCs w:val="21"/>
                </w:rPr>
                <w:t>日</w:t>
              </w:r>
            </w:smartTag>
          </w:p>
        </w:tc>
      </w:tr>
    </w:tbl>
    <w:p w:rsidR="00E62AD6" w:rsidRDefault="00E62AD6">
      <w:pPr>
        <w:spacing w:line="340" w:lineRule="exact"/>
        <w:rPr>
          <w:rFonts w:ascii="宋体"/>
          <w:sz w:val="24"/>
        </w:rPr>
      </w:pPr>
    </w:p>
    <w:p w:rsidR="00E62AD6" w:rsidRDefault="00E62AD6" w:rsidP="00F23040">
      <w:pPr>
        <w:spacing w:line="660" w:lineRule="exact"/>
        <w:ind w:firstLineChars="200" w:firstLine="31680"/>
        <w:rPr>
          <w:rFonts w:ascii="宋体"/>
          <w:b/>
          <w:bCs/>
          <w:sz w:val="24"/>
        </w:rPr>
      </w:pPr>
      <w:r>
        <w:rPr>
          <w:rFonts w:ascii="宋体" w:hAnsi="宋体" w:hint="eastAsia"/>
          <w:b/>
          <w:bCs/>
          <w:sz w:val="24"/>
        </w:rPr>
        <w:t>（十二）实地查勘期</w:t>
      </w:r>
    </w:p>
    <w:p w:rsidR="00E62AD6" w:rsidRDefault="00E62AD6" w:rsidP="00F23040">
      <w:pPr>
        <w:spacing w:line="660" w:lineRule="exact"/>
        <w:ind w:firstLineChars="200" w:firstLine="31680"/>
        <w:rPr>
          <w:rFonts w:ascii="宋体"/>
          <w:sz w:val="24"/>
        </w:rPr>
      </w:pP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rPr>
          <w:t>2022</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5</w:t>
        </w:r>
        <w:r>
          <w:rPr>
            <w:rFonts w:ascii="宋体" w:hAnsi="宋体" w:hint="eastAsia"/>
            <w:sz w:val="24"/>
          </w:rPr>
          <w:t>日</w:t>
        </w:r>
      </w:smartTag>
    </w:p>
    <w:p w:rsidR="00E62AD6" w:rsidRDefault="00E62AD6" w:rsidP="00F23040">
      <w:pPr>
        <w:spacing w:line="660" w:lineRule="exact"/>
        <w:ind w:firstLineChars="200" w:firstLine="31680"/>
        <w:rPr>
          <w:rFonts w:ascii="宋体"/>
          <w:b/>
          <w:bCs/>
          <w:sz w:val="24"/>
        </w:rPr>
      </w:pPr>
      <w:r>
        <w:rPr>
          <w:rFonts w:ascii="宋体" w:hAnsi="宋体" w:hint="eastAsia"/>
          <w:b/>
          <w:bCs/>
          <w:sz w:val="24"/>
        </w:rPr>
        <w:t>（十三）估价作业期</w:t>
      </w:r>
    </w:p>
    <w:p w:rsidR="00E62AD6" w:rsidRDefault="00E62AD6" w:rsidP="00F23040">
      <w:pPr>
        <w:spacing w:line="660" w:lineRule="exact"/>
        <w:ind w:firstLineChars="200" w:firstLine="31680"/>
        <w:rPr>
          <w:rFonts w:ascii="宋体"/>
          <w:sz w:val="24"/>
        </w:rPr>
      </w:pP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rPr>
          <w:t>2022</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5</w:t>
        </w:r>
        <w:r>
          <w:rPr>
            <w:rFonts w:ascii="宋体" w:hAnsi="宋体" w:hint="eastAsia"/>
            <w:sz w:val="24"/>
          </w:rPr>
          <w:t>日</w:t>
        </w:r>
      </w:smartTag>
      <w:r>
        <w:rPr>
          <w:rFonts w:ascii="宋体" w:hAnsi="宋体" w:hint="eastAsia"/>
          <w:sz w:val="24"/>
        </w:rPr>
        <w:t>至</w:t>
      </w: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rPr>
          <w:t>2022</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8</w:t>
        </w:r>
        <w:r>
          <w:rPr>
            <w:rFonts w:ascii="宋体" w:hAnsi="宋体" w:hint="eastAsia"/>
            <w:sz w:val="24"/>
          </w:rPr>
          <w:t>日</w:t>
        </w:r>
      </w:smartTag>
      <w:r>
        <w:rPr>
          <w:rFonts w:ascii="宋体" w:hAnsi="宋体" w:hint="eastAsia"/>
          <w:sz w:val="24"/>
        </w:rPr>
        <w:t>。</w:t>
      </w:r>
    </w:p>
    <w:p w:rsidR="00E62AD6" w:rsidRDefault="00E62AD6" w:rsidP="00F23040">
      <w:pPr>
        <w:spacing w:line="660" w:lineRule="exact"/>
        <w:ind w:firstLineChars="200" w:firstLine="31680"/>
        <w:rPr>
          <w:rFonts w:ascii="宋体"/>
          <w:b/>
          <w:bCs/>
          <w:sz w:val="24"/>
        </w:rPr>
      </w:pPr>
      <w:r>
        <w:rPr>
          <w:rFonts w:ascii="宋体" w:hAnsi="宋体" w:hint="eastAsia"/>
          <w:b/>
          <w:bCs/>
          <w:sz w:val="24"/>
        </w:rPr>
        <w:t>（十四）估价报告书应用的有效期</w:t>
      </w:r>
    </w:p>
    <w:p w:rsidR="00E62AD6" w:rsidRDefault="00E62AD6" w:rsidP="00F23040">
      <w:pPr>
        <w:spacing w:line="660" w:lineRule="exact"/>
        <w:ind w:firstLineChars="200" w:firstLine="31680"/>
        <w:rPr>
          <w:rFonts w:ascii="宋体"/>
          <w:sz w:val="24"/>
        </w:rPr>
      </w:pPr>
      <w:r>
        <w:rPr>
          <w:rFonts w:ascii="宋体" w:hAnsi="宋体" w:hint="eastAsia"/>
          <w:sz w:val="24"/>
        </w:rPr>
        <w:t>本估价报告书应用的有效期自报告书出具之日起一年内有效。</w:t>
      </w:r>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r>
        <w:rPr>
          <w:rFonts w:ascii="宋体" w:hAnsi="宋体"/>
          <w:sz w:val="24"/>
        </w:rPr>
        <w:t xml:space="preserve">                           </w:t>
      </w:r>
      <w:r>
        <w:rPr>
          <w:rFonts w:ascii="宋体" w:hAnsi="宋体" w:hint="eastAsia"/>
          <w:sz w:val="24"/>
        </w:rPr>
        <w:t>广东瑞基资产评估土地房地产估价有限公司</w:t>
      </w:r>
    </w:p>
    <w:p w:rsidR="00E62AD6" w:rsidRDefault="00E62AD6" w:rsidP="00F23040">
      <w:pPr>
        <w:spacing w:line="660" w:lineRule="exact"/>
        <w:ind w:firstLineChars="200" w:firstLine="31680"/>
        <w:rPr>
          <w:rFonts w:ascii="宋体"/>
          <w:sz w:val="24"/>
        </w:rPr>
      </w:pPr>
      <w:r>
        <w:rPr>
          <w:rFonts w:ascii="宋体" w:hAnsi="宋体"/>
          <w:sz w:val="24"/>
        </w:rPr>
        <w:t xml:space="preserve">                                        </w:t>
      </w:r>
      <w:smartTag w:uri="urn:schemas-microsoft-com:office:smarttags" w:element="chsdate">
        <w:smartTagPr>
          <w:attr w:name="IsROCDate" w:val="False"/>
          <w:attr w:name="IsLunarDate" w:val="False"/>
          <w:attr w:name="Day" w:val="31"/>
          <w:attr w:name="Month" w:val="12"/>
          <w:attr w:name="Year" w:val="2021"/>
        </w:smartTagPr>
        <w:r>
          <w:rPr>
            <w:rFonts w:ascii="宋体" w:hAnsi="宋体"/>
            <w:sz w:val="24"/>
          </w:rPr>
          <w:t>2022</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8</w:t>
        </w:r>
        <w:r>
          <w:rPr>
            <w:rFonts w:ascii="宋体" w:hAnsi="宋体" w:hint="eastAsia"/>
            <w:sz w:val="24"/>
          </w:rPr>
          <w:t>日</w:t>
        </w:r>
      </w:smartTag>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p>
    <w:p w:rsidR="00E62AD6" w:rsidRDefault="00E62AD6" w:rsidP="00F23040">
      <w:pPr>
        <w:spacing w:line="580" w:lineRule="exact"/>
        <w:ind w:firstLineChars="500" w:firstLine="31680"/>
        <w:rPr>
          <w:rFonts w:ascii="宋体"/>
          <w:sz w:val="24"/>
        </w:rPr>
      </w:pPr>
      <w:r>
        <w:rPr>
          <w:rFonts w:ascii="黑体" w:eastAsia="黑体" w:hAnsi="宋体" w:hint="eastAsia"/>
          <w:sz w:val="44"/>
        </w:rPr>
        <w:t>五、房地产估价技术报告</w:t>
      </w:r>
    </w:p>
    <w:p w:rsidR="00E62AD6" w:rsidRDefault="00E62AD6" w:rsidP="00F23040">
      <w:pPr>
        <w:spacing w:line="400" w:lineRule="exact"/>
        <w:ind w:firstLineChars="200" w:firstLine="31680"/>
        <w:rPr>
          <w:rFonts w:ascii="宋体"/>
          <w:b/>
          <w:bCs/>
        </w:rPr>
      </w:pPr>
    </w:p>
    <w:p w:rsidR="00E62AD6" w:rsidRDefault="00E62AD6" w:rsidP="00F23040">
      <w:pPr>
        <w:spacing w:line="660" w:lineRule="exact"/>
        <w:ind w:firstLineChars="200" w:firstLine="31680"/>
        <w:rPr>
          <w:rFonts w:ascii="宋体"/>
          <w:b/>
          <w:bCs/>
          <w:sz w:val="24"/>
        </w:rPr>
      </w:pPr>
      <w:r>
        <w:rPr>
          <w:rFonts w:ascii="宋体" w:hAnsi="宋体" w:hint="eastAsia"/>
          <w:b/>
          <w:bCs/>
          <w:sz w:val="24"/>
        </w:rPr>
        <w:t>（一）实物状况分析</w:t>
      </w:r>
    </w:p>
    <w:p w:rsidR="00E62AD6" w:rsidRDefault="00E62AD6" w:rsidP="00F23040">
      <w:pPr>
        <w:spacing w:line="660" w:lineRule="exact"/>
        <w:ind w:firstLineChars="200" w:firstLine="31680"/>
        <w:rPr>
          <w:rFonts w:ascii="宋体"/>
          <w:sz w:val="24"/>
        </w:rPr>
      </w:pPr>
      <w:r>
        <w:rPr>
          <w:rFonts w:ascii="宋体" w:hAnsi="宋体" w:hint="eastAsia"/>
          <w:sz w:val="24"/>
        </w:rPr>
        <w:t>估价对象所在建筑物为龙湖区碧霞庄北</w:t>
      </w:r>
      <w:r>
        <w:rPr>
          <w:rFonts w:ascii="宋体" w:hAnsi="宋体"/>
          <w:sz w:val="24"/>
        </w:rPr>
        <w:t>2</w:t>
      </w:r>
      <w:r>
        <w:rPr>
          <w:rFonts w:ascii="宋体" w:hAnsi="宋体" w:hint="eastAsia"/>
          <w:sz w:val="24"/>
        </w:rPr>
        <w:t>幢</w:t>
      </w:r>
      <w:r>
        <w:rPr>
          <w:rFonts w:ascii="宋体" w:hAnsi="宋体"/>
          <w:sz w:val="24"/>
        </w:rPr>
        <w:t>125</w:t>
      </w:r>
      <w:r>
        <w:rPr>
          <w:rFonts w:ascii="宋体" w:hAnsi="宋体" w:hint="eastAsia"/>
          <w:sz w:val="24"/>
        </w:rPr>
        <w:t>号房，建筑结构为钢混框架结构，总层数为</w:t>
      </w:r>
      <w:r>
        <w:rPr>
          <w:rFonts w:ascii="宋体" w:hAnsi="宋体"/>
          <w:sz w:val="24"/>
        </w:rPr>
        <w:t>8</w:t>
      </w:r>
      <w:r>
        <w:rPr>
          <w:rFonts w:ascii="宋体" w:hAnsi="宋体" w:hint="eastAsia"/>
          <w:sz w:val="24"/>
        </w:rPr>
        <w:t>层。外墙面贴马赛克</w:t>
      </w:r>
      <w:r>
        <w:rPr>
          <w:rFonts w:ascii="宋体" w:hint="eastAsia"/>
          <w:sz w:val="24"/>
        </w:rPr>
        <w:t>，</w:t>
      </w:r>
      <w:r>
        <w:rPr>
          <w:rFonts w:ascii="宋体" w:hAnsi="宋体" w:hint="eastAsia"/>
          <w:sz w:val="24"/>
        </w:rPr>
        <w:t>配铝合金玻璃窗，整体外部观感普通。</w:t>
      </w:r>
    </w:p>
    <w:p w:rsidR="00E62AD6" w:rsidRDefault="00E62AD6" w:rsidP="00F23040">
      <w:pPr>
        <w:snapToGrid w:val="0"/>
        <w:spacing w:line="600" w:lineRule="exact"/>
        <w:ind w:firstLineChars="177" w:firstLine="31680"/>
        <w:rPr>
          <w:rFonts w:ascii="宋体" w:cs="宋体"/>
          <w:sz w:val="24"/>
        </w:rPr>
      </w:pPr>
      <w:r>
        <w:rPr>
          <w:rFonts w:ascii="宋体" w:hAnsi="宋体" w:hint="eastAsia"/>
          <w:sz w:val="24"/>
        </w:rPr>
        <w:t>估价对象位于该建筑物第</w:t>
      </w:r>
      <w:r>
        <w:rPr>
          <w:rFonts w:ascii="宋体" w:hAnsi="宋体"/>
          <w:sz w:val="24"/>
        </w:rPr>
        <w:t>1</w:t>
      </w:r>
      <w:r>
        <w:rPr>
          <w:rFonts w:ascii="宋体" w:hAnsi="宋体" w:hint="eastAsia"/>
          <w:sz w:val="24"/>
        </w:rPr>
        <w:t>层</w:t>
      </w:r>
      <w:r>
        <w:rPr>
          <w:rFonts w:ascii="宋体"/>
          <w:sz w:val="24"/>
        </w:rPr>
        <w:t>125</w:t>
      </w:r>
      <w:r>
        <w:rPr>
          <w:rFonts w:ascii="宋体" w:hAnsi="宋体" w:hint="eastAsia"/>
          <w:sz w:val="24"/>
        </w:rPr>
        <w:t>号房，</w:t>
      </w:r>
      <w:r>
        <w:rPr>
          <w:rFonts w:ascii="宋体" w:hAnsi="宋体" w:cs="宋体" w:hint="eastAsia"/>
          <w:sz w:val="24"/>
        </w:rPr>
        <w:t>配铝合金卷闸</w:t>
      </w:r>
      <w:r>
        <w:rPr>
          <w:rFonts w:ascii="宋体" w:hAnsi="宋体" w:hint="eastAsia"/>
          <w:sz w:val="24"/>
        </w:rPr>
        <w:t>门、落地玻璃门，楼地面贴普通地砖，内墙面：下部贴磁砖，上部刷乳胶漆；天花刷乳胶漆。</w:t>
      </w:r>
    </w:p>
    <w:p w:rsidR="00E62AD6" w:rsidRDefault="00E62AD6" w:rsidP="00F23040">
      <w:pPr>
        <w:spacing w:line="660" w:lineRule="exact"/>
        <w:ind w:firstLineChars="200" w:firstLine="31680"/>
        <w:rPr>
          <w:rFonts w:ascii="宋体"/>
          <w:b/>
          <w:bCs/>
          <w:sz w:val="24"/>
        </w:rPr>
      </w:pPr>
      <w:r>
        <w:rPr>
          <w:rFonts w:ascii="宋体" w:hAnsi="宋体" w:hint="eastAsia"/>
          <w:b/>
          <w:bCs/>
          <w:sz w:val="24"/>
        </w:rPr>
        <w:t>（二）区位状况分析</w:t>
      </w:r>
    </w:p>
    <w:p w:rsidR="00E62AD6" w:rsidRDefault="00E62AD6" w:rsidP="00F23040">
      <w:pPr>
        <w:spacing w:line="660" w:lineRule="exact"/>
        <w:ind w:firstLineChars="200" w:firstLine="31680"/>
        <w:rPr>
          <w:rFonts w:ascii="宋体"/>
          <w:sz w:val="24"/>
        </w:rPr>
      </w:pPr>
      <w:r>
        <w:rPr>
          <w:rFonts w:ascii="宋体" w:hAnsi="宋体" w:hint="eastAsia"/>
          <w:sz w:val="24"/>
        </w:rPr>
        <w:t>估价对象所在区域为龙湖区碧霞庄北区，东为天山路，南为中山路，西临华山路、北临长平路，交通便捷。周围有万象城、苏宁广场、市行政服务中心、群光广场、林百欣国际会议展中心、丹霞小学及中信碧霞花园、爵士花园、永成大厦等住宅区。该区域各项生活、教育、市政等设施配套完善。</w:t>
      </w:r>
    </w:p>
    <w:p w:rsidR="00E62AD6" w:rsidRDefault="00E62AD6" w:rsidP="00F23040">
      <w:pPr>
        <w:spacing w:line="660" w:lineRule="exact"/>
        <w:ind w:firstLineChars="224" w:firstLine="31680"/>
        <w:rPr>
          <w:rFonts w:ascii="宋体"/>
          <w:b/>
          <w:bCs/>
          <w:sz w:val="24"/>
        </w:rPr>
      </w:pPr>
      <w:r>
        <w:rPr>
          <w:rFonts w:ascii="宋体" w:hAnsi="宋体" w:hint="eastAsia"/>
          <w:b/>
          <w:bCs/>
          <w:sz w:val="24"/>
        </w:rPr>
        <w:t>（三）市场背景分析</w:t>
      </w:r>
    </w:p>
    <w:p w:rsidR="00E62AD6" w:rsidRDefault="00E62AD6" w:rsidP="00F23040">
      <w:pPr>
        <w:spacing w:line="660" w:lineRule="exact"/>
        <w:ind w:firstLineChars="224" w:firstLine="31680"/>
        <w:rPr>
          <w:sz w:val="24"/>
        </w:rPr>
      </w:pPr>
      <w:r>
        <w:rPr>
          <w:rFonts w:hint="eastAsia"/>
          <w:sz w:val="24"/>
        </w:rPr>
        <w:t>汕头是中国东南沿海的重要港口城市，又是经济特区、沿海开放城市和著名侨乡。汕头港于</w:t>
      </w:r>
      <w:r>
        <w:rPr>
          <w:sz w:val="24"/>
        </w:rPr>
        <w:t>1860</w:t>
      </w:r>
      <w:r>
        <w:rPr>
          <w:rFonts w:hint="eastAsia"/>
          <w:sz w:val="24"/>
        </w:rPr>
        <w:t>年开埠，历来是粤东、闽西南、赣南地区的主要交通枢纽，素有“岭东门户、华南要冲”、“海滨邹鲁、美食之乡”美称，也是粤东中心城市、广东省域副中心城市、进出口岸和商品集散地，享有中国优秀旅游城市、中国投资环境百佳城市、中国品牌经济城市、国家知识产权工作示范城市、国家电子商务示范城市、国家信息消费试点城市、全国双拥模范城、中国文具生产基地。汕头区位优势明显，发展腹地广阔，目前，汕头已经进入经济社会发展的新一轮上升期，呈现经济加快发展、全市政通人和、社会稳定和谐新气象。经过多年的发展和积累，汕头孕育着无限生机，正蓄势待发，将是海内外投资者可以大有作为的一方热土。</w:t>
      </w:r>
    </w:p>
    <w:p w:rsidR="00E62AD6" w:rsidRDefault="00E62AD6" w:rsidP="00F23040">
      <w:pPr>
        <w:spacing w:line="660" w:lineRule="exact"/>
        <w:ind w:firstLineChars="224" w:firstLine="31680"/>
        <w:rPr>
          <w:sz w:val="24"/>
        </w:rPr>
      </w:pPr>
      <w:r>
        <w:rPr>
          <w:rFonts w:hint="eastAsia"/>
          <w:sz w:val="24"/>
        </w:rPr>
        <w:t>近几年</w:t>
      </w:r>
      <w:r>
        <w:rPr>
          <w:sz w:val="24"/>
        </w:rPr>
        <w:t>,</w:t>
      </w:r>
      <w:r>
        <w:rPr>
          <w:rFonts w:hint="eastAsia"/>
          <w:sz w:val="24"/>
        </w:rPr>
        <w:t>汕头实现环境、发展双提质：经济发展环境迅速改善，人气和资源迅速集聚，在社会各层次产生积极影响，实现了“信心回归、潮商回归、形象回归、特区精神和特区效率回归”。</w:t>
      </w:r>
      <w:r>
        <w:rPr>
          <w:bCs/>
          <w:sz w:val="24"/>
        </w:rPr>
        <w:t xml:space="preserve"> </w:t>
      </w:r>
      <w:r>
        <w:rPr>
          <w:rFonts w:hint="eastAsia"/>
          <w:bCs/>
          <w:sz w:val="24"/>
        </w:rPr>
        <w:t>随着</w:t>
      </w:r>
      <w:r>
        <w:rPr>
          <w:rFonts w:hint="eastAsia"/>
          <w:sz w:val="24"/>
        </w:rPr>
        <w:t>汕头各</w:t>
      </w:r>
      <w:r>
        <w:rPr>
          <w:rFonts w:hint="eastAsia"/>
          <w:bCs/>
          <w:sz w:val="24"/>
        </w:rPr>
        <w:t>重大基础设施的逐步建设，</w:t>
      </w:r>
      <w:r>
        <w:rPr>
          <w:rFonts w:hint="eastAsia"/>
          <w:sz w:val="24"/>
        </w:rPr>
        <w:t>城市面貌得到巨大的改善，也大大提升了汕头加快全面振兴、协调发展的精气神，得到海内外、社会各界的褒扬和肯定，借势大力建设汕潮揭都市圈与粤港澳大湾区互联互通的规划</w:t>
      </w:r>
      <w:r>
        <w:rPr>
          <w:sz w:val="24"/>
        </w:rPr>
        <w:t xml:space="preserve">, </w:t>
      </w:r>
      <w:r>
        <w:rPr>
          <w:rFonts w:hint="eastAsia"/>
          <w:sz w:val="24"/>
        </w:rPr>
        <w:t>城市发展带来的集聚效应，汕头的吸引力越来越大，汕头未来城市建设蓝图已初步绘就，振奋人心，现在的汕头，大家已经看到了一种全新的动力和强劲的后发实力，吸引了更多的品牌企业的入驻，也将有更多的外地大型开发商看到汕头的发展趋势而选择这个城市。</w:t>
      </w:r>
    </w:p>
    <w:p w:rsidR="00E62AD6" w:rsidRDefault="00E62AD6" w:rsidP="00F23040">
      <w:pPr>
        <w:spacing w:line="660" w:lineRule="exact"/>
        <w:ind w:firstLineChars="224" w:firstLine="31680"/>
        <w:rPr>
          <w:sz w:val="24"/>
        </w:rPr>
      </w:pPr>
      <w:r>
        <w:rPr>
          <w:rFonts w:hint="eastAsia"/>
          <w:sz w:val="24"/>
        </w:rPr>
        <w:t>近两年来，受新冠疫情影响，短期内餐饮、旅游、交通等行业受到较大冲击，制造业、基建等投资也受到明显抑制，经济面临较大压力。汕头市委、市政府在习近平新时代中国特色社会主义思想指导下，统筹推进疫情防控和经济社会发展各项工作，全市经济保持恢复态势，经济韧性不断增强。但经济发展外部环境不确定因素增多，经济恢复不均衡问题进一步显现，增长面临较大的下行压力。据广东省人民政府印发《广东省综合立体交通网规划纲要》</w:t>
      </w:r>
      <w:r>
        <w:rPr>
          <w:sz w:val="24"/>
        </w:rPr>
        <w:t xml:space="preserve">, </w:t>
      </w:r>
      <w:r>
        <w:rPr>
          <w:rFonts w:hint="eastAsia"/>
          <w:sz w:val="24"/>
        </w:rPr>
        <w:t>将汕头打造为全国性综合交通枢纽城市，推动汕潮揭客运同城化</w:t>
      </w:r>
      <w:r>
        <w:rPr>
          <w:sz w:val="24"/>
        </w:rPr>
        <w:t xml:space="preserve">, </w:t>
      </w:r>
      <w:r>
        <w:rPr>
          <w:rFonts w:hint="eastAsia"/>
          <w:sz w:val="24"/>
        </w:rPr>
        <w:t>提升汕头省域副中心城市交通辐射带动能力。</w:t>
      </w:r>
    </w:p>
    <w:p w:rsidR="00E62AD6" w:rsidRDefault="00E62AD6" w:rsidP="00F23040">
      <w:pPr>
        <w:spacing w:line="660" w:lineRule="exact"/>
        <w:ind w:firstLineChars="224" w:firstLine="31680"/>
        <w:rPr>
          <w:sz w:val="24"/>
        </w:rPr>
      </w:pPr>
      <w:r>
        <w:rPr>
          <w:rFonts w:hint="eastAsia"/>
          <w:sz w:val="24"/>
        </w:rPr>
        <w:t>基础设施方面：近两年，港口、高铁、高速公路、城市主干道等建设节节推进，进行中的较大项目有汕汕铁路、粤东城际铁路，交通市政、医疗、教育、体育等一大批基础设施建设发力攻坚。</w:t>
      </w:r>
    </w:p>
    <w:p w:rsidR="00E62AD6" w:rsidRDefault="00E62AD6" w:rsidP="00F23040">
      <w:pPr>
        <w:spacing w:line="660" w:lineRule="exact"/>
        <w:ind w:firstLineChars="224" w:firstLine="31680"/>
        <w:rPr>
          <w:sz w:val="24"/>
        </w:rPr>
      </w:pPr>
      <w:r>
        <w:rPr>
          <w:rFonts w:hint="eastAsia"/>
          <w:sz w:val="24"/>
        </w:rPr>
        <w:t>公共设施配套方面：近两年，市区新增开放多个公园和绿化广场，儿童公园、北郊公园、海湾湿地公园、广厦公园、华侨公园西侧绿地公园、潮阳东山公园、澄海奥飞市民广场等一批公园新装亮相，小公园历史文化街区民国风情建筑成为汕头丰富历史内涵的亮丽名片。先有苏宁广场、群光汇、</w:t>
      </w:r>
      <w:r>
        <w:rPr>
          <w:sz w:val="24"/>
        </w:rPr>
        <w:t>1981</w:t>
      </w:r>
      <w:r>
        <w:rPr>
          <w:rFonts w:hint="eastAsia"/>
          <w:sz w:val="24"/>
        </w:rPr>
        <w:t>特区商城、合胜百货（御景江南）、沃尔玛</w:t>
      </w:r>
      <w:r>
        <w:rPr>
          <w:sz w:val="24"/>
        </w:rPr>
        <w:t>(</w:t>
      </w:r>
      <w:r>
        <w:rPr>
          <w:rFonts w:hint="eastAsia"/>
          <w:sz w:val="24"/>
        </w:rPr>
        <w:t>大悦花园</w:t>
      </w:r>
      <w:r>
        <w:rPr>
          <w:sz w:val="24"/>
        </w:rPr>
        <w:t>)</w:t>
      </w:r>
      <w:r>
        <w:rPr>
          <w:rFonts w:hint="eastAsia"/>
          <w:sz w:val="24"/>
        </w:rPr>
        <w:t>一批综合体开业，后有粤东首个万达广场、华润万象城开业，娱乐方式更多样化。</w:t>
      </w:r>
    </w:p>
    <w:p w:rsidR="00E62AD6" w:rsidRDefault="00E62AD6" w:rsidP="00F23040">
      <w:pPr>
        <w:spacing w:line="660" w:lineRule="exact"/>
        <w:ind w:firstLineChars="224" w:firstLine="31680"/>
        <w:rPr>
          <w:sz w:val="24"/>
        </w:rPr>
      </w:pPr>
      <w:r>
        <w:rPr>
          <w:rFonts w:hint="eastAsia"/>
          <w:sz w:val="24"/>
        </w:rPr>
        <w:t>亚青会主场馆及一批配套项目完工，一批学校、医院项目先后落成，珠港新城、东海岸新城、南滨新城日渐展露新貌，都在进一步提升城市品质及形象，营造舒适宜居环境。</w:t>
      </w:r>
    </w:p>
    <w:p w:rsidR="00E62AD6" w:rsidRDefault="00E62AD6" w:rsidP="00F23040">
      <w:pPr>
        <w:spacing w:line="660" w:lineRule="exact"/>
        <w:ind w:firstLineChars="224" w:firstLine="31680"/>
        <w:rPr>
          <w:b/>
          <w:sz w:val="24"/>
        </w:rPr>
      </w:pPr>
      <w:r>
        <w:rPr>
          <w:rFonts w:hint="eastAsia"/>
          <w:b/>
          <w:sz w:val="24"/>
        </w:rPr>
        <w:t>※</w:t>
      </w:r>
      <w:r>
        <w:rPr>
          <w:b/>
          <w:sz w:val="24"/>
        </w:rPr>
        <w:t xml:space="preserve"> 2021</w:t>
      </w:r>
      <w:r>
        <w:rPr>
          <w:rFonts w:hint="eastAsia"/>
          <w:b/>
          <w:sz w:val="24"/>
        </w:rPr>
        <w:t>年汕头经济运行及房地产市场状况</w:t>
      </w:r>
    </w:p>
    <w:p w:rsidR="00E62AD6" w:rsidRDefault="00E62AD6" w:rsidP="00F23040">
      <w:pPr>
        <w:spacing w:line="660" w:lineRule="exact"/>
        <w:ind w:firstLineChars="224" w:firstLine="31680"/>
        <w:rPr>
          <w:sz w:val="24"/>
        </w:rPr>
      </w:pPr>
      <w:r>
        <w:rPr>
          <w:b/>
          <w:sz w:val="24"/>
        </w:rPr>
        <w:t>1</w:t>
      </w:r>
      <w:r>
        <w:rPr>
          <w:rFonts w:hint="eastAsia"/>
          <w:b/>
          <w:sz w:val="24"/>
        </w:rPr>
        <w:t>、</w:t>
      </w:r>
      <w:r>
        <w:rPr>
          <w:b/>
          <w:sz w:val="24"/>
        </w:rPr>
        <w:t>GDP</w:t>
      </w:r>
      <w:r>
        <w:rPr>
          <w:rFonts w:hint="eastAsia"/>
          <w:b/>
          <w:sz w:val="24"/>
        </w:rPr>
        <w:t>及经济社会发展相关指标</w:t>
      </w:r>
      <w:r>
        <w:rPr>
          <w:rFonts w:hint="eastAsia"/>
          <w:sz w:val="24"/>
        </w:rPr>
        <w:t>（数据来源：汕头市统计局）。</w:t>
      </w:r>
    </w:p>
    <w:p w:rsidR="00E62AD6" w:rsidRDefault="00E62AD6" w:rsidP="00F23040">
      <w:pPr>
        <w:spacing w:line="660" w:lineRule="exact"/>
        <w:ind w:firstLineChars="224" w:firstLine="31680"/>
        <w:rPr>
          <w:sz w:val="24"/>
        </w:rPr>
      </w:pPr>
      <w:r>
        <w:rPr>
          <w:rFonts w:hint="eastAsia"/>
          <w:sz w:val="24"/>
        </w:rPr>
        <w:t>根据广东省地区生产总值统一核算结果，</w:t>
      </w:r>
      <w:r>
        <w:rPr>
          <w:sz w:val="24"/>
        </w:rPr>
        <w:t>2021</w:t>
      </w:r>
      <w:r>
        <w:rPr>
          <w:rFonts w:hint="eastAsia"/>
          <w:sz w:val="24"/>
        </w:rPr>
        <w:t>年汕头实现地区生产总值</w:t>
      </w:r>
      <w:r>
        <w:rPr>
          <w:sz w:val="24"/>
        </w:rPr>
        <w:t>2929.87</w:t>
      </w:r>
      <w:r>
        <w:rPr>
          <w:rFonts w:hint="eastAsia"/>
          <w:sz w:val="24"/>
        </w:rPr>
        <w:t>亿元，同比增长</w:t>
      </w:r>
      <w:r>
        <w:rPr>
          <w:sz w:val="24"/>
        </w:rPr>
        <w:t>6.1%</w:t>
      </w:r>
      <w:r>
        <w:rPr>
          <w:rFonts w:hint="eastAsia"/>
          <w:sz w:val="24"/>
        </w:rPr>
        <w:t>，两年平均增长</w:t>
      </w:r>
      <w:r>
        <w:rPr>
          <w:sz w:val="24"/>
        </w:rPr>
        <w:t>4.0%</w:t>
      </w:r>
      <w:r>
        <w:rPr>
          <w:rFonts w:hint="eastAsia"/>
          <w:sz w:val="24"/>
        </w:rPr>
        <w:t>。其中，第一产业增加值为</w:t>
      </w:r>
      <w:r>
        <w:rPr>
          <w:sz w:val="24"/>
        </w:rPr>
        <w:t>125.05</w:t>
      </w:r>
      <w:r>
        <w:rPr>
          <w:rFonts w:hint="eastAsia"/>
          <w:sz w:val="24"/>
        </w:rPr>
        <w:t>亿元，同比增长</w:t>
      </w:r>
      <w:r>
        <w:rPr>
          <w:sz w:val="24"/>
        </w:rPr>
        <w:t>2.1%</w:t>
      </w:r>
      <w:r>
        <w:rPr>
          <w:rFonts w:hint="eastAsia"/>
          <w:sz w:val="24"/>
        </w:rPr>
        <w:t>，两年平均增长</w:t>
      </w:r>
      <w:r>
        <w:rPr>
          <w:sz w:val="24"/>
        </w:rPr>
        <w:t>1.0%</w:t>
      </w:r>
      <w:r>
        <w:rPr>
          <w:rFonts w:hint="eastAsia"/>
          <w:sz w:val="24"/>
        </w:rPr>
        <w:t>；第二产业增加值为</w:t>
      </w:r>
      <w:r>
        <w:rPr>
          <w:sz w:val="24"/>
        </w:rPr>
        <w:t>1412.56</w:t>
      </w:r>
      <w:r>
        <w:rPr>
          <w:rFonts w:hint="eastAsia"/>
          <w:sz w:val="24"/>
        </w:rPr>
        <w:t>亿元，同比增长</w:t>
      </w:r>
      <w:r>
        <w:rPr>
          <w:sz w:val="24"/>
        </w:rPr>
        <w:t>4.3%</w:t>
      </w:r>
      <w:r>
        <w:rPr>
          <w:rFonts w:hint="eastAsia"/>
          <w:sz w:val="24"/>
        </w:rPr>
        <w:t>，两年平均增长</w:t>
      </w:r>
      <w:r>
        <w:rPr>
          <w:sz w:val="24"/>
        </w:rPr>
        <w:t>3.4%</w:t>
      </w:r>
      <w:r>
        <w:rPr>
          <w:rFonts w:hint="eastAsia"/>
          <w:sz w:val="24"/>
        </w:rPr>
        <w:t>；第三产业增加值为</w:t>
      </w:r>
      <w:r>
        <w:rPr>
          <w:sz w:val="24"/>
        </w:rPr>
        <w:t>1392.25</w:t>
      </w:r>
      <w:r>
        <w:rPr>
          <w:rFonts w:hint="eastAsia"/>
          <w:sz w:val="24"/>
        </w:rPr>
        <w:t>亿元，同比增长</w:t>
      </w:r>
      <w:r>
        <w:rPr>
          <w:sz w:val="24"/>
        </w:rPr>
        <w:t>8.5%</w:t>
      </w:r>
      <w:r>
        <w:rPr>
          <w:rFonts w:hint="eastAsia"/>
          <w:sz w:val="24"/>
        </w:rPr>
        <w:t>，两年平均增长</w:t>
      </w:r>
      <w:r>
        <w:rPr>
          <w:sz w:val="24"/>
        </w:rPr>
        <w:t>5.0%</w:t>
      </w:r>
      <w:r>
        <w:rPr>
          <w:rFonts w:hint="eastAsia"/>
          <w:sz w:val="24"/>
        </w:rPr>
        <w:t>。</w:t>
      </w:r>
      <w:r>
        <w:rPr>
          <w:sz w:val="24"/>
        </w:rPr>
        <w:t xml:space="preserve"> </w:t>
      </w:r>
    </w:p>
    <w:p w:rsidR="00E62AD6" w:rsidRDefault="00E62AD6" w:rsidP="00F23040">
      <w:pPr>
        <w:spacing w:line="660" w:lineRule="exact"/>
        <w:ind w:firstLineChars="224" w:firstLine="31680"/>
        <w:rPr>
          <w:sz w:val="24"/>
        </w:rPr>
      </w:pPr>
      <w:r>
        <w:rPr>
          <w:b/>
          <w:sz w:val="24"/>
        </w:rPr>
        <w:t>2</w:t>
      </w:r>
      <w:r>
        <w:rPr>
          <w:rFonts w:hint="eastAsia"/>
          <w:b/>
          <w:sz w:val="24"/>
        </w:rPr>
        <w:t>、固定资产投资、消费总额及规模以上工业总产值情况</w:t>
      </w:r>
      <w:r>
        <w:rPr>
          <w:rFonts w:hint="eastAsia"/>
          <w:sz w:val="24"/>
        </w:rPr>
        <w:t>（数据来源：汕头市统计局）。</w:t>
      </w:r>
    </w:p>
    <w:p w:rsidR="00E62AD6" w:rsidRDefault="00E62AD6" w:rsidP="00F23040">
      <w:pPr>
        <w:spacing w:line="660" w:lineRule="exact"/>
        <w:ind w:firstLineChars="224" w:firstLine="31680"/>
        <w:rPr>
          <w:sz w:val="24"/>
        </w:rPr>
      </w:pPr>
      <w:r>
        <w:rPr>
          <w:rFonts w:hint="eastAsia"/>
          <w:bCs/>
          <w:sz w:val="24"/>
        </w:rPr>
        <w:t>固定资产投资规模回落：</w:t>
      </w:r>
      <w:r>
        <w:rPr>
          <w:sz w:val="24"/>
        </w:rPr>
        <w:t>2021</w:t>
      </w:r>
      <w:r>
        <w:rPr>
          <w:rFonts w:hint="eastAsia"/>
          <w:sz w:val="24"/>
        </w:rPr>
        <w:t>年，随着亚青会场馆及相关配套工程、雨污分流工程、高速公路、主要市政道路改造等大型基础设施建设项目相继完工，投资增速逐步回落，全年同比下降</w:t>
      </w:r>
      <w:r>
        <w:rPr>
          <w:sz w:val="24"/>
        </w:rPr>
        <w:t>25.3%</w:t>
      </w:r>
      <w:r>
        <w:rPr>
          <w:rFonts w:hint="eastAsia"/>
          <w:sz w:val="24"/>
        </w:rPr>
        <w:t>。</w:t>
      </w:r>
    </w:p>
    <w:p w:rsidR="00E62AD6" w:rsidRDefault="00E62AD6" w:rsidP="00F23040">
      <w:pPr>
        <w:spacing w:line="660" w:lineRule="exact"/>
        <w:ind w:firstLineChars="224" w:firstLine="31680"/>
        <w:rPr>
          <w:sz w:val="24"/>
        </w:rPr>
      </w:pPr>
      <w:r>
        <w:rPr>
          <w:sz w:val="24"/>
        </w:rPr>
        <w:t>2021</w:t>
      </w:r>
      <w:r>
        <w:rPr>
          <w:rFonts w:hint="eastAsia"/>
          <w:sz w:val="24"/>
        </w:rPr>
        <w:t>年，汕头实现社会消费品零售总额</w:t>
      </w:r>
      <w:r>
        <w:rPr>
          <w:sz w:val="24"/>
        </w:rPr>
        <w:t>1503.84</w:t>
      </w:r>
      <w:r>
        <w:rPr>
          <w:rFonts w:hint="eastAsia"/>
          <w:sz w:val="24"/>
        </w:rPr>
        <w:t>亿元，同比增长</w:t>
      </w:r>
      <w:r>
        <w:rPr>
          <w:sz w:val="24"/>
        </w:rPr>
        <w:t>6.1%</w:t>
      </w:r>
      <w:r>
        <w:rPr>
          <w:rFonts w:hint="eastAsia"/>
          <w:sz w:val="24"/>
        </w:rPr>
        <w:t>。</w:t>
      </w:r>
    </w:p>
    <w:p w:rsidR="00E62AD6" w:rsidRDefault="00E62AD6" w:rsidP="00F23040">
      <w:pPr>
        <w:spacing w:line="660" w:lineRule="exact"/>
        <w:ind w:firstLineChars="224" w:firstLine="31680"/>
        <w:rPr>
          <w:sz w:val="24"/>
        </w:rPr>
      </w:pPr>
      <w:r>
        <w:rPr>
          <w:sz w:val="24"/>
        </w:rPr>
        <w:t>2021</w:t>
      </w:r>
      <w:r>
        <w:rPr>
          <w:rFonts w:hint="eastAsia"/>
          <w:sz w:val="24"/>
        </w:rPr>
        <w:t>年，汕头规模以上工业完成增加值</w:t>
      </w:r>
      <w:r>
        <w:rPr>
          <w:sz w:val="24"/>
        </w:rPr>
        <w:t>743.65</w:t>
      </w:r>
      <w:r>
        <w:rPr>
          <w:rFonts w:hint="eastAsia"/>
          <w:sz w:val="24"/>
        </w:rPr>
        <w:t>亿元，同比增长</w:t>
      </w:r>
      <w:r>
        <w:rPr>
          <w:sz w:val="24"/>
        </w:rPr>
        <w:t>8.6%</w:t>
      </w:r>
      <w:r>
        <w:rPr>
          <w:rFonts w:hint="eastAsia"/>
          <w:sz w:val="24"/>
        </w:rPr>
        <w:t>，两年平均增长</w:t>
      </w:r>
      <w:r>
        <w:rPr>
          <w:sz w:val="24"/>
        </w:rPr>
        <w:t>5.1%</w:t>
      </w:r>
      <w:r>
        <w:rPr>
          <w:rFonts w:hint="eastAsia"/>
          <w:sz w:val="24"/>
        </w:rPr>
        <w:t>。</w:t>
      </w:r>
    </w:p>
    <w:p w:rsidR="00E62AD6" w:rsidRDefault="00E62AD6" w:rsidP="00F23040">
      <w:pPr>
        <w:spacing w:line="660" w:lineRule="exact"/>
        <w:ind w:firstLineChars="224" w:firstLine="31680"/>
        <w:rPr>
          <w:sz w:val="24"/>
        </w:rPr>
      </w:pPr>
      <w:r>
        <w:rPr>
          <w:b/>
          <w:sz w:val="24"/>
        </w:rPr>
        <w:t>3</w:t>
      </w:r>
      <w:r>
        <w:rPr>
          <w:rFonts w:hint="eastAsia"/>
          <w:b/>
          <w:sz w:val="24"/>
        </w:rPr>
        <w:t>、房地产市场状况</w:t>
      </w:r>
      <w:r>
        <w:rPr>
          <w:rFonts w:hint="eastAsia"/>
          <w:sz w:val="24"/>
        </w:rPr>
        <w:t>（数据来源：汕头市自然资源局、汕头市统计局及汕头市住建局）。</w:t>
      </w:r>
    </w:p>
    <w:p w:rsidR="00E62AD6" w:rsidRDefault="00E62AD6" w:rsidP="00F23040">
      <w:pPr>
        <w:spacing w:line="660" w:lineRule="exact"/>
        <w:ind w:firstLineChars="224" w:firstLine="31680"/>
        <w:rPr>
          <w:sz w:val="24"/>
        </w:rPr>
      </w:pPr>
      <w:r>
        <w:rPr>
          <w:rFonts w:hint="eastAsia"/>
          <w:sz w:val="24"/>
        </w:rPr>
        <w:t>（</w:t>
      </w:r>
      <w:r>
        <w:rPr>
          <w:sz w:val="24"/>
        </w:rPr>
        <w:t>1</w:t>
      </w:r>
      <w:r>
        <w:rPr>
          <w:rFonts w:hint="eastAsia"/>
          <w:sz w:val="24"/>
        </w:rPr>
        <w:t>）用地供应情况：据《汕头市</w:t>
      </w:r>
      <w:r>
        <w:rPr>
          <w:sz w:val="24"/>
        </w:rPr>
        <w:t>2018-2020</w:t>
      </w:r>
      <w:r>
        <w:rPr>
          <w:rFonts w:hint="eastAsia"/>
          <w:sz w:val="24"/>
        </w:rPr>
        <w:t>年住宅用地供应三年滚动计划和住宅用地中期（</w:t>
      </w:r>
      <w:r>
        <w:rPr>
          <w:sz w:val="24"/>
        </w:rPr>
        <w:t>2018-2022</w:t>
      </w:r>
      <w:r>
        <w:rPr>
          <w:rFonts w:hint="eastAsia"/>
          <w:sz w:val="24"/>
        </w:rPr>
        <w:t>年）供应规划》，汕头三年内拟供应住宅用地</w:t>
      </w:r>
      <w:r>
        <w:rPr>
          <w:sz w:val="24"/>
        </w:rPr>
        <w:t>453</w:t>
      </w:r>
      <w:r>
        <w:rPr>
          <w:rFonts w:hint="eastAsia"/>
          <w:sz w:val="24"/>
        </w:rPr>
        <w:t>公顷，优先布局新区、轨道站点。</w:t>
      </w:r>
    </w:p>
    <w:p w:rsidR="00E62AD6" w:rsidRDefault="00E62AD6" w:rsidP="00F23040">
      <w:pPr>
        <w:spacing w:line="660" w:lineRule="exact"/>
        <w:ind w:firstLineChars="224" w:firstLine="31680"/>
        <w:rPr>
          <w:sz w:val="24"/>
        </w:rPr>
      </w:pPr>
      <w:r>
        <w:rPr>
          <w:sz w:val="24"/>
        </w:rPr>
        <w:t>2021</w:t>
      </w:r>
      <w:r>
        <w:rPr>
          <w:rFonts w:hint="eastAsia"/>
          <w:sz w:val="24"/>
        </w:rPr>
        <w:t>年土拍（数据来源：凤凰网房产）：汕头</w:t>
      </w:r>
      <w:r>
        <w:rPr>
          <w:sz w:val="24"/>
        </w:rPr>
        <w:t>2021</w:t>
      </w:r>
      <w:r>
        <w:rPr>
          <w:rFonts w:hint="eastAsia"/>
          <w:sz w:val="24"/>
        </w:rPr>
        <w:t>全年土拍共</w:t>
      </w:r>
      <w:r>
        <w:rPr>
          <w:sz w:val="24"/>
        </w:rPr>
        <w:t>33</w:t>
      </w:r>
      <w:r>
        <w:rPr>
          <w:rFonts w:hint="eastAsia"/>
          <w:sz w:val="24"/>
        </w:rPr>
        <w:t>宗地块完成出让，全年出让土地金额</w:t>
      </w:r>
      <w:r>
        <w:rPr>
          <w:sz w:val="24"/>
        </w:rPr>
        <w:t>130</w:t>
      </w:r>
      <w:r>
        <w:rPr>
          <w:rFonts w:hint="eastAsia"/>
          <w:sz w:val="24"/>
        </w:rPr>
        <w:t>亿元，成功出让的土地面积为</w:t>
      </w:r>
      <w:r>
        <w:rPr>
          <w:sz w:val="24"/>
        </w:rPr>
        <w:t>118</w:t>
      </w:r>
      <w:r>
        <w:rPr>
          <w:rFonts w:hint="eastAsia"/>
          <w:sz w:val="24"/>
        </w:rPr>
        <w:t>万平方米（约</w:t>
      </w:r>
      <w:r>
        <w:rPr>
          <w:sz w:val="24"/>
        </w:rPr>
        <w:t>1770</w:t>
      </w:r>
      <w:r>
        <w:rPr>
          <w:rFonts w:hint="eastAsia"/>
          <w:sz w:val="24"/>
        </w:rPr>
        <w:t>亩）。与</w:t>
      </w:r>
      <w:r>
        <w:rPr>
          <w:sz w:val="24"/>
        </w:rPr>
        <w:t>2020</w:t>
      </w:r>
      <w:r>
        <w:rPr>
          <w:rFonts w:hint="eastAsia"/>
          <w:sz w:val="24"/>
        </w:rPr>
        <w:t>年相比，出让面积相差无几，出让土地金额有所下降。其中，住宅用地最高成交楼面价</w:t>
      </w:r>
      <w:r>
        <w:rPr>
          <w:sz w:val="24"/>
        </w:rPr>
        <w:t>7383</w:t>
      </w:r>
      <w:r>
        <w:rPr>
          <w:rFonts w:hint="eastAsia"/>
          <w:sz w:val="24"/>
        </w:rPr>
        <w:t>元</w:t>
      </w:r>
      <w:r>
        <w:rPr>
          <w:sz w:val="24"/>
        </w:rPr>
        <w:t>/</w:t>
      </w:r>
      <w:r>
        <w:rPr>
          <w:rFonts w:hint="eastAsia"/>
          <w:sz w:val="24"/>
        </w:rPr>
        <w:t>㎡（龙光于</w:t>
      </w:r>
      <w:r>
        <w:rPr>
          <w:sz w:val="24"/>
        </w:rPr>
        <w:t>2</w:t>
      </w:r>
      <w:r>
        <w:rPr>
          <w:rFonts w:hint="eastAsia"/>
          <w:sz w:val="24"/>
        </w:rPr>
        <w:t>月</w:t>
      </w:r>
      <w:r>
        <w:rPr>
          <w:sz w:val="24"/>
        </w:rPr>
        <w:t>9</w:t>
      </w:r>
      <w:r>
        <w:rPr>
          <w:rFonts w:hint="eastAsia"/>
          <w:sz w:val="24"/>
        </w:rPr>
        <w:t>日竞得的阳光誉苑项目地块），最低成交楼面价为</w:t>
      </w:r>
      <w:r>
        <w:rPr>
          <w:sz w:val="24"/>
        </w:rPr>
        <w:t>1656</w:t>
      </w:r>
      <w:r>
        <w:rPr>
          <w:rFonts w:hint="eastAsia"/>
          <w:sz w:val="24"/>
        </w:rPr>
        <w:t>元</w:t>
      </w:r>
      <w:r>
        <w:rPr>
          <w:sz w:val="24"/>
        </w:rPr>
        <w:t>/</w:t>
      </w:r>
      <w:r>
        <w:rPr>
          <w:rFonts w:hint="eastAsia"/>
          <w:sz w:val="24"/>
        </w:rPr>
        <w:t>㎡（保辉于</w:t>
      </w:r>
      <w:r>
        <w:rPr>
          <w:sz w:val="24"/>
        </w:rPr>
        <w:t>12</w:t>
      </w:r>
      <w:r>
        <w:rPr>
          <w:rFonts w:hint="eastAsia"/>
          <w:sz w:val="24"/>
        </w:rPr>
        <w:t>月</w:t>
      </w:r>
      <w:r>
        <w:rPr>
          <w:sz w:val="24"/>
        </w:rPr>
        <w:t>28</w:t>
      </w:r>
      <w:r>
        <w:rPr>
          <w:rFonts w:hint="eastAsia"/>
          <w:sz w:val="24"/>
        </w:rPr>
        <w:t>日竞得的濠江渔港经济区地块）。</w:t>
      </w:r>
    </w:p>
    <w:p w:rsidR="00E62AD6" w:rsidRDefault="00E62AD6" w:rsidP="00F23040">
      <w:pPr>
        <w:spacing w:line="660" w:lineRule="exact"/>
        <w:ind w:firstLineChars="224" w:firstLine="31680"/>
        <w:rPr>
          <w:sz w:val="24"/>
        </w:rPr>
      </w:pPr>
      <w:r>
        <w:rPr>
          <w:rFonts w:hint="eastAsia"/>
          <w:sz w:val="24"/>
        </w:rPr>
        <w:t>说明：统计的土地性质包含住宅、商业、新型产业用地，工业用地不包括在内；出让面积和金额仅统计成功出让部分，流拍不计入。</w:t>
      </w:r>
    </w:p>
    <w:p w:rsidR="00E62AD6" w:rsidRDefault="00E62AD6" w:rsidP="00F23040">
      <w:pPr>
        <w:spacing w:line="660" w:lineRule="exact"/>
        <w:ind w:firstLineChars="224" w:firstLine="31680"/>
        <w:rPr>
          <w:sz w:val="24"/>
        </w:rPr>
      </w:pPr>
      <w:r>
        <w:rPr>
          <w:rFonts w:hint="eastAsia"/>
          <w:sz w:val="24"/>
        </w:rPr>
        <w:t>（</w:t>
      </w:r>
      <w:r>
        <w:rPr>
          <w:sz w:val="24"/>
        </w:rPr>
        <w:t>2</w:t>
      </w:r>
      <w:r>
        <w:rPr>
          <w:rFonts w:hint="eastAsia"/>
          <w:sz w:val="24"/>
        </w:rPr>
        <w:t>）房地产开发</w:t>
      </w:r>
      <w:hyperlink r:id="rId12" w:tgtFrame="_blank" w:history="1">
        <w:r>
          <w:rPr>
            <w:rFonts w:hint="eastAsia"/>
            <w:sz w:val="24"/>
          </w:rPr>
          <w:t>投资</w:t>
        </w:r>
      </w:hyperlink>
      <w:r>
        <w:rPr>
          <w:rFonts w:hint="eastAsia"/>
          <w:sz w:val="24"/>
        </w:rPr>
        <w:t>完成情况：</w:t>
      </w:r>
    </w:p>
    <w:p w:rsidR="00E62AD6" w:rsidRDefault="00E62AD6" w:rsidP="00F23040">
      <w:pPr>
        <w:spacing w:line="660" w:lineRule="exact"/>
        <w:ind w:firstLineChars="224" w:firstLine="31680"/>
        <w:rPr>
          <w:sz w:val="24"/>
        </w:rPr>
      </w:pPr>
      <w:r>
        <w:rPr>
          <w:sz w:val="24"/>
        </w:rPr>
        <w:t>2021</w:t>
      </w:r>
      <w:r>
        <w:rPr>
          <w:rFonts w:hint="eastAsia"/>
          <w:sz w:val="24"/>
        </w:rPr>
        <w:t>年，汕头市房地产开发投资</w:t>
      </w:r>
      <w:r>
        <w:rPr>
          <w:sz w:val="24"/>
        </w:rPr>
        <w:t>484.57</w:t>
      </w:r>
      <w:r>
        <w:rPr>
          <w:rFonts w:hint="eastAsia"/>
          <w:sz w:val="24"/>
        </w:rPr>
        <w:t>亿元，同比增长</w:t>
      </w:r>
      <w:r>
        <w:rPr>
          <w:sz w:val="24"/>
        </w:rPr>
        <w:t>6.5%</w:t>
      </w:r>
      <w:r>
        <w:rPr>
          <w:rFonts w:hint="eastAsia"/>
          <w:sz w:val="24"/>
        </w:rPr>
        <w:t>，两年平均增长</w:t>
      </w:r>
      <w:r>
        <w:rPr>
          <w:sz w:val="24"/>
        </w:rPr>
        <w:t>19.3%</w:t>
      </w:r>
      <w:r>
        <w:rPr>
          <w:rFonts w:hint="eastAsia"/>
          <w:sz w:val="24"/>
        </w:rPr>
        <w:t>；其中，住宅投资</w:t>
      </w:r>
      <w:r>
        <w:rPr>
          <w:sz w:val="24"/>
        </w:rPr>
        <w:t>339.11</w:t>
      </w:r>
      <w:r>
        <w:rPr>
          <w:rFonts w:hint="eastAsia"/>
          <w:sz w:val="24"/>
        </w:rPr>
        <w:t>亿元，同比增长</w:t>
      </w:r>
      <w:r>
        <w:rPr>
          <w:sz w:val="24"/>
        </w:rPr>
        <w:t>12.0%</w:t>
      </w:r>
      <w:r>
        <w:rPr>
          <w:rFonts w:hint="eastAsia"/>
          <w:sz w:val="24"/>
        </w:rPr>
        <w:t>。房地产开发企业房屋施工面积</w:t>
      </w:r>
      <w:r>
        <w:rPr>
          <w:sz w:val="24"/>
        </w:rPr>
        <w:t>3417.66</w:t>
      </w:r>
      <w:r>
        <w:rPr>
          <w:rFonts w:hint="eastAsia"/>
          <w:sz w:val="24"/>
        </w:rPr>
        <w:t>万平方米，同比增长</w:t>
      </w:r>
      <w:r>
        <w:rPr>
          <w:sz w:val="24"/>
        </w:rPr>
        <w:t>20.4%</w:t>
      </w:r>
      <w:r>
        <w:rPr>
          <w:rFonts w:hint="eastAsia"/>
          <w:sz w:val="24"/>
        </w:rPr>
        <w:t>；其中，住宅施工面积</w:t>
      </w:r>
      <w:r>
        <w:rPr>
          <w:sz w:val="24"/>
        </w:rPr>
        <w:t>2239.13</w:t>
      </w:r>
      <w:r>
        <w:rPr>
          <w:rFonts w:hint="eastAsia"/>
          <w:sz w:val="24"/>
        </w:rPr>
        <w:t>万平方米，增长</w:t>
      </w:r>
      <w:r>
        <w:rPr>
          <w:sz w:val="24"/>
        </w:rPr>
        <w:t>22.8%</w:t>
      </w:r>
      <w:r>
        <w:rPr>
          <w:rFonts w:hint="eastAsia"/>
          <w:sz w:val="24"/>
        </w:rPr>
        <w:t>。房屋新开工面积</w:t>
      </w:r>
      <w:r>
        <w:rPr>
          <w:sz w:val="24"/>
        </w:rPr>
        <w:t>885.43</w:t>
      </w:r>
      <w:r>
        <w:rPr>
          <w:rFonts w:hint="eastAsia"/>
          <w:sz w:val="24"/>
        </w:rPr>
        <w:t>万平方米，同比增长</w:t>
      </w:r>
      <w:r>
        <w:rPr>
          <w:sz w:val="24"/>
        </w:rPr>
        <w:t>62.8%</w:t>
      </w:r>
      <w:r>
        <w:rPr>
          <w:rFonts w:hint="eastAsia"/>
          <w:sz w:val="24"/>
        </w:rPr>
        <w:t>；其中，住宅新开工面积</w:t>
      </w:r>
      <w:r>
        <w:rPr>
          <w:sz w:val="24"/>
        </w:rPr>
        <w:t>623.80</w:t>
      </w:r>
      <w:r>
        <w:rPr>
          <w:rFonts w:hint="eastAsia"/>
          <w:sz w:val="24"/>
        </w:rPr>
        <w:t>万平方米，同比增长</w:t>
      </w:r>
      <w:r>
        <w:rPr>
          <w:sz w:val="24"/>
        </w:rPr>
        <w:t>53.8%</w:t>
      </w:r>
      <w:r>
        <w:rPr>
          <w:rFonts w:hint="eastAsia"/>
          <w:sz w:val="24"/>
        </w:rPr>
        <w:t>。房屋竣工面积</w:t>
      </w:r>
      <w:r>
        <w:rPr>
          <w:sz w:val="24"/>
        </w:rPr>
        <w:t>321.40</w:t>
      </w:r>
      <w:r>
        <w:rPr>
          <w:rFonts w:hint="eastAsia"/>
          <w:sz w:val="24"/>
        </w:rPr>
        <w:t>万平方米，增长</w:t>
      </w:r>
      <w:r>
        <w:rPr>
          <w:sz w:val="24"/>
        </w:rPr>
        <w:t>4.3%</w:t>
      </w:r>
      <w:r>
        <w:rPr>
          <w:rFonts w:hint="eastAsia"/>
          <w:sz w:val="24"/>
        </w:rPr>
        <w:t>；其中，住宅竣工面积</w:t>
      </w:r>
      <w:r>
        <w:rPr>
          <w:sz w:val="24"/>
        </w:rPr>
        <w:t>205.08</w:t>
      </w:r>
      <w:r>
        <w:rPr>
          <w:rFonts w:hint="eastAsia"/>
          <w:sz w:val="24"/>
        </w:rPr>
        <w:t>万平方米，下降</w:t>
      </w:r>
      <w:r>
        <w:rPr>
          <w:sz w:val="24"/>
        </w:rPr>
        <w:t>3.0%</w:t>
      </w:r>
      <w:r>
        <w:rPr>
          <w:rFonts w:hint="eastAsia"/>
          <w:sz w:val="24"/>
        </w:rPr>
        <w:t>。</w:t>
      </w:r>
    </w:p>
    <w:p w:rsidR="00E62AD6" w:rsidRDefault="00E62AD6" w:rsidP="00F23040">
      <w:pPr>
        <w:spacing w:line="660" w:lineRule="exact"/>
        <w:ind w:firstLineChars="224" w:firstLine="31680"/>
        <w:rPr>
          <w:sz w:val="24"/>
        </w:rPr>
      </w:pPr>
      <w:r>
        <w:rPr>
          <w:rFonts w:hint="eastAsia"/>
          <w:sz w:val="24"/>
        </w:rPr>
        <w:t>（</w:t>
      </w:r>
      <w:r>
        <w:rPr>
          <w:sz w:val="24"/>
        </w:rPr>
        <w:t>3</w:t>
      </w:r>
      <w:r>
        <w:rPr>
          <w:rFonts w:hint="eastAsia"/>
          <w:sz w:val="24"/>
        </w:rPr>
        <w:t>）商品房销售和待售情况：</w:t>
      </w:r>
    </w:p>
    <w:p w:rsidR="00E62AD6" w:rsidRDefault="00E62AD6" w:rsidP="00F23040">
      <w:pPr>
        <w:spacing w:line="660" w:lineRule="exact"/>
        <w:ind w:firstLineChars="224" w:firstLine="31680"/>
        <w:rPr>
          <w:sz w:val="24"/>
        </w:rPr>
      </w:pPr>
      <w:r>
        <w:rPr>
          <w:sz w:val="24"/>
        </w:rPr>
        <w:t>2021</w:t>
      </w:r>
      <w:r>
        <w:rPr>
          <w:rFonts w:hint="eastAsia"/>
          <w:sz w:val="24"/>
        </w:rPr>
        <w:t>年，商品房销售面积</w:t>
      </w:r>
      <w:r>
        <w:rPr>
          <w:sz w:val="24"/>
        </w:rPr>
        <w:t>502.33</w:t>
      </w:r>
      <w:r>
        <w:rPr>
          <w:rFonts w:hint="eastAsia"/>
          <w:sz w:val="24"/>
        </w:rPr>
        <w:t>万平方米，同比增长</w:t>
      </w:r>
      <w:r>
        <w:rPr>
          <w:sz w:val="24"/>
        </w:rPr>
        <w:t>29.7%</w:t>
      </w:r>
      <w:r>
        <w:rPr>
          <w:rFonts w:hint="eastAsia"/>
          <w:sz w:val="24"/>
        </w:rPr>
        <w:t>，两年平均增长</w:t>
      </w:r>
      <w:r>
        <w:rPr>
          <w:sz w:val="24"/>
        </w:rPr>
        <w:t>13.8%</w:t>
      </w:r>
      <w:r>
        <w:rPr>
          <w:rFonts w:hint="eastAsia"/>
          <w:sz w:val="24"/>
        </w:rPr>
        <w:t>。其中，住宅销售面积</w:t>
      </w:r>
      <w:r>
        <w:rPr>
          <w:sz w:val="24"/>
        </w:rPr>
        <w:t>461.0</w:t>
      </w:r>
      <w:r>
        <w:rPr>
          <w:rFonts w:hint="eastAsia"/>
          <w:sz w:val="24"/>
        </w:rPr>
        <w:t>万平方米，增长</w:t>
      </w:r>
      <w:r>
        <w:rPr>
          <w:sz w:val="24"/>
        </w:rPr>
        <w:t>40.2%</w:t>
      </w:r>
      <w:r>
        <w:rPr>
          <w:rFonts w:hint="eastAsia"/>
          <w:sz w:val="24"/>
        </w:rPr>
        <w:t>；办公楼销售面积</w:t>
      </w:r>
      <w:r>
        <w:rPr>
          <w:sz w:val="24"/>
        </w:rPr>
        <w:t>9.63</w:t>
      </w:r>
      <w:r>
        <w:rPr>
          <w:rFonts w:hint="eastAsia"/>
          <w:sz w:val="24"/>
        </w:rPr>
        <w:t>万平方米，商业营业用房销售面积</w:t>
      </w:r>
      <w:r>
        <w:rPr>
          <w:sz w:val="24"/>
        </w:rPr>
        <w:t>17.82</w:t>
      </w:r>
      <w:r>
        <w:rPr>
          <w:rFonts w:hint="eastAsia"/>
          <w:sz w:val="24"/>
        </w:rPr>
        <w:t>万平方米。商品房销售额</w:t>
      </w:r>
      <w:r>
        <w:rPr>
          <w:sz w:val="24"/>
        </w:rPr>
        <w:t>514.30</w:t>
      </w:r>
      <w:r>
        <w:rPr>
          <w:rFonts w:hint="eastAsia"/>
          <w:sz w:val="24"/>
        </w:rPr>
        <w:t>亿元，增长</w:t>
      </w:r>
      <w:r>
        <w:rPr>
          <w:sz w:val="24"/>
        </w:rPr>
        <w:t>46.3%</w:t>
      </w:r>
      <w:r>
        <w:rPr>
          <w:rFonts w:hint="eastAsia"/>
          <w:sz w:val="24"/>
        </w:rPr>
        <w:t>，两年平均增长</w:t>
      </w:r>
      <w:r>
        <w:rPr>
          <w:sz w:val="24"/>
        </w:rPr>
        <w:t>21.5%</w:t>
      </w:r>
      <w:r>
        <w:rPr>
          <w:rFonts w:hint="eastAsia"/>
          <w:sz w:val="24"/>
        </w:rPr>
        <w:t>。商品房待售面积</w:t>
      </w:r>
      <w:r>
        <w:rPr>
          <w:sz w:val="24"/>
        </w:rPr>
        <w:t>325.73</w:t>
      </w:r>
      <w:r>
        <w:rPr>
          <w:rFonts w:hint="eastAsia"/>
          <w:sz w:val="24"/>
        </w:rPr>
        <w:t>万平方米，同比增长</w:t>
      </w:r>
      <w:r>
        <w:rPr>
          <w:sz w:val="24"/>
        </w:rPr>
        <w:t>2.9%</w:t>
      </w:r>
      <w:r>
        <w:rPr>
          <w:rFonts w:hint="eastAsia"/>
          <w:sz w:val="24"/>
        </w:rPr>
        <w:t>；其中，住宅待售面积</w:t>
      </w:r>
      <w:r>
        <w:rPr>
          <w:sz w:val="24"/>
        </w:rPr>
        <w:t>164.97</w:t>
      </w:r>
      <w:r>
        <w:rPr>
          <w:rFonts w:hint="eastAsia"/>
          <w:sz w:val="24"/>
        </w:rPr>
        <w:t>万平方米，办公楼</w:t>
      </w:r>
      <w:r>
        <w:rPr>
          <w:sz w:val="24"/>
        </w:rPr>
        <w:t>14.33</w:t>
      </w:r>
      <w:r>
        <w:rPr>
          <w:rFonts w:hint="eastAsia"/>
          <w:sz w:val="24"/>
        </w:rPr>
        <w:t>万平方米，商业营业用房</w:t>
      </w:r>
      <w:r>
        <w:rPr>
          <w:sz w:val="24"/>
        </w:rPr>
        <w:t>57.06</w:t>
      </w:r>
      <w:r>
        <w:rPr>
          <w:rFonts w:hint="eastAsia"/>
          <w:sz w:val="24"/>
        </w:rPr>
        <w:t>万平方米，其他房屋</w:t>
      </w:r>
      <w:r>
        <w:rPr>
          <w:sz w:val="24"/>
        </w:rPr>
        <w:t>89.37</w:t>
      </w:r>
      <w:r>
        <w:rPr>
          <w:rFonts w:hint="eastAsia"/>
          <w:sz w:val="24"/>
        </w:rPr>
        <w:t>万平方米。</w:t>
      </w:r>
    </w:p>
    <w:p w:rsidR="00E62AD6" w:rsidRDefault="00E62AD6" w:rsidP="00F23040">
      <w:pPr>
        <w:spacing w:line="660" w:lineRule="exact"/>
        <w:ind w:firstLineChars="224" w:firstLine="31680"/>
        <w:rPr>
          <w:sz w:val="24"/>
        </w:rPr>
      </w:pPr>
      <w:r>
        <w:rPr>
          <w:rFonts w:hint="eastAsia"/>
          <w:sz w:val="24"/>
        </w:rPr>
        <w:t>（</w:t>
      </w:r>
      <w:r>
        <w:rPr>
          <w:sz w:val="24"/>
        </w:rPr>
        <w:t>4</w:t>
      </w:r>
      <w:r>
        <w:rPr>
          <w:rFonts w:hint="eastAsia"/>
          <w:sz w:val="24"/>
        </w:rPr>
        <w:t>）房地产开发企业到位资金情况：</w:t>
      </w:r>
    </w:p>
    <w:p w:rsidR="00E62AD6" w:rsidRDefault="00E62AD6" w:rsidP="00F23040">
      <w:pPr>
        <w:spacing w:line="660" w:lineRule="exact"/>
        <w:ind w:firstLineChars="224" w:firstLine="31680"/>
        <w:rPr>
          <w:sz w:val="24"/>
        </w:rPr>
      </w:pPr>
      <w:r>
        <w:rPr>
          <w:sz w:val="24"/>
        </w:rPr>
        <w:t>2021</w:t>
      </w:r>
      <w:r>
        <w:rPr>
          <w:rFonts w:hint="eastAsia"/>
          <w:sz w:val="24"/>
        </w:rPr>
        <w:t>年，房地产开发企业到位资金</w:t>
      </w:r>
      <w:r>
        <w:rPr>
          <w:sz w:val="24"/>
        </w:rPr>
        <w:t>509.0</w:t>
      </w:r>
      <w:r>
        <w:rPr>
          <w:rFonts w:hint="eastAsia"/>
          <w:sz w:val="24"/>
        </w:rPr>
        <w:t>亿元，同比增长</w:t>
      </w:r>
      <w:r>
        <w:rPr>
          <w:sz w:val="24"/>
        </w:rPr>
        <w:t>7.4%</w:t>
      </w:r>
      <w:r>
        <w:rPr>
          <w:rFonts w:hint="eastAsia"/>
          <w:sz w:val="24"/>
        </w:rPr>
        <w:t>。其中，国内贷款</w:t>
      </w:r>
      <w:r>
        <w:rPr>
          <w:sz w:val="24"/>
        </w:rPr>
        <w:t>25.74</w:t>
      </w:r>
      <w:r>
        <w:rPr>
          <w:rFonts w:hint="eastAsia"/>
          <w:sz w:val="24"/>
        </w:rPr>
        <w:t>亿元，增长</w:t>
      </w:r>
      <w:r>
        <w:rPr>
          <w:sz w:val="24"/>
        </w:rPr>
        <w:t>89.1%</w:t>
      </w:r>
      <w:r>
        <w:rPr>
          <w:rFonts w:hint="eastAsia"/>
          <w:sz w:val="24"/>
        </w:rPr>
        <w:t>；自筹资金</w:t>
      </w:r>
      <w:r>
        <w:rPr>
          <w:sz w:val="24"/>
        </w:rPr>
        <w:t>444.57</w:t>
      </w:r>
      <w:r>
        <w:rPr>
          <w:rFonts w:hint="eastAsia"/>
          <w:sz w:val="24"/>
        </w:rPr>
        <w:t>亿元，同比增长</w:t>
      </w:r>
      <w:r>
        <w:rPr>
          <w:sz w:val="24"/>
        </w:rPr>
        <w:t>24.8%</w:t>
      </w:r>
      <w:r>
        <w:rPr>
          <w:rFonts w:hint="eastAsia"/>
          <w:sz w:val="24"/>
        </w:rPr>
        <w:t>；定金及预收款</w:t>
      </w:r>
      <w:r>
        <w:rPr>
          <w:sz w:val="24"/>
        </w:rPr>
        <w:t>23.34</w:t>
      </w:r>
      <w:r>
        <w:rPr>
          <w:rFonts w:hint="eastAsia"/>
          <w:sz w:val="24"/>
        </w:rPr>
        <w:t>亿元，下降</w:t>
      </w:r>
      <w:r>
        <w:rPr>
          <w:sz w:val="24"/>
        </w:rPr>
        <w:t>64.4%</w:t>
      </w:r>
      <w:r>
        <w:rPr>
          <w:rFonts w:hint="eastAsia"/>
          <w:sz w:val="24"/>
        </w:rPr>
        <w:t>；个人按揭贷款</w:t>
      </w:r>
      <w:r>
        <w:rPr>
          <w:sz w:val="24"/>
        </w:rPr>
        <w:t>12.32</w:t>
      </w:r>
      <w:r>
        <w:rPr>
          <w:rFonts w:hint="eastAsia"/>
          <w:sz w:val="24"/>
        </w:rPr>
        <w:t>亿元，下降</w:t>
      </w:r>
      <w:r>
        <w:rPr>
          <w:sz w:val="24"/>
        </w:rPr>
        <w:t>13.4%</w:t>
      </w:r>
      <w:r>
        <w:rPr>
          <w:rFonts w:hint="eastAsia"/>
          <w:sz w:val="24"/>
        </w:rPr>
        <w:t>。</w:t>
      </w:r>
      <w:r>
        <w:rPr>
          <w:sz w:val="24"/>
        </w:rPr>
        <w:t> </w:t>
      </w:r>
    </w:p>
    <w:p w:rsidR="00E62AD6" w:rsidRDefault="00E62AD6" w:rsidP="00F23040">
      <w:pPr>
        <w:spacing w:line="660" w:lineRule="exact"/>
        <w:ind w:firstLineChars="224" w:firstLine="31680"/>
        <w:rPr>
          <w:sz w:val="24"/>
        </w:rPr>
      </w:pPr>
      <w:r>
        <w:rPr>
          <w:rFonts w:hint="eastAsia"/>
          <w:sz w:val="24"/>
        </w:rPr>
        <w:t>（</w:t>
      </w:r>
      <w:r>
        <w:rPr>
          <w:sz w:val="24"/>
        </w:rPr>
        <w:t>5</w:t>
      </w:r>
      <w:r>
        <w:rPr>
          <w:rFonts w:hint="eastAsia"/>
          <w:sz w:val="24"/>
        </w:rPr>
        <w:t>）</w:t>
      </w:r>
      <w:r>
        <w:rPr>
          <w:sz w:val="24"/>
        </w:rPr>
        <w:t>2021</w:t>
      </w:r>
      <w:r>
        <w:rPr>
          <w:rFonts w:hint="eastAsia"/>
          <w:sz w:val="24"/>
        </w:rPr>
        <w:t>年，汕头房地产市场价格水平：</w:t>
      </w:r>
    </w:p>
    <w:p w:rsidR="00E62AD6" w:rsidRDefault="00E62AD6" w:rsidP="00F23040">
      <w:pPr>
        <w:spacing w:line="660" w:lineRule="exact"/>
        <w:ind w:firstLineChars="200" w:firstLine="31680"/>
        <w:rPr>
          <w:sz w:val="24"/>
        </w:rPr>
      </w:pPr>
      <w:r>
        <w:rPr>
          <w:rFonts w:hint="eastAsia"/>
          <w:sz w:val="24"/>
        </w:rPr>
        <w:t>资本开始往周边片区扩散，碧桂园，龙光，联泰等开发商开始积极加快周边片区的布局，旧改项目热点增加。</w:t>
      </w:r>
    </w:p>
    <w:p w:rsidR="00E62AD6" w:rsidRDefault="00E62AD6" w:rsidP="00F23040">
      <w:pPr>
        <w:spacing w:line="660" w:lineRule="exact"/>
        <w:ind w:firstLineChars="200" w:firstLine="31680"/>
        <w:rPr>
          <w:sz w:val="24"/>
        </w:rPr>
      </w:pPr>
      <w:r>
        <w:rPr>
          <w:rFonts w:hint="eastAsia"/>
          <w:sz w:val="24"/>
        </w:rPr>
        <w:t>据房天下数据监控中心统计，</w:t>
      </w:r>
      <w:r>
        <w:rPr>
          <w:sz w:val="24"/>
        </w:rPr>
        <w:t>2021</w:t>
      </w:r>
      <w:r>
        <w:rPr>
          <w:rFonts w:hint="eastAsia"/>
          <w:sz w:val="24"/>
        </w:rPr>
        <w:t>年汕头市共网签</w:t>
      </w:r>
      <w:r>
        <w:rPr>
          <w:sz w:val="24"/>
        </w:rPr>
        <w:t>51664</w:t>
      </w:r>
      <w:r>
        <w:rPr>
          <w:rFonts w:hint="eastAsia"/>
          <w:sz w:val="24"/>
        </w:rPr>
        <w:t>套商品房，网签面积</w:t>
      </w:r>
      <w:r>
        <w:rPr>
          <w:sz w:val="24"/>
        </w:rPr>
        <w:t>489.08</w:t>
      </w:r>
      <w:r>
        <w:rPr>
          <w:rFonts w:hint="eastAsia"/>
          <w:sz w:val="24"/>
        </w:rPr>
        <w:t>万㎡，网签总价</w:t>
      </w:r>
      <w:r>
        <w:rPr>
          <w:sz w:val="24"/>
        </w:rPr>
        <w:t>492.50</w:t>
      </w:r>
      <w:r>
        <w:rPr>
          <w:rFonts w:hint="eastAsia"/>
          <w:sz w:val="24"/>
        </w:rPr>
        <w:t>亿元。</w:t>
      </w:r>
    </w:p>
    <w:p w:rsidR="00E62AD6" w:rsidRDefault="00E62AD6" w:rsidP="00F23040">
      <w:pPr>
        <w:spacing w:line="660" w:lineRule="exact"/>
        <w:ind w:firstLineChars="200" w:firstLine="31680"/>
        <w:rPr>
          <w:sz w:val="24"/>
        </w:rPr>
      </w:pPr>
      <w:r>
        <w:rPr>
          <w:rFonts w:hint="eastAsia"/>
          <w:sz w:val="24"/>
        </w:rPr>
        <w:t>其中，网签住宅</w:t>
      </w:r>
      <w:r>
        <w:rPr>
          <w:sz w:val="24"/>
        </w:rPr>
        <w:t>36621</w:t>
      </w:r>
      <w:r>
        <w:rPr>
          <w:rFonts w:hint="eastAsia"/>
          <w:sz w:val="24"/>
        </w:rPr>
        <w:t>套，网签面积</w:t>
      </w:r>
      <w:r>
        <w:rPr>
          <w:sz w:val="24"/>
        </w:rPr>
        <w:t>433.96</w:t>
      </w:r>
      <w:r>
        <w:rPr>
          <w:rFonts w:hint="eastAsia"/>
          <w:sz w:val="24"/>
        </w:rPr>
        <w:t>万㎡，网签总价</w:t>
      </w:r>
      <w:r>
        <w:rPr>
          <w:sz w:val="24"/>
        </w:rPr>
        <w:t>423.48</w:t>
      </w:r>
      <w:r>
        <w:rPr>
          <w:rFonts w:hint="eastAsia"/>
          <w:sz w:val="24"/>
        </w:rPr>
        <w:t>亿元，折算均价为</w:t>
      </w:r>
      <w:r>
        <w:rPr>
          <w:sz w:val="24"/>
        </w:rPr>
        <w:t>9758</w:t>
      </w:r>
      <w:r>
        <w:rPr>
          <w:rFonts w:hint="eastAsia"/>
          <w:sz w:val="24"/>
        </w:rPr>
        <w:t>元</w:t>
      </w:r>
      <w:r>
        <w:rPr>
          <w:sz w:val="24"/>
        </w:rPr>
        <w:t>/</w:t>
      </w:r>
      <w:r>
        <w:rPr>
          <w:rFonts w:hint="eastAsia"/>
          <w:sz w:val="24"/>
        </w:rPr>
        <w:t>㎡。网签量较</w:t>
      </w:r>
      <w:r>
        <w:rPr>
          <w:sz w:val="24"/>
        </w:rPr>
        <w:t>2020</w:t>
      </w:r>
      <w:r>
        <w:rPr>
          <w:rFonts w:hint="eastAsia"/>
          <w:sz w:val="24"/>
        </w:rPr>
        <w:t>年上涨</w:t>
      </w:r>
      <w:r>
        <w:rPr>
          <w:sz w:val="24"/>
        </w:rPr>
        <w:t>59.9%</w:t>
      </w:r>
      <w:r>
        <w:rPr>
          <w:rFonts w:hint="eastAsia"/>
          <w:sz w:val="24"/>
        </w:rPr>
        <w:t>，网签面积上涨</w:t>
      </w:r>
      <w:r>
        <w:rPr>
          <w:sz w:val="24"/>
        </w:rPr>
        <w:t>52.7%</w:t>
      </w:r>
      <w:r>
        <w:rPr>
          <w:rFonts w:hint="eastAsia"/>
          <w:sz w:val="24"/>
        </w:rPr>
        <w:t>，均价上涨</w:t>
      </w:r>
      <w:r>
        <w:rPr>
          <w:sz w:val="24"/>
        </w:rPr>
        <w:t>7.3%</w:t>
      </w:r>
      <w:r>
        <w:rPr>
          <w:rFonts w:hint="eastAsia"/>
          <w:sz w:val="24"/>
        </w:rPr>
        <w:t>。各项网签数据创下</w:t>
      </w:r>
      <w:r>
        <w:rPr>
          <w:sz w:val="24"/>
        </w:rPr>
        <w:t>2018</w:t>
      </w:r>
      <w:r>
        <w:rPr>
          <w:rFonts w:hint="eastAsia"/>
          <w:sz w:val="24"/>
        </w:rPr>
        <w:t>年以来的新高。网签均价维持在</w:t>
      </w:r>
      <w:r>
        <w:rPr>
          <w:sz w:val="24"/>
        </w:rPr>
        <w:t>9</w:t>
      </w:r>
      <w:r>
        <w:rPr>
          <w:rFonts w:hint="eastAsia"/>
          <w:sz w:val="24"/>
        </w:rPr>
        <w:t>字头以上，集中在</w:t>
      </w:r>
      <w:r>
        <w:rPr>
          <w:sz w:val="24"/>
        </w:rPr>
        <w:t>9500-10000</w:t>
      </w:r>
      <w:r>
        <w:rPr>
          <w:rFonts w:hint="eastAsia"/>
          <w:sz w:val="24"/>
        </w:rPr>
        <w:t>元</w:t>
      </w:r>
      <w:r>
        <w:rPr>
          <w:sz w:val="24"/>
        </w:rPr>
        <w:t>/</w:t>
      </w:r>
      <w:r>
        <w:rPr>
          <w:rFonts w:hint="eastAsia"/>
          <w:sz w:val="24"/>
        </w:rPr>
        <w:t>㎡，另有三个月份突破万元。</w:t>
      </w:r>
    </w:p>
    <w:p w:rsidR="00E62AD6" w:rsidRDefault="00E62AD6" w:rsidP="00F23040">
      <w:pPr>
        <w:spacing w:line="560" w:lineRule="atLeast"/>
        <w:ind w:firstLineChars="224" w:firstLine="31680"/>
        <w:rPr>
          <w:rFonts w:ascii="宋体" w:cs="宋体"/>
          <w:kern w:val="0"/>
          <w:szCs w:val="21"/>
        </w:rPr>
      </w:pPr>
      <w:r>
        <w:rPr>
          <w:rFonts w:ascii="宋体" w:hAnsi="宋体" w:cs="宋体" w:hint="eastAsia"/>
          <w:kern w:val="0"/>
          <w:szCs w:val="21"/>
        </w:rPr>
        <w:t>【备注】数据来源：汕头市商品房管理信息平台，数据获取时间：</w:t>
      </w:r>
      <w:r>
        <w:rPr>
          <w:rFonts w:ascii="宋体" w:hAnsi="宋体" w:cs="宋体"/>
          <w:kern w:val="0"/>
          <w:szCs w:val="21"/>
        </w:rPr>
        <w:t>2022-1-1</w:t>
      </w:r>
      <w:r>
        <w:rPr>
          <w:rFonts w:ascii="宋体" w:hAnsi="宋体" w:cs="宋体" w:hint="eastAsia"/>
          <w:kern w:val="0"/>
          <w:szCs w:val="21"/>
        </w:rPr>
        <w:t>（该数据虽与</w:t>
      </w:r>
      <w:r>
        <w:rPr>
          <w:rFonts w:ascii="宋体" w:hAnsi="宋体" w:cs="宋体"/>
          <w:kern w:val="0"/>
          <w:szCs w:val="21"/>
        </w:rPr>
        <w:t>2021</w:t>
      </w:r>
      <w:r>
        <w:rPr>
          <w:rFonts w:ascii="宋体" w:hAnsi="宋体" w:cs="宋体" w:hint="eastAsia"/>
          <w:kern w:val="0"/>
          <w:szCs w:val="21"/>
        </w:rPr>
        <w:t>年</w:t>
      </w:r>
      <w:r>
        <w:rPr>
          <w:rFonts w:ascii="宋体" w:hAnsi="宋体" w:cs="宋体"/>
          <w:kern w:val="0"/>
          <w:szCs w:val="21"/>
        </w:rPr>
        <w:t>12</w:t>
      </w:r>
      <w:r>
        <w:rPr>
          <w:rFonts w:ascii="宋体" w:hAnsi="宋体" w:cs="宋体" w:hint="eastAsia"/>
          <w:kern w:val="0"/>
          <w:szCs w:val="21"/>
        </w:rPr>
        <w:t>月</w:t>
      </w:r>
      <w:r>
        <w:rPr>
          <w:rFonts w:ascii="宋体" w:hAnsi="宋体" w:cs="宋体"/>
          <w:kern w:val="0"/>
          <w:szCs w:val="21"/>
        </w:rPr>
        <w:t>31</w:t>
      </w:r>
      <w:r>
        <w:rPr>
          <w:rFonts w:ascii="宋体" w:hAnsi="宋体" w:cs="宋体" w:hint="eastAsia"/>
          <w:kern w:val="0"/>
          <w:szCs w:val="21"/>
        </w:rPr>
        <w:t>日数据存在偏差（商品房成交金额超过</w:t>
      </w:r>
      <w:r>
        <w:rPr>
          <w:rFonts w:ascii="宋体" w:hAnsi="宋体" w:cs="宋体"/>
          <w:kern w:val="0"/>
          <w:szCs w:val="21"/>
        </w:rPr>
        <w:t>500</w:t>
      </w:r>
      <w:r>
        <w:rPr>
          <w:rFonts w:ascii="宋体" w:hAnsi="宋体" w:cs="宋体" w:hint="eastAsia"/>
          <w:kern w:val="0"/>
          <w:szCs w:val="21"/>
        </w:rPr>
        <w:t>亿），与往期数据更新逻辑也不一致，但因是最新公示故仍以此为准）。月份数据来源于汕头市商品房管理信息平台等网站各月公开的数据，与年度数据存在偏差，仅供参考。</w:t>
      </w:r>
    </w:p>
    <w:p w:rsidR="00E62AD6" w:rsidRDefault="00E62AD6" w:rsidP="00F23040">
      <w:pPr>
        <w:spacing w:line="660" w:lineRule="exact"/>
        <w:ind w:firstLineChars="200" w:firstLine="31680"/>
        <w:rPr>
          <w:sz w:val="24"/>
        </w:rPr>
      </w:pPr>
      <w:r>
        <w:rPr>
          <w:rFonts w:hint="eastAsia"/>
          <w:sz w:val="24"/>
        </w:rPr>
        <w:t>经历</w:t>
      </w:r>
      <w:r>
        <w:rPr>
          <w:sz w:val="24"/>
        </w:rPr>
        <w:t>2021</w:t>
      </w:r>
      <w:r>
        <w:rPr>
          <w:rFonts w:hint="eastAsia"/>
          <w:sz w:val="24"/>
        </w:rPr>
        <w:t>年，楼市</w:t>
      </w:r>
      <w:r>
        <w:rPr>
          <w:sz w:val="24"/>
        </w:rPr>
        <w:t>“</w:t>
      </w:r>
      <w:r>
        <w:rPr>
          <w:rFonts w:hint="eastAsia"/>
          <w:sz w:val="24"/>
        </w:rPr>
        <w:t>三稳</w:t>
      </w:r>
      <w:r>
        <w:rPr>
          <w:sz w:val="24"/>
        </w:rPr>
        <w:t>”</w:t>
      </w:r>
      <w:r>
        <w:rPr>
          <w:rFonts w:hint="eastAsia"/>
          <w:sz w:val="24"/>
        </w:rPr>
        <w:t>（</w:t>
      </w:r>
      <w:r>
        <w:rPr>
          <w:sz w:val="24"/>
        </w:rPr>
        <w:t xml:space="preserve"> </w:t>
      </w:r>
      <w:r>
        <w:rPr>
          <w:rFonts w:hint="eastAsia"/>
          <w:sz w:val="24"/>
        </w:rPr>
        <w:t>稳地价、稳房价、稳预期）见成效，全年楼市</w:t>
      </w:r>
      <w:r>
        <w:rPr>
          <w:sz w:val="24"/>
        </w:rPr>
        <w:t>“</w:t>
      </w:r>
      <w:r>
        <w:rPr>
          <w:rFonts w:hint="eastAsia"/>
          <w:sz w:val="24"/>
        </w:rPr>
        <w:t>稳</w:t>
      </w:r>
      <w:r>
        <w:rPr>
          <w:sz w:val="24"/>
        </w:rPr>
        <w:t>”</w:t>
      </w:r>
      <w:r>
        <w:rPr>
          <w:rFonts w:hint="eastAsia"/>
          <w:sz w:val="24"/>
        </w:rPr>
        <w:t>字当头，房地产业进入</w:t>
      </w:r>
      <w:r>
        <w:rPr>
          <w:sz w:val="24"/>
        </w:rPr>
        <w:t>“</w:t>
      </w:r>
      <w:r>
        <w:rPr>
          <w:rFonts w:hint="eastAsia"/>
          <w:sz w:val="24"/>
        </w:rPr>
        <w:t>慢时代</w:t>
      </w:r>
      <w:r>
        <w:rPr>
          <w:sz w:val="24"/>
        </w:rPr>
        <w:t>”</w:t>
      </w:r>
      <w:r>
        <w:rPr>
          <w:rFonts w:hint="eastAsia"/>
          <w:sz w:val="24"/>
        </w:rPr>
        <w:t>。在</w:t>
      </w:r>
      <w:r>
        <w:rPr>
          <w:sz w:val="24"/>
        </w:rPr>
        <w:t>“</w:t>
      </w:r>
      <w:r>
        <w:rPr>
          <w:rFonts w:hint="eastAsia"/>
          <w:sz w:val="24"/>
        </w:rPr>
        <w:t>房住不炒</w:t>
      </w:r>
      <w:r>
        <w:rPr>
          <w:sz w:val="24"/>
        </w:rPr>
        <w:t>”</w:t>
      </w:r>
      <w:r>
        <w:rPr>
          <w:rFonts w:hint="eastAsia"/>
          <w:sz w:val="24"/>
        </w:rPr>
        <w:t>的主基调下，调控政策从金融、财税、土地及供需端等多方面精准发力，稳地价、稳房价、稳预期取得明显成效。</w:t>
      </w:r>
    </w:p>
    <w:p w:rsidR="00E62AD6" w:rsidRDefault="00E62AD6" w:rsidP="00F23040">
      <w:pPr>
        <w:spacing w:line="660" w:lineRule="exact"/>
        <w:ind w:firstLineChars="200" w:firstLine="31680"/>
        <w:rPr>
          <w:sz w:val="24"/>
        </w:rPr>
      </w:pPr>
      <w:r>
        <w:rPr>
          <w:rFonts w:hint="eastAsia"/>
          <w:sz w:val="24"/>
        </w:rPr>
        <w:t>回首</w:t>
      </w:r>
      <w:r>
        <w:rPr>
          <w:sz w:val="24"/>
        </w:rPr>
        <w:t>2021</w:t>
      </w:r>
      <w:r>
        <w:rPr>
          <w:rFonts w:hint="eastAsia"/>
          <w:sz w:val="24"/>
        </w:rPr>
        <w:t>年，曾经推动</w:t>
      </w:r>
      <w:hyperlink r:id="rId13" w:tgtFrame="_blank" w:tooltip="房价" w:history="1">
        <w:r>
          <w:rPr>
            <w:rFonts w:hint="eastAsia"/>
            <w:sz w:val="24"/>
          </w:rPr>
          <w:t>房价</w:t>
        </w:r>
      </w:hyperlink>
      <w:r>
        <w:rPr>
          <w:rFonts w:hint="eastAsia"/>
          <w:sz w:val="24"/>
        </w:rPr>
        <w:t>一路飙涨的金融属性、教育属性都开始剥离，房子正式踏上了其漫长的回归居住本性的过程。持续多年的借新还旧的经营模式遇到了全新的挑战，不少房企面临生死存亡的考验，行业优胜劣汰大幕已经拉开。房价也开始松动，多地房价逐月环比开始下滑。这一年，有些关键词贯穿且影响了中国楼市，诸如“</w:t>
      </w:r>
      <w:hyperlink r:id="rId14" w:tgtFrame="_blank" w:history="1">
        <w:r>
          <w:rPr>
            <w:rFonts w:hint="eastAsia"/>
            <w:sz w:val="24"/>
          </w:rPr>
          <w:t>两道红线</w:t>
        </w:r>
      </w:hyperlink>
      <w:r>
        <w:rPr>
          <w:rFonts w:hint="eastAsia"/>
          <w:sz w:val="24"/>
        </w:rPr>
        <w:t>、</w:t>
      </w:r>
      <w:hyperlink r:id="rId15" w:tgtFrame="_blank" w:history="1">
        <w:r>
          <w:rPr>
            <w:rFonts w:hint="eastAsia"/>
            <w:sz w:val="24"/>
          </w:rPr>
          <w:t>二手房指导价</w:t>
        </w:r>
      </w:hyperlink>
      <w:r>
        <w:rPr>
          <w:rFonts w:hint="eastAsia"/>
          <w:sz w:val="24"/>
        </w:rPr>
        <w:t>、</w:t>
      </w:r>
      <w:hyperlink r:id="rId16" w:tgtFrame="_blank" w:history="1">
        <w:r>
          <w:rPr>
            <w:rFonts w:hint="eastAsia"/>
            <w:sz w:val="24"/>
          </w:rPr>
          <w:t>集中供地</w:t>
        </w:r>
      </w:hyperlink>
      <w:r>
        <w:rPr>
          <w:rFonts w:hint="eastAsia"/>
          <w:sz w:val="24"/>
        </w:rPr>
        <w:t>、</w:t>
      </w:r>
      <w:hyperlink r:id="rId17" w:tgtFrame="_blank" w:history="1">
        <w:r>
          <w:rPr>
            <w:rFonts w:hint="eastAsia"/>
            <w:sz w:val="24"/>
          </w:rPr>
          <w:t>三稳</w:t>
        </w:r>
      </w:hyperlink>
      <w:r>
        <w:rPr>
          <w:rFonts w:hint="eastAsia"/>
          <w:sz w:val="24"/>
        </w:rPr>
        <w:t>、</w:t>
      </w:r>
      <w:hyperlink r:id="rId18" w:tgtFrame="_blank" w:history="1">
        <w:r>
          <w:rPr>
            <w:rFonts w:hint="eastAsia"/>
            <w:sz w:val="24"/>
          </w:rPr>
          <w:t>房贷收紧</w:t>
        </w:r>
      </w:hyperlink>
      <w:r>
        <w:rPr>
          <w:rFonts w:hint="eastAsia"/>
          <w:sz w:val="24"/>
        </w:rPr>
        <w:t>、</w:t>
      </w:r>
      <w:hyperlink r:id="rId19" w:tgtFrame="_blank" w:history="1">
        <w:r>
          <w:rPr>
            <w:rFonts w:hint="eastAsia"/>
            <w:sz w:val="24"/>
          </w:rPr>
          <w:t>房地产税</w:t>
        </w:r>
      </w:hyperlink>
      <w:r>
        <w:rPr>
          <w:rFonts w:hint="eastAsia"/>
          <w:sz w:val="24"/>
        </w:rPr>
        <w:t>”等。</w:t>
      </w:r>
    </w:p>
    <w:p w:rsidR="00E62AD6" w:rsidRDefault="00E62AD6" w:rsidP="00F23040">
      <w:pPr>
        <w:spacing w:line="660" w:lineRule="exact"/>
        <w:ind w:firstLineChars="200" w:firstLine="31680"/>
        <w:rPr>
          <w:rFonts w:ascii="宋体"/>
          <w:b/>
          <w:bCs/>
          <w:sz w:val="24"/>
        </w:rPr>
      </w:pPr>
      <w:r>
        <w:rPr>
          <w:rFonts w:ascii="宋体" w:hAnsi="宋体" w:hint="eastAsia"/>
          <w:b/>
          <w:bCs/>
          <w:sz w:val="24"/>
        </w:rPr>
        <w:t>（四）最高最佳使用分析</w:t>
      </w:r>
    </w:p>
    <w:p w:rsidR="00E62AD6" w:rsidRDefault="00E62AD6" w:rsidP="00F23040">
      <w:pPr>
        <w:pStyle w:val="BodyTextIndent2"/>
        <w:spacing w:line="660" w:lineRule="exact"/>
        <w:ind w:firstLine="31680"/>
      </w:pPr>
      <w:r>
        <w:rPr>
          <w:rFonts w:hint="eastAsia"/>
        </w:rPr>
        <w:t>最高最佳利用是指房地产在法律上允许、技术上可能、财务上可行并使价值最大的合理、可能的利用，包括最佳的用途、规模、档次等。</w:t>
      </w:r>
    </w:p>
    <w:p w:rsidR="00E62AD6" w:rsidRDefault="00E62AD6" w:rsidP="00F23040">
      <w:pPr>
        <w:pStyle w:val="BodyTextIndent2"/>
        <w:spacing w:line="660" w:lineRule="exact"/>
        <w:ind w:firstLine="31680"/>
      </w:pPr>
      <w:r>
        <w:t>1</w:t>
      </w:r>
      <w:r>
        <w:rPr>
          <w:rFonts w:hint="eastAsia"/>
        </w:rPr>
        <w:t>、法律上允许：法律上允许是指在法律、法规、政策以及建设用地使用权出让合同等允许范围内的最高最佳利用。在估价对象实际的使用中，亦遵循了合法使用原则，作办公房地产使用，办公用途是其合法原则的体现。</w:t>
      </w:r>
    </w:p>
    <w:p w:rsidR="00E62AD6" w:rsidRDefault="00E62AD6" w:rsidP="00F23040">
      <w:pPr>
        <w:pStyle w:val="BodyTextIndent2"/>
        <w:spacing w:line="660" w:lineRule="exact"/>
        <w:ind w:firstLine="31680"/>
      </w:pPr>
      <w:r>
        <w:t>2</w:t>
      </w:r>
      <w:r>
        <w:rPr>
          <w:rFonts w:hint="eastAsia"/>
        </w:rPr>
        <w:t>、技术上可能：对法律上允许的每一种利用方式，要检查其技术上是否具有可能。估价对象原设计用途为办公房地产，实际使用中亦做办公房地产利用，该种利用方式在技术上可实现。</w:t>
      </w:r>
    </w:p>
    <w:p w:rsidR="00E62AD6" w:rsidRDefault="00E62AD6" w:rsidP="00F23040">
      <w:pPr>
        <w:pStyle w:val="BodyTextIndent2"/>
        <w:spacing w:line="660" w:lineRule="exact"/>
        <w:ind w:firstLine="31680"/>
      </w:pPr>
      <w:r>
        <w:t>3</w:t>
      </w:r>
      <w:r>
        <w:rPr>
          <w:rFonts w:hint="eastAsia"/>
        </w:rPr>
        <w:t>、财务上可行：对法律上允许、技术上可能的每一种利用方式，需要从财务上预测其可行性，只有估价对象未来的收入现值大于支出现值的利用方式，才是财务上可行的利用方式。估价对象作为办公房地产利用，其收入现值大于其支出现值，财务上可行。</w:t>
      </w:r>
    </w:p>
    <w:p w:rsidR="00E62AD6" w:rsidRDefault="00E62AD6" w:rsidP="00F23040">
      <w:pPr>
        <w:pStyle w:val="BodyTextIndent2"/>
        <w:spacing w:line="660" w:lineRule="exact"/>
        <w:ind w:firstLine="31680"/>
      </w:pPr>
      <w:r>
        <w:t>4</w:t>
      </w:r>
      <w:r>
        <w:rPr>
          <w:rFonts w:hint="eastAsia"/>
        </w:rPr>
        <w:t>、价值最大化：在法律上允许、技术上可能、财务上可行的利用方式中，能使估价对象的价值达到最大的利用方式。根据分析，估价对象做办公房地产利用，符合片区整体规划，能在合法前提下实现价值的最大化。</w:t>
      </w:r>
    </w:p>
    <w:p w:rsidR="00E62AD6" w:rsidRDefault="00E62AD6" w:rsidP="00F23040">
      <w:pPr>
        <w:pStyle w:val="BodyTextIndent2"/>
        <w:spacing w:line="660" w:lineRule="exact"/>
        <w:ind w:firstLine="31680"/>
      </w:pPr>
      <w:r>
        <w:rPr>
          <w:rFonts w:hint="eastAsia"/>
        </w:rPr>
        <w:t>综上分析，结合建筑物的结构特点，估价对象应作为办公用房使用为佳。</w:t>
      </w:r>
    </w:p>
    <w:p w:rsidR="00E62AD6" w:rsidRDefault="00E62AD6" w:rsidP="00F23040">
      <w:pPr>
        <w:spacing w:line="660" w:lineRule="exact"/>
        <w:ind w:firstLineChars="200" w:firstLine="31680"/>
        <w:rPr>
          <w:rFonts w:ascii="宋体"/>
          <w:b/>
          <w:bCs/>
          <w:sz w:val="24"/>
        </w:rPr>
      </w:pPr>
      <w:r>
        <w:rPr>
          <w:rFonts w:ascii="宋体" w:hAnsi="宋体" w:hint="eastAsia"/>
          <w:b/>
          <w:bCs/>
          <w:sz w:val="24"/>
        </w:rPr>
        <w:t>（五）估价方法选用</w:t>
      </w:r>
    </w:p>
    <w:p w:rsidR="00E62AD6" w:rsidRDefault="00E62AD6" w:rsidP="00F23040">
      <w:pPr>
        <w:pStyle w:val="BodyTextIndent2"/>
        <w:spacing w:line="660" w:lineRule="exact"/>
        <w:ind w:firstLine="31680"/>
      </w:pPr>
      <w:r>
        <w:rPr>
          <w:rFonts w:hint="eastAsia"/>
        </w:rPr>
        <w:t>根据《房地产估价规范》，估价对象的同类房地产有较多交易的，应选用比较法；估价对象或其同类房地产通常有租金等经济收入的，应选用收益法；估价对象可假定为独立的开发建设项目进行重新开发建设的，宜选用成本法；当估价对象的同类房地产没有交易或交易很少，且估价对象或其同类房地产没有租金等经济收入时，应选用成本法；估价对象具有开发或再开发潜力且开发完成后的价值可采用除成本法以外的方法测算的，应选用假设开发法。</w:t>
      </w:r>
    </w:p>
    <w:p w:rsidR="00E62AD6" w:rsidRDefault="00E62AD6" w:rsidP="00F23040">
      <w:pPr>
        <w:pStyle w:val="BodyTextIndent2"/>
        <w:spacing w:line="660" w:lineRule="exact"/>
        <w:ind w:firstLine="31680"/>
      </w:pPr>
      <w:r>
        <w:rPr>
          <w:rFonts w:hint="eastAsia"/>
        </w:rPr>
        <w:t>本项目为房地产市场价值评估，根据市场调查，估价对象所在区域的房地产交易市场较活跃，同类型的房地产交易案例较多，适宜用比较法进行评估；收益法是通过收益测算市场价值的计算方法，全国及本地房地产市场均不同程度存在租金较低、租售倒挂现象，故收益法不是最适宜的方法；估价对象作为住宅用途房地产，其市场价值大于以各成本累加为基础的积累结果，故成本法不适宜；估价对象为已建成房地产，不具有开发或再开发潜力，故假设开发法不适宜。</w:t>
      </w:r>
    </w:p>
    <w:p w:rsidR="00E62AD6" w:rsidRDefault="00E62AD6" w:rsidP="00F23040">
      <w:pPr>
        <w:spacing w:line="660" w:lineRule="exact"/>
        <w:ind w:firstLineChars="200" w:firstLine="31680"/>
        <w:rPr>
          <w:rFonts w:ascii="宋体"/>
          <w:sz w:val="24"/>
        </w:rPr>
      </w:pPr>
      <w:r>
        <w:rPr>
          <w:rFonts w:ascii="宋体" w:hAnsi="宋体" w:cs="宋体" w:hint="eastAsia"/>
          <w:sz w:val="24"/>
        </w:rPr>
        <w:t>经综合分析，</w:t>
      </w:r>
      <w:r>
        <w:rPr>
          <w:rFonts w:ascii="宋体" w:hAnsi="宋体" w:hint="eastAsia"/>
          <w:sz w:val="24"/>
        </w:rPr>
        <w:t>本项目采用比较法进行评估。</w:t>
      </w:r>
    </w:p>
    <w:p w:rsidR="00E62AD6" w:rsidRDefault="00E62AD6" w:rsidP="00F23040">
      <w:pPr>
        <w:pStyle w:val="BodyTextIndent3"/>
        <w:spacing w:line="660" w:lineRule="exact"/>
        <w:ind w:firstLine="31680"/>
        <w:rPr>
          <w:sz w:val="24"/>
        </w:rPr>
      </w:pPr>
      <w:r>
        <w:rPr>
          <w:rFonts w:hint="eastAsia"/>
          <w:sz w:val="24"/>
        </w:rPr>
        <w:t>比较法就是依据替代原理，将估价对象与在价值时点近期有过交易的类似房地产进行比较，并对这些类似房地产的已知价格作适当的修正，以此估算估价对象在价值时点的客观合理价值的方法。</w:t>
      </w:r>
    </w:p>
    <w:p w:rsidR="00E62AD6" w:rsidRDefault="00E62AD6" w:rsidP="00F23040">
      <w:pPr>
        <w:spacing w:line="660" w:lineRule="exact"/>
        <w:ind w:firstLineChars="200" w:firstLine="31680"/>
        <w:rPr>
          <w:rFonts w:ascii="宋体"/>
          <w:b/>
          <w:bCs/>
          <w:sz w:val="24"/>
        </w:rPr>
      </w:pPr>
      <w:r>
        <w:rPr>
          <w:rFonts w:ascii="宋体" w:hAnsi="宋体" w:hint="eastAsia"/>
          <w:b/>
          <w:bCs/>
          <w:sz w:val="24"/>
        </w:rPr>
        <w:t>（六）估价测算过程</w:t>
      </w:r>
    </w:p>
    <w:p w:rsidR="00E62AD6" w:rsidRDefault="00E62AD6" w:rsidP="00F23040">
      <w:pPr>
        <w:spacing w:line="660" w:lineRule="exact"/>
        <w:ind w:firstLineChars="200" w:firstLine="31680"/>
        <w:rPr>
          <w:sz w:val="24"/>
        </w:rPr>
      </w:pPr>
      <w:r>
        <w:rPr>
          <w:rFonts w:ascii="宋体" w:hAnsi="宋体" w:hint="eastAsia"/>
          <w:sz w:val="24"/>
        </w:rPr>
        <w:t>在实施评估过程中，我们根据估价委托人所提供的产权资料，对物业状况进行现</w:t>
      </w:r>
      <w:r>
        <w:rPr>
          <w:rFonts w:hint="eastAsia"/>
          <w:sz w:val="24"/>
        </w:rPr>
        <w:t>场勘查，并对价值时点的市场情况进行调查，搜集有关资料，采用比较法进行评估。</w:t>
      </w:r>
    </w:p>
    <w:p w:rsidR="00E62AD6" w:rsidRDefault="00E62AD6" w:rsidP="00F23040">
      <w:pPr>
        <w:spacing w:line="660" w:lineRule="exact"/>
        <w:ind w:leftChars="14" w:left="31680" w:firstLineChars="200" w:firstLine="31680"/>
        <w:rPr>
          <w:rFonts w:ascii="宋体"/>
          <w:sz w:val="24"/>
        </w:rPr>
      </w:pPr>
      <w:r>
        <w:rPr>
          <w:rFonts w:ascii="宋体" w:hAnsi="宋体"/>
          <w:sz w:val="24"/>
        </w:rPr>
        <w:t>1</w:t>
      </w:r>
      <w:r>
        <w:rPr>
          <w:rFonts w:ascii="宋体" w:hAnsi="宋体" w:hint="eastAsia"/>
          <w:sz w:val="24"/>
        </w:rPr>
        <w:t>、计算公式</w:t>
      </w:r>
    </w:p>
    <w:p w:rsidR="00E62AD6" w:rsidRDefault="00E62AD6" w:rsidP="00F23040">
      <w:pPr>
        <w:spacing w:line="660" w:lineRule="exact"/>
        <w:ind w:leftChars="14" w:left="31680" w:firstLineChars="200" w:firstLine="31680"/>
        <w:rPr>
          <w:rFonts w:ascii="宋体"/>
          <w:sz w:val="24"/>
        </w:rPr>
      </w:pPr>
      <w:r>
        <w:rPr>
          <w:rFonts w:ascii="宋体" w:hAnsi="宋体" w:hint="eastAsia"/>
          <w:sz w:val="24"/>
        </w:rPr>
        <w:t>估价对象价格＝参照物房地产价格×交易情况修正系数×市场状况修正系数×区位状况修正系数×实物状况修正系数</w:t>
      </w:r>
    </w:p>
    <w:p w:rsidR="00E62AD6" w:rsidRDefault="00E62AD6" w:rsidP="00F23040">
      <w:pPr>
        <w:spacing w:line="660" w:lineRule="exact"/>
        <w:ind w:left="14" w:firstLineChars="200" w:firstLine="31680"/>
        <w:rPr>
          <w:rFonts w:ascii="宋体"/>
          <w:sz w:val="24"/>
        </w:rPr>
      </w:pPr>
      <w:r>
        <w:rPr>
          <w:rFonts w:ascii="宋体" w:hAnsi="宋体"/>
          <w:sz w:val="24"/>
        </w:rPr>
        <w:t>2</w:t>
      </w:r>
      <w:r>
        <w:rPr>
          <w:rFonts w:ascii="宋体" w:hAnsi="宋体" w:hint="eastAsia"/>
          <w:sz w:val="24"/>
        </w:rPr>
        <w:t>、选取比较实例</w:t>
      </w:r>
    </w:p>
    <w:p w:rsidR="00E62AD6" w:rsidRDefault="00E62AD6">
      <w:pPr>
        <w:spacing w:line="240" w:lineRule="exact"/>
        <w:ind w:left="11"/>
        <w:jc w:val="right"/>
        <w:rPr>
          <w:rFonts w:ascii="宋体"/>
          <w:szCs w:val="21"/>
        </w:rPr>
      </w:pPr>
      <w:r>
        <w:rPr>
          <w:rFonts w:ascii="宋体" w:hAnsi="宋体"/>
          <w:szCs w:val="21"/>
        </w:rPr>
        <w:t xml:space="preserve">                                                               </w:t>
      </w:r>
    </w:p>
    <w:tbl>
      <w:tblPr>
        <w:tblW w:w="945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038"/>
        <w:gridCol w:w="1992"/>
        <w:gridCol w:w="1724"/>
        <w:gridCol w:w="1858"/>
        <w:gridCol w:w="1841"/>
      </w:tblGrid>
      <w:tr w:rsidR="00E62AD6" w:rsidTr="00F23040">
        <w:trPr>
          <w:cantSplit/>
          <w:trHeight w:val="675"/>
          <w:jc w:val="center"/>
        </w:trPr>
        <w:tc>
          <w:tcPr>
            <w:tcW w:w="2038" w:type="dxa"/>
            <w:vMerge w:val="restart"/>
            <w:tcBorders>
              <w:top w:val="single" w:sz="18" w:space="0" w:color="auto"/>
            </w:tcBorders>
            <w:vAlign w:val="center"/>
          </w:tcPr>
          <w:p w:rsidR="00E62AD6" w:rsidRDefault="00E62AD6">
            <w:pPr>
              <w:spacing w:line="240" w:lineRule="exact"/>
              <w:jc w:val="center"/>
              <w:rPr>
                <w:b/>
                <w:bCs/>
                <w:szCs w:val="21"/>
              </w:rPr>
            </w:pPr>
            <w:r>
              <w:rPr>
                <w:rFonts w:ascii="宋体" w:hAnsi="宋体" w:cs="宋体"/>
                <w:b/>
                <w:szCs w:val="21"/>
              </w:rPr>
              <w:t xml:space="preserve">         </w:t>
            </w:r>
            <w:r>
              <w:rPr>
                <w:rFonts w:hint="eastAsia"/>
                <w:b/>
                <w:bCs/>
                <w:szCs w:val="21"/>
              </w:rPr>
              <w:t>比较实例</w:t>
            </w:r>
          </w:p>
          <w:p w:rsidR="00E62AD6" w:rsidRDefault="00E62AD6">
            <w:pPr>
              <w:spacing w:line="240" w:lineRule="exact"/>
              <w:jc w:val="center"/>
              <w:rPr>
                <w:b/>
                <w:bCs/>
                <w:szCs w:val="21"/>
              </w:rPr>
            </w:pPr>
            <w:r>
              <w:rPr>
                <w:rFonts w:hint="eastAsia"/>
                <w:b/>
                <w:bCs/>
                <w:szCs w:val="21"/>
              </w:rPr>
              <w:t>内容</w:t>
            </w:r>
          </w:p>
          <w:p w:rsidR="00E62AD6" w:rsidRDefault="00E62AD6">
            <w:pPr>
              <w:spacing w:line="240" w:lineRule="exact"/>
              <w:rPr>
                <w:rFonts w:ascii="宋体" w:cs="宋体"/>
                <w:b/>
                <w:szCs w:val="21"/>
              </w:rPr>
            </w:pPr>
            <w:r>
              <w:rPr>
                <w:rFonts w:hint="eastAsia"/>
                <w:b/>
                <w:bCs/>
                <w:szCs w:val="21"/>
              </w:rPr>
              <w:t>比较因素</w:t>
            </w:r>
          </w:p>
        </w:tc>
        <w:tc>
          <w:tcPr>
            <w:tcW w:w="1992" w:type="dxa"/>
            <w:tcBorders>
              <w:top w:val="single" w:sz="18" w:space="0" w:color="auto"/>
            </w:tcBorders>
            <w:vAlign w:val="center"/>
          </w:tcPr>
          <w:p w:rsidR="00E62AD6" w:rsidRDefault="00E62AD6">
            <w:pPr>
              <w:spacing w:line="240" w:lineRule="exact"/>
              <w:jc w:val="center"/>
              <w:rPr>
                <w:rFonts w:ascii="宋体" w:cs="宋体"/>
                <w:b/>
                <w:bCs/>
                <w:szCs w:val="21"/>
              </w:rPr>
            </w:pPr>
            <w:r>
              <w:rPr>
                <w:rFonts w:hint="eastAsia"/>
                <w:b/>
                <w:bCs/>
                <w:szCs w:val="21"/>
              </w:rPr>
              <w:t>实例</w:t>
            </w:r>
            <w:r>
              <w:rPr>
                <w:b/>
                <w:bCs/>
                <w:szCs w:val="21"/>
              </w:rPr>
              <w:t>A</w:t>
            </w:r>
          </w:p>
        </w:tc>
        <w:tc>
          <w:tcPr>
            <w:tcW w:w="1724" w:type="dxa"/>
            <w:tcBorders>
              <w:top w:val="single" w:sz="18" w:space="0" w:color="auto"/>
            </w:tcBorders>
            <w:vAlign w:val="center"/>
          </w:tcPr>
          <w:p w:rsidR="00E62AD6" w:rsidRDefault="00E62AD6">
            <w:pPr>
              <w:spacing w:line="240" w:lineRule="exact"/>
              <w:jc w:val="center"/>
              <w:rPr>
                <w:rFonts w:ascii="宋体" w:cs="宋体"/>
                <w:b/>
                <w:bCs/>
                <w:szCs w:val="21"/>
              </w:rPr>
            </w:pPr>
            <w:r>
              <w:rPr>
                <w:rFonts w:hint="eastAsia"/>
                <w:b/>
                <w:bCs/>
                <w:szCs w:val="21"/>
              </w:rPr>
              <w:t>实例</w:t>
            </w:r>
            <w:r>
              <w:rPr>
                <w:b/>
                <w:bCs/>
                <w:szCs w:val="21"/>
              </w:rPr>
              <w:t>B</w:t>
            </w:r>
          </w:p>
        </w:tc>
        <w:tc>
          <w:tcPr>
            <w:tcW w:w="1858" w:type="dxa"/>
            <w:tcBorders>
              <w:top w:val="single" w:sz="18" w:space="0" w:color="auto"/>
            </w:tcBorders>
            <w:vAlign w:val="center"/>
          </w:tcPr>
          <w:p w:rsidR="00E62AD6" w:rsidRDefault="00E62AD6">
            <w:pPr>
              <w:spacing w:line="240" w:lineRule="exact"/>
              <w:jc w:val="center"/>
              <w:rPr>
                <w:rFonts w:ascii="宋体" w:cs="宋体"/>
                <w:b/>
                <w:bCs/>
                <w:szCs w:val="21"/>
              </w:rPr>
            </w:pPr>
            <w:r>
              <w:rPr>
                <w:rFonts w:hint="eastAsia"/>
                <w:b/>
                <w:bCs/>
                <w:szCs w:val="21"/>
              </w:rPr>
              <w:t>实例</w:t>
            </w:r>
            <w:r>
              <w:rPr>
                <w:b/>
                <w:bCs/>
                <w:szCs w:val="21"/>
              </w:rPr>
              <w:t>C</w:t>
            </w:r>
          </w:p>
        </w:tc>
        <w:tc>
          <w:tcPr>
            <w:tcW w:w="1841" w:type="dxa"/>
            <w:tcBorders>
              <w:top w:val="single" w:sz="18" w:space="0" w:color="auto"/>
            </w:tcBorders>
            <w:vAlign w:val="center"/>
          </w:tcPr>
          <w:p w:rsidR="00E62AD6" w:rsidRDefault="00E62AD6">
            <w:pPr>
              <w:spacing w:line="240" w:lineRule="exact"/>
              <w:jc w:val="center"/>
              <w:rPr>
                <w:rFonts w:ascii="宋体" w:cs="宋体"/>
                <w:b/>
                <w:bCs/>
                <w:szCs w:val="21"/>
              </w:rPr>
            </w:pPr>
            <w:r>
              <w:rPr>
                <w:rFonts w:hint="eastAsia"/>
                <w:b/>
                <w:bCs/>
                <w:szCs w:val="21"/>
              </w:rPr>
              <w:t>估价对象</w:t>
            </w:r>
          </w:p>
        </w:tc>
      </w:tr>
      <w:tr w:rsidR="00E62AD6" w:rsidTr="00F23040">
        <w:trPr>
          <w:cantSplit/>
          <w:trHeight w:val="932"/>
          <w:jc w:val="center"/>
        </w:trPr>
        <w:tc>
          <w:tcPr>
            <w:tcW w:w="2038" w:type="dxa"/>
            <w:vMerge/>
            <w:vAlign w:val="center"/>
          </w:tcPr>
          <w:p w:rsidR="00E62AD6" w:rsidRDefault="00E62AD6" w:rsidP="00E62AD6">
            <w:pPr>
              <w:spacing w:line="240" w:lineRule="exact"/>
              <w:ind w:firstLineChars="295" w:firstLine="31680"/>
              <w:rPr>
                <w:rFonts w:ascii="宋体"/>
                <w:b/>
                <w:bCs/>
                <w:szCs w:val="21"/>
              </w:rPr>
            </w:pPr>
          </w:p>
        </w:tc>
        <w:tc>
          <w:tcPr>
            <w:tcW w:w="1992"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丹阳庄东区</w:t>
            </w:r>
            <w:r>
              <w:rPr>
                <w:rFonts w:ascii="宋体" w:hAnsi="宋体" w:cs="宋体"/>
                <w:b/>
                <w:color w:val="000000"/>
                <w:kern w:val="0"/>
                <w:szCs w:val="21"/>
              </w:rPr>
              <w:t>32</w:t>
            </w:r>
            <w:r>
              <w:rPr>
                <w:rFonts w:ascii="宋体" w:hAnsi="宋体" w:cs="宋体" w:hint="eastAsia"/>
                <w:b/>
                <w:color w:val="000000"/>
                <w:kern w:val="0"/>
                <w:szCs w:val="21"/>
              </w:rPr>
              <w:t>幢</w:t>
            </w:r>
            <w:r>
              <w:rPr>
                <w:rFonts w:ascii="宋体" w:hAnsi="宋体" w:cs="宋体"/>
                <w:b/>
                <w:color w:val="000000"/>
                <w:kern w:val="0"/>
                <w:szCs w:val="21"/>
              </w:rPr>
              <w:t>108</w:t>
            </w:r>
            <w:r>
              <w:rPr>
                <w:rFonts w:ascii="宋体" w:hAnsi="宋体" w:cs="宋体" w:hint="eastAsia"/>
                <w:b/>
                <w:color w:val="000000"/>
                <w:kern w:val="0"/>
                <w:szCs w:val="21"/>
              </w:rPr>
              <w:t>号车库</w:t>
            </w:r>
          </w:p>
        </w:tc>
        <w:tc>
          <w:tcPr>
            <w:tcW w:w="1724"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中泰花园</w:t>
            </w:r>
            <w:r>
              <w:rPr>
                <w:rFonts w:ascii="宋体" w:hAnsi="宋体" w:cs="宋体"/>
                <w:b/>
                <w:color w:val="000000"/>
                <w:kern w:val="0"/>
                <w:szCs w:val="21"/>
              </w:rPr>
              <w:t>51-52</w:t>
            </w:r>
            <w:r>
              <w:rPr>
                <w:rFonts w:ascii="宋体" w:hAnsi="宋体" w:cs="宋体" w:hint="eastAsia"/>
                <w:b/>
                <w:color w:val="000000"/>
                <w:kern w:val="0"/>
                <w:szCs w:val="21"/>
              </w:rPr>
              <w:t>幢</w:t>
            </w:r>
            <w:r>
              <w:rPr>
                <w:rFonts w:ascii="宋体" w:hAnsi="宋体" w:cs="宋体"/>
                <w:b/>
                <w:color w:val="000000"/>
                <w:kern w:val="0"/>
                <w:szCs w:val="21"/>
              </w:rPr>
              <w:t>101</w:t>
            </w:r>
            <w:r>
              <w:rPr>
                <w:rFonts w:ascii="宋体" w:hAnsi="宋体" w:cs="宋体" w:hint="eastAsia"/>
                <w:b/>
                <w:color w:val="000000"/>
                <w:kern w:val="0"/>
                <w:szCs w:val="21"/>
              </w:rPr>
              <w:t>号车库</w:t>
            </w:r>
          </w:p>
        </w:tc>
        <w:tc>
          <w:tcPr>
            <w:tcW w:w="185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碧霞庄中区</w:t>
            </w:r>
            <w:r>
              <w:rPr>
                <w:rFonts w:ascii="宋体" w:hAnsi="宋体" w:cs="宋体"/>
                <w:b/>
                <w:color w:val="000000"/>
                <w:kern w:val="0"/>
                <w:szCs w:val="21"/>
              </w:rPr>
              <w:t>13-15</w:t>
            </w:r>
            <w:r>
              <w:rPr>
                <w:rFonts w:ascii="宋体" w:hAnsi="宋体" w:cs="宋体" w:hint="eastAsia"/>
                <w:b/>
                <w:color w:val="000000"/>
                <w:kern w:val="0"/>
                <w:szCs w:val="21"/>
              </w:rPr>
              <w:t>座</w:t>
            </w:r>
            <w:r>
              <w:rPr>
                <w:rFonts w:ascii="宋体" w:hAnsi="宋体" w:cs="宋体"/>
                <w:b/>
                <w:color w:val="000000"/>
                <w:kern w:val="0"/>
                <w:szCs w:val="21"/>
              </w:rPr>
              <w:t>102</w:t>
            </w:r>
            <w:r>
              <w:rPr>
                <w:rFonts w:ascii="宋体" w:hAnsi="宋体" w:cs="宋体" w:hint="eastAsia"/>
                <w:b/>
                <w:color w:val="000000"/>
                <w:kern w:val="0"/>
                <w:szCs w:val="21"/>
              </w:rPr>
              <w:t>号房</w:t>
            </w:r>
          </w:p>
        </w:tc>
        <w:tc>
          <w:tcPr>
            <w:tcW w:w="1841"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碧霞庄北区</w:t>
            </w:r>
            <w:r>
              <w:rPr>
                <w:rFonts w:ascii="宋体" w:hAnsi="宋体" w:cs="宋体"/>
                <w:b/>
                <w:color w:val="000000"/>
                <w:kern w:val="0"/>
                <w:szCs w:val="21"/>
              </w:rPr>
              <w:t>2</w:t>
            </w:r>
            <w:r>
              <w:rPr>
                <w:rFonts w:ascii="宋体" w:hAnsi="宋体" w:cs="宋体" w:hint="eastAsia"/>
                <w:b/>
                <w:color w:val="000000"/>
                <w:kern w:val="0"/>
                <w:szCs w:val="21"/>
              </w:rPr>
              <w:t>幢</w:t>
            </w:r>
            <w:r>
              <w:rPr>
                <w:rFonts w:ascii="宋体" w:hAnsi="宋体" w:cs="宋体"/>
                <w:b/>
                <w:color w:val="000000"/>
                <w:kern w:val="0"/>
                <w:szCs w:val="21"/>
              </w:rPr>
              <w:t>125</w:t>
            </w:r>
            <w:r>
              <w:rPr>
                <w:rFonts w:ascii="宋体" w:hAnsi="宋体" w:cs="宋体" w:hint="eastAsia"/>
                <w:b/>
                <w:color w:val="000000"/>
                <w:kern w:val="0"/>
                <w:szCs w:val="21"/>
              </w:rPr>
              <w:t>号房</w:t>
            </w:r>
          </w:p>
        </w:tc>
      </w:tr>
      <w:tr w:rsidR="00E62AD6" w:rsidTr="00F23040">
        <w:trPr>
          <w:trHeight w:val="529"/>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交易价格（元</w:t>
            </w:r>
            <w:r>
              <w:rPr>
                <w:rFonts w:ascii="宋体" w:hAnsi="宋体" w:cs="宋体"/>
                <w:b/>
                <w:color w:val="000000"/>
                <w:kern w:val="0"/>
                <w:szCs w:val="21"/>
              </w:rPr>
              <w:t>/</w:t>
            </w:r>
            <w:r>
              <w:rPr>
                <w:rFonts w:ascii="宋体" w:hAnsi="宋体" w:cs="宋体" w:hint="eastAsia"/>
                <w:b/>
                <w:color w:val="000000"/>
                <w:kern w:val="0"/>
                <w:szCs w:val="21"/>
              </w:rPr>
              <w:t>㎡）</w:t>
            </w:r>
          </w:p>
        </w:tc>
        <w:tc>
          <w:tcPr>
            <w:tcW w:w="1992"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 xml:space="preserve">13500 </w:t>
            </w:r>
          </w:p>
        </w:tc>
        <w:tc>
          <w:tcPr>
            <w:tcW w:w="1724"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 xml:space="preserve">14300 </w:t>
            </w:r>
          </w:p>
        </w:tc>
        <w:tc>
          <w:tcPr>
            <w:tcW w:w="1858"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 xml:space="preserve">13800 </w:t>
            </w:r>
          </w:p>
        </w:tc>
        <w:tc>
          <w:tcPr>
            <w:tcW w:w="1841" w:type="dxa"/>
            <w:vAlign w:val="center"/>
          </w:tcPr>
          <w:p w:rsidR="00E62AD6" w:rsidRDefault="00E62AD6">
            <w:pPr>
              <w:jc w:val="center"/>
              <w:rPr>
                <w:szCs w:val="21"/>
              </w:rPr>
            </w:pPr>
          </w:p>
        </w:tc>
      </w:tr>
      <w:tr w:rsidR="00E62AD6" w:rsidTr="00F23040">
        <w:trPr>
          <w:trHeight w:val="516"/>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交易情况</w:t>
            </w:r>
          </w:p>
        </w:tc>
        <w:tc>
          <w:tcPr>
            <w:tcW w:w="1992"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正常</w:t>
            </w:r>
          </w:p>
        </w:tc>
        <w:tc>
          <w:tcPr>
            <w:tcW w:w="1724"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正常</w:t>
            </w:r>
          </w:p>
        </w:tc>
        <w:tc>
          <w:tcPr>
            <w:tcW w:w="1858"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正常</w:t>
            </w:r>
          </w:p>
        </w:tc>
        <w:tc>
          <w:tcPr>
            <w:tcW w:w="1841"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抵押贷款</w:t>
            </w:r>
          </w:p>
        </w:tc>
      </w:tr>
      <w:tr w:rsidR="00E62AD6" w:rsidTr="00F23040">
        <w:trPr>
          <w:trHeight w:val="494"/>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交易时间</w:t>
            </w:r>
          </w:p>
        </w:tc>
        <w:tc>
          <w:tcPr>
            <w:tcW w:w="1992"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近期</w:t>
            </w:r>
          </w:p>
        </w:tc>
        <w:tc>
          <w:tcPr>
            <w:tcW w:w="1724"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近期</w:t>
            </w:r>
          </w:p>
        </w:tc>
        <w:tc>
          <w:tcPr>
            <w:tcW w:w="1858"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近期</w:t>
            </w:r>
          </w:p>
        </w:tc>
        <w:tc>
          <w:tcPr>
            <w:tcW w:w="1841"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估价时点：</w:t>
            </w:r>
            <w:r>
              <w:rPr>
                <w:rFonts w:ascii="宋体" w:hAnsi="宋体" w:cs="宋体"/>
                <w:color w:val="000000"/>
                <w:kern w:val="0"/>
                <w:szCs w:val="21"/>
              </w:rPr>
              <w:t>2022.9.5</w:t>
            </w:r>
          </w:p>
        </w:tc>
      </w:tr>
      <w:tr w:rsidR="00E62AD6" w:rsidTr="00F23040">
        <w:trPr>
          <w:trHeight w:val="501"/>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地理位置</w:t>
            </w:r>
          </w:p>
        </w:tc>
        <w:tc>
          <w:tcPr>
            <w:tcW w:w="1992"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好</w:t>
            </w:r>
          </w:p>
        </w:tc>
        <w:tc>
          <w:tcPr>
            <w:tcW w:w="1724"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好</w:t>
            </w:r>
          </w:p>
        </w:tc>
        <w:tc>
          <w:tcPr>
            <w:tcW w:w="1858"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好</w:t>
            </w:r>
          </w:p>
        </w:tc>
        <w:tc>
          <w:tcPr>
            <w:tcW w:w="1841"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好</w:t>
            </w:r>
          </w:p>
        </w:tc>
      </w:tr>
      <w:tr w:rsidR="00E62AD6" w:rsidTr="00F23040">
        <w:trPr>
          <w:trHeight w:val="501"/>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繁华程度</w:t>
            </w:r>
          </w:p>
        </w:tc>
        <w:tc>
          <w:tcPr>
            <w:tcW w:w="1992"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c>
          <w:tcPr>
            <w:tcW w:w="1724"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c>
          <w:tcPr>
            <w:tcW w:w="1858"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c>
          <w:tcPr>
            <w:tcW w:w="1841"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r>
      <w:tr w:rsidR="00E62AD6" w:rsidTr="00F23040">
        <w:trPr>
          <w:trHeight w:val="501"/>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交通便捷程度</w:t>
            </w:r>
          </w:p>
        </w:tc>
        <w:tc>
          <w:tcPr>
            <w:tcW w:w="1992"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便捷</w:t>
            </w:r>
          </w:p>
        </w:tc>
        <w:tc>
          <w:tcPr>
            <w:tcW w:w="1724"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便捷</w:t>
            </w:r>
          </w:p>
        </w:tc>
        <w:tc>
          <w:tcPr>
            <w:tcW w:w="1858"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便捷</w:t>
            </w:r>
          </w:p>
        </w:tc>
        <w:tc>
          <w:tcPr>
            <w:tcW w:w="1841"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便捷</w:t>
            </w:r>
          </w:p>
        </w:tc>
      </w:tr>
      <w:tr w:rsidR="00E62AD6" w:rsidTr="00F23040">
        <w:trPr>
          <w:trHeight w:val="453"/>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环境质量</w:t>
            </w:r>
          </w:p>
        </w:tc>
        <w:tc>
          <w:tcPr>
            <w:tcW w:w="1992"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c>
          <w:tcPr>
            <w:tcW w:w="1724"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c>
          <w:tcPr>
            <w:tcW w:w="1858"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c>
          <w:tcPr>
            <w:tcW w:w="1841"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r>
      <w:tr w:rsidR="00E62AD6" w:rsidTr="00F23040">
        <w:trPr>
          <w:trHeight w:val="453"/>
          <w:jc w:val="center"/>
        </w:trPr>
        <w:tc>
          <w:tcPr>
            <w:tcW w:w="2038" w:type="dxa"/>
            <w:vAlign w:val="center"/>
          </w:tcPr>
          <w:p w:rsidR="00E62AD6" w:rsidRDefault="00E62AD6">
            <w:pPr>
              <w:widowControl/>
              <w:jc w:val="center"/>
              <w:textAlignment w:val="center"/>
              <w:rPr>
                <w:rFonts w:ascii="宋体" w:cs="宋体"/>
                <w:b/>
                <w:bCs/>
                <w:color w:val="000000"/>
                <w:kern w:val="0"/>
                <w:szCs w:val="21"/>
              </w:rPr>
            </w:pPr>
            <w:r>
              <w:rPr>
                <w:rFonts w:ascii="宋体" w:hAnsi="宋体" w:cs="宋体" w:hint="eastAsia"/>
                <w:b/>
                <w:color w:val="000000"/>
                <w:kern w:val="0"/>
                <w:szCs w:val="21"/>
              </w:rPr>
              <w:t>景</w:t>
            </w:r>
            <w:r>
              <w:rPr>
                <w:rFonts w:ascii="宋体" w:hAnsi="宋体" w:cs="宋体"/>
                <w:b/>
                <w:color w:val="000000"/>
                <w:kern w:val="0"/>
                <w:szCs w:val="21"/>
              </w:rPr>
              <w:t xml:space="preserve">    </w:t>
            </w:r>
            <w:r>
              <w:rPr>
                <w:rFonts w:ascii="宋体" w:hAnsi="宋体" w:cs="宋体" w:hint="eastAsia"/>
                <w:b/>
                <w:color w:val="000000"/>
                <w:kern w:val="0"/>
                <w:szCs w:val="21"/>
              </w:rPr>
              <w:t>观</w:t>
            </w:r>
          </w:p>
        </w:tc>
        <w:tc>
          <w:tcPr>
            <w:tcW w:w="1992" w:type="dxa"/>
            <w:vAlign w:val="center"/>
          </w:tcPr>
          <w:p w:rsidR="00E62AD6" w:rsidRDefault="00E62AD6">
            <w:pPr>
              <w:widowControl/>
              <w:jc w:val="center"/>
              <w:textAlignment w:val="center"/>
              <w:rPr>
                <w:rFonts w:ascii="宋体" w:cs="宋体"/>
                <w:color w:val="000000"/>
                <w:kern w:val="0"/>
                <w:szCs w:val="21"/>
              </w:rPr>
            </w:pPr>
            <w:r>
              <w:rPr>
                <w:rFonts w:ascii="宋体" w:hAnsi="宋体" w:cs="宋体" w:hint="eastAsia"/>
                <w:color w:val="000000"/>
                <w:kern w:val="0"/>
                <w:szCs w:val="21"/>
              </w:rPr>
              <w:t>较好</w:t>
            </w:r>
          </w:p>
        </w:tc>
        <w:tc>
          <w:tcPr>
            <w:tcW w:w="1724" w:type="dxa"/>
            <w:vAlign w:val="center"/>
          </w:tcPr>
          <w:p w:rsidR="00E62AD6" w:rsidRDefault="00E62AD6">
            <w:pPr>
              <w:widowControl/>
              <w:jc w:val="center"/>
              <w:textAlignment w:val="center"/>
              <w:rPr>
                <w:rFonts w:ascii="宋体" w:cs="宋体"/>
                <w:color w:val="000000"/>
                <w:kern w:val="0"/>
                <w:szCs w:val="21"/>
              </w:rPr>
            </w:pPr>
            <w:r>
              <w:rPr>
                <w:rFonts w:ascii="宋体" w:hAnsi="宋体" w:cs="宋体" w:hint="eastAsia"/>
                <w:color w:val="000000"/>
                <w:kern w:val="0"/>
                <w:szCs w:val="21"/>
              </w:rPr>
              <w:t>较好</w:t>
            </w:r>
          </w:p>
        </w:tc>
        <w:tc>
          <w:tcPr>
            <w:tcW w:w="1858" w:type="dxa"/>
            <w:vAlign w:val="center"/>
          </w:tcPr>
          <w:p w:rsidR="00E62AD6" w:rsidRDefault="00E62AD6">
            <w:pPr>
              <w:widowControl/>
              <w:jc w:val="center"/>
              <w:textAlignment w:val="center"/>
              <w:rPr>
                <w:rFonts w:ascii="宋体" w:cs="宋体"/>
                <w:color w:val="000000"/>
                <w:kern w:val="0"/>
                <w:szCs w:val="21"/>
              </w:rPr>
            </w:pPr>
            <w:r>
              <w:rPr>
                <w:rFonts w:ascii="宋体" w:hAnsi="宋体" w:cs="宋体" w:hint="eastAsia"/>
                <w:color w:val="000000"/>
                <w:kern w:val="0"/>
                <w:szCs w:val="21"/>
              </w:rPr>
              <w:t>较好</w:t>
            </w:r>
          </w:p>
        </w:tc>
        <w:tc>
          <w:tcPr>
            <w:tcW w:w="1841" w:type="dxa"/>
            <w:vAlign w:val="center"/>
          </w:tcPr>
          <w:p w:rsidR="00E62AD6" w:rsidRDefault="00E62AD6">
            <w:pPr>
              <w:widowControl/>
              <w:jc w:val="center"/>
              <w:textAlignment w:val="center"/>
              <w:rPr>
                <w:rFonts w:ascii="宋体" w:cs="宋体"/>
                <w:color w:val="000000"/>
                <w:kern w:val="0"/>
                <w:szCs w:val="21"/>
              </w:rPr>
            </w:pPr>
            <w:r>
              <w:rPr>
                <w:rFonts w:ascii="宋体" w:hAnsi="宋体" w:cs="宋体" w:hint="eastAsia"/>
                <w:color w:val="000000"/>
                <w:kern w:val="0"/>
                <w:szCs w:val="21"/>
              </w:rPr>
              <w:t>较好</w:t>
            </w:r>
          </w:p>
        </w:tc>
      </w:tr>
      <w:tr w:rsidR="00E62AD6" w:rsidTr="00F23040">
        <w:trPr>
          <w:trHeight w:val="476"/>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公共设施配套程度</w:t>
            </w:r>
          </w:p>
        </w:tc>
        <w:tc>
          <w:tcPr>
            <w:tcW w:w="1992"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c>
          <w:tcPr>
            <w:tcW w:w="1724"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c>
          <w:tcPr>
            <w:tcW w:w="1858"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c>
          <w:tcPr>
            <w:tcW w:w="1841"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r>
      <w:tr w:rsidR="00E62AD6" w:rsidTr="00F23040">
        <w:trPr>
          <w:trHeight w:val="501"/>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城市规划条件</w:t>
            </w:r>
          </w:p>
        </w:tc>
        <w:tc>
          <w:tcPr>
            <w:tcW w:w="1992"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c>
          <w:tcPr>
            <w:tcW w:w="1724"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c>
          <w:tcPr>
            <w:tcW w:w="1858"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c>
          <w:tcPr>
            <w:tcW w:w="1841"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较好</w:t>
            </w:r>
          </w:p>
        </w:tc>
      </w:tr>
      <w:tr w:rsidR="00E62AD6" w:rsidTr="00F23040">
        <w:trPr>
          <w:trHeight w:val="501"/>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停车场规划</w:t>
            </w:r>
          </w:p>
        </w:tc>
        <w:tc>
          <w:tcPr>
            <w:tcW w:w="1992"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一般</w:t>
            </w:r>
          </w:p>
        </w:tc>
        <w:tc>
          <w:tcPr>
            <w:tcW w:w="1724"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较好</w:t>
            </w:r>
          </w:p>
        </w:tc>
        <w:tc>
          <w:tcPr>
            <w:tcW w:w="1858"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一般</w:t>
            </w:r>
          </w:p>
        </w:tc>
        <w:tc>
          <w:tcPr>
            <w:tcW w:w="1841"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一般</w:t>
            </w:r>
          </w:p>
        </w:tc>
      </w:tr>
      <w:tr w:rsidR="00E62AD6" w:rsidTr="00F23040">
        <w:trPr>
          <w:trHeight w:val="501"/>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停靠位置及出入方便程度</w:t>
            </w:r>
          </w:p>
        </w:tc>
        <w:tc>
          <w:tcPr>
            <w:tcW w:w="1992"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一般</w:t>
            </w:r>
          </w:p>
        </w:tc>
        <w:tc>
          <w:tcPr>
            <w:tcW w:w="1724"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较方便</w:t>
            </w:r>
          </w:p>
        </w:tc>
        <w:tc>
          <w:tcPr>
            <w:tcW w:w="1858"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一般</w:t>
            </w:r>
          </w:p>
        </w:tc>
        <w:tc>
          <w:tcPr>
            <w:tcW w:w="1841"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较方便</w:t>
            </w:r>
          </w:p>
        </w:tc>
      </w:tr>
      <w:tr w:rsidR="00E62AD6" w:rsidTr="00F23040">
        <w:trPr>
          <w:trHeight w:val="501"/>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装修状况</w:t>
            </w:r>
          </w:p>
        </w:tc>
        <w:tc>
          <w:tcPr>
            <w:tcW w:w="1992"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普通装修</w:t>
            </w:r>
          </w:p>
        </w:tc>
        <w:tc>
          <w:tcPr>
            <w:tcW w:w="1724"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普通装修</w:t>
            </w:r>
          </w:p>
        </w:tc>
        <w:tc>
          <w:tcPr>
            <w:tcW w:w="1858"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普通装修</w:t>
            </w:r>
          </w:p>
        </w:tc>
        <w:tc>
          <w:tcPr>
            <w:tcW w:w="1841"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普通装修</w:t>
            </w:r>
          </w:p>
        </w:tc>
      </w:tr>
      <w:tr w:rsidR="00E62AD6" w:rsidTr="00F23040">
        <w:trPr>
          <w:trHeight w:val="501"/>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设施与设备</w:t>
            </w:r>
          </w:p>
        </w:tc>
        <w:tc>
          <w:tcPr>
            <w:tcW w:w="1992"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一般配套</w:t>
            </w:r>
          </w:p>
        </w:tc>
        <w:tc>
          <w:tcPr>
            <w:tcW w:w="1724"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一般配套</w:t>
            </w:r>
          </w:p>
        </w:tc>
        <w:tc>
          <w:tcPr>
            <w:tcW w:w="1858"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一般配套</w:t>
            </w:r>
          </w:p>
        </w:tc>
        <w:tc>
          <w:tcPr>
            <w:tcW w:w="1841"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一般配套</w:t>
            </w:r>
          </w:p>
        </w:tc>
      </w:tr>
      <w:tr w:rsidR="00E62AD6" w:rsidTr="00F23040">
        <w:trPr>
          <w:trHeight w:val="501"/>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宽深比</w:t>
            </w:r>
          </w:p>
        </w:tc>
        <w:tc>
          <w:tcPr>
            <w:tcW w:w="1992"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一般</w:t>
            </w:r>
          </w:p>
        </w:tc>
        <w:tc>
          <w:tcPr>
            <w:tcW w:w="1724"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一般</w:t>
            </w:r>
          </w:p>
        </w:tc>
        <w:tc>
          <w:tcPr>
            <w:tcW w:w="1858"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一般</w:t>
            </w:r>
          </w:p>
        </w:tc>
        <w:tc>
          <w:tcPr>
            <w:tcW w:w="1841"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一般</w:t>
            </w:r>
          </w:p>
        </w:tc>
      </w:tr>
      <w:tr w:rsidR="00E62AD6" w:rsidTr="00F23040">
        <w:trPr>
          <w:trHeight w:val="501"/>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面积（㎡）</w:t>
            </w:r>
          </w:p>
        </w:tc>
        <w:tc>
          <w:tcPr>
            <w:tcW w:w="1992" w:type="dxa"/>
            <w:vAlign w:val="center"/>
          </w:tcPr>
          <w:p w:rsidR="00E62AD6" w:rsidRDefault="00E62AD6">
            <w:pPr>
              <w:widowControl/>
              <w:jc w:val="center"/>
              <w:textAlignment w:val="center"/>
              <w:rPr>
                <w:rFonts w:ascii="宋体" w:cs="宋体"/>
                <w:color w:val="000000"/>
                <w:szCs w:val="21"/>
              </w:rPr>
            </w:pPr>
            <w:r>
              <w:rPr>
                <w:rFonts w:ascii="宋体" w:hAnsi="宋体" w:cs="宋体"/>
                <w:color w:val="000000"/>
                <w:kern w:val="0"/>
                <w:szCs w:val="21"/>
              </w:rPr>
              <w:t>45.37</w:t>
            </w:r>
          </w:p>
        </w:tc>
        <w:tc>
          <w:tcPr>
            <w:tcW w:w="1724" w:type="dxa"/>
            <w:vAlign w:val="center"/>
          </w:tcPr>
          <w:p w:rsidR="00E62AD6" w:rsidRDefault="00E62AD6">
            <w:pPr>
              <w:widowControl/>
              <w:jc w:val="center"/>
              <w:textAlignment w:val="center"/>
              <w:rPr>
                <w:rFonts w:ascii="宋体" w:cs="宋体"/>
                <w:color w:val="000000"/>
                <w:szCs w:val="21"/>
              </w:rPr>
            </w:pPr>
            <w:r>
              <w:rPr>
                <w:rFonts w:ascii="宋体" w:hAnsi="宋体" w:cs="宋体"/>
                <w:color w:val="000000"/>
                <w:kern w:val="0"/>
                <w:szCs w:val="21"/>
              </w:rPr>
              <w:t>20.13</w:t>
            </w:r>
          </w:p>
        </w:tc>
        <w:tc>
          <w:tcPr>
            <w:tcW w:w="1858" w:type="dxa"/>
            <w:vAlign w:val="center"/>
          </w:tcPr>
          <w:p w:rsidR="00E62AD6" w:rsidRDefault="00E62AD6">
            <w:pPr>
              <w:widowControl/>
              <w:jc w:val="center"/>
              <w:textAlignment w:val="center"/>
              <w:rPr>
                <w:rFonts w:ascii="宋体" w:cs="宋体"/>
                <w:color w:val="000000"/>
                <w:szCs w:val="21"/>
              </w:rPr>
            </w:pPr>
            <w:r>
              <w:rPr>
                <w:rFonts w:ascii="宋体" w:hAnsi="宋体" w:cs="宋体"/>
                <w:color w:val="000000"/>
                <w:kern w:val="0"/>
                <w:szCs w:val="21"/>
              </w:rPr>
              <w:t>34.46</w:t>
            </w:r>
          </w:p>
        </w:tc>
        <w:tc>
          <w:tcPr>
            <w:tcW w:w="1841" w:type="dxa"/>
            <w:vAlign w:val="center"/>
          </w:tcPr>
          <w:p w:rsidR="00E62AD6" w:rsidRDefault="00E62AD6">
            <w:pPr>
              <w:widowControl/>
              <w:jc w:val="center"/>
              <w:textAlignment w:val="center"/>
              <w:rPr>
                <w:rFonts w:ascii="宋体" w:cs="宋体"/>
                <w:color w:val="000000"/>
                <w:szCs w:val="21"/>
              </w:rPr>
            </w:pPr>
            <w:r>
              <w:rPr>
                <w:rFonts w:ascii="宋体" w:hAnsi="宋体" w:cs="宋体"/>
                <w:color w:val="000000"/>
                <w:kern w:val="0"/>
                <w:szCs w:val="21"/>
              </w:rPr>
              <w:t>22.03</w:t>
            </w:r>
          </w:p>
        </w:tc>
      </w:tr>
      <w:tr w:rsidR="00E62AD6" w:rsidTr="00F23040">
        <w:trPr>
          <w:trHeight w:val="467"/>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外</w:t>
            </w:r>
            <w:r>
              <w:rPr>
                <w:rFonts w:ascii="宋体" w:hAnsi="宋体" w:cs="宋体"/>
                <w:b/>
                <w:color w:val="000000"/>
                <w:kern w:val="0"/>
                <w:szCs w:val="21"/>
              </w:rPr>
              <w:t xml:space="preserve">    </w:t>
            </w:r>
            <w:r>
              <w:rPr>
                <w:rFonts w:ascii="宋体" w:hAnsi="宋体" w:cs="宋体" w:hint="eastAsia"/>
                <w:b/>
                <w:color w:val="000000"/>
                <w:kern w:val="0"/>
                <w:szCs w:val="21"/>
              </w:rPr>
              <w:t>观</w:t>
            </w:r>
          </w:p>
        </w:tc>
        <w:tc>
          <w:tcPr>
            <w:tcW w:w="1992"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普通</w:t>
            </w:r>
          </w:p>
        </w:tc>
        <w:tc>
          <w:tcPr>
            <w:tcW w:w="1724"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较好</w:t>
            </w:r>
          </w:p>
        </w:tc>
        <w:tc>
          <w:tcPr>
            <w:tcW w:w="1858"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普通</w:t>
            </w:r>
          </w:p>
        </w:tc>
        <w:tc>
          <w:tcPr>
            <w:tcW w:w="1841" w:type="dxa"/>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普通</w:t>
            </w:r>
          </w:p>
        </w:tc>
      </w:tr>
      <w:tr w:rsidR="00E62AD6" w:rsidTr="00F23040">
        <w:trPr>
          <w:trHeight w:val="543"/>
          <w:jc w:val="center"/>
        </w:trPr>
        <w:tc>
          <w:tcPr>
            <w:tcW w:w="2038" w:type="dxa"/>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建成时间</w:t>
            </w:r>
          </w:p>
        </w:tc>
        <w:tc>
          <w:tcPr>
            <w:tcW w:w="1992"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约</w:t>
            </w:r>
            <w:r>
              <w:rPr>
                <w:rFonts w:ascii="宋体" w:hAnsi="宋体" w:cs="宋体"/>
                <w:color w:val="000000"/>
                <w:kern w:val="0"/>
                <w:szCs w:val="21"/>
              </w:rPr>
              <w:t>24</w:t>
            </w:r>
            <w:r>
              <w:rPr>
                <w:rFonts w:ascii="宋体" w:hAnsi="宋体" w:cs="宋体" w:hint="eastAsia"/>
                <w:color w:val="000000"/>
                <w:kern w:val="0"/>
                <w:szCs w:val="21"/>
              </w:rPr>
              <w:t>年</w:t>
            </w:r>
          </w:p>
        </w:tc>
        <w:tc>
          <w:tcPr>
            <w:tcW w:w="1724"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约</w:t>
            </w:r>
            <w:r>
              <w:rPr>
                <w:rFonts w:ascii="宋体" w:hAnsi="宋体" w:cs="宋体"/>
                <w:color w:val="000000"/>
                <w:kern w:val="0"/>
                <w:szCs w:val="21"/>
              </w:rPr>
              <w:t>22</w:t>
            </w:r>
            <w:r>
              <w:rPr>
                <w:rFonts w:ascii="宋体" w:hAnsi="宋体" w:cs="宋体" w:hint="eastAsia"/>
                <w:color w:val="000000"/>
                <w:kern w:val="0"/>
                <w:szCs w:val="21"/>
              </w:rPr>
              <w:t>年</w:t>
            </w:r>
          </w:p>
        </w:tc>
        <w:tc>
          <w:tcPr>
            <w:tcW w:w="1858"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约</w:t>
            </w:r>
            <w:r>
              <w:rPr>
                <w:rFonts w:ascii="宋体" w:hAnsi="宋体" w:cs="宋体"/>
                <w:color w:val="000000"/>
                <w:kern w:val="0"/>
                <w:szCs w:val="21"/>
              </w:rPr>
              <w:t>24</w:t>
            </w:r>
            <w:r>
              <w:rPr>
                <w:rFonts w:ascii="宋体" w:hAnsi="宋体" w:cs="宋体" w:hint="eastAsia"/>
                <w:color w:val="000000"/>
                <w:kern w:val="0"/>
                <w:szCs w:val="21"/>
              </w:rPr>
              <w:t>年</w:t>
            </w:r>
          </w:p>
        </w:tc>
        <w:tc>
          <w:tcPr>
            <w:tcW w:w="1841" w:type="dxa"/>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约</w:t>
            </w:r>
            <w:r>
              <w:rPr>
                <w:rFonts w:ascii="宋体" w:hAnsi="宋体" w:cs="宋体"/>
                <w:color w:val="000000"/>
                <w:kern w:val="0"/>
                <w:szCs w:val="21"/>
              </w:rPr>
              <w:t>24</w:t>
            </w:r>
            <w:r>
              <w:rPr>
                <w:rFonts w:ascii="宋体" w:hAnsi="宋体" w:cs="宋体" w:hint="eastAsia"/>
                <w:color w:val="000000"/>
                <w:kern w:val="0"/>
                <w:szCs w:val="21"/>
              </w:rPr>
              <w:t>年</w:t>
            </w:r>
          </w:p>
        </w:tc>
      </w:tr>
      <w:tr w:rsidR="00E62AD6" w:rsidTr="00F23040">
        <w:trPr>
          <w:trHeight w:val="559"/>
          <w:jc w:val="center"/>
        </w:trPr>
        <w:tc>
          <w:tcPr>
            <w:tcW w:w="2038" w:type="dxa"/>
            <w:tcBorders>
              <w:bottom w:val="single" w:sz="18"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用</w:t>
            </w:r>
            <w:r>
              <w:rPr>
                <w:rFonts w:ascii="宋体" w:hAnsi="宋体" w:cs="宋体"/>
                <w:b/>
                <w:color w:val="000000"/>
                <w:kern w:val="0"/>
                <w:szCs w:val="21"/>
              </w:rPr>
              <w:t xml:space="preserve">    </w:t>
            </w:r>
            <w:r>
              <w:rPr>
                <w:rFonts w:ascii="宋体" w:hAnsi="宋体" w:cs="宋体" w:hint="eastAsia"/>
                <w:b/>
                <w:color w:val="000000"/>
                <w:kern w:val="0"/>
                <w:szCs w:val="21"/>
              </w:rPr>
              <w:t>途</w:t>
            </w:r>
          </w:p>
        </w:tc>
        <w:tc>
          <w:tcPr>
            <w:tcW w:w="1992" w:type="dxa"/>
            <w:tcBorders>
              <w:bottom w:val="single" w:sz="18" w:space="0" w:color="auto"/>
            </w:tcBorders>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车库</w:t>
            </w:r>
          </w:p>
        </w:tc>
        <w:tc>
          <w:tcPr>
            <w:tcW w:w="1724" w:type="dxa"/>
            <w:tcBorders>
              <w:bottom w:val="single" w:sz="18" w:space="0" w:color="auto"/>
            </w:tcBorders>
            <w:vAlign w:val="center"/>
          </w:tcPr>
          <w:p w:rsidR="00E62AD6" w:rsidRDefault="00E62AD6">
            <w:pPr>
              <w:widowControl/>
              <w:jc w:val="center"/>
              <w:textAlignment w:val="center"/>
              <w:rPr>
                <w:rFonts w:ascii="宋体" w:cs="宋体"/>
                <w:szCs w:val="21"/>
              </w:rPr>
            </w:pPr>
            <w:r>
              <w:rPr>
                <w:rFonts w:ascii="宋体" w:hAnsi="宋体" w:cs="宋体" w:hint="eastAsia"/>
                <w:color w:val="000000"/>
                <w:kern w:val="0"/>
                <w:szCs w:val="21"/>
              </w:rPr>
              <w:t>车库</w:t>
            </w:r>
          </w:p>
        </w:tc>
        <w:tc>
          <w:tcPr>
            <w:tcW w:w="1858" w:type="dxa"/>
            <w:tcBorders>
              <w:bottom w:val="single" w:sz="18" w:space="0" w:color="auto"/>
            </w:tcBorders>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车库</w:t>
            </w:r>
          </w:p>
        </w:tc>
        <w:tc>
          <w:tcPr>
            <w:tcW w:w="1841" w:type="dxa"/>
            <w:tcBorders>
              <w:bottom w:val="single" w:sz="18" w:space="0" w:color="auto"/>
            </w:tcBorders>
            <w:vAlign w:val="center"/>
          </w:tcPr>
          <w:p w:rsidR="00E62AD6" w:rsidRDefault="00E62AD6">
            <w:pPr>
              <w:widowControl/>
              <w:jc w:val="center"/>
              <w:textAlignment w:val="center"/>
              <w:rPr>
                <w:rFonts w:ascii="宋体" w:cs="宋体"/>
                <w:color w:val="000000"/>
                <w:szCs w:val="21"/>
              </w:rPr>
            </w:pPr>
            <w:r>
              <w:rPr>
                <w:rFonts w:ascii="宋体" w:hAnsi="宋体" w:cs="宋体" w:hint="eastAsia"/>
                <w:color w:val="000000"/>
                <w:kern w:val="0"/>
                <w:szCs w:val="21"/>
              </w:rPr>
              <w:t>其他（车库）</w:t>
            </w:r>
          </w:p>
        </w:tc>
      </w:tr>
    </w:tbl>
    <w:p w:rsidR="00E62AD6" w:rsidRDefault="00E62AD6" w:rsidP="00E62AD6">
      <w:pPr>
        <w:spacing w:line="660" w:lineRule="exact"/>
        <w:ind w:firstLineChars="200" w:firstLine="31680"/>
        <w:rPr>
          <w:rFonts w:ascii="宋体"/>
          <w:sz w:val="24"/>
        </w:rPr>
      </w:pPr>
      <w:r>
        <w:rPr>
          <w:rFonts w:ascii="宋体" w:hAnsi="宋体"/>
          <w:sz w:val="24"/>
        </w:rPr>
        <w:t>3</w:t>
      </w:r>
      <w:r>
        <w:rPr>
          <w:rFonts w:ascii="宋体" w:hAnsi="宋体" w:hint="eastAsia"/>
          <w:sz w:val="24"/>
        </w:rPr>
        <w:t>、因素分析修正</w:t>
      </w:r>
    </w:p>
    <w:p w:rsidR="00E62AD6" w:rsidRDefault="00E62AD6" w:rsidP="00F23040">
      <w:pPr>
        <w:spacing w:line="660" w:lineRule="exact"/>
        <w:ind w:firstLineChars="200" w:firstLine="31680"/>
        <w:rPr>
          <w:rFonts w:ascii="宋体"/>
          <w:sz w:val="24"/>
        </w:rPr>
      </w:pPr>
      <w:r>
        <w:rPr>
          <w:rFonts w:ascii="宋体" w:hAnsi="宋体"/>
          <w:sz w:val="24"/>
        </w:rPr>
        <w:t>a</w:t>
      </w:r>
      <w:r>
        <w:rPr>
          <w:rFonts w:ascii="宋体" w:hAnsi="宋体" w:hint="eastAsia"/>
          <w:sz w:val="24"/>
        </w:rPr>
        <w:t>、交易情况修正：实例</w:t>
      </w:r>
      <w:r>
        <w:rPr>
          <w:rFonts w:ascii="宋体" w:hAnsi="宋体"/>
          <w:sz w:val="24"/>
        </w:rPr>
        <w:t>A</w:t>
      </w:r>
      <w:r>
        <w:rPr>
          <w:rFonts w:ascii="宋体" w:hAnsi="宋体" w:hint="eastAsia"/>
          <w:sz w:val="24"/>
        </w:rPr>
        <w:t>、</w:t>
      </w:r>
      <w:r>
        <w:rPr>
          <w:rFonts w:ascii="宋体" w:hAnsi="宋体"/>
          <w:sz w:val="24"/>
        </w:rPr>
        <w:t>B</w:t>
      </w:r>
      <w:r>
        <w:rPr>
          <w:rFonts w:ascii="宋体" w:hAnsi="宋体" w:hint="eastAsia"/>
          <w:sz w:val="24"/>
        </w:rPr>
        <w:t>、</w:t>
      </w:r>
      <w:r>
        <w:rPr>
          <w:rFonts w:ascii="宋体" w:hAnsi="宋体"/>
          <w:sz w:val="24"/>
        </w:rPr>
        <w:t>C</w:t>
      </w:r>
      <w:r>
        <w:rPr>
          <w:rFonts w:ascii="宋体" w:hAnsi="宋体" w:hint="eastAsia"/>
          <w:sz w:val="24"/>
        </w:rPr>
        <w:t>均为公开市场交易，交易情况正常，修正系数均为</w:t>
      </w:r>
      <w:r>
        <w:rPr>
          <w:rFonts w:ascii="宋体" w:hAnsi="宋体"/>
          <w:sz w:val="24"/>
        </w:rPr>
        <w:t>100/100</w:t>
      </w:r>
      <w:r>
        <w:rPr>
          <w:rFonts w:ascii="宋体" w:hAnsi="宋体" w:hint="eastAsia"/>
          <w:sz w:val="24"/>
        </w:rPr>
        <w:t>。</w:t>
      </w:r>
    </w:p>
    <w:p w:rsidR="00E62AD6" w:rsidRDefault="00E62AD6" w:rsidP="00F23040">
      <w:pPr>
        <w:spacing w:line="660" w:lineRule="exact"/>
        <w:ind w:firstLineChars="200" w:firstLine="31680"/>
        <w:rPr>
          <w:rFonts w:ascii="宋体"/>
          <w:sz w:val="24"/>
        </w:rPr>
      </w:pPr>
      <w:r>
        <w:rPr>
          <w:rFonts w:ascii="宋体" w:hAnsi="宋体"/>
          <w:sz w:val="24"/>
        </w:rPr>
        <w:t>b</w:t>
      </w:r>
      <w:r>
        <w:rPr>
          <w:rFonts w:ascii="宋体" w:hAnsi="宋体" w:hint="eastAsia"/>
          <w:sz w:val="24"/>
        </w:rPr>
        <w:t>、市场状况修正：实例</w:t>
      </w:r>
      <w:r>
        <w:rPr>
          <w:rFonts w:ascii="宋体" w:hAnsi="宋体"/>
          <w:sz w:val="24"/>
        </w:rPr>
        <w:t>A</w:t>
      </w:r>
      <w:r>
        <w:rPr>
          <w:rFonts w:ascii="宋体" w:hAnsi="宋体" w:hint="eastAsia"/>
          <w:sz w:val="24"/>
        </w:rPr>
        <w:t>、</w:t>
      </w:r>
      <w:r>
        <w:rPr>
          <w:rFonts w:ascii="宋体" w:hAnsi="宋体"/>
          <w:sz w:val="24"/>
        </w:rPr>
        <w:t>B</w:t>
      </w:r>
      <w:r>
        <w:rPr>
          <w:rFonts w:ascii="宋体" w:hAnsi="宋体" w:hint="eastAsia"/>
          <w:sz w:val="24"/>
        </w:rPr>
        <w:t>、</w:t>
      </w:r>
      <w:r>
        <w:rPr>
          <w:rFonts w:ascii="宋体" w:hAnsi="宋体"/>
          <w:sz w:val="24"/>
        </w:rPr>
        <w:t>C</w:t>
      </w:r>
      <w:r>
        <w:rPr>
          <w:rFonts w:ascii="宋体" w:hAnsi="宋体" w:hint="eastAsia"/>
          <w:sz w:val="24"/>
        </w:rPr>
        <w:t>均为近期交易，因房地产市场价格稳定，修正系数均为</w:t>
      </w:r>
      <w:r>
        <w:rPr>
          <w:rFonts w:ascii="宋体" w:hAnsi="宋体"/>
          <w:sz w:val="24"/>
        </w:rPr>
        <w:t>100/100</w:t>
      </w:r>
      <w:r>
        <w:rPr>
          <w:rFonts w:ascii="宋体" w:hAnsi="宋体" w:hint="eastAsia"/>
          <w:sz w:val="24"/>
        </w:rPr>
        <w:t>。</w:t>
      </w:r>
    </w:p>
    <w:p w:rsidR="00E62AD6" w:rsidRDefault="00E62AD6" w:rsidP="00F23040">
      <w:pPr>
        <w:spacing w:line="660" w:lineRule="exact"/>
        <w:ind w:firstLineChars="200" w:firstLine="31680"/>
        <w:rPr>
          <w:rFonts w:ascii="宋体"/>
          <w:sz w:val="24"/>
        </w:rPr>
      </w:pPr>
      <w:r>
        <w:rPr>
          <w:rFonts w:ascii="宋体" w:hAnsi="宋体"/>
          <w:sz w:val="24"/>
        </w:rPr>
        <w:t>c</w:t>
      </w:r>
      <w:r>
        <w:rPr>
          <w:rFonts w:ascii="宋体" w:hAnsi="宋体" w:hint="eastAsia"/>
          <w:sz w:val="24"/>
        </w:rPr>
        <w:t>、区位状况修正：将影响房地价格的区域因素分解为七项，以估价对象状况指数为</w:t>
      </w:r>
      <w:r>
        <w:rPr>
          <w:rFonts w:ascii="宋体" w:hAnsi="宋体"/>
          <w:sz w:val="24"/>
        </w:rPr>
        <w:t>100</w:t>
      </w:r>
      <w:r>
        <w:rPr>
          <w:rFonts w:ascii="宋体" w:hAnsi="宋体" w:hint="eastAsia"/>
          <w:sz w:val="24"/>
        </w:rPr>
        <w:t>，通过进行逐项比较并打分，得出下表的区位状况修正系数。</w:t>
      </w:r>
    </w:p>
    <w:p w:rsidR="00E62AD6" w:rsidRDefault="00E62AD6" w:rsidP="00F23040">
      <w:pPr>
        <w:spacing w:line="500" w:lineRule="exact"/>
        <w:ind w:firstLineChars="200" w:firstLine="31680"/>
        <w:rPr>
          <w:rFonts w:ascii="宋体"/>
          <w:sz w:val="24"/>
        </w:rPr>
      </w:pPr>
    </w:p>
    <w:tbl>
      <w:tblPr>
        <w:tblW w:w="8280" w:type="dxa"/>
        <w:jc w:val="center"/>
        <w:tblLayout w:type="fixed"/>
        <w:tblLook w:val="00A0"/>
      </w:tblPr>
      <w:tblGrid>
        <w:gridCol w:w="1905"/>
        <w:gridCol w:w="1500"/>
        <w:gridCol w:w="1623"/>
        <w:gridCol w:w="1678"/>
        <w:gridCol w:w="1574"/>
      </w:tblGrid>
      <w:tr w:rsidR="00E62AD6" w:rsidTr="00F23040">
        <w:trPr>
          <w:trHeight w:val="538"/>
          <w:jc w:val="center"/>
        </w:trPr>
        <w:tc>
          <w:tcPr>
            <w:tcW w:w="1905" w:type="dxa"/>
            <w:tcBorders>
              <w:top w:val="single" w:sz="12" w:space="0" w:color="auto"/>
              <w:left w:val="single" w:sz="12" w:space="0" w:color="auto"/>
              <w:bottom w:val="single" w:sz="4" w:space="0" w:color="auto"/>
              <w:right w:val="single" w:sz="4"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bCs/>
                <w:color w:val="000000"/>
                <w:kern w:val="0"/>
                <w:szCs w:val="21"/>
              </w:rPr>
              <w:t>修正项目</w:t>
            </w:r>
          </w:p>
        </w:tc>
        <w:tc>
          <w:tcPr>
            <w:tcW w:w="1500" w:type="dxa"/>
            <w:tcBorders>
              <w:top w:val="single" w:sz="12"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bCs/>
                <w:color w:val="000000"/>
                <w:kern w:val="0"/>
                <w:szCs w:val="21"/>
              </w:rPr>
              <w:t>实例</w:t>
            </w:r>
            <w:r>
              <w:rPr>
                <w:rFonts w:ascii="宋体" w:hAnsi="宋体" w:cs="宋体"/>
                <w:b/>
                <w:bCs/>
                <w:color w:val="000000"/>
                <w:kern w:val="0"/>
                <w:szCs w:val="21"/>
              </w:rPr>
              <w:t>A</w:t>
            </w:r>
          </w:p>
        </w:tc>
        <w:tc>
          <w:tcPr>
            <w:tcW w:w="1623" w:type="dxa"/>
            <w:tcBorders>
              <w:top w:val="single" w:sz="12"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bCs/>
                <w:color w:val="000000"/>
                <w:kern w:val="0"/>
                <w:szCs w:val="21"/>
              </w:rPr>
              <w:t>实例</w:t>
            </w:r>
            <w:r>
              <w:rPr>
                <w:rFonts w:ascii="宋体" w:hAnsi="宋体" w:cs="宋体"/>
                <w:b/>
                <w:bCs/>
                <w:color w:val="000000"/>
                <w:kern w:val="0"/>
                <w:szCs w:val="21"/>
              </w:rPr>
              <w:t>B</w:t>
            </w:r>
          </w:p>
        </w:tc>
        <w:tc>
          <w:tcPr>
            <w:tcW w:w="1678" w:type="dxa"/>
            <w:tcBorders>
              <w:top w:val="single" w:sz="12"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bCs/>
                <w:color w:val="000000"/>
                <w:kern w:val="0"/>
                <w:szCs w:val="21"/>
              </w:rPr>
              <w:t>实例</w:t>
            </w:r>
            <w:r>
              <w:rPr>
                <w:rFonts w:ascii="宋体" w:hAnsi="宋体" w:cs="宋体"/>
                <w:b/>
                <w:bCs/>
                <w:color w:val="000000"/>
                <w:kern w:val="0"/>
                <w:szCs w:val="21"/>
              </w:rPr>
              <w:t>C</w:t>
            </w:r>
          </w:p>
        </w:tc>
        <w:tc>
          <w:tcPr>
            <w:tcW w:w="1574" w:type="dxa"/>
            <w:tcBorders>
              <w:top w:val="single" w:sz="12" w:space="0" w:color="auto"/>
              <w:left w:val="nil"/>
              <w:bottom w:val="single" w:sz="4" w:space="0" w:color="auto"/>
              <w:right w:val="single" w:sz="12"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bCs/>
                <w:color w:val="000000"/>
                <w:kern w:val="0"/>
                <w:szCs w:val="21"/>
              </w:rPr>
              <w:t>估价对象</w:t>
            </w:r>
          </w:p>
        </w:tc>
      </w:tr>
      <w:tr w:rsidR="00E62AD6" w:rsidTr="00F23040">
        <w:trPr>
          <w:trHeight w:val="496"/>
          <w:jc w:val="center"/>
        </w:trPr>
        <w:tc>
          <w:tcPr>
            <w:tcW w:w="1905" w:type="dxa"/>
            <w:tcBorders>
              <w:top w:val="single" w:sz="4" w:space="0" w:color="auto"/>
              <w:left w:val="single" w:sz="12" w:space="0" w:color="auto"/>
              <w:bottom w:val="single" w:sz="4" w:space="0" w:color="auto"/>
              <w:right w:val="single" w:sz="4"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地理位置</w:t>
            </w:r>
          </w:p>
        </w:tc>
        <w:tc>
          <w:tcPr>
            <w:tcW w:w="1500"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623"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678"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574" w:type="dxa"/>
            <w:tcBorders>
              <w:top w:val="single" w:sz="4" w:space="0" w:color="auto"/>
              <w:left w:val="nil"/>
              <w:bottom w:val="single" w:sz="4" w:space="0" w:color="auto"/>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r>
      <w:tr w:rsidR="00E62AD6">
        <w:trPr>
          <w:trHeight w:val="496"/>
          <w:jc w:val="center"/>
        </w:trPr>
        <w:tc>
          <w:tcPr>
            <w:tcW w:w="1905" w:type="dxa"/>
            <w:tcBorders>
              <w:top w:val="nil"/>
              <w:left w:val="single" w:sz="12" w:space="0" w:color="auto"/>
              <w:bottom w:val="single" w:sz="4" w:space="0" w:color="auto"/>
              <w:right w:val="single" w:sz="4"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繁华程度</w:t>
            </w:r>
          </w:p>
        </w:tc>
        <w:tc>
          <w:tcPr>
            <w:tcW w:w="1500" w:type="dxa"/>
            <w:tcBorders>
              <w:top w:val="nil"/>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20</w:t>
            </w:r>
          </w:p>
        </w:tc>
        <w:tc>
          <w:tcPr>
            <w:tcW w:w="1623" w:type="dxa"/>
            <w:tcBorders>
              <w:top w:val="nil"/>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20</w:t>
            </w:r>
          </w:p>
        </w:tc>
        <w:tc>
          <w:tcPr>
            <w:tcW w:w="1678" w:type="dxa"/>
            <w:tcBorders>
              <w:top w:val="nil"/>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20</w:t>
            </w:r>
          </w:p>
        </w:tc>
        <w:tc>
          <w:tcPr>
            <w:tcW w:w="1574" w:type="dxa"/>
            <w:tcBorders>
              <w:top w:val="nil"/>
              <w:left w:val="nil"/>
              <w:bottom w:val="single" w:sz="4" w:space="0" w:color="auto"/>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20</w:t>
            </w:r>
          </w:p>
        </w:tc>
      </w:tr>
      <w:tr w:rsidR="00E62AD6">
        <w:trPr>
          <w:trHeight w:val="496"/>
          <w:jc w:val="center"/>
        </w:trPr>
        <w:tc>
          <w:tcPr>
            <w:tcW w:w="1905" w:type="dxa"/>
            <w:tcBorders>
              <w:top w:val="single" w:sz="4" w:space="0" w:color="auto"/>
              <w:left w:val="single" w:sz="12" w:space="0" w:color="auto"/>
              <w:bottom w:val="single" w:sz="4" w:space="0" w:color="auto"/>
              <w:right w:val="single" w:sz="4"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交通条件</w:t>
            </w:r>
          </w:p>
        </w:tc>
        <w:tc>
          <w:tcPr>
            <w:tcW w:w="1500"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20</w:t>
            </w:r>
          </w:p>
        </w:tc>
        <w:tc>
          <w:tcPr>
            <w:tcW w:w="1623"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20</w:t>
            </w:r>
          </w:p>
        </w:tc>
        <w:tc>
          <w:tcPr>
            <w:tcW w:w="1678"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20</w:t>
            </w:r>
          </w:p>
        </w:tc>
        <w:tc>
          <w:tcPr>
            <w:tcW w:w="1574" w:type="dxa"/>
            <w:tcBorders>
              <w:top w:val="single" w:sz="4" w:space="0" w:color="auto"/>
              <w:left w:val="nil"/>
              <w:bottom w:val="single" w:sz="4" w:space="0" w:color="auto"/>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20</w:t>
            </w:r>
          </w:p>
        </w:tc>
      </w:tr>
      <w:tr w:rsidR="00E62AD6">
        <w:trPr>
          <w:trHeight w:val="496"/>
          <w:jc w:val="center"/>
        </w:trPr>
        <w:tc>
          <w:tcPr>
            <w:tcW w:w="1905" w:type="dxa"/>
            <w:tcBorders>
              <w:top w:val="single" w:sz="4" w:space="0" w:color="auto"/>
              <w:left w:val="single" w:sz="12" w:space="0" w:color="auto"/>
              <w:bottom w:val="single" w:sz="4" w:space="0" w:color="auto"/>
              <w:right w:val="single" w:sz="4"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环境质量</w:t>
            </w:r>
          </w:p>
        </w:tc>
        <w:tc>
          <w:tcPr>
            <w:tcW w:w="1500"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15</w:t>
            </w:r>
          </w:p>
        </w:tc>
        <w:tc>
          <w:tcPr>
            <w:tcW w:w="1623"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15</w:t>
            </w:r>
          </w:p>
        </w:tc>
        <w:tc>
          <w:tcPr>
            <w:tcW w:w="1678"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15</w:t>
            </w:r>
          </w:p>
        </w:tc>
        <w:tc>
          <w:tcPr>
            <w:tcW w:w="1574" w:type="dxa"/>
            <w:tcBorders>
              <w:top w:val="single" w:sz="4" w:space="0" w:color="auto"/>
              <w:left w:val="nil"/>
              <w:bottom w:val="single" w:sz="4" w:space="0" w:color="auto"/>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15</w:t>
            </w:r>
          </w:p>
        </w:tc>
      </w:tr>
      <w:tr w:rsidR="00E62AD6">
        <w:trPr>
          <w:trHeight w:val="496"/>
          <w:jc w:val="center"/>
        </w:trPr>
        <w:tc>
          <w:tcPr>
            <w:tcW w:w="1905" w:type="dxa"/>
            <w:tcBorders>
              <w:top w:val="single" w:sz="4" w:space="0" w:color="auto"/>
              <w:left w:val="single" w:sz="12" w:space="0" w:color="auto"/>
              <w:bottom w:val="single" w:sz="4" w:space="0" w:color="auto"/>
              <w:right w:val="single" w:sz="4"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景</w:t>
            </w:r>
            <w:r>
              <w:rPr>
                <w:rFonts w:ascii="宋体" w:hAnsi="宋体" w:cs="宋体"/>
                <w:b/>
                <w:color w:val="000000"/>
                <w:kern w:val="0"/>
                <w:szCs w:val="21"/>
              </w:rPr>
              <w:t xml:space="preserve">  </w:t>
            </w:r>
            <w:r>
              <w:rPr>
                <w:rFonts w:ascii="宋体" w:hAnsi="宋体" w:cs="宋体" w:hint="eastAsia"/>
                <w:b/>
                <w:color w:val="000000"/>
                <w:kern w:val="0"/>
                <w:szCs w:val="21"/>
              </w:rPr>
              <w:t>观</w:t>
            </w:r>
          </w:p>
        </w:tc>
        <w:tc>
          <w:tcPr>
            <w:tcW w:w="1500"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623"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678"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574" w:type="dxa"/>
            <w:tcBorders>
              <w:top w:val="single" w:sz="4" w:space="0" w:color="auto"/>
              <w:left w:val="nil"/>
              <w:bottom w:val="single" w:sz="4" w:space="0" w:color="auto"/>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r>
      <w:tr w:rsidR="00E62AD6">
        <w:trPr>
          <w:trHeight w:val="496"/>
          <w:jc w:val="center"/>
        </w:trPr>
        <w:tc>
          <w:tcPr>
            <w:tcW w:w="1905" w:type="dxa"/>
            <w:tcBorders>
              <w:top w:val="single" w:sz="4" w:space="0" w:color="auto"/>
              <w:left w:val="single" w:sz="12" w:space="0" w:color="auto"/>
              <w:bottom w:val="single" w:sz="4" w:space="0" w:color="auto"/>
              <w:right w:val="single" w:sz="4"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公共设施配套</w:t>
            </w:r>
          </w:p>
        </w:tc>
        <w:tc>
          <w:tcPr>
            <w:tcW w:w="1500"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15</w:t>
            </w:r>
          </w:p>
        </w:tc>
        <w:tc>
          <w:tcPr>
            <w:tcW w:w="1623"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15</w:t>
            </w:r>
          </w:p>
        </w:tc>
        <w:tc>
          <w:tcPr>
            <w:tcW w:w="1678"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15</w:t>
            </w:r>
          </w:p>
        </w:tc>
        <w:tc>
          <w:tcPr>
            <w:tcW w:w="1574" w:type="dxa"/>
            <w:tcBorders>
              <w:top w:val="single" w:sz="4" w:space="0" w:color="auto"/>
              <w:left w:val="nil"/>
              <w:bottom w:val="single" w:sz="4" w:space="0" w:color="auto"/>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15</w:t>
            </w:r>
          </w:p>
        </w:tc>
      </w:tr>
      <w:tr w:rsidR="00E62AD6">
        <w:trPr>
          <w:trHeight w:val="496"/>
          <w:jc w:val="center"/>
        </w:trPr>
        <w:tc>
          <w:tcPr>
            <w:tcW w:w="1905" w:type="dxa"/>
            <w:tcBorders>
              <w:top w:val="single" w:sz="4" w:space="0" w:color="auto"/>
              <w:left w:val="single" w:sz="12" w:space="0" w:color="auto"/>
              <w:bottom w:val="single" w:sz="4" w:space="0" w:color="auto"/>
              <w:right w:val="single" w:sz="4"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城市规划条件</w:t>
            </w:r>
          </w:p>
        </w:tc>
        <w:tc>
          <w:tcPr>
            <w:tcW w:w="1500"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623"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678" w:type="dxa"/>
            <w:tcBorders>
              <w:top w:val="single" w:sz="4" w:space="0" w:color="auto"/>
              <w:left w:val="nil"/>
              <w:bottom w:val="single" w:sz="4"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574" w:type="dxa"/>
            <w:tcBorders>
              <w:top w:val="single" w:sz="4" w:space="0" w:color="auto"/>
              <w:left w:val="nil"/>
              <w:bottom w:val="single" w:sz="4" w:space="0" w:color="auto"/>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r>
      <w:tr w:rsidR="00E62AD6">
        <w:trPr>
          <w:trHeight w:val="559"/>
          <w:jc w:val="center"/>
        </w:trPr>
        <w:tc>
          <w:tcPr>
            <w:tcW w:w="1905" w:type="dxa"/>
            <w:tcBorders>
              <w:top w:val="single" w:sz="4" w:space="0" w:color="auto"/>
              <w:left w:val="single" w:sz="12" w:space="0" w:color="auto"/>
              <w:bottom w:val="single" w:sz="12" w:space="0" w:color="auto"/>
              <w:right w:val="single" w:sz="4"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修正系数</w:t>
            </w:r>
          </w:p>
        </w:tc>
        <w:tc>
          <w:tcPr>
            <w:tcW w:w="1500" w:type="dxa"/>
            <w:tcBorders>
              <w:top w:val="single" w:sz="4" w:space="0" w:color="auto"/>
              <w:left w:val="nil"/>
              <w:bottom w:val="single" w:sz="12"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100</w:t>
            </w:r>
          </w:p>
        </w:tc>
        <w:tc>
          <w:tcPr>
            <w:tcW w:w="1623" w:type="dxa"/>
            <w:tcBorders>
              <w:top w:val="single" w:sz="4" w:space="0" w:color="auto"/>
              <w:left w:val="nil"/>
              <w:bottom w:val="single" w:sz="12"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100</w:t>
            </w:r>
          </w:p>
        </w:tc>
        <w:tc>
          <w:tcPr>
            <w:tcW w:w="1678" w:type="dxa"/>
            <w:tcBorders>
              <w:top w:val="single" w:sz="4" w:space="0" w:color="auto"/>
              <w:left w:val="nil"/>
              <w:bottom w:val="single" w:sz="12" w:space="0" w:color="auto"/>
              <w:right w:val="single" w:sz="4"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100</w:t>
            </w:r>
          </w:p>
        </w:tc>
        <w:tc>
          <w:tcPr>
            <w:tcW w:w="1574" w:type="dxa"/>
            <w:tcBorders>
              <w:top w:val="single" w:sz="4" w:space="0" w:color="auto"/>
              <w:left w:val="nil"/>
              <w:bottom w:val="single" w:sz="12" w:space="0" w:color="auto"/>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100</w:t>
            </w:r>
          </w:p>
        </w:tc>
      </w:tr>
    </w:tbl>
    <w:p w:rsidR="00E62AD6" w:rsidRDefault="00E62AD6" w:rsidP="00E62AD6">
      <w:pPr>
        <w:spacing w:line="660" w:lineRule="exact"/>
        <w:ind w:firstLineChars="200" w:firstLine="31680"/>
        <w:rPr>
          <w:rFonts w:ascii="宋体"/>
          <w:sz w:val="24"/>
        </w:rPr>
      </w:pPr>
      <w:r>
        <w:rPr>
          <w:rFonts w:ascii="宋体" w:hAnsi="宋体"/>
          <w:sz w:val="24"/>
        </w:rPr>
        <w:t>d</w:t>
      </w:r>
      <w:r>
        <w:rPr>
          <w:rFonts w:ascii="宋体" w:hAnsi="宋体" w:hint="eastAsia"/>
          <w:sz w:val="24"/>
        </w:rPr>
        <w:t>、实物状况修正：将影响房地产价格的个别因素分解为十项，以估价对象状况指数为</w:t>
      </w:r>
      <w:r>
        <w:rPr>
          <w:rFonts w:ascii="宋体" w:hAnsi="宋体"/>
          <w:sz w:val="24"/>
        </w:rPr>
        <w:t>100</w:t>
      </w:r>
      <w:r>
        <w:rPr>
          <w:rFonts w:ascii="宋体" w:hAnsi="宋体" w:hint="eastAsia"/>
          <w:sz w:val="24"/>
        </w:rPr>
        <w:t>，通过逐项比较并打分，得出下列的修正系数。</w:t>
      </w:r>
    </w:p>
    <w:p w:rsidR="00E62AD6" w:rsidRDefault="00E62AD6">
      <w:pPr>
        <w:spacing w:line="360" w:lineRule="exact"/>
        <w:rPr>
          <w:rFonts w:ascii="宋体"/>
          <w:sz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1"/>
        <w:gridCol w:w="1544"/>
        <w:gridCol w:w="1495"/>
        <w:gridCol w:w="1662"/>
        <w:gridCol w:w="1548"/>
      </w:tblGrid>
      <w:tr w:rsidR="00E62AD6">
        <w:trPr>
          <w:trHeight w:val="591"/>
          <w:jc w:val="center"/>
        </w:trPr>
        <w:tc>
          <w:tcPr>
            <w:tcW w:w="1971" w:type="dxa"/>
            <w:tcBorders>
              <w:top w:val="single" w:sz="12" w:space="0" w:color="auto"/>
              <w:left w:val="single" w:sz="12"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bCs/>
                <w:color w:val="000000"/>
                <w:kern w:val="0"/>
                <w:szCs w:val="21"/>
              </w:rPr>
              <w:t>项</w:t>
            </w:r>
            <w:r>
              <w:rPr>
                <w:rFonts w:ascii="宋体" w:hAnsi="宋体" w:cs="宋体"/>
                <w:b/>
                <w:bCs/>
                <w:color w:val="000000"/>
                <w:kern w:val="0"/>
                <w:szCs w:val="21"/>
              </w:rPr>
              <w:t xml:space="preserve">  </w:t>
            </w:r>
            <w:r>
              <w:rPr>
                <w:rFonts w:ascii="宋体" w:hAnsi="宋体" w:cs="宋体" w:hint="eastAsia"/>
                <w:b/>
                <w:bCs/>
                <w:color w:val="000000"/>
                <w:kern w:val="0"/>
                <w:szCs w:val="21"/>
              </w:rPr>
              <w:t>目</w:t>
            </w:r>
          </w:p>
        </w:tc>
        <w:tc>
          <w:tcPr>
            <w:tcW w:w="1544" w:type="dxa"/>
            <w:tcBorders>
              <w:top w:val="single" w:sz="12" w:space="0" w:color="auto"/>
            </w:tcBorders>
            <w:vAlign w:val="center"/>
          </w:tcPr>
          <w:p w:rsidR="00E62AD6" w:rsidRDefault="00E62AD6">
            <w:pPr>
              <w:widowControl/>
              <w:jc w:val="center"/>
              <w:textAlignment w:val="bottom"/>
              <w:rPr>
                <w:rFonts w:ascii="宋体" w:cs="宋体"/>
                <w:b/>
                <w:bCs/>
                <w:szCs w:val="21"/>
              </w:rPr>
            </w:pPr>
            <w:r>
              <w:rPr>
                <w:rFonts w:ascii="宋体" w:hAnsi="宋体" w:cs="宋体" w:hint="eastAsia"/>
                <w:b/>
                <w:bCs/>
                <w:color w:val="000000"/>
                <w:kern w:val="0"/>
                <w:szCs w:val="21"/>
              </w:rPr>
              <w:t>实例</w:t>
            </w:r>
            <w:r>
              <w:rPr>
                <w:rFonts w:ascii="宋体" w:hAnsi="宋体" w:cs="宋体"/>
                <w:b/>
                <w:bCs/>
                <w:color w:val="000000"/>
                <w:kern w:val="0"/>
                <w:szCs w:val="21"/>
              </w:rPr>
              <w:t>A</w:t>
            </w:r>
          </w:p>
        </w:tc>
        <w:tc>
          <w:tcPr>
            <w:tcW w:w="1495" w:type="dxa"/>
            <w:tcBorders>
              <w:top w:val="single" w:sz="12" w:space="0" w:color="auto"/>
            </w:tcBorders>
            <w:vAlign w:val="center"/>
          </w:tcPr>
          <w:p w:rsidR="00E62AD6" w:rsidRDefault="00E62AD6">
            <w:pPr>
              <w:widowControl/>
              <w:jc w:val="center"/>
              <w:textAlignment w:val="bottom"/>
              <w:rPr>
                <w:rFonts w:ascii="宋体" w:cs="宋体"/>
                <w:b/>
                <w:bCs/>
                <w:szCs w:val="21"/>
              </w:rPr>
            </w:pPr>
            <w:r>
              <w:rPr>
                <w:rFonts w:ascii="宋体" w:hAnsi="宋体" w:cs="宋体" w:hint="eastAsia"/>
                <w:b/>
                <w:bCs/>
                <w:color w:val="000000"/>
                <w:kern w:val="0"/>
                <w:szCs w:val="21"/>
              </w:rPr>
              <w:t>实例</w:t>
            </w:r>
            <w:r>
              <w:rPr>
                <w:rFonts w:ascii="宋体" w:hAnsi="宋体" w:cs="宋体"/>
                <w:b/>
                <w:bCs/>
                <w:color w:val="000000"/>
                <w:kern w:val="0"/>
                <w:szCs w:val="21"/>
              </w:rPr>
              <w:t>B</w:t>
            </w:r>
          </w:p>
        </w:tc>
        <w:tc>
          <w:tcPr>
            <w:tcW w:w="1662" w:type="dxa"/>
            <w:tcBorders>
              <w:top w:val="single" w:sz="12" w:space="0" w:color="auto"/>
            </w:tcBorders>
            <w:vAlign w:val="center"/>
          </w:tcPr>
          <w:p w:rsidR="00E62AD6" w:rsidRDefault="00E62AD6">
            <w:pPr>
              <w:widowControl/>
              <w:jc w:val="center"/>
              <w:textAlignment w:val="bottom"/>
              <w:rPr>
                <w:rFonts w:ascii="宋体" w:cs="宋体"/>
                <w:b/>
                <w:bCs/>
                <w:szCs w:val="21"/>
              </w:rPr>
            </w:pPr>
            <w:r>
              <w:rPr>
                <w:rFonts w:ascii="宋体" w:hAnsi="宋体" w:cs="宋体" w:hint="eastAsia"/>
                <w:b/>
                <w:bCs/>
                <w:color w:val="000000"/>
                <w:kern w:val="0"/>
                <w:szCs w:val="21"/>
              </w:rPr>
              <w:t>实例</w:t>
            </w:r>
            <w:r>
              <w:rPr>
                <w:rFonts w:ascii="宋体" w:hAnsi="宋体" w:cs="宋体"/>
                <w:b/>
                <w:bCs/>
                <w:color w:val="000000"/>
                <w:kern w:val="0"/>
                <w:szCs w:val="21"/>
              </w:rPr>
              <w:t>C</w:t>
            </w:r>
          </w:p>
        </w:tc>
        <w:tc>
          <w:tcPr>
            <w:tcW w:w="1548" w:type="dxa"/>
            <w:tcBorders>
              <w:top w:val="single" w:sz="12" w:space="0" w:color="auto"/>
              <w:right w:val="single" w:sz="12" w:space="0" w:color="auto"/>
            </w:tcBorders>
            <w:vAlign w:val="center"/>
          </w:tcPr>
          <w:p w:rsidR="00E62AD6" w:rsidRDefault="00E62AD6">
            <w:pPr>
              <w:widowControl/>
              <w:jc w:val="center"/>
              <w:textAlignment w:val="bottom"/>
              <w:rPr>
                <w:rFonts w:ascii="宋体" w:cs="宋体"/>
                <w:b/>
                <w:bCs/>
                <w:szCs w:val="21"/>
              </w:rPr>
            </w:pPr>
            <w:r>
              <w:rPr>
                <w:rFonts w:ascii="宋体" w:hAnsi="宋体" w:cs="宋体" w:hint="eastAsia"/>
                <w:b/>
                <w:bCs/>
                <w:color w:val="000000"/>
                <w:kern w:val="0"/>
                <w:szCs w:val="21"/>
              </w:rPr>
              <w:t>估价对象</w:t>
            </w:r>
          </w:p>
        </w:tc>
      </w:tr>
      <w:tr w:rsidR="00E62AD6">
        <w:trPr>
          <w:trHeight w:val="521"/>
          <w:jc w:val="center"/>
        </w:trPr>
        <w:tc>
          <w:tcPr>
            <w:tcW w:w="1971" w:type="dxa"/>
            <w:tcBorders>
              <w:left w:val="single" w:sz="12"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建筑结构</w:t>
            </w:r>
          </w:p>
        </w:tc>
        <w:tc>
          <w:tcPr>
            <w:tcW w:w="1544"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495"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662"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548" w:type="dxa"/>
            <w:tcBorders>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r>
      <w:tr w:rsidR="00E62AD6">
        <w:trPr>
          <w:trHeight w:val="521"/>
          <w:jc w:val="center"/>
        </w:trPr>
        <w:tc>
          <w:tcPr>
            <w:tcW w:w="1971" w:type="dxa"/>
            <w:tcBorders>
              <w:left w:val="single" w:sz="12"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停车场规划</w:t>
            </w:r>
          </w:p>
        </w:tc>
        <w:tc>
          <w:tcPr>
            <w:tcW w:w="1544"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495"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11</w:t>
            </w:r>
          </w:p>
        </w:tc>
        <w:tc>
          <w:tcPr>
            <w:tcW w:w="1662"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548" w:type="dxa"/>
            <w:tcBorders>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r>
      <w:tr w:rsidR="00E62AD6">
        <w:trPr>
          <w:trHeight w:val="521"/>
          <w:jc w:val="center"/>
        </w:trPr>
        <w:tc>
          <w:tcPr>
            <w:tcW w:w="1971" w:type="dxa"/>
            <w:tcBorders>
              <w:left w:val="single" w:sz="12"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停靠位置及出入方便程度</w:t>
            </w:r>
          </w:p>
        </w:tc>
        <w:tc>
          <w:tcPr>
            <w:tcW w:w="1544"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8</w:t>
            </w:r>
          </w:p>
        </w:tc>
        <w:tc>
          <w:tcPr>
            <w:tcW w:w="1495"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662"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8</w:t>
            </w:r>
          </w:p>
        </w:tc>
        <w:tc>
          <w:tcPr>
            <w:tcW w:w="1548" w:type="dxa"/>
            <w:tcBorders>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r>
      <w:tr w:rsidR="00E62AD6">
        <w:trPr>
          <w:trHeight w:val="521"/>
          <w:jc w:val="center"/>
        </w:trPr>
        <w:tc>
          <w:tcPr>
            <w:tcW w:w="1971" w:type="dxa"/>
            <w:tcBorders>
              <w:left w:val="single" w:sz="12"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装修状况</w:t>
            </w:r>
          </w:p>
        </w:tc>
        <w:tc>
          <w:tcPr>
            <w:tcW w:w="1544"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495"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662"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548" w:type="dxa"/>
            <w:tcBorders>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r>
      <w:tr w:rsidR="00E62AD6">
        <w:trPr>
          <w:trHeight w:val="521"/>
          <w:jc w:val="center"/>
        </w:trPr>
        <w:tc>
          <w:tcPr>
            <w:tcW w:w="1971" w:type="dxa"/>
            <w:tcBorders>
              <w:left w:val="single" w:sz="12"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设施与设备</w:t>
            </w:r>
          </w:p>
        </w:tc>
        <w:tc>
          <w:tcPr>
            <w:tcW w:w="1544"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495"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662"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548" w:type="dxa"/>
            <w:tcBorders>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r>
      <w:tr w:rsidR="00E62AD6">
        <w:trPr>
          <w:trHeight w:val="521"/>
          <w:jc w:val="center"/>
        </w:trPr>
        <w:tc>
          <w:tcPr>
            <w:tcW w:w="1971" w:type="dxa"/>
            <w:tcBorders>
              <w:left w:val="single" w:sz="12"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宽深比</w:t>
            </w:r>
          </w:p>
        </w:tc>
        <w:tc>
          <w:tcPr>
            <w:tcW w:w="1544"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495"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662"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548" w:type="dxa"/>
            <w:tcBorders>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r>
      <w:tr w:rsidR="00E62AD6">
        <w:trPr>
          <w:trHeight w:val="521"/>
          <w:jc w:val="center"/>
        </w:trPr>
        <w:tc>
          <w:tcPr>
            <w:tcW w:w="1971" w:type="dxa"/>
            <w:tcBorders>
              <w:left w:val="single" w:sz="12"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面</w:t>
            </w:r>
            <w:r>
              <w:rPr>
                <w:rFonts w:ascii="宋体" w:hAnsi="宋体" w:cs="宋体"/>
                <w:b/>
                <w:color w:val="000000"/>
                <w:kern w:val="0"/>
                <w:szCs w:val="21"/>
              </w:rPr>
              <w:t xml:space="preserve">  </w:t>
            </w:r>
            <w:r>
              <w:rPr>
                <w:rFonts w:ascii="宋体" w:hAnsi="宋体" w:cs="宋体" w:hint="eastAsia"/>
                <w:b/>
                <w:color w:val="000000"/>
                <w:kern w:val="0"/>
                <w:szCs w:val="21"/>
              </w:rPr>
              <w:t>积</w:t>
            </w:r>
          </w:p>
        </w:tc>
        <w:tc>
          <w:tcPr>
            <w:tcW w:w="1544"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12</w:t>
            </w:r>
          </w:p>
        </w:tc>
        <w:tc>
          <w:tcPr>
            <w:tcW w:w="1495"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662"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11</w:t>
            </w:r>
          </w:p>
        </w:tc>
        <w:tc>
          <w:tcPr>
            <w:tcW w:w="1548" w:type="dxa"/>
            <w:tcBorders>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r>
      <w:tr w:rsidR="00E62AD6">
        <w:trPr>
          <w:trHeight w:val="521"/>
          <w:jc w:val="center"/>
        </w:trPr>
        <w:tc>
          <w:tcPr>
            <w:tcW w:w="1971" w:type="dxa"/>
            <w:tcBorders>
              <w:left w:val="single" w:sz="12"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外</w:t>
            </w:r>
            <w:r>
              <w:rPr>
                <w:rFonts w:ascii="宋体" w:hAnsi="宋体" w:cs="宋体"/>
                <w:b/>
                <w:color w:val="000000"/>
                <w:kern w:val="0"/>
                <w:szCs w:val="21"/>
              </w:rPr>
              <w:t xml:space="preserve">  </w:t>
            </w:r>
            <w:r>
              <w:rPr>
                <w:rFonts w:ascii="宋体" w:hAnsi="宋体" w:cs="宋体" w:hint="eastAsia"/>
                <w:b/>
                <w:color w:val="000000"/>
                <w:kern w:val="0"/>
                <w:szCs w:val="21"/>
              </w:rPr>
              <w:t>观</w:t>
            </w:r>
          </w:p>
        </w:tc>
        <w:tc>
          <w:tcPr>
            <w:tcW w:w="1544"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495"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11</w:t>
            </w:r>
          </w:p>
        </w:tc>
        <w:tc>
          <w:tcPr>
            <w:tcW w:w="1662"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548" w:type="dxa"/>
            <w:tcBorders>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r>
      <w:tr w:rsidR="00E62AD6">
        <w:trPr>
          <w:trHeight w:val="521"/>
          <w:jc w:val="center"/>
        </w:trPr>
        <w:tc>
          <w:tcPr>
            <w:tcW w:w="1971" w:type="dxa"/>
            <w:tcBorders>
              <w:left w:val="single" w:sz="12"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物业成新</w:t>
            </w:r>
          </w:p>
        </w:tc>
        <w:tc>
          <w:tcPr>
            <w:tcW w:w="1544"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9</w:t>
            </w:r>
          </w:p>
        </w:tc>
        <w:tc>
          <w:tcPr>
            <w:tcW w:w="1495"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11</w:t>
            </w:r>
          </w:p>
        </w:tc>
        <w:tc>
          <w:tcPr>
            <w:tcW w:w="1662"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548" w:type="dxa"/>
            <w:tcBorders>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r>
      <w:tr w:rsidR="00E62AD6">
        <w:trPr>
          <w:trHeight w:val="521"/>
          <w:jc w:val="center"/>
        </w:trPr>
        <w:tc>
          <w:tcPr>
            <w:tcW w:w="1971" w:type="dxa"/>
            <w:tcBorders>
              <w:left w:val="single" w:sz="12"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车库</w:t>
            </w:r>
            <w:r>
              <w:rPr>
                <w:rFonts w:ascii="宋体" w:hAnsi="宋体" w:cs="宋体"/>
                <w:b/>
                <w:color w:val="000000"/>
                <w:kern w:val="0"/>
                <w:szCs w:val="21"/>
              </w:rPr>
              <w:t>(</w:t>
            </w:r>
            <w:r>
              <w:rPr>
                <w:rFonts w:ascii="宋体" w:hAnsi="宋体" w:cs="宋体" w:hint="eastAsia"/>
                <w:b/>
                <w:color w:val="000000"/>
                <w:kern w:val="0"/>
                <w:szCs w:val="21"/>
              </w:rPr>
              <w:t>车位</w:t>
            </w:r>
            <w:r>
              <w:rPr>
                <w:rFonts w:ascii="宋体" w:hAnsi="宋体" w:cs="宋体"/>
                <w:b/>
                <w:color w:val="000000"/>
                <w:kern w:val="0"/>
                <w:szCs w:val="21"/>
              </w:rPr>
              <w:t>)</w:t>
            </w:r>
            <w:r>
              <w:rPr>
                <w:rFonts w:ascii="宋体" w:hAnsi="宋体" w:cs="宋体" w:hint="eastAsia"/>
                <w:b/>
                <w:color w:val="000000"/>
                <w:kern w:val="0"/>
                <w:szCs w:val="21"/>
              </w:rPr>
              <w:t>管理</w:t>
            </w:r>
          </w:p>
        </w:tc>
        <w:tc>
          <w:tcPr>
            <w:tcW w:w="1544"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495"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11</w:t>
            </w:r>
          </w:p>
        </w:tc>
        <w:tc>
          <w:tcPr>
            <w:tcW w:w="1662" w:type="dxa"/>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c>
          <w:tcPr>
            <w:tcW w:w="1548" w:type="dxa"/>
            <w:tcBorders>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w:t>
            </w:r>
          </w:p>
        </w:tc>
      </w:tr>
      <w:tr w:rsidR="00E62AD6">
        <w:trPr>
          <w:trHeight w:val="522"/>
          <w:jc w:val="center"/>
        </w:trPr>
        <w:tc>
          <w:tcPr>
            <w:tcW w:w="1971" w:type="dxa"/>
            <w:tcBorders>
              <w:left w:val="single" w:sz="12" w:space="0" w:color="auto"/>
              <w:bottom w:val="single" w:sz="12" w:space="0" w:color="auto"/>
            </w:tcBorders>
            <w:vAlign w:val="center"/>
          </w:tcPr>
          <w:p w:rsidR="00E62AD6" w:rsidRDefault="00E62AD6">
            <w:pPr>
              <w:widowControl/>
              <w:jc w:val="center"/>
              <w:textAlignment w:val="center"/>
              <w:rPr>
                <w:rFonts w:ascii="宋体" w:cs="宋体"/>
                <w:b/>
                <w:bCs/>
                <w:szCs w:val="21"/>
              </w:rPr>
            </w:pPr>
            <w:r>
              <w:rPr>
                <w:rFonts w:ascii="宋体" w:hAnsi="宋体" w:cs="宋体" w:hint="eastAsia"/>
                <w:b/>
                <w:color w:val="000000"/>
                <w:kern w:val="0"/>
                <w:szCs w:val="21"/>
              </w:rPr>
              <w:t>修正系数</w:t>
            </w:r>
          </w:p>
        </w:tc>
        <w:tc>
          <w:tcPr>
            <w:tcW w:w="1544" w:type="dxa"/>
            <w:tcBorders>
              <w:bottom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99</w:t>
            </w:r>
          </w:p>
        </w:tc>
        <w:tc>
          <w:tcPr>
            <w:tcW w:w="1495" w:type="dxa"/>
            <w:tcBorders>
              <w:bottom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104</w:t>
            </w:r>
          </w:p>
        </w:tc>
        <w:tc>
          <w:tcPr>
            <w:tcW w:w="1662" w:type="dxa"/>
            <w:tcBorders>
              <w:bottom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99</w:t>
            </w:r>
          </w:p>
        </w:tc>
        <w:tc>
          <w:tcPr>
            <w:tcW w:w="1548" w:type="dxa"/>
            <w:tcBorders>
              <w:bottom w:val="single" w:sz="12" w:space="0" w:color="auto"/>
              <w:right w:val="single" w:sz="12" w:space="0" w:color="auto"/>
            </w:tcBorders>
            <w:vAlign w:val="center"/>
          </w:tcPr>
          <w:p w:rsidR="00E62AD6" w:rsidRDefault="00E62AD6">
            <w:pPr>
              <w:widowControl/>
              <w:jc w:val="center"/>
              <w:textAlignment w:val="center"/>
              <w:rPr>
                <w:rFonts w:ascii="宋体" w:cs="宋体"/>
                <w:szCs w:val="21"/>
              </w:rPr>
            </w:pPr>
            <w:r>
              <w:rPr>
                <w:rFonts w:ascii="宋体" w:hAnsi="宋体" w:cs="宋体"/>
                <w:color w:val="000000"/>
                <w:kern w:val="0"/>
                <w:szCs w:val="21"/>
              </w:rPr>
              <w:t>100</w:t>
            </w:r>
          </w:p>
        </w:tc>
      </w:tr>
    </w:tbl>
    <w:p w:rsidR="00E62AD6" w:rsidRDefault="00E62AD6" w:rsidP="00E62AD6">
      <w:pPr>
        <w:spacing w:line="660" w:lineRule="exact"/>
        <w:ind w:firstLineChars="250" w:firstLine="31680"/>
        <w:rPr>
          <w:rFonts w:ascii="宋体"/>
          <w:sz w:val="24"/>
        </w:rPr>
      </w:pPr>
      <w:r>
        <w:rPr>
          <w:rFonts w:ascii="宋体" w:hAnsi="宋体"/>
          <w:sz w:val="24"/>
        </w:rPr>
        <w:t>e</w:t>
      </w:r>
      <w:r>
        <w:rPr>
          <w:rFonts w:ascii="宋体" w:hAnsi="宋体" w:hint="eastAsia"/>
          <w:sz w:val="24"/>
        </w:rPr>
        <w:t>、综合修正：将上述各修正系数代入公式，列表计算如下：</w:t>
      </w:r>
      <w:r>
        <w:rPr>
          <w:rFonts w:ascii="宋体" w:hAnsi="宋体"/>
          <w:sz w:val="24"/>
        </w:rPr>
        <w:t xml:space="preserve">  </w:t>
      </w:r>
    </w:p>
    <w:p w:rsidR="00E62AD6" w:rsidRDefault="00E62AD6" w:rsidP="00F23040">
      <w:pPr>
        <w:spacing w:line="660" w:lineRule="exact"/>
        <w:ind w:firstLineChars="2873" w:firstLine="31680"/>
        <w:rPr>
          <w:rFonts w:ascii="宋体"/>
          <w:sz w:val="24"/>
        </w:rPr>
      </w:pPr>
      <w:r>
        <w:rPr>
          <w:rFonts w:ascii="宋体" w:hAnsi="宋体" w:hint="eastAsia"/>
          <w:sz w:val="24"/>
        </w:rPr>
        <w:t>单位：元</w:t>
      </w:r>
      <w:r>
        <w:rPr>
          <w:rFonts w:ascii="宋体" w:hAnsi="宋体"/>
          <w:sz w:val="24"/>
        </w:rPr>
        <w:t>/</w:t>
      </w:r>
      <w:r>
        <w:rPr>
          <w:rFonts w:ascii="宋体" w:hAnsi="宋体" w:hint="eastAsia"/>
          <w:sz w:val="24"/>
        </w:rPr>
        <w:t>㎡</w:t>
      </w:r>
    </w:p>
    <w:tbl>
      <w:tblPr>
        <w:tblW w:w="8972"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75"/>
        <w:gridCol w:w="1306"/>
        <w:gridCol w:w="1350"/>
        <w:gridCol w:w="1349"/>
        <w:gridCol w:w="1349"/>
        <w:gridCol w:w="1337"/>
        <w:gridCol w:w="1306"/>
      </w:tblGrid>
      <w:tr w:rsidR="00E62AD6">
        <w:trPr>
          <w:trHeight w:val="576"/>
        </w:trPr>
        <w:tc>
          <w:tcPr>
            <w:tcW w:w="975" w:type="dxa"/>
            <w:tcBorders>
              <w:top w:val="single" w:sz="12" w:space="0" w:color="auto"/>
            </w:tcBorders>
            <w:vAlign w:val="center"/>
          </w:tcPr>
          <w:p w:rsidR="00E62AD6" w:rsidRDefault="00E62AD6">
            <w:pPr>
              <w:spacing w:line="240" w:lineRule="exact"/>
              <w:jc w:val="center"/>
              <w:rPr>
                <w:rFonts w:ascii="宋体"/>
                <w:b/>
                <w:bCs/>
                <w:szCs w:val="21"/>
              </w:rPr>
            </w:pPr>
            <w:r>
              <w:rPr>
                <w:rFonts w:ascii="宋体" w:hAnsi="宋体" w:hint="eastAsia"/>
                <w:b/>
                <w:bCs/>
                <w:szCs w:val="21"/>
              </w:rPr>
              <w:t>项</w:t>
            </w:r>
            <w:r>
              <w:rPr>
                <w:rFonts w:ascii="宋体" w:hAnsi="宋体"/>
                <w:b/>
                <w:bCs/>
                <w:szCs w:val="21"/>
              </w:rPr>
              <w:t xml:space="preserve"> </w:t>
            </w:r>
            <w:r>
              <w:rPr>
                <w:rFonts w:ascii="宋体" w:hAnsi="宋体" w:hint="eastAsia"/>
                <w:b/>
                <w:bCs/>
                <w:szCs w:val="21"/>
              </w:rPr>
              <w:t>目</w:t>
            </w:r>
          </w:p>
        </w:tc>
        <w:tc>
          <w:tcPr>
            <w:tcW w:w="1306" w:type="dxa"/>
            <w:tcBorders>
              <w:top w:val="single" w:sz="12" w:space="0" w:color="auto"/>
            </w:tcBorders>
            <w:vAlign w:val="center"/>
          </w:tcPr>
          <w:p w:rsidR="00E62AD6" w:rsidRDefault="00E62AD6">
            <w:pPr>
              <w:spacing w:line="240" w:lineRule="exact"/>
              <w:jc w:val="center"/>
              <w:rPr>
                <w:rFonts w:ascii="宋体"/>
                <w:b/>
                <w:bCs/>
                <w:szCs w:val="21"/>
              </w:rPr>
            </w:pPr>
            <w:r>
              <w:rPr>
                <w:rFonts w:ascii="宋体" w:hAnsi="宋体" w:hint="eastAsia"/>
                <w:b/>
                <w:bCs/>
                <w:szCs w:val="21"/>
              </w:rPr>
              <w:t>交易价格</w:t>
            </w:r>
          </w:p>
        </w:tc>
        <w:tc>
          <w:tcPr>
            <w:tcW w:w="1350" w:type="dxa"/>
            <w:tcBorders>
              <w:top w:val="single" w:sz="12" w:space="0" w:color="auto"/>
            </w:tcBorders>
            <w:vAlign w:val="center"/>
          </w:tcPr>
          <w:p w:rsidR="00E62AD6" w:rsidRDefault="00E62AD6">
            <w:pPr>
              <w:spacing w:line="240" w:lineRule="exact"/>
              <w:jc w:val="center"/>
              <w:rPr>
                <w:rFonts w:ascii="宋体"/>
                <w:b/>
                <w:bCs/>
                <w:szCs w:val="21"/>
              </w:rPr>
            </w:pPr>
            <w:r>
              <w:rPr>
                <w:rFonts w:ascii="宋体" w:hAnsi="宋体" w:hint="eastAsia"/>
                <w:b/>
                <w:bCs/>
                <w:szCs w:val="21"/>
              </w:rPr>
              <w:t>交易情况</w:t>
            </w:r>
            <w:r>
              <w:rPr>
                <w:rFonts w:ascii="宋体" w:hAnsi="宋体"/>
                <w:b/>
                <w:bCs/>
                <w:szCs w:val="21"/>
              </w:rPr>
              <w:t xml:space="preserve">      </w:t>
            </w:r>
            <w:r>
              <w:rPr>
                <w:rFonts w:ascii="宋体" w:hAnsi="宋体" w:hint="eastAsia"/>
                <w:b/>
                <w:bCs/>
                <w:szCs w:val="21"/>
              </w:rPr>
              <w:t>修正</w:t>
            </w:r>
          </w:p>
        </w:tc>
        <w:tc>
          <w:tcPr>
            <w:tcW w:w="1349" w:type="dxa"/>
            <w:tcBorders>
              <w:top w:val="single" w:sz="12" w:space="0" w:color="auto"/>
            </w:tcBorders>
            <w:vAlign w:val="center"/>
          </w:tcPr>
          <w:p w:rsidR="00E62AD6" w:rsidRDefault="00E62AD6">
            <w:pPr>
              <w:spacing w:line="240" w:lineRule="exact"/>
              <w:jc w:val="center"/>
              <w:rPr>
                <w:rFonts w:ascii="宋体"/>
                <w:b/>
                <w:bCs/>
                <w:szCs w:val="21"/>
              </w:rPr>
            </w:pPr>
            <w:r>
              <w:rPr>
                <w:rFonts w:ascii="宋体" w:hAnsi="宋体"/>
                <w:b/>
                <w:bCs/>
                <w:szCs w:val="21"/>
              </w:rPr>
              <w:t xml:space="preserve"> </w:t>
            </w:r>
            <w:r>
              <w:rPr>
                <w:rFonts w:ascii="宋体" w:hAnsi="宋体" w:hint="eastAsia"/>
                <w:b/>
                <w:bCs/>
                <w:szCs w:val="21"/>
              </w:rPr>
              <w:t>市场状况修正</w:t>
            </w:r>
          </w:p>
        </w:tc>
        <w:tc>
          <w:tcPr>
            <w:tcW w:w="1349" w:type="dxa"/>
            <w:tcBorders>
              <w:top w:val="single" w:sz="12" w:space="0" w:color="auto"/>
            </w:tcBorders>
            <w:vAlign w:val="center"/>
          </w:tcPr>
          <w:p w:rsidR="00E62AD6" w:rsidRDefault="00E62AD6">
            <w:pPr>
              <w:spacing w:line="240" w:lineRule="exact"/>
              <w:jc w:val="center"/>
              <w:rPr>
                <w:rFonts w:ascii="宋体"/>
                <w:b/>
                <w:bCs/>
                <w:szCs w:val="21"/>
              </w:rPr>
            </w:pPr>
            <w:r>
              <w:rPr>
                <w:rFonts w:ascii="宋体" w:hAnsi="宋体"/>
                <w:b/>
                <w:bCs/>
                <w:szCs w:val="21"/>
              </w:rPr>
              <w:t xml:space="preserve"> </w:t>
            </w:r>
            <w:r>
              <w:rPr>
                <w:rFonts w:ascii="宋体" w:hAnsi="宋体" w:hint="eastAsia"/>
                <w:b/>
                <w:bCs/>
                <w:szCs w:val="21"/>
              </w:rPr>
              <w:t>区位状况修正</w:t>
            </w:r>
          </w:p>
        </w:tc>
        <w:tc>
          <w:tcPr>
            <w:tcW w:w="1337" w:type="dxa"/>
            <w:tcBorders>
              <w:top w:val="single" w:sz="12" w:space="0" w:color="auto"/>
            </w:tcBorders>
            <w:vAlign w:val="center"/>
          </w:tcPr>
          <w:p w:rsidR="00E62AD6" w:rsidRDefault="00E62AD6">
            <w:pPr>
              <w:spacing w:line="240" w:lineRule="exact"/>
              <w:jc w:val="center"/>
              <w:rPr>
                <w:rFonts w:ascii="宋体"/>
                <w:b/>
                <w:bCs/>
                <w:szCs w:val="21"/>
              </w:rPr>
            </w:pPr>
            <w:r>
              <w:rPr>
                <w:rFonts w:ascii="宋体" w:hAnsi="宋体"/>
                <w:b/>
                <w:bCs/>
                <w:szCs w:val="21"/>
              </w:rPr>
              <w:t xml:space="preserve"> </w:t>
            </w:r>
            <w:r>
              <w:rPr>
                <w:rFonts w:ascii="宋体" w:hAnsi="宋体" w:hint="eastAsia"/>
                <w:b/>
                <w:bCs/>
                <w:szCs w:val="21"/>
              </w:rPr>
              <w:t>实物状况修正</w:t>
            </w:r>
          </w:p>
        </w:tc>
        <w:tc>
          <w:tcPr>
            <w:tcW w:w="1306" w:type="dxa"/>
            <w:tcBorders>
              <w:top w:val="single" w:sz="12" w:space="0" w:color="auto"/>
            </w:tcBorders>
            <w:vAlign w:val="center"/>
          </w:tcPr>
          <w:p w:rsidR="00E62AD6" w:rsidRDefault="00E62AD6">
            <w:pPr>
              <w:spacing w:line="240" w:lineRule="exact"/>
              <w:jc w:val="center"/>
              <w:rPr>
                <w:rFonts w:ascii="宋体"/>
                <w:b/>
                <w:bCs/>
                <w:szCs w:val="21"/>
              </w:rPr>
            </w:pPr>
            <w:r>
              <w:rPr>
                <w:rFonts w:ascii="宋体" w:hAnsi="宋体" w:hint="eastAsia"/>
                <w:b/>
                <w:bCs/>
                <w:szCs w:val="21"/>
              </w:rPr>
              <w:t>修正后价格</w:t>
            </w:r>
          </w:p>
        </w:tc>
      </w:tr>
      <w:tr w:rsidR="00E62AD6">
        <w:trPr>
          <w:trHeight w:val="584"/>
        </w:trPr>
        <w:tc>
          <w:tcPr>
            <w:tcW w:w="975" w:type="dxa"/>
            <w:vAlign w:val="center"/>
          </w:tcPr>
          <w:p w:rsidR="00E62AD6" w:rsidRDefault="00E62AD6">
            <w:pPr>
              <w:spacing w:line="240" w:lineRule="exact"/>
              <w:jc w:val="center"/>
              <w:rPr>
                <w:rFonts w:ascii="宋体"/>
                <w:b/>
                <w:bCs/>
                <w:szCs w:val="21"/>
              </w:rPr>
            </w:pPr>
            <w:r>
              <w:rPr>
                <w:rFonts w:ascii="宋体" w:hAnsi="宋体" w:hint="eastAsia"/>
                <w:b/>
                <w:bCs/>
                <w:szCs w:val="21"/>
              </w:rPr>
              <w:t>实例</w:t>
            </w:r>
            <w:r>
              <w:rPr>
                <w:rFonts w:ascii="宋体" w:hAnsi="宋体"/>
                <w:b/>
                <w:bCs/>
                <w:szCs w:val="21"/>
              </w:rPr>
              <w:t>A</w:t>
            </w:r>
          </w:p>
        </w:tc>
        <w:tc>
          <w:tcPr>
            <w:tcW w:w="1306" w:type="dxa"/>
            <w:vAlign w:val="center"/>
          </w:tcPr>
          <w:p w:rsidR="00E62AD6" w:rsidRDefault="00E62AD6">
            <w:pPr>
              <w:spacing w:line="240" w:lineRule="exact"/>
              <w:jc w:val="center"/>
              <w:rPr>
                <w:rFonts w:ascii="宋体"/>
                <w:szCs w:val="21"/>
              </w:rPr>
            </w:pPr>
            <w:r>
              <w:rPr>
                <w:rFonts w:ascii="宋体" w:hAnsi="宋体"/>
                <w:szCs w:val="21"/>
              </w:rPr>
              <w:t>13</w:t>
            </w:r>
            <w:r>
              <w:rPr>
                <w:rFonts w:ascii="宋体"/>
                <w:szCs w:val="21"/>
              </w:rPr>
              <w:t>,500.00</w:t>
            </w:r>
          </w:p>
        </w:tc>
        <w:tc>
          <w:tcPr>
            <w:tcW w:w="1350" w:type="dxa"/>
            <w:vAlign w:val="center"/>
          </w:tcPr>
          <w:p w:rsidR="00E62AD6" w:rsidRDefault="00E62AD6">
            <w:pPr>
              <w:spacing w:line="240" w:lineRule="exact"/>
              <w:jc w:val="center"/>
              <w:rPr>
                <w:rFonts w:ascii="宋体"/>
                <w:szCs w:val="21"/>
              </w:rPr>
            </w:pPr>
            <w:r>
              <w:rPr>
                <w:rFonts w:ascii="宋体" w:hAnsi="宋体"/>
                <w:szCs w:val="21"/>
              </w:rPr>
              <w:t>100/100</w:t>
            </w:r>
          </w:p>
        </w:tc>
        <w:tc>
          <w:tcPr>
            <w:tcW w:w="1349" w:type="dxa"/>
            <w:vAlign w:val="center"/>
          </w:tcPr>
          <w:p w:rsidR="00E62AD6" w:rsidRDefault="00E62AD6">
            <w:pPr>
              <w:spacing w:line="240" w:lineRule="exact"/>
              <w:jc w:val="center"/>
              <w:rPr>
                <w:rFonts w:ascii="宋体"/>
                <w:szCs w:val="21"/>
              </w:rPr>
            </w:pPr>
            <w:r>
              <w:rPr>
                <w:rFonts w:ascii="宋体" w:hAnsi="宋体"/>
                <w:szCs w:val="21"/>
              </w:rPr>
              <w:t>100/100</w:t>
            </w:r>
          </w:p>
        </w:tc>
        <w:tc>
          <w:tcPr>
            <w:tcW w:w="1349" w:type="dxa"/>
            <w:vAlign w:val="center"/>
          </w:tcPr>
          <w:p w:rsidR="00E62AD6" w:rsidRDefault="00E62AD6">
            <w:pPr>
              <w:spacing w:line="240" w:lineRule="exact"/>
              <w:jc w:val="center"/>
              <w:rPr>
                <w:rFonts w:ascii="宋体"/>
                <w:szCs w:val="21"/>
              </w:rPr>
            </w:pPr>
            <w:r>
              <w:rPr>
                <w:rFonts w:ascii="宋体" w:hAnsi="宋体"/>
                <w:szCs w:val="21"/>
              </w:rPr>
              <w:t>100/99</w:t>
            </w:r>
          </w:p>
        </w:tc>
        <w:tc>
          <w:tcPr>
            <w:tcW w:w="1337" w:type="dxa"/>
            <w:vAlign w:val="center"/>
          </w:tcPr>
          <w:p w:rsidR="00E62AD6" w:rsidRDefault="00E62AD6">
            <w:pPr>
              <w:spacing w:line="240" w:lineRule="exact"/>
              <w:jc w:val="center"/>
              <w:rPr>
                <w:rFonts w:ascii="宋体"/>
                <w:szCs w:val="21"/>
              </w:rPr>
            </w:pPr>
            <w:r>
              <w:rPr>
                <w:rFonts w:ascii="宋体" w:hAnsi="宋体"/>
                <w:szCs w:val="21"/>
              </w:rPr>
              <w:t>100/99</w:t>
            </w:r>
          </w:p>
        </w:tc>
        <w:tc>
          <w:tcPr>
            <w:tcW w:w="1306" w:type="dxa"/>
            <w:vAlign w:val="center"/>
          </w:tcPr>
          <w:p w:rsidR="00E62AD6" w:rsidRDefault="00E62AD6">
            <w:pPr>
              <w:spacing w:line="240" w:lineRule="exact"/>
              <w:jc w:val="center"/>
              <w:rPr>
                <w:rFonts w:ascii="宋体"/>
                <w:szCs w:val="21"/>
              </w:rPr>
            </w:pPr>
            <w:r>
              <w:rPr>
                <w:rFonts w:ascii="宋体" w:hAnsi="宋体"/>
                <w:szCs w:val="21"/>
              </w:rPr>
              <w:t>13,636.00</w:t>
            </w:r>
          </w:p>
        </w:tc>
      </w:tr>
      <w:tr w:rsidR="00E62AD6">
        <w:trPr>
          <w:trHeight w:val="584"/>
        </w:trPr>
        <w:tc>
          <w:tcPr>
            <w:tcW w:w="975" w:type="dxa"/>
            <w:vAlign w:val="center"/>
          </w:tcPr>
          <w:p w:rsidR="00E62AD6" w:rsidRDefault="00E62AD6">
            <w:pPr>
              <w:spacing w:line="240" w:lineRule="exact"/>
              <w:jc w:val="center"/>
              <w:rPr>
                <w:rFonts w:ascii="宋体"/>
                <w:b/>
                <w:bCs/>
                <w:szCs w:val="21"/>
              </w:rPr>
            </w:pPr>
            <w:r>
              <w:rPr>
                <w:rFonts w:ascii="宋体" w:hAnsi="宋体" w:hint="eastAsia"/>
                <w:b/>
                <w:bCs/>
                <w:szCs w:val="21"/>
              </w:rPr>
              <w:t>实例</w:t>
            </w:r>
            <w:r>
              <w:rPr>
                <w:rFonts w:ascii="宋体" w:hAnsi="宋体"/>
                <w:b/>
                <w:bCs/>
                <w:szCs w:val="21"/>
              </w:rPr>
              <w:t>B</w:t>
            </w:r>
          </w:p>
        </w:tc>
        <w:tc>
          <w:tcPr>
            <w:tcW w:w="1306" w:type="dxa"/>
            <w:vAlign w:val="center"/>
          </w:tcPr>
          <w:p w:rsidR="00E62AD6" w:rsidRDefault="00E62AD6">
            <w:pPr>
              <w:spacing w:line="240" w:lineRule="exact"/>
              <w:jc w:val="center"/>
              <w:rPr>
                <w:rFonts w:ascii="宋体"/>
                <w:szCs w:val="21"/>
              </w:rPr>
            </w:pPr>
            <w:r>
              <w:rPr>
                <w:rFonts w:ascii="宋体" w:hAnsi="宋体"/>
                <w:szCs w:val="21"/>
              </w:rPr>
              <w:t>14</w:t>
            </w:r>
            <w:r>
              <w:rPr>
                <w:rFonts w:ascii="宋体"/>
                <w:szCs w:val="21"/>
              </w:rPr>
              <w:t>,</w:t>
            </w:r>
            <w:r>
              <w:rPr>
                <w:rFonts w:ascii="宋体" w:hAnsi="宋体"/>
                <w:szCs w:val="21"/>
              </w:rPr>
              <w:t>3</w:t>
            </w:r>
            <w:r>
              <w:rPr>
                <w:rFonts w:ascii="宋体"/>
                <w:szCs w:val="21"/>
              </w:rPr>
              <w:t>00.00</w:t>
            </w:r>
          </w:p>
        </w:tc>
        <w:tc>
          <w:tcPr>
            <w:tcW w:w="1350" w:type="dxa"/>
            <w:vAlign w:val="center"/>
          </w:tcPr>
          <w:p w:rsidR="00E62AD6" w:rsidRDefault="00E62AD6">
            <w:pPr>
              <w:spacing w:line="240" w:lineRule="exact"/>
              <w:jc w:val="center"/>
              <w:rPr>
                <w:rFonts w:ascii="宋体"/>
                <w:szCs w:val="21"/>
              </w:rPr>
            </w:pPr>
            <w:r>
              <w:rPr>
                <w:rFonts w:ascii="宋体" w:hAnsi="宋体"/>
                <w:szCs w:val="21"/>
              </w:rPr>
              <w:t>100/100</w:t>
            </w:r>
          </w:p>
        </w:tc>
        <w:tc>
          <w:tcPr>
            <w:tcW w:w="1349" w:type="dxa"/>
            <w:vAlign w:val="center"/>
          </w:tcPr>
          <w:p w:rsidR="00E62AD6" w:rsidRDefault="00E62AD6">
            <w:pPr>
              <w:spacing w:line="240" w:lineRule="exact"/>
              <w:jc w:val="center"/>
              <w:rPr>
                <w:rFonts w:ascii="宋体"/>
                <w:szCs w:val="21"/>
              </w:rPr>
            </w:pPr>
            <w:r>
              <w:rPr>
                <w:rFonts w:ascii="宋体" w:hAnsi="宋体"/>
                <w:szCs w:val="21"/>
              </w:rPr>
              <w:t>100/100</w:t>
            </w:r>
          </w:p>
        </w:tc>
        <w:tc>
          <w:tcPr>
            <w:tcW w:w="1349" w:type="dxa"/>
            <w:vAlign w:val="center"/>
          </w:tcPr>
          <w:p w:rsidR="00E62AD6" w:rsidRDefault="00E62AD6">
            <w:pPr>
              <w:spacing w:line="240" w:lineRule="exact"/>
              <w:jc w:val="center"/>
              <w:rPr>
                <w:rFonts w:ascii="宋体"/>
                <w:szCs w:val="21"/>
              </w:rPr>
            </w:pPr>
            <w:r>
              <w:rPr>
                <w:rFonts w:ascii="宋体" w:hAnsi="宋体"/>
                <w:szCs w:val="21"/>
              </w:rPr>
              <w:t>100/10</w:t>
            </w:r>
            <w:r>
              <w:rPr>
                <w:rFonts w:ascii="宋体"/>
                <w:szCs w:val="21"/>
              </w:rPr>
              <w:t>0</w:t>
            </w:r>
          </w:p>
        </w:tc>
        <w:tc>
          <w:tcPr>
            <w:tcW w:w="1337" w:type="dxa"/>
            <w:vAlign w:val="center"/>
          </w:tcPr>
          <w:p w:rsidR="00E62AD6" w:rsidRDefault="00E62AD6">
            <w:pPr>
              <w:spacing w:line="240" w:lineRule="exact"/>
              <w:jc w:val="center"/>
              <w:rPr>
                <w:rFonts w:ascii="宋体"/>
                <w:szCs w:val="21"/>
              </w:rPr>
            </w:pPr>
            <w:r>
              <w:rPr>
                <w:rFonts w:ascii="宋体" w:hAnsi="宋体"/>
                <w:szCs w:val="21"/>
              </w:rPr>
              <w:t>100/104</w:t>
            </w:r>
          </w:p>
        </w:tc>
        <w:tc>
          <w:tcPr>
            <w:tcW w:w="1306" w:type="dxa"/>
            <w:vAlign w:val="center"/>
          </w:tcPr>
          <w:p w:rsidR="00E62AD6" w:rsidRDefault="00E62AD6">
            <w:pPr>
              <w:spacing w:line="240" w:lineRule="exact"/>
              <w:jc w:val="center"/>
              <w:rPr>
                <w:rFonts w:ascii="宋体"/>
                <w:szCs w:val="21"/>
              </w:rPr>
            </w:pPr>
            <w:r>
              <w:rPr>
                <w:rFonts w:ascii="宋体" w:hAnsi="宋体"/>
                <w:szCs w:val="21"/>
              </w:rPr>
              <w:t>13,750.00</w:t>
            </w:r>
          </w:p>
        </w:tc>
      </w:tr>
      <w:tr w:rsidR="00E62AD6">
        <w:trPr>
          <w:trHeight w:val="624"/>
        </w:trPr>
        <w:tc>
          <w:tcPr>
            <w:tcW w:w="975" w:type="dxa"/>
            <w:tcBorders>
              <w:bottom w:val="single" w:sz="12" w:space="0" w:color="auto"/>
            </w:tcBorders>
            <w:vAlign w:val="center"/>
          </w:tcPr>
          <w:p w:rsidR="00E62AD6" w:rsidRDefault="00E62AD6">
            <w:pPr>
              <w:spacing w:line="240" w:lineRule="exact"/>
              <w:jc w:val="center"/>
              <w:rPr>
                <w:rFonts w:ascii="宋体"/>
                <w:b/>
                <w:bCs/>
                <w:szCs w:val="21"/>
              </w:rPr>
            </w:pPr>
            <w:r>
              <w:rPr>
                <w:rFonts w:ascii="宋体" w:hAnsi="宋体" w:hint="eastAsia"/>
                <w:b/>
                <w:bCs/>
                <w:szCs w:val="21"/>
              </w:rPr>
              <w:t>实例</w:t>
            </w:r>
            <w:r>
              <w:rPr>
                <w:rFonts w:ascii="宋体" w:hAnsi="宋体"/>
                <w:b/>
                <w:bCs/>
                <w:szCs w:val="21"/>
              </w:rPr>
              <w:t>C</w:t>
            </w:r>
          </w:p>
        </w:tc>
        <w:tc>
          <w:tcPr>
            <w:tcW w:w="1306" w:type="dxa"/>
            <w:tcBorders>
              <w:bottom w:val="single" w:sz="12" w:space="0" w:color="auto"/>
            </w:tcBorders>
            <w:vAlign w:val="center"/>
          </w:tcPr>
          <w:p w:rsidR="00E62AD6" w:rsidRDefault="00E62AD6">
            <w:pPr>
              <w:spacing w:line="240" w:lineRule="exact"/>
              <w:jc w:val="center"/>
              <w:rPr>
                <w:rFonts w:ascii="宋体"/>
                <w:szCs w:val="21"/>
              </w:rPr>
            </w:pPr>
            <w:r>
              <w:rPr>
                <w:rFonts w:ascii="宋体" w:hAnsi="宋体"/>
                <w:szCs w:val="21"/>
              </w:rPr>
              <w:t>13</w:t>
            </w:r>
            <w:r>
              <w:rPr>
                <w:rFonts w:ascii="宋体"/>
                <w:szCs w:val="21"/>
              </w:rPr>
              <w:t>,</w:t>
            </w:r>
            <w:r>
              <w:rPr>
                <w:rFonts w:ascii="宋体" w:hAnsi="宋体"/>
                <w:szCs w:val="21"/>
              </w:rPr>
              <w:t>8</w:t>
            </w:r>
            <w:r>
              <w:rPr>
                <w:rFonts w:ascii="宋体"/>
                <w:szCs w:val="21"/>
              </w:rPr>
              <w:t>00.00</w:t>
            </w:r>
          </w:p>
        </w:tc>
        <w:tc>
          <w:tcPr>
            <w:tcW w:w="1350" w:type="dxa"/>
            <w:tcBorders>
              <w:bottom w:val="single" w:sz="12" w:space="0" w:color="auto"/>
            </w:tcBorders>
            <w:vAlign w:val="center"/>
          </w:tcPr>
          <w:p w:rsidR="00E62AD6" w:rsidRDefault="00E62AD6">
            <w:pPr>
              <w:spacing w:line="240" w:lineRule="exact"/>
              <w:jc w:val="center"/>
              <w:rPr>
                <w:rFonts w:ascii="宋体"/>
                <w:szCs w:val="21"/>
              </w:rPr>
            </w:pPr>
            <w:r>
              <w:rPr>
                <w:rFonts w:ascii="宋体" w:hAnsi="宋体"/>
                <w:szCs w:val="21"/>
              </w:rPr>
              <w:t>100/100</w:t>
            </w:r>
          </w:p>
        </w:tc>
        <w:tc>
          <w:tcPr>
            <w:tcW w:w="1349" w:type="dxa"/>
            <w:tcBorders>
              <w:bottom w:val="single" w:sz="12" w:space="0" w:color="auto"/>
            </w:tcBorders>
            <w:vAlign w:val="center"/>
          </w:tcPr>
          <w:p w:rsidR="00E62AD6" w:rsidRDefault="00E62AD6">
            <w:pPr>
              <w:spacing w:line="240" w:lineRule="exact"/>
              <w:jc w:val="center"/>
              <w:rPr>
                <w:rFonts w:ascii="宋体"/>
                <w:szCs w:val="21"/>
              </w:rPr>
            </w:pPr>
            <w:r>
              <w:rPr>
                <w:rFonts w:ascii="宋体" w:hAnsi="宋体"/>
                <w:szCs w:val="21"/>
              </w:rPr>
              <w:t>100/100</w:t>
            </w:r>
          </w:p>
        </w:tc>
        <w:tc>
          <w:tcPr>
            <w:tcW w:w="1349" w:type="dxa"/>
            <w:tcBorders>
              <w:bottom w:val="single" w:sz="12" w:space="0" w:color="auto"/>
            </w:tcBorders>
            <w:vAlign w:val="center"/>
          </w:tcPr>
          <w:p w:rsidR="00E62AD6" w:rsidRDefault="00E62AD6">
            <w:pPr>
              <w:spacing w:line="240" w:lineRule="exact"/>
              <w:jc w:val="center"/>
              <w:rPr>
                <w:rFonts w:ascii="宋体"/>
                <w:szCs w:val="21"/>
              </w:rPr>
            </w:pPr>
            <w:r>
              <w:rPr>
                <w:rFonts w:ascii="宋体" w:hAnsi="宋体"/>
                <w:szCs w:val="21"/>
              </w:rPr>
              <w:t>100/10</w:t>
            </w:r>
            <w:r>
              <w:rPr>
                <w:rFonts w:ascii="宋体"/>
                <w:szCs w:val="21"/>
              </w:rPr>
              <w:t>0</w:t>
            </w:r>
          </w:p>
        </w:tc>
        <w:tc>
          <w:tcPr>
            <w:tcW w:w="1337" w:type="dxa"/>
            <w:tcBorders>
              <w:bottom w:val="single" w:sz="12" w:space="0" w:color="auto"/>
            </w:tcBorders>
            <w:vAlign w:val="center"/>
          </w:tcPr>
          <w:p w:rsidR="00E62AD6" w:rsidRDefault="00E62AD6">
            <w:pPr>
              <w:spacing w:line="240" w:lineRule="exact"/>
              <w:jc w:val="center"/>
              <w:rPr>
                <w:rFonts w:ascii="宋体"/>
                <w:szCs w:val="21"/>
              </w:rPr>
            </w:pPr>
            <w:r>
              <w:rPr>
                <w:rFonts w:ascii="宋体" w:hAnsi="宋体"/>
                <w:szCs w:val="21"/>
              </w:rPr>
              <w:t>100/</w:t>
            </w:r>
            <w:r>
              <w:rPr>
                <w:rFonts w:ascii="宋体"/>
                <w:szCs w:val="21"/>
              </w:rPr>
              <w:t>99</w:t>
            </w:r>
          </w:p>
        </w:tc>
        <w:tc>
          <w:tcPr>
            <w:tcW w:w="1306" w:type="dxa"/>
            <w:tcBorders>
              <w:bottom w:val="single" w:sz="12" w:space="0" w:color="auto"/>
            </w:tcBorders>
            <w:vAlign w:val="center"/>
          </w:tcPr>
          <w:p w:rsidR="00E62AD6" w:rsidRDefault="00E62AD6">
            <w:pPr>
              <w:spacing w:line="240" w:lineRule="exact"/>
              <w:jc w:val="center"/>
              <w:rPr>
                <w:rFonts w:ascii="宋体"/>
                <w:szCs w:val="21"/>
              </w:rPr>
            </w:pPr>
            <w:r>
              <w:rPr>
                <w:rFonts w:ascii="宋体" w:hAnsi="宋体"/>
                <w:szCs w:val="21"/>
              </w:rPr>
              <w:t>13,939.00</w:t>
            </w:r>
          </w:p>
        </w:tc>
      </w:tr>
    </w:tbl>
    <w:p w:rsidR="00E62AD6" w:rsidRDefault="00E62AD6">
      <w:pPr>
        <w:spacing w:line="160" w:lineRule="exact"/>
        <w:rPr>
          <w:rFonts w:ascii="宋体"/>
          <w:sz w:val="24"/>
        </w:rPr>
      </w:pPr>
    </w:p>
    <w:p w:rsidR="00E62AD6" w:rsidRDefault="00E62AD6" w:rsidP="00F23040">
      <w:pPr>
        <w:spacing w:line="660" w:lineRule="exact"/>
        <w:ind w:firstLineChars="200" w:firstLine="31680"/>
        <w:rPr>
          <w:rFonts w:ascii="宋体"/>
          <w:sz w:val="24"/>
        </w:rPr>
      </w:pPr>
      <w:r>
        <w:rPr>
          <w:rFonts w:ascii="宋体" w:hAnsi="宋体"/>
          <w:sz w:val="24"/>
        </w:rPr>
        <w:t>4</w:t>
      </w:r>
      <w:r>
        <w:rPr>
          <w:rFonts w:ascii="宋体" w:hAnsi="宋体" w:hint="eastAsia"/>
          <w:sz w:val="24"/>
        </w:rPr>
        <w:t>、确定估价对象单位价值</w:t>
      </w:r>
    </w:p>
    <w:p w:rsidR="00E62AD6" w:rsidRDefault="00E62AD6" w:rsidP="00F23040">
      <w:pPr>
        <w:spacing w:line="660" w:lineRule="exact"/>
        <w:ind w:firstLineChars="200" w:firstLine="31680"/>
        <w:rPr>
          <w:rFonts w:ascii="宋体"/>
          <w:sz w:val="24"/>
        </w:rPr>
      </w:pPr>
      <w:r>
        <w:rPr>
          <w:rFonts w:ascii="宋体" w:hAnsi="宋体" w:hint="eastAsia"/>
          <w:sz w:val="24"/>
        </w:rPr>
        <w:t>根据以上修正结果，以简单算术平均法计算，则：</w:t>
      </w:r>
    </w:p>
    <w:p w:rsidR="00E62AD6" w:rsidRDefault="00E62AD6" w:rsidP="00F23040">
      <w:pPr>
        <w:spacing w:line="660" w:lineRule="exact"/>
        <w:ind w:firstLineChars="200" w:firstLine="31680"/>
        <w:rPr>
          <w:rFonts w:ascii="宋体"/>
          <w:sz w:val="24"/>
        </w:rPr>
      </w:pPr>
      <w:r>
        <w:rPr>
          <w:rFonts w:ascii="宋体" w:hAnsi="宋体" w:hint="eastAsia"/>
          <w:sz w:val="24"/>
        </w:rPr>
        <w:t>房产单位价值：（</w:t>
      </w:r>
      <w:r>
        <w:rPr>
          <w:rFonts w:ascii="宋体" w:hAnsi="宋体"/>
          <w:sz w:val="24"/>
        </w:rPr>
        <w:t>13,636.00 + 13,750.00 + 13,939.00</w:t>
      </w:r>
      <w:r>
        <w:rPr>
          <w:rFonts w:ascii="宋体" w:hAnsi="宋体" w:hint="eastAsia"/>
          <w:sz w:val="24"/>
        </w:rPr>
        <w:t>）÷</w:t>
      </w:r>
      <w:r>
        <w:rPr>
          <w:rFonts w:ascii="宋体" w:hAnsi="宋体"/>
          <w:sz w:val="24"/>
        </w:rPr>
        <w:t>3</w:t>
      </w:r>
    </w:p>
    <w:p w:rsidR="00E62AD6" w:rsidRDefault="00E62AD6" w:rsidP="00F23040">
      <w:pPr>
        <w:spacing w:line="660" w:lineRule="exact"/>
        <w:ind w:firstLineChars="200" w:firstLine="31680"/>
        <w:rPr>
          <w:rFonts w:ascii="宋体"/>
          <w:sz w:val="24"/>
        </w:rPr>
      </w:pPr>
      <w:r>
        <w:rPr>
          <w:rFonts w:ascii="宋体" w:hAnsi="宋体"/>
          <w:sz w:val="24"/>
        </w:rPr>
        <w:t xml:space="preserve">            </w:t>
      </w:r>
      <w:r>
        <w:rPr>
          <w:rFonts w:ascii="宋体" w:hAnsi="宋体" w:hint="eastAsia"/>
          <w:sz w:val="24"/>
        </w:rPr>
        <w:t>≈</w:t>
      </w:r>
      <w:r>
        <w:rPr>
          <w:rFonts w:ascii="宋体" w:hAnsi="宋体"/>
          <w:sz w:val="24"/>
        </w:rPr>
        <w:t xml:space="preserve"> 13,800.00</w:t>
      </w:r>
      <w:r>
        <w:rPr>
          <w:rFonts w:ascii="宋体" w:hAnsi="宋体" w:hint="eastAsia"/>
          <w:sz w:val="24"/>
        </w:rPr>
        <w:t>（元</w:t>
      </w:r>
      <w:r>
        <w:rPr>
          <w:rFonts w:ascii="宋体" w:hAnsi="宋体"/>
          <w:sz w:val="24"/>
        </w:rPr>
        <w:t>/</w:t>
      </w:r>
      <w:r>
        <w:rPr>
          <w:rFonts w:ascii="宋体" w:hAnsi="宋体" w:hint="eastAsia"/>
          <w:sz w:val="24"/>
        </w:rPr>
        <w:t>㎡）</w:t>
      </w:r>
    </w:p>
    <w:p w:rsidR="00E62AD6" w:rsidRDefault="00E62AD6" w:rsidP="00F23040">
      <w:pPr>
        <w:spacing w:line="660" w:lineRule="exact"/>
        <w:ind w:firstLineChars="200" w:firstLine="31680"/>
        <w:rPr>
          <w:rFonts w:ascii="宋体"/>
          <w:sz w:val="24"/>
        </w:rPr>
      </w:pPr>
      <w:r>
        <w:rPr>
          <w:rFonts w:ascii="宋体" w:hAnsi="宋体" w:hint="eastAsia"/>
          <w:b/>
          <w:bCs/>
          <w:sz w:val="24"/>
        </w:rPr>
        <w:t>（七）估价结果确定</w:t>
      </w:r>
    </w:p>
    <w:p w:rsidR="00E62AD6" w:rsidRDefault="00E62AD6" w:rsidP="00F23040">
      <w:pPr>
        <w:spacing w:line="660" w:lineRule="exact"/>
        <w:ind w:firstLineChars="200" w:firstLine="31680"/>
        <w:rPr>
          <w:rFonts w:ascii="宋体"/>
          <w:sz w:val="24"/>
        </w:rPr>
      </w:pPr>
      <w:r>
        <w:rPr>
          <w:rFonts w:ascii="宋体" w:hAnsi="宋体" w:hint="eastAsia"/>
          <w:sz w:val="24"/>
        </w:rPr>
        <w:t>经过评估，估价对象在价值时点的市场价值为：</w:t>
      </w:r>
    </w:p>
    <w:p w:rsidR="00E62AD6" w:rsidRDefault="00E62AD6" w:rsidP="00F23040">
      <w:pPr>
        <w:spacing w:line="660" w:lineRule="exact"/>
        <w:ind w:firstLineChars="200" w:firstLine="31680"/>
        <w:rPr>
          <w:rFonts w:ascii="宋体"/>
          <w:sz w:val="24"/>
        </w:rPr>
      </w:pPr>
      <w:r>
        <w:rPr>
          <w:rFonts w:ascii="宋体" w:hAnsi="宋体"/>
          <w:sz w:val="24"/>
        </w:rPr>
        <w:t>13,800.00</w:t>
      </w:r>
      <w:r>
        <w:rPr>
          <w:rFonts w:ascii="宋体" w:hAnsi="宋体" w:hint="eastAsia"/>
          <w:sz w:val="24"/>
        </w:rPr>
        <w:t>元</w:t>
      </w:r>
      <w:r>
        <w:rPr>
          <w:rFonts w:ascii="宋体" w:hAnsi="宋体"/>
          <w:sz w:val="24"/>
        </w:rPr>
        <w:t>/</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 xml:space="preserve"> 22.03</w:t>
      </w:r>
      <w:r>
        <w:rPr>
          <w:rFonts w:ascii="宋体" w:hAnsi="宋体" w:hint="eastAsia"/>
          <w:sz w:val="24"/>
        </w:rPr>
        <w:t>㎡</w:t>
      </w:r>
      <w:r>
        <w:rPr>
          <w:rFonts w:ascii="宋体" w:hAnsi="宋体"/>
          <w:sz w:val="24"/>
        </w:rPr>
        <w:t xml:space="preserve"> = 304,000.00</w:t>
      </w:r>
      <w:r>
        <w:rPr>
          <w:rFonts w:ascii="宋体" w:hAnsi="宋体" w:hint="eastAsia"/>
          <w:sz w:val="24"/>
        </w:rPr>
        <w:t>元</w:t>
      </w:r>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p>
    <w:p w:rsidR="00E62AD6" w:rsidRDefault="00E62AD6" w:rsidP="00F23040">
      <w:pPr>
        <w:spacing w:line="660" w:lineRule="exact"/>
        <w:ind w:firstLineChars="200" w:firstLine="31680"/>
        <w:rPr>
          <w:rFonts w:ascii="宋体"/>
          <w:sz w:val="24"/>
        </w:rPr>
      </w:pPr>
    </w:p>
    <w:p w:rsidR="00E62AD6" w:rsidRDefault="00E62AD6" w:rsidP="00F23040">
      <w:pPr>
        <w:spacing w:line="480" w:lineRule="exact"/>
        <w:ind w:leftChars="200" w:left="31680" w:hangingChars="2609" w:firstLine="31680"/>
        <w:jc w:val="center"/>
        <w:rPr>
          <w:rFonts w:ascii="黑体" w:eastAsia="黑体" w:hAnsi="宋体"/>
          <w:sz w:val="44"/>
        </w:rPr>
      </w:pPr>
      <w:r>
        <w:rPr>
          <w:rFonts w:ascii="黑体" w:eastAsia="黑体" w:hAnsi="宋体" w:hint="eastAsia"/>
          <w:sz w:val="44"/>
          <w:szCs w:val="44"/>
        </w:rPr>
        <w:t>六</w:t>
      </w:r>
      <w:r>
        <w:rPr>
          <w:rFonts w:ascii="黑体" w:eastAsia="黑体" w:hAnsi="宋体" w:hint="eastAsia"/>
          <w:sz w:val="44"/>
        </w:rPr>
        <w:t>、附</w:t>
      </w:r>
      <w:r>
        <w:rPr>
          <w:rFonts w:ascii="黑体" w:eastAsia="黑体" w:hAnsi="宋体"/>
          <w:sz w:val="44"/>
        </w:rPr>
        <w:t xml:space="preserve">    </w:t>
      </w:r>
      <w:r>
        <w:rPr>
          <w:rFonts w:ascii="黑体" w:eastAsia="黑体" w:hAnsi="宋体" w:hint="eastAsia"/>
          <w:sz w:val="44"/>
        </w:rPr>
        <w:t>件</w:t>
      </w:r>
    </w:p>
    <w:p w:rsidR="00E62AD6" w:rsidRDefault="00E62AD6" w:rsidP="00F23040">
      <w:pPr>
        <w:spacing w:line="440" w:lineRule="exact"/>
        <w:ind w:leftChars="200" w:left="31680" w:hangingChars="2609" w:firstLine="31680"/>
        <w:rPr>
          <w:rFonts w:ascii="宋体"/>
          <w:sz w:val="18"/>
        </w:rPr>
      </w:pPr>
    </w:p>
    <w:p w:rsidR="00E62AD6" w:rsidRDefault="00E62AD6" w:rsidP="00F23040">
      <w:pPr>
        <w:spacing w:line="440" w:lineRule="exact"/>
        <w:ind w:leftChars="200" w:left="31680" w:hangingChars="2609" w:firstLine="31680"/>
        <w:rPr>
          <w:rFonts w:ascii="宋体"/>
          <w:sz w:val="18"/>
        </w:rPr>
      </w:pPr>
    </w:p>
    <w:p w:rsidR="00E62AD6" w:rsidRDefault="00E62AD6" w:rsidP="00F23040">
      <w:pPr>
        <w:spacing w:line="720" w:lineRule="exact"/>
        <w:ind w:leftChars="200" w:left="31680" w:hangingChars="2609" w:firstLine="31680"/>
        <w:rPr>
          <w:rFonts w:ascii="宋体"/>
          <w:sz w:val="24"/>
        </w:rPr>
      </w:pPr>
      <w:r>
        <w:rPr>
          <w:rFonts w:ascii="宋体" w:hAnsi="宋体" w:hint="eastAsia"/>
          <w:sz w:val="24"/>
        </w:rPr>
        <w:t>（一）房产评估明细表</w:t>
      </w:r>
    </w:p>
    <w:p w:rsidR="00E62AD6" w:rsidRDefault="00E62AD6" w:rsidP="00F23040">
      <w:pPr>
        <w:spacing w:line="720" w:lineRule="exact"/>
        <w:ind w:leftChars="200" w:left="31680" w:hangingChars="2609" w:firstLine="31680"/>
        <w:rPr>
          <w:rFonts w:ascii="宋体"/>
          <w:sz w:val="24"/>
        </w:rPr>
      </w:pPr>
      <w:r>
        <w:rPr>
          <w:rFonts w:ascii="宋体" w:hAnsi="宋体" w:hint="eastAsia"/>
          <w:sz w:val="24"/>
        </w:rPr>
        <w:t>（二）估价对象现场照片</w:t>
      </w:r>
    </w:p>
    <w:p w:rsidR="00E62AD6" w:rsidRDefault="00E62AD6" w:rsidP="00F23040">
      <w:pPr>
        <w:spacing w:line="720" w:lineRule="exact"/>
        <w:ind w:leftChars="200" w:left="31680" w:hangingChars="2609" w:firstLine="31680"/>
        <w:rPr>
          <w:rFonts w:ascii="宋体"/>
          <w:sz w:val="24"/>
        </w:rPr>
      </w:pPr>
      <w:r>
        <w:rPr>
          <w:rFonts w:ascii="宋体" w:hAnsi="宋体" w:hint="eastAsia"/>
          <w:sz w:val="24"/>
        </w:rPr>
        <w:t>（三）估价对象位置示意图</w:t>
      </w:r>
    </w:p>
    <w:p w:rsidR="00E62AD6" w:rsidRDefault="00E62AD6" w:rsidP="00F23040">
      <w:pPr>
        <w:spacing w:line="720" w:lineRule="exact"/>
        <w:ind w:leftChars="200" w:left="31680" w:hangingChars="2609" w:firstLine="31680"/>
        <w:rPr>
          <w:rFonts w:ascii="宋体"/>
          <w:sz w:val="24"/>
        </w:rPr>
      </w:pPr>
      <w:r>
        <w:rPr>
          <w:rFonts w:ascii="宋体" w:hAnsi="宋体" w:hint="eastAsia"/>
          <w:sz w:val="24"/>
        </w:rPr>
        <w:t>（四）《司法评估委托书》及《执行裁定书》（复印件）</w:t>
      </w:r>
    </w:p>
    <w:p w:rsidR="00E62AD6" w:rsidRDefault="00E62AD6" w:rsidP="00F23040">
      <w:pPr>
        <w:spacing w:line="720" w:lineRule="exact"/>
        <w:ind w:leftChars="200" w:left="31680" w:hangingChars="2609" w:firstLine="31680"/>
        <w:rPr>
          <w:rFonts w:ascii="宋体"/>
          <w:sz w:val="24"/>
        </w:rPr>
      </w:pPr>
      <w:r>
        <w:rPr>
          <w:rFonts w:ascii="宋体" w:hAnsi="宋体" w:hint="eastAsia"/>
          <w:sz w:val="24"/>
        </w:rPr>
        <w:t>（五）《财产清单》、《房地产权结果信息一览表》（复印件）</w:t>
      </w:r>
    </w:p>
    <w:p w:rsidR="00E62AD6" w:rsidRDefault="00E62AD6" w:rsidP="00F23040">
      <w:pPr>
        <w:spacing w:line="720" w:lineRule="exact"/>
        <w:ind w:leftChars="200" w:left="31680" w:hangingChars="2609" w:firstLine="31680"/>
        <w:rPr>
          <w:rFonts w:ascii="宋体"/>
          <w:sz w:val="24"/>
        </w:rPr>
      </w:pPr>
      <w:r>
        <w:rPr>
          <w:rFonts w:ascii="宋体" w:hAnsi="宋体" w:hint="eastAsia"/>
          <w:sz w:val="24"/>
        </w:rPr>
        <w:t>（六）房地产评估机构《营业执照》（复印件）</w:t>
      </w:r>
    </w:p>
    <w:p w:rsidR="00E62AD6" w:rsidRDefault="00E62AD6" w:rsidP="00F23040">
      <w:pPr>
        <w:spacing w:line="720" w:lineRule="exact"/>
        <w:ind w:leftChars="200" w:left="31680" w:hangingChars="2609" w:firstLine="31680"/>
      </w:pPr>
      <w:r>
        <w:rPr>
          <w:rFonts w:ascii="宋体" w:hAnsi="宋体" w:hint="eastAsia"/>
          <w:sz w:val="24"/>
        </w:rPr>
        <w:t>（七）房地产评估机构备案证书及注册房地产估价师资格证书（复印件）</w:t>
      </w:r>
    </w:p>
    <w:p w:rsidR="00E62AD6" w:rsidRDefault="00E62AD6" w:rsidP="00F23040">
      <w:pPr>
        <w:spacing w:line="720" w:lineRule="exact"/>
        <w:ind w:leftChars="200" w:left="31680" w:hangingChars="2609" w:firstLine="31680"/>
        <w:rPr>
          <w:rFonts w:ascii="宋体"/>
          <w:sz w:val="24"/>
        </w:rPr>
      </w:pPr>
    </w:p>
    <w:p w:rsidR="00E62AD6" w:rsidRDefault="00E62AD6" w:rsidP="00F23040">
      <w:pPr>
        <w:spacing w:line="720" w:lineRule="exact"/>
        <w:ind w:leftChars="200" w:left="31680" w:hangingChars="2609" w:firstLine="31680"/>
        <w:rPr>
          <w:rFonts w:ascii="宋体"/>
          <w:sz w:val="24"/>
        </w:rPr>
      </w:pPr>
    </w:p>
    <w:p w:rsidR="00E62AD6" w:rsidRDefault="00E62AD6" w:rsidP="00F23040">
      <w:pPr>
        <w:spacing w:line="720" w:lineRule="exact"/>
        <w:ind w:leftChars="200" w:left="31680" w:hangingChars="2609" w:firstLine="31680"/>
        <w:rPr>
          <w:rFonts w:ascii="宋体"/>
          <w:sz w:val="24"/>
        </w:rPr>
      </w:pPr>
    </w:p>
    <w:p w:rsidR="00E62AD6" w:rsidRDefault="00E62AD6" w:rsidP="00F23040">
      <w:pPr>
        <w:spacing w:line="720" w:lineRule="exact"/>
        <w:ind w:leftChars="200" w:left="31680" w:hangingChars="2609" w:firstLine="31680"/>
        <w:rPr>
          <w:rFonts w:ascii="宋体"/>
          <w:sz w:val="24"/>
        </w:rPr>
      </w:pPr>
    </w:p>
    <w:p w:rsidR="00E62AD6" w:rsidRDefault="00E62AD6" w:rsidP="00F23040">
      <w:pPr>
        <w:spacing w:line="720" w:lineRule="exact"/>
        <w:ind w:leftChars="200" w:left="31680" w:hangingChars="2609" w:firstLine="31680"/>
        <w:rPr>
          <w:rFonts w:ascii="宋体"/>
          <w:sz w:val="24"/>
        </w:rPr>
      </w:pPr>
    </w:p>
    <w:p w:rsidR="00E62AD6" w:rsidRDefault="00E62AD6" w:rsidP="00F23040">
      <w:pPr>
        <w:spacing w:line="720" w:lineRule="exact"/>
        <w:ind w:leftChars="200" w:left="31680" w:hangingChars="2609" w:firstLine="31680"/>
        <w:rPr>
          <w:rFonts w:ascii="宋体"/>
          <w:sz w:val="24"/>
        </w:rPr>
      </w:pPr>
    </w:p>
    <w:p w:rsidR="00E62AD6" w:rsidRDefault="00E62AD6" w:rsidP="00F23040">
      <w:pPr>
        <w:spacing w:line="720" w:lineRule="exact"/>
        <w:ind w:leftChars="200" w:left="31680" w:hangingChars="2609" w:firstLine="31680"/>
        <w:rPr>
          <w:rFonts w:ascii="宋体"/>
          <w:sz w:val="24"/>
        </w:rPr>
      </w:pPr>
    </w:p>
    <w:p w:rsidR="00E62AD6" w:rsidRDefault="00E62AD6">
      <w:pPr>
        <w:spacing w:line="480" w:lineRule="exact"/>
        <w:rPr>
          <w:rFonts w:ascii="黑体" w:eastAsia="黑体" w:hAnsi="宋体"/>
          <w:sz w:val="44"/>
        </w:rPr>
        <w:sectPr w:rsidR="00E62AD6">
          <w:footerReference w:type="default" r:id="rId20"/>
          <w:footnotePr>
            <w:numRestart w:val="eachPage"/>
          </w:footnotePr>
          <w:type w:val="oddPage"/>
          <w:pgSz w:w="11907" w:h="16840"/>
          <w:pgMar w:top="1440" w:right="1800" w:bottom="1440" w:left="1800" w:header="737" w:footer="737" w:gutter="0"/>
          <w:pgNumType w:start="1"/>
          <w:cols w:space="720"/>
          <w:docGrid w:linePitch="286" w:charSpace="1259"/>
        </w:sectPr>
      </w:pPr>
    </w:p>
    <w:p w:rsidR="00E62AD6" w:rsidRDefault="00E62AD6">
      <w:pPr>
        <w:spacing w:line="480" w:lineRule="exact"/>
        <w:rPr>
          <w:rFonts w:ascii="黑体" w:eastAsia="黑体" w:hAnsi="宋体"/>
          <w:sz w:val="44"/>
        </w:rPr>
      </w:pPr>
    </w:p>
    <w:p w:rsidR="00E62AD6" w:rsidRDefault="00E62AD6">
      <w:pPr>
        <w:spacing w:line="480" w:lineRule="exact"/>
        <w:rPr>
          <w:rFonts w:ascii="黑体" w:eastAsia="黑体" w:hAnsi="宋体"/>
          <w:sz w:val="44"/>
        </w:rPr>
      </w:pPr>
    </w:p>
    <w:p w:rsidR="00E62AD6" w:rsidRDefault="00E62AD6" w:rsidP="00F23040">
      <w:pPr>
        <w:spacing w:line="480" w:lineRule="exact"/>
        <w:ind w:leftChars="200" w:left="31680" w:hangingChars="2609" w:firstLine="31680"/>
        <w:jc w:val="center"/>
        <w:rPr>
          <w:rFonts w:ascii="黑体" w:eastAsia="黑体" w:hAnsi="宋体"/>
          <w:sz w:val="44"/>
        </w:rPr>
      </w:pPr>
      <w:r>
        <w:rPr>
          <w:rFonts w:ascii="黑体" w:eastAsia="黑体" w:hAnsi="宋体" w:hint="eastAsia"/>
          <w:sz w:val="44"/>
        </w:rPr>
        <w:t>五、附</w:t>
      </w:r>
      <w:r>
        <w:rPr>
          <w:rFonts w:ascii="黑体" w:eastAsia="黑体" w:hAnsi="宋体"/>
          <w:sz w:val="44"/>
        </w:rPr>
        <w:t xml:space="preserve">    </w:t>
      </w:r>
      <w:r>
        <w:rPr>
          <w:rFonts w:ascii="黑体" w:eastAsia="黑体" w:hAnsi="宋体" w:hint="eastAsia"/>
          <w:sz w:val="44"/>
        </w:rPr>
        <w:t>件</w:t>
      </w:r>
    </w:p>
    <w:p w:rsidR="00E62AD6" w:rsidRDefault="00E62AD6" w:rsidP="00F23040">
      <w:pPr>
        <w:spacing w:line="560" w:lineRule="exact"/>
        <w:ind w:leftChars="200" w:left="31680" w:hangingChars="2609" w:firstLine="31680"/>
        <w:rPr>
          <w:rFonts w:ascii="宋体"/>
          <w:sz w:val="18"/>
        </w:rPr>
      </w:pPr>
    </w:p>
    <w:p w:rsidR="00E62AD6" w:rsidRDefault="00E62AD6" w:rsidP="00F23040">
      <w:pPr>
        <w:spacing w:line="560" w:lineRule="exact"/>
        <w:ind w:leftChars="200" w:left="31680" w:hangingChars="2609" w:firstLine="31680"/>
        <w:rPr>
          <w:rFonts w:ascii="宋体"/>
          <w:sz w:val="18"/>
        </w:rPr>
      </w:pPr>
    </w:p>
    <w:p w:rsidR="00E62AD6" w:rsidRDefault="00E62AD6" w:rsidP="00F23040">
      <w:pPr>
        <w:spacing w:line="720" w:lineRule="exact"/>
        <w:ind w:leftChars="200" w:left="31680" w:hangingChars="2609" w:firstLine="31680"/>
        <w:rPr>
          <w:rFonts w:ascii="宋体"/>
          <w:sz w:val="24"/>
        </w:rPr>
      </w:pPr>
      <w:r>
        <w:rPr>
          <w:rFonts w:ascii="宋体" w:hAnsi="宋体" w:hint="eastAsia"/>
          <w:sz w:val="24"/>
        </w:rPr>
        <w:t>（一）房产评估明细表</w:t>
      </w:r>
    </w:p>
    <w:p w:rsidR="00E62AD6" w:rsidRDefault="00E62AD6" w:rsidP="00F23040">
      <w:pPr>
        <w:spacing w:line="720" w:lineRule="exact"/>
        <w:ind w:leftChars="200" w:left="31680" w:hangingChars="2609" w:firstLine="31680"/>
        <w:rPr>
          <w:rFonts w:ascii="宋体"/>
          <w:sz w:val="24"/>
        </w:rPr>
      </w:pPr>
      <w:r>
        <w:rPr>
          <w:rFonts w:ascii="宋体" w:hAnsi="宋体" w:hint="eastAsia"/>
          <w:sz w:val="24"/>
        </w:rPr>
        <w:t>（二）估价对象现场照片</w:t>
      </w:r>
    </w:p>
    <w:p w:rsidR="00E62AD6" w:rsidRDefault="00E62AD6" w:rsidP="00F23040">
      <w:pPr>
        <w:spacing w:line="720" w:lineRule="exact"/>
        <w:ind w:leftChars="200" w:left="31680" w:hangingChars="2609" w:firstLine="31680"/>
        <w:rPr>
          <w:rFonts w:ascii="宋体"/>
          <w:sz w:val="24"/>
        </w:rPr>
      </w:pPr>
      <w:r>
        <w:rPr>
          <w:rFonts w:ascii="宋体" w:hAnsi="宋体" w:hint="eastAsia"/>
          <w:sz w:val="24"/>
        </w:rPr>
        <w:t>（三）估价对象位置示意图</w:t>
      </w:r>
    </w:p>
    <w:p w:rsidR="00E62AD6" w:rsidRDefault="00E62AD6" w:rsidP="00F23040">
      <w:pPr>
        <w:spacing w:line="720" w:lineRule="exact"/>
        <w:ind w:leftChars="200" w:left="31680" w:hangingChars="2609" w:firstLine="31680"/>
        <w:rPr>
          <w:rFonts w:ascii="宋体"/>
          <w:sz w:val="24"/>
        </w:rPr>
      </w:pPr>
      <w:r>
        <w:rPr>
          <w:rFonts w:ascii="宋体" w:hAnsi="宋体" w:hint="eastAsia"/>
          <w:sz w:val="24"/>
        </w:rPr>
        <w:t>（四）《司法评估委托书》及《执行裁定书》（复印件）</w:t>
      </w:r>
    </w:p>
    <w:p w:rsidR="00E62AD6" w:rsidRDefault="00E62AD6" w:rsidP="00F23040">
      <w:pPr>
        <w:spacing w:line="720" w:lineRule="exact"/>
        <w:ind w:leftChars="200" w:left="31680" w:hangingChars="2609" w:firstLine="31680"/>
        <w:rPr>
          <w:rFonts w:ascii="宋体"/>
          <w:sz w:val="24"/>
        </w:rPr>
      </w:pPr>
      <w:r>
        <w:rPr>
          <w:rFonts w:ascii="宋体" w:hAnsi="宋体" w:hint="eastAsia"/>
          <w:sz w:val="24"/>
        </w:rPr>
        <w:t>（五）《财产清单》、《房地产权结果信息一览表》（复印件）</w:t>
      </w:r>
    </w:p>
    <w:p w:rsidR="00E62AD6" w:rsidRDefault="00E62AD6" w:rsidP="00F23040">
      <w:pPr>
        <w:spacing w:line="720" w:lineRule="exact"/>
        <w:ind w:leftChars="200" w:left="31680" w:hangingChars="2609" w:firstLine="31680"/>
        <w:rPr>
          <w:rFonts w:ascii="宋体"/>
          <w:sz w:val="24"/>
        </w:rPr>
      </w:pPr>
      <w:r>
        <w:rPr>
          <w:rFonts w:ascii="宋体" w:hAnsi="宋体" w:hint="eastAsia"/>
          <w:sz w:val="24"/>
        </w:rPr>
        <w:t>（六）房地产评估机构《营业执照》（复印件）</w:t>
      </w:r>
    </w:p>
    <w:p w:rsidR="00E62AD6" w:rsidRDefault="00E62AD6" w:rsidP="00F23040">
      <w:pPr>
        <w:spacing w:line="720" w:lineRule="exact"/>
        <w:ind w:leftChars="200" w:left="31680" w:hangingChars="2609" w:firstLine="31680"/>
      </w:pPr>
      <w:r>
        <w:rPr>
          <w:rFonts w:ascii="宋体" w:hAnsi="宋体" w:hint="eastAsia"/>
          <w:sz w:val="24"/>
        </w:rPr>
        <w:t>（七）房地产评估机构备案证书及注册房地产估价师资格证书（复印件）</w:t>
      </w:r>
    </w:p>
    <w:p w:rsidR="00E62AD6" w:rsidRDefault="00E62AD6" w:rsidP="005B19AF">
      <w:pPr>
        <w:spacing w:line="720" w:lineRule="exact"/>
        <w:ind w:leftChars="200" w:left="31680" w:hangingChars="2609" w:firstLine="31680"/>
      </w:pPr>
    </w:p>
    <w:sectPr w:rsidR="00E62AD6" w:rsidSect="00D6514C">
      <w:footerReference w:type="default" r:id="rId21"/>
      <w:footnotePr>
        <w:numRestart w:val="eachPage"/>
      </w:footnotePr>
      <w:pgSz w:w="11907" w:h="16840"/>
      <w:pgMar w:top="1429" w:right="1690" w:bottom="1985" w:left="1690" w:header="737" w:footer="737" w:gutter="0"/>
      <w:pgNumType w:start="12"/>
      <w:cols w:space="720"/>
      <w:docGrid w:linePitch="286" w:charSpace="12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AD6" w:rsidRDefault="00E62AD6" w:rsidP="00D6514C">
      <w:r>
        <w:separator/>
      </w:r>
    </w:p>
  </w:endnote>
  <w:endnote w:type="continuationSeparator" w:id="0">
    <w:p w:rsidR="00E62AD6" w:rsidRDefault="00E62AD6" w:rsidP="00D65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0000000000000000000"/>
    <w:charset w:val="86"/>
    <w:family w:val="auto"/>
    <w:notTrueType/>
    <w:pitch w:val="default"/>
    <w:sig w:usb0="00000287" w:usb1="080E0000" w:usb2="00000010" w:usb3="00000000" w:csb0="0004009F" w:csb1="00000000"/>
  </w:font>
  <w:font w:name="华文隶书">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D6" w:rsidRDefault="00E62A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rsidR="00E62AD6" w:rsidRDefault="00E62A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D6" w:rsidRDefault="00E62AD6">
    <w:pPr>
      <w:pStyle w:val="Footer"/>
      <w:framePr w:wrap="around" w:vAnchor="text" w:hAnchor="margin" w:xAlign="right" w:y="1"/>
      <w:rPr>
        <w:rStyle w:val="PageNumber"/>
      </w:rPr>
    </w:pPr>
  </w:p>
  <w:p w:rsidR="00E62AD6" w:rsidRDefault="00E62AD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D6" w:rsidRDefault="00E62AD6">
    <w:pPr>
      <w:pStyle w:val="Footer"/>
      <w:ind w:right="-113"/>
      <w:rPr>
        <w:rFonts w:ascii="宋体"/>
        <w:bCs/>
        <w:sz w:val="21"/>
      </w:rPr>
    </w:pPr>
    <w:r>
      <w:rPr>
        <w:u w:val="single"/>
      </w:rPr>
      <w:t xml:space="preserve">                                                                                                            </w:t>
    </w:r>
    <w:r>
      <w:rPr>
        <w:rFonts w:ascii="宋体" w:hAnsi="宋体" w:hint="eastAsia"/>
        <w:bCs/>
        <w:sz w:val="21"/>
        <w:szCs w:val="21"/>
      </w:rPr>
      <w:t>粤瑞基房估字</w:t>
    </w:r>
    <w:r>
      <w:rPr>
        <w:rFonts w:ascii="宋体" w:hAnsi="宋体"/>
        <w:bCs/>
        <w:sz w:val="21"/>
        <w:szCs w:val="21"/>
      </w:rPr>
      <w:t>[2022]</w:t>
    </w:r>
    <w:r>
      <w:rPr>
        <w:rFonts w:ascii="宋体" w:hAnsi="宋体" w:hint="eastAsia"/>
        <w:bCs/>
        <w:sz w:val="21"/>
        <w:szCs w:val="21"/>
      </w:rPr>
      <w:t>第</w:t>
    </w:r>
    <w:r>
      <w:rPr>
        <w:rFonts w:ascii="宋体" w:hAnsi="宋体"/>
        <w:bCs/>
        <w:sz w:val="21"/>
        <w:szCs w:val="21"/>
      </w:rPr>
      <w:t>556</w:t>
    </w:r>
    <w:r>
      <w:rPr>
        <w:rFonts w:ascii="宋体" w:hAnsi="宋体" w:hint="eastAsia"/>
        <w:bCs/>
        <w:sz w:val="21"/>
        <w:szCs w:val="21"/>
      </w:rPr>
      <w:t>号</w:t>
    </w:r>
    <w:r>
      <w:rPr>
        <w:rFonts w:ascii="宋体" w:hAnsi="宋体"/>
        <w:bCs/>
        <w:sz w:val="21"/>
      </w:rPr>
      <w:t xml:space="preserve">                                             </w:t>
    </w:r>
    <w:r>
      <w:rPr>
        <w:rFonts w:ascii="宋体" w:hAnsi="宋体"/>
        <w:bCs/>
        <w:sz w:val="21"/>
        <w:szCs w:val="21"/>
      </w:rPr>
      <w:t xml:space="preserve"> </w:t>
    </w:r>
    <w:r>
      <w:rPr>
        <w:rFonts w:ascii="宋体" w:hAnsi="宋体" w:hint="eastAsia"/>
        <w:bCs/>
        <w:sz w:val="21"/>
        <w:szCs w:val="21"/>
      </w:rPr>
      <w:t>第</w:t>
    </w:r>
    <w:r>
      <w:rPr>
        <w:rFonts w:ascii="宋体" w:hAnsi="宋体"/>
        <w:bCs/>
        <w:sz w:val="21"/>
        <w:szCs w:val="21"/>
      </w:rPr>
      <w:t xml:space="preserve"> </w:t>
    </w:r>
    <w:r>
      <w:rPr>
        <w:rStyle w:val="PageNumber"/>
        <w:rFonts w:ascii="宋体" w:hAnsi="宋体"/>
        <w:bCs/>
        <w:sz w:val="21"/>
        <w:szCs w:val="21"/>
      </w:rPr>
      <w:fldChar w:fldCharType="begin"/>
    </w:r>
    <w:r>
      <w:rPr>
        <w:rStyle w:val="PageNumber"/>
        <w:rFonts w:ascii="宋体" w:hAnsi="宋体"/>
        <w:bCs/>
        <w:sz w:val="21"/>
        <w:szCs w:val="21"/>
      </w:rPr>
      <w:instrText xml:space="preserve"> PAGE </w:instrText>
    </w:r>
    <w:r>
      <w:rPr>
        <w:rStyle w:val="PageNumber"/>
        <w:rFonts w:ascii="宋体" w:hAnsi="宋体"/>
        <w:bCs/>
        <w:sz w:val="21"/>
        <w:szCs w:val="21"/>
      </w:rPr>
      <w:fldChar w:fldCharType="separate"/>
    </w:r>
    <w:r>
      <w:rPr>
        <w:rStyle w:val="PageNumber"/>
        <w:rFonts w:ascii="宋体" w:hAnsi="宋体"/>
        <w:bCs/>
        <w:sz w:val="21"/>
        <w:szCs w:val="21"/>
      </w:rPr>
      <w:t>21</w:t>
    </w:r>
    <w:r>
      <w:rPr>
        <w:rStyle w:val="PageNumber"/>
        <w:rFonts w:ascii="宋体" w:hAnsi="宋体"/>
        <w:bCs/>
        <w:sz w:val="21"/>
        <w:szCs w:val="21"/>
      </w:rPr>
      <w:fldChar w:fldCharType="end"/>
    </w:r>
    <w:r>
      <w:rPr>
        <w:rStyle w:val="PageNumber"/>
        <w:rFonts w:ascii="宋体" w:hAnsi="宋体"/>
        <w:bCs/>
        <w:sz w:val="21"/>
        <w:szCs w:val="21"/>
      </w:rPr>
      <w:t xml:space="preserve"> </w:t>
    </w:r>
    <w:r>
      <w:rPr>
        <w:rFonts w:ascii="宋体" w:hAnsi="宋体" w:hint="eastAsia"/>
        <w:bCs/>
        <w:sz w:val="21"/>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D6" w:rsidRDefault="00E62AD6">
    <w:pPr>
      <w:pStyle w:val="Footer"/>
      <w:ind w:right="360"/>
      <w:rPr>
        <w:rFonts w:ascii="宋体"/>
        <w:b/>
        <w:sz w:val="21"/>
      </w:rPr>
    </w:pPr>
    <w:r>
      <w:rPr>
        <w:noProof/>
      </w:rPr>
      <w:pict>
        <v:shapetype id="_x0000_t202" coordsize="21600,21600" o:spt="202" path="m,l,21600r21600,l21600,xe">
          <v:stroke joinstyle="miter"/>
          <v:path gradientshapeok="t" o:connecttype="rect"/>
        </v:shapetype>
        <v:shape id="文本框 1025" o:spid="_x0000_s2049" type="#_x0000_t202" style="position:absolute;margin-left:0;margin-top:0;width:450pt;height:24.6pt;z-index:251660288;mso-position-horizontal:left;mso-position-horizontal-relative:margin" filled="f" stroked="f">
          <v:textbox style="mso-fit-shape-to-text:t" inset="0,0,0,0">
            <w:txbxContent>
              <w:p w:rsidR="00E62AD6" w:rsidRDefault="00E62AD6">
                <w:pPr>
                  <w:pStyle w:val="Footer"/>
                  <w:ind w:right="360"/>
                </w:pPr>
                <w:r>
                  <w:rPr>
                    <w:u w:val="single"/>
                  </w:rPr>
                  <w:t xml:space="preserve">                                                                                                               </w:t>
                </w:r>
                <w:r>
                  <w:rPr>
                    <w:rFonts w:ascii="宋体" w:hAnsi="宋体" w:hint="eastAsia"/>
                    <w:bCs/>
                    <w:sz w:val="21"/>
                    <w:szCs w:val="21"/>
                  </w:rPr>
                  <w:t>粤瑞基房估字</w:t>
                </w:r>
                <w:r>
                  <w:rPr>
                    <w:rFonts w:ascii="宋体" w:hAnsi="宋体"/>
                    <w:bCs/>
                    <w:sz w:val="21"/>
                    <w:szCs w:val="21"/>
                  </w:rPr>
                  <w:t>[2022]</w:t>
                </w:r>
                <w:r>
                  <w:rPr>
                    <w:rFonts w:ascii="宋体" w:hAnsi="宋体" w:hint="eastAsia"/>
                    <w:bCs/>
                    <w:sz w:val="21"/>
                    <w:szCs w:val="21"/>
                  </w:rPr>
                  <w:t>第</w:t>
                </w:r>
                <w:r>
                  <w:rPr>
                    <w:rFonts w:ascii="宋体" w:hAnsi="宋体"/>
                    <w:bCs/>
                    <w:sz w:val="21"/>
                    <w:szCs w:val="21"/>
                  </w:rPr>
                  <w:t>556</w:t>
                </w:r>
                <w:r>
                  <w:rPr>
                    <w:rFonts w:ascii="宋体" w:hAnsi="宋体" w:hint="eastAsia"/>
                    <w:bCs/>
                    <w:sz w:val="21"/>
                    <w:szCs w:val="21"/>
                  </w:rPr>
                  <w:t>号</w:t>
                </w:r>
                <w:r>
                  <w:rPr>
                    <w:rFonts w:ascii="宋体" w:hAnsi="宋体"/>
                    <w:bCs/>
                    <w:sz w:val="21"/>
                  </w:rPr>
                  <w:t xml:space="preserve">                                               </w:t>
                </w:r>
                <w:r>
                  <w:rPr>
                    <w:rFonts w:ascii="宋体" w:hAnsi="宋体"/>
                    <w:bCs/>
                    <w:sz w:val="21"/>
                    <w:szCs w:val="21"/>
                  </w:rPr>
                  <w:t xml:space="preserve"> </w:t>
                </w:r>
                <w:r>
                  <w:rPr>
                    <w:rFonts w:ascii="宋体" w:hAnsi="宋体" w:hint="eastAsia"/>
                    <w:bCs/>
                    <w:sz w:val="21"/>
                    <w:szCs w:val="21"/>
                  </w:rPr>
                  <w:t>第</w:t>
                </w:r>
                <w:r>
                  <w:rPr>
                    <w:rFonts w:ascii="宋体" w:hAnsi="宋体"/>
                    <w:bCs/>
                    <w:sz w:val="21"/>
                    <w:szCs w:val="21"/>
                  </w:rPr>
                  <w:t xml:space="preserve"> </w:t>
                </w:r>
                <w:r>
                  <w:rPr>
                    <w:rStyle w:val="PageNumber"/>
                    <w:rFonts w:ascii="宋体" w:hAnsi="宋体"/>
                    <w:bCs/>
                    <w:sz w:val="21"/>
                    <w:szCs w:val="21"/>
                  </w:rPr>
                  <w:fldChar w:fldCharType="begin"/>
                </w:r>
                <w:r>
                  <w:rPr>
                    <w:rStyle w:val="PageNumber"/>
                    <w:rFonts w:ascii="宋体" w:hAnsi="宋体"/>
                    <w:bCs/>
                    <w:sz w:val="21"/>
                    <w:szCs w:val="21"/>
                  </w:rPr>
                  <w:instrText xml:space="preserve"> PAGE </w:instrText>
                </w:r>
                <w:r>
                  <w:rPr>
                    <w:rStyle w:val="PageNumber"/>
                    <w:rFonts w:ascii="宋体" w:hAnsi="宋体"/>
                    <w:bCs/>
                    <w:sz w:val="21"/>
                    <w:szCs w:val="21"/>
                  </w:rPr>
                  <w:fldChar w:fldCharType="separate"/>
                </w:r>
                <w:r>
                  <w:rPr>
                    <w:rStyle w:val="PageNumber"/>
                    <w:rFonts w:ascii="宋体" w:hAnsi="宋体"/>
                    <w:bCs/>
                    <w:noProof/>
                    <w:sz w:val="21"/>
                    <w:szCs w:val="21"/>
                  </w:rPr>
                  <w:t>12</w:t>
                </w:r>
                <w:r>
                  <w:rPr>
                    <w:rStyle w:val="PageNumber"/>
                    <w:rFonts w:ascii="宋体" w:hAnsi="宋体"/>
                    <w:bCs/>
                    <w:sz w:val="21"/>
                    <w:szCs w:val="21"/>
                  </w:rPr>
                  <w:fldChar w:fldCharType="end"/>
                </w:r>
                <w:r>
                  <w:rPr>
                    <w:rStyle w:val="PageNumber"/>
                    <w:rFonts w:ascii="宋体" w:hAnsi="宋体"/>
                    <w:bCs/>
                    <w:sz w:val="21"/>
                    <w:szCs w:val="21"/>
                  </w:rPr>
                  <w:t xml:space="preserve"> </w:t>
                </w:r>
                <w:r>
                  <w:rPr>
                    <w:rFonts w:ascii="宋体" w:hAnsi="宋体" w:hint="eastAsia"/>
                    <w:bCs/>
                    <w:sz w:val="21"/>
                    <w:szCs w:val="21"/>
                  </w:rPr>
                  <w:t>页</w:t>
                </w:r>
                <w:r>
                  <w:rPr>
                    <w:rFonts w:ascii="宋体" w:hAnsi="宋体"/>
                    <w:bCs/>
                    <w:sz w:val="21"/>
                    <w:szCs w:val="21"/>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AD6" w:rsidRDefault="00E62AD6" w:rsidP="00D6514C">
      <w:r>
        <w:separator/>
      </w:r>
    </w:p>
  </w:footnote>
  <w:footnote w:type="continuationSeparator" w:id="0">
    <w:p w:rsidR="00E62AD6" w:rsidRDefault="00E62AD6" w:rsidP="00D65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D6" w:rsidRDefault="00E62AD6">
    <w:pPr>
      <w:pStyle w:val="Header"/>
      <w:tabs>
        <w:tab w:val="left" w:pos="2916"/>
      </w:tabs>
      <w:jc w:val="right"/>
    </w:pPr>
    <w:r>
      <w:rPr>
        <w:rFonts w:ascii="宋体" w:hAnsi="宋体" w:hint="eastAsia"/>
        <w:i/>
        <w:sz w:val="22"/>
        <w:szCs w:val="22"/>
      </w:rPr>
      <w:t>广东瑞基资产评估土地房地产估价有限公司</w:t>
    </w:r>
    <w:r>
      <w:rPr>
        <w:rFonts w:ascii="宋体" w:hAnsi="宋体" w:hint="eastAsia"/>
        <w:i/>
        <w:sz w:val="21"/>
        <w:szCs w:val="21"/>
      </w:rPr>
      <w:t>《房地产估价报告》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D6" w:rsidRDefault="00E62AD6">
    <w:pPr>
      <w:pStyle w:val="Header"/>
      <w:tabs>
        <w:tab w:val="left" w:pos="2916"/>
      </w:tabs>
      <w:jc w:val="right"/>
    </w:pPr>
    <w:r>
      <w:rPr>
        <w:rFonts w:ascii="宋体" w:hAnsi="宋体" w:hint="eastAsia"/>
        <w:i/>
        <w:sz w:val="22"/>
        <w:szCs w:val="22"/>
      </w:rPr>
      <w:t>广东瑞基资产评估土地房地产估价有限公司</w:t>
    </w:r>
    <w:r>
      <w:rPr>
        <w:rFonts w:ascii="宋体" w:hAnsi="宋体" w:hint="eastAsia"/>
        <w:i/>
        <w:sz w:val="21"/>
        <w:szCs w:val="21"/>
      </w:rPr>
      <w:t>《房地产估价报告》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D6" w:rsidRDefault="00E62AD6">
    <w:pPr>
      <w:pStyle w:val="Header"/>
      <w:tabs>
        <w:tab w:val="left" w:pos="2916"/>
      </w:tabs>
      <w:wordWrap w:val="0"/>
      <w:jc w:val="right"/>
    </w:pPr>
    <w:r w:rsidRPr="00697D95">
      <w:rPr>
        <w:rFonts w:ascii="华文隶书" w:eastAsia="华文隶书"/>
        <w: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style="width:16.5pt;height:16.5pt;visibility:visible">
          <v:imagedata r:id="rId1" o:title=""/>
        </v:shape>
      </w:pict>
    </w:r>
    <w:r>
      <w:rPr>
        <w:rFonts w:ascii="华文隶书" w:eastAsia="华文隶书"/>
        <w:i/>
        <w:sz w:val="22"/>
        <w:szCs w:val="22"/>
      </w:rPr>
      <w:t xml:space="preserve">                   </w:t>
    </w:r>
    <w:r>
      <w:rPr>
        <w:rFonts w:ascii="宋体" w:hAnsi="宋体" w:hint="eastAsia"/>
        <w:i/>
        <w:sz w:val="22"/>
        <w:szCs w:val="22"/>
      </w:rPr>
      <w:t>广东瑞基资产评估土地房地产估价有限公司</w:t>
    </w:r>
    <w:r>
      <w:rPr>
        <w:rFonts w:ascii="宋体" w:hAnsi="宋体" w:hint="eastAsia"/>
        <w:i/>
        <w:sz w:val="21"/>
        <w:szCs w:val="21"/>
      </w:rPr>
      <w:t>《房地产估价报告》</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D6" w:rsidRDefault="00E62AD6">
    <w:pPr>
      <w:pStyle w:val="Header"/>
      <w:tabs>
        <w:tab w:val="left" w:pos="2916"/>
      </w:tabs>
      <w:jc w:val="both"/>
    </w:pPr>
    <w:r w:rsidRPr="00697D95">
      <w:rPr>
        <w:rFonts w:ascii="华文隶书" w:eastAsia="华文隶书"/>
        <w: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8" type="#_x0000_t75" style="width:16.5pt;height:16.5pt;visibility:visible">
          <v:imagedata r:id="rId1" o:title=""/>
        </v:shape>
      </w:pict>
    </w:r>
    <w:r>
      <w:rPr>
        <w:rFonts w:ascii="华文隶书" w:eastAsia="华文隶书"/>
        <w:i/>
        <w:sz w:val="22"/>
        <w:szCs w:val="22"/>
      </w:rPr>
      <w:t xml:space="preserve">                 </w:t>
    </w:r>
    <w:r>
      <w:rPr>
        <w:rFonts w:ascii="宋体" w:hAnsi="宋体" w:hint="eastAsia"/>
        <w:i/>
        <w:sz w:val="22"/>
        <w:szCs w:val="22"/>
      </w:rPr>
      <w:t>广东瑞基资产评估土地房地产估价有限公司</w:t>
    </w:r>
    <w:r>
      <w:rPr>
        <w:rFonts w:ascii="宋体" w:hAnsi="宋体" w:hint="eastAsia"/>
        <w:i/>
        <w:sz w:val="21"/>
        <w:szCs w:val="21"/>
      </w:rPr>
      <w:t>《房地产估价报告》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147"/>
    <w:rsid w:val="00001CB8"/>
    <w:rsid w:val="00005614"/>
    <w:rsid w:val="000258BD"/>
    <w:rsid w:val="00027736"/>
    <w:rsid w:val="000302D4"/>
    <w:rsid w:val="00062888"/>
    <w:rsid w:val="000659C3"/>
    <w:rsid w:val="00073335"/>
    <w:rsid w:val="00086C0E"/>
    <w:rsid w:val="00096FA9"/>
    <w:rsid w:val="000A381A"/>
    <w:rsid w:val="000B2877"/>
    <w:rsid w:val="000D14BE"/>
    <w:rsid w:val="000E0BEE"/>
    <w:rsid w:val="000F2DBB"/>
    <w:rsid w:val="00112923"/>
    <w:rsid w:val="00134218"/>
    <w:rsid w:val="00153948"/>
    <w:rsid w:val="00185ECF"/>
    <w:rsid w:val="00190D9C"/>
    <w:rsid w:val="00192C97"/>
    <w:rsid w:val="001C3B6E"/>
    <w:rsid w:val="001C652D"/>
    <w:rsid w:val="001D6FD4"/>
    <w:rsid w:val="001F7D27"/>
    <w:rsid w:val="00211899"/>
    <w:rsid w:val="00212682"/>
    <w:rsid w:val="00223B18"/>
    <w:rsid w:val="002E1F1A"/>
    <w:rsid w:val="002F31F6"/>
    <w:rsid w:val="00303DD1"/>
    <w:rsid w:val="00321D08"/>
    <w:rsid w:val="00334A7C"/>
    <w:rsid w:val="00347147"/>
    <w:rsid w:val="003716F0"/>
    <w:rsid w:val="00372D13"/>
    <w:rsid w:val="003943DF"/>
    <w:rsid w:val="003953CC"/>
    <w:rsid w:val="003C3278"/>
    <w:rsid w:val="00420648"/>
    <w:rsid w:val="00423FCD"/>
    <w:rsid w:val="00436A7C"/>
    <w:rsid w:val="00437CCF"/>
    <w:rsid w:val="004529E1"/>
    <w:rsid w:val="004569B3"/>
    <w:rsid w:val="0047227C"/>
    <w:rsid w:val="00472A6E"/>
    <w:rsid w:val="0047311E"/>
    <w:rsid w:val="00477409"/>
    <w:rsid w:val="00484532"/>
    <w:rsid w:val="004940E7"/>
    <w:rsid w:val="004A19BE"/>
    <w:rsid w:val="004A3216"/>
    <w:rsid w:val="004A7845"/>
    <w:rsid w:val="004C3463"/>
    <w:rsid w:val="004C429B"/>
    <w:rsid w:val="004C4773"/>
    <w:rsid w:val="004D54E0"/>
    <w:rsid w:val="004F1E46"/>
    <w:rsid w:val="004F7FE2"/>
    <w:rsid w:val="0051274F"/>
    <w:rsid w:val="00513CA7"/>
    <w:rsid w:val="00523156"/>
    <w:rsid w:val="005315C4"/>
    <w:rsid w:val="00550254"/>
    <w:rsid w:val="00556474"/>
    <w:rsid w:val="00560067"/>
    <w:rsid w:val="00577A9D"/>
    <w:rsid w:val="005A5FBD"/>
    <w:rsid w:val="005A6BFC"/>
    <w:rsid w:val="005B19AF"/>
    <w:rsid w:val="005C7953"/>
    <w:rsid w:val="005E4B82"/>
    <w:rsid w:val="00601B8D"/>
    <w:rsid w:val="00615462"/>
    <w:rsid w:val="00634C96"/>
    <w:rsid w:val="00636058"/>
    <w:rsid w:val="00641DCB"/>
    <w:rsid w:val="00643E98"/>
    <w:rsid w:val="00650A38"/>
    <w:rsid w:val="00651DFF"/>
    <w:rsid w:val="00653F3E"/>
    <w:rsid w:val="00663A02"/>
    <w:rsid w:val="00675025"/>
    <w:rsid w:val="00680FBC"/>
    <w:rsid w:val="00690B6C"/>
    <w:rsid w:val="006946FE"/>
    <w:rsid w:val="00695D5C"/>
    <w:rsid w:val="00697D95"/>
    <w:rsid w:val="006A6CB3"/>
    <w:rsid w:val="006D0DD1"/>
    <w:rsid w:val="006D17E3"/>
    <w:rsid w:val="006F02AA"/>
    <w:rsid w:val="00701179"/>
    <w:rsid w:val="0070345F"/>
    <w:rsid w:val="00705CA7"/>
    <w:rsid w:val="007304CE"/>
    <w:rsid w:val="007401B7"/>
    <w:rsid w:val="00745BDC"/>
    <w:rsid w:val="007824E6"/>
    <w:rsid w:val="00786586"/>
    <w:rsid w:val="007D08ED"/>
    <w:rsid w:val="007D413C"/>
    <w:rsid w:val="007D71A3"/>
    <w:rsid w:val="00806641"/>
    <w:rsid w:val="0081501A"/>
    <w:rsid w:val="008205A6"/>
    <w:rsid w:val="00825E7B"/>
    <w:rsid w:val="008356ED"/>
    <w:rsid w:val="00842778"/>
    <w:rsid w:val="00846A81"/>
    <w:rsid w:val="0089669E"/>
    <w:rsid w:val="008A0043"/>
    <w:rsid w:val="008D0389"/>
    <w:rsid w:val="008E1205"/>
    <w:rsid w:val="0090266A"/>
    <w:rsid w:val="0091025B"/>
    <w:rsid w:val="00930172"/>
    <w:rsid w:val="00936CC5"/>
    <w:rsid w:val="00943974"/>
    <w:rsid w:val="00954A21"/>
    <w:rsid w:val="0097146B"/>
    <w:rsid w:val="009813BC"/>
    <w:rsid w:val="009816FF"/>
    <w:rsid w:val="0098347D"/>
    <w:rsid w:val="009900E3"/>
    <w:rsid w:val="00991731"/>
    <w:rsid w:val="009A1AE8"/>
    <w:rsid w:val="009B6DBB"/>
    <w:rsid w:val="009C7863"/>
    <w:rsid w:val="00A220D9"/>
    <w:rsid w:val="00A36BBC"/>
    <w:rsid w:val="00A37C46"/>
    <w:rsid w:val="00A4723A"/>
    <w:rsid w:val="00A47F89"/>
    <w:rsid w:val="00A65441"/>
    <w:rsid w:val="00A67523"/>
    <w:rsid w:val="00A73C76"/>
    <w:rsid w:val="00A92FAB"/>
    <w:rsid w:val="00AB517E"/>
    <w:rsid w:val="00AB6E2C"/>
    <w:rsid w:val="00AC4E57"/>
    <w:rsid w:val="00AC5967"/>
    <w:rsid w:val="00B0465D"/>
    <w:rsid w:val="00B300F9"/>
    <w:rsid w:val="00BA5FA0"/>
    <w:rsid w:val="00BB0BB8"/>
    <w:rsid w:val="00BD2517"/>
    <w:rsid w:val="00BE7A60"/>
    <w:rsid w:val="00BF4BF3"/>
    <w:rsid w:val="00C1264F"/>
    <w:rsid w:val="00C255C1"/>
    <w:rsid w:val="00C258BE"/>
    <w:rsid w:val="00C43D47"/>
    <w:rsid w:val="00C63F7E"/>
    <w:rsid w:val="00C91DEE"/>
    <w:rsid w:val="00C9466C"/>
    <w:rsid w:val="00CA39D3"/>
    <w:rsid w:val="00CB3B07"/>
    <w:rsid w:val="00CB784F"/>
    <w:rsid w:val="00CD7898"/>
    <w:rsid w:val="00CE19CB"/>
    <w:rsid w:val="00CE56F1"/>
    <w:rsid w:val="00CE7AED"/>
    <w:rsid w:val="00CF2888"/>
    <w:rsid w:val="00D004DB"/>
    <w:rsid w:val="00D023CB"/>
    <w:rsid w:val="00D119F0"/>
    <w:rsid w:val="00D44908"/>
    <w:rsid w:val="00D474C3"/>
    <w:rsid w:val="00D53D7E"/>
    <w:rsid w:val="00D6514C"/>
    <w:rsid w:val="00D9277B"/>
    <w:rsid w:val="00D94B9C"/>
    <w:rsid w:val="00DB024F"/>
    <w:rsid w:val="00DB0C86"/>
    <w:rsid w:val="00DC5ED0"/>
    <w:rsid w:val="00E02FB6"/>
    <w:rsid w:val="00E144E8"/>
    <w:rsid w:val="00E23AA1"/>
    <w:rsid w:val="00E2494B"/>
    <w:rsid w:val="00E42DA2"/>
    <w:rsid w:val="00E62AD6"/>
    <w:rsid w:val="00E66B3B"/>
    <w:rsid w:val="00E872B9"/>
    <w:rsid w:val="00E91378"/>
    <w:rsid w:val="00E9687D"/>
    <w:rsid w:val="00E96D95"/>
    <w:rsid w:val="00EB27F3"/>
    <w:rsid w:val="00EB6416"/>
    <w:rsid w:val="00EE02D9"/>
    <w:rsid w:val="00EF636B"/>
    <w:rsid w:val="00F15B87"/>
    <w:rsid w:val="00F17D6E"/>
    <w:rsid w:val="00F23040"/>
    <w:rsid w:val="00F30556"/>
    <w:rsid w:val="00F43086"/>
    <w:rsid w:val="00F4355D"/>
    <w:rsid w:val="00F50325"/>
    <w:rsid w:val="00F70C7C"/>
    <w:rsid w:val="00F71F51"/>
    <w:rsid w:val="00F80B5C"/>
    <w:rsid w:val="00F824E5"/>
    <w:rsid w:val="00F8674B"/>
    <w:rsid w:val="00F94014"/>
    <w:rsid w:val="00F94AB8"/>
    <w:rsid w:val="00F96D61"/>
    <w:rsid w:val="00FB4ED2"/>
    <w:rsid w:val="00FC0749"/>
    <w:rsid w:val="00FD38F1"/>
    <w:rsid w:val="00FD573A"/>
    <w:rsid w:val="00FE0B4C"/>
    <w:rsid w:val="00FE1710"/>
    <w:rsid w:val="00FF73B7"/>
    <w:rsid w:val="00FF7BC7"/>
    <w:rsid w:val="012833B0"/>
    <w:rsid w:val="01444FF5"/>
    <w:rsid w:val="01457E59"/>
    <w:rsid w:val="01745A6F"/>
    <w:rsid w:val="01C5484D"/>
    <w:rsid w:val="02461AAA"/>
    <w:rsid w:val="02734D71"/>
    <w:rsid w:val="027445E8"/>
    <w:rsid w:val="02A55E16"/>
    <w:rsid w:val="02B32051"/>
    <w:rsid w:val="02DC7F42"/>
    <w:rsid w:val="03124311"/>
    <w:rsid w:val="03235EBE"/>
    <w:rsid w:val="03594770"/>
    <w:rsid w:val="03A622F6"/>
    <w:rsid w:val="03C84357"/>
    <w:rsid w:val="041535E8"/>
    <w:rsid w:val="04264BAB"/>
    <w:rsid w:val="049469CC"/>
    <w:rsid w:val="049724F6"/>
    <w:rsid w:val="04CE0943"/>
    <w:rsid w:val="04E03A9E"/>
    <w:rsid w:val="04E92DA5"/>
    <w:rsid w:val="04EA1355"/>
    <w:rsid w:val="04F5046F"/>
    <w:rsid w:val="05183F26"/>
    <w:rsid w:val="05384FDD"/>
    <w:rsid w:val="05664C5D"/>
    <w:rsid w:val="05851910"/>
    <w:rsid w:val="05A27847"/>
    <w:rsid w:val="05A27F46"/>
    <w:rsid w:val="05EB20C0"/>
    <w:rsid w:val="060535BC"/>
    <w:rsid w:val="062F26C2"/>
    <w:rsid w:val="06612B3B"/>
    <w:rsid w:val="066538D1"/>
    <w:rsid w:val="066C303D"/>
    <w:rsid w:val="068F4A04"/>
    <w:rsid w:val="06A664D8"/>
    <w:rsid w:val="06C76DAD"/>
    <w:rsid w:val="06E42B85"/>
    <w:rsid w:val="071333A2"/>
    <w:rsid w:val="07204D45"/>
    <w:rsid w:val="07207E52"/>
    <w:rsid w:val="073C02DA"/>
    <w:rsid w:val="07412D6D"/>
    <w:rsid w:val="078168B9"/>
    <w:rsid w:val="07B26114"/>
    <w:rsid w:val="07B66970"/>
    <w:rsid w:val="07CD0875"/>
    <w:rsid w:val="07D448D2"/>
    <w:rsid w:val="07EE7AD9"/>
    <w:rsid w:val="08443606"/>
    <w:rsid w:val="086D7A46"/>
    <w:rsid w:val="0885379A"/>
    <w:rsid w:val="08A57D9C"/>
    <w:rsid w:val="08F32020"/>
    <w:rsid w:val="091846D0"/>
    <w:rsid w:val="09432AD5"/>
    <w:rsid w:val="098C7D11"/>
    <w:rsid w:val="099E5A44"/>
    <w:rsid w:val="09BD3097"/>
    <w:rsid w:val="09CC38A6"/>
    <w:rsid w:val="09D10C99"/>
    <w:rsid w:val="09DE4DC7"/>
    <w:rsid w:val="09DF5738"/>
    <w:rsid w:val="09E507C1"/>
    <w:rsid w:val="09E76ABC"/>
    <w:rsid w:val="0A385471"/>
    <w:rsid w:val="0A3E7BBF"/>
    <w:rsid w:val="0A7B0829"/>
    <w:rsid w:val="0A8D74D4"/>
    <w:rsid w:val="0A985DF1"/>
    <w:rsid w:val="0AA267D3"/>
    <w:rsid w:val="0ADD39C6"/>
    <w:rsid w:val="0B0A0ABF"/>
    <w:rsid w:val="0B1632E0"/>
    <w:rsid w:val="0B3E5E5B"/>
    <w:rsid w:val="0B420802"/>
    <w:rsid w:val="0B475513"/>
    <w:rsid w:val="0B646987"/>
    <w:rsid w:val="0B6B2D3D"/>
    <w:rsid w:val="0B8C0804"/>
    <w:rsid w:val="0BC902A1"/>
    <w:rsid w:val="0BD33B84"/>
    <w:rsid w:val="0BD9242E"/>
    <w:rsid w:val="0BE9756A"/>
    <w:rsid w:val="0C2B590F"/>
    <w:rsid w:val="0C300478"/>
    <w:rsid w:val="0C874AFA"/>
    <w:rsid w:val="0CC95AB1"/>
    <w:rsid w:val="0CD50E05"/>
    <w:rsid w:val="0D016246"/>
    <w:rsid w:val="0D13272C"/>
    <w:rsid w:val="0D3337D2"/>
    <w:rsid w:val="0D383D3F"/>
    <w:rsid w:val="0D3A79F8"/>
    <w:rsid w:val="0D675990"/>
    <w:rsid w:val="0D773E69"/>
    <w:rsid w:val="0D832218"/>
    <w:rsid w:val="0D891513"/>
    <w:rsid w:val="0DBD366E"/>
    <w:rsid w:val="0DD82DC1"/>
    <w:rsid w:val="0DF05D48"/>
    <w:rsid w:val="0DF96E72"/>
    <w:rsid w:val="0DFF2562"/>
    <w:rsid w:val="0E165BF3"/>
    <w:rsid w:val="0E2F7083"/>
    <w:rsid w:val="0E5A2207"/>
    <w:rsid w:val="0E6E34EA"/>
    <w:rsid w:val="0E8B6CC7"/>
    <w:rsid w:val="0EC00FF1"/>
    <w:rsid w:val="0EC233B8"/>
    <w:rsid w:val="0ECF0F15"/>
    <w:rsid w:val="0ED83B86"/>
    <w:rsid w:val="0EEC438A"/>
    <w:rsid w:val="0EF36955"/>
    <w:rsid w:val="0EF40544"/>
    <w:rsid w:val="0F02475A"/>
    <w:rsid w:val="0F436A35"/>
    <w:rsid w:val="0F4C646D"/>
    <w:rsid w:val="0F5A6512"/>
    <w:rsid w:val="0F6514A0"/>
    <w:rsid w:val="0F7614AE"/>
    <w:rsid w:val="0F8275E6"/>
    <w:rsid w:val="0F83610C"/>
    <w:rsid w:val="10161B82"/>
    <w:rsid w:val="10363451"/>
    <w:rsid w:val="103C2C66"/>
    <w:rsid w:val="107214A6"/>
    <w:rsid w:val="107829EB"/>
    <w:rsid w:val="10804A12"/>
    <w:rsid w:val="111818AB"/>
    <w:rsid w:val="111F74C9"/>
    <w:rsid w:val="116923F5"/>
    <w:rsid w:val="1174584E"/>
    <w:rsid w:val="11754710"/>
    <w:rsid w:val="11793B09"/>
    <w:rsid w:val="119429F6"/>
    <w:rsid w:val="119B69AF"/>
    <w:rsid w:val="11CC0C66"/>
    <w:rsid w:val="12091D59"/>
    <w:rsid w:val="126D7522"/>
    <w:rsid w:val="127A5350"/>
    <w:rsid w:val="127D65F8"/>
    <w:rsid w:val="129510C0"/>
    <w:rsid w:val="12AD486D"/>
    <w:rsid w:val="12B63D0E"/>
    <w:rsid w:val="12BB71B7"/>
    <w:rsid w:val="12E37199"/>
    <w:rsid w:val="12F315CC"/>
    <w:rsid w:val="131A2325"/>
    <w:rsid w:val="1362664D"/>
    <w:rsid w:val="13BE79C4"/>
    <w:rsid w:val="13D160F1"/>
    <w:rsid w:val="13E22E1D"/>
    <w:rsid w:val="13F27158"/>
    <w:rsid w:val="140B1472"/>
    <w:rsid w:val="143B0B34"/>
    <w:rsid w:val="144F4ACB"/>
    <w:rsid w:val="145D0CCA"/>
    <w:rsid w:val="146017C4"/>
    <w:rsid w:val="14805458"/>
    <w:rsid w:val="14871215"/>
    <w:rsid w:val="14927C72"/>
    <w:rsid w:val="1494436F"/>
    <w:rsid w:val="14A829C2"/>
    <w:rsid w:val="14C10222"/>
    <w:rsid w:val="14C67460"/>
    <w:rsid w:val="14E265FC"/>
    <w:rsid w:val="150571DB"/>
    <w:rsid w:val="150B11FE"/>
    <w:rsid w:val="152E211B"/>
    <w:rsid w:val="153A2B0A"/>
    <w:rsid w:val="153B0547"/>
    <w:rsid w:val="155E7B09"/>
    <w:rsid w:val="156F020B"/>
    <w:rsid w:val="15863797"/>
    <w:rsid w:val="15AF4D4D"/>
    <w:rsid w:val="15BA0D63"/>
    <w:rsid w:val="15CD1B4C"/>
    <w:rsid w:val="164763D5"/>
    <w:rsid w:val="164A3FAE"/>
    <w:rsid w:val="16690B6A"/>
    <w:rsid w:val="166B253E"/>
    <w:rsid w:val="166C01FA"/>
    <w:rsid w:val="16905375"/>
    <w:rsid w:val="16BB2372"/>
    <w:rsid w:val="16D24DA6"/>
    <w:rsid w:val="171F6D23"/>
    <w:rsid w:val="1721053D"/>
    <w:rsid w:val="17326E2C"/>
    <w:rsid w:val="174C3FDE"/>
    <w:rsid w:val="175603AD"/>
    <w:rsid w:val="17851F72"/>
    <w:rsid w:val="17A35CF4"/>
    <w:rsid w:val="180074EA"/>
    <w:rsid w:val="18092DEA"/>
    <w:rsid w:val="186042FF"/>
    <w:rsid w:val="186F6A8E"/>
    <w:rsid w:val="189A11BB"/>
    <w:rsid w:val="18E61506"/>
    <w:rsid w:val="18E84498"/>
    <w:rsid w:val="190A1C6E"/>
    <w:rsid w:val="192649D4"/>
    <w:rsid w:val="19362ED7"/>
    <w:rsid w:val="193B276A"/>
    <w:rsid w:val="19670EB3"/>
    <w:rsid w:val="19921110"/>
    <w:rsid w:val="19A315A8"/>
    <w:rsid w:val="19AA1174"/>
    <w:rsid w:val="19B32ACC"/>
    <w:rsid w:val="19B521F9"/>
    <w:rsid w:val="19BD0DB8"/>
    <w:rsid w:val="19D17C90"/>
    <w:rsid w:val="1A2F7BE6"/>
    <w:rsid w:val="1A6313C1"/>
    <w:rsid w:val="1A645A6A"/>
    <w:rsid w:val="1A991654"/>
    <w:rsid w:val="1AA01114"/>
    <w:rsid w:val="1AF80926"/>
    <w:rsid w:val="1AFD3DD1"/>
    <w:rsid w:val="1B1065F4"/>
    <w:rsid w:val="1B410BF1"/>
    <w:rsid w:val="1B810CD3"/>
    <w:rsid w:val="1B8415B5"/>
    <w:rsid w:val="1B975EA1"/>
    <w:rsid w:val="1BC1551F"/>
    <w:rsid w:val="1BD431B5"/>
    <w:rsid w:val="1C154698"/>
    <w:rsid w:val="1C4B32B9"/>
    <w:rsid w:val="1CB82D97"/>
    <w:rsid w:val="1CE465C0"/>
    <w:rsid w:val="1CF4108E"/>
    <w:rsid w:val="1CFD28EB"/>
    <w:rsid w:val="1D057FC7"/>
    <w:rsid w:val="1D286AE4"/>
    <w:rsid w:val="1D3E525C"/>
    <w:rsid w:val="1D4319C3"/>
    <w:rsid w:val="1D5222D0"/>
    <w:rsid w:val="1D5A4BFC"/>
    <w:rsid w:val="1D612833"/>
    <w:rsid w:val="1D6C335E"/>
    <w:rsid w:val="1DA53F67"/>
    <w:rsid w:val="1DE54937"/>
    <w:rsid w:val="1E082AA5"/>
    <w:rsid w:val="1E176D28"/>
    <w:rsid w:val="1E30409F"/>
    <w:rsid w:val="1E360E5C"/>
    <w:rsid w:val="1E7377D8"/>
    <w:rsid w:val="1E940C59"/>
    <w:rsid w:val="1EA5289F"/>
    <w:rsid w:val="1EC44119"/>
    <w:rsid w:val="1ED1536C"/>
    <w:rsid w:val="1EDD735A"/>
    <w:rsid w:val="1EEF584A"/>
    <w:rsid w:val="1EF41297"/>
    <w:rsid w:val="1F160566"/>
    <w:rsid w:val="1F1D0228"/>
    <w:rsid w:val="1F4F3A27"/>
    <w:rsid w:val="1F9E0678"/>
    <w:rsid w:val="1FB26E13"/>
    <w:rsid w:val="1FC8422A"/>
    <w:rsid w:val="1FDE0201"/>
    <w:rsid w:val="1FE16B06"/>
    <w:rsid w:val="1FE876EC"/>
    <w:rsid w:val="1FF65B5E"/>
    <w:rsid w:val="20075CBB"/>
    <w:rsid w:val="20087732"/>
    <w:rsid w:val="201130DF"/>
    <w:rsid w:val="201B1CD0"/>
    <w:rsid w:val="205419DE"/>
    <w:rsid w:val="20565EA9"/>
    <w:rsid w:val="208330A9"/>
    <w:rsid w:val="208D3DBB"/>
    <w:rsid w:val="20BD354F"/>
    <w:rsid w:val="20FC4A29"/>
    <w:rsid w:val="21024D9D"/>
    <w:rsid w:val="210F44EA"/>
    <w:rsid w:val="21373892"/>
    <w:rsid w:val="2147689D"/>
    <w:rsid w:val="214C6853"/>
    <w:rsid w:val="2165495C"/>
    <w:rsid w:val="217429B9"/>
    <w:rsid w:val="218147DF"/>
    <w:rsid w:val="21AC1EC3"/>
    <w:rsid w:val="21E36166"/>
    <w:rsid w:val="221E0D3D"/>
    <w:rsid w:val="22355889"/>
    <w:rsid w:val="223A5B1E"/>
    <w:rsid w:val="225566C3"/>
    <w:rsid w:val="22590F9E"/>
    <w:rsid w:val="22876D8F"/>
    <w:rsid w:val="229E3C77"/>
    <w:rsid w:val="22AC3FC1"/>
    <w:rsid w:val="22DD2862"/>
    <w:rsid w:val="22FF05A2"/>
    <w:rsid w:val="231E6A12"/>
    <w:rsid w:val="232D4544"/>
    <w:rsid w:val="2347680C"/>
    <w:rsid w:val="234A1F1F"/>
    <w:rsid w:val="235744E1"/>
    <w:rsid w:val="236144F9"/>
    <w:rsid w:val="238E2D1E"/>
    <w:rsid w:val="23AB2F33"/>
    <w:rsid w:val="23DA7461"/>
    <w:rsid w:val="23DA7A8C"/>
    <w:rsid w:val="23DB7D8D"/>
    <w:rsid w:val="23EC4C12"/>
    <w:rsid w:val="240410C1"/>
    <w:rsid w:val="24186448"/>
    <w:rsid w:val="244E17B1"/>
    <w:rsid w:val="24624961"/>
    <w:rsid w:val="248948AB"/>
    <w:rsid w:val="24BC3A76"/>
    <w:rsid w:val="24C4547B"/>
    <w:rsid w:val="24D54360"/>
    <w:rsid w:val="250561EC"/>
    <w:rsid w:val="25563E10"/>
    <w:rsid w:val="258A2EFF"/>
    <w:rsid w:val="25942B1D"/>
    <w:rsid w:val="25A62219"/>
    <w:rsid w:val="25B736EE"/>
    <w:rsid w:val="25CB3A61"/>
    <w:rsid w:val="25F575C0"/>
    <w:rsid w:val="269338CA"/>
    <w:rsid w:val="26AF328E"/>
    <w:rsid w:val="26D5138C"/>
    <w:rsid w:val="26D9549C"/>
    <w:rsid w:val="26DA068F"/>
    <w:rsid w:val="26DA09FB"/>
    <w:rsid w:val="26ED5DAA"/>
    <w:rsid w:val="26F202FB"/>
    <w:rsid w:val="26F95AA1"/>
    <w:rsid w:val="270D28AF"/>
    <w:rsid w:val="271323ED"/>
    <w:rsid w:val="27434EF5"/>
    <w:rsid w:val="27804CED"/>
    <w:rsid w:val="27996848"/>
    <w:rsid w:val="27D05136"/>
    <w:rsid w:val="281C7F7C"/>
    <w:rsid w:val="282B0520"/>
    <w:rsid w:val="285A5560"/>
    <w:rsid w:val="28673119"/>
    <w:rsid w:val="28676DE9"/>
    <w:rsid w:val="28724950"/>
    <w:rsid w:val="28A67A69"/>
    <w:rsid w:val="28A749DA"/>
    <w:rsid w:val="28B23521"/>
    <w:rsid w:val="28D6717A"/>
    <w:rsid w:val="29367D38"/>
    <w:rsid w:val="295815BB"/>
    <w:rsid w:val="298C3248"/>
    <w:rsid w:val="29BF0478"/>
    <w:rsid w:val="29CD59F6"/>
    <w:rsid w:val="29EE6827"/>
    <w:rsid w:val="2A0C5148"/>
    <w:rsid w:val="2A29385A"/>
    <w:rsid w:val="2A2A303F"/>
    <w:rsid w:val="2A2E4173"/>
    <w:rsid w:val="2A465A1B"/>
    <w:rsid w:val="2A594C18"/>
    <w:rsid w:val="2AC00063"/>
    <w:rsid w:val="2B11128E"/>
    <w:rsid w:val="2B5A6AD1"/>
    <w:rsid w:val="2B5B048C"/>
    <w:rsid w:val="2B715626"/>
    <w:rsid w:val="2BDA30C7"/>
    <w:rsid w:val="2C077DC8"/>
    <w:rsid w:val="2C1D3C31"/>
    <w:rsid w:val="2C200E58"/>
    <w:rsid w:val="2C223063"/>
    <w:rsid w:val="2C291C01"/>
    <w:rsid w:val="2C391E3D"/>
    <w:rsid w:val="2C4E322B"/>
    <w:rsid w:val="2C501FA8"/>
    <w:rsid w:val="2C577AB5"/>
    <w:rsid w:val="2C760586"/>
    <w:rsid w:val="2C8D2FC2"/>
    <w:rsid w:val="2CAB7BD6"/>
    <w:rsid w:val="2CCA11CE"/>
    <w:rsid w:val="2D0D1B78"/>
    <w:rsid w:val="2D170D45"/>
    <w:rsid w:val="2D280A0B"/>
    <w:rsid w:val="2D365949"/>
    <w:rsid w:val="2D6434DB"/>
    <w:rsid w:val="2D706B71"/>
    <w:rsid w:val="2D7D4126"/>
    <w:rsid w:val="2D8A295B"/>
    <w:rsid w:val="2DA21184"/>
    <w:rsid w:val="2DA971F1"/>
    <w:rsid w:val="2DBF0395"/>
    <w:rsid w:val="2DE37ABA"/>
    <w:rsid w:val="2DF063F5"/>
    <w:rsid w:val="2E471748"/>
    <w:rsid w:val="2E731CE5"/>
    <w:rsid w:val="2EB64F1B"/>
    <w:rsid w:val="2EE647D1"/>
    <w:rsid w:val="2EF63556"/>
    <w:rsid w:val="2F16588F"/>
    <w:rsid w:val="2F236C85"/>
    <w:rsid w:val="2F367ED5"/>
    <w:rsid w:val="2F3C3E1D"/>
    <w:rsid w:val="2F4D79E7"/>
    <w:rsid w:val="2F9C506E"/>
    <w:rsid w:val="2F9D678F"/>
    <w:rsid w:val="30084A95"/>
    <w:rsid w:val="300F557D"/>
    <w:rsid w:val="30222CF3"/>
    <w:rsid w:val="302C6B86"/>
    <w:rsid w:val="304A01E7"/>
    <w:rsid w:val="304B5A75"/>
    <w:rsid w:val="30552685"/>
    <w:rsid w:val="30C266F4"/>
    <w:rsid w:val="30DC01EA"/>
    <w:rsid w:val="310D2916"/>
    <w:rsid w:val="3118029D"/>
    <w:rsid w:val="313A57C1"/>
    <w:rsid w:val="316079AA"/>
    <w:rsid w:val="31686461"/>
    <w:rsid w:val="317B22BF"/>
    <w:rsid w:val="31A45BB8"/>
    <w:rsid w:val="31AF3E05"/>
    <w:rsid w:val="31B82634"/>
    <w:rsid w:val="31D310F4"/>
    <w:rsid w:val="31DA7C17"/>
    <w:rsid w:val="31DE2031"/>
    <w:rsid w:val="3225168B"/>
    <w:rsid w:val="3244508E"/>
    <w:rsid w:val="32450A70"/>
    <w:rsid w:val="3251529D"/>
    <w:rsid w:val="32532E96"/>
    <w:rsid w:val="32644545"/>
    <w:rsid w:val="32950FA8"/>
    <w:rsid w:val="32B708C0"/>
    <w:rsid w:val="32C45CB9"/>
    <w:rsid w:val="32E13848"/>
    <w:rsid w:val="32E87959"/>
    <w:rsid w:val="32FA574F"/>
    <w:rsid w:val="330E5F14"/>
    <w:rsid w:val="331E5652"/>
    <w:rsid w:val="33360C3B"/>
    <w:rsid w:val="33504350"/>
    <w:rsid w:val="335D0F11"/>
    <w:rsid w:val="3379662A"/>
    <w:rsid w:val="33AE5D61"/>
    <w:rsid w:val="33F82941"/>
    <w:rsid w:val="3402518E"/>
    <w:rsid w:val="34065938"/>
    <w:rsid w:val="344D1F09"/>
    <w:rsid w:val="346946F0"/>
    <w:rsid w:val="34725794"/>
    <w:rsid w:val="347832A5"/>
    <w:rsid w:val="347B2774"/>
    <w:rsid w:val="34813061"/>
    <w:rsid w:val="34831C67"/>
    <w:rsid w:val="34D5030C"/>
    <w:rsid w:val="34E77E26"/>
    <w:rsid w:val="350B600E"/>
    <w:rsid w:val="351669D8"/>
    <w:rsid w:val="35332D33"/>
    <w:rsid w:val="35397B93"/>
    <w:rsid w:val="353E2209"/>
    <w:rsid w:val="354805FB"/>
    <w:rsid w:val="354C270B"/>
    <w:rsid w:val="355207C9"/>
    <w:rsid w:val="355E5253"/>
    <w:rsid w:val="35727C99"/>
    <w:rsid w:val="3587586E"/>
    <w:rsid w:val="358A25DE"/>
    <w:rsid w:val="358D2E2E"/>
    <w:rsid w:val="35D14D8E"/>
    <w:rsid w:val="35D34AA3"/>
    <w:rsid w:val="361D355A"/>
    <w:rsid w:val="36203835"/>
    <w:rsid w:val="364447B6"/>
    <w:rsid w:val="364A513D"/>
    <w:rsid w:val="365860D0"/>
    <w:rsid w:val="365A7F0C"/>
    <w:rsid w:val="365C1C42"/>
    <w:rsid w:val="367E16C4"/>
    <w:rsid w:val="36F14494"/>
    <w:rsid w:val="36F15FEF"/>
    <w:rsid w:val="37180846"/>
    <w:rsid w:val="37426A29"/>
    <w:rsid w:val="3784089B"/>
    <w:rsid w:val="38485518"/>
    <w:rsid w:val="384E6890"/>
    <w:rsid w:val="385B1461"/>
    <w:rsid w:val="386D4AAC"/>
    <w:rsid w:val="38737F36"/>
    <w:rsid w:val="387B5656"/>
    <w:rsid w:val="38A45C8A"/>
    <w:rsid w:val="38C03CD4"/>
    <w:rsid w:val="38C3035A"/>
    <w:rsid w:val="399E73A3"/>
    <w:rsid w:val="39B368AF"/>
    <w:rsid w:val="39E41C56"/>
    <w:rsid w:val="3A0372DC"/>
    <w:rsid w:val="3A135980"/>
    <w:rsid w:val="3A5A4E73"/>
    <w:rsid w:val="3A851CE4"/>
    <w:rsid w:val="3AD8799A"/>
    <w:rsid w:val="3AF57B08"/>
    <w:rsid w:val="3B456A90"/>
    <w:rsid w:val="3B633A61"/>
    <w:rsid w:val="3BCD324A"/>
    <w:rsid w:val="3BEA26DE"/>
    <w:rsid w:val="3BF26AE1"/>
    <w:rsid w:val="3C604D49"/>
    <w:rsid w:val="3C675BBC"/>
    <w:rsid w:val="3C8F5908"/>
    <w:rsid w:val="3CBD3EEF"/>
    <w:rsid w:val="3D5720CE"/>
    <w:rsid w:val="3D6300AC"/>
    <w:rsid w:val="3D8D1A7C"/>
    <w:rsid w:val="3D8D7105"/>
    <w:rsid w:val="3D9E1BA3"/>
    <w:rsid w:val="3DA2525E"/>
    <w:rsid w:val="3DA96F19"/>
    <w:rsid w:val="3DC2711F"/>
    <w:rsid w:val="3DDB1754"/>
    <w:rsid w:val="3DE46193"/>
    <w:rsid w:val="3E186EC2"/>
    <w:rsid w:val="3E444E94"/>
    <w:rsid w:val="3E48565B"/>
    <w:rsid w:val="3EAB6642"/>
    <w:rsid w:val="3EDD724F"/>
    <w:rsid w:val="3EFA5534"/>
    <w:rsid w:val="3F0317BE"/>
    <w:rsid w:val="3F196602"/>
    <w:rsid w:val="3F422B2E"/>
    <w:rsid w:val="3FB71E5B"/>
    <w:rsid w:val="3FBE4253"/>
    <w:rsid w:val="3FD26F98"/>
    <w:rsid w:val="40181503"/>
    <w:rsid w:val="403349A4"/>
    <w:rsid w:val="40340CA0"/>
    <w:rsid w:val="40703AD4"/>
    <w:rsid w:val="40894E04"/>
    <w:rsid w:val="408B4CDD"/>
    <w:rsid w:val="40D90285"/>
    <w:rsid w:val="41050558"/>
    <w:rsid w:val="41110BA5"/>
    <w:rsid w:val="411562D2"/>
    <w:rsid w:val="411E36BE"/>
    <w:rsid w:val="411F4F2B"/>
    <w:rsid w:val="416B2A56"/>
    <w:rsid w:val="41BD1363"/>
    <w:rsid w:val="41DA3F0D"/>
    <w:rsid w:val="421B19DF"/>
    <w:rsid w:val="4229365B"/>
    <w:rsid w:val="426913D1"/>
    <w:rsid w:val="42B80459"/>
    <w:rsid w:val="43163C87"/>
    <w:rsid w:val="43577531"/>
    <w:rsid w:val="436F5FF3"/>
    <w:rsid w:val="43AB0724"/>
    <w:rsid w:val="43EA3B2B"/>
    <w:rsid w:val="43EB5A8D"/>
    <w:rsid w:val="43FE3A18"/>
    <w:rsid w:val="4415467E"/>
    <w:rsid w:val="44494123"/>
    <w:rsid w:val="447F4B34"/>
    <w:rsid w:val="44991098"/>
    <w:rsid w:val="44A6181D"/>
    <w:rsid w:val="44A64D6B"/>
    <w:rsid w:val="44BB3F28"/>
    <w:rsid w:val="44CC5349"/>
    <w:rsid w:val="44D565CB"/>
    <w:rsid w:val="450B368A"/>
    <w:rsid w:val="451131D0"/>
    <w:rsid w:val="458D57C7"/>
    <w:rsid w:val="458F6EB6"/>
    <w:rsid w:val="45936D1B"/>
    <w:rsid w:val="45BA084F"/>
    <w:rsid w:val="460A092B"/>
    <w:rsid w:val="46253D96"/>
    <w:rsid w:val="463134A2"/>
    <w:rsid w:val="46322069"/>
    <w:rsid w:val="463E71A2"/>
    <w:rsid w:val="46401D91"/>
    <w:rsid w:val="46610993"/>
    <w:rsid w:val="46692914"/>
    <w:rsid w:val="46A150C1"/>
    <w:rsid w:val="46E61B88"/>
    <w:rsid w:val="46FA02F0"/>
    <w:rsid w:val="46FC2296"/>
    <w:rsid w:val="47531EC0"/>
    <w:rsid w:val="47747A46"/>
    <w:rsid w:val="47B43088"/>
    <w:rsid w:val="47DC4783"/>
    <w:rsid w:val="47DD1D94"/>
    <w:rsid w:val="47E81501"/>
    <w:rsid w:val="47FA13DF"/>
    <w:rsid w:val="48061164"/>
    <w:rsid w:val="4806772A"/>
    <w:rsid w:val="484269FE"/>
    <w:rsid w:val="484F4BF7"/>
    <w:rsid w:val="48927EDB"/>
    <w:rsid w:val="48956F02"/>
    <w:rsid w:val="48DB2A7B"/>
    <w:rsid w:val="48EE2A60"/>
    <w:rsid w:val="49171A95"/>
    <w:rsid w:val="491F3CC6"/>
    <w:rsid w:val="49346D99"/>
    <w:rsid w:val="493E42F5"/>
    <w:rsid w:val="496E56C6"/>
    <w:rsid w:val="4980275D"/>
    <w:rsid w:val="498A347C"/>
    <w:rsid w:val="49934655"/>
    <w:rsid w:val="499955E8"/>
    <w:rsid w:val="49A02ECE"/>
    <w:rsid w:val="49AF385B"/>
    <w:rsid w:val="49D576E6"/>
    <w:rsid w:val="49DA2A93"/>
    <w:rsid w:val="49DD7414"/>
    <w:rsid w:val="49F9148A"/>
    <w:rsid w:val="4A3B19E6"/>
    <w:rsid w:val="4AA10203"/>
    <w:rsid w:val="4B041FED"/>
    <w:rsid w:val="4B1C1078"/>
    <w:rsid w:val="4B321872"/>
    <w:rsid w:val="4B335C0D"/>
    <w:rsid w:val="4B456F25"/>
    <w:rsid w:val="4B5E7484"/>
    <w:rsid w:val="4B805FF9"/>
    <w:rsid w:val="4BA82777"/>
    <w:rsid w:val="4BE65721"/>
    <w:rsid w:val="4BFC7B77"/>
    <w:rsid w:val="4C115BFF"/>
    <w:rsid w:val="4C353211"/>
    <w:rsid w:val="4C4729A9"/>
    <w:rsid w:val="4C4F73E6"/>
    <w:rsid w:val="4C9D4E04"/>
    <w:rsid w:val="4CAA6386"/>
    <w:rsid w:val="4CFD118C"/>
    <w:rsid w:val="4D2E1FA6"/>
    <w:rsid w:val="4D390DE4"/>
    <w:rsid w:val="4D4D15DF"/>
    <w:rsid w:val="4D80157E"/>
    <w:rsid w:val="4DC433A6"/>
    <w:rsid w:val="4DDB6B96"/>
    <w:rsid w:val="4DF6723F"/>
    <w:rsid w:val="4DF74A8A"/>
    <w:rsid w:val="4DFF24DB"/>
    <w:rsid w:val="4E1A0E4A"/>
    <w:rsid w:val="4E3B4CF4"/>
    <w:rsid w:val="4E4E28E7"/>
    <w:rsid w:val="4E726F1A"/>
    <w:rsid w:val="4EA41FEF"/>
    <w:rsid w:val="4EC23E9A"/>
    <w:rsid w:val="4EC6036D"/>
    <w:rsid w:val="4EE06237"/>
    <w:rsid w:val="4EF6370E"/>
    <w:rsid w:val="4EF7221B"/>
    <w:rsid w:val="4F067EA5"/>
    <w:rsid w:val="4F333C78"/>
    <w:rsid w:val="4F533C38"/>
    <w:rsid w:val="4F972666"/>
    <w:rsid w:val="4F9F768E"/>
    <w:rsid w:val="4FA55BC8"/>
    <w:rsid w:val="4FA569CD"/>
    <w:rsid w:val="4FDB2EDE"/>
    <w:rsid w:val="4FEC1DAF"/>
    <w:rsid w:val="4FF36532"/>
    <w:rsid w:val="4FF920E6"/>
    <w:rsid w:val="50053C72"/>
    <w:rsid w:val="501573C4"/>
    <w:rsid w:val="504A2CBE"/>
    <w:rsid w:val="50713188"/>
    <w:rsid w:val="508E7745"/>
    <w:rsid w:val="50A57C30"/>
    <w:rsid w:val="50B36251"/>
    <w:rsid w:val="50BD05FF"/>
    <w:rsid w:val="50D0636E"/>
    <w:rsid w:val="50D27D64"/>
    <w:rsid w:val="50DE6C40"/>
    <w:rsid w:val="50F236A5"/>
    <w:rsid w:val="50F42D13"/>
    <w:rsid w:val="511D5DB1"/>
    <w:rsid w:val="513053D0"/>
    <w:rsid w:val="513A22A6"/>
    <w:rsid w:val="515150A9"/>
    <w:rsid w:val="5166357C"/>
    <w:rsid w:val="516E66E4"/>
    <w:rsid w:val="51755F0B"/>
    <w:rsid w:val="5186402D"/>
    <w:rsid w:val="518E1973"/>
    <w:rsid w:val="51A90799"/>
    <w:rsid w:val="51D777A5"/>
    <w:rsid w:val="51E95C10"/>
    <w:rsid w:val="51F31F2F"/>
    <w:rsid w:val="5219327B"/>
    <w:rsid w:val="52305BFB"/>
    <w:rsid w:val="52643E78"/>
    <w:rsid w:val="528653A3"/>
    <w:rsid w:val="529D2A99"/>
    <w:rsid w:val="52B03D1F"/>
    <w:rsid w:val="52B95034"/>
    <w:rsid w:val="52CF1436"/>
    <w:rsid w:val="52D04F71"/>
    <w:rsid w:val="52EB707B"/>
    <w:rsid w:val="52EC11BE"/>
    <w:rsid w:val="530C63E9"/>
    <w:rsid w:val="53210358"/>
    <w:rsid w:val="534A3B87"/>
    <w:rsid w:val="535A3EB0"/>
    <w:rsid w:val="535E6770"/>
    <w:rsid w:val="5387516A"/>
    <w:rsid w:val="54021A98"/>
    <w:rsid w:val="543F4502"/>
    <w:rsid w:val="545057B0"/>
    <w:rsid w:val="545336D3"/>
    <w:rsid w:val="545C4917"/>
    <w:rsid w:val="5484439D"/>
    <w:rsid w:val="551E7018"/>
    <w:rsid w:val="55A553E4"/>
    <w:rsid w:val="55FD194D"/>
    <w:rsid w:val="56287F96"/>
    <w:rsid w:val="562D752B"/>
    <w:rsid w:val="562F6AF8"/>
    <w:rsid w:val="56520409"/>
    <w:rsid w:val="5664356A"/>
    <w:rsid w:val="56670E17"/>
    <w:rsid w:val="56D651AC"/>
    <w:rsid w:val="56DB7DE9"/>
    <w:rsid w:val="56EF3642"/>
    <w:rsid w:val="56F94158"/>
    <w:rsid w:val="57447015"/>
    <w:rsid w:val="57563142"/>
    <w:rsid w:val="577175DD"/>
    <w:rsid w:val="57B05427"/>
    <w:rsid w:val="57D87EED"/>
    <w:rsid w:val="57FD307E"/>
    <w:rsid w:val="57FE27E0"/>
    <w:rsid w:val="58151ED1"/>
    <w:rsid w:val="58473B6D"/>
    <w:rsid w:val="584B650C"/>
    <w:rsid w:val="58623273"/>
    <w:rsid w:val="58901431"/>
    <w:rsid w:val="58A63438"/>
    <w:rsid w:val="58D43F1E"/>
    <w:rsid w:val="58F15073"/>
    <w:rsid w:val="590F2A7F"/>
    <w:rsid w:val="5991002A"/>
    <w:rsid w:val="59D15C1C"/>
    <w:rsid w:val="59D900B4"/>
    <w:rsid w:val="59E362A4"/>
    <w:rsid w:val="5A11762A"/>
    <w:rsid w:val="5A1610A6"/>
    <w:rsid w:val="5A4345A2"/>
    <w:rsid w:val="5A493DA3"/>
    <w:rsid w:val="5A4C7304"/>
    <w:rsid w:val="5A89397A"/>
    <w:rsid w:val="5ABE511A"/>
    <w:rsid w:val="5AD0033D"/>
    <w:rsid w:val="5AD1283A"/>
    <w:rsid w:val="5AD7154E"/>
    <w:rsid w:val="5ADF609F"/>
    <w:rsid w:val="5B102488"/>
    <w:rsid w:val="5B2A254E"/>
    <w:rsid w:val="5B3772EF"/>
    <w:rsid w:val="5B543925"/>
    <w:rsid w:val="5B572CD6"/>
    <w:rsid w:val="5B5D10F5"/>
    <w:rsid w:val="5B853858"/>
    <w:rsid w:val="5BB004D1"/>
    <w:rsid w:val="5BD97B56"/>
    <w:rsid w:val="5BEA5577"/>
    <w:rsid w:val="5BF236D4"/>
    <w:rsid w:val="5BF30F77"/>
    <w:rsid w:val="5C026C7A"/>
    <w:rsid w:val="5C33279B"/>
    <w:rsid w:val="5C725987"/>
    <w:rsid w:val="5C973C2D"/>
    <w:rsid w:val="5CAC76A5"/>
    <w:rsid w:val="5D0D6839"/>
    <w:rsid w:val="5D6770BC"/>
    <w:rsid w:val="5D972097"/>
    <w:rsid w:val="5D9D7963"/>
    <w:rsid w:val="5DBD2A3C"/>
    <w:rsid w:val="5DD31A5D"/>
    <w:rsid w:val="5E010C17"/>
    <w:rsid w:val="5E26198D"/>
    <w:rsid w:val="5E404AF6"/>
    <w:rsid w:val="5E7F2CF1"/>
    <w:rsid w:val="5EA10654"/>
    <w:rsid w:val="5EA20211"/>
    <w:rsid w:val="5EE95FB1"/>
    <w:rsid w:val="5F0B1A23"/>
    <w:rsid w:val="5F1300FC"/>
    <w:rsid w:val="5F50613E"/>
    <w:rsid w:val="5F7F15B6"/>
    <w:rsid w:val="5FD3167F"/>
    <w:rsid w:val="5FD368DF"/>
    <w:rsid w:val="5FD76279"/>
    <w:rsid w:val="5FF96B04"/>
    <w:rsid w:val="6021584A"/>
    <w:rsid w:val="604216C2"/>
    <w:rsid w:val="604E12C7"/>
    <w:rsid w:val="606A46CC"/>
    <w:rsid w:val="606B1F00"/>
    <w:rsid w:val="60C141A5"/>
    <w:rsid w:val="60C70B8B"/>
    <w:rsid w:val="60E86E32"/>
    <w:rsid w:val="60ED6DF0"/>
    <w:rsid w:val="61207B37"/>
    <w:rsid w:val="614E2442"/>
    <w:rsid w:val="616C1A4A"/>
    <w:rsid w:val="616D5AEB"/>
    <w:rsid w:val="61AA41C9"/>
    <w:rsid w:val="61E0589B"/>
    <w:rsid w:val="61EF7778"/>
    <w:rsid w:val="622E4F6F"/>
    <w:rsid w:val="623B4EDD"/>
    <w:rsid w:val="62705BEB"/>
    <w:rsid w:val="62773B03"/>
    <w:rsid w:val="627C1BA3"/>
    <w:rsid w:val="62936812"/>
    <w:rsid w:val="629507B4"/>
    <w:rsid w:val="629814E7"/>
    <w:rsid w:val="62C51E37"/>
    <w:rsid w:val="62CC362C"/>
    <w:rsid w:val="62DA36CA"/>
    <w:rsid w:val="62E95C22"/>
    <w:rsid w:val="62F97301"/>
    <w:rsid w:val="63116529"/>
    <w:rsid w:val="632C3F0F"/>
    <w:rsid w:val="634A0FE9"/>
    <w:rsid w:val="63674B1D"/>
    <w:rsid w:val="637E6BA8"/>
    <w:rsid w:val="63946A62"/>
    <w:rsid w:val="63A63C92"/>
    <w:rsid w:val="63A8797D"/>
    <w:rsid w:val="63AB7820"/>
    <w:rsid w:val="63F43903"/>
    <w:rsid w:val="641E70E0"/>
    <w:rsid w:val="643C5CEE"/>
    <w:rsid w:val="644C25F3"/>
    <w:rsid w:val="647C427E"/>
    <w:rsid w:val="6481027D"/>
    <w:rsid w:val="64B16680"/>
    <w:rsid w:val="64D3120F"/>
    <w:rsid w:val="64DC1198"/>
    <w:rsid w:val="64F40361"/>
    <w:rsid w:val="65016015"/>
    <w:rsid w:val="65300C04"/>
    <w:rsid w:val="653714FB"/>
    <w:rsid w:val="65383BA8"/>
    <w:rsid w:val="65551052"/>
    <w:rsid w:val="658B4410"/>
    <w:rsid w:val="65A54885"/>
    <w:rsid w:val="66254959"/>
    <w:rsid w:val="66261991"/>
    <w:rsid w:val="66353EF2"/>
    <w:rsid w:val="66456CDB"/>
    <w:rsid w:val="66655EF3"/>
    <w:rsid w:val="66686599"/>
    <w:rsid w:val="669B3D48"/>
    <w:rsid w:val="67247706"/>
    <w:rsid w:val="674F6B6C"/>
    <w:rsid w:val="67571E42"/>
    <w:rsid w:val="67AF15CA"/>
    <w:rsid w:val="67C073F1"/>
    <w:rsid w:val="680022B3"/>
    <w:rsid w:val="68027049"/>
    <w:rsid w:val="68193709"/>
    <w:rsid w:val="684C6609"/>
    <w:rsid w:val="68673A6F"/>
    <w:rsid w:val="68802679"/>
    <w:rsid w:val="68D13B74"/>
    <w:rsid w:val="68D25354"/>
    <w:rsid w:val="68D42EF3"/>
    <w:rsid w:val="68EC0068"/>
    <w:rsid w:val="690610FD"/>
    <w:rsid w:val="691654A7"/>
    <w:rsid w:val="692E5E8D"/>
    <w:rsid w:val="69477F1C"/>
    <w:rsid w:val="69BE4501"/>
    <w:rsid w:val="69C0780B"/>
    <w:rsid w:val="69DC35B4"/>
    <w:rsid w:val="69ED45F9"/>
    <w:rsid w:val="6A0D4828"/>
    <w:rsid w:val="6A3076DB"/>
    <w:rsid w:val="6A704666"/>
    <w:rsid w:val="6AC167D6"/>
    <w:rsid w:val="6AC37DF2"/>
    <w:rsid w:val="6AD30D1A"/>
    <w:rsid w:val="6ADD14F9"/>
    <w:rsid w:val="6B29028D"/>
    <w:rsid w:val="6B2A2119"/>
    <w:rsid w:val="6B3A2BDA"/>
    <w:rsid w:val="6B484C37"/>
    <w:rsid w:val="6B625E81"/>
    <w:rsid w:val="6B6E2FAA"/>
    <w:rsid w:val="6B802A08"/>
    <w:rsid w:val="6B825DA7"/>
    <w:rsid w:val="6BAC3837"/>
    <w:rsid w:val="6BB95DEB"/>
    <w:rsid w:val="6BCB737B"/>
    <w:rsid w:val="6BE26F04"/>
    <w:rsid w:val="6C18085E"/>
    <w:rsid w:val="6C4320B2"/>
    <w:rsid w:val="6C550066"/>
    <w:rsid w:val="6C855DD1"/>
    <w:rsid w:val="6CA01DD8"/>
    <w:rsid w:val="6CA67574"/>
    <w:rsid w:val="6CB608D6"/>
    <w:rsid w:val="6CDD1CFA"/>
    <w:rsid w:val="6D470BCD"/>
    <w:rsid w:val="6D5C6422"/>
    <w:rsid w:val="6D7F1ACE"/>
    <w:rsid w:val="6D820324"/>
    <w:rsid w:val="6DA11BE3"/>
    <w:rsid w:val="6DA965A0"/>
    <w:rsid w:val="6E1F36BA"/>
    <w:rsid w:val="6E4A7FDD"/>
    <w:rsid w:val="6E5C59C3"/>
    <w:rsid w:val="6E8150CD"/>
    <w:rsid w:val="6EC111B3"/>
    <w:rsid w:val="6EC80EDF"/>
    <w:rsid w:val="6ED26587"/>
    <w:rsid w:val="6EE51E1B"/>
    <w:rsid w:val="6F140F4C"/>
    <w:rsid w:val="6F1F588E"/>
    <w:rsid w:val="6F2075B5"/>
    <w:rsid w:val="6F2C4CAA"/>
    <w:rsid w:val="6F484E51"/>
    <w:rsid w:val="6F5A53DE"/>
    <w:rsid w:val="6F7567CE"/>
    <w:rsid w:val="6F7C4501"/>
    <w:rsid w:val="6F867821"/>
    <w:rsid w:val="6FC557BB"/>
    <w:rsid w:val="6FD76122"/>
    <w:rsid w:val="6FDB1674"/>
    <w:rsid w:val="6FE85644"/>
    <w:rsid w:val="6FE874CD"/>
    <w:rsid w:val="70285954"/>
    <w:rsid w:val="70397651"/>
    <w:rsid w:val="70511F75"/>
    <w:rsid w:val="706D6FDB"/>
    <w:rsid w:val="707A461B"/>
    <w:rsid w:val="70855757"/>
    <w:rsid w:val="70975406"/>
    <w:rsid w:val="70A179B2"/>
    <w:rsid w:val="711247C5"/>
    <w:rsid w:val="71227F74"/>
    <w:rsid w:val="71982EA5"/>
    <w:rsid w:val="71B62749"/>
    <w:rsid w:val="71C00FB3"/>
    <w:rsid w:val="71D42AF9"/>
    <w:rsid w:val="71FB1DA0"/>
    <w:rsid w:val="721329D9"/>
    <w:rsid w:val="7220696E"/>
    <w:rsid w:val="72272B55"/>
    <w:rsid w:val="724F0EA0"/>
    <w:rsid w:val="725B77E9"/>
    <w:rsid w:val="72A03CF9"/>
    <w:rsid w:val="72A96318"/>
    <w:rsid w:val="72AD1741"/>
    <w:rsid w:val="72B64B54"/>
    <w:rsid w:val="72EE5814"/>
    <w:rsid w:val="73515B32"/>
    <w:rsid w:val="73784B2A"/>
    <w:rsid w:val="737F7DCD"/>
    <w:rsid w:val="73834F54"/>
    <w:rsid w:val="73CC1B89"/>
    <w:rsid w:val="73F71ACE"/>
    <w:rsid w:val="74062BCC"/>
    <w:rsid w:val="740E345F"/>
    <w:rsid w:val="741A1598"/>
    <w:rsid w:val="743E2314"/>
    <w:rsid w:val="746758BD"/>
    <w:rsid w:val="746A4401"/>
    <w:rsid w:val="74AB4CEE"/>
    <w:rsid w:val="74BE33BD"/>
    <w:rsid w:val="751815E0"/>
    <w:rsid w:val="752B7E73"/>
    <w:rsid w:val="75670907"/>
    <w:rsid w:val="756D544A"/>
    <w:rsid w:val="758D39D6"/>
    <w:rsid w:val="759647A9"/>
    <w:rsid w:val="75B839D8"/>
    <w:rsid w:val="75E354FD"/>
    <w:rsid w:val="76060A00"/>
    <w:rsid w:val="761C577E"/>
    <w:rsid w:val="76353217"/>
    <w:rsid w:val="768E2CCD"/>
    <w:rsid w:val="76BA3656"/>
    <w:rsid w:val="76F761EA"/>
    <w:rsid w:val="77647E50"/>
    <w:rsid w:val="77727798"/>
    <w:rsid w:val="77784895"/>
    <w:rsid w:val="77A7484A"/>
    <w:rsid w:val="77AD0364"/>
    <w:rsid w:val="77CB11AD"/>
    <w:rsid w:val="7888230B"/>
    <w:rsid w:val="78941A76"/>
    <w:rsid w:val="78997C12"/>
    <w:rsid w:val="78E427B1"/>
    <w:rsid w:val="790B49CB"/>
    <w:rsid w:val="790B749F"/>
    <w:rsid w:val="79555C68"/>
    <w:rsid w:val="79613C85"/>
    <w:rsid w:val="79802F49"/>
    <w:rsid w:val="79BD7BEB"/>
    <w:rsid w:val="79C84659"/>
    <w:rsid w:val="79D868C0"/>
    <w:rsid w:val="7A0F6EE8"/>
    <w:rsid w:val="7A1508B2"/>
    <w:rsid w:val="7A312D6F"/>
    <w:rsid w:val="7A39398C"/>
    <w:rsid w:val="7A60065B"/>
    <w:rsid w:val="7A9752EC"/>
    <w:rsid w:val="7AA60D79"/>
    <w:rsid w:val="7AB05926"/>
    <w:rsid w:val="7AB70719"/>
    <w:rsid w:val="7AD25729"/>
    <w:rsid w:val="7AD820B5"/>
    <w:rsid w:val="7ADC5F95"/>
    <w:rsid w:val="7AE75F8E"/>
    <w:rsid w:val="7B1A28D8"/>
    <w:rsid w:val="7B4D695A"/>
    <w:rsid w:val="7B505369"/>
    <w:rsid w:val="7B520093"/>
    <w:rsid w:val="7B616F56"/>
    <w:rsid w:val="7BB3278F"/>
    <w:rsid w:val="7BBB786E"/>
    <w:rsid w:val="7C2773B2"/>
    <w:rsid w:val="7C7B7D8C"/>
    <w:rsid w:val="7C7F1E63"/>
    <w:rsid w:val="7C8538A6"/>
    <w:rsid w:val="7CAF32A2"/>
    <w:rsid w:val="7CAF7B43"/>
    <w:rsid w:val="7CB139BF"/>
    <w:rsid w:val="7CEB1654"/>
    <w:rsid w:val="7D42179B"/>
    <w:rsid w:val="7D92734B"/>
    <w:rsid w:val="7DA07444"/>
    <w:rsid w:val="7DB54A77"/>
    <w:rsid w:val="7DE449C3"/>
    <w:rsid w:val="7E32267E"/>
    <w:rsid w:val="7E3F5827"/>
    <w:rsid w:val="7E484200"/>
    <w:rsid w:val="7E7256F6"/>
    <w:rsid w:val="7E9835FD"/>
    <w:rsid w:val="7E9F3859"/>
    <w:rsid w:val="7EF80310"/>
    <w:rsid w:val="7F0C5228"/>
    <w:rsid w:val="7F1D1638"/>
    <w:rsid w:val="7F2B5D0A"/>
    <w:rsid w:val="7F4E13D8"/>
    <w:rsid w:val="7F9576A5"/>
    <w:rsid w:val="7FFE1B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semiHidden="0" w:uiPriority="0"/>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6514C"/>
    <w:pPr>
      <w:widowControl w:val="0"/>
      <w:jc w:val="both"/>
    </w:pPr>
    <w:rPr>
      <w:rFonts w:ascii="Calibri" w:hAnsi="Calibri"/>
    </w:rPr>
  </w:style>
  <w:style w:type="paragraph" w:styleId="Heading1">
    <w:name w:val="heading 1"/>
    <w:basedOn w:val="Normal"/>
    <w:next w:val="Normal"/>
    <w:link w:val="Heading1Char"/>
    <w:uiPriority w:val="99"/>
    <w:qFormat/>
    <w:rsid w:val="00D6514C"/>
    <w:pPr>
      <w:keepNext/>
      <w:spacing w:line="400" w:lineRule="exact"/>
      <w:jc w:val="center"/>
      <w:outlineLvl w:val="0"/>
    </w:pPr>
    <w:rPr>
      <w:rFonts w:ascii="Times New Roman" w:eastAsia="楷体_GB2312" w:hAnsi="Times New Roman"/>
      <w:b/>
      <w:bCs/>
      <w:sz w:val="24"/>
      <w:szCs w:val="24"/>
    </w:rPr>
  </w:style>
  <w:style w:type="paragraph" w:styleId="Heading2">
    <w:name w:val="heading 2"/>
    <w:basedOn w:val="Normal"/>
    <w:next w:val="Normal"/>
    <w:link w:val="Heading2Char"/>
    <w:uiPriority w:val="99"/>
    <w:qFormat/>
    <w:rsid w:val="00D6514C"/>
    <w:pPr>
      <w:keepNext/>
      <w:spacing w:line="480" w:lineRule="exact"/>
      <w:outlineLvl w:val="1"/>
    </w:pPr>
    <w:rPr>
      <w:rFonts w:ascii="Times New Roman" w:eastAsia="楷体_GB2312" w:hAnsi="Times New Roman"/>
      <w:b/>
      <w:bCs/>
      <w:sz w:val="24"/>
      <w:szCs w:val="24"/>
    </w:rPr>
  </w:style>
  <w:style w:type="paragraph" w:styleId="Heading3">
    <w:name w:val="heading 3"/>
    <w:basedOn w:val="Normal"/>
    <w:next w:val="Normal"/>
    <w:link w:val="Heading3Char"/>
    <w:uiPriority w:val="99"/>
    <w:qFormat/>
    <w:rsid w:val="00D6514C"/>
    <w:pPr>
      <w:keepLines/>
      <w:widowControl/>
      <w:adjustRightInd w:val="0"/>
      <w:spacing w:before="120" w:line="360" w:lineRule="auto"/>
      <w:jc w:val="left"/>
      <w:textAlignment w:val="baseline"/>
      <w:outlineLvl w:val="2"/>
    </w:pPr>
    <w:rPr>
      <w:rFonts w:ascii="Times New Roman" w:eastAsia="仿宋_GB2312" w:hAnsi="Times New Roman"/>
      <w:kern w:val="24"/>
      <w:sz w:val="28"/>
      <w:szCs w:val="20"/>
    </w:rPr>
  </w:style>
  <w:style w:type="paragraph" w:styleId="Heading4">
    <w:name w:val="heading 4"/>
    <w:basedOn w:val="Normal"/>
    <w:next w:val="Normal"/>
    <w:link w:val="Heading4Char"/>
    <w:uiPriority w:val="99"/>
    <w:qFormat/>
    <w:rsid w:val="00D6514C"/>
    <w:pPr>
      <w:keepLines/>
      <w:widowControl/>
      <w:adjustRightInd w:val="0"/>
      <w:spacing w:line="360" w:lineRule="auto"/>
      <w:jc w:val="left"/>
      <w:textAlignment w:val="baseline"/>
      <w:outlineLvl w:val="3"/>
    </w:pPr>
    <w:rPr>
      <w:rFonts w:ascii="Times New Roman" w:eastAsia="仿宋_GB2312" w:hAnsi="Times New Roman"/>
      <w:kern w:val="24"/>
      <w:sz w:val="28"/>
      <w:szCs w:val="20"/>
    </w:rPr>
  </w:style>
  <w:style w:type="paragraph" w:styleId="Heading5">
    <w:name w:val="heading 5"/>
    <w:basedOn w:val="Normal"/>
    <w:next w:val="Normal"/>
    <w:link w:val="Heading5Char"/>
    <w:uiPriority w:val="99"/>
    <w:qFormat/>
    <w:rsid w:val="00D6514C"/>
    <w:pPr>
      <w:keepLines/>
      <w:widowControl/>
      <w:adjustRightInd w:val="0"/>
      <w:spacing w:line="360" w:lineRule="auto"/>
      <w:jc w:val="left"/>
      <w:textAlignment w:val="baseline"/>
      <w:outlineLvl w:val="4"/>
    </w:pPr>
    <w:rPr>
      <w:rFonts w:ascii="Times New Roman" w:eastAsia="仿宋_GB2312" w:hAnsi="Times New Roman"/>
      <w:kern w:val="24"/>
      <w:sz w:val="28"/>
      <w:szCs w:val="20"/>
    </w:rPr>
  </w:style>
  <w:style w:type="paragraph" w:styleId="Heading6">
    <w:name w:val="heading 6"/>
    <w:basedOn w:val="Normal"/>
    <w:next w:val="Normal"/>
    <w:link w:val="Heading6Char"/>
    <w:uiPriority w:val="99"/>
    <w:qFormat/>
    <w:rsid w:val="00D6514C"/>
    <w:pPr>
      <w:keepLines/>
      <w:widowControl/>
      <w:adjustRightInd w:val="0"/>
      <w:spacing w:line="360" w:lineRule="auto"/>
      <w:jc w:val="left"/>
      <w:textAlignment w:val="baseline"/>
      <w:outlineLvl w:val="5"/>
    </w:pPr>
    <w:rPr>
      <w:rFonts w:ascii="Arial" w:eastAsia="黑体" w:hAnsi="Arial"/>
      <w:b/>
      <w:kern w:val="24"/>
      <w:sz w:val="24"/>
      <w:szCs w:val="20"/>
    </w:rPr>
  </w:style>
  <w:style w:type="paragraph" w:styleId="Heading7">
    <w:name w:val="heading 7"/>
    <w:basedOn w:val="Normal"/>
    <w:next w:val="Normal"/>
    <w:link w:val="Heading7Char"/>
    <w:uiPriority w:val="99"/>
    <w:qFormat/>
    <w:rsid w:val="00D6514C"/>
    <w:pPr>
      <w:keepLines/>
      <w:widowControl/>
      <w:adjustRightInd w:val="0"/>
      <w:spacing w:line="360" w:lineRule="auto"/>
      <w:jc w:val="left"/>
      <w:textAlignment w:val="baseline"/>
      <w:outlineLvl w:val="6"/>
    </w:pPr>
    <w:rPr>
      <w:rFonts w:ascii="Times New Roman" w:eastAsia="仿宋_GB2312" w:hAnsi="Times New Roman"/>
      <w:b/>
      <w:kern w:val="24"/>
      <w:sz w:val="24"/>
      <w:szCs w:val="20"/>
    </w:rPr>
  </w:style>
  <w:style w:type="paragraph" w:styleId="Heading8">
    <w:name w:val="heading 8"/>
    <w:basedOn w:val="Normal"/>
    <w:next w:val="Normal"/>
    <w:link w:val="Heading8Char"/>
    <w:uiPriority w:val="99"/>
    <w:qFormat/>
    <w:rsid w:val="00D6514C"/>
    <w:pPr>
      <w:keepLines/>
      <w:widowControl/>
      <w:adjustRightInd w:val="0"/>
      <w:spacing w:line="360" w:lineRule="auto"/>
      <w:jc w:val="left"/>
      <w:textAlignment w:val="baseline"/>
      <w:outlineLvl w:val="7"/>
    </w:pPr>
    <w:rPr>
      <w:rFonts w:ascii="Arial" w:eastAsia="黑体" w:hAnsi="Arial"/>
      <w:kern w:val="24"/>
      <w:sz w:val="24"/>
      <w:szCs w:val="20"/>
    </w:rPr>
  </w:style>
  <w:style w:type="paragraph" w:styleId="Heading9">
    <w:name w:val="heading 9"/>
    <w:basedOn w:val="Normal"/>
    <w:next w:val="Normal"/>
    <w:link w:val="Heading9Char"/>
    <w:uiPriority w:val="99"/>
    <w:qFormat/>
    <w:rsid w:val="00D6514C"/>
    <w:pPr>
      <w:keepLines/>
      <w:widowControl/>
      <w:adjustRightInd w:val="0"/>
      <w:spacing w:line="360" w:lineRule="auto"/>
      <w:jc w:val="left"/>
      <w:textAlignment w:val="baseline"/>
      <w:outlineLvl w:val="8"/>
    </w:pPr>
    <w:rPr>
      <w:rFonts w:ascii="Arial" w:eastAsia="黑体" w:hAnsi="Arial"/>
      <w:kern w:val="24"/>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14C"/>
    <w:rPr>
      <w:rFonts w:ascii="Times New Roman" w:eastAsia="楷体_GB2312" w:hAnsi="Times New Roman" w:cs="Times New Roman"/>
      <w:b/>
      <w:bCs/>
      <w:sz w:val="24"/>
      <w:szCs w:val="24"/>
    </w:rPr>
  </w:style>
  <w:style w:type="character" w:customStyle="1" w:styleId="Heading2Char">
    <w:name w:val="Heading 2 Char"/>
    <w:basedOn w:val="DefaultParagraphFont"/>
    <w:link w:val="Heading2"/>
    <w:uiPriority w:val="99"/>
    <w:locked/>
    <w:rsid w:val="00D6514C"/>
    <w:rPr>
      <w:rFonts w:ascii="Times New Roman" w:eastAsia="楷体_GB2312" w:hAnsi="Times New Roman" w:cs="Times New Roman"/>
      <w:b/>
      <w:bCs/>
      <w:sz w:val="24"/>
      <w:szCs w:val="24"/>
    </w:rPr>
  </w:style>
  <w:style w:type="character" w:customStyle="1" w:styleId="Heading3Char">
    <w:name w:val="Heading 3 Char"/>
    <w:basedOn w:val="DefaultParagraphFont"/>
    <w:link w:val="Heading3"/>
    <w:uiPriority w:val="99"/>
    <w:locked/>
    <w:rsid w:val="00D6514C"/>
    <w:rPr>
      <w:rFonts w:ascii="Times New Roman" w:eastAsia="仿宋_GB2312" w:hAnsi="Times New Roman" w:cs="Times New Roman"/>
      <w:kern w:val="24"/>
      <w:sz w:val="20"/>
      <w:szCs w:val="20"/>
    </w:rPr>
  </w:style>
  <w:style w:type="character" w:customStyle="1" w:styleId="Heading4Char">
    <w:name w:val="Heading 4 Char"/>
    <w:basedOn w:val="DefaultParagraphFont"/>
    <w:link w:val="Heading4"/>
    <w:uiPriority w:val="99"/>
    <w:locked/>
    <w:rsid w:val="00D6514C"/>
    <w:rPr>
      <w:rFonts w:ascii="Times New Roman" w:eastAsia="仿宋_GB2312" w:hAnsi="Times New Roman" w:cs="Times New Roman"/>
      <w:kern w:val="24"/>
      <w:sz w:val="20"/>
      <w:szCs w:val="20"/>
    </w:rPr>
  </w:style>
  <w:style w:type="character" w:customStyle="1" w:styleId="Heading5Char">
    <w:name w:val="Heading 5 Char"/>
    <w:basedOn w:val="DefaultParagraphFont"/>
    <w:link w:val="Heading5"/>
    <w:uiPriority w:val="99"/>
    <w:locked/>
    <w:rsid w:val="00D6514C"/>
    <w:rPr>
      <w:rFonts w:ascii="Times New Roman" w:eastAsia="仿宋_GB2312" w:hAnsi="Times New Roman" w:cs="Times New Roman"/>
      <w:kern w:val="24"/>
      <w:sz w:val="20"/>
      <w:szCs w:val="20"/>
    </w:rPr>
  </w:style>
  <w:style w:type="character" w:customStyle="1" w:styleId="Heading6Char">
    <w:name w:val="Heading 6 Char"/>
    <w:basedOn w:val="DefaultParagraphFont"/>
    <w:link w:val="Heading6"/>
    <w:uiPriority w:val="99"/>
    <w:locked/>
    <w:rsid w:val="00D6514C"/>
    <w:rPr>
      <w:rFonts w:ascii="Arial" w:eastAsia="黑体" w:hAnsi="Arial" w:cs="Times New Roman"/>
      <w:b/>
      <w:kern w:val="24"/>
      <w:sz w:val="20"/>
      <w:szCs w:val="20"/>
    </w:rPr>
  </w:style>
  <w:style w:type="character" w:customStyle="1" w:styleId="Heading7Char">
    <w:name w:val="Heading 7 Char"/>
    <w:basedOn w:val="DefaultParagraphFont"/>
    <w:link w:val="Heading7"/>
    <w:uiPriority w:val="99"/>
    <w:locked/>
    <w:rsid w:val="00D6514C"/>
    <w:rPr>
      <w:rFonts w:ascii="Times New Roman" w:eastAsia="仿宋_GB2312" w:hAnsi="Times New Roman" w:cs="Times New Roman"/>
      <w:b/>
      <w:kern w:val="24"/>
      <w:sz w:val="20"/>
      <w:szCs w:val="20"/>
    </w:rPr>
  </w:style>
  <w:style w:type="character" w:customStyle="1" w:styleId="Heading8Char">
    <w:name w:val="Heading 8 Char"/>
    <w:basedOn w:val="DefaultParagraphFont"/>
    <w:link w:val="Heading8"/>
    <w:uiPriority w:val="99"/>
    <w:locked/>
    <w:rsid w:val="00D6514C"/>
    <w:rPr>
      <w:rFonts w:ascii="Arial" w:eastAsia="黑体" w:hAnsi="Arial" w:cs="Times New Roman"/>
      <w:kern w:val="24"/>
      <w:sz w:val="20"/>
      <w:szCs w:val="20"/>
    </w:rPr>
  </w:style>
  <w:style w:type="character" w:customStyle="1" w:styleId="Heading9Char">
    <w:name w:val="Heading 9 Char"/>
    <w:basedOn w:val="DefaultParagraphFont"/>
    <w:link w:val="Heading9"/>
    <w:uiPriority w:val="99"/>
    <w:locked/>
    <w:rsid w:val="00D6514C"/>
    <w:rPr>
      <w:rFonts w:ascii="Arial" w:eastAsia="黑体" w:hAnsi="Arial" w:cs="Times New Roman"/>
      <w:kern w:val="24"/>
      <w:sz w:val="20"/>
      <w:szCs w:val="20"/>
    </w:rPr>
  </w:style>
  <w:style w:type="paragraph" w:styleId="BodyText">
    <w:name w:val="Body Text"/>
    <w:basedOn w:val="Normal"/>
    <w:link w:val="BodyTextChar2"/>
    <w:uiPriority w:val="99"/>
    <w:rsid w:val="00D6514C"/>
    <w:pPr>
      <w:spacing w:after="120"/>
    </w:pPr>
    <w:rPr>
      <w:kern w:val="0"/>
      <w:sz w:val="24"/>
      <w:szCs w:val="24"/>
    </w:rPr>
  </w:style>
  <w:style w:type="character" w:customStyle="1" w:styleId="BodyTextChar">
    <w:name w:val="Body Text Char"/>
    <w:basedOn w:val="DefaultParagraphFont"/>
    <w:link w:val="BodyText"/>
    <w:uiPriority w:val="99"/>
    <w:locked/>
    <w:rsid w:val="00D6514C"/>
    <w:rPr>
      <w:rFonts w:cs="Times New Roman"/>
      <w:sz w:val="24"/>
    </w:rPr>
  </w:style>
  <w:style w:type="paragraph" w:styleId="BodyTextFirstIndent">
    <w:name w:val="Body Text First Indent"/>
    <w:basedOn w:val="BodyText"/>
    <w:link w:val="BodyTextFirstIndentChar2"/>
    <w:uiPriority w:val="99"/>
    <w:rsid w:val="00D6514C"/>
    <w:pPr>
      <w:ind w:firstLineChars="100" w:firstLine="420"/>
    </w:pPr>
  </w:style>
  <w:style w:type="character" w:customStyle="1" w:styleId="BodyTextFirstIndentChar">
    <w:name w:val="Body Text First Indent Char"/>
    <w:basedOn w:val="BodyTextChar"/>
    <w:link w:val="BodyTextFirstIndent"/>
    <w:uiPriority w:val="99"/>
    <w:locked/>
    <w:rsid w:val="00D6514C"/>
  </w:style>
  <w:style w:type="paragraph" w:styleId="BodyTextIndent">
    <w:name w:val="Body Text Indent"/>
    <w:basedOn w:val="Normal"/>
    <w:link w:val="BodyTextIndentChar"/>
    <w:uiPriority w:val="99"/>
    <w:rsid w:val="00D6514C"/>
    <w:pPr>
      <w:spacing w:line="520" w:lineRule="exact"/>
      <w:ind w:leftChars="14" w:left="30"/>
    </w:pPr>
    <w:rPr>
      <w:rFonts w:ascii="宋体" w:hAnsi="宋体"/>
      <w:szCs w:val="24"/>
    </w:rPr>
  </w:style>
  <w:style w:type="character" w:customStyle="1" w:styleId="BodyTextIndentChar">
    <w:name w:val="Body Text Indent Char"/>
    <w:basedOn w:val="DefaultParagraphFont"/>
    <w:link w:val="BodyTextIndent"/>
    <w:uiPriority w:val="99"/>
    <w:locked/>
    <w:rsid w:val="00D6514C"/>
    <w:rPr>
      <w:rFonts w:ascii="宋体" w:eastAsia="宋体" w:hAnsi="宋体" w:cs="Times New Roman"/>
      <w:sz w:val="24"/>
      <w:szCs w:val="24"/>
    </w:rPr>
  </w:style>
  <w:style w:type="paragraph" w:styleId="PlainText">
    <w:name w:val="Plain Text"/>
    <w:basedOn w:val="Normal"/>
    <w:link w:val="PlainTextChar2"/>
    <w:uiPriority w:val="99"/>
    <w:rsid w:val="00D6514C"/>
    <w:rPr>
      <w:rFonts w:ascii="宋体" w:hAnsi="Courier New"/>
      <w:kern w:val="0"/>
      <w:sz w:val="24"/>
      <w:szCs w:val="20"/>
    </w:rPr>
  </w:style>
  <w:style w:type="character" w:customStyle="1" w:styleId="PlainTextChar">
    <w:name w:val="Plain Text Char"/>
    <w:basedOn w:val="DefaultParagraphFont"/>
    <w:link w:val="PlainText"/>
    <w:uiPriority w:val="99"/>
    <w:locked/>
    <w:rsid w:val="00D6514C"/>
    <w:rPr>
      <w:rFonts w:ascii="宋体" w:hAnsi="Courier New" w:cs="Times New Roman"/>
      <w:sz w:val="24"/>
    </w:rPr>
  </w:style>
  <w:style w:type="paragraph" w:styleId="Date">
    <w:name w:val="Date"/>
    <w:basedOn w:val="Normal"/>
    <w:next w:val="Normal"/>
    <w:link w:val="DateChar"/>
    <w:uiPriority w:val="99"/>
    <w:rsid w:val="00D6514C"/>
    <w:pPr>
      <w:ind w:leftChars="2500" w:left="100"/>
    </w:pPr>
    <w:rPr>
      <w:rFonts w:ascii="宋体" w:hAnsi="宋体"/>
      <w:szCs w:val="24"/>
    </w:rPr>
  </w:style>
  <w:style w:type="character" w:customStyle="1" w:styleId="DateChar">
    <w:name w:val="Date Char"/>
    <w:basedOn w:val="DefaultParagraphFont"/>
    <w:link w:val="Date"/>
    <w:uiPriority w:val="99"/>
    <w:locked/>
    <w:rsid w:val="00D6514C"/>
    <w:rPr>
      <w:rFonts w:ascii="宋体" w:eastAsia="宋体" w:hAnsi="宋体" w:cs="Times New Roman"/>
      <w:sz w:val="24"/>
      <w:szCs w:val="24"/>
    </w:rPr>
  </w:style>
  <w:style w:type="paragraph" w:styleId="BodyTextIndent2">
    <w:name w:val="Body Text Indent 2"/>
    <w:basedOn w:val="Normal"/>
    <w:link w:val="BodyTextIndent2Char2"/>
    <w:uiPriority w:val="99"/>
    <w:rsid w:val="00D6514C"/>
    <w:pPr>
      <w:spacing w:line="540" w:lineRule="exact"/>
      <w:ind w:firstLineChars="200" w:firstLine="432"/>
    </w:pPr>
    <w:rPr>
      <w:rFonts w:ascii="宋体"/>
      <w:kern w:val="0"/>
      <w:sz w:val="24"/>
      <w:szCs w:val="24"/>
    </w:rPr>
  </w:style>
  <w:style w:type="character" w:customStyle="1" w:styleId="BodyTextIndent2Char">
    <w:name w:val="Body Text Indent 2 Char"/>
    <w:basedOn w:val="DefaultParagraphFont"/>
    <w:link w:val="BodyTextIndent2"/>
    <w:uiPriority w:val="99"/>
    <w:locked/>
    <w:rsid w:val="00D6514C"/>
    <w:rPr>
      <w:rFonts w:ascii="宋体" w:eastAsia="宋体" w:cs="Times New Roman"/>
      <w:sz w:val="24"/>
    </w:rPr>
  </w:style>
  <w:style w:type="paragraph" w:styleId="BalloonText">
    <w:name w:val="Balloon Text"/>
    <w:basedOn w:val="Normal"/>
    <w:link w:val="BalloonTextChar"/>
    <w:uiPriority w:val="99"/>
    <w:semiHidden/>
    <w:rsid w:val="00D6514C"/>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D6514C"/>
    <w:rPr>
      <w:rFonts w:ascii="Times New Roman" w:eastAsia="宋体" w:hAnsi="Times New Roman" w:cs="Times New Roman"/>
      <w:sz w:val="18"/>
      <w:szCs w:val="18"/>
    </w:rPr>
  </w:style>
  <w:style w:type="paragraph" w:styleId="Footer">
    <w:name w:val="footer"/>
    <w:basedOn w:val="Normal"/>
    <w:link w:val="FooterChar"/>
    <w:uiPriority w:val="99"/>
    <w:rsid w:val="00D651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6514C"/>
    <w:rPr>
      <w:rFonts w:cs="Times New Roman"/>
      <w:sz w:val="18"/>
      <w:szCs w:val="18"/>
    </w:rPr>
  </w:style>
  <w:style w:type="paragraph" w:styleId="Header">
    <w:name w:val="header"/>
    <w:basedOn w:val="Normal"/>
    <w:link w:val="HeaderChar"/>
    <w:uiPriority w:val="99"/>
    <w:rsid w:val="00D651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6514C"/>
    <w:rPr>
      <w:rFonts w:cs="Times New Roman"/>
      <w:sz w:val="18"/>
      <w:szCs w:val="18"/>
    </w:rPr>
  </w:style>
  <w:style w:type="paragraph" w:styleId="FootnoteText">
    <w:name w:val="footnote text"/>
    <w:basedOn w:val="Normal"/>
    <w:link w:val="FootnoteTextChar2"/>
    <w:uiPriority w:val="99"/>
    <w:rsid w:val="00D6514C"/>
    <w:pPr>
      <w:snapToGrid w:val="0"/>
      <w:jc w:val="left"/>
    </w:pPr>
    <w:rPr>
      <w:kern w:val="0"/>
      <w:sz w:val="18"/>
      <w:szCs w:val="18"/>
    </w:rPr>
  </w:style>
  <w:style w:type="character" w:customStyle="1" w:styleId="FootnoteTextChar">
    <w:name w:val="Footnote Text Char"/>
    <w:basedOn w:val="DefaultParagraphFont"/>
    <w:link w:val="FootnoteText"/>
    <w:uiPriority w:val="99"/>
    <w:locked/>
    <w:rsid w:val="00D6514C"/>
    <w:rPr>
      <w:rFonts w:cs="Times New Roman"/>
      <w:sz w:val="18"/>
    </w:rPr>
  </w:style>
  <w:style w:type="paragraph" w:styleId="BodyTextIndent3">
    <w:name w:val="Body Text Indent 3"/>
    <w:basedOn w:val="Normal"/>
    <w:link w:val="BodyTextIndent3Char"/>
    <w:uiPriority w:val="99"/>
    <w:rsid w:val="00D6514C"/>
    <w:pPr>
      <w:spacing w:line="520" w:lineRule="exact"/>
      <w:ind w:firstLineChars="200" w:firstLine="420"/>
    </w:pPr>
    <w:rPr>
      <w:rFonts w:ascii="宋体" w:hAnsi="宋体"/>
      <w:szCs w:val="24"/>
    </w:rPr>
  </w:style>
  <w:style w:type="character" w:customStyle="1" w:styleId="BodyTextIndent3Char">
    <w:name w:val="Body Text Indent 3 Char"/>
    <w:basedOn w:val="DefaultParagraphFont"/>
    <w:link w:val="BodyTextIndent3"/>
    <w:uiPriority w:val="99"/>
    <w:locked/>
    <w:rsid w:val="00D6514C"/>
    <w:rPr>
      <w:rFonts w:ascii="宋体" w:eastAsia="宋体" w:hAnsi="宋体" w:cs="Times New Roman"/>
      <w:sz w:val="24"/>
      <w:szCs w:val="24"/>
    </w:rPr>
  </w:style>
  <w:style w:type="paragraph" w:styleId="TableofFigures">
    <w:name w:val="table of figures"/>
    <w:basedOn w:val="Normal"/>
    <w:next w:val="Normal"/>
    <w:uiPriority w:val="99"/>
    <w:semiHidden/>
    <w:rsid w:val="00D6514C"/>
    <w:pPr>
      <w:ind w:leftChars="200" w:left="840" w:hangingChars="200" w:hanging="420"/>
    </w:pPr>
    <w:rPr>
      <w:rFonts w:ascii="Times New Roman" w:hAnsi="Times New Roman"/>
      <w:szCs w:val="24"/>
    </w:rPr>
  </w:style>
  <w:style w:type="paragraph" w:styleId="HTMLPreformatted">
    <w:name w:val="HTML Preformatted"/>
    <w:basedOn w:val="Normal"/>
    <w:link w:val="HTMLPreformattedChar2"/>
    <w:uiPriority w:val="99"/>
    <w:rsid w:val="00D65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character" w:customStyle="1" w:styleId="HTMLPreformattedChar">
    <w:name w:val="HTML Preformatted Char"/>
    <w:basedOn w:val="DefaultParagraphFont"/>
    <w:link w:val="HTMLPreformatted"/>
    <w:uiPriority w:val="99"/>
    <w:locked/>
    <w:rsid w:val="00D6514C"/>
    <w:rPr>
      <w:rFonts w:ascii="Arial" w:hAnsi="Arial" w:cs="Times New Roman"/>
      <w:sz w:val="21"/>
    </w:rPr>
  </w:style>
  <w:style w:type="paragraph" w:styleId="NormalWeb">
    <w:name w:val="Normal (Web)"/>
    <w:basedOn w:val="Normal"/>
    <w:uiPriority w:val="99"/>
    <w:rsid w:val="00D6514C"/>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D6514C"/>
    <w:rPr>
      <w:rFonts w:cs="Times New Roman"/>
    </w:rPr>
  </w:style>
  <w:style w:type="character" w:styleId="FollowedHyperlink">
    <w:name w:val="FollowedHyperlink"/>
    <w:basedOn w:val="DefaultParagraphFont"/>
    <w:uiPriority w:val="99"/>
    <w:rsid w:val="00D6514C"/>
    <w:rPr>
      <w:rFonts w:cs="Times New Roman"/>
      <w:color w:val="800080"/>
      <w:u w:val="single"/>
    </w:rPr>
  </w:style>
  <w:style w:type="character" w:styleId="Hyperlink">
    <w:name w:val="Hyperlink"/>
    <w:basedOn w:val="DefaultParagraphFont"/>
    <w:uiPriority w:val="99"/>
    <w:rsid w:val="00D6514C"/>
    <w:rPr>
      <w:rFonts w:cs="Times New Roman"/>
      <w:color w:val="0000FF"/>
      <w:u w:val="single"/>
    </w:rPr>
  </w:style>
  <w:style w:type="character" w:styleId="CommentReference">
    <w:name w:val="annotation reference"/>
    <w:basedOn w:val="DefaultParagraphFont"/>
    <w:uiPriority w:val="99"/>
    <w:rsid w:val="00D6514C"/>
    <w:rPr>
      <w:rFonts w:cs="Times New Roman"/>
      <w:sz w:val="21"/>
    </w:rPr>
  </w:style>
  <w:style w:type="character" w:styleId="FootnoteReference">
    <w:name w:val="footnote reference"/>
    <w:basedOn w:val="DefaultParagraphFont"/>
    <w:uiPriority w:val="99"/>
    <w:semiHidden/>
    <w:rsid w:val="00D6514C"/>
    <w:rPr>
      <w:rFonts w:cs="Times New Roman"/>
      <w:vertAlign w:val="superscript"/>
    </w:rPr>
  </w:style>
  <w:style w:type="table" w:styleId="TableGrid">
    <w:name w:val="Table Grid"/>
    <w:basedOn w:val="TableNormal"/>
    <w:uiPriority w:val="99"/>
    <w:rsid w:val="00D6514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D6514C"/>
    <w:rPr>
      <w:rFonts w:cs="Times New Roman"/>
    </w:rPr>
  </w:style>
  <w:style w:type="character" w:customStyle="1" w:styleId="kbz">
    <w:name w:val="kbz"/>
    <w:basedOn w:val="DefaultParagraphFont"/>
    <w:uiPriority w:val="99"/>
    <w:rsid w:val="00D6514C"/>
    <w:rPr>
      <w:rFonts w:cs="Times New Roman"/>
    </w:rPr>
  </w:style>
  <w:style w:type="character" w:customStyle="1" w:styleId="style101">
    <w:name w:val="style101"/>
    <w:basedOn w:val="DefaultParagraphFont"/>
    <w:uiPriority w:val="99"/>
    <w:rsid w:val="00D6514C"/>
    <w:rPr>
      <w:rFonts w:ascii="宋体" w:eastAsia="宋体" w:hAnsi="宋体" w:cs="Times New Roman"/>
      <w:b/>
      <w:bCs/>
      <w:sz w:val="33"/>
      <w:szCs w:val="33"/>
    </w:rPr>
  </w:style>
  <w:style w:type="character" w:customStyle="1" w:styleId="Char">
    <w:name w:val="编号—列表 Char"/>
    <w:basedOn w:val="DefaultParagraphFont"/>
    <w:link w:val="a"/>
    <w:uiPriority w:val="99"/>
    <w:locked/>
    <w:rsid w:val="00D6514C"/>
    <w:rPr>
      <w:rFonts w:ascii="华文细黑" w:eastAsia="华文细黑" w:hAnsi="华文细黑" w:cs="Times New Roman"/>
      <w:sz w:val="24"/>
      <w:szCs w:val="24"/>
    </w:rPr>
  </w:style>
  <w:style w:type="paragraph" w:customStyle="1" w:styleId="a">
    <w:name w:val="编号—列表"/>
    <w:basedOn w:val="Normal"/>
    <w:next w:val="Normal"/>
    <w:link w:val="Char"/>
    <w:uiPriority w:val="99"/>
    <w:rsid w:val="00D6514C"/>
    <w:pPr>
      <w:spacing w:line="500" w:lineRule="exact"/>
      <w:jc w:val="center"/>
    </w:pPr>
    <w:rPr>
      <w:rFonts w:ascii="华文细黑" w:eastAsia="华文细黑" w:hAnsi="华文细黑"/>
      <w:szCs w:val="24"/>
    </w:rPr>
  </w:style>
  <w:style w:type="character" w:customStyle="1" w:styleId="BodyTextChar1">
    <w:name w:val="Body Text Char1"/>
    <w:basedOn w:val="DefaultParagraphFont"/>
    <w:link w:val="BodyText"/>
    <w:uiPriority w:val="99"/>
    <w:semiHidden/>
    <w:locked/>
    <w:rsid w:val="00D6514C"/>
    <w:rPr>
      <w:rFonts w:cs="Times New Roman"/>
    </w:rPr>
  </w:style>
  <w:style w:type="character" w:customStyle="1" w:styleId="BodyTextChar2">
    <w:name w:val="Body Text Char2"/>
    <w:basedOn w:val="DefaultParagraphFont"/>
    <w:link w:val="BodyText"/>
    <w:uiPriority w:val="99"/>
    <w:semiHidden/>
    <w:locked/>
    <w:rsid w:val="00D6514C"/>
    <w:rPr>
      <w:rFonts w:cs="Times New Roman"/>
    </w:rPr>
  </w:style>
  <w:style w:type="character" w:customStyle="1" w:styleId="PlainTextChar1">
    <w:name w:val="Plain Text Char1"/>
    <w:basedOn w:val="DefaultParagraphFont"/>
    <w:link w:val="PlainText"/>
    <w:uiPriority w:val="99"/>
    <w:semiHidden/>
    <w:locked/>
    <w:rsid w:val="00D6514C"/>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D6514C"/>
    <w:rPr>
      <w:rFonts w:ascii="宋体" w:eastAsia="宋体" w:hAnsi="Courier New" w:cs="Courier New"/>
      <w:sz w:val="21"/>
      <w:szCs w:val="21"/>
    </w:rPr>
  </w:style>
  <w:style w:type="character" w:customStyle="1" w:styleId="FootnoteTextChar1">
    <w:name w:val="Footnote Text Char1"/>
    <w:basedOn w:val="DefaultParagraphFont"/>
    <w:link w:val="FootnoteText"/>
    <w:uiPriority w:val="99"/>
    <w:semiHidden/>
    <w:locked/>
    <w:rsid w:val="00D6514C"/>
    <w:rPr>
      <w:rFonts w:cs="Times New Roman"/>
      <w:sz w:val="18"/>
      <w:szCs w:val="18"/>
    </w:rPr>
  </w:style>
  <w:style w:type="character" w:customStyle="1" w:styleId="FootnoteTextChar2">
    <w:name w:val="Footnote Text Char2"/>
    <w:basedOn w:val="DefaultParagraphFont"/>
    <w:link w:val="FootnoteText"/>
    <w:uiPriority w:val="99"/>
    <w:semiHidden/>
    <w:locked/>
    <w:rsid w:val="00D6514C"/>
    <w:rPr>
      <w:rFonts w:cs="Times New Roman"/>
      <w:sz w:val="18"/>
      <w:szCs w:val="18"/>
    </w:rPr>
  </w:style>
  <w:style w:type="character" w:customStyle="1" w:styleId="BodyTextIndent2Char1">
    <w:name w:val="Body Text Indent 2 Char1"/>
    <w:basedOn w:val="DefaultParagraphFont"/>
    <w:link w:val="BodyTextIndent2"/>
    <w:uiPriority w:val="99"/>
    <w:semiHidden/>
    <w:locked/>
    <w:rsid w:val="00D6514C"/>
    <w:rPr>
      <w:rFonts w:cs="Times New Roman"/>
    </w:rPr>
  </w:style>
  <w:style w:type="character" w:customStyle="1" w:styleId="BodyTextIndent2Char2">
    <w:name w:val="Body Text Indent 2 Char2"/>
    <w:basedOn w:val="DefaultParagraphFont"/>
    <w:link w:val="BodyTextIndent2"/>
    <w:uiPriority w:val="99"/>
    <w:semiHidden/>
    <w:locked/>
    <w:rsid w:val="00D6514C"/>
    <w:rPr>
      <w:rFonts w:cs="Times New Roman"/>
    </w:rPr>
  </w:style>
  <w:style w:type="character" w:customStyle="1" w:styleId="BodyTextFirstIndentChar1">
    <w:name w:val="Body Text First Indent Char1"/>
    <w:basedOn w:val="BodyTextChar2"/>
    <w:link w:val="BodyTextFirstIndent"/>
    <w:uiPriority w:val="99"/>
    <w:semiHidden/>
    <w:locked/>
    <w:rsid w:val="00D6514C"/>
  </w:style>
  <w:style w:type="character" w:customStyle="1" w:styleId="BodyTextFirstIndentChar2">
    <w:name w:val="Body Text First Indent Char2"/>
    <w:basedOn w:val="BodyTextChar2"/>
    <w:link w:val="BodyTextFirstIndent"/>
    <w:uiPriority w:val="99"/>
    <w:semiHidden/>
    <w:locked/>
    <w:rsid w:val="00D6514C"/>
  </w:style>
  <w:style w:type="character" w:customStyle="1" w:styleId="HTMLPreformattedChar1">
    <w:name w:val="HTML Preformatted Char1"/>
    <w:basedOn w:val="DefaultParagraphFont"/>
    <w:link w:val="HTMLPreformatted"/>
    <w:uiPriority w:val="99"/>
    <w:semiHidden/>
    <w:locked/>
    <w:rsid w:val="00D6514C"/>
    <w:rPr>
      <w:rFonts w:ascii="Courier New" w:hAnsi="Courier New" w:cs="Courier New"/>
      <w:sz w:val="20"/>
      <w:szCs w:val="20"/>
    </w:rPr>
  </w:style>
  <w:style w:type="character" w:customStyle="1" w:styleId="HTMLPreformattedChar2">
    <w:name w:val="HTML Preformatted Char2"/>
    <w:basedOn w:val="DefaultParagraphFont"/>
    <w:link w:val="HTMLPreformatted"/>
    <w:uiPriority w:val="99"/>
    <w:semiHidden/>
    <w:locked/>
    <w:rsid w:val="00D6514C"/>
    <w:rPr>
      <w:rFonts w:ascii="Courier New" w:hAnsi="Courier New" w:cs="Courier New"/>
      <w:sz w:val="20"/>
      <w:szCs w:val="20"/>
    </w:rPr>
  </w:style>
  <w:style w:type="paragraph" w:customStyle="1" w:styleId="a0">
    <w:name w:val="表格文字"/>
    <w:basedOn w:val="Normal"/>
    <w:uiPriority w:val="99"/>
    <w:rsid w:val="00D6514C"/>
    <w:pPr>
      <w:jc w:val="center"/>
    </w:pPr>
    <w:rPr>
      <w:rFonts w:ascii="Times New Roman" w:hAnsi="Times New Roman"/>
      <w:sz w:val="18"/>
      <w:szCs w:val="24"/>
    </w:rPr>
  </w:style>
  <w:style w:type="character" w:customStyle="1" w:styleId="font31">
    <w:name w:val="font31"/>
    <w:basedOn w:val="DefaultParagraphFont"/>
    <w:uiPriority w:val="99"/>
    <w:rsid w:val="00D6514C"/>
    <w:rPr>
      <w:rFonts w:ascii="宋体" w:eastAsia="宋体" w:hAnsi="宋体" w:cs="宋体"/>
      <w:color w:val="000000"/>
      <w:sz w:val="18"/>
      <w:szCs w:val="18"/>
      <w:u w:val="none"/>
    </w:rPr>
  </w:style>
  <w:style w:type="character" w:customStyle="1" w:styleId="font01">
    <w:name w:val="font01"/>
    <w:basedOn w:val="DefaultParagraphFont"/>
    <w:uiPriority w:val="99"/>
    <w:rsid w:val="00D6514C"/>
    <w:rPr>
      <w:rFonts w:ascii="宋体" w:eastAsia="宋体" w:hAnsi="宋体" w:cs="宋体"/>
      <w:color w:val="000000"/>
      <w:sz w:val="18"/>
      <w:szCs w:val="18"/>
      <w:u w:val="none"/>
    </w:rPr>
  </w:style>
  <w:style w:type="character" w:customStyle="1" w:styleId="font21">
    <w:name w:val="font21"/>
    <w:basedOn w:val="DefaultParagraphFont"/>
    <w:uiPriority w:val="99"/>
    <w:rsid w:val="00D6514C"/>
    <w:rPr>
      <w:rFonts w:ascii="宋体" w:eastAsia="宋体" w:hAnsi="宋体" w:cs="宋体"/>
      <w:color w:val="000000"/>
      <w:sz w:val="18"/>
      <w:szCs w:val="18"/>
      <w:u w:val="none"/>
    </w:rPr>
  </w:style>
  <w:style w:type="character" w:customStyle="1" w:styleId="font51">
    <w:name w:val="font51"/>
    <w:basedOn w:val="DefaultParagraphFont"/>
    <w:uiPriority w:val="99"/>
    <w:rsid w:val="00D6514C"/>
    <w:rPr>
      <w:rFonts w:ascii="宋体" w:eastAsia="宋体" w:hAnsi="宋体" w:cs="宋体"/>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https://fangjia.fang.com/" TargetMode="External"/><Relationship Id="rId18" Type="http://schemas.openxmlformats.org/officeDocument/2006/relationships/hyperlink" Target="https://baike.fang.com/item/%E6%88%BF%E8%B4%B7%E6%94%B6%E7%B4%A7/2097870" TargetMode="External"/><Relationship Id="rId3" Type="http://schemas.openxmlformats.org/officeDocument/2006/relationships/webSettings" Target="webSettings.xml"/><Relationship Id="rId21" Type="http://schemas.openxmlformats.org/officeDocument/2006/relationships/footer" Target="footer4.xml"/><Relationship Id="rId7" Type="http://schemas.openxmlformats.org/officeDocument/2006/relationships/header" Target="header2.xml"/><Relationship Id="rId12" Type="http://schemas.openxmlformats.org/officeDocument/2006/relationships/hyperlink" Target="http://baike.sososteel.com/doc/view/69390.html" TargetMode="External"/><Relationship Id="rId17" Type="http://schemas.openxmlformats.org/officeDocument/2006/relationships/hyperlink" Target="https://baike.fang.com/item/%E4%B8%89%E7%A8%B3/13186846" TargetMode="External"/><Relationship Id="rId2" Type="http://schemas.openxmlformats.org/officeDocument/2006/relationships/settings" Target="settings.xml"/><Relationship Id="rId16" Type="http://schemas.openxmlformats.org/officeDocument/2006/relationships/hyperlink" Target="https://baike.fang.com/item/%E9%9B%86%E4%B8%AD%E4%BE%9B%E5%9C%B0/13186845" TargetMode="Externa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yperlink" Target="https://baike.fang.com/item/%E4%BA%8C%E6%89%8B%E6%88%BF%E6%8C%87%E5%AF%BC%E4%BB%B7/5952562"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baike.fang.com/item/%E6%88%BF%E5%9C%B0%E4%BA%A7%E7%A8%8E/1536314"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baike.fang.com/item/%E4%B8%A4%E9%81%93%E7%BA%A2%E7%BA%BF/13186844"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27</Pages>
  <Words>2157</Words>
  <Characters>12301</Characters>
  <Application>Microsoft Office Outlook</Application>
  <DocSecurity>0</DocSecurity>
  <Lines>0</Lines>
  <Paragraphs>0</Paragraphs>
  <ScaleCrop>false</ScaleCrop>
  <Company>http://www.xitongtiandi.com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XiTongTianDI</dc:creator>
  <cp:keywords/>
  <dc:description/>
  <cp:lastModifiedBy>user</cp:lastModifiedBy>
  <cp:revision>10</cp:revision>
  <cp:lastPrinted>2022-09-09T06:40:00Z</cp:lastPrinted>
  <dcterms:created xsi:type="dcterms:W3CDTF">2021-05-06T03:03:00Z</dcterms:created>
  <dcterms:modified xsi:type="dcterms:W3CDTF">2022-09-09T07:46:00Z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BDFBCFF57AB4458DA8212AEC7838B8C1</vt:lpwstr>
  </property>
</Properties>
</file>