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
          <w:bCs/>
          <w:sz w:val="28"/>
          <w:szCs w:val="28"/>
        </w:rPr>
      </w:pPr>
      <w:bookmarkStart w:id="0" w:name="_Toc362509683"/>
    </w:p>
    <w:bookmarkEnd w:id="0"/>
    <w:p>
      <w:pPr>
        <w:spacing w:line="360" w:lineRule="auto"/>
        <w:rPr>
          <w:rFonts w:ascii="仿宋_GB2312" w:eastAsia="仿宋_GB2312"/>
          <w:sz w:val="30"/>
          <w:szCs w:val="30"/>
        </w:rPr>
      </w:pPr>
      <w:r>
        <w:drawing>
          <wp:anchor distT="0" distB="0" distL="114300" distR="114300" simplePos="0" relativeHeight="251667456" behindDoc="1" locked="0" layoutInCell="1" allowOverlap="1">
            <wp:simplePos x="0" y="0"/>
            <wp:positionH relativeFrom="column">
              <wp:posOffset>4231640</wp:posOffset>
            </wp:positionH>
            <wp:positionV relativeFrom="paragraph">
              <wp:posOffset>29845</wp:posOffset>
            </wp:positionV>
            <wp:extent cx="1771650" cy="536575"/>
            <wp:effectExtent l="0" t="0" r="6350" b="9525"/>
            <wp:wrapTight wrapText="bothSides">
              <wp:wrapPolygon>
                <wp:start x="0" y="0"/>
                <wp:lineTo x="0" y="20961"/>
                <wp:lineTo x="21523" y="20961"/>
                <wp:lineTo x="21523" y="0"/>
                <wp:lineTo x="0" y="0"/>
              </wp:wrapPolygon>
            </wp:wrapTight>
            <wp:docPr id="8" name="图片 9" descr="C:/Users/Administrator/AppData/Local/Temp/picturecompress_20220318135811/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Users/Administrator/AppData/Local/Temp/picturecompress_20220318135811/output_1.pngoutput_1"/>
                    <pic:cNvPicPr>
                      <a:picLocks noChangeAspect="1" noChangeArrowheads="1"/>
                    </pic:cNvPicPr>
                  </pic:nvPicPr>
                  <pic:blipFill>
                    <a:blip r:embed="rId9"/>
                    <a:srcRect/>
                    <a:stretch>
                      <a:fillRect/>
                    </a:stretch>
                  </pic:blipFill>
                  <pic:spPr>
                    <a:xfrm>
                      <a:off x="0" y="0"/>
                      <a:ext cx="1771650" cy="536575"/>
                    </a:xfrm>
                    <a:prstGeom prst="rect">
                      <a:avLst/>
                    </a:prstGeom>
                    <a:noFill/>
                  </pic:spPr>
                </pic:pic>
              </a:graphicData>
            </a:graphic>
          </wp:anchor>
        </w:drawing>
      </w: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tabs>
          <w:tab w:val="left" w:pos="709"/>
        </w:tabs>
        <w:adjustRightInd w:val="0"/>
        <w:snapToGrid w:val="0"/>
        <w:spacing w:line="600" w:lineRule="auto"/>
        <w:jc w:val="center"/>
        <w:rPr>
          <w:rFonts w:ascii="微软雅黑" w:hAnsi="微软雅黑" w:eastAsia="微软雅黑"/>
          <w:b/>
          <w:bCs/>
          <w:sz w:val="32"/>
          <w:szCs w:val="32"/>
        </w:rPr>
      </w:pPr>
      <w:r>
        <w:rPr>
          <w:rFonts w:hint="eastAsia" w:ascii="微软雅黑" w:hAnsi="微软雅黑" w:eastAsia="微软雅黑" w:cs="仿宋_GB2312"/>
          <w:b/>
          <w:bCs/>
          <w:sz w:val="32"/>
          <w:szCs w:val="32"/>
        </w:rPr>
        <w:t>房 地 产 司 法 评 估 报 告</w:t>
      </w:r>
    </w:p>
    <w:p>
      <w:pPr>
        <w:keepNext w:val="0"/>
        <w:keepLines w:val="0"/>
        <w:pageBreakBefore w:val="0"/>
        <w:widowControl w:val="0"/>
        <w:tabs>
          <w:tab w:val="left" w:pos="709"/>
        </w:tabs>
        <w:kinsoku/>
        <w:wordWrap/>
        <w:overflowPunct/>
        <w:topLinePunct w:val="0"/>
        <w:autoSpaceDE/>
        <w:autoSpaceDN/>
        <w:bidi w:val="0"/>
        <w:adjustRightInd w:val="0"/>
        <w:snapToGrid w:val="0"/>
        <w:spacing w:line="480" w:lineRule="auto"/>
        <w:ind w:left="2583" w:hanging="2583" w:hangingChars="659"/>
        <w:textAlignment w:val="auto"/>
        <w:rPr>
          <w:rFonts w:ascii="微软雅黑" w:hAnsi="微软雅黑" w:eastAsia="微软雅黑" w:cs="仿宋_GB2312"/>
          <w:sz w:val="28"/>
          <w:szCs w:val="28"/>
        </w:rPr>
      </w:pPr>
      <w:r>
        <w:rPr>
          <w:rFonts w:hint="eastAsia" w:ascii="微软雅黑" w:hAnsi="微软雅黑" w:eastAsia="微软雅黑" w:cs="仿宋_GB2312"/>
          <w:bCs/>
          <w:spacing w:val="56"/>
          <w:kern w:val="0"/>
          <w:sz w:val="28"/>
          <w:szCs w:val="28"/>
        </w:rPr>
        <w:t>估价项目名</w:t>
      </w:r>
      <w:r>
        <w:rPr>
          <w:rFonts w:hint="eastAsia" w:ascii="微软雅黑" w:hAnsi="微软雅黑" w:eastAsia="微软雅黑" w:cs="仿宋_GB2312"/>
          <w:bCs/>
          <w:kern w:val="0"/>
          <w:sz w:val="28"/>
          <w:szCs w:val="28"/>
        </w:rPr>
        <w:t>称</w:t>
      </w:r>
      <w:r>
        <w:rPr>
          <w:rFonts w:hint="eastAsia" w:ascii="微软雅黑" w:hAnsi="微软雅黑" w:eastAsia="微软雅黑" w:cs="仿宋_GB2312"/>
          <w:sz w:val="28"/>
          <w:szCs w:val="28"/>
        </w:rPr>
        <w:t>：</w:t>
      </w:r>
      <w:r>
        <w:rPr>
          <w:rFonts w:hint="eastAsia" w:ascii="微软雅黑" w:hAnsi="微软雅黑" w:eastAsia="微软雅黑" w:cs="仿宋_GB2312"/>
          <w:sz w:val="28"/>
          <w:szCs w:val="28"/>
          <w:lang w:eastAsia="zh-CN"/>
        </w:rPr>
        <w:t>淳安县汾口镇翠新街58号505室（号）</w:t>
      </w:r>
      <w:r>
        <w:rPr>
          <w:rFonts w:hint="eastAsia" w:ascii="微软雅黑" w:hAnsi="微软雅黑" w:eastAsia="微软雅黑" w:cs="仿宋_GB2312"/>
          <w:sz w:val="28"/>
          <w:szCs w:val="28"/>
        </w:rPr>
        <w:t>住宅房地产市场价值评估</w:t>
      </w:r>
    </w:p>
    <w:p>
      <w:pPr>
        <w:tabs>
          <w:tab w:val="left" w:pos="709"/>
          <w:tab w:val="left" w:pos="851"/>
          <w:tab w:val="left" w:pos="993"/>
          <w:tab w:val="left" w:pos="1560"/>
        </w:tabs>
        <w:adjustRightInd w:val="0"/>
        <w:snapToGrid w:val="0"/>
        <w:spacing w:line="480" w:lineRule="auto"/>
        <w:rPr>
          <w:rFonts w:hint="eastAsia" w:ascii="微软雅黑" w:hAnsi="微软雅黑" w:eastAsia="微软雅黑" w:cs="仿宋_GB2312"/>
          <w:sz w:val="28"/>
          <w:szCs w:val="28"/>
          <w:lang w:eastAsia="zh-CN"/>
        </w:rPr>
      </w:pPr>
      <w:r>
        <w:rPr>
          <w:rFonts w:hint="eastAsia" w:ascii="微软雅黑" w:hAnsi="微软雅黑" w:eastAsia="微软雅黑" w:cs="仿宋_GB2312"/>
          <w:bCs/>
          <w:spacing w:val="105"/>
          <w:kern w:val="0"/>
          <w:sz w:val="28"/>
          <w:szCs w:val="28"/>
        </w:rPr>
        <w:t>估价委托</w:t>
      </w:r>
      <w:r>
        <w:rPr>
          <w:rFonts w:hint="eastAsia" w:ascii="微软雅黑" w:hAnsi="微软雅黑" w:eastAsia="微软雅黑" w:cs="仿宋_GB2312"/>
          <w:bCs/>
          <w:kern w:val="0"/>
          <w:sz w:val="28"/>
          <w:szCs w:val="28"/>
        </w:rPr>
        <w:t>人</w:t>
      </w:r>
      <w:r>
        <w:rPr>
          <w:rFonts w:hint="eastAsia" w:ascii="微软雅黑" w:hAnsi="微软雅黑" w:eastAsia="微软雅黑" w:cs="仿宋_GB2312"/>
          <w:sz w:val="28"/>
          <w:szCs w:val="28"/>
        </w:rPr>
        <w:t>：</w:t>
      </w:r>
      <w:r>
        <w:rPr>
          <w:rFonts w:hint="eastAsia" w:ascii="微软雅黑" w:hAnsi="微软雅黑" w:eastAsia="微软雅黑" w:cs="仿宋_GB2312"/>
          <w:sz w:val="28"/>
          <w:szCs w:val="28"/>
          <w:lang w:eastAsia="zh-CN"/>
        </w:rPr>
        <w:t>淳安县人民法院</w:t>
      </w:r>
    </w:p>
    <w:p>
      <w:pPr>
        <w:tabs>
          <w:tab w:val="left" w:pos="709"/>
        </w:tabs>
        <w:adjustRightInd w:val="0"/>
        <w:snapToGrid w:val="0"/>
        <w:spacing w:line="480" w:lineRule="auto"/>
        <w:rPr>
          <w:rFonts w:ascii="微软雅黑" w:hAnsi="微软雅黑" w:eastAsia="微软雅黑" w:cs="仿宋_GB2312"/>
          <w:sz w:val="28"/>
          <w:szCs w:val="28"/>
        </w:rPr>
      </w:pPr>
      <w:r>
        <w:rPr>
          <w:rFonts w:hint="eastAsia" w:ascii="微软雅黑" w:hAnsi="微软雅黑" w:eastAsia="微软雅黑" w:cs="仿宋_GB2312"/>
          <w:bCs/>
          <w:spacing w:val="23"/>
          <w:kern w:val="0"/>
          <w:sz w:val="28"/>
          <w:szCs w:val="28"/>
        </w:rPr>
        <w:t>房地产估价机</w:t>
      </w:r>
      <w:r>
        <w:rPr>
          <w:rFonts w:hint="eastAsia" w:ascii="微软雅黑" w:hAnsi="微软雅黑" w:eastAsia="微软雅黑" w:cs="仿宋_GB2312"/>
          <w:bCs/>
          <w:spacing w:val="2"/>
          <w:kern w:val="0"/>
          <w:sz w:val="28"/>
          <w:szCs w:val="28"/>
        </w:rPr>
        <w:t>构</w:t>
      </w:r>
      <w:r>
        <w:rPr>
          <w:rFonts w:hint="eastAsia" w:ascii="微软雅黑" w:hAnsi="微软雅黑" w:eastAsia="微软雅黑" w:cs="仿宋_GB2312"/>
          <w:sz w:val="28"/>
          <w:szCs w:val="28"/>
        </w:rPr>
        <w:t>：浙江嘉华房地产土地资产评估咨询有限公司</w:t>
      </w:r>
    </w:p>
    <w:p>
      <w:pPr>
        <w:tabs>
          <w:tab w:val="left" w:pos="2520"/>
        </w:tabs>
        <w:adjustRightInd w:val="0"/>
        <w:snapToGrid w:val="0"/>
        <w:spacing w:line="480" w:lineRule="auto"/>
        <w:rPr>
          <w:rFonts w:ascii="微软雅黑" w:hAnsi="微软雅黑" w:eastAsia="微软雅黑" w:cs="仿宋_GB2312"/>
          <w:sz w:val="28"/>
          <w:szCs w:val="28"/>
        </w:rPr>
      </w:pPr>
      <w:r>
        <w:rPr>
          <w:rFonts w:hint="eastAsia" w:ascii="微软雅黑" w:hAnsi="微软雅黑" w:eastAsia="微软雅黑" w:cs="仿宋_GB2312"/>
          <w:bCs/>
          <w:kern w:val="0"/>
          <w:sz w:val="28"/>
          <w:szCs w:val="28"/>
        </w:rPr>
        <w:t>注册房地产估价师</w:t>
      </w:r>
      <w:r>
        <w:rPr>
          <w:rFonts w:hint="eastAsia" w:ascii="微软雅黑" w:hAnsi="微软雅黑" w:eastAsia="微软雅黑" w:cs="仿宋_GB2312"/>
          <w:sz w:val="28"/>
          <w:szCs w:val="28"/>
        </w:rPr>
        <w:t xml:space="preserve">： 陈爱芳     </w:t>
      </w:r>
      <w:r>
        <w:rPr>
          <w:rFonts w:ascii="微软雅黑" w:hAnsi="微软雅黑" w:eastAsia="微软雅黑" w:cs="仿宋_GB2312"/>
          <w:sz w:val="28"/>
          <w:szCs w:val="28"/>
        </w:rPr>
        <w:t>3320150125</w:t>
      </w:r>
    </w:p>
    <w:p>
      <w:pPr>
        <w:tabs>
          <w:tab w:val="left" w:pos="2520"/>
        </w:tabs>
        <w:adjustRightInd w:val="0"/>
        <w:snapToGrid w:val="0"/>
        <w:spacing w:line="480" w:lineRule="auto"/>
        <w:ind w:firstLine="2660" w:firstLineChars="950"/>
        <w:rPr>
          <w:rFonts w:ascii="微软雅黑" w:hAnsi="微软雅黑" w:eastAsia="微软雅黑" w:cs="仿宋_GB2312"/>
          <w:sz w:val="28"/>
          <w:szCs w:val="28"/>
        </w:rPr>
      </w:pPr>
      <w:r>
        <w:rPr>
          <w:rFonts w:hint="eastAsia" w:ascii="微软雅黑" w:hAnsi="微软雅黑" w:eastAsia="微软雅黑" w:cs="仿宋_GB2312"/>
          <w:sz w:val="28"/>
          <w:szCs w:val="28"/>
        </w:rPr>
        <w:t xml:space="preserve">林小欣     </w:t>
      </w:r>
      <w:r>
        <w:rPr>
          <w:rFonts w:ascii="微软雅黑" w:hAnsi="微软雅黑" w:eastAsia="微软雅黑" w:cs="仿宋_GB2312"/>
          <w:sz w:val="28"/>
          <w:szCs w:val="28"/>
        </w:rPr>
        <w:t>3320090038</w:t>
      </w:r>
      <w:r>
        <w:rPr>
          <w:rFonts w:hint="eastAsia" w:ascii="微软雅黑" w:hAnsi="微软雅黑" w:eastAsia="微软雅黑" w:cs="仿宋_GB2312"/>
          <w:sz w:val="28"/>
          <w:szCs w:val="28"/>
        </w:rPr>
        <w:t xml:space="preserve">   </w:t>
      </w:r>
    </w:p>
    <w:p>
      <w:pPr>
        <w:tabs>
          <w:tab w:val="left" w:pos="540"/>
        </w:tabs>
        <w:snapToGrid w:val="0"/>
        <w:spacing w:line="480" w:lineRule="auto"/>
        <w:rPr>
          <w:rFonts w:hint="eastAsia" w:ascii="微软雅黑" w:hAnsi="微软雅黑" w:eastAsia="微软雅黑" w:cs="仿宋_GB2312"/>
          <w:sz w:val="28"/>
          <w:szCs w:val="28"/>
          <w:lang w:eastAsia="zh-CN"/>
        </w:rPr>
      </w:pPr>
      <w:r>
        <w:rPr>
          <w:rFonts w:hint="eastAsia" w:ascii="微软雅黑" w:hAnsi="微软雅黑" w:eastAsia="微软雅黑" w:cs="仿宋_GB2312"/>
          <w:bCs/>
          <w:kern w:val="0"/>
          <w:sz w:val="28"/>
          <w:szCs w:val="28"/>
        </w:rPr>
        <w:t>估价报告出具日期</w:t>
      </w:r>
      <w:r>
        <w:rPr>
          <w:rFonts w:hint="eastAsia" w:ascii="微软雅黑" w:hAnsi="微软雅黑" w:eastAsia="微软雅黑" w:cs="仿宋_GB2312"/>
          <w:sz w:val="28"/>
          <w:szCs w:val="28"/>
        </w:rPr>
        <w:t>：</w:t>
      </w:r>
      <w:r>
        <w:rPr>
          <w:rFonts w:hint="eastAsia" w:ascii="微软雅黑" w:hAnsi="微软雅黑" w:eastAsia="微软雅黑" w:cs="仿宋_GB2312"/>
          <w:sz w:val="28"/>
          <w:szCs w:val="28"/>
          <w:lang w:eastAsia="zh-CN"/>
        </w:rPr>
        <w:t>二〇二二年八月十五日</w:t>
      </w:r>
    </w:p>
    <w:p>
      <w:pPr>
        <w:widowControl/>
        <w:topLinePunct/>
        <w:adjustRightInd w:val="0"/>
        <w:snapToGrid w:val="0"/>
        <w:spacing w:line="480" w:lineRule="auto"/>
        <w:jc w:val="left"/>
        <w:rPr>
          <w:rFonts w:ascii="微软雅黑" w:hAnsi="微软雅黑" w:eastAsia="微软雅黑" w:cs="仿宋_GB2312"/>
          <w:sz w:val="28"/>
          <w:szCs w:val="28"/>
        </w:rPr>
      </w:pPr>
      <w:r>
        <w:rPr>
          <w:rFonts w:hint="eastAsia" w:ascii="微软雅黑" w:hAnsi="微软雅黑" w:eastAsia="微软雅黑" w:cs="仿宋_GB2312"/>
          <w:bCs/>
          <w:spacing w:val="56"/>
          <w:kern w:val="0"/>
          <w:sz w:val="28"/>
          <w:szCs w:val="28"/>
          <w:fitText w:val="2240" w:id="2007973054"/>
        </w:rPr>
        <w:t>估价报告编</w:t>
      </w:r>
      <w:r>
        <w:rPr>
          <w:rFonts w:hint="eastAsia" w:ascii="微软雅黑" w:hAnsi="微软雅黑" w:eastAsia="微软雅黑" w:cs="仿宋_GB2312"/>
          <w:bCs/>
          <w:spacing w:val="0"/>
          <w:kern w:val="0"/>
          <w:sz w:val="28"/>
          <w:szCs w:val="28"/>
          <w:fitText w:val="2240" w:id="2007973054"/>
        </w:rPr>
        <w:t>号</w:t>
      </w:r>
      <w:r>
        <w:rPr>
          <w:rFonts w:hint="eastAsia" w:ascii="微软雅黑" w:hAnsi="微软雅黑" w:eastAsia="微软雅黑" w:cs="仿宋_GB2312"/>
          <w:sz w:val="28"/>
          <w:szCs w:val="28"/>
        </w:rPr>
        <w:t>：浙嘉评房字(2022)第Q220</w:t>
      </w:r>
      <w:r>
        <w:rPr>
          <w:rFonts w:hint="eastAsia" w:ascii="微软雅黑" w:hAnsi="微软雅黑" w:eastAsia="微软雅黑" w:cs="仿宋_GB2312"/>
          <w:sz w:val="28"/>
          <w:szCs w:val="28"/>
          <w:lang w:val="en-US" w:eastAsia="zh-CN"/>
        </w:rPr>
        <w:t>8213</w:t>
      </w:r>
      <w:r>
        <w:rPr>
          <w:rFonts w:hint="eastAsia" w:ascii="微软雅黑" w:hAnsi="微软雅黑" w:eastAsia="微软雅黑" w:cs="仿宋_GB2312"/>
          <w:sz w:val="28"/>
          <w:szCs w:val="28"/>
        </w:rPr>
        <w:t>号</w:t>
      </w:r>
    </w:p>
    <w:p>
      <w:pPr>
        <w:tabs>
          <w:tab w:val="left" w:pos="540"/>
        </w:tabs>
        <w:snapToGrid w:val="0"/>
        <w:spacing w:line="480" w:lineRule="auto"/>
        <w:rPr>
          <w:rFonts w:hint="eastAsia" w:ascii="微软雅黑" w:hAnsi="微软雅黑" w:eastAsia="微软雅黑" w:cs="仿宋_GB2312"/>
          <w:bCs/>
          <w:kern w:val="0"/>
          <w:sz w:val="28"/>
          <w:szCs w:val="28"/>
          <w:lang w:eastAsia="zh-CN"/>
        </w:rPr>
      </w:pPr>
      <w:r>
        <w:rPr>
          <w:rFonts w:hint="eastAsia" w:ascii="微软雅黑" w:hAnsi="微软雅黑" w:eastAsia="微软雅黑" w:cs="仿宋_GB2312"/>
          <w:bCs/>
          <w:kern w:val="0"/>
          <w:sz w:val="28"/>
          <w:szCs w:val="28"/>
        </w:rPr>
        <w:t>委托函号：</w:t>
      </w:r>
      <w:r>
        <w:rPr>
          <w:rFonts w:hint="eastAsia" w:ascii="微软雅黑" w:hAnsi="微软雅黑" w:eastAsia="微软雅黑" w:cs="仿宋_GB2312"/>
          <w:bCs/>
          <w:kern w:val="0"/>
          <w:sz w:val="28"/>
          <w:szCs w:val="28"/>
          <w:lang w:eastAsia="zh-CN"/>
        </w:rPr>
        <w:t>（2022）浙0127委评字第106号</w:t>
      </w:r>
    </w:p>
    <w:p>
      <w:pPr>
        <w:topLinePunct/>
        <w:adjustRightInd w:val="0"/>
        <w:snapToGrid w:val="0"/>
        <w:spacing w:before="120" w:beforeLines="50"/>
        <w:jc w:val="center"/>
        <w:rPr>
          <w:rFonts w:ascii="微软雅黑" w:hAnsi="微软雅黑" w:eastAsia="微软雅黑"/>
          <w:b/>
          <w:spacing w:val="20"/>
          <w:sz w:val="32"/>
          <w:szCs w:val="32"/>
        </w:rPr>
      </w:pPr>
      <w:r>
        <w:rPr>
          <w:rFonts w:hint="eastAsia" w:ascii="微软雅黑" w:hAnsi="微软雅黑" w:eastAsia="微软雅黑"/>
          <w:b/>
          <w:spacing w:val="20"/>
          <w:sz w:val="32"/>
          <w:szCs w:val="32"/>
        </w:rPr>
        <w:t>致估价委托人函</w:t>
      </w:r>
    </w:p>
    <w:p>
      <w:pPr>
        <w:widowControl/>
        <w:topLinePunct/>
        <w:adjustRightInd w:val="0"/>
        <w:snapToGrid w:val="0"/>
        <w:spacing w:after="240" w:afterLines="100" w:line="160" w:lineRule="exact"/>
        <w:jc w:val="center"/>
        <w:rPr>
          <w:rFonts w:ascii="微软雅黑" w:hAnsi="微软雅黑" w:eastAsia="微软雅黑" w:cs="宋体"/>
          <w:b/>
          <w:kern w:val="0"/>
          <w:sz w:val="16"/>
          <w:szCs w:val="16"/>
        </w:rPr>
      </w:pPr>
      <w:r>
        <w:rPr>
          <w:rFonts w:ascii="微软雅黑" w:hAnsi="微软雅黑" w:eastAsia="微软雅黑" w:cs="宋体"/>
          <w:b/>
          <w:kern w:val="0"/>
          <w:sz w:val="16"/>
          <w:szCs w:val="16"/>
        </w:rPr>
        <w:t>Letter of Transmittal</w:t>
      </w:r>
    </w:p>
    <w:p>
      <w:pPr>
        <w:topLinePunct/>
        <w:adjustRightInd w:val="0"/>
        <w:snapToGrid w:val="0"/>
        <w:spacing w:line="312" w:lineRule="auto"/>
        <w:rPr>
          <w:rFonts w:ascii="微软雅黑" w:hAnsi="微软雅黑" w:eastAsia="微软雅黑" w:cs="微软雅黑"/>
          <w:b/>
          <w:bCs/>
          <w:sz w:val="24"/>
          <w:szCs w:val="24"/>
        </w:rPr>
      </w:pPr>
      <w:r>
        <w:rPr>
          <w:rFonts w:hint="eastAsia" w:ascii="微软雅黑" w:hAnsi="微软雅黑" w:eastAsia="微软雅黑" w:cs="仿宋_GB2312"/>
          <w:b/>
          <w:sz w:val="24"/>
          <w:szCs w:val="24"/>
          <w:lang w:eastAsia="zh-CN"/>
        </w:rPr>
        <w:t>淳安县人民法院</w:t>
      </w:r>
      <w:r>
        <w:rPr>
          <w:rFonts w:hint="eastAsia" w:ascii="微软雅黑" w:hAnsi="微软雅黑" w:eastAsia="微软雅黑" w:cs="仿宋_GB2312"/>
          <w:b/>
          <w:sz w:val="24"/>
          <w:szCs w:val="24"/>
        </w:rPr>
        <w:t>：</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承蒙委托，我公司对位于</w:t>
      </w:r>
      <w:r>
        <w:rPr>
          <w:rFonts w:hint="eastAsia" w:ascii="微软雅黑" w:hAnsi="微软雅黑" w:eastAsia="微软雅黑" w:cs="仿宋_GB2312"/>
          <w:lang w:eastAsia="zh-CN"/>
        </w:rPr>
        <w:t>淳安县汾口镇翠新街58号505室（号）</w:t>
      </w:r>
      <w:r>
        <w:rPr>
          <w:rFonts w:hint="eastAsia" w:ascii="微软雅黑" w:hAnsi="微软雅黑" w:eastAsia="微软雅黑" w:cs="仿宋_GB2312"/>
        </w:rPr>
        <w:t>住宅房地产市场价值进行了评估。估价对象如下：</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1、估价对象状况</w:t>
      </w:r>
    </w:p>
    <w:p>
      <w:pPr>
        <w:spacing w:line="312"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本次估价对象为</w:t>
      </w:r>
      <w:r>
        <w:rPr>
          <w:rFonts w:hint="eastAsia" w:ascii="微软雅黑" w:hAnsi="微软雅黑" w:eastAsia="微软雅黑" w:cs="微软雅黑"/>
          <w:kern w:val="0"/>
          <w:lang w:eastAsia="zh-CN"/>
        </w:rPr>
        <w:t>朱晓寅、程本才</w:t>
      </w:r>
      <w:r>
        <w:rPr>
          <w:rFonts w:hint="eastAsia" w:ascii="微软雅黑" w:hAnsi="微软雅黑" w:eastAsia="微软雅黑" w:cs="微软雅黑"/>
          <w:szCs w:val="21"/>
        </w:rPr>
        <w:t>所有的位于</w:t>
      </w:r>
      <w:r>
        <w:rPr>
          <w:rFonts w:hint="eastAsia" w:ascii="微软雅黑" w:hAnsi="微软雅黑" w:eastAsia="微软雅黑" w:cs="仿宋_GB2312"/>
          <w:lang w:eastAsia="zh-CN"/>
        </w:rPr>
        <w:t>淳安县汾口镇翠新街58号505室（号）</w:t>
      </w:r>
      <w:r>
        <w:rPr>
          <w:rFonts w:hint="eastAsia" w:ascii="微软雅黑" w:hAnsi="微软雅黑" w:eastAsia="微软雅黑" w:cs="仿宋_GB2312"/>
        </w:rPr>
        <w:t>住宅房地产</w:t>
      </w:r>
      <w:r>
        <w:rPr>
          <w:rFonts w:hint="eastAsia" w:ascii="微软雅黑" w:hAnsi="微软雅黑" w:eastAsia="微软雅黑" w:cs="微软雅黑"/>
          <w:szCs w:val="21"/>
        </w:rPr>
        <w:t>，房屋建筑面积</w:t>
      </w:r>
      <w:r>
        <w:rPr>
          <w:rFonts w:hint="eastAsia" w:ascii="微软雅黑" w:hAnsi="微软雅黑" w:eastAsia="微软雅黑" w:cs="微软雅黑"/>
          <w:szCs w:val="21"/>
          <w:lang w:eastAsia="zh-CN"/>
        </w:rPr>
        <w:t>81.2</w:t>
      </w:r>
      <w:r>
        <w:rPr>
          <w:rFonts w:hint="eastAsia" w:ascii="微软雅黑" w:hAnsi="微软雅黑" w:eastAsia="微软雅黑" w:cs="微软雅黑"/>
          <w:szCs w:val="21"/>
        </w:rPr>
        <w:t>平方米，</w:t>
      </w:r>
      <w:r>
        <w:rPr>
          <w:rFonts w:hint="eastAsia" w:ascii="微软雅黑" w:hAnsi="微软雅黑" w:eastAsia="微软雅黑" w:cs="仿宋_GB2312"/>
        </w:rPr>
        <w:t>土地使用权面积</w:t>
      </w:r>
      <w:r>
        <w:rPr>
          <w:rFonts w:hint="eastAsia" w:ascii="微软雅黑" w:hAnsi="微软雅黑" w:eastAsia="微软雅黑" w:cs="仿宋_GB2312"/>
          <w:lang w:eastAsia="zh-CN"/>
        </w:rPr>
        <w:t>13.56</w:t>
      </w:r>
      <w:r>
        <w:rPr>
          <w:rFonts w:hint="eastAsia" w:ascii="微软雅黑" w:hAnsi="微软雅黑" w:eastAsia="微软雅黑" w:cs="仿宋_GB2312"/>
        </w:rPr>
        <w:t>平方米，用途为</w:t>
      </w:r>
      <w:r>
        <w:rPr>
          <w:rFonts w:hint="eastAsia" w:ascii="微软雅黑" w:hAnsi="微软雅黑" w:eastAsia="微软雅黑" w:cs="仿宋_GB2312"/>
          <w:lang w:eastAsia="zh-CN"/>
        </w:rPr>
        <w:t>城镇住宅用地/住宅</w:t>
      </w:r>
      <w:r>
        <w:rPr>
          <w:rFonts w:hint="eastAsia" w:ascii="微软雅黑" w:hAnsi="微软雅黑" w:eastAsia="微软雅黑" w:cs="仿宋_GB2312"/>
        </w:rPr>
        <w:t>，权利性质为</w:t>
      </w:r>
      <w:r>
        <w:rPr>
          <w:rFonts w:hint="eastAsia" w:ascii="微软雅黑" w:hAnsi="微软雅黑" w:eastAsia="微软雅黑" w:cs="仿宋_GB2312"/>
          <w:lang w:eastAsia="zh-CN"/>
        </w:rPr>
        <w:t>出让/存量房产</w:t>
      </w:r>
      <w:r>
        <w:rPr>
          <w:rFonts w:hint="eastAsia" w:ascii="微软雅黑" w:hAnsi="微软雅黑" w:eastAsia="微软雅黑" w:cs="仿宋_GB2312"/>
        </w:rPr>
        <w:t>,土地使用期限至</w:t>
      </w:r>
      <w:r>
        <w:rPr>
          <w:rFonts w:hint="eastAsia" w:ascii="微软雅黑" w:hAnsi="微软雅黑" w:eastAsia="微软雅黑" w:cs="仿宋_GB2312"/>
          <w:lang w:eastAsia="zh-CN"/>
        </w:rPr>
        <w:t>2066年01月22日</w:t>
      </w:r>
      <w:r>
        <w:rPr>
          <w:rFonts w:hint="eastAsia" w:ascii="微软雅黑" w:hAnsi="微软雅黑" w:eastAsia="微软雅黑" w:cs="微软雅黑"/>
          <w:szCs w:val="21"/>
        </w:rPr>
        <w:t>。</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2、估价目的</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为</w:t>
      </w:r>
      <w:r>
        <w:rPr>
          <w:rFonts w:hint="eastAsia" w:ascii="微软雅黑" w:hAnsi="微软雅黑" w:eastAsia="微软雅黑" w:cs="仿宋_GB2312"/>
          <w:lang w:eastAsia="zh-CN"/>
        </w:rPr>
        <w:t>淳安县人民法院</w:t>
      </w:r>
      <w:r>
        <w:rPr>
          <w:rFonts w:hint="eastAsia" w:ascii="微软雅黑" w:hAnsi="微软雅黑" w:eastAsia="微软雅黑" w:cs="仿宋_GB2312"/>
        </w:rPr>
        <w:t>确定财产处置参考价提供参考依据而评估房地产市场价值。</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3、价值时点</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lang w:eastAsia="zh-CN"/>
        </w:rPr>
        <w:t>2022年8月9日</w:t>
      </w:r>
      <w:r>
        <w:rPr>
          <w:rFonts w:hint="eastAsia" w:ascii="微软雅黑" w:hAnsi="微软雅黑" w:eastAsia="微软雅黑" w:cs="仿宋_GB2312"/>
        </w:rPr>
        <w:t>（实地查勘日）。</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4、价值类型</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本次评估所确定的价值为估价对象在房地产公开市场条件下形成的市场价值。</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5、估价方法</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比较法。</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6、估价结果</w:t>
      </w:r>
    </w:p>
    <w:p>
      <w:pPr>
        <w:pStyle w:val="22"/>
        <w:tabs>
          <w:tab w:val="left" w:pos="709"/>
        </w:tabs>
        <w:topLinePunct/>
        <w:adjustRightInd w:val="0"/>
        <w:snapToGrid w:val="0"/>
        <w:spacing w:line="312" w:lineRule="auto"/>
        <w:rPr>
          <w:rFonts w:ascii="微软雅黑" w:hAnsi="微软雅黑" w:eastAsia="微软雅黑" w:cs="仿宋_GB2312"/>
        </w:rPr>
      </w:pPr>
      <w:r>
        <w:rPr>
          <w:rFonts w:hint="eastAsia" w:ascii="微软雅黑" w:hAnsi="微软雅黑" w:eastAsia="微软雅黑" w:cs="微软雅黑"/>
          <w:szCs w:val="21"/>
        </w:rPr>
        <w:t>估价人员根据估价目的，遵循估价原则，根据国家有关房地产估价的规范、规定，按照估价程序，经过实地查勘与市场调查，</w:t>
      </w:r>
      <w:r>
        <w:rPr>
          <w:rFonts w:hint="eastAsia" w:ascii="微软雅黑" w:hAnsi="微软雅黑" w:eastAsia="微软雅黑" w:cs="仿宋_GB2312"/>
          <w:szCs w:val="21"/>
        </w:rPr>
        <w:t>并进行了分析、测算和判断，</w:t>
      </w:r>
      <w:r>
        <w:rPr>
          <w:rFonts w:hint="eastAsia" w:ascii="微软雅黑" w:hAnsi="微软雅黑" w:eastAsia="微软雅黑" w:cs="微软雅黑"/>
          <w:szCs w:val="21"/>
        </w:rPr>
        <w:t>确定估价对象在满足全部假设和限制条件下于价值时点的估价结果如下（含固定装修）（详见估价结果一览表）：</w:t>
      </w:r>
      <w:r>
        <w:rPr>
          <w:rFonts w:hint="eastAsia" w:ascii="微软雅黑" w:hAnsi="微软雅黑" w:eastAsia="微软雅黑" w:cs="仿宋_GB2312"/>
        </w:rPr>
        <w:t>（币种：人民币，其中总价取整至仟位，单价取整至个位）</w:t>
      </w:r>
      <w:bookmarkStart w:id="1" w:name="OLE_LINK40"/>
    </w:p>
    <w:p>
      <w:pPr>
        <w:pStyle w:val="22"/>
        <w:tabs>
          <w:tab w:val="left" w:pos="709"/>
        </w:tabs>
        <w:topLinePunct/>
        <w:adjustRightInd w:val="0"/>
        <w:snapToGrid w:val="0"/>
        <w:spacing w:line="312" w:lineRule="auto"/>
        <w:rPr>
          <w:rFonts w:ascii="微软雅黑" w:hAnsi="微软雅黑" w:eastAsia="微软雅黑" w:cs="仿宋_GB2312"/>
          <w:b/>
        </w:rPr>
      </w:pPr>
      <w:r>
        <w:rPr>
          <w:rFonts w:hint="eastAsia" w:ascii="微软雅黑" w:hAnsi="微软雅黑" w:eastAsia="微软雅黑" w:cs="仿宋_GB2312"/>
          <w:b/>
        </w:rPr>
        <w:t>房地产市场价值</w:t>
      </w:r>
      <w:r>
        <w:rPr>
          <w:rFonts w:ascii="微软雅黑" w:hAnsi="微软雅黑" w:eastAsia="微软雅黑" w:cs="仿宋_GB2312"/>
          <w:b/>
        </w:rPr>
        <w:t>:</w:t>
      </w:r>
      <w:r>
        <w:rPr>
          <w:rFonts w:hint="eastAsia" w:ascii="微软雅黑" w:hAnsi="微软雅黑" w:eastAsia="微软雅黑" w:cs="仿宋_GB2312"/>
          <w:b/>
          <w:lang w:val="en-US" w:eastAsia="zh-CN"/>
        </w:rPr>
        <w:t>45.2</w:t>
      </w:r>
      <w:r>
        <w:rPr>
          <w:rFonts w:hint="eastAsia" w:ascii="微软雅黑" w:hAnsi="微软雅黑" w:eastAsia="微软雅黑" w:cs="仿宋_GB2312"/>
          <w:b/>
        </w:rPr>
        <w:t>万元(保留仟位取整)</w:t>
      </w:r>
    </w:p>
    <w:p>
      <w:pPr>
        <w:pStyle w:val="22"/>
        <w:tabs>
          <w:tab w:val="left" w:pos="709"/>
        </w:tabs>
        <w:topLinePunct/>
        <w:adjustRightInd w:val="0"/>
        <w:snapToGrid w:val="0"/>
        <w:spacing w:line="312" w:lineRule="auto"/>
        <w:rPr>
          <w:rFonts w:ascii="微软雅黑" w:hAnsi="微软雅黑" w:eastAsia="微软雅黑" w:cs="仿宋_GB2312"/>
        </w:rPr>
      </w:pPr>
      <w:r>
        <w:rPr>
          <w:rFonts w:hint="eastAsia" w:ascii="微软雅黑" w:hAnsi="微软雅黑" w:eastAsia="微软雅黑" w:cs="仿宋_GB2312"/>
          <w:b/>
        </w:rPr>
        <w:t>大写金额：</w:t>
      </w:r>
      <w:bookmarkEnd w:id="1"/>
      <w:r>
        <w:rPr>
          <w:rFonts w:hint="eastAsia" w:ascii="微软雅黑" w:hAnsi="微软雅黑" w:eastAsia="微软雅黑" w:cs="仿宋_GB2312"/>
          <w:b/>
          <w:lang w:eastAsia="zh-CN"/>
        </w:rPr>
        <w:t>肆拾伍万贰仟</w:t>
      </w:r>
      <w:r>
        <w:rPr>
          <w:rFonts w:hint="eastAsia" w:ascii="微软雅黑" w:hAnsi="微软雅黑" w:eastAsia="微软雅黑" w:cs="仿宋_GB2312"/>
          <w:b/>
        </w:rPr>
        <w:t>元整</w:t>
      </w:r>
    </w:p>
    <w:p>
      <w:pPr>
        <w:tabs>
          <w:tab w:val="left" w:pos="993"/>
        </w:tabs>
        <w:adjustRightInd w:val="0"/>
        <w:snapToGrid w:val="0"/>
        <w:spacing w:line="360" w:lineRule="auto"/>
        <w:ind w:firstLine="840" w:firstLineChars="400"/>
        <w:jc w:val="center"/>
        <w:rPr>
          <w:rFonts w:ascii="微软雅黑" w:hAnsi="微软雅黑" w:eastAsia="微软雅黑" w:cs="仿宋_GB2312"/>
          <w:b/>
        </w:rPr>
      </w:pPr>
      <w:r>
        <w:rPr>
          <w:rFonts w:ascii="微软雅黑" w:hAnsi="微软雅黑" w:eastAsia="微软雅黑" w:cs="仿宋_GB2312"/>
        </w:rPr>
        <w:br w:type="page"/>
      </w:r>
    </w:p>
    <w:p>
      <w:pPr>
        <w:spacing w:line="360" w:lineRule="auto"/>
        <w:jc w:val="center"/>
        <w:rPr>
          <w:rFonts w:ascii="微软雅黑" w:hAnsi="微软雅黑" w:eastAsia="微软雅黑" w:cs="仿宋_GB2312"/>
          <w:b/>
          <w:bCs/>
          <w:sz w:val="24"/>
          <w:szCs w:val="24"/>
        </w:rPr>
      </w:pPr>
    </w:p>
    <w:p>
      <w:pPr>
        <w:spacing w:line="360" w:lineRule="auto"/>
        <w:jc w:val="center"/>
        <w:rPr>
          <w:rFonts w:ascii="微软雅黑" w:hAnsi="微软雅黑" w:eastAsia="微软雅黑"/>
          <w:b/>
          <w:bCs/>
          <w:sz w:val="24"/>
          <w:szCs w:val="24"/>
        </w:rPr>
      </w:pPr>
      <w:r>
        <w:rPr>
          <w:rFonts w:hint="eastAsia" w:ascii="微软雅黑" w:hAnsi="微软雅黑" w:eastAsia="微软雅黑" w:cs="仿宋_GB2312"/>
          <w:b/>
          <w:bCs/>
          <w:sz w:val="24"/>
          <w:szCs w:val="24"/>
        </w:rPr>
        <w:t>估价结果一览表</w:t>
      </w:r>
    </w:p>
    <w:tbl>
      <w:tblPr>
        <w:tblStyle w:val="16"/>
        <w:tblW w:w="8924" w:type="dxa"/>
        <w:jc w:val="right"/>
        <w:tblLayout w:type="fixed"/>
        <w:tblCellMar>
          <w:top w:w="0" w:type="dxa"/>
          <w:left w:w="108" w:type="dxa"/>
          <w:bottom w:w="0" w:type="dxa"/>
          <w:right w:w="108" w:type="dxa"/>
        </w:tblCellMar>
      </w:tblPr>
      <w:tblGrid>
        <w:gridCol w:w="2552"/>
        <w:gridCol w:w="992"/>
        <w:gridCol w:w="1417"/>
        <w:gridCol w:w="1985"/>
        <w:gridCol w:w="1978"/>
      </w:tblGrid>
      <w:tr>
        <w:tblPrEx>
          <w:tblCellMar>
            <w:top w:w="0" w:type="dxa"/>
            <w:left w:w="108" w:type="dxa"/>
            <w:bottom w:w="0" w:type="dxa"/>
            <w:right w:w="108" w:type="dxa"/>
          </w:tblCellMar>
        </w:tblPrEx>
        <w:trPr>
          <w:trHeight w:val="397" w:hRule="atLeast"/>
          <w:jc w:val="right"/>
        </w:trPr>
        <w:tc>
          <w:tcPr>
            <w:tcW w:w="2552" w:type="dxa"/>
            <w:vMerge w:val="restart"/>
            <w:tcBorders>
              <w:top w:val="single" w:color="auto" w:sz="4" w:space="0"/>
              <w:left w:val="single" w:color="auto" w:sz="4" w:space="0"/>
              <w:bottom w:val="single" w:color="000000" w:sz="4" w:space="0"/>
              <w:right w:val="single" w:color="auto" w:sz="4" w:space="0"/>
            </w:tcBorders>
            <w:shd w:val="clear" w:color="auto" w:fill="C0AD72"/>
            <w:vAlign w:val="center"/>
          </w:tcPr>
          <w:p>
            <w:pPr>
              <w:jc w:val="center"/>
              <w:rPr>
                <w:rFonts w:ascii="微软雅黑" w:hAnsi="微软雅黑" w:eastAsia="微软雅黑" w:cs="仿宋_GB2312"/>
              </w:rPr>
            </w:pPr>
            <w:r>
              <w:rPr>
                <w:rFonts w:hint="eastAsia" w:ascii="微软雅黑" w:hAnsi="微软雅黑" w:eastAsia="微软雅黑" w:cs="仿宋_GB2312"/>
              </w:rPr>
              <w:t>房屋坐落</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center"/>
              <w:rPr>
                <w:rFonts w:ascii="微软雅黑" w:hAnsi="微软雅黑" w:eastAsia="微软雅黑" w:cs="仿宋_GB2312"/>
              </w:rPr>
            </w:pPr>
            <w:r>
              <w:rPr>
                <w:rFonts w:hint="eastAsia" w:ascii="微软雅黑" w:hAnsi="微软雅黑" w:eastAsia="微软雅黑" w:cs="仿宋_GB2312"/>
              </w:rPr>
              <w:t>建筑面积（㎡）</w:t>
            </w:r>
          </w:p>
        </w:tc>
        <w:tc>
          <w:tcPr>
            <w:tcW w:w="1417" w:type="dxa"/>
            <w:vMerge w:val="restart"/>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center"/>
              <w:rPr>
                <w:rFonts w:ascii="微软雅黑" w:hAnsi="微软雅黑" w:eastAsia="微软雅黑" w:cs="仿宋_GB2312"/>
              </w:rPr>
            </w:pPr>
            <w:r>
              <w:rPr>
                <w:rFonts w:hint="eastAsia" w:ascii="微软雅黑" w:hAnsi="微软雅黑" w:eastAsia="微软雅黑" w:cs="仿宋_GB2312"/>
              </w:rPr>
              <w:t>土地面积（㎡）</w:t>
            </w:r>
          </w:p>
        </w:tc>
        <w:tc>
          <w:tcPr>
            <w:tcW w:w="3963" w:type="dxa"/>
            <w:gridSpan w:val="2"/>
            <w:tcBorders>
              <w:top w:val="single" w:color="auto" w:sz="4" w:space="0"/>
              <w:left w:val="nil"/>
              <w:bottom w:val="single" w:color="auto" w:sz="4" w:space="0"/>
              <w:right w:val="single" w:color="auto" w:sz="4" w:space="0"/>
            </w:tcBorders>
            <w:shd w:val="clear" w:color="auto" w:fill="C0AD72"/>
          </w:tcPr>
          <w:p>
            <w:pPr>
              <w:widowControl/>
              <w:jc w:val="center"/>
              <w:rPr>
                <w:rFonts w:ascii="微软雅黑" w:hAnsi="微软雅黑" w:eastAsia="微软雅黑" w:cs="仿宋_GB2312"/>
              </w:rPr>
            </w:pPr>
            <w:r>
              <w:rPr>
                <w:rFonts w:hint="eastAsia" w:ascii="微软雅黑" w:hAnsi="微软雅黑" w:eastAsia="微软雅黑" w:cs="仿宋_GB2312"/>
              </w:rPr>
              <w:t>市场价值</w:t>
            </w:r>
          </w:p>
        </w:tc>
      </w:tr>
      <w:tr>
        <w:tblPrEx>
          <w:tblCellMar>
            <w:top w:w="0" w:type="dxa"/>
            <w:left w:w="108" w:type="dxa"/>
            <w:bottom w:w="0" w:type="dxa"/>
            <w:right w:w="108" w:type="dxa"/>
          </w:tblCellMar>
        </w:tblPrEx>
        <w:trPr>
          <w:trHeight w:val="737" w:hRule="atLeast"/>
          <w:jc w:val="right"/>
        </w:trPr>
        <w:tc>
          <w:tcPr>
            <w:tcW w:w="2552" w:type="dxa"/>
            <w:vMerge w:val="continue"/>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left"/>
              <w:rPr>
                <w:rFonts w:ascii="微软雅黑" w:hAnsi="微软雅黑" w:eastAsia="微软雅黑" w:cs="仿宋_GB2312"/>
              </w:rPr>
            </w:pPr>
          </w:p>
        </w:tc>
        <w:tc>
          <w:tcPr>
            <w:tcW w:w="992" w:type="dxa"/>
            <w:vMerge w:val="continue"/>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left"/>
              <w:rPr>
                <w:rFonts w:ascii="微软雅黑" w:hAnsi="微软雅黑" w:eastAsia="微软雅黑" w:cs="仿宋_GB2312"/>
              </w:rPr>
            </w:pPr>
          </w:p>
        </w:tc>
        <w:tc>
          <w:tcPr>
            <w:tcW w:w="1417" w:type="dxa"/>
            <w:vMerge w:val="continue"/>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left"/>
              <w:rPr>
                <w:rFonts w:ascii="微软雅黑" w:hAnsi="微软雅黑" w:eastAsia="微软雅黑" w:cs="仿宋_GB2312"/>
              </w:rPr>
            </w:pPr>
          </w:p>
        </w:tc>
        <w:tc>
          <w:tcPr>
            <w:tcW w:w="1985" w:type="dxa"/>
            <w:tcBorders>
              <w:top w:val="nil"/>
              <w:left w:val="nil"/>
              <w:bottom w:val="single" w:color="auto" w:sz="4" w:space="0"/>
              <w:right w:val="single" w:color="auto" w:sz="4" w:space="0"/>
            </w:tcBorders>
            <w:shd w:val="clear" w:color="auto" w:fill="C0AD72"/>
            <w:vAlign w:val="center"/>
          </w:tcPr>
          <w:p>
            <w:pPr>
              <w:widowControl/>
              <w:jc w:val="center"/>
              <w:rPr>
                <w:rFonts w:ascii="微软雅黑" w:hAnsi="微软雅黑" w:eastAsia="微软雅黑" w:cs="仿宋_GB2312"/>
              </w:rPr>
            </w:pPr>
            <w:r>
              <w:rPr>
                <w:rFonts w:hint="eastAsia" w:ascii="微软雅黑" w:hAnsi="微软雅黑" w:eastAsia="微软雅黑" w:cs="仿宋_GB2312"/>
              </w:rPr>
              <w:t>评估单价</w:t>
            </w:r>
          </w:p>
          <w:p>
            <w:pPr>
              <w:widowControl/>
              <w:jc w:val="center"/>
              <w:rPr>
                <w:rFonts w:ascii="微软雅黑" w:hAnsi="微软雅黑" w:eastAsia="微软雅黑" w:cs="仿宋_GB2312"/>
              </w:rPr>
            </w:pPr>
            <w:r>
              <w:rPr>
                <w:rFonts w:hint="eastAsia" w:ascii="微软雅黑" w:hAnsi="微软雅黑" w:eastAsia="微软雅黑" w:cs="仿宋_GB2312"/>
              </w:rPr>
              <w:t>（元</w:t>
            </w:r>
            <w:r>
              <w:rPr>
                <w:rFonts w:ascii="微软雅黑" w:hAnsi="微软雅黑" w:eastAsia="微软雅黑" w:cs="仿宋_GB2312"/>
              </w:rPr>
              <w:t>/</w:t>
            </w:r>
            <w:r>
              <w:rPr>
                <w:rFonts w:hint="eastAsia" w:ascii="微软雅黑" w:hAnsi="微软雅黑" w:cs="宋体"/>
                <w:kern w:val="0"/>
              </w:rPr>
              <w:t>㎡</w:t>
            </w:r>
            <w:r>
              <w:rPr>
                <w:rFonts w:hint="eastAsia" w:ascii="微软雅黑" w:hAnsi="微软雅黑" w:eastAsia="微软雅黑" w:cs="仿宋_GB2312"/>
              </w:rPr>
              <w:t>）</w:t>
            </w:r>
          </w:p>
        </w:tc>
        <w:tc>
          <w:tcPr>
            <w:tcW w:w="1978" w:type="dxa"/>
            <w:tcBorders>
              <w:top w:val="nil"/>
              <w:left w:val="nil"/>
              <w:bottom w:val="single" w:color="auto" w:sz="4" w:space="0"/>
              <w:right w:val="single" w:color="auto" w:sz="4" w:space="0"/>
            </w:tcBorders>
            <w:shd w:val="clear" w:color="auto" w:fill="C0AD72"/>
          </w:tcPr>
          <w:p>
            <w:pPr>
              <w:widowControl/>
              <w:jc w:val="center"/>
              <w:rPr>
                <w:rFonts w:ascii="微软雅黑" w:hAnsi="微软雅黑" w:eastAsia="微软雅黑" w:cs="仿宋_GB2312"/>
              </w:rPr>
            </w:pPr>
            <w:r>
              <w:rPr>
                <w:rFonts w:hint="eastAsia" w:ascii="微软雅黑" w:hAnsi="微软雅黑" w:eastAsia="微软雅黑" w:cs="仿宋_GB2312"/>
              </w:rPr>
              <w:t>总价（万元）</w:t>
            </w:r>
          </w:p>
          <w:p>
            <w:pPr>
              <w:widowControl/>
              <w:jc w:val="center"/>
              <w:rPr>
                <w:rFonts w:ascii="微软雅黑" w:hAnsi="微软雅黑" w:eastAsia="微软雅黑" w:cs="仿宋_GB2312"/>
              </w:rPr>
            </w:pPr>
            <w:r>
              <w:rPr>
                <w:rFonts w:hint="eastAsia" w:ascii="微软雅黑" w:hAnsi="微软雅黑" w:eastAsia="微软雅黑" w:cs="仿宋_GB2312"/>
              </w:rPr>
              <w:t>（保留仟位取整）</w:t>
            </w:r>
          </w:p>
        </w:tc>
      </w:tr>
      <w:tr>
        <w:tblPrEx>
          <w:tblCellMar>
            <w:top w:w="0" w:type="dxa"/>
            <w:left w:w="108" w:type="dxa"/>
            <w:bottom w:w="0" w:type="dxa"/>
            <w:right w:w="108" w:type="dxa"/>
          </w:tblCellMar>
        </w:tblPrEx>
        <w:trPr>
          <w:trHeight w:val="802" w:hRule="atLeast"/>
          <w:jc w:val="right"/>
        </w:trPr>
        <w:tc>
          <w:tcPr>
            <w:tcW w:w="2552" w:type="dxa"/>
            <w:tcBorders>
              <w:top w:val="nil"/>
              <w:left w:val="single" w:color="auto" w:sz="4" w:space="0"/>
              <w:bottom w:val="single" w:color="auto" w:sz="4" w:space="0"/>
              <w:right w:val="single" w:color="auto" w:sz="4" w:space="0"/>
            </w:tcBorders>
            <w:vAlign w:val="center"/>
          </w:tcPr>
          <w:p>
            <w:pPr>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淳安县汾口镇翠新街58号505室（号）</w:t>
            </w:r>
          </w:p>
        </w:tc>
        <w:tc>
          <w:tcPr>
            <w:tcW w:w="992" w:type="dxa"/>
            <w:tcBorders>
              <w:top w:val="nil"/>
              <w:left w:val="nil"/>
              <w:bottom w:val="single" w:color="auto" w:sz="4" w:space="0"/>
              <w:right w:val="single" w:color="auto" w:sz="4" w:space="0"/>
            </w:tcBorders>
            <w:vAlign w:val="center"/>
          </w:tcPr>
          <w:p>
            <w:pPr>
              <w:jc w:val="center"/>
              <w:rPr>
                <w:rFonts w:hint="eastAsia" w:ascii="微软雅黑" w:hAnsi="微软雅黑" w:eastAsia="微软雅黑" w:cs="仿宋_GB2312"/>
                <w:lang w:eastAsia="zh-CN"/>
              </w:rPr>
            </w:pPr>
            <w:r>
              <w:rPr>
                <w:rFonts w:hint="eastAsia" w:ascii="微软雅黑" w:hAnsi="微软雅黑" w:eastAsia="微软雅黑" w:cs="宋体"/>
                <w:color w:val="000000"/>
                <w:kern w:val="0"/>
                <w:sz w:val="20"/>
                <w:szCs w:val="20"/>
                <w:lang w:eastAsia="zh-CN"/>
              </w:rPr>
              <w:t>81.2</w:t>
            </w:r>
          </w:p>
        </w:tc>
        <w:tc>
          <w:tcPr>
            <w:tcW w:w="1417" w:type="dxa"/>
            <w:tcBorders>
              <w:top w:val="nil"/>
              <w:left w:val="nil"/>
              <w:bottom w:val="single" w:color="auto" w:sz="4" w:space="0"/>
              <w:right w:val="single" w:color="auto" w:sz="4" w:space="0"/>
            </w:tcBorders>
            <w:vAlign w:val="center"/>
          </w:tcPr>
          <w:p>
            <w:pPr>
              <w:widowControl/>
              <w:jc w:val="center"/>
              <w:rPr>
                <w:rFonts w:hint="eastAsia" w:ascii="微软雅黑" w:hAnsi="微软雅黑" w:eastAsia="微软雅黑" w:cs="仿宋_GB2312"/>
                <w:lang w:eastAsia="zh-CN"/>
              </w:rPr>
            </w:pPr>
            <w:r>
              <w:rPr>
                <w:rFonts w:hint="eastAsia" w:ascii="微软雅黑" w:hAnsi="微软雅黑" w:eastAsia="微软雅黑" w:cs="宋体"/>
                <w:color w:val="000000"/>
                <w:kern w:val="0"/>
                <w:sz w:val="20"/>
                <w:szCs w:val="20"/>
                <w:lang w:eastAsia="zh-CN"/>
              </w:rPr>
              <w:t>13.56</w:t>
            </w:r>
          </w:p>
        </w:tc>
        <w:tc>
          <w:tcPr>
            <w:tcW w:w="1985" w:type="dxa"/>
            <w:tcBorders>
              <w:top w:val="nil"/>
              <w:left w:val="nil"/>
              <w:bottom w:val="single" w:color="auto" w:sz="4" w:space="0"/>
              <w:right w:val="single" w:color="auto" w:sz="4" w:space="0"/>
            </w:tcBorders>
            <w:vAlign w:val="center"/>
          </w:tcPr>
          <w:p>
            <w:pPr>
              <w:jc w:val="center"/>
              <w:rPr>
                <w:rFonts w:hint="default" w:ascii="微软雅黑" w:hAnsi="微软雅黑" w:eastAsia="微软雅黑" w:cs="仿宋_GB2312"/>
                <w:lang w:val="en-US" w:eastAsia="zh-CN"/>
              </w:rPr>
            </w:pPr>
            <w:r>
              <w:rPr>
                <w:rFonts w:hint="eastAsia" w:ascii="微软雅黑" w:hAnsi="微软雅黑" w:eastAsia="微软雅黑" w:cs="仿宋_GB2312"/>
                <w:lang w:val="en-US" w:eastAsia="zh-CN"/>
              </w:rPr>
              <w:t>5564</w:t>
            </w:r>
          </w:p>
        </w:tc>
        <w:tc>
          <w:tcPr>
            <w:tcW w:w="1978" w:type="dxa"/>
            <w:tcBorders>
              <w:top w:val="single" w:color="auto" w:sz="4" w:space="0"/>
              <w:left w:val="nil"/>
              <w:bottom w:val="single" w:color="auto" w:sz="4" w:space="0"/>
              <w:right w:val="single" w:color="auto" w:sz="4" w:space="0"/>
            </w:tcBorders>
            <w:vAlign w:val="center"/>
          </w:tcPr>
          <w:p>
            <w:pPr>
              <w:jc w:val="center"/>
              <w:rPr>
                <w:rFonts w:hint="default" w:ascii="微软雅黑" w:hAnsi="微软雅黑" w:eastAsia="微软雅黑" w:cs="仿宋_GB2312"/>
                <w:lang w:val="en-US" w:eastAsia="zh-CN"/>
              </w:rPr>
            </w:pPr>
            <w:r>
              <w:rPr>
                <w:rFonts w:hint="eastAsia" w:ascii="微软雅黑" w:hAnsi="微软雅黑" w:eastAsia="微软雅黑" w:cs="仿宋_GB2312"/>
                <w:lang w:val="en-US" w:eastAsia="zh-CN"/>
              </w:rPr>
              <w:t>45.2</w:t>
            </w:r>
          </w:p>
        </w:tc>
      </w:tr>
    </w:tbl>
    <w:p>
      <w:pPr>
        <w:widowControl/>
        <w:jc w:val="left"/>
        <w:rPr>
          <w:rFonts w:ascii="微软雅黑" w:hAnsi="微软雅黑" w:eastAsia="微软雅黑" w:cs="仿宋_GB2312"/>
          <w:szCs w:val="24"/>
        </w:rPr>
      </w:pPr>
    </w:p>
    <w:p>
      <w:pPr>
        <w:tabs>
          <w:tab w:val="left" w:pos="6912"/>
        </w:tabs>
        <w:topLinePunct/>
        <w:adjustRightInd w:val="0"/>
        <w:snapToGrid w:val="0"/>
        <w:spacing w:line="276" w:lineRule="auto"/>
        <w:ind w:firstLine="420" w:firstLineChars="200"/>
        <w:rPr>
          <w:rFonts w:ascii="微软雅黑" w:hAnsi="微软雅黑" w:eastAsia="微软雅黑"/>
          <w:color w:val="FF0000"/>
          <w:szCs w:val="21"/>
        </w:rPr>
      </w:pPr>
      <w:r>
        <w:rPr>
          <w:rFonts w:hint="eastAsia" w:ascii="微软雅黑" w:hAnsi="微软雅黑" w:eastAsia="微软雅黑" w:cs="微软雅黑"/>
          <w:b/>
          <w:szCs w:val="21"/>
        </w:rPr>
        <w:t>特别提示（</w:t>
      </w:r>
      <w:r>
        <w:rPr>
          <w:rFonts w:ascii="微软雅黑" w:hAnsi="微软雅黑" w:eastAsia="微软雅黑" w:cs="微软雅黑"/>
          <w:b/>
          <w:szCs w:val="21"/>
        </w:rPr>
        <w:t>Special Notice</w:t>
      </w:r>
      <w:r>
        <w:rPr>
          <w:rFonts w:hint="eastAsia" w:ascii="微软雅黑" w:hAnsi="微软雅黑" w:eastAsia="微软雅黑" w:cs="微软雅黑"/>
          <w:b/>
          <w:szCs w:val="21"/>
        </w:rPr>
        <w:t>）：</w:t>
      </w:r>
    </w:p>
    <w:p>
      <w:pPr>
        <w:pStyle w:val="23"/>
        <w:tabs>
          <w:tab w:val="left" w:pos="1134"/>
        </w:tabs>
        <w:topLinePunct/>
        <w:adjustRightInd w:val="0"/>
        <w:snapToGrid w:val="0"/>
        <w:spacing w:line="276" w:lineRule="auto"/>
        <w:ind w:left="420" w:leftChars="200" w:firstLine="0" w:firstLineChars="0"/>
        <w:rPr>
          <w:rFonts w:ascii="微软雅黑" w:hAnsi="微软雅黑" w:eastAsia="微软雅黑"/>
          <w:szCs w:val="21"/>
        </w:rPr>
      </w:pPr>
      <w:r>
        <w:rPr>
          <w:rFonts w:hint="eastAsia" w:ascii="微软雅黑" w:hAnsi="微软雅黑" w:eastAsia="微软雅黑"/>
          <w:szCs w:val="21"/>
        </w:rPr>
        <w:t>为正确合理使用本估价结果，请报告使用者仔细阅读以下房地产估价报告内容，并提请报告使用者注意本报告的估价假设前提和限制条件，特此函告。</w:t>
      </w:r>
    </w:p>
    <w:p>
      <w:pPr>
        <w:pStyle w:val="23"/>
        <w:tabs>
          <w:tab w:val="left" w:pos="1134"/>
        </w:tabs>
        <w:topLinePunct/>
        <w:adjustRightInd w:val="0"/>
        <w:snapToGrid w:val="0"/>
        <w:spacing w:line="276" w:lineRule="auto"/>
        <w:ind w:left="420" w:firstLine="0" w:firstLineChars="0"/>
        <w:rPr>
          <w:rFonts w:ascii="微软雅黑" w:hAnsi="微软雅黑" w:eastAsia="微软雅黑"/>
          <w:color w:val="00B050"/>
          <w:szCs w:val="21"/>
        </w:rPr>
      </w:pPr>
    </w:p>
    <w:p>
      <w:pPr>
        <w:pStyle w:val="23"/>
        <w:tabs>
          <w:tab w:val="left" w:pos="1134"/>
        </w:tabs>
        <w:topLinePunct/>
        <w:adjustRightInd w:val="0"/>
        <w:snapToGrid w:val="0"/>
        <w:spacing w:line="276" w:lineRule="auto"/>
        <w:ind w:left="420" w:firstLine="0" w:firstLineChars="0"/>
        <w:rPr>
          <w:rFonts w:ascii="微软雅黑" w:hAnsi="微软雅黑" w:eastAsia="微软雅黑"/>
          <w:color w:val="00B050"/>
          <w:szCs w:val="21"/>
        </w:rPr>
      </w:pPr>
    </w:p>
    <w:p>
      <w:pPr>
        <w:tabs>
          <w:tab w:val="left" w:pos="6912"/>
        </w:tabs>
        <w:topLinePunct/>
        <w:adjustRightInd w:val="0"/>
        <w:snapToGrid w:val="0"/>
        <w:spacing w:before="240" w:beforeLines="100" w:after="240" w:afterLines="100" w:line="276" w:lineRule="auto"/>
        <w:ind w:firstLine="520" w:firstLineChars="200"/>
        <w:jc w:val="right"/>
        <w:rPr>
          <w:rFonts w:ascii="微软雅黑" w:hAnsi="微软雅黑" w:eastAsia="微软雅黑" w:cs="仿宋_GB2312"/>
          <w:b/>
          <w:bCs/>
          <w:spacing w:val="10"/>
          <w:sz w:val="24"/>
          <w:szCs w:val="24"/>
        </w:rPr>
      </w:pPr>
      <w:r>
        <w:rPr>
          <w:rFonts w:hint="eastAsia" w:ascii="微软雅黑" w:hAnsi="微软雅黑" w:eastAsia="微软雅黑" w:cs="仿宋_GB2312"/>
          <w:b/>
          <w:bCs/>
          <w:spacing w:val="10"/>
          <w:sz w:val="24"/>
          <w:szCs w:val="24"/>
        </w:rPr>
        <w:t>浙江嘉华房地产土地资产评估咨询有限公司</w:t>
      </w:r>
    </w:p>
    <w:p>
      <w:pPr>
        <w:adjustRightInd w:val="0"/>
        <w:snapToGrid w:val="0"/>
        <w:spacing w:line="360" w:lineRule="auto"/>
        <w:ind w:firstLine="4982" w:firstLineChars="2075"/>
        <w:rPr>
          <w:rFonts w:ascii="微软雅黑" w:hAnsi="微软雅黑" w:eastAsia="微软雅黑" w:cs="微软雅黑"/>
          <w:b/>
          <w:bCs/>
          <w:sz w:val="24"/>
          <w:szCs w:val="24"/>
        </w:rPr>
      </w:pPr>
      <w:r>
        <w:rPr>
          <w:rFonts w:hint="eastAsia" w:ascii="微软雅黑" w:hAnsi="微软雅黑" w:eastAsia="微软雅黑" w:cs="仿宋_GB2312"/>
          <w:b/>
          <w:bCs/>
          <w:sz w:val="24"/>
          <w:szCs w:val="24"/>
        </w:rPr>
        <w:t>法定代表人：</w:t>
      </w:r>
      <w:r>
        <w:rPr>
          <w:rFonts w:hint="eastAsia" w:ascii="微软雅黑" w:hAnsi="微软雅黑" w:eastAsia="微软雅黑" w:cs="微软雅黑"/>
          <w:b/>
          <w:bCs/>
          <w:sz w:val="24"/>
          <w:szCs w:val="24"/>
        </w:rPr>
        <w:t xml:space="preserve">                          </w:t>
      </w:r>
    </w:p>
    <w:p>
      <w:pPr>
        <w:widowControl/>
        <w:jc w:val="center"/>
        <w:rPr>
          <w:rFonts w:hint="eastAsia" w:ascii="微软雅黑" w:hAnsi="微软雅黑" w:eastAsia="微软雅黑"/>
          <w:b/>
          <w:color w:val="C3AD72"/>
          <w:spacing w:val="20"/>
          <w:sz w:val="24"/>
          <w:szCs w:val="24"/>
          <w:lang w:eastAsia="zh-CN"/>
        </w:rPr>
      </w:pPr>
      <w:r>
        <w:rPr>
          <w:rFonts w:hint="eastAsia" w:ascii="微软雅黑" w:hAnsi="微软雅黑" w:eastAsia="微软雅黑" w:cs="微软雅黑"/>
          <w:b/>
          <w:bCs/>
          <w:sz w:val="24"/>
          <w:szCs w:val="24"/>
        </w:rPr>
        <w:t xml:space="preserve">                             </w:t>
      </w:r>
      <w:r>
        <w:rPr>
          <w:rFonts w:hint="eastAsia" w:ascii="微软雅黑" w:hAnsi="微软雅黑" w:eastAsia="微软雅黑" w:cs="微软雅黑"/>
          <w:b/>
          <w:bCs/>
          <w:sz w:val="24"/>
          <w:szCs w:val="24"/>
          <w:lang w:eastAsia="zh-CN"/>
        </w:rPr>
        <w:t>二〇二二年八月十五日</w:t>
      </w:r>
    </w:p>
    <w:p>
      <w:pPr>
        <w:widowControl/>
        <w:jc w:val="left"/>
        <w:rPr>
          <w:rFonts w:ascii="微软雅黑" w:hAnsi="微软雅黑" w:eastAsia="微软雅黑"/>
          <w:b/>
          <w:color w:val="C3AD72"/>
          <w:spacing w:val="20"/>
          <w:sz w:val="32"/>
          <w:szCs w:val="32"/>
        </w:rPr>
      </w:pPr>
      <w:r>
        <w:rPr>
          <w:rFonts w:ascii="微软雅黑" w:hAnsi="微软雅黑" w:eastAsia="微软雅黑"/>
          <w:b/>
          <w:color w:val="C3AD72"/>
          <w:spacing w:val="20"/>
          <w:sz w:val="32"/>
          <w:szCs w:val="32"/>
        </w:rPr>
        <w:br w:type="page"/>
      </w:r>
    </w:p>
    <w:p>
      <w:pPr>
        <w:topLinePunct/>
        <w:adjustRightInd w:val="0"/>
        <w:snapToGrid w:val="0"/>
        <w:spacing w:before="120" w:beforeLines="50"/>
        <w:jc w:val="center"/>
        <w:rPr>
          <w:rFonts w:ascii="微软雅黑" w:hAnsi="微软雅黑" w:eastAsia="微软雅黑"/>
          <w:b/>
          <w:color w:val="C3AD72"/>
          <w:spacing w:val="20"/>
          <w:sz w:val="32"/>
          <w:szCs w:val="32"/>
        </w:rPr>
      </w:pPr>
      <w:r>
        <w:rPr>
          <w:rFonts w:hint="eastAsia" w:ascii="微软雅黑" w:hAnsi="微软雅黑" w:eastAsia="微软雅黑"/>
          <w:b/>
          <w:color w:val="C3AD72"/>
          <w:spacing w:val="20"/>
          <w:sz w:val="32"/>
          <w:szCs w:val="32"/>
        </w:rPr>
        <w:t>目录</w:t>
      </w:r>
    </w:p>
    <w:p>
      <w:pPr>
        <w:widowControl/>
        <w:topLinePunct/>
        <w:adjustRightInd w:val="0"/>
        <w:snapToGrid w:val="0"/>
        <w:spacing w:after="240" w:afterLines="100" w:line="160" w:lineRule="exact"/>
        <w:jc w:val="center"/>
        <w:rPr>
          <w:rFonts w:ascii="微软雅黑" w:hAnsi="微软雅黑" w:eastAsia="微软雅黑" w:cs="宋体"/>
          <w:b/>
          <w:color w:val="C3AD72"/>
          <w:kern w:val="0"/>
          <w:sz w:val="16"/>
          <w:szCs w:val="16"/>
        </w:rPr>
      </w:pPr>
      <w:r>
        <w:rPr>
          <w:rFonts w:hint="eastAsia" w:ascii="微软雅黑" w:hAnsi="微软雅黑" w:eastAsia="微软雅黑" w:cs="宋体"/>
          <w:b/>
          <w:color w:val="C3AD72"/>
          <w:kern w:val="0"/>
          <w:sz w:val="16"/>
          <w:szCs w:val="16"/>
        </w:rPr>
        <w:t>C</w:t>
      </w:r>
      <w:r>
        <w:rPr>
          <w:rFonts w:ascii="微软雅黑" w:hAnsi="微软雅黑" w:eastAsia="微软雅黑" w:cs="宋体"/>
          <w:b/>
          <w:color w:val="C3AD72"/>
          <w:kern w:val="0"/>
          <w:sz w:val="16"/>
          <w:szCs w:val="16"/>
        </w:rPr>
        <w:t>ontents</w:t>
      </w:r>
    </w:p>
    <w:sdt>
      <w:sdtPr>
        <w:rPr>
          <w:rFonts w:ascii="微软雅黑" w:hAnsi="微软雅黑" w:eastAsia="微软雅黑"/>
          <w:lang w:val="zh-CN"/>
        </w:rPr>
        <w:id w:val="-61641293"/>
        <w:docPartObj>
          <w:docPartGallery w:val="Table of Contents"/>
          <w:docPartUnique/>
        </w:docPartObj>
      </w:sdtPr>
      <w:sdtEndPr>
        <w:rPr>
          <w:rFonts w:ascii="微软雅黑" w:hAnsi="微软雅黑" w:eastAsia="微软雅黑"/>
          <w:b/>
          <w:bCs/>
          <w:lang w:val="zh-CN"/>
        </w:rPr>
      </w:sdtEndPr>
      <w:sdtContent>
        <w:p>
          <w:pPr>
            <w:jc w:val="center"/>
          </w:pPr>
        </w:p>
        <w:p>
          <w:pPr>
            <w:pStyle w:val="12"/>
            <w:tabs>
              <w:tab w:val="right" w:leader="dot" w:pos="8787"/>
            </w:tabs>
          </w:pPr>
          <w:r>
            <w:rPr>
              <w:b w:val="0"/>
              <w:bCs w:val="0"/>
              <w:caps w:val="0"/>
            </w:rPr>
            <w:fldChar w:fldCharType="begin"/>
          </w:r>
          <w:r>
            <w:rPr>
              <w:b w:val="0"/>
              <w:bCs w:val="0"/>
              <w:caps w:val="0"/>
            </w:rPr>
            <w:instrText xml:space="preserve"> TOC \o "1-3"\n3-3 \h \z \u </w:instrText>
          </w:r>
          <w:r>
            <w:rPr>
              <w:b w:val="0"/>
              <w:bCs w:val="0"/>
              <w:caps w:val="0"/>
            </w:rPr>
            <w:fldChar w:fldCharType="separate"/>
          </w:r>
          <w:r>
            <w:rPr>
              <w:bCs w:val="0"/>
              <w:caps w:val="0"/>
            </w:rPr>
            <w:fldChar w:fldCharType="begin"/>
          </w:r>
          <w:r>
            <w:rPr>
              <w:bCs w:val="0"/>
              <w:caps w:val="0"/>
            </w:rPr>
            <w:instrText xml:space="preserve"> HYPERLINK \l _Toc17643 </w:instrText>
          </w:r>
          <w:r>
            <w:rPr>
              <w:bCs w:val="0"/>
              <w:caps w:val="0"/>
            </w:rPr>
            <w:fldChar w:fldCharType="separate"/>
          </w:r>
          <w:r>
            <w:rPr>
              <w:rFonts w:hint="eastAsia" w:ascii="微软雅黑" w:hAnsi="微软雅黑" w:eastAsia="微软雅黑"/>
              <w:spacing w:val="20"/>
              <w:szCs w:val="32"/>
            </w:rPr>
            <w:t>估价师声明</w:t>
          </w:r>
          <w:r>
            <w:tab/>
          </w:r>
          <w:r>
            <w:fldChar w:fldCharType="begin"/>
          </w:r>
          <w:r>
            <w:instrText xml:space="preserve"> PAGEREF _Toc17643 \h </w:instrText>
          </w:r>
          <w:r>
            <w:fldChar w:fldCharType="separate"/>
          </w:r>
          <w:r>
            <w:t>5</w:t>
          </w:r>
          <w:r>
            <w:fldChar w:fldCharType="end"/>
          </w:r>
          <w:r>
            <w:rPr>
              <w:bCs w:val="0"/>
              <w:caps w:val="0"/>
            </w:rPr>
            <w:fldChar w:fldCharType="end"/>
          </w:r>
        </w:p>
        <w:p>
          <w:pPr>
            <w:pStyle w:val="12"/>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_Toc24096 </w:instrText>
          </w:r>
          <w:r>
            <w:rPr>
              <w:rFonts w:ascii="微软雅黑" w:hAnsi="微软雅黑" w:eastAsia="微软雅黑"/>
              <w:bCs/>
              <w:caps/>
              <w:szCs w:val="20"/>
            </w:rPr>
            <w:fldChar w:fldCharType="separate"/>
          </w:r>
          <w:r>
            <w:rPr>
              <w:rFonts w:hint="eastAsia" w:ascii="微软雅黑" w:hAnsi="微软雅黑" w:eastAsia="微软雅黑"/>
              <w:spacing w:val="20"/>
              <w:szCs w:val="32"/>
            </w:rPr>
            <w:t>估价假设和限制条件</w:t>
          </w:r>
          <w:r>
            <w:tab/>
          </w:r>
          <w:r>
            <w:fldChar w:fldCharType="begin"/>
          </w:r>
          <w:r>
            <w:instrText xml:space="preserve"> PAGEREF _Toc24096 \h </w:instrText>
          </w:r>
          <w:r>
            <w:fldChar w:fldCharType="separate"/>
          </w:r>
          <w:r>
            <w:t>6</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_Toc10104 </w:instrText>
          </w:r>
          <w:r>
            <w:rPr>
              <w:rFonts w:ascii="微软雅黑" w:hAnsi="微软雅黑" w:eastAsia="微软雅黑"/>
              <w:bCs/>
              <w:caps/>
              <w:szCs w:val="20"/>
            </w:rPr>
            <w:fldChar w:fldCharType="separate"/>
          </w:r>
          <w:r>
            <w:rPr>
              <w:rFonts w:hint="eastAsia" w:ascii="微软雅黑" w:hAnsi="微软雅黑" w:eastAsia="微软雅黑"/>
              <w:szCs w:val="24"/>
            </w:rPr>
            <w:t>一、一般假设</w:t>
          </w:r>
          <w:r>
            <w:tab/>
          </w:r>
          <w:r>
            <w:fldChar w:fldCharType="begin"/>
          </w:r>
          <w:r>
            <w:instrText xml:space="preserve"> PAGEREF _Toc10104 \h </w:instrText>
          </w:r>
          <w:r>
            <w:fldChar w:fldCharType="separate"/>
          </w:r>
          <w:r>
            <w:t>6</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_Toc4348 </w:instrText>
          </w:r>
          <w:r>
            <w:rPr>
              <w:rFonts w:ascii="微软雅黑" w:hAnsi="微软雅黑" w:eastAsia="微软雅黑"/>
              <w:bCs/>
              <w:caps/>
              <w:szCs w:val="20"/>
            </w:rPr>
            <w:fldChar w:fldCharType="separate"/>
          </w:r>
          <w:r>
            <w:rPr>
              <w:rFonts w:hint="eastAsia" w:ascii="微软雅黑" w:hAnsi="微软雅黑" w:eastAsia="微软雅黑"/>
              <w:szCs w:val="24"/>
            </w:rPr>
            <w:t>二、未定事项假设</w:t>
          </w:r>
          <w:r>
            <w:tab/>
          </w:r>
          <w:r>
            <w:fldChar w:fldCharType="begin"/>
          </w:r>
          <w:r>
            <w:instrText xml:space="preserve"> PAGEREF _Toc4348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_Toc13945 </w:instrText>
          </w:r>
          <w:r>
            <w:rPr>
              <w:rFonts w:ascii="微软雅黑" w:hAnsi="微软雅黑" w:eastAsia="微软雅黑"/>
              <w:bCs/>
              <w:caps/>
              <w:szCs w:val="20"/>
            </w:rPr>
            <w:fldChar w:fldCharType="separate"/>
          </w:r>
          <w:r>
            <w:rPr>
              <w:rFonts w:hint="eastAsia" w:ascii="微软雅黑" w:hAnsi="微软雅黑" w:eastAsia="微软雅黑"/>
              <w:szCs w:val="24"/>
            </w:rPr>
            <w:t>三、背离事实假设</w:t>
          </w:r>
          <w:r>
            <w:tab/>
          </w:r>
          <w:r>
            <w:fldChar w:fldCharType="begin"/>
          </w:r>
          <w:r>
            <w:instrText xml:space="preserve"> PAGEREF _Toc13945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_Toc18390 </w:instrText>
          </w:r>
          <w:r>
            <w:rPr>
              <w:rFonts w:ascii="微软雅黑" w:hAnsi="微软雅黑" w:eastAsia="微软雅黑"/>
              <w:bCs/>
              <w:caps/>
              <w:szCs w:val="20"/>
            </w:rPr>
            <w:fldChar w:fldCharType="separate"/>
          </w:r>
          <w:r>
            <w:rPr>
              <w:rFonts w:hint="eastAsia" w:ascii="微软雅黑" w:hAnsi="微软雅黑" w:eastAsia="微软雅黑"/>
              <w:szCs w:val="24"/>
            </w:rPr>
            <w:t>四、不相一致假设</w:t>
          </w:r>
          <w:r>
            <w:tab/>
          </w:r>
          <w:r>
            <w:fldChar w:fldCharType="begin"/>
          </w:r>
          <w:r>
            <w:instrText xml:space="preserve"> PAGEREF _Toc18390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_Toc22129 </w:instrText>
          </w:r>
          <w:r>
            <w:rPr>
              <w:rFonts w:ascii="微软雅黑" w:hAnsi="微软雅黑" w:eastAsia="微软雅黑"/>
              <w:bCs/>
              <w:caps/>
              <w:szCs w:val="20"/>
            </w:rPr>
            <w:fldChar w:fldCharType="separate"/>
          </w:r>
          <w:r>
            <w:rPr>
              <w:rFonts w:hint="eastAsia" w:ascii="微软雅黑" w:hAnsi="微软雅黑" w:eastAsia="微软雅黑"/>
              <w:szCs w:val="24"/>
            </w:rPr>
            <w:t>五、依据不足假设</w:t>
          </w:r>
          <w:r>
            <w:tab/>
          </w:r>
          <w:r>
            <w:fldChar w:fldCharType="begin"/>
          </w:r>
          <w:r>
            <w:instrText xml:space="preserve"> PAGEREF _Toc22129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_Toc18936 </w:instrText>
          </w:r>
          <w:r>
            <w:rPr>
              <w:rFonts w:ascii="微软雅黑" w:hAnsi="微软雅黑" w:eastAsia="微软雅黑"/>
              <w:bCs/>
              <w:caps/>
              <w:szCs w:val="20"/>
            </w:rPr>
            <w:fldChar w:fldCharType="separate"/>
          </w:r>
          <w:r>
            <w:rPr>
              <w:rFonts w:hint="eastAsia" w:ascii="微软雅黑" w:hAnsi="微软雅黑" w:eastAsia="微软雅黑"/>
              <w:szCs w:val="24"/>
            </w:rPr>
            <w:t>六、 估价报告使用限制</w:t>
          </w:r>
          <w:r>
            <w:tab/>
          </w:r>
          <w:r>
            <w:fldChar w:fldCharType="begin"/>
          </w:r>
          <w:r>
            <w:instrText xml:space="preserve"> PAGEREF _Toc18936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_Toc6928 </w:instrText>
          </w:r>
          <w:r>
            <w:rPr>
              <w:rFonts w:ascii="微软雅黑" w:hAnsi="微软雅黑" w:eastAsia="微软雅黑"/>
              <w:bCs/>
              <w:caps/>
              <w:szCs w:val="20"/>
            </w:rPr>
            <w:fldChar w:fldCharType="separate"/>
          </w:r>
          <w:r>
            <w:rPr>
              <w:rFonts w:hint="eastAsia" w:ascii="微软雅黑" w:hAnsi="微软雅黑" w:eastAsia="微软雅黑"/>
              <w:szCs w:val="24"/>
            </w:rPr>
            <w:t>七、 特别提示</w:t>
          </w:r>
          <w:r>
            <w:tab/>
          </w:r>
          <w:r>
            <w:fldChar w:fldCharType="begin"/>
          </w:r>
          <w:r>
            <w:instrText xml:space="preserve"> PAGEREF _Toc6928 \h </w:instrText>
          </w:r>
          <w:r>
            <w:fldChar w:fldCharType="separate"/>
          </w:r>
          <w:r>
            <w:t>7</w:t>
          </w:r>
          <w:r>
            <w:fldChar w:fldCharType="end"/>
          </w:r>
          <w:r>
            <w:rPr>
              <w:rFonts w:ascii="微软雅黑" w:hAnsi="微软雅黑" w:eastAsia="微软雅黑"/>
              <w:bCs/>
              <w:caps/>
              <w:szCs w:val="20"/>
            </w:rPr>
            <w:fldChar w:fldCharType="end"/>
          </w:r>
        </w:p>
        <w:p>
          <w:pPr>
            <w:pStyle w:val="12"/>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_Toc18356 </w:instrText>
          </w:r>
          <w:r>
            <w:rPr>
              <w:rFonts w:ascii="微软雅黑" w:hAnsi="微软雅黑" w:eastAsia="微软雅黑"/>
              <w:bCs/>
              <w:caps/>
              <w:szCs w:val="20"/>
            </w:rPr>
            <w:fldChar w:fldCharType="separate"/>
          </w:r>
          <w:r>
            <w:rPr>
              <w:rFonts w:hint="eastAsia" w:ascii="微软雅黑" w:hAnsi="微软雅黑" w:eastAsia="微软雅黑"/>
              <w:spacing w:val="20"/>
              <w:szCs w:val="32"/>
            </w:rPr>
            <w:t>估价结果报告</w:t>
          </w:r>
          <w:r>
            <w:tab/>
          </w:r>
          <w:r>
            <w:fldChar w:fldCharType="begin"/>
          </w:r>
          <w:r>
            <w:instrText xml:space="preserve"> PAGEREF _Toc18356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_Toc14644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一、估价</w:t>
          </w:r>
          <w:r>
            <w:rPr>
              <w:rFonts w:hint="eastAsia" w:ascii="微软雅黑" w:hAnsi="微软雅黑" w:eastAsia="微软雅黑"/>
              <w:szCs w:val="24"/>
            </w:rPr>
            <w:t>委托人</w:t>
          </w:r>
          <w:r>
            <w:tab/>
          </w:r>
          <w:r>
            <w:fldChar w:fldCharType="begin"/>
          </w:r>
          <w:r>
            <w:instrText xml:space="preserve"> PAGEREF _Toc14644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_Toc14559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二、房地产估价</w:t>
          </w:r>
          <w:r>
            <w:rPr>
              <w:rFonts w:hint="eastAsia" w:ascii="微软雅黑" w:hAnsi="微软雅黑" w:eastAsia="微软雅黑"/>
              <w:szCs w:val="24"/>
            </w:rPr>
            <w:t>机构</w:t>
          </w:r>
          <w:r>
            <w:tab/>
          </w:r>
          <w:r>
            <w:fldChar w:fldCharType="begin"/>
          </w:r>
          <w:r>
            <w:instrText xml:space="preserve"> PAGEREF _Toc14559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_Toc19976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三、</w:t>
          </w:r>
          <w:r>
            <w:rPr>
              <w:rFonts w:hint="eastAsia" w:ascii="微软雅黑" w:hAnsi="微软雅黑" w:eastAsia="微软雅黑"/>
              <w:szCs w:val="24"/>
            </w:rPr>
            <w:t>估价</w:t>
          </w:r>
          <w:r>
            <w:rPr>
              <w:rFonts w:hint="eastAsia" w:ascii="微软雅黑" w:hAnsi="微软雅黑" w:eastAsia="微软雅黑" w:cs="微软雅黑"/>
              <w:bCs w:val="0"/>
              <w:szCs w:val="24"/>
            </w:rPr>
            <w:t>目的</w:t>
          </w:r>
          <w:r>
            <w:tab/>
          </w:r>
          <w:r>
            <w:fldChar w:fldCharType="begin"/>
          </w:r>
          <w:r>
            <w:instrText xml:space="preserve"> PAGEREF _Toc19976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_Toc24573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四、估价对象</w:t>
          </w:r>
          <w:r>
            <w:tab/>
          </w:r>
          <w:r>
            <w:fldChar w:fldCharType="begin"/>
          </w:r>
          <w:r>
            <w:instrText xml:space="preserve"> PAGEREF _Toc24573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_Toc19456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五、价值时点</w:t>
          </w:r>
          <w:r>
            <w:tab/>
          </w:r>
          <w:r>
            <w:fldChar w:fldCharType="begin"/>
          </w:r>
          <w:r>
            <w:instrText xml:space="preserve"> PAGEREF _Toc19456 \h </w:instrText>
          </w:r>
          <w:r>
            <w:fldChar w:fldCharType="separate"/>
          </w:r>
          <w:r>
            <w:t>16</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_Toc8132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六、价值类型</w:t>
          </w:r>
          <w:r>
            <w:tab/>
          </w:r>
          <w:r>
            <w:fldChar w:fldCharType="begin"/>
          </w:r>
          <w:r>
            <w:instrText xml:space="preserve"> PAGEREF _Toc8132 \h </w:instrText>
          </w:r>
          <w:r>
            <w:fldChar w:fldCharType="separate"/>
          </w:r>
          <w:r>
            <w:t>16</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_Toc9406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七、估价原则</w:t>
          </w:r>
          <w:r>
            <w:tab/>
          </w:r>
          <w:r>
            <w:fldChar w:fldCharType="begin"/>
          </w:r>
          <w:r>
            <w:instrText xml:space="preserve"> PAGEREF _Toc9406 \h </w:instrText>
          </w:r>
          <w:r>
            <w:fldChar w:fldCharType="separate"/>
          </w:r>
          <w:r>
            <w:t>16</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_Toc32241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八、估价依据</w:t>
          </w:r>
          <w:r>
            <w:tab/>
          </w:r>
          <w:r>
            <w:fldChar w:fldCharType="begin"/>
          </w:r>
          <w:r>
            <w:instrText xml:space="preserve"> PAGEREF _Toc32241 \h </w:instrText>
          </w:r>
          <w:r>
            <w:fldChar w:fldCharType="separate"/>
          </w:r>
          <w:r>
            <w:t>17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_Toc16169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九、估价方法</w:t>
          </w:r>
          <w:r>
            <w:tab/>
          </w:r>
          <w:r>
            <w:fldChar w:fldCharType="begin"/>
          </w:r>
          <w:r>
            <w:instrText xml:space="preserve"> PAGEREF _Toc16169 \h </w:instrText>
          </w:r>
          <w:r>
            <w:fldChar w:fldCharType="separate"/>
          </w:r>
          <w:r>
            <w:t>18</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_Toc17787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十、估价结果</w:t>
          </w:r>
          <w:r>
            <w:tab/>
          </w:r>
          <w:r>
            <w:fldChar w:fldCharType="begin"/>
          </w:r>
          <w:r>
            <w:instrText xml:space="preserve"> PAGEREF _Toc17787 \h </w:instrText>
          </w:r>
          <w:r>
            <w:fldChar w:fldCharType="separate"/>
          </w:r>
          <w:r>
            <w:t>19</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_Toc833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十一、注册房地产估价师</w:t>
          </w:r>
          <w:r>
            <w:tab/>
          </w:r>
          <w:r>
            <w:fldChar w:fldCharType="begin"/>
          </w:r>
          <w:r>
            <w:instrText xml:space="preserve"> PAGEREF _Toc833 \h </w:instrText>
          </w:r>
          <w:r>
            <w:fldChar w:fldCharType="separate"/>
          </w:r>
          <w:r>
            <w:t>20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_Toc2987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十二、实地查勘期</w:t>
          </w:r>
          <w:r>
            <w:tab/>
          </w:r>
          <w:r>
            <w:fldChar w:fldCharType="begin"/>
          </w:r>
          <w:r>
            <w:instrText xml:space="preserve"> PAGEREF _Toc2987 \h </w:instrText>
          </w:r>
          <w:r>
            <w:fldChar w:fldCharType="separate"/>
          </w:r>
          <w:r>
            <w:t>20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_Toc20843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十三、估价作业期</w:t>
          </w:r>
          <w:r>
            <w:tab/>
          </w:r>
          <w:r>
            <w:fldChar w:fldCharType="begin"/>
          </w:r>
          <w:r>
            <w:instrText xml:space="preserve"> PAGEREF _Toc20843 \h </w:instrText>
          </w:r>
          <w:r>
            <w:fldChar w:fldCharType="separate"/>
          </w:r>
          <w:r>
            <w:t>20</w:t>
          </w:r>
          <w:r>
            <w:fldChar w:fldCharType="end"/>
          </w:r>
          <w:r>
            <w:rPr>
              <w:rFonts w:ascii="微软雅黑" w:hAnsi="微软雅黑" w:eastAsia="微软雅黑"/>
              <w:bCs/>
              <w:caps/>
              <w:szCs w:val="20"/>
            </w:rPr>
            <w:fldChar w:fldCharType="end"/>
          </w:r>
        </w:p>
        <w:p>
          <w:pPr>
            <w:pStyle w:val="12"/>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_Toc13985 </w:instrText>
          </w:r>
          <w:r>
            <w:rPr>
              <w:rFonts w:ascii="微软雅黑" w:hAnsi="微软雅黑" w:eastAsia="微软雅黑"/>
              <w:bCs/>
              <w:caps/>
              <w:szCs w:val="20"/>
            </w:rPr>
            <w:fldChar w:fldCharType="separate"/>
          </w:r>
          <w:r>
            <w:rPr>
              <w:rFonts w:hint="eastAsia" w:ascii="微软雅黑" w:hAnsi="微软雅黑" w:eastAsia="微软雅黑"/>
              <w:spacing w:val="20"/>
              <w:szCs w:val="32"/>
            </w:rPr>
            <w:t>附件</w:t>
          </w:r>
          <w:r>
            <w:tab/>
          </w:r>
          <w:r>
            <w:fldChar w:fldCharType="begin"/>
          </w:r>
          <w:r>
            <w:instrText xml:space="preserve"> PAGEREF _Toc13985 \h </w:instrText>
          </w:r>
          <w:r>
            <w:fldChar w:fldCharType="separate"/>
          </w:r>
          <w:r>
            <w:t>21</w:t>
          </w:r>
          <w:r>
            <w:fldChar w:fldCharType="end"/>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_Toc10574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一、 </w:t>
          </w:r>
          <w:r>
            <w:rPr>
              <w:rFonts w:hint="eastAsia" w:eastAsia="微软雅黑"/>
            </w:rPr>
            <w:t>估价委托书复印件</w:t>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_Toc22858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二、 </w:t>
          </w:r>
          <w:r>
            <w:rPr>
              <w:rFonts w:hint="eastAsia" w:eastAsia="微软雅黑"/>
            </w:rPr>
            <w:t>估价对象权属证明复印件</w:t>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_Toc9342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三、 </w:t>
          </w:r>
          <w:r>
            <w:rPr>
              <w:rFonts w:hint="eastAsia" w:eastAsia="微软雅黑"/>
            </w:rPr>
            <w:t>房地产估价机构营业执照复印件</w:t>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_Toc6108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四、 </w:t>
          </w:r>
          <w:r>
            <w:rPr>
              <w:rFonts w:hint="eastAsia" w:eastAsia="微软雅黑"/>
            </w:rPr>
            <w:t>房地产估价机构资质证书复印件</w:t>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_Toc19327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五、 </w:t>
          </w:r>
          <w:r>
            <w:rPr>
              <w:rFonts w:hint="eastAsia" w:eastAsia="微软雅黑"/>
            </w:rPr>
            <w:t>注册房地产估价师注册证书复印件</w:t>
          </w:r>
          <w:r>
            <w:rPr>
              <w:rFonts w:ascii="微软雅黑" w:hAnsi="微软雅黑" w:eastAsia="微软雅黑"/>
              <w:bCs/>
              <w:caps/>
              <w:szCs w:val="20"/>
            </w:rPr>
            <w:fldChar w:fldCharType="end"/>
          </w:r>
        </w:p>
        <w:p>
          <w:pPr>
            <w:rPr>
              <w:rFonts w:ascii="微软雅黑" w:hAnsi="微软雅黑" w:eastAsia="微软雅黑"/>
            </w:rPr>
          </w:pPr>
          <w:r>
            <w:rPr>
              <w:rFonts w:ascii="微软雅黑" w:hAnsi="微软雅黑" w:eastAsia="微软雅黑"/>
              <w:bCs/>
              <w:caps/>
              <w:szCs w:val="20"/>
            </w:rPr>
            <w:fldChar w:fldCharType="end"/>
          </w:r>
        </w:p>
      </w:sdtContent>
    </w:sdt>
    <w:p>
      <w:pPr>
        <w:topLinePunct/>
        <w:adjustRightInd w:val="0"/>
        <w:snapToGrid w:val="0"/>
        <w:rPr>
          <w:rFonts w:ascii="微软雅黑" w:hAnsi="微软雅黑" w:eastAsia="微软雅黑" w:cs="微软雅黑"/>
          <w:b/>
          <w:color w:val="FF0000"/>
          <w:szCs w:val="21"/>
        </w:rPr>
        <w:sectPr>
          <w:headerReference r:id="rId4" w:type="first"/>
          <w:headerReference r:id="rId3" w:type="default"/>
          <w:footerReference r:id="rId5" w:type="default"/>
          <w:pgSz w:w="11906" w:h="16838"/>
          <w:pgMar w:top="1701" w:right="1418" w:bottom="1417" w:left="1701" w:header="851" w:footer="794" w:gutter="0"/>
          <w:pgNumType w:start="1"/>
          <w:cols w:space="425" w:num="1"/>
          <w:titlePg/>
          <w:docGrid w:linePitch="312" w:charSpace="0"/>
        </w:sectPr>
      </w:pPr>
    </w:p>
    <w:p>
      <w:pPr>
        <w:topLinePunct/>
        <w:adjustRightInd w:val="0"/>
        <w:snapToGrid w:val="0"/>
        <w:jc w:val="center"/>
        <w:outlineLvl w:val="0"/>
        <w:rPr>
          <w:rFonts w:ascii="微软雅黑" w:hAnsi="微软雅黑" w:eastAsia="微软雅黑"/>
          <w:b/>
          <w:color w:val="C3AD72"/>
          <w:spacing w:val="20"/>
          <w:sz w:val="32"/>
          <w:szCs w:val="32"/>
        </w:rPr>
      </w:pPr>
      <w:bookmarkStart w:id="2" w:name="_Toc492480511"/>
      <w:bookmarkStart w:id="3" w:name="_Toc17643"/>
      <w:bookmarkStart w:id="4" w:name="_Toc503261497"/>
      <w:bookmarkStart w:id="5" w:name="_Toc490222995"/>
      <w:bookmarkStart w:id="6" w:name="_Toc492480510"/>
      <w:bookmarkStart w:id="7" w:name="_Toc382493607"/>
      <w:r>
        <w:rPr>
          <w:rFonts w:hint="eastAsia" w:ascii="微软雅黑" w:hAnsi="微软雅黑" w:eastAsia="微软雅黑"/>
          <w:b/>
          <w:color w:val="C3AD72"/>
          <w:spacing w:val="20"/>
          <w:sz w:val="32"/>
          <w:szCs w:val="32"/>
        </w:rPr>
        <w:t>估价师声明</w:t>
      </w:r>
      <w:bookmarkEnd w:id="2"/>
      <w:bookmarkEnd w:id="3"/>
      <w:bookmarkEnd w:id="4"/>
    </w:p>
    <w:p>
      <w:pPr>
        <w:widowControl/>
        <w:topLinePunct/>
        <w:adjustRightInd w:val="0"/>
        <w:snapToGrid w:val="0"/>
        <w:spacing w:after="624" w:afterLines="200"/>
        <w:jc w:val="center"/>
        <w:rPr>
          <w:rFonts w:ascii="微软雅黑" w:hAnsi="微软雅黑" w:eastAsia="微软雅黑" w:cs="宋体"/>
          <w:b/>
          <w:color w:val="C3AD72"/>
          <w:kern w:val="0"/>
          <w:sz w:val="16"/>
          <w:szCs w:val="16"/>
        </w:rPr>
      </w:pPr>
      <w:r>
        <w:rPr>
          <w:rFonts w:ascii="微软雅黑" w:hAnsi="微软雅黑" w:eastAsia="微软雅黑" w:cs="宋体"/>
          <w:b/>
          <w:color w:val="C3AD72"/>
          <w:kern w:val="0"/>
          <w:sz w:val="16"/>
          <w:szCs w:val="16"/>
        </w:rPr>
        <w:t>Declaration of Appraisers</w:t>
      </w:r>
      <w:bookmarkStart w:id="8" w:name="_Toc362509711"/>
    </w:p>
    <w:p>
      <w:pPr>
        <w:topLinePunct/>
        <w:adjustRightInd w:val="0"/>
        <w:snapToGrid w:val="0"/>
        <w:spacing w:after="312" w:afterLines="100" w:line="276" w:lineRule="auto"/>
        <w:rPr>
          <w:rFonts w:ascii="微软雅黑" w:hAnsi="微软雅黑" w:eastAsia="微软雅黑" w:cs="微软雅黑"/>
          <w:b/>
          <w:szCs w:val="21"/>
        </w:rPr>
      </w:pPr>
      <w:r>
        <w:rPr>
          <w:rFonts w:hint="eastAsia" w:ascii="微软雅黑" w:hAnsi="微软雅黑" w:eastAsia="微软雅黑" w:cs="微软雅黑"/>
          <w:b/>
          <w:sz w:val="24"/>
          <w:szCs w:val="24"/>
        </w:rPr>
        <w:t>我们郑重声明：</w:t>
      </w:r>
      <w:bookmarkEnd w:id="8"/>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我们在本估价报告中陈述的事实是真实的和准确的，没有虚假记载、误导性陈述和重大遗漏。</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本估价报告中的分析、意见和结论是我们自己独立、客观、公正的专业分析、意见和结论，但受到本估价报告中已说明的假设和限制条件的限制。</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我们与本估价报告中的估价对象没有现实或潜在的利益，也与估价委托人及估价利害关系人没有利害关系。</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我们对估价报告中的估价对象、估价委托人及估价利害关系人没有偏见。</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我们依照中华人民共和国国家标准《房地产估价规范》【GB/T 50291-2015】、《房地产估价基本术语标准》【GB/T 50899-2013】进行分析，形成意见和结论，撰写本估价报告。</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注册房地产估价师陈爱芳已于</w:t>
      </w:r>
      <w:r>
        <w:rPr>
          <w:rFonts w:hint="eastAsia" w:ascii="微软雅黑" w:hAnsi="微软雅黑" w:eastAsia="微软雅黑" w:cs="微软雅黑"/>
          <w:szCs w:val="21"/>
          <w:lang w:eastAsia="zh-CN"/>
        </w:rPr>
        <w:t>2022年8月9日</w:t>
      </w:r>
      <w:r>
        <w:rPr>
          <w:rFonts w:hint="eastAsia" w:ascii="微软雅黑" w:hAnsi="微软雅黑" w:eastAsia="微软雅黑" w:cs="微软雅黑"/>
          <w:szCs w:val="21"/>
        </w:rPr>
        <w:t>对估价报告中的估价对象进行了实地查勘，然而未使用专业检测仪器对其结构及设备进行检测。其建筑物及相关设备的质量情况最终应以有相关资质机构的鉴定结果为准。</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没有外部专家和单位对本估价报告提供重要专业帮助。</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参加本次估价的注册房地产估价师为：</w:t>
      </w:r>
    </w:p>
    <w:tbl>
      <w:tblPr>
        <w:tblStyle w:val="16"/>
        <w:tblpPr w:leftFromText="181" w:rightFromText="181" w:bottomFromText="142" w:vertAnchor="text" w:tblpXSpec="center" w:tblpY="1"/>
        <w:tblOverlap w:val="never"/>
        <w:tblW w:w="900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85"/>
        <w:gridCol w:w="3293"/>
        <w:gridCol w:w="26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3085" w:type="dxa"/>
            <w:shd w:val="clear" w:color="auto" w:fill="C0AD72"/>
            <w:vAlign w:val="center"/>
          </w:tcPr>
          <w:p>
            <w:pPr>
              <w:topLinePunct/>
              <w:adjustRightInd w:val="0"/>
              <w:snapToGrid w:val="0"/>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姓名</w:t>
            </w:r>
          </w:p>
        </w:tc>
        <w:tc>
          <w:tcPr>
            <w:tcW w:w="3293" w:type="dxa"/>
            <w:shd w:val="clear" w:color="auto" w:fill="C0AD72"/>
            <w:vAlign w:val="center"/>
          </w:tcPr>
          <w:p>
            <w:pPr>
              <w:topLinePunct/>
              <w:adjustRightInd w:val="0"/>
              <w:snapToGrid w:val="0"/>
              <w:jc w:val="center"/>
              <w:rPr>
                <w:rFonts w:ascii="微软雅黑" w:hAnsi="微软雅黑" w:eastAsia="微软雅黑" w:cs="宋体"/>
                <w:b/>
                <w:sz w:val="18"/>
                <w:szCs w:val="18"/>
              </w:rPr>
            </w:pPr>
            <w:r>
              <w:rPr>
                <w:rFonts w:hint="eastAsia" w:ascii="微软雅黑" w:hAnsi="微软雅黑" w:eastAsia="微软雅黑" w:cs="宋体"/>
                <w:b/>
                <w:bCs/>
                <w:kern w:val="0"/>
                <w:sz w:val="16"/>
                <w:szCs w:val="16"/>
              </w:rPr>
              <w:t>签名</w:t>
            </w:r>
          </w:p>
        </w:tc>
        <w:tc>
          <w:tcPr>
            <w:tcW w:w="2625" w:type="dxa"/>
            <w:shd w:val="clear" w:color="auto" w:fill="C0AD72"/>
            <w:vAlign w:val="center"/>
          </w:tcPr>
          <w:p>
            <w:pPr>
              <w:topLinePunct/>
              <w:adjustRightInd w:val="0"/>
              <w:snapToGrid w:val="0"/>
              <w:jc w:val="center"/>
              <w:rPr>
                <w:rFonts w:ascii="微软雅黑" w:hAnsi="微软雅黑" w:eastAsia="微软雅黑" w:cs="宋体"/>
                <w:b/>
                <w:sz w:val="18"/>
                <w:szCs w:val="18"/>
              </w:rPr>
            </w:pPr>
            <w:r>
              <w:rPr>
                <w:rFonts w:hint="eastAsia" w:ascii="微软雅黑" w:hAnsi="微软雅黑" w:eastAsia="微软雅黑" w:cs="宋体"/>
                <w:b/>
                <w:bCs/>
                <w:kern w:val="0"/>
                <w:sz w:val="16"/>
                <w:szCs w:val="16"/>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9" w:hRule="atLeast"/>
        </w:trPr>
        <w:tc>
          <w:tcPr>
            <w:tcW w:w="3085" w:type="dxa"/>
            <w:shd w:val="clear" w:color="auto" w:fill="auto"/>
            <w:vAlign w:val="center"/>
          </w:tcPr>
          <w:p>
            <w:pPr>
              <w:topLinePunct/>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 xml:space="preserve">陈爱芳 </w:t>
            </w:r>
          </w:p>
          <w:p>
            <w:pPr>
              <w:topLinePunct/>
              <w:adjustRightInd w:val="0"/>
              <w:snapToGrid w:val="0"/>
              <w:jc w:val="center"/>
              <w:rPr>
                <w:rFonts w:ascii="微软雅黑" w:hAnsi="微软雅黑" w:eastAsia="微软雅黑" w:cs="宋体"/>
                <w:bCs/>
                <w:kern w:val="0"/>
                <w:sz w:val="18"/>
                <w:szCs w:val="18"/>
              </w:rPr>
            </w:pPr>
            <w:r>
              <w:rPr>
                <w:rFonts w:hint="eastAsia" w:ascii="微软雅黑" w:hAnsi="微软雅黑" w:eastAsia="微软雅黑" w:cs="微软雅黑"/>
                <w:szCs w:val="21"/>
              </w:rPr>
              <w:t>（注册号3320150125)</w:t>
            </w:r>
          </w:p>
        </w:tc>
        <w:tc>
          <w:tcPr>
            <w:tcW w:w="3293"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c>
          <w:tcPr>
            <w:tcW w:w="2625"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1" w:hRule="atLeast"/>
        </w:trPr>
        <w:tc>
          <w:tcPr>
            <w:tcW w:w="3085" w:type="dxa"/>
            <w:shd w:val="clear" w:color="auto" w:fill="auto"/>
            <w:vAlign w:val="center"/>
          </w:tcPr>
          <w:p>
            <w:pPr>
              <w:topLinePunct/>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 xml:space="preserve">林小欣  </w:t>
            </w:r>
          </w:p>
          <w:p>
            <w:pPr>
              <w:topLinePunct/>
              <w:adjustRightInd w:val="0"/>
              <w:snapToGrid w:val="0"/>
              <w:jc w:val="center"/>
              <w:rPr>
                <w:rFonts w:ascii="微软雅黑" w:hAnsi="微软雅黑" w:eastAsia="微软雅黑" w:cs="宋体"/>
                <w:bCs/>
                <w:kern w:val="0"/>
                <w:sz w:val="18"/>
                <w:szCs w:val="18"/>
              </w:rPr>
            </w:pPr>
            <w:r>
              <w:rPr>
                <w:rFonts w:hint="eastAsia" w:ascii="微软雅黑" w:hAnsi="微软雅黑" w:eastAsia="微软雅黑" w:cs="微软雅黑"/>
                <w:szCs w:val="21"/>
              </w:rPr>
              <w:t>（注册号3320090038)</w:t>
            </w:r>
          </w:p>
        </w:tc>
        <w:tc>
          <w:tcPr>
            <w:tcW w:w="3293"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c>
          <w:tcPr>
            <w:tcW w:w="2625"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r>
    </w:tbl>
    <w:p>
      <w:pPr>
        <w:topLinePunct/>
        <w:adjustRightInd w:val="0"/>
        <w:snapToGrid w:val="0"/>
        <w:jc w:val="center"/>
        <w:outlineLvl w:val="0"/>
        <w:rPr>
          <w:rFonts w:ascii="微软雅黑" w:hAnsi="微软雅黑" w:eastAsia="微软雅黑"/>
          <w:b/>
          <w:color w:val="C3AD72"/>
          <w:spacing w:val="20"/>
          <w:sz w:val="32"/>
          <w:szCs w:val="32"/>
        </w:rPr>
      </w:pPr>
      <w:bookmarkStart w:id="9" w:name="_Toc24096"/>
      <w:bookmarkStart w:id="10" w:name="_Toc503261498"/>
      <w:r>
        <w:rPr>
          <w:rFonts w:hint="eastAsia" w:ascii="微软雅黑" w:hAnsi="微软雅黑" w:eastAsia="微软雅黑"/>
          <w:b/>
          <w:color w:val="C3AD72"/>
          <w:spacing w:val="20"/>
          <w:sz w:val="32"/>
          <w:szCs w:val="32"/>
        </w:rPr>
        <w:t>估价假设和限制条件</w:t>
      </w:r>
      <w:bookmarkEnd w:id="5"/>
      <w:bookmarkEnd w:id="6"/>
      <w:bookmarkEnd w:id="7"/>
      <w:bookmarkEnd w:id="9"/>
      <w:bookmarkEnd w:id="10"/>
    </w:p>
    <w:p>
      <w:pPr>
        <w:widowControl/>
        <w:topLinePunct/>
        <w:adjustRightInd w:val="0"/>
        <w:snapToGrid w:val="0"/>
        <w:spacing w:after="624" w:afterLines="200"/>
        <w:jc w:val="center"/>
        <w:rPr>
          <w:rFonts w:ascii="微软雅黑" w:hAnsi="微软雅黑" w:eastAsia="微软雅黑" w:cs="宋体"/>
          <w:b/>
          <w:color w:val="C3AD72"/>
          <w:kern w:val="0"/>
          <w:sz w:val="16"/>
          <w:szCs w:val="16"/>
        </w:rPr>
      </w:pPr>
      <w:r>
        <w:rPr>
          <w:rFonts w:ascii="微软雅黑" w:hAnsi="微软雅黑" w:eastAsia="微软雅黑" w:cs="宋体"/>
          <w:b/>
          <w:color w:val="C3AD72"/>
          <w:kern w:val="0"/>
          <w:sz w:val="16"/>
          <w:szCs w:val="16"/>
        </w:rPr>
        <w:t>Appraisal Assumptions and Restrictions</w:t>
      </w:r>
    </w:p>
    <w:p>
      <w:pPr>
        <w:pStyle w:val="2"/>
        <w:topLinePunct/>
        <w:adjustRightInd w:val="0"/>
        <w:snapToGrid w:val="0"/>
        <w:spacing w:before="0" w:after="0" w:line="300" w:lineRule="auto"/>
        <w:rPr>
          <w:rFonts w:ascii="微软雅黑" w:hAnsi="微软雅黑" w:eastAsia="微软雅黑"/>
          <w:sz w:val="24"/>
          <w:szCs w:val="24"/>
        </w:rPr>
      </w:pPr>
      <w:bookmarkStart w:id="11" w:name="_Toc499561843"/>
      <w:bookmarkStart w:id="12" w:name="_Toc503261499"/>
      <w:bookmarkStart w:id="13" w:name="_Toc490812573"/>
      <w:bookmarkStart w:id="14" w:name="_Toc10104"/>
      <w:r>
        <w:rPr>
          <w:rFonts w:hint="eastAsia" w:ascii="微软雅黑" w:hAnsi="微软雅黑" w:eastAsia="微软雅黑"/>
          <w:sz w:val="24"/>
          <w:szCs w:val="24"/>
        </w:rPr>
        <w:t>一、一般假设</w:t>
      </w:r>
      <w:bookmarkEnd w:id="11"/>
      <w:bookmarkEnd w:id="12"/>
      <w:bookmarkEnd w:id="13"/>
      <w:bookmarkEnd w:id="14"/>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在价值时点的房地产市场为公开、平等、自愿的交易市场。</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估价对象产权明晰，手续齐全，可在公开市场上自由转让。</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任何有关估价对象的运作方式、程序均符合国家、地方的有关法律、法规。</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本次估价结果未考虑国家宏观经济政策发生重大变化以及遇有自然力和其他不可抗力对估价结论的影响。</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本报告是以估价对象在价值时点时的状况为依据进行的，且以该状况在估价报告使用期限内无重大变化为前提。</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本次估价未考虑除已披露事项外可能与估价对象产权人有关的债权及债务情况对估价结果的影响。</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本报告估价结果没有考虑快速变现、税费转嫁等特殊的交易方式，以及可能发生的办理抵押登记、权利转移相关费用对估价对象房地产价值的影响，如上述条件发生变化，估价结果需做相应调整。</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本次估价对象的土地权属情况</w:t>
      </w:r>
      <w:r>
        <w:rPr>
          <w:rFonts w:hint="eastAsia" w:ascii="微软雅黑" w:hAnsi="微软雅黑" w:eastAsia="微软雅黑" w:cs="微软雅黑"/>
          <w:color w:val="000000"/>
          <w:szCs w:val="21"/>
          <w:lang w:eastAsia="zh-CN"/>
        </w:rPr>
        <w:t>以</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淳安县不动产权属信息查询记录</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编号：CQ20220809-0000696</w:t>
      </w:r>
      <w:r>
        <w:rPr>
          <w:rFonts w:hint="eastAsia" w:ascii="微软雅黑" w:hAnsi="微软雅黑" w:eastAsia="微软雅黑" w:cs="微软雅黑"/>
          <w:color w:val="000000"/>
          <w:szCs w:val="21"/>
        </w:rPr>
        <w:t>）为依据。如上述情况发生变化，估价结果需做相应调整。</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本次估价对象的房屋权属情况以《</w:t>
      </w:r>
      <w:r>
        <w:rPr>
          <w:rFonts w:hint="eastAsia" w:ascii="微软雅黑" w:hAnsi="微软雅黑" w:eastAsia="微软雅黑" w:cs="微软雅黑"/>
          <w:color w:val="000000"/>
          <w:szCs w:val="21"/>
          <w:lang w:eastAsia="zh-CN"/>
        </w:rPr>
        <w:t>淳安县不动产权属信息查询记录</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编号：CQ20220809-0000696</w:t>
      </w:r>
      <w:r>
        <w:rPr>
          <w:rFonts w:hint="eastAsia" w:ascii="微软雅黑" w:hAnsi="微软雅黑" w:eastAsia="微软雅黑" w:cs="微软雅黑"/>
          <w:color w:val="000000"/>
          <w:szCs w:val="21"/>
        </w:rPr>
        <w:t>）为依据。如上述情况发生变化，估价结果需做相应调整。</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本次估价以</w:t>
      </w:r>
      <w:r>
        <w:rPr>
          <w:rFonts w:hint="eastAsia" w:ascii="微软雅黑" w:hAnsi="微软雅黑" w:eastAsia="微软雅黑" w:cs="微软雅黑"/>
          <w:color w:val="000000"/>
          <w:szCs w:val="21"/>
          <w:lang w:eastAsia="zh-CN"/>
        </w:rPr>
        <w:t>估价人员查询获取的</w:t>
      </w:r>
      <w:r>
        <w:rPr>
          <w:rFonts w:hint="eastAsia" w:ascii="微软雅黑" w:hAnsi="微软雅黑" w:eastAsia="微软雅黑" w:cs="微软雅黑"/>
          <w:color w:val="000000"/>
          <w:szCs w:val="21"/>
        </w:rPr>
        <w:t>与估价对象有关的法律文件、权属证明及相关资料真实、合法、准确、完整为前提。本次评估假定</w:t>
      </w:r>
      <w:r>
        <w:rPr>
          <w:rFonts w:hint="eastAsia" w:ascii="微软雅黑" w:hAnsi="微软雅黑" w:eastAsia="微软雅黑" w:cs="微软雅黑"/>
          <w:color w:val="000000"/>
          <w:szCs w:val="21"/>
          <w:lang w:eastAsia="zh-CN"/>
        </w:rPr>
        <w:t>提供</w:t>
      </w:r>
      <w:r>
        <w:rPr>
          <w:rFonts w:hint="eastAsia" w:ascii="微软雅黑" w:hAnsi="微软雅黑" w:eastAsia="微软雅黑" w:cs="微软雅黑"/>
          <w:color w:val="000000"/>
          <w:szCs w:val="21"/>
        </w:rPr>
        <w:t>的资料合法、真实、准确、完整。</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估价人员于</w:t>
      </w:r>
      <w:r>
        <w:rPr>
          <w:rFonts w:hint="eastAsia" w:ascii="微软雅黑" w:hAnsi="微软雅黑" w:eastAsia="微软雅黑" w:cs="微软雅黑"/>
          <w:color w:val="000000"/>
          <w:szCs w:val="21"/>
          <w:lang w:eastAsia="zh-CN"/>
        </w:rPr>
        <w:t>2022年8月9日</w:t>
      </w:r>
      <w:r>
        <w:rPr>
          <w:rFonts w:hint="eastAsia" w:ascii="微软雅黑" w:hAnsi="微软雅黑" w:eastAsia="微软雅黑" w:cs="微软雅黑"/>
          <w:color w:val="000000"/>
          <w:szCs w:val="21"/>
        </w:rPr>
        <w:t>对估价对象进行了实地查勘，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估价对象应享有公共部位的通行权及水电等共用设施的使用。</w:t>
      </w:r>
    </w:p>
    <w:p>
      <w:pPr>
        <w:pStyle w:val="2"/>
        <w:topLinePunct/>
        <w:adjustRightInd w:val="0"/>
        <w:snapToGrid w:val="0"/>
        <w:spacing w:before="0" w:after="0" w:line="300" w:lineRule="auto"/>
        <w:rPr>
          <w:rFonts w:ascii="微软雅黑" w:hAnsi="微软雅黑" w:eastAsia="微软雅黑"/>
          <w:sz w:val="24"/>
          <w:szCs w:val="24"/>
        </w:rPr>
      </w:pPr>
      <w:bookmarkStart w:id="15" w:name="_Toc503261500"/>
      <w:bookmarkStart w:id="16" w:name="_Toc490812574"/>
      <w:bookmarkStart w:id="17" w:name="_Toc4348"/>
      <w:bookmarkStart w:id="18" w:name="_Toc499561844"/>
      <w:r>
        <w:rPr>
          <w:rFonts w:hint="eastAsia" w:ascii="微软雅黑" w:hAnsi="微软雅黑" w:eastAsia="微软雅黑"/>
          <w:sz w:val="24"/>
          <w:szCs w:val="24"/>
        </w:rPr>
        <w:t>二、未定事项假设</w:t>
      </w:r>
      <w:bookmarkEnd w:id="15"/>
      <w:bookmarkEnd w:id="16"/>
      <w:bookmarkEnd w:id="17"/>
      <w:bookmarkEnd w:id="18"/>
    </w:p>
    <w:p>
      <w:pPr>
        <w:pStyle w:val="23"/>
        <w:adjustRightInd w:val="0"/>
        <w:snapToGrid w:val="0"/>
        <w:spacing w:line="300" w:lineRule="auto"/>
        <w:rPr>
          <w:rFonts w:ascii="微软雅黑" w:hAnsi="微软雅黑" w:eastAsia="微软雅黑"/>
          <w:szCs w:val="21"/>
        </w:rPr>
      </w:pPr>
      <w:r>
        <w:rPr>
          <w:rFonts w:hint="eastAsia" w:ascii="微软雅黑" w:hAnsi="微软雅黑" w:eastAsia="微软雅黑"/>
          <w:szCs w:val="21"/>
        </w:rPr>
        <w:t>无未定事项假设。</w:t>
      </w:r>
    </w:p>
    <w:p>
      <w:pPr>
        <w:pStyle w:val="2"/>
        <w:topLinePunct/>
        <w:adjustRightInd w:val="0"/>
        <w:snapToGrid w:val="0"/>
        <w:spacing w:before="0" w:after="0" w:line="300" w:lineRule="auto"/>
        <w:rPr>
          <w:rFonts w:ascii="微软雅黑" w:hAnsi="微软雅黑" w:eastAsia="微软雅黑"/>
          <w:sz w:val="24"/>
          <w:szCs w:val="24"/>
        </w:rPr>
      </w:pPr>
      <w:bookmarkStart w:id="19" w:name="_Toc499561845"/>
      <w:bookmarkStart w:id="20" w:name="_Toc503261501"/>
      <w:bookmarkStart w:id="21" w:name="_Toc490812575"/>
      <w:bookmarkStart w:id="22" w:name="_Toc13945"/>
      <w:r>
        <w:rPr>
          <w:rFonts w:hint="eastAsia" w:ascii="微软雅黑" w:hAnsi="微软雅黑" w:eastAsia="微软雅黑"/>
          <w:sz w:val="24"/>
          <w:szCs w:val="24"/>
        </w:rPr>
        <w:t>三、背离事实假设</w:t>
      </w:r>
      <w:bookmarkEnd w:id="19"/>
      <w:bookmarkEnd w:id="20"/>
      <w:bookmarkEnd w:id="21"/>
      <w:bookmarkEnd w:id="22"/>
    </w:p>
    <w:p>
      <w:pPr>
        <w:pStyle w:val="23"/>
        <w:numPr>
          <w:ilvl w:val="0"/>
          <w:numId w:val="3"/>
        </w:numPr>
        <w:adjustRightInd w:val="0"/>
        <w:snapToGrid w:val="0"/>
        <w:spacing w:line="300" w:lineRule="auto"/>
        <w:ind w:firstLineChars="0"/>
        <w:rPr>
          <w:rFonts w:ascii="微软雅黑" w:hAnsi="微软雅黑" w:eastAsia="微软雅黑"/>
          <w:szCs w:val="21"/>
        </w:rPr>
      </w:pPr>
      <w:r>
        <w:rPr>
          <w:rFonts w:hint="eastAsia" w:ascii="微软雅黑" w:hAnsi="微软雅黑" w:eastAsia="微软雅黑"/>
          <w:szCs w:val="21"/>
        </w:rPr>
        <w:t>根据委托人提供的资料和介绍，估价对象已设定抵押他项权利，至价值时点，此项抵押他项权利尚未注销，根据估价目的，本次评估未考虑抵押他项权利对估价结果的影响，在此提请报告使用者注意。</w:t>
      </w:r>
    </w:p>
    <w:p>
      <w:pPr>
        <w:pStyle w:val="23"/>
        <w:numPr>
          <w:ilvl w:val="0"/>
          <w:numId w:val="3"/>
        </w:numPr>
        <w:adjustRightInd w:val="0"/>
        <w:snapToGrid w:val="0"/>
        <w:spacing w:line="300" w:lineRule="auto"/>
        <w:ind w:firstLineChars="0"/>
        <w:rPr>
          <w:rFonts w:ascii="微软雅黑" w:hAnsi="微软雅黑" w:eastAsia="微软雅黑"/>
          <w:szCs w:val="21"/>
        </w:rPr>
      </w:pPr>
      <w:r>
        <w:rPr>
          <w:rFonts w:hint="eastAsia" w:ascii="微软雅黑" w:hAnsi="微软雅黑" w:eastAsia="微软雅黑" w:cs="仿宋_GB2312"/>
        </w:rPr>
        <w:t>本次评估的估价对象已被查封，但鉴于估价目的，本次评估不考虑估价对象被查封情况，假设估价对象产权明晰、手续齐全，可在公开市场上自由转让。</w:t>
      </w:r>
    </w:p>
    <w:p>
      <w:pPr>
        <w:pStyle w:val="2"/>
        <w:topLinePunct/>
        <w:adjustRightInd w:val="0"/>
        <w:snapToGrid w:val="0"/>
        <w:spacing w:before="0" w:after="0" w:line="300" w:lineRule="auto"/>
        <w:rPr>
          <w:rFonts w:ascii="微软雅黑" w:hAnsi="微软雅黑" w:eastAsia="微软雅黑"/>
          <w:sz w:val="24"/>
          <w:szCs w:val="24"/>
        </w:rPr>
      </w:pPr>
      <w:bookmarkStart w:id="23" w:name="_Toc490812576"/>
      <w:bookmarkStart w:id="24" w:name="_Toc499561846"/>
      <w:bookmarkStart w:id="25" w:name="_Toc503261502"/>
      <w:bookmarkStart w:id="26" w:name="_Toc18390"/>
      <w:r>
        <w:rPr>
          <w:rFonts w:hint="eastAsia" w:ascii="微软雅黑" w:hAnsi="微软雅黑" w:eastAsia="微软雅黑"/>
          <w:sz w:val="24"/>
          <w:szCs w:val="24"/>
        </w:rPr>
        <w:t>四、不相一致假设</w:t>
      </w:r>
      <w:bookmarkEnd w:id="23"/>
      <w:bookmarkEnd w:id="24"/>
      <w:bookmarkEnd w:id="25"/>
      <w:bookmarkEnd w:id="26"/>
    </w:p>
    <w:p>
      <w:pPr>
        <w:pStyle w:val="23"/>
        <w:tabs>
          <w:tab w:val="left" w:pos="1134"/>
        </w:tabs>
        <w:topLinePunct/>
        <w:adjustRightInd w:val="0"/>
        <w:snapToGrid w:val="0"/>
        <w:spacing w:line="300" w:lineRule="auto"/>
        <w:rPr>
          <w:rFonts w:ascii="微软雅黑" w:hAnsi="微软雅黑" w:eastAsia="微软雅黑"/>
          <w:szCs w:val="21"/>
        </w:rPr>
      </w:pPr>
      <w:r>
        <w:rPr>
          <w:rFonts w:hint="eastAsia" w:ascii="微软雅黑" w:hAnsi="微软雅黑" w:eastAsia="微软雅黑"/>
          <w:szCs w:val="21"/>
          <w:lang w:eastAsia="zh-CN"/>
        </w:rPr>
        <w:t>无不相一致假设</w:t>
      </w:r>
      <w:r>
        <w:rPr>
          <w:rFonts w:hint="eastAsia" w:ascii="微软雅黑" w:hAnsi="微软雅黑" w:eastAsia="微软雅黑"/>
          <w:szCs w:val="21"/>
        </w:rPr>
        <w:t>。</w:t>
      </w:r>
    </w:p>
    <w:p>
      <w:pPr>
        <w:pStyle w:val="2"/>
        <w:topLinePunct/>
        <w:adjustRightInd w:val="0"/>
        <w:snapToGrid w:val="0"/>
        <w:spacing w:before="0" w:after="0" w:line="300" w:lineRule="auto"/>
        <w:rPr>
          <w:rFonts w:ascii="微软雅黑" w:hAnsi="微软雅黑" w:eastAsia="微软雅黑"/>
          <w:sz w:val="24"/>
          <w:szCs w:val="24"/>
        </w:rPr>
      </w:pPr>
      <w:bookmarkStart w:id="27" w:name="_Toc503261503"/>
      <w:bookmarkStart w:id="28" w:name="_Toc22129"/>
      <w:bookmarkStart w:id="29" w:name="_Toc490812577"/>
      <w:bookmarkStart w:id="30" w:name="_Toc499561847"/>
      <w:r>
        <w:rPr>
          <w:rFonts w:hint="eastAsia" w:ascii="微软雅黑" w:hAnsi="微软雅黑" w:eastAsia="微软雅黑"/>
          <w:sz w:val="24"/>
          <w:szCs w:val="24"/>
        </w:rPr>
        <w:t>五、依据不足假设</w:t>
      </w:r>
      <w:bookmarkEnd w:id="27"/>
      <w:bookmarkEnd w:id="28"/>
      <w:bookmarkEnd w:id="29"/>
      <w:bookmarkEnd w:id="30"/>
    </w:p>
    <w:p>
      <w:pPr>
        <w:pStyle w:val="23"/>
        <w:tabs>
          <w:tab w:val="left" w:pos="1134"/>
        </w:tabs>
        <w:topLinePunct/>
        <w:adjustRightInd w:val="0"/>
        <w:snapToGrid w:val="0"/>
        <w:spacing w:line="300" w:lineRule="auto"/>
        <w:ind w:left="420" w:leftChars="200" w:firstLine="0" w:firstLineChars="0"/>
        <w:rPr>
          <w:rFonts w:ascii="微软雅黑" w:hAnsi="微软雅黑" w:eastAsia="微软雅黑"/>
          <w:szCs w:val="21"/>
        </w:rPr>
      </w:pPr>
      <w:r>
        <w:rPr>
          <w:rFonts w:hint="eastAsia" w:ascii="微软雅黑" w:hAnsi="微软雅黑" w:eastAsia="微软雅黑"/>
          <w:szCs w:val="21"/>
        </w:rPr>
        <w:t>无依据不足假设。</w:t>
      </w:r>
    </w:p>
    <w:p>
      <w:pPr>
        <w:pStyle w:val="2"/>
        <w:numPr>
          <w:ilvl w:val="0"/>
          <w:numId w:val="4"/>
        </w:numPr>
        <w:topLinePunct/>
        <w:adjustRightInd w:val="0"/>
        <w:snapToGrid w:val="0"/>
        <w:spacing w:before="0" w:after="0" w:line="300" w:lineRule="auto"/>
        <w:rPr>
          <w:rFonts w:ascii="微软雅黑" w:hAnsi="微软雅黑" w:eastAsia="微软雅黑"/>
          <w:sz w:val="24"/>
          <w:szCs w:val="24"/>
        </w:rPr>
      </w:pPr>
      <w:bookmarkStart w:id="31" w:name="_Toc503261504"/>
      <w:bookmarkStart w:id="32" w:name="_Toc490812578"/>
      <w:bookmarkStart w:id="33" w:name="_Toc18936"/>
      <w:bookmarkStart w:id="34" w:name="_Toc499561848"/>
      <w:r>
        <w:rPr>
          <w:rFonts w:hint="eastAsia" w:ascii="微软雅黑" w:hAnsi="微软雅黑" w:eastAsia="微软雅黑"/>
          <w:sz w:val="24"/>
          <w:szCs w:val="24"/>
        </w:rPr>
        <w:t>估价报告使用限制</w:t>
      </w:r>
      <w:bookmarkEnd w:id="31"/>
      <w:bookmarkEnd w:id="32"/>
      <w:bookmarkEnd w:id="33"/>
      <w:bookmarkEnd w:id="34"/>
    </w:p>
    <w:p>
      <w:pPr>
        <w:pStyle w:val="24"/>
        <w:numPr>
          <w:ilvl w:val="0"/>
          <w:numId w:val="5"/>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本估价报告仅供</w:t>
      </w:r>
      <w:r>
        <w:rPr>
          <w:rFonts w:hint="eastAsia" w:ascii="微软雅黑" w:hAnsi="微软雅黑" w:eastAsia="微软雅黑" w:cs="仿宋_GB2312"/>
          <w:lang w:eastAsia="zh-CN"/>
        </w:rPr>
        <w:t>淳安县人民法院</w:t>
      </w:r>
      <w:r>
        <w:rPr>
          <w:rFonts w:hint="eastAsia" w:ascii="微软雅黑" w:hAnsi="微软雅黑" w:eastAsia="微软雅黑" w:cs="仿宋_GB2312"/>
        </w:rPr>
        <w:t>确定财产处置参考价提供参考依据而评估房地产市场价值，如果擅自将估价报告用于其他估价目的，本估价机构及估价人员不承担相应责任。</w:t>
      </w:r>
    </w:p>
    <w:p>
      <w:pPr>
        <w:pStyle w:val="24"/>
        <w:numPr>
          <w:ilvl w:val="0"/>
          <w:numId w:val="5"/>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未经本估价机构书面同意，本报告的全部或任何一部分均不得向估价委托人、报告使用者、报告审查部门之外的单位和个人提供，也不得以任何形式公开发表。</w:t>
      </w:r>
    </w:p>
    <w:p>
      <w:pPr>
        <w:pStyle w:val="24"/>
        <w:numPr>
          <w:ilvl w:val="0"/>
          <w:numId w:val="5"/>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本报告必须完整使用方为有效，对仅使用本报告中部分内容而导致可能的损失，本估价机构不承担责任。</w:t>
      </w:r>
    </w:p>
    <w:p>
      <w:pPr>
        <w:pStyle w:val="24"/>
        <w:numPr>
          <w:ilvl w:val="0"/>
          <w:numId w:val="5"/>
        </w:numPr>
        <w:adjustRightInd w:val="0"/>
        <w:snapToGrid w:val="0"/>
        <w:spacing w:line="288" w:lineRule="auto"/>
        <w:ind w:firstLineChars="0"/>
        <w:rPr>
          <w:rFonts w:ascii="微软雅黑" w:hAnsi="微软雅黑" w:eastAsia="微软雅黑" w:cs="微软雅黑"/>
          <w:b/>
          <w:color w:val="000000"/>
          <w:szCs w:val="21"/>
        </w:rPr>
      </w:pPr>
      <w:r>
        <w:rPr>
          <w:rFonts w:hint="eastAsia" w:ascii="微软雅黑" w:hAnsi="微软雅黑" w:eastAsia="微软雅黑" w:cs="仿宋_GB2312"/>
          <w:b/>
        </w:rPr>
        <w:t>本次估价结果受价值时点的限制，且本估价报告使用期限自估价报告出具之日</w:t>
      </w:r>
      <w:r>
        <w:rPr>
          <w:rFonts w:hint="eastAsia" w:ascii="微软雅黑" w:hAnsi="微软雅黑" w:eastAsia="微软雅黑" w:cs="仿宋_GB2312"/>
          <w:b/>
          <w:lang w:eastAsia="zh-CN"/>
        </w:rPr>
        <w:t>2022年8月15日</w:t>
      </w:r>
      <w:r>
        <w:rPr>
          <w:rFonts w:hint="eastAsia" w:ascii="微软雅黑" w:hAnsi="微软雅黑" w:eastAsia="微软雅黑" w:cs="仿宋_GB2312"/>
          <w:b/>
        </w:rPr>
        <w:t>起为壹年。若报告使用期限内，房地产市场、建筑市场或估价对象自身状况发生重大变化，</w:t>
      </w:r>
      <w:bookmarkStart w:id="35" w:name="OLE_LINK47"/>
      <w:bookmarkStart w:id="36" w:name="OLE_LINK76"/>
      <w:bookmarkStart w:id="37" w:name="OLE_LINK49"/>
      <w:bookmarkStart w:id="38" w:name="OLE_LINK57"/>
      <w:bookmarkStart w:id="39" w:name="OLE_LINK61"/>
      <w:bookmarkStart w:id="40" w:name="OLE_LINK70"/>
      <w:bookmarkStart w:id="41" w:name="OLE_LINK69"/>
      <w:bookmarkStart w:id="42" w:name="OLE_LINK50"/>
      <w:bookmarkStart w:id="43" w:name="OLE_LINK30"/>
      <w:bookmarkStart w:id="44" w:name="OLE_LINK60"/>
      <w:bookmarkStart w:id="45" w:name="OLE_LINK72"/>
      <w:bookmarkStart w:id="46" w:name="OLE_LINK58"/>
      <w:bookmarkStart w:id="47" w:name="OLE_LINK66"/>
      <w:bookmarkStart w:id="48" w:name="OLE_LINK53"/>
      <w:bookmarkStart w:id="49" w:name="OLE_LINK74"/>
      <w:bookmarkStart w:id="50" w:name="OLE_LINK29"/>
      <w:bookmarkStart w:id="51" w:name="OLE_LINK65"/>
      <w:bookmarkStart w:id="52" w:name="OLE_LINK48"/>
      <w:bookmarkStart w:id="53" w:name="OLE_LINK56"/>
      <w:bookmarkStart w:id="54" w:name="OLE_LINK51"/>
      <w:bookmarkStart w:id="55" w:name="OLE_LINK54"/>
      <w:bookmarkStart w:id="56" w:name="OLE_LINK62"/>
      <w:bookmarkStart w:id="57" w:name="OLE_LINK73"/>
      <w:bookmarkStart w:id="58" w:name="OLE_LINK46"/>
      <w:bookmarkStart w:id="59" w:name="OLE_LINK59"/>
      <w:bookmarkStart w:id="60" w:name="OLE_LINK45"/>
      <w:bookmarkStart w:id="61" w:name="OLE_LINK52"/>
      <w:bookmarkStart w:id="62" w:name="OLE_LINK68"/>
      <w:bookmarkStart w:id="63" w:name="OLE_LINK77"/>
      <w:bookmarkStart w:id="64" w:name="OLE_LINK63"/>
      <w:bookmarkStart w:id="65" w:name="OLE_LINK64"/>
      <w:bookmarkStart w:id="66" w:name="OLE_LINK67"/>
      <w:bookmarkStart w:id="67" w:name="OLE_LINK71"/>
      <w:bookmarkStart w:id="68" w:name="OLE_LINK75"/>
      <w:bookmarkStart w:id="69" w:name="OLE_LINK55"/>
      <w:r>
        <w:rPr>
          <w:rFonts w:hint="eastAsia" w:ascii="微软雅黑" w:hAnsi="微软雅黑" w:eastAsia="微软雅黑" w:cs="仿宋_GB2312"/>
          <w:b/>
        </w:rPr>
        <w:t>估价结果也需做相应调整或委托估价机构重新估价</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ascii="微软雅黑" w:hAnsi="微软雅黑" w:eastAsia="微软雅黑" w:cs="仿宋_GB2312"/>
          <w:b/>
        </w:rPr>
        <w:t>。</w:t>
      </w:r>
    </w:p>
    <w:p>
      <w:pPr>
        <w:pStyle w:val="24"/>
        <w:numPr>
          <w:ilvl w:val="0"/>
          <w:numId w:val="5"/>
        </w:numPr>
        <w:adjustRightInd w:val="0"/>
        <w:snapToGrid w:val="0"/>
        <w:spacing w:line="288" w:lineRule="auto"/>
        <w:ind w:firstLineChars="0"/>
        <w:rPr>
          <w:rFonts w:ascii="微软雅黑" w:hAnsi="微软雅黑" w:eastAsia="微软雅黑" w:cs="仿宋_GB2312"/>
          <w:b/>
        </w:rPr>
      </w:pPr>
      <w:r>
        <w:rPr>
          <w:rFonts w:hint="eastAsia" w:ascii="微软雅黑" w:hAnsi="微软雅黑" w:eastAsia="微软雅黑" w:cs="仿宋_GB2312"/>
          <w:b/>
        </w:rPr>
        <w:t>本次估价结果是指在目前房地产市场状况下、估价对象在现状利用条件下的房地产市场价值，包括国有土地使用权价值和与房屋有关的土建、安装、固定装修与估价对象房地产不可分割的满足其合理功能需要的其他功能设施，不包括室内其它可移动物品。</w:t>
      </w:r>
    </w:p>
    <w:p>
      <w:pPr>
        <w:pStyle w:val="2"/>
        <w:numPr>
          <w:ilvl w:val="0"/>
          <w:numId w:val="4"/>
        </w:numPr>
        <w:topLinePunct/>
        <w:adjustRightInd w:val="0"/>
        <w:snapToGrid w:val="0"/>
        <w:spacing w:before="0" w:after="0" w:line="300" w:lineRule="auto"/>
        <w:rPr>
          <w:rFonts w:ascii="微软雅黑" w:hAnsi="微软雅黑" w:eastAsia="微软雅黑"/>
          <w:sz w:val="24"/>
          <w:szCs w:val="24"/>
        </w:rPr>
      </w:pPr>
      <w:r>
        <w:rPr>
          <w:rFonts w:hint="eastAsia" w:ascii="微软雅黑" w:hAnsi="微软雅黑" w:eastAsia="微软雅黑"/>
          <w:sz w:val="24"/>
          <w:szCs w:val="24"/>
        </w:rPr>
        <w:t xml:space="preserve"> </w:t>
      </w:r>
      <w:bookmarkStart w:id="70" w:name="_Toc6928"/>
      <w:r>
        <w:rPr>
          <w:rFonts w:hint="eastAsia" w:ascii="微软雅黑" w:hAnsi="微软雅黑" w:eastAsia="微软雅黑"/>
          <w:sz w:val="24"/>
          <w:szCs w:val="24"/>
        </w:rPr>
        <w:t>特别提示</w:t>
      </w:r>
      <w:bookmarkEnd w:id="70"/>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估价对象是否存在拖欠物业费、水费、电费、宽带费以及其他等因物业使用而产生拖欠费用，特提请报告使用方自行关注及核实，本次估价结果未考虑上述费用对其市场价值的影响。</w:t>
      </w:r>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估价人员至国家税务总局淳安县税务局了解，根据工作人员口头介绍，估价对象交易过程中应缴纳的各项税费具体见下表，估价对象交易过程中应缴纳的各项税费具体见下表，具体金额以实际缴纳为准。本次评估结果不包含估价对象交易过程中应缴纳的各项税费，特提请报告使用方重点关注。</w:t>
      </w:r>
    </w:p>
    <w:tbl>
      <w:tblPr>
        <w:tblStyle w:val="16"/>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665"/>
        <w:gridCol w:w="1134"/>
        <w:gridCol w:w="1275"/>
        <w:gridCol w:w="2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内容</w:t>
            </w:r>
          </w:p>
        </w:tc>
        <w:tc>
          <w:tcPr>
            <w:tcW w:w="1665"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税种</w:t>
            </w:r>
          </w:p>
        </w:tc>
        <w:tc>
          <w:tcPr>
            <w:tcW w:w="4955" w:type="dxa"/>
            <w:gridSpan w:val="3"/>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缴纳标准</w:t>
            </w:r>
          </w:p>
        </w:tc>
        <w:tc>
          <w:tcPr>
            <w:tcW w:w="850"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restart"/>
            <w:shd w:val="clear" w:color="auto" w:fill="auto"/>
            <w:vAlign w:val="center"/>
          </w:tcPr>
          <w:p>
            <w:pPr>
              <w:widowControl/>
              <w:spacing w:line="300" w:lineRule="exact"/>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出让方应负担的税费</w:t>
            </w:r>
          </w:p>
        </w:tc>
        <w:tc>
          <w:tcPr>
            <w:tcW w:w="1665" w:type="dxa"/>
            <w:vMerge w:val="restart"/>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增值税及附加（城市维护建设税、教育附加、地方教育附加）</w:t>
            </w:r>
          </w:p>
        </w:tc>
        <w:tc>
          <w:tcPr>
            <w:tcW w:w="4955" w:type="dxa"/>
            <w:gridSpan w:val="3"/>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1、未满2年，转让收入×5.25%</w:t>
            </w:r>
          </w:p>
        </w:tc>
        <w:tc>
          <w:tcPr>
            <w:tcW w:w="850" w:type="dxa"/>
            <w:vMerge w:val="restart"/>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4955" w:type="dxa"/>
            <w:gridSpan w:val="3"/>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2</w:t>
            </w:r>
            <w:r>
              <w:rPr>
                <w:rFonts w:hint="eastAsia" w:ascii="微软雅黑" w:hAnsi="微软雅黑" w:eastAsia="微软雅黑"/>
                <w:color w:val="000000"/>
                <w:kern w:val="0"/>
                <w:sz w:val="20"/>
                <w:szCs w:val="20"/>
              </w:rPr>
              <w:t>、超过2年（含），免征</w:t>
            </w:r>
          </w:p>
        </w:tc>
        <w:tc>
          <w:tcPr>
            <w:tcW w:w="850"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restart"/>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个人所得税</w:t>
            </w:r>
          </w:p>
        </w:tc>
        <w:tc>
          <w:tcPr>
            <w:tcW w:w="4955" w:type="dxa"/>
            <w:gridSpan w:val="3"/>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1</w:t>
            </w:r>
            <w:r>
              <w:rPr>
                <w:rFonts w:hint="eastAsia" w:ascii="微软雅黑" w:hAnsi="微软雅黑" w:eastAsia="微软雅黑"/>
                <w:color w:val="000000"/>
                <w:kern w:val="0"/>
                <w:sz w:val="20"/>
                <w:szCs w:val="20"/>
              </w:rPr>
              <w:t>、转让五年家庭唯一生活用房免征；</w:t>
            </w:r>
          </w:p>
        </w:tc>
        <w:tc>
          <w:tcPr>
            <w:tcW w:w="850" w:type="dxa"/>
            <w:vMerge w:val="restart"/>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4955" w:type="dxa"/>
            <w:gridSpan w:val="3"/>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2</w:t>
            </w:r>
            <w:r>
              <w:rPr>
                <w:rFonts w:hint="eastAsia" w:ascii="微软雅黑" w:hAnsi="微软雅黑" w:eastAsia="微软雅黑"/>
                <w:color w:val="000000"/>
                <w:kern w:val="0"/>
                <w:sz w:val="20"/>
                <w:szCs w:val="20"/>
              </w:rPr>
              <w:t>、（转让收入</w:t>
            </w:r>
            <w:r>
              <w:rPr>
                <w:rFonts w:ascii="微软雅黑" w:hAnsi="微软雅黑" w:eastAsia="微软雅黑"/>
                <w:color w:val="000000"/>
                <w:kern w:val="0"/>
                <w:sz w:val="20"/>
                <w:szCs w:val="20"/>
              </w:rPr>
              <w:t>-</w:t>
            </w:r>
            <w:r>
              <w:rPr>
                <w:rFonts w:hint="eastAsia" w:ascii="微软雅黑" w:hAnsi="微软雅黑" w:eastAsia="微软雅黑"/>
                <w:color w:val="000000"/>
                <w:kern w:val="0"/>
                <w:sz w:val="20"/>
                <w:szCs w:val="20"/>
              </w:rPr>
              <w:t>房屋原值</w:t>
            </w:r>
            <w:r>
              <w:rPr>
                <w:rFonts w:ascii="微软雅黑" w:hAnsi="微软雅黑" w:eastAsia="微软雅黑"/>
                <w:color w:val="000000"/>
                <w:kern w:val="0"/>
                <w:sz w:val="20"/>
                <w:szCs w:val="20"/>
              </w:rPr>
              <w:t>-</w:t>
            </w:r>
            <w:r>
              <w:rPr>
                <w:rFonts w:hint="eastAsia" w:ascii="微软雅黑" w:hAnsi="微软雅黑" w:eastAsia="微软雅黑"/>
                <w:color w:val="000000"/>
                <w:kern w:val="0"/>
                <w:sz w:val="20"/>
                <w:szCs w:val="20"/>
              </w:rPr>
              <w:t>合理费用</w:t>
            </w:r>
            <w:r>
              <w:rPr>
                <w:rFonts w:ascii="微软雅黑" w:hAnsi="微软雅黑" w:eastAsia="微软雅黑"/>
                <w:color w:val="000000"/>
                <w:kern w:val="0"/>
                <w:sz w:val="20"/>
                <w:szCs w:val="20"/>
              </w:rPr>
              <w:t>-</w:t>
            </w:r>
            <w:r>
              <w:rPr>
                <w:rFonts w:hint="eastAsia" w:ascii="微软雅黑" w:hAnsi="微软雅黑" w:eastAsia="微软雅黑"/>
                <w:color w:val="000000"/>
                <w:kern w:val="0"/>
                <w:sz w:val="20"/>
                <w:szCs w:val="20"/>
              </w:rPr>
              <w:t>转让过程中应缴纳的税金）×</w:t>
            </w:r>
            <w:r>
              <w:rPr>
                <w:rFonts w:ascii="微软雅黑" w:hAnsi="微软雅黑" w:eastAsia="微软雅黑"/>
                <w:color w:val="000000"/>
                <w:kern w:val="0"/>
                <w:sz w:val="20"/>
                <w:szCs w:val="20"/>
              </w:rPr>
              <w:t>20%</w:t>
            </w:r>
          </w:p>
        </w:tc>
        <w:tc>
          <w:tcPr>
            <w:tcW w:w="850"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4955" w:type="dxa"/>
            <w:gridSpan w:val="3"/>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3</w:t>
            </w:r>
            <w:r>
              <w:rPr>
                <w:rFonts w:hint="eastAsia" w:ascii="微软雅黑" w:hAnsi="微软雅黑" w:eastAsia="微软雅黑"/>
                <w:color w:val="000000"/>
                <w:kern w:val="0"/>
                <w:sz w:val="20"/>
                <w:szCs w:val="20"/>
              </w:rPr>
              <w:t>、未提供完整、准确的房屋原值凭证，法拍房屋转让收入的3</w:t>
            </w:r>
            <w:r>
              <w:rPr>
                <w:rFonts w:ascii="微软雅黑" w:hAnsi="微软雅黑" w:eastAsia="微软雅黑"/>
                <w:color w:val="000000"/>
                <w:kern w:val="0"/>
                <w:sz w:val="20"/>
                <w:szCs w:val="20"/>
              </w:rPr>
              <w:t>%</w:t>
            </w:r>
            <w:r>
              <w:rPr>
                <w:rFonts w:hint="eastAsia" w:ascii="微软雅黑" w:hAnsi="微软雅黑" w:eastAsia="微软雅黑"/>
                <w:color w:val="000000"/>
                <w:kern w:val="0"/>
                <w:sz w:val="20"/>
                <w:szCs w:val="20"/>
              </w:rPr>
              <w:t>核定征收</w:t>
            </w:r>
          </w:p>
        </w:tc>
        <w:tc>
          <w:tcPr>
            <w:tcW w:w="850"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土地增值税</w:t>
            </w:r>
          </w:p>
        </w:tc>
        <w:tc>
          <w:tcPr>
            <w:tcW w:w="4955" w:type="dxa"/>
            <w:gridSpan w:val="3"/>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免征</w:t>
            </w:r>
          </w:p>
        </w:tc>
        <w:tc>
          <w:tcPr>
            <w:tcW w:w="850" w:type="dxa"/>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印花税</w:t>
            </w:r>
          </w:p>
        </w:tc>
        <w:tc>
          <w:tcPr>
            <w:tcW w:w="4955" w:type="dxa"/>
            <w:gridSpan w:val="3"/>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免征（2008年11月1日前0.05%）</w:t>
            </w:r>
          </w:p>
        </w:tc>
        <w:tc>
          <w:tcPr>
            <w:tcW w:w="850" w:type="dxa"/>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restart"/>
            <w:shd w:val="clear" w:color="auto" w:fill="auto"/>
            <w:vAlign w:val="center"/>
          </w:tcPr>
          <w:p>
            <w:pPr>
              <w:widowControl/>
              <w:spacing w:line="300" w:lineRule="exact"/>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承受方应负担的税费</w:t>
            </w:r>
          </w:p>
        </w:tc>
        <w:tc>
          <w:tcPr>
            <w:tcW w:w="1665" w:type="dxa"/>
            <w:vMerge w:val="restart"/>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契税（个人）</w:t>
            </w:r>
          </w:p>
        </w:tc>
        <w:tc>
          <w:tcPr>
            <w:tcW w:w="1134" w:type="dxa"/>
            <w:vMerge w:val="restart"/>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转让收入</w:t>
            </w:r>
          </w:p>
        </w:tc>
        <w:tc>
          <w:tcPr>
            <w:tcW w:w="1275" w:type="dxa"/>
            <w:vMerge w:val="restart"/>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家庭唯一住房</w:t>
            </w:r>
          </w:p>
        </w:tc>
        <w:tc>
          <w:tcPr>
            <w:tcW w:w="2546" w:type="dxa"/>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90</w:t>
            </w:r>
            <w:r>
              <w:rPr>
                <w:rFonts w:hint="eastAsia" w:ascii="微软雅黑" w:hAnsi="宋体"/>
                <w:color w:val="000000"/>
                <w:kern w:val="0"/>
                <w:sz w:val="20"/>
                <w:szCs w:val="20"/>
              </w:rPr>
              <w:t>㎡</w:t>
            </w:r>
            <w:r>
              <w:rPr>
                <w:rFonts w:hint="eastAsia" w:ascii="微软雅黑" w:hAnsi="微软雅黑" w:eastAsia="微软雅黑"/>
                <w:color w:val="000000"/>
                <w:kern w:val="0"/>
                <w:sz w:val="20"/>
                <w:szCs w:val="20"/>
              </w:rPr>
              <w:t>及以下</w:t>
            </w:r>
            <w:r>
              <w:rPr>
                <w:rFonts w:ascii="微软雅黑" w:hAnsi="微软雅黑" w:eastAsia="微软雅黑"/>
                <w:color w:val="000000"/>
                <w:kern w:val="0"/>
                <w:sz w:val="20"/>
                <w:szCs w:val="20"/>
              </w:rPr>
              <w:t xml:space="preserve">      1%</w:t>
            </w:r>
          </w:p>
        </w:tc>
        <w:tc>
          <w:tcPr>
            <w:tcW w:w="850" w:type="dxa"/>
            <w:vMerge w:val="restart"/>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1134"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1275"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2546" w:type="dxa"/>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90</w:t>
            </w:r>
            <w:r>
              <w:rPr>
                <w:rFonts w:hint="eastAsia" w:ascii="微软雅黑" w:hAnsi="宋体"/>
                <w:color w:val="000000"/>
                <w:kern w:val="0"/>
                <w:sz w:val="20"/>
                <w:szCs w:val="20"/>
              </w:rPr>
              <w:t>㎡</w:t>
            </w:r>
            <w:r>
              <w:rPr>
                <w:rFonts w:hint="eastAsia" w:ascii="微软雅黑" w:hAnsi="微软雅黑" w:eastAsia="微软雅黑"/>
                <w:color w:val="000000"/>
                <w:kern w:val="0"/>
                <w:sz w:val="20"/>
                <w:szCs w:val="20"/>
              </w:rPr>
              <w:t>以上</w:t>
            </w:r>
            <w:r>
              <w:rPr>
                <w:rFonts w:ascii="微软雅黑" w:hAnsi="微软雅黑" w:eastAsia="微软雅黑"/>
                <w:color w:val="000000"/>
                <w:kern w:val="0"/>
                <w:sz w:val="20"/>
                <w:szCs w:val="20"/>
              </w:rPr>
              <w:t xml:space="preserve"> </w:t>
            </w:r>
            <w:r>
              <w:rPr>
                <w:rFonts w:hint="eastAsia" w:ascii="微软雅黑" w:hAnsi="微软雅黑" w:eastAsia="微软雅黑"/>
                <w:color w:val="000000"/>
                <w:kern w:val="0"/>
                <w:sz w:val="20"/>
                <w:szCs w:val="20"/>
              </w:rPr>
              <w:t xml:space="preserve">   </w:t>
            </w:r>
            <w:r>
              <w:rPr>
                <w:rFonts w:ascii="微软雅黑" w:hAnsi="微软雅黑" w:eastAsia="微软雅黑"/>
                <w:color w:val="000000"/>
                <w:kern w:val="0"/>
                <w:sz w:val="20"/>
                <w:szCs w:val="20"/>
              </w:rPr>
              <w:t xml:space="preserve">   </w:t>
            </w:r>
            <w:r>
              <w:rPr>
                <w:rFonts w:hint="eastAsia" w:ascii="微软雅黑" w:hAnsi="微软雅黑" w:eastAsia="微软雅黑"/>
                <w:color w:val="000000"/>
                <w:kern w:val="0"/>
                <w:sz w:val="20"/>
                <w:szCs w:val="20"/>
              </w:rPr>
              <w:t xml:space="preserve"> </w:t>
            </w:r>
            <w:r>
              <w:rPr>
                <w:rFonts w:ascii="微软雅黑" w:hAnsi="微软雅黑" w:eastAsia="微软雅黑"/>
                <w:color w:val="000000"/>
                <w:kern w:val="0"/>
                <w:sz w:val="20"/>
                <w:szCs w:val="20"/>
              </w:rPr>
              <w:t>1.5%</w:t>
            </w:r>
          </w:p>
        </w:tc>
        <w:tc>
          <w:tcPr>
            <w:tcW w:w="850" w:type="dxa"/>
            <w:vMerge w:val="continue"/>
            <w:vAlign w:val="center"/>
          </w:tcPr>
          <w:p>
            <w:pPr>
              <w:widowControl/>
              <w:spacing w:line="300" w:lineRule="exact"/>
              <w:jc w:val="left"/>
              <w:rPr>
                <w:rFonts w:ascii="微软雅黑" w:hAnsi="微软雅黑" w:eastAsia="微软雅黑"/>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1134"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1275" w:type="dxa"/>
            <w:vMerge w:val="restart"/>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家庭第二套改善性住房</w:t>
            </w:r>
          </w:p>
        </w:tc>
        <w:tc>
          <w:tcPr>
            <w:tcW w:w="2546" w:type="dxa"/>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90</w:t>
            </w:r>
            <w:r>
              <w:rPr>
                <w:rFonts w:hint="eastAsia" w:ascii="微软雅黑" w:hAnsi="宋体"/>
                <w:color w:val="000000"/>
                <w:kern w:val="0"/>
                <w:sz w:val="20"/>
                <w:szCs w:val="20"/>
              </w:rPr>
              <w:t>㎡</w:t>
            </w:r>
            <w:r>
              <w:rPr>
                <w:rFonts w:hint="eastAsia" w:ascii="微软雅黑" w:hAnsi="微软雅黑" w:eastAsia="微软雅黑"/>
                <w:color w:val="000000"/>
                <w:kern w:val="0"/>
                <w:sz w:val="20"/>
                <w:szCs w:val="20"/>
              </w:rPr>
              <w:t>及以下</w:t>
            </w:r>
            <w:r>
              <w:rPr>
                <w:rFonts w:ascii="微软雅黑" w:hAnsi="微软雅黑" w:eastAsia="微软雅黑"/>
                <w:color w:val="000000"/>
                <w:kern w:val="0"/>
                <w:sz w:val="20"/>
                <w:szCs w:val="20"/>
              </w:rPr>
              <w:t xml:space="preserve">      1%</w:t>
            </w:r>
          </w:p>
        </w:tc>
        <w:tc>
          <w:tcPr>
            <w:tcW w:w="850" w:type="dxa"/>
            <w:vMerge w:val="continue"/>
            <w:vAlign w:val="center"/>
          </w:tcPr>
          <w:p>
            <w:pPr>
              <w:widowControl/>
              <w:spacing w:line="300" w:lineRule="exact"/>
              <w:jc w:val="left"/>
              <w:rPr>
                <w:rFonts w:ascii="微软雅黑" w:hAnsi="微软雅黑" w:eastAsia="微软雅黑"/>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1134"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1275"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2546" w:type="dxa"/>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90</w:t>
            </w:r>
            <w:r>
              <w:rPr>
                <w:rFonts w:hint="eastAsia" w:ascii="微软雅黑" w:hAnsi="宋体"/>
                <w:color w:val="000000"/>
                <w:kern w:val="0"/>
                <w:sz w:val="20"/>
                <w:szCs w:val="20"/>
              </w:rPr>
              <w:t>㎡</w:t>
            </w:r>
            <w:r>
              <w:rPr>
                <w:rFonts w:hint="eastAsia" w:ascii="微软雅黑" w:hAnsi="微软雅黑" w:eastAsia="微软雅黑"/>
                <w:color w:val="000000"/>
                <w:kern w:val="0"/>
                <w:sz w:val="20"/>
                <w:szCs w:val="20"/>
              </w:rPr>
              <w:t>以上</w:t>
            </w:r>
            <w:r>
              <w:rPr>
                <w:rFonts w:ascii="微软雅黑" w:hAnsi="微软雅黑" w:eastAsia="微软雅黑"/>
                <w:color w:val="000000"/>
                <w:kern w:val="0"/>
                <w:sz w:val="20"/>
                <w:szCs w:val="20"/>
              </w:rPr>
              <w:t xml:space="preserve">  </w:t>
            </w:r>
            <w:r>
              <w:rPr>
                <w:rFonts w:hint="eastAsia" w:ascii="微软雅黑" w:hAnsi="微软雅黑" w:eastAsia="微软雅黑"/>
                <w:color w:val="000000"/>
                <w:kern w:val="0"/>
                <w:sz w:val="20"/>
                <w:szCs w:val="20"/>
              </w:rPr>
              <w:t xml:space="preserve">     </w:t>
            </w:r>
            <w:r>
              <w:rPr>
                <w:rFonts w:ascii="微软雅黑" w:hAnsi="微软雅黑" w:eastAsia="微软雅黑"/>
                <w:color w:val="000000"/>
                <w:kern w:val="0"/>
                <w:sz w:val="20"/>
                <w:szCs w:val="20"/>
              </w:rPr>
              <w:t xml:space="preserve"> 2%</w:t>
            </w:r>
          </w:p>
        </w:tc>
        <w:tc>
          <w:tcPr>
            <w:tcW w:w="850" w:type="dxa"/>
            <w:vMerge w:val="continue"/>
            <w:vAlign w:val="center"/>
          </w:tcPr>
          <w:p>
            <w:pPr>
              <w:widowControl/>
              <w:spacing w:line="300" w:lineRule="exact"/>
              <w:jc w:val="left"/>
              <w:rPr>
                <w:rFonts w:ascii="微软雅黑" w:hAnsi="微软雅黑" w:eastAsia="微软雅黑"/>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1134"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1275"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其他</w:t>
            </w:r>
          </w:p>
        </w:tc>
        <w:tc>
          <w:tcPr>
            <w:tcW w:w="2546" w:type="dxa"/>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3%</w:t>
            </w:r>
          </w:p>
        </w:tc>
        <w:tc>
          <w:tcPr>
            <w:tcW w:w="850" w:type="dxa"/>
            <w:vMerge w:val="continue"/>
            <w:vAlign w:val="center"/>
          </w:tcPr>
          <w:p>
            <w:pPr>
              <w:widowControl/>
              <w:spacing w:line="300" w:lineRule="exact"/>
              <w:jc w:val="left"/>
              <w:rPr>
                <w:rFonts w:ascii="微软雅黑" w:hAnsi="微软雅黑" w:eastAsia="微软雅黑"/>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契税（单位）</w:t>
            </w:r>
          </w:p>
        </w:tc>
        <w:tc>
          <w:tcPr>
            <w:tcW w:w="1134" w:type="dxa"/>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转让收入</w:t>
            </w:r>
          </w:p>
        </w:tc>
        <w:tc>
          <w:tcPr>
            <w:tcW w:w="3821" w:type="dxa"/>
            <w:gridSpan w:val="2"/>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850" w:type="dxa"/>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印花税（个人）</w:t>
            </w:r>
          </w:p>
        </w:tc>
        <w:tc>
          <w:tcPr>
            <w:tcW w:w="1134" w:type="dxa"/>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转让收入</w:t>
            </w:r>
          </w:p>
        </w:tc>
        <w:tc>
          <w:tcPr>
            <w:tcW w:w="3821" w:type="dxa"/>
            <w:gridSpan w:val="2"/>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免征（2008年11月1日前0.05%）</w:t>
            </w:r>
          </w:p>
        </w:tc>
        <w:tc>
          <w:tcPr>
            <w:tcW w:w="850" w:type="dxa"/>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 w:type="dxa"/>
            <w:vMerge w:val="continue"/>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印花税（单位）</w:t>
            </w:r>
          </w:p>
        </w:tc>
        <w:tc>
          <w:tcPr>
            <w:tcW w:w="1134" w:type="dxa"/>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转让收入</w:t>
            </w:r>
          </w:p>
        </w:tc>
        <w:tc>
          <w:tcPr>
            <w:tcW w:w="3821" w:type="dxa"/>
            <w:gridSpan w:val="2"/>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0.05%</w:t>
            </w:r>
          </w:p>
        </w:tc>
        <w:tc>
          <w:tcPr>
            <w:tcW w:w="850" w:type="dxa"/>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w:t>
            </w:r>
          </w:p>
        </w:tc>
      </w:tr>
    </w:tbl>
    <w:p>
      <w:pPr>
        <w:pStyle w:val="24"/>
        <w:adjustRightInd w:val="0"/>
        <w:snapToGrid w:val="0"/>
        <w:spacing w:line="288" w:lineRule="auto"/>
        <w:ind w:left="420" w:firstLine="0" w:firstLineChars="0"/>
        <w:rPr>
          <w:rFonts w:ascii="微软雅黑" w:hAnsi="微软雅黑" w:eastAsia="微软雅黑" w:cs="仿宋_GB2312"/>
        </w:rPr>
      </w:pPr>
      <w:r>
        <w:rPr>
          <w:rFonts w:hint="eastAsia" w:ascii="微软雅黑" w:hAnsi="微软雅黑" w:eastAsia="微软雅黑" w:cs="仿宋_GB2312"/>
        </w:rPr>
        <w:t>备注：增值税及附加说明：浙江省财政厅发布《关于浙江省实施小微企业“六税两费”减免政策的通知》（浙财税政〔2022〕4号）提到，对增值税小规模纳税人、小型微利企业和个体工商户可以在50%的税额幅度内减征资源税、城市维护建设税、房产税、城镇土地使用税、印花税（不含证券交易印花税）、耕地占用税和教育费附加、地方教育附加。</w:t>
      </w:r>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于价值时点，</w:t>
      </w:r>
      <w:r>
        <w:rPr>
          <w:rFonts w:hint="eastAsia" w:ascii="微软雅黑" w:hAnsi="微软雅黑" w:eastAsia="微软雅黑" w:cs="仿宋_GB2312"/>
          <w:lang w:eastAsia="zh-CN"/>
        </w:rPr>
        <w:t>在委托方授权下由估价人员自行</w:t>
      </w:r>
      <w:r>
        <w:rPr>
          <w:rFonts w:hint="eastAsia" w:ascii="微软雅黑" w:hAnsi="微软雅黑" w:eastAsia="微软雅黑" w:cs="仿宋_GB2312"/>
        </w:rPr>
        <w:t>进入估价对象室内查勘，估价对象现</w:t>
      </w:r>
      <w:r>
        <w:rPr>
          <w:rFonts w:hint="eastAsia" w:ascii="微软雅黑" w:hAnsi="微软雅黑" w:eastAsia="微软雅黑" w:cs="仿宋_GB2312"/>
          <w:lang w:eastAsia="zh-CN"/>
        </w:rPr>
        <w:t>已空置</w:t>
      </w:r>
      <w:r>
        <w:rPr>
          <w:rFonts w:hint="eastAsia" w:ascii="微软雅黑" w:hAnsi="微软雅黑" w:eastAsia="微软雅黑" w:cs="仿宋_GB2312"/>
        </w:rPr>
        <w:t>，特提请报告使用方注意。</w:t>
      </w:r>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本次评估结果仅为人民法院确定财产处置参考价服务，不是评估对象处置可实现的成交价格，也不应当被视为对评估对象处置成交价格的保证。</w:t>
      </w:r>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报告中数据全部采用电算化连续计算得出，由于在报告中计算的数据均按四舍五入取整，因此，可能出现个别等式左右不完全相等的情况，但不影响计算结果及最终评估结论的准确性。</w:t>
      </w:r>
    </w:p>
    <w:p>
      <w:pPr>
        <w:widowControl/>
        <w:jc w:val="left"/>
        <w:rPr>
          <w:rFonts w:ascii="微软雅黑" w:hAnsi="微软雅黑" w:eastAsia="微软雅黑"/>
          <w:b/>
          <w:color w:val="C3AD72"/>
          <w:spacing w:val="20"/>
          <w:sz w:val="32"/>
          <w:szCs w:val="32"/>
        </w:rPr>
      </w:pPr>
      <w:bookmarkStart w:id="71" w:name="_Toc492480512"/>
      <w:bookmarkStart w:id="72" w:name="_Toc503261505"/>
      <w:r>
        <w:rPr>
          <w:rFonts w:ascii="微软雅黑" w:hAnsi="微软雅黑" w:eastAsia="微软雅黑"/>
          <w:b/>
          <w:color w:val="C3AD72"/>
          <w:spacing w:val="20"/>
          <w:sz w:val="32"/>
          <w:szCs w:val="32"/>
        </w:rPr>
        <w:br w:type="page"/>
      </w:r>
    </w:p>
    <w:p>
      <w:pPr>
        <w:topLinePunct/>
        <w:adjustRightInd w:val="0"/>
        <w:snapToGrid w:val="0"/>
        <w:jc w:val="center"/>
        <w:outlineLvl w:val="0"/>
        <w:rPr>
          <w:rFonts w:ascii="微软雅黑" w:hAnsi="微软雅黑" w:eastAsia="微软雅黑"/>
          <w:b/>
          <w:color w:val="C3AD72"/>
          <w:spacing w:val="20"/>
          <w:sz w:val="32"/>
          <w:szCs w:val="32"/>
        </w:rPr>
      </w:pPr>
      <w:bookmarkStart w:id="73" w:name="_Toc18356"/>
      <w:r>
        <w:rPr>
          <w:rFonts w:hint="eastAsia" w:ascii="微软雅黑" w:hAnsi="微软雅黑" w:eastAsia="微软雅黑"/>
          <w:b/>
          <w:color w:val="C3AD72"/>
          <w:spacing w:val="20"/>
          <w:sz w:val="32"/>
          <w:szCs w:val="32"/>
        </w:rPr>
        <w:t>估价结果报告</w:t>
      </w:r>
      <w:bookmarkEnd w:id="71"/>
      <w:bookmarkEnd w:id="72"/>
      <w:bookmarkEnd w:id="73"/>
    </w:p>
    <w:p>
      <w:pPr>
        <w:widowControl/>
        <w:topLinePunct/>
        <w:adjustRightInd w:val="0"/>
        <w:snapToGrid w:val="0"/>
        <w:spacing w:after="624" w:afterLines="200"/>
        <w:jc w:val="center"/>
        <w:rPr>
          <w:rFonts w:ascii="微软雅黑" w:hAnsi="微软雅黑" w:eastAsia="微软雅黑" w:cs="宋体"/>
          <w:b/>
          <w:color w:val="C3AD72"/>
          <w:kern w:val="0"/>
          <w:sz w:val="16"/>
          <w:szCs w:val="16"/>
        </w:rPr>
      </w:pPr>
      <w:r>
        <w:rPr>
          <w:rFonts w:ascii="微软雅黑" w:hAnsi="微软雅黑" w:eastAsia="微软雅黑" w:cs="宋体"/>
          <w:b/>
          <w:color w:val="C3AD72"/>
          <w:kern w:val="0"/>
          <w:sz w:val="16"/>
          <w:szCs w:val="16"/>
        </w:rPr>
        <w:t>Summary Appraisal Report</w:t>
      </w:r>
    </w:p>
    <w:p>
      <w:pPr>
        <w:pStyle w:val="2"/>
        <w:topLinePunct/>
        <w:adjustRightInd w:val="0"/>
        <w:snapToGrid w:val="0"/>
        <w:spacing w:before="0" w:after="0" w:line="360" w:lineRule="auto"/>
        <w:rPr>
          <w:rFonts w:ascii="微软雅黑" w:hAnsi="微软雅黑" w:eastAsia="微软雅黑" w:cs="微软雅黑"/>
          <w:sz w:val="24"/>
          <w:szCs w:val="24"/>
        </w:rPr>
      </w:pPr>
      <w:bookmarkStart w:id="74" w:name="_Toc503261506"/>
      <w:bookmarkStart w:id="75" w:name="_Toc492480513"/>
      <w:bookmarkStart w:id="76" w:name="_Toc490299597"/>
      <w:bookmarkStart w:id="77" w:name="_Toc382493616"/>
      <w:bookmarkStart w:id="78" w:name="_Toc155258962"/>
      <w:bookmarkStart w:id="79" w:name="_Toc14644"/>
      <w:bookmarkStart w:id="80" w:name="_Toc492461037"/>
      <w:r>
        <w:rPr>
          <w:rFonts w:hint="eastAsia" w:ascii="微软雅黑" w:hAnsi="微软雅黑" w:eastAsia="微软雅黑" w:cs="微软雅黑"/>
          <w:bCs w:val="0"/>
          <w:sz w:val="24"/>
          <w:szCs w:val="24"/>
        </w:rPr>
        <w:t>一、估价</w:t>
      </w:r>
      <w:r>
        <w:rPr>
          <w:rFonts w:hint="eastAsia" w:ascii="微软雅黑" w:hAnsi="微软雅黑" w:eastAsia="微软雅黑"/>
          <w:sz w:val="24"/>
          <w:szCs w:val="24"/>
        </w:rPr>
        <w:t>委托人</w:t>
      </w:r>
      <w:bookmarkEnd w:id="74"/>
      <w:bookmarkEnd w:id="75"/>
      <w:bookmarkEnd w:id="76"/>
      <w:bookmarkEnd w:id="77"/>
      <w:bookmarkEnd w:id="78"/>
      <w:bookmarkEnd w:id="79"/>
      <w:bookmarkEnd w:id="80"/>
    </w:p>
    <w:p>
      <w:pPr>
        <w:pStyle w:val="24"/>
        <w:topLinePunct/>
        <w:adjustRightInd w:val="0"/>
        <w:snapToGrid w:val="0"/>
        <w:spacing w:line="360" w:lineRule="auto"/>
        <w:rPr>
          <w:rFonts w:hint="eastAsia" w:ascii="微软雅黑" w:hAnsi="微软雅黑" w:eastAsia="微软雅黑" w:cs="微软雅黑"/>
          <w:szCs w:val="21"/>
          <w:lang w:eastAsia="zh-CN"/>
        </w:rPr>
      </w:pPr>
      <w:bookmarkStart w:id="81" w:name="_Toc503261508"/>
      <w:bookmarkStart w:id="82" w:name="_Toc492480515"/>
      <w:bookmarkStart w:id="83" w:name="_Toc490299599"/>
      <w:bookmarkStart w:id="84" w:name="_Toc382493619"/>
      <w:bookmarkStart w:id="85" w:name="_Toc155258964"/>
      <w:r>
        <w:rPr>
          <w:rFonts w:hint="eastAsia" w:ascii="微软雅黑" w:hAnsi="微软雅黑" w:eastAsia="微软雅黑" w:cs="微软雅黑"/>
          <w:szCs w:val="21"/>
        </w:rPr>
        <w:t>名称：</w:t>
      </w:r>
      <w:r>
        <w:rPr>
          <w:rFonts w:hint="eastAsia" w:ascii="微软雅黑" w:hAnsi="微软雅黑" w:eastAsia="微软雅黑" w:cs="仿宋_GB2312"/>
          <w:szCs w:val="21"/>
          <w:lang w:eastAsia="zh-CN"/>
        </w:rPr>
        <w:t>淳安县人民法院</w:t>
      </w:r>
    </w:p>
    <w:p>
      <w:pPr>
        <w:pStyle w:val="2"/>
        <w:topLinePunct/>
        <w:adjustRightInd w:val="0"/>
        <w:snapToGrid w:val="0"/>
        <w:spacing w:before="0" w:after="0" w:line="360" w:lineRule="auto"/>
        <w:rPr>
          <w:rFonts w:ascii="微软雅黑" w:hAnsi="微软雅黑" w:eastAsia="微软雅黑" w:cs="微软雅黑"/>
          <w:bCs w:val="0"/>
          <w:sz w:val="24"/>
          <w:szCs w:val="24"/>
        </w:rPr>
      </w:pPr>
      <w:bookmarkStart w:id="86" w:name="_Toc22651513"/>
      <w:bookmarkStart w:id="87" w:name="_Toc14559"/>
      <w:r>
        <w:rPr>
          <w:rFonts w:hint="eastAsia" w:ascii="微软雅黑" w:hAnsi="微软雅黑" w:eastAsia="微软雅黑" w:cs="微软雅黑"/>
          <w:bCs w:val="0"/>
          <w:sz w:val="24"/>
          <w:szCs w:val="24"/>
        </w:rPr>
        <w:t>二、房地产估价</w:t>
      </w:r>
      <w:r>
        <w:rPr>
          <w:rFonts w:hint="eastAsia" w:ascii="微软雅黑" w:hAnsi="微软雅黑" w:eastAsia="微软雅黑"/>
          <w:sz w:val="24"/>
          <w:szCs w:val="24"/>
        </w:rPr>
        <w:t>机构</w:t>
      </w:r>
      <w:bookmarkEnd w:id="86"/>
      <w:bookmarkEnd w:id="87"/>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名称：</w:t>
      </w:r>
      <w:r>
        <w:rPr>
          <w:rFonts w:hint="eastAsia" w:ascii="微软雅黑" w:hAnsi="微软雅黑" w:eastAsia="微软雅黑" w:cs="仿宋_GB2312"/>
          <w:spacing w:val="10"/>
          <w:szCs w:val="21"/>
        </w:rPr>
        <w:t>浙江嘉华房地产土地资产评估咨询有限公司</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住所：</w:t>
      </w:r>
      <w:r>
        <w:rPr>
          <w:rFonts w:hint="eastAsia" w:ascii="微软雅黑" w:hAnsi="微软雅黑" w:eastAsia="微软雅黑" w:cs="仿宋_GB2312"/>
          <w:spacing w:val="10"/>
          <w:szCs w:val="21"/>
        </w:rPr>
        <w:t>杭州市上城区建国南路288号第八层803室</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法定代表人：</w:t>
      </w:r>
      <w:r>
        <w:rPr>
          <w:rFonts w:hint="eastAsia" w:ascii="微软雅黑" w:hAnsi="微软雅黑" w:eastAsia="微软雅黑" w:cs="仿宋_GB2312"/>
          <w:spacing w:val="10"/>
          <w:szCs w:val="21"/>
        </w:rPr>
        <w:t>张凡</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资质等级：</w:t>
      </w:r>
      <w:r>
        <w:rPr>
          <w:rFonts w:hint="eastAsia" w:ascii="微软雅黑" w:hAnsi="微软雅黑" w:eastAsia="微软雅黑" w:cs="仿宋_GB2312"/>
          <w:spacing w:val="10"/>
          <w:szCs w:val="21"/>
        </w:rPr>
        <w:t>一级</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资质证书编号：浙</w:t>
      </w:r>
      <w:r>
        <w:rPr>
          <w:rFonts w:hint="eastAsia" w:ascii="微软雅黑" w:hAnsi="微软雅黑" w:eastAsia="微软雅黑" w:cs="仿宋_GB2312"/>
          <w:spacing w:val="10"/>
          <w:szCs w:val="21"/>
        </w:rPr>
        <w:t>建房估证字[2016]002号</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资质证书有效期：</w:t>
      </w:r>
      <w:r>
        <w:rPr>
          <w:rFonts w:hint="eastAsia" w:ascii="微软雅黑" w:hAnsi="微软雅黑" w:eastAsia="微软雅黑" w:cs="仿宋_GB2312"/>
          <w:spacing w:val="10"/>
          <w:szCs w:val="21"/>
        </w:rPr>
        <w:t>2022年03月07日至2025年03月06日</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营业执照注册号（统一社会信用代码）：913301027544097501</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联系人:陈女士</w:t>
      </w:r>
    </w:p>
    <w:p>
      <w:pPr>
        <w:topLinePunct/>
        <w:adjustRightInd w:val="0"/>
        <w:snapToGrid w:val="0"/>
        <w:spacing w:line="360" w:lineRule="auto"/>
        <w:ind w:firstLine="420" w:firstLineChars="200"/>
        <w:rPr>
          <w:rFonts w:ascii="微软雅黑" w:hAnsi="微软雅黑" w:eastAsia="微软雅黑" w:cs="仿宋_GB2312"/>
          <w:szCs w:val="21"/>
        </w:rPr>
      </w:pPr>
      <w:r>
        <w:rPr>
          <w:rFonts w:hint="eastAsia" w:ascii="微软雅黑" w:hAnsi="微软雅黑" w:eastAsia="微软雅黑"/>
          <w:szCs w:val="21"/>
        </w:rPr>
        <w:t>联系电话:（0571）8724 1931</w:t>
      </w:r>
    </w:p>
    <w:p>
      <w:pPr>
        <w:pStyle w:val="2"/>
        <w:topLinePunct/>
        <w:adjustRightInd w:val="0"/>
        <w:snapToGrid w:val="0"/>
        <w:spacing w:before="0" w:after="0" w:line="360" w:lineRule="auto"/>
        <w:rPr>
          <w:rFonts w:ascii="微软雅黑" w:hAnsi="微软雅黑" w:eastAsia="微软雅黑" w:cs="微软雅黑"/>
          <w:bCs w:val="0"/>
          <w:sz w:val="24"/>
          <w:szCs w:val="24"/>
        </w:rPr>
      </w:pPr>
      <w:bookmarkStart w:id="88" w:name="_Toc19976"/>
      <w:r>
        <w:rPr>
          <w:rFonts w:hint="eastAsia" w:ascii="微软雅黑" w:hAnsi="微软雅黑" w:eastAsia="微软雅黑" w:cs="微软雅黑"/>
          <w:bCs w:val="0"/>
          <w:sz w:val="24"/>
          <w:szCs w:val="24"/>
        </w:rPr>
        <w:t>三、</w:t>
      </w:r>
      <w:r>
        <w:rPr>
          <w:rFonts w:hint="eastAsia" w:ascii="微软雅黑" w:hAnsi="微软雅黑" w:eastAsia="微软雅黑"/>
          <w:sz w:val="24"/>
          <w:szCs w:val="24"/>
        </w:rPr>
        <w:t>估价</w:t>
      </w:r>
      <w:r>
        <w:rPr>
          <w:rFonts w:hint="eastAsia" w:ascii="微软雅黑" w:hAnsi="微软雅黑" w:eastAsia="微软雅黑" w:cs="微软雅黑"/>
          <w:bCs w:val="0"/>
          <w:sz w:val="24"/>
          <w:szCs w:val="24"/>
        </w:rPr>
        <w:t>目的</w:t>
      </w:r>
      <w:bookmarkEnd w:id="81"/>
      <w:bookmarkEnd w:id="82"/>
      <w:bookmarkEnd w:id="83"/>
      <w:bookmarkEnd w:id="88"/>
    </w:p>
    <w:p>
      <w:pPr>
        <w:pStyle w:val="24"/>
        <w:topLinePunct/>
        <w:adjustRightInd w:val="0"/>
        <w:snapToGrid w:val="0"/>
        <w:spacing w:line="360" w:lineRule="auto"/>
        <w:rPr>
          <w:rFonts w:ascii="微软雅黑" w:hAnsi="微软雅黑" w:eastAsia="微软雅黑"/>
          <w:color w:val="000000"/>
          <w:szCs w:val="21"/>
        </w:rPr>
      </w:pPr>
      <w:bookmarkStart w:id="89" w:name="_Toc492480516"/>
      <w:bookmarkStart w:id="90" w:name="_Toc490299600"/>
      <w:r>
        <w:rPr>
          <w:rFonts w:hint="eastAsia" w:ascii="微软雅黑" w:hAnsi="微软雅黑" w:eastAsia="微软雅黑" w:cs="仿宋_GB2312"/>
        </w:rPr>
        <w:t>为</w:t>
      </w:r>
      <w:r>
        <w:rPr>
          <w:rFonts w:hint="eastAsia" w:ascii="微软雅黑" w:hAnsi="微软雅黑" w:eastAsia="微软雅黑" w:cs="仿宋_GB2312"/>
          <w:lang w:eastAsia="zh-CN"/>
        </w:rPr>
        <w:t>淳安县人民法院</w:t>
      </w:r>
      <w:r>
        <w:rPr>
          <w:rFonts w:hint="eastAsia" w:ascii="微软雅黑" w:hAnsi="微软雅黑" w:eastAsia="微软雅黑" w:cs="仿宋_GB2312"/>
        </w:rPr>
        <w:t>确定财产处置参考价提供参考依据而评估房地产市场价值</w:t>
      </w:r>
      <w:r>
        <w:rPr>
          <w:rFonts w:hint="eastAsia" w:ascii="微软雅黑" w:hAnsi="微软雅黑" w:eastAsia="微软雅黑"/>
          <w:color w:val="000000"/>
          <w:szCs w:val="21"/>
        </w:rPr>
        <w:t>。</w:t>
      </w:r>
    </w:p>
    <w:p>
      <w:pPr>
        <w:pStyle w:val="2"/>
        <w:topLinePunct/>
        <w:adjustRightInd w:val="0"/>
        <w:snapToGrid w:val="0"/>
        <w:spacing w:before="0" w:after="0" w:line="360" w:lineRule="auto"/>
        <w:rPr>
          <w:rFonts w:ascii="微软雅黑" w:hAnsi="微软雅黑" w:eastAsia="微软雅黑" w:cs="微软雅黑"/>
          <w:bCs w:val="0"/>
          <w:sz w:val="24"/>
          <w:szCs w:val="24"/>
        </w:rPr>
      </w:pPr>
      <w:bookmarkStart w:id="91" w:name="_Toc503261509"/>
      <w:bookmarkStart w:id="92" w:name="_Toc24573"/>
      <w:r>
        <w:rPr>
          <w:rFonts w:hint="eastAsia" w:ascii="微软雅黑" w:hAnsi="微软雅黑" w:eastAsia="微软雅黑" w:cs="微软雅黑"/>
          <w:bCs w:val="0"/>
          <w:sz w:val="24"/>
          <w:szCs w:val="24"/>
        </w:rPr>
        <w:t>四、估价对象</w:t>
      </w:r>
      <w:bookmarkEnd w:id="84"/>
      <w:bookmarkEnd w:id="89"/>
      <w:bookmarkEnd w:id="90"/>
      <w:bookmarkEnd w:id="91"/>
      <w:bookmarkEnd w:id="92"/>
    </w:p>
    <w:p>
      <w:pPr>
        <w:pStyle w:val="24"/>
        <w:topLinePunct/>
        <w:adjustRightInd w:val="0"/>
        <w:snapToGrid w:val="0"/>
        <w:spacing w:line="360" w:lineRule="auto"/>
        <w:rPr>
          <w:rFonts w:ascii="微软雅黑" w:hAnsi="微软雅黑" w:eastAsia="微软雅黑" w:cs="微软雅黑"/>
          <w:b/>
          <w:szCs w:val="21"/>
        </w:rPr>
      </w:pPr>
      <w:bookmarkStart w:id="93" w:name="_Toc387827692"/>
      <w:bookmarkStart w:id="94" w:name="_Toc382493620"/>
      <w:bookmarkStart w:id="95" w:name="_Toc383068139"/>
      <w:bookmarkStart w:id="96" w:name="_Toc384813581"/>
      <w:r>
        <w:rPr>
          <w:rFonts w:hint="eastAsia" w:ascii="微软雅黑" w:hAnsi="微软雅黑" w:eastAsia="微软雅黑" w:cs="微软雅黑"/>
          <w:b/>
          <w:szCs w:val="21"/>
        </w:rPr>
        <w:t>（一）估价对象范围</w:t>
      </w:r>
      <w:bookmarkEnd w:id="85"/>
      <w:bookmarkEnd w:id="93"/>
      <w:bookmarkEnd w:id="94"/>
      <w:bookmarkEnd w:id="95"/>
      <w:bookmarkEnd w:id="96"/>
    </w:p>
    <w:p>
      <w:pPr>
        <w:topLinePunct/>
        <w:adjustRightInd w:val="0"/>
        <w:snapToGrid w:val="0"/>
        <w:spacing w:line="360" w:lineRule="auto"/>
        <w:ind w:firstLine="420" w:firstLineChars="200"/>
        <w:rPr>
          <w:rFonts w:ascii="微软雅黑" w:hAnsi="微软雅黑" w:eastAsia="微软雅黑" w:cs="仿宋_GB2312"/>
          <w:szCs w:val="21"/>
        </w:rPr>
      </w:pPr>
      <w:bookmarkStart w:id="97" w:name="_Toc155258976"/>
      <w:r>
        <w:rPr>
          <w:rFonts w:hint="eastAsia" w:ascii="微软雅黑" w:hAnsi="微软雅黑" w:eastAsia="微软雅黑" w:cs="仿宋_GB2312"/>
          <w:szCs w:val="21"/>
        </w:rPr>
        <w:t>根据估价委托人提供的委托资料，纳入本次评估范围的估价对象为</w:t>
      </w:r>
      <w:r>
        <w:rPr>
          <w:rFonts w:hint="eastAsia" w:ascii="微软雅黑" w:hAnsi="微软雅黑" w:eastAsia="微软雅黑" w:cs="仿宋_GB2312"/>
          <w:szCs w:val="21"/>
          <w:lang w:eastAsia="zh-CN"/>
        </w:rPr>
        <w:t>淳安县汾口镇翠新街58号505室（号）</w:t>
      </w:r>
      <w:r>
        <w:rPr>
          <w:rFonts w:hint="eastAsia" w:ascii="微软雅黑" w:hAnsi="微软雅黑" w:eastAsia="微软雅黑" w:cs="仿宋_GB2312"/>
          <w:szCs w:val="21"/>
        </w:rPr>
        <w:t>住宅房地产，建筑面积为</w:t>
      </w:r>
      <w:r>
        <w:rPr>
          <w:rFonts w:hint="eastAsia" w:ascii="微软雅黑" w:hAnsi="微软雅黑" w:eastAsia="微软雅黑" w:cs="仿宋_GB2312"/>
          <w:szCs w:val="21"/>
          <w:lang w:eastAsia="zh-CN"/>
        </w:rPr>
        <w:t>81.2</w:t>
      </w:r>
      <w:r>
        <w:rPr>
          <w:rFonts w:hint="eastAsia" w:ascii="微软雅黑" w:hAnsi="微软雅黑" w:eastAsia="微软雅黑" w:cs="仿宋_GB2312"/>
          <w:szCs w:val="21"/>
        </w:rPr>
        <w:t>平方米，包括国有土地使用权价值和与房屋有关的土建、安装、固定装修及与估价对象房地产不可分割的满足其合理功能需要的其他功能设施，不包括室内其它可移动物品。</w:t>
      </w:r>
    </w:p>
    <w:p>
      <w:pPr>
        <w:pStyle w:val="24"/>
        <w:topLinePunct/>
        <w:adjustRightInd w:val="0"/>
        <w:snapToGrid w:val="0"/>
        <w:spacing w:line="360" w:lineRule="auto"/>
        <w:rPr>
          <w:rFonts w:ascii="微软雅黑" w:hAnsi="微软雅黑" w:eastAsia="微软雅黑" w:cs="微软雅黑"/>
          <w:b/>
          <w:szCs w:val="21"/>
        </w:rPr>
      </w:pPr>
      <w:r>
        <w:rPr>
          <w:rFonts w:hint="eastAsia" w:ascii="微软雅黑" w:hAnsi="微软雅黑" w:eastAsia="微软雅黑" w:cs="微软雅黑"/>
          <w:b/>
          <w:szCs w:val="21"/>
        </w:rPr>
        <w:t>（二）估价对象基本状况</w:t>
      </w:r>
    </w:p>
    <w:p>
      <w:pPr>
        <w:topLinePunct/>
        <w:adjustRightInd w:val="0"/>
        <w:snapToGrid w:val="0"/>
        <w:spacing w:line="360" w:lineRule="auto"/>
        <w:ind w:firstLine="420" w:firstLineChars="200"/>
        <w:rPr>
          <w:rFonts w:ascii="微软雅黑" w:hAnsi="微软雅黑" w:eastAsia="微软雅黑"/>
          <w:b/>
          <w:bCs/>
          <w:szCs w:val="21"/>
        </w:rPr>
      </w:pPr>
      <w:bookmarkStart w:id="98" w:name="OLE_LINK42"/>
      <w:r>
        <w:rPr>
          <w:rFonts w:hint="eastAsia" w:ascii="微软雅黑" w:hAnsi="微软雅黑" w:eastAsia="微软雅黑"/>
          <w:b/>
          <w:bCs/>
          <w:szCs w:val="21"/>
        </w:rPr>
        <w:t>1、估价对象权益状况</w:t>
      </w:r>
    </w:p>
    <w:p>
      <w:pPr>
        <w:topLinePunct/>
        <w:adjustRightInd w:val="0"/>
        <w:snapToGrid w:val="0"/>
        <w:spacing w:line="360" w:lineRule="auto"/>
        <w:ind w:firstLine="420" w:firstLineChars="200"/>
        <w:rPr>
          <w:rFonts w:ascii="微软雅黑" w:hAnsi="微软雅黑" w:eastAsia="微软雅黑" w:cs="仿宋_GB2312"/>
          <w:szCs w:val="21"/>
        </w:rPr>
      </w:pPr>
      <w:r>
        <w:rPr>
          <w:rFonts w:hint="eastAsia" w:ascii="微软雅黑" w:hAnsi="微软雅黑" w:eastAsia="微软雅黑" w:cs="仿宋_GB2312"/>
          <w:szCs w:val="21"/>
        </w:rPr>
        <w:t>根据《</w:t>
      </w:r>
      <w:r>
        <w:rPr>
          <w:rFonts w:hint="eastAsia" w:ascii="微软雅黑" w:hAnsi="微软雅黑" w:eastAsia="微软雅黑" w:cs="仿宋_GB2312"/>
          <w:szCs w:val="21"/>
          <w:lang w:eastAsia="zh-CN"/>
        </w:rPr>
        <w:t>淳安县不动产权属信息查询记录</w:t>
      </w:r>
      <w:r>
        <w:rPr>
          <w:rFonts w:hint="eastAsia" w:ascii="微软雅黑" w:hAnsi="微软雅黑" w:eastAsia="微软雅黑" w:cs="仿宋_GB2312"/>
          <w:szCs w:val="21"/>
        </w:rPr>
        <w:t>》（</w:t>
      </w:r>
      <w:r>
        <w:rPr>
          <w:rFonts w:hint="eastAsia" w:ascii="微软雅黑" w:hAnsi="微软雅黑" w:eastAsia="微软雅黑" w:cs="仿宋_GB2312"/>
          <w:szCs w:val="21"/>
          <w:lang w:eastAsia="zh-CN"/>
        </w:rPr>
        <w:t>编号：CQ20220809-0000696</w:t>
      </w:r>
      <w:r>
        <w:rPr>
          <w:rFonts w:hint="eastAsia" w:ascii="微软雅黑" w:hAnsi="微软雅黑" w:eastAsia="微软雅黑" w:cs="仿宋_GB2312"/>
          <w:szCs w:val="21"/>
        </w:rPr>
        <w:t>），估价对象权利状况及分析如下：</w:t>
      </w:r>
    </w:p>
    <w:p>
      <w:pPr>
        <w:pStyle w:val="23"/>
        <w:numPr>
          <w:ilvl w:val="0"/>
          <w:numId w:val="7"/>
        </w:numPr>
        <w:topLinePunct/>
        <w:adjustRightInd w:val="0"/>
        <w:snapToGrid w:val="0"/>
        <w:spacing w:line="360" w:lineRule="auto"/>
        <w:ind w:firstLineChars="0"/>
        <w:rPr>
          <w:rFonts w:ascii="微软雅黑" w:hAnsi="微软雅黑" w:eastAsia="微软雅黑" w:cs="仿宋_GB2312"/>
          <w:b/>
          <w:bCs/>
          <w:szCs w:val="21"/>
        </w:rPr>
      </w:pPr>
      <w:r>
        <w:rPr>
          <w:rFonts w:hint="eastAsia" w:ascii="微软雅黑" w:hAnsi="微软雅黑" w:eastAsia="微软雅黑" w:cs="仿宋_GB2312"/>
          <w:b/>
          <w:bCs/>
          <w:szCs w:val="21"/>
          <w:lang w:eastAsia="zh-CN"/>
        </w:rPr>
        <w:t>不动产</w:t>
      </w:r>
      <w:r>
        <w:rPr>
          <w:rFonts w:hint="eastAsia" w:ascii="微软雅黑" w:hAnsi="微软雅黑" w:eastAsia="微软雅黑" w:cs="仿宋_GB2312"/>
          <w:b/>
          <w:bCs/>
          <w:szCs w:val="21"/>
        </w:rPr>
        <w:t>权益登记状况</w:t>
      </w:r>
    </w:p>
    <w:tbl>
      <w:tblPr>
        <w:tblStyle w:val="16"/>
        <w:tblW w:w="8575" w:type="dxa"/>
        <w:jc w:val="center"/>
        <w:tblLayout w:type="fixed"/>
        <w:tblCellMar>
          <w:top w:w="0" w:type="dxa"/>
          <w:left w:w="108" w:type="dxa"/>
          <w:bottom w:w="0" w:type="dxa"/>
          <w:right w:w="108" w:type="dxa"/>
        </w:tblCellMar>
      </w:tblPr>
      <w:tblGrid>
        <w:gridCol w:w="2000"/>
        <w:gridCol w:w="6575"/>
      </w:tblGrid>
      <w:tr>
        <w:tblPrEx>
          <w:tblCellMar>
            <w:top w:w="0" w:type="dxa"/>
            <w:left w:w="108" w:type="dxa"/>
            <w:bottom w:w="0" w:type="dxa"/>
            <w:right w:w="108" w:type="dxa"/>
          </w:tblCellMar>
        </w:tblPrEx>
        <w:trPr>
          <w:trHeight w:val="23" w:hRule="atLeast"/>
          <w:jc w:val="center"/>
        </w:trPr>
        <w:tc>
          <w:tcPr>
            <w:tcW w:w="2000" w:type="dxa"/>
            <w:tcBorders>
              <w:top w:val="single" w:color="auto" w:sz="12" w:space="0"/>
              <w:left w:val="single" w:color="auto" w:sz="12" w:space="0"/>
              <w:bottom w:val="dotted" w:color="auto" w:sz="4" w:space="0"/>
              <w:right w:val="dotted" w:color="auto" w:sz="4" w:space="0"/>
            </w:tcBorders>
            <w:shd w:val="clear" w:color="000000" w:fill="FFFFFF"/>
            <w:vAlign w:val="center"/>
          </w:tcPr>
          <w:p>
            <w:pPr>
              <w:pStyle w:val="41"/>
              <w:jc w:val="center"/>
              <w:rPr>
                <w:rFonts w:ascii="微软雅黑" w:hAnsi="微软雅黑" w:eastAsia="微软雅黑" w:cs="仿宋_GB2312"/>
              </w:rPr>
            </w:pPr>
            <w:r>
              <w:rPr>
                <w:rFonts w:hint="eastAsia" w:ascii="微软雅黑" w:hAnsi="微软雅黑" w:eastAsia="微软雅黑" w:cs="仿宋_GB2312"/>
              </w:rPr>
              <w:t>权证号</w:t>
            </w:r>
          </w:p>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（证明号）</w:t>
            </w:r>
          </w:p>
        </w:tc>
        <w:tc>
          <w:tcPr>
            <w:tcW w:w="6575" w:type="dxa"/>
            <w:tcBorders>
              <w:top w:val="single" w:color="auto" w:sz="12" w:space="0"/>
              <w:left w:val="nil"/>
              <w:bottom w:val="dotted" w:color="auto" w:sz="4" w:space="0"/>
              <w:right w:val="single" w:color="auto" w:sz="12" w:space="0"/>
            </w:tcBorders>
            <w:shd w:val="clear" w:color="000000" w:fill="FFFFFF"/>
            <w:vAlign w:val="center"/>
          </w:tcPr>
          <w:p>
            <w:pPr>
              <w:pStyle w:val="41"/>
              <w:spacing w:line="400" w:lineRule="exact"/>
              <w:jc w:val="center"/>
              <w:rPr>
                <w:rFonts w:hint="default" w:ascii="微软雅黑" w:hAnsi="微软雅黑" w:eastAsia="微软雅黑" w:cs="仿宋_GB2312"/>
                <w:lang w:val="en-US" w:eastAsia="zh-CN"/>
              </w:rPr>
            </w:pPr>
            <w:r>
              <w:rPr>
                <w:rFonts w:hint="eastAsia" w:ascii="微软雅黑" w:hAnsi="微软雅黑" w:eastAsia="微软雅黑" w:cs="仿宋_GB2312"/>
                <w:highlight w:val="none"/>
                <w:lang w:eastAsia="zh-CN"/>
              </w:rPr>
              <w:t>浙（</w:t>
            </w:r>
            <w:r>
              <w:rPr>
                <w:rFonts w:hint="eastAsia" w:ascii="微软雅黑" w:hAnsi="微软雅黑" w:eastAsia="微软雅黑" w:cs="仿宋_GB2312"/>
                <w:highlight w:val="none"/>
                <w:lang w:val="en-US" w:eastAsia="zh-CN"/>
              </w:rPr>
              <w:t>2017</w:t>
            </w:r>
            <w:r>
              <w:rPr>
                <w:rFonts w:hint="eastAsia" w:ascii="微软雅黑" w:hAnsi="微软雅黑" w:eastAsia="微软雅黑" w:cs="仿宋_GB2312"/>
                <w:highlight w:val="none"/>
                <w:lang w:eastAsia="zh-CN"/>
              </w:rPr>
              <w:t>）淳安县不动产权第</w:t>
            </w:r>
            <w:r>
              <w:rPr>
                <w:rFonts w:hint="eastAsia" w:ascii="微软雅黑" w:hAnsi="微软雅黑" w:eastAsia="微软雅黑" w:cs="仿宋_GB2312"/>
                <w:highlight w:val="none"/>
                <w:lang w:val="en-US" w:eastAsia="zh-CN"/>
              </w:rPr>
              <w:t>0014102号</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不动产坐落</w:t>
            </w:r>
          </w:p>
        </w:tc>
        <w:tc>
          <w:tcPr>
            <w:tcW w:w="6575" w:type="dxa"/>
            <w:tcBorders>
              <w:top w:val="dotted" w:color="auto" w:sz="4" w:space="0"/>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szCs w:val="21"/>
                <w:lang w:eastAsia="zh-CN"/>
              </w:rPr>
              <w:t>汾口镇翠新街58号505室（号）</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仿宋_GB2312"/>
              </w:rPr>
              <w:t>权利人</w:t>
            </w:r>
          </w:p>
        </w:tc>
        <w:tc>
          <w:tcPr>
            <w:tcW w:w="6575" w:type="dxa"/>
            <w:tcBorders>
              <w:top w:val="dotted" w:color="auto" w:sz="4" w:space="0"/>
              <w:left w:val="nil"/>
              <w:bottom w:val="dotted" w:color="auto" w:sz="4" w:space="0"/>
              <w:right w:val="single" w:color="auto" w:sz="12" w:space="0"/>
            </w:tcBorders>
            <w:shd w:val="clear" w:color="000000" w:fill="FFFFFF"/>
            <w:vAlign w:val="center"/>
          </w:tcPr>
          <w:p>
            <w:pPr>
              <w:widowControl/>
              <w:spacing w:line="400" w:lineRule="exact"/>
              <w:jc w:val="center"/>
              <w:rPr>
                <w:rFonts w:hint="eastAsia" w:ascii="微软雅黑" w:hAnsi="微软雅黑" w:eastAsia="微软雅黑" w:cs="宋体"/>
                <w:color w:val="000000"/>
                <w:kern w:val="0"/>
                <w:sz w:val="20"/>
                <w:szCs w:val="20"/>
                <w:lang w:eastAsia="zh-CN"/>
              </w:rPr>
            </w:pPr>
            <w:r>
              <w:rPr>
                <w:rFonts w:hint="eastAsia" w:ascii="微软雅黑" w:hAnsi="微软雅黑" w:eastAsia="微软雅黑" w:cs="仿宋_GB2312"/>
                <w:lang w:eastAsia="zh-CN"/>
              </w:rPr>
              <w:t>朱晓寅、程本才</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宋体"/>
                <w:color w:val="000000"/>
                <w:kern w:val="0"/>
                <w:sz w:val="20"/>
                <w:szCs w:val="20"/>
              </w:rPr>
              <w:t>建筑面积</w:t>
            </w:r>
          </w:p>
        </w:tc>
        <w:tc>
          <w:tcPr>
            <w:tcW w:w="6575"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lang w:eastAsia="zh-CN"/>
              </w:rPr>
              <w:t>81.2</w:t>
            </w:r>
            <w:r>
              <w:rPr>
                <w:rFonts w:hint="eastAsia" w:ascii="微软雅黑" w:hAnsi="宋体" w:cs="宋体"/>
                <w:color w:val="000000"/>
                <w:kern w:val="0"/>
                <w:sz w:val="20"/>
                <w:szCs w:val="20"/>
              </w:rPr>
              <w:t>㎡</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土地使用权面积</w:t>
            </w:r>
          </w:p>
        </w:tc>
        <w:tc>
          <w:tcPr>
            <w:tcW w:w="6575"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lang w:eastAsia="zh-CN"/>
              </w:rPr>
              <w:t>13.56</w:t>
            </w:r>
            <w:r>
              <w:rPr>
                <w:rFonts w:hint="eastAsia" w:ascii="微软雅黑" w:hAnsi="宋体" w:cs="宋体"/>
                <w:color w:val="000000"/>
                <w:kern w:val="0"/>
                <w:sz w:val="20"/>
                <w:szCs w:val="20"/>
              </w:rPr>
              <w:t>㎡</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使用期限</w:t>
            </w:r>
          </w:p>
        </w:tc>
        <w:tc>
          <w:tcPr>
            <w:tcW w:w="6575"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hint="default" w:ascii="微软雅黑" w:hAnsi="微软雅黑" w:eastAsia="微软雅黑" w:cs="仿宋_GB2312"/>
                <w:lang w:val="en-US" w:eastAsia="zh-CN"/>
              </w:rPr>
            </w:pPr>
            <w:r>
              <w:rPr>
                <w:rFonts w:hint="eastAsia" w:ascii="微软雅黑" w:hAnsi="微软雅黑" w:eastAsia="微软雅黑" w:cs="仿宋_GB2312"/>
                <w:lang w:eastAsia="zh-CN"/>
              </w:rPr>
              <w:t>至</w:t>
            </w:r>
            <w:r>
              <w:rPr>
                <w:rFonts w:hint="eastAsia" w:ascii="微软雅黑" w:hAnsi="微软雅黑" w:eastAsia="微软雅黑" w:cs="仿宋_GB2312"/>
                <w:lang w:val="en-US" w:eastAsia="zh-CN"/>
              </w:rPr>
              <w:t>2066年01月22日</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hint="eastAsia" w:ascii="微软雅黑" w:hAnsi="微软雅黑" w:eastAsia="微软雅黑" w:cs="仿宋_GB2312"/>
                <w:kern w:val="2"/>
                <w:sz w:val="21"/>
                <w:szCs w:val="21"/>
                <w:lang w:val="en-US" w:eastAsia="zh-CN" w:bidi="ar-SA"/>
              </w:rPr>
            </w:pPr>
            <w:r>
              <w:rPr>
                <w:rFonts w:hint="eastAsia" w:ascii="微软雅黑" w:hAnsi="微软雅黑" w:eastAsia="微软雅黑" w:cs="仿宋_GB2312"/>
              </w:rPr>
              <w:t>用途</w:t>
            </w:r>
          </w:p>
        </w:tc>
        <w:tc>
          <w:tcPr>
            <w:tcW w:w="6575"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hint="eastAsia" w:ascii="微软雅黑" w:hAnsi="微软雅黑" w:eastAsia="微软雅黑" w:cs="仿宋_GB2312"/>
                <w:kern w:val="2"/>
                <w:sz w:val="21"/>
                <w:szCs w:val="21"/>
                <w:lang w:val="en-US" w:eastAsia="zh-CN" w:bidi="ar-SA"/>
              </w:rPr>
            </w:pPr>
            <w:r>
              <w:rPr>
                <w:rFonts w:hint="eastAsia" w:ascii="微软雅黑" w:hAnsi="微软雅黑" w:eastAsia="微软雅黑" w:cs="仿宋_GB2312"/>
                <w:lang w:eastAsia="zh-CN"/>
              </w:rPr>
              <w:t>城镇住宅用地</w:t>
            </w:r>
            <w:r>
              <w:rPr>
                <w:rFonts w:hint="eastAsia" w:ascii="微软雅黑" w:hAnsi="微软雅黑" w:eastAsia="微软雅黑" w:cs="仿宋_GB2312"/>
                <w:lang w:val="en-US" w:eastAsia="zh-CN"/>
              </w:rPr>
              <w:t>/</w:t>
            </w:r>
            <w:r>
              <w:rPr>
                <w:rFonts w:hint="eastAsia" w:ascii="微软雅黑" w:hAnsi="微软雅黑" w:eastAsia="微软雅黑" w:cs="仿宋_GB2312"/>
              </w:rPr>
              <w:t>住宅</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限制信息</w:t>
            </w:r>
          </w:p>
        </w:tc>
        <w:tc>
          <w:tcPr>
            <w:tcW w:w="6575"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hint="default" w:ascii="微软雅黑" w:hAnsi="微软雅黑" w:eastAsia="微软雅黑" w:cs="仿宋_GB2312"/>
                <w:lang w:val="en-US" w:eastAsia="zh-CN"/>
              </w:rPr>
            </w:pPr>
            <w:r>
              <w:rPr>
                <w:rFonts w:hint="eastAsia" w:ascii="微软雅黑" w:hAnsi="微软雅黑" w:eastAsia="微软雅黑" w:cs="仿宋_GB2312"/>
                <w:lang w:val="en-US" w:eastAsia="zh-CN"/>
              </w:rPr>
              <w:t>该不动产有查封，有抵押</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权利类型</w:t>
            </w:r>
          </w:p>
        </w:tc>
        <w:tc>
          <w:tcPr>
            <w:tcW w:w="6575"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lang w:eastAsia="zh-CN"/>
              </w:rPr>
              <w:t>国有建设用地使用权</w:t>
            </w:r>
            <w:r>
              <w:rPr>
                <w:rFonts w:hint="eastAsia" w:ascii="微软雅黑" w:hAnsi="微软雅黑" w:eastAsia="微软雅黑" w:cs="仿宋_GB2312"/>
                <w:lang w:val="en-US" w:eastAsia="zh-CN"/>
              </w:rPr>
              <w:t>/</w:t>
            </w:r>
            <w:r>
              <w:rPr>
                <w:rFonts w:hint="eastAsia" w:ascii="微软雅黑" w:hAnsi="微软雅黑" w:eastAsia="微软雅黑" w:cs="仿宋_GB2312"/>
              </w:rPr>
              <w:t>房屋所有权</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权利性质</w:t>
            </w:r>
          </w:p>
        </w:tc>
        <w:tc>
          <w:tcPr>
            <w:tcW w:w="6575"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出让/存量房产</w:t>
            </w:r>
          </w:p>
        </w:tc>
      </w:tr>
      <w:tr>
        <w:tblPrEx>
          <w:tblCellMar>
            <w:top w:w="0" w:type="dxa"/>
            <w:left w:w="108" w:type="dxa"/>
            <w:bottom w:w="0" w:type="dxa"/>
            <w:right w:w="108" w:type="dxa"/>
          </w:tblCellMar>
        </w:tblPrEx>
        <w:trPr>
          <w:trHeight w:val="23" w:hRule="atLeast"/>
          <w:jc w:val="center"/>
        </w:trPr>
        <w:tc>
          <w:tcPr>
            <w:tcW w:w="2000"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hint="eastAsia" w:ascii="微软雅黑" w:hAnsi="微软雅黑" w:eastAsia="微软雅黑" w:cs="仿宋_GB2312"/>
                <w:lang w:val="en-US" w:eastAsia="zh-CN"/>
              </w:rPr>
            </w:pPr>
            <w:r>
              <w:rPr>
                <w:rFonts w:hint="eastAsia" w:ascii="微软雅黑" w:hAnsi="微软雅黑" w:eastAsia="微软雅黑" w:cs="仿宋_GB2312"/>
                <w:lang w:val="en-US" w:eastAsia="zh-CN"/>
              </w:rPr>
              <w:t>共有情况</w:t>
            </w:r>
          </w:p>
        </w:tc>
        <w:tc>
          <w:tcPr>
            <w:tcW w:w="6575"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共同共有</w:t>
            </w:r>
          </w:p>
        </w:tc>
      </w:tr>
      <w:tr>
        <w:tblPrEx>
          <w:tblCellMar>
            <w:top w:w="0" w:type="dxa"/>
            <w:left w:w="108" w:type="dxa"/>
            <w:bottom w:w="0" w:type="dxa"/>
            <w:right w:w="108" w:type="dxa"/>
          </w:tblCellMar>
        </w:tblPrEx>
        <w:trPr>
          <w:trHeight w:val="23" w:hRule="atLeast"/>
          <w:jc w:val="center"/>
        </w:trPr>
        <w:tc>
          <w:tcPr>
            <w:tcW w:w="2000" w:type="dxa"/>
            <w:tcBorders>
              <w:top w:val="dotted" w:color="auto" w:sz="4" w:space="0"/>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登记日期</w:t>
            </w:r>
          </w:p>
        </w:tc>
        <w:tc>
          <w:tcPr>
            <w:tcW w:w="6575" w:type="dxa"/>
            <w:tcBorders>
              <w:top w:val="dotted" w:color="auto" w:sz="4" w:space="0"/>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lang w:val="en-US" w:eastAsia="zh-CN"/>
              </w:rPr>
              <w:t>2017</w:t>
            </w:r>
            <w:r>
              <w:rPr>
                <w:rFonts w:hint="eastAsia" w:ascii="微软雅黑" w:hAnsi="微软雅黑" w:eastAsia="微软雅黑" w:cs="仿宋_GB2312"/>
              </w:rPr>
              <w:t>年</w:t>
            </w:r>
            <w:r>
              <w:rPr>
                <w:rFonts w:hint="eastAsia" w:ascii="微软雅黑" w:hAnsi="微软雅黑" w:eastAsia="微软雅黑" w:cs="仿宋_GB2312"/>
                <w:lang w:val="en-US" w:eastAsia="zh-CN"/>
              </w:rPr>
              <w:t>10</w:t>
            </w:r>
            <w:r>
              <w:rPr>
                <w:rFonts w:hint="eastAsia" w:ascii="微软雅黑" w:hAnsi="微软雅黑" w:eastAsia="微软雅黑" w:cs="仿宋_GB2312"/>
              </w:rPr>
              <w:t>月</w:t>
            </w:r>
            <w:r>
              <w:rPr>
                <w:rFonts w:hint="eastAsia" w:ascii="微软雅黑" w:hAnsi="微软雅黑" w:eastAsia="微软雅黑" w:cs="仿宋_GB2312"/>
                <w:lang w:val="en-US" w:eastAsia="zh-CN"/>
              </w:rPr>
              <w:t>24</w:t>
            </w:r>
            <w:r>
              <w:rPr>
                <w:rFonts w:hint="eastAsia" w:ascii="微软雅黑" w:hAnsi="微软雅黑" w:eastAsia="微软雅黑" w:cs="仿宋_GB2312"/>
              </w:rPr>
              <w:t>日</w:t>
            </w:r>
          </w:p>
        </w:tc>
      </w:tr>
      <w:tr>
        <w:tblPrEx>
          <w:tblCellMar>
            <w:top w:w="0" w:type="dxa"/>
            <w:left w:w="108" w:type="dxa"/>
            <w:bottom w:w="0" w:type="dxa"/>
            <w:right w:w="108" w:type="dxa"/>
          </w:tblCellMar>
        </w:tblPrEx>
        <w:trPr>
          <w:trHeight w:val="23" w:hRule="atLeast"/>
          <w:jc w:val="center"/>
        </w:trPr>
        <w:tc>
          <w:tcPr>
            <w:tcW w:w="2000" w:type="dxa"/>
            <w:tcBorders>
              <w:top w:val="dotted" w:color="auto" w:sz="4" w:space="0"/>
              <w:left w:val="single" w:color="auto" w:sz="12" w:space="0"/>
              <w:bottom w:val="single" w:color="auto" w:sz="12"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权利状态</w:t>
            </w:r>
          </w:p>
        </w:tc>
        <w:tc>
          <w:tcPr>
            <w:tcW w:w="6575" w:type="dxa"/>
            <w:tcBorders>
              <w:top w:val="dotted" w:color="auto" w:sz="4" w:space="0"/>
              <w:left w:val="nil"/>
              <w:bottom w:val="single" w:color="auto" w:sz="12"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现状</w:t>
            </w:r>
          </w:p>
        </w:tc>
      </w:tr>
      <w:bookmarkEnd w:id="98"/>
    </w:tbl>
    <w:p>
      <w:pPr>
        <w:topLinePunct/>
        <w:adjustRightInd w:val="0"/>
        <w:snapToGrid w:val="0"/>
        <w:spacing w:line="360" w:lineRule="auto"/>
        <w:ind w:firstLine="420" w:firstLineChars="200"/>
        <w:rPr>
          <w:rFonts w:ascii="微软雅黑" w:hAnsi="微软雅黑" w:eastAsia="微软雅黑" w:cs="仿宋_GB2312"/>
          <w:b/>
          <w:bCs/>
          <w:szCs w:val="21"/>
        </w:rPr>
      </w:pPr>
      <w:r>
        <w:rPr>
          <w:rFonts w:hint="eastAsia" w:ascii="微软雅黑" w:hAnsi="微软雅黑" w:eastAsia="微软雅黑" w:cs="仿宋_GB2312"/>
          <w:b/>
          <w:bCs/>
          <w:szCs w:val="21"/>
        </w:rPr>
        <w:t>（2）他项权利设立情况</w:t>
      </w:r>
    </w:p>
    <w:p>
      <w:pPr>
        <w:topLinePunct/>
        <w:adjustRightInd w:val="0"/>
        <w:snapToGrid w:val="0"/>
        <w:spacing w:line="312" w:lineRule="auto"/>
        <w:ind w:firstLine="420" w:firstLineChars="200"/>
        <w:rPr>
          <w:rFonts w:ascii="微软雅黑" w:hAnsi="微软雅黑" w:eastAsia="微软雅黑" w:cs="仿宋_GB2312"/>
          <w:szCs w:val="21"/>
        </w:rPr>
      </w:pPr>
      <w:r>
        <w:rPr>
          <w:rFonts w:hint="eastAsia" w:ascii="微软雅黑" w:hAnsi="微软雅黑" w:eastAsia="微软雅黑"/>
          <w:szCs w:val="21"/>
        </w:rPr>
        <w:t>根据委托人提供的资料获知，估价对象已设定抵押他项权利，至价值时点，此项抵押他项权利尚未注销，根据估价目的，本次评估未考虑抵押他项权利对估价结果的影响，在此提请报告使用者注意</w:t>
      </w:r>
      <w:r>
        <w:rPr>
          <w:rFonts w:hint="eastAsia" w:ascii="微软雅黑" w:hAnsi="微软雅黑" w:eastAsia="微软雅黑" w:cs="仿宋_GB2312"/>
          <w:szCs w:val="21"/>
        </w:rPr>
        <w:t>。</w:t>
      </w:r>
    </w:p>
    <w:p>
      <w:pPr>
        <w:topLinePunct/>
        <w:adjustRightInd w:val="0"/>
        <w:snapToGrid w:val="0"/>
        <w:spacing w:line="312" w:lineRule="auto"/>
        <w:ind w:firstLine="420" w:firstLineChars="200"/>
        <w:rPr>
          <w:rFonts w:ascii="微软雅黑" w:hAnsi="微软雅黑" w:eastAsia="微软雅黑"/>
          <w:b/>
          <w:szCs w:val="21"/>
        </w:rPr>
      </w:pPr>
      <w:r>
        <w:rPr>
          <w:rFonts w:hint="eastAsia" w:ascii="微软雅黑" w:hAnsi="微软雅黑" w:eastAsia="微软雅黑"/>
          <w:b/>
          <w:szCs w:val="21"/>
        </w:rPr>
        <w:t>（3）其他特殊情况</w:t>
      </w:r>
    </w:p>
    <w:p>
      <w:pPr>
        <w:topLinePunct/>
        <w:adjustRightInd w:val="0"/>
        <w:snapToGrid w:val="0"/>
        <w:spacing w:line="312" w:lineRule="auto"/>
        <w:ind w:firstLine="420" w:firstLineChars="200"/>
        <w:rPr>
          <w:rFonts w:ascii="微软雅黑" w:hAnsi="微软雅黑" w:eastAsia="微软雅黑" w:cs="微软雅黑"/>
          <w:szCs w:val="21"/>
        </w:rPr>
      </w:pPr>
      <w:r>
        <w:rPr>
          <w:rFonts w:hint="eastAsia" w:ascii="微软雅黑" w:hAnsi="微软雅黑" w:eastAsia="微软雅黑" w:cs="仿宋_GB2312"/>
        </w:rPr>
        <w:t>根据委托人提供的资料获知</w:t>
      </w:r>
      <w:r>
        <w:rPr>
          <w:rFonts w:hint="eastAsia" w:ascii="微软雅黑" w:hAnsi="微软雅黑" w:eastAsia="微软雅黑" w:cs="仿宋_GB2312"/>
          <w:szCs w:val="21"/>
        </w:rPr>
        <w:t>，</w:t>
      </w:r>
      <w:r>
        <w:rPr>
          <w:rFonts w:hint="eastAsia" w:ascii="微软雅黑" w:hAnsi="微软雅黑" w:eastAsia="微软雅黑" w:cs="仿宋_GB2312"/>
        </w:rPr>
        <w:t>至价值时点，估价对象已被查封，根据估价目的，故本次评估不考虑查封对估价对象市场价值的影响，在此提请报告使用者注意</w:t>
      </w:r>
      <w:r>
        <w:rPr>
          <w:rFonts w:hint="eastAsia" w:ascii="微软雅黑" w:hAnsi="微软雅黑" w:eastAsia="微软雅黑" w:cs="仿宋_GB2312"/>
          <w:szCs w:val="21"/>
        </w:rPr>
        <w:t>。</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2、估价对象实物状况</w:t>
      </w:r>
    </w:p>
    <w:p>
      <w:pPr>
        <w:adjustRightInd w:val="0"/>
        <w:snapToGrid w:val="0"/>
        <w:spacing w:line="312" w:lineRule="auto"/>
        <w:ind w:firstLine="420" w:firstLineChars="200"/>
        <w:rPr>
          <w:rFonts w:ascii="微软雅黑" w:hAnsi="微软雅黑" w:eastAsia="微软雅黑" w:cs="仿宋_GB2312"/>
          <w:b/>
          <w:szCs w:val="21"/>
        </w:rPr>
      </w:pPr>
      <w:r>
        <w:rPr>
          <w:rFonts w:hint="eastAsia" w:ascii="微软雅黑" w:hAnsi="微软雅黑" w:eastAsia="微软雅黑" w:cs="仿宋_GB2312"/>
          <w:b/>
          <w:szCs w:val="21"/>
        </w:rPr>
        <w:t>（1）建筑物实物</w:t>
      </w:r>
      <w:r>
        <w:rPr>
          <w:rFonts w:ascii="微软雅黑" w:hAnsi="微软雅黑" w:eastAsia="微软雅黑" w:cs="仿宋_GB2312"/>
          <w:b/>
          <w:szCs w:val="21"/>
        </w:rPr>
        <w:t>状况</w:t>
      </w:r>
    </w:p>
    <w:p>
      <w:pPr>
        <w:topLinePunct/>
        <w:adjustRightInd w:val="0"/>
        <w:snapToGrid w:val="0"/>
        <w:spacing w:line="312" w:lineRule="auto"/>
        <w:ind w:firstLine="420" w:firstLineChars="200"/>
        <w:rPr>
          <w:rFonts w:ascii="微软雅黑" w:hAnsi="微软雅黑" w:eastAsia="微软雅黑" w:cs="仿宋_GB2312"/>
          <w:szCs w:val="21"/>
        </w:rPr>
      </w:pPr>
      <w:r>
        <w:rPr>
          <w:rFonts w:hint="eastAsia" w:ascii="微软雅黑" w:hAnsi="微软雅黑" w:eastAsia="微软雅黑" w:cs="仿宋_GB2312"/>
          <w:szCs w:val="21"/>
        </w:rPr>
        <w:t xml:space="preserve">◆建筑物状况： </w:t>
      </w:r>
      <w:r>
        <w:rPr>
          <w:rFonts w:hint="eastAsia" w:ascii="微软雅黑" w:hAnsi="微软雅黑" w:eastAsia="微软雅黑" w:cs="仿宋_GB2312"/>
        </w:rPr>
        <w:t>估价对象所在建筑物</w:t>
      </w:r>
      <w:r>
        <w:rPr>
          <w:rFonts w:hint="eastAsia" w:ascii="微软雅黑" w:hAnsi="微软雅黑" w:eastAsia="微软雅黑" w:cs="仿宋_GB2312"/>
          <w:lang w:eastAsia="zh-CN"/>
        </w:rPr>
        <w:t>位于</w:t>
      </w:r>
      <w:r>
        <w:rPr>
          <w:rFonts w:hint="eastAsia" w:ascii="微软雅黑" w:hAnsi="微软雅黑" w:eastAsia="微软雅黑" w:cs="仿宋_GB2312"/>
          <w:szCs w:val="21"/>
          <w:lang w:eastAsia="zh-CN"/>
        </w:rPr>
        <w:t>汾口镇</w:t>
      </w:r>
      <w:r>
        <w:rPr>
          <w:rFonts w:hint="eastAsia" w:ascii="微软雅黑" w:hAnsi="微软雅黑" w:eastAsia="微软雅黑" w:cs="仿宋_GB2312"/>
          <w:lang w:eastAsia="zh-CN"/>
        </w:rPr>
        <w:t>翠新街</w:t>
      </w:r>
      <w:r>
        <w:rPr>
          <w:rFonts w:hint="eastAsia" w:ascii="微软雅黑" w:hAnsi="微软雅黑" w:eastAsia="微软雅黑" w:cs="仿宋_GB2312"/>
          <w:lang w:val="en-US" w:eastAsia="zh-CN"/>
        </w:rPr>
        <w:t>58号</w:t>
      </w:r>
      <w:r>
        <w:rPr>
          <w:rFonts w:hint="eastAsia" w:ascii="微软雅黑" w:hAnsi="微软雅黑" w:eastAsia="微软雅黑" w:cs="仿宋_GB2312"/>
        </w:rPr>
        <w:t>，</w:t>
      </w:r>
      <w:r>
        <w:rPr>
          <w:rFonts w:hint="eastAsia" w:ascii="微软雅黑" w:hAnsi="微软雅黑" w:eastAsia="微软雅黑" w:cs="仿宋_GB2312"/>
          <w:lang w:eastAsia="zh-CN"/>
        </w:rPr>
        <w:t>混合</w:t>
      </w:r>
      <w:r>
        <w:rPr>
          <w:rFonts w:hint="eastAsia" w:ascii="微软雅黑" w:hAnsi="微软雅黑" w:eastAsia="微软雅黑" w:cs="仿宋_GB2312"/>
        </w:rPr>
        <w:t>结构，总层数</w:t>
      </w:r>
      <w:r>
        <w:rPr>
          <w:rFonts w:hint="eastAsia" w:ascii="微软雅黑" w:hAnsi="微软雅黑" w:eastAsia="微软雅黑" w:cs="仿宋_GB2312"/>
          <w:lang w:val="en-US" w:eastAsia="zh-CN"/>
        </w:rPr>
        <w:t>6</w:t>
      </w:r>
      <w:r>
        <w:rPr>
          <w:rFonts w:hint="eastAsia" w:ascii="微软雅黑" w:hAnsi="微软雅黑" w:eastAsia="微软雅黑" w:cs="仿宋_GB2312"/>
        </w:rPr>
        <w:t>层，建成于</w:t>
      </w:r>
      <w:r>
        <w:rPr>
          <w:rFonts w:hint="eastAsia" w:ascii="微软雅黑" w:hAnsi="微软雅黑" w:eastAsia="微软雅黑" w:cs="仿宋_GB2312"/>
          <w:lang w:val="en-US" w:eastAsia="zh-CN"/>
        </w:rPr>
        <w:t>1995</w:t>
      </w:r>
      <w:r>
        <w:rPr>
          <w:rFonts w:hint="eastAsia" w:ascii="微软雅黑" w:hAnsi="微软雅黑" w:eastAsia="微软雅黑" w:cs="仿宋_GB2312"/>
        </w:rPr>
        <w:t>年。外墙为</w:t>
      </w:r>
      <w:r>
        <w:rPr>
          <w:rFonts w:hint="eastAsia" w:ascii="微软雅黑" w:hAnsi="微软雅黑" w:eastAsia="微软雅黑" w:cs="仿宋_GB2312"/>
          <w:lang w:eastAsia="zh-CN"/>
        </w:rPr>
        <w:t>防水涂料（局部外墙砖）</w:t>
      </w:r>
      <w:r>
        <w:rPr>
          <w:rFonts w:hint="eastAsia" w:ascii="微软雅黑" w:hAnsi="微软雅黑" w:eastAsia="微软雅黑" w:cs="仿宋_GB2312"/>
        </w:rPr>
        <w:t>，整体保养较好</w:t>
      </w:r>
      <w:r>
        <w:rPr>
          <w:rFonts w:hint="eastAsia" w:ascii="微软雅黑" w:hAnsi="微软雅黑" w:eastAsia="微软雅黑" w:cs="仿宋_GB2312"/>
          <w:szCs w:val="21"/>
        </w:rPr>
        <w:t>。</w:t>
      </w:r>
    </w:p>
    <w:p>
      <w:pPr>
        <w:topLinePunct/>
        <w:adjustRightInd w:val="0"/>
        <w:snapToGrid w:val="0"/>
        <w:spacing w:line="312" w:lineRule="auto"/>
        <w:ind w:firstLine="420" w:firstLineChars="200"/>
        <w:rPr>
          <w:rFonts w:ascii="微软雅黑" w:hAnsi="微软雅黑" w:eastAsia="微软雅黑" w:cs="仿宋_GB2312"/>
        </w:rPr>
      </w:pPr>
      <w:r>
        <w:rPr>
          <w:rFonts w:hint="eastAsia" w:ascii="微软雅黑" w:hAnsi="微软雅黑" w:eastAsia="微软雅黑" w:cs="仿宋_GB2312"/>
          <w:szCs w:val="21"/>
        </w:rPr>
        <w:t>◆估价对象房屋状况：</w:t>
      </w:r>
      <w:r>
        <w:rPr>
          <w:rFonts w:hint="eastAsia" w:ascii="微软雅黑" w:hAnsi="微软雅黑" w:eastAsia="微软雅黑" w:cs="仿宋_GB2312"/>
        </w:rPr>
        <w:t>估价对象</w:t>
      </w:r>
      <w:r>
        <w:rPr>
          <w:rFonts w:hint="eastAsia" w:ascii="微软雅黑" w:hAnsi="微软雅黑" w:eastAsia="微软雅黑" w:cs="仿宋_GB2312"/>
          <w:szCs w:val="21"/>
          <w:lang w:eastAsia="zh-CN"/>
        </w:rPr>
        <w:t>淳安县汾口镇翠新街58号505室（号）</w:t>
      </w:r>
      <w:r>
        <w:rPr>
          <w:rFonts w:hint="eastAsia" w:ascii="微软雅黑" w:hAnsi="微软雅黑" w:eastAsia="微软雅黑" w:cs="仿宋_GB2312"/>
          <w:szCs w:val="21"/>
        </w:rPr>
        <w:t>，</w:t>
      </w:r>
      <w:r>
        <w:rPr>
          <w:rFonts w:hint="eastAsia" w:ascii="微软雅黑" w:hAnsi="微软雅黑" w:eastAsia="微软雅黑" w:cs="仿宋_GB2312"/>
        </w:rPr>
        <w:t>建筑面积为</w:t>
      </w:r>
      <w:r>
        <w:rPr>
          <w:rFonts w:hint="eastAsia" w:ascii="微软雅黑" w:hAnsi="微软雅黑" w:eastAsia="微软雅黑" w:cs="仿宋_GB2312"/>
          <w:lang w:eastAsia="zh-CN"/>
        </w:rPr>
        <w:t>81.2</w:t>
      </w:r>
      <w:r>
        <w:rPr>
          <w:rFonts w:hint="eastAsia" w:ascii="微软雅黑" w:hAnsi="微软雅黑" w:eastAsia="微软雅黑" w:cs="仿宋_GB2312"/>
        </w:rPr>
        <w:t>平方米</w:t>
      </w:r>
      <w:r>
        <w:rPr>
          <w:rFonts w:hint="eastAsia" w:ascii="微软雅黑" w:hAnsi="微软雅黑" w:eastAsia="微软雅黑" w:cs="仿宋_GB2312"/>
          <w:lang w:val="en-US" w:eastAsia="zh-CN"/>
        </w:rPr>
        <w:t>,</w:t>
      </w:r>
      <w:r>
        <w:rPr>
          <w:rFonts w:hint="eastAsia" w:ascii="微软雅黑" w:hAnsi="微软雅黑" w:eastAsia="微软雅黑" w:cs="仿宋_GB2312"/>
          <w:szCs w:val="21"/>
          <w:lang w:eastAsia="zh-CN"/>
        </w:rPr>
        <w:t>所在层次</w:t>
      </w:r>
      <w:r>
        <w:rPr>
          <w:rFonts w:hint="eastAsia" w:ascii="微软雅黑" w:hAnsi="微软雅黑" w:eastAsia="微软雅黑" w:cs="仿宋_GB2312"/>
          <w:szCs w:val="21"/>
          <w:lang w:val="en-US" w:eastAsia="zh-CN"/>
        </w:rPr>
        <w:t>5</w:t>
      </w:r>
      <w:r>
        <w:rPr>
          <w:rFonts w:hint="eastAsia" w:ascii="微软雅黑" w:hAnsi="微软雅黑" w:eastAsia="微软雅黑" w:cs="仿宋_GB2312"/>
          <w:szCs w:val="21"/>
        </w:rPr>
        <w:t>层</w:t>
      </w:r>
      <w:r>
        <w:rPr>
          <w:rFonts w:hint="eastAsia" w:ascii="微软雅黑" w:hAnsi="微软雅黑" w:eastAsia="微软雅黑" w:cs="仿宋_GB2312"/>
        </w:rPr>
        <w:t>。单元平面布局为一梯二户、楼层形式为标准层、</w:t>
      </w:r>
      <w:r>
        <w:rPr>
          <w:rFonts w:hint="eastAsia" w:ascii="微软雅黑" w:hAnsi="微软雅黑" w:eastAsia="微软雅黑" w:cs="仿宋_GB2312"/>
          <w:lang w:eastAsia="zh-CN"/>
        </w:rPr>
        <w:t>中间</w:t>
      </w:r>
      <w:r>
        <w:rPr>
          <w:rFonts w:hint="eastAsia" w:ascii="微软雅黑" w:hAnsi="微软雅黑" w:eastAsia="微软雅黑" w:cs="仿宋_GB2312"/>
        </w:rPr>
        <w:t>套、现户型为</w:t>
      </w:r>
      <w:r>
        <w:rPr>
          <w:rFonts w:hint="eastAsia" w:ascii="微软雅黑" w:hAnsi="微软雅黑" w:eastAsia="微软雅黑" w:cs="仿宋_GB2312"/>
          <w:lang w:eastAsia="zh-CN"/>
        </w:rPr>
        <w:t>三</w:t>
      </w:r>
      <w:r>
        <w:rPr>
          <w:rFonts w:hint="eastAsia" w:ascii="微软雅黑" w:hAnsi="微软雅黑" w:eastAsia="微软雅黑" w:cs="仿宋_GB2312"/>
        </w:rPr>
        <w:t>室</w:t>
      </w:r>
      <w:r>
        <w:rPr>
          <w:rFonts w:hint="eastAsia" w:ascii="微软雅黑" w:hAnsi="微软雅黑" w:eastAsia="微软雅黑" w:cs="仿宋_GB2312"/>
          <w:lang w:eastAsia="zh-CN"/>
        </w:rPr>
        <w:t>一</w:t>
      </w:r>
      <w:r>
        <w:rPr>
          <w:rFonts w:hint="eastAsia" w:ascii="微软雅黑" w:hAnsi="微软雅黑" w:eastAsia="微软雅黑" w:cs="仿宋_GB2312"/>
        </w:rPr>
        <w:t>厅</w:t>
      </w:r>
      <w:r>
        <w:rPr>
          <w:rFonts w:hint="eastAsia" w:ascii="微软雅黑" w:hAnsi="微软雅黑" w:eastAsia="微软雅黑" w:cs="仿宋_GB2312"/>
          <w:lang w:eastAsia="zh-CN"/>
        </w:rPr>
        <w:t>（厅部分分隔作其它功能区域使用）</w:t>
      </w:r>
      <w:r>
        <w:rPr>
          <w:rFonts w:hint="eastAsia" w:ascii="微软雅黑" w:hAnsi="微软雅黑" w:eastAsia="微软雅黑" w:cs="仿宋_GB2312"/>
        </w:rPr>
        <w:t>一厨一卫，其中</w:t>
      </w:r>
      <w:r>
        <w:rPr>
          <w:rFonts w:hint="eastAsia" w:ascii="微软雅黑" w:hAnsi="微软雅黑" w:eastAsia="微软雅黑" w:cs="仿宋_GB2312"/>
          <w:lang w:eastAsia="zh-CN"/>
        </w:rPr>
        <w:t>二室、厅朝南</w:t>
      </w:r>
      <w:r>
        <w:rPr>
          <w:rFonts w:hint="eastAsia" w:ascii="微软雅黑" w:hAnsi="微软雅黑" w:eastAsia="微软雅黑" w:cs="仿宋_GB2312"/>
        </w:rPr>
        <w:t>；</w:t>
      </w:r>
      <w:r>
        <w:rPr>
          <w:rFonts w:hint="eastAsia" w:ascii="微软雅黑" w:hAnsi="微软雅黑" w:eastAsia="微软雅黑" w:cs="仿宋_GB2312"/>
          <w:lang w:eastAsia="zh-CN"/>
        </w:rPr>
        <w:t>一室、厨房、卫生间朝北</w:t>
      </w:r>
      <w:r>
        <w:rPr>
          <w:rFonts w:hint="eastAsia" w:ascii="微软雅黑" w:hAnsi="微软雅黑" w:eastAsia="微软雅黑" w:cs="仿宋_GB2312"/>
        </w:rPr>
        <w:t>。</w:t>
      </w:r>
      <w:r>
        <w:rPr>
          <w:rFonts w:hint="eastAsia" w:ascii="微软雅黑" w:hAnsi="微软雅黑" w:eastAsia="微软雅黑" w:cs="仿宋_GB2312"/>
          <w:lang w:eastAsia="zh-CN"/>
        </w:rPr>
        <w:t>厅地面铺设地砖，墙面为乳胶漆饰面（局部木护墙）；</w:t>
      </w:r>
      <w:r>
        <w:rPr>
          <w:rFonts w:hint="eastAsia" w:ascii="微软雅黑" w:hAnsi="微软雅黑" w:eastAsia="微软雅黑" w:cs="仿宋_GB2312"/>
        </w:rPr>
        <w:t>室内地面为木地板，墙面</w:t>
      </w:r>
      <w:r>
        <w:rPr>
          <w:rFonts w:hint="eastAsia" w:ascii="微软雅黑" w:hAnsi="微软雅黑" w:eastAsia="微软雅黑" w:cs="仿宋_GB2312"/>
          <w:lang w:eastAsia="zh-CN"/>
        </w:rPr>
        <w:t>贴墙纸</w:t>
      </w:r>
      <w:r>
        <w:rPr>
          <w:rFonts w:hint="eastAsia" w:ascii="微软雅黑" w:hAnsi="微软雅黑" w:eastAsia="微软雅黑" w:cs="仿宋_GB2312"/>
        </w:rPr>
        <w:t>；厨房、卫生间地面铺设地砖，墙面贴墙砖</w:t>
      </w:r>
      <w:r>
        <w:rPr>
          <w:rFonts w:hint="eastAsia" w:ascii="微软雅黑" w:hAnsi="微软雅黑" w:eastAsia="微软雅黑" w:cs="宋体"/>
          <w:color w:val="000000"/>
          <w:kern w:val="0"/>
          <w:sz w:val="20"/>
          <w:szCs w:val="20"/>
        </w:rPr>
        <w:t>。</w:t>
      </w:r>
      <w:r>
        <w:rPr>
          <w:rFonts w:hint="eastAsia" w:ascii="微软雅黑" w:hAnsi="微软雅黑" w:eastAsia="微软雅黑" w:cs="仿宋_GB2312"/>
        </w:rPr>
        <w:t>室内通风、采光较好，水、电设施齐全；房屋总体使用与保养状况较好。</w:t>
      </w:r>
    </w:p>
    <w:p>
      <w:pPr>
        <w:topLinePunct/>
        <w:adjustRightInd w:val="0"/>
        <w:snapToGrid w:val="0"/>
        <w:spacing w:line="312" w:lineRule="auto"/>
        <w:ind w:firstLine="420" w:firstLineChars="200"/>
        <w:rPr>
          <w:rFonts w:ascii="微软雅黑" w:hAnsi="微软雅黑" w:eastAsia="微软雅黑"/>
        </w:rPr>
      </w:pPr>
      <w:r>
        <w:rPr>
          <w:rFonts w:hint="eastAsia" w:ascii="微软雅黑" w:hAnsi="微软雅黑" w:eastAsia="微软雅黑" w:cs="仿宋_GB2312"/>
          <w:szCs w:val="21"/>
        </w:rPr>
        <w:t>◆估价对象利用现状：至价值时点，估价对象</w:t>
      </w:r>
      <w:r>
        <w:rPr>
          <w:rFonts w:hint="eastAsia" w:ascii="微软雅黑" w:hAnsi="微软雅黑" w:eastAsia="微软雅黑" w:cs="仿宋_GB2312"/>
          <w:szCs w:val="21"/>
          <w:lang w:eastAsia="zh-CN"/>
        </w:rPr>
        <w:t>已空置</w:t>
      </w:r>
      <w:r>
        <w:rPr>
          <w:rFonts w:hint="eastAsia" w:ascii="微软雅黑" w:hAnsi="微软雅黑" w:eastAsia="微软雅黑" w:cs="仿宋_GB2312"/>
          <w:szCs w:val="21"/>
        </w:rPr>
        <w:t>，特提请报告使用者注意。</w:t>
      </w:r>
    </w:p>
    <w:p>
      <w:pPr>
        <w:topLinePunct/>
        <w:adjustRightInd w:val="0"/>
        <w:snapToGrid w:val="0"/>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（2）土地实物状</w:t>
      </w:r>
    </w:p>
    <w:p>
      <w:pPr>
        <w:topLinePunct/>
        <w:adjustRightInd w:val="0"/>
        <w:snapToGrid w:val="0"/>
        <w:spacing w:line="312" w:lineRule="auto"/>
        <w:ind w:firstLine="420" w:firstLineChars="200"/>
        <w:rPr>
          <w:rFonts w:ascii="微软雅黑" w:hAnsi="微软雅黑" w:eastAsia="微软雅黑" w:cs="仿宋_GB2312"/>
          <w:szCs w:val="21"/>
        </w:rPr>
      </w:pPr>
      <w:r>
        <w:rPr>
          <w:rFonts w:hint="eastAsia" w:ascii="微软雅黑" w:hAnsi="微软雅黑" w:eastAsia="微软雅黑" w:cs="仿宋_GB2312"/>
          <w:szCs w:val="21"/>
        </w:rPr>
        <w:t>估价对象坐落于</w:t>
      </w:r>
      <w:r>
        <w:rPr>
          <w:rFonts w:hint="eastAsia" w:ascii="微软雅黑" w:hAnsi="微软雅黑" w:eastAsia="微软雅黑" w:cs="仿宋_GB2312"/>
          <w:szCs w:val="21"/>
          <w:lang w:eastAsia="zh-CN"/>
        </w:rPr>
        <w:t>淳安县汾口镇翠新街58号505室（号）</w:t>
      </w:r>
      <w:r>
        <w:rPr>
          <w:rFonts w:hint="eastAsia" w:ascii="微软雅黑" w:hAnsi="微软雅黑" w:eastAsia="微软雅黑" w:cs="仿宋_GB2312"/>
          <w:szCs w:val="21"/>
        </w:rPr>
        <w:t>，</w:t>
      </w:r>
      <w:bookmarkStart w:id="99" w:name="OLE_LINK26"/>
      <w:bookmarkStart w:id="100" w:name="OLE_LINK38"/>
      <w:bookmarkStart w:id="101" w:name="OLE_LINK37"/>
      <w:bookmarkStart w:id="102" w:name="OLE_LINK31"/>
      <w:bookmarkStart w:id="103" w:name="OLE_LINK27"/>
      <w:bookmarkStart w:id="104" w:name="OLE_LINK36"/>
      <w:bookmarkStart w:id="105" w:name="OLE_LINK35"/>
      <w:bookmarkStart w:id="106" w:name="OLE_LINK25"/>
      <w:bookmarkStart w:id="107" w:name="OLE_LINK28"/>
      <w:bookmarkStart w:id="108" w:name="OLE_LINK23"/>
      <w:bookmarkStart w:id="109" w:name="OLE_LINK24"/>
      <w:bookmarkStart w:id="110" w:name="OLE_LINK32"/>
      <w:bookmarkStart w:id="111" w:name="OLE_LINK39"/>
      <w:bookmarkStart w:id="112" w:name="OLE_LINK34"/>
      <w:r>
        <w:rPr>
          <w:rFonts w:hint="eastAsia" w:ascii="微软雅黑" w:hAnsi="微软雅黑" w:eastAsia="微软雅黑" w:cs="仿宋_GB2312"/>
          <w:szCs w:val="21"/>
          <w:highlight w:val="none"/>
        </w:rPr>
        <w:t>所在</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微软雅黑" w:hAnsi="微软雅黑" w:eastAsia="微软雅黑" w:cs="仿宋_GB2312"/>
          <w:szCs w:val="21"/>
          <w:highlight w:val="none"/>
        </w:rPr>
        <w:t>宗地</w:t>
      </w:r>
      <w:r>
        <w:rPr>
          <w:rFonts w:hint="eastAsia" w:ascii="微软雅黑" w:hAnsi="微软雅黑" w:eastAsia="微软雅黑" w:cs="仿宋_GB2312"/>
          <w:szCs w:val="21"/>
          <w:highlight w:val="none"/>
          <w:lang w:eastAsia="zh-CN"/>
        </w:rPr>
        <w:t>东至山体</w:t>
      </w:r>
      <w:r>
        <w:rPr>
          <w:rFonts w:hint="eastAsia" w:ascii="微软雅黑" w:hAnsi="微软雅黑" w:eastAsia="微软雅黑" w:cs="仿宋_GB2312"/>
          <w:szCs w:val="21"/>
          <w:highlight w:val="none"/>
        </w:rPr>
        <w:t>，</w:t>
      </w:r>
      <w:r>
        <w:rPr>
          <w:rFonts w:hint="eastAsia" w:ascii="微软雅黑" w:hAnsi="微软雅黑" w:eastAsia="微软雅黑" w:cs="仿宋_GB2312"/>
          <w:szCs w:val="21"/>
          <w:highlight w:val="none"/>
          <w:lang w:eastAsia="zh-CN"/>
        </w:rPr>
        <w:t>南近翠新街</w:t>
      </w:r>
      <w:r>
        <w:rPr>
          <w:rFonts w:hint="eastAsia" w:ascii="微软雅黑" w:hAnsi="微软雅黑" w:eastAsia="微软雅黑" w:cs="仿宋_GB2312"/>
          <w:szCs w:val="21"/>
          <w:highlight w:val="none"/>
        </w:rPr>
        <w:t>，西</w:t>
      </w:r>
      <w:r>
        <w:rPr>
          <w:rFonts w:hint="eastAsia" w:ascii="微软雅黑" w:hAnsi="微软雅黑" w:eastAsia="微软雅黑" w:cs="仿宋_GB2312"/>
          <w:szCs w:val="21"/>
          <w:highlight w:val="none"/>
          <w:lang w:eastAsia="zh-CN"/>
        </w:rPr>
        <w:t>至支路</w:t>
      </w:r>
      <w:r>
        <w:rPr>
          <w:rFonts w:hint="eastAsia" w:ascii="微软雅黑" w:hAnsi="微软雅黑" w:eastAsia="微软雅黑" w:cs="仿宋_GB2312"/>
          <w:szCs w:val="21"/>
          <w:highlight w:val="none"/>
        </w:rPr>
        <w:t>，</w:t>
      </w:r>
      <w:r>
        <w:rPr>
          <w:rFonts w:hint="eastAsia" w:ascii="微软雅黑" w:hAnsi="微软雅黑" w:eastAsia="微软雅黑" w:cs="仿宋_GB2312"/>
          <w:szCs w:val="21"/>
          <w:highlight w:val="none"/>
          <w:lang w:eastAsia="zh-CN"/>
        </w:rPr>
        <w:t>北至山体</w:t>
      </w:r>
      <w:r>
        <w:rPr>
          <w:rFonts w:hint="eastAsia" w:ascii="微软雅黑" w:hAnsi="微软雅黑" w:eastAsia="微软雅黑" w:cs="仿宋_GB2312"/>
          <w:szCs w:val="21"/>
          <w:highlight w:val="none"/>
        </w:rPr>
        <w:t>，</w:t>
      </w:r>
      <w:r>
        <w:rPr>
          <w:rFonts w:hint="eastAsia" w:ascii="微软雅黑" w:hAnsi="微软雅黑" w:eastAsia="微软雅黑" w:cs="仿宋_GB2312"/>
          <w:szCs w:val="21"/>
        </w:rPr>
        <w:t>地块呈较规则形状，水文地质条件较好，土壤无污染，环境质量较好，地质坚实，承载力适于建筑，地下水水质未发现污染，无不良地质现象。</w:t>
      </w:r>
    </w:p>
    <w:p>
      <w:pPr>
        <w:topLinePunct/>
        <w:adjustRightInd w:val="0"/>
        <w:snapToGrid w:val="0"/>
        <w:spacing w:line="312" w:lineRule="auto"/>
        <w:ind w:firstLine="420" w:firstLineChars="200"/>
        <w:rPr>
          <w:rFonts w:ascii="微软雅黑" w:hAnsi="微软雅黑" w:eastAsia="微软雅黑"/>
          <w:szCs w:val="21"/>
        </w:rPr>
      </w:pPr>
      <w:r>
        <w:rPr>
          <w:rFonts w:hint="eastAsia" w:ascii="微软雅黑" w:hAnsi="微软雅黑" w:eastAsia="微软雅黑" w:cs="仿宋_GB2312"/>
          <w:szCs w:val="21"/>
        </w:rPr>
        <w:t>估价对象分摊土地使用权面积</w:t>
      </w:r>
      <w:r>
        <w:rPr>
          <w:rFonts w:hint="eastAsia" w:ascii="微软雅黑" w:hAnsi="微软雅黑" w:eastAsia="微软雅黑" w:cs="仿宋_GB2312"/>
          <w:szCs w:val="21"/>
          <w:lang w:eastAsia="zh-CN"/>
        </w:rPr>
        <w:t>13.56</w:t>
      </w:r>
      <w:r>
        <w:rPr>
          <w:rFonts w:hint="eastAsia" w:ascii="微软雅黑" w:hAnsi="微软雅黑" w:eastAsia="微软雅黑" w:cs="仿宋_GB2312"/>
          <w:szCs w:val="21"/>
        </w:rPr>
        <w:t>平方米，土地使用权人为</w:t>
      </w:r>
      <w:r>
        <w:rPr>
          <w:rFonts w:hint="eastAsia" w:ascii="微软雅黑" w:hAnsi="微软雅黑" w:eastAsia="微软雅黑" w:cs="仿宋_GB2312"/>
          <w:szCs w:val="21"/>
          <w:lang w:eastAsia="zh-CN"/>
        </w:rPr>
        <w:t>朱晓寅、程本才</w:t>
      </w:r>
      <w:r>
        <w:rPr>
          <w:rFonts w:hint="eastAsia" w:ascii="微软雅黑" w:hAnsi="微软雅黑" w:eastAsia="微软雅黑" w:cs="仿宋_GB2312"/>
          <w:szCs w:val="21"/>
        </w:rPr>
        <w:t>，用途为</w:t>
      </w:r>
      <w:r>
        <w:rPr>
          <w:rFonts w:hint="eastAsia" w:ascii="微软雅黑" w:hAnsi="微软雅黑" w:eastAsia="微软雅黑" w:cs="仿宋_GB2312"/>
          <w:szCs w:val="21"/>
          <w:lang w:eastAsia="zh-CN"/>
        </w:rPr>
        <w:t>城镇</w:t>
      </w:r>
      <w:r>
        <w:rPr>
          <w:rFonts w:hint="eastAsia" w:ascii="微软雅黑" w:hAnsi="微软雅黑" w:eastAsia="微软雅黑" w:cs="仿宋_GB2312"/>
          <w:szCs w:val="21"/>
        </w:rPr>
        <w:t>住宅用地，终止日期为</w:t>
      </w:r>
      <w:r>
        <w:rPr>
          <w:rFonts w:hint="eastAsia" w:ascii="微软雅黑" w:hAnsi="微软雅黑" w:eastAsia="微软雅黑" w:cs="仿宋_GB2312"/>
          <w:szCs w:val="21"/>
          <w:lang w:eastAsia="zh-CN"/>
        </w:rPr>
        <w:t>2066年01月22日</w:t>
      </w:r>
      <w:r>
        <w:rPr>
          <w:rFonts w:hint="eastAsia" w:ascii="微软雅黑" w:hAnsi="微软雅黑" w:eastAsia="微软雅黑" w:cs="仿宋_GB2312"/>
          <w:szCs w:val="21"/>
        </w:rPr>
        <w:t>。至价值时点，该宗地外达到“</w:t>
      </w:r>
      <w:r>
        <w:rPr>
          <w:rFonts w:hint="eastAsia" w:ascii="微软雅黑" w:hAnsi="微软雅黑" w:eastAsia="微软雅黑" w:cs="仿宋_GB2312"/>
          <w:szCs w:val="21"/>
          <w:lang w:eastAsia="zh-CN"/>
        </w:rPr>
        <w:t>五</w:t>
      </w:r>
      <w:r>
        <w:rPr>
          <w:rFonts w:hint="eastAsia" w:ascii="微软雅黑" w:hAnsi="微软雅黑" w:eastAsia="微软雅黑" w:cs="仿宋_GB2312"/>
          <w:szCs w:val="21"/>
        </w:rPr>
        <w:t>六通”（通上水、通下水、通电、通路、通讯），宗地内达到“</w:t>
      </w:r>
      <w:r>
        <w:rPr>
          <w:rFonts w:hint="eastAsia" w:ascii="微软雅黑" w:hAnsi="微软雅黑" w:eastAsia="微软雅黑" w:cs="仿宋_GB2312"/>
          <w:szCs w:val="21"/>
          <w:lang w:eastAsia="zh-CN"/>
        </w:rPr>
        <w:t>五</w:t>
      </w:r>
      <w:r>
        <w:rPr>
          <w:rFonts w:hint="eastAsia" w:ascii="微软雅黑" w:hAnsi="微软雅黑" w:eastAsia="微软雅黑" w:cs="仿宋_GB2312"/>
          <w:szCs w:val="21"/>
        </w:rPr>
        <w:t>通一平” （通上水、通下水、通电、通路、通讯及场地平整）</w:t>
      </w:r>
      <w:r>
        <w:rPr>
          <w:rFonts w:hint="eastAsia" w:ascii="微软雅黑" w:hAnsi="微软雅黑" w:eastAsia="微软雅黑"/>
          <w:szCs w:val="21"/>
        </w:rPr>
        <w:t>。</w:t>
      </w:r>
    </w:p>
    <w:p>
      <w:pPr>
        <w:topLinePunct/>
        <w:adjustRightInd w:val="0"/>
        <w:snapToGrid w:val="0"/>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（3）估价对象现场照片</w:t>
      </w:r>
    </w:p>
    <w:tbl>
      <w:tblPr>
        <w:tblStyle w:val="16"/>
        <w:tblW w:w="10313" w:type="dxa"/>
        <w:jc w:val="center"/>
        <w:tblLayout w:type="fixed"/>
        <w:tblCellMar>
          <w:top w:w="0" w:type="dxa"/>
          <w:left w:w="108" w:type="dxa"/>
          <w:bottom w:w="0" w:type="dxa"/>
          <w:right w:w="108" w:type="dxa"/>
        </w:tblCellMar>
      </w:tblPr>
      <w:tblGrid>
        <w:gridCol w:w="5181"/>
        <w:gridCol w:w="5132"/>
      </w:tblGrid>
      <w:tr>
        <w:tblPrEx>
          <w:tblCellMar>
            <w:top w:w="0" w:type="dxa"/>
            <w:left w:w="108" w:type="dxa"/>
            <w:bottom w:w="0" w:type="dxa"/>
            <w:right w:w="108" w:type="dxa"/>
          </w:tblCellMar>
        </w:tblPrEx>
        <w:trPr>
          <w:trHeight w:val="3732" w:hRule="atLeast"/>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45790" cy="2359025"/>
                  <wp:effectExtent l="0" t="0" r="3810" b="3175"/>
                  <wp:docPr id="33" name="图片 33" descr="bc9a7f5cb9d77317c77f79a9fe49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bc9a7f5cb9d77317c77f79a9fe490fc"/>
                          <pic:cNvPicPr>
                            <a:picLocks noChangeAspect="1"/>
                          </pic:cNvPicPr>
                        </pic:nvPicPr>
                        <pic:blipFill>
                          <a:blip r:embed="rId10"/>
                          <a:stretch>
                            <a:fillRect/>
                          </a:stretch>
                        </pic:blipFill>
                        <pic:spPr>
                          <a:xfrm>
                            <a:off x="0" y="0"/>
                            <a:ext cx="3145790" cy="2359025"/>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08960" cy="2331720"/>
                  <wp:effectExtent l="0" t="0" r="2540" b="5080"/>
                  <wp:docPr id="17" name="图片 17" descr="IMG_20220809_13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0220809_134323"/>
                          <pic:cNvPicPr>
                            <a:picLocks noChangeAspect="1"/>
                          </pic:cNvPicPr>
                        </pic:nvPicPr>
                        <pic:blipFill>
                          <a:blip r:embed="rId11"/>
                          <a:stretch>
                            <a:fillRect/>
                          </a:stretch>
                        </pic:blipFill>
                        <pic:spPr>
                          <a:xfrm>
                            <a:off x="0" y="0"/>
                            <a:ext cx="3108960" cy="2331720"/>
                          </a:xfrm>
                          <a:prstGeom prst="rect">
                            <a:avLst/>
                          </a:prstGeom>
                        </pic:spPr>
                      </pic:pic>
                    </a:graphicData>
                  </a:graphic>
                </wp:inline>
              </w:drawing>
            </w:r>
          </w:p>
        </w:tc>
      </w:tr>
      <w:tr>
        <w:tblPrEx>
          <w:tblCellMar>
            <w:top w:w="0" w:type="dxa"/>
            <w:left w:w="108" w:type="dxa"/>
            <w:bottom w:w="0" w:type="dxa"/>
            <w:right w:w="108" w:type="dxa"/>
          </w:tblCellMar>
        </w:tblPrEx>
        <w:trPr>
          <w:trHeight w:val="505" w:hRule="exact"/>
          <w:jc w:val="center"/>
        </w:trPr>
        <w:tc>
          <w:tcPr>
            <w:tcW w:w="5181" w:type="dxa"/>
            <w:vAlign w:val="center"/>
          </w:tcPr>
          <w:p>
            <w:pPr>
              <w:jc w:val="center"/>
              <w:rPr>
                <w:rFonts w:hint="eastAsia" w:ascii="宋体" w:hAnsi="宋体" w:eastAsia="微软雅黑" w:cs="宋体"/>
                <w:b/>
                <w:lang w:val="en-US" w:eastAsia="zh-CN"/>
              </w:rPr>
            </w:pPr>
            <w:r>
              <w:rPr>
                <w:rFonts w:hint="eastAsia" w:ascii="微软雅黑" w:hAnsi="微软雅黑" w:eastAsia="微软雅黑" w:cs="仿宋_GB2312"/>
                <w:szCs w:val="21"/>
                <w:lang w:eastAsia="zh-CN"/>
              </w:rPr>
              <w:t>所在建筑物入口</w:t>
            </w:r>
          </w:p>
        </w:tc>
        <w:tc>
          <w:tcPr>
            <w:tcW w:w="5132" w:type="dxa"/>
            <w:vAlign w:val="center"/>
          </w:tcPr>
          <w:p>
            <w:pPr>
              <w:jc w:val="center"/>
              <w:rPr>
                <w:rFonts w:hint="eastAsia" w:ascii="宋体" w:hAnsi="宋体" w:eastAsia="微软雅黑" w:cs="宋体"/>
                <w:b/>
                <w:lang w:eastAsia="zh-CN"/>
              </w:rPr>
            </w:pPr>
            <w:r>
              <w:rPr>
                <w:rFonts w:hint="eastAsia" w:ascii="微软雅黑" w:hAnsi="微软雅黑" w:eastAsia="微软雅黑" w:cs="仿宋_GB2312"/>
                <w:szCs w:val="21"/>
              </w:rPr>
              <w:t>建筑物外观</w:t>
            </w:r>
            <w:r>
              <w:rPr>
                <w:rFonts w:hint="eastAsia" w:ascii="微软雅黑" w:hAnsi="微软雅黑" w:eastAsia="微软雅黑" w:cs="仿宋_GB2312"/>
                <w:szCs w:val="21"/>
                <w:lang w:eastAsia="zh-CN"/>
              </w:rPr>
              <w:t>一</w:t>
            </w:r>
          </w:p>
        </w:tc>
      </w:tr>
      <w:tr>
        <w:tblPrEx>
          <w:tblCellMar>
            <w:top w:w="0" w:type="dxa"/>
            <w:left w:w="108" w:type="dxa"/>
            <w:bottom w:w="0" w:type="dxa"/>
            <w:right w:w="108" w:type="dxa"/>
          </w:tblCellMar>
        </w:tblPrEx>
        <w:trPr>
          <w:trHeight w:val="90" w:hRule="atLeast"/>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50235" cy="2362835"/>
                  <wp:effectExtent l="0" t="0" r="12065" b="12065"/>
                  <wp:docPr id="18" name="图片 18" descr="IMG_20220809_134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0220809_134748"/>
                          <pic:cNvPicPr>
                            <a:picLocks noChangeAspect="1"/>
                          </pic:cNvPicPr>
                        </pic:nvPicPr>
                        <pic:blipFill>
                          <a:blip r:embed="rId12"/>
                          <a:stretch>
                            <a:fillRect/>
                          </a:stretch>
                        </pic:blipFill>
                        <pic:spPr>
                          <a:xfrm>
                            <a:off x="0" y="0"/>
                            <a:ext cx="3150235" cy="2362835"/>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01340" cy="2326005"/>
                  <wp:effectExtent l="0" t="0" r="10160" b="10795"/>
                  <wp:docPr id="35" name="图片 35" descr="IMG_20220809_13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IMG_20220809_135134"/>
                          <pic:cNvPicPr>
                            <a:picLocks noChangeAspect="1"/>
                          </pic:cNvPicPr>
                        </pic:nvPicPr>
                        <pic:blipFill>
                          <a:blip r:embed="rId13"/>
                          <a:stretch>
                            <a:fillRect/>
                          </a:stretch>
                        </pic:blipFill>
                        <pic:spPr>
                          <a:xfrm>
                            <a:off x="0" y="0"/>
                            <a:ext cx="3101340" cy="2326005"/>
                          </a:xfrm>
                          <a:prstGeom prst="rect">
                            <a:avLst/>
                          </a:prstGeom>
                        </pic:spPr>
                      </pic:pic>
                    </a:graphicData>
                  </a:graphic>
                </wp:inline>
              </w:drawing>
            </w:r>
          </w:p>
        </w:tc>
      </w:tr>
      <w:tr>
        <w:tblPrEx>
          <w:tblCellMar>
            <w:top w:w="0" w:type="dxa"/>
            <w:left w:w="108" w:type="dxa"/>
            <w:bottom w:w="0" w:type="dxa"/>
            <w:right w:w="108" w:type="dxa"/>
          </w:tblCellMar>
        </w:tblPrEx>
        <w:trPr>
          <w:trHeight w:val="519" w:hRule="exact"/>
          <w:jc w:val="center"/>
        </w:trPr>
        <w:tc>
          <w:tcPr>
            <w:tcW w:w="5181" w:type="dxa"/>
          </w:tcPr>
          <w:p>
            <w:pPr>
              <w:jc w:val="center"/>
              <w:rPr>
                <w:rFonts w:hint="eastAsia" w:ascii="宋体" w:hAnsi="宋体" w:eastAsia="微软雅黑" w:cs="宋体"/>
                <w:b/>
                <w:lang w:eastAsia="zh-CN"/>
              </w:rPr>
            </w:pPr>
            <w:r>
              <w:rPr>
                <w:rFonts w:hint="eastAsia" w:ascii="微软雅黑" w:hAnsi="微软雅黑" w:eastAsia="微软雅黑" w:cs="仿宋_GB2312"/>
                <w:szCs w:val="21"/>
              </w:rPr>
              <w:t>建筑物外观</w:t>
            </w:r>
            <w:r>
              <w:rPr>
                <w:rFonts w:hint="eastAsia" w:ascii="微软雅黑" w:hAnsi="微软雅黑" w:eastAsia="微软雅黑" w:cs="仿宋_GB2312"/>
                <w:szCs w:val="21"/>
                <w:lang w:eastAsia="zh-CN"/>
              </w:rPr>
              <w:t>二</w:t>
            </w:r>
          </w:p>
        </w:tc>
        <w:tc>
          <w:tcPr>
            <w:tcW w:w="5132" w:type="dxa"/>
          </w:tcPr>
          <w:p>
            <w:pPr>
              <w:jc w:val="center"/>
              <w:rPr>
                <w:rFonts w:hint="eastAsia" w:ascii="宋体" w:hAnsi="宋体" w:eastAsia="宋体" w:cs="宋体"/>
                <w:b/>
                <w:lang w:eastAsia="zh-CN"/>
              </w:rPr>
            </w:pPr>
            <w:r>
              <w:rPr>
                <w:rFonts w:hint="eastAsia" w:ascii="微软雅黑" w:hAnsi="微软雅黑" w:eastAsia="微软雅黑" w:cs="仿宋_GB2312"/>
                <w:szCs w:val="21"/>
                <w:lang w:eastAsia="zh-CN"/>
              </w:rPr>
              <w:t>单元门</w:t>
            </w:r>
          </w:p>
        </w:tc>
      </w:tr>
      <w:tr>
        <w:tblPrEx>
          <w:tblCellMar>
            <w:top w:w="0" w:type="dxa"/>
            <w:left w:w="108" w:type="dxa"/>
            <w:bottom w:w="0" w:type="dxa"/>
            <w:right w:w="108" w:type="dxa"/>
          </w:tblCellMar>
        </w:tblPrEx>
        <w:trPr>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08960" cy="2331720"/>
                  <wp:effectExtent l="0" t="0" r="2540" b="5080"/>
                  <wp:docPr id="20" name="图片 20" descr="IMG_20220809_13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0220809_135553"/>
                          <pic:cNvPicPr>
                            <a:picLocks noChangeAspect="1"/>
                          </pic:cNvPicPr>
                        </pic:nvPicPr>
                        <pic:blipFill>
                          <a:blip r:embed="rId14"/>
                          <a:stretch>
                            <a:fillRect/>
                          </a:stretch>
                        </pic:blipFill>
                        <pic:spPr>
                          <a:xfrm>
                            <a:off x="0" y="0"/>
                            <a:ext cx="3108960" cy="2331720"/>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50235" cy="2362835"/>
                  <wp:effectExtent l="0" t="0" r="12065" b="12065"/>
                  <wp:docPr id="21" name="图片 21" descr="IMG_20220809_13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0220809_135825"/>
                          <pic:cNvPicPr>
                            <a:picLocks noChangeAspect="1"/>
                          </pic:cNvPicPr>
                        </pic:nvPicPr>
                        <pic:blipFill>
                          <a:blip r:embed="rId15"/>
                          <a:stretch>
                            <a:fillRect/>
                          </a:stretch>
                        </pic:blipFill>
                        <pic:spPr>
                          <a:xfrm>
                            <a:off x="0" y="0"/>
                            <a:ext cx="3150235" cy="2362835"/>
                          </a:xfrm>
                          <a:prstGeom prst="rect">
                            <a:avLst/>
                          </a:prstGeom>
                        </pic:spPr>
                      </pic:pic>
                    </a:graphicData>
                  </a:graphic>
                </wp:inline>
              </w:drawing>
            </w:r>
          </w:p>
        </w:tc>
      </w:tr>
      <w:tr>
        <w:tblPrEx>
          <w:tblCellMar>
            <w:top w:w="0" w:type="dxa"/>
            <w:left w:w="108" w:type="dxa"/>
            <w:bottom w:w="0" w:type="dxa"/>
            <w:right w:w="108" w:type="dxa"/>
          </w:tblCellMar>
        </w:tblPrEx>
        <w:trPr>
          <w:trHeight w:val="483" w:hRule="exact"/>
          <w:jc w:val="center"/>
        </w:trPr>
        <w:tc>
          <w:tcPr>
            <w:tcW w:w="5181" w:type="dxa"/>
          </w:tcPr>
          <w:p>
            <w:pPr>
              <w:jc w:val="center"/>
              <w:rPr>
                <w:rFonts w:hint="eastAsia" w:ascii="宋体" w:hAnsi="宋体" w:eastAsia="宋体" w:cs="宋体"/>
                <w:b/>
                <w:sz w:val="28"/>
                <w:szCs w:val="28"/>
                <w:lang w:eastAsia="zh-CN"/>
              </w:rPr>
            </w:pPr>
            <w:r>
              <w:rPr>
                <w:rFonts w:hint="eastAsia" w:ascii="微软雅黑" w:hAnsi="微软雅黑" w:eastAsia="微软雅黑" w:cs="仿宋_GB2312"/>
                <w:szCs w:val="21"/>
                <w:lang w:eastAsia="zh-CN"/>
              </w:rPr>
              <w:t>入户门</w:t>
            </w:r>
          </w:p>
        </w:tc>
        <w:tc>
          <w:tcPr>
            <w:tcW w:w="5132" w:type="dxa"/>
          </w:tcPr>
          <w:p>
            <w:pPr>
              <w:jc w:val="center"/>
              <w:rPr>
                <w:rFonts w:hint="eastAsia" w:ascii="宋体" w:hAnsi="宋体" w:eastAsia="宋体" w:cs="宋体"/>
                <w:b/>
                <w:sz w:val="28"/>
                <w:szCs w:val="28"/>
                <w:lang w:eastAsia="zh-CN"/>
              </w:rPr>
            </w:pPr>
            <w:r>
              <w:rPr>
                <w:rFonts w:hint="eastAsia" w:ascii="微软雅黑" w:hAnsi="微软雅黑" w:eastAsia="微软雅黑" w:cs="仿宋_GB2312"/>
                <w:szCs w:val="21"/>
                <w:lang w:eastAsia="zh-CN"/>
              </w:rPr>
              <w:t>部分室内状况一</w:t>
            </w:r>
          </w:p>
        </w:tc>
      </w:tr>
      <w:tr>
        <w:tblPrEx>
          <w:tblCellMar>
            <w:top w:w="0" w:type="dxa"/>
            <w:left w:w="108" w:type="dxa"/>
            <w:bottom w:w="0" w:type="dxa"/>
            <w:right w:w="108" w:type="dxa"/>
          </w:tblCellMar>
        </w:tblPrEx>
        <w:trPr>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50235" cy="2362835"/>
                  <wp:effectExtent l="0" t="0" r="12065" b="12065"/>
                  <wp:docPr id="34" name="图片 34" descr="IMG_20220809_13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0220809_135731"/>
                          <pic:cNvPicPr>
                            <a:picLocks noChangeAspect="1"/>
                          </pic:cNvPicPr>
                        </pic:nvPicPr>
                        <pic:blipFill>
                          <a:blip r:embed="rId16"/>
                          <a:stretch>
                            <a:fillRect/>
                          </a:stretch>
                        </pic:blipFill>
                        <pic:spPr>
                          <a:xfrm>
                            <a:off x="0" y="0"/>
                            <a:ext cx="3150235" cy="2362835"/>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08960" cy="2331720"/>
                  <wp:effectExtent l="0" t="0" r="2540" b="5080"/>
                  <wp:docPr id="22" name="图片 22" descr="IMG_20220809_13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0220809_135631"/>
                          <pic:cNvPicPr>
                            <a:picLocks noChangeAspect="1"/>
                          </pic:cNvPicPr>
                        </pic:nvPicPr>
                        <pic:blipFill>
                          <a:blip r:embed="rId17"/>
                          <a:stretch>
                            <a:fillRect/>
                          </a:stretch>
                        </pic:blipFill>
                        <pic:spPr>
                          <a:xfrm>
                            <a:off x="0" y="0"/>
                            <a:ext cx="3108960" cy="2331720"/>
                          </a:xfrm>
                          <a:prstGeom prst="rect">
                            <a:avLst/>
                          </a:prstGeom>
                        </pic:spPr>
                      </pic:pic>
                    </a:graphicData>
                  </a:graphic>
                </wp:inline>
              </w:drawing>
            </w:r>
          </w:p>
        </w:tc>
      </w:tr>
      <w:tr>
        <w:tblPrEx>
          <w:tblCellMar>
            <w:top w:w="0" w:type="dxa"/>
            <w:left w:w="108" w:type="dxa"/>
            <w:bottom w:w="0" w:type="dxa"/>
            <w:right w:w="108" w:type="dxa"/>
          </w:tblCellMar>
        </w:tblPrEx>
        <w:trPr>
          <w:trHeight w:val="565" w:hRule="exact"/>
          <w:jc w:val="center"/>
        </w:trPr>
        <w:tc>
          <w:tcPr>
            <w:tcW w:w="5181" w:type="dxa"/>
          </w:tcPr>
          <w:p>
            <w:pPr>
              <w:jc w:val="center"/>
              <w:rPr>
                <w:rFonts w:hint="eastAsia" w:ascii="宋体" w:hAnsi="宋体" w:eastAsia="微软雅黑" w:cs="宋体"/>
                <w:b/>
                <w:lang w:eastAsia="zh-CN"/>
              </w:rPr>
            </w:pPr>
            <w:r>
              <w:rPr>
                <w:rFonts w:hint="eastAsia" w:ascii="微软雅黑" w:hAnsi="微软雅黑" w:eastAsia="微软雅黑" w:cs="仿宋_GB2312"/>
                <w:szCs w:val="21"/>
              </w:rPr>
              <w:t>部分室内状况</w:t>
            </w:r>
            <w:r>
              <w:rPr>
                <w:rFonts w:hint="eastAsia" w:ascii="微软雅黑" w:hAnsi="微软雅黑" w:eastAsia="微软雅黑" w:cs="仿宋_GB2312"/>
                <w:szCs w:val="21"/>
                <w:lang w:eastAsia="zh-CN"/>
              </w:rPr>
              <w:t>二</w:t>
            </w:r>
          </w:p>
        </w:tc>
        <w:tc>
          <w:tcPr>
            <w:tcW w:w="5132" w:type="dxa"/>
          </w:tcPr>
          <w:p>
            <w:pPr>
              <w:jc w:val="center"/>
              <w:rPr>
                <w:rFonts w:ascii="宋体" w:hAnsi="宋体" w:eastAsia="微软雅黑" w:cs="宋体"/>
                <w:b/>
              </w:rPr>
            </w:pPr>
            <w:r>
              <w:rPr>
                <w:rFonts w:hint="eastAsia" w:ascii="微软雅黑" w:hAnsi="微软雅黑" w:eastAsia="微软雅黑" w:cs="仿宋_GB2312"/>
                <w:szCs w:val="21"/>
              </w:rPr>
              <w:t>部分室内状况</w:t>
            </w:r>
            <w:r>
              <w:rPr>
                <w:rFonts w:hint="eastAsia" w:ascii="微软雅黑" w:hAnsi="微软雅黑" w:eastAsia="微软雅黑" w:cs="仿宋_GB2312"/>
                <w:szCs w:val="21"/>
                <w:lang w:eastAsia="zh-CN"/>
              </w:rPr>
              <w:t>三</w:t>
            </w:r>
          </w:p>
        </w:tc>
      </w:tr>
      <w:tr>
        <w:tblPrEx>
          <w:tblCellMar>
            <w:top w:w="0" w:type="dxa"/>
            <w:left w:w="108" w:type="dxa"/>
            <w:bottom w:w="0" w:type="dxa"/>
            <w:right w:w="108" w:type="dxa"/>
          </w:tblCellMar>
        </w:tblPrEx>
        <w:trPr>
          <w:trHeight w:val="90" w:hRule="atLeast"/>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50235" cy="2362835"/>
                  <wp:effectExtent l="0" t="0" r="12065" b="12065"/>
                  <wp:docPr id="23" name="图片 23" descr="IMG_20220809_13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0220809_135657"/>
                          <pic:cNvPicPr>
                            <a:picLocks noChangeAspect="1"/>
                          </pic:cNvPicPr>
                        </pic:nvPicPr>
                        <pic:blipFill>
                          <a:blip r:embed="rId18"/>
                          <a:stretch>
                            <a:fillRect/>
                          </a:stretch>
                        </pic:blipFill>
                        <pic:spPr>
                          <a:xfrm>
                            <a:off x="0" y="0"/>
                            <a:ext cx="3150235" cy="2362835"/>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08960" cy="2331720"/>
                  <wp:effectExtent l="0" t="0" r="2540" b="5080"/>
                  <wp:docPr id="24" name="图片 24" descr="IMG_20220809_13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0220809_135719"/>
                          <pic:cNvPicPr>
                            <a:picLocks noChangeAspect="1"/>
                          </pic:cNvPicPr>
                        </pic:nvPicPr>
                        <pic:blipFill>
                          <a:blip r:embed="rId19"/>
                          <a:stretch>
                            <a:fillRect/>
                          </a:stretch>
                        </pic:blipFill>
                        <pic:spPr>
                          <a:xfrm>
                            <a:off x="0" y="0"/>
                            <a:ext cx="3108960" cy="2331720"/>
                          </a:xfrm>
                          <a:prstGeom prst="rect">
                            <a:avLst/>
                          </a:prstGeom>
                        </pic:spPr>
                      </pic:pic>
                    </a:graphicData>
                  </a:graphic>
                </wp:inline>
              </w:drawing>
            </w:r>
          </w:p>
        </w:tc>
      </w:tr>
      <w:tr>
        <w:tblPrEx>
          <w:tblCellMar>
            <w:top w:w="0" w:type="dxa"/>
            <w:left w:w="108" w:type="dxa"/>
            <w:bottom w:w="0" w:type="dxa"/>
            <w:right w:w="108" w:type="dxa"/>
          </w:tblCellMar>
        </w:tblPrEx>
        <w:trPr>
          <w:trHeight w:val="555" w:hRule="exact"/>
          <w:jc w:val="center"/>
        </w:trPr>
        <w:tc>
          <w:tcPr>
            <w:tcW w:w="5181" w:type="dxa"/>
          </w:tcPr>
          <w:p>
            <w:pPr>
              <w:jc w:val="center"/>
              <w:rPr>
                <w:rFonts w:ascii="宋体" w:hAnsi="宋体" w:eastAsia="微软雅黑" w:cs="宋体"/>
                <w:b/>
              </w:rPr>
            </w:pPr>
            <w:r>
              <w:rPr>
                <w:rFonts w:hint="eastAsia" w:ascii="微软雅黑" w:hAnsi="微软雅黑" w:eastAsia="微软雅黑" w:cs="仿宋_GB2312"/>
                <w:szCs w:val="21"/>
              </w:rPr>
              <w:t>部分室内状况</w:t>
            </w:r>
            <w:r>
              <w:rPr>
                <w:rFonts w:hint="eastAsia" w:ascii="微软雅黑" w:hAnsi="微软雅黑" w:eastAsia="微软雅黑" w:cs="仿宋_GB2312"/>
                <w:szCs w:val="21"/>
                <w:lang w:eastAsia="zh-CN"/>
              </w:rPr>
              <w:t>四</w:t>
            </w:r>
          </w:p>
        </w:tc>
        <w:tc>
          <w:tcPr>
            <w:tcW w:w="5132" w:type="dxa"/>
          </w:tcPr>
          <w:p>
            <w:pPr>
              <w:jc w:val="center"/>
              <w:rPr>
                <w:rFonts w:hint="eastAsia" w:ascii="宋体" w:hAnsi="宋体" w:eastAsia="微软雅黑" w:cs="宋体"/>
                <w:b/>
                <w:lang w:eastAsia="zh-CN"/>
              </w:rPr>
            </w:pPr>
            <w:r>
              <w:rPr>
                <w:rFonts w:hint="eastAsia" w:ascii="微软雅黑" w:hAnsi="微软雅黑" w:eastAsia="微软雅黑" w:cs="仿宋_GB2312"/>
                <w:szCs w:val="21"/>
              </w:rPr>
              <w:t>部分室内状况</w:t>
            </w:r>
            <w:r>
              <w:rPr>
                <w:rFonts w:hint="eastAsia" w:ascii="微软雅黑" w:hAnsi="微软雅黑" w:eastAsia="微软雅黑" w:cs="仿宋_GB2312"/>
                <w:szCs w:val="21"/>
                <w:lang w:eastAsia="zh-CN"/>
              </w:rPr>
              <w:t>五</w:t>
            </w:r>
          </w:p>
        </w:tc>
      </w:tr>
      <w:tr>
        <w:tblPrEx>
          <w:tblCellMar>
            <w:top w:w="0" w:type="dxa"/>
            <w:left w:w="108" w:type="dxa"/>
            <w:bottom w:w="0" w:type="dxa"/>
            <w:right w:w="108" w:type="dxa"/>
          </w:tblCellMar>
        </w:tblPrEx>
        <w:trPr>
          <w:trHeight w:val="90" w:hRule="atLeast"/>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52140" cy="2363470"/>
                  <wp:effectExtent l="0" t="0" r="10160" b="11430"/>
                  <wp:docPr id="31" name="图片 31" descr="defbbc8c6bf74ba0fefa5597aa0c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defbbc8c6bf74ba0fefa5597aa0c711"/>
                          <pic:cNvPicPr>
                            <a:picLocks noChangeAspect="1"/>
                          </pic:cNvPicPr>
                        </pic:nvPicPr>
                        <pic:blipFill>
                          <a:blip r:embed="rId20"/>
                          <a:stretch>
                            <a:fillRect/>
                          </a:stretch>
                        </pic:blipFill>
                        <pic:spPr>
                          <a:xfrm>
                            <a:off x="0" y="0"/>
                            <a:ext cx="3152140" cy="2363470"/>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08960" cy="2331720"/>
                  <wp:effectExtent l="0" t="0" r="2540" b="5080"/>
                  <wp:docPr id="30" name="图片 30" descr="IMG_20220809_13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0220809_135623"/>
                          <pic:cNvPicPr>
                            <a:picLocks noChangeAspect="1"/>
                          </pic:cNvPicPr>
                        </pic:nvPicPr>
                        <pic:blipFill>
                          <a:blip r:embed="rId21"/>
                          <a:stretch>
                            <a:fillRect/>
                          </a:stretch>
                        </pic:blipFill>
                        <pic:spPr>
                          <a:xfrm>
                            <a:off x="0" y="0"/>
                            <a:ext cx="3108960" cy="2331720"/>
                          </a:xfrm>
                          <a:prstGeom prst="rect">
                            <a:avLst/>
                          </a:prstGeom>
                        </pic:spPr>
                      </pic:pic>
                    </a:graphicData>
                  </a:graphic>
                </wp:inline>
              </w:drawing>
            </w:r>
          </w:p>
        </w:tc>
      </w:tr>
      <w:tr>
        <w:tblPrEx>
          <w:tblCellMar>
            <w:top w:w="0" w:type="dxa"/>
            <w:left w:w="108" w:type="dxa"/>
            <w:bottom w:w="0" w:type="dxa"/>
            <w:right w:w="108" w:type="dxa"/>
          </w:tblCellMar>
        </w:tblPrEx>
        <w:trPr>
          <w:trHeight w:val="555" w:hRule="exact"/>
          <w:jc w:val="center"/>
        </w:trPr>
        <w:tc>
          <w:tcPr>
            <w:tcW w:w="5181" w:type="dxa"/>
          </w:tcPr>
          <w:p>
            <w:pPr>
              <w:jc w:val="center"/>
              <w:rPr>
                <w:rFonts w:hint="eastAsia" w:ascii="宋体" w:hAnsi="宋体" w:eastAsia="微软雅黑" w:cs="宋体"/>
                <w:b/>
                <w:lang w:eastAsia="zh-CN"/>
              </w:rPr>
            </w:pPr>
            <w:r>
              <w:rPr>
                <w:rFonts w:hint="eastAsia" w:ascii="微软雅黑" w:hAnsi="微软雅黑" w:eastAsia="微软雅黑" w:cs="仿宋_GB2312"/>
                <w:szCs w:val="21"/>
              </w:rPr>
              <w:t>部分室内状况</w:t>
            </w:r>
            <w:r>
              <w:rPr>
                <w:rFonts w:hint="eastAsia" w:ascii="微软雅黑" w:hAnsi="微软雅黑" w:eastAsia="微软雅黑" w:cs="仿宋_GB2312"/>
                <w:szCs w:val="21"/>
                <w:lang w:eastAsia="zh-CN"/>
              </w:rPr>
              <w:t>六</w:t>
            </w:r>
          </w:p>
        </w:tc>
        <w:tc>
          <w:tcPr>
            <w:tcW w:w="5132" w:type="dxa"/>
          </w:tcPr>
          <w:p>
            <w:pPr>
              <w:jc w:val="center"/>
              <w:rPr>
                <w:rFonts w:hint="eastAsia" w:ascii="宋体" w:hAnsi="宋体" w:eastAsia="微软雅黑" w:cs="宋体"/>
                <w:b/>
                <w:lang w:eastAsia="zh-CN"/>
              </w:rPr>
            </w:pPr>
            <w:r>
              <w:rPr>
                <w:rFonts w:hint="eastAsia" w:ascii="微软雅黑" w:hAnsi="微软雅黑" w:eastAsia="微软雅黑" w:cs="仿宋_GB2312"/>
                <w:szCs w:val="21"/>
              </w:rPr>
              <w:t>部分室内状况</w:t>
            </w:r>
            <w:r>
              <w:rPr>
                <w:rFonts w:hint="eastAsia" w:ascii="微软雅黑" w:hAnsi="微软雅黑" w:eastAsia="微软雅黑" w:cs="仿宋_GB2312"/>
                <w:szCs w:val="21"/>
                <w:lang w:eastAsia="zh-CN"/>
              </w:rPr>
              <w:t>七</w:t>
            </w:r>
          </w:p>
        </w:tc>
      </w:tr>
    </w:tbl>
    <w:p>
      <w:pPr>
        <w:pStyle w:val="23"/>
        <w:adjustRightInd w:val="0"/>
        <w:snapToGrid w:val="0"/>
        <w:spacing w:line="240" w:lineRule="atLeast"/>
        <w:jc w:val="center"/>
        <w:rPr>
          <w:rFonts w:ascii="微软雅黑" w:hAnsi="微软雅黑" w:eastAsia="微软雅黑" w:cs="仿宋_GB2312"/>
          <w:szCs w:val="21"/>
        </w:rPr>
      </w:pPr>
      <w:r>
        <w:rPr>
          <w:rFonts w:hint="eastAsia" w:ascii="微软雅黑" w:hAnsi="微软雅黑" w:eastAsia="微软雅黑" w:cs="仿宋_GB2312"/>
          <w:szCs w:val="21"/>
        </w:rPr>
        <w:t xml:space="preserve"> </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3、区域状况描述与分析</w:t>
      </w:r>
    </w:p>
    <w:p>
      <w:pPr>
        <w:pStyle w:val="24"/>
        <w:topLinePunct/>
        <w:adjustRightInd w:val="0"/>
        <w:snapToGrid w:val="0"/>
        <w:spacing w:line="312" w:lineRule="auto"/>
        <w:rPr>
          <w:rFonts w:ascii="微软雅黑" w:hAnsi="微软雅黑" w:eastAsia="微软雅黑"/>
          <w:szCs w:val="21"/>
        </w:rPr>
      </w:pPr>
      <w:r>
        <w:rPr>
          <w:rFonts w:hint="eastAsia" w:ascii="微软雅黑" w:hAnsi="微软雅黑" w:eastAsia="微软雅黑"/>
          <w:szCs w:val="21"/>
        </w:rPr>
        <w:t>区位状况主要包括位置状况、交通状况、环境状况、公共配套状况等，本次主要分析如下：</w:t>
      </w:r>
    </w:p>
    <w:tbl>
      <w:tblPr>
        <w:tblStyle w:val="16"/>
        <w:tblW w:w="8999" w:type="dxa"/>
        <w:jc w:val="right"/>
        <w:tblLayout w:type="fixed"/>
        <w:tblCellMar>
          <w:top w:w="0" w:type="dxa"/>
          <w:left w:w="108" w:type="dxa"/>
          <w:bottom w:w="0" w:type="dxa"/>
          <w:right w:w="108" w:type="dxa"/>
        </w:tblCellMar>
      </w:tblPr>
      <w:tblGrid>
        <w:gridCol w:w="709"/>
        <w:gridCol w:w="1418"/>
        <w:gridCol w:w="6872"/>
      </w:tblGrid>
      <w:tr>
        <w:tblPrEx>
          <w:tblCellMar>
            <w:top w:w="0" w:type="dxa"/>
            <w:left w:w="108" w:type="dxa"/>
            <w:bottom w:w="0" w:type="dxa"/>
            <w:right w:w="108" w:type="dxa"/>
          </w:tblCellMar>
        </w:tblPrEx>
        <w:trPr>
          <w:trHeight w:val="567" w:hRule="exact"/>
          <w:jc w:val="right"/>
        </w:trPr>
        <w:tc>
          <w:tcPr>
            <w:tcW w:w="709" w:type="dxa"/>
            <w:vMerge w:val="restart"/>
            <w:tcBorders>
              <w:top w:val="single" w:color="auto" w:sz="12" w:space="0"/>
              <w:left w:val="single" w:color="auto" w:sz="12" w:space="0"/>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位置状况</w:t>
            </w:r>
          </w:p>
        </w:tc>
        <w:tc>
          <w:tcPr>
            <w:tcW w:w="1418" w:type="dxa"/>
            <w:tcBorders>
              <w:top w:val="single" w:color="auto" w:sz="12" w:space="0"/>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坐落</w:t>
            </w:r>
          </w:p>
        </w:tc>
        <w:tc>
          <w:tcPr>
            <w:tcW w:w="6872" w:type="dxa"/>
            <w:tcBorders>
              <w:top w:val="single" w:color="auto" w:sz="12" w:space="0"/>
              <w:left w:val="nil"/>
              <w:bottom w:val="dotted" w:color="auto" w:sz="4" w:space="0"/>
              <w:right w:val="single" w:color="auto" w:sz="12" w:space="0"/>
            </w:tcBorders>
            <w:shd w:val="clear" w:color="000000" w:fill="FFFFFF"/>
            <w:vAlign w:val="center"/>
          </w:tcPr>
          <w:p>
            <w:pPr>
              <w:widowControl/>
              <w:spacing w:line="400" w:lineRule="exact"/>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淳安县汾口镇翠新街58号505室（号）</w:t>
            </w:r>
          </w:p>
        </w:tc>
      </w:tr>
      <w:tr>
        <w:tblPrEx>
          <w:tblCellMar>
            <w:top w:w="0" w:type="dxa"/>
            <w:left w:w="108" w:type="dxa"/>
            <w:bottom w:w="0" w:type="dxa"/>
            <w:right w:w="108" w:type="dxa"/>
          </w:tblCellMar>
        </w:tblPrEx>
        <w:trPr>
          <w:trHeight w:val="567" w:hRule="exac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方位</w:t>
            </w:r>
          </w:p>
        </w:tc>
        <w:tc>
          <w:tcPr>
            <w:tcW w:w="6872" w:type="dxa"/>
            <w:tcBorders>
              <w:top w:val="nil"/>
              <w:left w:val="nil"/>
              <w:bottom w:val="dotted" w:color="auto" w:sz="4" w:space="0"/>
              <w:right w:val="single" w:color="auto" w:sz="12" w:space="0"/>
            </w:tcBorders>
            <w:shd w:val="clear" w:color="000000" w:fill="FFFFFF"/>
            <w:vAlign w:val="center"/>
          </w:tcPr>
          <w:p>
            <w:pPr>
              <w:widowControl/>
              <w:spacing w:line="400" w:lineRule="exact"/>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位于淳安县汾口镇翠新街北侧，汾口镇小学东侧</w:t>
            </w:r>
          </w:p>
        </w:tc>
      </w:tr>
      <w:tr>
        <w:tblPrEx>
          <w:tblCellMar>
            <w:top w:w="0" w:type="dxa"/>
            <w:left w:w="108" w:type="dxa"/>
            <w:bottom w:w="0" w:type="dxa"/>
            <w:right w:w="108" w:type="dxa"/>
          </w:tblCellMar>
        </w:tblPrEx>
        <w:trPr>
          <w:trHeight w:val="567" w:hRule="exac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临路状况</w:t>
            </w:r>
          </w:p>
        </w:tc>
        <w:tc>
          <w:tcPr>
            <w:tcW w:w="6872" w:type="dxa"/>
            <w:tcBorders>
              <w:top w:val="nil"/>
              <w:left w:val="nil"/>
              <w:bottom w:val="dotted" w:color="auto" w:sz="4" w:space="0"/>
              <w:right w:val="single" w:color="auto" w:sz="12" w:space="0"/>
            </w:tcBorders>
            <w:shd w:val="clear" w:color="000000" w:fill="FFFFFF"/>
            <w:vAlign w:val="center"/>
          </w:tcPr>
          <w:p>
            <w:pPr>
              <w:widowControl/>
              <w:spacing w:line="400" w:lineRule="exact"/>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所在宗地西临支路</w:t>
            </w:r>
          </w:p>
        </w:tc>
      </w:tr>
      <w:tr>
        <w:tblPrEx>
          <w:tblCellMar>
            <w:top w:w="0" w:type="dxa"/>
            <w:left w:w="108" w:type="dxa"/>
            <w:bottom w:w="0" w:type="dxa"/>
            <w:right w:w="108" w:type="dxa"/>
          </w:tblCellMar>
        </w:tblPrEx>
        <w:trPr>
          <w:trHeight w:val="20" w:hRule="atLeas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距离</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hint="default" w:ascii="微软雅黑" w:hAnsi="微软雅黑" w:eastAsia="微软雅黑" w:cs="仿宋_GB2312"/>
                <w:lang w:val="en-US" w:eastAsia="zh-CN"/>
              </w:rPr>
            </w:pPr>
            <w:r>
              <w:rPr>
                <w:rFonts w:hint="eastAsia" w:ascii="微软雅黑" w:hAnsi="微软雅黑" w:eastAsia="微软雅黑" w:cs="仿宋_GB2312"/>
              </w:rPr>
              <w:t>估价对象位于</w:t>
            </w:r>
            <w:r>
              <w:rPr>
                <w:rFonts w:hint="eastAsia" w:ascii="微软雅黑" w:hAnsi="微软雅黑" w:eastAsia="微软雅黑" w:cs="仿宋_GB2312"/>
                <w:lang w:eastAsia="zh-CN"/>
              </w:rPr>
              <w:t>淳安县汾口镇</w:t>
            </w:r>
            <w:r>
              <w:rPr>
                <w:rFonts w:hint="eastAsia" w:ascii="微软雅黑" w:hAnsi="微软雅黑" w:eastAsia="微软雅黑" w:cs="仿宋_GB2312"/>
              </w:rPr>
              <w:t>，</w:t>
            </w:r>
            <w:r>
              <w:rPr>
                <w:rFonts w:hint="eastAsia" w:ascii="微软雅黑" w:hAnsi="微软雅黑" w:eastAsia="微软雅黑" w:cs="仿宋_GB2312"/>
                <w:lang w:eastAsia="zh-CN"/>
              </w:rPr>
              <w:t>紧邻汾口镇小学、距汾口镇初级中学直线距离约</w:t>
            </w:r>
            <w:r>
              <w:rPr>
                <w:rFonts w:hint="eastAsia" w:ascii="微软雅黑" w:hAnsi="微软雅黑" w:eastAsia="微软雅黑" w:cs="仿宋_GB2312"/>
                <w:lang w:val="en-US" w:eastAsia="zh-CN"/>
              </w:rPr>
              <w:t>50米、汾口镇政府直线距离约900米</w:t>
            </w:r>
          </w:p>
        </w:tc>
      </w:tr>
      <w:tr>
        <w:tblPrEx>
          <w:tblCellMar>
            <w:top w:w="0" w:type="dxa"/>
            <w:left w:w="108" w:type="dxa"/>
            <w:bottom w:w="0" w:type="dxa"/>
            <w:right w:w="108" w:type="dxa"/>
          </w:tblCellMar>
        </w:tblPrEx>
        <w:trPr>
          <w:trHeight w:val="567" w:hRule="exac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朝向</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南北朝向</w:t>
            </w:r>
          </w:p>
        </w:tc>
      </w:tr>
      <w:tr>
        <w:tblPrEx>
          <w:tblCellMar>
            <w:top w:w="0" w:type="dxa"/>
            <w:left w:w="108" w:type="dxa"/>
            <w:bottom w:w="0" w:type="dxa"/>
            <w:right w:w="108" w:type="dxa"/>
          </w:tblCellMar>
        </w:tblPrEx>
        <w:trPr>
          <w:trHeight w:val="567" w:hRule="exac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楼层</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总楼层</w:t>
            </w:r>
            <w:r>
              <w:rPr>
                <w:rFonts w:hint="eastAsia" w:ascii="微软雅黑" w:hAnsi="微软雅黑" w:eastAsia="微软雅黑" w:cs="仿宋_GB2312"/>
                <w:lang w:val="en-US" w:eastAsia="zh-CN"/>
              </w:rPr>
              <w:t>6</w:t>
            </w:r>
            <w:r>
              <w:rPr>
                <w:rFonts w:hint="eastAsia" w:ascii="微软雅黑" w:hAnsi="微软雅黑" w:eastAsia="微软雅黑" w:cs="仿宋_GB2312"/>
              </w:rPr>
              <w:t>层，估价对象位于</w:t>
            </w:r>
            <w:r>
              <w:rPr>
                <w:rFonts w:hint="eastAsia" w:ascii="微软雅黑" w:hAnsi="微软雅黑" w:eastAsia="微软雅黑" w:cs="仿宋_GB2312"/>
                <w:lang w:val="en-US" w:eastAsia="zh-CN"/>
              </w:rPr>
              <w:t>5</w:t>
            </w:r>
            <w:r>
              <w:rPr>
                <w:rFonts w:hint="eastAsia" w:ascii="微软雅黑" w:hAnsi="微软雅黑" w:eastAsia="微软雅黑" w:cs="仿宋_GB2312"/>
              </w:rPr>
              <w:t>层</w:t>
            </w:r>
          </w:p>
        </w:tc>
      </w:tr>
      <w:tr>
        <w:tblPrEx>
          <w:tblCellMar>
            <w:top w:w="0" w:type="dxa"/>
            <w:left w:w="108" w:type="dxa"/>
            <w:bottom w:w="0" w:type="dxa"/>
            <w:right w:w="108" w:type="dxa"/>
          </w:tblCellMar>
        </w:tblPrEx>
        <w:trPr>
          <w:trHeight w:val="567" w:hRule="exact"/>
          <w:jc w:val="right"/>
        </w:trPr>
        <w:tc>
          <w:tcPr>
            <w:tcW w:w="709" w:type="dxa"/>
            <w:vMerge w:val="restart"/>
            <w:tcBorders>
              <w:top w:val="nil"/>
              <w:left w:val="single" w:color="auto" w:sz="12" w:space="0"/>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交通状况</w:t>
            </w: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道路</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hint="eastAsia" w:ascii="微软雅黑" w:hAnsi="微软雅黑" w:eastAsia="微软雅黑" w:cs="仿宋_GB2312"/>
                <w:lang w:eastAsia="zh-CN"/>
              </w:rPr>
            </w:pPr>
            <w:r>
              <w:rPr>
                <w:rFonts w:hint="eastAsia" w:ascii="微软雅黑" w:hAnsi="微软雅黑" w:eastAsia="微软雅黑" w:cs="仿宋_GB2312"/>
                <w:szCs w:val="21"/>
                <w:highlight w:val="none"/>
                <w:lang w:eastAsia="zh-CN"/>
              </w:rPr>
              <w:t>西至支路，南近翠新街</w:t>
            </w:r>
            <w:r>
              <w:rPr>
                <w:rFonts w:hint="eastAsia" w:ascii="微软雅黑" w:hAnsi="微软雅黑" w:eastAsia="微软雅黑" w:cs="仿宋_GB2312"/>
                <w:highlight w:val="none"/>
              </w:rPr>
              <w:t>，道</w:t>
            </w:r>
            <w:r>
              <w:rPr>
                <w:rFonts w:hint="eastAsia" w:ascii="微软雅黑" w:hAnsi="微软雅黑" w:eastAsia="微软雅黑" w:cs="仿宋_GB2312"/>
              </w:rPr>
              <w:t>路通达度</w:t>
            </w:r>
            <w:r>
              <w:rPr>
                <w:rFonts w:hint="eastAsia" w:ascii="微软雅黑" w:hAnsi="微软雅黑" w:eastAsia="微软雅黑" w:cs="仿宋_GB2312"/>
                <w:lang w:eastAsia="zh-CN"/>
              </w:rPr>
              <w:t>一般</w:t>
            </w:r>
          </w:p>
        </w:tc>
      </w:tr>
      <w:tr>
        <w:tblPrEx>
          <w:tblCellMar>
            <w:top w:w="0" w:type="dxa"/>
            <w:left w:w="108" w:type="dxa"/>
            <w:bottom w:w="0" w:type="dxa"/>
            <w:right w:w="108" w:type="dxa"/>
          </w:tblCellMar>
        </w:tblPrEx>
        <w:trPr>
          <w:trHeight w:val="567" w:hRule="exac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公共交通</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hint="eastAsia" w:ascii="微软雅黑" w:hAnsi="微软雅黑" w:eastAsia="宋体" w:cs="仿宋_GB2312"/>
                <w:lang w:eastAsia="zh-CN"/>
              </w:rPr>
            </w:pPr>
            <w:r>
              <w:rPr>
                <w:rFonts w:hint="eastAsia" w:ascii="微软雅黑" w:hAnsi="微软雅黑" w:eastAsia="微软雅黑" w:cs="仿宋_GB2312"/>
                <w:lang w:eastAsia="zh-CN"/>
              </w:rPr>
              <w:t>公共交通便捷度一般</w:t>
            </w:r>
          </w:p>
        </w:tc>
      </w:tr>
      <w:tr>
        <w:tblPrEx>
          <w:tblCellMar>
            <w:top w:w="0" w:type="dxa"/>
            <w:left w:w="108" w:type="dxa"/>
            <w:bottom w:w="0" w:type="dxa"/>
            <w:right w:w="108" w:type="dxa"/>
          </w:tblCellMar>
        </w:tblPrEx>
        <w:trPr>
          <w:trHeight w:val="567" w:hRule="exac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交通管制</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无交通管制</w:t>
            </w:r>
          </w:p>
        </w:tc>
      </w:tr>
      <w:tr>
        <w:tblPrEx>
          <w:tblCellMar>
            <w:top w:w="0" w:type="dxa"/>
            <w:left w:w="108" w:type="dxa"/>
            <w:bottom w:w="0" w:type="dxa"/>
            <w:right w:w="108" w:type="dxa"/>
          </w:tblCellMar>
        </w:tblPrEx>
        <w:trPr>
          <w:trHeight w:val="567" w:hRule="exac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停车便利度</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设有地面停车位，停车便捷程度一般</w:t>
            </w:r>
          </w:p>
        </w:tc>
      </w:tr>
      <w:tr>
        <w:tblPrEx>
          <w:tblCellMar>
            <w:top w:w="0" w:type="dxa"/>
            <w:left w:w="108" w:type="dxa"/>
            <w:bottom w:w="0" w:type="dxa"/>
            <w:right w:w="108" w:type="dxa"/>
          </w:tblCellMar>
        </w:tblPrEx>
        <w:trPr>
          <w:trHeight w:val="567" w:hRule="exact"/>
          <w:jc w:val="right"/>
        </w:trPr>
        <w:tc>
          <w:tcPr>
            <w:tcW w:w="709" w:type="dxa"/>
            <w:vMerge w:val="restart"/>
            <w:tcBorders>
              <w:top w:val="nil"/>
              <w:left w:val="single" w:color="auto" w:sz="12" w:space="0"/>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环境状况</w:t>
            </w: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自然环境</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lang w:eastAsia="zh-CN"/>
              </w:rPr>
              <w:t>临近山体</w:t>
            </w:r>
            <w:r>
              <w:rPr>
                <w:rFonts w:hint="eastAsia" w:ascii="微软雅黑" w:hAnsi="微软雅黑" w:eastAsia="微软雅黑" w:cs="仿宋_GB2312"/>
              </w:rPr>
              <w:t>，自然环境较好</w:t>
            </w:r>
          </w:p>
        </w:tc>
      </w:tr>
      <w:tr>
        <w:tblPrEx>
          <w:tblCellMar>
            <w:top w:w="0" w:type="dxa"/>
            <w:left w:w="108" w:type="dxa"/>
            <w:bottom w:w="0" w:type="dxa"/>
            <w:right w:w="108" w:type="dxa"/>
          </w:tblCellMar>
        </w:tblPrEx>
        <w:trPr>
          <w:trHeight w:val="567" w:hRule="exac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人文环境</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临近汾口镇小学、汾口镇初级中学，</w:t>
            </w:r>
            <w:r>
              <w:rPr>
                <w:rFonts w:hint="eastAsia" w:ascii="微软雅黑" w:hAnsi="微软雅黑" w:eastAsia="微软雅黑" w:cs="仿宋_GB2312"/>
              </w:rPr>
              <w:t>人文环境</w:t>
            </w:r>
            <w:r>
              <w:rPr>
                <w:rFonts w:hint="eastAsia" w:ascii="微软雅黑" w:hAnsi="微软雅黑" w:eastAsia="微软雅黑" w:cs="仿宋_GB2312"/>
                <w:lang w:eastAsia="zh-CN"/>
              </w:rPr>
              <w:t>较好</w:t>
            </w:r>
          </w:p>
        </w:tc>
      </w:tr>
      <w:tr>
        <w:tblPrEx>
          <w:tblCellMar>
            <w:top w:w="0" w:type="dxa"/>
            <w:left w:w="108" w:type="dxa"/>
            <w:bottom w:w="0" w:type="dxa"/>
            <w:right w:w="108" w:type="dxa"/>
          </w:tblCellMar>
        </w:tblPrEx>
        <w:trPr>
          <w:trHeight w:val="567" w:hRule="exact"/>
          <w:jc w:val="right"/>
        </w:trPr>
        <w:tc>
          <w:tcPr>
            <w:tcW w:w="709" w:type="dxa"/>
            <w:vMerge w:val="restart"/>
            <w:tcBorders>
              <w:top w:val="nil"/>
              <w:left w:val="single" w:color="auto" w:sz="12" w:space="0"/>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公共配套状况</w:t>
            </w: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基础设施</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宗地外“</w:t>
            </w:r>
            <w:r>
              <w:rPr>
                <w:rFonts w:hint="eastAsia" w:ascii="微软雅黑" w:hAnsi="微软雅黑" w:eastAsia="微软雅黑" w:cs="仿宋_GB2312"/>
                <w:lang w:eastAsia="zh-CN"/>
              </w:rPr>
              <w:t>五</w:t>
            </w:r>
            <w:r>
              <w:rPr>
                <w:rFonts w:hint="eastAsia" w:ascii="微软雅黑" w:hAnsi="微软雅黑" w:eastAsia="微软雅黑" w:cs="仿宋_GB2312"/>
              </w:rPr>
              <w:t>通”，已完成开发建设</w:t>
            </w:r>
          </w:p>
        </w:tc>
      </w:tr>
      <w:tr>
        <w:tblPrEx>
          <w:tblCellMar>
            <w:top w:w="0" w:type="dxa"/>
            <w:left w:w="108" w:type="dxa"/>
            <w:bottom w:w="0" w:type="dxa"/>
            <w:right w:w="108" w:type="dxa"/>
          </w:tblCellMar>
        </w:tblPrEx>
        <w:trPr>
          <w:trHeight w:val="20" w:hRule="atLeas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公共服务设施</w:t>
            </w:r>
          </w:p>
        </w:tc>
        <w:tc>
          <w:tcPr>
            <w:tcW w:w="6872"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周边有</w:t>
            </w:r>
            <w:r>
              <w:rPr>
                <w:rFonts w:hint="eastAsia" w:ascii="微软雅黑" w:hAnsi="微软雅黑" w:eastAsia="微软雅黑" w:cs="仿宋_GB2312"/>
                <w:lang w:eastAsia="zh-CN"/>
              </w:rPr>
              <w:t>狮城春晓</w:t>
            </w:r>
            <w:r>
              <w:rPr>
                <w:rFonts w:hint="eastAsia" w:ascii="微软雅黑" w:hAnsi="微软雅黑" w:eastAsia="微软雅黑" w:cs="仿宋_GB2312"/>
              </w:rPr>
              <w:t>住宅小区。附近有</w:t>
            </w:r>
            <w:r>
              <w:rPr>
                <w:rFonts w:hint="eastAsia" w:ascii="微软雅黑" w:hAnsi="微软雅黑" w:eastAsia="微软雅黑" w:cs="仿宋_GB2312"/>
                <w:lang w:eastAsia="zh-CN"/>
              </w:rPr>
              <w:t>淳安县农村信用合作社（汾口分社）、淳安县第二人民医院、汾口镇小学、汾口镇初级中学</w:t>
            </w:r>
            <w:r>
              <w:rPr>
                <w:rFonts w:hint="eastAsia" w:ascii="微软雅黑" w:hAnsi="微软雅黑" w:eastAsia="微软雅黑" w:cs="仿宋_GB2312"/>
              </w:rPr>
              <w:t>等配套；公共配套设施较完善。</w:t>
            </w:r>
            <w:r>
              <w:rPr>
                <w:rFonts w:ascii="微软雅黑" w:hAnsi="微软雅黑" w:eastAsia="微软雅黑" w:cs="仿宋_GB2312"/>
              </w:rPr>
              <w:t xml:space="preserve"> </w:t>
            </w:r>
          </w:p>
        </w:tc>
      </w:tr>
      <w:tr>
        <w:tblPrEx>
          <w:tblCellMar>
            <w:top w:w="0" w:type="dxa"/>
            <w:left w:w="108" w:type="dxa"/>
            <w:bottom w:w="0" w:type="dxa"/>
            <w:right w:w="108" w:type="dxa"/>
          </w:tblCellMar>
        </w:tblPrEx>
        <w:trPr>
          <w:trHeight w:val="20" w:hRule="atLeast"/>
          <w:jc w:val="right"/>
        </w:trPr>
        <w:tc>
          <w:tcPr>
            <w:tcW w:w="2127" w:type="dxa"/>
            <w:gridSpan w:val="2"/>
            <w:tcBorders>
              <w:top w:val="dotted" w:color="auto" w:sz="4" w:space="0"/>
              <w:left w:val="single" w:color="auto" w:sz="12" w:space="0"/>
              <w:bottom w:val="single" w:color="auto" w:sz="12"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区位状况及规划条件</w:t>
            </w:r>
          </w:p>
        </w:tc>
        <w:tc>
          <w:tcPr>
            <w:tcW w:w="6872" w:type="dxa"/>
            <w:tcBorders>
              <w:top w:val="nil"/>
              <w:left w:val="nil"/>
              <w:bottom w:val="single" w:color="auto" w:sz="12"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估价对象位于</w:t>
            </w:r>
            <w:r>
              <w:rPr>
                <w:rFonts w:hint="eastAsia" w:ascii="微软雅黑" w:hAnsi="微软雅黑" w:eastAsia="微软雅黑" w:cs="仿宋_GB2312"/>
                <w:lang w:eastAsia="zh-CN"/>
              </w:rPr>
              <w:t>淳安县汾口镇</w:t>
            </w:r>
            <w:r>
              <w:rPr>
                <w:rFonts w:hint="eastAsia" w:ascii="微软雅黑" w:hAnsi="微软雅黑" w:eastAsia="微软雅黑" w:cs="仿宋_GB2312"/>
              </w:rPr>
              <w:t>，公共配套设施较完善、区位状况</w:t>
            </w:r>
            <w:r>
              <w:rPr>
                <w:rFonts w:hint="eastAsia" w:ascii="微软雅黑" w:hAnsi="微软雅黑" w:eastAsia="微软雅黑" w:cs="仿宋_GB2312"/>
                <w:lang w:eastAsia="zh-CN"/>
              </w:rPr>
              <w:t>一般</w:t>
            </w:r>
            <w:r>
              <w:rPr>
                <w:rFonts w:hint="eastAsia" w:ascii="微软雅黑" w:hAnsi="微软雅黑" w:eastAsia="微软雅黑" w:cs="仿宋_GB2312"/>
              </w:rPr>
              <w:t>。</w:t>
            </w:r>
          </w:p>
        </w:tc>
      </w:tr>
    </w:tbl>
    <w:p>
      <w:pPr>
        <w:jc w:val="center"/>
      </w:pPr>
      <w:bookmarkStart w:id="113" w:name="_Toc22651516"/>
      <w:r>
        <w:pict>
          <v:shape id="_x0000_s3073" o:spid="_x0000_s3073" o:spt="61" type="#_x0000_t61" style="position:absolute;left:0pt;flip:x;margin-left:274.5pt;margin-top:97.9pt;height:22.5pt;width:72.8pt;z-index:251668480;v-text-anchor:middle;mso-width-relative:page;mso-height-relative:page;" fillcolor="#FFFFFF" filled="t" stroked="t" coordsize="21600,21600" adj="17728,32554">
            <v:path/>
            <v:fill on="t" color2="#FFFFFF" focussize="0,0"/>
            <v:stroke color="#000000" joinstyle="miter"/>
            <v:imagedata o:title=""/>
            <o:lock v:ext="edit" aspectratio="f"/>
            <v:textbox>
              <w:txbxContent>
                <w:p>
                  <w:pPr>
                    <w:rPr>
                      <w:sz w:val="15"/>
                      <w:szCs w:val="15"/>
                    </w:rPr>
                  </w:pPr>
                  <w:r>
                    <w:rPr>
                      <w:rFonts w:hint="eastAsia"/>
                      <w:sz w:val="15"/>
                      <w:szCs w:val="15"/>
                    </w:rPr>
                    <w:t>估价对象位置</w:t>
                  </w:r>
                </w:p>
              </w:txbxContent>
            </v:textbox>
          </v:shape>
        </w:pict>
      </w:r>
      <w:r>
        <w:drawing>
          <wp:inline distT="0" distB="0" distL="114300" distR="114300">
            <wp:extent cx="5610860" cy="3420745"/>
            <wp:effectExtent l="0" t="0" r="254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2"/>
                    <a:stretch>
                      <a:fillRect/>
                    </a:stretch>
                  </pic:blipFill>
                  <pic:spPr>
                    <a:xfrm>
                      <a:off x="0" y="0"/>
                      <a:ext cx="5610860" cy="3420745"/>
                    </a:xfrm>
                    <a:prstGeom prst="rect">
                      <a:avLst/>
                    </a:prstGeom>
                    <a:noFill/>
                    <a:ln>
                      <a:noFill/>
                    </a:ln>
                  </pic:spPr>
                </pic:pic>
              </a:graphicData>
            </a:graphic>
          </wp:inline>
        </w:drawing>
      </w:r>
    </w:p>
    <w:p>
      <w:pPr>
        <w:jc w:val="center"/>
        <w:rPr>
          <w:rFonts w:ascii="微软雅黑" w:hAnsi="微软雅黑" w:eastAsia="微软雅黑" w:cs="仿宋_GB2312"/>
        </w:rPr>
      </w:pPr>
      <w:r>
        <w:rPr>
          <w:rFonts w:hint="eastAsia" w:ascii="微软雅黑" w:hAnsi="微软雅黑" w:eastAsia="微软雅黑" w:cs="仿宋_GB2312"/>
        </w:rPr>
        <w:t>估价对象区域位置</w:t>
      </w:r>
    </w:p>
    <w:tbl>
      <w:tblPr>
        <w:tblStyle w:val="16"/>
        <w:tblW w:w="10313" w:type="dxa"/>
        <w:jc w:val="center"/>
        <w:tblLayout w:type="fixed"/>
        <w:tblCellMar>
          <w:top w:w="0" w:type="dxa"/>
          <w:left w:w="108" w:type="dxa"/>
          <w:bottom w:w="0" w:type="dxa"/>
          <w:right w:w="108" w:type="dxa"/>
        </w:tblCellMar>
      </w:tblPr>
      <w:tblGrid>
        <w:gridCol w:w="5181"/>
        <w:gridCol w:w="5132"/>
      </w:tblGrid>
      <w:tr>
        <w:tblPrEx>
          <w:tblCellMar>
            <w:top w:w="0" w:type="dxa"/>
            <w:left w:w="108" w:type="dxa"/>
            <w:bottom w:w="0" w:type="dxa"/>
            <w:right w:w="108" w:type="dxa"/>
          </w:tblCellMar>
        </w:tblPrEx>
        <w:trPr>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01340" cy="2326005"/>
                  <wp:effectExtent l="0" t="0" r="10160" b="10795"/>
                  <wp:docPr id="1" name="图片 1" descr="IMG_20220809_14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20809_142120"/>
                          <pic:cNvPicPr>
                            <a:picLocks noChangeAspect="1"/>
                          </pic:cNvPicPr>
                        </pic:nvPicPr>
                        <pic:blipFill>
                          <a:blip r:embed="rId23"/>
                          <a:stretch>
                            <a:fillRect/>
                          </a:stretch>
                        </pic:blipFill>
                        <pic:spPr>
                          <a:xfrm>
                            <a:off x="0" y="0"/>
                            <a:ext cx="3101340" cy="2326005"/>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01340" cy="2326005"/>
                  <wp:effectExtent l="0" t="0" r="10160" b="10795"/>
                  <wp:docPr id="2" name="图片 2" descr="IMG_20220809_14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20809_142124"/>
                          <pic:cNvPicPr>
                            <a:picLocks noChangeAspect="1"/>
                          </pic:cNvPicPr>
                        </pic:nvPicPr>
                        <pic:blipFill>
                          <a:blip r:embed="rId24"/>
                          <a:stretch>
                            <a:fillRect/>
                          </a:stretch>
                        </pic:blipFill>
                        <pic:spPr>
                          <a:xfrm>
                            <a:off x="0" y="0"/>
                            <a:ext cx="3101340" cy="2326005"/>
                          </a:xfrm>
                          <a:prstGeom prst="rect">
                            <a:avLst/>
                          </a:prstGeom>
                        </pic:spPr>
                      </pic:pic>
                    </a:graphicData>
                  </a:graphic>
                </wp:inline>
              </w:drawing>
            </w:r>
          </w:p>
        </w:tc>
      </w:tr>
      <w:tr>
        <w:tblPrEx>
          <w:tblCellMar>
            <w:top w:w="0" w:type="dxa"/>
            <w:left w:w="108" w:type="dxa"/>
            <w:bottom w:w="0" w:type="dxa"/>
            <w:right w:w="108" w:type="dxa"/>
          </w:tblCellMar>
        </w:tblPrEx>
        <w:trPr>
          <w:trHeight w:val="507" w:hRule="exact"/>
          <w:jc w:val="center"/>
        </w:trPr>
        <w:tc>
          <w:tcPr>
            <w:tcW w:w="5181" w:type="dxa"/>
          </w:tcPr>
          <w:p>
            <w:pPr>
              <w:jc w:val="center"/>
              <w:rPr>
                <w:rFonts w:ascii="宋体" w:hAnsi="宋体" w:eastAsia="宋体" w:cs="宋体"/>
                <w:b/>
                <w:sz w:val="28"/>
                <w:szCs w:val="28"/>
              </w:rPr>
            </w:pPr>
            <w:r>
              <w:rPr>
                <w:rFonts w:hint="eastAsia" w:ascii="微软雅黑" w:hAnsi="微软雅黑" w:eastAsia="微软雅黑" w:cs="仿宋_GB2312"/>
                <w:szCs w:val="21"/>
              </w:rPr>
              <w:t>周边道路一</w:t>
            </w:r>
          </w:p>
        </w:tc>
        <w:tc>
          <w:tcPr>
            <w:tcW w:w="5132" w:type="dxa"/>
          </w:tcPr>
          <w:p>
            <w:pPr>
              <w:jc w:val="center"/>
              <w:rPr>
                <w:rFonts w:ascii="宋体" w:hAnsi="宋体" w:eastAsia="宋体" w:cs="宋体"/>
                <w:b/>
                <w:sz w:val="28"/>
                <w:szCs w:val="28"/>
              </w:rPr>
            </w:pPr>
            <w:r>
              <w:rPr>
                <w:rFonts w:hint="eastAsia" w:ascii="微软雅黑" w:hAnsi="微软雅黑" w:eastAsia="微软雅黑" w:cs="仿宋_GB2312"/>
                <w:szCs w:val="21"/>
              </w:rPr>
              <w:t>周边道路二</w:t>
            </w:r>
          </w:p>
        </w:tc>
      </w:tr>
    </w:tbl>
    <w:p>
      <w:pPr>
        <w:pStyle w:val="2"/>
        <w:topLinePunct/>
        <w:adjustRightInd w:val="0"/>
        <w:snapToGrid w:val="0"/>
        <w:spacing w:before="0" w:after="0" w:line="312" w:lineRule="auto"/>
        <w:rPr>
          <w:rFonts w:ascii="微软雅黑" w:hAnsi="微软雅黑" w:eastAsia="微软雅黑" w:cs="微软雅黑"/>
          <w:bCs w:val="0"/>
          <w:sz w:val="24"/>
          <w:szCs w:val="24"/>
        </w:rPr>
      </w:pPr>
      <w:bookmarkStart w:id="114" w:name="_Toc19456"/>
      <w:r>
        <w:rPr>
          <w:rFonts w:hint="eastAsia" w:ascii="微软雅黑" w:hAnsi="微软雅黑" w:eastAsia="微软雅黑" w:cs="微软雅黑"/>
          <w:bCs w:val="0"/>
          <w:sz w:val="24"/>
          <w:szCs w:val="24"/>
        </w:rPr>
        <w:t>五、价值时点</w:t>
      </w:r>
      <w:bookmarkEnd w:id="113"/>
      <w:bookmarkEnd w:id="114"/>
    </w:p>
    <w:p>
      <w:pPr>
        <w:topLinePunct/>
        <w:adjustRightInd w:val="0"/>
        <w:snapToGrid w:val="0"/>
        <w:spacing w:before="156" w:beforeLines="50" w:line="312" w:lineRule="auto"/>
        <w:ind w:firstLine="420" w:firstLineChars="200"/>
        <w:rPr>
          <w:rFonts w:ascii="微软雅黑" w:hAnsi="微软雅黑" w:eastAsia="微软雅黑" w:cs="微软雅黑"/>
          <w:szCs w:val="21"/>
        </w:rPr>
      </w:pPr>
      <w:bookmarkStart w:id="115" w:name="_Toc384323577"/>
      <w:bookmarkStart w:id="116" w:name="_Toc384364487"/>
      <w:r>
        <w:rPr>
          <w:rFonts w:hint="eastAsia" w:ascii="微软雅黑" w:hAnsi="微软雅黑" w:eastAsia="微软雅黑" w:cs="仿宋_GB2312"/>
          <w:szCs w:val="21"/>
        </w:rPr>
        <w:t>本次估价完成估价对象实地查勘之日为</w:t>
      </w:r>
      <w:r>
        <w:rPr>
          <w:rFonts w:hint="eastAsia" w:ascii="微软雅黑" w:hAnsi="微软雅黑" w:eastAsia="微软雅黑"/>
          <w:szCs w:val="21"/>
          <w:lang w:eastAsia="zh-CN"/>
        </w:rPr>
        <w:t>2022年8月9日</w:t>
      </w:r>
      <w:r>
        <w:rPr>
          <w:rFonts w:hint="eastAsia" w:ascii="微软雅黑" w:hAnsi="微软雅黑" w:eastAsia="微软雅黑" w:cs="仿宋_GB2312"/>
          <w:szCs w:val="21"/>
        </w:rPr>
        <w:t>，根据估价目的，价值时点确定为</w:t>
      </w:r>
      <w:bookmarkStart w:id="769" w:name="_GoBack"/>
      <w:bookmarkEnd w:id="769"/>
      <w:r>
        <w:rPr>
          <w:rFonts w:hint="eastAsia" w:ascii="微软雅黑" w:hAnsi="微软雅黑" w:eastAsia="微软雅黑"/>
          <w:szCs w:val="21"/>
          <w:lang w:eastAsia="zh-CN"/>
        </w:rPr>
        <w:t>2022年8月9日</w:t>
      </w:r>
      <w:r>
        <w:rPr>
          <w:rFonts w:hint="eastAsia" w:ascii="微软雅黑" w:hAnsi="微软雅黑" w:eastAsia="微软雅黑" w:cs="仿宋_GB2312"/>
          <w:szCs w:val="21"/>
        </w:rPr>
        <w:t>。</w:t>
      </w:r>
      <w:bookmarkEnd w:id="115"/>
      <w:bookmarkEnd w:id="116"/>
    </w:p>
    <w:p>
      <w:pPr>
        <w:pStyle w:val="2"/>
        <w:topLinePunct/>
        <w:adjustRightInd w:val="0"/>
        <w:snapToGrid w:val="0"/>
        <w:spacing w:before="0" w:after="0" w:line="312" w:lineRule="auto"/>
        <w:rPr>
          <w:rFonts w:ascii="微软雅黑" w:hAnsi="微软雅黑" w:eastAsia="微软雅黑" w:cs="微软雅黑"/>
          <w:bCs w:val="0"/>
          <w:sz w:val="24"/>
          <w:szCs w:val="24"/>
        </w:rPr>
      </w:pPr>
      <w:bookmarkStart w:id="117" w:name="_Toc8132"/>
      <w:bookmarkStart w:id="118" w:name="_Toc22651517"/>
      <w:r>
        <w:rPr>
          <w:rFonts w:hint="eastAsia" w:ascii="微软雅黑" w:hAnsi="微软雅黑" w:eastAsia="微软雅黑" w:cs="微软雅黑"/>
          <w:bCs w:val="0"/>
          <w:sz w:val="24"/>
          <w:szCs w:val="24"/>
        </w:rPr>
        <w:t>六、价值类型</w:t>
      </w:r>
      <w:bookmarkEnd w:id="117"/>
      <w:bookmarkEnd w:id="118"/>
    </w:p>
    <w:p>
      <w:pPr>
        <w:pStyle w:val="24"/>
        <w:topLinePunct/>
        <w:adjustRightInd w:val="0"/>
        <w:snapToGrid w:val="0"/>
        <w:spacing w:line="312" w:lineRule="auto"/>
        <w:rPr>
          <w:rFonts w:ascii="微软雅黑" w:hAnsi="微软雅黑" w:eastAsia="微软雅黑" w:cs="微软雅黑"/>
          <w:bCs/>
          <w:snapToGrid w:val="0"/>
          <w:kern w:val="0"/>
        </w:rPr>
      </w:pPr>
      <w:r>
        <w:rPr>
          <w:rFonts w:hint="eastAsia" w:ascii="微软雅黑" w:hAnsi="微软雅黑" w:eastAsia="微软雅黑" w:cs="微软雅黑"/>
          <w:bCs/>
          <w:snapToGrid w:val="0"/>
          <w:kern w:val="0"/>
        </w:rPr>
        <w:t>本报告的房地产价值是指估价对象在在房地产公开市场条件下形成的于价值时点</w:t>
      </w:r>
      <w:r>
        <w:rPr>
          <w:rFonts w:hint="eastAsia" w:ascii="微软雅黑" w:hAnsi="微软雅黑" w:eastAsia="微软雅黑"/>
          <w:szCs w:val="21"/>
          <w:lang w:eastAsia="zh-CN"/>
        </w:rPr>
        <w:t>2022年8月9日</w:t>
      </w:r>
      <w:r>
        <w:rPr>
          <w:rFonts w:hint="eastAsia" w:ascii="微软雅黑" w:hAnsi="微软雅黑" w:eastAsia="微软雅黑" w:cs="微软雅黑"/>
          <w:bCs/>
          <w:snapToGrid w:val="0"/>
          <w:kern w:val="0"/>
        </w:rPr>
        <w:t>的市场价值。</w:t>
      </w:r>
    </w:p>
    <w:p>
      <w:pPr>
        <w:pStyle w:val="24"/>
        <w:topLinePunct/>
        <w:adjustRightInd w:val="0"/>
        <w:snapToGrid w:val="0"/>
        <w:spacing w:line="312" w:lineRule="auto"/>
        <w:rPr>
          <w:rFonts w:ascii="微软雅黑" w:hAnsi="微软雅黑" w:eastAsia="微软雅黑" w:cs="微软雅黑"/>
          <w:bCs/>
          <w:snapToGrid w:val="0"/>
          <w:kern w:val="0"/>
        </w:rPr>
      </w:pPr>
      <w:r>
        <w:rPr>
          <w:rFonts w:hint="eastAsia" w:ascii="微软雅黑" w:hAnsi="微软雅黑" w:eastAsia="微软雅黑" w:cs="微软雅黑"/>
          <w:bCs/>
          <w:snapToGrid w:val="0"/>
          <w:kern w:val="0"/>
        </w:rPr>
        <w:t>◆设定状态如下：涉案的估价对象权属清晰，不考虑设定的抵押权、附带相关的拖欠物业管理费用、宽带、水电费等情况，能正常持续使用。</w:t>
      </w:r>
    </w:p>
    <w:p>
      <w:pPr>
        <w:pStyle w:val="24"/>
        <w:topLinePunct/>
        <w:adjustRightInd w:val="0"/>
        <w:snapToGrid w:val="0"/>
        <w:spacing w:line="312" w:lineRule="auto"/>
        <w:rPr>
          <w:rFonts w:ascii="微软雅黑" w:hAnsi="微软雅黑" w:eastAsia="微软雅黑" w:cs="微软雅黑"/>
          <w:bCs/>
          <w:snapToGrid w:val="0"/>
          <w:kern w:val="0"/>
        </w:rPr>
      </w:pPr>
      <w:r>
        <w:rPr>
          <w:rFonts w:hint="eastAsia" w:ascii="微软雅黑" w:hAnsi="微软雅黑" w:eastAsia="微软雅黑" w:cs="微软雅黑"/>
          <w:bCs/>
          <w:snapToGrid w:val="0"/>
          <w:kern w:val="0"/>
        </w:rPr>
        <w:t>◆房地产公开市场条件是指在下列交易条件下最可能实现的价格：①交易双方是自愿地进行交易的——一个卖者并不是被迫将房地产卖给特定的买者，一个买者也不是被迫从特定的卖者那里购买房地产；②交易双方进行交易的目的是追求各自利益的最大化；③交易双方具有必要的专业知识并了解交易对象；④交易双方掌握必要的市场信息；⑤交易双方有较充裕的时间进行交易；⑥不存在买者因特殊兴趣而给予附加出价。</w:t>
      </w:r>
    </w:p>
    <w:p>
      <w:pPr>
        <w:pStyle w:val="24"/>
        <w:topLinePunct/>
        <w:adjustRightInd w:val="0"/>
        <w:snapToGrid w:val="0"/>
        <w:spacing w:line="312" w:lineRule="auto"/>
        <w:rPr>
          <w:rFonts w:ascii="微软雅黑" w:hAnsi="微软雅黑" w:eastAsia="微软雅黑" w:cs="微软雅黑"/>
          <w:bCs/>
          <w:snapToGrid w:val="0"/>
          <w:kern w:val="0"/>
        </w:rPr>
      </w:pPr>
      <w:r>
        <w:rPr>
          <w:rFonts w:hint="eastAsia" w:ascii="微软雅黑" w:hAnsi="微软雅黑" w:eastAsia="微软雅黑" w:cs="微软雅黑"/>
          <w:bCs/>
          <w:snapToGrid w:val="0"/>
          <w:kern w:val="0"/>
        </w:rPr>
        <w:t>◆本报告价格货币单位均为人民币。</w:t>
      </w:r>
    </w:p>
    <w:p>
      <w:pPr>
        <w:pStyle w:val="2"/>
        <w:tabs>
          <w:tab w:val="left" w:pos="993"/>
        </w:tabs>
        <w:topLinePunct/>
        <w:adjustRightInd w:val="0"/>
        <w:snapToGrid w:val="0"/>
        <w:spacing w:before="0" w:after="0" w:line="312" w:lineRule="auto"/>
        <w:rPr>
          <w:rFonts w:ascii="微软雅黑" w:hAnsi="微软雅黑" w:eastAsia="微软雅黑" w:cs="微软雅黑"/>
          <w:bCs w:val="0"/>
          <w:sz w:val="24"/>
          <w:szCs w:val="24"/>
        </w:rPr>
      </w:pPr>
      <w:bookmarkStart w:id="119" w:name="_Toc22651518"/>
      <w:bookmarkStart w:id="120" w:name="_Toc9406"/>
      <w:r>
        <w:rPr>
          <w:rFonts w:hint="eastAsia" w:ascii="微软雅黑" w:hAnsi="微软雅黑" w:eastAsia="微软雅黑" w:cs="微软雅黑"/>
          <w:bCs w:val="0"/>
          <w:sz w:val="24"/>
          <w:szCs w:val="24"/>
        </w:rPr>
        <w:t>七、估价原则</w:t>
      </w:r>
      <w:bookmarkEnd w:id="119"/>
      <w:bookmarkEnd w:id="120"/>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我们在本次估价时遵循了以下原则：</w:t>
      </w:r>
    </w:p>
    <w:p>
      <w:pPr>
        <w:pStyle w:val="24"/>
        <w:numPr>
          <w:ilvl w:val="0"/>
          <w:numId w:val="8"/>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独立、客观、公正原则</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要求站在中立的立场上，实事求是、公平正直地评估出对各方估价利害关系人均是公平合理的价值或价格的原则。</w:t>
      </w:r>
    </w:p>
    <w:p>
      <w:pPr>
        <w:pStyle w:val="24"/>
        <w:numPr>
          <w:ilvl w:val="0"/>
          <w:numId w:val="8"/>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合法原则</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要求估价结果是在依法判定的估价对象状况下的价值或价格的原则。</w:t>
      </w:r>
    </w:p>
    <w:p>
      <w:pPr>
        <w:pStyle w:val="24"/>
        <w:numPr>
          <w:ilvl w:val="0"/>
          <w:numId w:val="8"/>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价值时点原则</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要求估价结果是在根据估价目的确定的某一特定时间的价值或价格的原则。</w:t>
      </w:r>
    </w:p>
    <w:p>
      <w:pPr>
        <w:pStyle w:val="24"/>
        <w:numPr>
          <w:ilvl w:val="0"/>
          <w:numId w:val="8"/>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替代原则</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要求估价结果与估价对象的类似房地产在同等条件下的价值或价格偏差在合理范围内的原则。</w:t>
      </w:r>
    </w:p>
    <w:p>
      <w:pPr>
        <w:pStyle w:val="24"/>
        <w:numPr>
          <w:ilvl w:val="0"/>
          <w:numId w:val="8"/>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最高最佳利用原则</w:t>
      </w:r>
    </w:p>
    <w:p>
      <w:pPr>
        <w:topLinePunct/>
        <w:adjustRightInd w:val="0"/>
        <w:snapToGrid w:val="0"/>
        <w:spacing w:line="312" w:lineRule="auto"/>
        <w:ind w:firstLine="420" w:firstLineChars="200"/>
        <w:rPr>
          <w:rFonts w:ascii="微软雅黑" w:hAnsi="微软雅黑" w:eastAsia="微软雅黑"/>
          <w:szCs w:val="21"/>
        </w:rPr>
      </w:pPr>
      <w:r>
        <w:rPr>
          <w:rFonts w:hint="eastAsia" w:ascii="微软雅黑" w:hAnsi="微软雅黑" w:eastAsia="微软雅黑"/>
          <w:szCs w:val="21"/>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pPr>
        <w:pStyle w:val="2"/>
        <w:tabs>
          <w:tab w:val="left" w:pos="993"/>
        </w:tabs>
        <w:topLinePunct/>
        <w:adjustRightInd w:val="0"/>
        <w:snapToGrid w:val="0"/>
        <w:spacing w:before="0" w:after="0" w:line="312" w:lineRule="auto"/>
        <w:rPr>
          <w:rFonts w:ascii="微软雅黑" w:hAnsi="微软雅黑" w:eastAsia="微软雅黑" w:cs="微软雅黑"/>
          <w:bCs w:val="0"/>
          <w:sz w:val="24"/>
          <w:szCs w:val="24"/>
        </w:rPr>
      </w:pPr>
      <w:bookmarkStart w:id="121" w:name="_Toc22651519"/>
      <w:bookmarkStart w:id="122" w:name="_Toc32241"/>
      <w:r>
        <w:rPr>
          <w:rFonts w:hint="eastAsia" w:ascii="微软雅黑" w:hAnsi="微软雅黑" w:eastAsia="微软雅黑" w:cs="微软雅黑"/>
          <w:bCs w:val="0"/>
          <w:sz w:val="24"/>
          <w:szCs w:val="24"/>
        </w:rPr>
        <w:t>八、估价依据</w:t>
      </w:r>
      <w:bookmarkEnd w:id="121"/>
      <w:bookmarkEnd w:id="122"/>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（一）法律、法规和政策性文件</w:t>
      </w:r>
    </w:p>
    <w:p>
      <w:pPr>
        <w:pStyle w:val="24"/>
        <w:numPr>
          <w:ilvl w:val="0"/>
          <w:numId w:val="9"/>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《中华人民共和国民法典》（中华人民共和国主席令第45号，2021年1月1日起施行）；</w:t>
      </w:r>
    </w:p>
    <w:p>
      <w:pPr>
        <w:pStyle w:val="24"/>
        <w:numPr>
          <w:ilvl w:val="0"/>
          <w:numId w:val="9"/>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《中华人民共和国城市房地产管理法》（2019年修正）（中华人民共和国主席令第32号、2020年1月1日起施行，2019年8月26日由中华人民共和国第十三届全国人民代表大会常务委员会第十二次会议通过）；</w:t>
      </w:r>
    </w:p>
    <w:p>
      <w:pPr>
        <w:pStyle w:val="24"/>
        <w:numPr>
          <w:ilvl w:val="0"/>
          <w:numId w:val="9"/>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《中华人民共和国土地管理法》（2019年修正）（中华人民共和国主席令第32号、2020年1月1日起施行，2019年8月26日由中华人民共和国第十三届全国人民代表大会常务委员会第十二次会议通过）；</w:t>
      </w:r>
    </w:p>
    <w:p>
      <w:pPr>
        <w:pStyle w:val="24"/>
        <w:numPr>
          <w:ilvl w:val="0"/>
          <w:numId w:val="9"/>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《中华人民共和国资产评估法》（中华人民共和国主席令第46号、2016年12月1日起施行）；</w:t>
      </w:r>
    </w:p>
    <w:p>
      <w:pPr>
        <w:pStyle w:val="24"/>
        <w:numPr>
          <w:ilvl w:val="0"/>
          <w:numId w:val="9"/>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《最高人民法院关于人民法院确定财产处置参考价若干问题的规定》（法释[2018]15 号）；</w:t>
      </w:r>
    </w:p>
    <w:p>
      <w:pPr>
        <w:pStyle w:val="24"/>
        <w:numPr>
          <w:ilvl w:val="0"/>
          <w:numId w:val="9"/>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《关于发布&lt;浙江省房地产估价技术指引&gt;第 1 号的通知》（浙估协（2016）46 号）；</w:t>
      </w:r>
    </w:p>
    <w:p>
      <w:pPr>
        <w:pStyle w:val="24"/>
        <w:numPr>
          <w:ilvl w:val="0"/>
          <w:numId w:val="9"/>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《关于修订〈浙江省房地产司法评估指导意见（试行）〉的通知》（浙估协〔2021〕3号）；</w:t>
      </w:r>
    </w:p>
    <w:p>
      <w:pPr>
        <w:pStyle w:val="24"/>
        <w:numPr>
          <w:ilvl w:val="0"/>
          <w:numId w:val="9"/>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浙江省高级人民法院实施《人民法院对外委托司法鉴定管理规定》细则（浙高法[2010]299 号）；</w:t>
      </w:r>
    </w:p>
    <w:p>
      <w:pPr>
        <w:pStyle w:val="24"/>
        <w:numPr>
          <w:ilvl w:val="0"/>
          <w:numId w:val="9"/>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关于印发《浙江省高级人民法院执行局关于规范不动产网络司法拍卖、变卖工作指引》的通知（浙高法执（2020）6 号）</w:t>
      </w:r>
      <w:r>
        <w:rPr>
          <w:rFonts w:hint="eastAsia" w:ascii="微软雅黑" w:hAnsi="微软雅黑" w:eastAsia="微软雅黑" w:cs="仿宋_GB2312"/>
          <w:bCs/>
          <w:snapToGrid w:val="0"/>
          <w:kern w:val="0"/>
          <w:lang w:eastAsia="zh-CN"/>
        </w:rPr>
        <w:t>。</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（二）技术标准、规程、规范</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olor w:val="000000"/>
          <w:szCs w:val="21"/>
        </w:rPr>
      </w:pPr>
      <w:r>
        <w:rPr>
          <w:rFonts w:hint="eastAsia" w:ascii="微软雅黑" w:hAnsi="微软雅黑" w:eastAsia="微软雅黑"/>
          <w:szCs w:val="21"/>
        </w:rPr>
        <w:t>《房地产估价规范》（GB/T50291-2015）；</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olor w:val="000000"/>
          <w:szCs w:val="21"/>
        </w:rPr>
      </w:pPr>
      <w:r>
        <w:rPr>
          <w:rFonts w:hint="eastAsia" w:ascii="微软雅黑" w:hAnsi="微软雅黑" w:eastAsia="微软雅黑"/>
          <w:color w:val="000000"/>
          <w:szCs w:val="21"/>
        </w:rPr>
        <w:t>《房地产估价基本术语标准》（GB/T50899-2013）。</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（三）</w:t>
      </w:r>
      <w:r>
        <w:rPr>
          <w:rFonts w:hint="eastAsia" w:ascii="微软雅黑" w:hAnsi="微软雅黑" w:eastAsia="微软雅黑"/>
          <w:b/>
          <w:szCs w:val="21"/>
        </w:rPr>
        <w:t>估价</w:t>
      </w:r>
      <w:r>
        <w:rPr>
          <w:rFonts w:ascii="微软雅黑" w:hAnsi="微软雅黑" w:eastAsia="微软雅黑"/>
          <w:b/>
          <w:szCs w:val="21"/>
        </w:rPr>
        <w:t>委托人提供的资料</w:t>
      </w:r>
    </w:p>
    <w:p>
      <w:pPr>
        <w:pStyle w:val="24"/>
        <w:numPr>
          <w:ilvl w:val="0"/>
          <w:numId w:val="11"/>
        </w:numPr>
        <w:tabs>
          <w:tab w:val="left" w:pos="709"/>
        </w:tabs>
        <w:topLinePunct/>
        <w:adjustRightInd w:val="0"/>
        <w:snapToGrid w:val="0"/>
        <w:spacing w:line="312" w:lineRule="auto"/>
        <w:ind w:left="0" w:firstLine="420"/>
        <w:rPr>
          <w:rFonts w:ascii="微软雅黑" w:hAnsi="微软雅黑" w:eastAsia="微软雅黑" w:cs="微软雅黑"/>
          <w:szCs w:val="21"/>
        </w:rPr>
      </w:pPr>
      <w:r>
        <w:rPr>
          <w:rFonts w:hint="eastAsia" w:ascii="微软雅黑" w:hAnsi="微软雅黑" w:eastAsia="微软雅黑"/>
          <w:szCs w:val="21"/>
        </w:rPr>
        <w:t>《</w:t>
      </w:r>
      <w:r>
        <w:rPr>
          <w:rFonts w:hint="eastAsia" w:ascii="微软雅黑" w:hAnsi="微软雅黑" w:eastAsia="微软雅黑"/>
          <w:szCs w:val="21"/>
          <w:lang w:eastAsia="zh-CN"/>
        </w:rPr>
        <w:t>淳安县人民法院</w:t>
      </w:r>
      <w:r>
        <w:rPr>
          <w:rFonts w:hint="eastAsia" w:ascii="微软雅黑" w:hAnsi="微软雅黑" w:eastAsia="微软雅黑" w:cs="仿宋_GB2312"/>
        </w:rPr>
        <w:t>委托书》</w:t>
      </w:r>
      <w:r>
        <w:rPr>
          <w:rFonts w:hint="eastAsia" w:ascii="微软雅黑" w:hAnsi="微软雅黑" w:eastAsia="微软雅黑" w:cs="仿宋_GB2312"/>
          <w:szCs w:val="21"/>
        </w:rPr>
        <w:t>（</w:t>
      </w:r>
      <w:r>
        <w:rPr>
          <w:rFonts w:hint="eastAsia" w:ascii="微软雅黑" w:hAnsi="微软雅黑" w:eastAsia="微软雅黑" w:cs="仿宋_GB2312"/>
        </w:rPr>
        <w:t>委托函号：</w:t>
      </w:r>
      <w:r>
        <w:rPr>
          <w:rFonts w:hint="eastAsia" w:ascii="微软雅黑" w:hAnsi="微软雅黑" w:eastAsia="微软雅黑" w:cs="仿宋_GB2312"/>
          <w:lang w:eastAsia="zh-CN"/>
        </w:rPr>
        <w:t>（2022）浙0127委评字第106号</w:t>
      </w:r>
      <w:r>
        <w:rPr>
          <w:rFonts w:hint="eastAsia" w:ascii="微软雅黑" w:hAnsi="微软雅黑" w:eastAsia="微软雅黑" w:cs="仿宋_GB2312"/>
        </w:rPr>
        <w:t>）；</w:t>
      </w:r>
    </w:p>
    <w:p>
      <w:pPr>
        <w:pStyle w:val="24"/>
        <w:topLinePunct/>
        <w:adjustRightInd w:val="0"/>
        <w:snapToGrid w:val="0"/>
        <w:spacing w:line="312" w:lineRule="auto"/>
        <w:rPr>
          <w:rFonts w:ascii="微软雅黑" w:hAnsi="微软雅黑" w:eastAsia="微软雅黑" w:cs="仿宋_GB2312"/>
          <w:bCs/>
          <w:snapToGrid w:val="0"/>
          <w:kern w:val="0"/>
        </w:rPr>
      </w:pPr>
      <w:r>
        <w:rPr>
          <w:rFonts w:hint="eastAsia" w:ascii="微软雅黑" w:hAnsi="微软雅黑" w:eastAsia="微软雅黑" w:cs="微软雅黑"/>
          <w:b/>
          <w:szCs w:val="21"/>
        </w:rPr>
        <w:t>（四）估价机构和估价人员掌握和搜集的有关资料</w:t>
      </w:r>
    </w:p>
    <w:p>
      <w:pPr>
        <w:pStyle w:val="24"/>
        <w:numPr>
          <w:ilvl w:val="0"/>
          <w:numId w:val="12"/>
        </w:numPr>
        <w:tabs>
          <w:tab w:val="left" w:pos="709"/>
        </w:tabs>
        <w:topLinePunct/>
        <w:adjustRightInd w:val="0"/>
        <w:snapToGrid w:val="0"/>
        <w:spacing w:line="312" w:lineRule="auto"/>
        <w:ind w:firstLineChars="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lang w:eastAsia="zh-CN"/>
        </w:rPr>
        <w:t>估价人员查询获取的</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淳安县不动产权属信息查询记录</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编号：CQ20220809-0000696</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w:t>
      </w:r>
    </w:p>
    <w:p>
      <w:pPr>
        <w:pStyle w:val="24"/>
        <w:numPr>
          <w:ilvl w:val="0"/>
          <w:numId w:val="12"/>
        </w:numPr>
        <w:tabs>
          <w:tab w:val="left" w:pos="709"/>
        </w:tabs>
        <w:topLinePunct/>
        <w:adjustRightInd w:val="0"/>
        <w:snapToGrid w:val="0"/>
        <w:spacing w:line="312" w:lineRule="auto"/>
        <w:ind w:firstLineChars="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lang w:eastAsia="zh-CN"/>
        </w:rPr>
        <w:t>注册</w:t>
      </w:r>
      <w:r>
        <w:rPr>
          <w:rFonts w:hint="eastAsia" w:ascii="微软雅黑" w:hAnsi="微软雅黑" w:eastAsia="微软雅黑" w:cs="仿宋_GB2312"/>
          <w:bCs/>
          <w:snapToGrid w:val="0"/>
          <w:kern w:val="0"/>
        </w:rPr>
        <w:t>房地产估价师实地查勘资料和估价机构掌握的房地产相关资料；</w:t>
      </w:r>
    </w:p>
    <w:p>
      <w:pPr>
        <w:pStyle w:val="24"/>
        <w:numPr>
          <w:ilvl w:val="0"/>
          <w:numId w:val="12"/>
        </w:numPr>
        <w:tabs>
          <w:tab w:val="left" w:pos="709"/>
        </w:tabs>
        <w:topLinePunct/>
        <w:adjustRightInd w:val="0"/>
        <w:snapToGrid w:val="0"/>
        <w:spacing w:line="312" w:lineRule="auto"/>
        <w:ind w:firstLineChars="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lang w:eastAsia="zh-CN"/>
        </w:rPr>
        <w:t>淳安县</w:t>
      </w:r>
      <w:r>
        <w:rPr>
          <w:rFonts w:hint="eastAsia" w:ascii="微软雅黑" w:hAnsi="微软雅黑" w:eastAsia="微软雅黑" w:cs="仿宋_GB2312"/>
          <w:bCs/>
          <w:snapToGrid w:val="0"/>
          <w:kern w:val="0"/>
        </w:rPr>
        <w:t>房地产市场信息及估价对象所在区域的房地产市场状况、同类房地产市场交易等数据资料；</w:t>
      </w:r>
    </w:p>
    <w:p>
      <w:pPr>
        <w:pStyle w:val="24"/>
        <w:numPr>
          <w:ilvl w:val="0"/>
          <w:numId w:val="12"/>
        </w:numPr>
        <w:tabs>
          <w:tab w:val="left" w:pos="709"/>
        </w:tabs>
        <w:topLinePunct/>
        <w:adjustRightInd w:val="0"/>
        <w:snapToGrid w:val="0"/>
        <w:spacing w:line="312" w:lineRule="auto"/>
        <w:ind w:firstLineChars="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lang w:eastAsia="zh-CN"/>
        </w:rPr>
        <w:t>淳安县</w:t>
      </w:r>
      <w:r>
        <w:rPr>
          <w:rFonts w:hint="eastAsia" w:ascii="微软雅黑" w:hAnsi="微软雅黑" w:eastAsia="微软雅黑" w:cs="仿宋_GB2312"/>
          <w:bCs/>
          <w:snapToGrid w:val="0"/>
          <w:kern w:val="0"/>
        </w:rPr>
        <w:t>城市概况、规划、经济发展及自然、人文环境资料。</w:t>
      </w:r>
    </w:p>
    <w:p>
      <w:pPr>
        <w:pStyle w:val="2"/>
        <w:tabs>
          <w:tab w:val="left" w:pos="993"/>
        </w:tabs>
        <w:topLinePunct/>
        <w:adjustRightInd w:val="0"/>
        <w:snapToGrid w:val="0"/>
        <w:spacing w:before="0" w:after="0" w:line="312" w:lineRule="auto"/>
        <w:rPr>
          <w:rFonts w:ascii="微软雅黑" w:hAnsi="微软雅黑" w:eastAsia="微软雅黑" w:cs="微软雅黑"/>
          <w:bCs w:val="0"/>
          <w:sz w:val="24"/>
          <w:szCs w:val="24"/>
        </w:rPr>
      </w:pPr>
      <w:bookmarkStart w:id="123" w:name="_Toc16169"/>
      <w:bookmarkStart w:id="124" w:name="_Toc22651520"/>
      <w:r>
        <w:rPr>
          <w:rFonts w:hint="eastAsia" w:ascii="微软雅黑" w:hAnsi="微软雅黑" w:eastAsia="微软雅黑" w:cs="微软雅黑"/>
          <w:bCs w:val="0"/>
          <w:sz w:val="24"/>
          <w:szCs w:val="24"/>
        </w:rPr>
        <w:t>九、估价方法</w:t>
      </w:r>
      <w:bookmarkEnd w:id="123"/>
      <w:bookmarkEnd w:id="124"/>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根据《房地产估价规范》（GB/T 50291-2015），通行的估价方法有比较法、收益法、成本法、假设开发法等。估价方法的选择应根据当地房地产市场发育情况并结合估价对象的具体特点及估价目的等，选择适当的估价方法。</w:t>
      </w:r>
    </w:p>
    <w:p>
      <w:pPr>
        <w:pStyle w:val="24"/>
        <w:numPr>
          <w:ilvl w:val="0"/>
          <w:numId w:val="13"/>
        </w:numPr>
        <w:topLinePunct/>
        <w:adjustRightInd w:val="0"/>
        <w:snapToGrid w:val="0"/>
        <w:spacing w:line="312" w:lineRule="auto"/>
        <w:rPr>
          <w:rFonts w:ascii="微软雅黑" w:hAnsi="微软雅黑" w:eastAsia="微软雅黑" w:cs="微软雅黑"/>
          <w:b/>
          <w:szCs w:val="21"/>
        </w:rPr>
      </w:pPr>
      <w:bookmarkStart w:id="125" w:name="OLE_LINK33"/>
      <w:r>
        <w:rPr>
          <w:rFonts w:hint="eastAsia" w:ascii="微软雅黑" w:hAnsi="微软雅黑" w:eastAsia="微软雅黑" w:cs="微软雅黑"/>
          <w:b/>
          <w:szCs w:val="21"/>
        </w:rPr>
        <w:t>估价方法选用分析</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仿宋_GB2312"/>
          <w:szCs w:val="21"/>
        </w:rPr>
        <w:t>估价人员在认真分析所掌握的资料，并对估价对象进行了实地查勘以及对周边房地产市场进行调查后，根据《房地产估价规范》（</w:t>
      </w:r>
      <w:r>
        <w:rPr>
          <w:rFonts w:ascii="微软雅黑" w:hAnsi="微软雅黑" w:eastAsia="微软雅黑" w:cs="仿宋_GB2312"/>
          <w:szCs w:val="21"/>
        </w:rPr>
        <w:t>GB/T 50291-2015</w:t>
      </w:r>
      <w:r>
        <w:rPr>
          <w:rFonts w:hint="eastAsia" w:ascii="微软雅黑" w:hAnsi="微软雅黑" w:eastAsia="微软雅黑" w:cs="仿宋_GB2312"/>
          <w:szCs w:val="21"/>
        </w:rPr>
        <w:t>），遵照国家有关法律、法规、估价技术标准，经反复研究，最终选取比较法对估价对象进行评估，具体分析如下：</w:t>
      </w:r>
    </w:p>
    <w:tbl>
      <w:tblPr>
        <w:tblStyle w:val="16"/>
        <w:tblW w:w="9417" w:type="dxa"/>
        <w:jc w:val="center"/>
        <w:tblLayout w:type="fixed"/>
        <w:tblCellMar>
          <w:top w:w="0" w:type="dxa"/>
          <w:left w:w="108" w:type="dxa"/>
          <w:bottom w:w="0" w:type="dxa"/>
          <w:right w:w="108" w:type="dxa"/>
        </w:tblCellMar>
      </w:tblPr>
      <w:tblGrid>
        <w:gridCol w:w="993"/>
        <w:gridCol w:w="3284"/>
        <w:gridCol w:w="4270"/>
        <w:gridCol w:w="870"/>
      </w:tblGrid>
      <w:tr>
        <w:tblPrEx>
          <w:tblCellMar>
            <w:top w:w="0" w:type="dxa"/>
            <w:left w:w="108" w:type="dxa"/>
            <w:bottom w:w="0" w:type="dxa"/>
            <w:right w:w="108" w:type="dxa"/>
          </w:tblCellMar>
        </w:tblPrEx>
        <w:trPr>
          <w:trHeight w:val="585" w:hRule="atLeast"/>
          <w:jc w:val="center"/>
        </w:trPr>
        <w:tc>
          <w:tcPr>
            <w:tcW w:w="993" w:type="dxa"/>
            <w:tcBorders>
              <w:top w:val="single" w:color="000000" w:sz="12" w:space="0"/>
              <w:left w:val="single" w:color="000000" w:sz="12" w:space="0"/>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可选估价方法</w:t>
            </w:r>
          </w:p>
        </w:tc>
        <w:tc>
          <w:tcPr>
            <w:tcW w:w="3284" w:type="dxa"/>
            <w:tcBorders>
              <w:top w:val="single" w:color="000000" w:sz="12"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估价方法定义</w:t>
            </w:r>
          </w:p>
        </w:tc>
        <w:tc>
          <w:tcPr>
            <w:tcW w:w="4270" w:type="dxa"/>
            <w:tcBorders>
              <w:top w:val="single" w:color="000000" w:sz="12"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估价方法是否选择理由</w:t>
            </w:r>
          </w:p>
        </w:tc>
        <w:tc>
          <w:tcPr>
            <w:tcW w:w="870" w:type="dxa"/>
            <w:tcBorders>
              <w:top w:val="single" w:color="000000" w:sz="12" w:space="0"/>
              <w:left w:val="nil"/>
              <w:bottom w:val="dotted" w:color="000000" w:sz="4"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是否</w:t>
            </w:r>
          </w:p>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选取</w:t>
            </w:r>
          </w:p>
        </w:tc>
      </w:tr>
      <w:tr>
        <w:tblPrEx>
          <w:tblCellMar>
            <w:top w:w="0" w:type="dxa"/>
            <w:left w:w="108" w:type="dxa"/>
            <w:bottom w:w="0" w:type="dxa"/>
            <w:right w:w="108" w:type="dxa"/>
          </w:tblCellMar>
        </w:tblPrEx>
        <w:trPr>
          <w:trHeight w:val="1690" w:hRule="atLeast"/>
          <w:jc w:val="center"/>
        </w:trPr>
        <w:tc>
          <w:tcPr>
            <w:tcW w:w="993" w:type="dxa"/>
            <w:tcBorders>
              <w:top w:val="dotted" w:color="000000" w:sz="4" w:space="0"/>
              <w:left w:val="single" w:color="000000" w:sz="12" w:space="0"/>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比较法</w:t>
            </w:r>
          </w:p>
        </w:tc>
        <w:tc>
          <w:tcPr>
            <w:tcW w:w="3284" w:type="dxa"/>
            <w:tcBorders>
              <w:top w:val="dotted" w:color="000000" w:sz="4"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选取一定数量的可比实例，将它们与估价对象进行比较，根据其间的差异对可比实例成交价格进行处理后得到估价对象价值或价格的方法</w:t>
            </w:r>
          </w:p>
        </w:tc>
        <w:tc>
          <w:tcPr>
            <w:tcW w:w="4270" w:type="dxa"/>
            <w:tcBorders>
              <w:top w:val="dotted" w:color="000000" w:sz="4"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估价对象用途为住宅，所在区域近期有类似住宅成交，故宜采用比较法进行评估</w:t>
            </w:r>
          </w:p>
        </w:tc>
        <w:tc>
          <w:tcPr>
            <w:tcW w:w="870" w:type="dxa"/>
            <w:tcBorders>
              <w:top w:val="dotted" w:color="000000" w:sz="4" w:space="0"/>
              <w:left w:val="nil"/>
              <w:bottom w:val="dotted" w:color="000000" w:sz="4"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选取</w:t>
            </w:r>
          </w:p>
        </w:tc>
      </w:tr>
      <w:tr>
        <w:tblPrEx>
          <w:tblCellMar>
            <w:top w:w="0" w:type="dxa"/>
            <w:left w:w="108" w:type="dxa"/>
            <w:bottom w:w="0" w:type="dxa"/>
            <w:right w:w="108" w:type="dxa"/>
          </w:tblCellMar>
        </w:tblPrEx>
        <w:trPr>
          <w:trHeight w:val="2160" w:hRule="atLeast"/>
          <w:jc w:val="center"/>
        </w:trPr>
        <w:tc>
          <w:tcPr>
            <w:tcW w:w="993" w:type="dxa"/>
            <w:tcBorders>
              <w:top w:val="nil"/>
              <w:left w:val="single" w:color="000000" w:sz="12" w:space="0"/>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收益法</w:t>
            </w:r>
          </w:p>
        </w:tc>
        <w:tc>
          <w:tcPr>
            <w:tcW w:w="3284" w:type="dxa"/>
            <w:tcBorders>
              <w:top w:val="nil"/>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预测估价对象的未来收益，利用报酬率或资本化率、收益乘数将未来收益转换为价值得到估价对象价值或价格的方法</w:t>
            </w:r>
          </w:p>
        </w:tc>
        <w:tc>
          <w:tcPr>
            <w:tcW w:w="4270" w:type="dxa"/>
            <w:tcBorders>
              <w:top w:val="nil"/>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收益法适宜用于收益物业评估，即为有经济收益或有潜在经济收益的房地产，估价对象为住宅房地产，周边有同类物业出租，</w:t>
            </w:r>
            <w:r>
              <w:rPr>
                <w:rFonts w:hint="eastAsia" w:ascii="微软雅黑" w:hAnsi="微软雅黑" w:eastAsia="微软雅黑" w:cs="宋体"/>
                <w:color w:val="000000" w:themeColor="text1"/>
                <w:kern w:val="0"/>
                <w:sz w:val="20"/>
                <w:szCs w:val="20"/>
              </w:rPr>
              <w:t>但目前收益难以及时反映市场行情以及商品房租金的增长速度远远低于房地产本身价值的增值速度等实际情况</w:t>
            </w:r>
            <w:r>
              <w:rPr>
                <w:rFonts w:hint="eastAsia" w:ascii="微软雅黑" w:hAnsi="微软雅黑" w:eastAsia="微软雅黑" w:cs="宋体"/>
                <w:kern w:val="0"/>
                <w:sz w:val="20"/>
                <w:szCs w:val="20"/>
              </w:rPr>
              <w:t>，故不适合采用收益法进行评估</w:t>
            </w:r>
          </w:p>
        </w:tc>
        <w:tc>
          <w:tcPr>
            <w:tcW w:w="870" w:type="dxa"/>
            <w:tcBorders>
              <w:top w:val="nil"/>
              <w:left w:val="nil"/>
              <w:bottom w:val="dotted" w:color="000000" w:sz="4"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不选取</w:t>
            </w:r>
          </w:p>
        </w:tc>
      </w:tr>
      <w:tr>
        <w:tblPrEx>
          <w:tblCellMar>
            <w:top w:w="0" w:type="dxa"/>
            <w:left w:w="108" w:type="dxa"/>
            <w:bottom w:w="0" w:type="dxa"/>
            <w:right w:w="108" w:type="dxa"/>
          </w:tblCellMar>
        </w:tblPrEx>
        <w:trPr>
          <w:trHeight w:val="2385" w:hRule="atLeast"/>
          <w:jc w:val="center"/>
        </w:trPr>
        <w:tc>
          <w:tcPr>
            <w:tcW w:w="993" w:type="dxa"/>
            <w:tcBorders>
              <w:top w:val="dotted" w:color="000000" w:sz="4" w:space="0"/>
              <w:left w:val="single" w:color="000000" w:sz="12" w:space="0"/>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假设开发法</w:t>
            </w:r>
          </w:p>
        </w:tc>
        <w:tc>
          <w:tcPr>
            <w:tcW w:w="3284" w:type="dxa"/>
            <w:tcBorders>
              <w:top w:val="dotted" w:color="000000" w:sz="4"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在估算开发完成后不动产正常交易价格的基础上，扣除建筑物建造费用和与建筑物建造买卖有关的专业费、前期费用、利息、利润、税收等费用后，以价格余额来确定估价对象价格的一种估价方法</w:t>
            </w:r>
          </w:p>
        </w:tc>
        <w:tc>
          <w:tcPr>
            <w:tcW w:w="4270" w:type="dxa"/>
            <w:tcBorders>
              <w:top w:val="dotted" w:color="000000" w:sz="4"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假设开发法适用于具有投资开发或再开发潜力的房地产，估价对象为住宅房地产，属于产成品，就目前状态，处于最佳使用，不存在重新开发利用可能，也无需改造或改变用途，故不适合采用假设开发法进行估价</w:t>
            </w:r>
          </w:p>
        </w:tc>
        <w:tc>
          <w:tcPr>
            <w:tcW w:w="870" w:type="dxa"/>
            <w:tcBorders>
              <w:top w:val="dotted" w:color="000000" w:sz="4" w:space="0"/>
              <w:left w:val="nil"/>
              <w:bottom w:val="dotted" w:color="000000" w:sz="4"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不选取</w:t>
            </w:r>
          </w:p>
        </w:tc>
      </w:tr>
      <w:tr>
        <w:tblPrEx>
          <w:tblCellMar>
            <w:top w:w="0" w:type="dxa"/>
            <w:left w:w="108" w:type="dxa"/>
            <w:bottom w:w="0" w:type="dxa"/>
            <w:right w:w="108" w:type="dxa"/>
          </w:tblCellMar>
        </w:tblPrEx>
        <w:trPr>
          <w:trHeight w:val="451" w:hRule="atLeast"/>
          <w:jc w:val="center"/>
        </w:trPr>
        <w:tc>
          <w:tcPr>
            <w:tcW w:w="993" w:type="dxa"/>
            <w:tcBorders>
              <w:top w:val="dotted" w:color="000000" w:sz="4" w:space="0"/>
              <w:left w:val="single" w:color="000000" w:sz="12" w:space="0"/>
              <w:bottom w:val="single" w:color="000000" w:sz="12"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成本法</w:t>
            </w:r>
          </w:p>
        </w:tc>
        <w:tc>
          <w:tcPr>
            <w:tcW w:w="3284" w:type="dxa"/>
            <w:tcBorders>
              <w:top w:val="dotted" w:color="000000" w:sz="4" w:space="0"/>
              <w:left w:val="nil"/>
              <w:bottom w:val="single" w:color="000000" w:sz="12"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测算估价对象在价值时点的重置成本或重建成本和折旧，将重置成本或重建成本减去折旧得到估价对象价值或价格的方法</w:t>
            </w:r>
          </w:p>
        </w:tc>
        <w:tc>
          <w:tcPr>
            <w:tcW w:w="4270" w:type="dxa"/>
            <w:tcBorders>
              <w:top w:val="dotted" w:color="000000" w:sz="4" w:space="0"/>
              <w:left w:val="nil"/>
              <w:bottom w:val="single" w:color="000000" w:sz="12"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住宅房地产的价格大部分取决于效用，而非取决于其成本，故采用成本法可能会与市场产生偏差，一般成本法适用于新开发房产、工业房产估价，故不适合采用成本法进行估价</w:t>
            </w:r>
          </w:p>
        </w:tc>
        <w:tc>
          <w:tcPr>
            <w:tcW w:w="870" w:type="dxa"/>
            <w:tcBorders>
              <w:top w:val="dotted" w:color="000000" w:sz="4" w:space="0"/>
              <w:left w:val="nil"/>
              <w:bottom w:val="single" w:color="000000" w:sz="12"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不选取</w:t>
            </w:r>
          </w:p>
        </w:tc>
      </w:tr>
    </w:tbl>
    <w:p>
      <w:pPr>
        <w:topLinePunct/>
        <w:adjustRightInd w:val="0"/>
        <w:snapToGrid w:val="0"/>
        <w:spacing w:before="156" w:beforeLines="50" w:line="360" w:lineRule="auto"/>
        <w:ind w:firstLine="420" w:firstLineChars="200"/>
        <w:rPr>
          <w:rFonts w:ascii="微软雅黑" w:hAnsi="微软雅黑" w:eastAsia="微软雅黑"/>
          <w:b/>
          <w:szCs w:val="21"/>
        </w:rPr>
      </w:pPr>
      <w:r>
        <w:rPr>
          <w:rFonts w:hint="eastAsia" w:ascii="微软雅黑" w:hAnsi="微软雅黑" w:eastAsia="微软雅黑" w:cs="微软雅黑"/>
          <w:b/>
          <w:szCs w:val="21"/>
        </w:rPr>
        <w:t>（二）</w:t>
      </w:r>
      <w:r>
        <w:rPr>
          <w:rFonts w:hint="eastAsia" w:ascii="微软雅黑" w:hAnsi="微软雅黑" w:eastAsia="微软雅黑" w:cs="仿宋_GB2312"/>
          <w:b/>
          <w:sz w:val="22"/>
        </w:rPr>
        <w:t>估价方法定义及基本公式</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比较法，是选取一定数量的可比实例，将它们与估价对象进行比较，根据其间的差异对可比实例成交价格进行处理后得到估价对象价值或价格的方法。</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运用比较法估价需要对可比实例的成交价格进行交易情况、市场状况、房地产状况三大方面的修正或调整，将可比实例的成交价格转变成估价对象的价值或价格。运用比较法求取估价对象的房地产价值，基本公式如下：</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比较价值＝可比实例成交价格×交易情况修正系数×市场状况调整系数×房地产状况调整系数</w:t>
      </w:r>
    </w:p>
    <w:bookmarkEnd w:id="125"/>
    <w:p>
      <w:pPr>
        <w:pStyle w:val="2"/>
        <w:tabs>
          <w:tab w:val="left" w:pos="993"/>
        </w:tabs>
        <w:topLinePunct/>
        <w:adjustRightInd w:val="0"/>
        <w:snapToGrid w:val="0"/>
        <w:spacing w:before="0" w:after="0" w:line="360" w:lineRule="auto"/>
        <w:rPr>
          <w:rFonts w:ascii="微软雅黑" w:hAnsi="微软雅黑" w:eastAsia="微软雅黑" w:cs="微软雅黑"/>
          <w:bCs w:val="0"/>
          <w:sz w:val="24"/>
          <w:szCs w:val="24"/>
        </w:rPr>
      </w:pPr>
      <w:bookmarkStart w:id="126" w:name="_Toc22651521"/>
      <w:bookmarkStart w:id="127" w:name="_Toc17787"/>
      <w:r>
        <w:rPr>
          <w:rFonts w:hint="eastAsia" w:ascii="微软雅黑" w:hAnsi="微软雅黑" w:eastAsia="微软雅黑" w:cs="微软雅黑"/>
          <w:bCs w:val="0"/>
          <w:sz w:val="24"/>
          <w:szCs w:val="24"/>
        </w:rPr>
        <w:t>十、估价结果</w:t>
      </w:r>
      <w:bookmarkEnd w:id="126"/>
      <w:bookmarkEnd w:id="127"/>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估价人员遵循各项估价原则，根据估价目的和国家有关房地产估价的规范、规定，按照估价程序，经过实地查勘与市场调查，并进行了分析、测算和判断，确定估价对象在满足全部假设和限制条件下于价值时点的估价结果</w:t>
      </w:r>
      <w:r>
        <w:rPr>
          <w:rFonts w:hint="eastAsia" w:ascii="微软雅黑" w:hAnsi="微软雅黑" w:eastAsia="微软雅黑" w:cs="仿宋_GB2312"/>
          <w:szCs w:val="21"/>
        </w:rPr>
        <w:t>如下（含固定装修）</w:t>
      </w:r>
      <w:r>
        <w:rPr>
          <w:rFonts w:hint="eastAsia" w:ascii="微软雅黑" w:hAnsi="微软雅黑" w:eastAsia="微软雅黑"/>
          <w:szCs w:val="21"/>
        </w:rPr>
        <w:t>：</w:t>
      </w:r>
      <w:bookmarkStart w:id="128" w:name="_Toc22651522"/>
      <w:r>
        <w:rPr>
          <w:rFonts w:hint="eastAsia" w:ascii="微软雅黑" w:hAnsi="微软雅黑" w:eastAsia="微软雅黑" w:cs="仿宋_GB2312"/>
          <w:szCs w:val="21"/>
        </w:rPr>
        <w:t>（币种：人民币，其中总价保留到仟位，单价保留到个位）</w:t>
      </w:r>
    </w:p>
    <w:p>
      <w:pPr>
        <w:pStyle w:val="22"/>
        <w:tabs>
          <w:tab w:val="left" w:pos="709"/>
        </w:tabs>
        <w:topLinePunct/>
        <w:adjustRightInd w:val="0"/>
        <w:snapToGrid w:val="0"/>
        <w:spacing w:line="312" w:lineRule="auto"/>
        <w:rPr>
          <w:rFonts w:ascii="微软雅黑" w:hAnsi="微软雅黑" w:eastAsia="微软雅黑" w:cs="仿宋_GB2312"/>
          <w:b/>
        </w:rPr>
      </w:pPr>
      <w:r>
        <w:rPr>
          <w:rFonts w:hint="eastAsia" w:ascii="微软雅黑" w:hAnsi="微软雅黑" w:eastAsia="微软雅黑" w:cs="仿宋_GB2312"/>
          <w:b/>
        </w:rPr>
        <w:t>房地产市场价值</w:t>
      </w:r>
      <w:r>
        <w:rPr>
          <w:rFonts w:ascii="微软雅黑" w:hAnsi="微软雅黑" w:eastAsia="微软雅黑" w:cs="仿宋_GB2312"/>
          <w:b/>
        </w:rPr>
        <w:t>:</w:t>
      </w:r>
      <w:r>
        <w:rPr>
          <w:rFonts w:hint="eastAsia" w:ascii="微软雅黑" w:hAnsi="微软雅黑" w:eastAsia="微软雅黑" w:cs="仿宋_GB2312"/>
          <w:b/>
          <w:lang w:val="en-US" w:eastAsia="zh-CN"/>
        </w:rPr>
        <w:t>45.2</w:t>
      </w:r>
      <w:r>
        <w:rPr>
          <w:rFonts w:hint="eastAsia" w:ascii="微软雅黑" w:hAnsi="微软雅黑" w:eastAsia="微软雅黑" w:cs="仿宋_GB2312"/>
          <w:b/>
        </w:rPr>
        <w:t>万元(保留仟位取整)</w:t>
      </w:r>
    </w:p>
    <w:p>
      <w:pPr>
        <w:topLinePunct/>
        <w:adjustRightInd w:val="0"/>
        <w:snapToGrid w:val="0"/>
        <w:spacing w:line="360" w:lineRule="auto"/>
        <w:ind w:firstLine="420" w:firstLineChars="200"/>
        <w:rPr>
          <w:rFonts w:ascii="微软雅黑" w:hAnsi="微软雅黑" w:eastAsia="微软雅黑" w:cs="仿宋_GB2312"/>
          <w:b/>
        </w:rPr>
      </w:pPr>
      <w:r>
        <w:rPr>
          <w:rFonts w:hint="eastAsia" w:ascii="微软雅黑" w:hAnsi="微软雅黑" w:eastAsia="微软雅黑" w:cs="仿宋_GB2312"/>
          <w:b/>
        </w:rPr>
        <w:t>大写金额：</w:t>
      </w:r>
      <w:r>
        <w:rPr>
          <w:rFonts w:hint="eastAsia" w:ascii="微软雅黑" w:hAnsi="微软雅黑" w:eastAsia="微软雅黑" w:cs="仿宋_GB2312"/>
          <w:b/>
          <w:lang w:eastAsia="zh-CN"/>
        </w:rPr>
        <w:t>肆拾伍万贰仟</w:t>
      </w:r>
      <w:r>
        <w:rPr>
          <w:rFonts w:hint="eastAsia" w:ascii="微软雅黑" w:hAnsi="微软雅黑" w:eastAsia="微软雅黑" w:cs="仿宋_GB2312"/>
          <w:b/>
        </w:rPr>
        <w:t>元整</w:t>
      </w:r>
    </w:p>
    <w:p>
      <w:pPr>
        <w:pStyle w:val="2"/>
        <w:tabs>
          <w:tab w:val="left" w:pos="993"/>
        </w:tabs>
        <w:topLinePunct/>
        <w:adjustRightInd w:val="0"/>
        <w:snapToGrid w:val="0"/>
        <w:spacing w:before="0" w:after="0" w:line="360" w:lineRule="auto"/>
        <w:rPr>
          <w:rFonts w:ascii="微软雅黑" w:hAnsi="微软雅黑" w:eastAsia="微软雅黑" w:cs="微软雅黑"/>
          <w:bCs w:val="0"/>
          <w:sz w:val="24"/>
          <w:szCs w:val="24"/>
        </w:rPr>
      </w:pPr>
      <w:bookmarkStart w:id="129" w:name="_Toc833"/>
      <w:r>
        <w:rPr>
          <w:rFonts w:hint="eastAsia" w:ascii="微软雅黑" w:hAnsi="微软雅黑" w:eastAsia="微软雅黑" w:cs="微软雅黑"/>
          <w:bCs w:val="0"/>
          <w:sz w:val="24"/>
          <w:szCs w:val="24"/>
        </w:rPr>
        <w:t>十一、注册房地产估价师</w:t>
      </w:r>
      <w:bookmarkEnd w:id="128"/>
      <w:bookmarkEnd w:id="129"/>
    </w:p>
    <w:p>
      <w:pPr>
        <w:pStyle w:val="24"/>
        <w:topLinePunct/>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参加本次估价的注册房地产估价师为：</w:t>
      </w:r>
    </w:p>
    <w:tbl>
      <w:tblPr>
        <w:tblStyle w:val="16"/>
        <w:tblpPr w:leftFromText="181" w:rightFromText="181" w:bottomFromText="142" w:vertAnchor="text" w:tblpXSpec="center" w:tblpY="1"/>
        <w:tblOverlap w:val="never"/>
        <w:tblW w:w="900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85"/>
        <w:gridCol w:w="3293"/>
        <w:gridCol w:w="26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3085" w:type="dxa"/>
            <w:shd w:val="clear" w:color="auto" w:fill="C0AD72"/>
            <w:vAlign w:val="center"/>
          </w:tcPr>
          <w:p>
            <w:pPr>
              <w:topLinePunct/>
              <w:adjustRightInd w:val="0"/>
              <w:snapToGrid w:val="0"/>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姓名</w:t>
            </w:r>
          </w:p>
        </w:tc>
        <w:tc>
          <w:tcPr>
            <w:tcW w:w="3293" w:type="dxa"/>
            <w:shd w:val="clear" w:color="auto" w:fill="C0AD72"/>
            <w:vAlign w:val="center"/>
          </w:tcPr>
          <w:p>
            <w:pPr>
              <w:topLinePunct/>
              <w:adjustRightInd w:val="0"/>
              <w:snapToGrid w:val="0"/>
              <w:jc w:val="center"/>
              <w:rPr>
                <w:rFonts w:ascii="微软雅黑" w:hAnsi="微软雅黑" w:eastAsia="微软雅黑" w:cs="宋体"/>
                <w:b/>
                <w:sz w:val="18"/>
                <w:szCs w:val="18"/>
              </w:rPr>
            </w:pPr>
            <w:r>
              <w:rPr>
                <w:rFonts w:hint="eastAsia" w:ascii="微软雅黑" w:hAnsi="微软雅黑" w:eastAsia="微软雅黑" w:cs="宋体"/>
                <w:b/>
                <w:bCs/>
                <w:kern w:val="0"/>
                <w:sz w:val="16"/>
                <w:szCs w:val="16"/>
              </w:rPr>
              <w:t>签名</w:t>
            </w:r>
          </w:p>
        </w:tc>
        <w:tc>
          <w:tcPr>
            <w:tcW w:w="2625" w:type="dxa"/>
            <w:shd w:val="clear" w:color="auto" w:fill="C0AD72"/>
            <w:vAlign w:val="center"/>
          </w:tcPr>
          <w:p>
            <w:pPr>
              <w:topLinePunct/>
              <w:adjustRightInd w:val="0"/>
              <w:snapToGrid w:val="0"/>
              <w:jc w:val="center"/>
              <w:rPr>
                <w:rFonts w:ascii="微软雅黑" w:hAnsi="微软雅黑" w:eastAsia="微软雅黑" w:cs="宋体"/>
                <w:b/>
                <w:sz w:val="18"/>
                <w:szCs w:val="18"/>
              </w:rPr>
            </w:pPr>
            <w:r>
              <w:rPr>
                <w:rFonts w:hint="eastAsia" w:ascii="微软雅黑" w:hAnsi="微软雅黑" w:eastAsia="微软雅黑" w:cs="宋体"/>
                <w:b/>
                <w:bCs/>
                <w:kern w:val="0"/>
                <w:sz w:val="16"/>
                <w:szCs w:val="16"/>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9" w:hRule="atLeast"/>
        </w:trPr>
        <w:tc>
          <w:tcPr>
            <w:tcW w:w="3085" w:type="dxa"/>
            <w:shd w:val="clear" w:color="auto" w:fill="auto"/>
            <w:vAlign w:val="center"/>
          </w:tcPr>
          <w:p>
            <w:pPr>
              <w:topLinePunct/>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陈爱芳 　</w:t>
            </w:r>
          </w:p>
          <w:p>
            <w:pPr>
              <w:topLinePunct/>
              <w:adjustRightInd w:val="0"/>
              <w:snapToGrid w:val="0"/>
              <w:jc w:val="center"/>
              <w:rPr>
                <w:rFonts w:ascii="微软雅黑" w:hAnsi="微软雅黑" w:eastAsia="微软雅黑" w:cs="宋体"/>
                <w:bCs/>
                <w:kern w:val="0"/>
                <w:sz w:val="18"/>
                <w:szCs w:val="18"/>
              </w:rPr>
            </w:pPr>
            <w:r>
              <w:rPr>
                <w:rFonts w:hint="eastAsia" w:ascii="微软雅黑" w:hAnsi="微软雅黑" w:eastAsia="微软雅黑" w:cs="微软雅黑"/>
                <w:szCs w:val="21"/>
              </w:rPr>
              <w:t>（注册号3320150125)</w:t>
            </w:r>
          </w:p>
        </w:tc>
        <w:tc>
          <w:tcPr>
            <w:tcW w:w="3293"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c>
          <w:tcPr>
            <w:tcW w:w="2625"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1" w:hRule="atLeast"/>
        </w:trPr>
        <w:tc>
          <w:tcPr>
            <w:tcW w:w="3085" w:type="dxa"/>
            <w:shd w:val="clear" w:color="auto" w:fill="auto"/>
            <w:vAlign w:val="center"/>
          </w:tcPr>
          <w:p>
            <w:pPr>
              <w:topLinePunct/>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 xml:space="preserve">林小欣  </w:t>
            </w:r>
          </w:p>
          <w:p>
            <w:pPr>
              <w:topLinePunct/>
              <w:adjustRightInd w:val="0"/>
              <w:snapToGrid w:val="0"/>
              <w:jc w:val="center"/>
              <w:rPr>
                <w:rFonts w:ascii="微软雅黑" w:hAnsi="微软雅黑" w:eastAsia="微软雅黑" w:cs="宋体"/>
                <w:bCs/>
                <w:kern w:val="0"/>
                <w:sz w:val="18"/>
                <w:szCs w:val="18"/>
              </w:rPr>
            </w:pPr>
            <w:r>
              <w:rPr>
                <w:rFonts w:hint="eastAsia" w:ascii="微软雅黑" w:hAnsi="微软雅黑" w:eastAsia="微软雅黑" w:cs="微软雅黑"/>
                <w:szCs w:val="21"/>
              </w:rPr>
              <w:t>（注册号3320090038)</w:t>
            </w:r>
          </w:p>
        </w:tc>
        <w:tc>
          <w:tcPr>
            <w:tcW w:w="3293"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c>
          <w:tcPr>
            <w:tcW w:w="2625"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r>
    </w:tbl>
    <w:p>
      <w:pPr>
        <w:pStyle w:val="2"/>
        <w:tabs>
          <w:tab w:val="left" w:pos="993"/>
        </w:tabs>
        <w:topLinePunct/>
        <w:adjustRightInd w:val="0"/>
        <w:snapToGrid w:val="0"/>
        <w:spacing w:before="0" w:after="0" w:line="276" w:lineRule="auto"/>
        <w:rPr>
          <w:rFonts w:ascii="微软雅黑" w:hAnsi="微软雅黑" w:eastAsia="微软雅黑" w:cs="微软雅黑"/>
          <w:bCs w:val="0"/>
          <w:sz w:val="24"/>
          <w:szCs w:val="24"/>
        </w:rPr>
      </w:pPr>
      <w:bookmarkStart w:id="130" w:name="_Toc2987"/>
      <w:bookmarkStart w:id="131" w:name="_Toc22651523"/>
      <w:r>
        <w:rPr>
          <w:rFonts w:hint="eastAsia" w:ascii="微软雅黑" w:hAnsi="微软雅黑" w:eastAsia="微软雅黑" w:cs="微软雅黑"/>
          <w:bCs w:val="0"/>
          <w:sz w:val="24"/>
          <w:szCs w:val="24"/>
        </w:rPr>
        <w:t>十二、实地查勘期</w:t>
      </w:r>
      <w:bookmarkEnd w:id="130"/>
      <w:bookmarkEnd w:id="131"/>
    </w:p>
    <w:p>
      <w:pPr>
        <w:pStyle w:val="24"/>
        <w:topLinePunct/>
        <w:adjustRightInd w:val="0"/>
        <w:snapToGrid w:val="0"/>
        <w:spacing w:line="276" w:lineRule="auto"/>
        <w:rPr>
          <w:rFonts w:ascii="微软雅黑" w:hAnsi="微软雅黑" w:eastAsia="微软雅黑"/>
          <w:szCs w:val="21"/>
        </w:rPr>
      </w:pPr>
      <w:r>
        <w:rPr>
          <w:rFonts w:hint="eastAsia" w:ascii="微软雅黑" w:hAnsi="微软雅黑" w:eastAsia="微软雅黑"/>
          <w:szCs w:val="21"/>
          <w:lang w:eastAsia="zh-CN"/>
        </w:rPr>
        <w:t>2022年8月9日</w:t>
      </w:r>
      <w:r>
        <w:rPr>
          <w:rFonts w:hint="eastAsia" w:ascii="微软雅黑" w:hAnsi="微软雅黑" w:eastAsia="微软雅黑"/>
          <w:szCs w:val="21"/>
        </w:rPr>
        <w:t>。</w:t>
      </w:r>
    </w:p>
    <w:p>
      <w:pPr>
        <w:pStyle w:val="2"/>
        <w:tabs>
          <w:tab w:val="left" w:pos="993"/>
        </w:tabs>
        <w:topLinePunct/>
        <w:adjustRightInd w:val="0"/>
        <w:snapToGrid w:val="0"/>
        <w:spacing w:before="0" w:after="0" w:line="276" w:lineRule="auto"/>
        <w:rPr>
          <w:rFonts w:ascii="微软雅黑" w:hAnsi="微软雅黑" w:eastAsia="微软雅黑" w:cs="微软雅黑"/>
          <w:bCs w:val="0"/>
          <w:sz w:val="24"/>
          <w:szCs w:val="24"/>
        </w:rPr>
      </w:pPr>
      <w:bookmarkStart w:id="132" w:name="_Toc20843"/>
      <w:bookmarkStart w:id="133" w:name="_Toc22651524"/>
      <w:r>
        <w:rPr>
          <w:rFonts w:hint="eastAsia" w:ascii="微软雅黑" w:hAnsi="微软雅黑" w:eastAsia="微软雅黑" w:cs="微软雅黑"/>
          <w:bCs w:val="0"/>
          <w:sz w:val="24"/>
          <w:szCs w:val="24"/>
        </w:rPr>
        <w:t>十三、估价作业期</w:t>
      </w:r>
      <w:bookmarkEnd w:id="132"/>
      <w:bookmarkEnd w:id="133"/>
    </w:p>
    <w:p>
      <w:pPr>
        <w:pStyle w:val="24"/>
        <w:topLinePunct/>
        <w:adjustRightInd w:val="0"/>
        <w:snapToGrid w:val="0"/>
        <w:spacing w:line="276" w:lineRule="auto"/>
        <w:rPr>
          <w:rFonts w:ascii="微软雅黑" w:hAnsi="微软雅黑" w:eastAsia="微软雅黑"/>
          <w:szCs w:val="21"/>
        </w:rPr>
      </w:pPr>
      <w:r>
        <w:rPr>
          <w:rFonts w:hint="eastAsia" w:ascii="微软雅黑" w:hAnsi="微软雅黑" w:eastAsia="微软雅黑"/>
          <w:szCs w:val="21"/>
        </w:rPr>
        <w:t>2022年</w:t>
      </w:r>
      <w:r>
        <w:rPr>
          <w:rFonts w:hint="eastAsia" w:ascii="微软雅黑" w:hAnsi="微软雅黑" w:eastAsia="微软雅黑"/>
          <w:szCs w:val="21"/>
          <w:lang w:val="en-US" w:eastAsia="zh-CN"/>
        </w:rPr>
        <w:t>8</w:t>
      </w:r>
      <w:r>
        <w:rPr>
          <w:rFonts w:hint="eastAsia" w:ascii="微软雅黑" w:hAnsi="微软雅黑" w:eastAsia="微软雅黑"/>
          <w:szCs w:val="21"/>
        </w:rPr>
        <w:t>月</w:t>
      </w:r>
      <w:r>
        <w:rPr>
          <w:rFonts w:hint="eastAsia" w:ascii="微软雅黑" w:hAnsi="微软雅黑" w:eastAsia="微软雅黑"/>
          <w:szCs w:val="21"/>
          <w:lang w:val="en-US" w:eastAsia="zh-CN"/>
        </w:rPr>
        <w:t>1</w:t>
      </w:r>
      <w:r>
        <w:rPr>
          <w:rFonts w:hint="eastAsia" w:ascii="微软雅黑" w:hAnsi="微软雅黑" w:eastAsia="微软雅黑"/>
          <w:szCs w:val="21"/>
        </w:rPr>
        <w:t>日至</w:t>
      </w:r>
      <w:r>
        <w:rPr>
          <w:rFonts w:hint="eastAsia" w:ascii="微软雅黑" w:hAnsi="微软雅黑" w:eastAsia="微软雅黑"/>
          <w:szCs w:val="21"/>
          <w:lang w:eastAsia="zh-CN"/>
        </w:rPr>
        <w:t>2022年8月15日</w:t>
      </w:r>
      <w:r>
        <w:rPr>
          <w:rFonts w:hint="eastAsia" w:ascii="微软雅黑" w:hAnsi="微软雅黑" w:eastAsia="微软雅黑"/>
          <w:szCs w:val="21"/>
        </w:rPr>
        <w:t>。</w:t>
      </w:r>
    </w:p>
    <w:p>
      <w:pPr>
        <w:pStyle w:val="24"/>
        <w:topLinePunct/>
        <w:adjustRightInd w:val="0"/>
        <w:snapToGrid w:val="0"/>
        <w:spacing w:line="312" w:lineRule="auto"/>
        <w:ind w:firstLine="480"/>
        <w:rPr>
          <w:rFonts w:ascii="微软雅黑" w:hAnsi="微软雅黑" w:eastAsia="微软雅黑" w:cs="微软雅黑"/>
          <w:szCs w:val="21"/>
        </w:rPr>
      </w:pPr>
      <w:r>
        <w:rPr>
          <w:rFonts w:ascii="微软雅黑" w:hAnsi="微软雅黑" w:eastAsia="微软雅黑"/>
          <w:snapToGrid w:val="0"/>
          <w:kern w:val="0"/>
          <w:sz w:val="24"/>
        </w:rPr>
        <w:br w:type="page"/>
      </w:r>
      <w:bookmarkEnd w:id="97"/>
    </w:p>
    <w:p>
      <w:pPr>
        <w:topLinePunct/>
        <w:adjustRightInd w:val="0"/>
        <w:snapToGrid w:val="0"/>
        <w:jc w:val="center"/>
        <w:outlineLvl w:val="0"/>
        <w:rPr>
          <w:rFonts w:ascii="微软雅黑" w:hAnsi="微软雅黑" w:eastAsia="微软雅黑"/>
          <w:b/>
          <w:color w:val="C3AD72"/>
          <w:spacing w:val="20"/>
          <w:sz w:val="32"/>
          <w:szCs w:val="32"/>
        </w:rPr>
      </w:pPr>
      <w:bookmarkStart w:id="134" w:name="_Toc503261529"/>
      <w:bookmarkStart w:id="135" w:name="_Toc490223012"/>
      <w:bookmarkStart w:id="136" w:name="_Toc492480528"/>
      <w:bookmarkStart w:id="137" w:name="_Toc382493637"/>
      <w:bookmarkStart w:id="138" w:name="_Toc13985"/>
      <w:r>
        <w:rPr>
          <w:rFonts w:hint="eastAsia" w:ascii="微软雅黑" w:hAnsi="微软雅黑" w:eastAsia="微软雅黑"/>
          <w:b/>
          <w:color w:val="C3AD72"/>
          <w:spacing w:val="20"/>
          <w:sz w:val="32"/>
          <w:szCs w:val="32"/>
        </w:rPr>
        <w:t>附件</w:t>
      </w:r>
      <w:bookmarkEnd w:id="134"/>
      <w:bookmarkEnd w:id="135"/>
      <w:bookmarkEnd w:id="136"/>
      <w:bookmarkEnd w:id="137"/>
      <w:bookmarkEnd w:id="138"/>
    </w:p>
    <w:p>
      <w:pPr>
        <w:topLinePunct/>
        <w:adjustRightInd w:val="0"/>
        <w:snapToGrid w:val="0"/>
        <w:jc w:val="center"/>
        <w:rPr>
          <w:rFonts w:ascii="微软雅黑" w:hAnsi="微软雅黑" w:eastAsia="微软雅黑"/>
          <w:b/>
          <w:color w:val="C3AD72"/>
          <w:spacing w:val="20"/>
          <w:sz w:val="16"/>
          <w:szCs w:val="16"/>
        </w:rPr>
      </w:pPr>
      <w:r>
        <w:rPr>
          <w:rFonts w:hint="eastAsia" w:ascii="微软雅黑" w:hAnsi="微软雅黑" w:eastAsia="微软雅黑"/>
          <w:b/>
          <w:color w:val="C3AD72"/>
          <w:spacing w:val="20"/>
          <w:sz w:val="16"/>
          <w:szCs w:val="16"/>
        </w:rPr>
        <w:t>Appendix</w:t>
      </w:r>
    </w:p>
    <w:p>
      <w:pPr>
        <w:pStyle w:val="3"/>
        <w:numPr>
          <w:ilvl w:val="0"/>
          <w:numId w:val="14"/>
        </w:numPr>
        <w:tabs>
          <w:tab w:val="left" w:pos="993"/>
          <w:tab w:val="left" w:pos="3544"/>
        </w:tabs>
        <w:topLinePunct/>
        <w:adjustRightInd w:val="0"/>
        <w:snapToGrid w:val="0"/>
        <w:spacing w:before="0" w:after="0" w:line="360" w:lineRule="auto"/>
        <w:ind w:left="0" w:firstLine="480" w:firstLineChars="200"/>
        <w:rPr>
          <w:rFonts w:eastAsia="微软雅黑"/>
          <w:b w:val="0"/>
          <w:sz w:val="24"/>
        </w:rPr>
      </w:pPr>
      <w:bookmarkStart w:id="139" w:name="_Toc523414879"/>
      <w:bookmarkStart w:id="140" w:name="_Toc71386963"/>
      <w:bookmarkStart w:id="141" w:name="_Toc7515759"/>
      <w:bookmarkStart w:id="142" w:name="_Toc42271513"/>
      <w:bookmarkStart w:id="143" w:name="_Toc514156547"/>
      <w:bookmarkStart w:id="144" w:name="_Toc505960255"/>
      <w:bookmarkStart w:id="145" w:name="_Toc513212886"/>
      <w:bookmarkStart w:id="146" w:name="_Toc508634606"/>
      <w:bookmarkStart w:id="147" w:name="_Toc513124453"/>
      <w:bookmarkStart w:id="148" w:name="_Toc5030613"/>
      <w:bookmarkStart w:id="149" w:name="_Toc40972347"/>
      <w:bookmarkStart w:id="150" w:name="_Toc12281618"/>
      <w:bookmarkStart w:id="151" w:name="_Toc25253202"/>
      <w:bookmarkStart w:id="152" w:name="_Toc511291914"/>
      <w:bookmarkStart w:id="153" w:name="_Toc508391369"/>
      <w:bookmarkStart w:id="154" w:name="_Toc12271618"/>
      <w:bookmarkStart w:id="155" w:name="_Toc38982424"/>
      <w:bookmarkStart w:id="156" w:name="_Toc505960313"/>
      <w:bookmarkStart w:id="157" w:name="_Toc66453309"/>
      <w:bookmarkStart w:id="158" w:name="_Toc22725982"/>
      <w:bookmarkStart w:id="159" w:name="_Toc524616896"/>
      <w:bookmarkStart w:id="160" w:name="_Toc73980852"/>
      <w:bookmarkStart w:id="161" w:name="_Toc524626470"/>
      <w:bookmarkStart w:id="162" w:name="_Toc511232270"/>
      <w:bookmarkStart w:id="163" w:name="_Toc38016161"/>
      <w:bookmarkStart w:id="164" w:name="_Toc5114932"/>
      <w:bookmarkStart w:id="165" w:name="_Toc71193028"/>
      <w:bookmarkStart w:id="166" w:name="_Toc506104874"/>
      <w:bookmarkStart w:id="167" w:name="_Toc24474069"/>
      <w:bookmarkStart w:id="168" w:name="_Toc63614972"/>
      <w:bookmarkStart w:id="169" w:name="_Toc511317713"/>
      <w:bookmarkStart w:id="170" w:name="_Toc22724301"/>
      <w:bookmarkStart w:id="171" w:name="_Toc508391592"/>
      <w:bookmarkStart w:id="172" w:name="_Toc56615399"/>
      <w:bookmarkStart w:id="173" w:name="_Toc72751127"/>
      <w:bookmarkStart w:id="174" w:name="_Toc471892909"/>
      <w:bookmarkStart w:id="175" w:name="_Toc60833981"/>
      <w:bookmarkStart w:id="176" w:name="_Toc69401738"/>
      <w:bookmarkStart w:id="177" w:name="_Toc503960585"/>
      <w:bookmarkStart w:id="178" w:name="_Toc532826671"/>
      <w:bookmarkStart w:id="179" w:name="_Toc509406699"/>
      <w:bookmarkStart w:id="180" w:name="_Toc25245636"/>
      <w:bookmarkStart w:id="181" w:name="_Toc471215141"/>
      <w:bookmarkStart w:id="182" w:name="_Toc29916434"/>
      <w:bookmarkStart w:id="183" w:name="_Toc509406677"/>
      <w:bookmarkStart w:id="184" w:name="_Toc471213405"/>
      <w:bookmarkStart w:id="185" w:name="_Toc25598623"/>
      <w:bookmarkStart w:id="186" w:name="_Toc66452095"/>
      <w:bookmarkStart w:id="187" w:name="_Toc511232825"/>
      <w:bookmarkStart w:id="188" w:name="_Toc524616763"/>
      <w:bookmarkStart w:id="189" w:name="_Toc71388164"/>
      <w:bookmarkStart w:id="190" w:name="_Toc56678739"/>
      <w:bookmarkStart w:id="191" w:name="_Toc29993180"/>
      <w:bookmarkStart w:id="192" w:name="_Toc513193197"/>
      <w:bookmarkStart w:id="193" w:name="_Toc73980829"/>
      <w:bookmarkStart w:id="194" w:name="_Toc47532618"/>
      <w:bookmarkStart w:id="195" w:name="_Toc66716580"/>
      <w:bookmarkStart w:id="196" w:name="_Toc56612533"/>
      <w:bookmarkStart w:id="197" w:name="_Toc69739019"/>
      <w:bookmarkStart w:id="198" w:name="_Toc524627108"/>
      <w:bookmarkStart w:id="199" w:name="_Toc50727639"/>
      <w:bookmarkStart w:id="200" w:name="_Toc50735391"/>
      <w:bookmarkStart w:id="201" w:name="_Toc471213345"/>
      <w:bookmarkStart w:id="202" w:name="_Toc504120501"/>
      <w:bookmarkStart w:id="203" w:name="_Toc38035105"/>
      <w:bookmarkStart w:id="204" w:name="_Toc532907633"/>
      <w:bookmarkStart w:id="205" w:name="_Toc38016378"/>
      <w:bookmarkStart w:id="206" w:name="_Toc47533564"/>
      <w:bookmarkStart w:id="207" w:name="_Toc24620345"/>
      <w:bookmarkStart w:id="208" w:name="_Toc74037826"/>
      <w:bookmarkStart w:id="209" w:name="_Toc524626497"/>
      <w:bookmarkStart w:id="210" w:name="_Toc505960363"/>
      <w:bookmarkStart w:id="211" w:name="_Toc40894071"/>
      <w:bookmarkStart w:id="212" w:name="_Toc532832778"/>
      <w:bookmarkStart w:id="213" w:name="_Toc471824937"/>
      <w:bookmarkStart w:id="214" w:name="_Toc503888370"/>
      <w:bookmarkStart w:id="215" w:name="_Toc504038248"/>
      <w:bookmarkStart w:id="216" w:name="_Toc503888432"/>
      <w:bookmarkStart w:id="217" w:name="_Toc40893038"/>
      <w:bookmarkStart w:id="218" w:name="_Toc505961422"/>
      <w:bookmarkStart w:id="219" w:name="_Toc7452935"/>
      <w:bookmarkStart w:id="220" w:name="_Toc508390625"/>
      <w:bookmarkStart w:id="221" w:name="_Toc25585648"/>
      <w:bookmarkStart w:id="222" w:name="_Toc5114991"/>
      <w:bookmarkStart w:id="223" w:name="_Toc42273294"/>
      <w:bookmarkStart w:id="224" w:name="_Toc4424858"/>
      <w:bookmarkStart w:id="225" w:name="_Toc513047520"/>
      <w:bookmarkStart w:id="226" w:name="_Toc71554098"/>
      <w:bookmarkStart w:id="227" w:name="_Toc71216620"/>
      <w:bookmarkStart w:id="228" w:name="_Toc523416580"/>
      <w:bookmarkStart w:id="229" w:name="_Toc513192937"/>
      <w:bookmarkStart w:id="230" w:name="_Toc524616796"/>
      <w:bookmarkStart w:id="231" w:name="_Toc505960215"/>
      <w:bookmarkStart w:id="232" w:name="_Toc69401824"/>
      <w:bookmarkStart w:id="233" w:name="_Toc4425748"/>
      <w:bookmarkStart w:id="234" w:name="_Toc514226929"/>
      <w:bookmarkStart w:id="235" w:name="_Toc505958548"/>
      <w:bookmarkStart w:id="236" w:name="_Toc42273099"/>
      <w:bookmarkStart w:id="237" w:name="_Toc7453713"/>
      <w:bookmarkStart w:id="238" w:name="_Toc56615524"/>
      <w:bookmarkStart w:id="239" w:name="_Toc511233770"/>
      <w:bookmarkStart w:id="240" w:name="_Toc532826693"/>
      <w:bookmarkStart w:id="241" w:name="_Toc506107976"/>
      <w:bookmarkStart w:id="242" w:name="_Toc509414459"/>
      <w:bookmarkStart w:id="243" w:name="_Toc509408372"/>
      <w:bookmarkStart w:id="244" w:name="_Toc532826791"/>
      <w:bookmarkStart w:id="245" w:name="_Toc471213375"/>
      <w:bookmarkStart w:id="246" w:name="_Toc60833369"/>
      <w:bookmarkStart w:id="247" w:name="_Toc12350387"/>
      <w:bookmarkStart w:id="248" w:name="_Toc63614834"/>
      <w:bookmarkStart w:id="249" w:name="_Toc4429916"/>
      <w:bookmarkStart w:id="250" w:name="_Toc72756872"/>
      <w:bookmarkStart w:id="251" w:name="_Toc69402383"/>
      <w:bookmarkStart w:id="252" w:name="_Toc71387154"/>
      <w:bookmarkStart w:id="253" w:name="_Toc42272638"/>
      <w:bookmarkStart w:id="254" w:name="_Toc9267206"/>
      <w:bookmarkStart w:id="255" w:name="_Toc10574"/>
      <w:bookmarkStart w:id="256" w:name="_Toc506107953"/>
      <w:bookmarkStart w:id="257" w:name="_Toc71202797"/>
      <w:bookmarkStart w:id="258" w:name="_Toc42273076"/>
      <w:bookmarkStart w:id="259" w:name="_Toc38019591"/>
      <w:bookmarkStart w:id="260" w:name="_Toc25249822"/>
      <w:bookmarkStart w:id="261" w:name="_Toc38809162"/>
      <w:bookmarkStart w:id="262" w:name="_Toc47703813"/>
      <w:bookmarkStart w:id="263" w:name="_Toc29913438"/>
      <w:bookmarkStart w:id="264" w:name="_Toc4426195"/>
      <w:r>
        <w:rPr>
          <w:rFonts w:hint="eastAsia" w:eastAsia="微软雅黑"/>
          <w:b w:val="0"/>
          <w:sz w:val="24"/>
        </w:rPr>
        <w:t>估价委托书复印件</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3"/>
        <w:numPr>
          <w:ilvl w:val="0"/>
          <w:numId w:val="14"/>
        </w:numPr>
        <w:tabs>
          <w:tab w:val="left" w:pos="993"/>
          <w:tab w:val="left" w:pos="3544"/>
        </w:tabs>
        <w:topLinePunct/>
        <w:adjustRightInd w:val="0"/>
        <w:snapToGrid w:val="0"/>
        <w:spacing w:before="0" w:after="0" w:line="360" w:lineRule="auto"/>
        <w:ind w:left="0" w:firstLine="480" w:firstLineChars="200"/>
        <w:rPr>
          <w:rFonts w:eastAsia="微软雅黑"/>
          <w:b w:val="0"/>
          <w:sz w:val="24"/>
        </w:rPr>
      </w:pPr>
      <w:bookmarkStart w:id="265" w:name="_Toc504120502"/>
      <w:bookmarkStart w:id="266" w:name="_Toc66452096"/>
      <w:bookmarkStart w:id="267" w:name="_Toc29993181"/>
      <w:bookmarkStart w:id="268" w:name="_Toc69739020"/>
      <w:bookmarkStart w:id="269" w:name="_Toc40894072"/>
      <w:bookmarkStart w:id="270" w:name="_Toc524616797"/>
      <w:bookmarkStart w:id="271" w:name="_Toc25585649"/>
      <w:bookmarkStart w:id="272" w:name="_Toc7452936"/>
      <w:bookmarkStart w:id="273" w:name="_Toc5114933"/>
      <w:bookmarkStart w:id="274" w:name="_Toc25249823"/>
      <w:bookmarkStart w:id="275" w:name="_Toc524626471"/>
      <w:bookmarkStart w:id="276" w:name="_Toc29913439"/>
      <w:bookmarkStart w:id="277" w:name="_Toc532826792"/>
      <w:bookmarkStart w:id="278" w:name="_Toc12281619"/>
      <w:bookmarkStart w:id="279" w:name="_Toc71387155"/>
      <w:bookmarkStart w:id="280" w:name="_Toc38019592"/>
      <w:bookmarkStart w:id="281" w:name="_Toc42273295"/>
      <w:bookmarkStart w:id="282" w:name="_Toc38016379"/>
      <w:bookmarkStart w:id="283" w:name="_Toc56615400"/>
      <w:bookmarkStart w:id="284" w:name="_Toc513047521"/>
      <w:bookmarkStart w:id="285" w:name="_Toc505960364"/>
      <w:bookmarkStart w:id="286" w:name="_Toc40972348"/>
      <w:bookmarkStart w:id="287" w:name="_Toc471213409"/>
      <w:bookmarkStart w:id="288" w:name="_Toc5030614"/>
      <w:bookmarkStart w:id="289" w:name="_Toc511317714"/>
      <w:bookmarkStart w:id="290" w:name="_Toc508391370"/>
      <w:bookmarkStart w:id="291" w:name="_Toc523414880"/>
      <w:bookmarkStart w:id="292" w:name="_Toc508634607"/>
      <w:bookmarkStart w:id="293" w:name="_Toc63614835"/>
      <w:bookmarkStart w:id="294" w:name="_Toc71193029"/>
      <w:bookmarkStart w:id="295" w:name="_Toc38016162"/>
      <w:bookmarkStart w:id="296" w:name="_Toc74037827"/>
      <w:bookmarkStart w:id="297" w:name="_Toc523416581"/>
      <w:bookmarkStart w:id="298" w:name="_Toc73980830"/>
      <w:bookmarkStart w:id="299" w:name="_Toc22858"/>
      <w:bookmarkStart w:id="300" w:name="_Toc514226930"/>
      <w:bookmarkStart w:id="301" w:name="_Toc72756873"/>
      <w:bookmarkStart w:id="302" w:name="_Toc60833982"/>
      <w:bookmarkStart w:id="303" w:name="_Toc4426196"/>
      <w:bookmarkStart w:id="304" w:name="_Toc513192938"/>
      <w:bookmarkStart w:id="305" w:name="_Toc71554099"/>
      <w:bookmarkStart w:id="306" w:name="_Toc506107954"/>
      <w:bookmarkStart w:id="307" w:name="_Toc503888371"/>
      <w:bookmarkStart w:id="308" w:name="_Toc514156548"/>
      <w:bookmarkStart w:id="309" w:name="_Toc69401739"/>
      <w:bookmarkStart w:id="310" w:name="_Toc509414460"/>
      <w:bookmarkStart w:id="311" w:name="_Toc25245637"/>
      <w:bookmarkStart w:id="312" w:name="_Toc509406700"/>
      <w:bookmarkStart w:id="313" w:name="_Toc69401825"/>
      <w:bookmarkStart w:id="314" w:name="_Toc471213379"/>
      <w:bookmarkStart w:id="315" w:name="_Toc71202798"/>
      <w:bookmarkStart w:id="316" w:name="_Toc71388165"/>
      <w:bookmarkStart w:id="317" w:name="_Toc511232271"/>
      <w:bookmarkStart w:id="318" w:name="_Toc71216621"/>
      <w:bookmarkStart w:id="319" w:name="_Toc7515760"/>
      <w:bookmarkStart w:id="320" w:name="_Toc532826672"/>
      <w:bookmarkStart w:id="321" w:name="_Toc69402384"/>
      <w:bookmarkStart w:id="322" w:name="_Toc504038249"/>
      <w:bookmarkStart w:id="323" w:name="_Toc42273100"/>
      <w:bookmarkStart w:id="324" w:name="_Toc4429917"/>
      <w:bookmarkStart w:id="325" w:name="_Toc524616897"/>
      <w:bookmarkStart w:id="326" w:name="_Toc4424859"/>
      <w:bookmarkStart w:id="327" w:name="_Toc24474070"/>
      <w:bookmarkStart w:id="328" w:name="_Toc503960586"/>
      <w:bookmarkStart w:id="329" w:name="_Toc50735392"/>
      <w:bookmarkStart w:id="330" w:name="_Toc471892910"/>
      <w:bookmarkStart w:id="331" w:name="_Toc532832779"/>
      <w:bookmarkStart w:id="332" w:name="_Toc471215145"/>
      <w:bookmarkStart w:id="333" w:name="_Toc505960256"/>
      <w:bookmarkStart w:id="334" w:name="_Toc47703814"/>
      <w:bookmarkStart w:id="335" w:name="_Toc471213349"/>
      <w:bookmarkStart w:id="336" w:name="_Toc25253203"/>
      <w:bookmarkStart w:id="337" w:name="_Toc509408373"/>
      <w:bookmarkStart w:id="338" w:name="_Toc505958549"/>
      <w:bookmarkStart w:id="339" w:name="_Toc29916435"/>
      <w:bookmarkStart w:id="340" w:name="_Toc5114992"/>
      <w:bookmarkStart w:id="341" w:name="_Toc505960314"/>
      <w:bookmarkStart w:id="342" w:name="_Toc511291915"/>
      <w:bookmarkStart w:id="343" w:name="_Toc25598624"/>
      <w:bookmarkStart w:id="344" w:name="_Toc471824938"/>
      <w:bookmarkStart w:id="345" w:name="_Toc56678740"/>
      <w:bookmarkStart w:id="346" w:name="_Toc506107977"/>
      <w:bookmarkStart w:id="347" w:name="_Toc66716581"/>
      <w:bookmarkStart w:id="348" w:name="_Toc66453310"/>
      <w:bookmarkStart w:id="349" w:name="_Toc524616764"/>
      <w:bookmarkStart w:id="350" w:name="_Toc532826694"/>
      <w:bookmarkStart w:id="351" w:name="_Toc532907634"/>
      <w:bookmarkStart w:id="352" w:name="_Toc42272639"/>
      <w:bookmarkStart w:id="353" w:name="_Toc60833370"/>
      <w:bookmarkStart w:id="354" w:name="_Toc4425749"/>
      <w:bookmarkStart w:id="355" w:name="_Toc50727640"/>
      <w:bookmarkStart w:id="356" w:name="_Toc505961423"/>
      <w:bookmarkStart w:id="357" w:name="_Toc73980853"/>
      <w:bookmarkStart w:id="358" w:name="_Toc38035106"/>
      <w:bookmarkStart w:id="359" w:name="_Toc38982425"/>
      <w:bookmarkStart w:id="360" w:name="_Toc508391593"/>
      <w:bookmarkStart w:id="361" w:name="_Toc509406678"/>
      <w:bookmarkStart w:id="362" w:name="_Toc12271619"/>
      <w:bookmarkStart w:id="363" w:name="_Toc513212887"/>
      <w:bookmarkStart w:id="364" w:name="_Toc524626498"/>
      <w:bookmarkStart w:id="365" w:name="_Toc71386964"/>
      <w:bookmarkStart w:id="366" w:name="_Toc22724302"/>
      <w:bookmarkStart w:id="367" w:name="_Toc42271514"/>
      <w:bookmarkStart w:id="368" w:name="_Toc40893039"/>
      <w:bookmarkStart w:id="369" w:name="_Toc56612534"/>
      <w:bookmarkStart w:id="370" w:name="_Toc9267207"/>
      <w:bookmarkStart w:id="371" w:name="_Toc524627109"/>
      <w:bookmarkStart w:id="372" w:name="_Toc63614973"/>
      <w:bookmarkStart w:id="373" w:name="_Toc506104875"/>
      <w:bookmarkStart w:id="374" w:name="_Toc7453714"/>
      <w:bookmarkStart w:id="375" w:name="_Toc503888433"/>
      <w:bookmarkStart w:id="376" w:name="_Toc72751128"/>
      <w:bookmarkStart w:id="377" w:name="_Toc508390626"/>
      <w:bookmarkStart w:id="378" w:name="_Toc511233771"/>
      <w:bookmarkStart w:id="379" w:name="_Toc42273077"/>
      <w:bookmarkStart w:id="380" w:name="_Toc505960216"/>
      <w:bookmarkStart w:id="381" w:name="_Toc513193198"/>
      <w:bookmarkStart w:id="382" w:name="_Toc511232826"/>
      <w:bookmarkStart w:id="383" w:name="_Toc513124454"/>
      <w:bookmarkStart w:id="384" w:name="_Toc12350388"/>
      <w:bookmarkStart w:id="385" w:name="_Toc22725983"/>
      <w:bookmarkStart w:id="386" w:name="_Toc47532619"/>
      <w:bookmarkStart w:id="387" w:name="_Toc47533565"/>
      <w:bookmarkStart w:id="388" w:name="_Toc56615525"/>
      <w:bookmarkStart w:id="389" w:name="_Toc38809163"/>
      <w:bookmarkStart w:id="390" w:name="_Toc24620346"/>
      <w:r>
        <w:rPr>
          <w:rFonts w:hint="eastAsia" w:eastAsia="微软雅黑"/>
          <w:b w:val="0"/>
          <w:sz w:val="24"/>
        </w:rPr>
        <w:t>估价对象权属证明复印件</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3"/>
        <w:numPr>
          <w:ilvl w:val="0"/>
          <w:numId w:val="14"/>
        </w:numPr>
        <w:tabs>
          <w:tab w:val="left" w:pos="993"/>
          <w:tab w:val="left" w:pos="3544"/>
        </w:tabs>
        <w:topLinePunct/>
        <w:adjustRightInd w:val="0"/>
        <w:snapToGrid w:val="0"/>
        <w:spacing w:before="0" w:after="0" w:line="360" w:lineRule="auto"/>
        <w:ind w:left="0" w:firstLine="480" w:firstLineChars="200"/>
        <w:rPr>
          <w:rFonts w:eastAsia="微软雅黑"/>
          <w:b w:val="0"/>
          <w:sz w:val="24"/>
        </w:rPr>
      </w:pPr>
      <w:bookmarkStart w:id="391" w:name="_Toc523414881"/>
      <w:bookmarkStart w:id="392" w:name="_Toc514156549"/>
      <w:bookmarkStart w:id="393" w:name="_Toc66716582"/>
      <w:bookmarkStart w:id="394" w:name="_Toc38035108"/>
      <w:bookmarkStart w:id="395" w:name="_Toc5114934"/>
      <w:bookmarkStart w:id="396" w:name="_Toc25598626"/>
      <w:bookmarkStart w:id="397" w:name="_Toc523416582"/>
      <w:bookmarkStart w:id="398" w:name="_Toc42273102"/>
      <w:bookmarkStart w:id="399" w:name="_Toc511291916"/>
      <w:bookmarkStart w:id="400" w:name="_Toc508391371"/>
      <w:bookmarkStart w:id="401" w:name="_Toc7453716"/>
      <w:bookmarkStart w:id="402" w:name="_Toc4426197"/>
      <w:bookmarkStart w:id="403" w:name="_Toc50727642"/>
      <w:bookmarkStart w:id="404" w:name="_Toc42273297"/>
      <w:bookmarkStart w:id="405" w:name="_Toc524626499"/>
      <w:bookmarkStart w:id="406" w:name="_Toc60833372"/>
      <w:bookmarkStart w:id="407" w:name="_Toc12281620"/>
      <w:bookmarkStart w:id="408" w:name="_Toc513124455"/>
      <w:bookmarkStart w:id="409" w:name="_Toc25249824"/>
      <w:bookmarkStart w:id="410" w:name="_Toc508390627"/>
      <w:bookmarkStart w:id="411" w:name="_Toc38982430"/>
      <w:bookmarkStart w:id="412" w:name="_Toc524626472"/>
      <w:bookmarkStart w:id="413" w:name="_Toc511232827"/>
      <w:bookmarkStart w:id="414" w:name="_Toc12271620"/>
      <w:bookmarkStart w:id="415" w:name="_Toc509408374"/>
      <w:bookmarkStart w:id="416" w:name="_Toc509406701"/>
      <w:bookmarkStart w:id="417" w:name="_Toc503888372"/>
      <w:bookmarkStart w:id="418" w:name="_Toc4425750"/>
      <w:bookmarkStart w:id="419" w:name="_Toc505960217"/>
      <w:bookmarkStart w:id="420" w:name="_Toc505961424"/>
      <w:bookmarkStart w:id="421" w:name="_Toc29993182"/>
      <w:bookmarkStart w:id="422" w:name="_Toc72756874"/>
      <w:bookmarkStart w:id="423" w:name="_Toc56615527"/>
      <w:bookmarkStart w:id="424" w:name="_Toc40972350"/>
      <w:bookmarkStart w:id="425" w:name="_Toc505960365"/>
      <w:bookmarkStart w:id="426" w:name="_Toc66452097"/>
      <w:bookmarkStart w:id="427" w:name="_Toc60833984"/>
      <w:bookmarkStart w:id="428" w:name="_Toc40894074"/>
      <w:bookmarkStart w:id="429" w:name="_Toc511233772"/>
      <w:bookmarkStart w:id="430" w:name="_Toc524616798"/>
      <w:bookmarkStart w:id="431" w:name="_Toc73980832"/>
      <w:bookmarkStart w:id="432" w:name="_Toc25585651"/>
      <w:bookmarkStart w:id="433" w:name="_Toc72751129"/>
      <w:bookmarkStart w:id="434" w:name="_Toc471213351"/>
      <w:bookmarkStart w:id="435" w:name="_Toc471892911"/>
      <w:bookmarkStart w:id="436" w:name="_Toc506104876"/>
      <w:bookmarkStart w:id="437" w:name="_Toc71388166"/>
      <w:bookmarkStart w:id="438" w:name="_Toc532832780"/>
      <w:bookmarkStart w:id="439" w:name="_Toc40893041"/>
      <w:bookmarkStart w:id="440" w:name="_Toc47532621"/>
      <w:bookmarkStart w:id="441" w:name="_Toc509414461"/>
      <w:bookmarkStart w:id="442" w:name="_Toc71387156"/>
      <w:bookmarkStart w:id="443" w:name="_Toc506107978"/>
      <w:bookmarkStart w:id="444" w:name="_Toc22724304"/>
      <w:bookmarkStart w:id="445" w:name="_Toc74037829"/>
      <w:bookmarkStart w:id="446" w:name="_Toc71193031"/>
      <w:bookmarkStart w:id="447" w:name="_Toc47533567"/>
      <w:bookmarkStart w:id="448" w:name="_Toc514226931"/>
      <w:bookmarkStart w:id="449" w:name="_Toc71202800"/>
      <w:bookmarkStart w:id="450" w:name="_Toc4429918"/>
      <w:bookmarkStart w:id="451" w:name="_Toc63614836"/>
      <w:bookmarkStart w:id="452" w:name="_Toc38019594"/>
      <w:bookmarkStart w:id="453" w:name="_Toc25245638"/>
      <w:bookmarkStart w:id="454" w:name="_Toc7515762"/>
      <w:bookmarkStart w:id="455" w:name="_Toc532826793"/>
      <w:bookmarkStart w:id="456" w:name="_Toc471213381"/>
      <w:bookmarkStart w:id="457" w:name="_Toc511317715"/>
      <w:bookmarkStart w:id="458" w:name="_Toc504038250"/>
      <w:bookmarkStart w:id="459" w:name="_Toc38016164"/>
      <w:bookmarkStart w:id="460" w:name="_Toc4424860"/>
      <w:bookmarkStart w:id="461" w:name="_Toc504120503"/>
      <w:bookmarkStart w:id="462" w:name="_Toc66453311"/>
      <w:bookmarkStart w:id="463" w:name="_Toc63614974"/>
      <w:bookmarkStart w:id="464" w:name="_Toc71554100"/>
      <w:bookmarkStart w:id="465" w:name="_Toc5114993"/>
      <w:bookmarkStart w:id="466" w:name="_Toc505960315"/>
      <w:bookmarkStart w:id="467" w:name="_Toc471213411"/>
      <w:bookmarkStart w:id="468" w:name="_Toc56615402"/>
      <w:bookmarkStart w:id="469" w:name="_Toc505960257"/>
      <w:bookmarkStart w:id="470" w:name="_Toc503960587"/>
      <w:bookmarkStart w:id="471" w:name="_Toc69402385"/>
      <w:bookmarkStart w:id="472" w:name="_Toc5030615"/>
      <w:bookmarkStart w:id="473" w:name="_Toc56612536"/>
      <w:bookmarkStart w:id="474" w:name="_Toc29916436"/>
      <w:bookmarkStart w:id="475" w:name="_Toc69739021"/>
      <w:bookmarkStart w:id="476" w:name="_Toc71386965"/>
      <w:bookmarkStart w:id="477" w:name="_Toc24620347"/>
      <w:bookmarkStart w:id="478" w:name="_Toc12350389"/>
      <w:bookmarkStart w:id="479" w:name="_Toc42272641"/>
      <w:bookmarkStart w:id="480" w:name="_Toc471215147"/>
      <w:bookmarkStart w:id="481" w:name="_Toc513192939"/>
      <w:bookmarkStart w:id="482" w:name="_Toc513193199"/>
      <w:bookmarkStart w:id="483" w:name="_Toc7452938"/>
      <w:bookmarkStart w:id="484" w:name="_Toc50735394"/>
      <w:bookmarkStart w:id="485" w:name="_Toc532826673"/>
      <w:bookmarkStart w:id="486" w:name="_Toc524616765"/>
      <w:bookmarkStart w:id="487" w:name="_Toc513212888"/>
      <w:bookmarkStart w:id="488" w:name="_Toc511232272"/>
      <w:bookmarkStart w:id="489" w:name="_Toc508634608"/>
      <w:bookmarkStart w:id="490" w:name="_Toc503888434"/>
      <w:bookmarkStart w:id="491" w:name="_Toc73980855"/>
      <w:bookmarkStart w:id="492" w:name="_Toc38809166"/>
      <w:bookmarkStart w:id="493" w:name="_Toc25253204"/>
      <w:bookmarkStart w:id="494" w:name="_Toc29913440"/>
      <w:bookmarkStart w:id="495" w:name="_Toc38016381"/>
      <w:bookmarkStart w:id="496" w:name="_Toc69401826"/>
      <w:bookmarkStart w:id="497" w:name="_Toc47703816"/>
      <w:bookmarkStart w:id="498" w:name="_Toc513047522"/>
      <w:bookmarkStart w:id="499" w:name="_Toc505958550"/>
      <w:bookmarkStart w:id="500" w:name="_Toc22725985"/>
      <w:bookmarkStart w:id="501" w:name="_Toc42271516"/>
      <w:bookmarkStart w:id="502" w:name="_Toc42273079"/>
      <w:bookmarkStart w:id="503" w:name="_Toc471824939"/>
      <w:bookmarkStart w:id="504" w:name="_Toc532826695"/>
      <w:bookmarkStart w:id="505" w:name="_Toc509406679"/>
      <w:bookmarkStart w:id="506" w:name="_Toc69401740"/>
      <w:bookmarkStart w:id="507" w:name="_Toc9267208"/>
      <w:bookmarkStart w:id="508" w:name="_Toc506107955"/>
      <w:bookmarkStart w:id="509" w:name="_Toc532907635"/>
      <w:bookmarkStart w:id="510" w:name="_Toc56678742"/>
      <w:bookmarkStart w:id="511" w:name="_Toc524627110"/>
      <w:bookmarkStart w:id="512" w:name="_Toc71216623"/>
      <w:bookmarkStart w:id="513" w:name="_Toc524616898"/>
      <w:bookmarkStart w:id="514" w:name="_Toc9342"/>
      <w:bookmarkStart w:id="515" w:name="_Toc24474071"/>
      <w:bookmarkStart w:id="516" w:name="_Toc508391594"/>
      <w:r>
        <w:rPr>
          <w:rFonts w:hint="eastAsia" w:eastAsia="微软雅黑"/>
          <w:b w:val="0"/>
          <w:sz w:val="24"/>
        </w:rPr>
        <w:t>房地产估价机构营业执照复印件</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3"/>
        <w:numPr>
          <w:ilvl w:val="0"/>
          <w:numId w:val="14"/>
        </w:numPr>
        <w:tabs>
          <w:tab w:val="left" w:pos="993"/>
          <w:tab w:val="left" w:pos="3544"/>
        </w:tabs>
        <w:topLinePunct/>
        <w:adjustRightInd w:val="0"/>
        <w:snapToGrid w:val="0"/>
        <w:spacing w:before="0" w:after="0" w:line="360" w:lineRule="auto"/>
        <w:ind w:left="0" w:firstLine="480" w:firstLineChars="200"/>
        <w:rPr>
          <w:rFonts w:eastAsia="微软雅黑"/>
          <w:b w:val="0"/>
          <w:sz w:val="24"/>
        </w:rPr>
      </w:pPr>
      <w:bookmarkStart w:id="517" w:name="_Toc511291917"/>
      <w:bookmarkStart w:id="518" w:name="_Toc25598627"/>
      <w:bookmarkStart w:id="519" w:name="_Toc514156550"/>
      <w:bookmarkStart w:id="520" w:name="_Toc506107979"/>
      <w:bookmarkStart w:id="521" w:name="_Toc471213382"/>
      <w:bookmarkStart w:id="522" w:name="_Toc24620348"/>
      <w:bookmarkStart w:id="523" w:name="_Toc503888435"/>
      <w:bookmarkStart w:id="524" w:name="_Toc505960366"/>
      <w:bookmarkStart w:id="525" w:name="_Toc7515763"/>
      <w:bookmarkStart w:id="526" w:name="_Toc5114935"/>
      <w:bookmarkStart w:id="527" w:name="_Toc509408375"/>
      <w:bookmarkStart w:id="528" w:name="_Toc66453312"/>
      <w:bookmarkStart w:id="529" w:name="_Toc42271517"/>
      <w:bookmarkStart w:id="530" w:name="_Toc42273298"/>
      <w:bookmarkStart w:id="531" w:name="_Toc523414882"/>
      <w:bookmarkStart w:id="532" w:name="_Toc511232273"/>
      <w:bookmarkStart w:id="533" w:name="_Toc471892912"/>
      <w:bookmarkStart w:id="534" w:name="_Toc4429919"/>
      <w:bookmarkStart w:id="535" w:name="_Toc60833985"/>
      <w:bookmarkStart w:id="536" w:name="_Toc505960218"/>
      <w:bookmarkStart w:id="537" w:name="_Toc56678743"/>
      <w:bookmarkStart w:id="538" w:name="_Toc513124456"/>
      <w:bookmarkStart w:id="539" w:name="_Toc532832781"/>
      <w:bookmarkStart w:id="540" w:name="_Toc42272642"/>
      <w:bookmarkStart w:id="541" w:name="_Toc7453717"/>
      <w:bookmarkStart w:id="542" w:name="_Toc5114994"/>
      <w:bookmarkStart w:id="543" w:name="_Toc471213352"/>
      <w:bookmarkStart w:id="544" w:name="_Toc524616799"/>
      <w:bookmarkStart w:id="545" w:name="_Toc29916437"/>
      <w:bookmarkStart w:id="546" w:name="_Toc505961425"/>
      <w:bookmarkStart w:id="547" w:name="_Toc69739022"/>
      <w:bookmarkStart w:id="548" w:name="_Toc38982431"/>
      <w:bookmarkStart w:id="549" w:name="_Toc505960316"/>
      <w:bookmarkStart w:id="550" w:name="_Toc47533568"/>
      <w:bookmarkStart w:id="551" w:name="_Toc29913441"/>
      <w:bookmarkStart w:id="552" w:name="_Toc508391595"/>
      <w:bookmarkStart w:id="553" w:name="_Toc505958551"/>
      <w:bookmarkStart w:id="554" w:name="_Toc505960258"/>
      <w:bookmarkStart w:id="555" w:name="_Toc524616766"/>
      <w:bookmarkStart w:id="556" w:name="_Toc532826696"/>
      <w:bookmarkStart w:id="557" w:name="_Toc532907636"/>
      <w:bookmarkStart w:id="558" w:name="_Toc4425751"/>
      <w:bookmarkStart w:id="559" w:name="_Toc63614975"/>
      <w:bookmarkStart w:id="560" w:name="_Toc511233773"/>
      <w:bookmarkStart w:id="561" w:name="_Toc12281621"/>
      <w:bookmarkStart w:id="562" w:name="_Toc524616899"/>
      <w:bookmarkStart w:id="563" w:name="_Toc509406702"/>
      <w:bookmarkStart w:id="564" w:name="_Toc50735395"/>
      <w:bookmarkStart w:id="565" w:name="_Toc38035109"/>
      <w:bookmarkStart w:id="566" w:name="_Toc532826794"/>
      <w:bookmarkStart w:id="567" w:name="_Toc71386966"/>
      <w:bookmarkStart w:id="568" w:name="_Toc38019595"/>
      <w:bookmarkStart w:id="569" w:name="_Toc22724305"/>
      <w:bookmarkStart w:id="570" w:name="_Toc513047523"/>
      <w:bookmarkStart w:id="571" w:name="_Toc25245639"/>
      <w:bookmarkStart w:id="572" w:name="_Toc532826674"/>
      <w:bookmarkStart w:id="573" w:name="_Toc24474072"/>
      <w:bookmarkStart w:id="574" w:name="_Toc22725986"/>
      <w:bookmarkStart w:id="575" w:name="_Toc29993183"/>
      <w:bookmarkStart w:id="576" w:name="_Toc506107956"/>
      <w:bookmarkStart w:id="577" w:name="_Toc524626473"/>
      <w:bookmarkStart w:id="578" w:name="_Toc471215148"/>
      <w:bookmarkStart w:id="579" w:name="_Toc47703817"/>
      <w:bookmarkStart w:id="580" w:name="_Toc40894075"/>
      <w:bookmarkStart w:id="581" w:name="_Toc42273103"/>
      <w:bookmarkStart w:id="582" w:name="_Toc524627111"/>
      <w:bookmarkStart w:id="583" w:name="_Toc511317716"/>
      <w:bookmarkStart w:id="584" w:name="_Toc40893042"/>
      <w:bookmarkStart w:id="585" w:name="_Toc504120504"/>
      <w:bookmarkStart w:id="586" w:name="_Toc71388167"/>
      <w:bookmarkStart w:id="587" w:name="_Toc69402386"/>
      <w:bookmarkStart w:id="588" w:name="_Toc508634609"/>
      <w:bookmarkStart w:id="589" w:name="_Toc511232828"/>
      <w:bookmarkStart w:id="590" w:name="_Toc6108"/>
      <w:bookmarkStart w:id="591" w:name="_Toc66716583"/>
      <w:bookmarkStart w:id="592" w:name="_Toc69401827"/>
      <w:bookmarkStart w:id="593" w:name="_Toc4426198"/>
      <w:bookmarkStart w:id="594" w:name="_Toc38016382"/>
      <w:bookmarkStart w:id="595" w:name="_Toc12271621"/>
      <w:bookmarkStart w:id="596" w:name="_Toc524626500"/>
      <w:bookmarkStart w:id="597" w:name="_Toc69401741"/>
      <w:bookmarkStart w:id="598" w:name="_Toc71554101"/>
      <w:bookmarkStart w:id="599" w:name="_Toc509414462"/>
      <w:bookmarkStart w:id="600" w:name="_Toc71193032"/>
      <w:bookmarkStart w:id="601" w:name="_Toc71387157"/>
      <w:bookmarkStart w:id="602" w:name="_Toc506104877"/>
      <w:bookmarkStart w:id="603" w:name="_Toc25249825"/>
      <w:bookmarkStart w:id="604" w:name="_Toc471213412"/>
      <w:bookmarkStart w:id="605" w:name="_Toc56615528"/>
      <w:bookmarkStart w:id="606" w:name="_Toc60833373"/>
      <w:bookmarkStart w:id="607" w:name="_Toc514226932"/>
      <w:bookmarkStart w:id="608" w:name="_Toc72751130"/>
      <w:bookmarkStart w:id="609" w:name="_Toc38016165"/>
      <w:bookmarkStart w:id="610" w:name="_Toc40972351"/>
      <w:bookmarkStart w:id="611" w:name="_Toc73980856"/>
      <w:bookmarkStart w:id="612" w:name="_Toc50727643"/>
      <w:bookmarkStart w:id="613" w:name="_Toc504038251"/>
      <w:bookmarkStart w:id="614" w:name="_Toc5030616"/>
      <w:bookmarkStart w:id="615" w:name="_Toc25253205"/>
      <w:bookmarkStart w:id="616" w:name="_Toc9267209"/>
      <w:bookmarkStart w:id="617" w:name="_Toc71216624"/>
      <w:bookmarkStart w:id="618" w:name="_Toc513192940"/>
      <w:bookmarkStart w:id="619" w:name="_Toc56612537"/>
      <w:bookmarkStart w:id="620" w:name="_Toc4424861"/>
      <w:bookmarkStart w:id="621" w:name="_Toc38809167"/>
      <w:bookmarkStart w:id="622" w:name="_Toc509406680"/>
      <w:bookmarkStart w:id="623" w:name="_Toc508390628"/>
      <w:bookmarkStart w:id="624" w:name="_Toc73980833"/>
      <w:bookmarkStart w:id="625" w:name="_Toc471824940"/>
      <w:bookmarkStart w:id="626" w:name="_Toc7452939"/>
      <w:bookmarkStart w:id="627" w:name="_Toc63614837"/>
      <w:bookmarkStart w:id="628" w:name="_Toc508391372"/>
      <w:bookmarkStart w:id="629" w:name="_Toc56615403"/>
      <w:bookmarkStart w:id="630" w:name="_Toc523416583"/>
      <w:bookmarkStart w:id="631" w:name="_Toc503960588"/>
      <w:bookmarkStart w:id="632" w:name="_Toc12350390"/>
      <w:bookmarkStart w:id="633" w:name="_Toc42273080"/>
      <w:bookmarkStart w:id="634" w:name="_Toc25585652"/>
      <w:bookmarkStart w:id="635" w:name="_Toc503888373"/>
      <w:bookmarkStart w:id="636" w:name="_Toc66452098"/>
      <w:bookmarkStart w:id="637" w:name="_Toc72756875"/>
      <w:bookmarkStart w:id="638" w:name="_Toc71202801"/>
      <w:bookmarkStart w:id="639" w:name="_Toc513212889"/>
      <w:bookmarkStart w:id="640" w:name="_Toc513193200"/>
      <w:bookmarkStart w:id="641" w:name="_Toc47532622"/>
      <w:bookmarkStart w:id="642" w:name="_Toc74037830"/>
      <w:r>
        <w:rPr>
          <w:rFonts w:hint="eastAsia" w:eastAsia="微软雅黑"/>
          <w:b w:val="0"/>
          <w:sz w:val="24"/>
        </w:rPr>
        <w:t>房地产估价机构资质证书复印件</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3"/>
        <w:numPr>
          <w:ilvl w:val="0"/>
          <w:numId w:val="14"/>
        </w:numPr>
        <w:tabs>
          <w:tab w:val="left" w:pos="993"/>
          <w:tab w:val="left" w:pos="3544"/>
        </w:tabs>
        <w:topLinePunct/>
        <w:adjustRightInd w:val="0"/>
        <w:snapToGrid w:val="0"/>
        <w:spacing w:before="0" w:after="0" w:line="360" w:lineRule="auto"/>
        <w:ind w:left="0" w:firstLine="480" w:firstLineChars="200"/>
        <w:rPr>
          <w:rFonts w:ascii="微软雅黑" w:hAnsi="微软雅黑" w:eastAsia="微软雅黑"/>
          <w:b w:val="0"/>
          <w:sz w:val="21"/>
          <w:szCs w:val="21"/>
        </w:rPr>
      </w:pPr>
      <w:bookmarkStart w:id="643" w:name="_Toc471213413"/>
      <w:bookmarkStart w:id="644" w:name="_Toc471213383"/>
      <w:bookmarkStart w:id="645" w:name="_Toc471215149"/>
      <w:bookmarkStart w:id="646" w:name="_Toc471824941"/>
      <w:bookmarkStart w:id="647" w:name="_Toc471892913"/>
      <w:bookmarkStart w:id="648" w:name="_Toc471213353"/>
      <w:bookmarkStart w:id="649" w:name="_Toc532826795"/>
      <w:bookmarkStart w:id="650" w:name="_Toc29993184"/>
      <w:bookmarkStart w:id="651" w:name="_Toc509406681"/>
      <w:bookmarkStart w:id="652" w:name="_Toc4426199"/>
      <w:bookmarkStart w:id="653" w:name="_Toc69402387"/>
      <w:bookmarkStart w:id="654" w:name="_Toc74037831"/>
      <w:bookmarkStart w:id="655" w:name="_Toc47532623"/>
      <w:bookmarkStart w:id="656" w:name="_Toc508390629"/>
      <w:bookmarkStart w:id="657" w:name="_Toc7515764"/>
      <w:bookmarkStart w:id="658" w:name="_Toc511232274"/>
      <w:bookmarkStart w:id="659" w:name="_Toc47703818"/>
      <w:bookmarkStart w:id="660" w:name="_Toc38035110"/>
      <w:bookmarkStart w:id="661" w:name="_Toc514226933"/>
      <w:bookmarkStart w:id="662" w:name="_Toc503888436"/>
      <w:bookmarkStart w:id="663" w:name="_Toc25245640"/>
      <w:bookmarkStart w:id="664" w:name="_Toc69401828"/>
      <w:bookmarkStart w:id="665" w:name="_Toc60833986"/>
      <w:bookmarkStart w:id="666" w:name="_Toc503960589"/>
      <w:bookmarkStart w:id="667" w:name="_Toc524616800"/>
      <w:bookmarkStart w:id="668" w:name="_Toc25249826"/>
      <w:bookmarkStart w:id="669" w:name="_Toc511291918"/>
      <w:bookmarkStart w:id="670" w:name="_Toc66452099"/>
      <w:bookmarkStart w:id="671" w:name="_Toc7453718"/>
      <w:bookmarkStart w:id="672" w:name="_Toc47533569"/>
      <w:bookmarkStart w:id="673" w:name="_Toc4424862"/>
      <w:bookmarkStart w:id="674" w:name="_Toc506104878"/>
      <w:bookmarkStart w:id="675" w:name="_Toc38016383"/>
      <w:bookmarkStart w:id="676" w:name="_Toc513193201"/>
      <w:bookmarkStart w:id="677" w:name="_Toc50735396"/>
      <w:bookmarkStart w:id="678" w:name="_Toc505960367"/>
      <w:bookmarkStart w:id="679" w:name="_Toc25585653"/>
      <w:bookmarkStart w:id="680" w:name="_Toc523416584"/>
      <w:bookmarkStart w:id="681" w:name="_Toc505961426"/>
      <w:bookmarkStart w:id="682" w:name="_Toc9267210"/>
      <w:bookmarkStart w:id="683" w:name="_Toc511233774"/>
      <w:bookmarkStart w:id="684" w:name="_Toc71554102"/>
      <w:bookmarkStart w:id="685" w:name="_Toc12281622"/>
      <w:bookmarkStart w:id="686" w:name="_Toc509406703"/>
      <w:bookmarkStart w:id="687" w:name="_Toc38809168"/>
      <w:bookmarkStart w:id="688" w:name="_Toc56615404"/>
      <w:bookmarkStart w:id="689" w:name="_Toc506107957"/>
      <w:bookmarkStart w:id="690" w:name="_Toc508391373"/>
      <w:bookmarkStart w:id="691" w:name="_Toc29916438"/>
      <w:bookmarkStart w:id="692" w:name="_Toc42273299"/>
      <w:bookmarkStart w:id="693" w:name="_Toc513124457"/>
      <w:bookmarkStart w:id="694" w:name="_Toc56615529"/>
      <w:bookmarkStart w:id="695" w:name="_Toc38016166"/>
      <w:bookmarkStart w:id="696" w:name="_Toc505958552"/>
      <w:bookmarkStart w:id="697" w:name="_Toc503888374"/>
      <w:bookmarkStart w:id="698" w:name="_Toc524626501"/>
      <w:bookmarkStart w:id="699" w:name="_Toc505960259"/>
      <w:bookmarkStart w:id="700" w:name="_Toc504120505"/>
      <w:bookmarkStart w:id="701" w:name="_Toc532826697"/>
      <w:bookmarkStart w:id="702" w:name="_Toc22724306"/>
      <w:bookmarkStart w:id="703" w:name="_Toc7452940"/>
      <w:bookmarkStart w:id="704" w:name="_Toc532907637"/>
      <w:bookmarkStart w:id="705" w:name="_Toc532826675"/>
      <w:bookmarkStart w:id="706" w:name="_Toc40894076"/>
      <w:bookmarkStart w:id="707" w:name="_Toc71386967"/>
      <w:bookmarkStart w:id="708" w:name="_Toc505960317"/>
      <w:bookmarkStart w:id="709" w:name="_Toc73980857"/>
      <w:bookmarkStart w:id="710" w:name="_Toc29913442"/>
      <w:bookmarkStart w:id="711" w:name="_Toc509414463"/>
      <w:bookmarkStart w:id="712" w:name="_Toc513212890"/>
      <w:bookmarkStart w:id="713" w:name="_Toc508391596"/>
      <w:bookmarkStart w:id="714" w:name="_Toc22725987"/>
      <w:bookmarkStart w:id="715" w:name="_Toc509408376"/>
      <w:bookmarkStart w:id="716" w:name="_Toc5114995"/>
      <w:bookmarkStart w:id="717" w:name="_Toc60833374"/>
      <w:bookmarkStart w:id="718" w:name="_Toc72751131"/>
      <w:bookmarkStart w:id="719" w:name="_Toc72756876"/>
      <w:bookmarkStart w:id="720" w:name="_Toc63614976"/>
      <w:bookmarkStart w:id="721" w:name="_Toc513047524"/>
      <w:bookmarkStart w:id="722" w:name="_Toc5030617"/>
      <w:bookmarkStart w:id="723" w:name="_Toc524616900"/>
      <w:bookmarkStart w:id="724" w:name="_Toc42271518"/>
      <w:bookmarkStart w:id="725" w:name="_Toc56678744"/>
      <w:bookmarkStart w:id="726" w:name="_Toc40893043"/>
      <w:bookmarkStart w:id="727" w:name="_Toc524616767"/>
      <w:bookmarkStart w:id="728" w:name="_Toc69739023"/>
      <w:bookmarkStart w:id="729" w:name="_Toc513192941"/>
      <w:bookmarkStart w:id="730" w:name="_Toc69401742"/>
      <w:bookmarkStart w:id="731" w:name="_Toc506107980"/>
      <w:bookmarkStart w:id="732" w:name="_Toc12350391"/>
      <w:bookmarkStart w:id="733" w:name="_Toc523414883"/>
      <w:bookmarkStart w:id="734" w:name="_Toc71216625"/>
      <w:bookmarkStart w:id="735" w:name="_Toc63614838"/>
      <w:bookmarkStart w:id="736" w:name="_Toc24620349"/>
      <w:bookmarkStart w:id="737" w:name="_Toc25253206"/>
      <w:bookmarkStart w:id="738" w:name="_Toc25598628"/>
      <w:bookmarkStart w:id="739" w:name="_Toc4425752"/>
      <w:bookmarkStart w:id="740" w:name="_Toc42272643"/>
      <w:bookmarkStart w:id="741" w:name="_Toc71202802"/>
      <w:bookmarkStart w:id="742" w:name="_Toc511317717"/>
      <w:bookmarkStart w:id="743" w:name="_Toc4429920"/>
      <w:bookmarkStart w:id="744" w:name="_Toc56612538"/>
      <w:bookmarkStart w:id="745" w:name="_Toc12271622"/>
      <w:bookmarkStart w:id="746" w:name="_Toc66453313"/>
      <w:bookmarkStart w:id="747" w:name="_Toc40972352"/>
      <w:bookmarkStart w:id="748" w:name="_Toc511232829"/>
      <w:bookmarkStart w:id="749" w:name="_Toc514156551"/>
      <w:bookmarkStart w:id="750" w:name="_Toc524627112"/>
      <w:bookmarkStart w:id="751" w:name="_Toc24474073"/>
      <w:bookmarkStart w:id="752" w:name="_Toc508634610"/>
      <w:bookmarkStart w:id="753" w:name="_Toc532832782"/>
      <w:bookmarkStart w:id="754" w:name="_Toc71193033"/>
      <w:bookmarkStart w:id="755" w:name="_Toc50727644"/>
      <w:bookmarkStart w:id="756" w:name="_Toc42273104"/>
      <w:bookmarkStart w:id="757" w:name="_Toc71387158"/>
      <w:bookmarkStart w:id="758" w:name="_Toc505960219"/>
      <w:bookmarkStart w:id="759" w:name="_Toc42273081"/>
      <w:bookmarkStart w:id="760" w:name="_Toc5114936"/>
      <w:bookmarkStart w:id="761" w:name="_Toc504038252"/>
      <w:bookmarkStart w:id="762" w:name="_Toc66716584"/>
      <w:bookmarkStart w:id="763" w:name="_Toc38982432"/>
      <w:bookmarkStart w:id="764" w:name="_Toc524626474"/>
      <w:bookmarkStart w:id="765" w:name="_Toc38019596"/>
      <w:bookmarkStart w:id="766" w:name="_Toc71388168"/>
      <w:bookmarkStart w:id="767" w:name="_Toc73980834"/>
      <w:bookmarkStart w:id="768" w:name="_Toc19327"/>
      <w:r>
        <w:rPr>
          <w:rFonts w:hint="eastAsia" w:eastAsia="微软雅黑"/>
          <w:b w:val="0"/>
          <w:sz w:val="24"/>
        </w:rPr>
        <w:t>注册房地产估价师注册证书复印</w:t>
      </w:r>
      <w:bookmarkEnd w:id="643"/>
      <w:bookmarkEnd w:id="644"/>
      <w:bookmarkEnd w:id="645"/>
      <w:bookmarkEnd w:id="646"/>
      <w:bookmarkEnd w:id="647"/>
      <w:bookmarkEnd w:id="648"/>
      <w:r>
        <w:rPr>
          <w:rFonts w:hint="eastAsia" w:eastAsia="微软雅黑"/>
          <w:b w:val="0"/>
          <w:sz w:val="24"/>
        </w:rPr>
        <w:t>件</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sectPr>
      <w:headerReference r:id="rId6" w:type="default"/>
      <w:footerReference r:id="rId7" w:type="default"/>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微软雅黑" w:hAnsi="微软雅黑" w:eastAsia="微软雅黑"/>
      </w:rPr>
    </w:pPr>
    <w:r>
      <w:rPr>
        <w:rFonts w:hint="eastAsia" w:ascii="微软雅黑" w:hAnsi="微软雅黑" w:eastAsia="微软雅黑" w:cs="微软雅黑"/>
        <w:bCs/>
        <w:sz w:val="15"/>
        <w:szCs w:val="15"/>
      </w:rPr>
      <w:t xml:space="preserve">地址：杭州市上城区建国南路288号第八层803室 </w:t>
    </w:r>
    <w:r>
      <w:rPr>
        <w:rFonts w:ascii="微软雅黑" w:hAnsi="微软雅黑" w:eastAsia="微软雅黑" w:cs="微软雅黑"/>
        <w:bCs/>
        <w:sz w:val="15"/>
        <w:szCs w:val="15"/>
      </w:rPr>
      <w:t xml:space="preserve">    </w:t>
    </w:r>
    <w:r>
      <w:rPr>
        <w:rFonts w:hint="eastAsia" w:ascii="微软雅黑" w:hAnsi="微软雅黑" w:eastAsia="微软雅黑" w:cs="微软雅黑"/>
        <w:bCs/>
        <w:sz w:val="15"/>
        <w:szCs w:val="15"/>
      </w:rPr>
      <w:t xml:space="preserve">          </w:t>
    </w:r>
    <w:r>
      <w:rPr>
        <w:rFonts w:ascii="微软雅黑" w:hAnsi="微软雅黑" w:eastAsia="微软雅黑" w:cs="微软雅黑"/>
        <w:bCs/>
        <w:sz w:val="15"/>
        <w:szCs w:val="15"/>
      </w:rPr>
      <w:t xml:space="preserve">   </w:t>
    </w:r>
    <w:r>
      <w:rPr>
        <w:rFonts w:ascii="微软雅黑" w:hAnsi="微软雅黑" w:eastAsia="微软雅黑" w:cs="微软雅黑"/>
        <w:sz w:val="15"/>
        <w:szCs w:val="15"/>
      </w:rPr>
      <w:t xml:space="preserve">   </w:t>
    </w:r>
    <w:r>
      <w:rPr>
        <w:rFonts w:hint="eastAsia" w:ascii="微软雅黑" w:hAnsi="微软雅黑" w:eastAsia="微软雅黑" w:cs="微软雅黑"/>
        <w:sz w:val="15"/>
        <w:szCs w:val="15"/>
      </w:rPr>
      <w:t xml:space="preserve"> </w:t>
    </w:r>
    <w:r>
      <w:rPr>
        <w:rFonts w:hint="eastAsia" w:ascii="微软雅黑" w:hAnsi="微软雅黑" w:eastAsia="微软雅黑" w:cs="微软雅黑"/>
        <w:bCs/>
        <w:sz w:val="15"/>
        <w:szCs w:val="15"/>
      </w:rPr>
      <w:t>联系电话/客服电话：（</w:t>
    </w:r>
    <w:r>
      <w:rPr>
        <w:rFonts w:ascii="微软雅黑" w:hAnsi="微软雅黑" w:eastAsia="微软雅黑" w:cs="微软雅黑"/>
        <w:bCs/>
        <w:sz w:val="15"/>
        <w:szCs w:val="15"/>
      </w:rPr>
      <w:t>0571</w:t>
    </w:r>
    <w:r>
      <w:rPr>
        <w:rFonts w:hint="eastAsia" w:ascii="微软雅黑" w:hAnsi="微软雅黑" w:eastAsia="微软雅黑" w:cs="微软雅黑"/>
        <w:bCs/>
        <w:sz w:val="15"/>
        <w:szCs w:val="15"/>
      </w:rPr>
      <w:t>）87241931</w:t>
    </w:r>
    <w:r>
      <w:rPr>
        <w:rFonts w:ascii="微软雅黑" w:hAnsi="微软雅黑" w:eastAsia="微软雅黑" w:cs="微软雅黑"/>
        <w:bCs/>
        <w:sz w:val="15"/>
        <w:szCs w:val="15"/>
      </w:rPr>
      <w:t xml:space="preserve">          </w:t>
    </w:r>
    <w:sdt>
      <w:sdtPr>
        <w:rPr>
          <w:rFonts w:ascii="微软雅黑" w:hAnsi="微软雅黑" w:eastAsia="微软雅黑" w:cs="微软雅黑"/>
          <w:bCs/>
          <w:sz w:val="15"/>
          <w:szCs w:val="15"/>
        </w:rPr>
        <w:id w:val="-382948109"/>
      </w:sdtPr>
      <w:sdtEndPr>
        <w:rPr>
          <w:rFonts w:ascii="微软雅黑" w:hAnsi="微软雅黑" w:eastAsia="微软雅黑" w:cstheme="minorBidi"/>
          <w:bCs w:val="0"/>
          <w:sz w:val="15"/>
          <w:szCs w:val="15"/>
        </w:rPr>
      </w:sdtEndPr>
      <w:sdtContent>
        <w:r>
          <w:rPr>
            <w:rFonts w:ascii="微软雅黑" w:hAnsi="微软雅黑" w:eastAsia="微软雅黑" w:cs="微软雅黑"/>
            <w:bCs/>
            <w:sz w:val="15"/>
            <w:szCs w:val="15"/>
          </w:rPr>
          <w:fldChar w:fldCharType="begin"/>
        </w:r>
        <w:r>
          <w:rPr>
            <w:rFonts w:ascii="微软雅黑" w:hAnsi="微软雅黑" w:eastAsia="微软雅黑" w:cs="微软雅黑"/>
            <w:bCs/>
            <w:sz w:val="15"/>
            <w:szCs w:val="15"/>
          </w:rPr>
          <w:instrText xml:space="preserve">PAGE   \* MERGEFORMAT</w:instrText>
        </w:r>
        <w:r>
          <w:rPr>
            <w:rFonts w:ascii="微软雅黑" w:hAnsi="微软雅黑" w:eastAsia="微软雅黑" w:cs="微软雅黑"/>
            <w:bCs/>
            <w:sz w:val="15"/>
            <w:szCs w:val="15"/>
          </w:rPr>
          <w:fldChar w:fldCharType="separate"/>
        </w:r>
        <w:r>
          <w:rPr>
            <w:rFonts w:ascii="微软雅黑" w:hAnsi="微软雅黑" w:eastAsia="微软雅黑" w:cs="微软雅黑"/>
            <w:bCs/>
            <w:sz w:val="15"/>
            <w:szCs w:val="15"/>
          </w:rPr>
          <w:t>1</w:t>
        </w:r>
        <w:r>
          <w:rPr>
            <w:rFonts w:ascii="微软雅黑" w:hAnsi="微软雅黑" w:eastAsia="微软雅黑" w:cs="微软雅黑"/>
            <w:bCs/>
            <w:sz w:val="15"/>
            <w:szCs w:val="15"/>
          </w:rPr>
          <w:fldChar w:fldCharType="end"/>
        </w:r>
      </w:sdtContent>
    </w:sdt>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微软雅黑" w:hAnsi="微软雅黑" w:eastAsia="微软雅黑"/>
      </w:rPr>
    </w:pPr>
    <w:r>
      <w:rPr>
        <w:rFonts w:hint="eastAsia" w:ascii="微软雅黑" w:hAnsi="微软雅黑" w:eastAsia="微软雅黑" w:cs="微软雅黑"/>
        <w:bCs/>
        <w:sz w:val="15"/>
        <w:szCs w:val="15"/>
      </w:rPr>
      <w:t xml:space="preserve">地址：杭州市上城区建国南路288号第八层803室 </w:t>
    </w:r>
    <w:r>
      <w:rPr>
        <w:rFonts w:ascii="微软雅黑" w:hAnsi="微软雅黑" w:eastAsia="微软雅黑" w:cs="微软雅黑"/>
        <w:bCs/>
        <w:sz w:val="15"/>
        <w:szCs w:val="15"/>
      </w:rPr>
      <w:t xml:space="preserve">    </w:t>
    </w:r>
    <w:r>
      <w:rPr>
        <w:rFonts w:hint="eastAsia" w:ascii="微软雅黑" w:hAnsi="微软雅黑" w:eastAsia="微软雅黑" w:cs="微软雅黑"/>
        <w:bCs/>
        <w:sz w:val="15"/>
        <w:szCs w:val="15"/>
      </w:rPr>
      <w:t xml:space="preserve">          </w:t>
    </w:r>
    <w:r>
      <w:rPr>
        <w:rFonts w:ascii="微软雅黑" w:hAnsi="微软雅黑" w:eastAsia="微软雅黑" w:cs="微软雅黑"/>
        <w:bCs/>
        <w:sz w:val="15"/>
        <w:szCs w:val="15"/>
      </w:rPr>
      <w:t xml:space="preserve">   </w:t>
    </w:r>
    <w:r>
      <w:rPr>
        <w:rFonts w:ascii="微软雅黑" w:hAnsi="微软雅黑" w:eastAsia="微软雅黑" w:cs="微软雅黑"/>
        <w:sz w:val="15"/>
        <w:szCs w:val="15"/>
      </w:rPr>
      <w:t xml:space="preserve">   </w:t>
    </w:r>
    <w:r>
      <w:rPr>
        <w:rFonts w:hint="eastAsia" w:ascii="微软雅黑" w:hAnsi="微软雅黑" w:eastAsia="微软雅黑" w:cs="微软雅黑"/>
        <w:sz w:val="15"/>
        <w:szCs w:val="15"/>
      </w:rPr>
      <w:t xml:space="preserve"> </w:t>
    </w:r>
    <w:r>
      <w:rPr>
        <w:rFonts w:hint="eastAsia" w:ascii="微软雅黑" w:hAnsi="微软雅黑" w:eastAsia="微软雅黑" w:cs="微软雅黑"/>
        <w:bCs/>
        <w:sz w:val="15"/>
        <w:szCs w:val="15"/>
      </w:rPr>
      <w:t>联系电话/客服电话：（</w:t>
    </w:r>
    <w:r>
      <w:rPr>
        <w:rFonts w:ascii="微软雅黑" w:hAnsi="微软雅黑" w:eastAsia="微软雅黑" w:cs="微软雅黑"/>
        <w:bCs/>
        <w:sz w:val="15"/>
        <w:szCs w:val="15"/>
      </w:rPr>
      <w:t>0571</w:t>
    </w:r>
    <w:r>
      <w:rPr>
        <w:rFonts w:hint="eastAsia" w:ascii="微软雅黑" w:hAnsi="微软雅黑" w:eastAsia="微软雅黑" w:cs="微软雅黑"/>
        <w:bCs/>
        <w:sz w:val="15"/>
        <w:szCs w:val="15"/>
      </w:rPr>
      <w:t>）87241931</w:t>
    </w:r>
    <w:r>
      <w:rPr>
        <w:rFonts w:ascii="微软雅黑" w:hAnsi="微软雅黑" w:eastAsia="微软雅黑" w:cs="微软雅黑"/>
        <w:bCs/>
        <w:sz w:val="15"/>
        <w:szCs w:val="15"/>
      </w:rPr>
      <w:t xml:space="preserve">          </w:t>
    </w:r>
    <w:r>
      <w:rPr>
        <w:rFonts w:ascii="微软雅黑" w:hAnsi="微软雅黑" w:eastAsia="微软雅黑" w:cs="微软雅黑"/>
        <w:bCs/>
        <w:sz w:val="15"/>
        <w:szCs w:val="15"/>
      </w:rPr>
      <w:fldChar w:fldCharType="begin"/>
    </w:r>
    <w:r>
      <w:rPr>
        <w:rFonts w:ascii="微软雅黑" w:hAnsi="微软雅黑" w:eastAsia="微软雅黑" w:cs="微软雅黑"/>
        <w:bCs/>
        <w:sz w:val="15"/>
        <w:szCs w:val="15"/>
      </w:rPr>
      <w:instrText xml:space="preserve">PAGE   \* MERGEFORMAT</w:instrText>
    </w:r>
    <w:r>
      <w:rPr>
        <w:rFonts w:ascii="微软雅黑" w:hAnsi="微软雅黑" w:eastAsia="微软雅黑" w:cs="微软雅黑"/>
        <w:bCs/>
        <w:sz w:val="15"/>
        <w:szCs w:val="15"/>
      </w:rPr>
      <w:fldChar w:fldCharType="separate"/>
    </w:r>
    <w:r>
      <w:rPr>
        <w:rFonts w:ascii="微软雅黑" w:hAnsi="微软雅黑" w:eastAsia="微软雅黑" w:cs="微软雅黑"/>
        <w:bCs/>
        <w:sz w:val="15"/>
        <w:szCs w:val="15"/>
      </w:rPr>
      <w:t>24</w:t>
    </w:r>
    <w:r>
      <w:rPr>
        <w:rFonts w:ascii="微软雅黑" w:hAnsi="微软雅黑" w:eastAsia="微软雅黑" w:cs="微软雅黑"/>
        <w:bCs/>
        <w:sz w:val="15"/>
        <w:szCs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514"/>
        <w:tab w:val="center" w:pos="4337"/>
      </w:tabs>
      <w:jc w:val="left"/>
      <w:rPr>
        <w:rFonts w:ascii="微软雅黑" w:hAnsi="微软雅黑" w:eastAsia="微软雅黑"/>
      </w:rPr>
    </w:pPr>
    <w:r>
      <w:drawing>
        <wp:anchor distT="0" distB="0" distL="114300" distR="114300" simplePos="0" relativeHeight="251669504" behindDoc="1" locked="0" layoutInCell="1" allowOverlap="1">
          <wp:simplePos x="0" y="0"/>
          <wp:positionH relativeFrom="column">
            <wp:posOffset>67310</wp:posOffset>
          </wp:positionH>
          <wp:positionV relativeFrom="paragraph">
            <wp:posOffset>-59055</wp:posOffset>
          </wp:positionV>
          <wp:extent cx="1725295" cy="415925"/>
          <wp:effectExtent l="0" t="0" r="1905" b="0"/>
          <wp:wrapNone/>
          <wp:docPr id="64" name="图片 64" descr="E:\金嘉雯\04logo\嘉华顾问机构 (2).png嘉华顾问机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E:\金嘉雯\04logo\嘉华顾问机构 (2).png嘉华顾问机构 (2)"/>
                  <pic:cNvPicPr>
                    <a:picLocks noChangeAspect="1" noChangeArrowheads="1"/>
                  </pic:cNvPicPr>
                </pic:nvPicPr>
                <pic:blipFill>
                  <a:blip r:embed="rId1"/>
                  <a:srcRect/>
                  <a:stretch>
                    <a:fillRect/>
                  </a:stretch>
                </pic:blipFill>
                <pic:spPr>
                  <a:xfrm>
                    <a:off x="0" y="0"/>
                    <a:ext cx="1725295" cy="415925"/>
                  </a:xfrm>
                  <a:prstGeom prst="rect">
                    <a:avLst/>
                  </a:prstGeom>
                  <a:noFill/>
                  <a:ln>
                    <a:noFill/>
                  </a:ln>
                </pic:spPr>
              </pic:pic>
            </a:graphicData>
          </a:graphic>
        </wp:anchor>
      </w:drawing>
    </w:r>
    <w:r>
      <w:rPr>
        <w:rFonts w:ascii="微软雅黑" w:hAnsi="微软雅黑" w:eastAsia="微软雅黑"/>
      </w:rPr>
      <w:drawing>
        <wp:anchor distT="0" distB="0" distL="114300" distR="114300" simplePos="0" relativeHeight="251661312" behindDoc="1" locked="0" layoutInCell="1" allowOverlap="1">
          <wp:simplePos x="0" y="0"/>
          <wp:positionH relativeFrom="column">
            <wp:posOffset>4170045</wp:posOffset>
          </wp:positionH>
          <wp:positionV relativeFrom="paragraph">
            <wp:posOffset>-66675</wp:posOffset>
          </wp:positionV>
          <wp:extent cx="1325245" cy="401320"/>
          <wp:effectExtent l="0" t="0" r="8255" b="508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0" y="0"/>
                    <a:ext cx="1325078" cy="401320"/>
                  </a:xfrm>
                  <a:prstGeom prst="rect">
                    <a:avLst/>
                  </a:prstGeom>
                  <a:noFill/>
                  <a:ln>
                    <a:noFill/>
                  </a:ln>
                </pic:spPr>
              </pic:pic>
            </a:graphicData>
          </a:graphic>
        </wp:anchor>
      </w:drawing>
    </w:r>
    <w:r>
      <w:rPr>
        <w:rFonts w:ascii="微软雅黑" w:hAnsi="微软雅黑" w:eastAsia="微软雅黑"/>
      </w:rPr>
      <w:tab/>
    </w:r>
    <w:r>
      <w:rPr>
        <w:rFonts w:ascii="微软雅黑" w:hAnsi="微软雅黑" w:eastAsia="微软雅黑"/>
      </w:rPr>
      <w:tab/>
    </w:r>
    <w:r>
      <w:rPr>
        <w:rFonts w:ascii="微软雅黑" w:hAnsi="微软雅黑" w:eastAsia="微软雅黑"/>
      </w:rPr>
      <w:tab/>
    </w:r>
    <w:r>
      <w:rPr>
        <w:rFonts w:ascii="微软雅黑" w:hAnsi="微软雅黑" w:eastAsia="微软雅黑" w:cs="微软雅黑"/>
        <w:bCs/>
        <w:sz w:val="16"/>
      </w:rPr>
      <w:pict>
        <v:line id="_x0000_s1037" o:spid="_x0000_s1037" o:spt="20" style="position:absolute;left:0pt;margin-left:-0.4pt;margin-top:776.95pt;height:0pt;width:439.95pt;mso-position-vertical-relative:page;z-index:-251650048;mso-width-relative:page;mso-height-relative:page;" stroked="t" coordsize="21600,21600" o:gfxdata="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7gku81AAA&#10;AAsBAAAPAAAAAAAAAAEAIAAAACIAAABkcnMvZG93bnJldi54bWxQSwECFAAUAAAACACHTuJA+lcJ&#10;FrABAAAtAwAADgAAAAAAAAABACAAAAAjAQAAZHJzL2Uyb0RvYy54bWxQSwUGAAAAAAYABgBZAQAA&#10;RQUAAAAA&#10;">
          <v:path arrowok="t"/>
          <v:fill focussize="0,0"/>
          <v:stroke weight="1.75pt" color="#C3AD72"/>
          <v:imagedata o:title=""/>
          <o:lock v:ext="edit"/>
        </v:line>
      </w:pict>
    </w:r>
  </w:p>
  <w:p>
    <w:pPr>
      <w:pStyle w:val="11"/>
      <w:pBdr>
        <w:bottom w:val="none" w:color="auto" w:sz="0" w:space="2"/>
      </w:pBdr>
      <w:tabs>
        <w:tab w:val="left" w:pos="150"/>
        <w:tab w:val="center" w:pos="4337"/>
      </w:tabs>
      <w:jc w:val="left"/>
      <w:rPr>
        <w:rFonts w:ascii="微软雅黑" w:hAnsi="微软雅黑" w:eastAsia="微软雅黑"/>
      </w:rPr>
    </w:pPr>
    <w:r>
      <w:rPr>
        <w:rFonts w:ascii="微软雅黑" w:hAnsi="微软雅黑" w:eastAsia="微软雅黑"/>
      </w:rPr>
      <w:tab/>
    </w:r>
    <w:r>
      <w:rPr>
        <w:rFonts w:ascii="微软雅黑" w:hAnsi="微软雅黑" w:eastAsia="微软雅黑" w:cs="微软雅黑"/>
        <w:bCs/>
        <w:sz w:val="16"/>
      </w:rPr>
      <w:pict>
        <v:line id="_x0000_s1038" o:spid="_x0000_s1038" o:spt="20" style="position:absolute;left:0pt;margin-left:-0.4pt;margin-top:776.95pt;height:0pt;width:439.95pt;mso-position-vertical-relative:page;z-index:-251652096;mso-width-relative:page;mso-height-relative:page;" stroked="t" coordsize="21600,21600" o:gfxdata="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uCS7zU&#10;AAAACwEAAA8AAAAAAAAAAQAgAAAAIgAAAGRycy9kb3ducmV2LnhtbFBLAQIUABQAAAAIAIdO4kCP&#10;FOPMsgEAAC0DAAAOAAAAAAAAAAEAIAAAACMBAABkcnMvZTJvRG9jLnhtbFBLBQYAAAAABgAGAFkB&#10;AABHBQAAAAA=&#10;">
          <v:path arrowok="t"/>
          <v:fill focussize="0,0"/>
          <v:stroke weight="1.75pt" color="#C3AD72"/>
          <v:imagedata o:title=""/>
          <o:lock v:ext="edit"/>
        </v:line>
      </w:pict>
    </w:r>
  </w:p>
  <w:p>
    <w:pPr>
      <w:tabs>
        <w:tab w:val="left" w:pos="1811"/>
      </w:tabs>
    </w:pPr>
    <w:r>
      <w:pict>
        <v:group id="_x0000_s1039" o:spid="_x0000_s1039" o:spt="203" style="position:absolute;left:0pt;margin-left:0pt;margin-top:75.15pt;height:0pt;width:439.35pt;mso-position-horizontal-relative:margin;mso-position-vertical-relative:page;z-index:-251651072;mso-width-relative:page;mso-height-relative:page;" coordorigin="14100,1692" coordsize="8845,203203" o:gfxdata="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exTvu1gAAAAgBAAAPAAAAAAAAAAEAIAAAACIA&#10;AABkcnMvZG93bnJldi54bWxQSwECFAAUAAAACACHTuJAe3D0GbYCAACuCAAADgAAAAAAAAABACAA&#10;AAAlAQAAZHJzL2Uyb0RvYy54bWxQSwUGAAAAAAYABgBZAQAATQYAAAAA&#10;">
          <o:lock v:ext="edit"/>
          <v:line id="_x0000_s1040" o:spid="_x0000_s1040" o:spt="20" style="position:absolute;left:14100;top:1692;height:0;width:4209;" stroked="t" coordsize="21600,21600" o:gfxdata="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VYu74A&#10;AADbAAAADwAAAAAAAAABACAAAAAiAAAAZHJzL2Rvd25yZXYueG1sUEsBAhQAFAAAAAgAh07iQDMv&#10;BZ47AAAAOQAAABAAAAAAAAAAAQAgAAAADQEAAGRycy9zaGFwZXhtbC54bWxQSwUGAAAAAAYABgBb&#10;AQAAtwMAAAAA&#10;">
            <v:path arrowok="t"/>
            <v:fill focussize="0,0"/>
            <v:stroke weight="4.5pt" color="#C3AD72" joinstyle="miter"/>
            <v:imagedata o:title=""/>
            <o:lock v:ext="edit"/>
          </v:line>
          <v:line id="_x0000_s1041" o:spid="_x0000_s1041" o:spt="20" style="position:absolute;left:18594;top:1692;height:0;width:4351;" stroked="t" coordsize="21600,21600" o:gfxdata="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cwqg22AAAA2wAAAA8A&#10;AAAAAAAAAQAgAAAAIgAAAGRycy9kb3ducmV2LnhtbFBLAQIUABQAAAAIAIdO4kAzLwWeOwAAADkA&#10;AAAQAAAAAAAAAAEAIAAAAAUBAABkcnMvc2hhcGV4bWwueG1sUEsFBgAAAAAGAAYAWwEAAK8DAAAA&#10;AA==&#10;">
            <v:path arrowok="t"/>
            <v:fill focussize="0,0"/>
            <v:stroke weight="4.5pt" color="#808080" joinstyle="miter"/>
            <v:imagedata o:title=""/>
            <o:lock v:ext="edit"/>
          </v:line>
          <v:line id="_x0000_s1042" o:spid="_x0000_s1042" o:spt="20" style="position:absolute;left:17089;top:1692;flip:y;height:0;width:1522;" stroked="t" coordsize="21600,21600" o:gfxdata="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vfq74A&#10;AADbAAAADwAAAAAAAAABACAAAAAiAAAAZHJzL2Rvd25yZXYueG1sUEsBAhQAFAAAAAgAh07iQDMv&#10;BZ47AAAAOQAAABAAAAAAAAAAAQAgAAAADQEAAGRycy9zaGFwZXhtbC54bWxQSwUGAAAAAAYABgBb&#10;AQAAtwMAAAAA&#10;">
            <v:path arrowok="t"/>
            <v:fill focussize="0,0"/>
            <v:stroke weight="4.5pt" color="#A6A6A6" joinstyle="miter"/>
            <v:imagedata o:title=""/>
            <o:lock v:ext="edit"/>
          </v:line>
        </v:group>
      </w:pic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514"/>
        <w:tab w:val="center" w:pos="4337"/>
      </w:tabs>
      <w:jc w:val="left"/>
      <w:rPr>
        <w:rFonts w:ascii="微软雅黑" w:hAnsi="微软雅黑" w:eastAsia="微软雅黑"/>
      </w:rPr>
    </w:pPr>
    <w:r>
      <w:drawing>
        <wp:anchor distT="0" distB="0" distL="114300" distR="114300" simplePos="0" relativeHeight="251660288" behindDoc="1" locked="0" layoutInCell="1" allowOverlap="1">
          <wp:simplePos x="0" y="0"/>
          <wp:positionH relativeFrom="column">
            <wp:posOffset>67310</wp:posOffset>
          </wp:positionH>
          <wp:positionV relativeFrom="paragraph">
            <wp:posOffset>-59055</wp:posOffset>
          </wp:positionV>
          <wp:extent cx="1725295" cy="415925"/>
          <wp:effectExtent l="0" t="0" r="1905" b="0"/>
          <wp:wrapNone/>
          <wp:docPr id="13" name="图片 64" descr="E:\金嘉雯\04logo\嘉华顾问机构 (2).png嘉华顾问机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4" descr="E:\金嘉雯\04logo\嘉华顾问机构 (2).png嘉华顾问机构 (2)"/>
                  <pic:cNvPicPr>
                    <a:picLocks noChangeAspect="1"/>
                  </pic:cNvPicPr>
                </pic:nvPicPr>
                <pic:blipFill>
                  <a:blip r:embed="rId1"/>
                  <a:stretch>
                    <a:fillRect/>
                  </a:stretch>
                </pic:blipFill>
                <pic:spPr>
                  <a:xfrm>
                    <a:off x="0" y="0"/>
                    <a:ext cx="1725295" cy="415925"/>
                  </a:xfrm>
                  <a:prstGeom prst="rect">
                    <a:avLst/>
                  </a:prstGeom>
                  <a:noFill/>
                  <a:ln w="9525">
                    <a:noFill/>
                  </a:ln>
                </pic:spPr>
              </pic:pic>
            </a:graphicData>
          </a:graphic>
        </wp:anchor>
      </w:drawing>
    </w:r>
    <w:r>
      <w:rPr>
        <w:rFonts w:ascii="微软雅黑" w:hAnsi="微软雅黑" w:eastAsia="微软雅黑"/>
      </w:rPr>
      <w:drawing>
        <wp:anchor distT="0" distB="0" distL="114300" distR="114300" simplePos="0" relativeHeight="251659264" behindDoc="1" locked="0" layoutInCell="1" allowOverlap="1">
          <wp:simplePos x="0" y="0"/>
          <wp:positionH relativeFrom="column">
            <wp:posOffset>4170045</wp:posOffset>
          </wp:positionH>
          <wp:positionV relativeFrom="paragraph">
            <wp:posOffset>-66675</wp:posOffset>
          </wp:positionV>
          <wp:extent cx="1325245" cy="401320"/>
          <wp:effectExtent l="0" t="0" r="8255" b="5080"/>
          <wp:wrapNone/>
          <wp:docPr id="1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7"/>
                  <pic:cNvPicPr>
                    <a:picLocks noChangeAspect="1"/>
                  </pic:cNvPicPr>
                </pic:nvPicPr>
                <pic:blipFill>
                  <a:blip r:embed="rId2"/>
                  <a:stretch>
                    <a:fillRect/>
                  </a:stretch>
                </pic:blipFill>
                <pic:spPr>
                  <a:xfrm>
                    <a:off x="0" y="0"/>
                    <a:ext cx="1325245" cy="401320"/>
                  </a:xfrm>
                  <a:prstGeom prst="rect">
                    <a:avLst/>
                  </a:prstGeom>
                  <a:noFill/>
                  <a:ln w="9525">
                    <a:noFill/>
                  </a:ln>
                </pic:spPr>
              </pic:pic>
            </a:graphicData>
          </a:graphic>
        </wp:anchor>
      </w:drawing>
    </w:r>
    <w:r>
      <w:rPr>
        <w:rFonts w:ascii="微软雅黑" w:hAnsi="微软雅黑" w:eastAsia="微软雅黑"/>
      </w:rPr>
      <w:tab/>
    </w:r>
    <w:r>
      <w:rPr>
        <w:rFonts w:ascii="微软雅黑" w:hAnsi="微软雅黑" w:eastAsia="微软雅黑"/>
      </w:rPr>
      <w:tab/>
    </w:r>
    <w:r>
      <w:rPr>
        <w:rFonts w:ascii="微软雅黑" w:hAnsi="微软雅黑" w:eastAsia="微软雅黑"/>
      </w:rPr>
      <w:tab/>
    </w:r>
    <w:r>
      <w:rPr>
        <w:rFonts w:ascii="微软雅黑" w:hAnsi="微软雅黑" w:eastAsia="微软雅黑" w:cs="微软雅黑"/>
        <w:bCs/>
        <w:sz w:val="16"/>
      </w:rPr>
      <w:pict>
        <v:line id="_x0000_s1030" o:spid="_x0000_s1030" o:spt="20" style="position:absolute;left:0pt;margin-left:-0.4pt;margin-top:776.95pt;height:0pt;width:439.95pt;mso-position-vertical-relative:page;z-index:-251653120;mso-width-relative:page;mso-height-relative:page;" stroked="t" coordsize="21600,21600" o:gfxdata="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4JLvNQAAAALAQAADwAAAAAAAAABACAAAAAiAAAAZHJzL2Rvd25yZXYueG1sUEsBAhQAFAAAAAgA&#10;h07iQBou0463AQAAOwMAAA4AAAAAAAAAAQAgAAAAIwEAAGRycy9lMm9Eb2MueG1sUEsFBgAAAAAG&#10;AAYAWQEAAEwFAAAAAA==&#10;">
          <v:path arrowok="t"/>
          <v:fill focussize="0,0"/>
          <v:stroke weight="1.75pt" color="#C3AD72"/>
          <v:imagedata o:title=""/>
          <o:lock v:ext="edit"/>
        </v:line>
      </w:pict>
    </w:r>
  </w:p>
  <w:p>
    <w:pPr>
      <w:pStyle w:val="11"/>
      <w:pBdr>
        <w:bottom w:val="none" w:color="auto" w:sz="0" w:space="2"/>
      </w:pBdr>
      <w:tabs>
        <w:tab w:val="left" w:pos="150"/>
        <w:tab w:val="center" w:pos="4337"/>
      </w:tabs>
      <w:jc w:val="left"/>
      <w:rPr>
        <w:rFonts w:ascii="微软雅黑" w:hAnsi="微软雅黑" w:eastAsia="微软雅黑"/>
      </w:rPr>
    </w:pPr>
    <w:r>
      <w:rPr>
        <w:rFonts w:ascii="微软雅黑" w:hAnsi="微软雅黑" w:eastAsia="微软雅黑"/>
      </w:rPr>
      <w:tab/>
    </w:r>
    <w:r>
      <w:rPr>
        <w:rFonts w:ascii="微软雅黑" w:hAnsi="微软雅黑" w:eastAsia="微软雅黑" w:cs="微软雅黑"/>
        <w:bCs/>
        <w:sz w:val="16"/>
      </w:rPr>
      <w:pict>
        <v:line id="_x0000_s1029" o:spid="_x0000_s1029" o:spt="20" style="position:absolute;left:0pt;margin-left:-0.4pt;margin-top:776.95pt;height:0pt;width:439.95pt;mso-position-vertical-relative:page;z-index:-251655168;mso-width-relative:page;mso-height-relative:page;" stroked="t" coordsize="21600,21600" o:gfxdata="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4JLvNQAAAALAQAADwAAAAAAAAABACAAAAAiAAAAZHJzL2Rvd25yZXYueG1sUEsBAhQAFAAAAAgA&#10;h07iQOFVCq+3AQAAOwMAAA4AAAAAAAAAAQAgAAAAIwEAAGRycy9lMm9Eb2MueG1sUEsFBgAAAAAG&#10;AAYAWQEAAEwFAAAAAA==&#10;">
          <v:path arrowok="t"/>
          <v:fill focussize="0,0"/>
          <v:stroke weight="1.75pt" color="#C3AD72"/>
          <v:imagedata o:title=""/>
          <o:lock v:ext="edit"/>
        </v:line>
      </w:pict>
    </w:r>
  </w:p>
  <w:p>
    <w:pPr>
      <w:tabs>
        <w:tab w:val="left" w:pos="1811"/>
      </w:tabs>
    </w:pPr>
    <w:r>
      <w:pict>
        <v:group id="_x0000_s1025" o:spid="_x0000_s1025" o:spt="203" style="position:absolute;left:0pt;margin-left:0pt;margin-top:75.15pt;height:0pt;width:439.35pt;mso-position-horizontal-relative:margin;mso-position-vertical-relative:page;z-index:-251654144;mso-width-relative:page;mso-height-relative:page;" coordorigin="1,0" coordsize="0,20320" o:gfxdata="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exTvu1gAAAAgBAAAPAAAAAAAAAAEA&#10;IAAAACIAAABkcnMvZG93bnJldi54bWxQSwECFAAUAAAACACHTuJAVG4+T7wCAADmCAAADgAAAAAA&#10;AAABACAAAAAlAQAAZHJzL2Uyb0RvYy54bWxQSwUGAAAAAAYABgBZAQAAUwYAAAAA&#10;">
          <o:lock v:ext="edit"/>
          <v:line id="_x0000_s1028" o:spid="_x0000_s1028" o:spt="20" style="position:absolute;left:1;top:0;height:0;width:0;" stroked="t" coordsize="21600,21600" o:gfxdata="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VYu74A&#10;AADbAAAADwAAAAAAAAABACAAAAAiAAAAZHJzL2Rvd25yZXYueG1sUEsBAhQAFAAAAAgAh07iQDMv&#10;BZ47AAAAOQAAABAAAAAAAAAAAQAgAAAADQEAAGRycy9zaGFwZXhtbC54bWxQSwUGAAAAAAYABgBb&#10;AQAAtwMAAAAA&#10;">
            <v:path arrowok="t"/>
            <v:fill focussize="0,0"/>
            <v:stroke weight="4.5pt" color="#C3AD72" joinstyle="miter"/>
            <v:imagedata o:title=""/>
            <o:lock v:ext="edit"/>
          </v:line>
          <v:line id="_x0000_s1027" o:spid="_x0000_s1027" o:spt="20" style="position:absolute;left:1;top:0;height:0;width:1;" stroked="t" coordsize="21600,21600" o:gfxdata="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cwqg22AAAA2wAAAA8A&#10;AAAAAAAAAQAgAAAAIgAAAGRycy9kb3ducmV2LnhtbFBLAQIUABQAAAAIAIdO4kAzLwWeOwAAADkA&#10;AAAQAAAAAAAAAAEAIAAAAAUBAABkcnMvc2hhcGV4bWwueG1sUEsFBgAAAAAGAAYAWwEAAK8DAAAA&#10;AA==&#10;">
            <v:path arrowok="t"/>
            <v:fill focussize="0,0"/>
            <v:stroke weight="4.5pt" color="#808080" joinstyle="miter"/>
            <v:imagedata o:title=""/>
            <o:lock v:ext="edit"/>
          </v:line>
          <v:line id="_x0000_s1026" o:spid="_x0000_s1026" o:spt="20" style="position:absolute;left:1;top:0;flip:y;height:0;width:0;" stroked="t" coordsize="21600,21600" o:gfxdata="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vfq74A&#10;AADbAAAADwAAAAAAAAABACAAAAAiAAAAZHJzL2Rvd25yZXYueG1sUEsBAhQAFAAAAAgAh07iQDMv&#10;BZ47AAAAOQAAABAAAAAAAAAAAQAgAAAADQEAAGRycy9zaGFwZXhtbC54bWxQSwUGAAAAAAYABgBb&#10;AQAAtwMAAAAA&#10;">
            <v:path arrowok="t"/>
            <v:fill focussize="0,0"/>
            <v:stroke weight="4.5pt" color="#A6A6A6" joinstyle="miter"/>
            <v:imagedata o:title=""/>
            <o:lock v:ext="edit"/>
          </v:line>
        </v:group>
      </w:pict>
    </w:r>
    <w:r>
      <w:tab/>
    </w:r>
    <w:r>
      <w:pict>
        <v:group id="_x0000_s1043" o:spid="_x0000_s1043" o:spt="203" style="position:absolute;left:0pt;margin-left:5.7pt;margin-top:75.15pt;height:0pt;width:439.35pt;mso-position-horizontal-relative:margin;mso-position-vertical-relative:page;z-index:-251645952;mso-width-relative:page;mso-height-relative:page;" coordorigin="14100,1692" coordsize="8845,203203" o:gfxdata="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exTvu1gAAAAgBAAAPAAAAAAAAAAEAIAAAACIA&#10;AABkcnMvZG93bnJldi54bWxQSwECFAAUAAAACACHTuJAe3D0GbYCAACuCAAADgAAAAAAAAABACAA&#10;AAAlAQAAZHJzL2Uyb0RvYy54bWxQSwUGAAAAAAYABgBZAQAATQYAAAAA&#10;">
          <o:lock v:ext="edit"/>
          <v:line id="_x0000_s1044" o:spid="_x0000_s1044" o:spt="20" style="position:absolute;left:14100;top:1692;height:0;width:4209;" stroked="t" coordsize="21600,21600" o:gfxdata="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VYu74A&#10;AADbAAAADwAAAAAAAAABACAAAAAiAAAAZHJzL2Rvd25yZXYueG1sUEsBAhQAFAAAAAgAh07iQDMv&#10;BZ47AAAAOQAAABAAAAAAAAAAAQAgAAAADQEAAGRycy9zaGFwZXhtbC54bWxQSwUGAAAAAAYABgBb&#10;AQAAtwMAAAAA&#10;">
            <v:path arrowok="t"/>
            <v:fill focussize="0,0"/>
            <v:stroke weight="4.5pt" color="#C3AD72" joinstyle="miter"/>
            <v:imagedata o:title=""/>
            <o:lock v:ext="edit"/>
          </v:line>
          <v:line id="_x0000_s1045" o:spid="_x0000_s1045" o:spt="20" style="position:absolute;left:18594;top:1692;height:0;width:4351;" stroked="t" coordsize="21600,21600" o:gfxdata="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cwqg22AAAA2wAAAA8A&#10;AAAAAAAAAQAgAAAAIgAAAGRycy9kb3ducmV2LnhtbFBLAQIUABQAAAAIAIdO4kAzLwWeOwAAADkA&#10;AAAQAAAAAAAAAAEAIAAAAAUBAABkcnMvc2hhcGV4bWwueG1sUEsFBgAAAAAGAAYAWwEAAK8DAAAA&#10;AA==&#10;">
            <v:path arrowok="t"/>
            <v:fill focussize="0,0"/>
            <v:stroke weight="4.5pt" color="#808080" joinstyle="miter"/>
            <v:imagedata o:title=""/>
            <o:lock v:ext="edit"/>
          </v:line>
          <v:line id="_x0000_s1046" o:spid="_x0000_s1046" o:spt="20" style="position:absolute;left:17089;top:1692;flip:y;height:0;width:1522;" stroked="t" coordsize="21600,21600" o:gfxdata="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vfq74A&#10;AADbAAAADwAAAAAAAAABACAAAAAiAAAAZHJzL2Rvd25yZXYueG1sUEsBAhQAFAAAAAgAh07iQDMv&#10;BZ47AAAAOQAAABAAAAAAAAAAAQAgAAAADQEAAGRycy9zaGFwZXhtbC54bWxQSwUGAAAAAAYABgBb&#10;AQAAtwMAAAAA&#10;">
            <v:path arrowok="t"/>
            <v:fill focussize="0,0"/>
            <v:stroke weight="4.5pt" color="#A6A6A6" joinstyle="miter"/>
            <v:imagedata o:title=""/>
            <o:lock v:ext="edit"/>
          </v:lin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51FD5"/>
    <w:multiLevelType w:val="singleLevel"/>
    <w:tmpl w:val="96651FD5"/>
    <w:lvl w:ilvl="0" w:tentative="0">
      <w:start w:val="1"/>
      <w:numFmt w:val="chineseCounting"/>
      <w:suff w:val="nothing"/>
      <w:lvlText w:val="（%1）"/>
      <w:lvlJc w:val="left"/>
      <w:pPr>
        <w:ind w:left="0" w:firstLine="420"/>
      </w:pPr>
      <w:rPr>
        <w:rFonts w:hint="eastAsia" w:eastAsia="微软雅黑"/>
      </w:rPr>
    </w:lvl>
  </w:abstractNum>
  <w:abstractNum w:abstractNumId="1">
    <w:nsid w:val="B63258F0"/>
    <w:multiLevelType w:val="singleLevel"/>
    <w:tmpl w:val="B63258F0"/>
    <w:lvl w:ilvl="0" w:tentative="0">
      <w:start w:val="1"/>
      <w:numFmt w:val="decimal"/>
      <w:suff w:val="nothing"/>
      <w:lvlText w:val="%1．"/>
      <w:lvlJc w:val="left"/>
      <w:pPr>
        <w:ind w:left="0" w:firstLine="403"/>
      </w:pPr>
      <w:rPr>
        <w:rFonts w:hint="default" w:eastAsia="微软雅黑"/>
      </w:rPr>
    </w:lvl>
  </w:abstractNum>
  <w:abstractNum w:abstractNumId="2">
    <w:nsid w:val="BE0DD1D4"/>
    <w:multiLevelType w:val="singleLevel"/>
    <w:tmpl w:val="BE0DD1D4"/>
    <w:lvl w:ilvl="0" w:tentative="0">
      <w:start w:val="1"/>
      <w:numFmt w:val="chineseCounting"/>
      <w:suff w:val="nothing"/>
      <w:lvlText w:val="（%1）"/>
      <w:lvlJc w:val="left"/>
      <w:pPr>
        <w:ind w:left="0" w:firstLine="420"/>
      </w:pPr>
      <w:rPr>
        <w:rFonts w:hint="eastAsia" w:eastAsia="微软雅黑"/>
      </w:rPr>
    </w:lvl>
  </w:abstractNum>
  <w:abstractNum w:abstractNumId="3">
    <w:nsid w:val="C27DE378"/>
    <w:multiLevelType w:val="singleLevel"/>
    <w:tmpl w:val="C27DE378"/>
    <w:lvl w:ilvl="0" w:tentative="0">
      <w:start w:val="1"/>
      <w:numFmt w:val="chineseCounting"/>
      <w:suff w:val="nothing"/>
      <w:lvlText w:val="（%1）"/>
      <w:lvlJc w:val="left"/>
      <w:rPr>
        <w:rFonts w:hint="eastAsia"/>
      </w:rPr>
    </w:lvl>
  </w:abstractNum>
  <w:abstractNum w:abstractNumId="4">
    <w:nsid w:val="11A52BEC"/>
    <w:multiLevelType w:val="multilevel"/>
    <w:tmpl w:val="11A52BEC"/>
    <w:lvl w:ilvl="0" w:tentative="0">
      <w:start w:val="1"/>
      <w:numFmt w:val="chineseCountingThousand"/>
      <w:lvlText w:val="%1、"/>
      <w:lvlJc w:val="left"/>
      <w:pPr>
        <w:tabs>
          <w:tab w:val="left" w:pos="0"/>
        </w:tabs>
        <w:ind w:left="0" w:firstLine="420"/>
      </w:pPr>
      <w:rPr>
        <w:rFonts w:hint="eastAsia"/>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D7929CD"/>
    <w:multiLevelType w:val="singleLevel"/>
    <w:tmpl w:val="1D7929CD"/>
    <w:lvl w:ilvl="0" w:tentative="0">
      <w:start w:val="1"/>
      <w:numFmt w:val="chineseCounting"/>
      <w:suff w:val="nothing"/>
      <w:lvlText w:val="（%1）"/>
      <w:lvlJc w:val="left"/>
      <w:pPr>
        <w:ind w:left="0" w:firstLine="420"/>
      </w:pPr>
      <w:rPr>
        <w:rFonts w:hint="eastAsia" w:eastAsia="微软雅黑"/>
      </w:rPr>
    </w:lvl>
  </w:abstractNum>
  <w:abstractNum w:abstractNumId="6">
    <w:nsid w:val="295A0D0B"/>
    <w:multiLevelType w:val="multilevel"/>
    <w:tmpl w:val="295A0D0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C724C27"/>
    <w:multiLevelType w:val="multilevel"/>
    <w:tmpl w:val="2C724C27"/>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CEE9543"/>
    <w:multiLevelType w:val="singleLevel"/>
    <w:tmpl w:val="2CEE9543"/>
    <w:lvl w:ilvl="0" w:tentative="0">
      <w:start w:val="6"/>
      <w:numFmt w:val="chineseCounting"/>
      <w:suff w:val="nothing"/>
      <w:lvlText w:val="%1、"/>
      <w:lvlJc w:val="left"/>
      <w:rPr>
        <w:rFonts w:hint="eastAsia"/>
      </w:rPr>
    </w:lvl>
  </w:abstractNum>
  <w:abstractNum w:abstractNumId="9">
    <w:nsid w:val="2D984916"/>
    <w:multiLevelType w:val="multilevel"/>
    <w:tmpl w:val="2D984916"/>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4B83F9D"/>
    <w:multiLevelType w:val="multilevel"/>
    <w:tmpl w:val="34B83F9D"/>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9C06D14"/>
    <w:multiLevelType w:val="multilevel"/>
    <w:tmpl w:val="59C06D14"/>
    <w:lvl w:ilvl="0" w:tentative="0">
      <w:start w:val="1"/>
      <w:numFmt w:val="decimal"/>
      <w:lvlText w:val="%1."/>
      <w:lvlJc w:val="left"/>
      <w:pPr>
        <w:ind w:left="840" w:hanging="420"/>
      </w:pPr>
      <w:rPr>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62CB5B3F"/>
    <w:multiLevelType w:val="multilevel"/>
    <w:tmpl w:val="62CB5B3F"/>
    <w:lvl w:ilvl="0" w:tentative="0">
      <w:start w:val="1"/>
      <w:numFmt w:val="chineseCountingThousand"/>
      <w:lvlText w:val="%1、"/>
      <w:lvlJc w:val="left"/>
      <w:pPr>
        <w:ind w:left="840" w:hanging="420"/>
      </w:pPr>
      <w:rPr>
        <w:rFonts w:hint="eastAsia" w:ascii="微软雅黑" w:hAnsi="微软雅黑" w:eastAsia="微软雅黑"/>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99665BF"/>
    <w:multiLevelType w:val="multilevel"/>
    <w:tmpl w:val="699665B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7"/>
  </w:num>
  <w:num w:numId="3">
    <w:abstractNumId w:val="0"/>
  </w:num>
  <w:num w:numId="4">
    <w:abstractNumId w:val="8"/>
  </w:num>
  <w:num w:numId="5">
    <w:abstractNumId w:val="5"/>
  </w:num>
  <w:num w:numId="6">
    <w:abstractNumId w:val="2"/>
  </w:num>
  <w:num w:numId="7">
    <w:abstractNumId w:val="9"/>
  </w:num>
  <w:num w:numId="8">
    <w:abstractNumId w:val="10"/>
  </w:num>
  <w:num w:numId="9">
    <w:abstractNumId w:val="6"/>
  </w:num>
  <w:num w:numId="10">
    <w:abstractNumId w:val="11"/>
  </w:num>
  <w:num w:numId="11">
    <w:abstractNumId w:val="13"/>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I0OGJhNzBiNDMyNWVlNTlmYTU1ZjNmMjRkNzk0ZDYifQ=="/>
  </w:docVars>
  <w:rsids>
    <w:rsidRoot w:val="0097449A"/>
    <w:rsid w:val="000E736E"/>
    <w:rsid w:val="001F5CDB"/>
    <w:rsid w:val="002D6131"/>
    <w:rsid w:val="002F213D"/>
    <w:rsid w:val="003C2EA3"/>
    <w:rsid w:val="004B79F4"/>
    <w:rsid w:val="00502FAA"/>
    <w:rsid w:val="00534B81"/>
    <w:rsid w:val="00585EAB"/>
    <w:rsid w:val="005B3E32"/>
    <w:rsid w:val="005C2FD4"/>
    <w:rsid w:val="005C3CEB"/>
    <w:rsid w:val="006D2710"/>
    <w:rsid w:val="008458EB"/>
    <w:rsid w:val="009543FA"/>
    <w:rsid w:val="0097449A"/>
    <w:rsid w:val="00A623E7"/>
    <w:rsid w:val="00B43EDD"/>
    <w:rsid w:val="00B97417"/>
    <w:rsid w:val="00BC2A78"/>
    <w:rsid w:val="00BE37D3"/>
    <w:rsid w:val="00C10E55"/>
    <w:rsid w:val="00C47500"/>
    <w:rsid w:val="00C67607"/>
    <w:rsid w:val="00C75D86"/>
    <w:rsid w:val="00CF3970"/>
    <w:rsid w:val="00D0260B"/>
    <w:rsid w:val="00DF66E2"/>
    <w:rsid w:val="00E757A0"/>
    <w:rsid w:val="00F17D34"/>
    <w:rsid w:val="00F4039E"/>
    <w:rsid w:val="00F43D50"/>
    <w:rsid w:val="00F84F87"/>
    <w:rsid w:val="01D73E9E"/>
    <w:rsid w:val="0225572D"/>
    <w:rsid w:val="02694328"/>
    <w:rsid w:val="02952554"/>
    <w:rsid w:val="03472158"/>
    <w:rsid w:val="03A91DE1"/>
    <w:rsid w:val="03C30842"/>
    <w:rsid w:val="03F147AC"/>
    <w:rsid w:val="04A65355"/>
    <w:rsid w:val="04F327E9"/>
    <w:rsid w:val="058E43DF"/>
    <w:rsid w:val="059A7534"/>
    <w:rsid w:val="060925E7"/>
    <w:rsid w:val="06A20BD7"/>
    <w:rsid w:val="06CC0CA3"/>
    <w:rsid w:val="07C42978"/>
    <w:rsid w:val="07CA4C73"/>
    <w:rsid w:val="08674686"/>
    <w:rsid w:val="08E0159B"/>
    <w:rsid w:val="092C7268"/>
    <w:rsid w:val="093734CB"/>
    <w:rsid w:val="09467134"/>
    <w:rsid w:val="09787BF9"/>
    <w:rsid w:val="09D058EC"/>
    <w:rsid w:val="0A137B86"/>
    <w:rsid w:val="0A972C43"/>
    <w:rsid w:val="0B4C125D"/>
    <w:rsid w:val="0BF368A0"/>
    <w:rsid w:val="0C0567CE"/>
    <w:rsid w:val="0C5053CB"/>
    <w:rsid w:val="0C89562C"/>
    <w:rsid w:val="0CBA065E"/>
    <w:rsid w:val="0CEB0979"/>
    <w:rsid w:val="0CEB1E57"/>
    <w:rsid w:val="0CF34A10"/>
    <w:rsid w:val="0D0E7A69"/>
    <w:rsid w:val="0DB56C6C"/>
    <w:rsid w:val="0E9B2EC6"/>
    <w:rsid w:val="0F454C7E"/>
    <w:rsid w:val="0FD81CAA"/>
    <w:rsid w:val="0FF179C2"/>
    <w:rsid w:val="112361E8"/>
    <w:rsid w:val="12306C68"/>
    <w:rsid w:val="12D92DCC"/>
    <w:rsid w:val="1419134B"/>
    <w:rsid w:val="14710AD2"/>
    <w:rsid w:val="149C4DED"/>
    <w:rsid w:val="14AD6D4E"/>
    <w:rsid w:val="14B53F17"/>
    <w:rsid w:val="15917DB6"/>
    <w:rsid w:val="15EA7917"/>
    <w:rsid w:val="16A006BE"/>
    <w:rsid w:val="16FA696A"/>
    <w:rsid w:val="17004BCC"/>
    <w:rsid w:val="17641A28"/>
    <w:rsid w:val="17651A20"/>
    <w:rsid w:val="18136C13"/>
    <w:rsid w:val="18924B4D"/>
    <w:rsid w:val="19121BA1"/>
    <w:rsid w:val="195D494B"/>
    <w:rsid w:val="19CE7274"/>
    <w:rsid w:val="19F921F3"/>
    <w:rsid w:val="1A793C0A"/>
    <w:rsid w:val="1A9A60F6"/>
    <w:rsid w:val="1AE44D46"/>
    <w:rsid w:val="1AEB2462"/>
    <w:rsid w:val="1B8D4B8F"/>
    <w:rsid w:val="1BAD2C92"/>
    <w:rsid w:val="1BCB6D9B"/>
    <w:rsid w:val="1C2007F3"/>
    <w:rsid w:val="1C4A4BF6"/>
    <w:rsid w:val="1CE853C5"/>
    <w:rsid w:val="1D3E58B2"/>
    <w:rsid w:val="1E004204"/>
    <w:rsid w:val="1E7F37A4"/>
    <w:rsid w:val="1EE7145C"/>
    <w:rsid w:val="1F3E5D7E"/>
    <w:rsid w:val="1F600B7D"/>
    <w:rsid w:val="1F8548DF"/>
    <w:rsid w:val="1FD44170"/>
    <w:rsid w:val="1FEB76D0"/>
    <w:rsid w:val="1FF77E80"/>
    <w:rsid w:val="201955F1"/>
    <w:rsid w:val="206A6213"/>
    <w:rsid w:val="20A37102"/>
    <w:rsid w:val="20AD52D4"/>
    <w:rsid w:val="20C87760"/>
    <w:rsid w:val="21EB3060"/>
    <w:rsid w:val="22521B34"/>
    <w:rsid w:val="22573F67"/>
    <w:rsid w:val="227B47F6"/>
    <w:rsid w:val="22D12DFF"/>
    <w:rsid w:val="22F33691"/>
    <w:rsid w:val="232D3066"/>
    <w:rsid w:val="2344660D"/>
    <w:rsid w:val="243220F8"/>
    <w:rsid w:val="254C0E38"/>
    <w:rsid w:val="255A0C3F"/>
    <w:rsid w:val="25B17A45"/>
    <w:rsid w:val="2625429F"/>
    <w:rsid w:val="2642603D"/>
    <w:rsid w:val="26FD12E4"/>
    <w:rsid w:val="271C18DA"/>
    <w:rsid w:val="272452DD"/>
    <w:rsid w:val="27552A5E"/>
    <w:rsid w:val="27AF5E77"/>
    <w:rsid w:val="28627469"/>
    <w:rsid w:val="287715D8"/>
    <w:rsid w:val="28EA2661"/>
    <w:rsid w:val="29481D6D"/>
    <w:rsid w:val="2975614A"/>
    <w:rsid w:val="29F20B49"/>
    <w:rsid w:val="2A27578A"/>
    <w:rsid w:val="2A6E24CD"/>
    <w:rsid w:val="2A7A0E8A"/>
    <w:rsid w:val="2AD96EDD"/>
    <w:rsid w:val="2B18450E"/>
    <w:rsid w:val="2BAD1BB2"/>
    <w:rsid w:val="2BB76337"/>
    <w:rsid w:val="2BFA7A01"/>
    <w:rsid w:val="2C157E81"/>
    <w:rsid w:val="2C8B38AB"/>
    <w:rsid w:val="2CC338BC"/>
    <w:rsid w:val="2D117F65"/>
    <w:rsid w:val="2D126F2E"/>
    <w:rsid w:val="2D1D7907"/>
    <w:rsid w:val="2D552704"/>
    <w:rsid w:val="2DA4060D"/>
    <w:rsid w:val="2DB06D02"/>
    <w:rsid w:val="2E2F1046"/>
    <w:rsid w:val="2E5C3AC6"/>
    <w:rsid w:val="2E8F6228"/>
    <w:rsid w:val="2EFD1E75"/>
    <w:rsid w:val="2FE14059"/>
    <w:rsid w:val="2FFF266E"/>
    <w:rsid w:val="30426F7F"/>
    <w:rsid w:val="304B46C7"/>
    <w:rsid w:val="308856F0"/>
    <w:rsid w:val="30A012F9"/>
    <w:rsid w:val="30CB2E5D"/>
    <w:rsid w:val="30D80D32"/>
    <w:rsid w:val="30E12486"/>
    <w:rsid w:val="30F45A3E"/>
    <w:rsid w:val="328B5900"/>
    <w:rsid w:val="32A7516C"/>
    <w:rsid w:val="33383E62"/>
    <w:rsid w:val="34FE54D9"/>
    <w:rsid w:val="3590530F"/>
    <w:rsid w:val="35CB4D7F"/>
    <w:rsid w:val="35DF7ABE"/>
    <w:rsid w:val="36B57C5A"/>
    <w:rsid w:val="36E31D0E"/>
    <w:rsid w:val="37592DF2"/>
    <w:rsid w:val="37B1089B"/>
    <w:rsid w:val="37CD782A"/>
    <w:rsid w:val="37D855BA"/>
    <w:rsid w:val="37DE1117"/>
    <w:rsid w:val="380E25C7"/>
    <w:rsid w:val="38866C8D"/>
    <w:rsid w:val="39277A29"/>
    <w:rsid w:val="394A0260"/>
    <w:rsid w:val="39872F76"/>
    <w:rsid w:val="3A2E19A7"/>
    <w:rsid w:val="3A8C1059"/>
    <w:rsid w:val="3ADE3518"/>
    <w:rsid w:val="3AE346CF"/>
    <w:rsid w:val="3B373F65"/>
    <w:rsid w:val="3B8D6AEC"/>
    <w:rsid w:val="3BA30E27"/>
    <w:rsid w:val="3C05636E"/>
    <w:rsid w:val="3C363D83"/>
    <w:rsid w:val="3C545320"/>
    <w:rsid w:val="3C5462B4"/>
    <w:rsid w:val="3D1B05D4"/>
    <w:rsid w:val="3D60527D"/>
    <w:rsid w:val="3E2047EF"/>
    <w:rsid w:val="3EB20097"/>
    <w:rsid w:val="3EDF3C82"/>
    <w:rsid w:val="3F4E58C0"/>
    <w:rsid w:val="3F757CF7"/>
    <w:rsid w:val="40A44C03"/>
    <w:rsid w:val="40A70BBC"/>
    <w:rsid w:val="40DA4011"/>
    <w:rsid w:val="410652FC"/>
    <w:rsid w:val="414F32A7"/>
    <w:rsid w:val="417116E0"/>
    <w:rsid w:val="417277FD"/>
    <w:rsid w:val="41AE3381"/>
    <w:rsid w:val="41EB0D85"/>
    <w:rsid w:val="42247E02"/>
    <w:rsid w:val="42721783"/>
    <w:rsid w:val="42A73B0E"/>
    <w:rsid w:val="42F56341"/>
    <w:rsid w:val="43DC058F"/>
    <w:rsid w:val="440C6167"/>
    <w:rsid w:val="4555160D"/>
    <w:rsid w:val="46D30AA3"/>
    <w:rsid w:val="47595A73"/>
    <w:rsid w:val="47BA5E32"/>
    <w:rsid w:val="47E1165C"/>
    <w:rsid w:val="47E252C0"/>
    <w:rsid w:val="47E27198"/>
    <w:rsid w:val="47F80AF4"/>
    <w:rsid w:val="491855EA"/>
    <w:rsid w:val="493F230D"/>
    <w:rsid w:val="49FA67EB"/>
    <w:rsid w:val="4A862448"/>
    <w:rsid w:val="4A9232A4"/>
    <w:rsid w:val="4B04584C"/>
    <w:rsid w:val="4B2116CE"/>
    <w:rsid w:val="4B6A45AC"/>
    <w:rsid w:val="4BC436B6"/>
    <w:rsid w:val="4BFC4C13"/>
    <w:rsid w:val="4C3311E5"/>
    <w:rsid w:val="4C637355"/>
    <w:rsid w:val="4D585515"/>
    <w:rsid w:val="4DB2501C"/>
    <w:rsid w:val="4DEE57D1"/>
    <w:rsid w:val="4E426336"/>
    <w:rsid w:val="4E5E6F30"/>
    <w:rsid w:val="4E85793C"/>
    <w:rsid w:val="4FA15887"/>
    <w:rsid w:val="4FD25C3F"/>
    <w:rsid w:val="50C63490"/>
    <w:rsid w:val="50E72933"/>
    <w:rsid w:val="518E4E56"/>
    <w:rsid w:val="51B105B8"/>
    <w:rsid w:val="51DB5ABD"/>
    <w:rsid w:val="522F64B8"/>
    <w:rsid w:val="52921FBD"/>
    <w:rsid w:val="52E8557B"/>
    <w:rsid w:val="532F190A"/>
    <w:rsid w:val="53E2520A"/>
    <w:rsid w:val="53F877AC"/>
    <w:rsid w:val="53FC6A1E"/>
    <w:rsid w:val="547815F0"/>
    <w:rsid w:val="5495703C"/>
    <w:rsid w:val="54AF55C4"/>
    <w:rsid w:val="556B1592"/>
    <w:rsid w:val="55FB01B1"/>
    <w:rsid w:val="56520B54"/>
    <w:rsid w:val="56AE435A"/>
    <w:rsid w:val="56F15552"/>
    <w:rsid w:val="57543426"/>
    <w:rsid w:val="576167E2"/>
    <w:rsid w:val="57AD1BE1"/>
    <w:rsid w:val="5808773F"/>
    <w:rsid w:val="58177B53"/>
    <w:rsid w:val="5869046C"/>
    <w:rsid w:val="58AC16A4"/>
    <w:rsid w:val="593F72B8"/>
    <w:rsid w:val="59F11963"/>
    <w:rsid w:val="59F73F8A"/>
    <w:rsid w:val="59FA7D07"/>
    <w:rsid w:val="5A0F5B85"/>
    <w:rsid w:val="5ADE245A"/>
    <w:rsid w:val="5B1F19EF"/>
    <w:rsid w:val="5B310C2D"/>
    <w:rsid w:val="5CAE12CF"/>
    <w:rsid w:val="5D0529D1"/>
    <w:rsid w:val="5D185ADA"/>
    <w:rsid w:val="5D8069C2"/>
    <w:rsid w:val="5D9B44C6"/>
    <w:rsid w:val="5DD32B71"/>
    <w:rsid w:val="5DD66A40"/>
    <w:rsid w:val="5DD978CF"/>
    <w:rsid w:val="5DEA61CB"/>
    <w:rsid w:val="5DED49F0"/>
    <w:rsid w:val="5E69774C"/>
    <w:rsid w:val="5F1A03A4"/>
    <w:rsid w:val="5F6F3154"/>
    <w:rsid w:val="6283787D"/>
    <w:rsid w:val="62B7146C"/>
    <w:rsid w:val="62C5559E"/>
    <w:rsid w:val="63063B36"/>
    <w:rsid w:val="63661BEC"/>
    <w:rsid w:val="63A8223E"/>
    <w:rsid w:val="63B370AC"/>
    <w:rsid w:val="63F2302F"/>
    <w:rsid w:val="640F3748"/>
    <w:rsid w:val="641407FA"/>
    <w:rsid w:val="64905CD6"/>
    <w:rsid w:val="64E313C3"/>
    <w:rsid w:val="65B17A4E"/>
    <w:rsid w:val="66190428"/>
    <w:rsid w:val="66353D2C"/>
    <w:rsid w:val="66A16CEE"/>
    <w:rsid w:val="672654B5"/>
    <w:rsid w:val="674F6BFD"/>
    <w:rsid w:val="68427352"/>
    <w:rsid w:val="687A2FE5"/>
    <w:rsid w:val="692B2FBE"/>
    <w:rsid w:val="693E01C7"/>
    <w:rsid w:val="69B0774A"/>
    <w:rsid w:val="69CF5C3C"/>
    <w:rsid w:val="6ADF3A43"/>
    <w:rsid w:val="6B297CCA"/>
    <w:rsid w:val="6BA31BDD"/>
    <w:rsid w:val="6BEA3CBA"/>
    <w:rsid w:val="6C234C48"/>
    <w:rsid w:val="6C684AC7"/>
    <w:rsid w:val="6C751755"/>
    <w:rsid w:val="6C9F5A1D"/>
    <w:rsid w:val="6CCC23E2"/>
    <w:rsid w:val="6D011267"/>
    <w:rsid w:val="6DDC4181"/>
    <w:rsid w:val="6F994160"/>
    <w:rsid w:val="705F660A"/>
    <w:rsid w:val="70616ECF"/>
    <w:rsid w:val="70893770"/>
    <w:rsid w:val="709927CD"/>
    <w:rsid w:val="709A6F01"/>
    <w:rsid w:val="70A63050"/>
    <w:rsid w:val="70B266D1"/>
    <w:rsid w:val="71402B01"/>
    <w:rsid w:val="715F38D8"/>
    <w:rsid w:val="71864485"/>
    <w:rsid w:val="722B39EA"/>
    <w:rsid w:val="729672A6"/>
    <w:rsid w:val="72A5555B"/>
    <w:rsid w:val="73301FFB"/>
    <w:rsid w:val="73687E9D"/>
    <w:rsid w:val="736F71F7"/>
    <w:rsid w:val="737A40E0"/>
    <w:rsid w:val="737D5A2E"/>
    <w:rsid w:val="738A63D1"/>
    <w:rsid w:val="739B704F"/>
    <w:rsid w:val="73BB1B96"/>
    <w:rsid w:val="73F548CD"/>
    <w:rsid w:val="75797854"/>
    <w:rsid w:val="7598166E"/>
    <w:rsid w:val="767A5CAA"/>
    <w:rsid w:val="76A76FD1"/>
    <w:rsid w:val="76C55FB6"/>
    <w:rsid w:val="76EA1012"/>
    <w:rsid w:val="771D115E"/>
    <w:rsid w:val="774631AC"/>
    <w:rsid w:val="774E7FB0"/>
    <w:rsid w:val="77586827"/>
    <w:rsid w:val="77593FE6"/>
    <w:rsid w:val="776E39F1"/>
    <w:rsid w:val="78455C42"/>
    <w:rsid w:val="78590856"/>
    <w:rsid w:val="78EA16A3"/>
    <w:rsid w:val="794C3CFF"/>
    <w:rsid w:val="79BB76AC"/>
    <w:rsid w:val="7A2A4C46"/>
    <w:rsid w:val="7AF90563"/>
    <w:rsid w:val="7B3531E4"/>
    <w:rsid w:val="7B7F679F"/>
    <w:rsid w:val="7C7C7E8D"/>
    <w:rsid w:val="7CA85E82"/>
    <w:rsid w:val="7D04014F"/>
    <w:rsid w:val="7D323235"/>
    <w:rsid w:val="7F1B7025"/>
    <w:rsid w:val="7F6D7888"/>
    <w:rsid w:val="7FB36334"/>
    <w:rsid w:val="7FD642D7"/>
    <w:rsid w:val="7FD72C37"/>
    <w:rsid w:val="7FE96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9"/>
    <w:qFormat/>
    <w:uiPriority w:val="0"/>
    <w:pPr>
      <w:jc w:val="left"/>
    </w:pPr>
  </w:style>
  <w:style w:type="paragraph" w:styleId="5">
    <w:name w:val="Body Text"/>
    <w:basedOn w:val="1"/>
    <w:qFormat/>
    <w:uiPriority w:val="0"/>
    <w:rPr>
      <w:rFonts w:ascii="Times New Roman" w:hAnsi="Times New Roman" w:eastAsia="宋体"/>
      <w:spacing w:val="20"/>
      <w:sz w:val="24"/>
      <w:szCs w:val="24"/>
    </w:rPr>
  </w:style>
  <w:style w:type="paragraph" w:styleId="6">
    <w:name w:val="Body Text Indent"/>
    <w:basedOn w:val="1"/>
    <w:unhideWhenUsed/>
    <w:qFormat/>
    <w:uiPriority w:val="0"/>
    <w:pPr>
      <w:spacing w:after="120"/>
      <w:ind w:left="420" w:leftChars="200"/>
    </w:pPr>
  </w:style>
  <w:style w:type="paragraph" w:styleId="7">
    <w:name w:val="toc 3"/>
    <w:basedOn w:val="1"/>
    <w:next w:val="1"/>
    <w:unhideWhenUsed/>
    <w:qFormat/>
    <w:uiPriority w:val="39"/>
    <w:pPr>
      <w:tabs>
        <w:tab w:val="left" w:pos="1155"/>
      </w:tabs>
      <w:adjustRightInd w:val="0"/>
      <w:snapToGrid w:val="0"/>
      <w:ind w:left="420"/>
      <w:jc w:val="left"/>
    </w:pPr>
    <w:rPr>
      <w:rFonts w:eastAsia="微软雅黑"/>
      <w:iCs/>
      <w:szCs w:val="20"/>
    </w:rPr>
  </w:style>
  <w:style w:type="paragraph" w:styleId="8">
    <w:name w:val="Plain Text"/>
    <w:basedOn w:val="1"/>
    <w:qFormat/>
    <w:uiPriority w:val="0"/>
    <w:rPr>
      <w:rFonts w:ascii="宋体" w:hAnsi="Courier New" w:eastAsia="宋体"/>
      <w:szCs w:val="20"/>
      <w:lang w:val="zh-CN"/>
    </w:rPr>
  </w:style>
  <w:style w:type="paragraph" w:styleId="9">
    <w:name w:val="Balloon Text"/>
    <w:basedOn w:val="1"/>
    <w:link w:val="33"/>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adjustRightInd w:val="0"/>
      <w:snapToGrid w:val="0"/>
      <w:jc w:val="left"/>
    </w:pPr>
    <w:rPr>
      <w:rFonts w:ascii="微软雅黑" w:hAnsi="微软雅黑" w:eastAsia="微软雅黑"/>
      <w:b/>
      <w:bCs/>
      <w:caps/>
      <w:szCs w:val="20"/>
    </w:rPr>
  </w:style>
  <w:style w:type="paragraph" w:styleId="13">
    <w:name w:val="Body Text Indent 3"/>
    <w:basedOn w:val="1"/>
    <w:qFormat/>
    <w:uiPriority w:val="0"/>
    <w:pPr>
      <w:ind w:firstLine="588"/>
    </w:pPr>
    <w:rPr>
      <w:rFonts w:ascii="仿宋_GB2312" w:hAnsi="Times New Roman" w:eastAsia="仿宋_GB2312"/>
      <w:sz w:val="28"/>
      <w:szCs w:val="20"/>
    </w:rPr>
  </w:style>
  <w:style w:type="paragraph" w:styleId="14">
    <w:name w:val="toc 2"/>
    <w:basedOn w:val="1"/>
    <w:next w:val="1"/>
    <w:unhideWhenUsed/>
    <w:qFormat/>
    <w:uiPriority w:val="39"/>
    <w:pPr>
      <w:adjustRightInd w:val="0"/>
      <w:snapToGrid w:val="0"/>
      <w:ind w:firstLine="200" w:firstLineChars="200"/>
      <w:jc w:val="left"/>
    </w:pPr>
    <w:rPr>
      <w:rFonts w:ascii="微软雅黑" w:hAnsi="微软雅黑" w:eastAsia="微软雅黑"/>
      <w:smallCaps/>
      <w:szCs w:val="20"/>
    </w:rPr>
  </w:style>
  <w:style w:type="paragraph" w:styleId="15">
    <w:name w:val="annotation subject"/>
    <w:basedOn w:val="4"/>
    <w:next w:val="4"/>
    <w:link w:val="40"/>
    <w:qFormat/>
    <w:uiPriority w:val="0"/>
    <w:rPr>
      <w:b/>
      <w:bCs/>
    </w:rPr>
  </w:style>
  <w:style w:type="table" w:styleId="17">
    <w:name w:val="Table Grid"/>
    <w:basedOn w:val="1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unhideWhenUsed/>
    <w:qFormat/>
    <w:uiPriority w:val="99"/>
    <w:rPr>
      <w:color w:val="0563C1" w:themeColor="hyperlink"/>
      <w:u w:val="single"/>
    </w:rPr>
  </w:style>
  <w:style w:type="character" w:styleId="21">
    <w:name w:val="annotation reference"/>
    <w:basedOn w:val="18"/>
    <w:qFormat/>
    <w:uiPriority w:val="0"/>
    <w:rPr>
      <w:sz w:val="21"/>
      <w:szCs w:val="21"/>
    </w:rPr>
  </w:style>
  <w:style w:type="paragraph" w:customStyle="1" w:styleId="22">
    <w:name w:val="列出段落3"/>
    <w:basedOn w:val="1"/>
    <w:qFormat/>
    <w:uiPriority w:val="34"/>
    <w:pPr>
      <w:ind w:firstLine="420" w:firstLineChars="200"/>
    </w:pPr>
    <w:rPr>
      <w:rFonts w:ascii="Times New Roman" w:hAnsi="Times New Roman" w:eastAsia="宋体"/>
      <w:szCs w:val="24"/>
    </w:rPr>
  </w:style>
  <w:style w:type="paragraph" w:styleId="23">
    <w:name w:val="List Paragraph"/>
    <w:basedOn w:val="1"/>
    <w:qFormat/>
    <w:uiPriority w:val="34"/>
    <w:pPr>
      <w:ind w:firstLine="420" w:firstLineChars="200"/>
    </w:pPr>
    <w:rPr>
      <w:rFonts w:ascii="Times New Roman" w:hAnsi="Times New Roman" w:eastAsia="宋体"/>
      <w:szCs w:val="24"/>
    </w:rPr>
  </w:style>
  <w:style w:type="paragraph" w:customStyle="1" w:styleId="24">
    <w:name w:val="列出段落1"/>
    <w:basedOn w:val="1"/>
    <w:qFormat/>
    <w:uiPriority w:val="99"/>
    <w:pPr>
      <w:ind w:firstLine="420" w:firstLineChars="200"/>
    </w:pPr>
    <w:rPr>
      <w:szCs w:val="24"/>
    </w:rPr>
  </w:style>
  <w:style w:type="paragraph" w:customStyle="1" w:styleId="25">
    <w:name w:val="列出段落5"/>
    <w:basedOn w:val="1"/>
    <w:qFormat/>
    <w:uiPriority w:val="34"/>
    <w:pPr>
      <w:ind w:firstLine="420" w:firstLineChars="200"/>
    </w:pPr>
    <w:rPr>
      <w:szCs w:val="24"/>
    </w:rPr>
  </w:style>
  <w:style w:type="paragraph" w:customStyle="1" w:styleId="26">
    <w:name w:val="列出段落4"/>
    <w:basedOn w:val="1"/>
    <w:qFormat/>
    <w:uiPriority w:val="34"/>
    <w:pPr>
      <w:ind w:firstLine="420" w:firstLineChars="200"/>
    </w:pPr>
    <w:rPr>
      <w:rFonts w:ascii="Times New Roman" w:hAnsi="Times New Roman" w:eastAsia="宋体"/>
      <w:szCs w:val="24"/>
    </w:rPr>
  </w:style>
  <w:style w:type="character" w:customStyle="1" w:styleId="27">
    <w:name w:val="font131"/>
    <w:basedOn w:val="18"/>
    <w:qFormat/>
    <w:uiPriority w:val="0"/>
    <w:rPr>
      <w:rFonts w:hint="eastAsia" w:ascii="宋体" w:hAnsi="宋体" w:eastAsia="宋体" w:cs="宋体"/>
      <w:color w:val="FF0000"/>
      <w:sz w:val="20"/>
      <w:szCs w:val="20"/>
      <w:u w:val="none"/>
    </w:rPr>
  </w:style>
  <w:style w:type="character" w:customStyle="1" w:styleId="28">
    <w:name w:val="font111"/>
    <w:basedOn w:val="18"/>
    <w:qFormat/>
    <w:uiPriority w:val="0"/>
    <w:rPr>
      <w:rFonts w:hint="eastAsia" w:ascii="宋体" w:hAnsi="宋体" w:eastAsia="宋体" w:cs="宋体"/>
      <w:b/>
      <w:color w:val="000000"/>
      <w:sz w:val="20"/>
      <w:szCs w:val="20"/>
      <w:u w:val="none"/>
    </w:rPr>
  </w:style>
  <w:style w:type="character" w:customStyle="1" w:styleId="29">
    <w:name w:val="font51"/>
    <w:basedOn w:val="18"/>
    <w:qFormat/>
    <w:uiPriority w:val="0"/>
    <w:rPr>
      <w:rFonts w:hint="eastAsia" w:ascii="宋体" w:hAnsi="宋体" w:eastAsia="宋体" w:cs="宋体"/>
      <w:b/>
      <w:color w:val="000000"/>
      <w:sz w:val="20"/>
      <w:szCs w:val="20"/>
      <w:u w:val="none"/>
    </w:rPr>
  </w:style>
  <w:style w:type="character" w:customStyle="1" w:styleId="30">
    <w:name w:val="font91"/>
    <w:basedOn w:val="18"/>
    <w:qFormat/>
    <w:uiPriority w:val="0"/>
    <w:rPr>
      <w:rFonts w:hint="default" w:ascii="Times New Roman" w:hAnsi="Times New Roman" w:cs="Times New Roman"/>
      <w:b/>
      <w:color w:val="000000"/>
      <w:sz w:val="20"/>
      <w:szCs w:val="20"/>
      <w:u w:val="none"/>
    </w:rPr>
  </w:style>
  <w:style w:type="character" w:customStyle="1" w:styleId="31">
    <w:name w:val="font11"/>
    <w:basedOn w:val="18"/>
    <w:qFormat/>
    <w:uiPriority w:val="0"/>
    <w:rPr>
      <w:rFonts w:hint="eastAsia" w:ascii="宋体" w:hAnsi="宋体" w:eastAsia="宋体" w:cs="宋体"/>
      <w:color w:val="000000"/>
      <w:sz w:val="20"/>
      <w:szCs w:val="20"/>
      <w:u w:val="none"/>
    </w:rPr>
  </w:style>
  <w:style w:type="character" w:customStyle="1" w:styleId="32">
    <w:name w:val="font01"/>
    <w:basedOn w:val="18"/>
    <w:qFormat/>
    <w:uiPriority w:val="0"/>
    <w:rPr>
      <w:rFonts w:hint="eastAsia" w:ascii="宋体" w:hAnsi="宋体" w:eastAsia="宋体" w:cs="宋体"/>
      <w:color w:val="FF0000"/>
      <w:sz w:val="20"/>
      <w:szCs w:val="20"/>
      <w:u w:val="none"/>
    </w:rPr>
  </w:style>
  <w:style w:type="character" w:customStyle="1" w:styleId="33">
    <w:name w:val="批注框文本 字符"/>
    <w:basedOn w:val="18"/>
    <w:link w:val="9"/>
    <w:qFormat/>
    <w:uiPriority w:val="0"/>
    <w:rPr>
      <w:rFonts w:ascii="等线" w:hAnsi="等线" w:eastAsia="等线"/>
      <w:kern w:val="2"/>
      <w:sz w:val="18"/>
      <w:szCs w:val="18"/>
    </w:rPr>
  </w:style>
  <w:style w:type="character" w:customStyle="1" w:styleId="34">
    <w:name w:val="font71"/>
    <w:basedOn w:val="18"/>
    <w:qFormat/>
    <w:uiPriority w:val="0"/>
    <w:rPr>
      <w:rFonts w:hint="default" w:ascii="Times New Roman" w:hAnsi="Times New Roman" w:cs="Times New Roman"/>
      <w:color w:val="auto"/>
      <w:sz w:val="20"/>
      <w:szCs w:val="20"/>
      <w:u w:val="none"/>
    </w:rPr>
  </w:style>
  <w:style w:type="character" w:customStyle="1" w:styleId="35">
    <w:name w:val="font21"/>
    <w:basedOn w:val="18"/>
    <w:qFormat/>
    <w:uiPriority w:val="0"/>
    <w:rPr>
      <w:rFonts w:hint="default" w:ascii="Times New Roman" w:hAnsi="Times New Roman" w:cs="Times New Roman"/>
      <w:color w:val="000000"/>
      <w:sz w:val="18"/>
      <w:szCs w:val="18"/>
      <w:u w:val="none"/>
    </w:rPr>
  </w:style>
  <w:style w:type="character" w:customStyle="1" w:styleId="36">
    <w:name w:val="font31"/>
    <w:basedOn w:val="18"/>
    <w:qFormat/>
    <w:uiPriority w:val="0"/>
    <w:rPr>
      <w:rFonts w:hint="eastAsia" w:ascii="仿宋" w:hAnsi="仿宋" w:eastAsia="仿宋" w:cs="仿宋"/>
      <w:b/>
      <w:color w:val="000000"/>
      <w:sz w:val="20"/>
      <w:szCs w:val="20"/>
      <w:u w:val="none"/>
    </w:rPr>
  </w:style>
  <w:style w:type="character" w:customStyle="1" w:styleId="37">
    <w:name w:val="font61"/>
    <w:basedOn w:val="18"/>
    <w:qFormat/>
    <w:uiPriority w:val="0"/>
    <w:rPr>
      <w:rFonts w:hint="eastAsia" w:ascii="仿宋" w:hAnsi="仿宋" w:eastAsia="仿宋" w:cs="仿宋"/>
      <w:b/>
      <w:color w:val="000000"/>
      <w:sz w:val="20"/>
      <w:szCs w:val="20"/>
      <w:u w:val="none"/>
    </w:rPr>
  </w:style>
  <w:style w:type="character" w:customStyle="1" w:styleId="38">
    <w:name w:val="font41"/>
    <w:basedOn w:val="18"/>
    <w:qFormat/>
    <w:uiPriority w:val="0"/>
    <w:rPr>
      <w:rFonts w:hint="eastAsia" w:ascii="仿宋" w:hAnsi="仿宋" w:eastAsia="仿宋" w:cs="仿宋"/>
      <w:color w:val="000000"/>
      <w:sz w:val="20"/>
      <w:szCs w:val="20"/>
      <w:u w:val="none"/>
    </w:rPr>
  </w:style>
  <w:style w:type="character" w:customStyle="1" w:styleId="39">
    <w:name w:val="批注文字 字符"/>
    <w:basedOn w:val="18"/>
    <w:link w:val="4"/>
    <w:qFormat/>
    <w:uiPriority w:val="0"/>
    <w:rPr>
      <w:rFonts w:ascii="等线" w:hAnsi="等线" w:eastAsia="等线"/>
      <w:kern w:val="2"/>
      <w:sz w:val="21"/>
      <w:szCs w:val="22"/>
    </w:rPr>
  </w:style>
  <w:style w:type="character" w:customStyle="1" w:styleId="40">
    <w:name w:val="批注主题 字符"/>
    <w:basedOn w:val="39"/>
    <w:link w:val="15"/>
    <w:qFormat/>
    <w:uiPriority w:val="0"/>
    <w:rPr>
      <w:rFonts w:ascii="等线" w:hAnsi="等线" w:eastAsia="等线"/>
      <w:b/>
      <w:bCs/>
      <w:kern w:val="2"/>
      <w:sz w:val="21"/>
      <w:szCs w:val="22"/>
    </w:rPr>
  </w:style>
  <w:style w:type="paragraph" w:customStyle="1" w:styleId="41">
    <w:name w:val="无间隔1"/>
    <w:qFormat/>
    <w:uiPriority w:val="1"/>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7"/>
    <customShpInfo spid="_x0000_s1038"/>
    <customShpInfo spid="_x0000_s1040"/>
    <customShpInfo spid="_x0000_s1041"/>
    <customShpInfo spid="_x0000_s1042"/>
    <customShpInfo spid="_x0000_s1039"/>
    <customShpInfo spid="_x0000_s1030"/>
    <customShpInfo spid="_x0000_s1029"/>
    <customShpInfo spid="_x0000_s1028"/>
    <customShpInfo spid="_x0000_s1027"/>
    <customShpInfo spid="_x0000_s1026"/>
    <customShpInfo spid="_x0000_s1025"/>
    <customShpInfo spid="_x0000_s1044"/>
    <customShpInfo spid="_x0000_s1045"/>
    <customShpInfo spid="_x0000_s1046"/>
    <customShpInfo spid="_x0000_s1043"/>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ABEB6-771A-46A9-9404-E89C332508A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8392</Words>
  <Characters>9038</Characters>
  <Lines>84</Lines>
  <Paragraphs>23</Paragraphs>
  <TotalTime>5</TotalTime>
  <ScaleCrop>false</ScaleCrop>
  <LinksUpToDate>false</LinksUpToDate>
  <CharactersWithSpaces>9209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dc:creator>
  <cp:lastModifiedBy>小新</cp:lastModifiedBy>
  <cp:lastPrinted>2022-04-18T09:29:00Z</cp:lastPrinted>
  <dcterms:modified xsi:type="dcterms:W3CDTF">2022-08-17T07:40:00Z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53FBDD4018654D9D83131442AEE82B23</vt:lpwstr>
  </property>
</Properties>
</file>