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rPr>
          <w:rFonts w:hint="eastAsia" w:ascii="宋体" w:hAnsi="宋体" w:eastAsia="宋体" w:cs="宋体"/>
          <w:szCs w:val="21"/>
        </w:rPr>
      </w:pPr>
      <w:r>
        <w:rPr>
          <w:rFonts w:hint="eastAsia" w:ascii="宋体" w:hAnsi="宋体" w:eastAsia="宋体" w:cs="宋体"/>
          <w:szCs w:val="21"/>
        </w:rPr>
        <w:t>本报告依据中国资产评估准则</w:t>
      </w:r>
    </w:p>
    <w:p>
      <w:pPr>
        <w:autoSpaceDE w:val="0"/>
        <w:autoSpaceDN w:val="0"/>
        <w:spacing w:line="276" w:lineRule="auto"/>
        <w:rPr>
          <w:rFonts w:hint="eastAsia" w:ascii="宋体" w:hAnsi="宋体" w:eastAsia="宋体" w:cs="宋体"/>
          <w:szCs w:val="21"/>
        </w:rPr>
      </w:pPr>
      <w:r>
        <w:rPr>
          <w:rFonts w:hint="eastAsia" w:ascii="宋体" w:hAnsi="宋体" w:eastAsia="宋体" w:cs="宋体"/>
          <w:szCs w:val="21"/>
        </w:rPr>
        <w:t>人民法院委托财产处置评估指导意见编制</w:t>
      </w:r>
    </w:p>
    <w:p>
      <w:pPr>
        <w:autoSpaceDE w:val="0"/>
        <w:autoSpaceDN w:val="0"/>
        <w:adjustRightInd w:val="0"/>
        <w:spacing w:line="600" w:lineRule="exact"/>
        <w:rPr>
          <w:rFonts w:hint="eastAsia" w:ascii="宋体" w:hAnsi="宋体" w:eastAsia="宋体" w:cs="宋体"/>
        </w:rPr>
      </w:pPr>
    </w:p>
    <w:p>
      <w:pPr>
        <w:rPr>
          <w:rFonts w:hint="eastAsia" w:ascii="宋体" w:hAnsi="宋体" w:eastAsia="宋体" w:cs="宋体"/>
          <w:b/>
          <w:bCs/>
          <w:sz w:val="24"/>
        </w:rPr>
      </w:pPr>
    </w:p>
    <w:p>
      <w:pPr>
        <w:spacing w:line="360" w:lineRule="auto"/>
        <w:rPr>
          <w:rFonts w:hint="eastAsia" w:ascii="宋体" w:hAnsi="宋体" w:eastAsia="宋体" w:cs="宋体"/>
          <w:b/>
          <w:bCs/>
          <w:sz w:val="24"/>
        </w:rPr>
      </w:pPr>
    </w:p>
    <w:p>
      <w:pPr>
        <w:spacing w:line="360" w:lineRule="auto"/>
        <w:ind w:right="-2" w:rightChars="-1" w:firstLine="723" w:firstLineChars="200"/>
        <w:jc w:val="center"/>
        <w:rPr>
          <w:rFonts w:hint="eastAsia" w:ascii="宋体" w:hAnsi="宋体" w:eastAsia="宋体" w:cs="宋体"/>
          <w:b/>
          <w:sz w:val="36"/>
          <w:szCs w:val="36"/>
        </w:rPr>
      </w:pPr>
    </w:p>
    <w:p>
      <w:pPr>
        <w:spacing w:line="360" w:lineRule="auto"/>
        <w:ind w:right="-2" w:rightChars="-1"/>
        <w:jc w:val="center"/>
        <w:rPr>
          <w:rFonts w:hint="eastAsia" w:ascii="宋体" w:hAnsi="宋体" w:eastAsia="宋体" w:cs="宋体"/>
          <w:b/>
          <w:sz w:val="32"/>
          <w:szCs w:val="32"/>
        </w:rPr>
      </w:pPr>
      <w:bookmarkStart w:id="0" w:name="_Hlk93491395"/>
      <w:r>
        <w:rPr>
          <w:rFonts w:hint="eastAsia" w:ascii="宋体" w:hAnsi="宋体" w:eastAsia="宋体" w:cs="宋体"/>
          <w:b/>
          <w:sz w:val="32"/>
          <w:szCs w:val="32"/>
        </w:rPr>
        <w:t>杭州市富阳区人民法院拟财产处置涉及的</w:t>
      </w:r>
      <w:r>
        <w:rPr>
          <w:rFonts w:hint="eastAsia" w:ascii="宋体" w:hAnsi="宋体" w:eastAsia="宋体" w:cs="宋体"/>
          <w:b/>
          <w:sz w:val="32"/>
          <w:szCs w:val="32"/>
          <w:lang w:eastAsia="zh-CN"/>
        </w:rPr>
        <w:t>陈小青所有的位于杭州市富阳区鹿山街道江滨西大道218号锦绣兰庭兰韵苑18号304室房地产</w:t>
      </w:r>
      <w:r>
        <w:rPr>
          <w:rFonts w:hint="eastAsia" w:ascii="宋体" w:hAnsi="宋体" w:eastAsia="宋体" w:cs="宋体"/>
          <w:b/>
          <w:sz w:val="32"/>
          <w:szCs w:val="32"/>
        </w:rPr>
        <w:t>市场价值司法评估项目</w:t>
      </w:r>
    </w:p>
    <w:bookmarkEnd w:id="0"/>
    <w:p>
      <w:pPr>
        <w:pStyle w:val="2"/>
        <w:tabs>
          <w:tab w:val="center" w:pos="4153"/>
          <w:tab w:val="right" w:pos="8306"/>
        </w:tabs>
        <w:spacing w:line="360" w:lineRule="auto"/>
        <w:rPr>
          <w:rFonts w:hint="eastAsia" w:ascii="宋体" w:hAnsi="宋体" w:eastAsia="宋体" w:cs="宋体"/>
          <w:sz w:val="48"/>
          <w:szCs w:val="48"/>
        </w:rPr>
      </w:pPr>
      <w:r>
        <w:rPr>
          <w:rFonts w:hint="eastAsia" w:ascii="宋体" w:hAnsi="宋体" w:eastAsia="宋体" w:cs="宋体"/>
          <w:b/>
          <w:sz w:val="48"/>
          <w:szCs w:val="48"/>
        </w:rPr>
        <w:tab/>
      </w:r>
      <w:r>
        <w:rPr>
          <w:rFonts w:hint="eastAsia" w:ascii="宋体" w:hAnsi="宋体" w:eastAsia="宋体" w:cs="宋体"/>
          <w:b/>
          <w:sz w:val="48"/>
          <w:szCs w:val="48"/>
        </w:rPr>
        <w:t>资产评估报告</w:t>
      </w:r>
      <w:r>
        <w:rPr>
          <w:rFonts w:hint="eastAsia" w:ascii="宋体" w:hAnsi="宋体" w:eastAsia="宋体" w:cs="宋体"/>
          <w:b/>
          <w:sz w:val="48"/>
          <w:szCs w:val="48"/>
        </w:rPr>
        <w:tab/>
      </w:r>
    </w:p>
    <w:p>
      <w:pPr>
        <w:spacing w:line="360" w:lineRule="auto"/>
        <w:jc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富资评字【2022】SF第0056号</w:t>
      </w:r>
    </w:p>
    <w:p>
      <w:pPr>
        <w:spacing w:line="360" w:lineRule="auto"/>
        <w:jc w:val="center"/>
        <w:rPr>
          <w:rFonts w:hint="eastAsia" w:ascii="宋体" w:hAnsi="宋体" w:eastAsia="宋体" w:cs="宋体"/>
          <w:color w:val="000000"/>
          <w:sz w:val="24"/>
        </w:rPr>
      </w:pPr>
      <w:r>
        <w:rPr>
          <w:rFonts w:hint="eastAsia" w:ascii="宋体" w:hAnsi="宋体" w:eastAsia="宋体" w:cs="宋体"/>
          <w:color w:val="000000"/>
          <w:sz w:val="24"/>
        </w:rPr>
        <w:t>（第一册 共一册）</w:t>
      </w:r>
    </w:p>
    <w:p>
      <w:pPr>
        <w:spacing w:before="156" w:beforeLines="50" w:line="480" w:lineRule="auto"/>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rPr>
          <w:rFonts w:hint="eastAsia" w:ascii="宋体" w:hAnsi="宋体" w:eastAsia="宋体" w:cs="宋体"/>
          <w:b/>
          <w:bCs/>
          <w:sz w:val="32"/>
          <w:szCs w:val="32"/>
        </w:rPr>
      </w:pPr>
    </w:p>
    <w:p>
      <w:pPr>
        <w:spacing w:line="560" w:lineRule="exact"/>
        <w:jc w:val="center"/>
        <w:rPr>
          <w:rFonts w:hint="eastAsia" w:ascii="宋体" w:hAnsi="宋体" w:eastAsia="宋体" w:cs="宋体"/>
          <w:b/>
          <w:bCs/>
          <w:color w:val="000000"/>
          <w:sz w:val="32"/>
          <w:szCs w:val="32"/>
        </w:rPr>
      </w:pPr>
      <w:r>
        <w:rPr>
          <w:rFonts w:hint="eastAsia" w:ascii="宋体" w:hAnsi="宋体" w:eastAsia="宋体" w:cs="宋体"/>
          <w:b/>
          <w:bCs/>
          <w:color w:val="000000"/>
          <w:sz w:val="32"/>
          <w:szCs w:val="32"/>
        </w:rPr>
        <w:t>杭州富诚资产评估有限公司</w:t>
      </w:r>
    </w:p>
    <w:p>
      <w:pPr>
        <w:spacing w:line="560" w:lineRule="exact"/>
        <w:jc w:val="center"/>
        <w:rPr>
          <w:rFonts w:hint="eastAsia" w:ascii="宋体" w:hAnsi="宋体" w:eastAsia="宋体" w:cs="宋体"/>
          <w:b/>
          <w:bCs/>
          <w:color w:val="000000"/>
          <w:sz w:val="32"/>
          <w:szCs w:val="32"/>
          <w:lang w:eastAsia="zh-CN"/>
        </w:rPr>
      </w:pPr>
      <w:r>
        <w:rPr>
          <w:rFonts w:hint="eastAsia" w:ascii="宋体" w:hAnsi="宋体" w:eastAsia="宋体" w:cs="宋体"/>
          <w:b/>
          <w:bCs/>
          <w:color w:val="000000"/>
          <w:sz w:val="32"/>
          <w:szCs w:val="32"/>
          <w:lang w:eastAsia="zh-CN"/>
        </w:rPr>
        <w:t>二〇二二年八月三十日</w:t>
      </w:r>
    </w:p>
    <w:p>
      <w:pPr>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2"/>
        <w:rPr>
          <w:rFonts w:hint="eastAsia" w:ascii="宋体" w:hAnsi="宋体" w:eastAsia="宋体" w:cs="宋体"/>
        </w:rPr>
      </w:pPr>
    </w:p>
    <w:p>
      <w:pPr>
        <w:pStyle w:val="19"/>
        <w:jc w:val="both"/>
        <w:rPr>
          <w:rFonts w:hint="eastAsia" w:ascii="宋体" w:hAnsi="宋体" w:eastAsia="宋体" w:cs="宋体"/>
          <w:color w:val="000000"/>
          <w:sz w:val="44"/>
          <w:szCs w:val="44"/>
          <w:lang w:val="zh-CN"/>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pStyle w:val="19"/>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目录</w:t>
      </w:r>
    </w:p>
    <w:p>
      <w:pPr>
        <w:rPr>
          <w:rFonts w:hint="eastAsia" w:ascii="宋体" w:hAnsi="宋体" w:eastAsia="宋体" w:cs="宋体"/>
          <w:lang w:val="zh-CN"/>
        </w:rPr>
      </w:pPr>
    </w:p>
    <w:sdt>
      <w:sdtPr>
        <w:rPr>
          <w:rFonts w:hint="eastAsia" w:ascii="宋体" w:hAnsi="宋体" w:eastAsia="宋体" w:cs="宋体"/>
          <w:kern w:val="0"/>
          <w:sz w:val="20"/>
          <w:szCs w:val="20"/>
        </w:rPr>
        <w:id w:val="-1117755627"/>
        <w15:color w:val="DBDBDB"/>
      </w:sdtPr>
      <w:sdtEndPr>
        <w:rPr>
          <w:rFonts w:hint="eastAsia" w:ascii="宋体" w:hAnsi="宋体" w:eastAsia="宋体" w:cs="宋体"/>
          <w:kern w:val="0"/>
          <w:sz w:val="20"/>
          <w:szCs w:val="20"/>
        </w:rPr>
      </w:sdtEndPr>
      <w:sdtContent>
        <w:p>
          <w:pPr>
            <w:jc w:val="center"/>
            <w:rPr>
              <w:rFonts w:hint="eastAsia" w:ascii="宋体" w:hAnsi="宋体" w:eastAsia="宋体" w:cs="宋体"/>
            </w:rPr>
          </w:pPr>
          <w:bookmarkStart w:id="1" w:name="_Toc498855171_WPSOffice_Type1"/>
          <w:bookmarkStart w:id="2" w:name="_Toc37185834"/>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"_Toc74592687_WPSOffice_Level1"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7770182"/>
              <w:placeholder>
                <w:docPart w:val="{693f6577-25f3-4dd3-8068-a434f0419ed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声明</w:t>
              </w:r>
            </w:sdtContent>
          </w:sdt>
          <w:r>
            <w:rPr>
              <w:rFonts w:hint="eastAsia" w:ascii="宋体" w:hAnsi="宋体" w:eastAsia="宋体" w:cs="宋体"/>
              <w:sz w:val="28"/>
              <w:szCs w:val="28"/>
            </w:rPr>
            <w:tab/>
          </w:r>
          <w:bookmarkStart w:id="3" w:name="_Toc74592687_WPSOffice_Level1Page"/>
          <w:r>
            <w:rPr>
              <w:rFonts w:hint="eastAsia" w:ascii="宋体" w:hAnsi="宋体" w:eastAsia="宋体" w:cs="宋体"/>
              <w:sz w:val="28"/>
              <w:szCs w:val="28"/>
            </w:rPr>
            <w:t>3</w:t>
          </w:r>
          <w:bookmarkEnd w:id="3"/>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eastAsia="zh-CN"/>
            </w:rPr>
            <w:t>摘要</w:t>
          </w:r>
          <w:r>
            <w:rPr>
              <w:rFonts w:hint="eastAsia" w:ascii="宋体" w:hAnsi="宋体" w:eastAsia="宋体" w:cs="宋体"/>
              <w:sz w:val="28"/>
              <w:szCs w:val="28"/>
            </w:rPr>
            <w:tab/>
          </w:r>
          <w:r>
            <w:rPr>
              <w:rFonts w:hint="eastAsia" w:ascii="宋体" w:hAnsi="宋体" w:eastAsia="宋体" w:cs="宋体"/>
              <w:sz w:val="28"/>
              <w:szCs w:val="28"/>
              <w:lang w:val="en-US" w:eastAsia="zh-CN"/>
            </w:rPr>
            <w:t>4</w:t>
          </w:r>
        </w:p>
        <w:p>
          <w:pPr>
            <w:pStyle w:val="21"/>
            <w:tabs>
              <w:tab w:val="right" w:leader="dot" w:pos="8306"/>
            </w:tabs>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正文</w:t>
          </w:r>
          <w:r>
            <w:rPr>
              <w:rFonts w:hint="eastAsia" w:ascii="宋体" w:hAnsi="宋体" w:eastAsia="宋体" w:cs="宋体"/>
              <w:sz w:val="28"/>
              <w:szCs w:val="28"/>
            </w:rPr>
            <w:tab/>
          </w:r>
          <w:r>
            <w:rPr>
              <w:rFonts w:hint="eastAsia" w:ascii="宋体" w:hAnsi="宋体" w:eastAsia="宋体" w:cs="宋体"/>
              <w:sz w:val="28"/>
              <w:szCs w:val="28"/>
              <w:lang w:val="en-US" w:eastAsia="zh-CN"/>
            </w:rPr>
            <w:t>6</w:t>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"_Toc498855171_WPSOffice_Level1"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595832924"/>
              <w:placeholder>
                <w:docPart w:val="{5db44a22-710c-44ab-a5e4-1792c8158ba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一、委托人、</w:t>
              </w:r>
              <w:r>
                <w:rPr>
                  <w:rFonts w:hint="eastAsia" w:ascii="宋体" w:hAnsi="宋体" w:eastAsia="宋体" w:cs="宋体"/>
                  <w:sz w:val="28"/>
                  <w:szCs w:val="28"/>
                  <w:lang w:eastAsia="zh-CN"/>
                </w:rPr>
                <w:t>产权持有者</w:t>
              </w:r>
              <w:r>
                <w:rPr>
                  <w:rFonts w:hint="eastAsia" w:ascii="宋体" w:hAnsi="宋体" w:eastAsia="宋体" w:cs="宋体"/>
                  <w:sz w:val="28"/>
                  <w:szCs w:val="28"/>
                </w:rPr>
                <w:t>和资产评估委托合同约定的其他资产评估报告使用人</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"_Toc482701109_WPSOffice_Level1"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389150167"/>
              <w:placeholder>
                <w:docPart w:val="{46956840-d113-48e8-89ac-5fa39eae4a2a}"/>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二、评估目的</w:t>
              </w:r>
            </w:sdtContent>
          </w:sdt>
          <w:r>
            <w:rPr>
              <w:rFonts w:hint="eastAsia" w:ascii="宋体" w:hAnsi="宋体" w:eastAsia="宋体" w:cs="宋体"/>
              <w:sz w:val="28"/>
              <w:szCs w:val="28"/>
            </w:rPr>
            <w:tab/>
          </w:r>
          <w:bookmarkStart w:id="4" w:name="_Toc482701109_WPSOffice_Level1Page"/>
          <w:r>
            <w:rPr>
              <w:rFonts w:hint="eastAsia" w:ascii="宋体" w:hAnsi="宋体" w:eastAsia="宋体" w:cs="宋体"/>
              <w:sz w:val="28"/>
              <w:szCs w:val="28"/>
            </w:rPr>
            <w:t>7</w:t>
          </w:r>
          <w:bookmarkEnd w:id="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"_Toc1711804244_WPSOffice_Level1"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60263247"/>
              <w:placeholder>
                <w:docPart w:val="{c871e4e8-8654-4588-bf74-1ca2489500e1}"/>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三、评估对象及范围</w:t>
              </w:r>
            </w:sdtContent>
          </w:sdt>
          <w:r>
            <w:rPr>
              <w:rFonts w:hint="eastAsia" w:ascii="宋体" w:hAnsi="宋体" w:eastAsia="宋体" w:cs="宋体"/>
              <w:sz w:val="28"/>
              <w:szCs w:val="28"/>
            </w:rPr>
            <w:tab/>
          </w:r>
          <w:bookmarkStart w:id="5" w:name="_Toc1711804244_WPSOffice_Level1Page"/>
          <w:r>
            <w:rPr>
              <w:rFonts w:hint="eastAsia" w:ascii="宋体" w:hAnsi="宋体" w:eastAsia="宋体" w:cs="宋体"/>
              <w:sz w:val="28"/>
              <w:szCs w:val="28"/>
            </w:rPr>
            <w:t>7</w:t>
          </w:r>
          <w:bookmarkEnd w:id="5"/>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"_Toc455510049_WPSOffice_Level1"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70137741"/>
              <w:placeholder>
                <w:docPart w:val="{e71e5423-e652-4c65-b080-31dcbd204a72}"/>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四、价值类型</w:t>
              </w:r>
            </w:sdtContent>
          </w:sdt>
          <w:r>
            <w:rPr>
              <w:rFonts w:hint="eastAsia" w:ascii="宋体" w:hAnsi="宋体" w:eastAsia="宋体" w:cs="宋体"/>
              <w:sz w:val="28"/>
              <w:szCs w:val="28"/>
            </w:rPr>
            <w:tab/>
          </w:r>
          <w:r>
            <w:rPr>
              <w:rFonts w:hint="eastAsia" w:ascii="宋体" w:hAnsi="宋体" w:eastAsia="宋体" w:cs="宋体"/>
              <w:sz w:val="28"/>
              <w:szCs w:val="28"/>
              <w:lang w:val="en-US" w:eastAsia="zh-CN"/>
            </w:rPr>
            <w:t>8</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"_Toc2125675635_WPSOffice_Level1"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85597721"/>
              <w:placeholder>
                <w:docPart w:val="{c4d4b21c-d43f-44f9-b8ca-a0fb6f66fa0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五、评估基准日</w:t>
              </w:r>
            </w:sdtContent>
          </w:sdt>
          <w:r>
            <w:rPr>
              <w:rFonts w:hint="eastAsia" w:ascii="宋体" w:hAnsi="宋体" w:eastAsia="宋体" w:cs="宋体"/>
              <w:sz w:val="28"/>
              <w:szCs w:val="28"/>
            </w:rPr>
            <w:tab/>
          </w:r>
          <w:bookmarkStart w:id="6" w:name="_Toc2125675635_WPSOffice_Level1Page"/>
          <w:r>
            <w:rPr>
              <w:rFonts w:hint="eastAsia" w:ascii="宋体" w:hAnsi="宋体" w:eastAsia="宋体" w:cs="宋体"/>
              <w:sz w:val="28"/>
              <w:szCs w:val="28"/>
            </w:rPr>
            <w:t>9</w:t>
          </w:r>
          <w:bookmarkEnd w:id="6"/>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"_Toc692445953_WPSOffice_Level1"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984686064"/>
              <w:placeholder>
                <w:docPart w:val="{1298ea4a-cd1c-4637-9d5c-246c79d9c77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六、评估假设</w:t>
              </w:r>
            </w:sdtContent>
          </w:sdt>
          <w:r>
            <w:rPr>
              <w:rFonts w:hint="eastAsia" w:ascii="宋体" w:hAnsi="宋体" w:eastAsia="宋体" w:cs="宋体"/>
              <w:sz w:val="28"/>
              <w:szCs w:val="28"/>
            </w:rPr>
            <w:tab/>
          </w:r>
          <w:bookmarkStart w:id="7" w:name="_Toc692445953_WPSOffice_Level1Page"/>
          <w:r>
            <w:rPr>
              <w:rFonts w:hint="eastAsia" w:ascii="宋体" w:hAnsi="宋体" w:eastAsia="宋体" w:cs="宋体"/>
              <w:sz w:val="28"/>
              <w:szCs w:val="28"/>
            </w:rPr>
            <w:t>9</w:t>
          </w:r>
          <w:bookmarkEnd w:id="7"/>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"_Toc725248978_WPSOffice_Level1"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44156659"/>
              <w:placeholder>
                <w:docPart w:val="{e57bfa72-7b7e-465f-bcd0-6964f032d2a9}"/>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七、评估依据</w:t>
              </w:r>
            </w:sdtContent>
          </w:sdt>
          <w:r>
            <w:rPr>
              <w:rFonts w:hint="eastAsia" w:ascii="宋体" w:hAnsi="宋体" w:eastAsia="宋体" w:cs="宋体"/>
              <w:sz w:val="28"/>
              <w:szCs w:val="28"/>
            </w:rPr>
            <w:tab/>
          </w:r>
          <w:bookmarkStart w:id="8" w:name="_Toc725248978_WPSOffice_Level1Page"/>
          <w:r>
            <w:rPr>
              <w:rFonts w:hint="eastAsia" w:ascii="宋体" w:hAnsi="宋体" w:eastAsia="宋体" w:cs="宋体"/>
              <w:sz w:val="28"/>
              <w:szCs w:val="28"/>
            </w:rPr>
            <w:t>10</w:t>
          </w:r>
          <w:bookmarkEnd w:id="8"/>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"_Toc142392874_WPSOffice_Level1"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599242422"/>
              <w:placeholder>
                <w:docPart w:val="{14eb227b-7283-410c-9201-a18d1f81045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八、评估方法</w:t>
              </w:r>
            </w:sdtContent>
          </w:sdt>
          <w:r>
            <w:rPr>
              <w:rFonts w:hint="eastAsia" w:ascii="宋体" w:hAnsi="宋体" w:eastAsia="宋体" w:cs="宋体"/>
              <w:sz w:val="28"/>
              <w:szCs w:val="28"/>
            </w:rPr>
            <w:tab/>
          </w:r>
          <w:bookmarkStart w:id="9" w:name="_Toc142392874_WPSOffice_Level1Page"/>
          <w:r>
            <w:rPr>
              <w:rFonts w:hint="eastAsia" w:ascii="宋体" w:hAnsi="宋体" w:eastAsia="宋体" w:cs="宋体"/>
              <w:sz w:val="28"/>
              <w:szCs w:val="28"/>
            </w:rPr>
            <w:t>1</w:t>
          </w:r>
          <w:bookmarkEnd w:id="9"/>
          <w:r>
            <w:rPr>
              <w:rFonts w:hint="eastAsia" w:ascii="宋体" w:hAnsi="宋体" w:eastAsia="宋体" w:cs="宋体"/>
              <w:sz w:val="28"/>
              <w:szCs w:val="28"/>
              <w:lang w:val="en-US" w:eastAsia="zh-CN"/>
            </w:rPr>
            <w:t>1</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"_Toc900250560_WPSOffice_Level1"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3466498"/>
              <w:placeholder>
                <w:docPart w:val="{cc485ca2-c1dd-4cf8-a5ef-e9511dd8289d}"/>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九、评估过程</w:t>
              </w:r>
            </w:sdtContent>
          </w:sdt>
          <w:r>
            <w:rPr>
              <w:rFonts w:hint="eastAsia" w:ascii="宋体" w:hAnsi="宋体" w:eastAsia="宋体" w:cs="宋体"/>
              <w:sz w:val="28"/>
              <w:szCs w:val="28"/>
            </w:rPr>
            <w:tab/>
          </w:r>
          <w:bookmarkStart w:id="10" w:name="_Toc900250560_WPSOffice_Level1Page"/>
          <w:r>
            <w:rPr>
              <w:rFonts w:hint="eastAsia" w:ascii="宋体" w:hAnsi="宋体" w:eastAsia="宋体" w:cs="宋体"/>
              <w:sz w:val="28"/>
              <w:szCs w:val="28"/>
            </w:rPr>
            <w:t>1</w:t>
          </w:r>
          <w:bookmarkEnd w:id="10"/>
          <w:r>
            <w:rPr>
              <w:rFonts w:hint="eastAsia" w:ascii="宋体" w:hAnsi="宋体" w:eastAsia="宋体" w:cs="宋体"/>
              <w:sz w:val="28"/>
              <w:szCs w:val="28"/>
              <w:lang w:val="en-US" w:eastAsia="zh-CN"/>
            </w:rPr>
            <w:t>3</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"_Toc1488868805_WPSOffice_Level1"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34839360"/>
              <w:placeholder>
                <w:docPart w:val="{26ba7ea4-0fa4-4f8b-9938-1fbf7252fad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十、评估结论</w:t>
              </w:r>
            </w:sdtContent>
          </w:sdt>
          <w:r>
            <w:rPr>
              <w:rFonts w:hint="eastAsia" w:ascii="宋体" w:hAnsi="宋体" w:eastAsia="宋体" w:cs="宋体"/>
              <w:sz w:val="28"/>
              <w:szCs w:val="28"/>
            </w:rPr>
            <w:tab/>
          </w:r>
          <w:bookmarkStart w:id="11" w:name="_Toc1488868805_WPSOffice_Level1Page"/>
          <w:r>
            <w:rPr>
              <w:rFonts w:hint="eastAsia" w:ascii="宋体" w:hAnsi="宋体" w:eastAsia="宋体" w:cs="宋体"/>
              <w:sz w:val="28"/>
              <w:szCs w:val="28"/>
            </w:rPr>
            <w:t>14</w:t>
          </w:r>
          <w:bookmarkEnd w:id="11"/>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"_Toc938550791_WPSOffice_Level1"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8996235"/>
              <w:placeholder>
                <w:docPart w:val="{71391b02-8c8b-4a97-80b1-a14f973e6cbc}"/>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十一、特别事项说明</w:t>
              </w:r>
            </w:sdtContent>
          </w:sdt>
          <w:r>
            <w:rPr>
              <w:rFonts w:hint="eastAsia" w:ascii="宋体" w:hAnsi="宋体" w:eastAsia="宋体" w:cs="宋体"/>
              <w:sz w:val="28"/>
              <w:szCs w:val="28"/>
            </w:rPr>
            <w:tab/>
          </w:r>
          <w:bookmarkStart w:id="12" w:name="_Toc938550791_WPSOffice_Level1Page"/>
          <w:r>
            <w:rPr>
              <w:rFonts w:hint="eastAsia" w:ascii="宋体" w:hAnsi="宋体" w:eastAsia="宋体" w:cs="宋体"/>
              <w:sz w:val="28"/>
              <w:szCs w:val="28"/>
            </w:rPr>
            <w:t>1</w:t>
          </w:r>
          <w:bookmarkEnd w:id="12"/>
          <w:r>
            <w:rPr>
              <w:rFonts w:hint="eastAsia" w:ascii="宋体" w:hAnsi="宋体" w:eastAsia="宋体" w:cs="宋体"/>
              <w:sz w:val="28"/>
              <w:szCs w:val="28"/>
              <w:lang w:val="en-US" w:eastAsia="zh-CN"/>
            </w:rPr>
            <w:t>4</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"_Toc955757122_WPSOffice_Level1"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668365315"/>
              <w:placeholder>
                <w:docPart w:val="{d0deffe7-dd1c-45d7-a6ea-cb7765e91527}"/>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十二、评估报告使用限制说明</w:t>
              </w:r>
            </w:sdtContent>
          </w:sdt>
          <w:r>
            <w:rPr>
              <w:rFonts w:hint="eastAsia" w:ascii="宋体" w:hAnsi="宋体" w:eastAsia="宋体" w:cs="宋体"/>
              <w:sz w:val="28"/>
              <w:szCs w:val="28"/>
            </w:rPr>
            <w:tab/>
          </w:r>
          <w:bookmarkStart w:id="13" w:name="_Toc955757122_WPSOffice_Level1Page"/>
          <w:r>
            <w:rPr>
              <w:rFonts w:hint="eastAsia" w:ascii="宋体" w:hAnsi="宋体" w:eastAsia="宋体" w:cs="宋体"/>
              <w:sz w:val="28"/>
              <w:szCs w:val="28"/>
            </w:rPr>
            <w:t>1</w:t>
          </w:r>
          <w:bookmarkEnd w:id="13"/>
          <w:r>
            <w:rPr>
              <w:rFonts w:hint="eastAsia" w:ascii="宋体" w:hAnsi="宋体" w:eastAsia="宋体" w:cs="宋体"/>
              <w:sz w:val="28"/>
              <w:szCs w:val="28"/>
              <w:lang w:val="en-US" w:eastAsia="zh-CN"/>
            </w:rPr>
            <w:t>5</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"_Toc232269894_WPSOffice_Level1"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1800835636"/>
              <w:placeholder>
                <w:docPart w:val="{224f95e1-72fb-413f-ba99-74ed28fcad9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十三、评估报告日</w:t>
              </w:r>
            </w:sdtContent>
          </w:sdt>
          <w:r>
            <w:rPr>
              <w:rFonts w:hint="eastAsia" w:ascii="宋体" w:hAnsi="宋体" w:eastAsia="宋体" w:cs="宋体"/>
              <w:sz w:val="28"/>
              <w:szCs w:val="28"/>
            </w:rPr>
            <w:tab/>
          </w:r>
          <w:bookmarkStart w:id="14" w:name="_Toc232269894_WPSOffice_Level1Page"/>
          <w:r>
            <w:rPr>
              <w:rFonts w:hint="eastAsia" w:ascii="宋体" w:hAnsi="宋体" w:eastAsia="宋体" w:cs="宋体"/>
              <w:sz w:val="28"/>
              <w:szCs w:val="28"/>
            </w:rPr>
            <w:t>16</w:t>
          </w:r>
          <w:bookmarkEnd w:id="14"/>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"_Toc1782321859_WPSOffice_Level1"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2051952416"/>
              <w:placeholder>
                <w:docPart w:val="{7fb97ca2-7e41-44b3-af96-6d847ba470d4}"/>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十四、 资产评估专业人员签名和资产评估机构印章</w:t>
              </w:r>
            </w:sdtContent>
          </w:sdt>
          <w:r>
            <w:rPr>
              <w:rFonts w:hint="eastAsia" w:ascii="宋体" w:hAnsi="宋体" w:eastAsia="宋体" w:cs="宋体"/>
              <w:sz w:val="28"/>
              <w:szCs w:val="28"/>
            </w:rPr>
            <w:tab/>
          </w:r>
          <w:bookmarkStart w:id="15" w:name="_Toc1782321859_WPSOffice_Level1Page"/>
          <w:r>
            <w:rPr>
              <w:rFonts w:hint="eastAsia" w:ascii="宋体" w:hAnsi="宋体" w:eastAsia="宋体" w:cs="宋体"/>
              <w:sz w:val="28"/>
              <w:szCs w:val="28"/>
            </w:rPr>
            <w:t>1</w:t>
          </w:r>
          <w:bookmarkEnd w:id="15"/>
          <w:r>
            <w:rPr>
              <w:rFonts w:hint="eastAsia" w:ascii="宋体" w:hAnsi="宋体" w:eastAsia="宋体" w:cs="宋体"/>
              <w:sz w:val="28"/>
              <w:szCs w:val="28"/>
              <w:lang w:val="en-US" w:eastAsia="zh-CN"/>
            </w:rPr>
            <w:t>6</w:t>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"_Toc234092210_WPSOffice_Level1" </w:instrText>
          </w:r>
          <w:r>
            <w:rPr>
              <w:rFonts w:hint="eastAsia" w:ascii="宋体" w:hAnsi="宋体" w:eastAsia="宋体" w:cs="宋体"/>
            </w:rPr>
            <w:fldChar w:fldCharType="separate"/>
          </w:r>
          <w:sdt>
            <w:sdtPr>
              <w:rPr>
                <w:rFonts w:hint="eastAsia" w:ascii="宋体" w:hAnsi="宋体" w:eastAsia="宋体" w:cs="宋体"/>
                <w:b/>
                <w:bCs/>
                <w:kern w:val="2"/>
                <w:sz w:val="28"/>
                <w:szCs w:val="28"/>
              </w:rPr>
              <w:id w:val="-998344358"/>
              <w:placeholder>
                <w:docPart w:val="{39b15929-bde2-40d4-a840-6c9dda42d733}"/>
              </w:placeholder>
              <w15:color w:val="509DF3"/>
            </w:sdtPr>
            <w:sdtEndPr>
              <w:rPr>
                <w:rFonts w:hint="eastAsia" w:ascii="宋体" w:hAnsi="宋体" w:eastAsia="宋体" w:cs="宋体"/>
                <w:b/>
                <w:bCs/>
                <w:kern w:val="2"/>
                <w:sz w:val="28"/>
                <w:szCs w:val="28"/>
              </w:rPr>
            </w:sdtEndPr>
            <w:sdtContent>
              <w:r>
                <w:rPr>
                  <w:rFonts w:hint="eastAsia" w:ascii="宋体" w:hAnsi="宋体" w:eastAsia="宋体" w:cs="宋体"/>
                  <w:sz w:val="28"/>
                  <w:szCs w:val="28"/>
                </w:rPr>
                <w:t>备查文件目录</w:t>
              </w:r>
            </w:sdtContent>
          </w:sdt>
          <w:r>
            <w:rPr>
              <w:rFonts w:hint="eastAsia" w:ascii="宋体" w:hAnsi="宋体" w:eastAsia="宋体" w:cs="宋体"/>
              <w:sz w:val="28"/>
              <w:szCs w:val="28"/>
            </w:rPr>
            <w:tab/>
          </w:r>
          <w:bookmarkStart w:id="16" w:name="_Toc234092210_WPSOffice_Level1Page"/>
          <w:r>
            <w:rPr>
              <w:rFonts w:hint="eastAsia" w:ascii="宋体" w:hAnsi="宋体" w:eastAsia="宋体" w:cs="宋体"/>
              <w:sz w:val="28"/>
              <w:szCs w:val="28"/>
            </w:rPr>
            <w:t>1</w:t>
          </w:r>
          <w:bookmarkEnd w:id="16"/>
          <w:r>
            <w:rPr>
              <w:rFonts w:hint="eastAsia" w:ascii="宋体" w:hAnsi="宋体" w:eastAsia="宋体" w:cs="宋体"/>
              <w:sz w:val="28"/>
              <w:szCs w:val="28"/>
              <w:lang w:val="en-US" w:eastAsia="zh-CN"/>
            </w:rPr>
            <w:t>7</w:t>
          </w:r>
          <w:r>
            <w:rPr>
              <w:rFonts w:hint="eastAsia" w:ascii="宋体" w:hAnsi="宋体" w:eastAsia="宋体" w:cs="宋体"/>
              <w:sz w:val="28"/>
              <w:szCs w:val="28"/>
            </w:rPr>
            <w:fldChar w:fldCharType="end"/>
          </w:r>
          <w:bookmarkEnd w:id="1"/>
        </w:p>
        <w:p>
          <w:pPr>
            <w:pStyle w:val="21"/>
            <w:tabs>
              <w:tab w:val="right" w:leader="dot" w:pos="8306"/>
            </w:tabs>
            <w:rPr>
              <w:rFonts w:hint="eastAsia" w:ascii="宋体" w:hAnsi="宋体" w:eastAsia="宋体" w:cs="宋体"/>
              <w:b/>
              <w:sz w:val="44"/>
              <w:szCs w:val="44"/>
            </w:rPr>
          </w:pPr>
          <w:bookmarkStart w:id="17" w:name="_Toc74592687_WPSOffice_Level1"/>
        </w:p>
      </w:sdtContent>
    </w:sdt>
    <w:bookmarkEnd w:id="2"/>
    <w:bookmarkEnd w:id="17"/>
    <w:p>
      <w:pPr>
        <w:pStyle w:val="12"/>
        <w:rPr>
          <w:rFonts w:hint="eastAsia" w:ascii="宋体" w:hAnsi="宋体" w:eastAsia="宋体" w:cs="宋体"/>
          <w:szCs w:val="28"/>
        </w:rPr>
      </w:pPr>
      <w:r>
        <w:rPr>
          <w:rFonts w:hint="eastAsia" w:ascii="宋体" w:hAnsi="宋体" w:eastAsia="宋体" w:cs="宋体"/>
          <w:bCs w:val="0"/>
          <w:sz w:val="44"/>
          <w:szCs w:val="44"/>
          <w:lang w:eastAsia="zh-CN"/>
        </w:rPr>
        <w:t>声</w:t>
      </w:r>
      <w:r>
        <w:rPr>
          <w:rFonts w:hint="eastAsia" w:ascii="宋体" w:hAnsi="宋体" w:eastAsia="宋体" w:cs="宋体"/>
          <w:bCs w:val="0"/>
          <w:sz w:val="44"/>
          <w:szCs w:val="44"/>
          <w:lang w:val="en-US" w:eastAsia="zh-CN"/>
        </w:rPr>
        <w:t xml:space="preserve">   </w:t>
      </w:r>
      <w:r>
        <w:rPr>
          <w:rFonts w:hint="eastAsia" w:ascii="宋体" w:hAnsi="宋体" w:eastAsia="宋体" w:cs="宋体"/>
          <w:bCs w:val="0"/>
          <w:sz w:val="44"/>
          <w:szCs w:val="44"/>
          <w:lang w:eastAsia="zh-CN"/>
        </w:rPr>
        <w:t>明</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本资产评估报告依据财政部发布的资产评估基本准则和中国资产评估协会发布的资产评估执业准则和职业道德准则编制。</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本资产评估机构及资产评估师提示资产评估报告使用人应当正确理解评估结论， 评估结论不等同于评估对象可实现价格，评估结论不应当被认为是对评估对象可实现价格的保证。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本资产评估机构及资产评估师遵守法律、行政法规和资产评估准则，坚持独立、客观和公正的原则，并对所出具的资产评估报告依法承担责任。</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评估对象涉及的资产清单由委托人、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申报并经其采用签名、盖章或法律允许的其他方式确认；委托人和其他相关当事人依法对其提供资料的真实性、完整性、合法性负责。</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本资产评估机构及资产评估师与资产评估报告中的评估对象没有现存或者预期的利益关系；与相关当事方没有现存或者预期的利益关系，对相关当事方不存在偏见。</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pPr>
        <w:numPr>
          <w:ilvl w:val="0"/>
          <w:numId w:val="2"/>
        </w:numPr>
        <w:spacing w:line="360" w:lineRule="auto"/>
        <w:ind w:left="-420" w:leftChars="-200" w:right="-420" w:rightChars="-200"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hint="eastAsia" w:ascii="宋体" w:hAnsi="宋体" w:eastAsia="宋体" w:cs="宋体"/>
        </w:rPr>
        <w:t xml:space="preserve">   </w:t>
      </w:r>
    </w:p>
    <w:p>
      <w:pPr>
        <w:pStyle w:val="2"/>
        <w:spacing w:line="360" w:lineRule="auto"/>
        <w:ind w:left="-420" w:leftChars="-200" w:right="-420" w:rightChars="-200" w:firstLine="480" w:firstLineChars="200"/>
        <w:rPr>
          <w:rFonts w:hint="eastAsia" w:ascii="宋体" w:hAnsi="宋体" w:eastAsia="宋体" w:cs="宋体"/>
        </w:rPr>
      </w:pPr>
      <w:r>
        <w:rPr>
          <w:rFonts w:hint="eastAsia" w:ascii="宋体" w:hAnsi="宋体" w:eastAsia="宋体" w:cs="宋体"/>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陈小青</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位于杭州市</w:t>
      </w:r>
      <w:r>
        <w:rPr>
          <w:rFonts w:hint="eastAsia" w:ascii="宋体" w:hAnsi="宋体" w:eastAsia="宋体" w:cs="宋体"/>
          <w:b/>
          <w:sz w:val="28"/>
          <w:szCs w:val="28"/>
          <w:lang w:eastAsia="zh-CN"/>
        </w:rPr>
        <w:t>富阳区鹿山街道江滨西大道218号锦绣兰庭兰韵苑18号304室房地产</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富资评字【2022】SF第0056号</w:t>
      </w:r>
    </w:p>
    <w:p>
      <w:pPr>
        <w:pStyle w:val="12"/>
        <w:spacing w:before="0" w:after="0" w:line="360" w:lineRule="auto"/>
        <w:rPr>
          <w:rFonts w:hint="eastAsia" w:ascii="宋体" w:hAnsi="宋体" w:eastAsia="宋体" w:cs="宋体"/>
          <w:color w:val="000000"/>
        </w:rPr>
      </w:pPr>
      <w:bookmarkStart w:id="18" w:name="_Toc37185836"/>
      <w:r>
        <w:rPr>
          <w:rFonts w:hint="eastAsia" w:ascii="宋体" w:hAnsi="宋体" w:eastAsia="宋体" w:cs="宋体"/>
        </w:rPr>
        <w:t>摘 要</w:t>
      </w:r>
      <w:bookmarkEnd w:id="1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杭州富诚资产评估有限公司接受杭州市富阳区人民法院的委托，根据法律、行政法规和资产评估准则的规定，坚持独立、客观和公正的原则，</w:t>
      </w:r>
      <w:r>
        <w:rPr>
          <w:rFonts w:hint="eastAsia" w:ascii="宋体" w:hAnsi="宋体" w:eastAsia="宋体" w:cs="宋体"/>
          <w:sz w:val="24"/>
          <w:lang w:eastAsia="zh-CN"/>
        </w:rPr>
        <w:t>采用市场法</w:t>
      </w:r>
      <w:r>
        <w:rPr>
          <w:rFonts w:hint="eastAsia" w:ascii="宋体" w:hAnsi="宋体" w:eastAsia="宋体" w:cs="宋体"/>
          <w:sz w:val="24"/>
        </w:rPr>
        <w:t>，</w:t>
      </w:r>
      <w:r>
        <w:rPr>
          <w:rFonts w:hint="eastAsia" w:ascii="宋体" w:hAnsi="宋体" w:eastAsia="宋体" w:cs="宋体"/>
          <w:color w:val="000000"/>
          <w:sz w:val="24"/>
        </w:rPr>
        <w:t>对</w:t>
      </w:r>
      <w:r>
        <w:rPr>
          <w:rFonts w:hint="eastAsia" w:ascii="宋体" w:hAnsi="宋体" w:eastAsia="宋体" w:cs="宋体"/>
          <w:color w:val="000000"/>
          <w:sz w:val="24"/>
          <w:lang w:eastAsia="zh-CN"/>
        </w:rPr>
        <w:t>申请执行人杭州富阳民间融资服务中心有限公司与被执行人陈小青小额借款合同纠纷一案中</w:t>
      </w:r>
      <w:r>
        <w:rPr>
          <w:rFonts w:hint="eastAsia" w:ascii="宋体" w:hAnsi="宋体" w:eastAsia="宋体" w:cs="宋体"/>
          <w:color w:val="000000"/>
          <w:sz w:val="24"/>
        </w:rPr>
        <w:t>涉及的</w:t>
      </w:r>
      <w:r>
        <w:rPr>
          <w:rFonts w:hint="eastAsia" w:ascii="宋体" w:hAnsi="宋体" w:eastAsia="宋体" w:cs="宋体"/>
          <w:sz w:val="24"/>
          <w:lang w:eastAsia="zh-CN"/>
        </w:rPr>
        <w:t>房地产</w:t>
      </w:r>
      <w:r>
        <w:rPr>
          <w:rFonts w:hint="eastAsia" w:ascii="宋体" w:hAnsi="宋体" w:eastAsia="宋体" w:cs="宋体"/>
          <w:sz w:val="24"/>
        </w:rPr>
        <w:t>价值</w:t>
      </w:r>
      <w:r>
        <w:rPr>
          <w:rFonts w:hint="eastAsia" w:ascii="宋体" w:hAnsi="宋体" w:eastAsia="宋体" w:cs="宋体"/>
          <w:color w:val="000000"/>
          <w:sz w:val="24"/>
        </w:rPr>
        <w:t>进行的评估</w:t>
      </w:r>
      <w:r>
        <w:rPr>
          <w:rFonts w:hint="eastAsia" w:ascii="宋体" w:hAnsi="宋体" w:eastAsia="宋体" w:cs="宋体"/>
          <w:sz w:val="24"/>
        </w:rPr>
        <w:t>。本公司评估人员按照必要的评估程序，对委托评估的资产实施了实地查勘、市场调查，根据《资产评估准则》及相关专业规范性文件发表价值意见。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2022年8月19日</w:t>
      </w:r>
      <w:r>
        <w:rPr>
          <w:rFonts w:hint="eastAsia" w:ascii="宋体" w:hAnsi="宋体" w:eastAsia="宋体" w:cs="宋体"/>
          <w:sz w:val="24"/>
        </w:rPr>
        <w:t>所表现的市场价值作出了恰当的反映。现将评估报告摘要如下：</w:t>
      </w:r>
    </w:p>
    <w:p>
      <w:pPr>
        <w:pStyle w:val="6"/>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评估目的：因执行</w:t>
      </w:r>
      <w:r>
        <w:rPr>
          <w:rFonts w:hint="eastAsia" w:ascii="宋体" w:hAnsi="宋体" w:eastAsia="宋体" w:cs="宋体"/>
          <w:sz w:val="24"/>
          <w:lang w:eastAsia="zh-CN"/>
        </w:rPr>
        <w:t>（2022）浙0111执557号申请执行人杭州富阳民间融资服务中心有限公司与被执行人陈小青小额借款合同纠纷一案中，对案件中涉及的</w:t>
      </w:r>
      <w:r>
        <w:rPr>
          <w:rFonts w:hint="eastAsia" w:ascii="宋体" w:hAnsi="宋体" w:eastAsia="宋体" w:cs="宋体"/>
          <w:sz w:val="24"/>
        </w:rPr>
        <w:t>位于杭州市</w:t>
      </w:r>
      <w:r>
        <w:rPr>
          <w:rFonts w:hint="eastAsia" w:ascii="宋体" w:hAnsi="宋体" w:eastAsia="宋体" w:cs="宋体"/>
          <w:sz w:val="24"/>
          <w:lang w:eastAsia="zh-CN"/>
        </w:rPr>
        <w:t>富阳区鹿山街道江滨西大道218号锦绣兰庭兰韵苑18号304室房地产</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r>
        <w:rPr>
          <w:rFonts w:hint="eastAsia" w:ascii="宋体" w:hAnsi="宋体" w:eastAsia="宋体" w:cs="宋体"/>
          <w:color w:val="000000"/>
          <w:sz w:val="24"/>
        </w:rPr>
        <w:t>。</w:t>
      </w:r>
    </w:p>
    <w:p>
      <w:pPr>
        <w:pStyle w:val="6"/>
        <w:numPr>
          <w:ilvl w:val="0"/>
          <w:numId w:val="3"/>
        </w:numPr>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评估对象及范围：评估对象是</w:t>
      </w:r>
      <w:r>
        <w:rPr>
          <w:rFonts w:hint="eastAsia" w:ascii="宋体" w:hAnsi="宋体" w:eastAsia="宋体" w:cs="宋体"/>
          <w:sz w:val="24"/>
          <w:lang w:eastAsia="zh-CN"/>
        </w:rPr>
        <w:t>陈小青单独所有的位于杭州市富阳区鹿山街道江滨西大道218号锦绣兰庭兰韵苑18号304室房地产的市场价值</w:t>
      </w:r>
      <w:r>
        <w:rPr>
          <w:rFonts w:hint="eastAsia" w:ascii="宋体" w:hAnsi="宋体" w:eastAsia="宋体" w:cs="宋体"/>
          <w:sz w:val="24"/>
        </w:rPr>
        <w:t>。评估范围为杭州市</w:t>
      </w:r>
      <w:r>
        <w:rPr>
          <w:rFonts w:hint="eastAsia" w:ascii="宋体" w:hAnsi="宋体" w:eastAsia="宋体" w:cs="宋体"/>
          <w:sz w:val="24"/>
          <w:lang w:eastAsia="zh-CN"/>
        </w:rPr>
        <w:t>富阳区鹿山街道江滨西大道218号锦绣兰庭兰韵苑18号304室房地产</w:t>
      </w:r>
      <w:r>
        <w:rPr>
          <w:rFonts w:hint="eastAsia" w:ascii="宋体" w:hAnsi="宋体" w:eastAsia="宋体" w:cs="宋体"/>
          <w:sz w:val="24"/>
        </w:rPr>
        <w:t>，建筑面积为</w:t>
      </w:r>
      <w:r>
        <w:rPr>
          <w:rFonts w:hint="eastAsia" w:ascii="宋体" w:hAnsi="宋体" w:eastAsia="宋体" w:cs="宋体"/>
          <w:sz w:val="24"/>
          <w:lang w:eastAsia="zh-CN"/>
        </w:rPr>
        <w:t>369.00</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三、价值类型：市场价值</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四、评估基准日：</w:t>
      </w:r>
      <w:r>
        <w:rPr>
          <w:rFonts w:hint="eastAsia" w:ascii="宋体" w:hAnsi="宋体" w:eastAsia="宋体" w:cs="宋体"/>
          <w:sz w:val="24"/>
          <w:lang w:eastAsia="zh-CN"/>
        </w:rPr>
        <w:t>2022年8月19日</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五、评估方法：</w:t>
      </w:r>
      <w:r>
        <w:rPr>
          <w:rFonts w:hint="eastAsia" w:ascii="宋体" w:hAnsi="宋体" w:eastAsia="宋体" w:cs="宋体"/>
          <w:sz w:val="24"/>
          <w:lang w:eastAsia="zh-CN"/>
        </w:rPr>
        <w:t>市场法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六、评估结论：</w:t>
      </w:r>
      <w:bookmarkStart w:id="19" w:name="_Hlk93586035"/>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2022年8月19日，在本报告所揭示的假设前提条件基础上，委评资产的评估价值为9,095,500.00元（大写人民币玖佰零玖万伍仟伍佰元整）</w:t>
      </w:r>
      <w:bookmarkEnd w:id="19"/>
      <w:r>
        <w:rPr>
          <w:rFonts w:hint="eastAsia" w:ascii="宋体" w:hAnsi="宋体" w:eastAsia="宋体" w:cs="宋体"/>
          <w:sz w:val="24"/>
          <w:lang w:val="en-US" w:eastAsia="zh-CN"/>
        </w:rPr>
        <w:t>。</w:t>
      </w:r>
      <w:r>
        <w:rPr>
          <w:rFonts w:hint="eastAsia" w:ascii="宋体" w:hAnsi="宋体" w:eastAsia="宋体" w:cs="宋体"/>
          <w:sz w:val="24"/>
        </w:rPr>
        <w:t>评估结论的详细情况见评估明细表</w:t>
      </w:r>
      <w:r>
        <w:rPr>
          <w:rFonts w:hint="eastAsia" w:ascii="宋体" w:hAnsi="宋体" w:eastAsia="宋体" w:cs="宋体"/>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本报告书评估结论的有效期限为壹年，自评估基准日</w:t>
      </w:r>
      <w:r>
        <w:rPr>
          <w:rFonts w:hint="eastAsia" w:ascii="宋体" w:hAnsi="宋体" w:eastAsia="宋体" w:cs="宋体"/>
          <w:sz w:val="24"/>
          <w:lang w:eastAsia="zh-CN"/>
        </w:rPr>
        <w:t>2022年8月19日</w:t>
      </w:r>
      <w:r>
        <w:rPr>
          <w:rFonts w:hint="eastAsia" w:ascii="宋体" w:hAnsi="宋体" w:eastAsia="宋体" w:cs="宋体"/>
          <w:sz w:val="24"/>
        </w:rPr>
        <w:t>起</w:t>
      </w:r>
      <w:r>
        <w:rPr>
          <w:rFonts w:hint="eastAsia" w:ascii="宋体" w:hAnsi="宋体" w:eastAsia="宋体" w:cs="宋体"/>
          <w:sz w:val="24"/>
          <w:lang w:eastAsia="zh-CN"/>
        </w:rPr>
        <w:t>2023年8月18日</w:t>
      </w:r>
      <w:r>
        <w:rPr>
          <w:rFonts w:hint="eastAsia" w:ascii="宋体" w:hAnsi="宋体" w:eastAsia="宋体" w:cs="宋体"/>
          <w:sz w:val="24"/>
        </w:rPr>
        <w:t>止，只有当评估基准日与经济行为实现日期不超过一年时，才可以使用本评估报告，超过期限，需重新确定评估结论。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pPr>
        <w:pStyle w:val="2"/>
        <w:rPr>
          <w:rFonts w:hint="eastAsia"/>
        </w:rPr>
      </w:pPr>
    </w:p>
    <w:p>
      <w:pPr>
        <w:pStyle w:val="2"/>
        <w:rPr>
          <w:rFonts w:hint="eastAsia"/>
        </w:rPr>
      </w:pPr>
    </w:p>
    <w:p>
      <w:pPr>
        <w:pStyle w:val="2"/>
        <w:spacing w:line="360" w:lineRule="auto"/>
        <w:ind w:firstLine="602" w:firstLineChars="200"/>
        <w:rPr>
          <w:rFonts w:hint="eastAsia" w:ascii="宋体" w:hAnsi="宋体" w:eastAsia="宋体" w:cs="宋体"/>
          <w:b/>
          <w:bCs/>
          <w:sz w:val="30"/>
          <w:szCs w:val="30"/>
          <w:shd w:val="clear" w:color="auto" w:fill="FFFFFF"/>
        </w:rPr>
      </w:pPr>
      <w:r>
        <w:rPr>
          <w:rFonts w:hint="eastAsia" w:ascii="宋体" w:hAnsi="宋体" w:eastAsia="宋体" w:cs="宋体"/>
          <w:b/>
          <w:bCs/>
          <w:sz w:val="30"/>
          <w:szCs w:val="30"/>
        </w:rPr>
        <w:t>以上摘自评估报告正文，欲了解本评估项目的详细情况和合理理解评估结论，应当阅读评估报告正文，</w:t>
      </w:r>
      <w:r>
        <w:rPr>
          <w:rFonts w:hint="eastAsia" w:ascii="宋体" w:hAnsi="宋体" w:eastAsia="宋体" w:cs="宋体"/>
          <w:b/>
          <w:bCs/>
          <w:sz w:val="30"/>
          <w:szCs w:val="30"/>
          <w:shd w:val="clear" w:color="auto" w:fill="FFFFFF"/>
        </w:rPr>
        <w:t>同时提请资产评估报告使用人关注资产评估报告中的评估假设、限制使用条件以及特别事项说明。</w:t>
      </w: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ind w:firstLine="602" w:firstLineChars="200"/>
        <w:rPr>
          <w:rFonts w:hint="eastAsia" w:ascii="宋体" w:hAnsi="宋体" w:eastAsia="宋体" w:cs="宋体"/>
          <w:b/>
          <w:bCs/>
          <w:sz w:val="30"/>
          <w:szCs w:val="30"/>
          <w:shd w:val="clear" w:color="auto" w:fill="FFFFFF"/>
        </w:rPr>
      </w:pPr>
    </w:p>
    <w:p>
      <w:pPr>
        <w:pStyle w:val="2"/>
        <w:spacing w:line="360" w:lineRule="auto"/>
        <w:rPr>
          <w:rFonts w:hint="eastAsia" w:ascii="宋体" w:hAnsi="宋体" w:eastAsia="宋体" w:cs="宋体"/>
          <w:b/>
          <w:bCs/>
          <w:sz w:val="30"/>
          <w:szCs w:val="30"/>
          <w:shd w:val="clear" w:color="auto" w:fill="FFFFFF"/>
        </w:rPr>
      </w:pPr>
    </w:p>
    <w:p>
      <w:pPr>
        <w:spacing w:line="360" w:lineRule="auto"/>
        <w:ind w:right="-2" w:rightChars="-1"/>
        <w:jc w:val="center"/>
        <w:rPr>
          <w:rFonts w:hint="eastAsia" w:ascii="宋体" w:hAnsi="宋体" w:eastAsia="宋体" w:cs="宋体"/>
          <w:b/>
          <w:sz w:val="28"/>
          <w:szCs w:val="28"/>
        </w:rPr>
      </w:pPr>
      <w:bookmarkStart w:id="20" w:name="_Hlk93587888"/>
      <w:r>
        <w:rPr>
          <w:rFonts w:hint="eastAsia" w:ascii="宋体" w:hAnsi="宋体" w:eastAsia="宋体" w:cs="宋体"/>
          <w:b/>
          <w:sz w:val="28"/>
          <w:szCs w:val="28"/>
        </w:rPr>
        <w:t>杭州市富阳区人民法院拟财产处置涉及的</w:t>
      </w:r>
      <w:r>
        <w:rPr>
          <w:rFonts w:hint="eastAsia" w:ascii="宋体" w:hAnsi="宋体" w:eastAsia="宋体" w:cs="宋体"/>
          <w:b/>
          <w:sz w:val="28"/>
          <w:szCs w:val="28"/>
          <w:lang w:eastAsia="zh-CN"/>
        </w:rPr>
        <w:t>陈小青</w:t>
      </w:r>
    </w:p>
    <w:p>
      <w:pPr>
        <w:spacing w:line="360" w:lineRule="auto"/>
        <w:ind w:right="-2" w:rightChars="-1"/>
        <w:jc w:val="center"/>
        <w:rPr>
          <w:rFonts w:hint="eastAsia" w:ascii="宋体" w:hAnsi="宋体" w:eastAsia="宋体" w:cs="宋体"/>
          <w:b/>
          <w:sz w:val="28"/>
          <w:szCs w:val="28"/>
        </w:rPr>
      </w:pPr>
      <w:r>
        <w:rPr>
          <w:rFonts w:hint="eastAsia" w:ascii="宋体" w:hAnsi="宋体" w:eastAsia="宋体" w:cs="宋体"/>
          <w:b/>
          <w:sz w:val="28"/>
          <w:szCs w:val="28"/>
        </w:rPr>
        <w:t>位于杭州市</w:t>
      </w:r>
      <w:bookmarkEnd w:id="20"/>
      <w:r>
        <w:rPr>
          <w:rFonts w:hint="eastAsia" w:ascii="宋体" w:hAnsi="宋体" w:eastAsia="宋体" w:cs="宋体"/>
          <w:b/>
          <w:sz w:val="28"/>
          <w:szCs w:val="28"/>
          <w:lang w:eastAsia="zh-CN"/>
        </w:rPr>
        <w:t>富阳区鹿山街道江滨西大道218号锦绣兰庭兰韵苑18号304室房地产</w:t>
      </w:r>
      <w:r>
        <w:rPr>
          <w:rFonts w:hint="eastAsia" w:ascii="宋体" w:hAnsi="宋体" w:eastAsia="宋体" w:cs="宋体"/>
          <w:b/>
          <w:sz w:val="28"/>
          <w:szCs w:val="28"/>
        </w:rPr>
        <w:t>市场价值司法评估项目</w:t>
      </w:r>
    </w:p>
    <w:p>
      <w:pPr>
        <w:pStyle w:val="12"/>
        <w:spacing w:before="0" w:after="0" w:line="360" w:lineRule="auto"/>
        <w:rPr>
          <w:rFonts w:hint="eastAsia" w:ascii="宋体" w:hAnsi="宋体" w:eastAsia="宋体" w:cs="宋体"/>
          <w:bCs w:val="0"/>
          <w:color w:val="000000"/>
          <w:sz w:val="36"/>
          <w:szCs w:val="36"/>
        </w:rPr>
      </w:pPr>
      <w:r>
        <w:rPr>
          <w:rFonts w:hint="eastAsia" w:ascii="宋体" w:hAnsi="宋体" w:eastAsia="宋体" w:cs="宋体"/>
          <w:bCs w:val="0"/>
          <w:color w:val="000000"/>
          <w:sz w:val="36"/>
          <w:szCs w:val="36"/>
        </w:rPr>
        <w:t>资产评估报告</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lang w:eastAsia="zh-CN"/>
        </w:rPr>
        <w:t>富资评字【2022】SF第0056号</w:t>
      </w:r>
    </w:p>
    <w:p>
      <w:pPr>
        <w:pStyle w:val="12"/>
        <w:spacing w:before="0" w:after="0" w:line="360" w:lineRule="auto"/>
        <w:rPr>
          <w:rFonts w:hint="eastAsia" w:ascii="宋体" w:hAnsi="宋体" w:eastAsia="宋体" w:cs="宋体"/>
        </w:rPr>
      </w:pPr>
      <w:bookmarkStart w:id="21" w:name="_Toc37185837"/>
      <w:r>
        <w:rPr>
          <w:rFonts w:hint="eastAsia" w:ascii="宋体" w:hAnsi="宋体" w:eastAsia="宋体" w:cs="宋体"/>
        </w:rPr>
        <w:t>正  文</w:t>
      </w:r>
      <w:bookmarkEnd w:id="21"/>
    </w:p>
    <w:p>
      <w:pPr>
        <w:spacing w:line="360" w:lineRule="auto"/>
        <w:rPr>
          <w:rFonts w:hint="eastAsia" w:ascii="宋体" w:hAnsi="宋体" w:eastAsia="宋体" w:cs="宋体"/>
          <w:sz w:val="24"/>
        </w:rPr>
      </w:pPr>
      <w:r>
        <w:rPr>
          <w:rFonts w:hint="eastAsia" w:ascii="宋体" w:hAnsi="宋体" w:eastAsia="宋体" w:cs="宋体"/>
          <w:sz w:val="24"/>
        </w:rPr>
        <w:t>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杭州富诚资产评估有限公司接受贵单位的委托，根据国家有关资产评估的规定，本着客观、独立、公正的原则，</w:t>
      </w:r>
      <w:r>
        <w:rPr>
          <w:rFonts w:hint="eastAsia" w:ascii="宋体" w:hAnsi="宋体" w:eastAsia="宋体" w:cs="宋体"/>
          <w:sz w:val="24"/>
          <w:lang w:eastAsia="zh-CN"/>
        </w:rPr>
        <w:t>采用</w:t>
      </w:r>
      <w:r>
        <w:rPr>
          <w:rFonts w:hint="eastAsia" w:ascii="宋体" w:hAnsi="宋体" w:eastAsia="宋体" w:cs="宋体"/>
          <w:sz w:val="24"/>
        </w:rPr>
        <w:t>公认的资产评估方法，对</w:t>
      </w:r>
      <w:r>
        <w:rPr>
          <w:rFonts w:hint="eastAsia" w:ascii="宋体" w:hAnsi="宋体" w:eastAsia="宋体" w:cs="宋体"/>
          <w:sz w:val="24"/>
          <w:lang w:eastAsia="zh-CN"/>
        </w:rPr>
        <w:t>申请执行人杭州富阳民间融资服务中心有限公司与被执行人陈小青小额借款合同纠纷一案中</w:t>
      </w:r>
      <w:r>
        <w:rPr>
          <w:rFonts w:hint="eastAsia" w:ascii="宋体" w:hAnsi="宋体" w:eastAsia="宋体" w:cs="宋体"/>
          <w:sz w:val="24"/>
        </w:rPr>
        <w:t>涉及的</w:t>
      </w:r>
      <w:r>
        <w:rPr>
          <w:rFonts w:hint="eastAsia" w:ascii="宋体" w:hAnsi="宋体" w:eastAsia="宋体" w:cs="宋体"/>
          <w:sz w:val="24"/>
          <w:lang w:eastAsia="zh-CN"/>
        </w:rPr>
        <w:t>房地产</w:t>
      </w:r>
      <w:r>
        <w:rPr>
          <w:rFonts w:hint="eastAsia" w:ascii="宋体" w:hAnsi="宋体" w:eastAsia="宋体" w:cs="宋体"/>
          <w:sz w:val="24"/>
        </w:rPr>
        <w:t>市场价值进行评估。本公司评估人员按照必要的评估程序，对委托评估的资产实施了实地查勘、市场调查。本公司在此基础上根据《资产评估准则》及相关专业规范性文件发表价值意见。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我们认为，除本报告所载明的特别事项说明外，在符合评估基准日、评估假设等限制条件下，本报告所载评估结论对委托评估的资产在</w:t>
      </w:r>
      <w:r>
        <w:rPr>
          <w:rFonts w:hint="eastAsia" w:ascii="宋体" w:hAnsi="宋体" w:eastAsia="宋体" w:cs="宋体"/>
          <w:sz w:val="24"/>
          <w:lang w:eastAsia="zh-CN"/>
        </w:rPr>
        <w:t>2022年8月19日</w:t>
      </w:r>
      <w:r>
        <w:rPr>
          <w:rFonts w:hint="eastAsia" w:ascii="宋体" w:hAnsi="宋体" w:eastAsia="宋体" w:cs="宋体"/>
          <w:sz w:val="24"/>
        </w:rPr>
        <w:t>所表现的市场价值作出了恰当的反映。现将资产评估情况及评估结果报告如下：</w:t>
      </w:r>
    </w:p>
    <w:p>
      <w:pPr>
        <w:pStyle w:val="3"/>
        <w:keepLines/>
        <w:numPr>
          <w:ilvl w:val="0"/>
          <w:numId w:val="0"/>
        </w:numPr>
        <w:autoSpaceDE/>
        <w:autoSpaceDN/>
        <w:adjustRightInd/>
        <w:spacing w:line="360" w:lineRule="auto"/>
        <w:ind w:right="0"/>
        <w:jc w:val="both"/>
        <w:textAlignment w:val="auto"/>
        <w:rPr>
          <w:rFonts w:hint="eastAsia" w:ascii="宋体" w:hAnsi="宋体" w:eastAsia="宋体" w:cs="宋体"/>
          <w:b/>
          <w:bCs/>
          <w:color w:val="000000"/>
          <w:sz w:val="24"/>
          <w:szCs w:val="24"/>
        </w:rPr>
      </w:pPr>
      <w:bookmarkStart w:id="22" w:name="_Toc37165316"/>
      <w:bookmarkStart w:id="23" w:name="_Toc37185838"/>
      <w:bookmarkStart w:id="24" w:name="_Toc498855171_WPSOffice_Level1"/>
      <w:r>
        <w:rPr>
          <w:rFonts w:hint="eastAsia" w:ascii="宋体" w:hAnsi="宋体" w:eastAsia="宋体" w:cs="宋体"/>
          <w:b/>
          <w:bCs/>
          <w:color w:val="000000"/>
          <w:sz w:val="24"/>
          <w:szCs w:val="24"/>
        </w:rPr>
        <w:t>一、委托人、</w:t>
      </w:r>
      <w:r>
        <w:rPr>
          <w:rFonts w:hint="eastAsia" w:ascii="宋体" w:hAnsi="宋体" w:eastAsia="宋体" w:cs="宋体"/>
          <w:b/>
          <w:bCs/>
          <w:color w:val="000000"/>
          <w:sz w:val="24"/>
          <w:szCs w:val="24"/>
          <w:lang w:eastAsia="zh-CN"/>
        </w:rPr>
        <w:t>产权持有者</w:t>
      </w:r>
      <w:r>
        <w:rPr>
          <w:rFonts w:hint="eastAsia" w:ascii="宋体" w:hAnsi="宋体" w:eastAsia="宋体" w:cs="宋体"/>
          <w:b/>
          <w:bCs/>
          <w:color w:val="000000"/>
          <w:sz w:val="24"/>
          <w:szCs w:val="24"/>
        </w:rPr>
        <w:t>和资产评估委托合同约定的其他资产评估报告使用人</w:t>
      </w:r>
      <w:bookmarkEnd w:id="22"/>
      <w:bookmarkEnd w:id="23"/>
      <w:bookmarkEnd w:id="24"/>
    </w:p>
    <w:p>
      <w:pPr>
        <w:spacing w:line="360" w:lineRule="auto"/>
        <w:ind w:left="420" w:leftChars="200"/>
        <w:rPr>
          <w:rFonts w:hint="eastAsia" w:ascii="宋体" w:hAnsi="宋体" w:eastAsia="宋体" w:cs="宋体"/>
          <w:sz w:val="24"/>
        </w:rPr>
      </w:pPr>
      <w:r>
        <w:rPr>
          <w:rFonts w:hint="eastAsia" w:ascii="宋体" w:hAnsi="宋体" w:eastAsia="宋体" w:cs="宋体"/>
          <w:sz w:val="24"/>
        </w:rPr>
        <w:t>（一）委托人基本概况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名称：杭州市富阳区人民法院；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注册地址：杭州市富阳区文居街282号；</w:t>
      </w:r>
    </w:p>
    <w:p>
      <w:pPr>
        <w:pStyle w:val="2"/>
        <w:spacing w:line="360" w:lineRule="auto"/>
        <w:ind w:firstLine="480"/>
        <w:rPr>
          <w:rFonts w:hint="eastAsia" w:ascii="宋体" w:hAnsi="宋体" w:eastAsia="宋体" w:cs="宋体"/>
        </w:rPr>
      </w:pPr>
      <w:r>
        <w:rPr>
          <w:rFonts w:hint="eastAsia" w:ascii="宋体" w:hAnsi="宋体" w:eastAsia="宋体" w:cs="宋体"/>
        </w:rPr>
        <w:t>类型：机关单位；</w:t>
      </w:r>
    </w:p>
    <w:p>
      <w:pPr>
        <w:pStyle w:val="2"/>
        <w:spacing w:line="360" w:lineRule="auto"/>
        <w:ind w:firstLine="480"/>
        <w:rPr>
          <w:rFonts w:hint="eastAsia" w:ascii="宋体" w:hAnsi="宋体" w:eastAsia="宋体" w:cs="宋体"/>
        </w:rPr>
      </w:pPr>
      <w:r>
        <w:rPr>
          <w:rFonts w:hint="eastAsia" w:ascii="宋体" w:hAnsi="宋体" w:eastAsia="宋体" w:cs="宋体"/>
        </w:rPr>
        <w:t>法定代表人：赵平。</w:t>
      </w:r>
    </w:p>
    <w:p>
      <w:pPr>
        <w:spacing w:line="360" w:lineRule="auto"/>
        <w:ind w:left="420" w:leftChars="20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sz w:val="24"/>
          <w:lang w:eastAsia="zh-CN"/>
        </w:rPr>
        <w:t>产权持有者</w:t>
      </w:r>
      <w:r>
        <w:rPr>
          <w:rFonts w:hint="eastAsia" w:ascii="宋体" w:hAnsi="宋体" w:eastAsia="宋体" w:cs="宋体"/>
          <w:sz w:val="24"/>
        </w:rPr>
        <w:t>概况</w:t>
      </w:r>
    </w:p>
    <w:p>
      <w:pPr>
        <w:tabs>
          <w:tab w:val="left" w:pos="1080"/>
        </w:tabs>
        <w:spacing w:line="360" w:lineRule="auto"/>
        <w:ind w:firstLine="480" w:firstLineChars="200"/>
        <w:rPr>
          <w:rFonts w:hint="eastAsia" w:ascii="宋体" w:hAnsi="宋体" w:eastAsia="宋体" w:cs="宋体"/>
          <w:sz w:val="24"/>
        </w:rPr>
      </w:pPr>
      <w:r>
        <w:rPr>
          <w:rFonts w:hint="eastAsia" w:ascii="宋体" w:hAnsi="宋体" w:eastAsia="宋体" w:cs="宋体"/>
          <w:sz w:val="24"/>
        </w:rPr>
        <w:t>自然人：</w:t>
      </w:r>
      <w:r>
        <w:rPr>
          <w:rFonts w:hint="eastAsia" w:ascii="宋体" w:hAnsi="宋体" w:eastAsia="宋体" w:cs="宋体"/>
          <w:sz w:val="24"/>
          <w:lang w:eastAsia="zh-CN"/>
        </w:rPr>
        <w:t>陈小青</w:t>
      </w:r>
      <w:r>
        <w:rPr>
          <w:rFonts w:hint="eastAsia" w:ascii="宋体" w:hAnsi="宋体" w:eastAsia="宋体" w:cs="宋体"/>
          <w:sz w:val="24"/>
        </w:rPr>
        <w:t>。</w:t>
      </w:r>
    </w:p>
    <w:p>
      <w:pPr>
        <w:spacing w:line="360" w:lineRule="auto"/>
        <w:ind w:left="420" w:leftChars="200"/>
        <w:rPr>
          <w:rFonts w:hint="eastAsia" w:ascii="宋体" w:hAnsi="宋体" w:eastAsia="宋体" w:cs="宋体"/>
          <w:sz w:val="24"/>
        </w:rPr>
      </w:pPr>
      <w:r>
        <w:rPr>
          <w:rFonts w:hint="eastAsia" w:ascii="宋体" w:hAnsi="宋体" w:eastAsia="宋体" w:cs="宋体"/>
          <w:sz w:val="24"/>
        </w:rPr>
        <w:t>（三）委托人、</w:t>
      </w:r>
      <w:r>
        <w:rPr>
          <w:rFonts w:hint="eastAsia" w:ascii="宋体" w:hAnsi="宋体" w:eastAsia="宋体" w:cs="宋体"/>
          <w:sz w:val="24"/>
          <w:lang w:eastAsia="zh-CN"/>
        </w:rPr>
        <w:t>产权持有者</w:t>
      </w:r>
      <w:r>
        <w:rPr>
          <w:rFonts w:hint="eastAsia" w:ascii="宋体" w:hAnsi="宋体" w:eastAsia="宋体" w:cs="宋体"/>
          <w:sz w:val="24"/>
        </w:rPr>
        <w:t>关系</w:t>
      </w:r>
    </w:p>
    <w:p>
      <w:pPr>
        <w:pStyle w:val="2"/>
        <w:spacing w:line="360" w:lineRule="auto"/>
        <w:rPr>
          <w:rFonts w:hint="eastAsia" w:ascii="宋体" w:hAnsi="宋体" w:eastAsia="宋体" w:cs="宋体"/>
        </w:rPr>
      </w:pPr>
      <w:r>
        <w:rPr>
          <w:rFonts w:hint="eastAsia" w:ascii="宋体" w:hAnsi="宋体" w:eastAsia="宋体" w:cs="宋体"/>
        </w:rPr>
        <w:t xml:space="preserve">    委托人与</w:t>
      </w:r>
      <w:r>
        <w:rPr>
          <w:rFonts w:hint="eastAsia" w:hAnsi="宋体" w:cs="宋体"/>
          <w:lang w:eastAsia="zh-CN"/>
        </w:rPr>
        <w:t>产权持有者</w:t>
      </w:r>
      <w:r>
        <w:rPr>
          <w:rFonts w:hint="eastAsia" w:ascii="宋体" w:hAnsi="宋体" w:eastAsia="宋体" w:cs="宋体"/>
        </w:rPr>
        <w:t>的关系为资产处置的权利主体与被执行人。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（四</w:t>
      </w:r>
      <w:r>
        <w:rPr>
          <w:rFonts w:hint="eastAsia" w:ascii="宋体" w:hAnsi="宋体" w:eastAsia="宋体" w:cs="宋体"/>
          <w:sz w:val="24"/>
          <w:lang w:eastAsia="zh-Hans"/>
        </w:rPr>
        <w:t>）</w:t>
      </w:r>
      <w:r>
        <w:rPr>
          <w:rFonts w:hint="eastAsia" w:ascii="宋体" w:hAnsi="宋体" w:eastAsia="宋体" w:cs="宋体"/>
          <w:sz w:val="24"/>
        </w:rPr>
        <w:t>资产评估委托合同约定的其他资产评估报告使用人</w:t>
      </w:r>
    </w:p>
    <w:p>
      <w:pPr>
        <w:tabs>
          <w:tab w:val="left" w:pos="720"/>
        </w:tabs>
        <w:spacing w:line="360" w:lineRule="auto"/>
        <w:ind w:left="420" w:leftChars="200"/>
        <w:rPr>
          <w:rFonts w:hint="eastAsia" w:ascii="宋体" w:hAnsi="宋体" w:eastAsia="宋体" w:cs="宋体"/>
          <w:sz w:val="24"/>
        </w:rPr>
      </w:pPr>
      <w:r>
        <w:rPr>
          <w:rFonts w:hint="eastAsia" w:ascii="宋体" w:hAnsi="宋体" w:eastAsia="宋体" w:cs="宋体"/>
          <w:sz w:val="24"/>
        </w:rPr>
        <w:t>本资产评估报告的使用人包括委托人和资产评估委托合同约定的其他资产评估报告使用人。</w:t>
      </w:r>
    </w:p>
    <w:p>
      <w:pPr>
        <w:tabs>
          <w:tab w:val="left" w:pos="540"/>
        </w:tabs>
        <w:spacing w:line="360" w:lineRule="auto"/>
        <w:outlineLvl w:val="0"/>
        <w:rPr>
          <w:rFonts w:hint="eastAsia" w:ascii="宋体" w:hAnsi="宋体" w:eastAsia="宋体" w:cs="宋体"/>
          <w:b/>
          <w:sz w:val="24"/>
        </w:rPr>
      </w:pPr>
      <w:bookmarkStart w:id="25" w:name="_Toc482701109_WPSOffice_Level1"/>
      <w:bookmarkStart w:id="26" w:name="_Toc275872920"/>
      <w:bookmarkStart w:id="27" w:name="_Toc37185839"/>
      <w:r>
        <w:rPr>
          <w:rFonts w:hint="eastAsia" w:ascii="宋体" w:hAnsi="宋体" w:eastAsia="宋体" w:cs="宋体"/>
          <w:b/>
          <w:sz w:val="24"/>
          <w:lang w:eastAsia="zh-Hans"/>
        </w:rPr>
        <w:t>二、</w:t>
      </w:r>
      <w:r>
        <w:rPr>
          <w:rFonts w:hint="eastAsia" w:ascii="宋体" w:hAnsi="宋体" w:eastAsia="宋体" w:cs="宋体"/>
          <w:b/>
          <w:sz w:val="24"/>
        </w:rPr>
        <w:t>评估目的</w:t>
      </w:r>
      <w:bookmarkEnd w:id="25"/>
      <w:bookmarkEnd w:id="26"/>
      <w:bookmarkEnd w:id="27"/>
    </w:p>
    <w:p>
      <w:pPr>
        <w:pStyle w:val="6"/>
        <w:numPr>
          <w:ilvl w:val="0"/>
          <w:numId w:val="0"/>
        </w:numPr>
        <w:adjustRightInd w:val="0"/>
        <w:snapToGrid w:val="0"/>
        <w:spacing w:after="0" w:line="360" w:lineRule="auto"/>
        <w:ind w:firstLine="480" w:firstLineChars="200"/>
        <w:rPr>
          <w:rFonts w:hint="eastAsia" w:ascii="宋体" w:hAnsi="宋体" w:eastAsia="宋体" w:cs="宋体"/>
          <w:sz w:val="24"/>
        </w:rPr>
      </w:pPr>
      <w:bookmarkStart w:id="28" w:name="_Hlk93491997"/>
      <w:bookmarkStart w:id="82" w:name="_GoBack"/>
      <w:r>
        <w:rPr>
          <w:rFonts w:hint="eastAsia" w:ascii="宋体" w:hAnsi="宋体" w:eastAsia="宋体" w:cs="宋体"/>
          <w:sz w:val="24"/>
        </w:rPr>
        <w:t>因执行</w:t>
      </w:r>
      <w:r>
        <w:rPr>
          <w:rFonts w:hint="eastAsia" w:ascii="宋体" w:hAnsi="宋体" w:eastAsia="宋体" w:cs="宋体"/>
          <w:sz w:val="24"/>
          <w:lang w:eastAsia="zh-CN"/>
        </w:rPr>
        <w:t>（2022）浙0111执557号申请执行人杭州富阳民间融资服务中心有限公司与被执行人陈小青小额借款合同纠纷一案中，对案件中涉及的</w:t>
      </w:r>
      <w:r>
        <w:rPr>
          <w:rFonts w:hint="eastAsia" w:ascii="宋体" w:hAnsi="宋体" w:eastAsia="宋体" w:cs="宋体"/>
          <w:sz w:val="24"/>
        </w:rPr>
        <w:t>位于杭州市</w:t>
      </w:r>
      <w:r>
        <w:rPr>
          <w:rFonts w:hint="eastAsia" w:ascii="宋体" w:hAnsi="宋体" w:eastAsia="宋体" w:cs="宋体"/>
          <w:sz w:val="24"/>
          <w:lang w:eastAsia="zh-CN"/>
        </w:rPr>
        <w:t>富阳区鹿山街道江滨西大道218号锦绣兰庭兰韵苑18号304室房地产</w:t>
      </w:r>
      <w:r>
        <w:rPr>
          <w:rFonts w:hint="eastAsia" w:ascii="宋体" w:hAnsi="宋体" w:eastAsia="宋体" w:cs="宋体"/>
          <w:sz w:val="24"/>
        </w:rPr>
        <w:t>市场价值进行评估。本次评估目的是</w:t>
      </w:r>
      <w:r>
        <w:rPr>
          <w:rFonts w:hint="eastAsia" w:ascii="宋体" w:hAnsi="宋体" w:eastAsia="宋体" w:cs="宋体"/>
          <w:sz w:val="24"/>
          <w:lang w:eastAsia="zh-CN"/>
        </w:rPr>
        <w:t>为人民法院确定财产处置参考价提供服务</w:t>
      </w:r>
      <w:bookmarkEnd w:id="82"/>
      <w:r>
        <w:rPr>
          <w:rFonts w:hint="eastAsia" w:ascii="宋体" w:hAnsi="宋体" w:eastAsia="宋体" w:cs="宋体"/>
          <w:color w:val="000000"/>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本次经济行为依据为杭州市富阳区人民法院提供的</w:t>
      </w:r>
      <w:r>
        <w:rPr>
          <w:rFonts w:hint="eastAsia" w:ascii="宋体" w:hAnsi="宋体" w:eastAsia="宋体" w:cs="宋体"/>
          <w:sz w:val="24"/>
          <w:lang w:eastAsia="zh-CN"/>
        </w:rPr>
        <w:t>（2022）杭富法委评字第93号《司法评估委托书》</w:t>
      </w:r>
      <w:r>
        <w:rPr>
          <w:rFonts w:hint="eastAsia" w:ascii="宋体" w:hAnsi="宋体" w:eastAsia="宋体" w:cs="宋体"/>
          <w:sz w:val="24"/>
        </w:rPr>
        <w:t>。</w:t>
      </w:r>
    </w:p>
    <w:bookmarkEnd w:id="28"/>
    <w:p>
      <w:pPr>
        <w:tabs>
          <w:tab w:val="left" w:pos="540"/>
        </w:tabs>
        <w:spacing w:line="360" w:lineRule="auto"/>
        <w:outlineLvl w:val="0"/>
        <w:rPr>
          <w:rFonts w:hint="eastAsia" w:ascii="宋体" w:hAnsi="宋体" w:eastAsia="宋体" w:cs="宋体"/>
          <w:b/>
          <w:sz w:val="24"/>
        </w:rPr>
      </w:pPr>
      <w:bookmarkStart w:id="29" w:name="_Toc275872921"/>
      <w:bookmarkStart w:id="30" w:name="_Toc37185840"/>
      <w:bookmarkStart w:id="31" w:name="_Toc1711804244_WPSOffice_Level1"/>
      <w:r>
        <w:rPr>
          <w:rFonts w:hint="eastAsia" w:ascii="宋体" w:hAnsi="宋体" w:eastAsia="宋体" w:cs="宋体"/>
          <w:b/>
          <w:sz w:val="24"/>
          <w:lang w:eastAsia="zh-Hans"/>
        </w:rPr>
        <w:t>三、</w:t>
      </w:r>
      <w:r>
        <w:rPr>
          <w:rFonts w:hint="eastAsia" w:ascii="宋体" w:hAnsi="宋体" w:eastAsia="宋体" w:cs="宋体"/>
          <w:b/>
          <w:sz w:val="24"/>
        </w:rPr>
        <w:t>评估对象及</w:t>
      </w:r>
      <w:bookmarkEnd w:id="29"/>
      <w:r>
        <w:rPr>
          <w:rFonts w:hint="eastAsia" w:ascii="宋体" w:hAnsi="宋体" w:eastAsia="宋体" w:cs="宋体"/>
          <w:b/>
          <w:sz w:val="24"/>
        </w:rPr>
        <w:t>范围</w:t>
      </w:r>
      <w:bookmarkEnd w:id="30"/>
      <w:bookmarkEnd w:id="31"/>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评估对象是</w:t>
      </w:r>
      <w:r>
        <w:rPr>
          <w:rFonts w:hint="eastAsia" w:ascii="宋体" w:hAnsi="宋体" w:eastAsia="宋体" w:cs="宋体"/>
          <w:sz w:val="24"/>
          <w:lang w:eastAsia="zh-CN"/>
        </w:rPr>
        <w:t>陈小青单独所有的</w:t>
      </w:r>
      <w:r>
        <w:rPr>
          <w:rFonts w:hint="eastAsia" w:ascii="宋体" w:hAnsi="宋体" w:eastAsia="宋体" w:cs="宋体"/>
          <w:sz w:val="24"/>
        </w:rPr>
        <w:t>杭州市</w:t>
      </w:r>
      <w:r>
        <w:rPr>
          <w:rFonts w:hint="eastAsia" w:ascii="宋体" w:hAnsi="宋体" w:eastAsia="宋体" w:cs="宋体"/>
          <w:sz w:val="24"/>
          <w:lang w:eastAsia="zh-CN"/>
        </w:rPr>
        <w:t>富阳区鹿山街道江滨西大道218号锦绣兰庭兰韵苑18号304室房地产的市场价值</w:t>
      </w:r>
      <w:r>
        <w:rPr>
          <w:rFonts w:hint="eastAsia" w:ascii="宋体" w:hAnsi="宋体" w:eastAsia="宋体" w:cs="宋体"/>
          <w:sz w:val="24"/>
        </w:rPr>
        <w:t>。</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评估范围为</w:t>
      </w:r>
      <w:r>
        <w:rPr>
          <w:rFonts w:hint="eastAsia" w:ascii="宋体" w:hAnsi="宋体" w:eastAsia="宋体" w:cs="宋体"/>
          <w:sz w:val="24"/>
          <w:lang w:eastAsia="zh-CN"/>
        </w:rPr>
        <w:t>陈小青单独所有的</w:t>
      </w:r>
      <w:r>
        <w:rPr>
          <w:rFonts w:hint="eastAsia" w:ascii="宋体" w:hAnsi="宋体" w:eastAsia="宋体" w:cs="宋体"/>
          <w:sz w:val="24"/>
        </w:rPr>
        <w:t>杭州市</w:t>
      </w:r>
      <w:r>
        <w:rPr>
          <w:rFonts w:hint="eastAsia" w:ascii="宋体" w:hAnsi="宋体" w:eastAsia="宋体" w:cs="宋体"/>
          <w:sz w:val="24"/>
          <w:lang w:eastAsia="zh-CN"/>
        </w:rPr>
        <w:t>富阳区鹿山街道江滨西大道218号锦绣兰庭兰韵苑18号304室房地产</w:t>
      </w:r>
      <w:r>
        <w:rPr>
          <w:rFonts w:hint="eastAsia" w:ascii="宋体" w:hAnsi="宋体" w:eastAsia="宋体" w:cs="宋体"/>
          <w:sz w:val="24"/>
        </w:rPr>
        <w:t>，主要资产的概况：</w:t>
      </w:r>
    </w:p>
    <w:p>
      <w:pPr>
        <w:pStyle w:val="6"/>
        <w:adjustRightInd w:val="0"/>
        <w:snapToGrid w:val="0"/>
        <w:spacing w:after="0" w:line="360" w:lineRule="auto"/>
        <w:ind w:firstLine="480" w:firstLineChars="200"/>
        <w:rPr>
          <w:rFonts w:hint="eastAsia" w:ascii="宋体" w:hAnsi="宋体" w:eastAsia="宋体" w:cs="宋体"/>
          <w:sz w:val="24"/>
        </w:rPr>
      </w:pPr>
      <w:r>
        <w:rPr>
          <w:rFonts w:hint="eastAsia" w:ascii="宋体" w:hAnsi="宋体" w:eastAsia="宋体" w:cs="宋体"/>
          <w:sz w:val="24"/>
        </w:rPr>
        <w:t>1、房地产权利状况</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3341"/>
        <w:gridCol w:w="49"/>
        <w:gridCol w:w="3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restart"/>
          </w:tcPr>
          <w:p>
            <w:pPr>
              <w:keepNext w:val="0"/>
              <w:keepLines w:val="0"/>
              <w:pageBreakBefore w:val="0"/>
              <w:widowControl w:val="0"/>
              <w:kinsoku/>
              <w:wordWrap/>
              <w:overflowPunct/>
              <w:topLinePunct w:val="0"/>
              <w:autoSpaceDE/>
              <w:autoSpaceDN/>
              <w:bidi w:val="0"/>
              <w:spacing w:line="72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39" w:type="dxa"/>
            <w:vMerge w:val="continue"/>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pPr>
          </w:p>
        </w:tc>
        <w:tc>
          <w:tcPr>
            <w:tcW w:w="3341"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eastAsiaTheme="minorEastAsia"/>
                <w:lang w:eastAsia="zh-CN"/>
              </w:rPr>
            </w:pPr>
            <w:r>
              <w:rPr>
                <w:rFonts w:hint="eastAsia" w:ascii="Times New Roman" w:hAnsi="Times New Roman" w:eastAsia="宋体" w:cs="Times New Roman"/>
                <w:color w:val="auto"/>
                <w:sz w:val="24"/>
                <w:szCs w:val="24"/>
                <w:highlight w:val="none"/>
                <w:vertAlign w:val="baseline"/>
                <w:lang w:val="en-US" w:eastAsia="zh-CN"/>
              </w:rPr>
              <w:t>房产</w:t>
            </w:r>
          </w:p>
        </w:tc>
        <w:tc>
          <w:tcPr>
            <w:tcW w:w="3342"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权利人</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eastAsia="zh-CN"/>
              </w:rPr>
              <w:t>陈小青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坐落</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杭州市</w:t>
            </w:r>
            <w:r>
              <w:rPr>
                <w:rFonts w:hint="eastAsia" w:ascii="宋体" w:hAnsi="宋体" w:eastAsia="宋体" w:cs="宋体"/>
                <w:sz w:val="24"/>
                <w:lang w:eastAsia="zh-CN"/>
              </w:rPr>
              <w:t>富阳区鹿山街道江滨西大道218号锦绣兰庭兰韵苑18号304室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证载面积（㎡）</w:t>
            </w:r>
          </w:p>
        </w:tc>
        <w:tc>
          <w:tcPr>
            <w:tcW w:w="3390" w:type="dxa"/>
            <w:gridSpan w:val="2"/>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369.00</w:t>
            </w:r>
          </w:p>
        </w:tc>
        <w:tc>
          <w:tcPr>
            <w:tcW w:w="3293"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79.14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Times New Roman" w:hAnsi="Times New Roman" w:eastAsia="宋体" w:cs="Times New Roman"/>
                <w:color w:val="auto"/>
                <w:sz w:val="24"/>
                <w:szCs w:val="24"/>
                <w:highlight w:val="none"/>
                <w:vertAlign w:val="baseline"/>
                <w:lang w:val="en-US" w:eastAsia="zh-CN"/>
              </w:rPr>
              <w:t>不动产证号</w:t>
            </w:r>
          </w:p>
        </w:tc>
        <w:tc>
          <w:tcPr>
            <w:tcW w:w="6683" w:type="dxa"/>
            <w:gridSpan w:val="3"/>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kern w:val="2"/>
                <w:sz w:val="24"/>
                <w:szCs w:val="24"/>
                <w:highlight w:val="none"/>
                <w:vertAlign w:val="baseline"/>
                <w:lang w:val="en-US" w:eastAsia="zh-CN" w:bidi="ar-SA"/>
              </w:rPr>
            </w:pPr>
            <w:r>
              <w:rPr>
                <w:rFonts w:hint="eastAsia" w:ascii="宋体" w:hAnsi="宋体" w:eastAsia="宋体" w:cs="宋体"/>
                <w:sz w:val="24"/>
                <w:lang w:eastAsia="zh-CN"/>
              </w:rPr>
              <w:t>浙（</w:t>
            </w:r>
            <w:r>
              <w:rPr>
                <w:rFonts w:hint="eastAsia" w:ascii="宋体" w:hAnsi="宋体" w:eastAsia="宋体" w:cs="宋体"/>
                <w:sz w:val="24"/>
                <w:lang w:val="en-US" w:eastAsia="zh-CN"/>
              </w:rPr>
              <w:t>2019</w:t>
            </w:r>
            <w:r>
              <w:rPr>
                <w:rFonts w:hint="eastAsia" w:ascii="宋体" w:hAnsi="宋体" w:eastAsia="宋体" w:cs="宋体"/>
                <w:sz w:val="24"/>
                <w:lang w:eastAsia="zh-CN"/>
              </w:rPr>
              <w:t>）富阳区不动产权第</w:t>
            </w:r>
            <w:r>
              <w:rPr>
                <w:rFonts w:hint="eastAsia" w:ascii="宋体" w:hAnsi="宋体" w:eastAsia="宋体" w:cs="宋体"/>
                <w:sz w:val="24"/>
                <w:lang w:val="en-US" w:eastAsia="zh-CN"/>
              </w:rPr>
              <w:t>0036552号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权利类型</w:t>
            </w:r>
          </w:p>
        </w:tc>
        <w:tc>
          <w:tcPr>
            <w:tcW w:w="3390"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房屋（构筑物）所有权</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权利性质</w:t>
            </w:r>
          </w:p>
        </w:tc>
        <w:tc>
          <w:tcPr>
            <w:tcW w:w="3390" w:type="dxa"/>
            <w:gridSpan w:val="2"/>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存量房产</w:t>
            </w:r>
          </w:p>
        </w:tc>
        <w:tc>
          <w:tcPr>
            <w:tcW w:w="3293"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共有情况</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登记日期</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lang w:val="en-US" w:eastAsia="zh-CN"/>
              </w:rPr>
              <w:t>2019</w:t>
            </w:r>
            <w:r>
              <w:rPr>
                <w:rFonts w:hint="eastAsia" w:ascii="宋体" w:hAnsi="宋体" w:eastAsia="宋体" w:cs="宋体"/>
                <w:sz w:val="24"/>
              </w:rPr>
              <w:t>年</w:t>
            </w:r>
            <w:r>
              <w:rPr>
                <w:rFonts w:hint="eastAsia" w:ascii="宋体" w:hAnsi="宋体" w:eastAsia="宋体" w:cs="宋体"/>
                <w:sz w:val="24"/>
                <w:lang w:val="en-US" w:eastAsia="zh-CN"/>
              </w:rPr>
              <w:t>09</w:t>
            </w:r>
            <w:r>
              <w:rPr>
                <w:rFonts w:hint="eastAsia" w:ascii="宋体" w:hAnsi="宋体" w:eastAsia="宋体" w:cs="宋体"/>
                <w:sz w:val="24"/>
              </w:rPr>
              <w:t>月</w:t>
            </w:r>
            <w:r>
              <w:rPr>
                <w:rFonts w:hint="eastAsia" w:ascii="宋体" w:hAnsi="宋体" w:eastAsia="宋体" w:cs="宋体"/>
                <w:sz w:val="24"/>
                <w:lang w:val="en-US" w:eastAsia="zh-CN"/>
              </w:rPr>
              <w:t>23</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权利状况</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使用期限</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至</w:t>
            </w:r>
            <w:r>
              <w:rPr>
                <w:rFonts w:hint="eastAsia" w:ascii="宋体" w:hAnsi="宋体" w:eastAsia="宋体" w:cs="宋体"/>
                <w:sz w:val="24"/>
                <w:lang w:val="en-US" w:eastAsia="zh-CN"/>
              </w:rPr>
              <w:t>2077</w:t>
            </w:r>
            <w:r>
              <w:rPr>
                <w:rFonts w:hint="eastAsia" w:ascii="宋体" w:hAnsi="宋体" w:eastAsia="宋体" w:cs="宋体"/>
                <w:sz w:val="24"/>
              </w:rPr>
              <w:t>年0</w:t>
            </w:r>
            <w:r>
              <w:rPr>
                <w:rFonts w:hint="eastAsia" w:ascii="宋体" w:hAnsi="宋体" w:eastAsia="宋体" w:cs="宋体"/>
                <w:sz w:val="24"/>
                <w:lang w:val="en-US" w:eastAsia="zh-CN"/>
              </w:rPr>
              <w:t>8</w:t>
            </w:r>
            <w:r>
              <w:rPr>
                <w:rFonts w:hint="eastAsia" w:ascii="宋体" w:hAnsi="宋体" w:eastAsia="宋体" w:cs="宋体"/>
                <w:sz w:val="24"/>
              </w:rPr>
              <w:t>月</w:t>
            </w:r>
            <w:r>
              <w:rPr>
                <w:rFonts w:hint="eastAsia" w:ascii="宋体" w:hAnsi="宋体" w:eastAsia="宋体" w:cs="宋体"/>
                <w:sz w:val="24"/>
                <w:lang w:val="en-US" w:eastAsia="zh-CN"/>
              </w:rPr>
              <w:t>17</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附记</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宋体" w:hAnsi="宋体" w:eastAsia="宋体" w:cs="宋体"/>
                <w:sz w:val="24"/>
                <w:lang w:val="en-US" w:eastAsia="zh-CN"/>
              </w:rPr>
            </w:pPr>
            <w:r>
              <w:rPr>
                <w:rFonts w:hint="eastAsia" w:ascii="宋体" w:hAnsi="宋体" w:eastAsia="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9"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1"/>
                <w:szCs w:val="21"/>
                <w:highlight w:val="none"/>
                <w:vertAlign w:val="baseline"/>
                <w:lang w:val="en-US" w:eastAsia="zh-CN"/>
              </w:rPr>
              <w:t>所在楼层/总楼层</w:t>
            </w:r>
          </w:p>
        </w:tc>
        <w:tc>
          <w:tcPr>
            <w:tcW w:w="6683" w:type="dxa"/>
            <w:gridSpan w:val="3"/>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3~5/6</w:t>
            </w:r>
          </w:p>
        </w:tc>
      </w:tr>
    </w:tbl>
    <w:p>
      <w:pPr>
        <w:pStyle w:val="2"/>
        <w:rPr>
          <w:rFonts w:hint="eastAsia"/>
        </w:rPr>
      </w:pPr>
    </w:p>
    <w:tbl>
      <w:tblPr>
        <w:tblStyle w:val="15"/>
        <w:tblW w:w="9990" w:type="dxa"/>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项目</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限制信息</w:t>
            </w:r>
          </w:p>
        </w:tc>
        <w:tc>
          <w:tcPr>
            <w:tcW w:w="871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eastAsia" w:ascii="Times New Roman" w:hAnsi="Times New Roman" w:eastAsia="宋体" w:cs="Times New Roman"/>
                <w:color w:val="auto"/>
                <w:sz w:val="24"/>
                <w:szCs w:val="24"/>
                <w:highlight w:val="none"/>
                <w:vertAlign w:val="baseline"/>
                <w:lang w:val="en-US" w:eastAsia="zh-CN"/>
              </w:rPr>
            </w:pPr>
            <w:r>
              <w:rPr>
                <w:rFonts w:hint="eastAsia" w:ascii="宋体" w:hAnsi="宋体" w:eastAsia="宋体" w:cs="宋体"/>
                <w:sz w:val="24"/>
              </w:rPr>
              <w:t>房产有查封，</w:t>
            </w:r>
            <w:r>
              <w:rPr>
                <w:rFonts w:hint="eastAsia" w:ascii="宋体" w:hAnsi="宋体" w:eastAsia="宋体" w:cs="宋体"/>
                <w:sz w:val="24"/>
                <w:lang w:eastAsia="zh-CN"/>
              </w:rPr>
              <w:t>有</w:t>
            </w:r>
            <w:r>
              <w:rPr>
                <w:rFonts w:hint="eastAsia" w:ascii="宋体" w:hAnsi="宋体" w:eastAsia="宋体" w:cs="宋体"/>
                <w:sz w:val="24"/>
              </w:rPr>
              <w:t>抵押</w:t>
            </w:r>
            <w:r>
              <w:rPr>
                <w:rFonts w:hint="eastAsia" w:ascii="宋体" w:hAnsi="宋体" w:eastAsia="宋体" w:cs="宋体"/>
                <w:sz w:val="24"/>
                <w:lang w:eastAsia="zh-CN"/>
              </w:rPr>
              <w:t>，宗地无查封，无抵押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抵押状况</w:t>
            </w:r>
          </w:p>
        </w:tc>
        <w:tc>
          <w:tcPr>
            <w:tcW w:w="8715" w:type="dxa"/>
            <w:vAlign w:val="top"/>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宋体" w:hAnsi="宋体" w:eastAsia="宋体" w:cs="宋体"/>
                <w:sz w:val="24"/>
                <w:lang w:val="en-US" w:eastAsia="zh-CN"/>
              </w:rPr>
            </w:pPr>
            <w:r>
              <w:rPr>
                <w:rFonts w:hint="eastAsia" w:ascii="宋体" w:hAnsi="宋体" w:eastAsia="宋体" w:cs="宋体"/>
                <w:sz w:val="24"/>
                <w:lang w:eastAsia="zh-CN"/>
              </w:rPr>
              <w:t>抵押权人杭州富阳民间融资服务中心有限公司，登记证明号浙（</w:t>
            </w:r>
            <w:r>
              <w:rPr>
                <w:rFonts w:hint="eastAsia" w:ascii="宋体" w:hAnsi="宋体" w:eastAsia="宋体" w:cs="宋体"/>
                <w:sz w:val="24"/>
                <w:lang w:val="en-US" w:eastAsia="zh-CN"/>
              </w:rPr>
              <w:t>2019</w:t>
            </w:r>
            <w:r>
              <w:rPr>
                <w:rFonts w:hint="eastAsia" w:ascii="宋体" w:hAnsi="宋体" w:eastAsia="宋体" w:cs="宋体"/>
                <w:sz w:val="24"/>
                <w:lang w:eastAsia="zh-CN"/>
              </w:rPr>
              <w:t>）富阳区不动产证明第</w:t>
            </w:r>
            <w:r>
              <w:rPr>
                <w:rFonts w:hint="eastAsia" w:ascii="宋体" w:hAnsi="宋体" w:eastAsia="宋体" w:cs="宋体"/>
                <w:sz w:val="24"/>
                <w:lang w:val="en-US" w:eastAsia="zh-CN"/>
              </w:rPr>
              <w:t>0023023号，抵押方式最高额抵押，债权数额850万元，登记日期2019年09月23日，债权履行期限2019年09月23日起2021年09月22日止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both"/>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查封状况</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eastAsia" w:ascii="Times New Roman" w:hAnsi="Times New Roman" w:eastAsia="宋体" w:cs="Times New Roman"/>
                <w:color w:val="auto"/>
                <w:sz w:val="24"/>
                <w:szCs w:val="24"/>
                <w:highlight w:val="none"/>
                <w:vertAlign w:val="baseline"/>
                <w:lang w:val="en-US" w:eastAsia="zh-CN"/>
              </w:rPr>
              <w:t>查封状况较多，详情见附件《杭州市不动产权属信息查询记录》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异议状况</w:t>
            </w:r>
          </w:p>
        </w:tc>
        <w:tc>
          <w:tcPr>
            <w:tcW w:w="8715" w:type="dxa"/>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rPr>
                <w:rFonts w:hint="default" w:ascii="Times New Roman" w:hAnsi="Times New Roman" w:eastAsia="宋体" w:cs="Times New Roman"/>
                <w:color w:val="auto"/>
                <w:sz w:val="24"/>
                <w:szCs w:val="24"/>
                <w:highlight w:val="none"/>
                <w:vertAlign w:val="baseline"/>
                <w:lang w:val="en-US" w:eastAsia="zh-CN"/>
              </w:rPr>
            </w:pPr>
            <w:r>
              <w:rPr>
                <w:rFonts w:hint="default" w:ascii="Times New Roman" w:hAnsi="Times New Roman" w:eastAsia="宋体" w:cs="Times New Roman"/>
                <w:color w:val="auto"/>
                <w:sz w:val="24"/>
                <w:szCs w:val="24"/>
                <w:highlight w:val="none"/>
                <w:vertAlign w:val="baseline"/>
                <w:lang w:val="en-US" w:eastAsia="zh-CN"/>
              </w:rPr>
              <w:t>无</w:t>
            </w: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2、房地产实物状况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（1）土地实物状况描述分析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评估对象位于杭州市富阳区</w:t>
      </w:r>
      <w:r>
        <w:rPr>
          <w:rFonts w:hint="eastAsia" w:ascii="宋体" w:hAnsi="宋体" w:eastAsia="宋体" w:cs="宋体"/>
          <w:sz w:val="24"/>
          <w:lang w:eastAsia="zh-CN"/>
        </w:rPr>
        <w:t>鹿山街道</w:t>
      </w:r>
      <w:r>
        <w:rPr>
          <w:rFonts w:hint="eastAsia" w:ascii="宋体" w:hAnsi="宋体" w:eastAsia="宋体" w:cs="宋体"/>
          <w:sz w:val="24"/>
        </w:rPr>
        <w:t>，土地使用权面积</w:t>
      </w:r>
      <w:r>
        <w:rPr>
          <w:rFonts w:hint="eastAsia" w:ascii="宋体" w:hAnsi="宋体" w:eastAsia="宋体" w:cs="宋体"/>
          <w:sz w:val="24"/>
          <w:lang w:val="en-US" w:eastAsia="zh-CN"/>
        </w:rPr>
        <w:t>79.14</w:t>
      </w:r>
      <w:r>
        <w:rPr>
          <w:rFonts w:hint="eastAsia" w:ascii="宋体" w:hAnsi="宋体" w:eastAsia="宋体" w:cs="宋体"/>
          <w:sz w:val="24"/>
        </w:rPr>
        <w:t>平方米。土地四至：</w:t>
      </w:r>
      <w:r>
        <w:rPr>
          <w:rFonts w:hint="eastAsia" w:ascii="宋体" w:hAnsi="宋体" w:eastAsia="宋体" w:cs="宋体"/>
          <w:sz w:val="24"/>
          <w:lang w:eastAsia="zh-CN"/>
        </w:rPr>
        <w:t>东至江滨西大道，南至望江路，西至依江路，北至鹿山时代</w:t>
      </w:r>
      <w:r>
        <w:rPr>
          <w:rFonts w:hint="eastAsia" w:ascii="宋体" w:hAnsi="宋体" w:eastAsia="宋体" w:cs="宋体"/>
          <w:sz w:val="24"/>
        </w:rPr>
        <w:t>。土地形状较为规则，地质状况良好，地基承载性较好，土地平整，地势平坦。基础设施完备程度为六通一平，水、电、供排水接入市政管网。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（2）建筑物实物状况描述分析</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评估对象位于</w:t>
      </w:r>
      <w:r>
        <w:rPr>
          <w:rFonts w:hint="eastAsia" w:ascii="宋体" w:hAnsi="宋体" w:eastAsia="宋体" w:cs="宋体"/>
          <w:sz w:val="24"/>
          <w:lang w:eastAsia="zh-CN"/>
        </w:rPr>
        <w:t>杭州市富阳区鹿山街道江滨西大道218号锦绣兰庭兰韵苑18号304室</w:t>
      </w:r>
      <w:r>
        <w:rPr>
          <w:rFonts w:hint="eastAsia" w:ascii="宋体" w:hAnsi="宋体" w:eastAsia="宋体" w:cs="宋体"/>
          <w:sz w:val="24"/>
        </w:rPr>
        <w:t>，评估对象建筑面积</w:t>
      </w:r>
      <w:r>
        <w:rPr>
          <w:rFonts w:hint="eastAsia" w:ascii="宋体" w:hAnsi="宋体" w:eastAsia="宋体" w:cs="宋体"/>
          <w:sz w:val="24"/>
          <w:lang w:eastAsia="zh-CN"/>
        </w:rPr>
        <w:t>369.00</w:t>
      </w:r>
      <w:r>
        <w:rPr>
          <w:rFonts w:hint="eastAsia" w:ascii="宋体" w:hAnsi="宋体" w:eastAsia="宋体" w:cs="宋体"/>
          <w:sz w:val="24"/>
        </w:rPr>
        <w:t>平方米，评估对象位于</w:t>
      </w:r>
      <w:r>
        <w:rPr>
          <w:rFonts w:hint="eastAsia" w:ascii="宋体" w:hAnsi="宋体" w:eastAsia="宋体" w:cs="宋体"/>
          <w:sz w:val="24"/>
          <w:lang w:val="en-US" w:eastAsia="zh-CN"/>
        </w:rPr>
        <w:t>3~5/6</w:t>
      </w:r>
      <w:r>
        <w:rPr>
          <w:rFonts w:hint="eastAsia" w:ascii="宋体" w:hAnsi="宋体" w:eastAsia="宋体" w:cs="宋体"/>
          <w:sz w:val="24"/>
        </w:rPr>
        <w:t>层</w:t>
      </w:r>
      <w:r>
        <w:rPr>
          <w:rFonts w:hint="eastAsia" w:ascii="宋体" w:hAnsi="宋体" w:eastAsia="宋体" w:cs="宋体"/>
          <w:sz w:val="24"/>
          <w:lang w:eastAsia="zh-CN"/>
        </w:rPr>
        <w:t>，边套，带露台</w:t>
      </w:r>
      <w:r>
        <w:rPr>
          <w:rFonts w:hint="eastAsia" w:ascii="宋体" w:hAnsi="宋体" w:eastAsia="宋体" w:cs="宋体"/>
          <w:sz w:val="24"/>
        </w:rPr>
        <w:t>。评估范围内房地产</w:t>
      </w:r>
      <w:r>
        <w:rPr>
          <w:rFonts w:hint="eastAsia" w:ascii="宋体" w:hAnsi="宋体" w:eastAsia="宋体" w:cs="宋体"/>
          <w:sz w:val="24"/>
          <w:lang w:eastAsia="zh-CN"/>
        </w:rPr>
        <w:t>为钢混</w:t>
      </w:r>
      <w:r>
        <w:rPr>
          <w:rFonts w:hint="eastAsia" w:ascii="宋体" w:hAnsi="宋体" w:eastAsia="宋体" w:cs="宋体"/>
          <w:sz w:val="24"/>
        </w:rPr>
        <w:t>结构</w:t>
      </w:r>
      <w:r>
        <w:rPr>
          <w:rFonts w:hint="eastAsia" w:ascii="宋体" w:hAnsi="宋体" w:eastAsia="宋体" w:cs="宋体"/>
          <w:sz w:val="24"/>
          <w:lang w:eastAsia="zh-CN"/>
        </w:rPr>
        <w:t>，建筑年份</w:t>
      </w:r>
      <w:r>
        <w:rPr>
          <w:rFonts w:hint="eastAsia" w:ascii="宋体" w:hAnsi="宋体" w:eastAsia="宋体" w:cs="宋体"/>
          <w:sz w:val="24"/>
          <w:lang w:val="en-US" w:eastAsia="zh-CN"/>
        </w:rPr>
        <w:t>2013年，</w:t>
      </w:r>
      <w:r>
        <w:rPr>
          <w:rFonts w:hint="eastAsia" w:ascii="宋体" w:hAnsi="宋体" w:eastAsia="宋体" w:cs="宋体"/>
          <w:sz w:val="24"/>
        </w:rPr>
        <w:t>成新</w:t>
      </w:r>
      <w:r>
        <w:rPr>
          <w:rFonts w:hint="eastAsia" w:ascii="宋体" w:hAnsi="宋体" w:eastAsia="宋体" w:cs="宋体"/>
          <w:sz w:val="24"/>
          <w:lang w:eastAsia="zh-CN"/>
        </w:rPr>
        <w:t>较新</w:t>
      </w:r>
      <w:r>
        <w:rPr>
          <w:rFonts w:hint="eastAsia" w:ascii="宋体" w:hAnsi="宋体" w:eastAsia="宋体" w:cs="宋体"/>
          <w:sz w:val="24"/>
        </w:rPr>
        <w:t>，房子整体朝南，</w:t>
      </w:r>
      <w:r>
        <w:rPr>
          <w:rFonts w:hint="eastAsia" w:ascii="宋体" w:hAnsi="宋体" w:eastAsia="宋体" w:cs="宋体"/>
          <w:sz w:val="24"/>
          <w:lang w:eastAsia="zh-CN"/>
        </w:rPr>
        <w:t>室内毛坯</w:t>
      </w:r>
      <w:r>
        <w:rPr>
          <w:rFonts w:hint="eastAsia" w:ascii="宋体" w:hAnsi="宋体" w:eastAsia="宋体" w:cs="宋体"/>
          <w:sz w:val="24"/>
        </w:rPr>
        <w:t>，</w:t>
      </w:r>
      <w:bookmarkStart w:id="32" w:name="_Hlk94096246"/>
      <w:r>
        <w:rPr>
          <w:rFonts w:hint="eastAsia" w:ascii="宋体" w:hAnsi="宋体" w:eastAsia="宋体" w:cs="宋体"/>
          <w:sz w:val="24"/>
        </w:rPr>
        <w:t>用途：</w:t>
      </w:r>
      <w:bookmarkEnd w:id="32"/>
      <w:r>
        <w:rPr>
          <w:rFonts w:hint="eastAsia" w:ascii="宋体" w:hAnsi="宋体" w:eastAsia="宋体" w:cs="宋体"/>
          <w:sz w:val="24"/>
          <w:lang w:eastAsia="zh-CN"/>
        </w:rPr>
        <w:t>住宅，截至评估基准日，房屋为空置状态</w:t>
      </w:r>
      <w:r>
        <w:rPr>
          <w:rFonts w:hint="eastAsia" w:ascii="宋体" w:hAnsi="宋体" w:eastAsia="宋体" w:cs="宋体"/>
          <w:sz w:val="24"/>
        </w:rPr>
        <w:t>。建筑物建筑质量较好，保养和使用情况为完好，房屋完损等级为完好房。</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3、区域状况分析  </w:t>
      </w:r>
    </w:p>
    <w:p>
      <w:pPr>
        <w:spacing w:line="360" w:lineRule="auto"/>
        <w:ind w:firstLine="480" w:firstLineChars="200"/>
        <w:rPr>
          <w:rFonts w:ascii="宋体" w:hAnsi="宋体" w:eastAsia="宋体" w:cs="宋体"/>
          <w:sz w:val="24"/>
        </w:rPr>
      </w:pPr>
      <w:r>
        <w:rPr>
          <w:rFonts w:hint="eastAsia" w:ascii="宋体" w:hAnsi="宋体" w:eastAsia="宋体" w:cs="宋体"/>
          <w:sz w:val="24"/>
        </w:rPr>
        <w:t>评估对象位于杭州市富阳区</w:t>
      </w:r>
      <w:r>
        <w:rPr>
          <w:rFonts w:hint="eastAsia" w:ascii="宋体" w:hAnsi="宋体" w:eastAsia="宋体" w:cs="宋体"/>
          <w:sz w:val="24"/>
          <w:lang w:eastAsia="zh-CN"/>
        </w:rPr>
        <w:t>鹿山街道</w:t>
      </w:r>
      <w:r>
        <w:rPr>
          <w:rFonts w:hint="eastAsia" w:ascii="宋体" w:hAnsi="宋体" w:eastAsia="宋体" w:cs="宋体"/>
          <w:sz w:val="24"/>
        </w:rPr>
        <w:t>，</w:t>
      </w:r>
      <w:r>
        <w:rPr>
          <w:rFonts w:hint="eastAsia" w:ascii="宋体" w:hAnsi="宋体" w:eastAsia="宋体" w:cs="宋体"/>
          <w:sz w:val="24"/>
          <w:lang w:eastAsia="zh-CN"/>
        </w:rPr>
        <w:t>东至江滨西大道，南至望江路，西至依江路，北至鹿山时代</w:t>
      </w:r>
      <w:r>
        <w:rPr>
          <w:rFonts w:hint="eastAsia" w:ascii="宋体" w:hAnsi="宋体" w:eastAsia="宋体" w:cs="宋体"/>
          <w:sz w:val="24"/>
        </w:rPr>
        <w:t>，交通较便捷，有6</w:t>
      </w:r>
      <w:r>
        <w:rPr>
          <w:rFonts w:hint="eastAsia" w:ascii="宋体" w:hAnsi="宋体" w:eastAsia="宋体" w:cs="宋体"/>
          <w:sz w:val="24"/>
          <w:lang w:val="en-US" w:eastAsia="zh-CN"/>
        </w:rPr>
        <w:t>14</w:t>
      </w:r>
      <w:r>
        <w:rPr>
          <w:rFonts w:hint="eastAsia" w:ascii="宋体" w:hAnsi="宋体" w:eastAsia="宋体" w:cs="宋体"/>
          <w:sz w:val="24"/>
        </w:rPr>
        <w:t>、6</w:t>
      </w:r>
      <w:r>
        <w:rPr>
          <w:rFonts w:hint="eastAsia" w:ascii="宋体" w:hAnsi="宋体" w:eastAsia="宋体" w:cs="宋体"/>
          <w:sz w:val="24"/>
          <w:lang w:val="en-US" w:eastAsia="zh-CN"/>
        </w:rPr>
        <w:t>55</w:t>
      </w:r>
      <w:r>
        <w:rPr>
          <w:rFonts w:hint="eastAsia" w:ascii="宋体" w:hAnsi="宋体" w:eastAsia="宋体" w:cs="宋体"/>
          <w:sz w:val="24"/>
        </w:rPr>
        <w:t>路公交车设有停靠站，区域联内联外交通便捷，可通达各交通要道；周边银行有</w:t>
      </w:r>
      <w:r>
        <w:rPr>
          <w:rFonts w:hint="eastAsia" w:ascii="宋体" w:hAnsi="宋体" w:eastAsia="宋体" w:cs="宋体"/>
          <w:sz w:val="24"/>
          <w:lang w:eastAsia="zh-CN"/>
        </w:rPr>
        <w:t>富阳</w:t>
      </w:r>
      <w:r>
        <w:rPr>
          <w:rFonts w:hint="eastAsia" w:ascii="宋体" w:hAnsi="宋体" w:eastAsia="宋体" w:cs="宋体"/>
          <w:sz w:val="24"/>
        </w:rPr>
        <w:t>农</w:t>
      </w:r>
      <w:r>
        <w:rPr>
          <w:rFonts w:hint="eastAsia" w:ascii="宋体" w:hAnsi="宋体" w:eastAsia="宋体" w:cs="宋体"/>
          <w:sz w:val="24"/>
          <w:lang w:eastAsia="zh-CN"/>
        </w:rPr>
        <w:t>商</w:t>
      </w:r>
      <w:r>
        <w:rPr>
          <w:rFonts w:hint="eastAsia" w:ascii="宋体" w:hAnsi="宋体" w:eastAsia="宋体" w:cs="宋体"/>
          <w:sz w:val="24"/>
        </w:rPr>
        <w:t>银行等，周边学校有</w:t>
      </w:r>
      <w:r>
        <w:rPr>
          <w:rFonts w:hint="eastAsia" w:ascii="宋体" w:hAnsi="宋体" w:eastAsia="宋体" w:cs="宋体"/>
          <w:sz w:val="24"/>
          <w:lang w:eastAsia="zh-CN"/>
        </w:rPr>
        <w:t>鹿山中幼</w:t>
      </w:r>
      <w:r>
        <w:rPr>
          <w:rFonts w:hint="eastAsia" w:ascii="宋体" w:hAnsi="宋体" w:eastAsia="宋体" w:cs="宋体"/>
          <w:sz w:val="24"/>
        </w:rPr>
        <w:t>等，周边购物有</w:t>
      </w:r>
      <w:r>
        <w:rPr>
          <w:rFonts w:hint="eastAsia" w:ascii="宋体" w:hAnsi="宋体" w:eastAsia="宋体" w:cs="宋体"/>
          <w:sz w:val="24"/>
          <w:lang w:eastAsia="zh-CN"/>
        </w:rPr>
        <w:t>鹿山时代</w:t>
      </w:r>
      <w:r>
        <w:rPr>
          <w:rFonts w:hint="eastAsia" w:ascii="宋体" w:hAnsi="宋体" w:eastAsia="宋体" w:cs="宋体"/>
          <w:sz w:val="24"/>
        </w:rPr>
        <w:t>，生活配套设施较完善。</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上述评估对象和评估范围与委托评估时确定的评估对象和评估范围一致。</w:t>
      </w:r>
    </w:p>
    <w:p>
      <w:pPr>
        <w:tabs>
          <w:tab w:val="left" w:pos="540"/>
        </w:tabs>
        <w:spacing w:line="360" w:lineRule="auto"/>
        <w:outlineLvl w:val="0"/>
        <w:rPr>
          <w:rFonts w:hint="eastAsia" w:ascii="宋体" w:hAnsi="宋体" w:eastAsia="宋体" w:cs="宋体"/>
          <w:b/>
          <w:sz w:val="24"/>
        </w:rPr>
      </w:pPr>
      <w:bookmarkStart w:id="33" w:name="_Toc455510049_WPSOffice_Level1"/>
      <w:bookmarkStart w:id="34" w:name="_Toc37185841"/>
      <w:bookmarkStart w:id="35" w:name="_Toc275872922"/>
      <w:r>
        <w:rPr>
          <w:rFonts w:hint="eastAsia" w:ascii="宋体" w:hAnsi="宋体" w:eastAsia="宋体" w:cs="宋体"/>
          <w:b/>
          <w:sz w:val="24"/>
          <w:lang w:eastAsia="zh-Hans"/>
        </w:rPr>
        <w:t>四、</w:t>
      </w:r>
      <w:r>
        <w:rPr>
          <w:rFonts w:hint="eastAsia" w:ascii="宋体" w:hAnsi="宋体" w:eastAsia="宋体" w:cs="宋体"/>
          <w:b/>
          <w:sz w:val="24"/>
        </w:rPr>
        <w:t>价值类型</w:t>
      </w:r>
      <w:bookmarkEnd w:id="33"/>
      <w:bookmarkEnd w:id="34"/>
      <w:bookmarkEnd w:id="35"/>
    </w:p>
    <w:p>
      <w:pPr>
        <w:spacing w:line="360" w:lineRule="auto"/>
        <w:ind w:firstLine="480" w:firstLineChars="200"/>
        <w:rPr>
          <w:rFonts w:hint="eastAsia" w:ascii="宋体" w:hAnsi="宋体" w:eastAsia="宋体" w:cs="宋体"/>
          <w:sz w:val="24"/>
        </w:rPr>
      </w:pPr>
      <w:bookmarkStart w:id="36" w:name="_Toc275872923"/>
      <w:r>
        <w:rPr>
          <w:rFonts w:hint="eastAsia" w:ascii="宋体" w:hAnsi="宋体" w:eastAsia="宋体" w:cs="宋体"/>
          <w:sz w:val="24"/>
        </w:rPr>
        <w:t>资产评估价值类型包括市场价值和市场价值以外的价值（投资价值、在用价值、清算价值、残余价值等）两种类型。经评估人员与委托人充分沟通后，根据本次评估目的、市场条件及评估对象自身条件等因素，最终选定市场价值作为本评估报告的评估结论的价值类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市场价值是指自愿买方和自愿卖方，在各自理性行事且未受任何强迫的情况下，评估对象在评估基准日进行正常公平交易的价值估计数额。</w:t>
      </w:r>
    </w:p>
    <w:p>
      <w:pPr>
        <w:tabs>
          <w:tab w:val="left" w:pos="540"/>
        </w:tabs>
        <w:spacing w:line="360" w:lineRule="auto"/>
        <w:outlineLvl w:val="0"/>
        <w:rPr>
          <w:rFonts w:hint="eastAsia" w:ascii="宋体" w:hAnsi="宋体" w:eastAsia="宋体" w:cs="宋体"/>
          <w:b/>
          <w:sz w:val="24"/>
        </w:rPr>
      </w:pPr>
      <w:bookmarkStart w:id="37" w:name="_Toc2125675635_WPSOffice_Level1"/>
      <w:bookmarkStart w:id="38" w:name="_Toc37185842"/>
      <w:r>
        <w:rPr>
          <w:rFonts w:hint="eastAsia" w:ascii="宋体" w:hAnsi="宋体" w:eastAsia="宋体" w:cs="宋体"/>
          <w:b/>
          <w:sz w:val="24"/>
          <w:lang w:eastAsia="zh-Hans"/>
        </w:rPr>
        <w:t>五、</w:t>
      </w:r>
      <w:r>
        <w:rPr>
          <w:rFonts w:hint="eastAsia" w:ascii="宋体" w:hAnsi="宋体" w:eastAsia="宋体" w:cs="宋体"/>
          <w:b/>
          <w:sz w:val="24"/>
        </w:rPr>
        <w:t>评估基准日</w:t>
      </w:r>
      <w:bookmarkEnd w:id="36"/>
      <w:bookmarkEnd w:id="37"/>
      <w:bookmarkEnd w:id="38"/>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本次资产评估的基准日为</w:t>
      </w:r>
      <w:r>
        <w:rPr>
          <w:rFonts w:hint="eastAsia" w:ascii="宋体" w:hAnsi="宋体" w:eastAsia="宋体" w:cs="宋体"/>
          <w:sz w:val="24"/>
          <w:lang w:eastAsia="zh-CN"/>
        </w:rPr>
        <w:t>2022年8月19日</w:t>
      </w:r>
      <w:r>
        <w:rPr>
          <w:rFonts w:hint="eastAsia" w:ascii="宋体" w:hAnsi="宋体" w:eastAsia="宋体" w:cs="宋体"/>
          <w:sz w:val="24"/>
        </w:rPr>
        <w:t>。</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选取上述日期为评估基准日的理由是:</w:t>
      </w:r>
    </w:p>
    <w:p>
      <w:pPr>
        <w:spacing w:line="360" w:lineRule="auto"/>
        <w:ind w:left="-4" w:leftChars="-2" w:firstLine="480" w:firstLineChars="200"/>
        <w:rPr>
          <w:rFonts w:hint="eastAsia" w:ascii="宋体" w:hAnsi="宋体" w:eastAsia="宋体" w:cs="宋体"/>
          <w:sz w:val="24"/>
        </w:rPr>
      </w:pPr>
      <w:r>
        <w:rPr>
          <w:rFonts w:hint="eastAsia" w:ascii="宋体" w:hAnsi="宋体" w:eastAsia="宋体" w:cs="宋体"/>
          <w:sz w:val="24"/>
        </w:rPr>
        <w:t>根据评估目的由委托人确定评估基准日。主要考虑使评估基准日尽可能与评估目的实现日接近，使评估结论较合理地为评估目的服务。</w:t>
      </w:r>
    </w:p>
    <w:p>
      <w:pPr>
        <w:tabs>
          <w:tab w:val="left" w:pos="540"/>
        </w:tabs>
        <w:spacing w:line="360" w:lineRule="auto"/>
        <w:outlineLvl w:val="0"/>
        <w:rPr>
          <w:rFonts w:hint="eastAsia" w:ascii="宋体" w:hAnsi="宋体" w:eastAsia="宋体" w:cs="宋体"/>
          <w:b/>
          <w:sz w:val="24"/>
        </w:rPr>
      </w:pPr>
      <w:bookmarkStart w:id="39" w:name="_Toc37185843"/>
      <w:bookmarkStart w:id="40" w:name="_Toc692445953_WPSOffice_Level1"/>
      <w:r>
        <w:rPr>
          <w:rFonts w:hint="eastAsia" w:ascii="宋体" w:hAnsi="宋体" w:eastAsia="宋体" w:cs="宋体"/>
          <w:b/>
          <w:sz w:val="24"/>
          <w:lang w:eastAsia="zh-Hans"/>
        </w:rPr>
        <w:t>六、</w:t>
      </w:r>
      <w:r>
        <w:rPr>
          <w:rFonts w:hint="eastAsia" w:ascii="宋体" w:hAnsi="宋体" w:eastAsia="宋体" w:cs="宋体"/>
          <w:b/>
          <w:sz w:val="24"/>
        </w:rPr>
        <w:t>评估假设</w:t>
      </w:r>
      <w:bookmarkEnd w:id="39"/>
      <w:bookmarkEnd w:id="40"/>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(一)基础性假设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1、交易假设:假设评估对象处于交易过程中，评估师根据评估对象的交易条件等模拟市场进行</w:t>
      </w:r>
      <w:r>
        <w:rPr>
          <w:rFonts w:hint="eastAsia" w:ascii="宋体" w:hAnsi="宋体" w:eastAsia="宋体" w:cs="宋体"/>
          <w:sz w:val="24"/>
          <w:lang w:eastAsia="zh-CN"/>
        </w:rPr>
        <w:t>评估</w:t>
      </w:r>
      <w:r>
        <w:rPr>
          <w:rFonts w:hint="eastAsia" w:ascii="宋体" w:hAnsi="宋体" w:eastAsia="宋体" w:cs="宋体"/>
          <w:sz w:val="24"/>
        </w:rPr>
        <w:t>，评估结果是对评估对象最可能达成交易价格的估计。</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3、持续使用假设:假设在评估目的经济行为实现后，评估对象及其所涉及的资产将按其评估基准日的用途与使用方式在原址持续使用。</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(二)宏观经济环境假设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1、国家现行的经济政策方针无重大变化;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2、在</w:t>
      </w:r>
      <w:r>
        <w:rPr>
          <w:rFonts w:hint="eastAsia" w:ascii="宋体" w:hAnsi="宋体" w:eastAsia="宋体" w:cs="宋体"/>
          <w:sz w:val="24"/>
          <w:lang w:eastAsia="zh-CN"/>
        </w:rPr>
        <w:t>评估结论有效期内</w:t>
      </w:r>
      <w:r>
        <w:rPr>
          <w:rFonts w:hint="eastAsia" w:ascii="宋体" w:hAnsi="宋体" w:eastAsia="宋体" w:cs="宋体"/>
          <w:sz w:val="24"/>
        </w:rPr>
        <w:t>银行信贷利率、汇率、税率无重大变化;</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3、评估对象所在地区的社会经济环境无重大变化。</w:t>
      </w:r>
    </w:p>
    <w:p>
      <w:pPr>
        <w:tabs>
          <w:tab w:val="left" w:pos="945"/>
        </w:tabs>
        <w:adjustRightInd w:val="0"/>
        <w:snapToGrid w:val="0"/>
        <w:spacing w:line="360" w:lineRule="auto"/>
        <w:ind w:firstLine="240" w:firstLineChars="100"/>
        <w:rPr>
          <w:rFonts w:hint="eastAsia" w:ascii="宋体" w:hAnsi="宋体" w:eastAsia="宋体" w:cs="宋体"/>
          <w:sz w:val="24"/>
        </w:rPr>
      </w:pPr>
      <w:r>
        <w:rPr>
          <w:rFonts w:hint="eastAsia" w:ascii="宋体" w:hAnsi="宋体" w:eastAsia="宋体" w:cs="宋体"/>
          <w:sz w:val="24"/>
        </w:rPr>
        <w:t xml:space="preserve">  (三)评估对象于评估基准日状态假设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1、除评估师所知范围之外，假设评估对象及其所涉及资产的购置、取得或开发过程均符合国家有关法律、法规规定。</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2、除评估师所知范围之外，假设评估对象及其所涉及资产均无附带影响其价格的权利瑕疵、负债和限制，假设评估对象及其所涉及资产之价款、税费、各种应付款项均已付清。</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 除评估师所知范围之外，假设评估对象及其所涉及其他的有形资产无影响其持续使用的重大故障，该资产中不存在对其价值有不利影响的有害物质，该资产所在地无危险物及其他有害环境条件对该等资产价值产生不利影响。</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(四)限制性假设</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1、本资产评估报告假设由委托人提供的法律文件等评估相关资料均真实可信。我们亦不承担与评估对象涉及资产产权有关的任何法律事宜。</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2、除非另有说明，本资产评估报告假设通过可见实体外表对评估范围内有形资 产视察的现场调查结果，与其实际经济使用寿命基本相符。本次评估未对该等资产的结构、</w:t>
      </w:r>
      <w:r>
        <w:rPr>
          <w:rFonts w:hint="eastAsia" w:ascii="宋体" w:hAnsi="宋体" w:eastAsia="宋体" w:cs="宋体"/>
          <w:sz w:val="24"/>
          <w:lang w:eastAsia="zh-CN"/>
        </w:rPr>
        <w:t>装修</w:t>
      </w:r>
      <w:r>
        <w:rPr>
          <w:rFonts w:hint="eastAsia" w:ascii="宋体" w:hAnsi="宋体" w:eastAsia="宋体" w:cs="宋体"/>
          <w:sz w:val="24"/>
        </w:rPr>
        <w:t>等进行专项技术检测。</w:t>
      </w:r>
    </w:p>
    <w:p>
      <w:pPr>
        <w:tabs>
          <w:tab w:val="left" w:pos="945"/>
        </w:tabs>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本评估报告评估结论在上述假设条件下在评估基准日时成立，当上述假设条件发生较大变化时，签字资产评估师及本评估机构将不承担由于假设条件改变而推导出不同评估结论的责任。</w:t>
      </w:r>
    </w:p>
    <w:p>
      <w:pPr>
        <w:tabs>
          <w:tab w:val="left" w:pos="540"/>
        </w:tabs>
        <w:spacing w:line="360" w:lineRule="auto"/>
        <w:outlineLvl w:val="0"/>
        <w:rPr>
          <w:rFonts w:hint="eastAsia" w:ascii="宋体" w:hAnsi="宋体" w:eastAsia="宋体" w:cs="宋体"/>
          <w:sz w:val="24"/>
        </w:rPr>
      </w:pPr>
      <w:bookmarkStart w:id="41" w:name="_Toc37185844"/>
      <w:bookmarkStart w:id="42" w:name="_Toc725248978_WPSOffice_Level1"/>
      <w:r>
        <w:rPr>
          <w:rFonts w:hint="eastAsia" w:ascii="宋体" w:hAnsi="宋体" w:eastAsia="宋体" w:cs="宋体"/>
          <w:b/>
          <w:sz w:val="24"/>
          <w:lang w:eastAsia="zh-Hans"/>
        </w:rPr>
        <w:t>七、</w:t>
      </w:r>
      <w:r>
        <w:rPr>
          <w:rFonts w:hint="eastAsia" w:ascii="宋体" w:hAnsi="宋体" w:eastAsia="宋体" w:cs="宋体"/>
          <w:b/>
          <w:sz w:val="24"/>
        </w:rPr>
        <w:t>评估依据</w:t>
      </w:r>
      <w:bookmarkEnd w:id="41"/>
      <w:bookmarkEnd w:id="42"/>
    </w:p>
    <w:p>
      <w:pPr>
        <w:tabs>
          <w:tab w:val="left" w:pos="540"/>
        </w:tabs>
        <w:adjustRightInd w:val="0"/>
        <w:spacing w:line="360" w:lineRule="auto"/>
        <w:ind w:firstLine="480" w:firstLineChars="200"/>
        <w:outlineLvl w:val="0"/>
        <w:rPr>
          <w:rFonts w:hint="eastAsia" w:ascii="宋体" w:hAnsi="宋体" w:eastAsia="宋体" w:cs="宋体"/>
          <w:sz w:val="24"/>
        </w:rPr>
      </w:pPr>
      <w:r>
        <w:rPr>
          <w:rFonts w:hint="eastAsia" w:ascii="宋体" w:hAnsi="宋体" w:eastAsia="宋体" w:cs="宋体"/>
          <w:sz w:val="24"/>
        </w:rPr>
        <w:t>（一）行为依据</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sz w:val="24"/>
        </w:rPr>
        <w:t>杭州市富阳区人民法院</w:t>
      </w:r>
      <w:r>
        <w:rPr>
          <w:rFonts w:hint="eastAsia" w:ascii="宋体" w:hAnsi="宋体" w:eastAsia="宋体" w:cs="宋体"/>
          <w:sz w:val="24"/>
          <w:lang w:eastAsia="zh-CN"/>
        </w:rPr>
        <w:t>（2022）杭富法委评字第93号《司法评估委托书》</w:t>
      </w:r>
      <w:r>
        <w:rPr>
          <w:rFonts w:hint="eastAsia" w:ascii="宋体" w:hAnsi="宋体" w:eastAsia="宋体" w:cs="宋体"/>
          <w:sz w:val="24"/>
        </w:rPr>
        <w:t>。</w:t>
      </w:r>
    </w:p>
    <w:p>
      <w:pPr>
        <w:tabs>
          <w:tab w:val="left" w:pos="0"/>
        </w:tabs>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（二）法律法规依据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1、《中华人民共和国资产评估法》（2016年7月2日全国人大常委会发布）；</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2、《中华人民共和国拍卖法》（2015年4月24日第十二届全国人大常委会第十次会议修正）；</w:t>
      </w:r>
    </w:p>
    <w:p>
      <w:pPr>
        <w:adjustRightInd w:val="0"/>
        <w:spacing w:line="360" w:lineRule="auto"/>
        <w:ind w:firstLine="480" w:firstLineChars="200"/>
        <w:jc w:val="left"/>
        <w:rPr>
          <w:rFonts w:hint="eastAsia" w:ascii="宋体" w:hAnsi="宋体" w:eastAsia="宋体" w:cs="宋体"/>
        </w:rPr>
      </w:pPr>
      <w:r>
        <w:rPr>
          <w:rFonts w:hint="eastAsia" w:ascii="宋体" w:hAnsi="宋体" w:eastAsia="宋体" w:cs="宋体"/>
          <w:sz w:val="24"/>
        </w:rPr>
        <w:t>3、《中华人民共和国民法典》（2020年5月28日第十三届全国人大常委会三次会议表决通过）；</w:t>
      </w:r>
    </w:p>
    <w:p>
      <w:pPr>
        <w:pStyle w:val="2"/>
        <w:ind w:firstLine="480"/>
        <w:rPr>
          <w:rFonts w:hint="eastAsia" w:ascii="宋体" w:hAnsi="宋体" w:eastAsia="宋体" w:cs="宋体"/>
        </w:rPr>
      </w:pPr>
      <w:r>
        <w:rPr>
          <w:rFonts w:hint="eastAsia" w:ascii="宋体" w:hAnsi="宋体" w:eastAsia="宋体" w:cs="宋体"/>
        </w:rPr>
        <w:t>4、《中华人民共和国增值税暂行条例》（2017年11月19日国务院令第691号公布）；</w:t>
      </w:r>
    </w:p>
    <w:p>
      <w:pPr>
        <w:pStyle w:val="2"/>
        <w:spacing w:line="360" w:lineRule="auto"/>
        <w:ind w:firstLine="482"/>
        <w:rPr>
          <w:rFonts w:hint="eastAsia" w:ascii="宋体" w:hAnsi="宋体" w:eastAsia="宋体" w:cs="宋体"/>
        </w:rPr>
      </w:pPr>
      <w:r>
        <w:rPr>
          <w:rFonts w:hint="eastAsia" w:ascii="宋体" w:hAnsi="宋体" w:eastAsia="宋体" w:cs="宋体"/>
        </w:rPr>
        <w:t>5、《司法鉴定程序通则》（2016年5月1日，司法部令第132号）；</w:t>
      </w:r>
    </w:p>
    <w:p>
      <w:pPr>
        <w:pStyle w:val="2"/>
        <w:spacing w:line="360" w:lineRule="auto"/>
        <w:ind w:firstLine="482"/>
        <w:rPr>
          <w:rFonts w:hint="eastAsia" w:ascii="宋体" w:hAnsi="宋体" w:eastAsia="宋体" w:cs="宋体"/>
        </w:rPr>
      </w:pPr>
      <w:r>
        <w:rPr>
          <w:rFonts w:hint="eastAsia" w:ascii="宋体" w:hAnsi="宋体" w:eastAsia="宋体" w:cs="宋体"/>
        </w:rPr>
        <w:t>6、《浙江省人民法院实施〈人民法院对外委托司法鉴定管理规定〉细则》（浙高法[2010]299号）；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7、《最高人民法院关于人民法院确定财产处置参考价若干问题的规定》（2018年6月4日最高人民法院审判委员会第1741次会议通过）；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8、《资产评估行业财政监督管理办法》（2017年4月21日中华人民共和国财政部令第86号）；</w:t>
      </w:r>
    </w:p>
    <w:p>
      <w:pPr>
        <w:pStyle w:val="2"/>
        <w:spacing w:line="360" w:lineRule="auto"/>
        <w:ind w:firstLine="480" w:firstLineChars="200"/>
        <w:rPr>
          <w:rFonts w:hint="eastAsia" w:ascii="宋体" w:hAnsi="宋体" w:eastAsia="宋体" w:cs="宋体"/>
          <w:color w:val="auto"/>
          <w:kern w:val="2"/>
        </w:rPr>
      </w:pPr>
      <w:r>
        <w:rPr>
          <w:rFonts w:hint="eastAsia" w:ascii="宋体" w:hAnsi="宋体" w:eastAsia="宋体" w:cs="宋体"/>
        </w:rPr>
        <w:t>9、</w:t>
      </w:r>
      <w:r>
        <w:rPr>
          <w:rFonts w:hint="eastAsia" w:ascii="宋体" w:hAnsi="宋体" w:eastAsia="宋体" w:cs="宋体"/>
          <w:color w:val="auto"/>
          <w:kern w:val="2"/>
        </w:rPr>
        <w:t>《中华人民共和国城市房地产管理法》（2019年8月26日第十三届全国人民代表大会常务委员会第十二次会议）；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10、国家有关部门颁布的其他相关的法律、法规及规章。</w:t>
      </w:r>
    </w:p>
    <w:p>
      <w:pPr>
        <w:adjustRightIn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kern w:val="0"/>
          <w:sz w:val="24"/>
        </w:rPr>
        <w:t>（三）评估准则依据</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1、《资产评估基本准则》（财资[2017]43号）；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2、《资产评估职业道德准则》（中评协[2017]30号）；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3、《资产评估执业准则——资产评估程序》（中评协[2018]36号）；</w:t>
      </w:r>
    </w:p>
    <w:p>
      <w:pPr>
        <w:tabs>
          <w:tab w:val="left" w:pos="1069"/>
        </w:tabs>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rPr>
        <w:t>4、《资产评估执业准则——不动产》（中评协[2017]38号）；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5</w:t>
      </w:r>
      <w:r>
        <w:rPr>
          <w:rFonts w:hint="eastAsia" w:ascii="宋体" w:hAnsi="宋体" w:eastAsia="宋体" w:cs="宋体"/>
          <w:color w:val="000000"/>
          <w:sz w:val="24"/>
        </w:rPr>
        <w:t>、《资产评估执业准则——资产评估报告》（中评协[2018]35号）；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6</w:t>
      </w:r>
      <w:r>
        <w:rPr>
          <w:rFonts w:hint="eastAsia" w:ascii="宋体" w:hAnsi="宋体" w:eastAsia="宋体" w:cs="宋体"/>
          <w:color w:val="000000"/>
          <w:sz w:val="24"/>
        </w:rPr>
        <w:t>、《资产评估执业准则——资产评估委托合同》（中评协[2017]33号）；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7</w:t>
      </w:r>
      <w:r>
        <w:rPr>
          <w:rFonts w:hint="eastAsia" w:ascii="宋体" w:hAnsi="宋体" w:eastAsia="宋体" w:cs="宋体"/>
          <w:color w:val="000000"/>
          <w:sz w:val="24"/>
        </w:rPr>
        <w:t>、《资产评估执业准则——资产评估档案》（中评协[2018]37号）；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、《资产评估对象法律权属指导意见》（中评协[2017]48号）；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9</w:t>
      </w:r>
      <w:r>
        <w:rPr>
          <w:rFonts w:hint="eastAsia" w:ascii="宋体" w:hAnsi="宋体" w:eastAsia="宋体" w:cs="宋体"/>
          <w:color w:val="000000"/>
          <w:sz w:val="24"/>
        </w:rPr>
        <w:t>、《资产评估机构业务质量控制指南》（中评协[2017]46号）；</w:t>
      </w:r>
    </w:p>
    <w:p>
      <w:pPr>
        <w:tabs>
          <w:tab w:val="left" w:pos="1069"/>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0</w:t>
      </w:r>
      <w:r>
        <w:rPr>
          <w:rFonts w:hint="eastAsia" w:ascii="宋体" w:hAnsi="宋体" w:eastAsia="宋体" w:cs="宋体"/>
          <w:color w:val="000000"/>
          <w:sz w:val="24"/>
        </w:rPr>
        <w:t>、《资产评估价值类型指导意见》（中评协[2017]47号）；</w:t>
      </w:r>
    </w:p>
    <w:p>
      <w:pPr>
        <w:tabs>
          <w:tab w:val="left" w:pos="1069"/>
        </w:tabs>
        <w:spacing w:line="360" w:lineRule="auto"/>
        <w:ind w:firstLine="480" w:firstLineChars="200"/>
        <w:rPr>
          <w:rFonts w:hint="eastAsia" w:ascii="宋体" w:hAnsi="宋体" w:eastAsia="宋体" w:cs="宋体"/>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1</w:t>
      </w:r>
      <w:r>
        <w:rPr>
          <w:rFonts w:hint="eastAsia" w:ascii="宋体" w:hAnsi="宋体" w:eastAsia="宋体" w:cs="宋体"/>
          <w:color w:val="000000"/>
          <w:sz w:val="24"/>
        </w:rPr>
        <w:t>、《人民法院委托司法相关财产处置资产评估指导意见》（中评协[2019]14号）；</w:t>
      </w:r>
    </w:p>
    <w:p>
      <w:pPr>
        <w:pStyle w:val="2"/>
        <w:spacing w:line="360" w:lineRule="auto"/>
        <w:ind w:firstLine="480" w:firstLineChars="200"/>
        <w:rPr>
          <w:rFonts w:hint="eastAsia" w:ascii="宋体" w:hAnsi="宋体" w:eastAsia="宋体" w:cs="宋体"/>
        </w:rPr>
      </w:pPr>
      <w:r>
        <w:rPr>
          <w:rFonts w:hint="eastAsia" w:ascii="宋体" w:hAnsi="宋体" w:eastAsia="宋体" w:cs="宋体"/>
        </w:rPr>
        <w:t>1</w:t>
      </w:r>
      <w:r>
        <w:rPr>
          <w:rFonts w:hint="eastAsia" w:hAnsi="宋体" w:cs="宋体"/>
          <w:lang w:val="en-US" w:eastAsia="zh-CN"/>
        </w:rPr>
        <w:t>2</w:t>
      </w:r>
      <w:r>
        <w:rPr>
          <w:rFonts w:hint="eastAsia" w:ascii="宋体" w:hAnsi="宋体" w:eastAsia="宋体" w:cs="宋体"/>
        </w:rPr>
        <w:t>、《资产评估执业准则——评估方法》（中评协[2019]35号）；</w:t>
      </w:r>
    </w:p>
    <w:p>
      <w:pPr>
        <w:pStyle w:val="2"/>
        <w:spacing w:line="360" w:lineRule="auto"/>
        <w:ind w:firstLine="480" w:firstLineChars="200"/>
        <w:rPr>
          <w:rFonts w:hint="eastAsia" w:ascii="宋体" w:hAnsi="宋体" w:eastAsia="宋体" w:cs="宋体"/>
          <w:lang w:eastAsia="zh-CN"/>
        </w:rPr>
      </w:pPr>
      <w:r>
        <w:rPr>
          <w:rFonts w:hint="eastAsia" w:ascii="宋体" w:hAnsi="宋体" w:eastAsia="宋体" w:cs="宋体"/>
        </w:rPr>
        <w:t>1</w:t>
      </w:r>
      <w:r>
        <w:rPr>
          <w:rFonts w:hint="eastAsia" w:hAnsi="宋体" w:cs="宋体"/>
          <w:lang w:val="en-US" w:eastAsia="zh-CN"/>
        </w:rPr>
        <w:t>3</w:t>
      </w:r>
      <w:r>
        <w:rPr>
          <w:rFonts w:hint="eastAsia" w:ascii="宋体" w:hAnsi="宋体" w:eastAsia="宋体" w:cs="宋体"/>
        </w:rPr>
        <w:t>、《房地产估价规范》</w:t>
      </w:r>
      <w:r>
        <w:rPr>
          <w:rFonts w:hint="eastAsia" w:hAnsi="宋体" w:cs="宋体"/>
          <w:lang w:eastAsia="zh-CN"/>
        </w:rPr>
        <w:t>（</w:t>
      </w:r>
      <w:r>
        <w:rPr>
          <w:rFonts w:hint="eastAsia" w:ascii="宋体" w:hAnsi="宋体" w:eastAsia="宋体" w:cs="宋体"/>
        </w:rPr>
        <w:t>国家标准GB/T50291-2015</w:t>
      </w:r>
      <w:r>
        <w:rPr>
          <w:rFonts w:hint="eastAsia" w:hAnsi="宋体" w:cs="宋体"/>
          <w:lang w:eastAsia="zh-CN"/>
        </w:rPr>
        <w:t>）。</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四）</w:t>
      </w:r>
      <w:r>
        <w:rPr>
          <w:rFonts w:hint="eastAsia" w:ascii="宋体" w:hAnsi="宋体" w:eastAsia="宋体" w:cs="宋体"/>
          <w:sz w:val="24"/>
        </w:rPr>
        <w:t>产权依据</w:t>
      </w:r>
    </w:p>
    <w:p>
      <w:pPr>
        <w:numPr>
          <w:ilvl w:val="0"/>
          <w:numId w:val="4"/>
        </w:numPr>
        <w:spacing w:line="360" w:lineRule="auto"/>
        <w:ind w:firstLine="480" w:firstLineChars="200"/>
        <w:rPr>
          <w:rFonts w:hint="eastAsia" w:ascii="宋体" w:hAnsi="宋体" w:eastAsia="宋体" w:cs="宋体"/>
          <w:sz w:val="24"/>
        </w:rPr>
      </w:pPr>
      <w:r>
        <w:rPr>
          <w:rFonts w:hint="eastAsia" w:ascii="宋体" w:hAnsi="宋体" w:eastAsia="宋体" w:cs="宋体"/>
          <w:sz w:val="24"/>
        </w:rPr>
        <w:t>委托人提供的相关资料；</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lang w:eastAsia="zh-CN"/>
        </w:rPr>
        <w:t>杭州市富阳区人民法院《司法评估委托书》；</w:t>
      </w:r>
    </w:p>
    <w:p>
      <w:pPr>
        <w:pStyle w:val="11"/>
        <w:widowControl/>
        <w:numPr>
          <w:ilvl w:val="0"/>
          <w:numId w:val="4"/>
        </w:numPr>
        <w:spacing w:before="0" w:beforeAutospacing="0" w:after="0" w:afterAutospacing="0" w:line="360" w:lineRule="auto"/>
        <w:ind w:left="0" w:leftChars="0" w:firstLine="480" w:firstLineChars="200"/>
        <w:jc w:val="both"/>
        <w:rPr>
          <w:rFonts w:hint="eastAsia" w:ascii="宋体" w:hAnsi="宋体" w:eastAsia="宋体" w:cs="宋体"/>
        </w:rPr>
      </w:pPr>
      <w:r>
        <w:rPr>
          <w:rFonts w:hint="eastAsia" w:ascii="宋体" w:hAnsi="宋体" w:eastAsia="宋体" w:cs="宋体"/>
        </w:rPr>
        <w:t>评估人员现场勘查的相关资料；</w:t>
      </w:r>
    </w:p>
    <w:p>
      <w:pPr>
        <w:pStyle w:val="11"/>
        <w:widowControl/>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shd w:val="clear" w:color="auto" w:fill="FFFFFF"/>
          <w:lang w:val="en-US" w:eastAsia="zh-CN"/>
        </w:rPr>
        <w:t>4</w:t>
      </w:r>
      <w:r>
        <w:rPr>
          <w:rFonts w:hint="eastAsia" w:ascii="宋体" w:hAnsi="宋体" w:eastAsia="宋体" w:cs="宋体"/>
          <w:shd w:val="clear" w:color="auto" w:fill="FFFFFF"/>
        </w:rPr>
        <w:t>、</w:t>
      </w:r>
      <w:r>
        <w:rPr>
          <w:rFonts w:hint="eastAsia" w:ascii="宋体" w:hAnsi="宋体" w:eastAsia="宋体" w:cs="宋体"/>
          <w:lang w:eastAsia="zh-CN"/>
        </w:rPr>
        <w:t>杭州市不动产权属信息查询记录。</w:t>
      </w:r>
    </w:p>
    <w:p>
      <w:pPr>
        <w:tabs>
          <w:tab w:val="left" w:pos="0"/>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Hans"/>
        </w:rPr>
        <w:t>五）</w:t>
      </w:r>
      <w:r>
        <w:rPr>
          <w:rFonts w:hint="eastAsia" w:ascii="宋体" w:hAnsi="宋体" w:eastAsia="宋体" w:cs="宋体"/>
          <w:sz w:val="24"/>
        </w:rPr>
        <w:t>取价依据</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1、委托评估资产的有关资产市场价格信息；</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2、评估人员现场勘察记录及收集的其他相关估价信息资料；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3、国家有关部门颁布的统计资料和技术标准资料，以及本公司评估专业技术人员现场勘察和市场调查所取得的资料；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、其他资料。</w:t>
      </w:r>
    </w:p>
    <w:p>
      <w:pPr>
        <w:tabs>
          <w:tab w:val="left" w:pos="540"/>
        </w:tabs>
        <w:spacing w:line="360" w:lineRule="auto"/>
        <w:outlineLvl w:val="0"/>
        <w:rPr>
          <w:rFonts w:hint="eastAsia" w:ascii="宋体" w:hAnsi="宋体" w:eastAsia="宋体" w:cs="宋体"/>
          <w:sz w:val="24"/>
        </w:rPr>
      </w:pPr>
      <w:bookmarkStart w:id="43" w:name="_Toc142392874_WPSOffice_Level1"/>
      <w:r>
        <w:rPr>
          <w:rFonts w:hint="eastAsia" w:ascii="宋体" w:hAnsi="宋体" w:eastAsia="宋体" w:cs="宋体"/>
          <w:b/>
          <w:sz w:val="24"/>
          <w:lang w:eastAsia="zh-Hans"/>
        </w:rPr>
        <w:t>八、</w:t>
      </w:r>
      <w:bookmarkStart w:id="44" w:name="_Hlk94096399"/>
      <w:r>
        <w:rPr>
          <w:rFonts w:hint="eastAsia" w:ascii="宋体" w:hAnsi="宋体" w:eastAsia="宋体" w:cs="宋体"/>
          <w:b/>
          <w:sz w:val="24"/>
        </w:rPr>
        <w:t>评估方法</w:t>
      </w:r>
      <w:bookmarkEnd w:id="43"/>
      <w:bookmarkEnd w:id="44"/>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（一）</w:t>
      </w:r>
      <w:r>
        <w:rPr>
          <w:rFonts w:hint="eastAsia" w:ascii="宋体" w:hAnsi="宋体" w:eastAsia="宋体" w:cs="宋体"/>
          <w:sz w:val="24"/>
        </w:rPr>
        <w:t>评估方法的</w:t>
      </w:r>
      <w:r>
        <w:rPr>
          <w:rFonts w:hint="eastAsia" w:ascii="宋体" w:hAnsi="宋体" w:eastAsia="宋体" w:cs="宋体"/>
          <w:sz w:val="24"/>
          <w:lang w:eastAsia="zh-CN"/>
        </w:rPr>
        <w:t>介绍</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按照《资产评估基本准则》，评估需根据评估目的、价值类型、资料收集情况等相关条件，恰当选择一种或多种资产评估方法。价值评估通常采用的评估方法有市场法、收益法和成本法。</w:t>
      </w:r>
      <w:bookmarkStart w:id="45" w:name="_Toc417635592"/>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资产评估中的收益法，是指将预期收益资本化或者折现，确定评估对象价值的评估方法。收益法常用的具体方法包括股利折现法和现金流量折现法。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资产评估中的市场法，是指将评估对象与可比上市公司或者可比交易案例进行比较，确定评估对象价值的评估方法。市场法常用的两种具体方法是上市公司比较法和交易案例比较法。</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资产评估中的成本法，是指按照重建或者重置被评估资产的思路，将评估对象的重建或者重置成本作为确定资产价值的基础，扣除相关贬值，以此确定资产价值的评估方法的总称。</w:t>
      </w:r>
    </w:p>
    <w:p>
      <w:pPr>
        <w:spacing w:line="360" w:lineRule="auto"/>
        <w:ind w:firstLine="480" w:firstLineChars="200"/>
        <w:rPr>
          <w:rFonts w:hint="eastAsia" w:ascii="宋体" w:hAnsi="宋体" w:eastAsia="宋体" w:cs="宋体"/>
        </w:rPr>
      </w:pPr>
      <w:r>
        <w:rPr>
          <w:rFonts w:hint="eastAsia" w:ascii="宋体" w:hAnsi="宋体" w:eastAsia="宋体" w:cs="宋体"/>
          <w:sz w:val="24"/>
          <w:lang w:eastAsia="zh-CN"/>
        </w:rPr>
        <w:t>（二）</w:t>
      </w:r>
      <w:r>
        <w:rPr>
          <w:rFonts w:hint="eastAsia" w:ascii="宋体" w:hAnsi="宋体" w:eastAsia="宋体" w:cs="宋体"/>
          <w:sz w:val="24"/>
        </w:rPr>
        <w:t>房屋建筑物评估方法的选择：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于评估对象所在区域住房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杭州市</w:t>
      </w:r>
      <w:r>
        <w:rPr>
          <w:rFonts w:hint="eastAsia" w:ascii="宋体" w:hAnsi="宋体" w:eastAsia="宋体" w:cs="宋体"/>
          <w:sz w:val="24"/>
          <w:lang w:eastAsia="zh-CN"/>
        </w:rPr>
        <w:t>富阳区</w:t>
      </w:r>
      <w:r>
        <w:rPr>
          <w:rFonts w:hint="eastAsia" w:ascii="宋体" w:hAnsi="宋体" w:eastAsia="宋体" w:cs="宋体"/>
          <w:sz w:val="24"/>
        </w:rPr>
        <w:t>，周边房地产市场较活跃，价值时点近期有一定量的类似房地产的交易，故可选用市场法进行测算。</w:t>
      </w:r>
    </w:p>
    <w:bookmarkEnd w:id="45"/>
    <w:p>
      <w:pPr>
        <w:overflowPunct w:val="0"/>
        <w:adjustRightInd w:val="0"/>
        <w:snapToGrid w:val="0"/>
        <w:spacing w:line="360" w:lineRule="auto"/>
        <w:ind w:firstLine="480" w:firstLineChars="200"/>
        <w:rPr>
          <w:rFonts w:hint="eastAsia" w:ascii="宋体" w:hAnsi="宋体" w:eastAsia="宋体" w:cs="宋体"/>
          <w:color w:val="000000"/>
          <w:sz w:val="24"/>
        </w:rPr>
      </w:pPr>
      <w:bookmarkStart w:id="46" w:name="_Toc417635589"/>
      <w:bookmarkEnd w:id="46"/>
      <w:r>
        <w:rPr>
          <w:rFonts w:hint="eastAsia" w:ascii="宋体" w:hAnsi="宋体" w:eastAsia="宋体" w:cs="宋体"/>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房地产采用市场法评估。其计算公式为：</w:t>
      </w:r>
    </w:p>
    <w:p>
      <w:pPr>
        <w:overflowPunct w:val="0"/>
        <w:adjustRightInd w:val="0"/>
        <w:snapToGrid w:val="0"/>
        <w:spacing w:line="360" w:lineRule="auto"/>
        <w:ind w:firstLine="480" w:firstLineChars="200"/>
        <w:rPr>
          <w:rFonts w:hint="eastAsia" w:ascii="宋体" w:hAnsi="宋体" w:eastAsia="宋体" w:cs="宋体"/>
          <w:color w:val="000000"/>
          <w:sz w:val="24"/>
        </w:rPr>
      </w:pPr>
      <w:bookmarkStart w:id="47" w:name="_Hlk93493965"/>
      <w:r>
        <w:rPr>
          <w:rFonts w:hint="eastAsia" w:ascii="宋体" w:hAnsi="宋体" w:eastAsia="宋体" w:cs="宋体"/>
          <w:color w:val="000000"/>
          <w:sz w:val="24"/>
        </w:rPr>
        <w:t>V=VB×A×B×C×D×E</w:t>
      </w:r>
    </w:p>
    <w:bookmarkEnd w:id="47"/>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式中： V：待估房屋价值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VB：比较案例价格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A：待估房屋交易情况指数/比较案例交易情况指数 </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B：待估房屋期日价格指数/比较案例期日价格指数</w:t>
      </w:r>
    </w:p>
    <w:p>
      <w:pPr>
        <w:overflowPunct w:val="0"/>
        <w:adjustRightInd w:val="0"/>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C：待估房屋区域因素条件指数/比较案例区域因素条件指数 </w:t>
      </w:r>
    </w:p>
    <w:p>
      <w:pPr>
        <w:overflowPunct w:val="0"/>
        <w:adjustRightInd w:val="0"/>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color w:val="000000"/>
          <w:sz w:val="24"/>
        </w:rPr>
        <w:t>D：待估房屋实物因素条件指数/比较案例实物因素条</w:t>
      </w:r>
      <w:r>
        <w:rPr>
          <w:rFonts w:hint="eastAsia" w:ascii="宋体" w:hAnsi="宋体" w:eastAsia="宋体" w:cs="宋体"/>
          <w:kern w:val="0"/>
          <w:sz w:val="24"/>
        </w:rPr>
        <w:t>件指数</w:t>
      </w:r>
    </w:p>
    <w:p>
      <w:pPr>
        <w:autoSpaceDE w:val="0"/>
        <w:autoSpaceDN w:val="0"/>
        <w:adjustRightInd w:val="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E：待估房屋权益因素条件指数/比较案例权益因素条件指数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根据上述评估方法评估，得出房地产评估价值。</w:t>
      </w:r>
    </w:p>
    <w:p>
      <w:pPr>
        <w:tabs>
          <w:tab w:val="left" w:pos="540"/>
        </w:tabs>
        <w:spacing w:line="360" w:lineRule="auto"/>
        <w:ind w:firstLine="482" w:firstLineChars="200"/>
        <w:outlineLvl w:val="0"/>
        <w:rPr>
          <w:rFonts w:hint="eastAsia" w:ascii="宋体" w:hAnsi="宋体" w:eastAsia="宋体" w:cs="宋体"/>
          <w:b/>
          <w:sz w:val="24"/>
        </w:rPr>
      </w:pPr>
      <w:bookmarkStart w:id="48" w:name="_Toc900250560_WPSOffice_Level1"/>
      <w:r>
        <w:rPr>
          <w:rFonts w:hint="eastAsia" w:ascii="宋体" w:hAnsi="宋体" w:eastAsia="宋体" w:cs="宋体"/>
          <w:b/>
          <w:sz w:val="24"/>
          <w:lang w:eastAsia="zh-Hans"/>
        </w:rPr>
        <w:t>九、</w:t>
      </w:r>
      <w:r>
        <w:rPr>
          <w:rFonts w:hint="eastAsia" w:ascii="宋体" w:hAnsi="宋体" w:eastAsia="宋体" w:cs="宋体"/>
          <w:b/>
          <w:sz w:val="24"/>
        </w:rPr>
        <w:t>评估过程</w:t>
      </w:r>
      <w:bookmarkEnd w:id="48"/>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整个评估工作分</w:t>
      </w:r>
      <w:r>
        <w:rPr>
          <w:rFonts w:hint="eastAsia" w:ascii="宋体" w:hAnsi="宋体" w:eastAsia="宋体" w:cs="宋体"/>
          <w:color w:val="000000"/>
          <w:sz w:val="24"/>
        </w:rPr>
        <w:t>五</w:t>
      </w:r>
      <w:r>
        <w:rPr>
          <w:rFonts w:hint="eastAsia" w:ascii="宋体" w:hAnsi="宋体" w:eastAsia="宋体" w:cs="宋体"/>
          <w:color w:val="000000"/>
          <w:sz w:val="24"/>
          <w:lang w:val="zh-CN"/>
        </w:rPr>
        <w:t>个阶段进行：</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（一）接受委托阶段</w:t>
      </w:r>
    </w:p>
    <w:p>
      <w:pPr>
        <w:tabs>
          <w:tab w:val="left" w:pos="0"/>
          <w:tab w:val="left" w:pos="1211"/>
        </w:tabs>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1、明确评估业务基本事项，了解项目的委托人、</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2、接受杭州市富阳区人民法院的</w:t>
      </w:r>
      <w:r>
        <w:rPr>
          <w:rFonts w:hint="eastAsia" w:ascii="宋体" w:hAnsi="宋体" w:eastAsia="宋体" w:cs="宋体"/>
          <w:sz w:val="24"/>
        </w:rPr>
        <w:t>出具的</w:t>
      </w:r>
      <w:r>
        <w:rPr>
          <w:rFonts w:hint="eastAsia" w:ascii="宋体" w:hAnsi="宋体" w:eastAsia="宋体" w:cs="宋体"/>
          <w:sz w:val="24"/>
          <w:lang w:eastAsia="zh-CN"/>
        </w:rPr>
        <w:t>《司法评估委托书》</w:t>
      </w:r>
      <w:r>
        <w:rPr>
          <w:rFonts w:hint="eastAsia" w:ascii="宋体" w:hAnsi="宋体" w:eastAsia="宋体" w:cs="宋体"/>
          <w:color w:val="000000"/>
          <w:sz w:val="24"/>
        </w:rPr>
        <w:t>；</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3、制定资产评估工作计划；</w:t>
      </w:r>
    </w:p>
    <w:p>
      <w:pPr>
        <w:tabs>
          <w:tab w:val="left" w:pos="0"/>
          <w:tab w:val="left" w:pos="1211"/>
        </w:tabs>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4、组成项目小组，并对项目组成员进行培训。</w:t>
      </w:r>
    </w:p>
    <w:p>
      <w:pPr>
        <w:tabs>
          <w:tab w:val="left" w:pos="1211"/>
        </w:tabs>
        <w:spacing w:line="360" w:lineRule="auto"/>
        <w:rPr>
          <w:rFonts w:hint="eastAsia" w:ascii="宋体" w:hAnsi="宋体" w:eastAsia="宋体" w:cs="宋体"/>
          <w:color w:val="000000"/>
          <w:sz w:val="24"/>
        </w:rPr>
      </w:pPr>
      <w:r>
        <w:rPr>
          <w:rFonts w:hint="eastAsia" w:ascii="宋体" w:hAnsi="宋体" w:eastAsia="宋体" w:cs="宋体"/>
          <w:color w:val="000000"/>
          <w:sz w:val="24"/>
        </w:rPr>
        <w:t>（二）资产核实阶段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1、根据评估工作的需要，向杭州市富阳区人民法院提供资产评估清单表样，并协助其进行资产清查工作；</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2、了解</w:t>
      </w:r>
      <w:r>
        <w:rPr>
          <w:rFonts w:hint="eastAsia" w:ascii="宋体" w:hAnsi="宋体" w:eastAsia="宋体" w:cs="宋体"/>
          <w:color w:val="000000"/>
          <w:sz w:val="24"/>
          <w:lang w:eastAsia="zh-CN"/>
        </w:rPr>
        <w:t>产权持有者</w:t>
      </w:r>
      <w:r>
        <w:rPr>
          <w:rFonts w:hint="eastAsia" w:ascii="宋体" w:hAnsi="宋体" w:eastAsia="宋体" w:cs="宋体"/>
          <w:color w:val="000000"/>
          <w:sz w:val="24"/>
        </w:rPr>
        <w:t>基本情况及委评资产状况，并收集相关资料；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3、审查核对杭州市富阳区人民法院提供的资产评估清单和相关资料；</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4、根据资产评估申报表的内容进行现场核实和勘察；</w:t>
      </w:r>
    </w:p>
    <w:p>
      <w:pPr>
        <w:spacing w:line="360" w:lineRule="auto"/>
        <w:ind w:left="420" w:leftChars="200"/>
        <w:rPr>
          <w:rFonts w:hint="eastAsia" w:ascii="宋体" w:hAnsi="宋体" w:eastAsia="宋体" w:cs="宋体"/>
          <w:color w:val="000000"/>
          <w:sz w:val="24"/>
        </w:rPr>
      </w:pPr>
      <w:r>
        <w:rPr>
          <w:rFonts w:hint="eastAsia" w:ascii="宋体" w:hAnsi="宋体" w:eastAsia="宋体" w:cs="宋体"/>
          <w:color w:val="000000"/>
          <w:sz w:val="24"/>
        </w:rPr>
        <w:t>5、收集并查验资产评估所需的其他相关资料。</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（三）评定估算阶段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1、根据委评资产的实际状况和特点，制订具体评估方法；</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2、开展市场调研、询价工作；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3、对委评资产进行评估，测算其评估价值；</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4、分析并汇总分项资产的评估结果，汇集评估底稿；</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5、撰写评估报告、评估说明，编制评估明细表。</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（四）出具报告阶段</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1、征求有关各方意见；</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2、内部进行复核程序，验证评估结果；</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3、评估结果的分析调整和评估报告的完善；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4、正式出具资产评估报告。</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（五）整理归集评估档案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在出具资产评估报告后，评估人员按照资产评估基本准则和资产评估执业准则规范整理归集评估档案。</w:t>
      </w:r>
    </w:p>
    <w:p>
      <w:pPr>
        <w:tabs>
          <w:tab w:val="left" w:pos="540"/>
        </w:tabs>
        <w:spacing w:line="360" w:lineRule="auto"/>
        <w:outlineLvl w:val="0"/>
        <w:rPr>
          <w:rFonts w:hint="eastAsia" w:ascii="宋体" w:hAnsi="宋体" w:eastAsia="宋体" w:cs="宋体"/>
          <w:b/>
          <w:sz w:val="24"/>
        </w:rPr>
      </w:pPr>
      <w:bookmarkStart w:id="49" w:name="_Toc37185847"/>
      <w:bookmarkStart w:id="50" w:name="_Toc1488868805_WPSOffice_Level1"/>
      <w:bookmarkStart w:id="51" w:name="_Toc275872929"/>
      <w:r>
        <w:rPr>
          <w:rFonts w:hint="eastAsia" w:ascii="宋体" w:hAnsi="宋体" w:eastAsia="宋体" w:cs="宋体"/>
          <w:b/>
          <w:sz w:val="24"/>
          <w:lang w:eastAsia="zh-Hans"/>
        </w:rPr>
        <w:t>十、</w:t>
      </w:r>
      <w:r>
        <w:rPr>
          <w:rFonts w:hint="eastAsia" w:ascii="宋体" w:hAnsi="宋体" w:eastAsia="宋体" w:cs="宋体"/>
          <w:b/>
          <w:sz w:val="24"/>
        </w:rPr>
        <w:t>评估结论</w:t>
      </w:r>
      <w:bookmarkEnd w:id="49"/>
      <w:bookmarkEnd w:id="50"/>
      <w:bookmarkEnd w:id="51"/>
    </w:p>
    <w:p>
      <w:pPr>
        <w:tabs>
          <w:tab w:val="left" w:pos="840"/>
        </w:tabs>
        <w:spacing w:line="360" w:lineRule="auto"/>
        <w:ind w:firstLine="480" w:firstLineChars="200"/>
        <w:rPr>
          <w:rFonts w:hint="eastAsia" w:ascii="宋体" w:hAnsi="宋体" w:eastAsia="宋体" w:cs="宋体"/>
          <w:sz w:val="24"/>
        </w:rPr>
      </w:pPr>
      <w:bookmarkStart w:id="52" w:name="_Toc275872930"/>
      <w:r>
        <w:rPr>
          <w:rFonts w:hint="eastAsia" w:ascii="宋体" w:hAnsi="宋体" w:eastAsia="宋体" w:cs="宋体"/>
          <w:sz w:val="24"/>
          <w:lang w:eastAsia="zh-CN"/>
        </w:rPr>
        <w:t>经实施评估程序后，在评估基准日</w:t>
      </w:r>
      <w:r>
        <w:rPr>
          <w:rFonts w:hint="eastAsia" w:ascii="宋体" w:hAnsi="宋体" w:eastAsia="宋体" w:cs="宋体"/>
          <w:sz w:val="24"/>
          <w:lang w:val="en-US" w:eastAsia="zh-CN"/>
        </w:rPr>
        <w:t>2022年8月19日，在本报告所揭示的假设前提条件基础上，委评资产的评估价值为9,095,500.00元（大写人民币玖佰零玖万伍仟伍佰元整）。</w:t>
      </w:r>
      <w:r>
        <w:rPr>
          <w:rFonts w:hint="eastAsia" w:ascii="宋体" w:hAnsi="宋体" w:eastAsia="宋体" w:cs="宋体"/>
          <w:sz w:val="24"/>
        </w:rPr>
        <w:t>评估结论的详细情况见评估明细表。</w:t>
      </w:r>
    </w:p>
    <w:p>
      <w:pPr>
        <w:tabs>
          <w:tab w:val="left" w:pos="540"/>
        </w:tabs>
        <w:spacing w:line="360" w:lineRule="auto"/>
        <w:outlineLvl w:val="0"/>
        <w:rPr>
          <w:rFonts w:hint="eastAsia" w:ascii="宋体" w:hAnsi="宋体" w:eastAsia="宋体" w:cs="宋体"/>
          <w:sz w:val="24"/>
        </w:rPr>
      </w:pPr>
      <w:bookmarkStart w:id="53" w:name="_Toc938550791_WPSOffice_Level1"/>
      <w:bookmarkStart w:id="54" w:name="_Toc37185848"/>
      <w:r>
        <w:rPr>
          <w:rFonts w:hint="eastAsia" w:ascii="宋体" w:hAnsi="宋体" w:eastAsia="宋体" w:cs="宋体"/>
          <w:b/>
          <w:sz w:val="24"/>
          <w:lang w:eastAsia="zh-Hans"/>
        </w:rPr>
        <w:t>十一、</w:t>
      </w:r>
      <w:r>
        <w:rPr>
          <w:rFonts w:hint="eastAsia" w:ascii="宋体" w:hAnsi="宋体" w:eastAsia="宋体" w:cs="宋体"/>
          <w:b/>
          <w:sz w:val="24"/>
        </w:rPr>
        <w:t>特别事项说明</w:t>
      </w:r>
      <w:bookmarkEnd w:id="52"/>
      <w:bookmarkEnd w:id="53"/>
      <w:bookmarkEnd w:id="5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以下为在评估过程中已发现可能影响评估结论但非评估人员执业水平和能力所能评定估算的有关事项(包括但不限于以下)：</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（一）未决事项、法律纠纷等不确定因素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本报告未发现未决事项、法律纠纷等不确定因素。</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（二）重大期后事项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期后事项是指评估基准日之后出具评估报告之前发生的重大事项。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本报告无重大期后事项。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（三）其他需要说明的事项</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rPr>
        <w:t>1、</w:t>
      </w:r>
      <w:r>
        <w:rPr>
          <w:rFonts w:hint="eastAsia" w:ascii="宋体" w:hAnsi="宋体" w:eastAsia="宋体" w:cs="宋体"/>
          <w:color w:val="000000"/>
          <w:sz w:val="24"/>
          <w:lang w:val="zh-CN"/>
        </w:rPr>
        <w:t>评估师和评估机构的法律责任是对本报告所述评估目的下的资产价值量做出专业判断，并不涉及到评估师和评估机构对该项评估目的所对应的经济行为做出任何判断。</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2、 评估报告中涉及的有关权属证明文件及相关资料由委托人提供，委托人对其真实性、合法性承担法律责任。</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3、</w:t>
      </w:r>
      <w:r>
        <w:rPr>
          <w:rFonts w:hint="eastAsia" w:ascii="宋体" w:hAnsi="宋体" w:eastAsia="宋体" w:cs="宋体"/>
          <w:sz w:val="24"/>
          <w:lang w:eastAsia="zh-CN"/>
        </w:rPr>
        <w:t>本次评估，评估专业人员在假定委托人提供的有关资料是真实、有效的前提下，通过现场勘查对委评资产在基准日的结构等物理现状进行判断，未对其结构等物理状况做专项技术检测</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4、未考虑评估费、拍卖费、诉讼费、律师费以及交易税费等财产处置费用对评估结论的影响。</w:t>
      </w:r>
    </w:p>
    <w:p>
      <w:pPr>
        <w:pStyle w:val="2"/>
        <w:spacing w:line="360" w:lineRule="auto"/>
        <w:ind w:firstLine="480" w:firstLineChars="200"/>
        <w:rPr>
          <w:rFonts w:hint="eastAsia" w:ascii="宋体" w:hAnsi="宋体" w:eastAsia="宋体" w:cs="宋体"/>
        </w:rPr>
      </w:pPr>
      <w:r>
        <w:rPr>
          <w:rFonts w:hint="eastAsia" w:ascii="宋体" w:hAnsi="宋体" w:eastAsia="宋体" w:cs="宋体"/>
        </w:rPr>
        <w:t>5、未考虑查封、设立担保物权和其他优先受偿权对其价值的任何影响。</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6、截至评估基准日，</w:t>
      </w:r>
      <w:r>
        <w:rPr>
          <w:rFonts w:hint="eastAsia" w:ascii="宋体" w:hAnsi="宋体" w:eastAsia="宋体" w:cs="宋体"/>
          <w:color w:val="000000"/>
          <w:sz w:val="24"/>
          <w:lang w:eastAsia="zh-CN"/>
        </w:rPr>
        <w:t>评估对象处于空置状态。</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7、</w:t>
      </w:r>
      <w:r>
        <w:rPr>
          <w:rFonts w:hint="eastAsia" w:ascii="宋体" w:hAnsi="宋体" w:eastAsia="宋体" w:cs="宋体"/>
          <w:color w:val="000000"/>
          <w:sz w:val="24"/>
          <w:lang w:val="zh-CN"/>
        </w:rPr>
        <w:t>在评估基准日以后的有效期内，如果资产数量及作价标准发生变化时，应按以下原则处理：</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1）</w:t>
      </w:r>
      <w:r>
        <w:rPr>
          <w:rFonts w:hint="eastAsia" w:ascii="宋体" w:hAnsi="宋体" w:eastAsia="宋体" w:cs="宋体"/>
          <w:color w:val="000000"/>
          <w:sz w:val="24"/>
          <w:lang w:val="zh-CN"/>
        </w:rPr>
        <w:t>当资产数量发生变化时，应根据原评估方法对资产数额进行相应调整；</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2）</w:t>
      </w:r>
      <w:r>
        <w:rPr>
          <w:rFonts w:hint="eastAsia" w:ascii="宋体" w:hAnsi="宋体" w:eastAsia="宋体" w:cs="宋体"/>
          <w:color w:val="000000"/>
          <w:sz w:val="24"/>
          <w:lang w:val="zh-CN"/>
        </w:rPr>
        <w:t>当资产价格标准发生变化、且对资产评估结果产生明显影响时，委托人应及时聘请有资格的资产评估机构重新确定评估价值；</w:t>
      </w:r>
    </w:p>
    <w:p>
      <w:pPr>
        <w:spacing w:line="360" w:lineRule="auto"/>
        <w:ind w:firstLine="480" w:firstLineChars="200"/>
        <w:rPr>
          <w:rFonts w:hint="eastAsia" w:ascii="宋体" w:hAnsi="宋体" w:eastAsia="宋体" w:cs="宋体"/>
          <w:color w:val="000000"/>
          <w:sz w:val="24"/>
          <w:lang w:val="zh-CN"/>
        </w:rPr>
      </w:pPr>
      <w:r>
        <w:rPr>
          <w:rFonts w:hint="eastAsia" w:ascii="宋体" w:hAnsi="宋体" w:eastAsia="宋体" w:cs="宋体"/>
          <w:color w:val="000000"/>
          <w:sz w:val="24"/>
          <w:lang w:val="zh-CN"/>
        </w:rPr>
        <w:t>（</w:t>
      </w:r>
      <w:r>
        <w:rPr>
          <w:rFonts w:hint="eastAsia" w:ascii="宋体" w:hAnsi="宋体" w:eastAsia="宋体" w:cs="宋体"/>
          <w:color w:val="000000"/>
          <w:sz w:val="24"/>
        </w:rPr>
        <w:t>3）</w:t>
      </w:r>
      <w:r>
        <w:rPr>
          <w:rFonts w:hint="eastAsia" w:ascii="宋体" w:hAnsi="宋体" w:eastAsia="宋体" w:cs="宋体"/>
          <w:color w:val="000000"/>
          <w:sz w:val="24"/>
          <w:lang w:val="zh-CN"/>
        </w:rPr>
        <w:t>对评估基准日后，资产数量、价格标准的变化，委托人在资产实际作价时应给予充分考虑，进行相应调整。</w:t>
      </w:r>
    </w:p>
    <w:p>
      <w:pPr>
        <w:spacing w:line="360" w:lineRule="auto"/>
        <w:ind w:firstLine="48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8、经评估人员锦绣兰庭物业查询以及法院核实，该房产无车位。</w:t>
      </w:r>
    </w:p>
    <w:p>
      <w:pPr>
        <w:spacing w:line="360" w:lineRule="auto"/>
        <w:jc w:val="center"/>
        <w:rPr>
          <w:rFonts w:hint="eastAsia" w:ascii="宋体" w:hAnsi="宋体" w:eastAsia="宋体" w:cs="宋体"/>
          <w:b/>
          <w:i/>
          <w:sz w:val="28"/>
          <w:szCs w:val="28"/>
        </w:rPr>
      </w:pPr>
      <w:r>
        <w:rPr>
          <w:rFonts w:hint="eastAsia" w:ascii="宋体" w:hAnsi="宋体" w:eastAsia="宋体" w:cs="宋体"/>
          <w:b/>
          <w:i/>
          <w:sz w:val="28"/>
          <w:szCs w:val="28"/>
        </w:rPr>
        <w:t>评估报告使用者应注意以上的特别事项对评估结论所产生的影响。</w:t>
      </w:r>
    </w:p>
    <w:p>
      <w:pPr>
        <w:tabs>
          <w:tab w:val="left" w:pos="540"/>
        </w:tabs>
        <w:spacing w:line="360" w:lineRule="auto"/>
        <w:outlineLvl w:val="0"/>
        <w:rPr>
          <w:rFonts w:hint="eastAsia" w:ascii="宋体" w:hAnsi="宋体" w:eastAsia="宋体" w:cs="宋体"/>
          <w:b/>
          <w:sz w:val="24"/>
        </w:rPr>
      </w:pPr>
      <w:bookmarkStart w:id="55" w:name="_Toc275872931"/>
      <w:bookmarkStart w:id="56" w:name="_Toc955757122_WPSOffice_Level1"/>
      <w:bookmarkStart w:id="57" w:name="_Toc37185849"/>
      <w:r>
        <w:rPr>
          <w:rFonts w:hint="eastAsia" w:ascii="宋体" w:hAnsi="宋体" w:eastAsia="宋体" w:cs="宋体"/>
          <w:b/>
          <w:sz w:val="24"/>
          <w:lang w:eastAsia="zh-Hans"/>
        </w:rPr>
        <w:t>十二、</w:t>
      </w:r>
      <w:r>
        <w:rPr>
          <w:rFonts w:hint="eastAsia" w:ascii="宋体" w:hAnsi="宋体" w:eastAsia="宋体" w:cs="宋体"/>
          <w:b/>
          <w:sz w:val="24"/>
        </w:rPr>
        <w:t>评估报告使用限制说明</w:t>
      </w:r>
      <w:bookmarkEnd w:id="55"/>
      <w:bookmarkEnd w:id="56"/>
      <w:bookmarkEnd w:id="57"/>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（一）评估报告仅用于评估报告载明的评估目的和用途；</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（二）评估报告只能由评估报告载明的评估报告使用者使用；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（三）评估报告未经核准或者备案，评估结论不得被使用；</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（四）委托人或其他资产评估报告使用人未按法律法规及资产评估报告载明的使用范围使用资产评估报告的，资产评估机构及其资产评估师不承担责任；</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（五）资产评估报告使用人应当正确理解评估结论，评估结论不等同于评估对象可实现价格，评估结论不应当被认为是对评估对象可实现价格的保证；</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（六）未征得杭州富诚资产评估有限公司的同意，评估报告的内容不得被摘抄、引用或披露于公开媒体，法律、法规规定以及相关当事方另有约定的除外；</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（七）评估报告及评估结论的使用有效期。本报告书评估结论的有效期限为壹年，自评估基准日</w:t>
      </w:r>
      <w:r>
        <w:rPr>
          <w:rFonts w:hint="eastAsia" w:ascii="宋体" w:hAnsi="宋体" w:eastAsia="宋体" w:cs="宋体"/>
          <w:bCs/>
          <w:sz w:val="24"/>
          <w:lang w:eastAsia="zh-CN"/>
        </w:rPr>
        <w:t>2022年8月19日</w:t>
      </w:r>
      <w:r>
        <w:rPr>
          <w:rFonts w:hint="eastAsia" w:ascii="宋体" w:hAnsi="宋体" w:eastAsia="宋体" w:cs="宋体"/>
          <w:bCs/>
          <w:sz w:val="24"/>
        </w:rPr>
        <w:t>起</w:t>
      </w:r>
      <w:r>
        <w:rPr>
          <w:rFonts w:hint="eastAsia" w:ascii="宋体" w:hAnsi="宋体" w:eastAsia="宋体" w:cs="宋体"/>
          <w:bCs/>
          <w:sz w:val="24"/>
          <w:lang w:eastAsia="zh-CN"/>
        </w:rPr>
        <w:t>2023年8月18日</w:t>
      </w:r>
      <w:r>
        <w:rPr>
          <w:rFonts w:hint="eastAsia" w:ascii="宋体" w:hAnsi="宋体" w:eastAsia="宋体" w:cs="宋体"/>
          <w:bCs/>
          <w:sz w:val="24"/>
        </w:rPr>
        <w:t>止，当评估目的在有效期内实现时，以评估结论作为资产作价的依据，超过期限，需重新确定评估结论；</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（八）本评估报告在评估机构签字盖章后，具有法律效力；</w:t>
      </w:r>
    </w:p>
    <w:p>
      <w:pPr>
        <w:tabs>
          <w:tab w:val="left" w:pos="540"/>
        </w:tabs>
        <w:adjustRightInd w:val="0"/>
        <w:spacing w:line="360" w:lineRule="auto"/>
        <w:ind w:firstLine="480" w:firstLineChars="200"/>
        <w:outlineLvl w:val="0"/>
        <w:rPr>
          <w:rFonts w:hint="eastAsia" w:ascii="宋体" w:hAnsi="宋体" w:eastAsia="宋体" w:cs="宋体"/>
          <w:bCs/>
          <w:sz w:val="24"/>
        </w:rPr>
      </w:pPr>
      <w:r>
        <w:rPr>
          <w:rFonts w:hint="eastAsia" w:ascii="宋体" w:hAnsi="宋体" w:eastAsia="宋体" w:cs="宋体"/>
          <w:bCs/>
          <w:sz w:val="24"/>
        </w:rPr>
        <w:t>（九）本报告书的评估结论仅供委托人为本次评估目的使用，报告书的使用</w:t>
      </w:r>
    </w:p>
    <w:p>
      <w:pPr>
        <w:tabs>
          <w:tab w:val="left" w:pos="540"/>
        </w:tabs>
        <w:adjustRightInd w:val="0"/>
        <w:spacing w:line="360" w:lineRule="auto"/>
        <w:outlineLvl w:val="0"/>
        <w:rPr>
          <w:rFonts w:hint="eastAsia" w:ascii="宋体" w:hAnsi="宋体" w:eastAsia="宋体" w:cs="宋体"/>
          <w:bCs/>
          <w:sz w:val="24"/>
        </w:rPr>
      </w:pPr>
      <w:r>
        <w:rPr>
          <w:rFonts w:hint="eastAsia" w:ascii="宋体" w:hAnsi="宋体" w:eastAsia="宋体" w:cs="宋体"/>
          <w:bCs/>
          <w:sz w:val="24"/>
        </w:rPr>
        <w:t>权归委托人所有，未经委托人许可，我公司不能随意向他人公开。</w:t>
      </w:r>
    </w:p>
    <w:p>
      <w:pPr>
        <w:tabs>
          <w:tab w:val="left" w:pos="540"/>
        </w:tabs>
        <w:spacing w:line="360" w:lineRule="auto"/>
        <w:outlineLvl w:val="0"/>
        <w:rPr>
          <w:rFonts w:hint="eastAsia" w:ascii="宋体" w:hAnsi="宋体" w:eastAsia="宋体" w:cs="宋体"/>
          <w:b/>
          <w:sz w:val="24"/>
          <w:lang w:eastAsia="zh-Hans"/>
        </w:rPr>
      </w:pPr>
      <w:bookmarkStart w:id="58" w:name="_Toc530303619"/>
      <w:bookmarkStart w:id="59" w:name="_Toc37185850"/>
      <w:bookmarkStart w:id="60" w:name="_Toc105580759"/>
      <w:bookmarkStart w:id="61" w:name="_Toc232269894_WPSOffice_Level1"/>
      <w:bookmarkStart w:id="62" w:name="_Toc275872932"/>
      <w:bookmarkStart w:id="63" w:name="_Toc222741556"/>
    </w:p>
    <w:p>
      <w:pPr>
        <w:tabs>
          <w:tab w:val="left" w:pos="540"/>
        </w:tabs>
        <w:spacing w:line="360" w:lineRule="auto"/>
        <w:outlineLvl w:val="0"/>
        <w:rPr>
          <w:rFonts w:hint="eastAsia" w:ascii="宋体" w:hAnsi="宋体" w:eastAsia="宋体" w:cs="宋体"/>
          <w:b/>
          <w:sz w:val="24"/>
          <w:lang w:eastAsia="zh-Hans"/>
        </w:rPr>
      </w:pPr>
    </w:p>
    <w:p>
      <w:pPr>
        <w:tabs>
          <w:tab w:val="left" w:pos="540"/>
        </w:tabs>
        <w:spacing w:line="360" w:lineRule="auto"/>
        <w:outlineLvl w:val="0"/>
        <w:rPr>
          <w:rFonts w:hint="eastAsia" w:ascii="宋体" w:hAnsi="宋体" w:eastAsia="宋体" w:cs="宋体"/>
          <w:b/>
          <w:sz w:val="24"/>
        </w:rPr>
      </w:pPr>
      <w:r>
        <w:rPr>
          <w:rFonts w:hint="eastAsia" w:ascii="宋体" w:hAnsi="宋体" w:eastAsia="宋体" w:cs="宋体"/>
          <w:b/>
          <w:sz w:val="24"/>
          <w:lang w:eastAsia="zh-Hans"/>
        </w:rPr>
        <w:t>十三、</w:t>
      </w:r>
      <w:r>
        <w:rPr>
          <w:rFonts w:hint="eastAsia" w:ascii="宋体" w:hAnsi="宋体" w:eastAsia="宋体" w:cs="宋体"/>
          <w:b/>
          <w:sz w:val="24"/>
        </w:rPr>
        <w:t>评估报告日</w:t>
      </w:r>
      <w:bookmarkEnd w:id="58"/>
      <w:bookmarkEnd w:id="59"/>
      <w:bookmarkEnd w:id="60"/>
      <w:bookmarkEnd w:id="61"/>
      <w:bookmarkEnd w:id="62"/>
      <w:bookmarkEnd w:id="63"/>
    </w:p>
    <w:p>
      <w:pPr>
        <w:tabs>
          <w:tab w:val="left" w:pos="540"/>
        </w:tabs>
        <w:spacing w:line="360" w:lineRule="auto"/>
        <w:ind w:firstLine="480" w:firstLineChars="200"/>
        <w:outlineLvl w:val="0"/>
        <w:rPr>
          <w:rFonts w:hint="eastAsia" w:ascii="宋体" w:hAnsi="宋体" w:eastAsia="宋体" w:cs="宋体"/>
          <w:b/>
          <w:bCs/>
          <w:sz w:val="24"/>
        </w:rPr>
      </w:pPr>
      <w:bookmarkStart w:id="64" w:name="_Toc4697049"/>
      <w:bookmarkStart w:id="65" w:name="_Toc37185651"/>
      <w:bookmarkStart w:id="66" w:name="_Toc4697077"/>
      <w:bookmarkStart w:id="67" w:name="_Toc37185851"/>
      <w:r>
        <w:rPr>
          <w:rFonts w:hint="eastAsia" w:ascii="宋体" w:hAnsi="宋体" w:eastAsia="宋体" w:cs="宋体"/>
          <w:sz w:val="24"/>
          <w:lang w:eastAsia="zh-Hans"/>
        </w:rPr>
        <w:t>本</w:t>
      </w:r>
      <w:r>
        <w:rPr>
          <w:rFonts w:hint="eastAsia" w:ascii="宋体" w:hAnsi="宋体" w:eastAsia="宋体" w:cs="宋体"/>
          <w:sz w:val="24"/>
        </w:rPr>
        <w:t>评估报告的</w:t>
      </w:r>
      <w:r>
        <w:rPr>
          <w:rFonts w:hint="eastAsia" w:ascii="宋体" w:hAnsi="宋体" w:eastAsia="宋体" w:cs="宋体"/>
          <w:sz w:val="24"/>
          <w:lang w:eastAsia="zh-Hans"/>
        </w:rPr>
        <w:t>报告日为</w:t>
      </w:r>
      <w:r>
        <w:rPr>
          <w:rFonts w:hint="eastAsia" w:ascii="宋体" w:hAnsi="宋体" w:eastAsia="宋体" w:cs="宋体"/>
          <w:sz w:val="24"/>
        </w:rPr>
        <w:t>：</w:t>
      </w:r>
      <w:bookmarkEnd w:id="64"/>
      <w:bookmarkEnd w:id="65"/>
      <w:bookmarkEnd w:id="66"/>
      <w:bookmarkEnd w:id="67"/>
      <w:r>
        <w:rPr>
          <w:rFonts w:hint="eastAsia" w:ascii="宋体" w:hAnsi="宋体" w:eastAsia="宋体" w:cs="宋体"/>
          <w:sz w:val="24"/>
          <w:lang w:eastAsia="zh-CN"/>
        </w:rPr>
        <w:t>二〇二二年八月三十日</w:t>
      </w:r>
      <w:r>
        <w:rPr>
          <w:rFonts w:hint="eastAsia" w:ascii="宋体" w:hAnsi="宋体" w:eastAsia="宋体" w:cs="宋体"/>
          <w:sz w:val="24"/>
        </w:rPr>
        <w:t>。</w:t>
      </w:r>
      <w:bookmarkStart w:id="68" w:name="_Toc1782321859_WPSOffice_Level1"/>
    </w:p>
    <w:p>
      <w:pPr>
        <w:spacing w:line="360" w:lineRule="auto"/>
        <w:rPr>
          <w:rFonts w:hint="eastAsia" w:ascii="宋体" w:hAnsi="宋体" w:eastAsia="宋体" w:cs="宋体"/>
          <w:sz w:val="24"/>
        </w:rPr>
      </w:pPr>
      <w:r>
        <w:rPr>
          <w:rFonts w:hint="eastAsia" w:ascii="宋体" w:hAnsi="宋体" w:eastAsia="宋体" w:cs="宋体"/>
          <w:b/>
          <w:bCs/>
          <w:sz w:val="24"/>
        </w:rPr>
        <w:t>十四、 资产评估专业人员签名和资产评估机构印章</w:t>
      </w:r>
      <w:bookmarkEnd w:id="68"/>
    </w:p>
    <w:p>
      <w:pPr>
        <w:pStyle w:val="2"/>
        <w:rPr>
          <w:rFonts w:hint="eastAsia" w:ascii="宋体" w:hAnsi="宋体" w:eastAsia="宋体" w:cs="宋体"/>
          <w:sz w:val="24"/>
        </w:rPr>
      </w:pPr>
    </w:p>
    <w:p>
      <w:pPr>
        <w:spacing w:line="360" w:lineRule="auto"/>
        <w:rPr>
          <w:rFonts w:hint="eastAsia" w:ascii="宋体" w:hAnsi="宋体" w:eastAsia="宋体" w:cs="宋体"/>
          <w:sz w:val="24"/>
          <w:lang w:eastAsia="zh-CN"/>
        </w:rPr>
      </w:pPr>
      <w:r>
        <w:rPr>
          <w:rFonts w:hint="eastAsia" w:ascii="宋体" w:hAnsi="宋体" w:eastAsia="宋体" w:cs="宋体"/>
          <w:sz w:val="24"/>
        </w:rPr>
        <w:t>杭州富诚资产评估有限公司              资产评估师：</w:t>
      </w:r>
    </w:p>
    <w:p>
      <w:pPr>
        <w:spacing w:line="360" w:lineRule="auto"/>
        <w:ind w:firstLine="480" w:firstLineChars="200"/>
        <w:rPr>
          <w:rFonts w:hint="eastAsia" w:ascii="宋体" w:hAnsi="宋体" w:eastAsia="宋体" w:cs="宋体"/>
          <w:sz w:val="24"/>
        </w:rPr>
      </w:pPr>
    </w:p>
    <w:p>
      <w:pPr>
        <w:pStyle w:val="2"/>
        <w:rPr>
          <w:rFonts w:hint="eastAsia" w:ascii="宋体" w:hAnsi="宋体" w:eastAsia="宋体" w:cs="宋体"/>
        </w:rPr>
      </w:pPr>
    </w:p>
    <w:p>
      <w:pPr>
        <w:pStyle w:val="4"/>
        <w:spacing w:line="360" w:lineRule="auto"/>
        <w:ind w:firstLine="4588" w:firstLineChars="1912"/>
        <w:rPr>
          <w:rFonts w:hint="eastAsia" w:ascii="宋体" w:hAnsi="宋体" w:eastAsia="宋体" w:cs="宋体"/>
          <w:sz w:val="24"/>
          <w:szCs w:val="24"/>
        </w:rPr>
      </w:pPr>
      <w:r>
        <w:rPr>
          <w:rFonts w:hint="eastAsia" w:ascii="宋体" w:hAnsi="宋体" w:eastAsia="宋体" w:cs="宋体"/>
          <w:sz w:val="24"/>
          <w:szCs w:val="24"/>
        </w:rPr>
        <w:t xml:space="preserve">资产评估师：  </w:t>
      </w:r>
    </w:p>
    <w:p>
      <w:pPr>
        <w:spacing w:line="360" w:lineRule="auto"/>
        <w:ind w:firstLine="510"/>
        <w:rPr>
          <w:rFonts w:hint="eastAsia" w:ascii="宋体" w:hAnsi="宋体" w:eastAsia="宋体" w:cs="宋体"/>
          <w:sz w:val="24"/>
        </w:rPr>
      </w:pPr>
    </w:p>
    <w:p>
      <w:pPr>
        <w:spacing w:line="360" w:lineRule="auto"/>
        <w:ind w:firstLine="510"/>
        <w:rPr>
          <w:rFonts w:hint="eastAsia" w:ascii="宋体" w:hAnsi="宋体" w:eastAsia="宋体" w:cs="宋体"/>
          <w:sz w:val="24"/>
        </w:rPr>
      </w:pPr>
    </w:p>
    <w:p>
      <w:pPr>
        <w:spacing w:line="360" w:lineRule="auto"/>
        <w:ind w:firstLine="510"/>
        <w:rPr>
          <w:rFonts w:hint="eastAsia" w:ascii="宋体" w:hAnsi="宋体" w:eastAsia="宋体" w:cs="宋体"/>
          <w:sz w:val="44"/>
          <w:szCs w:val="44"/>
        </w:rPr>
      </w:pPr>
      <w:r>
        <w:rPr>
          <w:rFonts w:hint="eastAsia" w:ascii="宋体" w:hAnsi="宋体" w:eastAsia="宋体" w:cs="宋体"/>
          <w:sz w:val="24"/>
        </w:rPr>
        <w:t>浙江・杭州</w:t>
      </w:r>
      <w:bookmarkStart w:id="69" w:name="_Toc530299041"/>
      <w:bookmarkStart w:id="70" w:name="_Toc530303620"/>
      <w:r>
        <w:rPr>
          <w:rFonts w:hint="eastAsia" w:ascii="宋体" w:hAnsi="宋体" w:eastAsia="宋体" w:cs="宋体"/>
          <w:sz w:val="24"/>
        </w:rPr>
        <w:t xml:space="preserve">  </w:t>
      </w:r>
      <w:bookmarkEnd w:id="69"/>
      <w:bookmarkEnd w:id="70"/>
      <w:r>
        <w:rPr>
          <w:rFonts w:hint="eastAsia" w:ascii="宋体" w:hAnsi="宋体" w:eastAsia="宋体" w:cs="宋体"/>
          <w:sz w:val="24"/>
        </w:rPr>
        <w:t xml:space="preserve">                           </w:t>
      </w:r>
      <w:bookmarkStart w:id="71" w:name="_Toc37185852"/>
      <w:bookmarkStart w:id="72" w:name="_Toc234092210_WPSOffice_Level1"/>
      <w:r>
        <w:rPr>
          <w:rFonts w:hint="eastAsia" w:ascii="宋体" w:hAnsi="宋体" w:eastAsia="宋体" w:cs="宋体"/>
          <w:sz w:val="24"/>
          <w:lang w:eastAsia="zh-CN"/>
        </w:rPr>
        <w:t>二〇二二年八月三十日</w:t>
      </w:r>
    </w:p>
    <w:p>
      <w:pPr>
        <w:pStyle w:val="12"/>
        <w:jc w:val="center"/>
        <w:rPr>
          <w:rFonts w:hint="eastAsia" w:ascii="宋体" w:hAnsi="宋体" w:eastAsia="宋体" w:cs="宋体"/>
          <w:sz w:val="44"/>
          <w:szCs w:val="44"/>
        </w:rPr>
      </w:pPr>
    </w:p>
    <w:p>
      <w:pPr>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2"/>
        <w:rPr>
          <w:rFonts w:hint="eastAsia" w:ascii="宋体" w:hAnsi="宋体" w:eastAsia="宋体" w:cs="宋体"/>
          <w:sz w:val="44"/>
          <w:szCs w:val="44"/>
        </w:rPr>
      </w:pPr>
    </w:p>
    <w:p>
      <w:pPr>
        <w:pStyle w:val="12"/>
        <w:jc w:val="center"/>
        <w:rPr>
          <w:rFonts w:hint="eastAsia" w:ascii="宋体" w:hAnsi="宋体" w:eastAsia="宋体" w:cs="宋体"/>
          <w:sz w:val="44"/>
          <w:szCs w:val="44"/>
        </w:rPr>
      </w:pPr>
    </w:p>
    <w:p>
      <w:pPr>
        <w:pStyle w:val="12"/>
        <w:jc w:val="center"/>
        <w:rPr>
          <w:rFonts w:hint="eastAsia" w:ascii="宋体" w:hAnsi="宋体" w:eastAsia="宋体" w:cs="宋体"/>
          <w:sz w:val="44"/>
          <w:szCs w:val="44"/>
        </w:rPr>
      </w:pPr>
    </w:p>
    <w:p>
      <w:pPr>
        <w:pStyle w:val="12"/>
        <w:jc w:val="both"/>
        <w:rPr>
          <w:rFonts w:hint="eastAsia" w:ascii="宋体" w:hAnsi="宋体" w:eastAsia="宋体" w:cs="宋体"/>
          <w:sz w:val="44"/>
          <w:szCs w:val="44"/>
        </w:rPr>
      </w:pPr>
    </w:p>
    <w:p>
      <w:pPr>
        <w:pStyle w:val="12"/>
        <w:jc w:val="center"/>
        <w:rPr>
          <w:rFonts w:hint="eastAsia" w:ascii="宋体" w:hAnsi="宋体" w:eastAsia="宋体" w:cs="宋体"/>
          <w:sz w:val="44"/>
          <w:szCs w:val="44"/>
        </w:rPr>
      </w:pPr>
      <w:r>
        <w:rPr>
          <w:rFonts w:hint="eastAsia" w:ascii="宋体" w:hAnsi="宋体" w:eastAsia="宋体" w:cs="宋体"/>
          <w:sz w:val="44"/>
          <w:szCs w:val="44"/>
        </w:rPr>
        <w:t>备查文件目录</w:t>
      </w:r>
      <w:bookmarkEnd w:id="71"/>
      <w:bookmarkEnd w:id="72"/>
    </w:p>
    <w:p>
      <w:pPr>
        <w:tabs>
          <w:tab w:val="left" w:pos="540"/>
        </w:tabs>
        <w:spacing w:before="156" w:beforeLines="50" w:line="360" w:lineRule="auto"/>
        <w:jc w:val="center"/>
        <w:outlineLvl w:val="0"/>
        <w:rPr>
          <w:rFonts w:hint="eastAsia" w:ascii="宋体" w:hAnsi="宋体" w:eastAsia="宋体" w:cs="宋体"/>
          <w:b/>
          <w:sz w:val="44"/>
          <w:szCs w:val="44"/>
        </w:rPr>
      </w:pPr>
    </w:p>
    <w:p>
      <w:pPr>
        <w:tabs>
          <w:tab w:val="left" w:pos="900"/>
        </w:tabs>
        <w:spacing w:line="360" w:lineRule="auto"/>
        <w:ind w:left="750"/>
        <w:rPr>
          <w:rFonts w:hint="eastAsia" w:ascii="宋体" w:hAnsi="宋体" w:eastAsia="宋体" w:cs="宋体"/>
          <w:color w:val="000000"/>
          <w:w w:val="90"/>
          <w:sz w:val="28"/>
          <w:szCs w:val="28"/>
        </w:rPr>
      </w:pPr>
      <w:bookmarkStart w:id="73" w:name="_Toc197732166_WPSOffice_Level1"/>
      <w:r>
        <w:rPr>
          <w:rFonts w:hint="eastAsia" w:ascii="宋体" w:hAnsi="宋体" w:eastAsia="宋体" w:cs="宋体"/>
          <w:color w:val="000000"/>
          <w:w w:val="90"/>
          <w:sz w:val="28"/>
          <w:szCs w:val="28"/>
        </w:rPr>
        <w:t>1、资产评估汇总表及明细表</w:t>
      </w:r>
      <w:bookmarkEnd w:id="73"/>
    </w:p>
    <w:p>
      <w:pPr>
        <w:tabs>
          <w:tab w:val="left" w:pos="900"/>
        </w:tabs>
        <w:spacing w:line="360" w:lineRule="auto"/>
        <w:ind w:left="750"/>
        <w:jc w:val="left"/>
        <w:rPr>
          <w:rFonts w:hint="eastAsia" w:ascii="宋体" w:hAnsi="宋体" w:eastAsia="宋体" w:cs="宋体"/>
          <w:color w:val="000000"/>
          <w:w w:val="90"/>
          <w:sz w:val="28"/>
          <w:szCs w:val="28"/>
          <w:lang w:eastAsia="zh-CN"/>
        </w:rPr>
      </w:pPr>
      <w:bookmarkStart w:id="74" w:name="_Toc1127312053_WPSOffice_Level1"/>
      <w:r>
        <w:rPr>
          <w:rFonts w:hint="eastAsia" w:ascii="宋体" w:hAnsi="宋体" w:eastAsia="宋体" w:cs="宋体"/>
          <w:color w:val="000000"/>
          <w:w w:val="90"/>
          <w:sz w:val="28"/>
          <w:szCs w:val="28"/>
        </w:rPr>
        <w:t>2、</w:t>
      </w:r>
      <w:bookmarkEnd w:id="74"/>
      <w:r>
        <w:rPr>
          <w:rFonts w:hint="eastAsia" w:ascii="宋体" w:hAnsi="宋体" w:eastAsia="宋体" w:cs="宋体"/>
          <w:color w:val="000000"/>
          <w:w w:val="90"/>
          <w:sz w:val="28"/>
          <w:szCs w:val="28"/>
          <w:lang w:eastAsia="zh-CN"/>
        </w:rPr>
        <w:t>司法评估委托书</w:t>
      </w:r>
    </w:p>
    <w:p>
      <w:pPr>
        <w:tabs>
          <w:tab w:val="left" w:pos="900"/>
        </w:tabs>
        <w:spacing w:line="360" w:lineRule="auto"/>
        <w:ind w:left="750"/>
        <w:rPr>
          <w:rFonts w:hint="eastAsia" w:ascii="宋体" w:hAnsi="宋体" w:eastAsia="宋体" w:cs="宋体"/>
          <w:color w:val="000000"/>
          <w:w w:val="90"/>
          <w:sz w:val="28"/>
          <w:szCs w:val="28"/>
        </w:rPr>
      </w:pPr>
      <w:bookmarkStart w:id="75" w:name="_Toc45976280_WPSOffice_Level1"/>
      <w:r>
        <w:rPr>
          <w:rFonts w:hint="eastAsia" w:ascii="宋体" w:hAnsi="宋体" w:eastAsia="宋体" w:cs="宋体"/>
          <w:color w:val="000000"/>
          <w:w w:val="90"/>
          <w:sz w:val="28"/>
          <w:szCs w:val="28"/>
        </w:rPr>
        <w:t>3、资产评估对象权属资料</w:t>
      </w:r>
      <w:bookmarkEnd w:id="75"/>
    </w:p>
    <w:p>
      <w:pPr>
        <w:tabs>
          <w:tab w:val="left" w:pos="900"/>
        </w:tabs>
        <w:spacing w:line="360" w:lineRule="auto"/>
        <w:ind w:left="750"/>
        <w:rPr>
          <w:rFonts w:hint="eastAsia" w:ascii="宋体" w:hAnsi="宋体" w:eastAsia="宋体" w:cs="宋体"/>
          <w:color w:val="000000"/>
          <w:w w:val="90"/>
          <w:sz w:val="28"/>
          <w:szCs w:val="28"/>
        </w:rPr>
      </w:pPr>
      <w:bookmarkStart w:id="76" w:name="_Toc1776708687_WPSOffice_Level1"/>
      <w:r>
        <w:rPr>
          <w:rFonts w:hint="eastAsia" w:ascii="宋体" w:hAnsi="宋体" w:eastAsia="宋体" w:cs="宋体"/>
          <w:color w:val="000000"/>
          <w:w w:val="90"/>
          <w:sz w:val="28"/>
          <w:szCs w:val="28"/>
        </w:rPr>
        <w:t>4、资产评估对象部分实景照片</w:t>
      </w:r>
      <w:bookmarkEnd w:id="76"/>
    </w:p>
    <w:p>
      <w:pPr>
        <w:tabs>
          <w:tab w:val="left" w:pos="900"/>
        </w:tabs>
        <w:spacing w:line="360" w:lineRule="auto"/>
        <w:ind w:left="750"/>
        <w:rPr>
          <w:rFonts w:hint="eastAsia" w:ascii="宋体" w:hAnsi="宋体" w:eastAsia="宋体" w:cs="宋体"/>
          <w:color w:val="000000"/>
          <w:w w:val="90"/>
          <w:sz w:val="28"/>
          <w:szCs w:val="28"/>
        </w:rPr>
      </w:pPr>
      <w:bookmarkStart w:id="77" w:name="_Toc1852696553_WPSOffice_Level1"/>
      <w:r>
        <w:rPr>
          <w:rFonts w:hint="eastAsia" w:ascii="宋体" w:hAnsi="宋体" w:eastAsia="宋体" w:cs="宋体"/>
          <w:color w:val="000000"/>
          <w:w w:val="90"/>
          <w:sz w:val="28"/>
          <w:szCs w:val="28"/>
        </w:rPr>
        <w:t>5、资产评估师承诺函</w:t>
      </w:r>
      <w:bookmarkEnd w:id="77"/>
    </w:p>
    <w:p>
      <w:pPr>
        <w:tabs>
          <w:tab w:val="left" w:pos="900"/>
        </w:tabs>
        <w:spacing w:line="360" w:lineRule="auto"/>
        <w:ind w:left="750"/>
        <w:rPr>
          <w:rFonts w:hint="eastAsia" w:ascii="宋体" w:hAnsi="宋体" w:eastAsia="宋体" w:cs="宋体"/>
          <w:color w:val="000000"/>
          <w:w w:val="90"/>
          <w:sz w:val="28"/>
          <w:szCs w:val="28"/>
        </w:rPr>
      </w:pPr>
      <w:bookmarkStart w:id="78" w:name="_Toc1905568418_WPSOffice_Level1"/>
      <w:r>
        <w:rPr>
          <w:rFonts w:hint="eastAsia" w:ascii="宋体" w:hAnsi="宋体" w:eastAsia="宋体" w:cs="宋体"/>
          <w:color w:val="000000"/>
          <w:w w:val="90"/>
          <w:sz w:val="28"/>
          <w:szCs w:val="28"/>
        </w:rPr>
        <w:t>6、资产评估人员资格证书复印件</w:t>
      </w:r>
      <w:bookmarkEnd w:id="78"/>
    </w:p>
    <w:p>
      <w:pPr>
        <w:tabs>
          <w:tab w:val="left" w:pos="900"/>
        </w:tabs>
        <w:spacing w:line="360" w:lineRule="auto"/>
        <w:ind w:left="750"/>
        <w:rPr>
          <w:rFonts w:hint="eastAsia" w:ascii="宋体" w:hAnsi="宋体" w:eastAsia="宋体" w:cs="宋体"/>
          <w:color w:val="000000"/>
          <w:w w:val="90"/>
          <w:sz w:val="28"/>
          <w:szCs w:val="28"/>
        </w:rPr>
      </w:pPr>
      <w:bookmarkStart w:id="79" w:name="_Toc1464773615_WPSOffice_Level1"/>
      <w:r>
        <w:rPr>
          <w:rFonts w:hint="eastAsia" w:ascii="宋体" w:hAnsi="宋体" w:eastAsia="宋体" w:cs="宋体"/>
          <w:color w:val="000000"/>
          <w:w w:val="90"/>
          <w:sz w:val="28"/>
          <w:szCs w:val="28"/>
        </w:rPr>
        <w:t>7、资产评估机构营业执照复印件</w:t>
      </w:r>
      <w:bookmarkEnd w:id="79"/>
    </w:p>
    <w:p>
      <w:pPr>
        <w:tabs>
          <w:tab w:val="left" w:pos="900"/>
        </w:tabs>
        <w:spacing w:line="360" w:lineRule="auto"/>
        <w:ind w:left="750"/>
        <w:jc w:val="left"/>
        <w:rPr>
          <w:rFonts w:hint="eastAsia" w:ascii="宋体" w:hAnsi="宋体" w:eastAsia="宋体" w:cs="宋体"/>
          <w:color w:val="000000"/>
          <w:sz w:val="28"/>
          <w:szCs w:val="28"/>
        </w:rPr>
      </w:pPr>
      <w:bookmarkStart w:id="80" w:name="_Toc1845101744_WPSOffice_Level1"/>
      <w:r>
        <w:rPr>
          <w:rFonts w:hint="eastAsia" w:ascii="宋体" w:hAnsi="宋体" w:eastAsia="宋体" w:cs="宋体"/>
          <w:color w:val="000000"/>
          <w:w w:val="90"/>
          <w:sz w:val="28"/>
          <w:szCs w:val="28"/>
        </w:rPr>
        <w:t>8、资产评估机构备案公告复印件</w:t>
      </w:r>
      <w:bookmarkEnd w:id="80"/>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bCs/>
          <w:sz w:val="52"/>
          <w:szCs w:val="52"/>
        </w:rPr>
      </w:pPr>
    </w:p>
    <w:p>
      <w:pPr>
        <w:pStyle w:val="2"/>
        <w:tabs>
          <w:tab w:val="right" w:pos="8306"/>
        </w:tabs>
        <w:jc w:val="right"/>
        <w:rPr>
          <w:rFonts w:hint="eastAsia" w:ascii="宋体" w:hAnsi="宋体" w:eastAsia="宋体" w:cs="宋体"/>
          <w:spacing w:val="4"/>
          <w:sz w:val="28"/>
        </w:rPr>
      </w:pPr>
    </w:p>
    <w:p>
      <w:pPr>
        <w:jc w:val="center"/>
        <w:rPr>
          <w:rFonts w:hint="eastAsia" w:ascii="黑体" w:eastAsia="黑体"/>
          <w:bCs/>
          <w:sz w:val="44"/>
        </w:rPr>
      </w:pPr>
      <w:r>
        <w:rPr>
          <w:rFonts w:hint="eastAsia" w:ascii="黑体" w:eastAsia="黑体"/>
          <w:bCs/>
          <w:sz w:val="44"/>
        </w:rPr>
        <w:t>资产评估机构及评估师承诺函</w:t>
      </w:r>
    </w:p>
    <w:p>
      <w:pPr>
        <w:rPr>
          <w:rFonts w:hint="eastAsia"/>
          <w:sz w:val="28"/>
          <w:u w:val="single"/>
        </w:rPr>
      </w:pPr>
    </w:p>
    <w:p>
      <w:pPr>
        <w:spacing w:line="360" w:lineRule="auto"/>
        <w:rPr>
          <w:rFonts w:hint="eastAsia"/>
          <w:sz w:val="28"/>
          <w:szCs w:val="28"/>
        </w:rPr>
      </w:pPr>
      <w:r>
        <w:rPr>
          <w:rFonts w:hint="eastAsia"/>
          <w:sz w:val="28"/>
          <w:szCs w:val="28"/>
          <w:lang w:eastAsia="zh-CN"/>
        </w:rPr>
        <w:t>杭州市富阳区</w:t>
      </w:r>
      <w:r>
        <w:rPr>
          <w:rFonts w:hint="eastAsia"/>
          <w:sz w:val="28"/>
          <w:szCs w:val="28"/>
        </w:rPr>
        <w:t>人民法院：</w:t>
      </w:r>
    </w:p>
    <w:p>
      <w:pPr>
        <w:spacing w:line="360" w:lineRule="auto"/>
        <w:ind w:firstLine="560" w:firstLineChars="200"/>
        <w:rPr>
          <w:rFonts w:hint="eastAsia" w:ascii="黑体" w:eastAsia="黑体"/>
          <w:sz w:val="28"/>
          <w:szCs w:val="28"/>
        </w:rPr>
      </w:pPr>
      <w:bookmarkStart w:id="81" w:name="_Toc12449567"/>
      <w:r>
        <w:rPr>
          <w:sz w:val="28"/>
          <w:szCs w:val="28"/>
        </w:rPr>
        <w:t>我们</w:t>
      </w:r>
      <w:r>
        <w:rPr>
          <w:rFonts w:hint="eastAsia"/>
          <w:sz w:val="28"/>
          <w:szCs w:val="28"/>
        </w:rPr>
        <w:t>接受</w:t>
      </w:r>
      <w:r>
        <w:rPr>
          <w:sz w:val="28"/>
          <w:szCs w:val="28"/>
        </w:rPr>
        <w:t>贵</w:t>
      </w:r>
      <w:r>
        <w:rPr>
          <w:rFonts w:hint="eastAsia"/>
          <w:sz w:val="28"/>
          <w:szCs w:val="28"/>
        </w:rPr>
        <w:t>单位的委托，依据</w:t>
      </w:r>
      <w:r>
        <w:rPr>
          <w:rFonts w:hint="eastAsia"/>
          <w:sz w:val="28"/>
          <w:szCs w:val="28"/>
          <w:lang w:eastAsia="zh-CN"/>
        </w:rPr>
        <w:t>（2022）杭富法委评字第93号</w:t>
      </w:r>
      <w:r>
        <w:rPr>
          <w:rFonts w:hint="eastAsia"/>
          <w:sz w:val="28"/>
          <w:szCs w:val="28"/>
        </w:rPr>
        <w:t>委托书，对涉案资产</w:t>
      </w:r>
      <w:r>
        <w:rPr>
          <w:sz w:val="28"/>
          <w:szCs w:val="28"/>
        </w:rPr>
        <w:t>进</w:t>
      </w:r>
      <w:r>
        <w:rPr>
          <w:rFonts w:hint="eastAsia"/>
          <w:sz w:val="28"/>
          <w:szCs w:val="28"/>
        </w:rPr>
        <w:t>行了</w:t>
      </w:r>
      <w:r>
        <w:rPr>
          <w:sz w:val="28"/>
          <w:szCs w:val="28"/>
        </w:rPr>
        <w:t>认</w:t>
      </w:r>
      <w:r>
        <w:rPr>
          <w:rFonts w:hint="eastAsia"/>
          <w:sz w:val="28"/>
          <w:szCs w:val="28"/>
        </w:rPr>
        <w:t>真的清查、核</w:t>
      </w:r>
      <w:r>
        <w:rPr>
          <w:sz w:val="28"/>
          <w:szCs w:val="28"/>
        </w:rPr>
        <w:t>实</w:t>
      </w:r>
      <w:r>
        <w:rPr>
          <w:rFonts w:hint="eastAsia"/>
          <w:sz w:val="28"/>
          <w:szCs w:val="28"/>
        </w:rPr>
        <w:t>、</w:t>
      </w:r>
      <w:r>
        <w:rPr>
          <w:sz w:val="28"/>
          <w:szCs w:val="28"/>
        </w:rPr>
        <w:t>评</w:t>
      </w:r>
      <w:r>
        <w:rPr>
          <w:rFonts w:hint="eastAsia"/>
          <w:sz w:val="28"/>
          <w:szCs w:val="28"/>
        </w:rPr>
        <w:t>定估算，并形成了</w:t>
      </w:r>
      <w:r>
        <w:rPr>
          <w:sz w:val="28"/>
          <w:szCs w:val="28"/>
        </w:rPr>
        <w:t>资产评</w:t>
      </w:r>
      <w:r>
        <w:rPr>
          <w:rFonts w:hint="eastAsia"/>
          <w:sz w:val="28"/>
          <w:szCs w:val="28"/>
        </w:rPr>
        <w:t>估</w:t>
      </w:r>
      <w:r>
        <w:rPr>
          <w:sz w:val="28"/>
          <w:szCs w:val="28"/>
        </w:rPr>
        <w:t>报</w:t>
      </w:r>
      <w:r>
        <w:rPr>
          <w:rFonts w:hint="eastAsia"/>
          <w:sz w:val="28"/>
          <w:szCs w:val="28"/>
        </w:rPr>
        <w:t>告</w:t>
      </w:r>
      <w:r>
        <w:rPr>
          <w:sz w:val="28"/>
          <w:szCs w:val="28"/>
        </w:rPr>
        <w:t>书</w:t>
      </w:r>
      <w:r>
        <w:rPr>
          <w:rFonts w:hint="eastAsia"/>
          <w:sz w:val="28"/>
          <w:szCs w:val="28"/>
        </w:rPr>
        <w:t>，在假</w:t>
      </w:r>
      <w:r>
        <w:rPr>
          <w:sz w:val="28"/>
          <w:szCs w:val="28"/>
        </w:rPr>
        <w:t>设条</w:t>
      </w:r>
      <w:r>
        <w:rPr>
          <w:rFonts w:hint="eastAsia"/>
          <w:sz w:val="28"/>
          <w:szCs w:val="28"/>
        </w:rPr>
        <w:t>件成立的情</w:t>
      </w:r>
      <w:r>
        <w:rPr>
          <w:sz w:val="28"/>
          <w:szCs w:val="28"/>
        </w:rPr>
        <w:t>况</w:t>
      </w:r>
      <w:r>
        <w:rPr>
          <w:rFonts w:hint="eastAsia"/>
          <w:sz w:val="28"/>
          <w:szCs w:val="28"/>
        </w:rPr>
        <w:t>下，</w:t>
      </w:r>
      <w:r>
        <w:rPr>
          <w:sz w:val="28"/>
          <w:szCs w:val="28"/>
        </w:rPr>
        <w:t>我们对资产评估结</w:t>
      </w:r>
      <w:r>
        <w:rPr>
          <w:rFonts w:hint="eastAsia"/>
          <w:sz w:val="28"/>
          <w:szCs w:val="28"/>
        </w:rPr>
        <w:t>果承</w:t>
      </w:r>
      <w:r>
        <w:rPr>
          <w:sz w:val="28"/>
          <w:szCs w:val="28"/>
        </w:rPr>
        <w:t>诺</w:t>
      </w:r>
      <w:r>
        <w:rPr>
          <w:rFonts w:hint="eastAsia"/>
          <w:sz w:val="28"/>
          <w:szCs w:val="28"/>
        </w:rPr>
        <w:t>如下，并承</w:t>
      </w:r>
      <w:r>
        <w:rPr>
          <w:sz w:val="28"/>
          <w:szCs w:val="28"/>
        </w:rPr>
        <w:t>担</w:t>
      </w:r>
      <w:r>
        <w:rPr>
          <w:rFonts w:hint="eastAsia"/>
          <w:sz w:val="28"/>
          <w:szCs w:val="28"/>
        </w:rPr>
        <w:t>相</w:t>
      </w:r>
      <w:r>
        <w:rPr>
          <w:sz w:val="28"/>
          <w:szCs w:val="28"/>
        </w:rPr>
        <w:t>应</w:t>
      </w:r>
      <w:r>
        <w:rPr>
          <w:rFonts w:hint="eastAsia"/>
          <w:sz w:val="28"/>
          <w:szCs w:val="28"/>
        </w:rPr>
        <w:t>的法律</w:t>
      </w:r>
      <w:r>
        <w:rPr>
          <w:sz w:val="28"/>
          <w:szCs w:val="28"/>
        </w:rPr>
        <w:t>责</w:t>
      </w:r>
      <w:r>
        <w:rPr>
          <w:rFonts w:hint="eastAsia"/>
          <w:sz w:val="28"/>
          <w:szCs w:val="28"/>
        </w:rPr>
        <w:t>任：</w:t>
      </w:r>
      <w:bookmarkEnd w:id="81"/>
    </w:p>
    <w:p>
      <w:pPr>
        <w:spacing w:line="360" w:lineRule="auto"/>
        <w:rPr>
          <w:rFonts w:hint="eastAsia"/>
          <w:sz w:val="28"/>
          <w:szCs w:val="28"/>
        </w:rPr>
      </w:pPr>
      <w:r>
        <w:rPr>
          <w:sz w:val="28"/>
          <w:szCs w:val="28"/>
        </w:rPr>
        <w:t xml:space="preserve">     1</w:t>
      </w:r>
      <w:r>
        <w:rPr>
          <w:rFonts w:hint="eastAsia"/>
          <w:sz w:val="28"/>
          <w:szCs w:val="28"/>
        </w:rPr>
        <w:t>、</w:t>
      </w:r>
      <w:r>
        <w:rPr>
          <w:sz w:val="28"/>
          <w:szCs w:val="28"/>
        </w:rPr>
        <w:t>资产评</w:t>
      </w:r>
      <w:r>
        <w:rPr>
          <w:rFonts w:hint="eastAsia"/>
          <w:sz w:val="28"/>
          <w:szCs w:val="28"/>
        </w:rPr>
        <w:t>估范</w:t>
      </w:r>
      <w:r>
        <w:rPr>
          <w:sz w:val="28"/>
          <w:szCs w:val="28"/>
        </w:rPr>
        <w:t>围</w:t>
      </w:r>
      <w:r>
        <w:rPr>
          <w:rFonts w:hint="eastAsia"/>
          <w:sz w:val="28"/>
          <w:szCs w:val="28"/>
        </w:rPr>
        <w:t>与</w:t>
      </w:r>
      <w:r>
        <w:rPr>
          <w:sz w:val="28"/>
          <w:szCs w:val="28"/>
        </w:rPr>
        <w:t>经济</w:t>
      </w:r>
      <w:r>
        <w:rPr>
          <w:rFonts w:hint="eastAsia"/>
          <w:sz w:val="28"/>
          <w:szCs w:val="28"/>
        </w:rPr>
        <w:t>行</w:t>
      </w:r>
      <w:r>
        <w:rPr>
          <w:sz w:val="28"/>
          <w:szCs w:val="28"/>
        </w:rPr>
        <w:t>为</w:t>
      </w:r>
      <w:r>
        <w:rPr>
          <w:rFonts w:hint="eastAsia"/>
          <w:sz w:val="28"/>
          <w:szCs w:val="28"/>
        </w:rPr>
        <w:t>所涉及的</w:t>
      </w:r>
      <w:r>
        <w:rPr>
          <w:sz w:val="28"/>
          <w:szCs w:val="28"/>
        </w:rPr>
        <w:t>资产</w:t>
      </w:r>
      <w:r>
        <w:rPr>
          <w:rFonts w:hint="eastAsia"/>
          <w:sz w:val="28"/>
          <w:szCs w:val="28"/>
        </w:rPr>
        <w:t>范</w:t>
      </w:r>
      <w:r>
        <w:rPr>
          <w:sz w:val="28"/>
          <w:szCs w:val="28"/>
        </w:rPr>
        <w:t>围</w:t>
      </w:r>
      <w:r>
        <w:rPr>
          <w:rFonts w:hint="eastAsia"/>
          <w:sz w:val="28"/>
          <w:szCs w:val="28"/>
        </w:rPr>
        <w:t>一致，未重未漏；</w:t>
      </w:r>
    </w:p>
    <w:p>
      <w:pPr>
        <w:spacing w:line="360" w:lineRule="auto"/>
        <w:rPr>
          <w:rFonts w:hint="eastAsia"/>
          <w:sz w:val="28"/>
          <w:szCs w:val="28"/>
        </w:rPr>
      </w:pPr>
      <w:r>
        <w:rPr>
          <w:sz w:val="28"/>
          <w:szCs w:val="28"/>
        </w:rPr>
        <w:t xml:space="preserve">     2</w:t>
      </w:r>
      <w:r>
        <w:rPr>
          <w:rFonts w:hint="eastAsia"/>
          <w:sz w:val="28"/>
          <w:szCs w:val="28"/>
        </w:rPr>
        <w:t>、</w:t>
      </w:r>
      <w:r>
        <w:rPr>
          <w:sz w:val="28"/>
          <w:szCs w:val="28"/>
        </w:rPr>
        <w:t>对</w:t>
      </w:r>
      <w:r>
        <w:rPr>
          <w:rFonts w:hint="eastAsia"/>
          <w:sz w:val="28"/>
          <w:szCs w:val="28"/>
        </w:rPr>
        <w:t>涉及</w:t>
      </w:r>
      <w:r>
        <w:rPr>
          <w:sz w:val="28"/>
          <w:szCs w:val="28"/>
        </w:rPr>
        <w:t>评</w:t>
      </w:r>
      <w:r>
        <w:rPr>
          <w:rFonts w:hint="eastAsia"/>
          <w:sz w:val="28"/>
          <w:szCs w:val="28"/>
        </w:rPr>
        <w:t>估的</w:t>
      </w:r>
      <w:r>
        <w:rPr>
          <w:sz w:val="28"/>
          <w:szCs w:val="28"/>
        </w:rPr>
        <w:t>资产进</w:t>
      </w:r>
      <w:r>
        <w:rPr>
          <w:rFonts w:hint="eastAsia"/>
          <w:sz w:val="28"/>
          <w:szCs w:val="28"/>
        </w:rPr>
        <w:t>行了合理的抽查、核</w:t>
      </w:r>
      <w:r>
        <w:rPr>
          <w:sz w:val="28"/>
          <w:szCs w:val="28"/>
        </w:rPr>
        <w:t>实</w:t>
      </w:r>
      <w:r>
        <w:rPr>
          <w:rFonts w:hint="eastAsia"/>
          <w:sz w:val="28"/>
          <w:szCs w:val="28"/>
        </w:rPr>
        <w:t>；</w:t>
      </w:r>
    </w:p>
    <w:p>
      <w:pPr>
        <w:spacing w:line="360" w:lineRule="auto"/>
        <w:rPr>
          <w:rFonts w:hint="eastAsia"/>
          <w:sz w:val="28"/>
          <w:szCs w:val="28"/>
        </w:rPr>
      </w:pPr>
      <w:r>
        <w:rPr>
          <w:sz w:val="28"/>
          <w:szCs w:val="28"/>
        </w:rPr>
        <w:t xml:space="preserve">     3</w:t>
      </w:r>
      <w:r>
        <w:rPr>
          <w:rFonts w:hint="eastAsia"/>
          <w:sz w:val="28"/>
          <w:szCs w:val="28"/>
        </w:rPr>
        <w:t>、</w:t>
      </w:r>
      <w:r>
        <w:rPr>
          <w:sz w:val="28"/>
          <w:szCs w:val="28"/>
        </w:rPr>
        <w:t>评</w:t>
      </w:r>
      <w:r>
        <w:rPr>
          <w:rFonts w:hint="eastAsia"/>
          <w:sz w:val="28"/>
          <w:szCs w:val="28"/>
        </w:rPr>
        <w:t>估方法</w:t>
      </w:r>
      <w:r>
        <w:rPr>
          <w:sz w:val="28"/>
          <w:szCs w:val="28"/>
        </w:rPr>
        <w:t>选用恰当</w:t>
      </w:r>
      <w:r>
        <w:rPr>
          <w:rFonts w:hint="eastAsia"/>
          <w:sz w:val="28"/>
          <w:szCs w:val="28"/>
        </w:rPr>
        <w:t>，</w:t>
      </w:r>
      <w:r>
        <w:rPr>
          <w:sz w:val="28"/>
          <w:szCs w:val="28"/>
        </w:rPr>
        <w:t>选用</w:t>
      </w:r>
      <w:r>
        <w:rPr>
          <w:rFonts w:hint="eastAsia"/>
          <w:sz w:val="28"/>
          <w:szCs w:val="28"/>
        </w:rPr>
        <w:t>的</w:t>
      </w:r>
      <w:r>
        <w:rPr>
          <w:sz w:val="28"/>
          <w:szCs w:val="28"/>
        </w:rPr>
        <w:t>参照数</w:t>
      </w:r>
      <w:r>
        <w:rPr>
          <w:rFonts w:hint="eastAsia"/>
          <w:sz w:val="28"/>
          <w:szCs w:val="28"/>
        </w:rPr>
        <w:t>据、</w:t>
      </w:r>
      <w:r>
        <w:rPr>
          <w:sz w:val="28"/>
          <w:szCs w:val="28"/>
        </w:rPr>
        <w:t>数</w:t>
      </w:r>
      <w:r>
        <w:rPr>
          <w:rFonts w:hint="eastAsia"/>
          <w:sz w:val="28"/>
          <w:szCs w:val="28"/>
        </w:rPr>
        <w:t>据可靠；</w:t>
      </w:r>
    </w:p>
    <w:p>
      <w:pPr>
        <w:spacing w:line="360" w:lineRule="auto"/>
        <w:rPr>
          <w:rFonts w:hint="eastAsia"/>
          <w:sz w:val="28"/>
          <w:szCs w:val="28"/>
        </w:rPr>
      </w:pPr>
      <w:r>
        <w:rPr>
          <w:sz w:val="28"/>
          <w:szCs w:val="28"/>
        </w:rPr>
        <w:t xml:space="preserve">     4</w:t>
      </w:r>
      <w:r>
        <w:rPr>
          <w:rFonts w:hint="eastAsia"/>
          <w:sz w:val="28"/>
          <w:szCs w:val="28"/>
        </w:rPr>
        <w:t>、影</w:t>
      </w:r>
      <w:r>
        <w:rPr>
          <w:sz w:val="28"/>
          <w:szCs w:val="28"/>
        </w:rPr>
        <w:t>响资产评</w:t>
      </w:r>
      <w:r>
        <w:rPr>
          <w:rFonts w:hint="eastAsia"/>
          <w:sz w:val="28"/>
          <w:szCs w:val="28"/>
        </w:rPr>
        <w:t>估价值的因素考</w:t>
      </w:r>
      <w:r>
        <w:rPr>
          <w:sz w:val="28"/>
          <w:szCs w:val="28"/>
        </w:rPr>
        <w:t>虑</w:t>
      </w:r>
      <w:r>
        <w:rPr>
          <w:rFonts w:hint="eastAsia"/>
          <w:sz w:val="28"/>
          <w:szCs w:val="28"/>
        </w:rPr>
        <w:t>周全；</w:t>
      </w:r>
    </w:p>
    <w:p>
      <w:pPr>
        <w:spacing w:line="360" w:lineRule="auto"/>
        <w:rPr>
          <w:rFonts w:hint="eastAsia"/>
          <w:sz w:val="28"/>
          <w:szCs w:val="28"/>
        </w:rPr>
      </w:pPr>
      <w:r>
        <w:rPr>
          <w:sz w:val="28"/>
          <w:szCs w:val="28"/>
        </w:rPr>
        <w:t xml:space="preserve">     5</w:t>
      </w:r>
      <w:r>
        <w:rPr>
          <w:rFonts w:hint="eastAsia"/>
          <w:sz w:val="28"/>
          <w:szCs w:val="28"/>
        </w:rPr>
        <w:t>、</w:t>
      </w:r>
      <w:r>
        <w:rPr>
          <w:sz w:val="28"/>
          <w:szCs w:val="28"/>
        </w:rPr>
        <w:t>资产评估结</w:t>
      </w:r>
      <w:r>
        <w:rPr>
          <w:rFonts w:hint="eastAsia"/>
          <w:sz w:val="28"/>
          <w:szCs w:val="28"/>
        </w:rPr>
        <w:t>果客</w:t>
      </w:r>
      <w:r>
        <w:rPr>
          <w:sz w:val="28"/>
          <w:szCs w:val="28"/>
        </w:rPr>
        <w:t>观</w:t>
      </w:r>
      <w:r>
        <w:rPr>
          <w:rFonts w:hint="eastAsia"/>
          <w:sz w:val="28"/>
          <w:szCs w:val="28"/>
        </w:rPr>
        <w:t>、公允；</w:t>
      </w:r>
    </w:p>
    <w:p>
      <w:pPr>
        <w:spacing w:line="360" w:lineRule="auto"/>
        <w:rPr>
          <w:rFonts w:hint="eastAsia" w:ascii="宋体" w:hAnsi="宋体"/>
          <w:sz w:val="28"/>
        </w:rPr>
      </w:pPr>
      <w:r>
        <w:rPr>
          <w:sz w:val="28"/>
          <w:szCs w:val="28"/>
        </w:rPr>
        <w:t xml:space="preserve">     6</w:t>
      </w:r>
      <w:r>
        <w:rPr>
          <w:rFonts w:hint="eastAsia"/>
          <w:sz w:val="28"/>
          <w:szCs w:val="28"/>
        </w:rPr>
        <w:t>、</w:t>
      </w:r>
      <w:r>
        <w:rPr>
          <w:sz w:val="28"/>
          <w:szCs w:val="28"/>
        </w:rPr>
        <w:t>评</w:t>
      </w:r>
      <w:r>
        <w:rPr>
          <w:rFonts w:hint="eastAsia"/>
          <w:sz w:val="28"/>
          <w:szCs w:val="28"/>
        </w:rPr>
        <w:t>估工作未受任何</w:t>
      </w:r>
      <w:r>
        <w:rPr>
          <w:sz w:val="28"/>
          <w:szCs w:val="28"/>
        </w:rPr>
        <w:t>人为干预</w:t>
      </w:r>
      <w:r>
        <w:rPr>
          <w:rFonts w:hint="eastAsia"/>
          <w:sz w:val="28"/>
          <w:szCs w:val="28"/>
        </w:rPr>
        <w:t>并</w:t>
      </w:r>
      <w:r>
        <w:rPr>
          <w:sz w:val="28"/>
          <w:szCs w:val="28"/>
        </w:rPr>
        <w:t>独</w:t>
      </w:r>
      <w:r>
        <w:rPr>
          <w:rFonts w:hint="eastAsia"/>
          <w:sz w:val="28"/>
          <w:szCs w:val="28"/>
        </w:rPr>
        <w:t>立</w:t>
      </w:r>
      <w:r>
        <w:rPr>
          <w:sz w:val="28"/>
          <w:szCs w:val="28"/>
        </w:rPr>
        <w:t>进</w:t>
      </w:r>
      <w:r>
        <w:rPr>
          <w:rFonts w:hint="eastAsia"/>
          <w:sz w:val="28"/>
          <w:szCs w:val="28"/>
        </w:rPr>
        <w:t>行。</w:t>
      </w:r>
    </w:p>
    <w:p>
      <w:pPr>
        <w:rPr>
          <w:rFonts w:hint="eastAsia" w:ascii="宋体" w:hAnsi="宋体"/>
          <w:sz w:val="28"/>
        </w:rPr>
      </w:pPr>
    </w:p>
    <w:p>
      <w:pPr>
        <w:rPr>
          <w:rFonts w:hint="eastAsia" w:ascii="宋体" w:hAnsi="宋体"/>
          <w:sz w:val="28"/>
        </w:rPr>
      </w:pPr>
      <w:r>
        <w:rPr>
          <w:rFonts w:hint="eastAsia" w:ascii="宋体" w:hAnsi="宋体"/>
          <w:sz w:val="28"/>
        </w:rPr>
        <w:t>杭州富诚资产评估有限公司</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p>
    <w:p>
      <w:pPr>
        <w:pStyle w:val="2"/>
        <w:rPr>
          <w:rFonts w:hint="eastAsia"/>
        </w:rPr>
      </w:pPr>
    </w:p>
    <w:p>
      <w:pPr>
        <w:ind w:firstLine="840" w:firstLineChars="300"/>
        <w:rPr>
          <w:rFonts w:hint="eastAsia" w:ascii="宋体" w:hAnsi="宋体"/>
          <w:sz w:val="28"/>
        </w:rPr>
      </w:pPr>
      <w:r>
        <w:rPr>
          <w:rFonts w:hint="eastAsia" w:ascii="宋体" w:hAnsi="宋体"/>
          <w:sz w:val="28"/>
        </w:rPr>
        <w:t>中</w:t>
      </w:r>
      <w:r>
        <w:rPr>
          <w:rFonts w:ascii="宋体" w:hAnsi="宋体"/>
          <w:sz w:val="28"/>
        </w:rPr>
        <w:t>国</w:t>
      </w:r>
      <w:r>
        <w:rPr>
          <w:rFonts w:hint="eastAsia" w:ascii="宋体" w:hAnsi="宋体"/>
          <w:sz w:val="28"/>
        </w:rPr>
        <w:t>·杭州</w:t>
      </w:r>
      <w:r>
        <w:rPr>
          <w:rFonts w:ascii="宋体" w:hAnsi="宋体"/>
          <w:sz w:val="28"/>
        </w:rPr>
        <w:t xml:space="preserve">                           </w:t>
      </w:r>
      <w:r>
        <w:rPr>
          <w:rFonts w:hint="eastAsia" w:ascii="宋体" w:hAnsi="宋体"/>
          <w:sz w:val="28"/>
        </w:rPr>
        <w:t xml:space="preserve">资产评估师： </w:t>
      </w:r>
    </w:p>
    <w:p>
      <w:pPr>
        <w:rPr>
          <w:rFonts w:hint="eastAsia" w:ascii="宋体" w:hAnsi="宋体"/>
          <w:sz w:val="28"/>
        </w:rPr>
      </w:pPr>
      <w:r>
        <w:rPr>
          <w:rFonts w:hint="eastAsia" w:ascii="宋体" w:hAnsi="宋体"/>
          <w:sz w:val="28"/>
        </w:rPr>
        <w:t xml:space="preserve">    </w:t>
      </w:r>
    </w:p>
    <w:p>
      <w:pPr>
        <w:rPr>
          <w:rFonts w:hint="eastAsia" w:ascii="宋体" w:hAnsi="宋体"/>
          <w:sz w:val="28"/>
        </w:rPr>
      </w:pPr>
      <w:r>
        <w:rPr>
          <w:rFonts w:hint="eastAsia" w:ascii="宋体" w:hAnsi="宋体"/>
          <w:sz w:val="28"/>
        </w:rPr>
        <w:t xml:space="preserve">           </w:t>
      </w:r>
    </w:p>
    <w:p>
      <w:pPr>
        <w:pStyle w:val="2"/>
        <w:tabs>
          <w:tab w:val="right" w:pos="8306"/>
        </w:tabs>
        <w:jc w:val="right"/>
        <w:rPr>
          <w:rFonts w:hint="eastAsia" w:ascii="宋体" w:hAnsi="宋体" w:eastAsia="宋体" w:cs="宋体"/>
          <w:spacing w:val="4"/>
          <w:sz w:val="28"/>
          <w:lang w:eastAsia="zh-CN"/>
        </w:rPr>
      </w:pPr>
      <w:r>
        <w:rPr>
          <w:rFonts w:ascii="宋体" w:hAnsi="宋体"/>
          <w:sz w:val="28"/>
        </w:rPr>
        <w:t xml:space="preserve">                                     </w:t>
      </w:r>
      <w:r>
        <w:rPr>
          <w:rFonts w:hint="eastAsia" w:ascii="宋体" w:hAnsi="宋体"/>
          <w:sz w:val="28"/>
        </w:rPr>
        <w:t>日期：2022年</w:t>
      </w:r>
      <w:r>
        <w:rPr>
          <w:rFonts w:hint="eastAsia" w:hAnsi="宋体"/>
          <w:sz w:val="28"/>
          <w:lang w:eastAsia="zh-CN"/>
        </w:rPr>
        <w:t>8月19日</w:t>
      </w: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spacing w:val="4"/>
          <w:sz w:val="28"/>
        </w:rPr>
      </w:pPr>
    </w:p>
    <w:p>
      <w:pPr>
        <w:pStyle w:val="2"/>
        <w:tabs>
          <w:tab w:val="right" w:pos="8306"/>
        </w:tabs>
        <w:jc w:val="right"/>
        <w:rPr>
          <w:rFonts w:hint="eastAsia" w:ascii="宋体" w:hAnsi="宋体" w:eastAsia="宋体" w:cs="宋体"/>
          <w:vanish/>
          <w:spacing w:val="6"/>
          <w:sz w:val="28"/>
        </w:rPr>
      </w:pPr>
    </w:p>
    <w:sectPr>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00"/>
    <w:family w:val="roman"/>
    <w:pitch w:val="default"/>
    <w:sig w:usb0="00000000" w:usb1="00000000" w:usb2="00000010" w:usb3="00000000" w:csb0="00040000" w:csb1="00000000"/>
  </w:font>
  <w:font w:name="DejaVu Sans">
    <w:altName w:val="Times New Roman"/>
    <w:panose1 w:val="00000000000000000000"/>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szCs w:val="21"/>
      </w:rPr>
      <w:t>杭州富诚资产评估有限公司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sz w:val="21"/>
        <w:szCs w:val="21"/>
      </w:rPr>
      <w:t>杭州富诚资产评估有限公司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u w:val="single"/>
      </w:rPr>
    </w:pPr>
    <w:r>
      <w:rPr>
        <w:rFonts w:hint="eastAsia"/>
      </w:rPr>
      <w:t>杭州市富阳区人民法院拟财产处置涉及的</w:t>
    </w:r>
    <w:r>
      <w:rPr>
        <w:rFonts w:hint="eastAsia"/>
        <w:lang w:eastAsia="zh-CN"/>
      </w:rPr>
      <w:t>陈小青所有的位于杭州市富阳区鹿山街道江滨西大道218号锦绣</w:t>
    </w:r>
    <w:r>
      <w:rPr>
        <w:rFonts w:hint="eastAsia"/>
        <w:u w:val="single"/>
        <w:lang w:eastAsia="zh-CN"/>
      </w:rPr>
      <w:t>兰庭兰韵苑18号304室房地产</w:t>
    </w:r>
    <w:r>
      <w:rPr>
        <w:rFonts w:hint="eastAsia"/>
        <w:u w:val="single"/>
      </w:rPr>
      <w:t xml:space="preserve">市场价值司法评估项目      </w:t>
    </w:r>
    <w:r>
      <w:rPr>
        <w:rFonts w:hint="eastAsia"/>
        <w:u w:val="single"/>
        <w:lang w:val="en-US" w:eastAsia="zh-CN"/>
      </w:rPr>
      <w:t xml:space="preserve">                           </w:t>
    </w:r>
    <w:r>
      <w:rPr>
        <w:rFonts w:hint="eastAsia"/>
        <w:u w:val="single"/>
      </w:rPr>
      <w:t>资产评估报告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0B61D"/>
    <w:multiLevelType w:val="singleLevel"/>
    <w:tmpl w:val="CD10B61D"/>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6"/>
      <w:numFmt w:val="upperLetter"/>
      <w:pStyle w:val="3"/>
      <w:lvlText w:val="%1、 "/>
      <w:legacy w:legacy="1" w:legacySpace="0" w:legacyIndent="552"/>
      <w:lvlJc w:val="left"/>
      <w:pPr>
        <w:ind w:left="1812" w:hanging="552"/>
      </w:pPr>
      <w:rPr>
        <w:rFonts w:hint="eastAsia" w:ascii="仿宋_GB2312" w:eastAsia="仿宋_GB2312"/>
        <w:b w:val="0"/>
        <w:i w:val="0"/>
        <w:sz w:val="28"/>
        <w:u w:val="none"/>
      </w:rPr>
    </w:lvl>
  </w:abstractNum>
  <w:abstractNum w:abstractNumId="2">
    <w:nsid w:val="5EA230F2"/>
    <w:multiLevelType w:val="singleLevel"/>
    <w:tmpl w:val="5EA230F2"/>
    <w:lvl w:ilvl="0" w:tentative="0">
      <w:start w:val="1"/>
      <w:numFmt w:val="chineseCounting"/>
      <w:suff w:val="nothing"/>
      <w:lvlText w:val="%1、"/>
      <w:lvlJc w:val="left"/>
    </w:lvl>
  </w:abstractNum>
  <w:abstractNum w:abstractNumId="3">
    <w:nsid w:val="5EA625E3"/>
    <w:multiLevelType w:val="singleLevel"/>
    <w:tmpl w:val="5EA625E3"/>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NmZlMmM3ZmM3ODg1NjFmYjBlMjVmZDA2ZWM3MzgifQ=="/>
  </w:docVars>
  <w:rsids>
    <w:rsidRoot w:val="D7FB192B"/>
    <w:rsid w:val="00150A47"/>
    <w:rsid w:val="001C6A74"/>
    <w:rsid w:val="00211EF8"/>
    <w:rsid w:val="00212EFB"/>
    <w:rsid w:val="00254550"/>
    <w:rsid w:val="002759CC"/>
    <w:rsid w:val="002959F9"/>
    <w:rsid w:val="002F1D16"/>
    <w:rsid w:val="002F4C1A"/>
    <w:rsid w:val="00305BF3"/>
    <w:rsid w:val="00357999"/>
    <w:rsid w:val="00371BC1"/>
    <w:rsid w:val="003A51CB"/>
    <w:rsid w:val="0047760F"/>
    <w:rsid w:val="0048696E"/>
    <w:rsid w:val="004E2BBD"/>
    <w:rsid w:val="005010AF"/>
    <w:rsid w:val="0055416C"/>
    <w:rsid w:val="005617D8"/>
    <w:rsid w:val="0056619A"/>
    <w:rsid w:val="00615998"/>
    <w:rsid w:val="00683F9B"/>
    <w:rsid w:val="00794039"/>
    <w:rsid w:val="007A303B"/>
    <w:rsid w:val="00821A2C"/>
    <w:rsid w:val="00831C34"/>
    <w:rsid w:val="008C290C"/>
    <w:rsid w:val="008F6EB3"/>
    <w:rsid w:val="00A023FF"/>
    <w:rsid w:val="00A11914"/>
    <w:rsid w:val="00A20B6F"/>
    <w:rsid w:val="00A40069"/>
    <w:rsid w:val="00AF7C62"/>
    <w:rsid w:val="00B06A12"/>
    <w:rsid w:val="00BE392B"/>
    <w:rsid w:val="00C44176"/>
    <w:rsid w:val="00CD149A"/>
    <w:rsid w:val="00CD1799"/>
    <w:rsid w:val="00CD28E3"/>
    <w:rsid w:val="00D127D5"/>
    <w:rsid w:val="00D93513"/>
    <w:rsid w:val="00DE628B"/>
    <w:rsid w:val="00E31E0A"/>
    <w:rsid w:val="00E53ED5"/>
    <w:rsid w:val="00E716BC"/>
    <w:rsid w:val="00EE47E3"/>
    <w:rsid w:val="00F163BA"/>
    <w:rsid w:val="00F34DC7"/>
    <w:rsid w:val="0106464C"/>
    <w:rsid w:val="013A1571"/>
    <w:rsid w:val="013F2A16"/>
    <w:rsid w:val="01512BE9"/>
    <w:rsid w:val="016D2CC6"/>
    <w:rsid w:val="01773D40"/>
    <w:rsid w:val="017C5973"/>
    <w:rsid w:val="019244F4"/>
    <w:rsid w:val="01987245"/>
    <w:rsid w:val="019A00CD"/>
    <w:rsid w:val="020961F7"/>
    <w:rsid w:val="021A68F9"/>
    <w:rsid w:val="0224184B"/>
    <w:rsid w:val="02852B41"/>
    <w:rsid w:val="028D0A46"/>
    <w:rsid w:val="02AF6EE5"/>
    <w:rsid w:val="030D1CFA"/>
    <w:rsid w:val="031C2553"/>
    <w:rsid w:val="037B54CB"/>
    <w:rsid w:val="039B5ABB"/>
    <w:rsid w:val="03BA4C2C"/>
    <w:rsid w:val="03F01A4A"/>
    <w:rsid w:val="040D423D"/>
    <w:rsid w:val="0434075E"/>
    <w:rsid w:val="04446F77"/>
    <w:rsid w:val="045F10E3"/>
    <w:rsid w:val="04A50AB3"/>
    <w:rsid w:val="04C7100A"/>
    <w:rsid w:val="05465C7D"/>
    <w:rsid w:val="055A51F9"/>
    <w:rsid w:val="05844DC6"/>
    <w:rsid w:val="05C6353D"/>
    <w:rsid w:val="05CA6960"/>
    <w:rsid w:val="06032205"/>
    <w:rsid w:val="062235DD"/>
    <w:rsid w:val="0636739F"/>
    <w:rsid w:val="064B334A"/>
    <w:rsid w:val="06590BF0"/>
    <w:rsid w:val="06680FFF"/>
    <w:rsid w:val="0689426A"/>
    <w:rsid w:val="0696473D"/>
    <w:rsid w:val="07202B9B"/>
    <w:rsid w:val="074739BD"/>
    <w:rsid w:val="077B65D0"/>
    <w:rsid w:val="082743FB"/>
    <w:rsid w:val="084A21A0"/>
    <w:rsid w:val="08B22395"/>
    <w:rsid w:val="08B7643D"/>
    <w:rsid w:val="08CD7531"/>
    <w:rsid w:val="0905484C"/>
    <w:rsid w:val="090D29A8"/>
    <w:rsid w:val="090E20CB"/>
    <w:rsid w:val="097525CD"/>
    <w:rsid w:val="09E775E7"/>
    <w:rsid w:val="0A3D2C6F"/>
    <w:rsid w:val="0A4838C3"/>
    <w:rsid w:val="0AD3711C"/>
    <w:rsid w:val="0B04224A"/>
    <w:rsid w:val="0B231D14"/>
    <w:rsid w:val="0B337557"/>
    <w:rsid w:val="0B3A0842"/>
    <w:rsid w:val="0B55696F"/>
    <w:rsid w:val="0B68056A"/>
    <w:rsid w:val="0BBE36E2"/>
    <w:rsid w:val="0BF16788"/>
    <w:rsid w:val="0C8312E9"/>
    <w:rsid w:val="0CF33496"/>
    <w:rsid w:val="0D0066BE"/>
    <w:rsid w:val="0D023D59"/>
    <w:rsid w:val="0D024F41"/>
    <w:rsid w:val="0D03583D"/>
    <w:rsid w:val="0D5D2AD5"/>
    <w:rsid w:val="0DC2766E"/>
    <w:rsid w:val="0DC50156"/>
    <w:rsid w:val="0DC56830"/>
    <w:rsid w:val="0DF95F7F"/>
    <w:rsid w:val="0E1A2709"/>
    <w:rsid w:val="0E1F4C4D"/>
    <w:rsid w:val="0E29720B"/>
    <w:rsid w:val="0E306947"/>
    <w:rsid w:val="0EA213B4"/>
    <w:rsid w:val="0EE21243"/>
    <w:rsid w:val="0F067F6D"/>
    <w:rsid w:val="0F2F04BA"/>
    <w:rsid w:val="0F615B83"/>
    <w:rsid w:val="0F8E66B9"/>
    <w:rsid w:val="0FAD2763"/>
    <w:rsid w:val="0FD24BED"/>
    <w:rsid w:val="0FF8381F"/>
    <w:rsid w:val="105B5D6F"/>
    <w:rsid w:val="106D0C78"/>
    <w:rsid w:val="1106711E"/>
    <w:rsid w:val="116B67B5"/>
    <w:rsid w:val="11BB562D"/>
    <w:rsid w:val="12254F66"/>
    <w:rsid w:val="122B037F"/>
    <w:rsid w:val="127D17EB"/>
    <w:rsid w:val="129338C1"/>
    <w:rsid w:val="12AC21BF"/>
    <w:rsid w:val="12C10A21"/>
    <w:rsid w:val="12E91805"/>
    <w:rsid w:val="13BD2104"/>
    <w:rsid w:val="13D6674E"/>
    <w:rsid w:val="13E92F25"/>
    <w:rsid w:val="13F22C77"/>
    <w:rsid w:val="14304097"/>
    <w:rsid w:val="145F0C2D"/>
    <w:rsid w:val="14617BB5"/>
    <w:rsid w:val="1476458A"/>
    <w:rsid w:val="14C6122A"/>
    <w:rsid w:val="15012AD2"/>
    <w:rsid w:val="15896627"/>
    <w:rsid w:val="16AB496B"/>
    <w:rsid w:val="16F267BB"/>
    <w:rsid w:val="16F732A6"/>
    <w:rsid w:val="16FE170C"/>
    <w:rsid w:val="171C750D"/>
    <w:rsid w:val="17372457"/>
    <w:rsid w:val="1747512F"/>
    <w:rsid w:val="17550B15"/>
    <w:rsid w:val="17625B02"/>
    <w:rsid w:val="17625E7C"/>
    <w:rsid w:val="178047A5"/>
    <w:rsid w:val="179E4544"/>
    <w:rsid w:val="17B10265"/>
    <w:rsid w:val="180B072F"/>
    <w:rsid w:val="180C0990"/>
    <w:rsid w:val="18321074"/>
    <w:rsid w:val="185B5B18"/>
    <w:rsid w:val="18BE4977"/>
    <w:rsid w:val="18C04C00"/>
    <w:rsid w:val="18C2449F"/>
    <w:rsid w:val="18E633FA"/>
    <w:rsid w:val="19600858"/>
    <w:rsid w:val="19863D32"/>
    <w:rsid w:val="1B102A7F"/>
    <w:rsid w:val="1B2507BA"/>
    <w:rsid w:val="1B713A58"/>
    <w:rsid w:val="1BA66161"/>
    <w:rsid w:val="1BBC205B"/>
    <w:rsid w:val="1BE3046D"/>
    <w:rsid w:val="1C016F32"/>
    <w:rsid w:val="1C234B14"/>
    <w:rsid w:val="1C4079B2"/>
    <w:rsid w:val="1C697521"/>
    <w:rsid w:val="1C6E4AA6"/>
    <w:rsid w:val="1C8D6016"/>
    <w:rsid w:val="1CB93919"/>
    <w:rsid w:val="1CE963AA"/>
    <w:rsid w:val="1D0401EB"/>
    <w:rsid w:val="1D1F6D67"/>
    <w:rsid w:val="1D32104F"/>
    <w:rsid w:val="1DB52284"/>
    <w:rsid w:val="1DC92C2C"/>
    <w:rsid w:val="1E4E40D8"/>
    <w:rsid w:val="1EB00FD2"/>
    <w:rsid w:val="1ED811D6"/>
    <w:rsid w:val="1F3D288C"/>
    <w:rsid w:val="1F9957B9"/>
    <w:rsid w:val="200A38CA"/>
    <w:rsid w:val="20120316"/>
    <w:rsid w:val="20447098"/>
    <w:rsid w:val="206877A5"/>
    <w:rsid w:val="206A49DB"/>
    <w:rsid w:val="209B179A"/>
    <w:rsid w:val="20C21C18"/>
    <w:rsid w:val="211272BB"/>
    <w:rsid w:val="21395994"/>
    <w:rsid w:val="21505D92"/>
    <w:rsid w:val="2154594E"/>
    <w:rsid w:val="21C154A8"/>
    <w:rsid w:val="221977B9"/>
    <w:rsid w:val="221F4C91"/>
    <w:rsid w:val="226C3577"/>
    <w:rsid w:val="22883309"/>
    <w:rsid w:val="22925F36"/>
    <w:rsid w:val="22A27024"/>
    <w:rsid w:val="22E20688"/>
    <w:rsid w:val="22E7350C"/>
    <w:rsid w:val="2359001E"/>
    <w:rsid w:val="23C81C9E"/>
    <w:rsid w:val="242A2C87"/>
    <w:rsid w:val="2491243D"/>
    <w:rsid w:val="24950E62"/>
    <w:rsid w:val="24993B86"/>
    <w:rsid w:val="24D838D4"/>
    <w:rsid w:val="24EA3088"/>
    <w:rsid w:val="24FE1FE6"/>
    <w:rsid w:val="25544AB2"/>
    <w:rsid w:val="25563E3A"/>
    <w:rsid w:val="2567772D"/>
    <w:rsid w:val="25743899"/>
    <w:rsid w:val="25CA694D"/>
    <w:rsid w:val="26370BF7"/>
    <w:rsid w:val="266D4C69"/>
    <w:rsid w:val="268B3F4E"/>
    <w:rsid w:val="26957637"/>
    <w:rsid w:val="26A81CA1"/>
    <w:rsid w:val="26F85860"/>
    <w:rsid w:val="270B3A39"/>
    <w:rsid w:val="27630423"/>
    <w:rsid w:val="276B1318"/>
    <w:rsid w:val="277C2603"/>
    <w:rsid w:val="283B361B"/>
    <w:rsid w:val="284E24FB"/>
    <w:rsid w:val="288B1059"/>
    <w:rsid w:val="28AC48F6"/>
    <w:rsid w:val="28F02E78"/>
    <w:rsid w:val="29A50FEE"/>
    <w:rsid w:val="2A744169"/>
    <w:rsid w:val="2ADE20DA"/>
    <w:rsid w:val="2AEE2579"/>
    <w:rsid w:val="2AF3371C"/>
    <w:rsid w:val="2AF74218"/>
    <w:rsid w:val="2B314FDA"/>
    <w:rsid w:val="2B5F4D79"/>
    <w:rsid w:val="2B8E4F46"/>
    <w:rsid w:val="2C2B6413"/>
    <w:rsid w:val="2C547BD4"/>
    <w:rsid w:val="2C5713C2"/>
    <w:rsid w:val="2CB84FCE"/>
    <w:rsid w:val="2CBC4F76"/>
    <w:rsid w:val="2CE8470A"/>
    <w:rsid w:val="2CEE3C8A"/>
    <w:rsid w:val="2CF93DEB"/>
    <w:rsid w:val="2D406CBA"/>
    <w:rsid w:val="2D9143A6"/>
    <w:rsid w:val="2D9817F4"/>
    <w:rsid w:val="2ECB2D2C"/>
    <w:rsid w:val="2ECD0019"/>
    <w:rsid w:val="2EE2756C"/>
    <w:rsid w:val="2EE82491"/>
    <w:rsid w:val="2F3D4C43"/>
    <w:rsid w:val="30131319"/>
    <w:rsid w:val="302B55A8"/>
    <w:rsid w:val="305C077F"/>
    <w:rsid w:val="306F0B05"/>
    <w:rsid w:val="30701104"/>
    <w:rsid w:val="30800CCB"/>
    <w:rsid w:val="30AF20CD"/>
    <w:rsid w:val="30CA4B57"/>
    <w:rsid w:val="315B6409"/>
    <w:rsid w:val="317776FC"/>
    <w:rsid w:val="319B58C5"/>
    <w:rsid w:val="31AA68B4"/>
    <w:rsid w:val="31CC50BA"/>
    <w:rsid w:val="31DB5AB3"/>
    <w:rsid w:val="320B147C"/>
    <w:rsid w:val="3218420C"/>
    <w:rsid w:val="32470B0E"/>
    <w:rsid w:val="32656771"/>
    <w:rsid w:val="3276035D"/>
    <w:rsid w:val="32A4066D"/>
    <w:rsid w:val="32A44762"/>
    <w:rsid w:val="32B63E95"/>
    <w:rsid w:val="32C63D3D"/>
    <w:rsid w:val="32CB333C"/>
    <w:rsid w:val="32D6319D"/>
    <w:rsid w:val="330A339D"/>
    <w:rsid w:val="3321063F"/>
    <w:rsid w:val="33367504"/>
    <w:rsid w:val="333B6843"/>
    <w:rsid w:val="33744B9C"/>
    <w:rsid w:val="338F3996"/>
    <w:rsid w:val="339C4C67"/>
    <w:rsid w:val="33C42631"/>
    <w:rsid w:val="33EF1FF3"/>
    <w:rsid w:val="33F446F4"/>
    <w:rsid w:val="33F96ACA"/>
    <w:rsid w:val="3485287F"/>
    <w:rsid w:val="34917F85"/>
    <w:rsid w:val="34C268C5"/>
    <w:rsid w:val="34DE7871"/>
    <w:rsid w:val="350D72ED"/>
    <w:rsid w:val="3529264C"/>
    <w:rsid w:val="35B5112C"/>
    <w:rsid w:val="35CD6AD9"/>
    <w:rsid w:val="35F83F56"/>
    <w:rsid w:val="36441BEE"/>
    <w:rsid w:val="366507C0"/>
    <w:rsid w:val="36801361"/>
    <w:rsid w:val="36FD5323"/>
    <w:rsid w:val="370C62E5"/>
    <w:rsid w:val="378656CC"/>
    <w:rsid w:val="37980C20"/>
    <w:rsid w:val="379C06E7"/>
    <w:rsid w:val="37AE54B1"/>
    <w:rsid w:val="37CA4776"/>
    <w:rsid w:val="37D61063"/>
    <w:rsid w:val="38461876"/>
    <w:rsid w:val="38D004F4"/>
    <w:rsid w:val="39353FF7"/>
    <w:rsid w:val="39761CB6"/>
    <w:rsid w:val="39E8699D"/>
    <w:rsid w:val="39EC7204"/>
    <w:rsid w:val="3A6366DE"/>
    <w:rsid w:val="3AAF206B"/>
    <w:rsid w:val="3B8051A7"/>
    <w:rsid w:val="3BBA2970"/>
    <w:rsid w:val="3BCD168D"/>
    <w:rsid w:val="3BE556AF"/>
    <w:rsid w:val="3BEA0439"/>
    <w:rsid w:val="3C094524"/>
    <w:rsid w:val="3C7B62FF"/>
    <w:rsid w:val="3CB75A06"/>
    <w:rsid w:val="3CF40024"/>
    <w:rsid w:val="3CF55B44"/>
    <w:rsid w:val="3D6F01A9"/>
    <w:rsid w:val="3DD14280"/>
    <w:rsid w:val="3DDB3DAB"/>
    <w:rsid w:val="3DF07218"/>
    <w:rsid w:val="3DFB4605"/>
    <w:rsid w:val="3E871E0D"/>
    <w:rsid w:val="3F3073CA"/>
    <w:rsid w:val="3FAC39B0"/>
    <w:rsid w:val="3FDB0AC5"/>
    <w:rsid w:val="40294794"/>
    <w:rsid w:val="406556DD"/>
    <w:rsid w:val="410A0F95"/>
    <w:rsid w:val="412E1D2A"/>
    <w:rsid w:val="413D4D74"/>
    <w:rsid w:val="4150545A"/>
    <w:rsid w:val="41BC1080"/>
    <w:rsid w:val="41D30FA4"/>
    <w:rsid w:val="41E14844"/>
    <w:rsid w:val="421B5948"/>
    <w:rsid w:val="42327C8E"/>
    <w:rsid w:val="424429BC"/>
    <w:rsid w:val="42D461C1"/>
    <w:rsid w:val="42EE53E5"/>
    <w:rsid w:val="4331666D"/>
    <w:rsid w:val="439A2962"/>
    <w:rsid w:val="43BF0F58"/>
    <w:rsid w:val="43E053E0"/>
    <w:rsid w:val="44353A8E"/>
    <w:rsid w:val="448C0A09"/>
    <w:rsid w:val="448F0E66"/>
    <w:rsid w:val="44916FB5"/>
    <w:rsid w:val="449E4C2F"/>
    <w:rsid w:val="44B1118C"/>
    <w:rsid w:val="44D70430"/>
    <w:rsid w:val="4500136E"/>
    <w:rsid w:val="454B27E6"/>
    <w:rsid w:val="45815036"/>
    <w:rsid w:val="45DE3962"/>
    <w:rsid w:val="45DF27CC"/>
    <w:rsid w:val="46243CB2"/>
    <w:rsid w:val="46B27B1F"/>
    <w:rsid w:val="46FA1722"/>
    <w:rsid w:val="471B2D25"/>
    <w:rsid w:val="476734FD"/>
    <w:rsid w:val="47B7A9D9"/>
    <w:rsid w:val="47DB03E8"/>
    <w:rsid w:val="47E30BEF"/>
    <w:rsid w:val="482D6FDC"/>
    <w:rsid w:val="48801A9B"/>
    <w:rsid w:val="488E3760"/>
    <w:rsid w:val="49070C52"/>
    <w:rsid w:val="491F7173"/>
    <w:rsid w:val="4921579A"/>
    <w:rsid w:val="49323174"/>
    <w:rsid w:val="496C10E7"/>
    <w:rsid w:val="4A691401"/>
    <w:rsid w:val="4A98079C"/>
    <w:rsid w:val="4A9C6C86"/>
    <w:rsid w:val="4A9E768B"/>
    <w:rsid w:val="4AF23067"/>
    <w:rsid w:val="4B5868B9"/>
    <w:rsid w:val="4B880BEC"/>
    <w:rsid w:val="4BBF1B49"/>
    <w:rsid w:val="4C1F1A26"/>
    <w:rsid w:val="4C2475CA"/>
    <w:rsid w:val="4C3E53A8"/>
    <w:rsid w:val="4C8D34BC"/>
    <w:rsid w:val="4C9F3506"/>
    <w:rsid w:val="4D2C0595"/>
    <w:rsid w:val="4D2E19F5"/>
    <w:rsid w:val="4D48321A"/>
    <w:rsid w:val="4D545B8B"/>
    <w:rsid w:val="4D7F4CE0"/>
    <w:rsid w:val="4D9C7CC1"/>
    <w:rsid w:val="4DA42D6F"/>
    <w:rsid w:val="4DB4746A"/>
    <w:rsid w:val="4DF94417"/>
    <w:rsid w:val="4E4A4A72"/>
    <w:rsid w:val="50624B42"/>
    <w:rsid w:val="50943276"/>
    <w:rsid w:val="509A0908"/>
    <w:rsid w:val="50A14D40"/>
    <w:rsid w:val="50C13896"/>
    <w:rsid w:val="50EE5A4F"/>
    <w:rsid w:val="50F1569F"/>
    <w:rsid w:val="50FE2B43"/>
    <w:rsid w:val="51123E15"/>
    <w:rsid w:val="513717D3"/>
    <w:rsid w:val="51DA4853"/>
    <w:rsid w:val="51F2795F"/>
    <w:rsid w:val="524C6761"/>
    <w:rsid w:val="52EC169D"/>
    <w:rsid w:val="52FE4928"/>
    <w:rsid w:val="536A5B12"/>
    <w:rsid w:val="53A3335E"/>
    <w:rsid w:val="53E63BA6"/>
    <w:rsid w:val="53F03F18"/>
    <w:rsid w:val="544E66F5"/>
    <w:rsid w:val="546D75BC"/>
    <w:rsid w:val="549F2468"/>
    <w:rsid w:val="54CA3FB4"/>
    <w:rsid w:val="55256612"/>
    <w:rsid w:val="55381A23"/>
    <w:rsid w:val="55655A8A"/>
    <w:rsid w:val="55717E7C"/>
    <w:rsid w:val="55B72A90"/>
    <w:rsid w:val="55C80355"/>
    <w:rsid w:val="56375EDF"/>
    <w:rsid w:val="563C6DC4"/>
    <w:rsid w:val="566058B2"/>
    <w:rsid w:val="567F4F7E"/>
    <w:rsid w:val="56B51CFA"/>
    <w:rsid w:val="56CB6CEC"/>
    <w:rsid w:val="573C0FC8"/>
    <w:rsid w:val="576D5612"/>
    <w:rsid w:val="5781070B"/>
    <w:rsid w:val="57F458A1"/>
    <w:rsid w:val="58620DD5"/>
    <w:rsid w:val="589D4D6D"/>
    <w:rsid w:val="592D0598"/>
    <w:rsid w:val="59407EBE"/>
    <w:rsid w:val="598368A3"/>
    <w:rsid w:val="59914757"/>
    <w:rsid w:val="599155F3"/>
    <w:rsid w:val="59993841"/>
    <w:rsid w:val="59EE1E41"/>
    <w:rsid w:val="59F42065"/>
    <w:rsid w:val="5A09432A"/>
    <w:rsid w:val="5A7534F5"/>
    <w:rsid w:val="5A9508EE"/>
    <w:rsid w:val="5A9C5B68"/>
    <w:rsid w:val="5AC52911"/>
    <w:rsid w:val="5B12125B"/>
    <w:rsid w:val="5B66215D"/>
    <w:rsid w:val="5B922B81"/>
    <w:rsid w:val="5BA06D51"/>
    <w:rsid w:val="5C1B73EB"/>
    <w:rsid w:val="5C5C61F3"/>
    <w:rsid w:val="5C654F17"/>
    <w:rsid w:val="5C7E4021"/>
    <w:rsid w:val="5C9214CB"/>
    <w:rsid w:val="5C9B4310"/>
    <w:rsid w:val="5CB4787F"/>
    <w:rsid w:val="5D0B1D75"/>
    <w:rsid w:val="5D280D95"/>
    <w:rsid w:val="5D3D1B00"/>
    <w:rsid w:val="5D5C1C11"/>
    <w:rsid w:val="5D786CFE"/>
    <w:rsid w:val="5D7B27BE"/>
    <w:rsid w:val="5DB93C6D"/>
    <w:rsid w:val="5E035C0E"/>
    <w:rsid w:val="5E836C4D"/>
    <w:rsid w:val="5EBE461E"/>
    <w:rsid w:val="5EBF6BE8"/>
    <w:rsid w:val="5EDF0C56"/>
    <w:rsid w:val="5EE30824"/>
    <w:rsid w:val="5F047CD6"/>
    <w:rsid w:val="5F051193"/>
    <w:rsid w:val="5F661E0C"/>
    <w:rsid w:val="5F683325"/>
    <w:rsid w:val="5F8D45C0"/>
    <w:rsid w:val="5FE41504"/>
    <w:rsid w:val="5FED1DAD"/>
    <w:rsid w:val="5FF345A2"/>
    <w:rsid w:val="60036491"/>
    <w:rsid w:val="601D2EC6"/>
    <w:rsid w:val="603A3756"/>
    <w:rsid w:val="609E3CF8"/>
    <w:rsid w:val="60A264F2"/>
    <w:rsid w:val="60A34233"/>
    <w:rsid w:val="60B56102"/>
    <w:rsid w:val="60DF146D"/>
    <w:rsid w:val="60E953A3"/>
    <w:rsid w:val="60ED76A9"/>
    <w:rsid w:val="60EE7BB6"/>
    <w:rsid w:val="6135783D"/>
    <w:rsid w:val="617216AF"/>
    <w:rsid w:val="61972646"/>
    <w:rsid w:val="619E3B67"/>
    <w:rsid w:val="61D967BF"/>
    <w:rsid w:val="61DD71D1"/>
    <w:rsid w:val="61E77707"/>
    <w:rsid w:val="62162436"/>
    <w:rsid w:val="624B1D0A"/>
    <w:rsid w:val="626940EA"/>
    <w:rsid w:val="62966D01"/>
    <w:rsid w:val="62A46F1A"/>
    <w:rsid w:val="62A828E9"/>
    <w:rsid w:val="62B363AF"/>
    <w:rsid w:val="637F12D7"/>
    <w:rsid w:val="63A45F6C"/>
    <w:rsid w:val="63AE4223"/>
    <w:rsid w:val="63B92C94"/>
    <w:rsid w:val="63C613AF"/>
    <w:rsid w:val="63D90BE8"/>
    <w:rsid w:val="63F33BC2"/>
    <w:rsid w:val="640826E4"/>
    <w:rsid w:val="64334010"/>
    <w:rsid w:val="64514552"/>
    <w:rsid w:val="64A81A58"/>
    <w:rsid w:val="64CE2219"/>
    <w:rsid w:val="64D82D6C"/>
    <w:rsid w:val="655A7ACF"/>
    <w:rsid w:val="656B1BD6"/>
    <w:rsid w:val="65AD73C0"/>
    <w:rsid w:val="65B72D51"/>
    <w:rsid w:val="6624169D"/>
    <w:rsid w:val="664A347E"/>
    <w:rsid w:val="664D392A"/>
    <w:rsid w:val="66C82E92"/>
    <w:rsid w:val="66F20DB6"/>
    <w:rsid w:val="67444BFA"/>
    <w:rsid w:val="67B37C4A"/>
    <w:rsid w:val="6800763D"/>
    <w:rsid w:val="681D56FB"/>
    <w:rsid w:val="682B479B"/>
    <w:rsid w:val="68902444"/>
    <w:rsid w:val="68F0361B"/>
    <w:rsid w:val="69104C1D"/>
    <w:rsid w:val="6943123A"/>
    <w:rsid w:val="69492603"/>
    <w:rsid w:val="6957280E"/>
    <w:rsid w:val="696741E0"/>
    <w:rsid w:val="69B913D2"/>
    <w:rsid w:val="6A045B47"/>
    <w:rsid w:val="6A4F400D"/>
    <w:rsid w:val="6A8864E3"/>
    <w:rsid w:val="6A9A1A96"/>
    <w:rsid w:val="6A9B6291"/>
    <w:rsid w:val="6AA74716"/>
    <w:rsid w:val="6AD711E3"/>
    <w:rsid w:val="6B0809F3"/>
    <w:rsid w:val="6BF571E0"/>
    <w:rsid w:val="6BF9633B"/>
    <w:rsid w:val="6C137C75"/>
    <w:rsid w:val="6C203D75"/>
    <w:rsid w:val="6C2412AB"/>
    <w:rsid w:val="6CD57ABD"/>
    <w:rsid w:val="6CEB63DC"/>
    <w:rsid w:val="6D892450"/>
    <w:rsid w:val="6DAE571E"/>
    <w:rsid w:val="6DDF4F5E"/>
    <w:rsid w:val="6E077A51"/>
    <w:rsid w:val="6E0D1E4C"/>
    <w:rsid w:val="6E326CA2"/>
    <w:rsid w:val="6EA55B2A"/>
    <w:rsid w:val="6EE4639C"/>
    <w:rsid w:val="6F370FC4"/>
    <w:rsid w:val="6F510F15"/>
    <w:rsid w:val="6F53523C"/>
    <w:rsid w:val="6FCA5905"/>
    <w:rsid w:val="6FD41F04"/>
    <w:rsid w:val="700D146B"/>
    <w:rsid w:val="70161521"/>
    <w:rsid w:val="7090735C"/>
    <w:rsid w:val="709F0CC5"/>
    <w:rsid w:val="71194E20"/>
    <w:rsid w:val="71205B10"/>
    <w:rsid w:val="716D2E22"/>
    <w:rsid w:val="71FE798C"/>
    <w:rsid w:val="72523709"/>
    <w:rsid w:val="72535C26"/>
    <w:rsid w:val="728C4004"/>
    <w:rsid w:val="7341481D"/>
    <w:rsid w:val="734A0B54"/>
    <w:rsid w:val="73A75F11"/>
    <w:rsid w:val="73C5252D"/>
    <w:rsid w:val="73CE4CA1"/>
    <w:rsid w:val="73FE08B5"/>
    <w:rsid w:val="74014D81"/>
    <w:rsid w:val="7429507D"/>
    <w:rsid w:val="74F5191F"/>
    <w:rsid w:val="752779FF"/>
    <w:rsid w:val="75580311"/>
    <w:rsid w:val="757D5FBC"/>
    <w:rsid w:val="75A37E64"/>
    <w:rsid w:val="75A61A6F"/>
    <w:rsid w:val="75EB25B5"/>
    <w:rsid w:val="763F5E52"/>
    <w:rsid w:val="76774425"/>
    <w:rsid w:val="768A67C8"/>
    <w:rsid w:val="76A21CC8"/>
    <w:rsid w:val="76C878A0"/>
    <w:rsid w:val="76CC4B49"/>
    <w:rsid w:val="76CE4925"/>
    <w:rsid w:val="76F53E21"/>
    <w:rsid w:val="76F82097"/>
    <w:rsid w:val="77694495"/>
    <w:rsid w:val="776944C2"/>
    <w:rsid w:val="77885561"/>
    <w:rsid w:val="78C31B1A"/>
    <w:rsid w:val="78CC0E8B"/>
    <w:rsid w:val="78DA4B49"/>
    <w:rsid w:val="790E092A"/>
    <w:rsid w:val="792D3C84"/>
    <w:rsid w:val="79345A4C"/>
    <w:rsid w:val="79363BF4"/>
    <w:rsid w:val="795461C0"/>
    <w:rsid w:val="79A323B5"/>
    <w:rsid w:val="79A431E5"/>
    <w:rsid w:val="79AB1E0F"/>
    <w:rsid w:val="7A5D252C"/>
    <w:rsid w:val="7A650012"/>
    <w:rsid w:val="7AE6600B"/>
    <w:rsid w:val="7B4C0F01"/>
    <w:rsid w:val="7B4D03D9"/>
    <w:rsid w:val="7BD209FE"/>
    <w:rsid w:val="7BE37E82"/>
    <w:rsid w:val="7BF52043"/>
    <w:rsid w:val="7BFC00ED"/>
    <w:rsid w:val="7C134B67"/>
    <w:rsid w:val="7C49283E"/>
    <w:rsid w:val="7CE57BE4"/>
    <w:rsid w:val="7CF027C3"/>
    <w:rsid w:val="7D133473"/>
    <w:rsid w:val="7D1D1609"/>
    <w:rsid w:val="7D1E7A04"/>
    <w:rsid w:val="7D31799A"/>
    <w:rsid w:val="7D490128"/>
    <w:rsid w:val="7D767639"/>
    <w:rsid w:val="7DA214AB"/>
    <w:rsid w:val="7DA46D63"/>
    <w:rsid w:val="7DD37A85"/>
    <w:rsid w:val="7DE33FF1"/>
    <w:rsid w:val="7DF76841"/>
    <w:rsid w:val="7E5A18F3"/>
    <w:rsid w:val="7E8437DF"/>
    <w:rsid w:val="7F1729BC"/>
    <w:rsid w:val="7F4734A5"/>
    <w:rsid w:val="7F823A23"/>
    <w:rsid w:val="7F8E5310"/>
    <w:rsid w:val="7FD4034D"/>
    <w:rsid w:val="7FD57821"/>
    <w:rsid w:val="7FD928DA"/>
    <w:rsid w:val="D7FB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numPr>
        <w:ilvl w:val="0"/>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snapToGrid w:val="0"/>
      <w:spacing w:line="300" w:lineRule="auto"/>
      <w:ind w:firstLine="556"/>
    </w:pPr>
    <w:rPr>
      <w:rFonts w:ascii="仿宋_GB2312" w:eastAsia="仿宋_GB2312"/>
      <w:sz w:val="28"/>
      <w:szCs w:val="20"/>
    </w:rPr>
  </w:style>
  <w:style w:type="paragraph" w:styleId="5">
    <w:name w:val="annotation text"/>
    <w:basedOn w:val="1"/>
    <w:link w:val="22"/>
    <w:qFormat/>
    <w:uiPriority w:val="0"/>
    <w:pPr>
      <w:jc w:val="left"/>
    </w:pPr>
  </w:style>
  <w:style w:type="paragraph" w:styleId="6">
    <w:name w:val="Body Text"/>
    <w:basedOn w:val="1"/>
    <w:qFormat/>
    <w:uiPriority w:val="0"/>
    <w:pPr>
      <w:spacing w:after="120"/>
    </w:pPr>
  </w:style>
  <w:style w:type="paragraph" w:styleId="7">
    <w:name w:val="Date"/>
    <w:basedOn w:val="1"/>
    <w:next w:val="1"/>
    <w:link w:val="24"/>
    <w:qFormat/>
    <w:uiPriority w:val="0"/>
    <w:pPr>
      <w:ind w:left="1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0">
    <w:name w:val="toc 1"/>
    <w:basedOn w:val="1"/>
    <w:next w:val="1"/>
    <w:qFormat/>
    <w:uiPriority w:val="0"/>
  </w:style>
  <w:style w:type="paragraph" w:styleId="11">
    <w:name w:val="Normal (Web)"/>
    <w:basedOn w:val="1"/>
    <w:qFormat/>
    <w:uiPriority w:val="0"/>
    <w:pPr>
      <w:spacing w:before="100" w:beforeAutospacing="1" w:after="100"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cs="Times New Roman"/>
      <w:b/>
      <w:bCs/>
      <w:sz w:val="32"/>
      <w:szCs w:val="32"/>
    </w:rPr>
  </w:style>
  <w:style w:type="paragraph" w:styleId="13">
    <w:name w:val="annotation subject"/>
    <w:basedOn w:val="5"/>
    <w:next w:val="5"/>
    <w:link w:val="23"/>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color w:val="0000FF"/>
      <w:u w:val="single"/>
    </w:rPr>
  </w:style>
  <w:style w:type="character" w:styleId="18">
    <w:name w:val="annotation reference"/>
    <w:basedOn w:val="16"/>
    <w:qFormat/>
    <w:uiPriority w:val="0"/>
    <w:rPr>
      <w:sz w:val="21"/>
      <w:szCs w:val="21"/>
    </w:rPr>
  </w:style>
  <w:style w:type="paragraph" w:customStyle="1" w:styleId="19">
    <w:name w:val="_Style 2"/>
    <w:basedOn w:val="3"/>
    <w:next w:val="1"/>
    <w:unhideWhenUsed/>
    <w:qFormat/>
    <w:uiPriority w:val="39"/>
    <w:pPr>
      <w:keepLines/>
      <w:widowControl/>
      <w:numPr>
        <w:numId w:val="0"/>
      </w:numPr>
      <w:autoSpaceDE/>
      <w:autoSpaceDN/>
      <w:adjustRightInd/>
      <w:spacing w:before="480" w:line="276" w:lineRule="auto"/>
      <w:ind w:right="0"/>
      <w:textAlignment w:val="auto"/>
      <w:outlineLvl w:val="9"/>
    </w:pPr>
    <w:rPr>
      <w:rFonts w:ascii="Cambria" w:hAnsi="Cambria" w:eastAsia="宋体" w:cs="Times New Roman"/>
      <w:b/>
      <w:bCs/>
      <w:color w:val="365F91"/>
      <w:szCs w:val="28"/>
    </w:rPr>
  </w:style>
  <w:style w:type="paragraph" w:customStyle="1" w:styleId="20">
    <w:name w:val="正文文本 31"/>
    <w:basedOn w:val="1"/>
    <w:qFormat/>
    <w:uiPriority w:val="0"/>
    <w:pPr>
      <w:spacing w:line="360" w:lineRule="auto"/>
    </w:pPr>
    <w:rPr>
      <w:rFonts w:hint="eastAsia" w:ascii="宋体"/>
      <w:b/>
      <w:sz w:val="28"/>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character" w:customStyle="1" w:styleId="22">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3"/>
    <w:qFormat/>
    <w:uiPriority w:val="0"/>
    <w:rPr>
      <w:rFonts w:asciiTheme="minorHAnsi" w:hAnsiTheme="minorHAnsi" w:eastAsiaTheme="minorEastAsia" w:cstheme="minorBidi"/>
      <w:b/>
      <w:bCs/>
      <w:kern w:val="2"/>
      <w:sz w:val="21"/>
      <w:szCs w:val="24"/>
    </w:rPr>
  </w:style>
  <w:style w:type="character" w:customStyle="1" w:styleId="24">
    <w:name w:val="日期 字符"/>
    <w:basedOn w:val="16"/>
    <w:link w:val="7"/>
    <w:qFormat/>
    <w:uiPriority w:val="0"/>
    <w:rPr>
      <w:rFonts w:asciiTheme="minorHAnsi" w:hAnsiTheme="minorHAnsi" w:eastAsiaTheme="minorEastAsia" w:cstheme="minorBidi"/>
      <w:kern w:val="2"/>
      <w:sz w:val="21"/>
      <w:szCs w:val="24"/>
    </w:rPr>
  </w:style>
  <w:style w:type="paragraph" w:customStyle="1" w:styleId="25">
    <w:name w:val="zw"/>
    <w:basedOn w:val="1"/>
    <w:qFormat/>
    <w:uiPriority w:val="0"/>
    <w:pPr>
      <w:adjustRightInd w:val="0"/>
      <w:spacing w:line="360" w:lineRule="auto"/>
      <w:ind w:firstLine="482"/>
      <w:textAlignment w:val="baseline"/>
    </w:pPr>
    <w:rPr>
      <w:rFonts w:ascii="Arial Narrow" w:hAnsi="Arial Narrow" w:eastAsia="楷体_GB2312"/>
      <w:sz w:val="24"/>
    </w:rPr>
  </w:style>
  <w:style w:type="paragraph" w:customStyle="1" w:styleId="26">
    <w:name w:val="p1"/>
    <w:basedOn w:val="1"/>
    <w:qFormat/>
    <w:uiPriority w:val="0"/>
    <w:pPr>
      <w:spacing w:line="380" w:lineRule="atLeast"/>
      <w:jc w:val="left"/>
    </w:pPr>
    <w:rPr>
      <w:rFonts w:ascii="Helvetica Neue" w:hAnsi="Helvetica Neue" w:eastAsia="Helvetica Neue"/>
      <w:color w:val="000000"/>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93f6577-25f3-4dd3-8068-a434f0419ed1}"/>
        <w:style w:val=""/>
        <w:category>
          <w:name w:val="常规"/>
          <w:gallery w:val="placeholder"/>
        </w:category>
        <w:types>
          <w:type w:val="bbPlcHdr"/>
        </w:types>
        <w:behaviors>
          <w:behavior w:val="content"/>
        </w:behaviors>
        <w:description w:val=""/>
        <w:guid w:val="{693F6577-25F3-4DD3-8068-A434F0419ED1}"/>
      </w:docPartPr>
      <w:docPartBody>
        <w:p>
          <w:r>
            <w:rPr>
              <w:color w:val="808080"/>
            </w:rPr>
            <w:t>单击此处输入文字。</w:t>
          </w:r>
        </w:p>
      </w:docPartBody>
    </w:docPart>
    <w:docPart>
      <w:docPartPr>
        <w:name w:val="{5db44a22-710c-44ab-a5e4-1792c8158ba2}"/>
        <w:style w:val=""/>
        <w:category>
          <w:name w:val="常规"/>
          <w:gallery w:val="placeholder"/>
        </w:category>
        <w:types>
          <w:type w:val="bbPlcHdr"/>
        </w:types>
        <w:behaviors>
          <w:behavior w:val="content"/>
        </w:behaviors>
        <w:description w:val=""/>
        <w:guid w:val="{5DB44A22-710C-44AB-A5E4-1792C8158BA2}"/>
      </w:docPartPr>
      <w:docPartBody>
        <w:p>
          <w:r>
            <w:rPr>
              <w:color w:val="808080"/>
            </w:rPr>
            <w:t>单击此处输入文字。</w:t>
          </w:r>
        </w:p>
      </w:docPartBody>
    </w:docPart>
    <w:docPart>
      <w:docPartPr>
        <w:name w:val="{46956840-d113-48e8-89ac-5fa39eae4a2a}"/>
        <w:style w:val=""/>
        <w:category>
          <w:name w:val="常规"/>
          <w:gallery w:val="placeholder"/>
        </w:category>
        <w:types>
          <w:type w:val="bbPlcHdr"/>
        </w:types>
        <w:behaviors>
          <w:behavior w:val="content"/>
        </w:behaviors>
        <w:description w:val=""/>
        <w:guid w:val="{46956840-D113-48E8-89AC-5FA39EAE4A2A}"/>
      </w:docPartPr>
      <w:docPartBody>
        <w:p>
          <w:r>
            <w:rPr>
              <w:color w:val="808080"/>
            </w:rPr>
            <w:t>单击此处输入文字。</w:t>
          </w:r>
        </w:p>
      </w:docPartBody>
    </w:docPart>
    <w:docPart>
      <w:docPartPr>
        <w:name w:val="{c871e4e8-8654-4588-bf74-1ca2489500e1}"/>
        <w:style w:val=""/>
        <w:category>
          <w:name w:val="常规"/>
          <w:gallery w:val="placeholder"/>
        </w:category>
        <w:types>
          <w:type w:val="bbPlcHdr"/>
        </w:types>
        <w:behaviors>
          <w:behavior w:val="content"/>
        </w:behaviors>
        <w:description w:val=""/>
        <w:guid w:val="{C871E4E8-8654-4588-BF74-1CA2489500E1}"/>
      </w:docPartPr>
      <w:docPartBody>
        <w:p>
          <w:r>
            <w:rPr>
              <w:color w:val="808080"/>
            </w:rPr>
            <w:t>单击此处输入文字。</w:t>
          </w:r>
        </w:p>
      </w:docPartBody>
    </w:docPart>
    <w:docPart>
      <w:docPartPr>
        <w:name w:val="{e71e5423-e652-4c65-b080-31dcbd204a72}"/>
        <w:style w:val=""/>
        <w:category>
          <w:name w:val="常规"/>
          <w:gallery w:val="placeholder"/>
        </w:category>
        <w:types>
          <w:type w:val="bbPlcHdr"/>
        </w:types>
        <w:behaviors>
          <w:behavior w:val="content"/>
        </w:behaviors>
        <w:description w:val=""/>
        <w:guid w:val="{E71E5423-E652-4C65-B080-31DCBD204A72}"/>
      </w:docPartPr>
      <w:docPartBody>
        <w:p>
          <w:r>
            <w:rPr>
              <w:color w:val="808080"/>
            </w:rPr>
            <w:t>单击此处输入文字。</w:t>
          </w:r>
        </w:p>
      </w:docPartBody>
    </w:docPart>
    <w:docPart>
      <w:docPartPr>
        <w:name w:val="{c4d4b21c-d43f-44f9-b8ca-a0fb6f66fa0c}"/>
        <w:style w:val=""/>
        <w:category>
          <w:name w:val="常规"/>
          <w:gallery w:val="placeholder"/>
        </w:category>
        <w:types>
          <w:type w:val="bbPlcHdr"/>
        </w:types>
        <w:behaviors>
          <w:behavior w:val="content"/>
        </w:behaviors>
        <w:description w:val=""/>
        <w:guid w:val="{C4D4B21C-D43F-44F9-B8CA-A0FB6F66FA0C}"/>
      </w:docPartPr>
      <w:docPartBody>
        <w:p>
          <w:r>
            <w:rPr>
              <w:color w:val="808080"/>
            </w:rPr>
            <w:t>单击此处输入文字。</w:t>
          </w:r>
        </w:p>
      </w:docPartBody>
    </w:docPart>
    <w:docPart>
      <w:docPartPr>
        <w:name w:val="{1298ea4a-cd1c-4637-9d5c-246c79d9c77c}"/>
        <w:style w:val=""/>
        <w:category>
          <w:name w:val="常规"/>
          <w:gallery w:val="placeholder"/>
        </w:category>
        <w:types>
          <w:type w:val="bbPlcHdr"/>
        </w:types>
        <w:behaviors>
          <w:behavior w:val="content"/>
        </w:behaviors>
        <w:description w:val=""/>
        <w:guid w:val="{1298EA4A-CD1C-4637-9D5C-246C79D9C77C}"/>
      </w:docPartPr>
      <w:docPartBody>
        <w:p>
          <w:r>
            <w:rPr>
              <w:color w:val="808080"/>
            </w:rPr>
            <w:t>单击此处输入文字。</w:t>
          </w:r>
        </w:p>
      </w:docPartBody>
    </w:docPart>
    <w:docPart>
      <w:docPartPr>
        <w:name w:val="{e57bfa72-7b7e-465f-bcd0-6964f032d2a9}"/>
        <w:style w:val=""/>
        <w:category>
          <w:name w:val="常规"/>
          <w:gallery w:val="placeholder"/>
        </w:category>
        <w:types>
          <w:type w:val="bbPlcHdr"/>
        </w:types>
        <w:behaviors>
          <w:behavior w:val="content"/>
        </w:behaviors>
        <w:description w:val=""/>
        <w:guid w:val="{E57BFA72-7B7E-465F-BCD0-6964F032D2A9}"/>
      </w:docPartPr>
      <w:docPartBody>
        <w:p>
          <w:r>
            <w:rPr>
              <w:color w:val="808080"/>
            </w:rPr>
            <w:t>单击此处输入文字。</w:t>
          </w:r>
        </w:p>
      </w:docPartBody>
    </w:docPart>
    <w:docPart>
      <w:docPartPr>
        <w:name w:val="{14eb227b-7283-410c-9201-a18d1f810454}"/>
        <w:style w:val=""/>
        <w:category>
          <w:name w:val="常规"/>
          <w:gallery w:val="placeholder"/>
        </w:category>
        <w:types>
          <w:type w:val="bbPlcHdr"/>
        </w:types>
        <w:behaviors>
          <w:behavior w:val="content"/>
        </w:behaviors>
        <w:description w:val=""/>
        <w:guid w:val="{14EB227B-7283-410C-9201-A18D1F810454}"/>
      </w:docPartPr>
      <w:docPartBody>
        <w:p>
          <w:r>
            <w:rPr>
              <w:color w:val="808080"/>
            </w:rPr>
            <w:t>单击此处输入文字。</w:t>
          </w:r>
        </w:p>
      </w:docPartBody>
    </w:docPart>
    <w:docPart>
      <w:docPartPr>
        <w:name w:val="{cc485ca2-c1dd-4cf8-a5ef-e9511dd8289d}"/>
        <w:style w:val=""/>
        <w:category>
          <w:name w:val="常规"/>
          <w:gallery w:val="placeholder"/>
        </w:category>
        <w:types>
          <w:type w:val="bbPlcHdr"/>
        </w:types>
        <w:behaviors>
          <w:behavior w:val="content"/>
        </w:behaviors>
        <w:description w:val=""/>
        <w:guid w:val="{CC485CA2-C1DD-4CF8-A5EF-E9511DD8289D}"/>
      </w:docPartPr>
      <w:docPartBody>
        <w:p>
          <w:r>
            <w:rPr>
              <w:color w:val="808080"/>
            </w:rPr>
            <w:t>单击此处输入文字。</w:t>
          </w:r>
        </w:p>
      </w:docPartBody>
    </w:docPart>
    <w:docPart>
      <w:docPartPr>
        <w:name w:val="{26ba7ea4-0fa4-4f8b-9938-1fbf7252fad3}"/>
        <w:style w:val=""/>
        <w:category>
          <w:name w:val="常规"/>
          <w:gallery w:val="placeholder"/>
        </w:category>
        <w:types>
          <w:type w:val="bbPlcHdr"/>
        </w:types>
        <w:behaviors>
          <w:behavior w:val="content"/>
        </w:behaviors>
        <w:description w:val=""/>
        <w:guid w:val="{26BA7EA4-0FA4-4F8B-9938-1FBF7252FAD3}"/>
      </w:docPartPr>
      <w:docPartBody>
        <w:p>
          <w:r>
            <w:rPr>
              <w:color w:val="808080"/>
            </w:rPr>
            <w:t>单击此处输入文字。</w:t>
          </w:r>
        </w:p>
      </w:docPartBody>
    </w:docPart>
    <w:docPart>
      <w:docPartPr>
        <w:name w:val="{71391b02-8c8b-4a97-80b1-a14f973e6cbc}"/>
        <w:style w:val=""/>
        <w:category>
          <w:name w:val="常规"/>
          <w:gallery w:val="placeholder"/>
        </w:category>
        <w:types>
          <w:type w:val="bbPlcHdr"/>
        </w:types>
        <w:behaviors>
          <w:behavior w:val="content"/>
        </w:behaviors>
        <w:description w:val=""/>
        <w:guid w:val="{71391B02-8C8B-4A97-80B1-A14F973E6CBC}"/>
      </w:docPartPr>
      <w:docPartBody>
        <w:p>
          <w:r>
            <w:rPr>
              <w:color w:val="808080"/>
            </w:rPr>
            <w:t>单击此处输入文字。</w:t>
          </w:r>
        </w:p>
      </w:docPartBody>
    </w:docPart>
    <w:docPart>
      <w:docPartPr>
        <w:name w:val="{d0deffe7-dd1c-45d7-a6ea-cb7765e91527}"/>
        <w:style w:val=""/>
        <w:category>
          <w:name w:val="常规"/>
          <w:gallery w:val="placeholder"/>
        </w:category>
        <w:types>
          <w:type w:val="bbPlcHdr"/>
        </w:types>
        <w:behaviors>
          <w:behavior w:val="content"/>
        </w:behaviors>
        <w:description w:val=""/>
        <w:guid w:val="{D0DEFFE7-DD1C-45D7-A6EA-CB7765E91527}"/>
      </w:docPartPr>
      <w:docPartBody>
        <w:p>
          <w:r>
            <w:rPr>
              <w:color w:val="808080"/>
            </w:rPr>
            <w:t>单击此处输入文字。</w:t>
          </w:r>
        </w:p>
      </w:docPartBody>
    </w:docPart>
    <w:docPart>
      <w:docPartPr>
        <w:name w:val="{224f95e1-72fb-413f-ba99-74ed28fcad94}"/>
        <w:style w:val=""/>
        <w:category>
          <w:name w:val="常规"/>
          <w:gallery w:val="placeholder"/>
        </w:category>
        <w:types>
          <w:type w:val="bbPlcHdr"/>
        </w:types>
        <w:behaviors>
          <w:behavior w:val="content"/>
        </w:behaviors>
        <w:description w:val=""/>
        <w:guid w:val="{224F95E1-72FB-413F-BA99-74ED28FCAD94}"/>
      </w:docPartPr>
      <w:docPartBody>
        <w:p>
          <w:r>
            <w:rPr>
              <w:color w:val="808080"/>
            </w:rPr>
            <w:t>单击此处输入文字。</w:t>
          </w:r>
        </w:p>
      </w:docPartBody>
    </w:docPart>
    <w:docPart>
      <w:docPartPr>
        <w:name w:val="{7fb97ca2-7e41-44b3-af96-6d847ba470d4}"/>
        <w:style w:val=""/>
        <w:category>
          <w:name w:val="常规"/>
          <w:gallery w:val="placeholder"/>
        </w:category>
        <w:types>
          <w:type w:val="bbPlcHdr"/>
        </w:types>
        <w:behaviors>
          <w:behavior w:val="content"/>
        </w:behaviors>
        <w:description w:val=""/>
        <w:guid w:val="{7FB97CA2-7E41-44B3-AF96-6D847BA470D4}"/>
      </w:docPartPr>
      <w:docPartBody>
        <w:p>
          <w:r>
            <w:rPr>
              <w:color w:val="808080"/>
            </w:rPr>
            <w:t>单击此处输入文字。</w:t>
          </w:r>
        </w:p>
      </w:docPartBody>
    </w:docPart>
    <w:docPart>
      <w:docPartPr>
        <w:name w:val="{39b15929-bde2-40d4-a840-6c9dda42d733}"/>
        <w:style w:val=""/>
        <w:category>
          <w:name w:val="常规"/>
          <w:gallery w:val="placeholder"/>
        </w:category>
        <w:types>
          <w:type w:val="bbPlcHdr"/>
        </w:types>
        <w:behaviors>
          <w:behavior w:val="content"/>
        </w:behaviors>
        <w:description w:val=""/>
        <w:guid w:val="{39B15929-BDE2-40D4-A840-6C9DDA42D73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A2121"/>
    <w:rsid w:val="002A2121"/>
    <w:rsid w:val="004809E8"/>
    <w:rsid w:val="00A218CF"/>
    <w:rsid w:val="00C33937"/>
    <w:rsid w:val="00D4052C"/>
    <w:rsid w:val="00D8729B"/>
    <w:rsid w:val="00FC2DA0"/>
    <w:rsid w:val="00F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9268</Words>
  <Characters>9684</Characters>
  <Lines>84</Lines>
  <Paragraphs>23</Paragraphs>
  <TotalTime>11</TotalTime>
  <ScaleCrop>false</ScaleCrop>
  <LinksUpToDate>false</LinksUpToDate>
  <CharactersWithSpaces>9916</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mac</dc:creator>
  <cp:lastModifiedBy>冲是首当其冲的冲</cp:lastModifiedBy>
  <cp:lastPrinted>2022-09-02T06:27:31Z</cp:lastPrinted>
  <dcterms:modified xsi:type="dcterms:W3CDTF">2022-09-02T06:34:13Z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FA775A37DB7C410EAFD1325B2F6A32DB</vt:lpwstr>
  </property>
  <property fmtid="{D5CDD505-2E9C-101B-9397-08002B2CF9AE}" pid="4" name="commondata">
    <vt:lpwstr>eyJoZGlkIjoiMGIxNmZlMmM3ZmM3ODg1NjFmYjBlMjVmZDA2ZWM3MzgifQ==</vt:lpwstr>
  </property>
</Properties>
</file>