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0E02" w14:textId="77777777" w:rsidR="007D1228" w:rsidRDefault="00CA5E49">
      <w:pPr>
        <w:widowControl w:val="0"/>
        <w:spacing w:beforeLines="100" w:before="240" w:line="360" w:lineRule="auto"/>
        <w:jc w:val="left"/>
        <w:rPr>
          <w:rFonts w:ascii="宋体" w:eastAsia="宋体" w:hAnsi="宋体" w:cs="宋体"/>
          <w:b/>
          <w:kern w:val="2"/>
          <w:sz w:val="24"/>
          <w:szCs w:val="30"/>
        </w:rPr>
      </w:pPr>
      <w:r>
        <w:rPr>
          <w:rFonts w:ascii="宋体" w:eastAsia="宋体" w:hAnsi="宋体" w:cs="宋体" w:hint="eastAsia"/>
          <w:b/>
          <w:sz w:val="24"/>
          <w:szCs w:val="30"/>
        </w:rPr>
        <w:t>本</w:t>
      </w:r>
      <w:r>
        <w:rPr>
          <w:rFonts w:ascii="宋体" w:eastAsia="宋体" w:hAnsi="宋体" w:cs="宋体" w:hint="eastAsia"/>
          <w:b/>
          <w:kern w:val="2"/>
          <w:sz w:val="24"/>
          <w:szCs w:val="30"/>
        </w:rPr>
        <w:t>资产评估报告依据中国资产评估准则编制</w:t>
      </w:r>
    </w:p>
    <w:p w14:paraId="16DE33F4" w14:textId="77777777" w:rsidR="007D1228" w:rsidRDefault="00CA5E49">
      <w:pPr>
        <w:widowControl w:val="0"/>
        <w:spacing w:after="160" w:line="360" w:lineRule="auto"/>
        <w:jc w:val="left"/>
        <w:rPr>
          <w:rFonts w:ascii="宋体" w:eastAsia="宋体" w:hAnsi="宋体" w:cs="宋体"/>
          <w:b/>
          <w:w w:val="90"/>
          <w:sz w:val="44"/>
          <w:szCs w:val="44"/>
        </w:rPr>
      </w:pPr>
      <w:r>
        <w:rPr>
          <w:rFonts w:ascii="宋体" w:eastAsia="宋体" w:hAnsi="宋体" w:cs="宋体" w:hint="eastAsia"/>
          <w:b/>
          <w:sz w:val="24"/>
          <w:szCs w:val="30"/>
        </w:rPr>
        <w:t>人民法院委托司法执行财产处置参考价目的资产评估报告</w:t>
      </w:r>
    </w:p>
    <w:p w14:paraId="657BC738" w14:textId="77777777" w:rsidR="007D1228" w:rsidRDefault="007D1228">
      <w:pPr>
        <w:widowControl w:val="0"/>
        <w:snapToGrid w:val="0"/>
        <w:spacing w:line="360" w:lineRule="auto"/>
        <w:jc w:val="left"/>
        <w:rPr>
          <w:rFonts w:ascii="宋体" w:eastAsia="宋体" w:hAnsi="宋体" w:cs="宋体"/>
          <w:b/>
          <w:sz w:val="44"/>
          <w:szCs w:val="44"/>
        </w:rPr>
      </w:pPr>
    </w:p>
    <w:p w14:paraId="5896964B" w14:textId="77777777" w:rsidR="007D1228" w:rsidRDefault="007D1228">
      <w:pPr>
        <w:widowControl w:val="0"/>
        <w:snapToGrid w:val="0"/>
        <w:spacing w:line="360" w:lineRule="auto"/>
        <w:jc w:val="left"/>
        <w:rPr>
          <w:rFonts w:ascii="宋体" w:eastAsia="宋体" w:hAnsi="宋体" w:cs="宋体"/>
          <w:b/>
          <w:sz w:val="44"/>
          <w:szCs w:val="44"/>
        </w:rPr>
      </w:pPr>
    </w:p>
    <w:p w14:paraId="1E98E12C" w14:textId="77777777" w:rsidR="00260419" w:rsidRDefault="00CA5E49" w:rsidP="00260419">
      <w:pPr>
        <w:widowControl w:val="0"/>
        <w:snapToGrid w:val="0"/>
        <w:spacing w:line="360" w:lineRule="auto"/>
        <w:jc w:val="center"/>
        <w:rPr>
          <w:rFonts w:ascii="宋体" w:eastAsia="宋体" w:hAnsi="宋体" w:cs="宋体"/>
          <w:b/>
          <w:sz w:val="44"/>
          <w:szCs w:val="44"/>
        </w:rPr>
      </w:pPr>
      <w:r>
        <w:rPr>
          <w:rFonts w:ascii="宋体" w:eastAsia="宋体" w:hAnsi="宋体" w:cs="宋体" w:hint="eastAsia"/>
          <w:b/>
          <w:sz w:val="44"/>
          <w:szCs w:val="44"/>
        </w:rPr>
        <w:t>进贤县人民法院因执行案件事宜涉及</w:t>
      </w:r>
      <w:r w:rsidR="00D70ABD">
        <w:rPr>
          <w:rFonts w:ascii="宋体" w:eastAsia="宋体" w:hAnsi="宋体" w:cs="宋体" w:hint="eastAsia"/>
          <w:b/>
          <w:sz w:val="44"/>
          <w:szCs w:val="44"/>
        </w:rPr>
        <w:t>连震</w:t>
      </w:r>
    </w:p>
    <w:p w14:paraId="1592D890" w14:textId="77777777" w:rsidR="00260419" w:rsidRDefault="00CA5E49" w:rsidP="00260419">
      <w:pPr>
        <w:widowControl w:val="0"/>
        <w:snapToGrid w:val="0"/>
        <w:spacing w:line="360" w:lineRule="auto"/>
        <w:jc w:val="center"/>
        <w:rPr>
          <w:rFonts w:ascii="宋体" w:eastAsia="宋体" w:hAnsi="宋体" w:cs="宋体"/>
          <w:b/>
          <w:w w:val="90"/>
          <w:sz w:val="44"/>
          <w:szCs w:val="44"/>
        </w:rPr>
      </w:pPr>
      <w:r>
        <w:rPr>
          <w:rFonts w:ascii="宋体" w:eastAsia="宋体" w:hAnsi="宋体" w:cs="宋体" w:hint="eastAsia"/>
          <w:b/>
          <w:sz w:val="44"/>
          <w:szCs w:val="44"/>
        </w:rPr>
        <w:t>所有的</w:t>
      </w:r>
      <w:r w:rsidR="00D70ABD">
        <w:rPr>
          <w:rFonts w:ascii="宋体" w:eastAsia="宋体" w:hAnsi="宋体" w:cs="宋体" w:hint="eastAsia"/>
          <w:b/>
          <w:sz w:val="44"/>
          <w:szCs w:val="44"/>
        </w:rPr>
        <w:t>云天小镇</w:t>
      </w:r>
      <w:r w:rsidR="00402DB8">
        <w:rPr>
          <w:rFonts w:ascii="宋体" w:eastAsia="宋体" w:hAnsi="宋体" w:cs="宋体" w:hint="eastAsia"/>
          <w:b/>
          <w:w w:val="90"/>
          <w:sz w:val="44"/>
          <w:szCs w:val="44"/>
        </w:rPr>
        <w:t>4号楼1单元3</w:t>
      </w:r>
      <w:r w:rsidR="00402DB8">
        <w:rPr>
          <w:rFonts w:ascii="宋体" w:eastAsia="宋体" w:hAnsi="宋体" w:cs="宋体"/>
          <w:b/>
          <w:w w:val="90"/>
          <w:sz w:val="44"/>
          <w:szCs w:val="44"/>
        </w:rPr>
        <w:t>01</w:t>
      </w:r>
      <w:r w:rsidR="00402DB8">
        <w:rPr>
          <w:rFonts w:ascii="宋体" w:eastAsia="宋体" w:hAnsi="宋体" w:cs="宋体" w:hint="eastAsia"/>
          <w:b/>
          <w:w w:val="90"/>
          <w:sz w:val="44"/>
          <w:szCs w:val="44"/>
        </w:rPr>
        <w:t>室</w:t>
      </w:r>
    </w:p>
    <w:p w14:paraId="33327501" w14:textId="566EBE7F" w:rsidR="007D1228" w:rsidRDefault="001E28BD" w:rsidP="00260419">
      <w:pPr>
        <w:widowControl w:val="0"/>
        <w:snapToGrid w:val="0"/>
        <w:spacing w:line="360" w:lineRule="auto"/>
        <w:jc w:val="center"/>
        <w:rPr>
          <w:rFonts w:ascii="宋体" w:eastAsia="宋体" w:hAnsi="宋体" w:cs="宋体"/>
          <w:b/>
          <w:sz w:val="44"/>
          <w:szCs w:val="44"/>
        </w:rPr>
      </w:pPr>
      <w:r>
        <w:rPr>
          <w:rFonts w:ascii="宋体" w:eastAsia="宋体" w:hAnsi="宋体" w:cs="宋体" w:hint="eastAsia"/>
          <w:b/>
          <w:sz w:val="44"/>
          <w:szCs w:val="44"/>
        </w:rPr>
        <w:t>不动产</w:t>
      </w:r>
      <w:r w:rsidR="00CA5E49">
        <w:rPr>
          <w:rFonts w:ascii="宋体" w:eastAsia="宋体" w:hAnsi="宋体" w:cs="宋体" w:hint="eastAsia"/>
          <w:b/>
          <w:sz w:val="44"/>
          <w:szCs w:val="44"/>
        </w:rPr>
        <w:t>处置项目</w:t>
      </w:r>
    </w:p>
    <w:p w14:paraId="31BF70A5" w14:textId="77777777" w:rsidR="007D1228" w:rsidRDefault="00CA5E49">
      <w:pPr>
        <w:widowControl w:val="0"/>
        <w:snapToGrid w:val="0"/>
        <w:spacing w:line="360" w:lineRule="auto"/>
        <w:jc w:val="center"/>
        <w:rPr>
          <w:rFonts w:ascii="宋体" w:eastAsia="宋体" w:hAnsi="宋体" w:cs="宋体"/>
          <w:b/>
          <w:sz w:val="44"/>
          <w:szCs w:val="44"/>
        </w:rPr>
      </w:pPr>
      <w:r>
        <w:rPr>
          <w:rFonts w:ascii="宋体" w:eastAsia="宋体" w:hAnsi="宋体" w:cs="宋体" w:hint="eastAsia"/>
          <w:b/>
          <w:sz w:val="44"/>
          <w:szCs w:val="44"/>
        </w:rPr>
        <w:t>资产评估报告</w:t>
      </w:r>
    </w:p>
    <w:p w14:paraId="18513625" w14:textId="5C5A50BA" w:rsidR="007D1228" w:rsidRDefault="00D70ABD">
      <w:pPr>
        <w:widowControl w:val="0"/>
        <w:spacing w:before="240" w:after="240"/>
        <w:jc w:val="center"/>
        <w:rPr>
          <w:rFonts w:ascii="宋体" w:eastAsia="宋体" w:hAnsi="宋体" w:cs="宋体"/>
          <w:b/>
          <w:sz w:val="28"/>
          <w:szCs w:val="28"/>
        </w:rPr>
      </w:pPr>
      <w:r>
        <w:rPr>
          <w:rFonts w:ascii="宋体" w:eastAsia="宋体" w:hAnsi="宋体" w:cs="宋体" w:hint="eastAsia"/>
          <w:b/>
          <w:sz w:val="28"/>
          <w:szCs w:val="28"/>
        </w:rPr>
        <w:t>赣三源评报字（2022）第06005号</w:t>
      </w:r>
    </w:p>
    <w:p w14:paraId="7E96F8DD" w14:textId="77777777" w:rsidR="007D1228" w:rsidRDefault="007D1228">
      <w:pPr>
        <w:widowControl w:val="0"/>
        <w:spacing w:after="160"/>
        <w:jc w:val="center"/>
        <w:rPr>
          <w:rFonts w:ascii="宋体" w:eastAsia="宋体" w:hAnsi="宋体" w:cs="宋体"/>
          <w:b/>
          <w:sz w:val="52"/>
          <w:szCs w:val="52"/>
        </w:rPr>
      </w:pPr>
    </w:p>
    <w:p w14:paraId="00D624CF" w14:textId="77777777" w:rsidR="007D1228" w:rsidRDefault="007D1228">
      <w:pPr>
        <w:widowControl w:val="0"/>
        <w:spacing w:after="160"/>
        <w:jc w:val="center"/>
        <w:rPr>
          <w:rFonts w:ascii="宋体" w:eastAsia="宋体" w:hAnsi="宋体" w:cs="宋体"/>
          <w:b/>
          <w:sz w:val="52"/>
          <w:szCs w:val="52"/>
        </w:rPr>
      </w:pPr>
    </w:p>
    <w:p w14:paraId="324EC9AE" w14:textId="77777777" w:rsidR="007D1228" w:rsidRDefault="007D1228">
      <w:pPr>
        <w:widowControl w:val="0"/>
        <w:spacing w:after="160"/>
        <w:rPr>
          <w:rFonts w:ascii="宋体" w:eastAsia="宋体" w:hAnsi="宋体" w:cs="宋体"/>
          <w:b/>
          <w:sz w:val="52"/>
          <w:szCs w:val="52"/>
        </w:rPr>
      </w:pPr>
    </w:p>
    <w:p w14:paraId="139BDFB2" w14:textId="77777777" w:rsidR="007D1228" w:rsidRDefault="007D1228">
      <w:pPr>
        <w:widowControl w:val="0"/>
        <w:spacing w:after="160"/>
        <w:jc w:val="center"/>
        <w:rPr>
          <w:rFonts w:ascii="宋体" w:eastAsia="宋体" w:hAnsi="宋体" w:cs="宋体"/>
          <w:b/>
          <w:sz w:val="32"/>
          <w:szCs w:val="32"/>
        </w:rPr>
      </w:pPr>
    </w:p>
    <w:p w14:paraId="5DE17994" w14:textId="77777777" w:rsidR="007D1228" w:rsidRDefault="00CA5E49">
      <w:pPr>
        <w:widowControl w:val="0"/>
        <w:spacing w:after="160" w:line="560" w:lineRule="exact"/>
        <w:jc w:val="center"/>
        <w:rPr>
          <w:rFonts w:ascii="宋体" w:eastAsia="宋体" w:hAnsi="宋体" w:cs="宋体"/>
          <w:b/>
          <w:sz w:val="32"/>
          <w:szCs w:val="32"/>
        </w:rPr>
      </w:pPr>
      <w:r>
        <w:rPr>
          <w:rFonts w:ascii="宋体" w:eastAsia="宋体" w:hAnsi="宋体" w:cs="宋体" w:hint="eastAsia"/>
          <w:b/>
          <w:sz w:val="32"/>
          <w:szCs w:val="32"/>
        </w:rPr>
        <w:t>江西三源房地产土地资产评估咨询有限公司</w:t>
      </w:r>
    </w:p>
    <w:p w14:paraId="2E021705" w14:textId="77777777" w:rsidR="007D1228" w:rsidRDefault="00CA5E49">
      <w:pPr>
        <w:widowControl w:val="0"/>
        <w:spacing w:after="160" w:line="560" w:lineRule="exact"/>
        <w:jc w:val="center"/>
        <w:rPr>
          <w:rFonts w:ascii="宋体" w:eastAsia="宋体" w:hAnsi="宋体" w:cs="宋体"/>
          <w:b/>
          <w:sz w:val="32"/>
          <w:szCs w:val="32"/>
        </w:rPr>
      </w:pPr>
      <w:r>
        <w:rPr>
          <w:rFonts w:ascii="宋体" w:eastAsia="宋体" w:hAnsi="宋体" w:cs="宋体" w:hint="eastAsia"/>
          <w:b/>
          <w:sz w:val="32"/>
          <w:szCs w:val="32"/>
        </w:rPr>
        <w:t>中国 · 南昌</w:t>
      </w:r>
    </w:p>
    <w:p w14:paraId="2139DA5C" w14:textId="6065C0CB" w:rsidR="007D1228" w:rsidRDefault="00CA5E49">
      <w:pPr>
        <w:widowControl w:val="0"/>
        <w:spacing w:after="160" w:line="560" w:lineRule="exact"/>
        <w:jc w:val="center"/>
        <w:rPr>
          <w:rFonts w:ascii="宋体" w:eastAsia="宋体" w:hAnsi="宋体" w:cs="宋体"/>
          <w:b/>
          <w:sz w:val="32"/>
          <w:szCs w:val="32"/>
        </w:rPr>
        <w:sectPr w:rsidR="007D1228">
          <w:headerReference w:type="even" r:id="rId8"/>
          <w:headerReference w:type="default" r:id="rId9"/>
          <w:footerReference w:type="even" r:id="rId10"/>
          <w:footerReference w:type="default" r:id="rId11"/>
          <w:headerReference w:type="first" r:id="rId12"/>
          <w:type w:val="continuous"/>
          <w:pgSz w:w="11907" w:h="16840"/>
          <w:pgMar w:top="1440" w:right="1080" w:bottom="1440" w:left="1080" w:header="851" w:footer="992" w:gutter="0"/>
          <w:pgNumType w:fmt="lowerRoman" w:start="1"/>
          <w:cols w:space="720" w:equalWidth="0">
            <w:col w:w="9186"/>
          </w:cols>
          <w:titlePg/>
          <w:docGrid w:linePitch="360" w:charSpace="6144"/>
        </w:sectPr>
      </w:pPr>
      <w:r>
        <w:rPr>
          <w:rFonts w:ascii="宋体" w:eastAsia="宋体" w:hAnsi="宋体" w:cs="宋体" w:hint="eastAsia"/>
          <w:b/>
          <w:sz w:val="32"/>
          <w:szCs w:val="32"/>
        </w:rPr>
        <w:t>二0二二年</w:t>
      </w:r>
      <w:r w:rsidR="00D70ABD">
        <w:rPr>
          <w:rFonts w:ascii="宋体" w:eastAsia="宋体" w:hAnsi="宋体" w:cs="宋体" w:hint="eastAsia"/>
          <w:b/>
          <w:sz w:val="32"/>
          <w:szCs w:val="32"/>
        </w:rPr>
        <w:t>六</w:t>
      </w:r>
      <w:r>
        <w:rPr>
          <w:rFonts w:ascii="宋体" w:eastAsia="宋体" w:hAnsi="宋体" w:cs="宋体" w:hint="eastAsia"/>
          <w:b/>
          <w:sz w:val="32"/>
          <w:szCs w:val="32"/>
        </w:rPr>
        <w:t>月</w:t>
      </w:r>
      <w:r w:rsidR="00D70ABD">
        <w:rPr>
          <w:rFonts w:ascii="宋体" w:eastAsia="宋体" w:hAnsi="宋体" w:cs="宋体" w:hint="eastAsia"/>
          <w:b/>
          <w:sz w:val="32"/>
          <w:szCs w:val="32"/>
        </w:rPr>
        <w:t>十三</w:t>
      </w:r>
      <w:r>
        <w:rPr>
          <w:rFonts w:ascii="宋体" w:eastAsia="宋体" w:hAnsi="宋体" w:cs="宋体" w:hint="eastAsia"/>
          <w:b/>
          <w:sz w:val="32"/>
          <w:szCs w:val="32"/>
        </w:rPr>
        <w:t>日</w:t>
      </w:r>
    </w:p>
    <w:p w14:paraId="437AB019" w14:textId="77777777" w:rsidR="007D1228" w:rsidRDefault="00CA5E49">
      <w:pPr>
        <w:widowControl w:val="0"/>
        <w:spacing w:beforeLines="100" w:before="240" w:afterLines="100" w:after="240" w:line="400" w:lineRule="exact"/>
        <w:jc w:val="center"/>
        <w:rPr>
          <w:rFonts w:ascii="宋体" w:eastAsia="宋体" w:hAnsi="宋体" w:cs="宋体"/>
          <w:sz w:val="36"/>
          <w:szCs w:val="36"/>
        </w:rPr>
      </w:pPr>
      <w:bookmarkStart w:id="0" w:name="_Toc31018_WPSOffice_Type2"/>
      <w:r>
        <w:rPr>
          <w:rFonts w:ascii="宋体" w:eastAsia="宋体" w:hAnsi="宋体" w:cs="宋体" w:hint="eastAsia"/>
          <w:b/>
          <w:bCs/>
          <w:sz w:val="36"/>
          <w:szCs w:val="36"/>
        </w:rPr>
        <w:lastRenderedPageBreak/>
        <w:t>目</w:t>
      </w:r>
      <w:r>
        <w:rPr>
          <w:rFonts w:ascii="宋体" w:eastAsia="宋体" w:hAnsi="宋体" w:cs="宋体" w:hint="eastAsia"/>
          <w:b/>
          <w:sz w:val="36"/>
          <w:szCs w:val="36"/>
        </w:rPr>
        <w:t xml:space="preserve">     </w:t>
      </w:r>
      <w:r>
        <w:rPr>
          <w:rFonts w:ascii="宋体" w:eastAsia="宋体" w:hAnsi="宋体" w:cs="宋体" w:hint="eastAsia"/>
          <w:b/>
          <w:bCs/>
          <w:sz w:val="36"/>
          <w:szCs w:val="36"/>
        </w:rPr>
        <w:t>录</w:t>
      </w:r>
    </w:p>
    <w:p w14:paraId="54C27D28" w14:textId="77777777" w:rsidR="007D1228" w:rsidRDefault="00CA5E49" w:rsidP="000870F9">
      <w:pPr>
        <w:widowControl w:val="0"/>
        <w:tabs>
          <w:tab w:val="right" w:leader="dot" w:pos="8987"/>
        </w:tabs>
        <w:snapToGrid w:val="0"/>
        <w:spacing w:line="500" w:lineRule="exact"/>
        <w:rPr>
          <w:rFonts w:ascii="宋体" w:hAnsi="宋体" w:cs="宋体"/>
        </w:rPr>
      </w:pPr>
      <w:r>
        <w:rPr>
          <w:rFonts w:ascii="宋体" w:hAnsi="宋体" w:cs="宋体" w:hint="eastAsia"/>
          <w:b/>
          <w:sz w:val="24"/>
        </w:rPr>
        <w:t>一、声    明</w:t>
      </w:r>
      <w:r>
        <w:rPr>
          <w:rFonts w:ascii="宋体" w:hAnsi="宋体" w:cs="宋体" w:hint="eastAsia"/>
          <w:b/>
          <w:sz w:val="24"/>
        </w:rPr>
        <w:tab/>
        <w:t>1</w:t>
      </w:r>
    </w:p>
    <w:p w14:paraId="44484BB6" w14:textId="77777777" w:rsidR="007D1228" w:rsidRDefault="00CA5E49" w:rsidP="000870F9">
      <w:pPr>
        <w:widowControl w:val="0"/>
        <w:tabs>
          <w:tab w:val="right" w:leader="dot" w:pos="8987"/>
        </w:tabs>
        <w:snapToGrid w:val="0"/>
        <w:spacing w:line="500" w:lineRule="exact"/>
        <w:rPr>
          <w:rFonts w:ascii="宋体" w:hAnsi="宋体" w:cs="宋体"/>
        </w:rPr>
      </w:pPr>
      <w:r>
        <w:rPr>
          <w:rFonts w:ascii="宋体" w:hAnsi="宋体" w:cs="宋体" w:hint="eastAsia"/>
          <w:b/>
          <w:sz w:val="24"/>
        </w:rPr>
        <w:t>二、摘    要</w:t>
      </w:r>
      <w:r>
        <w:rPr>
          <w:rFonts w:ascii="宋体" w:hAnsi="宋体" w:cs="宋体" w:hint="eastAsia"/>
          <w:b/>
          <w:sz w:val="24"/>
        </w:rPr>
        <w:tab/>
        <w:t>2</w:t>
      </w:r>
    </w:p>
    <w:p w14:paraId="248D5957" w14:textId="77777777" w:rsidR="007D1228" w:rsidRDefault="00CA5E49" w:rsidP="000870F9">
      <w:pPr>
        <w:widowControl w:val="0"/>
        <w:tabs>
          <w:tab w:val="right" w:leader="dot" w:pos="8987"/>
        </w:tabs>
        <w:snapToGrid w:val="0"/>
        <w:spacing w:line="500" w:lineRule="exact"/>
        <w:rPr>
          <w:rFonts w:ascii="宋体" w:eastAsia="宋体" w:hAnsi="宋体" w:cs="宋体"/>
        </w:rPr>
      </w:pPr>
      <w:r>
        <w:rPr>
          <w:rFonts w:ascii="宋体" w:hAnsi="宋体" w:cs="宋体" w:hint="eastAsia"/>
          <w:b/>
          <w:sz w:val="24"/>
        </w:rPr>
        <w:t>三、正    文</w:t>
      </w:r>
      <w:r>
        <w:rPr>
          <w:rFonts w:ascii="宋体" w:hAnsi="宋体" w:cs="宋体" w:hint="eastAsia"/>
          <w:b/>
          <w:sz w:val="24"/>
        </w:rPr>
        <w:tab/>
        <w:t>5</w:t>
      </w:r>
    </w:p>
    <w:p w14:paraId="5DA91860" w14:textId="77777777"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sz w:val="24"/>
        </w:rPr>
      </w:pPr>
      <w:r>
        <w:rPr>
          <w:rFonts w:ascii="宋体" w:hAnsi="宋体" w:cs="宋体" w:hint="eastAsia"/>
          <w:sz w:val="24"/>
        </w:rPr>
        <w:t>（一）委托人、被评估单位和资产评估委托合同约定的其他评估报告使用人概况</w:t>
      </w:r>
      <w:r>
        <w:rPr>
          <w:rFonts w:ascii="宋体" w:eastAsia="宋体" w:hAnsi="宋体" w:cs="宋体" w:hint="eastAsia"/>
          <w:sz w:val="24"/>
        </w:rPr>
        <w:t>5</w:t>
      </w:r>
    </w:p>
    <w:p w14:paraId="3B18F670" w14:textId="77777777"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（二）评估目的</w:t>
      </w:r>
      <w:r>
        <w:rPr>
          <w:rFonts w:ascii="宋体" w:hAnsi="宋体" w:cs="宋体" w:hint="eastAsia"/>
          <w:sz w:val="24"/>
        </w:rPr>
        <w:tab/>
        <w:t>5</w:t>
      </w:r>
    </w:p>
    <w:p w14:paraId="47B2FF2D" w14:textId="0D5DCDA7"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sz w:val="24"/>
        </w:rPr>
      </w:pPr>
      <w:r>
        <w:rPr>
          <w:rFonts w:ascii="宋体" w:hAnsi="宋体" w:cs="宋体" w:hint="eastAsia"/>
          <w:sz w:val="24"/>
        </w:rPr>
        <w:t>（三）评估对象和评估范围</w:t>
      </w:r>
      <w:r>
        <w:rPr>
          <w:rFonts w:ascii="宋体" w:hAnsi="宋体" w:cs="宋体" w:hint="eastAsia"/>
          <w:sz w:val="24"/>
        </w:rPr>
        <w:tab/>
      </w:r>
      <w:r w:rsidR="001423E4">
        <w:rPr>
          <w:rFonts w:ascii="宋体" w:hAnsi="宋体" w:cs="宋体"/>
          <w:sz w:val="24"/>
        </w:rPr>
        <w:t>6</w:t>
      </w:r>
    </w:p>
    <w:p w14:paraId="38F44F0B" w14:textId="6531EAB3"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（四）价值类型</w:t>
      </w:r>
      <w:r>
        <w:rPr>
          <w:rFonts w:ascii="宋体" w:hAnsi="宋体" w:cs="宋体" w:hint="eastAsia"/>
          <w:sz w:val="24"/>
        </w:rPr>
        <w:tab/>
      </w:r>
      <w:r w:rsidR="003C7AF0">
        <w:rPr>
          <w:rFonts w:ascii="宋体" w:hAnsi="宋体" w:cs="宋体"/>
          <w:sz w:val="24"/>
        </w:rPr>
        <w:t>6</w:t>
      </w:r>
    </w:p>
    <w:p w14:paraId="0F892FD7" w14:textId="6D3875F0"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（五）评估基准日</w:t>
      </w:r>
      <w:r>
        <w:rPr>
          <w:rFonts w:ascii="宋体" w:hAnsi="宋体" w:cs="宋体" w:hint="eastAsia"/>
          <w:sz w:val="24"/>
        </w:rPr>
        <w:tab/>
      </w:r>
      <w:r w:rsidR="001423E4">
        <w:rPr>
          <w:rFonts w:ascii="宋体" w:eastAsia="宋体" w:hAnsi="宋体" w:cs="宋体"/>
          <w:sz w:val="24"/>
        </w:rPr>
        <w:t>7</w:t>
      </w:r>
    </w:p>
    <w:p w14:paraId="1CFD1297" w14:textId="797E3A81"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（六）评估依据</w:t>
      </w:r>
      <w:r>
        <w:rPr>
          <w:rFonts w:ascii="宋体" w:hAnsi="宋体" w:cs="宋体" w:hint="eastAsia"/>
          <w:sz w:val="24"/>
        </w:rPr>
        <w:tab/>
      </w:r>
      <w:r w:rsidR="001423E4">
        <w:rPr>
          <w:rFonts w:ascii="宋体" w:eastAsia="宋体" w:hAnsi="宋体" w:cs="宋体"/>
          <w:sz w:val="24"/>
        </w:rPr>
        <w:t>7</w:t>
      </w:r>
    </w:p>
    <w:p w14:paraId="33BEE946" w14:textId="1E2B9F69"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（七）评估方法</w:t>
      </w:r>
      <w:r>
        <w:rPr>
          <w:rFonts w:ascii="宋体" w:hAnsi="宋体" w:cs="宋体" w:hint="eastAsia"/>
          <w:sz w:val="24"/>
        </w:rPr>
        <w:tab/>
      </w:r>
      <w:r w:rsidR="001423E4">
        <w:rPr>
          <w:rFonts w:ascii="宋体" w:eastAsia="宋体" w:hAnsi="宋体" w:cs="宋体"/>
          <w:sz w:val="24"/>
        </w:rPr>
        <w:t>9</w:t>
      </w:r>
    </w:p>
    <w:p w14:paraId="3E07E1AB" w14:textId="752B1E67"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（八）评估程序实施过程和情况</w:t>
      </w:r>
      <w:r>
        <w:rPr>
          <w:rFonts w:ascii="宋体" w:hAnsi="宋体" w:cs="宋体" w:hint="eastAsia"/>
          <w:sz w:val="24"/>
        </w:rPr>
        <w:tab/>
      </w:r>
      <w:r w:rsidR="001423E4">
        <w:rPr>
          <w:rFonts w:ascii="宋体" w:eastAsia="宋体" w:hAnsi="宋体" w:cs="宋体"/>
          <w:sz w:val="24"/>
        </w:rPr>
        <w:t>10</w:t>
      </w:r>
    </w:p>
    <w:p w14:paraId="4F6942A6" w14:textId="5FBA8B8C"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（九）评估假设</w:t>
      </w:r>
      <w:r>
        <w:rPr>
          <w:rFonts w:ascii="宋体" w:hAnsi="宋体" w:cs="宋体" w:hint="eastAsia"/>
          <w:sz w:val="24"/>
        </w:rPr>
        <w:tab/>
        <w:t>1</w:t>
      </w:r>
      <w:r w:rsidR="001423E4">
        <w:rPr>
          <w:rFonts w:ascii="宋体" w:eastAsia="宋体" w:hAnsi="宋体" w:cs="宋体"/>
          <w:sz w:val="24"/>
        </w:rPr>
        <w:t>2</w:t>
      </w:r>
    </w:p>
    <w:p w14:paraId="142EB8DE" w14:textId="17B43584"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（十）评估结论</w:t>
      </w:r>
      <w:r>
        <w:rPr>
          <w:rFonts w:ascii="宋体" w:hAnsi="宋体" w:cs="宋体" w:hint="eastAsia"/>
          <w:sz w:val="24"/>
        </w:rPr>
        <w:tab/>
        <w:t>1</w:t>
      </w:r>
      <w:r w:rsidR="001423E4">
        <w:rPr>
          <w:rFonts w:ascii="宋体" w:hAnsi="宋体" w:cs="宋体"/>
          <w:sz w:val="24"/>
        </w:rPr>
        <w:t>3</w:t>
      </w:r>
    </w:p>
    <w:p w14:paraId="5F76D8F7" w14:textId="7AAAFB0D"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（十一）特别事项说明</w:t>
      </w:r>
      <w:r>
        <w:rPr>
          <w:rFonts w:ascii="宋体" w:hAnsi="宋体" w:cs="宋体" w:hint="eastAsia"/>
          <w:sz w:val="24"/>
        </w:rPr>
        <w:tab/>
        <w:t>1</w:t>
      </w:r>
      <w:r w:rsidR="001423E4">
        <w:rPr>
          <w:rFonts w:ascii="宋体" w:hAnsi="宋体" w:cs="宋体"/>
          <w:sz w:val="24"/>
        </w:rPr>
        <w:t>3</w:t>
      </w:r>
    </w:p>
    <w:p w14:paraId="6D6E5E09" w14:textId="79154776" w:rsidR="007D1228" w:rsidRDefault="00CA5E49" w:rsidP="000870F9">
      <w:pPr>
        <w:widowControl w:val="0"/>
        <w:tabs>
          <w:tab w:val="right" w:leader="dot" w:pos="8987"/>
        </w:tabs>
        <w:snapToGrid w:val="0"/>
        <w:spacing w:line="500" w:lineRule="exact"/>
        <w:ind w:firstLineChars="200" w:firstLine="480"/>
        <w:rPr>
          <w:rFonts w:ascii="宋体" w:eastAsia="宋体" w:hAnsi="宋体" w:cs="宋体"/>
        </w:rPr>
      </w:pPr>
      <w:r>
        <w:rPr>
          <w:rFonts w:ascii="宋体" w:hAnsi="宋体" w:cs="宋体" w:hint="eastAsia"/>
          <w:sz w:val="24"/>
        </w:rPr>
        <w:t>（十二）资产评估报告使用限制说明</w:t>
      </w:r>
      <w:r>
        <w:rPr>
          <w:rFonts w:ascii="宋体" w:hAnsi="宋体" w:cs="宋体" w:hint="eastAsia"/>
          <w:sz w:val="24"/>
        </w:rPr>
        <w:tab/>
        <w:t>1</w:t>
      </w:r>
      <w:r w:rsidR="001423E4">
        <w:rPr>
          <w:rFonts w:ascii="宋体" w:hAnsi="宋体" w:cs="宋体"/>
          <w:sz w:val="24"/>
        </w:rPr>
        <w:t>5</w:t>
      </w:r>
    </w:p>
    <w:p w14:paraId="3E1A6519" w14:textId="41E59E84" w:rsidR="007D1228" w:rsidRDefault="00CA5E49" w:rsidP="000870F9">
      <w:pPr>
        <w:widowControl w:val="0"/>
        <w:tabs>
          <w:tab w:val="right" w:leader="dot" w:pos="8987"/>
        </w:tabs>
        <w:snapToGrid w:val="0"/>
        <w:spacing w:line="500" w:lineRule="exact"/>
        <w:ind w:firstLineChars="200" w:firstLine="480"/>
        <w:rPr>
          <w:rFonts w:ascii="宋体" w:hAnsi="宋体" w:cs="宋体"/>
          <w:sz w:val="24"/>
        </w:rPr>
      </w:pPr>
      <w:r>
        <w:rPr>
          <w:rFonts w:ascii="宋体" w:hAnsi="宋体" w:cs="宋体" w:hint="eastAsia"/>
          <w:sz w:val="24"/>
        </w:rPr>
        <w:t>（十三）资产评估报告日</w:t>
      </w:r>
      <w:r>
        <w:rPr>
          <w:rFonts w:ascii="宋体" w:hAnsi="宋体" w:cs="宋体" w:hint="eastAsia"/>
          <w:sz w:val="24"/>
        </w:rPr>
        <w:tab/>
        <w:t>1</w:t>
      </w:r>
      <w:r w:rsidR="001423E4">
        <w:rPr>
          <w:rFonts w:ascii="宋体" w:hAnsi="宋体" w:cs="宋体"/>
          <w:sz w:val="24"/>
        </w:rPr>
        <w:t>6</w:t>
      </w:r>
    </w:p>
    <w:p w14:paraId="4A23CE97" w14:textId="543E23E9" w:rsidR="00883F44" w:rsidRDefault="00883F44" w:rsidP="000870F9">
      <w:pPr>
        <w:widowControl w:val="0"/>
        <w:tabs>
          <w:tab w:val="right" w:leader="dot" w:pos="8987"/>
        </w:tabs>
        <w:snapToGrid w:val="0"/>
        <w:spacing w:line="500" w:lineRule="exact"/>
        <w:rPr>
          <w:rFonts w:ascii="宋体" w:eastAsia="宋体" w:hAnsi="宋体" w:cs="宋体"/>
          <w:b/>
          <w:sz w:val="24"/>
        </w:rPr>
      </w:pPr>
      <w:r>
        <w:rPr>
          <w:rFonts w:ascii="宋体" w:eastAsia="宋体" w:hAnsi="宋体" w:cs="宋体" w:hint="eastAsia"/>
          <w:b/>
          <w:sz w:val="24"/>
          <w:szCs w:val="24"/>
        </w:rPr>
        <w:t>四、资产评估明细表</w:t>
      </w:r>
      <w:r>
        <w:rPr>
          <w:rFonts w:ascii="宋体" w:hAnsi="宋体" w:cs="宋体" w:hint="eastAsia"/>
          <w:b/>
          <w:sz w:val="24"/>
        </w:rPr>
        <w:tab/>
      </w:r>
    </w:p>
    <w:p w14:paraId="15A5443B" w14:textId="6B8E0940" w:rsidR="007D1228" w:rsidRDefault="00883F44" w:rsidP="000870F9">
      <w:pPr>
        <w:widowControl w:val="0"/>
        <w:tabs>
          <w:tab w:val="right" w:leader="dot" w:pos="8987"/>
        </w:tabs>
        <w:snapToGrid w:val="0"/>
        <w:spacing w:line="500" w:lineRule="exact"/>
        <w:rPr>
          <w:rFonts w:ascii="宋体" w:eastAsia="宋体" w:hAnsi="宋体" w:cs="宋体"/>
          <w:b/>
          <w:sz w:val="24"/>
        </w:rPr>
      </w:pPr>
      <w:bookmarkStart w:id="1" w:name="_Toc6028_WPSOffice_Level1"/>
      <w:bookmarkEnd w:id="0"/>
      <w:r>
        <w:rPr>
          <w:rFonts w:ascii="宋体" w:eastAsia="宋体" w:hAnsi="宋体" w:cs="宋体" w:hint="eastAsia"/>
          <w:b/>
          <w:sz w:val="24"/>
          <w:szCs w:val="24"/>
        </w:rPr>
        <w:t>五</w:t>
      </w:r>
      <w:r w:rsidR="00CA5E49">
        <w:rPr>
          <w:rFonts w:ascii="宋体" w:eastAsia="宋体" w:hAnsi="宋体" w:cs="宋体" w:hint="eastAsia"/>
          <w:b/>
          <w:sz w:val="24"/>
          <w:szCs w:val="24"/>
        </w:rPr>
        <w:t>、资产评估报告附件</w:t>
      </w:r>
      <w:r w:rsidR="00CA5E49">
        <w:rPr>
          <w:rFonts w:ascii="宋体" w:hAnsi="宋体" w:cs="宋体" w:hint="eastAsia"/>
          <w:b/>
          <w:sz w:val="24"/>
        </w:rPr>
        <w:tab/>
        <w:t>1</w:t>
      </w:r>
      <w:r w:rsidR="001423E4">
        <w:rPr>
          <w:rFonts w:ascii="宋体" w:hAnsi="宋体" w:cs="宋体"/>
          <w:b/>
          <w:sz w:val="24"/>
        </w:rPr>
        <w:t>7</w:t>
      </w:r>
    </w:p>
    <w:p w14:paraId="526D0F50" w14:textId="0218BEF7"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1、与评估目的相对应的经济行为文件复印件；</w:t>
      </w:r>
    </w:p>
    <w:p w14:paraId="3CF160FB" w14:textId="0860732D"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2、评估对象涉及的主要权属证明资料复印件；</w:t>
      </w:r>
    </w:p>
    <w:p w14:paraId="13224CC3" w14:textId="675BE697"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3、签名资产评估师的承诺函；</w:t>
      </w:r>
    </w:p>
    <w:p w14:paraId="25E78492" w14:textId="5A7A6884"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4、资产评估机构营业执照副本复印件；</w:t>
      </w:r>
    </w:p>
    <w:p w14:paraId="3DD5A390" w14:textId="527E3800"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5、资产评估机构备案文件复印件；</w:t>
      </w:r>
    </w:p>
    <w:p w14:paraId="47F0B2F0" w14:textId="1215A713"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6、签名资产评估师职业资格证书登记卡复印件；</w:t>
      </w:r>
    </w:p>
    <w:p w14:paraId="780D830A" w14:textId="09D6B341" w:rsidR="000870F9" w:rsidRDefault="000870F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7、现场照片；</w:t>
      </w:r>
    </w:p>
    <w:p w14:paraId="67043DCC" w14:textId="77777777" w:rsidR="007D1228" w:rsidRDefault="007D1228">
      <w:pPr>
        <w:widowControl w:val="0"/>
        <w:tabs>
          <w:tab w:val="left" w:pos="6435"/>
        </w:tabs>
        <w:spacing w:line="400" w:lineRule="exact"/>
        <w:rPr>
          <w:rFonts w:ascii="宋体" w:eastAsia="宋体" w:hAnsi="宋体" w:cs="宋体"/>
          <w:b/>
          <w:sz w:val="36"/>
          <w:szCs w:val="36"/>
        </w:rPr>
        <w:sectPr w:rsidR="007D1228">
          <w:headerReference w:type="default" r:id="rId13"/>
          <w:footerReference w:type="default" r:id="rId14"/>
          <w:pgSz w:w="11907" w:h="16840"/>
          <w:pgMar w:top="1440" w:right="1080" w:bottom="1440" w:left="1080" w:header="794" w:footer="794" w:gutter="0"/>
          <w:pgNumType w:start="1"/>
          <w:cols w:space="0"/>
          <w:docGrid w:linePitch="312"/>
        </w:sectPr>
      </w:pPr>
      <w:bookmarkStart w:id="2" w:name="_Toc19042_WPSOffice_Level1"/>
      <w:bookmarkEnd w:id="1"/>
    </w:p>
    <w:p w14:paraId="28C3BAB7" w14:textId="77777777" w:rsidR="007D1228" w:rsidRDefault="00CA5E49">
      <w:pPr>
        <w:widowControl w:val="0"/>
        <w:tabs>
          <w:tab w:val="left" w:pos="6435"/>
        </w:tabs>
        <w:spacing w:line="400" w:lineRule="exact"/>
        <w:jc w:val="center"/>
        <w:rPr>
          <w:rFonts w:ascii="宋体" w:eastAsia="宋体" w:hAnsi="宋体" w:cs="宋体"/>
          <w:b/>
          <w:sz w:val="32"/>
          <w:szCs w:val="32"/>
        </w:rPr>
      </w:pPr>
      <w:r>
        <w:rPr>
          <w:rFonts w:ascii="宋体" w:eastAsia="宋体" w:hAnsi="宋体" w:cs="宋体" w:hint="eastAsia"/>
          <w:b/>
          <w:sz w:val="36"/>
          <w:szCs w:val="36"/>
        </w:rPr>
        <w:lastRenderedPageBreak/>
        <w:t>声     明</w:t>
      </w:r>
      <w:bookmarkEnd w:id="2"/>
    </w:p>
    <w:p w14:paraId="77DEBEC4" w14:textId="77777777" w:rsidR="007D1228" w:rsidRDefault="00CA5E49">
      <w:pPr>
        <w:widowControl w:val="0"/>
        <w:snapToGrid w:val="0"/>
        <w:spacing w:line="520" w:lineRule="exact"/>
        <w:rPr>
          <w:rFonts w:ascii="宋体" w:eastAsia="宋体" w:hAnsi="宋体" w:cs="宋体"/>
          <w:b/>
          <w:sz w:val="24"/>
          <w:szCs w:val="24"/>
        </w:rPr>
      </w:pPr>
      <w:r>
        <w:rPr>
          <w:rFonts w:ascii="宋体" w:eastAsia="宋体" w:hAnsi="宋体" w:cs="宋体" w:hint="eastAsia"/>
          <w:b/>
          <w:sz w:val="24"/>
          <w:szCs w:val="24"/>
        </w:rPr>
        <w:t>进贤县人民法院：</w:t>
      </w:r>
    </w:p>
    <w:p w14:paraId="37495F90"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受贵单位的委托，我们遵循资产评估执业准则对本次评估范围内的对象进行了评估，在假设条件成立的前提下，形成了资产评估结论，我们作出以下声明:</w:t>
      </w:r>
    </w:p>
    <w:p w14:paraId="14E3E29E"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一、本资产评估报告依据财政部发布的资产评估基本准则和中国资产评估协会发布的资产评估执业准则和职业道德准则编制。</w:t>
      </w:r>
    </w:p>
    <w:p w14:paraId="05798FEF"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14:paraId="239370B5"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本资产评估报告仅供委托人、资产评估委托合同中约定的其他资产评估报告使用人和法律、行政法规规定的资产评估报告使用人使用；除此之外，其他任何机构和个人不能成为资产评估报告的使用人。</w:t>
      </w:r>
    </w:p>
    <w:p w14:paraId="6A57A206"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资产评估报告使用人应当正确理解评估结论，评估结论不等同于评估对象可实现价格，评估结论不应当被认为是对评估结论可实现价格的保证。</w:t>
      </w:r>
    </w:p>
    <w:p w14:paraId="3EEFAAF4"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三、资产评估机构及其资产评估师遵守法律、行政法规和资产评估准则，坚持独立、客观、公正的原则，并对所出具的资产评估报告依法承担责任。</w:t>
      </w:r>
    </w:p>
    <w:p w14:paraId="0B7E2644"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四、评估对象所涉及的资产由委托人、被评估单位申报并经过其采用签名、盖章或者法律允许的其他方式确认；委托人和其他相关当事人依法对其提供资料的真实性、完整性、合法性负责。</w:t>
      </w:r>
    </w:p>
    <w:p w14:paraId="018EA718"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五、本资产评估机构及资产评估师与资产评估报告中的评估对象没有现存或者预期的利益关系；与相关当事人没有现存或者预期的利益关系，对相关当事人不存在偏见。</w:t>
      </w:r>
    </w:p>
    <w:p w14:paraId="58ACF386" w14:textId="77777777" w:rsidR="007D1228" w:rsidRDefault="00CA5E49">
      <w:pPr>
        <w:widowControl w:val="0"/>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六、资产评估师已经对资产评估报告中的评估对象及其所涉及资产进行现场调查，并对评估对象及其所涉及资产的法律权属状况给予必要的关注和查验，对已经发现的问题进行了如实披露，并且已提请委托人及其相关当事人完善产权以满足出具资产评估报告的要求。</w:t>
      </w:r>
    </w:p>
    <w:p w14:paraId="7E07312C" w14:textId="77777777" w:rsidR="007D1228" w:rsidRDefault="00CA5E49">
      <w:pPr>
        <w:widowControl w:val="0"/>
        <w:snapToGrid w:val="0"/>
        <w:spacing w:line="520" w:lineRule="exact"/>
        <w:ind w:firstLineChars="200" w:firstLine="480"/>
        <w:rPr>
          <w:rFonts w:ascii="宋体" w:eastAsia="宋体" w:hAnsi="宋体" w:cs="宋体"/>
          <w:sz w:val="24"/>
          <w:szCs w:val="24"/>
        </w:rPr>
        <w:sectPr w:rsidR="007D1228">
          <w:headerReference w:type="default" r:id="rId15"/>
          <w:footerReference w:type="default" r:id="rId16"/>
          <w:pgSz w:w="11907" w:h="16840"/>
          <w:pgMar w:top="1440" w:right="1080" w:bottom="1440" w:left="1080" w:header="794" w:footer="794" w:gutter="0"/>
          <w:pgNumType w:start="1"/>
          <w:cols w:space="0"/>
          <w:docGrid w:linePitch="312"/>
        </w:sectPr>
      </w:pPr>
      <w:r>
        <w:rPr>
          <w:rFonts w:ascii="宋体" w:eastAsia="宋体" w:hAnsi="宋体" w:cs="宋体" w:hint="eastAsia"/>
          <w:sz w:val="24"/>
          <w:szCs w:val="24"/>
        </w:rPr>
        <w:t>七、本资产评估机构出具的资产评估报告的分析、判断和结果受资产评估报告中假设和限制条件的限制，资产评估报告使用人应当充分考虑资产评估报告中载明的假设、限制条件、特别事项说明及其对评估结论的影响</w:t>
      </w:r>
      <w:bookmarkStart w:id="3" w:name="_Toc2292_WPSOffice_Level1"/>
      <w:r>
        <w:rPr>
          <w:rFonts w:ascii="宋体" w:eastAsia="宋体" w:hAnsi="宋体" w:cs="宋体" w:hint="eastAsia"/>
          <w:sz w:val="24"/>
          <w:szCs w:val="24"/>
        </w:rPr>
        <w:t>。</w:t>
      </w:r>
    </w:p>
    <w:p w14:paraId="74F653F3" w14:textId="77777777" w:rsidR="007D1228" w:rsidRDefault="00CA5E49">
      <w:pPr>
        <w:widowControl w:val="0"/>
        <w:snapToGrid w:val="0"/>
        <w:spacing w:line="520" w:lineRule="exact"/>
        <w:jc w:val="center"/>
        <w:rPr>
          <w:rFonts w:ascii="宋体" w:eastAsia="宋体" w:hAnsi="宋体" w:cs="宋体"/>
          <w:b/>
          <w:sz w:val="36"/>
          <w:szCs w:val="36"/>
        </w:rPr>
      </w:pPr>
      <w:r>
        <w:rPr>
          <w:rFonts w:ascii="宋体" w:eastAsia="宋体" w:hAnsi="宋体" w:cs="宋体" w:hint="eastAsia"/>
          <w:b/>
          <w:sz w:val="36"/>
          <w:szCs w:val="36"/>
        </w:rPr>
        <w:lastRenderedPageBreak/>
        <w:t>摘     要</w:t>
      </w:r>
      <w:bookmarkEnd w:id="3"/>
    </w:p>
    <w:p w14:paraId="28FF91EE"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kern w:val="2"/>
          <w:sz w:val="24"/>
          <w:szCs w:val="24"/>
        </w:rPr>
      </w:pPr>
      <w:r>
        <w:rPr>
          <w:rFonts w:ascii="宋体" w:eastAsia="宋体" w:hAnsi="宋体" w:cs="宋体" w:hint="eastAsia"/>
          <w:b/>
          <w:kern w:val="2"/>
          <w:sz w:val="24"/>
          <w:szCs w:val="24"/>
        </w:rPr>
        <w:t>一、经济行为</w:t>
      </w:r>
    </w:p>
    <w:p w14:paraId="6F8E2CA7" w14:textId="11B24B01" w:rsidR="007D1228" w:rsidRDefault="00D70ABD">
      <w:pPr>
        <w:widowControl w:val="0"/>
        <w:spacing w:line="560" w:lineRule="exact"/>
        <w:ind w:firstLineChars="200" w:firstLine="480"/>
        <w:rPr>
          <w:rFonts w:ascii="宋体" w:eastAsia="宋体" w:hAnsi="宋体" w:cs="宋体"/>
          <w:bCs/>
          <w:kern w:val="2"/>
          <w:sz w:val="24"/>
          <w:szCs w:val="24"/>
        </w:rPr>
      </w:pPr>
      <w:r>
        <w:rPr>
          <w:rFonts w:ascii="宋体" w:eastAsia="宋体" w:hAnsi="宋体" w:cs="宋体" w:hint="eastAsia"/>
          <w:bCs/>
          <w:kern w:val="2"/>
          <w:sz w:val="24"/>
          <w:szCs w:val="24"/>
        </w:rPr>
        <w:t>兹有进贤县人民法院</w:t>
      </w:r>
      <w:r w:rsidR="001E28BD">
        <w:rPr>
          <w:rFonts w:ascii="宋体" w:eastAsia="宋体" w:hAnsi="宋体" w:cs="宋体" w:hint="eastAsia"/>
          <w:bCs/>
          <w:kern w:val="2"/>
          <w:sz w:val="24"/>
          <w:szCs w:val="24"/>
        </w:rPr>
        <w:t>（2022）赣0124执683号民间借贷纠纷执行</w:t>
      </w:r>
      <w:r>
        <w:rPr>
          <w:rFonts w:ascii="宋体" w:eastAsia="宋体" w:hAnsi="宋体" w:cs="宋体" w:hint="eastAsia"/>
          <w:bCs/>
          <w:kern w:val="2"/>
          <w:sz w:val="24"/>
          <w:szCs w:val="24"/>
        </w:rPr>
        <w:t>一案</w:t>
      </w:r>
      <w:r w:rsidR="00CA5E49">
        <w:rPr>
          <w:rFonts w:ascii="宋体" w:eastAsia="宋体" w:hAnsi="宋体" w:cs="宋体" w:hint="eastAsia"/>
          <w:bCs/>
          <w:kern w:val="2"/>
          <w:sz w:val="24"/>
          <w:szCs w:val="24"/>
        </w:rPr>
        <w:t>，需对</w:t>
      </w:r>
      <w:r>
        <w:rPr>
          <w:rFonts w:ascii="宋体" w:eastAsia="宋体" w:hAnsi="宋体" w:cs="宋体" w:hint="eastAsia"/>
          <w:bCs/>
          <w:kern w:val="2"/>
          <w:sz w:val="24"/>
          <w:szCs w:val="24"/>
        </w:rPr>
        <w:t>连震</w:t>
      </w:r>
      <w:r w:rsidR="00CA5E49">
        <w:rPr>
          <w:rFonts w:ascii="宋体" w:eastAsia="宋体" w:hAnsi="宋体" w:cs="宋体" w:hint="eastAsia"/>
          <w:bCs/>
          <w:kern w:val="2"/>
          <w:sz w:val="24"/>
          <w:szCs w:val="24"/>
        </w:rPr>
        <w:t>所有的位于</w:t>
      </w:r>
      <w:r>
        <w:rPr>
          <w:rFonts w:ascii="宋体" w:eastAsia="宋体" w:hAnsi="宋体" w:cs="宋体" w:hint="eastAsia"/>
          <w:bCs/>
          <w:kern w:val="2"/>
          <w:sz w:val="24"/>
          <w:szCs w:val="24"/>
        </w:rPr>
        <w:t>进贤县民和镇中山大道1833号云天小镇4号楼1单元301室的</w:t>
      </w:r>
      <w:r w:rsidR="00883F44">
        <w:rPr>
          <w:rFonts w:ascii="宋体" w:eastAsia="宋体" w:hAnsi="宋体" w:cs="宋体" w:hint="eastAsia"/>
          <w:bCs/>
          <w:kern w:val="2"/>
          <w:sz w:val="24"/>
          <w:szCs w:val="24"/>
        </w:rPr>
        <w:t>不动产</w:t>
      </w:r>
      <w:r w:rsidR="00CA5E49">
        <w:rPr>
          <w:rFonts w:ascii="宋体" w:eastAsia="宋体" w:hAnsi="宋体" w:cs="宋体" w:hint="eastAsia"/>
          <w:bCs/>
          <w:kern w:val="2"/>
          <w:sz w:val="24"/>
          <w:szCs w:val="24"/>
        </w:rPr>
        <w:t>进行资产处置。</w:t>
      </w:r>
    </w:p>
    <w:p w14:paraId="3C53F0AA"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kern w:val="2"/>
          <w:sz w:val="24"/>
          <w:szCs w:val="24"/>
        </w:rPr>
      </w:pPr>
      <w:r>
        <w:rPr>
          <w:rFonts w:ascii="宋体" w:eastAsia="宋体" w:hAnsi="宋体" w:cs="宋体" w:hint="eastAsia"/>
          <w:b/>
          <w:kern w:val="2"/>
          <w:sz w:val="24"/>
          <w:szCs w:val="24"/>
        </w:rPr>
        <w:t>二、评估目的</w:t>
      </w:r>
    </w:p>
    <w:p w14:paraId="7B44761B" w14:textId="77777777" w:rsidR="007D1228" w:rsidRDefault="00CA5E49">
      <w:pPr>
        <w:pStyle w:val="3333"/>
        <w:widowControl w:val="0"/>
        <w:adjustRightInd w:val="0"/>
        <w:snapToGrid w:val="0"/>
        <w:spacing w:line="560" w:lineRule="exact"/>
        <w:ind w:firstLineChars="200" w:firstLine="480"/>
        <w:rPr>
          <w:rFonts w:ascii="宋体" w:eastAsia="宋体" w:hAnsi="宋体" w:cs="宋体"/>
          <w:bCs/>
          <w:kern w:val="2"/>
        </w:rPr>
      </w:pPr>
      <w:r>
        <w:rPr>
          <w:rFonts w:ascii="宋体" w:eastAsia="宋体" w:hAnsi="宋体" w:cs="宋体" w:hint="eastAsia"/>
          <w:bCs/>
          <w:kern w:val="2"/>
        </w:rPr>
        <w:t>合理确定列入评估范围内的资产价值，为进贤县人民法院因执行案件事宜而列入评估范围内的资产提供价值参考依据。</w:t>
      </w:r>
    </w:p>
    <w:p w14:paraId="0C73ED89"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三、评估对象和评估范围</w:t>
      </w:r>
    </w:p>
    <w:p w14:paraId="566C60D5" w14:textId="4AE1738E" w:rsidR="007D1228" w:rsidRDefault="00CA5E49">
      <w:pPr>
        <w:pStyle w:val="3333"/>
        <w:widowControl w:val="0"/>
        <w:adjustRightInd w:val="0"/>
        <w:snapToGrid w:val="0"/>
        <w:spacing w:line="560" w:lineRule="exact"/>
        <w:ind w:firstLineChars="200" w:firstLine="480"/>
        <w:rPr>
          <w:rFonts w:ascii="宋体" w:eastAsia="宋体" w:hAnsi="宋体" w:cs="宋体"/>
          <w:bCs/>
          <w:kern w:val="2"/>
        </w:rPr>
      </w:pPr>
      <w:r>
        <w:rPr>
          <w:rFonts w:ascii="宋体" w:eastAsia="宋体" w:hAnsi="宋体" w:cs="宋体" w:hint="eastAsia"/>
          <w:bCs/>
          <w:kern w:val="2"/>
        </w:rPr>
        <w:t>（一）评估对象为进贤县人民法院因执行案件事宜所涉及</w:t>
      </w:r>
      <w:r w:rsidR="00D70ABD">
        <w:rPr>
          <w:rFonts w:ascii="宋体" w:eastAsia="宋体" w:hAnsi="宋体" w:cs="宋体" w:hint="eastAsia"/>
          <w:bCs/>
          <w:kern w:val="2"/>
        </w:rPr>
        <w:t>连震所有的云天小镇4号楼1单元301室</w:t>
      </w:r>
      <w:r w:rsidR="00883F44">
        <w:rPr>
          <w:rFonts w:ascii="宋体" w:eastAsia="宋体" w:hAnsi="宋体" w:cs="宋体" w:hint="eastAsia"/>
          <w:bCs/>
          <w:kern w:val="2"/>
        </w:rPr>
        <w:t>不动产</w:t>
      </w:r>
      <w:r>
        <w:rPr>
          <w:rFonts w:ascii="宋体" w:eastAsia="宋体" w:hAnsi="宋体" w:cs="宋体" w:hint="eastAsia"/>
          <w:bCs/>
          <w:kern w:val="2"/>
        </w:rPr>
        <w:t>资产市场价值。</w:t>
      </w:r>
    </w:p>
    <w:p w14:paraId="16CBB0D6" w14:textId="2CF95928" w:rsidR="007D1228" w:rsidRDefault="00CA5E49">
      <w:pPr>
        <w:pStyle w:val="3333"/>
        <w:widowControl w:val="0"/>
        <w:adjustRightInd w:val="0"/>
        <w:snapToGrid w:val="0"/>
        <w:spacing w:line="560" w:lineRule="exact"/>
        <w:ind w:firstLineChars="200" w:firstLine="480"/>
        <w:rPr>
          <w:rFonts w:ascii="宋体" w:eastAsia="宋体" w:hAnsi="宋体" w:cs="宋体"/>
          <w:bCs/>
          <w:kern w:val="2"/>
        </w:rPr>
      </w:pPr>
      <w:r>
        <w:rPr>
          <w:rFonts w:ascii="宋体" w:eastAsia="宋体" w:hAnsi="宋体" w:cs="宋体" w:hint="eastAsia"/>
          <w:bCs/>
          <w:kern w:val="2"/>
        </w:rPr>
        <w:t>（二）评估范围为评估对象所涉及的资产，具体为</w:t>
      </w:r>
      <w:r w:rsidR="00D70ABD">
        <w:rPr>
          <w:rFonts w:ascii="宋体" w:eastAsia="宋体" w:hAnsi="宋体" w:cs="宋体" w:hint="eastAsia"/>
          <w:bCs/>
          <w:kern w:val="2"/>
        </w:rPr>
        <w:t>连震</w:t>
      </w:r>
      <w:r>
        <w:rPr>
          <w:rFonts w:ascii="宋体" w:eastAsia="宋体" w:hAnsi="宋体" w:cs="宋体" w:hint="eastAsia"/>
          <w:bCs/>
          <w:kern w:val="2"/>
        </w:rPr>
        <w:t>所有的位于</w:t>
      </w:r>
      <w:r w:rsidR="00D70ABD">
        <w:rPr>
          <w:rFonts w:ascii="宋体" w:eastAsia="宋体" w:hAnsi="宋体" w:cs="宋体" w:hint="eastAsia"/>
          <w:bCs/>
          <w:kern w:val="2"/>
        </w:rPr>
        <w:t>进贤县民和镇中山大道1833号云天小镇4号楼1单元301室</w:t>
      </w:r>
      <w:r w:rsidR="00C76E69">
        <w:rPr>
          <w:rFonts w:ascii="宋体" w:eastAsia="宋体" w:hAnsi="宋体" w:cs="宋体" w:hint="eastAsia"/>
          <w:bCs/>
          <w:kern w:val="2"/>
        </w:rPr>
        <w:t>不动产</w:t>
      </w:r>
      <w:r>
        <w:rPr>
          <w:rFonts w:ascii="宋体" w:eastAsia="宋体" w:hAnsi="宋体" w:cs="宋体" w:hint="eastAsia"/>
          <w:bCs/>
          <w:kern w:val="2"/>
        </w:rPr>
        <w:t>。（具体详见评估明细表）</w:t>
      </w:r>
    </w:p>
    <w:p w14:paraId="1F4BB2F9" w14:textId="77777777" w:rsidR="007D1228" w:rsidRDefault="00CA5E49">
      <w:pPr>
        <w:pStyle w:val="3333"/>
        <w:widowControl w:val="0"/>
        <w:adjustRightInd w:val="0"/>
        <w:snapToGrid w:val="0"/>
        <w:spacing w:line="560" w:lineRule="exact"/>
        <w:ind w:firstLineChars="200" w:firstLine="480"/>
        <w:rPr>
          <w:rFonts w:ascii="宋体" w:eastAsia="宋体" w:hAnsi="宋体" w:cs="宋体"/>
          <w:bCs/>
          <w:kern w:val="2"/>
        </w:rPr>
      </w:pPr>
      <w:r>
        <w:rPr>
          <w:rFonts w:ascii="宋体" w:eastAsia="宋体" w:hAnsi="宋体" w:cs="宋体" w:hint="eastAsia"/>
          <w:bCs/>
          <w:kern w:val="2"/>
        </w:rPr>
        <w:t>纳入上述评估范围的资产和委托人提供的资产是一致的。纳入评估范围的资产与委托人申报评估的资产范围一致，与经济行为所涉及的资产范围一致。</w:t>
      </w:r>
    </w:p>
    <w:p w14:paraId="361DBAE5" w14:textId="77777777" w:rsidR="007D1228" w:rsidRDefault="00CA5E49">
      <w:pPr>
        <w:widowControl w:val="0"/>
        <w:tabs>
          <w:tab w:val="left" w:pos="315"/>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四、价值类型</w:t>
      </w:r>
    </w:p>
    <w:p w14:paraId="2D97C520" w14:textId="77777777" w:rsidR="007D1228" w:rsidRDefault="00CA5E49">
      <w:pPr>
        <w:widowControl w:val="0"/>
        <w:adjustRightInd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sz w:val="24"/>
          <w:szCs w:val="24"/>
        </w:rPr>
        <w:t>本报告评估结论的价值类型为市场价值类型。</w:t>
      </w:r>
    </w:p>
    <w:p w14:paraId="32721F9D"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 xml:space="preserve">五、评估基准日 </w:t>
      </w:r>
    </w:p>
    <w:p w14:paraId="5F338C58" w14:textId="1221EB15" w:rsidR="007D1228" w:rsidRDefault="00D70ABD">
      <w:pPr>
        <w:widowControl w:val="0"/>
        <w:adjustRightInd w:val="0"/>
        <w:snapToGrid w:val="0"/>
        <w:spacing w:line="560" w:lineRule="exact"/>
        <w:ind w:firstLineChars="200" w:firstLine="480"/>
        <w:rPr>
          <w:rFonts w:ascii="宋体" w:eastAsia="宋体" w:hAnsi="宋体" w:cs="宋体"/>
          <w:sz w:val="24"/>
          <w:szCs w:val="24"/>
        </w:rPr>
      </w:pPr>
      <w:r>
        <w:rPr>
          <w:rFonts w:ascii="宋体" w:eastAsia="宋体" w:hAnsi="宋体" w:cs="宋体" w:hint="eastAsia"/>
          <w:sz w:val="24"/>
          <w:szCs w:val="24"/>
        </w:rPr>
        <w:t>本项目评估基准日为2022年06月09日。</w:t>
      </w:r>
    </w:p>
    <w:p w14:paraId="579C02A7"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六、评估方法</w:t>
      </w:r>
    </w:p>
    <w:p w14:paraId="171EB615" w14:textId="392AB8E1" w:rsidR="007D1228" w:rsidRDefault="00CA5E49">
      <w:pPr>
        <w:widowControl w:val="0"/>
        <w:snapToGrid w:val="0"/>
        <w:spacing w:line="560" w:lineRule="exact"/>
        <w:ind w:firstLineChars="200" w:firstLine="480"/>
        <w:rPr>
          <w:rFonts w:ascii="宋体" w:eastAsia="宋体" w:hAnsi="宋体" w:cs="宋体"/>
          <w:bCs/>
          <w:sz w:val="24"/>
          <w:szCs w:val="24"/>
        </w:rPr>
      </w:pPr>
      <w:bookmarkStart w:id="4" w:name="OLE_LINK7"/>
      <w:r>
        <w:rPr>
          <w:rFonts w:ascii="宋体" w:eastAsia="宋体" w:hAnsi="宋体" w:cs="宋体" w:hint="eastAsia"/>
          <w:sz w:val="24"/>
        </w:rPr>
        <w:t>本次评估根据评估目的、评估对象状况和所收集的资料，并根据国家有关规定、评估准则和行业惯例，</w:t>
      </w:r>
      <w:r w:rsidR="00260419">
        <w:rPr>
          <w:rFonts w:ascii="宋体" w:eastAsia="宋体" w:hAnsi="宋体" w:cs="宋体" w:hint="eastAsia"/>
          <w:sz w:val="24"/>
        </w:rPr>
        <w:t>采用</w:t>
      </w:r>
      <w:r w:rsidR="00B7238B">
        <w:rPr>
          <w:rFonts w:ascii="宋体" w:eastAsia="宋体" w:hAnsi="宋体" w:cs="宋体" w:hint="eastAsia"/>
          <w:sz w:val="24"/>
        </w:rPr>
        <w:t>市场</w:t>
      </w:r>
      <w:r w:rsidR="00260419">
        <w:rPr>
          <w:rFonts w:ascii="宋体" w:eastAsia="宋体" w:hAnsi="宋体" w:cs="宋体" w:hint="eastAsia"/>
          <w:sz w:val="24"/>
        </w:rPr>
        <w:t>比较法</w:t>
      </w:r>
      <w:r>
        <w:rPr>
          <w:rFonts w:ascii="宋体" w:eastAsia="宋体" w:hAnsi="宋体" w:cs="宋体" w:hint="eastAsia"/>
          <w:sz w:val="24"/>
        </w:rPr>
        <w:t>对委估</w:t>
      </w:r>
      <w:r w:rsidR="00B7238B">
        <w:rPr>
          <w:rFonts w:ascii="宋体" w:eastAsia="宋体" w:hAnsi="宋体" w:cs="宋体" w:hint="eastAsia"/>
          <w:sz w:val="24"/>
        </w:rPr>
        <w:t>不动产</w:t>
      </w:r>
      <w:r>
        <w:rPr>
          <w:rFonts w:ascii="宋体" w:eastAsia="宋体" w:hAnsi="宋体" w:cs="宋体" w:hint="eastAsia"/>
          <w:sz w:val="24"/>
        </w:rPr>
        <w:t>进行评估。</w:t>
      </w:r>
    </w:p>
    <w:bookmarkEnd w:id="4"/>
    <w:p w14:paraId="103C0F4F"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七、评估结论及其使用有效期</w:t>
      </w:r>
    </w:p>
    <w:p w14:paraId="6B240EB5" w14:textId="703D0B92" w:rsidR="007D1228" w:rsidRDefault="00CA5E49">
      <w:pPr>
        <w:widowControl w:val="0"/>
        <w:adjustRightInd w:val="0"/>
        <w:snapToGrid w:val="0"/>
        <w:spacing w:line="560" w:lineRule="exact"/>
        <w:ind w:firstLineChars="200" w:firstLine="480"/>
        <w:rPr>
          <w:rFonts w:ascii="宋体" w:eastAsia="宋体" w:hAnsi="宋体" w:cs="宋体"/>
          <w:b/>
          <w:sz w:val="24"/>
          <w:szCs w:val="24"/>
        </w:rPr>
      </w:pPr>
      <w:r>
        <w:rPr>
          <w:rFonts w:ascii="宋体" w:eastAsia="宋体" w:hAnsi="宋体" w:cs="宋体" w:hint="eastAsia"/>
          <w:bCs/>
          <w:sz w:val="24"/>
          <w:szCs w:val="24"/>
        </w:rPr>
        <w:t>本次评估以持续使用和公开市场为前提，根据有关法律法规和资产评估准则，</w:t>
      </w:r>
      <w:r w:rsidR="00D70ABD">
        <w:rPr>
          <w:rFonts w:ascii="宋体" w:eastAsia="宋体" w:hAnsi="宋体" w:cs="宋体" w:hint="eastAsia"/>
          <w:bCs/>
          <w:sz w:val="24"/>
          <w:szCs w:val="24"/>
        </w:rPr>
        <w:t>截至评估基准日2022年06月09日</w:t>
      </w:r>
      <w:r>
        <w:rPr>
          <w:rFonts w:ascii="宋体" w:eastAsia="宋体" w:hAnsi="宋体" w:cs="宋体" w:hint="eastAsia"/>
          <w:bCs/>
          <w:sz w:val="24"/>
          <w:szCs w:val="24"/>
        </w:rPr>
        <w:t>，委托人纳入此次评估范围内的</w:t>
      </w:r>
      <w:r>
        <w:rPr>
          <w:rFonts w:ascii="宋体" w:eastAsia="宋体" w:hAnsi="宋体" w:cs="宋体" w:hint="eastAsia"/>
          <w:sz w:val="24"/>
          <w:szCs w:val="24"/>
        </w:rPr>
        <w:t>资产</w:t>
      </w:r>
      <w:r>
        <w:rPr>
          <w:rFonts w:ascii="宋体" w:eastAsia="宋体" w:hAnsi="宋体" w:cs="宋体" w:hint="eastAsia"/>
          <w:bCs/>
          <w:sz w:val="24"/>
          <w:szCs w:val="24"/>
        </w:rPr>
        <w:t>市场价值为</w:t>
      </w:r>
      <w:r w:rsidR="00B101D8">
        <w:rPr>
          <w:rFonts w:ascii="宋体" w:eastAsia="宋体" w:hAnsi="宋体" w:cs="宋体" w:hint="eastAsia"/>
          <w:b/>
          <w:sz w:val="24"/>
          <w:szCs w:val="24"/>
        </w:rPr>
        <w:t>69.26万元，人民币大写为陆拾玖万贰仟陆佰元整</w:t>
      </w:r>
      <w:r>
        <w:rPr>
          <w:rFonts w:ascii="宋体" w:eastAsia="宋体" w:hAnsi="宋体" w:cs="宋体" w:hint="eastAsia"/>
          <w:bCs/>
          <w:sz w:val="24"/>
          <w:szCs w:val="24"/>
        </w:rPr>
        <w:t xml:space="preserve">。（详见资产评估明细表）                            </w:t>
      </w:r>
    </w:p>
    <w:p w14:paraId="61551AC1" w14:textId="77777777" w:rsidR="007D1228" w:rsidRDefault="00CA5E49">
      <w:pPr>
        <w:widowControl w:val="0"/>
        <w:adjustRightInd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lastRenderedPageBreak/>
        <w:t>本次评估报告结论有效期为一年，从评估基准日开始。</w:t>
      </w:r>
    </w:p>
    <w:p w14:paraId="18F058A0" w14:textId="77777777" w:rsidR="007D1228" w:rsidRDefault="00CA5E49">
      <w:pPr>
        <w:widowControl w:val="0"/>
        <w:tabs>
          <w:tab w:val="right" w:pos="9480"/>
        </w:tabs>
        <w:adjustRightInd w:val="0"/>
        <w:snapToGrid w:val="0"/>
        <w:spacing w:line="5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八、特别事项说明</w:t>
      </w:r>
    </w:p>
    <w:p w14:paraId="5784A4ED" w14:textId="77777777" w:rsidR="007D1228" w:rsidRDefault="00CA5E49">
      <w:pPr>
        <w:widowControl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color w:val="000000"/>
          <w:sz w:val="24"/>
          <w:szCs w:val="24"/>
        </w:rPr>
        <w:t>（一）</w:t>
      </w:r>
      <w:r>
        <w:rPr>
          <w:rFonts w:ascii="宋体" w:eastAsia="宋体" w:hAnsi="宋体" w:cs="宋体" w:hint="eastAsia"/>
          <w:bCs/>
          <w:sz w:val="24"/>
          <w:szCs w:val="24"/>
        </w:rPr>
        <w:t>依据《资产评估对象法律权属指导意见》，执行资产评估业务的目的是对资产评估对象价值进行估算并发表专业意见，对资产评估对象法律权属确认或者发表意见超出资产评估专业人员的执业范围。资产评估专业人员不得对资产评估对象的法律权属提供保证。若因委估资产权属存在法律问题，本评估机构和执行本项目评估人员不承担相关责任。</w:t>
      </w:r>
    </w:p>
    <w:p w14:paraId="16B7F7C9" w14:textId="0ABBF620" w:rsidR="007D1228" w:rsidRDefault="00CA5E49">
      <w:pPr>
        <w:widowControl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w:t>
      </w:r>
      <w:r w:rsidR="00D70ABD">
        <w:rPr>
          <w:rFonts w:ascii="宋体" w:eastAsia="宋体" w:hAnsi="宋体" w:cs="宋体" w:hint="eastAsia"/>
          <w:bCs/>
          <w:sz w:val="24"/>
          <w:szCs w:val="24"/>
        </w:rPr>
        <w:t>兹有进贤县人民法院</w:t>
      </w:r>
      <w:r w:rsidR="001E28BD">
        <w:rPr>
          <w:rFonts w:ascii="宋体" w:eastAsia="宋体" w:hAnsi="宋体" w:cs="宋体" w:hint="eastAsia"/>
          <w:bCs/>
          <w:sz w:val="24"/>
          <w:szCs w:val="24"/>
        </w:rPr>
        <w:t>（2022）赣0124执683号民间借贷纠纷执行</w:t>
      </w:r>
      <w:r w:rsidR="00D70ABD">
        <w:rPr>
          <w:rFonts w:ascii="宋体" w:eastAsia="宋体" w:hAnsi="宋体" w:cs="宋体" w:hint="eastAsia"/>
          <w:bCs/>
          <w:sz w:val="24"/>
          <w:szCs w:val="24"/>
        </w:rPr>
        <w:t>一案</w:t>
      </w:r>
      <w:r>
        <w:rPr>
          <w:rFonts w:ascii="宋体" w:eastAsia="宋体" w:hAnsi="宋体" w:cs="宋体" w:hint="eastAsia"/>
          <w:bCs/>
          <w:sz w:val="24"/>
          <w:szCs w:val="24"/>
        </w:rPr>
        <w:t>，对其所涉及的相关资产，现处于法院执行阶段，若被评估单位及相关当事方有重大隐瞒事项或不真实事项，又非评估人员执业水平和能力所能鉴别，而使评估结果失实，评估人员不承担任何法律和经济责任。</w:t>
      </w:r>
    </w:p>
    <w:p w14:paraId="2AA98BC6" w14:textId="033CADB4" w:rsidR="007D1228" w:rsidRPr="001E28BD" w:rsidRDefault="00CA5E49">
      <w:pPr>
        <w:widowControl w:val="0"/>
        <w:snapToGrid w:val="0"/>
        <w:spacing w:line="560" w:lineRule="exact"/>
        <w:ind w:firstLineChars="200" w:firstLine="480"/>
        <w:rPr>
          <w:rFonts w:ascii="宋体" w:eastAsia="宋体" w:hAnsi="宋体" w:cs="宋体"/>
          <w:bCs/>
          <w:color w:val="000000" w:themeColor="text1"/>
          <w:sz w:val="24"/>
          <w:szCs w:val="24"/>
        </w:rPr>
      </w:pPr>
      <w:r w:rsidRPr="001E28BD">
        <w:rPr>
          <w:rFonts w:ascii="宋体" w:eastAsia="宋体" w:hAnsi="宋体" w:cs="宋体" w:hint="eastAsia"/>
          <w:bCs/>
          <w:color w:val="000000" w:themeColor="text1"/>
          <w:sz w:val="24"/>
          <w:szCs w:val="24"/>
        </w:rPr>
        <w:t>（三）本次评估，委托人仅提供</w:t>
      </w:r>
      <w:r w:rsidR="00B101D8">
        <w:rPr>
          <w:rFonts w:ascii="宋体" w:eastAsia="宋体" w:hAnsi="宋体" w:cs="宋体" w:hint="eastAsia"/>
          <w:bCs/>
          <w:color w:val="000000" w:themeColor="text1"/>
          <w:sz w:val="24"/>
          <w:szCs w:val="24"/>
        </w:rPr>
        <w:t>《江西省进贤县人民法院司法评估委托书》（（2022）赣0124执委鉴24号）</w:t>
      </w:r>
      <w:r w:rsidRPr="001E28BD">
        <w:rPr>
          <w:rFonts w:ascii="宋体" w:eastAsia="宋体" w:hAnsi="宋体" w:cs="宋体" w:hint="eastAsia"/>
          <w:bCs/>
          <w:color w:val="000000" w:themeColor="text1"/>
          <w:sz w:val="24"/>
          <w:szCs w:val="24"/>
        </w:rPr>
        <w:t>及</w:t>
      </w:r>
      <w:r w:rsidR="00883F44">
        <w:rPr>
          <w:rFonts w:ascii="宋体" w:eastAsia="宋体" w:hAnsi="宋体" w:cs="宋体" w:hint="eastAsia"/>
          <w:bCs/>
          <w:color w:val="000000" w:themeColor="text1"/>
          <w:sz w:val="24"/>
          <w:szCs w:val="24"/>
        </w:rPr>
        <w:t>进贤县不动产登记信息查询结果证明（不动产登记证号：赣(2018)进贤县不动产权第0005313号）</w:t>
      </w:r>
      <w:r w:rsidRPr="001E28BD">
        <w:rPr>
          <w:rFonts w:ascii="宋体" w:eastAsia="宋体" w:hAnsi="宋体" w:cs="宋体" w:hint="eastAsia"/>
          <w:bCs/>
          <w:color w:val="000000" w:themeColor="text1"/>
          <w:sz w:val="24"/>
          <w:szCs w:val="24"/>
        </w:rPr>
        <w:t>，若其资产权属引起争议，由委托人自行承担相关法律责任，与执行本次评估项目的资产评估师和资产评估机构无关。</w:t>
      </w:r>
    </w:p>
    <w:p w14:paraId="4563F5C8" w14:textId="1E11B20E" w:rsidR="007D1228" w:rsidRPr="001E28BD" w:rsidRDefault="00CA5E49">
      <w:pPr>
        <w:widowControl w:val="0"/>
        <w:snapToGrid w:val="0"/>
        <w:spacing w:line="560" w:lineRule="exact"/>
        <w:ind w:firstLineChars="200" w:firstLine="480"/>
        <w:rPr>
          <w:rFonts w:ascii="宋体" w:eastAsia="宋体" w:hAnsi="宋体" w:cs="宋体"/>
          <w:bCs/>
          <w:color w:val="000000" w:themeColor="text1"/>
          <w:sz w:val="24"/>
          <w:szCs w:val="24"/>
        </w:rPr>
      </w:pPr>
      <w:r w:rsidRPr="001E28BD">
        <w:rPr>
          <w:rFonts w:ascii="宋体" w:eastAsia="宋体" w:hAnsi="宋体" w:cs="宋体" w:hint="eastAsia"/>
          <w:bCs/>
          <w:color w:val="000000" w:themeColor="text1"/>
          <w:sz w:val="24"/>
          <w:szCs w:val="24"/>
        </w:rPr>
        <w:t>（四）委估</w:t>
      </w:r>
      <w:r w:rsidR="00883F44">
        <w:rPr>
          <w:rFonts w:ascii="宋体" w:eastAsia="宋体" w:hAnsi="宋体" w:cs="宋体" w:hint="eastAsia"/>
          <w:bCs/>
          <w:color w:val="000000" w:themeColor="text1"/>
          <w:sz w:val="24"/>
          <w:szCs w:val="24"/>
        </w:rPr>
        <w:t>不动产</w:t>
      </w:r>
      <w:r w:rsidR="00402DB8" w:rsidRPr="001E28BD">
        <w:rPr>
          <w:rFonts w:ascii="宋体" w:eastAsia="宋体" w:hAnsi="宋体" w:cs="宋体" w:hint="eastAsia"/>
          <w:bCs/>
          <w:color w:val="000000" w:themeColor="text1"/>
          <w:sz w:val="24"/>
          <w:szCs w:val="24"/>
        </w:rPr>
        <w:t>已</w:t>
      </w:r>
      <w:r w:rsidRPr="001E28BD">
        <w:rPr>
          <w:rFonts w:ascii="宋体" w:eastAsia="宋体" w:hAnsi="宋体" w:cs="宋体" w:hint="eastAsia"/>
          <w:bCs/>
          <w:color w:val="000000" w:themeColor="text1"/>
          <w:sz w:val="24"/>
          <w:szCs w:val="24"/>
        </w:rPr>
        <w:t>办理不动产权证，本次评估过程中采用的</w:t>
      </w:r>
      <w:r w:rsidR="00883F44">
        <w:rPr>
          <w:rFonts w:ascii="宋体" w:eastAsia="宋体" w:hAnsi="宋体" w:cs="宋体" w:hint="eastAsia"/>
          <w:bCs/>
          <w:color w:val="000000" w:themeColor="text1"/>
          <w:sz w:val="24"/>
          <w:szCs w:val="24"/>
        </w:rPr>
        <w:t>不动产</w:t>
      </w:r>
      <w:r w:rsidRPr="001E28BD">
        <w:rPr>
          <w:rFonts w:ascii="宋体" w:eastAsia="宋体" w:hAnsi="宋体" w:cs="宋体" w:hint="eastAsia"/>
          <w:bCs/>
          <w:color w:val="000000" w:themeColor="text1"/>
          <w:sz w:val="24"/>
          <w:szCs w:val="24"/>
        </w:rPr>
        <w:t>相关信息是根据</w:t>
      </w:r>
      <w:r w:rsidR="00883F44">
        <w:rPr>
          <w:rFonts w:ascii="宋体" w:eastAsia="宋体" w:hAnsi="宋体" w:cs="宋体" w:hint="eastAsia"/>
          <w:bCs/>
          <w:color w:val="000000" w:themeColor="text1"/>
          <w:sz w:val="24"/>
          <w:szCs w:val="24"/>
        </w:rPr>
        <w:t>进贤县不动产登记信息查询结果证明（不动产登记证号：赣(2018)进贤县不动产权第0005313号）</w:t>
      </w:r>
      <w:r w:rsidRPr="001E28BD">
        <w:rPr>
          <w:rFonts w:ascii="宋体" w:eastAsia="宋体" w:hAnsi="宋体" w:cs="宋体" w:hint="eastAsia"/>
          <w:bCs/>
          <w:color w:val="000000" w:themeColor="text1"/>
          <w:sz w:val="24"/>
          <w:szCs w:val="24"/>
        </w:rPr>
        <w:t>进行确定的，若与实际情况不符，应进行相应调整，提请报告使用人注意！</w:t>
      </w:r>
    </w:p>
    <w:p w14:paraId="26D8E51B" w14:textId="20B00FA4" w:rsidR="007D1228" w:rsidRPr="001E28BD" w:rsidRDefault="00CA5E49">
      <w:pPr>
        <w:widowControl w:val="0"/>
        <w:snapToGrid w:val="0"/>
        <w:spacing w:line="560" w:lineRule="exact"/>
        <w:ind w:firstLineChars="200" w:firstLine="480"/>
        <w:rPr>
          <w:rFonts w:ascii="宋体" w:eastAsia="宋体" w:hAnsi="宋体" w:cs="宋体"/>
          <w:bCs/>
          <w:color w:val="000000" w:themeColor="text1"/>
          <w:sz w:val="24"/>
          <w:szCs w:val="24"/>
        </w:rPr>
      </w:pPr>
      <w:r w:rsidRPr="001E28BD">
        <w:rPr>
          <w:rFonts w:ascii="宋体" w:eastAsia="宋体" w:hAnsi="宋体" w:cs="宋体" w:hint="eastAsia"/>
          <w:bCs/>
          <w:color w:val="000000" w:themeColor="text1"/>
          <w:sz w:val="24"/>
          <w:szCs w:val="24"/>
        </w:rPr>
        <w:t>（五）本次评估未考虑委估资产所涉及的债权债务对此次评估的影响。</w:t>
      </w:r>
    </w:p>
    <w:p w14:paraId="6B9B92E4" w14:textId="694A7198" w:rsidR="007D1228" w:rsidRDefault="00CA5E49">
      <w:pPr>
        <w:widowControl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sidR="00402DB8">
        <w:rPr>
          <w:rFonts w:ascii="宋体" w:eastAsia="宋体" w:hAnsi="宋体" w:cs="宋体" w:hint="eastAsia"/>
          <w:bCs/>
          <w:sz w:val="24"/>
          <w:szCs w:val="24"/>
        </w:rPr>
        <w:t>六</w:t>
      </w:r>
      <w:r>
        <w:rPr>
          <w:rFonts w:ascii="宋体" w:eastAsia="宋体" w:hAnsi="宋体" w:cs="宋体" w:hint="eastAsia"/>
          <w:bCs/>
          <w:sz w:val="24"/>
          <w:szCs w:val="24"/>
        </w:rPr>
        <w:t>）本次委估</w:t>
      </w:r>
      <w:r w:rsidR="001E28BD">
        <w:rPr>
          <w:rFonts w:ascii="宋体" w:eastAsia="宋体" w:hAnsi="宋体" w:cs="宋体" w:hint="eastAsia"/>
          <w:bCs/>
          <w:sz w:val="24"/>
          <w:szCs w:val="24"/>
        </w:rPr>
        <w:t>不动产</w:t>
      </w:r>
      <w:r>
        <w:rPr>
          <w:rFonts w:ascii="宋体" w:eastAsia="宋体" w:hAnsi="宋体" w:cs="宋体" w:hint="eastAsia"/>
          <w:bCs/>
          <w:sz w:val="24"/>
          <w:szCs w:val="24"/>
        </w:rPr>
        <w:t>登记状态为查封，本次评估未考虑相关事宜对评估价值的影响。</w:t>
      </w:r>
    </w:p>
    <w:p w14:paraId="4A5F34BB" w14:textId="19AE5FC1" w:rsidR="007D1228" w:rsidRDefault="00CA5E49">
      <w:pPr>
        <w:widowControl w:val="0"/>
        <w:snapToGrid w:val="0"/>
        <w:spacing w:line="5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sidR="00402DB8">
        <w:rPr>
          <w:rFonts w:ascii="宋体" w:eastAsia="宋体" w:hAnsi="宋体" w:cs="宋体" w:hint="eastAsia"/>
          <w:bCs/>
          <w:sz w:val="24"/>
          <w:szCs w:val="24"/>
        </w:rPr>
        <w:t>七</w:t>
      </w:r>
      <w:r>
        <w:rPr>
          <w:rFonts w:ascii="宋体" w:eastAsia="宋体" w:hAnsi="宋体" w:cs="宋体" w:hint="eastAsia"/>
          <w:bCs/>
          <w:sz w:val="24"/>
          <w:szCs w:val="24"/>
        </w:rPr>
        <w:t>）此次评估价值未考虑资产处置过程中所发生的相关税费等因素的影响，若处置过程中发生相关税费以国家相关税收征管部门数据为准。</w:t>
      </w:r>
    </w:p>
    <w:p w14:paraId="4176C62C" w14:textId="71DB9F00" w:rsidR="007D1228" w:rsidRDefault="00CA5E49">
      <w:pPr>
        <w:widowControl w:val="0"/>
        <w:snapToGrid w:val="0"/>
        <w:spacing w:line="560" w:lineRule="exact"/>
        <w:ind w:firstLineChars="200" w:firstLine="480"/>
        <w:rPr>
          <w:rFonts w:ascii="宋体" w:eastAsia="宋体" w:hAnsi="宋体" w:cs="宋体"/>
          <w:color w:val="000000"/>
          <w:sz w:val="24"/>
          <w:szCs w:val="24"/>
        </w:rPr>
      </w:pPr>
      <w:r>
        <w:rPr>
          <w:rFonts w:ascii="宋体" w:eastAsia="宋体" w:hAnsi="宋体" w:cs="宋体" w:hint="eastAsia"/>
          <w:bCs/>
          <w:sz w:val="24"/>
          <w:szCs w:val="24"/>
        </w:rPr>
        <w:t>（</w:t>
      </w:r>
      <w:r w:rsidR="00402DB8">
        <w:rPr>
          <w:rFonts w:ascii="宋体" w:eastAsia="宋体" w:hAnsi="宋体" w:cs="宋体" w:hint="eastAsia"/>
          <w:bCs/>
          <w:sz w:val="24"/>
          <w:szCs w:val="24"/>
        </w:rPr>
        <w:t>八</w:t>
      </w:r>
      <w:r>
        <w:rPr>
          <w:rFonts w:ascii="宋体" w:eastAsia="宋体" w:hAnsi="宋体" w:cs="宋体" w:hint="eastAsia"/>
          <w:bCs/>
          <w:sz w:val="24"/>
          <w:szCs w:val="24"/>
        </w:rPr>
        <w:t>）对委估资产的处置特别提醒委托人及其他相关各方应按国家有关要求采用公开透明的方式予以进行处置。</w:t>
      </w:r>
    </w:p>
    <w:p w14:paraId="049D5078" w14:textId="08A32800" w:rsidR="007D1228" w:rsidRDefault="00CA5E49">
      <w:pPr>
        <w:pStyle w:val="yyy"/>
        <w:widowControl w:val="0"/>
        <w:spacing w:line="560" w:lineRule="exact"/>
        <w:ind w:firstLineChars="200" w:firstLine="480"/>
        <w:rPr>
          <w:rFonts w:ascii="宋体" w:eastAsia="宋体" w:cs="宋体"/>
          <w:b w:val="0"/>
          <w:szCs w:val="24"/>
        </w:rPr>
      </w:pPr>
      <w:r>
        <w:rPr>
          <w:rFonts w:ascii="宋体" w:eastAsia="宋体" w:cs="宋体" w:hint="eastAsia"/>
          <w:b w:val="0"/>
          <w:szCs w:val="24"/>
        </w:rPr>
        <w:t>（</w:t>
      </w:r>
      <w:r w:rsidR="00402DB8">
        <w:rPr>
          <w:rFonts w:ascii="宋体" w:eastAsia="宋体" w:cs="宋体" w:hint="eastAsia"/>
          <w:b w:val="0"/>
          <w:szCs w:val="24"/>
        </w:rPr>
        <w:t>九</w:t>
      </w:r>
      <w:r>
        <w:rPr>
          <w:rFonts w:ascii="宋体" w:eastAsia="宋体" w:cs="宋体" w:hint="eastAsia"/>
          <w:b w:val="0"/>
          <w:szCs w:val="24"/>
        </w:rPr>
        <w:t>）本评估报告仅为委托人委估资产评估目的提供参考价值；评估报告用于其他评估目</w:t>
      </w:r>
      <w:r>
        <w:rPr>
          <w:rFonts w:ascii="宋体" w:eastAsia="宋体" w:cs="宋体" w:hint="eastAsia"/>
          <w:b w:val="0"/>
          <w:szCs w:val="24"/>
        </w:rPr>
        <w:lastRenderedPageBreak/>
        <w:t>的无效。一般来说，由于评估目的不同、价值类型不同、评估基准日不同，同样的资产会表现出不同的价值，我们对因评估报告使用不当而造成的后果不承担责任。</w:t>
      </w:r>
    </w:p>
    <w:p w14:paraId="2224ADD7" w14:textId="77777777" w:rsidR="007D1228" w:rsidRDefault="007D1228">
      <w:pPr>
        <w:pStyle w:val="yyy"/>
        <w:widowControl w:val="0"/>
        <w:spacing w:line="560" w:lineRule="exact"/>
        <w:ind w:firstLineChars="200" w:firstLine="480"/>
        <w:rPr>
          <w:rFonts w:ascii="宋体" w:eastAsia="宋体" w:cs="宋体"/>
          <w:b w:val="0"/>
        </w:rPr>
      </w:pPr>
    </w:p>
    <w:p w14:paraId="742DC4F4" w14:textId="77777777" w:rsidR="007D1228" w:rsidRDefault="007D1228">
      <w:pPr>
        <w:pStyle w:val="yyy"/>
        <w:widowControl w:val="0"/>
        <w:spacing w:line="560" w:lineRule="exact"/>
        <w:ind w:firstLineChars="200" w:firstLine="480"/>
        <w:rPr>
          <w:rFonts w:ascii="宋体" w:eastAsia="宋体" w:cs="宋体"/>
          <w:b w:val="0"/>
        </w:rPr>
      </w:pPr>
    </w:p>
    <w:p w14:paraId="1AE9B928" w14:textId="77777777" w:rsidR="007D1228" w:rsidRDefault="00CA5E49">
      <w:pPr>
        <w:pStyle w:val="yyy"/>
        <w:widowControl w:val="0"/>
        <w:spacing w:line="560" w:lineRule="exact"/>
        <w:ind w:firstLineChars="200" w:firstLine="562"/>
        <w:rPr>
          <w:rFonts w:ascii="宋体" w:eastAsia="宋体" w:cs="宋体"/>
        </w:rPr>
      </w:pPr>
      <w:r>
        <w:rPr>
          <w:rFonts w:ascii="宋体" w:eastAsia="宋体" w:cs="宋体" w:hint="eastAsia"/>
          <w:sz w:val="28"/>
          <w:szCs w:val="28"/>
        </w:rPr>
        <w:t>以上内容摘自资产评估报告正文，欲了解本评估业务的详细情况和正确理解评估结论，应当阅读资产评估报告正文。</w:t>
      </w:r>
    </w:p>
    <w:p w14:paraId="1370F865" w14:textId="77777777" w:rsidR="007D1228" w:rsidRDefault="007D1228">
      <w:pPr>
        <w:widowControl w:val="0"/>
        <w:adjustRightInd w:val="0"/>
        <w:snapToGrid w:val="0"/>
        <w:spacing w:line="540" w:lineRule="exact"/>
        <w:ind w:firstLineChars="200" w:firstLine="482"/>
        <w:rPr>
          <w:rFonts w:ascii="宋体" w:eastAsia="宋体" w:hAnsi="宋体" w:cs="宋体"/>
          <w:b/>
          <w:sz w:val="24"/>
        </w:rPr>
        <w:sectPr w:rsidR="007D1228">
          <w:headerReference w:type="default" r:id="rId17"/>
          <w:pgSz w:w="11907" w:h="16840"/>
          <w:pgMar w:top="1440" w:right="1080" w:bottom="1440" w:left="1080" w:header="794" w:footer="794" w:gutter="0"/>
          <w:cols w:space="0"/>
          <w:docGrid w:linePitch="312"/>
        </w:sectPr>
      </w:pPr>
    </w:p>
    <w:p w14:paraId="6FF5EB64" w14:textId="77777777" w:rsidR="007D1228" w:rsidRDefault="00CA5E49">
      <w:pPr>
        <w:widowControl w:val="0"/>
        <w:spacing w:beforeLines="50" w:before="143" w:afterLines="50" w:after="143"/>
        <w:jc w:val="distribute"/>
        <w:rPr>
          <w:rFonts w:ascii="宋体" w:eastAsia="宋体" w:hAnsi="宋体" w:cs="宋体"/>
          <w:sz w:val="24"/>
          <w:szCs w:val="24"/>
        </w:rPr>
      </w:pPr>
      <w:r>
        <w:rPr>
          <w:rFonts w:ascii="宋体" w:eastAsia="宋体" w:hAnsi="宋体" w:cs="宋体" w:hint="eastAsia"/>
          <w:b/>
          <w:spacing w:val="20"/>
          <w:sz w:val="44"/>
          <w:szCs w:val="44"/>
        </w:rPr>
        <w:lastRenderedPageBreak/>
        <w:t>江西三源房地产土地资产评估咨询有限公司</w:t>
      </w:r>
    </w:p>
    <w:p w14:paraId="48545E14" w14:textId="0BAF97FB" w:rsidR="007D1228" w:rsidRDefault="00D70ABD">
      <w:pPr>
        <w:widowControl w:val="0"/>
        <w:spacing w:beforeLines="50" w:before="143" w:afterLines="50" w:after="143" w:line="300" w:lineRule="exact"/>
        <w:jc w:val="center"/>
        <w:rPr>
          <w:rFonts w:ascii="宋体" w:eastAsia="宋体" w:hAnsi="宋体" w:cs="宋体"/>
          <w:color w:val="000000"/>
          <w:sz w:val="28"/>
          <w:szCs w:val="28"/>
        </w:rPr>
      </w:pPr>
      <w:r>
        <w:rPr>
          <w:rFonts w:ascii="宋体" w:eastAsia="宋体" w:hAnsi="宋体" w:cs="宋体" w:hint="eastAsia"/>
          <w:b/>
          <w:sz w:val="24"/>
          <w:szCs w:val="24"/>
        </w:rPr>
        <w:t>赣三源评报字（2022）第06005号</w:t>
      </w:r>
    </w:p>
    <w:tbl>
      <w:tblPr>
        <w:tblpPr w:leftFromText="180" w:rightFromText="180" w:vertAnchor="text" w:horzAnchor="page" w:tblpX="1174" w:tblpY="108"/>
        <w:tblOverlap w:val="never"/>
        <w:tblW w:w="9777" w:type="dxa"/>
        <w:tblBorders>
          <w:top w:val="thinThickSmallGap" w:sz="24" w:space="0" w:color="000000"/>
        </w:tblBorders>
        <w:tblLayout w:type="fixed"/>
        <w:tblLook w:val="04A0" w:firstRow="1" w:lastRow="0" w:firstColumn="1" w:lastColumn="0" w:noHBand="0" w:noVBand="1"/>
      </w:tblPr>
      <w:tblGrid>
        <w:gridCol w:w="9777"/>
      </w:tblGrid>
      <w:tr w:rsidR="007D1228" w14:paraId="29552BF9" w14:textId="77777777">
        <w:trPr>
          <w:trHeight w:val="1145"/>
        </w:trPr>
        <w:tc>
          <w:tcPr>
            <w:tcW w:w="9777" w:type="dxa"/>
            <w:vAlign w:val="center"/>
          </w:tcPr>
          <w:p w14:paraId="6817DA34" w14:textId="77777777" w:rsidR="00402DB8" w:rsidRDefault="00CA5E49" w:rsidP="00402DB8">
            <w:pPr>
              <w:widowControl w:val="0"/>
              <w:snapToGrid w:val="0"/>
              <w:jc w:val="center"/>
              <w:rPr>
                <w:rFonts w:ascii="宋体" w:eastAsia="宋体" w:hAnsi="宋体" w:cs="宋体"/>
                <w:b/>
                <w:w w:val="90"/>
                <w:sz w:val="44"/>
                <w:szCs w:val="44"/>
              </w:rPr>
            </w:pPr>
            <w:r>
              <w:rPr>
                <w:rFonts w:ascii="宋体" w:eastAsia="宋体" w:hAnsi="宋体" w:cs="宋体" w:hint="eastAsia"/>
                <w:b/>
                <w:w w:val="90"/>
                <w:sz w:val="44"/>
                <w:szCs w:val="44"/>
              </w:rPr>
              <w:t>进贤县人民法院因执行案件事宜涉及</w:t>
            </w:r>
            <w:r w:rsidR="00402DB8">
              <w:rPr>
                <w:rFonts w:ascii="宋体" w:eastAsia="宋体" w:hAnsi="宋体" w:cs="宋体" w:hint="eastAsia"/>
                <w:b/>
                <w:w w:val="90"/>
                <w:sz w:val="44"/>
                <w:szCs w:val="44"/>
              </w:rPr>
              <w:t>连震</w:t>
            </w:r>
            <w:r>
              <w:rPr>
                <w:rFonts w:ascii="宋体" w:eastAsia="宋体" w:hAnsi="宋体" w:cs="宋体" w:hint="eastAsia"/>
                <w:b/>
                <w:w w:val="90"/>
                <w:sz w:val="44"/>
                <w:szCs w:val="44"/>
              </w:rPr>
              <w:t>所有的</w:t>
            </w:r>
          </w:p>
          <w:p w14:paraId="56D6560A" w14:textId="55B77957" w:rsidR="007D1228" w:rsidRDefault="00402DB8" w:rsidP="00402DB8">
            <w:pPr>
              <w:widowControl w:val="0"/>
              <w:snapToGrid w:val="0"/>
              <w:jc w:val="center"/>
              <w:rPr>
                <w:rFonts w:ascii="宋体" w:eastAsia="宋体" w:hAnsi="宋体" w:cs="宋体"/>
                <w:b/>
                <w:w w:val="90"/>
                <w:sz w:val="44"/>
                <w:szCs w:val="44"/>
              </w:rPr>
            </w:pPr>
            <w:r>
              <w:rPr>
                <w:rFonts w:ascii="宋体" w:eastAsia="宋体" w:hAnsi="宋体" w:cs="宋体" w:hint="eastAsia"/>
                <w:b/>
                <w:w w:val="90"/>
                <w:sz w:val="44"/>
                <w:szCs w:val="44"/>
              </w:rPr>
              <w:t>云天小镇4号楼1单元3</w:t>
            </w:r>
            <w:r>
              <w:rPr>
                <w:rFonts w:ascii="宋体" w:eastAsia="宋体" w:hAnsi="宋体" w:cs="宋体"/>
                <w:b/>
                <w:w w:val="90"/>
                <w:sz w:val="44"/>
                <w:szCs w:val="44"/>
              </w:rPr>
              <w:t>01</w:t>
            </w:r>
            <w:r>
              <w:rPr>
                <w:rFonts w:ascii="宋体" w:eastAsia="宋体" w:hAnsi="宋体" w:cs="宋体" w:hint="eastAsia"/>
                <w:b/>
                <w:w w:val="90"/>
                <w:sz w:val="44"/>
                <w:szCs w:val="44"/>
              </w:rPr>
              <w:t>室</w:t>
            </w:r>
            <w:r w:rsidR="001E28BD">
              <w:rPr>
                <w:rFonts w:ascii="宋体" w:eastAsia="宋体" w:hAnsi="宋体" w:cs="宋体" w:hint="eastAsia"/>
                <w:b/>
                <w:w w:val="90"/>
                <w:sz w:val="44"/>
                <w:szCs w:val="44"/>
              </w:rPr>
              <w:t>不动产</w:t>
            </w:r>
            <w:r w:rsidR="00CA5E49">
              <w:rPr>
                <w:rFonts w:ascii="宋体" w:eastAsia="宋体" w:hAnsi="宋体" w:cs="宋体" w:hint="eastAsia"/>
                <w:b/>
                <w:w w:val="90"/>
                <w:sz w:val="44"/>
                <w:szCs w:val="44"/>
              </w:rPr>
              <w:t>处置项目</w:t>
            </w:r>
          </w:p>
          <w:p w14:paraId="77AFAB8D" w14:textId="77777777" w:rsidR="007D1228" w:rsidRDefault="00CA5E49">
            <w:pPr>
              <w:widowControl w:val="0"/>
              <w:snapToGrid w:val="0"/>
              <w:jc w:val="center"/>
              <w:rPr>
                <w:rFonts w:ascii="宋体" w:eastAsia="宋体" w:hAnsi="宋体" w:cs="宋体"/>
                <w:b/>
                <w:sz w:val="36"/>
                <w:szCs w:val="36"/>
              </w:rPr>
            </w:pPr>
            <w:r>
              <w:rPr>
                <w:rFonts w:ascii="宋体" w:eastAsia="宋体" w:hAnsi="宋体" w:cs="宋体" w:hint="eastAsia"/>
                <w:b/>
                <w:w w:val="90"/>
                <w:sz w:val="44"/>
                <w:szCs w:val="44"/>
              </w:rPr>
              <w:t>资产评估报告</w:t>
            </w:r>
          </w:p>
        </w:tc>
      </w:tr>
    </w:tbl>
    <w:p w14:paraId="4384AABA" w14:textId="77777777" w:rsidR="007D1228" w:rsidRDefault="007D1228">
      <w:pPr>
        <w:widowControl w:val="0"/>
        <w:snapToGrid w:val="0"/>
        <w:spacing w:after="160" w:line="360" w:lineRule="auto"/>
        <w:ind w:firstLine="37"/>
        <w:jc w:val="center"/>
        <w:rPr>
          <w:rFonts w:ascii="宋体" w:eastAsia="宋体" w:hAnsi="宋体" w:cs="宋体"/>
          <w:sz w:val="2"/>
          <w:szCs w:val="2"/>
        </w:rPr>
      </w:pPr>
    </w:p>
    <w:p w14:paraId="53966F0C" w14:textId="77777777" w:rsidR="007D1228" w:rsidRDefault="00CA5E49">
      <w:pPr>
        <w:widowControl w:val="0"/>
        <w:snapToGrid w:val="0"/>
        <w:spacing w:line="550" w:lineRule="exact"/>
        <w:ind w:firstLineChars="200" w:firstLine="482"/>
        <w:rPr>
          <w:rFonts w:ascii="宋体" w:eastAsia="宋体" w:hAnsi="宋体" w:cs="宋体"/>
          <w:b/>
          <w:sz w:val="24"/>
          <w:szCs w:val="24"/>
        </w:rPr>
      </w:pPr>
      <w:r>
        <w:rPr>
          <w:rFonts w:ascii="宋体" w:eastAsia="宋体" w:hAnsi="宋体" w:cs="宋体" w:hint="eastAsia"/>
          <w:b/>
          <w:sz w:val="24"/>
          <w:szCs w:val="24"/>
        </w:rPr>
        <w:t>进贤县人民法院：</w:t>
      </w:r>
    </w:p>
    <w:p w14:paraId="4D2EF228" w14:textId="31FEB5B5" w:rsidR="007D1228" w:rsidRDefault="00CA5E49">
      <w:pPr>
        <w:pStyle w:val="3333"/>
        <w:widowControl w:val="0"/>
        <w:spacing w:line="550" w:lineRule="exact"/>
        <w:ind w:firstLineChars="200" w:firstLine="480"/>
        <w:rPr>
          <w:rFonts w:ascii="宋体" w:eastAsia="宋体" w:hAnsi="宋体" w:cs="宋体"/>
        </w:rPr>
      </w:pPr>
      <w:r>
        <w:rPr>
          <w:rFonts w:ascii="宋体" w:eastAsia="宋体" w:hAnsi="宋体" w:cs="宋体" w:hint="eastAsia"/>
        </w:rPr>
        <w:t>江西三源房地产土地资产评估咨询有限公司接受贵单位的委托，按照法律、法规和资产评估准则的规定，坚持独立、客观和公正的原则，</w:t>
      </w:r>
      <w:r w:rsidR="00260419">
        <w:rPr>
          <w:rFonts w:ascii="宋体" w:eastAsia="宋体" w:hAnsi="宋体" w:cs="宋体" w:hint="eastAsia"/>
        </w:rPr>
        <w:t>采用</w:t>
      </w:r>
      <w:r w:rsidR="00EB6BA4">
        <w:rPr>
          <w:rFonts w:ascii="宋体" w:eastAsia="宋体" w:hAnsi="宋体" w:cs="宋体" w:hint="eastAsia"/>
        </w:rPr>
        <w:t>市场</w:t>
      </w:r>
      <w:r w:rsidR="00260419">
        <w:rPr>
          <w:rFonts w:ascii="宋体" w:eastAsia="宋体" w:hAnsi="宋体" w:cs="宋体" w:hint="eastAsia"/>
        </w:rPr>
        <w:t>比较法</w:t>
      </w:r>
      <w:r>
        <w:rPr>
          <w:rFonts w:ascii="宋体" w:eastAsia="宋体" w:hAnsi="宋体" w:cs="宋体" w:hint="eastAsia"/>
        </w:rPr>
        <w:t>，按照必要的评估程序，对进贤县人民法院因执行案件事宜涉及</w:t>
      </w:r>
      <w:r w:rsidR="00D70ABD">
        <w:rPr>
          <w:rFonts w:ascii="宋体" w:eastAsia="宋体" w:hAnsi="宋体" w:cs="宋体" w:hint="eastAsia"/>
        </w:rPr>
        <w:t>连震所有的云天小镇4号楼1单元301室</w:t>
      </w:r>
      <w:r w:rsidR="00883F44">
        <w:rPr>
          <w:rFonts w:ascii="宋体" w:eastAsia="宋体" w:hAnsi="宋体" w:cs="宋体" w:hint="eastAsia"/>
        </w:rPr>
        <w:t>不动产</w:t>
      </w:r>
      <w:r w:rsidR="00260419">
        <w:rPr>
          <w:rFonts w:ascii="宋体" w:eastAsia="宋体" w:hAnsi="宋体" w:cs="宋体" w:hint="eastAsia"/>
        </w:rPr>
        <w:t>在2022年06月09日的市场价值进行了评估</w:t>
      </w:r>
      <w:r>
        <w:rPr>
          <w:rFonts w:ascii="宋体" w:eastAsia="宋体" w:hAnsi="宋体" w:cs="宋体" w:hint="eastAsia"/>
        </w:rPr>
        <w:t>。现将资产评估情况报告如下：</w:t>
      </w:r>
    </w:p>
    <w:p w14:paraId="1D0CB75C" w14:textId="77777777" w:rsidR="007D1228" w:rsidRDefault="00CA5E49">
      <w:pPr>
        <w:widowControl w:val="0"/>
        <w:tabs>
          <w:tab w:val="right" w:pos="9480"/>
        </w:tabs>
        <w:spacing w:line="550" w:lineRule="exact"/>
        <w:ind w:firstLineChars="200" w:firstLine="458"/>
        <w:rPr>
          <w:rFonts w:ascii="宋体" w:eastAsia="宋体" w:hAnsi="宋体" w:cs="宋体"/>
          <w:b/>
          <w:color w:val="000000"/>
          <w:spacing w:val="-6"/>
          <w:sz w:val="24"/>
        </w:rPr>
      </w:pPr>
      <w:bookmarkStart w:id="6" w:name="_Toc14397_WPSOffice_Level1"/>
      <w:r>
        <w:rPr>
          <w:rFonts w:ascii="宋体" w:eastAsia="宋体" w:hAnsi="宋体" w:cs="宋体" w:hint="eastAsia"/>
          <w:b/>
          <w:color w:val="000000"/>
          <w:spacing w:val="-6"/>
          <w:sz w:val="24"/>
          <w:szCs w:val="24"/>
        </w:rPr>
        <w:t>一、</w:t>
      </w:r>
      <w:r>
        <w:rPr>
          <w:rFonts w:ascii="宋体" w:eastAsia="宋体" w:hAnsi="宋体" w:cs="宋体" w:hint="eastAsia"/>
          <w:b/>
          <w:color w:val="000000"/>
          <w:spacing w:val="-6"/>
          <w:sz w:val="24"/>
        </w:rPr>
        <w:t>委托人、被评估单位和资产评估委托合同约定的其他资产评估报告使用人概况</w:t>
      </w:r>
      <w:bookmarkEnd w:id="6"/>
    </w:p>
    <w:p w14:paraId="0BE2FB33" w14:textId="77777777" w:rsidR="007D1228" w:rsidRDefault="00CA5E49">
      <w:pPr>
        <w:widowControl w:val="0"/>
        <w:snapToGrid w:val="0"/>
        <w:spacing w:line="550" w:lineRule="exact"/>
        <w:ind w:firstLineChars="200" w:firstLine="482"/>
        <w:rPr>
          <w:rFonts w:ascii="宋体" w:eastAsia="宋体" w:hAnsi="宋体" w:cs="宋体"/>
          <w:b/>
          <w:bCs/>
          <w:sz w:val="24"/>
          <w:szCs w:val="24"/>
        </w:rPr>
      </w:pPr>
      <w:bookmarkStart w:id="7" w:name="_Toc7214_WPSOffice_Level2"/>
      <w:r>
        <w:rPr>
          <w:rFonts w:ascii="宋体" w:eastAsia="宋体" w:hAnsi="宋体" w:cs="宋体" w:hint="eastAsia"/>
          <w:b/>
          <w:bCs/>
          <w:sz w:val="24"/>
          <w:szCs w:val="24"/>
        </w:rPr>
        <w:t>（一）委托人概况</w:t>
      </w:r>
      <w:bookmarkEnd w:id="7"/>
    </w:p>
    <w:p w14:paraId="1DCB7E8A" w14:textId="77777777" w:rsidR="007D1228" w:rsidRDefault="00CA5E49">
      <w:pPr>
        <w:widowControl w:val="0"/>
        <w:snapToGrid w:val="0"/>
        <w:spacing w:line="550" w:lineRule="exact"/>
        <w:ind w:firstLineChars="200" w:firstLine="480"/>
        <w:rPr>
          <w:rFonts w:ascii="宋体" w:eastAsia="宋体" w:hAnsi="宋体" w:cs="宋体"/>
          <w:sz w:val="24"/>
          <w:szCs w:val="24"/>
        </w:rPr>
      </w:pPr>
      <w:bookmarkStart w:id="8" w:name="_Toc2274_WPSOffice_Level2"/>
      <w:r>
        <w:rPr>
          <w:rFonts w:ascii="宋体" w:eastAsia="宋体" w:hAnsi="宋体" w:cs="宋体" w:hint="eastAsia"/>
          <w:sz w:val="24"/>
          <w:szCs w:val="24"/>
        </w:rPr>
        <w:t>名    称：</w:t>
      </w:r>
      <w:r>
        <w:rPr>
          <w:rFonts w:ascii="宋体" w:eastAsia="宋体" w:hAnsi="宋体" w:cs="宋体" w:hint="eastAsia"/>
          <w:bCs/>
          <w:kern w:val="2"/>
          <w:sz w:val="24"/>
          <w:szCs w:val="24"/>
        </w:rPr>
        <w:t>进贤县人民法院</w:t>
      </w:r>
    </w:p>
    <w:p w14:paraId="22C231A7" w14:textId="77777777" w:rsidR="007D1228" w:rsidRDefault="00CA5E49">
      <w:pPr>
        <w:widowControl w:val="0"/>
        <w:snapToGrid w:val="0"/>
        <w:spacing w:line="550" w:lineRule="exact"/>
        <w:ind w:firstLineChars="200" w:firstLine="482"/>
        <w:rPr>
          <w:rFonts w:ascii="宋体" w:eastAsia="宋体" w:hAnsi="宋体" w:cs="宋体"/>
          <w:b/>
          <w:sz w:val="24"/>
        </w:rPr>
      </w:pPr>
      <w:r>
        <w:rPr>
          <w:rFonts w:ascii="宋体" w:eastAsia="宋体" w:hAnsi="宋体" w:cs="宋体" w:hint="eastAsia"/>
          <w:b/>
          <w:bCs/>
          <w:sz w:val="24"/>
          <w:szCs w:val="24"/>
        </w:rPr>
        <w:t>（二）被评估单位</w:t>
      </w:r>
      <w:r>
        <w:rPr>
          <w:rFonts w:ascii="宋体" w:eastAsia="宋体" w:hAnsi="宋体" w:cs="宋体" w:hint="eastAsia"/>
          <w:b/>
          <w:sz w:val="24"/>
        </w:rPr>
        <w:t>概况</w:t>
      </w:r>
    </w:p>
    <w:p w14:paraId="0EF78C04" w14:textId="71883177" w:rsidR="007D1228" w:rsidRDefault="00CA5E49">
      <w:pPr>
        <w:widowControl w:val="0"/>
        <w:spacing w:line="550" w:lineRule="exact"/>
        <w:ind w:firstLineChars="200" w:firstLine="480"/>
        <w:rPr>
          <w:rFonts w:ascii="宋体" w:eastAsia="宋体" w:hAnsi="宋体" w:cs="宋体"/>
          <w:kern w:val="2"/>
          <w:sz w:val="24"/>
          <w:szCs w:val="24"/>
        </w:rPr>
      </w:pPr>
      <w:r>
        <w:rPr>
          <w:rFonts w:ascii="宋体" w:eastAsia="宋体" w:hAnsi="宋体" w:cs="宋体" w:hint="eastAsia"/>
          <w:sz w:val="24"/>
          <w:szCs w:val="24"/>
        </w:rPr>
        <w:t>名      称：</w:t>
      </w:r>
      <w:r w:rsidR="00260419">
        <w:rPr>
          <w:rFonts w:ascii="宋体" w:eastAsia="宋体" w:hAnsi="宋体" w:cs="宋体" w:hint="eastAsia"/>
          <w:kern w:val="2"/>
          <w:sz w:val="24"/>
          <w:szCs w:val="24"/>
        </w:rPr>
        <w:t>连震</w:t>
      </w:r>
    </w:p>
    <w:p w14:paraId="49C33FB5" w14:textId="19A9D0CE"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身份证号码：360124198</w:t>
      </w:r>
      <w:r w:rsidR="00260419">
        <w:rPr>
          <w:rFonts w:ascii="宋体" w:eastAsia="宋体" w:hAnsi="宋体" w:cs="宋体"/>
          <w:sz w:val="24"/>
        </w:rPr>
        <w:t>908190014</w:t>
      </w:r>
    </w:p>
    <w:p w14:paraId="0DC035E5" w14:textId="77777777" w:rsidR="007D1228" w:rsidRDefault="00CA5E49">
      <w:pPr>
        <w:widowControl w:val="0"/>
        <w:snapToGrid w:val="0"/>
        <w:spacing w:line="550" w:lineRule="exact"/>
        <w:ind w:firstLineChars="200" w:firstLine="482"/>
        <w:rPr>
          <w:rFonts w:ascii="宋体" w:eastAsia="宋体" w:hAnsi="宋体" w:cs="宋体"/>
          <w:b/>
          <w:sz w:val="24"/>
        </w:rPr>
      </w:pPr>
      <w:r>
        <w:rPr>
          <w:rFonts w:ascii="宋体" w:eastAsia="宋体" w:hAnsi="宋体" w:cs="宋体" w:hint="eastAsia"/>
          <w:b/>
          <w:sz w:val="24"/>
        </w:rPr>
        <w:t>（三）资产评估委托合同约定的其他评估报告使用人概况</w:t>
      </w:r>
      <w:bookmarkEnd w:id="8"/>
    </w:p>
    <w:p w14:paraId="21E03B2E"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委托人用于本次评估目的而必须涉及的各相关利益方及法律法规规定需报送的相关部门，除此之外资产评估委托合同未约定其他评估报告使用人。</w:t>
      </w:r>
    </w:p>
    <w:p w14:paraId="324B14E6" w14:textId="77777777" w:rsidR="007D1228" w:rsidRDefault="00CA5E49">
      <w:pPr>
        <w:widowControl w:val="0"/>
        <w:snapToGrid w:val="0"/>
        <w:spacing w:line="550" w:lineRule="exact"/>
        <w:ind w:firstLineChars="200" w:firstLine="482"/>
        <w:rPr>
          <w:rFonts w:ascii="宋体" w:eastAsia="宋体" w:hAnsi="宋体" w:cs="宋体"/>
          <w:b/>
          <w:color w:val="000000"/>
          <w:sz w:val="24"/>
          <w:szCs w:val="24"/>
        </w:rPr>
      </w:pPr>
      <w:bookmarkStart w:id="9" w:name="_Toc24095_WPSOffice_Level1"/>
      <w:r>
        <w:rPr>
          <w:rFonts w:ascii="宋体" w:eastAsia="宋体" w:hAnsi="宋体" w:cs="宋体" w:hint="eastAsia"/>
          <w:b/>
          <w:color w:val="000000"/>
          <w:sz w:val="24"/>
          <w:szCs w:val="24"/>
        </w:rPr>
        <w:t>二、评估目的</w:t>
      </w:r>
      <w:bookmarkEnd w:id="9"/>
    </w:p>
    <w:p w14:paraId="056D9672" w14:textId="3A14810C" w:rsidR="007D1228" w:rsidRDefault="00D70ABD">
      <w:pPr>
        <w:widowControl w:val="0"/>
        <w:snapToGrid w:val="0"/>
        <w:spacing w:line="550" w:lineRule="exact"/>
        <w:ind w:firstLineChars="200" w:firstLine="480"/>
        <w:rPr>
          <w:rFonts w:ascii="宋体" w:eastAsia="宋体" w:hAnsi="宋体" w:cs="宋体"/>
          <w:bCs/>
          <w:kern w:val="2"/>
          <w:sz w:val="24"/>
          <w:szCs w:val="24"/>
        </w:rPr>
      </w:pPr>
      <w:r>
        <w:rPr>
          <w:rFonts w:ascii="宋体" w:eastAsia="宋体" w:hAnsi="宋体" w:cs="宋体" w:hint="eastAsia"/>
          <w:bCs/>
          <w:kern w:val="2"/>
          <w:sz w:val="24"/>
          <w:szCs w:val="24"/>
        </w:rPr>
        <w:t>兹有进贤县人民法院</w:t>
      </w:r>
      <w:r w:rsidR="001E28BD">
        <w:rPr>
          <w:rFonts w:ascii="宋体" w:eastAsia="宋体" w:hAnsi="宋体" w:cs="宋体" w:hint="eastAsia"/>
          <w:bCs/>
          <w:kern w:val="2"/>
          <w:sz w:val="24"/>
          <w:szCs w:val="24"/>
        </w:rPr>
        <w:t>（2022）赣0124执683号民间借贷纠纷执行</w:t>
      </w:r>
      <w:r>
        <w:rPr>
          <w:rFonts w:ascii="宋体" w:eastAsia="宋体" w:hAnsi="宋体" w:cs="宋体" w:hint="eastAsia"/>
          <w:bCs/>
          <w:kern w:val="2"/>
          <w:sz w:val="24"/>
          <w:szCs w:val="24"/>
        </w:rPr>
        <w:t>一案</w:t>
      </w:r>
      <w:r w:rsidR="00CA5E49">
        <w:rPr>
          <w:rFonts w:ascii="宋体" w:eastAsia="宋体" w:hAnsi="宋体" w:cs="宋体" w:hint="eastAsia"/>
          <w:bCs/>
          <w:kern w:val="2"/>
          <w:sz w:val="24"/>
          <w:szCs w:val="24"/>
        </w:rPr>
        <w:t>，需对</w:t>
      </w:r>
      <w:r>
        <w:rPr>
          <w:rFonts w:ascii="宋体" w:eastAsia="宋体" w:hAnsi="宋体" w:cs="宋体" w:hint="eastAsia"/>
          <w:bCs/>
          <w:kern w:val="2"/>
          <w:sz w:val="24"/>
          <w:szCs w:val="24"/>
        </w:rPr>
        <w:t>连震</w:t>
      </w:r>
      <w:r w:rsidR="00CA5E49">
        <w:rPr>
          <w:rFonts w:ascii="宋体" w:eastAsia="宋体" w:hAnsi="宋体" w:cs="宋体" w:hint="eastAsia"/>
          <w:bCs/>
          <w:kern w:val="2"/>
          <w:sz w:val="24"/>
          <w:szCs w:val="24"/>
        </w:rPr>
        <w:t>所有的位于</w:t>
      </w:r>
      <w:r>
        <w:rPr>
          <w:rFonts w:ascii="宋体" w:eastAsia="宋体" w:hAnsi="宋体" w:cs="宋体" w:hint="eastAsia"/>
          <w:bCs/>
          <w:kern w:val="2"/>
          <w:sz w:val="24"/>
          <w:szCs w:val="24"/>
        </w:rPr>
        <w:t>进贤县民和镇中山大道1833号</w:t>
      </w:r>
      <w:r w:rsidR="001E28BD">
        <w:rPr>
          <w:rFonts w:ascii="宋体" w:eastAsia="宋体" w:hAnsi="宋体" w:cs="宋体" w:hint="eastAsia"/>
          <w:bCs/>
          <w:kern w:val="2"/>
          <w:sz w:val="24"/>
          <w:szCs w:val="24"/>
        </w:rPr>
        <w:t>云天小镇4号楼1单元301室不动产</w:t>
      </w:r>
      <w:r w:rsidR="00CA5E49">
        <w:rPr>
          <w:rFonts w:ascii="宋体" w:eastAsia="宋体" w:hAnsi="宋体" w:cs="宋体" w:hint="eastAsia"/>
          <w:bCs/>
          <w:kern w:val="2"/>
          <w:sz w:val="24"/>
          <w:szCs w:val="24"/>
        </w:rPr>
        <w:t>进行资产处置。</w:t>
      </w:r>
    </w:p>
    <w:p w14:paraId="5831538D" w14:textId="7777777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合理确定列入评估范围内的资产价值，为进贤县人民法院因执行案件事宜而列入评估范围内的资产提供价值参考依据。</w:t>
      </w:r>
    </w:p>
    <w:p w14:paraId="775F34A4" w14:textId="77777777" w:rsidR="007D1228" w:rsidRDefault="00CA5E49">
      <w:pPr>
        <w:widowControl w:val="0"/>
        <w:snapToGrid w:val="0"/>
        <w:spacing w:line="550" w:lineRule="exact"/>
        <w:ind w:firstLineChars="200" w:firstLine="482"/>
        <w:rPr>
          <w:rFonts w:ascii="宋体" w:eastAsia="宋体" w:hAnsi="宋体" w:cs="宋体"/>
          <w:b/>
          <w:color w:val="000000"/>
          <w:sz w:val="24"/>
          <w:szCs w:val="24"/>
        </w:rPr>
      </w:pPr>
      <w:bookmarkStart w:id="10" w:name="_Toc4356_WPSOffice_Level1"/>
      <w:r>
        <w:rPr>
          <w:rFonts w:ascii="宋体" w:eastAsia="宋体" w:hAnsi="宋体" w:cs="宋体" w:hint="eastAsia"/>
          <w:b/>
          <w:color w:val="000000"/>
          <w:sz w:val="24"/>
          <w:szCs w:val="24"/>
        </w:rPr>
        <w:lastRenderedPageBreak/>
        <w:t>三、评估对象和评估范围</w:t>
      </w:r>
      <w:bookmarkEnd w:id="10"/>
    </w:p>
    <w:p w14:paraId="1A73716A" w14:textId="3990A445" w:rsidR="007D1228" w:rsidRDefault="00CA5E49">
      <w:pPr>
        <w:pStyle w:val="3333"/>
        <w:widowControl w:val="0"/>
        <w:adjustRightInd w:val="0"/>
        <w:snapToGrid w:val="0"/>
        <w:spacing w:line="560" w:lineRule="exact"/>
        <w:ind w:firstLineChars="200" w:firstLine="480"/>
        <w:rPr>
          <w:rFonts w:ascii="宋体" w:eastAsia="宋体" w:hAnsi="宋体" w:cs="宋体"/>
          <w:bCs/>
          <w:kern w:val="2"/>
        </w:rPr>
      </w:pPr>
      <w:bookmarkStart w:id="11" w:name="_Toc29033_WPSOffice_Level1"/>
      <w:r>
        <w:rPr>
          <w:rFonts w:ascii="宋体" w:eastAsia="宋体" w:hAnsi="宋体" w:cs="宋体" w:hint="eastAsia"/>
          <w:bCs/>
          <w:kern w:val="2"/>
        </w:rPr>
        <w:t>（一）评估对象为进贤县人民法院因执行案件事宜所涉及</w:t>
      </w:r>
      <w:r w:rsidR="00D70ABD">
        <w:rPr>
          <w:rFonts w:ascii="宋体" w:eastAsia="宋体" w:hAnsi="宋体" w:cs="宋体" w:hint="eastAsia"/>
          <w:bCs/>
          <w:kern w:val="2"/>
        </w:rPr>
        <w:t>连震所有的云天小镇4号楼1单元301室</w:t>
      </w:r>
      <w:r w:rsidR="007F6A54">
        <w:rPr>
          <w:rFonts w:ascii="宋体" w:eastAsia="宋体" w:hAnsi="宋体" w:cs="宋体" w:hint="eastAsia"/>
          <w:bCs/>
          <w:kern w:val="2"/>
        </w:rPr>
        <w:t>不动产</w:t>
      </w:r>
      <w:r>
        <w:rPr>
          <w:rFonts w:ascii="宋体" w:eastAsia="宋体" w:hAnsi="宋体" w:cs="宋体" w:hint="eastAsia"/>
          <w:bCs/>
          <w:kern w:val="2"/>
        </w:rPr>
        <w:t>资产市场价值。</w:t>
      </w:r>
    </w:p>
    <w:p w14:paraId="59D2B078" w14:textId="1F945BE5"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（二）评估范围为评估对象所涉及的资产，具体为</w:t>
      </w:r>
      <w:r w:rsidR="00D70ABD">
        <w:rPr>
          <w:rFonts w:ascii="宋体" w:eastAsia="宋体" w:hAnsi="宋体" w:cs="宋体" w:hint="eastAsia"/>
          <w:bCs/>
          <w:kern w:val="2"/>
        </w:rPr>
        <w:t>连震</w:t>
      </w:r>
      <w:r>
        <w:rPr>
          <w:rFonts w:ascii="宋体" w:eastAsia="宋体" w:hAnsi="宋体" w:cs="宋体" w:hint="eastAsia"/>
          <w:bCs/>
          <w:kern w:val="2"/>
        </w:rPr>
        <w:t>所有的位于</w:t>
      </w:r>
      <w:r w:rsidR="00D70ABD">
        <w:rPr>
          <w:rFonts w:ascii="宋体" w:eastAsia="宋体" w:hAnsi="宋体" w:cs="宋体" w:hint="eastAsia"/>
          <w:bCs/>
          <w:kern w:val="2"/>
        </w:rPr>
        <w:t>进贤县民和镇中山大道1833号云天小镇4号楼1单元301室</w:t>
      </w:r>
      <w:r w:rsidR="00883F44">
        <w:rPr>
          <w:rFonts w:ascii="宋体" w:eastAsia="宋体" w:hAnsi="宋体" w:cs="宋体" w:hint="eastAsia"/>
          <w:bCs/>
          <w:kern w:val="2"/>
        </w:rPr>
        <w:t>不动产</w:t>
      </w:r>
      <w:r>
        <w:rPr>
          <w:rFonts w:ascii="宋体" w:eastAsia="宋体" w:hAnsi="宋体" w:cs="宋体" w:hint="eastAsia"/>
          <w:bCs/>
          <w:kern w:val="2"/>
        </w:rPr>
        <w:t>。（具体详见评估明细表）</w:t>
      </w:r>
    </w:p>
    <w:p w14:paraId="02C8D7F2" w14:textId="7777777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纳入上述评估范围的资产和委托人提供的资产是一致的。纳入评估范围的资产与委托人申报评估的资产范围一致，与经济行为所涉及的资产范围一致。</w:t>
      </w:r>
    </w:p>
    <w:p w14:paraId="6E11050D" w14:textId="7777777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（三）评估对象资产的法律权属状况、经济状况和物理状况</w:t>
      </w:r>
    </w:p>
    <w:p w14:paraId="1DFBAF06" w14:textId="7777777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bCs/>
          <w:kern w:val="2"/>
        </w:rPr>
        <w:t>1.</w:t>
      </w:r>
      <w:r>
        <w:rPr>
          <w:rFonts w:ascii="宋体" w:eastAsia="宋体" w:hAnsi="宋体" w:cs="宋体" w:hint="eastAsia"/>
          <w:bCs/>
          <w:kern w:val="2"/>
        </w:rPr>
        <w:t>资产的法律权属状况</w:t>
      </w:r>
    </w:p>
    <w:p w14:paraId="5B7647EE" w14:textId="60167DD4"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截止</w:t>
      </w:r>
      <w:r>
        <w:rPr>
          <w:rFonts w:ascii="宋体" w:eastAsia="宋体" w:hAnsi="宋体" w:cs="宋体"/>
          <w:bCs/>
          <w:kern w:val="2"/>
        </w:rPr>
        <w:t>2022</w:t>
      </w:r>
      <w:r>
        <w:rPr>
          <w:rFonts w:ascii="宋体" w:eastAsia="宋体" w:hAnsi="宋体" w:cs="宋体" w:hint="eastAsia"/>
          <w:bCs/>
          <w:kern w:val="2"/>
        </w:rPr>
        <w:t>年</w:t>
      </w:r>
      <w:r>
        <w:rPr>
          <w:rFonts w:ascii="宋体" w:eastAsia="宋体" w:hAnsi="宋体" w:cs="宋体"/>
          <w:bCs/>
          <w:kern w:val="2"/>
        </w:rPr>
        <w:t>0</w:t>
      </w:r>
      <w:r w:rsidR="00260419">
        <w:rPr>
          <w:rFonts w:ascii="宋体" w:eastAsia="宋体" w:hAnsi="宋体" w:cs="宋体"/>
          <w:bCs/>
          <w:kern w:val="2"/>
        </w:rPr>
        <w:t>6</w:t>
      </w:r>
      <w:r>
        <w:rPr>
          <w:rFonts w:ascii="宋体" w:eastAsia="宋体" w:hAnsi="宋体" w:cs="宋体" w:hint="eastAsia"/>
          <w:bCs/>
          <w:kern w:val="2"/>
        </w:rPr>
        <w:t>月</w:t>
      </w:r>
      <w:r w:rsidR="00260419">
        <w:rPr>
          <w:rFonts w:ascii="宋体" w:eastAsia="宋体" w:hAnsi="宋体" w:cs="宋体"/>
          <w:bCs/>
          <w:kern w:val="2"/>
        </w:rPr>
        <w:t>09</w:t>
      </w:r>
      <w:r>
        <w:rPr>
          <w:rFonts w:ascii="宋体" w:eastAsia="宋体" w:hAnsi="宋体" w:cs="宋体" w:hint="eastAsia"/>
          <w:bCs/>
          <w:kern w:val="2"/>
        </w:rPr>
        <w:t>日，纳入评估范围的</w:t>
      </w:r>
      <w:r w:rsidR="00D70ABD">
        <w:rPr>
          <w:rFonts w:ascii="宋体" w:eastAsia="宋体" w:hAnsi="宋体" w:cs="宋体" w:hint="eastAsia"/>
          <w:bCs/>
          <w:kern w:val="2"/>
        </w:rPr>
        <w:t>进贤县民和镇中山大道1833号云天小镇4号楼1单元301室</w:t>
      </w:r>
      <w:r>
        <w:rPr>
          <w:rFonts w:ascii="宋体" w:eastAsia="宋体" w:hAnsi="宋体" w:cs="宋体" w:hint="eastAsia"/>
          <w:bCs/>
          <w:kern w:val="2"/>
        </w:rPr>
        <w:t>其产权所有人为</w:t>
      </w:r>
      <w:r w:rsidR="00D70ABD">
        <w:rPr>
          <w:rFonts w:ascii="宋体" w:eastAsia="宋体" w:hAnsi="宋体" w:cs="宋体" w:hint="eastAsia"/>
          <w:bCs/>
          <w:kern w:val="2"/>
        </w:rPr>
        <w:t>连震</w:t>
      </w:r>
      <w:r>
        <w:rPr>
          <w:rFonts w:ascii="宋体" w:eastAsia="宋体" w:hAnsi="宋体" w:cs="宋体" w:hint="eastAsia"/>
          <w:bCs/>
          <w:kern w:val="2"/>
        </w:rPr>
        <w:t>。</w:t>
      </w:r>
    </w:p>
    <w:p w14:paraId="63B24BA0" w14:textId="7777777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bCs/>
          <w:kern w:val="2"/>
        </w:rPr>
        <w:t xml:space="preserve">2. </w:t>
      </w:r>
      <w:r>
        <w:rPr>
          <w:rFonts w:ascii="宋体" w:eastAsia="宋体" w:hAnsi="宋体" w:cs="宋体" w:hint="eastAsia"/>
          <w:bCs/>
          <w:kern w:val="2"/>
        </w:rPr>
        <w:t>资产的经济状况</w:t>
      </w:r>
    </w:p>
    <w:p w14:paraId="4A0C34FB" w14:textId="1A5A4B1E"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hint="eastAsia"/>
          <w:bCs/>
          <w:kern w:val="2"/>
        </w:rPr>
        <w:t>产权所有人为</w:t>
      </w:r>
      <w:r w:rsidR="00D70ABD">
        <w:rPr>
          <w:rFonts w:ascii="宋体" w:eastAsia="宋体" w:hAnsi="宋体" w:cs="宋体" w:hint="eastAsia"/>
          <w:bCs/>
          <w:kern w:val="2"/>
        </w:rPr>
        <w:t>连震</w:t>
      </w:r>
      <w:r>
        <w:rPr>
          <w:rFonts w:ascii="宋体" w:eastAsia="宋体" w:hAnsi="宋体" w:cs="宋体" w:hint="eastAsia"/>
          <w:bCs/>
          <w:kern w:val="2"/>
        </w:rPr>
        <w:t>，现因</w:t>
      </w:r>
      <w:r w:rsidR="001E28BD">
        <w:rPr>
          <w:rFonts w:ascii="宋体" w:eastAsia="宋体" w:hAnsi="宋体" w:cs="宋体" w:hint="eastAsia"/>
          <w:bCs/>
          <w:kern w:val="2"/>
        </w:rPr>
        <w:t>（2022）赣0124执683号民间借贷纠纷执行一</w:t>
      </w:r>
      <w:r>
        <w:rPr>
          <w:rFonts w:ascii="宋体" w:eastAsia="宋体" w:hAnsi="宋体" w:cs="宋体" w:hint="eastAsia"/>
          <w:bCs/>
          <w:kern w:val="2"/>
        </w:rPr>
        <w:t>案拟被进贤县人民法院查封。</w:t>
      </w:r>
    </w:p>
    <w:p w14:paraId="6D78962B" w14:textId="0B972EC7" w:rsidR="007D1228" w:rsidRDefault="00CA5E49">
      <w:pPr>
        <w:pStyle w:val="3333"/>
        <w:widowControl w:val="0"/>
        <w:adjustRightInd w:val="0"/>
        <w:snapToGrid w:val="0"/>
        <w:spacing w:line="550" w:lineRule="exact"/>
        <w:ind w:firstLineChars="200" w:firstLine="480"/>
        <w:rPr>
          <w:rFonts w:ascii="宋体" w:eastAsia="宋体" w:hAnsi="宋体" w:cs="宋体"/>
          <w:bCs/>
          <w:kern w:val="2"/>
        </w:rPr>
      </w:pPr>
      <w:r>
        <w:rPr>
          <w:rFonts w:ascii="宋体" w:eastAsia="宋体" w:hAnsi="宋体" w:cs="宋体"/>
          <w:bCs/>
          <w:kern w:val="2"/>
        </w:rPr>
        <w:t>3.</w:t>
      </w:r>
      <w:r>
        <w:rPr>
          <w:rFonts w:ascii="宋体" w:eastAsia="宋体" w:hAnsi="宋体" w:cs="宋体" w:hint="eastAsia"/>
          <w:bCs/>
          <w:kern w:val="2"/>
        </w:rPr>
        <w:t>资产物理状况</w:t>
      </w:r>
    </w:p>
    <w:p w14:paraId="4625CE7B" w14:textId="61DFA0CA" w:rsidR="007D1228" w:rsidRPr="00B101D8" w:rsidRDefault="00CA5E49">
      <w:pPr>
        <w:pStyle w:val="3333"/>
        <w:widowControl w:val="0"/>
        <w:adjustRightInd w:val="0"/>
        <w:snapToGrid w:val="0"/>
        <w:spacing w:line="550" w:lineRule="exact"/>
        <w:ind w:firstLineChars="200" w:firstLine="480"/>
        <w:rPr>
          <w:rFonts w:ascii="宋体" w:eastAsia="宋体" w:hAnsi="宋体" w:cs="宋体"/>
          <w:bCs/>
          <w:color w:val="000000" w:themeColor="text1"/>
          <w:kern w:val="2"/>
        </w:rPr>
      </w:pPr>
      <w:r w:rsidRPr="00B101D8">
        <w:rPr>
          <w:rFonts w:ascii="宋体" w:eastAsia="宋体" w:hAnsi="宋体" w:cs="宋体" w:hint="eastAsia"/>
          <w:bCs/>
          <w:color w:val="000000" w:themeColor="text1"/>
          <w:kern w:val="2"/>
        </w:rPr>
        <w:t>根据委托人提供的</w:t>
      </w:r>
      <w:r w:rsidR="00883F44">
        <w:rPr>
          <w:rFonts w:ascii="宋体" w:eastAsia="宋体" w:hAnsi="宋体" w:cs="宋体" w:hint="eastAsia"/>
          <w:bCs/>
          <w:color w:val="000000" w:themeColor="text1"/>
          <w:kern w:val="2"/>
        </w:rPr>
        <w:t>进贤县不动产登记信息查询结果证明（不动产登记证号：赣(2018)进贤县不动产权第0005313号）</w:t>
      </w:r>
      <w:r w:rsidRPr="00B101D8">
        <w:rPr>
          <w:rFonts w:ascii="宋体" w:eastAsia="宋体" w:hAnsi="宋体" w:cs="宋体" w:hint="eastAsia"/>
          <w:bCs/>
          <w:color w:val="000000" w:themeColor="text1"/>
          <w:kern w:val="2"/>
        </w:rPr>
        <w:t>显示：委估房产位于进贤县民和镇中山大道</w:t>
      </w:r>
      <w:r w:rsidR="004646F8" w:rsidRPr="00B101D8">
        <w:rPr>
          <w:rFonts w:ascii="宋体" w:eastAsia="宋体" w:hAnsi="宋体" w:cs="宋体" w:hint="eastAsia"/>
          <w:bCs/>
          <w:color w:val="000000" w:themeColor="text1"/>
          <w:kern w:val="2"/>
        </w:rPr>
        <w:t>1833号云天小镇4号楼1单元301室</w:t>
      </w:r>
      <w:r w:rsidRPr="00B101D8">
        <w:rPr>
          <w:rFonts w:ascii="宋体" w:eastAsia="宋体" w:hAnsi="宋体" w:cs="宋体" w:hint="eastAsia"/>
          <w:bCs/>
          <w:color w:val="000000" w:themeColor="text1"/>
          <w:kern w:val="2"/>
        </w:rPr>
        <w:t>。该</w:t>
      </w:r>
      <w:r w:rsidR="001E28BD" w:rsidRPr="00B101D8">
        <w:rPr>
          <w:rFonts w:ascii="宋体" w:eastAsia="宋体" w:hAnsi="宋体" w:cs="宋体" w:hint="eastAsia"/>
          <w:bCs/>
          <w:color w:val="000000" w:themeColor="text1"/>
          <w:kern w:val="2"/>
        </w:rPr>
        <w:t>不动产</w:t>
      </w:r>
      <w:r w:rsidR="004646F8" w:rsidRPr="00B101D8">
        <w:rPr>
          <w:rFonts w:ascii="宋体" w:eastAsia="宋体" w:hAnsi="宋体" w:cs="宋体" w:hint="eastAsia"/>
          <w:bCs/>
          <w:color w:val="000000" w:themeColor="text1"/>
          <w:kern w:val="2"/>
        </w:rPr>
        <w:t>所在层</w:t>
      </w:r>
      <w:r w:rsidRPr="00B101D8">
        <w:rPr>
          <w:rFonts w:ascii="宋体" w:eastAsia="宋体" w:hAnsi="宋体" w:cs="宋体" w:hint="eastAsia"/>
          <w:bCs/>
          <w:color w:val="000000" w:themeColor="text1"/>
          <w:kern w:val="2"/>
        </w:rPr>
        <w:t>建筑面积</w:t>
      </w:r>
      <w:r w:rsidR="004646F8" w:rsidRPr="00B101D8">
        <w:rPr>
          <w:rFonts w:ascii="宋体" w:eastAsia="宋体" w:hAnsi="宋体" w:cs="宋体" w:hint="eastAsia"/>
          <w:bCs/>
          <w:color w:val="000000" w:themeColor="text1"/>
          <w:kern w:val="2"/>
        </w:rPr>
        <w:t>为</w:t>
      </w:r>
      <w:r w:rsidR="004646F8" w:rsidRPr="00B101D8">
        <w:rPr>
          <w:rFonts w:ascii="宋体" w:eastAsia="宋体" w:hAnsi="宋体" w:cs="宋体"/>
          <w:bCs/>
          <w:color w:val="000000" w:themeColor="text1"/>
          <w:kern w:val="2"/>
        </w:rPr>
        <w:t>95.32</w:t>
      </w:r>
      <w:r w:rsidRPr="00B101D8">
        <w:rPr>
          <w:rFonts w:ascii="宋体" w:eastAsia="宋体" w:hAnsi="宋体" w:cs="宋体" w:hint="eastAsia"/>
          <w:bCs/>
          <w:color w:val="000000" w:themeColor="text1"/>
          <w:kern w:val="2"/>
        </w:rPr>
        <w:t>平方米，其中套内建筑面积</w:t>
      </w:r>
      <w:r w:rsidR="004646F8" w:rsidRPr="00B101D8">
        <w:rPr>
          <w:rFonts w:ascii="宋体" w:eastAsia="宋体" w:hAnsi="宋体" w:cs="宋体"/>
          <w:bCs/>
          <w:color w:val="000000" w:themeColor="text1"/>
          <w:kern w:val="2"/>
        </w:rPr>
        <w:t>78.470</w:t>
      </w:r>
      <w:r w:rsidRPr="00B101D8">
        <w:rPr>
          <w:rFonts w:ascii="宋体" w:eastAsia="宋体" w:hAnsi="宋体" w:cs="宋体" w:hint="eastAsia"/>
          <w:bCs/>
          <w:color w:val="000000" w:themeColor="text1"/>
          <w:kern w:val="2"/>
        </w:rPr>
        <w:t>平方米，共有</w:t>
      </w:r>
      <w:r w:rsidR="004646F8" w:rsidRPr="00B101D8">
        <w:rPr>
          <w:rFonts w:ascii="宋体" w:eastAsia="宋体" w:hAnsi="宋体" w:cs="宋体" w:hint="eastAsia"/>
          <w:bCs/>
          <w:color w:val="000000" w:themeColor="text1"/>
          <w:kern w:val="2"/>
        </w:rPr>
        <w:t>分摊</w:t>
      </w:r>
      <w:r w:rsidRPr="00B101D8">
        <w:rPr>
          <w:rFonts w:ascii="宋体" w:eastAsia="宋体" w:hAnsi="宋体" w:cs="宋体" w:hint="eastAsia"/>
          <w:bCs/>
          <w:color w:val="000000" w:themeColor="text1"/>
          <w:kern w:val="2"/>
        </w:rPr>
        <w:t>面积</w:t>
      </w:r>
      <w:r w:rsidR="004646F8" w:rsidRPr="00B101D8">
        <w:rPr>
          <w:rFonts w:ascii="宋体" w:eastAsia="宋体" w:hAnsi="宋体" w:cs="宋体"/>
          <w:bCs/>
          <w:color w:val="000000" w:themeColor="text1"/>
          <w:kern w:val="2"/>
        </w:rPr>
        <w:t>16.850</w:t>
      </w:r>
      <w:r w:rsidRPr="00B101D8">
        <w:rPr>
          <w:rFonts w:ascii="宋体" w:eastAsia="宋体" w:hAnsi="宋体" w:cs="宋体" w:hint="eastAsia"/>
          <w:bCs/>
          <w:color w:val="000000" w:themeColor="text1"/>
          <w:kern w:val="2"/>
        </w:rPr>
        <w:t>平方米，</w:t>
      </w:r>
      <w:r w:rsidR="004646F8" w:rsidRPr="00B101D8">
        <w:rPr>
          <w:rFonts w:ascii="宋体" w:eastAsia="宋体" w:hAnsi="宋体" w:cs="宋体" w:hint="eastAsia"/>
          <w:bCs/>
          <w:color w:val="000000" w:themeColor="text1"/>
          <w:kern w:val="2"/>
        </w:rPr>
        <w:t>已</w:t>
      </w:r>
      <w:r w:rsidRPr="00B101D8">
        <w:rPr>
          <w:rFonts w:ascii="宋体" w:eastAsia="宋体" w:hAnsi="宋体" w:cs="宋体" w:hint="eastAsia"/>
          <w:bCs/>
          <w:color w:val="000000" w:themeColor="text1"/>
          <w:kern w:val="2"/>
        </w:rPr>
        <w:t>办理不动产权证。规划用途为</w:t>
      </w:r>
      <w:r w:rsidR="001E28BD" w:rsidRPr="00B101D8">
        <w:rPr>
          <w:rFonts w:ascii="宋体" w:eastAsia="宋体" w:hAnsi="宋体" w:cs="宋体" w:hint="eastAsia"/>
          <w:bCs/>
          <w:color w:val="000000" w:themeColor="text1"/>
          <w:kern w:val="2"/>
        </w:rPr>
        <w:t>成套住宅</w:t>
      </w:r>
      <w:r w:rsidRPr="00B101D8">
        <w:rPr>
          <w:rFonts w:ascii="宋体" w:eastAsia="宋体" w:hAnsi="宋体" w:cs="宋体" w:hint="eastAsia"/>
          <w:bCs/>
          <w:color w:val="000000" w:themeColor="text1"/>
          <w:kern w:val="2"/>
        </w:rPr>
        <w:t>，实际用途为</w:t>
      </w:r>
      <w:r w:rsidR="001E28BD" w:rsidRPr="00B101D8">
        <w:rPr>
          <w:rFonts w:ascii="宋体" w:eastAsia="宋体" w:hAnsi="宋体" w:cs="宋体" w:hint="eastAsia"/>
          <w:bCs/>
          <w:color w:val="000000" w:themeColor="text1"/>
          <w:kern w:val="2"/>
        </w:rPr>
        <w:t>成套住宅</w:t>
      </w:r>
      <w:r w:rsidRPr="00B101D8">
        <w:rPr>
          <w:rFonts w:ascii="宋体" w:eastAsia="宋体" w:hAnsi="宋体" w:cs="宋体" w:hint="eastAsia"/>
          <w:bCs/>
          <w:color w:val="000000" w:themeColor="text1"/>
          <w:kern w:val="2"/>
        </w:rPr>
        <w:t>。</w:t>
      </w:r>
    </w:p>
    <w:p w14:paraId="336F1D06" w14:textId="120CDE8C" w:rsidR="007D1228" w:rsidRPr="00B101D8" w:rsidRDefault="00CA5E49">
      <w:pPr>
        <w:pStyle w:val="3333"/>
        <w:widowControl w:val="0"/>
        <w:adjustRightInd w:val="0"/>
        <w:snapToGrid w:val="0"/>
        <w:spacing w:line="550" w:lineRule="exact"/>
        <w:ind w:firstLineChars="200" w:firstLine="480"/>
        <w:rPr>
          <w:rFonts w:ascii="宋体" w:eastAsia="宋体" w:hAnsi="宋体" w:cs="宋体"/>
          <w:bCs/>
          <w:color w:val="000000" w:themeColor="text1"/>
          <w:kern w:val="2"/>
        </w:rPr>
      </w:pPr>
      <w:r w:rsidRPr="00B101D8">
        <w:rPr>
          <w:rFonts w:ascii="宋体" w:eastAsia="宋体" w:hAnsi="宋体" w:cs="宋体" w:hint="eastAsia"/>
          <w:bCs/>
          <w:color w:val="000000" w:themeColor="text1"/>
          <w:kern w:val="2"/>
        </w:rPr>
        <w:t>实物状况：经现场勘查，委估房产处于</w:t>
      </w:r>
      <w:r w:rsidR="00D2776A" w:rsidRPr="00B101D8">
        <w:rPr>
          <w:rFonts w:ascii="宋体" w:eastAsia="宋体" w:hAnsi="宋体" w:cs="宋体" w:hint="eastAsia"/>
          <w:bCs/>
          <w:color w:val="000000" w:themeColor="text1"/>
          <w:kern w:val="2"/>
        </w:rPr>
        <w:t>自用</w:t>
      </w:r>
      <w:r w:rsidRPr="00B101D8">
        <w:rPr>
          <w:rFonts w:ascii="宋体" w:eastAsia="宋体" w:hAnsi="宋体" w:cs="宋体" w:hint="eastAsia"/>
          <w:bCs/>
          <w:color w:val="000000" w:themeColor="text1"/>
          <w:kern w:val="2"/>
        </w:rPr>
        <w:t>状态，房屋结构为</w:t>
      </w:r>
      <w:r w:rsidR="00D2776A" w:rsidRPr="00B101D8">
        <w:rPr>
          <w:rFonts w:ascii="宋体" w:eastAsia="宋体" w:hAnsi="宋体" w:cs="宋体" w:hint="eastAsia"/>
          <w:bCs/>
          <w:color w:val="000000" w:themeColor="text1"/>
          <w:kern w:val="2"/>
        </w:rPr>
        <w:t>钢混</w:t>
      </w:r>
      <w:r w:rsidRPr="00B101D8">
        <w:rPr>
          <w:rFonts w:ascii="宋体" w:eastAsia="宋体" w:hAnsi="宋体" w:cs="宋体" w:hint="eastAsia"/>
          <w:bCs/>
          <w:color w:val="000000" w:themeColor="text1"/>
          <w:kern w:val="2"/>
        </w:rPr>
        <w:t>结构。装修情况</w:t>
      </w:r>
      <w:r w:rsidR="00B101D8" w:rsidRPr="00B101D8">
        <w:rPr>
          <w:rFonts w:ascii="宋体" w:eastAsia="宋体" w:hAnsi="宋体" w:cs="宋体" w:hint="eastAsia"/>
          <w:bCs/>
          <w:color w:val="000000" w:themeColor="text1"/>
          <w:kern w:val="2"/>
        </w:rPr>
        <w:t>较好</w:t>
      </w:r>
      <w:r w:rsidRPr="00B101D8">
        <w:rPr>
          <w:rFonts w:ascii="宋体" w:eastAsia="宋体" w:hAnsi="宋体" w:cs="宋体" w:hint="eastAsia"/>
          <w:bCs/>
          <w:color w:val="000000" w:themeColor="text1"/>
          <w:kern w:val="2"/>
        </w:rPr>
        <w:t>，入户门为</w:t>
      </w:r>
      <w:r w:rsidR="00D2776A" w:rsidRPr="00B101D8">
        <w:rPr>
          <w:rFonts w:ascii="宋体" w:eastAsia="宋体" w:hAnsi="宋体" w:cs="宋体" w:hint="eastAsia"/>
          <w:bCs/>
          <w:color w:val="000000" w:themeColor="text1"/>
          <w:kern w:val="2"/>
        </w:rPr>
        <w:t>防盗</w:t>
      </w:r>
      <w:r w:rsidRPr="00B101D8">
        <w:rPr>
          <w:rFonts w:ascii="宋体" w:eastAsia="宋体" w:hAnsi="宋体" w:cs="宋体" w:hint="eastAsia"/>
          <w:bCs/>
          <w:color w:val="000000" w:themeColor="text1"/>
          <w:kern w:val="2"/>
        </w:rPr>
        <w:t>门，内墙为刮瓷墙面、地面为</w:t>
      </w:r>
      <w:r w:rsidR="001E28BD" w:rsidRPr="00B101D8">
        <w:rPr>
          <w:rFonts w:ascii="宋体" w:eastAsia="宋体" w:hAnsi="宋体" w:cs="宋体" w:hint="eastAsia"/>
          <w:bCs/>
          <w:color w:val="000000" w:themeColor="text1"/>
          <w:kern w:val="2"/>
        </w:rPr>
        <w:t>瓷砖</w:t>
      </w:r>
      <w:r w:rsidRPr="00B101D8">
        <w:rPr>
          <w:rFonts w:ascii="宋体" w:eastAsia="宋体" w:hAnsi="宋体" w:cs="宋体" w:hint="eastAsia"/>
          <w:bCs/>
          <w:color w:val="000000" w:themeColor="text1"/>
          <w:kern w:val="2"/>
        </w:rPr>
        <w:t>地面。</w:t>
      </w:r>
    </w:p>
    <w:p w14:paraId="48B94EF0" w14:textId="77777777" w:rsidR="007D1228" w:rsidRPr="00B101D8" w:rsidRDefault="00CA5E49">
      <w:pPr>
        <w:widowControl w:val="0"/>
        <w:tabs>
          <w:tab w:val="right" w:pos="9480"/>
        </w:tabs>
        <w:spacing w:line="550" w:lineRule="exact"/>
        <w:ind w:firstLineChars="200" w:firstLine="482"/>
        <w:rPr>
          <w:rFonts w:ascii="宋体" w:eastAsia="宋体" w:hAnsi="宋体" w:cs="宋体"/>
          <w:b/>
          <w:color w:val="000000" w:themeColor="text1"/>
          <w:sz w:val="24"/>
          <w:szCs w:val="24"/>
        </w:rPr>
      </w:pPr>
      <w:r w:rsidRPr="00B101D8">
        <w:rPr>
          <w:rFonts w:ascii="宋体" w:eastAsia="宋体" w:hAnsi="宋体" w:cs="宋体" w:hint="eastAsia"/>
          <w:b/>
          <w:color w:val="000000" w:themeColor="text1"/>
          <w:sz w:val="24"/>
          <w:szCs w:val="24"/>
        </w:rPr>
        <w:t>四、价值类型</w:t>
      </w:r>
      <w:bookmarkEnd w:id="11"/>
    </w:p>
    <w:p w14:paraId="08162C46"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（一）价值类型</w:t>
      </w:r>
    </w:p>
    <w:p w14:paraId="55AD4029"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本报告评估结论的价值类型为市场价值类型。</w:t>
      </w:r>
    </w:p>
    <w:p w14:paraId="728350B7"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（二）市场价值的定义</w:t>
      </w:r>
    </w:p>
    <w:p w14:paraId="32BC64EF"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市场价值指自愿买方和自愿卖方在各自理性行事且未接受任何强迫的情况下，评估对象在评估基准日进行正常公平交易的价值估计数额。</w:t>
      </w:r>
    </w:p>
    <w:p w14:paraId="0078E065"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（三）选择市场价值类型的理由</w:t>
      </w:r>
    </w:p>
    <w:p w14:paraId="384545AE" w14:textId="77777777"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根据江西省高级人民法院网络司法拍卖评估工作的有关规定，涉案资产的处置以网络电子竞价方式公开进行，因此本项目评估价值类型采用市场价值类型。</w:t>
      </w:r>
    </w:p>
    <w:p w14:paraId="548EE686"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bookmarkStart w:id="12" w:name="_Toc28914_WPSOffice_Level1"/>
      <w:r>
        <w:rPr>
          <w:rFonts w:ascii="宋体" w:eastAsia="宋体" w:hAnsi="宋体" w:cs="宋体" w:hint="eastAsia"/>
          <w:b/>
          <w:color w:val="000000"/>
          <w:sz w:val="24"/>
          <w:szCs w:val="24"/>
        </w:rPr>
        <w:t>五、评估基准日</w:t>
      </w:r>
      <w:bookmarkEnd w:id="12"/>
    </w:p>
    <w:p w14:paraId="092E7E78" w14:textId="4A790F5A"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（一）本项目资产评估基准日是：202</w:t>
      </w:r>
      <w:r>
        <w:rPr>
          <w:rFonts w:ascii="宋体" w:eastAsia="宋体" w:hAnsi="宋体" w:cs="宋体"/>
          <w:sz w:val="24"/>
          <w:szCs w:val="24"/>
        </w:rPr>
        <w:t>2</w:t>
      </w:r>
      <w:r>
        <w:rPr>
          <w:rFonts w:ascii="宋体" w:eastAsia="宋体" w:hAnsi="宋体" w:cs="宋体" w:hint="eastAsia"/>
          <w:sz w:val="24"/>
          <w:szCs w:val="24"/>
        </w:rPr>
        <w:t>年0</w:t>
      </w:r>
      <w:r w:rsidR="00D2776A">
        <w:rPr>
          <w:rFonts w:ascii="宋体" w:eastAsia="宋体" w:hAnsi="宋体" w:cs="宋体"/>
          <w:sz w:val="24"/>
          <w:szCs w:val="24"/>
        </w:rPr>
        <w:t>6</w:t>
      </w:r>
      <w:r>
        <w:rPr>
          <w:rFonts w:ascii="宋体" w:eastAsia="宋体" w:hAnsi="宋体" w:cs="宋体" w:hint="eastAsia"/>
          <w:sz w:val="24"/>
          <w:szCs w:val="24"/>
        </w:rPr>
        <w:t>月</w:t>
      </w:r>
      <w:r w:rsidR="00D2776A">
        <w:rPr>
          <w:rFonts w:ascii="宋体" w:eastAsia="宋体" w:hAnsi="宋体" w:cs="宋体"/>
          <w:sz w:val="24"/>
          <w:szCs w:val="24"/>
        </w:rPr>
        <w:t>09</w:t>
      </w:r>
      <w:r>
        <w:rPr>
          <w:rFonts w:ascii="宋体" w:eastAsia="宋体" w:hAnsi="宋体" w:cs="宋体" w:hint="eastAsia"/>
          <w:sz w:val="24"/>
          <w:szCs w:val="24"/>
        </w:rPr>
        <w:t>日。</w:t>
      </w:r>
    </w:p>
    <w:p w14:paraId="57B688A0"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rPr>
        <w:t>（二）评估基准日的确定是由委托人根据评估目的确定的。</w:t>
      </w:r>
    </w:p>
    <w:p w14:paraId="10A44376"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bookmarkStart w:id="13" w:name="_Toc11355_WPSOffice_Level1"/>
      <w:r>
        <w:rPr>
          <w:rFonts w:ascii="宋体" w:eastAsia="宋体" w:hAnsi="宋体" w:cs="宋体" w:hint="eastAsia"/>
          <w:b/>
          <w:color w:val="000000"/>
          <w:sz w:val="24"/>
          <w:szCs w:val="24"/>
        </w:rPr>
        <w:t>六、评估依据</w:t>
      </w:r>
      <w:bookmarkEnd w:id="13"/>
    </w:p>
    <w:p w14:paraId="08BCB779" w14:textId="77777777" w:rsidR="007D1228" w:rsidRDefault="00CA5E49">
      <w:pPr>
        <w:widowControl w:val="0"/>
        <w:spacing w:line="550" w:lineRule="exact"/>
        <w:ind w:firstLineChars="200" w:firstLine="480"/>
        <w:rPr>
          <w:rFonts w:ascii="宋体" w:eastAsia="宋体" w:hAnsi="宋体" w:cs="宋体"/>
          <w:sz w:val="24"/>
          <w:szCs w:val="24"/>
        </w:rPr>
      </w:pPr>
      <w:bookmarkStart w:id="14" w:name="_Toc24095_WPSOffice_Level2"/>
      <w:r>
        <w:rPr>
          <w:rFonts w:ascii="宋体" w:eastAsia="宋体" w:hAnsi="宋体" w:cs="宋体" w:hint="eastAsia"/>
          <w:sz w:val="24"/>
          <w:szCs w:val="24"/>
        </w:rPr>
        <w:t>（一）经济行为依据</w:t>
      </w:r>
      <w:bookmarkEnd w:id="14"/>
    </w:p>
    <w:p w14:paraId="4AD759E0" w14:textId="430ED219" w:rsidR="007D1228" w:rsidRDefault="00B101D8">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《江西省进贤县人民法院司法评估委托书》（（2022）赣0124执委鉴24号）</w:t>
      </w:r>
      <w:r w:rsidR="00CA5E49">
        <w:rPr>
          <w:rFonts w:ascii="宋体" w:eastAsia="宋体" w:hAnsi="宋体" w:cs="宋体" w:hint="eastAsia"/>
          <w:sz w:val="24"/>
          <w:szCs w:val="24"/>
        </w:rPr>
        <w:t>；</w:t>
      </w:r>
    </w:p>
    <w:p w14:paraId="429FB3B3" w14:textId="77777777" w:rsidR="007D1228" w:rsidRDefault="00CA5E49">
      <w:pPr>
        <w:widowControl w:val="0"/>
        <w:spacing w:line="550" w:lineRule="exact"/>
        <w:ind w:firstLineChars="200" w:firstLine="480"/>
        <w:rPr>
          <w:rFonts w:ascii="宋体" w:eastAsia="宋体" w:hAnsi="宋体" w:cs="宋体"/>
          <w:sz w:val="24"/>
          <w:szCs w:val="24"/>
        </w:rPr>
      </w:pPr>
      <w:bookmarkStart w:id="15" w:name="_Toc4356_WPSOffice_Level2"/>
      <w:r>
        <w:rPr>
          <w:rFonts w:ascii="宋体" w:eastAsia="宋体" w:hAnsi="宋体" w:cs="宋体" w:hint="eastAsia"/>
          <w:sz w:val="24"/>
          <w:szCs w:val="24"/>
        </w:rPr>
        <w:t>（二）法律法规依据</w:t>
      </w:r>
      <w:bookmarkEnd w:id="15"/>
    </w:p>
    <w:p w14:paraId="03BDC541"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1.《中华人民共和国资产评估法》（中华人民共和国主席令[2016]第46号）；</w:t>
      </w:r>
    </w:p>
    <w:p w14:paraId="2244FF52" w14:textId="77777777" w:rsidR="007D1228" w:rsidRDefault="00CA5E49">
      <w:pPr>
        <w:widowControl w:val="0"/>
        <w:spacing w:line="550" w:lineRule="exact"/>
        <w:ind w:firstLineChars="200" w:firstLine="480"/>
        <w:rPr>
          <w:rFonts w:ascii="宋体" w:eastAsia="宋体" w:hAnsi="宋体" w:cs="宋体"/>
          <w:sz w:val="24"/>
        </w:rPr>
      </w:pPr>
      <w:r>
        <w:rPr>
          <w:rFonts w:ascii="宋体" w:hAnsi="宋体" w:cs="宋体"/>
          <w:bCs/>
          <w:color w:val="000000"/>
          <w:sz w:val="24"/>
        </w:rPr>
        <w:t>2</w:t>
      </w:r>
      <w:r>
        <w:rPr>
          <w:rFonts w:ascii="宋体" w:hAnsi="宋体" w:cs="宋体" w:hint="eastAsia"/>
          <w:bCs/>
          <w:color w:val="000000"/>
          <w:sz w:val="24"/>
        </w:rPr>
        <w:t>.《中华人民共和国民法典》（2020年05月28日第十三届全国人民代表大会第三次会议通过）；</w:t>
      </w:r>
    </w:p>
    <w:p w14:paraId="4C03A2D0"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hAnsi="宋体" w:cs="宋体" w:hint="eastAsia"/>
          <w:sz w:val="24"/>
        </w:rPr>
        <w:t>《资产评估行业财政监督管理办法》（中华人民共和国财政部令第86号）；</w:t>
      </w:r>
    </w:p>
    <w:p w14:paraId="4289DDFA"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.《中华人民共和国民事诉讼法（2017修正）》（中华人民共和国主席令第71号）；</w:t>
      </w:r>
    </w:p>
    <w:p w14:paraId="3E15A68C"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.《江西省司法鉴定条例》（江西省人大常委会公告第110号）；</w:t>
      </w:r>
    </w:p>
    <w:p w14:paraId="5FA323D2" w14:textId="77777777" w:rsidR="007D1228" w:rsidRDefault="00CA5E49">
      <w:pPr>
        <w:widowControl w:val="0"/>
        <w:spacing w:line="550" w:lineRule="exact"/>
        <w:ind w:firstLineChars="200" w:firstLine="480"/>
        <w:rPr>
          <w:rFonts w:ascii="宋体" w:hAnsi="宋体" w:cs="宋体"/>
          <w:bCs/>
          <w:color w:val="000000"/>
          <w:sz w:val="24"/>
        </w:rPr>
      </w:pPr>
      <w:r>
        <w:rPr>
          <w:rFonts w:ascii="宋体" w:hAnsi="宋体" w:cs="宋体"/>
          <w:bCs/>
          <w:color w:val="000000"/>
          <w:sz w:val="24"/>
        </w:rPr>
        <w:t>6</w:t>
      </w:r>
      <w:r>
        <w:rPr>
          <w:rFonts w:ascii="宋体" w:hAnsi="宋体" w:cs="宋体" w:hint="eastAsia"/>
          <w:bCs/>
          <w:color w:val="000000"/>
          <w:sz w:val="24"/>
        </w:rPr>
        <w:t>.《司法鉴定程序通则》（中华人民共和国司法部令第107号）；</w:t>
      </w:r>
    </w:p>
    <w:p w14:paraId="10A21CC3" w14:textId="77777777" w:rsidR="007D1228" w:rsidRDefault="00CA5E49">
      <w:pPr>
        <w:widowControl w:val="0"/>
        <w:spacing w:line="550" w:lineRule="exact"/>
        <w:ind w:firstLineChars="200" w:firstLine="480"/>
        <w:rPr>
          <w:rFonts w:ascii="宋体" w:hAnsi="宋体" w:cs="宋体"/>
          <w:bCs/>
          <w:color w:val="000000"/>
          <w:sz w:val="24"/>
        </w:rPr>
      </w:pPr>
      <w:r>
        <w:rPr>
          <w:rFonts w:ascii="宋体" w:hAnsi="宋体" w:cs="宋体"/>
          <w:bCs/>
          <w:color w:val="000000"/>
          <w:sz w:val="24"/>
        </w:rPr>
        <w:t>7</w:t>
      </w:r>
      <w:r>
        <w:rPr>
          <w:rFonts w:ascii="宋体" w:hAnsi="宋体" w:cs="宋体" w:hint="eastAsia"/>
          <w:bCs/>
          <w:color w:val="000000"/>
          <w:sz w:val="24"/>
        </w:rPr>
        <w:t>.《最高人民法院关于人民法院确定财产处置参考价若干问题的规定》（法释〔2018〕15号）；</w:t>
      </w:r>
    </w:p>
    <w:p w14:paraId="363626C7" w14:textId="77777777" w:rsidR="007D1228" w:rsidRDefault="00CA5E49">
      <w:pPr>
        <w:widowControl w:val="0"/>
        <w:spacing w:line="550" w:lineRule="exact"/>
        <w:ind w:firstLineChars="200" w:firstLine="480"/>
        <w:jc w:val="left"/>
        <w:rPr>
          <w:rFonts w:ascii="宋体" w:eastAsia="宋体" w:hAnsi="宋体" w:cs="宋体"/>
          <w:sz w:val="24"/>
        </w:rPr>
      </w:pPr>
      <w:r>
        <w:rPr>
          <w:rFonts w:ascii="宋体" w:hAnsi="宋体" w:cs="宋体"/>
          <w:bCs/>
          <w:color w:val="000000"/>
          <w:sz w:val="24"/>
        </w:rPr>
        <w:t>8</w:t>
      </w:r>
      <w:r>
        <w:rPr>
          <w:rFonts w:ascii="宋体" w:hAnsi="宋体" w:cs="宋体" w:hint="eastAsia"/>
          <w:bCs/>
          <w:color w:val="000000"/>
          <w:sz w:val="24"/>
        </w:rPr>
        <w:t>.《关于加强企业国有资产评估管理工作有关问题的通知》（国资发产权[2006]274号）；</w:t>
      </w:r>
    </w:p>
    <w:p w14:paraId="567A7423"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bCs/>
          <w:sz w:val="24"/>
          <w:szCs w:val="24"/>
        </w:rPr>
        <w:t>9</w:t>
      </w:r>
      <w:r>
        <w:rPr>
          <w:rFonts w:ascii="宋体" w:eastAsia="宋体" w:hAnsi="宋体" w:cs="宋体" w:hint="eastAsia"/>
          <w:bCs/>
          <w:sz w:val="24"/>
          <w:szCs w:val="24"/>
        </w:rPr>
        <w:t>.《国有资产评估管理办法实施细则》</w:t>
      </w:r>
      <w:r>
        <w:rPr>
          <w:rFonts w:ascii="宋体" w:hAnsi="宋体" w:cs="宋体" w:hint="eastAsia"/>
          <w:bCs/>
          <w:color w:val="000000"/>
          <w:sz w:val="24"/>
        </w:rPr>
        <w:t>（中华人民共和国国务院[1991]91号）；</w:t>
      </w:r>
    </w:p>
    <w:p w14:paraId="32C6465F"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sz w:val="24"/>
        </w:rPr>
        <w:t>0</w:t>
      </w:r>
      <w:r>
        <w:rPr>
          <w:rFonts w:ascii="宋体" w:eastAsia="宋体" w:hAnsi="宋体" w:cs="宋体" w:hint="eastAsia"/>
          <w:sz w:val="24"/>
        </w:rPr>
        <w:t>.其他与资产评估相关的法律、法规等。</w:t>
      </w:r>
    </w:p>
    <w:p w14:paraId="7B867450" w14:textId="77777777" w:rsidR="007D1228" w:rsidRDefault="00CA5E49">
      <w:pPr>
        <w:widowControl w:val="0"/>
        <w:spacing w:line="550" w:lineRule="exact"/>
        <w:ind w:firstLineChars="200" w:firstLine="480"/>
        <w:rPr>
          <w:rFonts w:ascii="宋体" w:eastAsia="宋体" w:hAnsi="宋体" w:cs="宋体"/>
          <w:sz w:val="24"/>
          <w:szCs w:val="24"/>
        </w:rPr>
      </w:pPr>
      <w:bookmarkStart w:id="16" w:name="_Toc29033_WPSOffice_Level2"/>
      <w:r>
        <w:rPr>
          <w:rFonts w:ascii="宋体" w:eastAsia="宋体" w:hAnsi="宋体" w:cs="宋体" w:hint="eastAsia"/>
          <w:sz w:val="24"/>
          <w:szCs w:val="24"/>
        </w:rPr>
        <w:t>（三）准则依据</w:t>
      </w:r>
      <w:bookmarkEnd w:id="16"/>
    </w:p>
    <w:p w14:paraId="70291E0A"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1.《资产评估基本准则》（财资〔2017〕43号）；</w:t>
      </w:r>
    </w:p>
    <w:p w14:paraId="747264EF"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2.《资产评估职业道德准则》（中评协〔2017〕30号）；</w:t>
      </w:r>
    </w:p>
    <w:p w14:paraId="6397160A"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3.《资产评估执业准则——资产评估程序》（中评协〔2018〕36号）；</w:t>
      </w:r>
    </w:p>
    <w:p w14:paraId="36356928"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4.《资产评估执业准则——资产评估报告》（中评协〔2018〕35号）；</w:t>
      </w:r>
    </w:p>
    <w:p w14:paraId="3A0FF01C"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5.《资产评估执业准则——资产评估档案》（中评协〔2018〕37号）；</w:t>
      </w:r>
    </w:p>
    <w:p w14:paraId="107B2E14"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6.《资产评估执业准则——资产评估委托合同》（中评协〔2017〕33号）；</w:t>
      </w:r>
    </w:p>
    <w:p w14:paraId="60A368D1"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7.《资产评估执业准则——不动产》（中评协〔2017〕38号）；</w:t>
      </w:r>
    </w:p>
    <w:p w14:paraId="77F8F290"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8.《资产评估执业准则——资产评估方法》（中评协〔2019〕35号）；</w:t>
      </w:r>
    </w:p>
    <w:p w14:paraId="247E79F2"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9.《资产评估机构业务质量控制指南》（中评协〔2017〕46号）；</w:t>
      </w:r>
    </w:p>
    <w:p w14:paraId="231907AA"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10.《资产评估价值类型指导意见》（中评协〔2017〕47号）；</w:t>
      </w:r>
    </w:p>
    <w:p w14:paraId="1247DAEE"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hint="eastAsia"/>
          <w:sz w:val="24"/>
        </w:rPr>
        <w:t>11.《资产评估对象法律权属指导意见》（中评协〔2017〕48号）；</w:t>
      </w:r>
    </w:p>
    <w:p w14:paraId="69A68B97"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rPr>
        <w:t>12.《企业国有资产评估报告指南》（中评协〔2017〕42号）；</w:t>
      </w:r>
      <w:bookmarkStart w:id="17" w:name="_Toc28914_WPSOffice_Level2"/>
    </w:p>
    <w:p w14:paraId="3546035C"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13.《人民法院委托司法执行财产处置资产评估指导意见》</w:t>
      </w:r>
      <w:r>
        <w:rPr>
          <w:rFonts w:ascii="宋体" w:eastAsia="宋体" w:hAnsi="宋体" w:cs="宋体" w:hint="eastAsia"/>
          <w:sz w:val="24"/>
        </w:rPr>
        <w:t>（中评协〔2019〕14号）；</w:t>
      </w:r>
    </w:p>
    <w:p w14:paraId="59FBC2A7"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（四）权属依据</w:t>
      </w:r>
      <w:bookmarkEnd w:id="17"/>
    </w:p>
    <w:p w14:paraId="5AC8963B" w14:textId="079A28AE" w:rsidR="007D1228" w:rsidRDefault="00C06910">
      <w:pPr>
        <w:widowControl w:val="0"/>
        <w:spacing w:line="550" w:lineRule="exact"/>
        <w:ind w:firstLineChars="200" w:firstLine="480"/>
        <w:rPr>
          <w:rFonts w:ascii="宋体" w:eastAsia="宋体" w:hAnsi="宋体" w:cs="宋体"/>
          <w:sz w:val="24"/>
          <w:szCs w:val="24"/>
        </w:rPr>
      </w:pPr>
      <w:r>
        <w:rPr>
          <w:rFonts w:ascii="宋体" w:eastAsia="宋体" w:hAnsi="宋体" w:cs="宋体"/>
          <w:sz w:val="24"/>
          <w:szCs w:val="24"/>
        </w:rPr>
        <w:t>1</w:t>
      </w:r>
      <w:r w:rsidR="00CA5E49">
        <w:rPr>
          <w:rFonts w:ascii="宋体" w:eastAsia="宋体" w:hAnsi="宋体" w:cs="宋体" w:hint="eastAsia"/>
          <w:sz w:val="24"/>
          <w:szCs w:val="24"/>
        </w:rPr>
        <w:t>.</w:t>
      </w:r>
      <w:r w:rsidR="00B101D8">
        <w:rPr>
          <w:rFonts w:ascii="宋体" w:eastAsia="宋体" w:hAnsi="宋体" w:cs="宋体" w:hint="eastAsia"/>
          <w:sz w:val="24"/>
          <w:szCs w:val="24"/>
        </w:rPr>
        <w:t>《江西省进贤县人民法院司法评估委托书》（（2022）赣0124执委鉴24号）</w:t>
      </w:r>
      <w:r w:rsidR="00CA5E49">
        <w:rPr>
          <w:rFonts w:ascii="宋体" w:eastAsia="宋体" w:hAnsi="宋体" w:cs="宋体" w:hint="eastAsia"/>
          <w:sz w:val="24"/>
          <w:szCs w:val="24"/>
        </w:rPr>
        <w:t>；</w:t>
      </w:r>
    </w:p>
    <w:p w14:paraId="5C384D9E" w14:textId="5BE188B3" w:rsidR="007D1228" w:rsidRDefault="00C06910">
      <w:pPr>
        <w:pStyle w:val="WPSOffice1"/>
        <w:widowControl w:val="0"/>
        <w:tabs>
          <w:tab w:val="right" w:leader="dot" w:pos="9032"/>
        </w:tabs>
        <w:spacing w:line="550" w:lineRule="exact"/>
        <w:ind w:firstLineChars="200" w:firstLine="480"/>
        <w:rPr>
          <w:rFonts w:ascii="宋体" w:hAnsi="宋体" w:cs="宋体"/>
          <w:sz w:val="24"/>
          <w:szCs w:val="24"/>
        </w:rPr>
      </w:pPr>
      <w:r>
        <w:rPr>
          <w:rFonts w:ascii="宋体" w:hAnsi="宋体" w:cs="宋体"/>
          <w:sz w:val="24"/>
          <w:szCs w:val="24"/>
        </w:rPr>
        <w:t>2</w:t>
      </w:r>
      <w:r w:rsidR="00CA5E49">
        <w:rPr>
          <w:rFonts w:ascii="宋体" w:hAnsi="宋体" w:cs="宋体" w:hint="eastAsia"/>
          <w:sz w:val="24"/>
          <w:szCs w:val="24"/>
        </w:rPr>
        <w:t>.</w:t>
      </w:r>
      <w:r w:rsidR="00CA5E49">
        <w:rPr>
          <w:rFonts w:ascii="宋体" w:hAnsi="宋体" w:cs="宋体" w:hint="eastAsia"/>
          <w:bCs/>
          <w:sz w:val="24"/>
          <w:szCs w:val="24"/>
        </w:rPr>
        <w:t xml:space="preserve"> </w:t>
      </w:r>
      <w:r w:rsidR="00883F44">
        <w:rPr>
          <w:rFonts w:ascii="宋体" w:hAnsi="宋体" w:cs="宋体" w:hint="eastAsia"/>
          <w:bCs/>
          <w:sz w:val="24"/>
          <w:szCs w:val="24"/>
        </w:rPr>
        <w:t>进贤县不动产登记信息查询结果证明（不动产登记证号：赣(2018)进贤县不动产权第0005313号）</w:t>
      </w:r>
      <w:r w:rsidR="00CA5E49">
        <w:rPr>
          <w:rFonts w:ascii="宋体" w:hAnsi="宋体" w:cs="宋体" w:hint="eastAsia"/>
          <w:sz w:val="24"/>
          <w:szCs w:val="24"/>
        </w:rPr>
        <w:t>；</w:t>
      </w:r>
    </w:p>
    <w:p w14:paraId="77068DB9" w14:textId="77777777" w:rsidR="007D1228" w:rsidRDefault="00CA5E49">
      <w:pPr>
        <w:pStyle w:val="WPSOffice1"/>
        <w:widowControl w:val="0"/>
        <w:tabs>
          <w:tab w:val="right" w:leader="dot" w:pos="9032"/>
        </w:tabs>
        <w:spacing w:line="550" w:lineRule="exact"/>
        <w:ind w:firstLineChars="200" w:firstLine="480"/>
        <w:rPr>
          <w:rFonts w:ascii="宋体" w:hAnsi="宋体" w:cs="宋体"/>
          <w:sz w:val="24"/>
          <w:szCs w:val="24"/>
        </w:rPr>
      </w:pPr>
      <w:r>
        <w:rPr>
          <w:rFonts w:ascii="宋体" w:hAnsi="宋体" w:cs="宋体" w:hint="eastAsia"/>
          <w:sz w:val="24"/>
          <w:szCs w:val="24"/>
        </w:rPr>
        <w:t>3.其他权属证明材料。</w:t>
      </w:r>
    </w:p>
    <w:p w14:paraId="5177DE8D" w14:textId="77777777" w:rsidR="007D1228" w:rsidRDefault="00CA5E49">
      <w:pPr>
        <w:widowControl w:val="0"/>
        <w:spacing w:line="550" w:lineRule="exact"/>
        <w:ind w:firstLineChars="200" w:firstLine="480"/>
        <w:rPr>
          <w:rFonts w:ascii="宋体" w:eastAsia="宋体" w:hAnsi="宋体" w:cs="宋体"/>
          <w:sz w:val="24"/>
          <w:szCs w:val="24"/>
        </w:rPr>
      </w:pPr>
      <w:bookmarkStart w:id="18" w:name="_Toc11355_WPSOffice_Level2"/>
      <w:r>
        <w:rPr>
          <w:rFonts w:ascii="宋体" w:eastAsia="宋体" w:hAnsi="宋体" w:cs="宋体" w:hint="eastAsia"/>
          <w:sz w:val="24"/>
          <w:szCs w:val="24"/>
        </w:rPr>
        <w:t>（五）取价依据</w:t>
      </w:r>
      <w:bookmarkEnd w:id="18"/>
    </w:p>
    <w:p w14:paraId="7EA1BA3C" w14:textId="77777777" w:rsidR="007D1228" w:rsidRDefault="00CA5E49">
      <w:pPr>
        <w:widowControl w:val="0"/>
        <w:spacing w:line="550" w:lineRule="exact"/>
        <w:ind w:firstLineChars="200" w:firstLine="480"/>
        <w:rPr>
          <w:rFonts w:ascii="宋体" w:eastAsia="宋体" w:hAnsi="宋体" w:cs="宋体"/>
          <w:sz w:val="24"/>
        </w:rPr>
      </w:pPr>
      <w:bookmarkStart w:id="19" w:name="_Toc14212_WPSOffice_Level1"/>
      <w:r>
        <w:rPr>
          <w:rFonts w:ascii="宋体" w:eastAsia="宋体" w:hAnsi="宋体" w:cs="宋体" w:hint="eastAsia"/>
          <w:sz w:val="24"/>
        </w:rPr>
        <w:t>1.</w:t>
      </w:r>
      <w:r>
        <w:rPr>
          <w:rFonts w:ascii="宋体" w:hAnsi="宋体" w:cs="宋体" w:hint="eastAsia"/>
          <w:sz w:val="24"/>
        </w:rPr>
        <w:t>《资产评估常用数据及参考手册》（北京：中国科学技术出版社）</w:t>
      </w:r>
      <w:r>
        <w:rPr>
          <w:rFonts w:ascii="宋体" w:eastAsia="宋体" w:hAnsi="宋体" w:cs="宋体" w:hint="eastAsia"/>
          <w:sz w:val="24"/>
        </w:rPr>
        <w:t>；</w:t>
      </w:r>
    </w:p>
    <w:p w14:paraId="1D728909"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.与相关人员交流、询问等相关记录了解到的资料；</w:t>
      </w:r>
    </w:p>
    <w:p w14:paraId="4DFFCDD9" w14:textId="77777777"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.评估人员现场勘察和查询记录；</w:t>
      </w:r>
    </w:p>
    <w:p w14:paraId="6988E4C8"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.通过电话或网络收集有关市场同类资产交易价格；</w:t>
      </w:r>
    </w:p>
    <w:p w14:paraId="43BDBC86" w14:textId="77777777" w:rsidR="007D1228" w:rsidRDefault="00CA5E49">
      <w:pPr>
        <w:widowControl w:val="0"/>
        <w:spacing w:line="550" w:lineRule="exact"/>
        <w:ind w:firstLineChars="200" w:firstLine="480"/>
        <w:rPr>
          <w:rFonts w:ascii="宋体" w:eastAsia="宋体" w:hAnsi="宋体" w:cs="宋体"/>
          <w:sz w:val="24"/>
        </w:rPr>
      </w:pPr>
      <w:r>
        <w:rPr>
          <w:rFonts w:ascii="宋体" w:eastAsia="宋体" w:hAnsi="宋体" w:cs="宋体"/>
          <w:sz w:val="24"/>
          <w:szCs w:val="24"/>
        </w:rPr>
        <w:lastRenderedPageBreak/>
        <w:t>5</w:t>
      </w:r>
      <w:r>
        <w:rPr>
          <w:rFonts w:ascii="宋体" w:eastAsia="宋体" w:hAnsi="宋体" w:cs="宋体" w:hint="eastAsia"/>
          <w:sz w:val="24"/>
          <w:szCs w:val="24"/>
        </w:rPr>
        <w:t>.其他与本项目评估相关资料。</w:t>
      </w:r>
    </w:p>
    <w:p w14:paraId="60F641C9"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七、评估方法</w:t>
      </w:r>
      <w:bookmarkEnd w:id="19"/>
    </w:p>
    <w:p w14:paraId="6246A571" w14:textId="77777777" w:rsidR="007D1228" w:rsidRDefault="00CA5E49">
      <w:pPr>
        <w:widowControl w:val="0"/>
        <w:snapToGrid w:val="0"/>
        <w:spacing w:line="550" w:lineRule="exact"/>
        <w:ind w:firstLineChars="200" w:firstLine="480"/>
        <w:rPr>
          <w:rFonts w:ascii="宋体" w:eastAsia="宋体" w:hAnsi="宋体" w:cs="宋体"/>
          <w:b/>
          <w:sz w:val="24"/>
        </w:rPr>
      </w:pPr>
      <w:bookmarkStart w:id="20" w:name="_Toc29472_WPSOffice_Level2"/>
      <w:bookmarkStart w:id="21" w:name="_Toc23437_WPSOffice_Level1"/>
      <w:r>
        <w:rPr>
          <w:rFonts w:ascii="宋体" w:eastAsia="宋体" w:hAnsi="宋体" w:cs="宋体" w:hint="eastAsia"/>
          <w:bCs/>
          <w:sz w:val="24"/>
        </w:rPr>
        <w:t>（一）评估方法简介</w:t>
      </w:r>
      <w:bookmarkEnd w:id="20"/>
    </w:p>
    <w:p w14:paraId="4B45CFB2"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资产评估的基本方法包括市场法、收益法和成本法。具体资产评估应参照企业价值评估指导意见，根据评估对象、价值类型、资料收集情况等相关条件，分析三种资产评估基本方法的适用性，恰当选择一种或多种方法进行评估。</w:t>
      </w:r>
    </w:p>
    <w:p w14:paraId="503DABDE"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成本法也称资产基础法，是从待评估估资产在评估基准日的复原重置成本或更新重置成本中扣除其各项价值损耗，来确定评估对象价值的评估思路。</w:t>
      </w:r>
    </w:p>
    <w:p w14:paraId="68F73312"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市场法也称市场价格比较法，是指通过比较被评估资产与最近售出；类似资产（即可参照交易资产）的异同，并将类似资产的市场价格进行调整，从而确定评估对象价值的评估思路。</w:t>
      </w:r>
    </w:p>
    <w:p w14:paraId="6E6F280E"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收益法是指通过估算被评估资产未来预期收益资本化或折现以确定评估对象价值的评估思路。</w:t>
      </w:r>
    </w:p>
    <w:p w14:paraId="39609E38"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市场法是以现实市场上的参照物来评价评估对象的现行公允市场价值，它具有评估角度和评估途径直接、评估过程直观、评估数据直接取材于市场、评估结果说服力强的特点。</w:t>
      </w:r>
    </w:p>
    <w:p w14:paraId="4AA28B02" w14:textId="77777777" w:rsidR="007D1228" w:rsidRDefault="00CA5E49">
      <w:pPr>
        <w:widowControl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收益法虽然没有直接利用市场参照物，但它强调的是资产的预期盈利能力，收益法的评估结果是资产预期获利能力的量化与现值化。而成本法是从资产重置的角度间接地评价资产的公允市场价值，它是从企业的资产现值的角度来确认资产评估价值。</w:t>
      </w:r>
    </w:p>
    <w:p w14:paraId="58BB9C33" w14:textId="77777777" w:rsidR="007D1228" w:rsidRDefault="00CA5E49">
      <w:pPr>
        <w:widowControl w:val="0"/>
        <w:adjustRightInd w:val="0"/>
        <w:snapToGrid w:val="0"/>
        <w:spacing w:line="550" w:lineRule="exact"/>
        <w:ind w:firstLineChars="200" w:firstLine="480"/>
        <w:rPr>
          <w:rFonts w:ascii="宋体" w:eastAsia="宋体" w:hAnsi="宋体" w:cs="宋体"/>
          <w:b/>
          <w:sz w:val="24"/>
        </w:rPr>
      </w:pPr>
      <w:bookmarkStart w:id="22" w:name="_Toc3374_WPSOffice_Level2"/>
      <w:r>
        <w:rPr>
          <w:rFonts w:ascii="宋体" w:eastAsia="宋体" w:hAnsi="宋体" w:cs="宋体" w:hint="eastAsia"/>
          <w:bCs/>
          <w:sz w:val="24"/>
        </w:rPr>
        <w:t>（二）评估方法选取</w:t>
      </w:r>
      <w:bookmarkEnd w:id="22"/>
    </w:p>
    <w:p w14:paraId="30642D84" w14:textId="5851F624" w:rsidR="007D1228" w:rsidRDefault="00CA5E49">
      <w:pPr>
        <w:widowControl w:val="0"/>
        <w:adjustRightInd w:val="0"/>
        <w:snapToGrid w:val="0"/>
        <w:spacing w:line="550" w:lineRule="exact"/>
        <w:ind w:firstLineChars="200" w:firstLine="480"/>
        <w:rPr>
          <w:rFonts w:ascii="宋体" w:eastAsia="宋体" w:hAnsi="宋体" w:cs="宋体"/>
          <w:sz w:val="24"/>
          <w:szCs w:val="24"/>
        </w:rPr>
      </w:pPr>
      <w:bookmarkStart w:id="23" w:name="_Toc20886_WPSOffice_Level2"/>
      <w:r>
        <w:rPr>
          <w:rFonts w:ascii="宋体" w:eastAsia="宋体" w:hAnsi="宋体" w:cs="宋体" w:hint="eastAsia"/>
          <w:sz w:val="24"/>
          <w:szCs w:val="24"/>
        </w:rPr>
        <w:t>本次房产评估不考虑采用</w:t>
      </w:r>
      <w:r w:rsidR="00AE5799">
        <w:rPr>
          <w:rFonts w:ascii="宋体" w:eastAsia="宋体" w:hAnsi="宋体" w:cs="宋体" w:hint="eastAsia"/>
          <w:sz w:val="24"/>
          <w:szCs w:val="24"/>
        </w:rPr>
        <w:t>成本</w:t>
      </w:r>
      <w:r>
        <w:rPr>
          <w:rFonts w:ascii="宋体" w:eastAsia="宋体" w:hAnsi="宋体" w:cs="宋体" w:hint="eastAsia"/>
          <w:sz w:val="24"/>
          <w:szCs w:val="24"/>
        </w:rPr>
        <w:t>法，因估价对象</w:t>
      </w:r>
      <w:r w:rsidR="00F64EA7">
        <w:rPr>
          <w:rFonts w:ascii="宋体" w:eastAsia="宋体" w:hAnsi="宋体" w:cs="宋体" w:hint="eastAsia"/>
          <w:sz w:val="24"/>
          <w:szCs w:val="24"/>
        </w:rPr>
        <w:t>所在区域位置较好</w:t>
      </w:r>
      <w:r>
        <w:rPr>
          <w:rFonts w:ascii="宋体" w:eastAsia="宋体" w:hAnsi="宋体" w:cs="宋体" w:hint="eastAsia"/>
          <w:sz w:val="24"/>
          <w:szCs w:val="24"/>
        </w:rPr>
        <w:t>，</w:t>
      </w:r>
      <w:r w:rsidR="00AE5799">
        <w:rPr>
          <w:rFonts w:ascii="宋体" w:eastAsia="宋体" w:hAnsi="宋体" w:cs="宋体" w:hint="eastAsia"/>
          <w:sz w:val="24"/>
          <w:szCs w:val="24"/>
        </w:rPr>
        <w:t>运用成本法测算的结果不能较好反映估价对象市场价值，</w:t>
      </w:r>
      <w:r>
        <w:rPr>
          <w:rFonts w:ascii="宋体" w:eastAsia="宋体" w:hAnsi="宋体" w:cs="宋体" w:hint="eastAsia"/>
          <w:sz w:val="24"/>
          <w:szCs w:val="24"/>
        </w:rPr>
        <w:t>故本次评估不选取</w:t>
      </w:r>
      <w:r w:rsidR="00AE5799">
        <w:rPr>
          <w:rFonts w:ascii="宋体" w:eastAsia="宋体" w:hAnsi="宋体" w:cs="宋体" w:hint="eastAsia"/>
          <w:sz w:val="24"/>
          <w:szCs w:val="24"/>
        </w:rPr>
        <w:t>成本</w:t>
      </w:r>
      <w:r>
        <w:rPr>
          <w:rFonts w:ascii="宋体" w:eastAsia="宋体" w:hAnsi="宋体" w:cs="宋体" w:hint="eastAsia"/>
          <w:sz w:val="24"/>
          <w:szCs w:val="24"/>
        </w:rPr>
        <w:t>法作为评估方法。</w:t>
      </w:r>
    </w:p>
    <w:p w14:paraId="51709616" w14:textId="396F8054" w:rsidR="007D1228" w:rsidRDefault="007F6DE4">
      <w:pPr>
        <w:widowControl w:val="0"/>
        <w:adjustRightInd w:val="0"/>
        <w:snapToGrid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本次委估房产</w:t>
      </w:r>
      <w:r w:rsidR="00CA5E49">
        <w:rPr>
          <w:rFonts w:ascii="宋体" w:eastAsia="宋体" w:hAnsi="宋体" w:cs="宋体" w:hint="eastAsia"/>
          <w:sz w:val="24"/>
          <w:szCs w:val="24"/>
        </w:rPr>
        <w:t>规划用途为</w:t>
      </w:r>
      <w:r w:rsidR="007F6A54">
        <w:rPr>
          <w:rFonts w:ascii="宋体" w:eastAsia="宋体" w:hAnsi="宋体" w:cs="宋体" w:hint="eastAsia"/>
          <w:sz w:val="24"/>
          <w:szCs w:val="24"/>
        </w:rPr>
        <w:t>成套</w:t>
      </w:r>
      <w:r w:rsidR="002B33A5">
        <w:rPr>
          <w:rFonts w:ascii="宋体" w:eastAsia="宋体" w:hAnsi="宋体" w:cs="宋体" w:hint="eastAsia"/>
          <w:sz w:val="24"/>
          <w:szCs w:val="24"/>
        </w:rPr>
        <w:t>住宅</w:t>
      </w:r>
      <w:r w:rsidR="00CA5E49">
        <w:rPr>
          <w:rFonts w:ascii="宋体" w:eastAsia="宋体" w:hAnsi="宋体" w:cs="宋体" w:hint="eastAsia"/>
          <w:sz w:val="24"/>
          <w:szCs w:val="24"/>
        </w:rPr>
        <w:t>，实际为</w:t>
      </w:r>
      <w:r w:rsidR="007F6A54">
        <w:rPr>
          <w:rFonts w:ascii="宋体" w:eastAsia="宋体" w:hAnsi="宋体" w:cs="宋体" w:hint="eastAsia"/>
          <w:sz w:val="24"/>
          <w:szCs w:val="24"/>
        </w:rPr>
        <w:t>成套</w:t>
      </w:r>
      <w:r w:rsidR="002B33A5">
        <w:rPr>
          <w:rFonts w:ascii="宋体" w:eastAsia="宋体" w:hAnsi="宋体" w:cs="宋体" w:hint="eastAsia"/>
          <w:sz w:val="24"/>
          <w:szCs w:val="24"/>
        </w:rPr>
        <w:t>住宅</w:t>
      </w:r>
      <w:r w:rsidR="00CA5E49">
        <w:rPr>
          <w:rFonts w:ascii="宋体" w:eastAsia="宋体" w:hAnsi="宋体" w:cs="宋体" w:hint="eastAsia"/>
          <w:sz w:val="24"/>
          <w:szCs w:val="24"/>
        </w:rPr>
        <w:t>，进贤县类似市场的租赁交易</w:t>
      </w:r>
      <w:r w:rsidR="002B33A5">
        <w:rPr>
          <w:rFonts w:ascii="宋体" w:eastAsia="宋体" w:hAnsi="宋体" w:cs="宋体" w:hint="eastAsia"/>
          <w:sz w:val="24"/>
          <w:szCs w:val="24"/>
        </w:rPr>
        <w:t>较少</w:t>
      </w:r>
      <w:r w:rsidR="00CA5E49">
        <w:rPr>
          <w:rFonts w:ascii="宋体" w:eastAsia="宋体" w:hAnsi="宋体" w:cs="宋体" w:hint="eastAsia"/>
          <w:sz w:val="24"/>
          <w:szCs w:val="24"/>
        </w:rPr>
        <w:t>，故本次评估</w:t>
      </w:r>
      <w:r w:rsidR="00AE5799">
        <w:rPr>
          <w:rFonts w:ascii="宋体" w:eastAsia="宋体" w:hAnsi="宋体" w:cs="宋体" w:hint="eastAsia"/>
          <w:sz w:val="24"/>
          <w:szCs w:val="24"/>
        </w:rPr>
        <w:t>不</w:t>
      </w:r>
      <w:r w:rsidR="00CA5E49">
        <w:rPr>
          <w:rFonts w:ascii="宋体" w:eastAsia="宋体" w:hAnsi="宋体" w:cs="宋体" w:hint="eastAsia"/>
          <w:sz w:val="24"/>
          <w:szCs w:val="24"/>
        </w:rPr>
        <w:t>采取收益法进行估价。</w:t>
      </w:r>
    </w:p>
    <w:p w14:paraId="5B7B1B53" w14:textId="5B5CB99D" w:rsidR="00AE5799" w:rsidRPr="00AE5799" w:rsidRDefault="007F6DE4" w:rsidP="007F6DE4">
      <w:pPr>
        <w:widowControl w:val="0"/>
        <w:adjustRightInd w:val="0"/>
        <w:snapToGrid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考虑到</w:t>
      </w:r>
      <w:r w:rsidR="00AE5799">
        <w:rPr>
          <w:rFonts w:ascii="宋体" w:eastAsia="宋体" w:hAnsi="宋体" w:cs="宋体" w:hint="eastAsia"/>
          <w:sz w:val="24"/>
          <w:szCs w:val="24"/>
        </w:rPr>
        <w:t>估价对象</w:t>
      </w:r>
      <w:r>
        <w:rPr>
          <w:rFonts w:ascii="宋体" w:eastAsia="宋体" w:hAnsi="宋体" w:cs="宋体" w:hint="eastAsia"/>
          <w:sz w:val="24"/>
          <w:szCs w:val="24"/>
        </w:rPr>
        <w:t>已</w:t>
      </w:r>
      <w:r w:rsidR="00AE5799">
        <w:rPr>
          <w:rFonts w:ascii="宋体" w:eastAsia="宋体" w:hAnsi="宋体" w:cs="宋体" w:hint="eastAsia"/>
          <w:sz w:val="24"/>
          <w:szCs w:val="24"/>
        </w:rPr>
        <w:t>办理不动产证，且所在区域与估价对象相似的可比案例（同一供需圈内、用途一致、邻近区域）较</w:t>
      </w:r>
      <w:r>
        <w:rPr>
          <w:rFonts w:ascii="宋体" w:eastAsia="宋体" w:hAnsi="宋体" w:cs="宋体" w:hint="eastAsia"/>
          <w:sz w:val="24"/>
          <w:szCs w:val="24"/>
        </w:rPr>
        <w:t>多</w:t>
      </w:r>
      <w:r w:rsidR="00AE5799">
        <w:rPr>
          <w:rFonts w:ascii="宋体" w:eastAsia="宋体" w:hAnsi="宋体" w:cs="宋体" w:hint="eastAsia"/>
          <w:sz w:val="24"/>
          <w:szCs w:val="24"/>
        </w:rPr>
        <w:t>，</w:t>
      </w:r>
      <w:r w:rsidR="007F6A54">
        <w:rPr>
          <w:rFonts w:ascii="宋体" w:eastAsia="宋体" w:hAnsi="宋体" w:cs="宋体" w:hint="eastAsia"/>
          <w:sz w:val="24"/>
          <w:szCs w:val="24"/>
        </w:rPr>
        <w:t>交易市场活跃，</w:t>
      </w:r>
      <w:r w:rsidR="00AE5799">
        <w:rPr>
          <w:rFonts w:ascii="宋体" w:eastAsia="宋体" w:hAnsi="宋体" w:cs="宋体" w:hint="eastAsia"/>
          <w:sz w:val="24"/>
          <w:szCs w:val="24"/>
        </w:rPr>
        <w:t>故本次评估选取</w:t>
      </w:r>
      <w:r w:rsidR="00F64EA7">
        <w:rPr>
          <w:rFonts w:ascii="宋体" w:eastAsia="宋体" w:hAnsi="宋体" w:cs="宋体" w:hint="eastAsia"/>
          <w:sz w:val="24"/>
          <w:szCs w:val="24"/>
        </w:rPr>
        <w:t>市场</w:t>
      </w:r>
      <w:r w:rsidR="00AE5799">
        <w:rPr>
          <w:rFonts w:ascii="宋体" w:eastAsia="宋体" w:hAnsi="宋体" w:cs="宋体" w:hint="eastAsia"/>
          <w:sz w:val="24"/>
          <w:szCs w:val="24"/>
        </w:rPr>
        <w:t>比较法作为评估方法。</w:t>
      </w:r>
    </w:p>
    <w:p w14:paraId="673AA7F3" w14:textId="77777777" w:rsidR="007D1228" w:rsidRDefault="00CA5E49">
      <w:pPr>
        <w:widowControl w:val="0"/>
        <w:adjustRightInd w:val="0"/>
        <w:snapToGrid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具体说明如下：</w:t>
      </w:r>
    </w:p>
    <w:bookmarkEnd w:id="23"/>
    <w:p w14:paraId="4CEFFF18"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lastRenderedPageBreak/>
        <w:t>房屋建筑物的评估</w:t>
      </w:r>
    </w:p>
    <w:p w14:paraId="2E1A1E67"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市场法就是通过对可比交易价格的一系列因素进行修正，而得到被估不动产在评估基准日的市场状况下的价值。</w:t>
      </w:r>
    </w:p>
    <w:p w14:paraId="3B0D115C"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市场法的基本计算公式是</w:t>
      </w:r>
    </w:p>
    <w:p w14:paraId="7F5FDC3F"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P</w:t>
      </w:r>
      <w:r w:rsidRPr="002B33A5">
        <w:rPr>
          <w:rFonts w:ascii="宋体" w:hAnsi="宋体" w:cs="宋体" w:hint="eastAsia"/>
        </w:rPr>
        <w:t>＝</w:t>
      </w:r>
      <w:r w:rsidRPr="002B33A5">
        <w:rPr>
          <w:rFonts w:ascii="宋体" w:hAnsi="宋体" w:cs="宋体"/>
        </w:rPr>
        <w:t>P'×A×B×C×D×E</w:t>
      </w:r>
      <w:r w:rsidRPr="002B33A5">
        <w:rPr>
          <w:rFonts w:ascii="宋体" w:hAnsi="宋体" w:cs="宋体" w:hint="eastAsia"/>
        </w:rPr>
        <w:t xml:space="preserve">　</w:t>
      </w:r>
    </w:p>
    <w:p w14:paraId="1B915752"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式中：</w:t>
      </w:r>
    </w:p>
    <w:p w14:paraId="31CFB723"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P--</w:t>
      </w:r>
      <w:r w:rsidRPr="002B33A5">
        <w:rPr>
          <w:rFonts w:ascii="宋体" w:hAnsi="宋体" w:cs="宋体" w:hint="eastAsia"/>
        </w:rPr>
        <w:t>被估不动产评估价值；</w:t>
      </w:r>
    </w:p>
    <w:p w14:paraId="08B18519"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P'--</w:t>
      </w:r>
      <w:r w:rsidRPr="002B33A5">
        <w:rPr>
          <w:rFonts w:ascii="宋体" w:hAnsi="宋体" w:cs="宋体" w:hint="eastAsia"/>
        </w:rPr>
        <w:t>可比交易实例价格；</w:t>
      </w:r>
    </w:p>
    <w:p w14:paraId="1D4BB938"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A--</w:t>
      </w:r>
      <w:r w:rsidRPr="002B33A5">
        <w:rPr>
          <w:rFonts w:ascii="宋体" w:hAnsi="宋体" w:cs="宋体" w:hint="eastAsia"/>
        </w:rPr>
        <w:t>交易情况修正系数；</w:t>
      </w:r>
    </w:p>
    <w:p w14:paraId="7D0D6877"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B--</w:t>
      </w:r>
      <w:r w:rsidRPr="002B33A5">
        <w:rPr>
          <w:rFonts w:ascii="宋体" w:hAnsi="宋体" w:cs="宋体" w:hint="eastAsia"/>
        </w:rPr>
        <w:t>交易日期修正系数；</w:t>
      </w:r>
    </w:p>
    <w:p w14:paraId="066D963E"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C—</w:t>
      </w:r>
      <w:r w:rsidRPr="002B33A5">
        <w:rPr>
          <w:rFonts w:ascii="宋体" w:hAnsi="宋体" w:cs="宋体" w:hint="eastAsia"/>
        </w:rPr>
        <w:t>区域因素修正系数；</w:t>
      </w:r>
    </w:p>
    <w:p w14:paraId="3529897D" w14:textId="77777777" w:rsidR="002B33A5" w:rsidRPr="002B33A5"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D—</w:t>
      </w:r>
      <w:r w:rsidRPr="002B33A5">
        <w:rPr>
          <w:rFonts w:ascii="宋体" w:hAnsi="宋体" w:cs="宋体" w:hint="eastAsia"/>
        </w:rPr>
        <w:t>个别因素修正系数；</w:t>
      </w:r>
    </w:p>
    <w:p w14:paraId="02FC7C5A" w14:textId="77777777" w:rsidR="009F487A" w:rsidRDefault="002B33A5" w:rsidP="002B33A5">
      <w:pPr>
        <w:pStyle w:val="33333"/>
        <w:widowControl w:val="0"/>
        <w:spacing w:line="550" w:lineRule="exact"/>
        <w:ind w:firstLineChars="200"/>
        <w:rPr>
          <w:rFonts w:ascii="宋体" w:hAnsi="宋体" w:cs="宋体"/>
        </w:rPr>
      </w:pPr>
      <w:r w:rsidRPr="002B33A5">
        <w:rPr>
          <w:rFonts w:ascii="宋体" w:hAnsi="宋体" w:cs="宋体" w:hint="eastAsia"/>
        </w:rPr>
        <w:t xml:space="preserve">　　</w:t>
      </w:r>
      <w:r w:rsidRPr="002B33A5">
        <w:rPr>
          <w:rFonts w:ascii="宋体" w:hAnsi="宋体" w:cs="宋体"/>
        </w:rPr>
        <w:t>E—</w:t>
      </w:r>
      <w:r w:rsidRPr="002B33A5">
        <w:rPr>
          <w:rFonts w:ascii="宋体" w:hAnsi="宋体" w:cs="宋体" w:hint="eastAsia"/>
        </w:rPr>
        <w:t>权益状况因素修正系数。</w:t>
      </w:r>
    </w:p>
    <w:p w14:paraId="5029E443" w14:textId="3F71920B" w:rsidR="007D1228" w:rsidRDefault="00CA5E49" w:rsidP="002B33A5">
      <w:pPr>
        <w:pStyle w:val="33333"/>
        <w:widowControl w:val="0"/>
        <w:spacing w:line="550" w:lineRule="exact"/>
        <w:ind w:firstLineChars="200" w:firstLine="482"/>
        <w:rPr>
          <w:rFonts w:ascii="宋体" w:hAnsi="宋体" w:cs="宋体"/>
          <w:b/>
          <w:color w:val="000000"/>
        </w:rPr>
      </w:pPr>
      <w:r>
        <w:rPr>
          <w:rFonts w:ascii="宋体" w:hAnsi="宋体" w:cs="宋体" w:hint="eastAsia"/>
          <w:b/>
          <w:color w:val="000000"/>
        </w:rPr>
        <w:t>八、评估程序实施过程和情况</w:t>
      </w:r>
      <w:bookmarkEnd w:id="21"/>
    </w:p>
    <w:p w14:paraId="7226B9D3"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rPr>
      </w:pPr>
      <w:bookmarkStart w:id="24" w:name="_Toc26067_WPSOffice_Level1"/>
      <w:r>
        <w:rPr>
          <w:rFonts w:ascii="宋体" w:eastAsia="宋体" w:hAnsi="宋体" w:cs="宋体" w:hint="eastAsia"/>
          <w:sz w:val="24"/>
        </w:rPr>
        <w:t>（一）明确业务基本事项</w:t>
      </w:r>
    </w:p>
    <w:p w14:paraId="52B3CB89"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初步了解委托人此次经济行为及委估资产的有关情况，明确评估目的、评估对象、评估范围、价值类型、评估基准日、资产评估报告使用范围，根据专业胜任能力，初步判断评估风险，决定接受要约。</w:t>
      </w:r>
    </w:p>
    <w:p w14:paraId="56943896"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（二）</w:t>
      </w:r>
      <w:r>
        <w:rPr>
          <w:rFonts w:ascii="宋体" w:eastAsia="宋体" w:hAnsi="宋体" w:cs="宋体" w:hint="eastAsia"/>
          <w:sz w:val="24"/>
          <w:lang w:val="zh-CN"/>
        </w:rPr>
        <w:t>接收资产评估工作委托书</w:t>
      </w:r>
    </w:p>
    <w:p w14:paraId="0F4BA8F6" w14:textId="72454B05"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接受要约</w:t>
      </w:r>
      <w:r>
        <w:rPr>
          <w:rFonts w:ascii="宋体" w:eastAsia="宋体" w:hAnsi="宋体" w:cs="宋体" w:hint="eastAsia"/>
          <w:sz w:val="24"/>
          <w:lang w:val="zh-CN"/>
        </w:rPr>
        <w:t>后，与委托人就本次</w:t>
      </w:r>
      <w:r>
        <w:rPr>
          <w:rFonts w:ascii="宋体" w:eastAsia="宋体" w:hAnsi="宋体" w:cs="宋体" w:hint="eastAsia"/>
          <w:sz w:val="24"/>
        </w:rPr>
        <w:t>评估目的、评估对象、评估范围、价值类型、评估基准日、资产评估报告使用范围、资产评估报告提交期限及方式、评估服务费及支付方式、委托人、其他相关当事人与资产评估机构及其资产评估专业人员工作配合和协助等需要明确的重要事项</w:t>
      </w:r>
      <w:r>
        <w:rPr>
          <w:rFonts w:ascii="宋体" w:eastAsia="宋体" w:hAnsi="宋体" w:cs="宋体" w:hint="eastAsia"/>
          <w:sz w:val="24"/>
          <w:lang w:val="zh-CN"/>
        </w:rPr>
        <w:t>协商一致，</w:t>
      </w:r>
      <w:r>
        <w:rPr>
          <w:rFonts w:ascii="宋体" w:eastAsia="宋体" w:hAnsi="宋体" w:cs="宋体" w:hint="eastAsia"/>
          <w:sz w:val="24"/>
        </w:rPr>
        <w:t>并根据中标要约及协商情况约定资产评估机构和委托人权利、义务、违约责任和争议解决等内容，并接收委托人提供的</w:t>
      </w:r>
      <w:r w:rsidR="00B101D8">
        <w:rPr>
          <w:rFonts w:ascii="宋体" w:eastAsia="宋体" w:hAnsi="宋体" w:cs="宋体" w:hint="eastAsia"/>
          <w:sz w:val="24"/>
        </w:rPr>
        <w:t>《江西省进贤县人民法院司法评估委托书》（（2022）赣0124执委鉴24号）</w:t>
      </w:r>
      <w:r>
        <w:rPr>
          <w:rFonts w:ascii="宋体" w:eastAsia="宋体" w:hAnsi="宋体" w:cs="宋体" w:hint="eastAsia"/>
          <w:sz w:val="24"/>
        </w:rPr>
        <w:t>。</w:t>
      </w:r>
    </w:p>
    <w:p w14:paraId="649DB05E"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lastRenderedPageBreak/>
        <w:t>（三）</w:t>
      </w:r>
      <w:r>
        <w:rPr>
          <w:rFonts w:ascii="宋体" w:eastAsia="宋体" w:hAnsi="宋体" w:cs="宋体" w:hint="eastAsia"/>
          <w:sz w:val="24"/>
          <w:lang w:val="zh-CN"/>
        </w:rPr>
        <w:t>编制资产评估计划</w:t>
      </w:r>
    </w:p>
    <w:p w14:paraId="1083FF89"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rPr>
      </w:pPr>
      <w:r>
        <w:rPr>
          <w:rFonts w:ascii="宋体" w:eastAsia="宋体" w:hAnsi="宋体" w:cs="宋体" w:hint="eastAsia"/>
          <w:sz w:val="24"/>
        </w:rPr>
        <w:t>项目经理根据委托人委估资产具体情况编制资产评估计划，并合理确定资产评估计划的繁简程度。编制资产评估业务实施的主要过程及时间进度、人员安排等</w:t>
      </w:r>
      <w:r>
        <w:rPr>
          <w:rFonts w:ascii="宋体" w:eastAsia="宋体" w:hAnsi="宋体" w:cs="宋体" w:hint="eastAsia"/>
          <w:sz w:val="24"/>
          <w:lang w:val="zh-CN"/>
        </w:rPr>
        <w:t>。若存在项目计划调整，应将编制调整后的计划报部门经理批准。</w:t>
      </w:r>
    </w:p>
    <w:p w14:paraId="32EEE823"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（四）</w:t>
      </w:r>
      <w:r>
        <w:rPr>
          <w:rFonts w:ascii="宋体" w:eastAsia="宋体" w:hAnsi="宋体" w:cs="宋体" w:hint="eastAsia"/>
          <w:sz w:val="24"/>
          <w:lang w:val="zh-CN"/>
        </w:rPr>
        <w:t>进行评估现场调查</w:t>
      </w:r>
    </w:p>
    <w:p w14:paraId="124C577E"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lang w:val="zh-CN"/>
        </w:rPr>
        <w:t>项目经理安排项目评估人员进驻被评估单位现场，在委托人及相关当事人员的协调配合下，通过调查、询问、查阅、审核等方式，了解委估资产的情况，指导被评估单位填报资产评估申报明细表，勘察委估资产现场，调查了解委估资产周边环境、开发、基础设施建设等工作情况。按照资产评估操作规范及资产评估工作的需要，现场收集与委估资产相关的权属证明文件及管理类和业务类工作资料。</w:t>
      </w:r>
    </w:p>
    <w:p w14:paraId="15C528E9"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（五）</w:t>
      </w:r>
      <w:r>
        <w:rPr>
          <w:rFonts w:ascii="宋体" w:eastAsia="宋体" w:hAnsi="宋体" w:cs="宋体" w:hint="eastAsia"/>
          <w:sz w:val="24"/>
          <w:lang w:val="zh-CN"/>
        </w:rPr>
        <w:t>收集整理评估资料</w:t>
      </w:r>
    </w:p>
    <w:p w14:paraId="47BF2598"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对通过现场调查、询问、书面审查、实地调查等方式</w:t>
      </w:r>
      <w:r>
        <w:rPr>
          <w:rFonts w:ascii="宋体" w:eastAsia="宋体" w:hAnsi="宋体" w:cs="宋体" w:hint="eastAsia"/>
          <w:sz w:val="24"/>
          <w:lang w:val="zh-CN"/>
        </w:rPr>
        <w:t>获取评估业务资料进行核查验证、分析、归纳和整理，同时查询网络、期刊、各类报价及常用数据参数手册等价格资料，归类整理形成评定估算和编制资产评估报告的依据。</w:t>
      </w:r>
    </w:p>
    <w:p w14:paraId="0B1225D8"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（六）</w:t>
      </w:r>
      <w:r>
        <w:rPr>
          <w:rFonts w:ascii="宋体" w:eastAsia="宋体" w:hAnsi="宋体" w:cs="宋体" w:hint="eastAsia"/>
          <w:sz w:val="24"/>
          <w:lang w:val="zh-CN"/>
        </w:rPr>
        <w:t>评定估算形成结论</w:t>
      </w:r>
    </w:p>
    <w:p w14:paraId="524278FA"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lang w:val="zh-CN"/>
        </w:rPr>
        <w:t>根据评估目的、评估对象、价值类型、资料收集等情况，选择评估方法，对所选案例、数据进行筛选、分析，确定相关数据、参数，选取相应的公式和参数进行分析、计算和判断，初步形成测算结果。</w:t>
      </w:r>
      <w:r>
        <w:rPr>
          <w:rFonts w:ascii="宋体" w:eastAsia="宋体" w:hAnsi="宋体" w:cs="宋体" w:hint="eastAsia"/>
          <w:sz w:val="24"/>
        </w:rPr>
        <w:t>经讨论、沟通、调整测试结果，</w:t>
      </w:r>
      <w:r>
        <w:rPr>
          <w:rFonts w:ascii="宋体" w:eastAsia="宋体" w:hAnsi="宋体" w:cs="宋体" w:hint="eastAsia"/>
          <w:sz w:val="24"/>
          <w:lang w:val="zh-CN"/>
        </w:rPr>
        <w:t>综合分析后形成评估结论。</w:t>
      </w:r>
    </w:p>
    <w:p w14:paraId="5B2800C9"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（七）</w:t>
      </w:r>
      <w:r>
        <w:rPr>
          <w:rFonts w:ascii="宋体" w:eastAsia="宋体" w:hAnsi="宋体" w:cs="宋体" w:hint="eastAsia"/>
          <w:sz w:val="24"/>
          <w:lang w:val="zh-CN"/>
        </w:rPr>
        <w:t>编制出具评估报告</w:t>
      </w:r>
    </w:p>
    <w:p w14:paraId="28B3036D"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lang w:val="zh-CN"/>
        </w:rPr>
        <w:t>在评定估算形成评估结论的基础上，编制初步资产评估报告。</w:t>
      </w:r>
      <w:r>
        <w:rPr>
          <w:rFonts w:ascii="宋体" w:eastAsia="宋体" w:hAnsi="宋体" w:cs="宋体" w:hint="eastAsia"/>
          <w:sz w:val="24"/>
        </w:rPr>
        <w:t>在</w:t>
      </w:r>
      <w:r>
        <w:rPr>
          <w:rFonts w:ascii="宋体" w:eastAsia="宋体" w:hAnsi="宋体" w:cs="宋体" w:hint="eastAsia"/>
          <w:sz w:val="24"/>
          <w:lang w:val="zh-CN"/>
        </w:rPr>
        <w:t>按照法律、行政法规、资产评估准则和资产评估机构内部质量控制制度，对初步资产评估报告进行内部审核。在上述工作的基础上，与委托人就初步评估报告交换意见，在综合考虑各方有关意见后，对初评报告作出修改调整，按评估机构内部质量控制制度要求进行审核，最后出具正式资产评估报告书。</w:t>
      </w:r>
    </w:p>
    <w:p w14:paraId="76972F5B"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rPr>
        <w:t>（八）</w:t>
      </w:r>
      <w:r>
        <w:rPr>
          <w:rFonts w:ascii="宋体" w:eastAsia="宋体" w:hAnsi="宋体" w:cs="宋体" w:hint="eastAsia"/>
          <w:sz w:val="24"/>
          <w:lang w:val="zh-CN"/>
        </w:rPr>
        <w:t>整理归集评估档案</w:t>
      </w:r>
    </w:p>
    <w:p w14:paraId="2100B032"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b/>
          <w:color w:val="000000"/>
          <w:sz w:val="24"/>
          <w:szCs w:val="24"/>
        </w:rPr>
      </w:pPr>
      <w:r>
        <w:rPr>
          <w:rFonts w:ascii="宋体" w:eastAsia="宋体" w:hAnsi="宋体" w:cs="宋体" w:hint="eastAsia"/>
          <w:sz w:val="24"/>
        </w:rPr>
        <w:t>向客户提交报告后，评估人员按评估工作底稿及评估报告档案管理要求，对工作底稿、资</w:t>
      </w:r>
      <w:r>
        <w:rPr>
          <w:rFonts w:ascii="宋体" w:eastAsia="宋体" w:hAnsi="宋体" w:cs="宋体" w:hint="eastAsia"/>
          <w:sz w:val="24"/>
        </w:rPr>
        <w:lastRenderedPageBreak/>
        <w:t>产评估报告及其他相关资料进行整理，编制档案目录，装订成册，形成资产评估档案，交档案管理部门归档。</w:t>
      </w:r>
    </w:p>
    <w:p w14:paraId="327424A3"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九、评估假设</w:t>
      </w:r>
      <w:bookmarkEnd w:id="24"/>
    </w:p>
    <w:p w14:paraId="2CAE5D14"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本次评估中，评估人员遵循了以下评估假设</w:t>
      </w:r>
    </w:p>
    <w:p w14:paraId="38359644"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（一）基本假设</w:t>
      </w:r>
    </w:p>
    <w:p w14:paraId="7AD28BE9"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1.合法经营假设</w:t>
      </w:r>
    </w:p>
    <w:p w14:paraId="7A4E6858"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假设企业的经营完全遵守国家所有相关的法律和法规，合法经营，不存在违法、违规或其他不当经营活动。</w:t>
      </w:r>
    </w:p>
    <w:p w14:paraId="2D05FE2B"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2.宏观经济环境稳定的假设</w:t>
      </w:r>
    </w:p>
    <w:p w14:paraId="59F47762"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在可以预见的将来，国家宏观经济政策趋向平稳，税收、利率、物价水平等基本稳定，国民经济持续稳定、健康发展的态势不变。行业管理不发生大的变化，市场不出现重大波动。</w:t>
      </w:r>
    </w:p>
    <w:p w14:paraId="1294DA8C"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3.不可抗拒的自然灾害或其他无法预测的突发事件不作为预测企业未来情况的相关因素。</w:t>
      </w:r>
    </w:p>
    <w:p w14:paraId="7390EE92"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（二）特殊假设</w:t>
      </w:r>
    </w:p>
    <w:p w14:paraId="1A1D3C58"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1.资产持续经营假设</w:t>
      </w:r>
    </w:p>
    <w:p w14:paraId="6EA0C59F" w14:textId="77777777" w:rsidR="007D1228" w:rsidRDefault="00CA5E49">
      <w:pPr>
        <w:widowControl w:val="0"/>
        <w:tabs>
          <w:tab w:val="right" w:pos="9480"/>
        </w:tabs>
        <w:spacing w:line="550" w:lineRule="exact"/>
        <w:ind w:firstLineChars="200" w:firstLine="480"/>
        <w:rPr>
          <w:rFonts w:ascii="宋体" w:eastAsia="宋体" w:hAnsi="宋体" w:cs="宋体"/>
          <w:sz w:val="24"/>
        </w:rPr>
      </w:pPr>
      <w:r>
        <w:rPr>
          <w:rFonts w:ascii="宋体" w:eastAsia="宋体" w:hAnsi="宋体" w:cs="宋体" w:hint="eastAsia"/>
          <w:sz w:val="24"/>
        </w:rPr>
        <w:t>资产持续经营假设是指评估时需根据被评估资产按目前的用途和使用的方式、环境等情况继续使用，或者在有所改变的基础上使用，相应确定评估方法、参数和依据。</w:t>
      </w:r>
    </w:p>
    <w:p w14:paraId="28CA53CF" w14:textId="77777777" w:rsidR="007D1228" w:rsidRDefault="00CA5E49">
      <w:pPr>
        <w:widowControl w:val="0"/>
        <w:tabs>
          <w:tab w:val="right" w:pos="9480"/>
        </w:tabs>
        <w:snapToGrid w:val="0"/>
        <w:spacing w:line="550" w:lineRule="exact"/>
        <w:ind w:firstLineChars="200" w:firstLine="480"/>
        <w:jc w:val="left"/>
        <w:rPr>
          <w:rFonts w:ascii="宋体" w:eastAsia="宋体" w:hAnsi="宋体" w:cs="宋体"/>
          <w:sz w:val="24"/>
        </w:rPr>
      </w:pPr>
      <w:r>
        <w:rPr>
          <w:rFonts w:ascii="宋体" w:eastAsia="宋体" w:hAnsi="宋体" w:cs="宋体" w:hint="eastAsia"/>
          <w:sz w:val="24"/>
        </w:rPr>
        <w:t>2.交易假设</w:t>
      </w:r>
    </w:p>
    <w:p w14:paraId="74FDE72A" w14:textId="77777777" w:rsidR="007D1228" w:rsidRDefault="00CA5E49">
      <w:pPr>
        <w:widowControl w:val="0"/>
        <w:tabs>
          <w:tab w:val="right" w:pos="9480"/>
        </w:tabs>
        <w:snapToGrid w:val="0"/>
        <w:spacing w:line="550" w:lineRule="exact"/>
        <w:ind w:firstLineChars="200" w:firstLine="480"/>
        <w:jc w:val="left"/>
        <w:rPr>
          <w:rFonts w:ascii="宋体" w:eastAsia="宋体" w:hAnsi="宋体" w:cs="宋体"/>
          <w:sz w:val="24"/>
        </w:rPr>
      </w:pPr>
      <w:r>
        <w:rPr>
          <w:rFonts w:ascii="宋体" w:eastAsia="宋体" w:hAnsi="宋体" w:cs="宋体" w:hint="eastAsia"/>
          <w:sz w:val="24"/>
        </w:rPr>
        <w:t>交易假设是假定所有待评估资产已经处在交易的过程中，评估师根据待评估资产的交易条件等模拟市场进行估价。交易假设是资产评估得以进行的一个最基本的前提假设。</w:t>
      </w:r>
    </w:p>
    <w:p w14:paraId="4B9A3496"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sz w:val="24"/>
          <w:lang w:val="zh-CN"/>
        </w:rPr>
      </w:pPr>
      <w:r>
        <w:rPr>
          <w:rFonts w:ascii="宋体" w:eastAsia="宋体" w:hAnsi="宋体" w:cs="宋体" w:hint="eastAsia"/>
          <w:sz w:val="24"/>
          <w:lang w:val="zh-CN"/>
        </w:rPr>
        <w:t>3.公开市场假设</w:t>
      </w:r>
    </w:p>
    <w:p w14:paraId="75E041EB" w14:textId="77777777" w:rsidR="007D1228" w:rsidRDefault="00CA5E49">
      <w:pPr>
        <w:widowControl w:val="0"/>
        <w:topLinePunct/>
        <w:autoSpaceDE w:val="0"/>
        <w:autoSpaceDN w:val="0"/>
        <w:adjustRightInd w:val="0"/>
        <w:snapToGrid w:val="0"/>
        <w:spacing w:line="550" w:lineRule="exact"/>
        <w:ind w:firstLineChars="200" w:firstLine="480"/>
        <w:rPr>
          <w:rFonts w:ascii="宋体" w:eastAsia="宋体" w:hAnsi="宋体" w:cs="宋体"/>
          <w:bCs/>
          <w:color w:val="000000"/>
          <w:sz w:val="24"/>
          <w:szCs w:val="24"/>
        </w:rPr>
      </w:pPr>
      <w:r>
        <w:rPr>
          <w:rFonts w:ascii="宋体" w:eastAsia="宋体" w:hAnsi="宋体" w:cs="宋体" w:hint="eastAsia"/>
          <w:sz w:val="24"/>
          <w:lang w:val="zh-CN"/>
        </w:rPr>
        <w:t>公开市场假设，是假定在市场上交易的资产，或拟在市场上交易的资产，资产交易双方彼此地位平等，彼此都有获取足够市场信息的机会和时间，以便于对资产的功能、用途及其交易价格等作出理智的判断。公开市场假设以资产在市场上可</w:t>
      </w:r>
      <w:r>
        <w:rPr>
          <w:rFonts w:ascii="宋体" w:eastAsia="宋体" w:hAnsi="宋体" w:cs="宋体" w:hint="eastAsia"/>
          <w:sz w:val="24"/>
        </w:rPr>
        <w:t>以公开买卖为基础。</w:t>
      </w:r>
    </w:p>
    <w:p w14:paraId="374DD5FF" w14:textId="77777777" w:rsidR="007D1228" w:rsidRDefault="00CA5E49">
      <w:pPr>
        <w:widowControl w:val="0"/>
        <w:tabs>
          <w:tab w:val="right" w:pos="9480"/>
        </w:tabs>
        <w:snapToGrid w:val="0"/>
        <w:spacing w:line="550" w:lineRule="exact"/>
        <w:ind w:firstLineChars="200" w:firstLine="480"/>
        <w:jc w:val="left"/>
        <w:rPr>
          <w:rFonts w:ascii="宋体" w:eastAsia="宋体" w:hAnsi="宋体" w:cs="宋体"/>
          <w:b/>
          <w:color w:val="000000"/>
          <w:sz w:val="24"/>
          <w:szCs w:val="24"/>
        </w:rPr>
      </w:pPr>
      <w:bookmarkStart w:id="25" w:name="_Toc20239_WPSOffice_Level1"/>
      <w:r>
        <w:rPr>
          <w:rFonts w:ascii="宋体" w:eastAsia="宋体" w:hAnsi="宋体" w:cs="宋体" w:hint="eastAsia"/>
          <w:bCs/>
          <w:color w:val="000000"/>
          <w:sz w:val="24"/>
          <w:szCs w:val="24"/>
        </w:rPr>
        <w:t>本资产评估报告评估结论在上述假设条件下在评估基准日时成立，当上述假设条件发生较大变化时，签名资产评估师及本评估机构将不承担由于假设条件改变而推导出不同评估结论的</w:t>
      </w:r>
      <w:r>
        <w:rPr>
          <w:rFonts w:ascii="宋体" w:eastAsia="宋体" w:hAnsi="宋体" w:cs="宋体" w:hint="eastAsia"/>
          <w:bCs/>
          <w:color w:val="000000"/>
          <w:sz w:val="24"/>
          <w:szCs w:val="24"/>
        </w:rPr>
        <w:lastRenderedPageBreak/>
        <w:t>责任。</w:t>
      </w:r>
    </w:p>
    <w:p w14:paraId="40177AC4"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十、评估结论</w:t>
      </w:r>
      <w:bookmarkEnd w:id="25"/>
    </w:p>
    <w:p w14:paraId="5FCD96F4" w14:textId="184FF7FE" w:rsidR="007D1228" w:rsidRDefault="00CA5E49">
      <w:pPr>
        <w:widowControl w:val="0"/>
        <w:tabs>
          <w:tab w:val="right" w:pos="9480"/>
        </w:tabs>
        <w:spacing w:line="550" w:lineRule="exact"/>
        <w:ind w:firstLineChars="200" w:firstLine="480"/>
        <w:rPr>
          <w:rFonts w:ascii="宋体" w:eastAsia="宋体" w:hAnsi="宋体" w:cs="宋体"/>
          <w:sz w:val="24"/>
          <w:szCs w:val="24"/>
        </w:rPr>
      </w:pPr>
      <w:r>
        <w:rPr>
          <w:rFonts w:ascii="宋体" w:eastAsia="宋体" w:hAnsi="宋体" w:cs="宋体" w:hint="eastAsia"/>
          <w:bCs/>
          <w:sz w:val="24"/>
          <w:szCs w:val="24"/>
        </w:rPr>
        <w:t>本次评估以持续使用和公开市场为前提，根据有关法律法规和资产评估准则，</w:t>
      </w:r>
      <w:r w:rsidR="00D70ABD">
        <w:rPr>
          <w:rFonts w:ascii="宋体" w:eastAsia="宋体" w:hAnsi="宋体" w:cs="宋体" w:hint="eastAsia"/>
          <w:bCs/>
          <w:sz w:val="24"/>
          <w:szCs w:val="24"/>
        </w:rPr>
        <w:t>截至评估基准日2022年06月09日</w:t>
      </w:r>
      <w:r>
        <w:rPr>
          <w:rFonts w:ascii="宋体" w:eastAsia="宋体" w:hAnsi="宋体" w:cs="宋体" w:hint="eastAsia"/>
          <w:bCs/>
          <w:sz w:val="24"/>
          <w:szCs w:val="24"/>
        </w:rPr>
        <w:t>，委托人纳入此次评估范围内的</w:t>
      </w:r>
      <w:r>
        <w:rPr>
          <w:rFonts w:ascii="宋体" w:eastAsia="宋体" w:hAnsi="宋体" w:cs="宋体" w:hint="eastAsia"/>
          <w:sz w:val="24"/>
          <w:szCs w:val="24"/>
        </w:rPr>
        <w:t>资产</w:t>
      </w:r>
      <w:r>
        <w:rPr>
          <w:rFonts w:ascii="宋体" w:eastAsia="宋体" w:hAnsi="宋体" w:cs="宋体" w:hint="eastAsia"/>
          <w:bCs/>
          <w:sz w:val="24"/>
          <w:szCs w:val="24"/>
        </w:rPr>
        <w:t>市场价值为</w:t>
      </w:r>
      <w:r w:rsidR="00B101D8">
        <w:rPr>
          <w:rFonts w:ascii="宋体" w:eastAsia="宋体" w:hAnsi="宋体" w:cs="宋体" w:hint="eastAsia"/>
          <w:b/>
          <w:sz w:val="24"/>
          <w:szCs w:val="24"/>
        </w:rPr>
        <w:t>69.26万元，人民币大写为陆拾玖万贰仟陆佰元整</w:t>
      </w:r>
      <w:r>
        <w:rPr>
          <w:rFonts w:ascii="宋体" w:eastAsia="宋体" w:hAnsi="宋体" w:cs="宋体" w:hint="eastAsia"/>
          <w:bCs/>
          <w:sz w:val="24"/>
          <w:szCs w:val="24"/>
        </w:rPr>
        <w:t>。（详见资产评估明细表）</w:t>
      </w:r>
      <w:r>
        <w:rPr>
          <w:rFonts w:ascii="宋体" w:eastAsia="宋体" w:hAnsi="宋体" w:cs="宋体" w:hint="eastAsia"/>
          <w:sz w:val="24"/>
          <w:szCs w:val="24"/>
        </w:rPr>
        <w:t xml:space="preserve"> </w:t>
      </w:r>
    </w:p>
    <w:p w14:paraId="6D25021A"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bookmarkStart w:id="26" w:name="_Toc31140_WPSOffice_Level1"/>
      <w:r>
        <w:rPr>
          <w:rFonts w:ascii="宋体" w:eastAsia="宋体" w:hAnsi="宋体" w:cs="宋体" w:hint="eastAsia"/>
          <w:b/>
          <w:color w:val="000000"/>
          <w:sz w:val="24"/>
          <w:szCs w:val="24"/>
        </w:rPr>
        <w:t>十一、特别事项说明</w:t>
      </w:r>
      <w:bookmarkEnd w:id="26"/>
    </w:p>
    <w:p w14:paraId="3FCE9C20" w14:textId="77777777" w:rsidR="007D1228" w:rsidRDefault="00CA5E49">
      <w:pPr>
        <w:widowControl w:val="0"/>
        <w:tabs>
          <w:tab w:val="right" w:pos="9480"/>
        </w:tabs>
        <w:spacing w:line="550" w:lineRule="exact"/>
        <w:ind w:firstLineChars="200" w:firstLine="480"/>
        <w:rPr>
          <w:rFonts w:ascii="宋体" w:eastAsia="宋体" w:hAnsi="宋体" w:cs="宋体"/>
          <w:color w:val="000000"/>
          <w:sz w:val="24"/>
        </w:rPr>
      </w:pPr>
      <w:r>
        <w:rPr>
          <w:rFonts w:ascii="宋体" w:eastAsia="宋体" w:hAnsi="宋体" w:cs="宋体" w:hint="eastAsia"/>
          <w:color w:val="000000"/>
          <w:sz w:val="24"/>
        </w:rPr>
        <w:t>特别事项是指评估人员在评估过程中发现的可能影响评估结论，但非评估人员职业水平和能力能评定估算的事项。</w:t>
      </w:r>
    </w:p>
    <w:p w14:paraId="74485B0D" w14:textId="77777777" w:rsidR="007D1228" w:rsidRDefault="00CA5E49">
      <w:pPr>
        <w:widowControl w:val="0"/>
        <w:snapToGrid w:val="0"/>
        <w:spacing w:line="550" w:lineRule="exact"/>
        <w:ind w:firstLineChars="200" w:firstLine="480"/>
        <w:rPr>
          <w:rFonts w:ascii="宋体" w:eastAsia="宋体" w:hAnsi="宋体" w:cs="宋体"/>
          <w:color w:val="000000"/>
          <w:sz w:val="24"/>
        </w:rPr>
      </w:pPr>
      <w:r>
        <w:rPr>
          <w:rFonts w:ascii="宋体" w:eastAsia="宋体" w:hAnsi="宋体" w:cs="宋体" w:hint="eastAsia"/>
          <w:color w:val="000000"/>
          <w:sz w:val="24"/>
        </w:rPr>
        <w:t>（一）权属事项</w:t>
      </w:r>
    </w:p>
    <w:p w14:paraId="16DA035A"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依据《资产评估对象法律权属指导意见》，执行资产评估业务的目的是对资产评估对象价值进行估算并发表专业意见，对资产评估对象法律权属确认或者发表意见超出资产评估专业人员的执业范围。资产评估专业人员不得对资产评估对象的法律权属提供保证。若因委估资产权属存在法律问题，本评估机构和执行本项目评估人员不承担相关责任。</w:t>
      </w:r>
    </w:p>
    <w:p w14:paraId="44BF5076"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（二）未决事项、法律纠纷等不确定因素</w:t>
      </w:r>
    </w:p>
    <w:p w14:paraId="7A7EA49E" w14:textId="6D5994D8" w:rsidR="007D1228" w:rsidRDefault="00D70ABD">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兹有进贤县人民法院</w:t>
      </w:r>
      <w:r w:rsidR="001E28BD">
        <w:rPr>
          <w:rFonts w:ascii="宋体" w:eastAsia="宋体" w:hAnsi="宋体" w:cs="宋体" w:hint="eastAsia"/>
          <w:bCs/>
          <w:sz w:val="24"/>
        </w:rPr>
        <w:t>（2022）赣0124执683号民间借贷纠纷执行</w:t>
      </w:r>
      <w:r>
        <w:rPr>
          <w:rFonts w:ascii="宋体" w:eastAsia="宋体" w:hAnsi="宋体" w:cs="宋体" w:hint="eastAsia"/>
          <w:bCs/>
          <w:sz w:val="24"/>
        </w:rPr>
        <w:t>一案</w:t>
      </w:r>
      <w:r w:rsidR="00CA5E49">
        <w:rPr>
          <w:rFonts w:ascii="宋体" w:eastAsia="宋体" w:hAnsi="宋体" w:cs="宋体" w:hint="eastAsia"/>
          <w:bCs/>
          <w:sz w:val="24"/>
        </w:rPr>
        <w:t>，对其所涉及的相关资产，现处于法院执行阶段，若被评估单位及相关当事方有重大隐瞒事项或不真实事项，又非评估人员执业水平和能力所能鉴别，而使评估结果失实，评估人员不承担任何法律和经济责任。</w:t>
      </w:r>
    </w:p>
    <w:p w14:paraId="677E34DC"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（三）其他事项</w:t>
      </w:r>
    </w:p>
    <w:p w14:paraId="6FBED8AD"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1.本次评估颇大程度上依赖于委托人及相关当事人提供的有关资料，委托人及相关当事方应对其提供的资料的真实性、合法性、完整性负责。</w:t>
      </w:r>
    </w:p>
    <w:p w14:paraId="078B4F40"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2.在评估基准日以后的有效期内，如果资产内涵及作价标准发生变化时，应按以下原则处理：</w:t>
      </w:r>
    </w:p>
    <w:p w14:paraId="066BFB08"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（1）当资产内涵发生变化时，委托人应及时聘请有资格的资产评估机构重新确定评估价值；</w:t>
      </w:r>
    </w:p>
    <w:p w14:paraId="778A1EE5"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lastRenderedPageBreak/>
        <w:t>（2）当资产价格标准发生变化、且对资产评估结果产生明显影响时，委托人应及时聘请有资格的资产评估机构重新确定评估价值；</w:t>
      </w:r>
    </w:p>
    <w:p w14:paraId="08D031DA"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（3）对评估基准日后，资产内涵、价格标准发生变化，委托人在资产处置时应给予充分考虑，进行相应调整。</w:t>
      </w:r>
    </w:p>
    <w:p w14:paraId="36153902" w14:textId="4104B5E4"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3.本次评估，委托人仅提供</w:t>
      </w:r>
      <w:r w:rsidR="00B101D8">
        <w:rPr>
          <w:rFonts w:ascii="宋体" w:eastAsia="宋体" w:hAnsi="宋体" w:cs="宋体" w:hint="eastAsia"/>
          <w:bCs/>
          <w:sz w:val="24"/>
        </w:rPr>
        <w:t>《江西省进贤县人民法院司法评估委托书》（（2022）赣0124执委鉴24号）</w:t>
      </w:r>
      <w:r>
        <w:rPr>
          <w:rFonts w:ascii="宋体" w:eastAsia="宋体" w:hAnsi="宋体" w:cs="宋体" w:hint="eastAsia"/>
          <w:bCs/>
          <w:sz w:val="24"/>
        </w:rPr>
        <w:t>及</w:t>
      </w:r>
      <w:r w:rsidR="00883F44">
        <w:rPr>
          <w:rFonts w:ascii="宋体" w:eastAsia="宋体" w:hAnsi="宋体" w:cs="宋体" w:hint="eastAsia"/>
          <w:bCs/>
          <w:sz w:val="24"/>
        </w:rPr>
        <w:t>进贤县不动产登记信息查询结果证明（不动产登记证号：赣(2018)进贤县不动产权第0005313号）</w:t>
      </w:r>
      <w:r>
        <w:rPr>
          <w:rFonts w:ascii="宋体" w:eastAsia="宋体" w:hAnsi="宋体" w:cs="宋体" w:hint="eastAsia"/>
          <w:bCs/>
          <w:sz w:val="24"/>
        </w:rPr>
        <w:t>，若其资产权属引起争议，由委托人自行承担相关法律责任，与执行本次评估项目的资产评估师和资产评估机构无关。</w:t>
      </w:r>
    </w:p>
    <w:p w14:paraId="6738E022" w14:textId="58587D50"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4.委估</w:t>
      </w:r>
      <w:r w:rsidR="00883F44">
        <w:rPr>
          <w:rFonts w:ascii="宋体" w:eastAsia="宋体" w:hAnsi="宋体" w:cs="宋体" w:hint="eastAsia"/>
          <w:bCs/>
          <w:sz w:val="24"/>
        </w:rPr>
        <w:t>不动产</w:t>
      </w:r>
      <w:r w:rsidR="009F487A">
        <w:rPr>
          <w:rFonts w:ascii="宋体" w:eastAsia="宋体" w:hAnsi="宋体" w:cs="宋体" w:hint="eastAsia"/>
          <w:bCs/>
          <w:sz w:val="24"/>
        </w:rPr>
        <w:t>已</w:t>
      </w:r>
      <w:r>
        <w:rPr>
          <w:rFonts w:ascii="宋体" w:eastAsia="宋体" w:hAnsi="宋体" w:cs="宋体" w:hint="eastAsia"/>
          <w:bCs/>
          <w:sz w:val="24"/>
        </w:rPr>
        <w:t>办理不动产权证，本次评估过程中采用的</w:t>
      </w:r>
      <w:r w:rsidR="00883F44">
        <w:rPr>
          <w:rFonts w:ascii="宋体" w:eastAsia="宋体" w:hAnsi="宋体" w:cs="宋体" w:hint="eastAsia"/>
          <w:bCs/>
          <w:sz w:val="24"/>
        </w:rPr>
        <w:t>不动产</w:t>
      </w:r>
      <w:r>
        <w:rPr>
          <w:rFonts w:ascii="宋体" w:eastAsia="宋体" w:hAnsi="宋体" w:cs="宋体" w:hint="eastAsia"/>
          <w:bCs/>
          <w:sz w:val="24"/>
        </w:rPr>
        <w:t>相关信息是根据</w:t>
      </w:r>
      <w:r w:rsidR="00883F44">
        <w:rPr>
          <w:rFonts w:ascii="宋体" w:eastAsia="宋体" w:hAnsi="宋体" w:cs="宋体" w:hint="eastAsia"/>
          <w:bCs/>
          <w:sz w:val="24"/>
        </w:rPr>
        <w:t>进贤县不动产登记信息查询结果证明（不动产登记证号：赣(2018)进贤县不动产权第0005313号）</w:t>
      </w:r>
      <w:r>
        <w:rPr>
          <w:rFonts w:ascii="宋体" w:eastAsia="宋体" w:hAnsi="宋体" w:cs="宋体" w:hint="eastAsia"/>
          <w:bCs/>
          <w:sz w:val="24"/>
        </w:rPr>
        <w:t>进行确定的，若与实际情况不符，应进行相应调整，提请报告使用人注意！</w:t>
      </w:r>
    </w:p>
    <w:p w14:paraId="0BFB7376" w14:textId="53D51A50"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szCs w:val="24"/>
        </w:rPr>
        <w:t>5.本次评估未考虑委估资产所涉及的债权债务对此次评估的影响。</w:t>
      </w:r>
    </w:p>
    <w:p w14:paraId="5384E9CD" w14:textId="0B25F169" w:rsidR="007D1228" w:rsidRDefault="00B101D8">
      <w:pPr>
        <w:widowControl w:val="0"/>
        <w:snapToGrid w:val="0"/>
        <w:spacing w:line="550" w:lineRule="exact"/>
        <w:ind w:firstLineChars="200" w:firstLine="480"/>
        <w:rPr>
          <w:rFonts w:ascii="宋体" w:eastAsia="宋体" w:hAnsi="宋体" w:cs="宋体"/>
          <w:bCs/>
          <w:sz w:val="24"/>
          <w:szCs w:val="24"/>
        </w:rPr>
      </w:pPr>
      <w:r>
        <w:rPr>
          <w:rFonts w:ascii="宋体" w:eastAsia="宋体" w:hAnsi="宋体" w:cs="宋体"/>
          <w:bCs/>
          <w:sz w:val="24"/>
        </w:rPr>
        <w:t>6</w:t>
      </w:r>
      <w:r w:rsidR="00CA5E49">
        <w:rPr>
          <w:rFonts w:ascii="宋体" w:eastAsia="宋体" w:hAnsi="宋体" w:cs="宋体" w:hint="eastAsia"/>
          <w:bCs/>
          <w:sz w:val="24"/>
        </w:rPr>
        <w:t>.本次评估对列入评估范围内的</w:t>
      </w:r>
      <w:r w:rsidR="009F487A">
        <w:rPr>
          <w:rFonts w:ascii="宋体" w:eastAsia="宋体" w:hAnsi="宋体" w:cs="宋体" w:hint="eastAsia"/>
          <w:bCs/>
          <w:sz w:val="24"/>
        </w:rPr>
        <w:t>房产</w:t>
      </w:r>
      <w:r w:rsidR="00CA5E49">
        <w:rPr>
          <w:rFonts w:ascii="宋体" w:eastAsia="宋体" w:hAnsi="宋体" w:cs="宋体" w:hint="eastAsia"/>
          <w:bCs/>
          <w:sz w:val="24"/>
        </w:rPr>
        <w:t>已进行实地查勘，但对估价对象的实地查勘仅限于估价对象的外观和使用状况、内部布局、装修及设备情况，并未对委估房产做建筑物基础、房屋结构上的测量和实验，因此无法确认其内部有无缺损、是否存在结构性损坏。对被遮盖、未暴露及难以接触到的房屋结构部分及其内部设施、设备，本报告假设其无建筑物基础、房屋结构等方面</w:t>
      </w:r>
      <w:r w:rsidR="00CA5E49">
        <w:rPr>
          <w:rFonts w:ascii="宋体" w:eastAsia="宋体" w:hAnsi="宋体" w:cs="宋体" w:hint="eastAsia"/>
          <w:bCs/>
          <w:sz w:val="24"/>
          <w:szCs w:val="24"/>
        </w:rPr>
        <w:t>的重大质量问题，符合国家有关技术、质量、验收规范，且符合国家有关安全使用标准。本次评估未考虑其他因素对委估资产评估价值的影响，在此予以特别说明。</w:t>
      </w:r>
    </w:p>
    <w:p w14:paraId="2D0A3896" w14:textId="4084A79B" w:rsidR="007D1228" w:rsidRDefault="00B101D8">
      <w:pPr>
        <w:widowControl w:val="0"/>
        <w:snapToGrid w:val="0"/>
        <w:spacing w:line="550" w:lineRule="exact"/>
        <w:ind w:firstLineChars="200" w:firstLine="480"/>
        <w:rPr>
          <w:rFonts w:ascii="宋体" w:eastAsia="宋体" w:hAnsi="宋体" w:cs="宋体"/>
          <w:bCs/>
          <w:sz w:val="24"/>
          <w:szCs w:val="24"/>
        </w:rPr>
      </w:pPr>
      <w:r>
        <w:rPr>
          <w:rFonts w:ascii="宋体" w:eastAsia="宋体" w:hAnsi="宋体" w:cs="宋体"/>
          <w:bCs/>
          <w:sz w:val="24"/>
          <w:szCs w:val="24"/>
        </w:rPr>
        <w:t>7</w:t>
      </w:r>
      <w:r w:rsidR="00CA5E49">
        <w:rPr>
          <w:rFonts w:ascii="宋体" w:eastAsia="宋体" w:hAnsi="宋体" w:cs="宋体" w:hint="eastAsia"/>
          <w:bCs/>
          <w:sz w:val="24"/>
          <w:szCs w:val="24"/>
        </w:rPr>
        <w:t>.本次委估</w:t>
      </w:r>
      <w:r w:rsidR="009F487A">
        <w:rPr>
          <w:rFonts w:ascii="宋体" w:eastAsia="宋体" w:hAnsi="宋体" w:cs="宋体" w:hint="eastAsia"/>
          <w:bCs/>
          <w:sz w:val="24"/>
          <w:szCs w:val="24"/>
        </w:rPr>
        <w:t>房产</w:t>
      </w:r>
      <w:r w:rsidR="00CA5E49">
        <w:rPr>
          <w:rFonts w:ascii="宋体" w:eastAsia="宋体" w:hAnsi="宋体" w:cs="宋体" w:hint="eastAsia"/>
          <w:bCs/>
          <w:sz w:val="24"/>
          <w:szCs w:val="24"/>
        </w:rPr>
        <w:t>登记状态为查封，本次评估未考虑相关事宜对评估价值的影响。</w:t>
      </w:r>
    </w:p>
    <w:p w14:paraId="7C29A788" w14:textId="0195321F" w:rsidR="007D1228" w:rsidRDefault="00B101D8">
      <w:pPr>
        <w:widowControl w:val="0"/>
        <w:snapToGrid w:val="0"/>
        <w:spacing w:line="550" w:lineRule="exact"/>
        <w:ind w:firstLineChars="200" w:firstLine="480"/>
        <w:rPr>
          <w:rFonts w:ascii="宋体" w:eastAsia="宋体" w:hAnsi="宋体" w:cs="宋体"/>
          <w:bCs/>
          <w:sz w:val="24"/>
          <w:szCs w:val="24"/>
        </w:rPr>
      </w:pPr>
      <w:r>
        <w:rPr>
          <w:rFonts w:ascii="宋体" w:eastAsia="宋体" w:hAnsi="宋体" w:cs="宋体"/>
          <w:bCs/>
          <w:sz w:val="24"/>
          <w:szCs w:val="24"/>
        </w:rPr>
        <w:t>8</w:t>
      </w:r>
      <w:r w:rsidR="00CA5E49">
        <w:rPr>
          <w:rFonts w:ascii="宋体" w:eastAsia="宋体" w:hAnsi="宋体" w:cs="宋体" w:hint="eastAsia"/>
          <w:bCs/>
          <w:sz w:val="24"/>
          <w:szCs w:val="24"/>
        </w:rPr>
        <w:t>.此次评估价值未考虑资产处置过程中所发生的相关税费等因素的影响，若处置过程中发生相关税费以国家相关税收征管部门数据为准。</w:t>
      </w:r>
    </w:p>
    <w:p w14:paraId="650D12D3" w14:textId="339A7518" w:rsidR="007D1228" w:rsidRDefault="00B101D8">
      <w:pPr>
        <w:widowControl w:val="0"/>
        <w:snapToGrid w:val="0"/>
        <w:spacing w:line="550" w:lineRule="exact"/>
        <w:ind w:firstLineChars="200" w:firstLine="480"/>
        <w:rPr>
          <w:rFonts w:ascii="宋体" w:eastAsia="宋体" w:hAnsi="宋体" w:cs="宋体"/>
          <w:bCs/>
          <w:sz w:val="24"/>
        </w:rPr>
      </w:pPr>
      <w:r>
        <w:rPr>
          <w:rFonts w:ascii="宋体" w:eastAsia="宋体" w:hAnsi="宋体" w:cs="宋体"/>
          <w:bCs/>
          <w:sz w:val="24"/>
        </w:rPr>
        <w:t>9</w:t>
      </w:r>
      <w:r w:rsidR="00CA5E49">
        <w:rPr>
          <w:rFonts w:ascii="宋体" w:eastAsia="宋体" w:hAnsi="宋体" w:cs="宋体" w:hint="eastAsia"/>
          <w:bCs/>
          <w:sz w:val="24"/>
        </w:rPr>
        <w:t>.对委估资产的处置特别提醒委托人及其他相关各方应按国家有关要求采用公开透明的方式予以进行处置。</w:t>
      </w:r>
    </w:p>
    <w:p w14:paraId="419823C2" w14:textId="39CB19D2"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bCs/>
          <w:sz w:val="24"/>
        </w:rPr>
        <w:t>1</w:t>
      </w:r>
      <w:r w:rsidR="00B101D8">
        <w:rPr>
          <w:rFonts w:ascii="宋体" w:eastAsia="宋体" w:hAnsi="宋体" w:cs="宋体"/>
          <w:bCs/>
          <w:sz w:val="24"/>
        </w:rPr>
        <w:t>0</w:t>
      </w:r>
      <w:r>
        <w:rPr>
          <w:rFonts w:ascii="宋体" w:eastAsia="宋体" w:hAnsi="宋体" w:cs="宋体" w:hint="eastAsia"/>
          <w:bCs/>
          <w:sz w:val="24"/>
        </w:rPr>
        <w:t>.本评估报告仅为委托人委估资产评估目的提供参考价值；评估报告用于其他评估目的无效。一般来说，由于评估目的不同、价值类型不同、评估基准日不同，同样的资产会表现出</w:t>
      </w:r>
      <w:r>
        <w:rPr>
          <w:rFonts w:ascii="宋体" w:eastAsia="宋体" w:hAnsi="宋体" w:cs="宋体" w:hint="eastAsia"/>
          <w:bCs/>
          <w:sz w:val="24"/>
        </w:rPr>
        <w:lastRenderedPageBreak/>
        <w:t>不同的价值，我们对因评估报告使用不当而造成的后果不承担责任。</w:t>
      </w:r>
    </w:p>
    <w:p w14:paraId="04A0B407" w14:textId="038BB979"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1</w:t>
      </w:r>
      <w:r w:rsidR="00B101D8">
        <w:rPr>
          <w:rFonts w:ascii="宋体" w:eastAsia="宋体" w:hAnsi="宋体" w:cs="宋体"/>
          <w:bCs/>
          <w:sz w:val="24"/>
        </w:rPr>
        <w:t>1</w:t>
      </w:r>
      <w:r>
        <w:rPr>
          <w:rFonts w:ascii="宋体" w:eastAsia="宋体" w:hAnsi="宋体" w:cs="宋体" w:hint="eastAsia"/>
          <w:bCs/>
          <w:sz w:val="24"/>
        </w:rPr>
        <w:t>.本报告评估结果是以被评估单位委估资产不存在任何权属及其他法律纠纷，资产评估报告使用人应当充分考虑资产评估报告中载明的假设、限制条件、特别事项说明及其对评估结论的影响。</w:t>
      </w:r>
    </w:p>
    <w:p w14:paraId="24272F43" w14:textId="7D9A5420"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1</w:t>
      </w:r>
      <w:r w:rsidR="00B101D8">
        <w:rPr>
          <w:rFonts w:ascii="宋体" w:eastAsia="宋体" w:hAnsi="宋体" w:cs="宋体"/>
          <w:bCs/>
          <w:sz w:val="24"/>
        </w:rPr>
        <w:t>2</w:t>
      </w:r>
      <w:r>
        <w:rPr>
          <w:rFonts w:ascii="宋体" w:eastAsia="宋体" w:hAnsi="宋体" w:cs="宋体" w:hint="eastAsia"/>
          <w:bCs/>
          <w:sz w:val="24"/>
        </w:rPr>
        <w:t>.被评估单位存在的可能影响价值评估的瑕疵事项，在委托人及被评估企业未作特殊说明而评估人员根据专业经验一般不能获悉的情况下，评估机构及评估人员不承担相关责任。</w:t>
      </w:r>
    </w:p>
    <w:p w14:paraId="0E4CD218"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bookmarkStart w:id="27" w:name="_Toc3002_WPSOffice_Level1"/>
      <w:r>
        <w:rPr>
          <w:rFonts w:ascii="宋体" w:eastAsia="宋体" w:hAnsi="宋体" w:cs="宋体" w:hint="eastAsia"/>
          <w:b/>
          <w:color w:val="000000"/>
          <w:sz w:val="24"/>
          <w:szCs w:val="24"/>
        </w:rPr>
        <w:t>十二、资产评估报告使用限制说明</w:t>
      </w:r>
      <w:bookmarkEnd w:id="27"/>
    </w:p>
    <w:p w14:paraId="34249166"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（一）资产评估报告使用范围</w:t>
      </w:r>
    </w:p>
    <w:p w14:paraId="79EAD61C"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1.资产评估报告的使用人为：资产评估委托人、资产评估委托合同中约定的其他资产评估报告使用人和法律、行政法规规定的资产评估报告使用人。</w:t>
      </w:r>
    </w:p>
    <w:p w14:paraId="4124EB21"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2.资产评估报告所揭示的评估结论仅对本项目对应的经济行为有效。</w:t>
      </w:r>
    </w:p>
    <w:p w14:paraId="405D2DAD" w14:textId="5746B5A8"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3.资产评估报告的评估结论使用有效期为自评估基准日起一年。</w:t>
      </w:r>
      <w:r>
        <w:rPr>
          <w:rFonts w:ascii="宋体" w:eastAsia="宋体" w:hAnsi="宋体" w:cs="宋体" w:hint="eastAsia"/>
          <w:bCs/>
          <w:color w:val="000000"/>
          <w:spacing w:val="-6"/>
          <w:sz w:val="24"/>
          <w:szCs w:val="24"/>
        </w:rPr>
        <w:t>即从202</w:t>
      </w:r>
      <w:r>
        <w:rPr>
          <w:rFonts w:ascii="宋体" w:eastAsia="宋体" w:hAnsi="宋体" w:cs="宋体"/>
          <w:bCs/>
          <w:color w:val="000000"/>
          <w:spacing w:val="-6"/>
          <w:sz w:val="24"/>
          <w:szCs w:val="24"/>
        </w:rPr>
        <w:t>2</w:t>
      </w:r>
      <w:r>
        <w:rPr>
          <w:rFonts w:ascii="宋体" w:eastAsia="宋体" w:hAnsi="宋体" w:cs="宋体" w:hint="eastAsia"/>
          <w:bCs/>
          <w:color w:val="000000"/>
          <w:spacing w:val="-6"/>
          <w:sz w:val="24"/>
          <w:szCs w:val="24"/>
        </w:rPr>
        <w:t>年0</w:t>
      </w:r>
      <w:r w:rsidR="009F487A">
        <w:rPr>
          <w:rFonts w:ascii="宋体" w:eastAsia="宋体" w:hAnsi="宋体" w:cs="宋体"/>
          <w:bCs/>
          <w:color w:val="000000"/>
          <w:spacing w:val="-6"/>
          <w:sz w:val="24"/>
          <w:szCs w:val="24"/>
        </w:rPr>
        <w:t>6</w:t>
      </w:r>
      <w:r>
        <w:rPr>
          <w:rFonts w:ascii="宋体" w:eastAsia="宋体" w:hAnsi="宋体" w:cs="宋体" w:hint="eastAsia"/>
          <w:bCs/>
          <w:color w:val="000000"/>
          <w:spacing w:val="-6"/>
          <w:sz w:val="24"/>
          <w:szCs w:val="24"/>
        </w:rPr>
        <w:t>月</w:t>
      </w:r>
      <w:r w:rsidR="009F487A">
        <w:rPr>
          <w:rFonts w:ascii="宋体" w:eastAsia="宋体" w:hAnsi="宋体" w:cs="宋体"/>
          <w:bCs/>
          <w:color w:val="000000"/>
          <w:spacing w:val="-6"/>
          <w:sz w:val="24"/>
          <w:szCs w:val="24"/>
        </w:rPr>
        <w:t>09</w:t>
      </w:r>
      <w:r>
        <w:rPr>
          <w:rFonts w:ascii="宋体" w:eastAsia="宋体" w:hAnsi="宋体" w:cs="宋体" w:hint="eastAsia"/>
          <w:bCs/>
          <w:color w:val="000000"/>
          <w:spacing w:val="-6"/>
          <w:sz w:val="24"/>
          <w:szCs w:val="24"/>
        </w:rPr>
        <w:t>日至202</w:t>
      </w:r>
      <w:r>
        <w:rPr>
          <w:rFonts w:ascii="宋体" w:eastAsia="宋体" w:hAnsi="宋体" w:cs="宋体"/>
          <w:bCs/>
          <w:color w:val="000000"/>
          <w:spacing w:val="-6"/>
          <w:sz w:val="24"/>
          <w:szCs w:val="24"/>
        </w:rPr>
        <w:t>3</w:t>
      </w:r>
      <w:r>
        <w:rPr>
          <w:rFonts w:ascii="宋体" w:eastAsia="宋体" w:hAnsi="宋体" w:cs="宋体" w:hint="eastAsia"/>
          <w:bCs/>
          <w:color w:val="000000"/>
          <w:spacing w:val="-6"/>
          <w:sz w:val="24"/>
          <w:szCs w:val="24"/>
        </w:rPr>
        <w:t>年0</w:t>
      </w:r>
      <w:r w:rsidR="009F487A">
        <w:rPr>
          <w:rFonts w:ascii="宋体" w:eastAsia="宋体" w:hAnsi="宋体" w:cs="宋体"/>
          <w:bCs/>
          <w:color w:val="000000"/>
          <w:spacing w:val="-6"/>
          <w:sz w:val="24"/>
          <w:szCs w:val="24"/>
        </w:rPr>
        <w:t>6</w:t>
      </w:r>
      <w:r>
        <w:rPr>
          <w:rFonts w:ascii="宋体" w:eastAsia="宋体" w:hAnsi="宋体" w:cs="宋体" w:hint="eastAsia"/>
          <w:bCs/>
          <w:color w:val="000000"/>
          <w:spacing w:val="-6"/>
          <w:sz w:val="24"/>
          <w:szCs w:val="24"/>
        </w:rPr>
        <w:t>月</w:t>
      </w:r>
      <w:r w:rsidR="009F487A">
        <w:rPr>
          <w:rFonts w:ascii="宋体" w:eastAsia="宋体" w:hAnsi="宋体" w:cs="宋体"/>
          <w:bCs/>
          <w:color w:val="000000"/>
          <w:spacing w:val="-6"/>
          <w:sz w:val="24"/>
          <w:szCs w:val="24"/>
        </w:rPr>
        <w:t>08</w:t>
      </w:r>
      <w:r>
        <w:rPr>
          <w:rFonts w:ascii="宋体" w:eastAsia="宋体" w:hAnsi="宋体" w:cs="宋体" w:hint="eastAsia"/>
          <w:bCs/>
          <w:color w:val="000000"/>
          <w:spacing w:val="-6"/>
          <w:sz w:val="24"/>
          <w:szCs w:val="24"/>
        </w:rPr>
        <w:t>日止的期限内有效</w:t>
      </w:r>
      <w:r>
        <w:rPr>
          <w:rFonts w:ascii="宋体" w:eastAsia="宋体" w:hAnsi="宋体" w:cs="宋体" w:hint="eastAsia"/>
          <w:bCs/>
          <w:sz w:val="24"/>
        </w:rPr>
        <w:t>。委托人或者其他资产评估报告使用人应当在载明的评估结论使用有效期内使用资产评估报告。</w:t>
      </w:r>
    </w:p>
    <w:p w14:paraId="51AE13C6"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4.未经委托人书面许可，资产评估机构及其资产评估专业人员不得将资产评估报告的内容向第三方提供或者公开，法律、行政法规另有规定的除外。</w:t>
      </w:r>
    </w:p>
    <w:p w14:paraId="1E39692D"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5.未征得资产评估机构同意，资产评估报告的内容不得被摘抄、引用或者披露于公开媒体，法律、行政法规规定以及相关当事人另有约定的除外。</w:t>
      </w:r>
    </w:p>
    <w:p w14:paraId="1B849973"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二）本资产评估报告只能用于资产评估报告载明的评估目的和用途、只能由资产评估报告载明的资产评估报告使用人使用。同时，本次评估结论是反映评估对象在本次评估目的下，根据公开市场的原则确定的现行公允市价，没有考虑将来可能承担的抵押、担保事宜，以及特殊的交易方可能追加付出的价格等对评估价格的影响，同时，本报告也未考虑国家宏观经济政策发生变化以及遇有自然力和其它不可抗力对资产价格的影响。当前述条件以及评估中遵循的持续经营原则等其它情况发生变化时，评估结论一般会失效。</w:t>
      </w:r>
    </w:p>
    <w:p w14:paraId="48FF89CC"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（三）委托人或者其他资产评估报告使用人未按照法律、行政法规规定和资产评估报告载</w:t>
      </w:r>
      <w:r>
        <w:rPr>
          <w:rFonts w:ascii="宋体" w:eastAsia="宋体" w:hAnsi="宋体" w:cs="宋体" w:hint="eastAsia"/>
          <w:bCs/>
          <w:sz w:val="24"/>
        </w:rPr>
        <w:lastRenderedPageBreak/>
        <w:t>明的使用范围使用资产评估报告的，资产评估机构及其资产评估师不承担责任。</w:t>
      </w:r>
    </w:p>
    <w:p w14:paraId="0E5639B8"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（四）除委托人、资产评估委托合同中约定的其他资产评估报告使用人和法律、行政法规规定的资产评估报告使用人之外，其他任何机构和个人不能成为资产评估报告的使用人。</w:t>
      </w:r>
    </w:p>
    <w:p w14:paraId="1CF0FCD2"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（五）资产评估报告使用人应当正确理解评估结论，评估结论不等同于评估对象可实现价格，评估结论不应当被认为是对评估对象可实现价格的保证。</w:t>
      </w:r>
    </w:p>
    <w:p w14:paraId="641FC7DF" w14:textId="77777777" w:rsidR="007D1228" w:rsidRDefault="00CA5E49">
      <w:pPr>
        <w:widowControl w:val="0"/>
        <w:snapToGrid w:val="0"/>
        <w:spacing w:line="550" w:lineRule="exact"/>
        <w:ind w:firstLineChars="200" w:firstLine="480"/>
        <w:rPr>
          <w:rFonts w:ascii="宋体" w:eastAsia="宋体" w:hAnsi="宋体" w:cs="宋体"/>
          <w:bCs/>
          <w:sz w:val="24"/>
        </w:rPr>
      </w:pPr>
      <w:r>
        <w:rPr>
          <w:rFonts w:ascii="宋体" w:eastAsia="宋体" w:hAnsi="宋体" w:cs="宋体" w:hint="eastAsia"/>
          <w:bCs/>
          <w:sz w:val="24"/>
        </w:rPr>
        <w:t>（六）资产评估报告系资产评估机构及其资产评估师遵守法律、行政法规和资产评估准则，根据委托履行必要的资产评估程序后出具的专业报告，在资产评估机构盖章及资产评估师签名后方可正式使用。</w:t>
      </w:r>
    </w:p>
    <w:p w14:paraId="3243B012" w14:textId="77777777" w:rsidR="007D1228" w:rsidRDefault="00CA5E49">
      <w:pPr>
        <w:widowControl w:val="0"/>
        <w:tabs>
          <w:tab w:val="right" w:pos="9480"/>
        </w:tabs>
        <w:spacing w:line="550" w:lineRule="exact"/>
        <w:ind w:firstLineChars="200" w:firstLine="482"/>
        <w:rPr>
          <w:rFonts w:ascii="宋体" w:eastAsia="宋体" w:hAnsi="宋体" w:cs="宋体"/>
          <w:b/>
          <w:color w:val="000000"/>
          <w:sz w:val="24"/>
          <w:szCs w:val="24"/>
        </w:rPr>
      </w:pPr>
      <w:bookmarkStart w:id="28" w:name="_Toc4588_WPSOffice_Level1"/>
      <w:r>
        <w:rPr>
          <w:rFonts w:ascii="宋体" w:eastAsia="宋体" w:hAnsi="宋体" w:cs="宋体" w:hint="eastAsia"/>
          <w:b/>
          <w:color w:val="000000"/>
          <w:sz w:val="24"/>
          <w:szCs w:val="24"/>
        </w:rPr>
        <w:t>十三、资产评估报告日</w:t>
      </w:r>
      <w:bookmarkEnd w:id="28"/>
    </w:p>
    <w:p w14:paraId="69C67841" w14:textId="736D0761" w:rsidR="007D1228" w:rsidRDefault="00CA5E49">
      <w:pPr>
        <w:widowControl w:val="0"/>
        <w:spacing w:line="550" w:lineRule="exact"/>
        <w:ind w:firstLineChars="200" w:firstLine="480"/>
        <w:rPr>
          <w:rFonts w:ascii="宋体" w:eastAsia="宋体" w:hAnsi="宋体" w:cs="宋体"/>
          <w:sz w:val="24"/>
          <w:szCs w:val="24"/>
        </w:rPr>
      </w:pPr>
      <w:r>
        <w:rPr>
          <w:rFonts w:ascii="宋体" w:eastAsia="宋体" w:hAnsi="宋体" w:cs="宋体" w:hint="eastAsia"/>
          <w:sz w:val="24"/>
          <w:szCs w:val="24"/>
        </w:rPr>
        <w:t>本资产评估报告日为202</w:t>
      </w:r>
      <w:r>
        <w:rPr>
          <w:rFonts w:ascii="宋体" w:eastAsia="宋体" w:hAnsi="宋体" w:cs="宋体"/>
          <w:sz w:val="24"/>
          <w:szCs w:val="24"/>
        </w:rPr>
        <w:t>2</w:t>
      </w:r>
      <w:r>
        <w:rPr>
          <w:rFonts w:ascii="宋体" w:eastAsia="宋体" w:hAnsi="宋体" w:cs="宋体" w:hint="eastAsia"/>
          <w:sz w:val="24"/>
          <w:szCs w:val="24"/>
        </w:rPr>
        <w:t>年0</w:t>
      </w:r>
      <w:r w:rsidR="009F487A">
        <w:rPr>
          <w:rFonts w:ascii="宋体" w:eastAsia="宋体" w:hAnsi="宋体" w:cs="宋体"/>
          <w:sz w:val="24"/>
          <w:szCs w:val="24"/>
        </w:rPr>
        <w:t>6</w:t>
      </w:r>
      <w:r>
        <w:rPr>
          <w:rFonts w:ascii="宋体" w:eastAsia="宋体" w:hAnsi="宋体" w:cs="宋体" w:hint="eastAsia"/>
          <w:sz w:val="24"/>
          <w:szCs w:val="24"/>
        </w:rPr>
        <w:t>月</w:t>
      </w:r>
      <w:r w:rsidR="009F487A">
        <w:rPr>
          <w:rFonts w:ascii="宋体" w:eastAsia="宋体" w:hAnsi="宋体" w:cs="宋体"/>
          <w:sz w:val="24"/>
          <w:szCs w:val="24"/>
        </w:rPr>
        <w:t>13</w:t>
      </w:r>
      <w:r>
        <w:rPr>
          <w:rFonts w:ascii="宋体" w:eastAsia="宋体" w:hAnsi="宋体" w:cs="宋体" w:hint="eastAsia"/>
          <w:sz w:val="24"/>
          <w:szCs w:val="24"/>
        </w:rPr>
        <w:t>日。</w:t>
      </w:r>
    </w:p>
    <w:p w14:paraId="7E004E05" w14:textId="77777777" w:rsidR="007D1228" w:rsidRDefault="007D1228">
      <w:pPr>
        <w:widowControl w:val="0"/>
        <w:spacing w:line="550" w:lineRule="exact"/>
        <w:ind w:firstLineChars="200" w:firstLine="480"/>
        <w:rPr>
          <w:rFonts w:ascii="宋体" w:eastAsia="宋体" w:hAnsi="宋体" w:cs="宋体"/>
          <w:sz w:val="24"/>
          <w:szCs w:val="24"/>
        </w:rPr>
      </w:pPr>
    </w:p>
    <w:p w14:paraId="6CBE120C" w14:textId="77777777" w:rsidR="007D1228" w:rsidRDefault="007D1228">
      <w:pPr>
        <w:widowControl w:val="0"/>
        <w:spacing w:line="550" w:lineRule="exact"/>
        <w:ind w:firstLineChars="200" w:firstLine="480"/>
        <w:rPr>
          <w:rFonts w:ascii="宋体" w:eastAsia="宋体" w:hAnsi="宋体" w:cs="宋体"/>
          <w:sz w:val="24"/>
          <w:szCs w:val="24"/>
        </w:rPr>
      </w:pPr>
    </w:p>
    <w:p w14:paraId="52C7367E" w14:textId="77777777" w:rsidR="007D1228" w:rsidRDefault="007D1228">
      <w:pPr>
        <w:widowControl w:val="0"/>
        <w:spacing w:line="550" w:lineRule="exact"/>
        <w:ind w:firstLineChars="200" w:firstLine="482"/>
        <w:rPr>
          <w:rFonts w:ascii="宋体" w:eastAsia="宋体" w:hAnsi="宋体" w:cs="宋体"/>
          <w:b/>
          <w:sz w:val="24"/>
          <w:szCs w:val="24"/>
        </w:rPr>
      </w:pPr>
    </w:p>
    <w:p w14:paraId="3F825B69" w14:textId="77777777" w:rsidR="007D1228" w:rsidRDefault="00CA5E49">
      <w:pPr>
        <w:widowControl w:val="0"/>
        <w:tabs>
          <w:tab w:val="right" w:pos="8584"/>
        </w:tabs>
        <w:spacing w:after="160" w:line="360" w:lineRule="auto"/>
        <w:ind w:firstLine="602"/>
        <w:rPr>
          <w:rFonts w:ascii="宋体" w:eastAsia="宋体" w:hAnsi="宋体" w:cs="宋体"/>
          <w:b/>
          <w:sz w:val="24"/>
          <w:szCs w:val="24"/>
        </w:rPr>
      </w:pPr>
      <w:r>
        <w:rPr>
          <w:rFonts w:ascii="宋体" w:eastAsia="宋体" w:hAnsi="宋体" w:cs="宋体" w:hint="eastAsia"/>
          <w:b/>
          <w:sz w:val="24"/>
          <w:szCs w:val="24"/>
        </w:rPr>
        <w:t>江西三源房地产土地资产评估咨询有限公司         资产评估师：</w:t>
      </w:r>
    </w:p>
    <w:p w14:paraId="06F9AA9B" w14:textId="77777777" w:rsidR="007D1228" w:rsidRDefault="00CA5E49">
      <w:pPr>
        <w:widowControl w:val="0"/>
        <w:tabs>
          <w:tab w:val="right" w:pos="8584"/>
        </w:tabs>
        <w:spacing w:after="160" w:line="360" w:lineRule="auto"/>
        <w:ind w:firstLine="602"/>
        <w:rPr>
          <w:rFonts w:ascii="宋体" w:eastAsia="宋体" w:hAnsi="宋体" w:cs="宋体"/>
          <w:b/>
          <w:sz w:val="24"/>
          <w:szCs w:val="24"/>
        </w:rPr>
      </w:pPr>
      <w:r>
        <w:rPr>
          <w:rFonts w:ascii="宋体" w:eastAsia="宋体" w:hAnsi="宋体" w:cs="宋体" w:hint="eastAsia"/>
          <w:b/>
          <w:sz w:val="24"/>
          <w:szCs w:val="24"/>
        </w:rPr>
        <w:tab/>
      </w:r>
    </w:p>
    <w:p w14:paraId="3312BF85" w14:textId="77777777" w:rsidR="007D1228" w:rsidRDefault="00CA5E49">
      <w:pPr>
        <w:widowControl w:val="0"/>
        <w:spacing w:after="160" w:line="360" w:lineRule="auto"/>
        <w:ind w:firstLineChars="900" w:firstLine="2168"/>
        <w:rPr>
          <w:rFonts w:ascii="宋体" w:eastAsia="宋体" w:hAnsi="宋体" w:cs="宋体"/>
          <w:b/>
          <w:sz w:val="24"/>
          <w:szCs w:val="24"/>
        </w:rPr>
      </w:pPr>
      <w:r>
        <w:rPr>
          <w:rFonts w:ascii="宋体" w:eastAsia="宋体" w:hAnsi="宋体" w:cs="宋体" w:hint="eastAsia"/>
          <w:b/>
          <w:sz w:val="24"/>
          <w:szCs w:val="24"/>
        </w:rPr>
        <w:t>中国·南昌                        资产评估师：</w:t>
      </w:r>
      <w:bookmarkStart w:id="29" w:name="_Toc13350_WPSOffice_Level1"/>
      <w:r>
        <w:rPr>
          <w:rFonts w:ascii="宋体" w:eastAsia="宋体" w:hAnsi="宋体" w:cs="宋体" w:hint="eastAsia"/>
          <w:b/>
          <w:sz w:val="24"/>
          <w:szCs w:val="24"/>
        </w:rPr>
        <w:t xml:space="preserve"> </w:t>
      </w:r>
      <w:bookmarkEnd w:id="29"/>
    </w:p>
    <w:p w14:paraId="714A2888" w14:textId="77777777" w:rsidR="007D1228" w:rsidRDefault="007D1228">
      <w:pPr>
        <w:widowControl w:val="0"/>
        <w:spacing w:after="160" w:line="360" w:lineRule="auto"/>
        <w:ind w:firstLineChars="900" w:firstLine="2168"/>
        <w:rPr>
          <w:rFonts w:ascii="宋体" w:eastAsia="宋体" w:hAnsi="宋体" w:cs="宋体"/>
          <w:b/>
          <w:sz w:val="24"/>
          <w:szCs w:val="24"/>
        </w:rPr>
      </w:pPr>
    </w:p>
    <w:p w14:paraId="4501D3BB" w14:textId="51843917" w:rsidR="007D1228" w:rsidRDefault="00CA5E49">
      <w:pPr>
        <w:widowControl w:val="0"/>
        <w:spacing w:after="160" w:line="360" w:lineRule="auto"/>
        <w:ind w:firstLineChars="2400" w:firstLine="5783"/>
        <w:rPr>
          <w:rFonts w:ascii="宋体" w:eastAsia="宋体" w:hAnsi="宋体" w:cs="宋体"/>
          <w:b/>
          <w:sz w:val="24"/>
          <w:szCs w:val="24"/>
        </w:rPr>
      </w:pPr>
      <w:r>
        <w:rPr>
          <w:rFonts w:ascii="宋体" w:eastAsia="宋体" w:hAnsi="宋体" w:cs="宋体" w:hint="eastAsia"/>
          <w:b/>
          <w:sz w:val="24"/>
          <w:szCs w:val="24"/>
        </w:rPr>
        <w:t xml:space="preserve"> </w:t>
      </w:r>
      <w:bookmarkStart w:id="30" w:name="_Toc30220_WPSOffice_Level1"/>
      <w:r>
        <w:rPr>
          <w:rFonts w:ascii="宋体" w:eastAsia="宋体" w:hAnsi="宋体" w:cs="宋体"/>
          <w:b/>
          <w:sz w:val="24"/>
          <w:szCs w:val="24"/>
        </w:rPr>
        <w:t xml:space="preserve"> </w:t>
      </w:r>
      <w:r>
        <w:rPr>
          <w:rFonts w:ascii="宋体" w:eastAsia="宋体" w:hAnsi="宋体" w:cs="宋体" w:hint="eastAsia"/>
          <w:b/>
          <w:sz w:val="24"/>
          <w:szCs w:val="24"/>
        </w:rPr>
        <w:t>二0二二年</w:t>
      </w:r>
      <w:r w:rsidR="009F487A">
        <w:rPr>
          <w:rFonts w:ascii="宋体" w:eastAsia="宋体" w:hAnsi="宋体" w:cs="宋体" w:hint="eastAsia"/>
          <w:b/>
          <w:sz w:val="24"/>
          <w:szCs w:val="24"/>
        </w:rPr>
        <w:t>六</w:t>
      </w:r>
      <w:r>
        <w:rPr>
          <w:rFonts w:ascii="宋体" w:eastAsia="宋体" w:hAnsi="宋体" w:cs="宋体" w:hint="eastAsia"/>
          <w:b/>
          <w:sz w:val="24"/>
          <w:szCs w:val="24"/>
        </w:rPr>
        <w:t>月</w:t>
      </w:r>
      <w:r w:rsidR="009F487A">
        <w:rPr>
          <w:rFonts w:ascii="宋体" w:eastAsia="宋体" w:hAnsi="宋体" w:cs="宋体" w:hint="eastAsia"/>
          <w:b/>
          <w:sz w:val="24"/>
          <w:szCs w:val="24"/>
        </w:rPr>
        <w:t>十三</w:t>
      </w:r>
      <w:r>
        <w:rPr>
          <w:rFonts w:ascii="宋体" w:eastAsia="宋体" w:hAnsi="宋体" w:cs="宋体" w:hint="eastAsia"/>
          <w:b/>
          <w:sz w:val="24"/>
          <w:szCs w:val="24"/>
        </w:rPr>
        <w:t>日</w:t>
      </w:r>
    </w:p>
    <w:p w14:paraId="72247D2E" w14:textId="77777777" w:rsidR="007D1228" w:rsidRDefault="007D1228">
      <w:pPr>
        <w:widowControl w:val="0"/>
        <w:spacing w:after="160" w:line="480" w:lineRule="auto"/>
        <w:rPr>
          <w:rFonts w:ascii="宋体" w:eastAsia="宋体" w:hAnsi="宋体" w:cs="宋体"/>
          <w:b/>
          <w:bCs/>
          <w:sz w:val="32"/>
          <w:szCs w:val="32"/>
        </w:rPr>
        <w:sectPr w:rsidR="007D1228">
          <w:headerReference w:type="default" r:id="rId18"/>
          <w:pgSz w:w="11907" w:h="16840"/>
          <w:pgMar w:top="1440" w:right="1080" w:bottom="1440" w:left="1080" w:header="794" w:footer="794" w:gutter="0"/>
          <w:cols w:space="720"/>
          <w:docGrid w:type="lines" w:linePitch="286" w:charSpace="-4301"/>
        </w:sectPr>
      </w:pPr>
    </w:p>
    <w:p w14:paraId="7CE33C27" w14:textId="77777777" w:rsidR="007D1228" w:rsidRDefault="00CA5E49">
      <w:pPr>
        <w:widowControl w:val="0"/>
        <w:spacing w:after="160" w:line="480" w:lineRule="auto"/>
        <w:jc w:val="center"/>
        <w:rPr>
          <w:rFonts w:ascii="宋体" w:eastAsia="宋体" w:hAnsi="宋体" w:cs="宋体"/>
          <w:b/>
          <w:bCs/>
          <w:sz w:val="40"/>
          <w:szCs w:val="40"/>
        </w:rPr>
      </w:pPr>
      <w:r>
        <w:rPr>
          <w:rFonts w:ascii="宋体" w:eastAsia="宋体" w:hAnsi="宋体" w:cs="宋体" w:hint="eastAsia"/>
          <w:b/>
          <w:bCs/>
          <w:sz w:val="32"/>
          <w:szCs w:val="32"/>
        </w:rPr>
        <w:lastRenderedPageBreak/>
        <w:t>资产评估报告附件</w:t>
      </w:r>
    </w:p>
    <w:p w14:paraId="513E3354" w14:textId="4AA180BB" w:rsidR="007D1228" w:rsidRDefault="00CA5E49" w:rsidP="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一、与评估目的相对应的经济行为文件复印件；</w:t>
      </w:r>
    </w:p>
    <w:p w14:paraId="5A4404C4" w14:textId="5FF7AEC1"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二</w:t>
      </w:r>
      <w:r w:rsidR="00CA5E49">
        <w:rPr>
          <w:rFonts w:ascii="宋体" w:eastAsia="宋体" w:hAnsi="宋体" w:cs="宋体" w:hint="eastAsia"/>
          <w:bCs/>
          <w:sz w:val="24"/>
        </w:rPr>
        <w:t>、评估对象涉及的主要权属证明资料复印件；</w:t>
      </w:r>
    </w:p>
    <w:p w14:paraId="7E77B894" w14:textId="347B0673"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三</w:t>
      </w:r>
      <w:r w:rsidR="00CA5E49">
        <w:rPr>
          <w:rFonts w:ascii="宋体" w:eastAsia="宋体" w:hAnsi="宋体" w:cs="宋体" w:hint="eastAsia"/>
          <w:bCs/>
          <w:sz w:val="24"/>
        </w:rPr>
        <w:t>、签名资产评估师的承诺函；</w:t>
      </w:r>
    </w:p>
    <w:p w14:paraId="51F0FCC0" w14:textId="6E021865"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四</w:t>
      </w:r>
      <w:r w:rsidR="00CA5E49">
        <w:rPr>
          <w:rFonts w:ascii="宋体" w:eastAsia="宋体" w:hAnsi="宋体" w:cs="宋体" w:hint="eastAsia"/>
          <w:bCs/>
          <w:sz w:val="24"/>
        </w:rPr>
        <w:t>、资产评估机构营业执照副本复印件；</w:t>
      </w:r>
    </w:p>
    <w:p w14:paraId="251D3CAD" w14:textId="745D5A1C"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五</w:t>
      </w:r>
      <w:r w:rsidR="00CA5E49">
        <w:rPr>
          <w:rFonts w:ascii="宋体" w:eastAsia="宋体" w:hAnsi="宋体" w:cs="宋体" w:hint="eastAsia"/>
          <w:bCs/>
          <w:sz w:val="24"/>
        </w:rPr>
        <w:t>、资产评估机构备案文件复印件；</w:t>
      </w:r>
    </w:p>
    <w:p w14:paraId="6DAD740A" w14:textId="69734C00"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六</w:t>
      </w:r>
      <w:r w:rsidR="00CA5E49">
        <w:rPr>
          <w:rFonts w:ascii="宋体" w:eastAsia="宋体" w:hAnsi="宋体" w:cs="宋体" w:hint="eastAsia"/>
          <w:bCs/>
          <w:sz w:val="24"/>
        </w:rPr>
        <w:t>、签名资产评估师职业资格证书登记卡复印件；</w:t>
      </w:r>
    </w:p>
    <w:p w14:paraId="32499081" w14:textId="7995FDE6" w:rsidR="007D1228" w:rsidRDefault="000870F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bCs/>
          <w:sz w:val="24"/>
        </w:rPr>
        <w:t>七</w:t>
      </w:r>
      <w:r w:rsidR="00CA5E49">
        <w:rPr>
          <w:rFonts w:ascii="宋体" w:eastAsia="宋体" w:hAnsi="宋体" w:cs="宋体" w:hint="eastAsia"/>
          <w:bCs/>
          <w:sz w:val="24"/>
        </w:rPr>
        <w:t>、现场照片；</w:t>
      </w:r>
    </w:p>
    <w:p w14:paraId="4B397BDB" w14:textId="77777777" w:rsidR="007D1228" w:rsidRDefault="007D1228">
      <w:pPr>
        <w:widowControl w:val="0"/>
        <w:tabs>
          <w:tab w:val="left" w:pos="7092"/>
        </w:tabs>
        <w:spacing w:line="560" w:lineRule="exact"/>
        <w:ind w:firstLineChars="200" w:firstLine="480"/>
        <w:rPr>
          <w:rFonts w:ascii="宋体" w:eastAsia="宋体" w:hAnsi="宋体" w:cs="宋体"/>
          <w:bCs/>
          <w:sz w:val="24"/>
        </w:rPr>
      </w:pPr>
    </w:p>
    <w:p w14:paraId="775155F9" w14:textId="77777777" w:rsidR="007D1228" w:rsidRDefault="00CA5E49">
      <w:pPr>
        <w:snapToGrid w:val="0"/>
        <w:ind w:firstLine="435"/>
        <w:rPr>
          <w:rFonts w:ascii="宋体" w:hAnsi="宋体" w:cs="宋体"/>
          <w:color w:val="000000"/>
          <w:sz w:val="24"/>
        </w:rPr>
      </w:pPr>
      <w:r>
        <w:rPr>
          <w:rFonts w:ascii="宋体" w:eastAsia="宋体" w:hAnsi="宋体" w:cs="宋体" w:hint="eastAsia"/>
          <w:bCs/>
          <w:sz w:val="24"/>
        </w:rPr>
        <w:t xml:space="preserve">              </w:t>
      </w:r>
    </w:p>
    <w:p w14:paraId="065C345C" w14:textId="77777777" w:rsidR="007D1228" w:rsidRDefault="00CA5E49">
      <w:pPr>
        <w:snapToGrid w:val="0"/>
        <w:ind w:firstLine="435"/>
        <w:rPr>
          <w:rFonts w:ascii="宋体" w:hAnsi="宋体" w:cs="宋体"/>
          <w:b/>
          <w:color w:val="000000"/>
          <w:sz w:val="30"/>
        </w:rPr>
      </w:pPr>
      <w:r>
        <w:rPr>
          <w:rFonts w:ascii="宋体" w:hAnsi="宋体" w:cs="宋体" w:hint="eastAsia"/>
          <w:b/>
          <w:color w:val="000000"/>
          <w:sz w:val="30"/>
        </w:rPr>
        <w:t xml:space="preserve">                    </w:t>
      </w:r>
    </w:p>
    <w:p w14:paraId="1A516D7D" w14:textId="77777777" w:rsidR="007D1228" w:rsidRDefault="007D1228">
      <w:pPr>
        <w:snapToGrid w:val="0"/>
        <w:ind w:firstLine="435"/>
        <w:rPr>
          <w:rFonts w:ascii="宋体" w:hAnsi="宋体" w:cs="宋体"/>
          <w:b/>
          <w:color w:val="000000"/>
          <w:sz w:val="30"/>
        </w:rPr>
      </w:pPr>
    </w:p>
    <w:p w14:paraId="40E21380" w14:textId="77777777" w:rsidR="007D1228" w:rsidRDefault="007D1228">
      <w:pPr>
        <w:snapToGrid w:val="0"/>
        <w:ind w:firstLine="435"/>
        <w:rPr>
          <w:rFonts w:ascii="宋体" w:hAnsi="宋体" w:cs="宋体"/>
          <w:b/>
          <w:color w:val="000000"/>
          <w:sz w:val="30"/>
        </w:rPr>
      </w:pPr>
    </w:p>
    <w:p w14:paraId="3C12ED17" w14:textId="77777777" w:rsidR="007D1228" w:rsidRDefault="007D1228">
      <w:pPr>
        <w:snapToGrid w:val="0"/>
        <w:ind w:firstLine="435"/>
        <w:rPr>
          <w:rFonts w:ascii="宋体" w:hAnsi="宋体" w:cs="宋体"/>
          <w:b/>
          <w:color w:val="000000"/>
          <w:sz w:val="30"/>
        </w:rPr>
      </w:pPr>
    </w:p>
    <w:p w14:paraId="3D1E7228" w14:textId="77777777" w:rsidR="007D1228" w:rsidRDefault="007D1228">
      <w:pPr>
        <w:snapToGrid w:val="0"/>
        <w:ind w:firstLine="435"/>
        <w:rPr>
          <w:rFonts w:ascii="宋体" w:hAnsi="宋体" w:cs="宋体"/>
          <w:b/>
          <w:color w:val="000000"/>
          <w:sz w:val="30"/>
        </w:rPr>
      </w:pPr>
    </w:p>
    <w:p w14:paraId="540E4A76" w14:textId="77777777" w:rsidR="007D1228" w:rsidRDefault="007D1228">
      <w:pPr>
        <w:snapToGrid w:val="0"/>
        <w:ind w:firstLine="435"/>
        <w:rPr>
          <w:rFonts w:ascii="宋体" w:hAnsi="宋体" w:cs="宋体"/>
          <w:b/>
          <w:color w:val="000000"/>
          <w:sz w:val="30"/>
        </w:rPr>
      </w:pPr>
    </w:p>
    <w:p w14:paraId="434B7A37" w14:textId="77777777" w:rsidR="007D1228" w:rsidRDefault="007D1228">
      <w:pPr>
        <w:snapToGrid w:val="0"/>
        <w:ind w:firstLine="435"/>
        <w:rPr>
          <w:rFonts w:ascii="宋体" w:hAnsi="宋体" w:cs="宋体"/>
          <w:b/>
          <w:color w:val="000000"/>
          <w:sz w:val="30"/>
        </w:rPr>
      </w:pPr>
    </w:p>
    <w:p w14:paraId="419C78A8" w14:textId="77777777" w:rsidR="007D1228" w:rsidRDefault="007D1228">
      <w:pPr>
        <w:snapToGrid w:val="0"/>
        <w:ind w:firstLine="435"/>
        <w:rPr>
          <w:rFonts w:ascii="宋体" w:hAnsi="宋体" w:cs="宋体"/>
          <w:b/>
          <w:color w:val="000000"/>
          <w:sz w:val="30"/>
        </w:rPr>
      </w:pPr>
    </w:p>
    <w:p w14:paraId="2ACD955B" w14:textId="77777777" w:rsidR="007D1228" w:rsidRDefault="007D1228">
      <w:pPr>
        <w:snapToGrid w:val="0"/>
        <w:ind w:firstLine="435"/>
        <w:rPr>
          <w:rFonts w:ascii="宋体" w:hAnsi="宋体" w:cs="宋体"/>
          <w:b/>
          <w:color w:val="000000"/>
          <w:sz w:val="30"/>
        </w:rPr>
      </w:pPr>
    </w:p>
    <w:p w14:paraId="2BE7931C" w14:textId="77777777" w:rsidR="007D1228" w:rsidRDefault="007D1228">
      <w:pPr>
        <w:snapToGrid w:val="0"/>
        <w:ind w:firstLine="435"/>
        <w:rPr>
          <w:rFonts w:ascii="宋体" w:hAnsi="宋体" w:cs="宋体"/>
          <w:b/>
          <w:color w:val="000000"/>
          <w:sz w:val="30"/>
        </w:rPr>
      </w:pPr>
    </w:p>
    <w:p w14:paraId="6E0364D9" w14:textId="77777777" w:rsidR="007D1228" w:rsidRDefault="007D1228">
      <w:pPr>
        <w:snapToGrid w:val="0"/>
        <w:ind w:firstLine="435"/>
        <w:rPr>
          <w:rFonts w:ascii="宋体" w:hAnsi="宋体" w:cs="宋体"/>
          <w:b/>
          <w:color w:val="000000"/>
          <w:sz w:val="30"/>
        </w:rPr>
      </w:pPr>
    </w:p>
    <w:p w14:paraId="1340C435" w14:textId="77777777" w:rsidR="007D1228" w:rsidRDefault="007D1228">
      <w:pPr>
        <w:snapToGrid w:val="0"/>
        <w:spacing w:before="100" w:line="300" w:lineRule="exact"/>
        <w:ind w:firstLineChars="1200" w:firstLine="3853"/>
        <w:rPr>
          <w:rFonts w:ascii="宋体" w:eastAsia="宋体" w:hAnsi="宋体" w:cs="宋体"/>
          <w:b/>
          <w:color w:val="000000"/>
          <w:spacing w:val="20"/>
          <w:sz w:val="28"/>
        </w:rPr>
        <w:sectPr w:rsidR="007D1228">
          <w:headerReference w:type="default" r:id="rId19"/>
          <w:pgSz w:w="11906" w:h="16838"/>
          <w:pgMar w:top="1440" w:right="1080" w:bottom="1440" w:left="1080" w:header="850" w:footer="992" w:gutter="0"/>
          <w:cols w:space="720"/>
          <w:docGrid w:type="lines" w:linePitch="312"/>
        </w:sectPr>
      </w:pPr>
      <w:bookmarkStart w:id="31" w:name="_Toc18980_WPSOffice_Level1"/>
    </w:p>
    <w:bookmarkEnd w:id="31"/>
    <w:p w14:paraId="36B3E3F8" w14:textId="77777777" w:rsidR="007D1228" w:rsidRDefault="00CA5E49">
      <w:pPr>
        <w:widowControl w:val="0"/>
        <w:spacing w:after="160" w:line="480" w:lineRule="auto"/>
        <w:jc w:val="center"/>
        <w:rPr>
          <w:rFonts w:ascii="宋体" w:eastAsia="宋体" w:hAnsi="宋体" w:cs="宋体"/>
          <w:b/>
          <w:bCs/>
          <w:sz w:val="40"/>
          <w:szCs w:val="40"/>
        </w:rPr>
      </w:pPr>
      <w:r>
        <w:rPr>
          <w:rFonts w:ascii="宋体" w:eastAsia="宋体" w:hAnsi="宋体" w:cs="宋体" w:hint="eastAsia"/>
          <w:b/>
          <w:bCs/>
          <w:sz w:val="32"/>
          <w:szCs w:val="32"/>
        </w:rPr>
        <w:lastRenderedPageBreak/>
        <w:t>资产评估师承诺函</w:t>
      </w:r>
      <w:bookmarkEnd w:id="30"/>
    </w:p>
    <w:p w14:paraId="2E3D7C35" w14:textId="77777777" w:rsidR="007D1228" w:rsidRDefault="007D1228">
      <w:pPr>
        <w:widowControl w:val="0"/>
        <w:tabs>
          <w:tab w:val="left" w:pos="7092"/>
        </w:tabs>
        <w:spacing w:line="520" w:lineRule="exact"/>
        <w:rPr>
          <w:rFonts w:ascii="宋体" w:eastAsia="宋体" w:hAnsi="宋体" w:cs="宋体"/>
          <w:sz w:val="24"/>
        </w:rPr>
      </w:pPr>
    </w:p>
    <w:p w14:paraId="07D2D24D" w14:textId="77777777" w:rsidR="007D1228" w:rsidRDefault="00CA5E49">
      <w:pPr>
        <w:widowControl w:val="0"/>
        <w:tabs>
          <w:tab w:val="left" w:pos="7092"/>
        </w:tabs>
        <w:spacing w:line="560" w:lineRule="exact"/>
        <w:rPr>
          <w:rFonts w:ascii="宋体" w:eastAsia="宋体" w:hAnsi="宋体" w:cs="宋体"/>
          <w:b/>
          <w:bCs/>
          <w:sz w:val="24"/>
        </w:rPr>
      </w:pPr>
      <w:r>
        <w:rPr>
          <w:rFonts w:ascii="宋体" w:eastAsia="宋体" w:hAnsi="宋体" w:cs="宋体" w:hint="eastAsia"/>
          <w:b/>
          <w:bCs/>
          <w:sz w:val="24"/>
        </w:rPr>
        <w:t>进贤县人民法院：</w:t>
      </w:r>
    </w:p>
    <w:p w14:paraId="3DDA8DAB" w14:textId="249A5081" w:rsidR="007D1228" w:rsidRDefault="00CA5E49">
      <w:pPr>
        <w:widowControl w:val="0"/>
        <w:tabs>
          <w:tab w:val="left" w:pos="7092"/>
        </w:tabs>
        <w:spacing w:line="560" w:lineRule="exact"/>
        <w:ind w:firstLineChars="200" w:firstLine="480"/>
        <w:rPr>
          <w:rFonts w:ascii="宋体" w:eastAsia="宋体" w:hAnsi="宋体" w:cs="宋体"/>
          <w:bCs/>
          <w:sz w:val="24"/>
        </w:rPr>
      </w:pPr>
      <w:r>
        <w:rPr>
          <w:rFonts w:ascii="宋体" w:eastAsia="宋体" w:hAnsi="宋体" w:cs="宋体" w:hint="eastAsia"/>
          <w:sz w:val="24"/>
        </w:rPr>
        <w:t>受贵单位的委托，我们对进贤县人民法院因执行案件事宜涉及</w:t>
      </w:r>
      <w:r w:rsidR="00D70ABD">
        <w:rPr>
          <w:rFonts w:ascii="宋体" w:eastAsia="宋体" w:hAnsi="宋体" w:cs="宋体" w:hint="eastAsia"/>
          <w:sz w:val="24"/>
        </w:rPr>
        <w:t>连震所有的云天小镇4号楼1单元301室</w:t>
      </w:r>
      <w:r w:rsidR="00B101D8">
        <w:rPr>
          <w:rFonts w:ascii="宋体" w:eastAsia="宋体" w:hAnsi="宋体" w:cs="宋体" w:hint="eastAsia"/>
          <w:sz w:val="24"/>
        </w:rPr>
        <w:t>不动产</w:t>
      </w:r>
      <w:r>
        <w:rPr>
          <w:rFonts w:ascii="宋体" w:eastAsia="宋体" w:hAnsi="宋体" w:cs="宋体" w:hint="eastAsia"/>
          <w:bCs/>
          <w:sz w:val="24"/>
        </w:rPr>
        <w:t>，以202</w:t>
      </w:r>
      <w:r>
        <w:rPr>
          <w:rFonts w:ascii="宋体" w:eastAsia="宋体" w:hAnsi="宋体" w:cs="宋体"/>
          <w:bCs/>
          <w:sz w:val="24"/>
        </w:rPr>
        <w:t>2</w:t>
      </w:r>
      <w:r>
        <w:rPr>
          <w:rFonts w:ascii="宋体" w:eastAsia="宋体" w:hAnsi="宋体" w:cs="宋体" w:hint="eastAsia"/>
          <w:bCs/>
          <w:sz w:val="24"/>
        </w:rPr>
        <w:t>年0</w:t>
      </w:r>
      <w:r w:rsidR="009F487A">
        <w:rPr>
          <w:rFonts w:ascii="宋体" w:eastAsia="宋体" w:hAnsi="宋体" w:cs="宋体"/>
          <w:bCs/>
          <w:sz w:val="24"/>
        </w:rPr>
        <w:t>6</w:t>
      </w:r>
      <w:r>
        <w:rPr>
          <w:rFonts w:ascii="宋体" w:eastAsia="宋体" w:hAnsi="宋体" w:cs="宋体" w:hint="eastAsia"/>
          <w:bCs/>
          <w:sz w:val="24"/>
        </w:rPr>
        <w:t>月</w:t>
      </w:r>
      <w:r w:rsidR="009F487A">
        <w:rPr>
          <w:rFonts w:ascii="宋体" w:eastAsia="宋体" w:hAnsi="宋体" w:cs="宋体" w:hint="eastAsia"/>
          <w:bCs/>
          <w:sz w:val="24"/>
        </w:rPr>
        <w:t>0</w:t>
      </w:r>
      <w:r w:rsidR="009F487A">
        <w:rPr>
          <w:rFonts w:ascii="宋体" w:eastAsia="宋体" w:hAnsi="宋体" w:cs="宋体"/>
          <w:bCs/>
          <w:sz w:val="24"/>
        </w:rPr>
        <w:t>9</w:t>
      </w:r>
      <w:r>
        <w:rPr>
          <w:rFonts w:ascii="宋体" w:eastAsia="宋体" w:hAnsi="宋体" w:cs="宋体" w:hint="eastAsia"/>
          <w:bCs/>
          <w:sz w:val="24"/>
        </w:rPr>
        <w:t>日为基准日进行了评估，并形成了资产评估报告。在本报告中披露的假设条件成立的前提下，我们承诺如下：</w:t>
      </w:r>
    </w:p>
    <w:p w14:paraId="0479ADB8"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2" w:name="_Toc26080_WPSOffice_Level1"/>
      <w:r>
        <w:rPr>
          <w:rFonts w:ascii="宋体" w:eastAsia="宋体" w:hAnsi="宋体" w:cs="宋体" w:hint="eastAsia"/>
          <w:bCs/>
          <w:sz w:val="24"/>
        </w:rPr>
        <w:t>一、具备相应的职业资格。</w:t>
      </w:r>
      <w:bookmarkEnd w:id="32"/>
    </w:p>
    <w:p w14:paraId="4B0A2217"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3" w:name="_Toc8125_WPSOffice_Level1"/>
      <w:r>
        <w:rPr>
          <w:rFonts w:ascii="宋体" w:eastAsia="宋体" w:hAnsi="宋体" w:cs="宋体" w:hint="eastAsia"/>
          <w:bCs/>
          <w:sz w:val="24"/>
        </w:rPr>
        <w:t>二、评估对象和评估范围与资产评估委托合同的约定一致。</w:t>
      </w:r>
      <w:bookmarkEnd w:id="33"/>
    </w:p>
    <w:p w14:paraId="5ECAB9AD"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4" w:name="_Toc5836_WPSOffice_Level1"/>
      <w:r>
        <w:rPr>
          <w:rFonts w:ascii="宋体" w:eastAsia="宋体" w:hAnsi="宋体" w:cs="宋体" w:hint="eastAsia"/>
          <w:bCs/>
          <w:sz w:val="24"/>
        </w:rPr>
        <w:t>三、对评估对象及其所涉及的资产进行了必要的核实。</w:t>
      </w:r>
      <w:bookmarkEnd w:id="34"/>
    </w:p>
    <w:p w14:paraId="2241FC37"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5" w:name="_Toc16794_WPSOffice_Level1"/>
      <w:r>
        <w:rPr>
          <w:rFonts w:ascii="宋体" w:eastAsia="宋体" w:hAnsi="宋体" w:cs="宋体" w:hint="eastAsia"/>
          <w:bCs/>
          <w:sz w:val="24"/>
        </w:rPr>
        <w:t>四、根据资产评估准则选用了评估方法。</w:t>
      </w:r>
      <w:bookmarkEnd w:id="35"/>
    </w:p>
    <w:p w14:paraId="58757FB4"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6" w:name="_Toc22381_WPSOffice_Level1"/>
      <w:r>
        <w:rPr>
          <w:rFonts w:ascii="宋体" w:eastAsia="宋体" w:hAnsi="宋体" w:cs="宋体" w:hint="eastAsia"/>
          <w:bCs/>
          <w:sz w:val="24"/>
        </w:rPr>
        <w:t>五、充分考虑了影响评估价值的因素。</w:t>
      </w:r>
      <w:bookmarkEnd w:id="36"/>
    </w:p>
    <w:p w14:paraId="2EB0FF4C"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7" w:name="_Toc16558_WPSOffice_Level1"/>
      <w:r>
        <w:rPr>
          <w:rFonts w:ascii="宋体" w:eastAsia="宋体" w:hAnsi="宋体" w:cs="宋体" w:hint="eastAsia"/>
          <w:bCs/>
          <w:sz w:val="24"/>
        </w:rPr>
        <w:t>六、评估结论合理。</w:t>
      </w:r>
      <w:bookmarkEnd w:id="37"/>
    </w:p>
    <w:p w14:paraId="573ED775" w14:textId="77777777" w:rsidR="007D1228" w:rsidRDefault="00CA5E49">
      <w:pPr>
        <w:widowControl w:val="0"/>
        <w:tabs>
          <w:tab w:val="left" w:pos="7092"/>
        </w:tabs>
        <w:spacing w:line="560" w:lineRule="exact"/>
        <w:ind w:firstLineChars="200" w:firstLine="480"/>
        <w:rPr>
          <w:rFonts w:ascii="宋体" w:eastAsia="宋体" w:hAnsi="宋体" w:cs="宋体"/>
          <w:bCs/>
          <w:sz w:val="24"/>
        </w:rPr>
      </w:pPr>
      <w:bookmarkStart w:id="38" w:name="_Toc31853_WPSOffice_Level1"/>
      <w:r>
        <w:rPr>
          <w:rFonts w:ascii="宋体" w:eastAsia="宋体" w:hAnsi="宋体" w:cs="宋体" w:hint="eastAsia"/>
          <w:bCs/>
          <w:sz w:val="24"/>
        </w:rPr>
        <w:t>七、评估工作未受到非法干预并独立进行。</w:t>
      </w:r>
      <w:bookmarkEnd w:id="38"/>
    </w:p>
    <w:p w14:paraId="20DC7CF8" w14:textId="77777777" w:rsidR="007D1228" w:rsidRDefault="00CA5E49">
      <w:pPr>
        <w:widowControl w:val="0"/>
        <w:tabs>
          <w:tab w:val="left" w:pos="7092"/>
        </w:tabs>
        <w:spacing w:line="520" w:lineRule="exact"/>
        <w:rPr>
          <w:rFonts w:ascii="宋体" w:eastAsia="宋体" w:hAnsi="宋体" w:cs="宋体"/>
          <w:bCs/>
          <w:sz w:val="24"/>
        </w:rPr>
      </w:pPr>
      <w:r>
        <w:rPr>
          <w:rFonts w:ascii="宋体" w:eastAsia="宋体" w:hAnsi="宋体" w:cs="宋体" w:hint="eastAsia"/>
          <w:bCs/>
          <w:sz w:val="24"/>
        </w:rPr>
        <w:t xml:space="preserve">                        </w:t>
      </w:r>
    </w:p>
    <w:p w14:paraId="45B30B4A" w14:textId="77777777" w:rsidR="007D1228" w:rsidRDefault="007D1228">
      <w:pPr>
        <w:widowControl w:val="0"/>
        <w:tabs>
          <w:tab w:val="left" w:pos="7092"/>
        </w:tabs>
        <w:spacing w:line="520" w:lineRule="exact"/>
        <w:rPr>
          <w:rFonts w:ascii="宋体" w:eastAsia="宋体" w:hAnsi="宋体" w:cs="宋体"/>
          <w:bCs/>
          <w:sz w:val="24"/>
        </w:rPr>
      </w:pPr>
    </w:p>
    <w:p w14:paraId="00C4DD85" w14:textId="77777777" w:rsidR="007D1228" w:rsidRDefault="00CA5E49">
      <w:pPr>
        <w:widowControl w:val="0"/>
        <w:tabs>
          <w:tab w:val="left" w:pos="7092"/>
        </w:tabs>
        <w:spacing w:line="360" w:lineRule="auto"/>
        <w:rPr>
          <w:rFonts w:ascii="宋体" w:eastAsia="宋体" w:hAnsi="宋体" w:cs="宋体"/>
          <w:bCs/>
          <w:sz w:val="24"/>
        </w:rPr>
      </w:pPr>
      <w:r>
        <w:rPr>
          <w:rFonts w:ascii="宋体" w:eastAsia="宋体" w:hAnsi="宋体" w:cs="宋体" w:hint="eastAsia"/>
          <w:bCs/>
          <w:sz w:val="24"/>
        </w:rPr>
        <w:t xml:space="preserve">                                          </w:t>
      </w:r>
      <w:r>
        <w:rPr>
          <w:rFonts w:ascii="宋体" w:eastAsia="宋体" w:hAnsi="宋体" w:cs="宋体" w:hint="eastAsia"/>
          <w:b/>
          <w:sz w:val="28"/>
          <w:szCs w:val="28"/>
        </w:rPr>
        <w:t>资产评估师签名：</w:t>
      </w:r>
    </w:p>
    <w:p w14:paraId="1B72DD4F" w14:textId="77777777" w:rsidR="007D1228" w:rsidRDefault="007D1228">
      <w:pPr>
        <w:widowControl w:val="0"/>
        <w:tabs>
          <w:tab w:val="left" w:pos="7092"/>
        </w:tabs>
        <w:spacing w:line="360" w:lineRule="auto"/>
        <w:rPr>
          <w:rFonts w:ascii="宋体" w:eastAsia="宋体" w:hAnsi="宋体" w:cs="宋体"/>
          <w:bCs/>
          <w:sz w:val="24"/>
        </w:rPr>
      </w:pPr>
    </w:p>
    <w:p w14:paraId="20A0D6B3" w14:textId="77777777" w:rsidR="007D1228" w:rsidRDefault="00CA5E49">
      <w:pPr>
        <w:widowControl w:val="0"/>
        <w:tabs>
          <w:tab w:val="left" w:pos="7092"/>
        </w:tabs>
        <w:spacing w:line="360" w:lineRule="auto"/>
        <w:ind w:firstLineChars="1800" w:firstLine="5060"/>
        <w:rPr>
          <w:rFonts w:ascii="宋体" w:eastAsia="宋体" w:hAnsi="宋体" w:cs="宋体"/>
          <w:b/>
          <w:sz w:val="28"/>
          <w:szCs w:val="28"/>
        </w:rPr>
      </w:pPr>
      <w:bookmarkStart w:id="39" w:name="_Toc15258_WPSOffice_Level1"/>
      <w:r>
        <w:rPr>
          <w:rFonts w:ascii="宋体" w:eastAsia="宋体" w:hAnsi="宋体" w:cs="宋体" w:hint="eastAsia"/>
          <w:b/>
          <w:sz w:val="28"/>
          <w:szCs w:val="28"/>
        </w:rPr>
        <w:t>资产评估师签名：</w:t>
      </w:r>
      <w:bookmarkEnd w:id="39"/>
    </w:p>
    <w:p w14:paraId="55595C71" w14:textId="77777777" w:rsidR="007D1228" w:rsidRDefault="00CA5E49">
      <w:pPr>
        <w:widowControl w:val="0"/>
        <w:tabs>
          <w:tab w:val="left" w:pos="7092"/>
        </w:tabs>
        <w:spacing w:line="360" w:lineRule="auto"/>
        <w:rPr>
          <w:rFonts w:ascii="宋体" w:eastAsia="宋体" w:hAnsi="宋体" w:cs="宋体"/>
          <w:b/>
          <w:sz w:val="28"/>
          <w:szCs w:val="28"/>
        </w:rPr>
      </w:pPr>
      <w:r>
        <w:rPr>
          <w:rFonts w:ascii="宋体" w:eastAsia="宋体" w:hAnsi="宋体" w:cs="宋体" w:hint="eastAsia"/>
          <w:b/>
          <w:sz w:val="28"/>
          <w:szCs w:val="28"/>
        </w:rPr>
        <w:t xml:space="preserve">                                              </w:t>
      </w:r>
    </w:p>
    <w:p w14:paraId="603C4137" w14:textId="1551CFE2" w:rsidR="007D1228" w:rsidRDefault="00CA5E49">
      <w:pPr>
        <w:widowControl w:val="0"/>
        <w:spacing w:line="520" w:lineRule="exact"/>
        <w:ind w:right="-21"/>
        <w:jc w:val="center"/>
        <w:rPr>
          <w:rFonts w:ascii="宋体" w:eastAsia="宋体" w:hAnsi="宋体" w:cs="宋体"/>
          <w:b/>
          <w:bCs/>
          <w:sz w:val="28"/>
          <w:szCs w:val="28"/>
        </w:rPr>
        <w:sectPr w:rsidR="007D1228">
          <w:headerReference w:type="default" r:id="rId20"/>
          <w:pgSz w:w="11907" w:h="16840"/>
          <w:pgMar w:top="1440" w:right="1080" w:bottom="1440" w:left="1080" w:header="794" w:footer="794" w:gutter="0"/>
          <w:cols w:space="720"/>
          <w:docGrid w:type="lines" w:linePitch="286" w:charSpace="-4301"/>
        </w:sectPr>
      </w:pP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b/>
          <w:bCs/>
          <w:sz w:val="28"/>
          <w:szCs w:val="28"/>
        </w:rPr>
        <w:t>二0二二年</w:t>
      </w:r>
      <w:r w:rsidR="009F487A">
        <w:rPr>
          <w:rFonts w:ascii="宋体" w:eastAsia="宋体" w:hAnsi="宋体" w:cs="宋体" w:hint="eastAsia"/>
          <w:b/>
          <w:bCs/>
          <w:sz w:val="28"/>
          <w:szCs w:val="28"/>
        </w:rPr>
        <w:t>六</w:t>
      </w:r>
      <w:r>
        <w:rPr>
          <w:rFonts w:ascii="宋体" w:eastAsia="宋体" w:hAnsi="宋体" w:cs="宋体" w:hint="eastAsia"/>
          <w:b/>
          <w:bCs/>
          <w:sz w:val="28"/>
          <w:szCs w:val="28"/>
        </w:rPr>
        <w:t>月</w:t>
      </w:r>
      <w:r w:rsidR="009F487A">
        <w:rPr>
          <w:rFonts w:ascii="宋体" w:eastAsia="宋体" w:hAnsi="宋体" w:cs="宋体" w:hint="eastAsia"/>
          <w:b/>
          <w:bCs/>
          <w:sz w:val="28"/>
          <w:szCs w:val="28"/>
        </w:rPr>
        <w:t>十三</w:t>
      </w:r>
      <w:r>
        <w:rPr>
          <w:rFonts w:ascii="宋体" w:eastAsia="宋体" w:hAnsi="宋体" w:cs="宋体" w:hint="eastAsia"/>
          <w:b/>
          <w:bCs/>
          <w:sz w:val="28"/>
          <w:szCs w:val="28"/>
        </w:rPr>
        <w:t>日</w:t>
      </w:r>
    </w:p>
    <w:p w14:paraId="029EBB31" w14:textId="77777777" w:rsidR="007D1228" w:rsidRDefault="007D1228">
      <w:pPr>
        <w:snapToGrid w:val="0"/>
        <w:spacing w:line="520" w:lineRule="exact"/>
        <w:rPr>
          <w:rFonts w:ascii="宋体" w:eastAsia="宋体" w:hAnsi="宋体" w:cs="宋体"/>
          <w:sz w:val="24"/>
          <w:szCs w:val="24"/>
        </w:rPr>
      </w:pPr>
    </w:p>
    <w:sectPr w:rsidR="007D1228">
      <w:headerReference w:type="default" r:id="rId21"/>
      <w:footerReference w:type="default" r:id="rId22"/>
      <w:type w:val="continuous"/>
      <w:pgSz w:w="11907" w:h="16840"/>
      <w:pgMar w:top="1440" w:right="1080" w:bottom="1440" w:left="1080" w:header="794" w:footer="794" w:gutter="0"/>
      <w:cols w:space="720"/>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C6E6" w14:textId="77777777" w:rsidR="005859CF" w:rsidRDefault="00CA5E49">
      <w:r>
        <w:separator/>
      </w:r>
    </w:p>
  </w:endnote>
  <w:endnote w:type="continuationSeparator" w:id="0">
    <w:p w14:paraId="74D88160" w14:textId="77777777" w:rsidR="005859CF" w:rsidRDefault="00C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font>
  <w:font w:name="楷体_GB2312">
    <w:altName w:val="楷体"/>
    <w:charset w:val="86"/>
    <w:family w:val="modern"/>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昆仑楷体">
    <w:altName w:val="宋体"/>
    <w:charset w:val="00"/>
    <w:family w:val="auto"/>
    <w:pitch w:val="default"/>
    <w:sig w:usb0="00000000" w:usb1="00000000" w:usb2="00000000" w:usb3="00000000" w:csb0="FFFFFFFF"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昆仑仿宋">
    <w:altName w:val="黑体"/>
    <w:charset w:val="86"/>
    <w:family w:val="modern"/>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华文彩云">
    <w:altName w:val="微软雅黑"/>
    <w:panose1 w:val="02010800040101010101"/>
    <w:charset w:val="86"/>
    <w:family w:val="auto"/>
    <w:pitch w:val="variable"/>
    <w:sig w:usb0="00000001" w:usb1="080F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37FD" w14:textId="77777777" w:rsidR="007D1228" w:rsidRDefault="00CA5E49">
    <w:pPr>
      <w:pStyle w:val="ac"/>
      <w:framePr w:wrap="around" w:vAnchor="text" w:hAnchor="margin" w:x="8360" w:y="1"/>
      <w:snapToGrid w:val="0"/>
      <w:spacing w:after="160" w:line="240" w:lineRule="atLeast"/>
      <w:jc w:val="left"/>
      <w:rPr>
        <w:rStyle w:val="af4"/>
        <w:rFonts w:eastAsia="Times New Roman"/>
      </w:rPr>
    </w:pPr>
    <w:r>
      <w:rPr>
        <w:rStyle w:val="af4"/>
      </w:rPr>
      <w:fldChar w:fldCharType="begin"/>
    </w:r>
    <w:r>
      <w:instrText>PAGE  \* MERGEFORMAT</w:instrText>
    </w:r>
    <w:r>
      <w:fldChar w:fldCharType="separate"/>
    </w:r>
    <w:r>
      <w:rPr>
        <w:rStyle w:val="af4"/>
        <w:rFonts w:eastAsia="Times New Roman"/>
      </w:rPr>
      <w:t>4</w:t>
    </w:r>
    <w:r>
      <w:rPr>
        <w:rFonts w:eastAsia="Times New Roman"/>
      </w:rPr>
      <w:fldChar w:fldCharType="end"/>
    </w:r>
  </w:p>
  <w:p w14:paraId="5A02B77B" w14:textId="77777777" w:rsidR="007D1228" w:rsidRDefault="007D1228">
    <w:pPr>
      <w:pStyle w:val="ac"/>
      <w:snapToGrid w:val="0"/>
      <w:spacing w:after="160" w:line="240" w:lineRule="atLeast"/>
      <w:ind w:right="360" w:firstLine="360"/>
      <w:jc w:val="left"/>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F23B" w14:textId="77777777" w:rsidR="007D1228" w:rsidRDefault="00CA5E49">
    <w:pPr>
      <w:pStyle w:val="ac"/>
      <w:pBdr>
        <w:top w:val="single" w:sz="6" w:space="0" w:color="000000"/>
      </w:pBdr>
      <w:shd w:val="pct20" w:color="000000" w:fill="auto"/>
      <w:tabs>
        <w:tab w:val="clear" w:pos="8306"/>
        <w:tab w:val="left" w:pos="8295"/>
      </w:tabs>
      <w:wordWrap w:val="0"/>
      <w:snapToGrid w:val="0"/>
      <w:spacing w:after="160" w:line="240" w:lineRule="atLeast"/>
      <w:ind w:right="360"/>
      <w:jc w:val="left"/>
      <w:rPr>
        <w:rFonts w:eastAsia="华文彩云" w:hAnsi="华文彩云"/>
        <w:b/>
        <w:sz w:val="21"/>
        <w:szCs w:val="21"/>
      </w:rPr>
    </w:pPr>
    <w:r>
      <w:rPr>
        <w:rFonts w:eastAsia="华文新魏" w:hAnsi="华文新魏" w:hint="eastAsia"/>
        <w:b/>
        <w:sz w:val="21"/>
        <w:szCs w:val="21"/>
      </w:rPr>
      <w:t>江西寰宇房地产土地资产评估有限公司</w:t>
    </w:r>
    <w:r>
      <w:rPr>
        <w:rFonts w:eastAsia="华文新魏" w:hAnsi="华文新魏"/>
        <w:b/>
        <w:sz w:val="21"/>
        <w:szCs w:val="21"/>
      </w:rPr>
      <w:t xml:space="preserve">      </w:t>
    </w:r>
    <w:r>
      <w:rPr>
        <w:rFonts w:eastAsia="华文新魏" w:hAnsi="华文新魏"/>
        <w:b/>
        <w:sz w:val="21"/>
        <w:szCs w:val="21"/>
      </w:rPr>
      <w:t xml:space="preserve">　　</w:t>
    </w:r>
    <w:r>
      <w:rPr>
        <w:rFonts w:eastAsia="华文新魏" w:hAnsi="华文新魏"/>
        <w:b/>
        <w:sz w:val="21"/>
        <w:szCs w:val="21"/>
      </w:rPr>
      <w:t xml:space="preserve">   Tel:0791-86178162</w:t>
    </w:r>
    <w:r>
      <w:rPr>
        <w:rFonts w:eastAsia="华文彩云" w:hAnsi="华文彩云"/>
        <w:b/>
        <w:sz w:val="21"/>
        <w:szCs w:val="21"/>
      </w:rPr>
      <w:t xml:space="preserve">               </w:t>
    </w:r>
    <w:r>
      <w:rPr>
        <w:rFonts w:eastAsia="华文彩云" w:hAnsi="华文彩云"/>
        <w:b/>
        <w:sz w:val="21"/>
        <w:szCs w:val="21"/>
      </w:rPr>
      <w:t xml:space="preserve">　</w:t>
    </w:r>
    <w:r>
      <w:rPr>
        <w:rFonts w:eastAsia="华文彩云" w:hAnsi="华文彩云"/>
        <w:b/>
        <w:sz w:val="21"/>
        <w:szCs w:val="21"/>
      </w:rPr>
      <w:t xml:space="preserve">  </w:t>
    </w:r>
    <w:r>
      <w:rPr>
        <w:rFonts w:eastAsia="华文彩云" w:hAnsi="华文彩云"/>
        <w:b/>
        <w:sz w:val="21"/>
        <w:szCs w:val="21"/>
      </w:rPr>
      <w:t xml:space="preserve">　</w:t>
    </w:r>
    <w:r>
      <w:rPr>
        <w:rFonts w:eastAsia="华文彩云" w:hAnsi="华文彩云"/>
        <w:b/>
        <w:sz w:val="21"/>
        <w:szCs w:val="21"/>
      </w:rPr>
      <w:t xml:space="preserve"> </w:t>
    </w:r>
    <w:r>
      <w:rPr>
        <w:rFonts w:eastAsia="华文彩云" w:hAnsi="华文彩云"/>
        <w:b/>
        <w:sz w:val="21"/>
        <w:szCs w:val="21"/>
      </w:rPr>
      <w:t xml:space="preserve">　</w:t>
    </w:r>
    <w:r>
      <w:rPr>
        <w:rFonts w:eastAsia="华文彩云" w:hAnsi="华文彩云"/>
        <w:b/>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12AE" w14:textId="77777777" w:rsidR="007D1228" w:rsidRDefault="00CA5E49">
    <w:pPr>
      <w:pStyle w:val="ac"/>
      <w:rPr>
        <w:rFonts w:ascii="宋体" w:hAnsi="宋体" w:cs="宋体"/>
        <w:sz w:val="21"/>
        <w:szCs w:val="21"/>
      </w:rPr>
    </w:pPr>
    <w:r>
      <w:rPr>
        <w:rFonts w:ascii="宋体" w:hAnsi="宋体" w:cs="宋体" w:hint="eastAsia"/>
        <w:sz w:val="21"/>
        <w:szCs w:val="21"/>
      </w:rPr>
      <w:t xml:space="preserve">江西三源房地产土地资产评估咨询有限公司                      　          </w:t>
    </w:r>
    <w:r>
      <w:rPr>
        <w:rFonts w:ascii="宋体" w:hAnsi="宋体" w:cs="宋体"/>
        <w:sz w:val="21"/>
        <w:szCs w:val="21"/>
      </w:rPr>
      <w:t xml:space="preserve">   </w:t>
    </w:r>
    <w:r>
      <w:rPr>
        <w:rFonts w:ascii="宋体" w:hAnsi="宋体" w:cs="宋体" w:hint="eastAsia"/>
        <w:sz w:val="21"/>
        <w:szCs w:val="21"/>
      </w:rPr>
      <w:t>Tel:0791-8</w:t>
    </w:r>
    <w:r>
      <w:rPr>
        <w:rFonts w:ascii="宋体" w:hAnsi="宋体" w:cs="宋体"/>
        <w:sz w:val="21"/>
        <w:szCs w:val="21"/>
      </w:rPr>
      <w:t>8436993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3929" w14:textId="77777777" w:rsidR="007D1228" w:rsidRDefault="00CA5E49">
    <w:pPr>
      <w:pStyle w:val="ac"/>
      <w:rPr>
        <w:rFonts w:ascii="宋体" w:hAnsi="宋体" w:cs="宋体"/>
        <w:sz w:val="21"/>
        <w:szCs w:val="21"/>
      </w:rPr>
    </w:pPr>
    <w:r>
      <w:rPr>
        <w:noProof/>
        <w:sz w:val="21"/>
        <w:szCs w:val="21"/>
      </w:rPr>
      <mc:AlternateContent>
        <mc:Choice Requires="wps">
          <w:drawing>
            <wp:anchor distT="0" distB="0" distL="114300" distR="114300" simplePos="0" relativeHeight="251659264" behindDoc="0" locked="0" layoutInCell="1" allowOverlap="1" wp14:anchorId="5D2E87CA" wp14:editId="0527F573">
              <wp:simplePos x="0" y="0"/>
              <wp:positionH relativeFrom="margin">
                <wp:posOffset>3114675</wp:posOffset>
              </wp:positionH>
              <wp:positionV relativeFrom="paragraph">
                <wp:posOffset>26035</wp:posOffset>
              </wp:positionV>
              <wp:extent cx="228600" cy="2857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86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891078" w14:textId="77777777" w:rsidR="007D1228" w:rsidRDefault="00CA5E49">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D2E87CA" id="_x0000_t202" coordsize="21600,21600" o:spt="202" path="m,l,21600r21600,l21600,xe">
              <v:stroke joinstyle="miter"/>
              <v:path gradientshapeok="t" o:connecttype="rect"/>
            </v:shapetype>
            <v:shape id="文本框 1" o:spid="_x0000_s1026" type="#_x0000_t202" style="position:absolute;left:0;text-align:left;margin-left:245.25pt;margin-top:2.05pt;width:18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" filled="f" stroked="f" strokeweight=".5pt">
              <v:textbox inset="0,0,0,0">
                <w:txbxContent>
                  <w:p w14:paraId="20891078" w14:textId="77777777" w:rsidR="007D1228" w:rsidRDefault="00CA5E49">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w10:wrap anchorx="margin"/>
            </v:shape>
          </w:pict>
        </mc:Fallback>
      </mc:AlternateContent>
    </w:r>
    <w:r>
      <w:rPr>
        <w:rFonts w:ascii="宋体" w:hAnsi="宋体" w:cs="宋体" w:hint="eastAsia"/>
        <w:sz w:val="21"/>
        <w:szCs w:val="21"/>
      </w:rPr>
      <w:t xml:space="preserve">江西三源房地产土地资产评估咨询有限公司                      　   </w:t>
    </w:r>
    <w:r>
      <w:rPr>
        <w:rFonts w:ascii="宋体" w:hAnsi="宋体" w:cs="宋体"/>
        <w:sz w:val="21"/>
        <w:szCs w:val="21"/>
      </w:rPr>
      <w:t xml:space="preserve">         </w:t>
    </w:r>
    <w:r>
      <w:rPr>
        <w:rFonts w:ascii="宋体" w:hAnsi="宋体" w:cs="宋体" w:hint="eastAsia"/>
        <w:sz w:val="21"/>
        <w:szCs w:val="21"/>
      </w:rPr>
      <w:t xml:space="preserve"> Tel:0791-8</w:t>
    </w:r>
    <w:r>
      <w:rPr>
        <w:rFonts w:ascii="宋体" w:hAnsi="宋体" w:cs="宋体"/>
        <w:sz w:val="21"/>
        <w:szCs w:val="21"/>
      </w:rPr>
      <w:t>8436993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82A7" w14:textId="77777777" w:rsidR="007D1228" w:rsidRDefault="007D1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02F8" w14:textId="77777777" w:rsidR="005859CF" w:rsidRDefault="00CA5E49">
      <w:r>
        <w:separator/>
      </w:r>
    </w:p>
  </w:footnote>
  <w:footnote w:type="continuationSeparator" w:id="0">
    <w:p w14:paraId="59F78BF0" w14:textId="77777777" w:rsidR="005859CF" w:rsidRDefault="00C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A31E" w14:textId="77777777" w:rsidR="007D1228" w:rsidRDefault="007D1228">
    <w:pPr>
      <w:pStyle w:val="ad"/>
      <w:pBdr>
        <w:bottom w:val="single" w:sz="6" w:space="0" w:color="000000"/>
      </w:pBdr>
      <w:snapToGrid w:val="0"/>
      <w:spacing w:after="160" w:line="240" w:lineRule="atLea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A2C1" w14:textId="77777777" w:rsidR="007D1228" w:rsidRDefault="007D1228">
    <w:pPr>
      <w:pBdr>
        <w:top w:val="none" w:sz="0" w:space="1" w:color="auto"/>
        <w:left w:val="none" w:sz="0" w:space="4" w:color="auto"/>
        <w:bottom w:val="none" w:sz="0" w:space="1" w:color="auto"/>
        <w:right w:val="none" w:sz="0" w:space="4" w:color="auto"/>
      </w:pBdr>
      <w:rPr>
        <w:rFonts w:ascii="宋体" w:eastAsia="宋体" w:hAnsi="宋体" w:cs="宋体"/>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A97F" w14:textId="77777777" w:rsidR="007D1228" w:rsidRDefault="00CA5E49">
    <w:pPr>
      <w:pStyle w:val="ad"/>
      <w:pBdr>
        <w:bottom w:val="single" w:sz="12" w:space="0" w:color="000000"/>
      </w:pBdr>
      <w:shd w:val="pct20" w:color="000000" w:fill="auto"/>
      <w:tabs>
        <w:tab w:val="left" w:pos="7425"/>
      </w:tabs>
      <w:snapToGrid w:val="0"/>
      <w:spacing w:after="160" w:line="240" w:lineRule="atLeast"/>
      <w:jc w:val="left"/>
      <w:rPr>
        <w:b/>
        <w:sz w:val="21"/>
        <w:szCs w:val="21"/>
      </w:rPr>
    </w:pPr>
    <w:r>
      <w:rPr>
        <w:rFonts w:ascii="华文新魏" w:eastAsia="华文新魏" w:hAnsi="华文新魏" w:hint="eastAsia"/>
        <w:b/>
        <w:sz w:val="21"/>
        <w:szCs w:val="21"/>
      </w:rPr>
      <w:t>万载县人民法院</w:t>
    </w:r>
    <w:r>
      <w:rPr>
        <w:rFonts w:ascii="华文新魏" w:eastAsia="华文新魏" w:hAnsi="华文新魏"/>
        <w:b/>
        <w:sz w:val="21"/>
        <w:szCs w:val="21"/>
      </w:rPr>
      <w:t>因</w:t>
    </w:r>
    <w:r>
      <w:rPr>
        <w:rFonts w:ascii="华文新魏" w:eastAsia="华文新魏" w:hAnsi="华文新魏" w:hint="eastAsia"/>
        <w:b/>
        <w:sz w:val="21"/>
        <w:szCs w:val="21"/>
      </w:rPr>
      <w:t>处置事宜委估的</w:t>
    </w:r>
    <w:r>
      <w:rPr>
        <w:rFonts w:ascii="华文新魏" w:eastAsia="华文新魏" w:hAnsi="华文新魏"/>
        <w:b/>
        <w:sz w:val="21"/>
        <w:szCs w:val="21"/>
      </w:rPr>
      <w:t>评估报告书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EA7" w14:textId="77777777" w:rsidR="007D1228" w:rsidRDefault="007D1228">
    <w:pPr>
      <w:pStyle w:val="ad"/>
      <w:pBdr>
        <w:bottom w:val="none" w:sz="0" w:space="0" w:color="000000"/>
      </w:pBdr>
      <w:snapToGrid w:val="0"/>
      <w:spacing w:after="160" w:line="240" w:lineRule="atLea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DA17" w14:textId="26ACE2B2" w:rsidR="007D1228" w:rsidRPr="002A4BE0" w:rsidRDefault="00CA5E49">
    <w:pPr>
      <w:pBdr>
        <w:bottom w:val="single" w:sz="4" w:space="0" w:color="auto"/>
      </w:pBdr>
      <w:snapToGrid w:val="0"/>
      <w:jc w:val="left"/>
      <w:rPr>
        <w:rFonts w:ascii="华文新魏" w:eastAsia="宋体"/>
      </w:rPr>
    </w:pPr>
    <w:r w:rsidRPr="002A4BE0">
      <w:rPr>
        <w:rFonts w:ascii="宋体" w:eastAsia="宋体" w:hAnsi="宋体" w:cs="宋体" w:hint="eastAsia"/>
        <w:bCs/>
      </w:rPr>
      <w:t>进贤县人民法院因执行案件事宜涉及</w:t>
    </w:r>
    <w:r w:rsidR="00D70ABD">
      <w:rPr>
        <w:rFonts w:ascii="宋体" w:eastAsia="宋体" w:hAnsi="宋体" w:cs="宋体" w:hint="eastAsia"/>
        <w:bCs/>
        <w:kern w:val="2"/>
      </w:rPr>
      <w:t>连震</w:t>
    </w:r>
    <w:r w:rsidR="00BB2071" w:rsidRPr="002A4BE0">
      <w:rPr>
        <w:rFonts w:ascii="宋体" w:eastAsia="宋体" w:hAnsi="宋体" w:cs="宋体" w:hint="eastAsia"/>
        <w:bCs/>
        <w:kern w:val="2"/>
      </w:rPr>
      <w:t>所有的</w:t>
    </w:r>
    <w:r w:rsidRPr="002A4BE0">
      <w:rPr>
        <w:rFonts w:ascii="宋体" w:eastAsia="宋体" w:hAnsi="宋体" w:cs="宋体" w:hint="eastAsia"/>
        <w:bCs/>
      </w:rPr>
      <w:t xml:space="preserve">资产评估报告   </w:t>
    </w:r>
    <w:r w:rsidR="002A4BE0">
      <w:rPr>
        <w:rFonts w:ascii="宋体" w:eastAsia="宋体" w:hAnsi="宋体" w:cs="宋体"/>
        <w:bCs/>
      </w:rPr>
      <w:t xml:space="preserve">  </w:t>
    </w:r>
    <w:r>
      <w:rPr>
        <w:rFonts w:ascii="宋体" w:eastAsia="宋体" w:hAnsi="宋体" w:cs="宋体"/>
        <w:bCs/>
      </w:rPr>
      <w:t xml:space="preserve">                          </w:t>
    </w:r>
    <w:r w:rsidRPr="002A4BE0">
      <w:rPr>
        <w:rFonts w:ascii="宋体" w:eastAsia="宋体" w:hAnsi="宋体" w:cs="宋体" w:hint="eastAsia"/>
        <w:bCs/>
      </w:rPr>
      <w:t xml:space="preserve"> 目录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55D" w14:textId="3974C471" w:rsidR="007D1228" w:rsidRPr="002A4BE0" w:rsidRDefault="00CA5E49">
    <w:pPr>
      <w:pBdr>
        <w:bottom w:val="single" w:sz="4" w:space="0" w:color="auto"/>
      </w:pBdr>
      <w:snapToGrid w:val="0"/>
      <w:jc w:val="left"/>
      <w:rPr>
        <w:rFonts w:ascii="华文新魏" w:eastAsia="宋体"/>
      </w:rPr>
    </w:pPr>
    <w:r w:rsidRPr="002A4BE0">
      <w:rPr>
        <w:rFonts w:ascii="宋体" w:eastAsia="宋体" w:hAnsi="宋体" w:cs="宋体" w:hint="eastAsia"/>
        <w:bCs/>
      </w:rPr>
      <w:t>进贤县人民法院因执行案件事宜涉及</w:t>
    </w:r>
    <w:r w:rsidR="00D70ABD">
      <w:rPr>
        <w:rFonts w:ascii="宋体" w:eastAsia="宋体" w:hAnsi="宋体" w:cs="宋体" w:hint="eastAsia"/>
        <w:bCs/>
        <w:kern w:val="2"/>
      </w:rPr>
      <w:t>连震</w:t>
    </w:r>
    <w:r w:rsidR="00BB2071" w:rsidRPr="002A4BE0">
      <w:rPr>
        <w:rFonts w:ascii="宋体" w:eastAsia="宋体" w:hAnsi="宋体" w:cs="宋体" w:hint="eastAsia"/>
        <w:bCs/>
        <w:kern w:val="2"/>
      </w:rPr>
      <w:t>所有的</w:t>
    </w:r>
    <w:r>
      <w:rPr>
        <w:rFonts w:ascii="宋体" w:eastAsia="宋体" w:hAnsi="宋体" w:cs="宋体" w:hint="eastAsia"/>
        <w:bCs/>
        <w:kern w:val="2"/>
      </w:rPr>
      <w:t>资产评估报告</w:t>
    </w:r>
    <w:r w:rsidRPr="002A4BE0">
      <w:rPr>
        <w:rFonts w:ascii="宋体" w:eastAsia="宋体" w:hAnsi="宋体" w:cs="宋体" w:hint="eastAsia"/>
        <w:bCs/>
      </w:rPr>
      <w:t xml:space="preserve">               </w:t>
    </w:r>
    <w:r w:rsidR="002A4BE0">
      <w:rPr>
        <w:rFonts w:ascii="宋体" w:eastAsia="宋体" w:hAnsi="宋体" w:cs="宋体"/>
        <w:bCs/>
      </w:rPr>
      <w:t xml:space="preserve">  </w:t>
    </w:r>
    <w:r>
      <w:rPr>
        <w:rFonts w:ascii="宋体" w:eastAsia="宋体" w:hAnsi="宋体" w:cs="宋体"/>
        <w:bCs/>
      </w:rPr>
      <w:t xml:space="preserve">               </w:t>
    </w:r>
    <w:r w:rsidRPr="002A4BE0">
      <w:rPr>
        <w:rFonts w:ascii="宋体" w:eastAsia="宋体" w:hAnsi="宋体" w:cs="宋体" w:hint="eastAsia"/>
        <w:bCs/>
      </w:rPr>
      <w:t>声明</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53A9" w14:textId="7F14636E" w:rsidR="007D1228" w:rsidRPr="002A4BE0" w:rsidRDefault="00CA5E49">
    <w:pPr>
      <w:pBdr>
        <w:bottom w:val="single" w:sz="4" w:space="0" w:color="auto"/>
      </w:pBdr>
      <w:snapToGrid w:val="0"/>
      <w:jc w:val="left"/>
      <w:rPr>
        <w:rFonts w:ascii="华文新魏" w:eastAsia="宋体"/>
      </w:rPr>
    </w:pPr>
    <w:bookmarkStart w:id="5" w:name="_Hlk103080167"/>
    <w:r w:rsidRPr="002A4BE0">
      <w:rPr>
        <w:rFonts w:ascii="宋体" w:eastAsia="宋体" w:hAnsi="宋体" w:cs="宋体" w:hint="eastAsia"/>
        <w:bCs/>
      </w:rPr>
      <w:t>进贤县人民法院因执行案件事宜涉及</w:t>
    </w:r>
    <w:r w:rsidR="00D70ABD">
      <w:rPr>
        <w:rFonts w:ascii="宋体" w:eastAsia="宋体" w:hAnsi="宋体" w:cs="宋体" w:hint="eastAsia"/>
        <w:bCs/>
        <w:kern w:val="2"/>
      </w:rPr>
      <w:t>连震</w:t>
    </w:r>
    <w:r w:rsidR="00BB2071" w:rsidRPr="002A4BE0">
      <w:rPr>
        <w:rFonts w:ascii="宋体" w:eastAsia="宋体" w:hAnsi="宋体" w:cs="宋体" w:hint="eastAsia"/>
        <w:bCs/>
        <w:kern w:val="2"/>
      </w:rPr>
      <w:t>所有的</w:t>
    </w:r>
    <w:r w:rsidRPr="002A4BE0">
      <w:rPr>
        <w:rFonts w:ascii="宋体" w:eastAsia="宋体" w:hAnsi="宋体" w:cs="宋体" w:hint="eastAsia"/>
        <w:bCs/>
      </w:rPr>
      <w:t>资产评估报告</w:t>
    </w:r>
    <w:bookmarkEnd w:id="5"/>
    <w:r w:rsidRPr="002A4BE0">
      <w:rPr>
        <w:rFonts w:ascii="宋体" w:eastAsia="宋体" w:hAnsi="宋体" w:cs="宋体" w:hint="eastAsia"/>
        <w:bCs/>
      </w:rPr>
      <w:t xml:space="preserve">   </w:t>
    </w:r>
    <w:r w:rsidR="002A4BE0">
      <w:rPr>
        <w:rFonts w:ascii="宋体" w:eastAsia="宋体" w:hAnsi="宋体" w:cs="宋体"/>
        <w:bCs/>
      </w:rPr>
      <w:t xml:space="preserve">  </w:t>
    </w:r>
    <w:r w:rsidRPr="002A4BE0">
      <w:rPr>
        <w:rFonts w:ascii="宋体" w:eastAsia="宋体" w:hAnsi="宋体" w:cs="宋体" w:hint="eastAsia"/>
        <w:bCs/>
      </w:rPr>
      <w:t xml:space="preserve"> </w:t>
    </w:r>
    <w:r>
      <w:rPr>
        <w:rFonts w:ascii="宋体" w:eastAsia="宋体" w:hAnsi="宋体" w:cs="宋体"/>
        <w:bCs/>
      </w:rPr>
      <w:t xml:space="preserve">                          </w:t>
    </w:r>
    <w:r w:rsidRPr="002A4BE0">
      <w:rPr>
        <w:rFonts w:ascii="宋体" w:eastAsia="宋体" w:hAnsi="宋体" w:cs="宋体" w:hint="eastAsia"/>
        <w:bCs/>
      </w:rPr>
      <w:t>摘要</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8514" w14:textId="249ECFBC" w:rsidR="007D1228" w:rsidRPr="00CA5E49" w:rsidRDefault="00EF166F" w:rsidP="002A4BE0">
    <w:pPr>
      <w:pBdr>
        <w:left w:val="none" w:sz="0" w:space="4" w:color="auto"/>
        <w:bottom w:val="single" w:sz="4" w:space="1" w:color="auto"/>
        <w:right w:val="none" w:sz="0" w:space="4" w:color="auto"/>
      </w:pBdr>
      <w:rPr>
        <w:rFonts w:ascii="宋体" w:eastAsia="宋体" w:hAnsi="宋体" w:cs="宋体"/>
        <w:bCs/>
      </w:rPr>
    </w:pPr>
    <w:r w:rsidRPr="00CA5E49">
      <w:rPr>
        <w:rFonts w:ascii="宋体" w:eastAsia="宋体" w:hAnsi="宋体" w:cs="宋体" w:hint="eastAsia"/>
        <w:bCs/>
      </w:rPr>
      <w:t>进贤县人民法院因执行案件事宜涉及</w:t>
    </w:r>
    <w:r w:rsidR="00D70ABD">
      <w:rPr>
        <w:rFonts w:ascii="宋体" w:eastAsia="宋体" w:hAnsi="宋体" w:cs="宋体" w:hint="eastAsia"/>
        <w:bCs/>
      </w:rPr>
      <w:t>连震</w:t>
    </w:r>
    <w:r w:rsidRPr="00CA5E49">
      <w:rPr>
        <w:rFonts w:ascii="宋体" w:eastAsia="宋体" w:hAnsi="宋体" w:cs="宋体" w:hint="eastAsia"/>
        <w:bCs/>
      </w:rPr>
      <w:t>所有的资产评估报告</w:t>
    </w:r>
    <w:r w:rsidR="00CA5E49" w:rsidRPr="00CA5E49">
      <w:rPr>
        <w:rFonts w:ascii="宋体" w:eastAsia="宋体" w:hAnsi="宋体" w:cs="宋体" w:hint="eastAsia"/>
        <w:bCs/>
      </w:rPr>
      <w:t xml:space="preserve">             </w:t>
    </w:r>
    <w:r w:rsidR="00D72D31" w:rsidRPr="00CA5E49">
      <w:rPr>
        <w:rFonts w:ascii="宋体" w:eastAsia="宋体" w:hAnsi="宋体" w:cs="宋体"/>
        <w:bCs/>
      </w:rPr>
      <w:t xml:space="preserve">       </w:t>
    </w:r>
    <w:r w:rsidR="00CA5E49" w:rsidRPr="00CA5E49">
      <w:rPr>
        <w:rFonts w:ascii="宋体" w:eastAsia="宋体" w:hAnsi="宋体" w:cs="宋体" w:hint="eastAsia"/>
        <w:bCs/>
      </w:rPr>
      <w:t xml:space="preserve">  </w:t>
    </w:r>
    <w:r w:rsidR="00CA5E49">
      <w:rPr>
        <w:rFonts w:ascii="宋体" w:eastAsia="宋体" w:hAnsi="宋体" w:cs="宋体"/>
        <w:bCs/>
      </w:rPr>
      <w:t xml:space="preserve">          </w:t>
    </w:r>
    <w:r w:rsidR="00CA5E49" w:rsidRPr="00CA5E49">
      <w:rPr>
        <w:rFonts w:ascii="宋体" w:eastAsia="宋体" w:hAnsi="宋体" w:cs="宋体" w:hint="eastAsia"/>
        <w:bCs/>
      </w:rPr>
      <w:t>正文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0B2" w14:textId="751B2222" w:rsidR="007D1228" w:rsidRPr="00CA5E49" w:rsidRDefault="00EF166F">
    <w:pPr>
      <w:pStyle w:val="ad"/>
      <w:pBdr>
        <w:bottom w:val="single" w:sz="4" w:space="0" w:color="auto"/>
      </w:pBdr>
      <w:jc w:val="both"/>
      <w:rPr>
        <w:rFonts w:ascii="宋体" w:eastAsia="宋体" w:hAnsi="宋体"/>
        <w:sz w:val="21"/>
        <w:szCs w:val="21"/>
        <w:shd w:val="pct10" w:color="000000" w:fill="FFFFFF"/>
      </w:rPr>
    </w:pPr>
    <w:r w:rsidRPr="00CA5E49">
      <w:rPr>
        <w:rFonts w:ascii="宋体" w:eastAsia="宋体" w:hAnsi="宋体" w:cs="宋体" w:hint="eastAsia"/>
        <w:bCs/>
        <w:sz w:val="21"/>
        <w:szCs w:val="21"/>
      </w:rPr>
      <w:t>进贤县人民法院因执行案件事宜涉及</w:t>
    </w:r>
    <w:r w:rsidR="00C76E69">
      <w:rPr>
        <w:rFonts w:ascii="宋体" w:eastAsia="宋体" w:hAnsi="宋体" w:cs="宋体" w:hint="eastAsia"/>
        <w:bCs/>
        <w:sz w:val="21"/>
        <w:szCs w:val="21"/>
      </w:rPr>
      <w:t>连震</w:t>
    </w:r>
    <w:r w:rsidRPr="00CA5E49">
      <w:rPr>
        <w:rFonts w:ascii="宋体" w:eastAsia="宋体" w:hAnsi="宋体" w:cs="宋体" w:hint="eastAsia"/>
        <w:bCs/>
        <w:kern w:val="2"/>
        <w:sz w:val="21"/>
        <w:szCs w:val="21"/>
      </w:rPr>
      <w:t>所有的</w:t>
    </w:r>
    <w:r w:rsidRPr="00CA5E49">
      <w:rPr>
        <w:rFonts w:ascii="宋体" w:eastAsia="宋体" w:hAnsi="宋体" w:cs="宋体" w:hint="eastAsia"/>
        <w:bCs/>
        <w:sz w:val="21"/>
        <w:szCs w:val="21"/>
      </w:rPr>
      <w:t>资产评估报告</w:t>
    </w:r>
    <w:r w:rsidR="00CA5E49" w:rsidRPr="00CA5E49">
      <w:rPr>
        <w:rFonts w:ascii="宋体" w:eastAsia="宋体" w:hAnsi="宋体" w:cs="宋体" w:hint="eastAsia"/>
        <w:bCs/>
        <w:sz w:val="21"/>
        <w:szCs w:val="21"/>
      </w:rPr>
      <w:t xml:space="preserve"> </w:t>
    </w:r>
    <w:r w:rsidR="00D72D31" w:rsidRPr="00CA5E49">
      <w:rPr>
        <w:rFonts w:ascii="宋体" w:eastAsia="宋体" w:hAnsi="宋体" w:cs="宋体"/>
        <w:bCs/>
        <w:sz w:val="21"/>
        <w:szCs w:val="21"/>
      </w:rPr>
      <w:t xml:space="preserve">         </w:t>
    </w:r>
    <w:r w:rsidR="00CA5E49">
      <w:rPr>
        <w:rFonts w:ascii="宋体" w:eastAsia="宋体" w:hAnsi="宋体" w:cs="宋体"/>
        <w:bCs/>
        <w:sz w:val="21"/>
        <w:szCs w:val="21"/>
      </w:rPr>
      <w:t xml:space="preserve">          </w:t>
    </w:r>
    <w:r w:rsidR="00CA5E49" w:rsidRPr="00CA5E49">
      <w:rPr>
        <w:rFonts w:ascii="宋体" w:eastAsia="宋体" w:hAnsi="宋体" w:cs="宋体" w:hint="eastAsia"/>
        <w:bCs/>
        <w:sz w:val="21"/>
        <w:szCs w:val="21"/>
      </w:rPr>
      <w:t>资产评估报告附件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66CA" w14:textId="609B7C28" w:rsidR="007D1228" w:rsidRPr="00CA5E49" w:rsidRDefault="00B525AD">
    <w:pPr>
      <w:pBdr>
        <w:top w:val="none" w:sz="0" w:space="1" w:color="auto"/>
        <w:left w:val="none" w:sz="0" w:space="4" w:color="auto"/>
        <w:bottom w:val="single" w:sz="4" w:space="1" w:color="auto"/>
        <w:right w:val="none" w:sz="0" w:space="4" w:color="auto"/>
      </w:pBdr>
      <w:rPr>
        <w:rFonts w:ascii="宋体" w:eastAsia="宋体" w:hAnsi="宋体" w:cs="宋体"/>
        <w:bCs/>
      </w:rPr>
    </w:pPr>
    <w:r w:rsidRPr="00CA5E49">
      <w:rPr>
        <w:rFonts w:ascii="宋体" w:eastAsia="宋体" w:hAnsi="宋体" w:cs="宋体" w:hint="eastAsia"/>
        <w:bCs/>
      </w:rPr>
      <w:t>进贤县人民法院因执行案件事宜涉及</w:t>
    </w:r>
    <w:r w:rsidR="00C76E69">
      <w:rPr>
        <w:rFonts w:ascii="宋体" w:eastAsia="宋体" w:hAnsi="宋体" w:cs="宋体" w:hint="eastAsia"/>
        <w:bCs/>
      </w:rPr>
      <w:t>连震</w:t>
    </w:r>
    <w:r w:rsidRPr="00CA5E49">
      <w:rPr>
        <w:rFonts w:ascii="宋体" w:eastAsia="宋体" w:hAnsi="宋体" w:cs="宋体" w:hint="eastAsia"/>
        <w:bCs/>
        <w:kern w:val="2"/>
      </w:rPr>
      <w:t>所有的</w:t>
    </w:r>
    <w:r w:rsidRPr="00CA5E49">
      <w:rPr>
        <w:rFonts w:ascii="宋体" w:eastAsia="宋体" w:hAnsi="宋体" w:cs="宋体" w:hint="eastAsia"/>
        <w:bCs/>
      </w:rPr>
      <w:t>资产评估报告</w:t>
    </w:r>
    <w:r w:rsidR="00CA5E49" w:rsidRPr="00CA5E49">
      <w:rPr>
        <w:rFonts w:ascii="宋体" w:eastAsia="宋体" w:hAnsi="宋体" w:cs="宋体" w:hint="eastAsia"/>
        <w:bCs/>
      </w:rPr>
      <w:t xml:space="preserve">    </w:t>
    </w:r>
    <w:r w:rsidR="00D72D31" w:rsidRPr="00CA5E49">
      <w:rPr>
        <w:rFonts w:ascii="宋体" w:eastAsia="宋体" w:hAnsi="宋体" w:cs="宋体"/>
        <w:bCs/>
      </w:rPr>
      <w:t xml:space="preserve">     </w:t>
    </w:r>
    <w:r w:rsidR="00CA5E49">
      <w:rPr>
        <w:rFonts w:ascii="宋体" w:eastAsia="宋体" w:hAnsi="宋体" w:cs="宋体"/>
        <w:bCs/>
      </w:rPr>
      <w:t xml:space="preserve">          </w:t>
    </w:r>
    <w:r w:rsidR="00D72D31" w:rsidRPr="00CA5E49">
      <w:rPr>
        <w:rFonts w:ascii="宋体" w:eastAsia="宋体" w:hAnsi="宋体" w:cs="宋体"/>
        <w:bCs/>
      </w:rPr>
      <w:t xml:space="preserve"> </w:t>
    </w:r>
    <w:r w:rsidR="00CA5E49" w:rsidRPr="00CA5E49">
      <w:rPr>
        <w:rFonts w:ascii="宋体" w:eastAsia="宋体" w:hAnsi="宋体" w:cs="宋体" w:hint="eastAsia"/>
        <w:bCs/>
      </w:rPr>
      <w:t>资产评估师承诺函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5301"/>
    <w:multiLevelType w:val="multilevel"/>
    <w:tmpl w:val="343D5301"/>
    <w:lvl w:ilvl="0">
      <w:start w:val="1"/>
      <w:numFmt w:val="upperLetter"/>
      <w:pStyle w:val="3"/>
      <w:lvlText w:val="%1、"/>
      <w:lvlJc w:val="left"/>
      <w:pPr>
        <w:tabs>
          <w:tab w:val="left" w:pos="1280"/>
        </w:tabs>
        <w:ind w:left="1280" w:hanging="720"/>
        <w:jc w:val="both"/>
      </w:pPr>
      <w:rPr>
        <w:w w:val="100"/>
        <w:sz w:val="20"/>
        <w:szCs w:val="20"/>
        <w:shd w:val="clear" w:color="auto" w:fill="auto"/>
      </w:rPr>
    </w:lvl>
    <w:lvl w:ilvl="1">
      <w:start w:val="1"/>
      <w:numFmt w:val="lowerLetter"/>
      <w:lvlText w:val="%2)"/>
      <w:lvlJc w:val="left"/>
      <w:pPr>
        <w:tabs>
          <w:tab w:val="left" w:pos="1400"/>
        </w:tabs>
        <w:ind w:left="1400" w:hanging="420"/>
        <w:jc w:val="both"/>
      </w:pPr>
    </w:lvl>
    <w:lvl w:ilvl="2">
      <w:start w:val="1"/>
      <w:numFmt w:val="lowerRoman"/>
      <w:lvlText w:val="%3."/>
      <w:lvlJc w:val="right"/>
      <w:pPr>
        <w:tabs>
          <w:tab w:val="left" w:pos="1820"/>
        </w:tabs>
        <w:ind w:left="1820" w:hanging="420"/>
        <w:jc w:val="both"/>
      </w:pPr>
    </w:lvl>
    <w:lvl w:ilvl="3">
      <w:start w:val="1"/>
      <w:numFmt w:val="decimal"/>
      <w:pStyle w:val="4"/>
      <w:lvlText w:val="%4."/>
      <w:lvlJc w:val="left"/>
      <w:pPr>
        <w:tabs>
          <w:tab w:val="left" w:pos="2240"/>
        </w:tabs>
        <w:ind w:left="2240" w:hanging="420"/>
        <w:jc w:val="both"/>
      </w:pPr>
    </w:lvl>
    <w:lvl w:ilvl="4">
      <w:start w:val="1"/>
      <w:numFmt w:val="lowerLetter"/>
      <w:pStyle w:val="5"/>
      <w:lvlText w:val="%5)"/>
      <w:lvlJc w:val="left"/>
      <w:pPr>
        <w:tabs>
          <w:tab w:val="left" w:pos="2660"/>
        </w:tabs>
        <w:ind w:left="2660" w:hanging="420"/>
        <w:jc w:val="both"/>
      </w:pPr>
    </w:lvl>
    <w:lvl w:ilvl="5">
      <w:start w:val="1"/>
      <w:numFmt w:val="lowerRoman"/>
      <w:pStyle w:val="6"/>
      <w:lvlText w:val="%6."/>
      <w:lvlJc w:val="right"/>
      <w:pPr>
        <w:tabs>
          <w:tab w:val="left" w:pos="3080"/>
        </w:tabs>
        <w:ind w:left="3080" w:hanging="420"/>
        <w:jc w:val="both"/>
      </w:pPr>
    </w:lvl>
    <w:lvl w:ilvl="6">
      <w:start w:val="1"/>
      <w:numFmt w:val="decimal"/>
      <w:pStyle w:val="7"/>
      <w:lvlText w:val="%7."/>
      <w:lvlJc w:val="left"/>
      <w:pPr>
        <w:tabs>
          <w:tab w:val="left" w:pos="3500"/>
        </w:tabs>
        <w:ind w:left="3500" w:hanging="420"/>
        <w:jc w:val="both"/>
      </w:pPr>
    </w:lvl>
    <w:lvl w:ilvl="7">
      <w:start w:val="1"/>
      <w:numFmt w:val="lowerLetter"/>
      <w:pStyle w:val="8"/>
      <w:lvlText w:val="%8)"/>
      <w:lvlJc w:val="left"/>
      <w:pPr>
        <w:tabs>
          <w:tab w:val="left" w:pos="3920"/>
        </w:tabs>
        <w:ind w:left="3920" w:hanging="420"/>
        <w:jc w:val="both"/>
      </w:pPr>
    </w:lvl>
    <w:lvl w:ilvl="8">
      <w:start w:val="1"/>
      <w:numFmt w:val="lowerRoman"/>
      <w:pStyle w:val="9"/>
      <w:lvlText w:val="%9."/>
      <w:lvlJc w:val="right"/>
      <w:pPr>
        <w:tabs>
          <w:tab w:val="left" w:pos="4340"/>
        </w:tabs>
        <w:ind w:left="4340" w:hanging="420"/>
        <w:jc w:val="both"/>
      </w:pPr>
    </w:lvl>
  </w:abstractNum>
  <w:num w:numId="1" w16cid:durableId="32755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noPunctuationKerning/>
  <w:characterSpacingControl w:val="compressPunctuation"/>
  <w:hdrShapeDefaults>
    <o:shapedefaults v:ext="edit" spidmax="8193"/>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E33FDA"/>
    <w:rsid w:val="00051525"/>
    <w:rsid w:val="00062C2A"/>
    <w:rsid w:val="000636CE"/>
    <w:rsid w:val="00066E51"/>
    <w:rsid w:val="000735BF"/>
    <w:rsid w:val="000870F9"/>
    <w:rsid w:val="000B738E"/>
    <w:rsid w:val="000D1047"/>
    <w:rsid w:val="000E5CA3"/>
    <w:rsid w:val="00140721"/>
    <w:rsid w:val="00141877"/>
    <w:rsid w:val="001423E4"/>
    <w:rsid w:val="00147D74"/>
    <w:rsid w:val="00153EE6"/>
    <w:rsid w:val="00170BCE"/>
    <w:rsid w:val="001E28BD"/>
    <w:rsid w:val="001F1F9A"/>
    <w:rsid w:val="00204AE8"/>
    <w:rsid w:val="00205EAB"/>
    <w:rsid w:val="0021142F"/>
    <w:rsid w:val="002518CC"/>
    <w:rsid w:val="00260419"/>
    <w:rsid w:val="002714BC"/>
    <w:rsid w:val="002A4BE0"/>
    <w:rsid w:val="002A66EE"/>
    <w:rsid w:val="002B33A5"/>
    <w:rsid w:val="002C60F5"/>
    <w:rsid w:val="002F674B"/>
    <w:rsid w:val="00353179"/>
    <w:rsid w:val="00353C83"/>
    <w:rsid w:val="00366993"/>
    <w:rsid w:val="003958B4"/>
    <w:rsid w:val="003B3570"/>
    <w:rsid w:val="003C7AF0"/>
    <w:rsid w:val="00402DB8"/>
    <w:rsid w:val="0041031C"/>
    <w:rsid w:val="004278A2"/>
    <w:rsid w:val="00431C3B"/>
    <w:rsid w:val="00440F54"/>
    <w:rsid w:val="004646F8"/>
    <w:rsid w:val="00490FC0"/>
    <w:rsid w:val="00497F9E"/>
    <w:rsid w:val="004A7706"/>
    <w:rsid w:val="004B3E68"/>
    <w:rsid w:val="004E31CC"/>
    <w:rsid w:val="004E704F"/>
    <w:rsid w:val="005859CF"/>
    <w:rsid w:val="005A43DC"/>
    <w:rsid w:val="005C7A0C"/>
    <w:rsid w:val="006069E1"/>
    <w:rsid w:val="00612506"/>
    <w:rsid w:val="0061614F"/>
    <w:rsid w:val="006B5617"/>
    <w:rsid w:val="006E4AF8"/>
    <w:rsid w:val="00701CCF"/>
    <w:rsid w:val="007262CB"/>
    <w:rsid w:val="00757037"/>
    <w:rsid w:val="00791D3A"/>
    <w:rsid w:val="007A7CAB"/>
    <w:rsid w:val="007C01F4"/>
    <w:rsid w:val="007D1228"/>
    <w:rsid w:val="007D1BC6"/>
    <w:rsid w:val="007F6A54"/>
    <w:rsid w:val="007F6DE4"/>
    <w:rsid w:val="008163BE"/>
    <w:rsid w:val="008171A6"/>
    <w:rsid w:val="00821961"/>
    <w:rsid w:val="00883F44"/>
    <w:rsid w:val="008F60C5"/>
    <w:rsid w:val="009B1AD7"/>
    <w:rsid w:val="009B2042"/>
    <w:rsid w:val="009C0844"/>
    <w:rsid w:val="009E77F0"/>
    <w:rsid w:val="009F3E46"/>
    <w:rsid w:val="009F487A"/>
    <w:rsid w:val="00A432A4"/>
    <w:rsid w:val="00A65681"/>
    <w:rsid w:val="00A720B7"/>
    <w:rsid w:val="00A91A1A"/>
    <w:rsid w:val="00AB65D0"/>
    <w:rsid w:val="00AB6938"/>
    <w:rsid w:val="00AC308F"/>
    <w:rsid w:val="00AE5799"/>
    <w:rsid w:val="00AE64C6"/>
    <w:rsid w:val="00B101D8"/>
    <w:rsid w:val="00B245CF"/>
    <w:rsid w:val="00B42BC8"/>
    <w:rsid w:val="00B525AD"/>
    <w:rsid w:val="00B5347B"/>
    <w:rsid w:val="00B65DE8"/>
    <w:rsid w:val="00B7238B"/>
    <w:rsid w:val="00B8691B"/>
    <w:rsid w:val="00BB2071"/>
    <w:rsid w:val="00BD244C"/>
    <w:rsid w:val="00BE3C84"/>
    <w:rsid w:val="00C06910"/>
    <w:rsid w:val="00C10606"/>
    <w:rsid w:val="00C41E9F"/>
    <w:rsid w:val="00C7018E"/>
    <w:rsid w:val="00C76E69"/>
    <w:rsid w:val="00CA5578"/>
    <w:rsid w:val="00CA58B3"/>
    <w:rsid w:val="00CA5E49"/>
    <w:rsid w:val="00CB5552"/>
    <w:rsid w:val="00CB5676"/>
    <w:rsid w:val="00CB7147"/>
    <w:rsid w:val="00CE5823"/>
    <w:rsid w:val="00D25A20"/>
    <w:rsid w:val="00D2776A"/>
    <w:rsid w:val="00D55B9E"/>
    <w:rsid w:val="00D70ABD"/>
    <w:rsid w:val="00D7229D"/>
    <w:rsid w:val="00D72D31"/>
    <w:rsid w:val="00D8104B"/>
    <w:rsid w:val="00D96F14"/>
    <w:rsid w:val="00DE2B74"/>
    <w:rsid w:val="00DF7587"/>
    <w:rsid w:val="00E17BB9"/>
    <w:rsid w:val="00E22D74"/>
    <w:rsid w:val="00E27F4F"/>
    <w:rsid w:val="00E33FDA"/>
    <w:rsid w:val="00E462D8"/>
    <w:rsid w:val="00E64C2D"/>
    <w:rsid w:val="00E7035B"/>
    <w:rsid w:val="00E83C40"/>
    <w:rsid w:val="00E84596"/>
    <w:rsid w:val="00EB6BA4"/>
    <w:rsid w:val="00ED18B4"/>
    <w:rsid w:val="00EE2F02"/>
    <w:rsid w:val="00EF166F"/>
    <w:rsid w:val="00F64EA7"/>
    <w:rsid w:val="00F71B11"/>
    <w:rsid w:val="00FA1AF6"/>
    <w:rsid w:val="00FF7E29"/>
    <w:rsid w:val="014B50A3"/>
    <w:rsid w:val="0174167E"/>
    <w:rsid w:val="01E600EF"/>
    <w:rsid w:val="02224442"/>
    <w:rsid w:val="026043AB"/>
    <w:rsid w:val="02642293"/>
    <w:rsid w:val="02E078A2"/>
    <w:rsid w:val="0351141D"/>
    <w:rsid w:val="0353548E"/>
    <w:rsid w:val="036F08F0"/>
    <w:rsid w:val="03700180"/>
    <w:rsid w:val="044F277C"/>
    <w:rsid w:val="045D2367"/>
    <w:rsid w:val="04DD08D6"/>
    <w:rsid w:val="04E64974"/>
    <w:rsid w:val="06994F89"/>
    <w:rsid w:val="071B6EE8"/>
    <w:rsid w:val="07EF1B0A"/>
    <w:rsid w:val="081924B0"/>
    <w:rsid w:val="083A6115"/>
    <w:rsid w:val="088D5C0C"/>
    <w:rsid w:val="0904782C"/>
    <w:rsid w:val="091164EF"/>
    <w:rsid w:val="09502F77"/>
    <w:rsid w:val="09BB66F1"/>
    <w:rsid w:val="09E866F9"/>
    <w:rsid w:val="0A1D33A3"/>
    <w:rsid w:val="0AB01AAF"/>
    <w:rsid w:val="0AC46B6B"/>
    <w:rsid w:val="0B1051F3"/>
    <w:rsid w:val="0B145C46"/>
    <w:rsid w:val="0BAA047B"/>
    <w:rsid w:val="0BEE184B"/>
    <w:rsid w:val="0C2A5424"/>
    <w:rsid w:val="0C71479D"/>
    <w:rsid w:val="0CA61864"/>
    <w:rsid w:val="0CC716D6"/>
    <w:rsid w:val="0D3442AE"/>
    <w:rsid w:val="0D914585"/>
    <w:rsid w:val="0D9B64B5"/>
    <w:rsid w:val="0DB427FE"/>
    <w:rsid w:val="0EE2131D"/>
    <w:rsid w:val="0EE26ADA"/>
    <w:rsid w:val="10311B01"/>
    <w:rsid w:val="10A53B0E"/>
    <w:rsid w:val="119244F3"/>
    <w:rsid w:val="11E472AC"/>
    <w:rsid w:val="124104B1"/>
    <w:rsid w:val="126F4E54"/>
    <w:rsid w:val="12B809DD"/>
    <w:rsid w:val="12B93658"/>
    <w:rsid w:val="12DA0111"/>
    <w:rsid w:val="13090237"/>
    <w:rsid w:val="1310714B"/>
    <w:rsid w:val="13180C5B"/>
    <w:rsid w:val="13663A3D"/>
    <w:rsid w:val="13B9148A"/>
    <w:rsid w:val="14B0044A"/>
    <w:rsid w:val="1520250B"/>
    <w:rsid w:val="155269BD"/>
    <w:rsid w:val="15826093"/>
    <w:rsid w:val="16A81373"/>
    <w:rsid w:val="16CA0804"/>
    <w:rsid w:val="170B23B3"/>
    <w:rsid w:val="18680E6F"/>
    <w:rsid w:val="18EF6405"/>
    <w:rsid w:val="191B1E88"/>
    <w:rsid w:val="198774A9"/>
    <w:rsid w:val="19A75F9C"/>
    <w:rsid w:val="1A000FDB"/>
    <w:rsid w:val="1A7462DF"/>
    <w:rsid w:val="1A8E0BBB"/>
    <w:rsid w:val="1ACF6C99"/>
    <w:rsid w:val="1ADF067F"/>
    <w:rsid w:val="1B482881"/>
    <w:rsid w:val="1B5D6E3A"/>
    <w:rsid w:val="1B7C0542"/>
    <w:rsid w:val="1BB0060E"/>
    <w:rsid w:val="1BEC15FD"/>
    <w:rsid w:val="1C5A3056"/>
    <w:rsid w:val="1C6611A5"/>
    <w:rsid w:val="1D571236"/>
    <w:rsid w:val="1D8023FF"/>
    <w:rsid w:val="1D827C7A"/>
    <w:rsid w:val="1DBC306A"/>
    <w:rsid w:val="1DC319E5"/>
    <w:rsid w:val="1E146738"/>
    <w:rsid w:val="1E3B4932"/>
    <w:rsid w:val="1E467769"/>
    <w:rsid w:val="1FE54448"/>
    <w:rsid w:val="20410E69"/>
    <w:rsid w:val="20512FC6"/>
    <w:rsid w:val="20A30BC0"/>
    <w:rsid w:val="20B66777"/>
    <w:rsid w:val="20B85BF3"/>
    <w:rsid w:val="21155A8C"/>
    <w:rsid w:val="21AC0A6D"/>
    <w:rsid w:val="21B62C69"/>
    <w:rsid w:val="220E4452"/>
    <w:rsid w:val="22971CC5"/>
    <w:rsid w:val="22F8225B"/>
    <w:rsid w:val="231751B9"/>
    <w:rsid w:val="23761AB4"/>
    <w:rsid w:val="238B1301"/>
    <w:rsid w:val="23B61D7F"/>
    <w:rsid w:val="23F45531"/>
    <w:rsid w:val="25922137"/>
    <w:rsid w:val="25C03AB5"/>
    <w:rsid w:val="25DD0455"/>
    <w:rsid w:val="25E249EE"/>
    <w:rsid w:val="262E4D6E"/>
    <w:rsid w:val="265B7C36"/>
    <w:rsid w:val="26A62805"/>
    <w:rsid w:val="26D12BEC"/>
    <w:rsid w:val="27082A53"/>
    <w:rsid w:val="2767388E"/>
    <w:rsid w:val="278F73FB"/>
    <w:rsid w:val="27A75727"/>
    <w:rsid w:val="2823634F"/>
    <w:rsid w:val="283C5653"/>
    <w:rsid w:val="29072ED0"/>
    <w:rsid w:val="290A0E41"/>
    <w:rsid w:val="291B23A4"/>
    <w:rsid w:val="29272BDA"/>
    <w:rsid w:val="293654C9"/>
    <w:rsid w:val="294651D9"/>
    <w:rsid w:val="2AF8186E"/>
    <w:rsid w:val="2B145390"/>
    <w:rsid w:val="2B24427D"/>
    <w:rsid w:val="2B390D5C"/>
    <w:rsid w:val="2B8150AA"/>
    <w:rsid w:val="2C2E49C9"/>
    <w:rsid w:val="2D2B5489"/>
    <w:rsid w:val="2D9821A1"/>
    <w:rsid w:val="2DC46F0B"/>
    <w:rsid w:val="2E6400C8"/>
    <w:rsid w:val="2E7C3095"/>
    <w:rsid w:val="2F080567"/>
    <w:rsid w:val="2F29236C"/>
    <w:rsid w:val="2F8A3817"/>
    <w:rsid w:val="2F8F7749"/>
    <w:rsid w:val="2FA53A94"/>
    <w:rsid w:val="300E0097"/>
    <w:rsid w:val="30262852"/>
    <w:rsid w:val="30A45E44"/>
    <w:rsid w:val="30E71D0E"/>
    <w:rsid w:val="313B27EB"/>
    <w:rsid w:val="324F3F64"/>
    <w:rsid w:val="328B2BF7"/>
    <w:rsid w:val="32E60FD5"/>
    <w:rsid w:val="332B14D8"/>
    <w:rsid w:val="347F16E0"/>
    <w:rsid w:val="34C950AB"/>
    <w:rsid w:val="35556CD9"/>
    <w:rsid w:val="35672AAA"/>
    <w:rsid w:val="359104C3"/>
    <w:rsid w:val="360929A3"/>
    <w:rsid w:val="367335B0"/>
    <w:rsid w:val="36BC2529"/>
    <w:rsid w:val="36D82DA9"/>
    <w:rsid w:val="373B1937"/>
    <w:rsid w:val="37E65F02"/>
    <w:rsid w:val="38261556"/>
    <w:rsid w:val="384D64A5"/>
    <w:rsid w:val="38985959"/>
    <w:rsid w:val="39216785"/>
    <w:rsid w:val="398A1C00"/>
    <w:rsid w:val="398A6F5A"/>
    <w:rsid w:val="398C0A5F"/>
    <w:rsid w:val="399C6F8D"/>
    <w:rsid w:val="39D40225"/>
    <w:rsid w:val="39E5450B"/>
    <w:rsid w:val="3A727D52"/>
    <w:rsid w:val="3A8C5C8D"/>
    <w:rsid w:val="3AAE3992"/>
    <w:rsid w:val="3B504886"/>
    <w:rsid w:val="3BFA0481"/>
    <w:rsid w:val="3C331E2C"/>
    <w:rsid w:val="3C886754"/>
    <w:rsid w:val="3D0627E4"/>
    <w:rsid w:val="3D7A6328"/>
    <w:rsid w:val="3DD226EE"/>
    <w:rsid w:val="3DD774E2"/>
    <w:rsid w:val="3EDB0C75"/>
    <w:rsid w:val="3F014EB2"/>
    <w:rsid w:val="3F2446BF"/>
    <w:rsid w:val="3F646011"/>
    <w:rsid w:val="40606164"/>
    <w:rsid w:val="41D239B6"/>
    <w:rsid w:val="41E6456F"/>
    <w:rsid w:val="42071A93"/>
    <w:rsid w:val="42641E65"/>
    <w:rsid w:val="436C1618"/>
    <w:rsid w:val="43970445"/>
    <w:rsid w:val="43A73DCC"/>
    <w:rsid w:val="4462580B"/>
    <w:rsid w:val="44823ECF"/>
    <w:rsid w:val="44CB7269"/>
    <w:rsid w:val="44D27D8B"/>
    <w:rsid w:val="474B0084"/>
    <w:rsid w:val="47703672"/>
    <w:rsid w:val="47C0277D"/>
    <w:rsid w:val="482626BA"/>
    <w:rsid w:val="48657DD8"/>
    <w:rsid w:val="4924709B"/>
    <w:rsid w:val="49A75249"/>
    <w:rsid w:val="49E16960"/>
    <w:rsid w:val="4A027F59"/>
    <w:rsid w:val="4A132D93"/>
    <w:rsid w:val="4A3843DA"/>
    <w:rsid w:val="4A995112"/>
    <w:rsid w:val="4AE306CE"/>
    <w:rsid w:val="4BFC267D"/>
    <w:rsid w:val="4C35532D"/>
    <w:rsid w:val="4C9A7973"/>
    <w:rsid w:val="4CBE7FD0"/>
    <w:rsid w:val="4D3672BA"/>
    <w:rsid w:val="4D9F6011"/>
    <w:rsid w:val="4DCC5283"/>
    <w:rsid w:val="4E0355BA"/>
    <w:rsid w:val="4E3A47B3"/>
    <w:rsid w:val="4EEF6708"/>
    <w:rsid w:val="4F9E04C1"/>
    <w:rsid w:val="4FBB1B8E"/>
    <w:rsid w:val="4FD44695"/>
    <w:rsid w:val="4FF17A69"/>
    <w:rsid w:val="502402D6"/>
    <w:rsid w:val="5032636A"/>
    <w:rsid w:val="51AB4DF8"/>
    <w:rsid w:val="51E53A8F"/>
    <w:rsid w:val="51F62202"/>
    <w:rsid w:val="52396F12"/>
    <w:rsid w:val="526E5CF6"/>
    <w:rsid w:val="52A65876"/>
    <w:rsid w:val="539004E8"/>
    <w:rsid w:val="53CF3C83"/>
    <w:rsid w:val="53E54BF6"/>
    <w:rsid w:val="546A7D8D"/>
    <w:rsid w:val="5544245F"/>
    <w:rsid w:val="55605A3B"/>
    <w:rsid w:val="55EC7713"/>
    <w:rsid w:val="56626247"/>
    <w:rsid w:val="56937362"/>
    <w:rsid w:val="569E2D4D"/>
    <w:rsid w:val="56AC13A1"/>
    <w:rsid w:val="56BA0D6D"/>
    <w:rsid w:val="56F3176F"/>
    <w:rsid w:val="56F3332F"/>
    <w:rsid w:val="573642EA"/>
    <w:rsid w:val="57C04F45"/>
    <w:rsid w:val="57C8793B"/>
    <w:rsid w:val="57D77418"/>
    <w:rsid w:val="58097F4A"/>
    <w:rsid w:val="581D2F49"/>
    <w:rsid w:val="5877213D"/>
    <w:rsid w:val="587D6FFE"/>
    <w:rsid w:val="591062B7"/>
    <w:rsid w:val="59246FDE"/>
    <w:rsid w:val="59460852"/>
    <w:rsid w:val="595A27EF"/>
    <w:rsid w:val="596B115C"/>
    <w:rsid w:val="59843A65"/>
    <w:rsid w:val="59CD3322"/>
    <w:rsid w:val="59CD551F"/>
    <w:rsid w:val="59DC7FA8"/>
    <w:rsid w:val="59EA5FD9"/>
    <w:rsid w:val="5A613D9B"/>
    <w:rsid w:val="5AD44870"/>
    <w:rsid w:val="5AE765E1"/>
    <w:rsid w:val="5B0343F9"/>
    <w:rsid w:val="5B07381A"/>
    <w:rsid w:val="5B4755FB"/>
    <w:rsid w:val="5BB41C06"/>
    <w:rsid w:val="5BD425D7"/>
    <w:rsid w:val="5C626991"/>
    <w:rsid w:val="5C752F56"/>
    <w:rsid w:val="5C9377A2"/>
    <w:rsid w:val="5CF30FC5"/>
    <w:rsid w:val="5CFB1BB8"/>
    <w:rsid w:val="5D004544"/>
    <w:rsid w:val="5D29585F"/>
    <w:rsid w:val="5D4413E2"/>
    <w:rsid w:val="5D4563C3"/>
    <w:rsid w:val="5D590BF1"/>
    <w:rsid w:val="5DA40F16"/>
    <w:rsid w:val="5DB912F9"/>
    <w:rsid w:val="5E08475E"/>
    <w:rsid w:val="5E461870"/>
    <w:rsid w:val="5EA21379"/>
    <w:rsid w:val="5ECD4290"/>
    <w:rsid w:val="5F18023E"/>
    <w:rsid w:val="5F294670"/>
    <w:rsid w:val="60201E78"/>
    <w:rsid w:val="606F2AF1"/>
    <w:rsid w:val="60735398"/>
    <w:rsid w:val="60F02F53"/>
    <w:rsid w:val="60F113E7"/>
    <w:rsid w:val="6103607B"/>
    <w:rsid w:val="611E542C"/>
    <w:rsid w:val="618C55A1"/>
    <w:rsid w:val="61973E8B"/>
    <w:rsid w:val="61B913E8"/>
    <w:rsid w:val="61DA4367"/>
    <w:rsid w:val="6276523A"/>
    <w:rsid w:val="63240081"/>
    <w:rsid w:val="632802FB"/>
    <w:rsid w:val="63427712"/>
    <w:rsid w:val="63635806"/>
    <w:rsid w:val="63EC752C"/>
    <w:rsid w:val="63F21361"/>
    <w:rsid w:val="64124C15"/>
    <w:rsid w:val="65251992"/>
    <w:rsid w:val="653E454E"/>
    <w:rsid w:val="655763F6"/>
    <w:rsid w:val="65EA2AB9"/>
    <w:rsid w:val="661E3CD9"/>
    <w:rsid w:val="666B0EB2"/>
    <w:rsid w:val="66D36892"/>
    <w:rsid w:val="66F9123C"/>
    <w:rsid w:val="67D07ABB"/>
    <w:rsid w:val="6896002B"/>
    <w:rsid w:val="68B4359B"/>
    <w:rsid w:val="69005871"/>
    <w:rsid w:val="69012D97"/>
    <w:rsid w:val="69A304A2"/>
    <w:rsid w:val="6A7C4EED"/>
    <w:rsid w:val="6B7D58C1"/>
    <w:rsid w:val="6BDD7D3D"/>
    <w:rsid w:val="6CAD6D91"/>
    <w:rsid w:val="6CD73F7B"/>
    <w:rsid w:val="6D130CC3"/>
    <w:rsid w:val="6D5F3C9C"/>
    <w:rsid w:val="6E4715B8"/>
    <w:rsid w:val="6E847A5D"/>
    <w:rsid w:val="6E853229"/>
    <w:rsid w:val="6E9B0471"/>
    <w:rsid w:val="6ECA466C"/>
    <w:rsid w:val="6F1E1203"/>
    <w:rsid w:val="6F2341B1"/>
    <w:rsid w:val="6F5535DF"/>
    <w:rsid w:val="6F8E17D6"/>
    <w:rsid w:val="70606FFE"/>
    <w:rsid w:val="70765CA0"/>
    <w:rsid w:val="71884197"/>
    <w:rsid w:val="72037104"/>
    <w:rsid w:val="725C06A7"/>
    <w:rsid w:val="72776C43"/>
    <w:rsid w:val="72AB1D10"/>
    <w:rsid w:val="72DA4C14"/>
    <w:rsid w:val="72F133CC"/>
    <w:rsid w:val="73011035"/>
    <w:rsid w:val="731D5635"/>
    <w:rsid w:val="73735D7F"/>
    <w:rsid w:val="74071B52"/>
    <w:rsid w:val="743C03C6"/>
    <w:rsid w:val="745309F9"/>
    <w:rsid w:val="7494600E"/>
    <w:rsid w:val="755A1A1D"/>
    <w:rsid w:val="75697E17"/>
    <w:rsid w:val="75EE6019"/>
    <w:rsid w:val="7627582D"/>
    <w:rsid w:val="77D558DE"/>
    <w:rsid w:val="78254D45"/>
    <w:rsid w:val="78892E2F"/>
    <w:rsid w:val="78941847"/>
    <w:rsid w:val="78FC1C10"/>
    <w:rsid w:val="79407F4F"/>
    <w:rsid w:val="7963186E"/>
    <w:rsid w:val="7AA235E7"/>
    <w:rsid w:val="7AD20038"/>
    <w:rsid w:val="7AEB2358"/>
    <w:rsid w:val="7BD71253"/>
    <w:rsid w:val="7BE730D7"/>
    <w:rsid w:val="7C2F1AA4"/>
    <w:rsid w:val="7C6378E7"/>
    <w:rsid w:val="7DC82F18"/>
    <w:rsid w:val="7DEC2FD1"/>
    <w:rsid w:val="7E020E28"/>
    <w:rsid w:val="7E1A7979"/>
    <w:rsid w:val="7F1E6FE0"/>
    <w:rsid w:val="7F697724"/>
    <w:rsid w:val="7F7017A1"/>
    <w:rsid w:val="7FC267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DAF8F"/>
  <w15:docId w15:val="{5C9B3356-E2F1-476D-94E1-C584415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qFormat="1"/>
    <w:lsdException w:name="annotation text" w:qFormat="1"/>
    <w:lsdException w:name="header" w:qFormat="1"/>
    <w:lsdException w:name="footer" w:qFormat="1"/>
    <w:lsdException w:name="caption" w:qFormat="1"/>
    <w:lsdException w:name="page number" w:qFormat="1"/>
    <w:lsdException w:name="Title" w:uiPriority="6" w:qFormat="1"/>
    <w:lsdException w:name="Default Paragraph Font" w:semiHidden="1" w:uiPriority="1" w:unhideWhenUsed="1" w:qFormat="1"/>
    <w:lsdException w:name="Body Text" w:qFormat="1"/>
    <w:lsdException w:name="Body Text Indent" w:qFormat="1"/>
    <w:lsdException w:name="Subtitle" w:uiPriority="16" w:qFormat="1"/>
    <w:lsdException w:name="Salutation" w:qFormat="1"/>
    <w:lsdException w:name="Date" w:qFormat="1"/>
    <w:lsdException w:name="Body Text First Indent" w:qFormat="1"/>
    <w:lsdException w:name="Body Text Indent 2" w:qFormat="1"/>
    <w:lsdException w:name="Body Text Indent 3" w:qFormat="1"/>
    <w:lsdException w:name="Hyperlink" w:qFormat="1"/>
    <w:lsdException w:name="FollowedHyperlink" w:qFormat="1"/>
    <w:lsdException w:name="Strong" w:uiPriority="20" w:qFormat="1"/>
    <w:lsdException w:name="Emphasis" w:uiPriority="18"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semiHidden="1"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eastAsia="Times New Roman" w:cstheme="minorBidi"/>
      <w:sz w:val="21"/>
      <w:szCs w:val="21"/>
    </w:rPr>
  </w:style>
  <w:style w:type="paragraph" w:styleId="1">
    <w:name w:val="heading 1"/>
    <w:basedOn w:val="a"/>
    <w:next w:val="a"/>
    <w:uiPriority w:val="7"/>
    <w:qFormat/>
    <w:pPr>
      <w:keepNext/>
      <w:ind w:left="561" w:firstLine="840"/>
      <w:outlineLvl w:val="0"/>
    </w:pPr>
    <w:rPr>
      <w:rFonts w:ascii="仿宋_GB2312" w:eastAsia="仿宋_GB2312" w:hAnsi="仿宋_GB2312"/>
      <w:sz w:val="28"/>
      <w:szCs w:val="28"/>
    </w:rPr>
  </w:style>
  <w:style w:type="paragraph" w:styleId="2">
    <w:name w:val="heading 2"/>
    <w:basedOn w:val="a"/>
    <w:next w:val="a"/>
    <w:uiPriority w:val="8"/>
    <w:qFormat/>
    <w:pPr>
      <w:keepNext/>
      <w:jc w:val="center"/>
      <w:outlineLvl w:val="1"/>
    </w:pPr>
    <w:rPr>
      <w:rFonts w:ascii="宋体" w:eastAsia="宋体" w:hAnsi="宋体"/>
      <w:b/>
      <w:sz w:val="20"/>
      <w:szCs w:val="20"/>
    </w:rPr>
  </w:style>
  <w:style w:type="paragraph" w:styleId="3">
    <w:name w:val="heading 3"/>
    <w:basedOn w:val="a"/>
    <w:next w:val="a"/>
    <w:uiPriority w:val="9"/>
    <w:qFormat/>
    <w:pPr>
      <w:keepNext/>
      <w:numPr>
        <w:numId w:val="1"/>
      </w:numPr>
      <w:tabs>
        <w:tab w:val="left" w:pos="1045"/>
      </w:tabs>
      <w:outlineLvl w:val="2"/>
    </w:pPr>
    <w:rPr>
      <w:rFonts w:ascii="楷体_GB2312" w:eastAsia="楷体_GB2312" w:hAnsi="楷体_GB2312"/>
      <w:sz w:val="28"/>
      <w:szCs w:val="28"/>
    </w:rPr>
  </w:style>
  <w:style w:type="paragraph" w:styleId="4">
    <w:name w:val="heading 4"/>
    <w:basedOn w:val="a"/>
    <w:next w:val="a"/>
    <w:uiPriority w:val="10"/>
    <w:qFormat/>
    <w:pPr>
      <w:keepNext/>
      <w:keepLines/>
      <w:numPr>
        <w:ilvl w:val="3"/>
        <w:numId w:val="1"/>
      </w:numPr>
      <w:outlineLvl w:val="3"/>
    </w:pPr>
    <w:rPr>
      <w:rFonts w:ascii="Arial" w:eastAsia="黑体" w:hAnsi="Arial"/>
      <w:b/>
      <w:sz w:val="28"/>
      <w:szCs w:val="28"/>
    </w:rPr>
  </w:style>
  <w:style w:type="paragraph" w:styleId="5">
    <w:name w:val="heading 5"/>
    <w:basedOn w:val="a"/>
    <w:next w:val="a"/>
    <w:uiPriority w:val="11"/>
    <w:qFormat/>
    <w:pPr>
      <w:keepNext/>
      <w:keepLines/>
      <w:numPr>
        <w:ilvl w:val="4"/>
        <w:numId w:val="1"/>
      </w:numPr>
      <w:outlineLvl w:val="4"/>
    </w:pPr>
    <w:rPr>
      <w:rFonts w:ascii="Arial" w:eastAsia="Arial" w:hAnsi="Arial"/>
      <w:b/>
      <w:sz w:val="28"/>
      <w:szCs w:val="28"/>
    </w:rPr>
  </w:style>
  <w:style w:type="paragraph" w:styleId="6">
    <w:name w:val="heading 6"/>
    <w:basedOn w:val="a"/>
    <w:next w:val="a"/>
    <w:uiPriority w:val="12"/>
    <w:qFormat/>
    <w:pPr>
      <w:keepNext/>
      <w:keepLines/>
      <w:numPr>
        <w:ilvl w:val="5"/>
        <w:numId w:val="1"/>
      </w:numPr>
      <w:outlineLvl w:val="5"/>
    </w:pPr>
    <w:rPr>
      <w:rFonts w:ascii="Arial" w:eastAsia="黑体" w:hAnsi="Arial"/>
      <w:b/>
      <w:sz w:val="24"/>
      <w:szCs w:val="24"/>
    </w:rPr>
  </w:style>
  <w:style w:type="paragraph" w:styleId="7">
    <w:name w:val="heading 7"/>
    <w:basedOn w:val="a"/>
    <w:next w:val="a"/>
    <w:uiPriority w:val="13"/>
    <w:qFormat/>
    <w:pPr>
      <w:keepNext/>
      <w:keepLines/>
      <w:numPr>
        <w:ilvl w:val="6"/>
        <w:numId w:val="1"/>
      </w:numPr>
      <w:outlineLvl w:val="6"/>
    </w:pPr>
    <w:rPr>
      <w:rFonts w:ascii="Arial" w:eastAsia="Arial" w:hAnsi="Arial"/>
      <w:b/>
      <w:sz w:val="24"/>
      <w:szCs w:val="24"/>
    </w:rPr>
  </w:style>
  <w:style w:type="paragraph" w:styleId="8">
    <w:name w:val="heading 8"/>
    <w:basedOn w:val="a"/>
    <w:next w:val="a"/>
    <w:uiPriority w:val="14"/>
    <w:qFormat/>
    <w:pPr>
      <w:keepNext/>
      <w:keepLines/>
      <w:numPr>
        <w:ilvl w:val="7"/>
        <w:numId w:val="1"/>
      </w:numPr>
      <w:outlineLvl w:val="7"/>
    </w:pPr>
    <w:rPr>
      <w:rFonts w:ascii="Arial" w:eastAsia="黑体" w:hAnsi="Arial"/>
      <w:sz w:val="24"/>
      <w:szCs w:val="24"/>
    </w:rPr>
  </w:style>
  <w:style w:type="paragraph" w:styleId="9">
    <w:name w:val="heading 9"/>
    <w:basedOn w:val="a"/>
    <w:next w:val="a"/>
    <w:uiPriority w:val="15"/>
    <w:qFormat/>
    <w:pPr>
      <w:keepNext/>
      <w:keepLines/>
      <w:numPr>
        <w:ilvl w:val="8"/>
        <w:numId w:val="1"/>
      </w:numPr>
      <w:outlineLvl w:val="8"/>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eastAsia="Times New Roman" w:cstheme="minorBidi"/>
      <w:sz w:val="21"/>
      <w:szCs w:val="21"/>
    </w:rPr>
  </w:style>
  <w:style w:type="paragraph" w:styleId="a3">
    <w:name w:val="Normal Indent"/>
    <w:basedOn w:val="a"/>
    <w:qFormat/>
    <w:pPr>
      <w:ind w:firstLine="420"/>
    </w:pPr>
    <w:rPr>
      <w:sz w:val="20"/>
      <w:szCs w:val="20"/>
    </w:rPr>
  </w:style>
  <w:style w:type="paragraph" w:styleId="a4">
    <w:name w:val="caption"/>
    <w:basedOn w:val="a"/>
    <w:next w:val="a"/>
    <w:qFormat/>
    <w:pPr>
      <w:tabs>
        <w:tab w:val="left" w:pos="375"/>
      </w:tabs>
      <w:autoSpaceDE w:val="0"/>
      <w:autoSpaceDN w:val="0"/>
      <w:ind w:left="375" w:firstLine="45"/>
      <w:textAlignment w:val="baseline"/>
    </w:pPr>
    <w:rPr>
      <w:sz w:val="28"/>
      <w:szCs w:val="28"/>
    </w:rPr>
  </w:style>
  <w:style w:type="paragraph" w:styleId="a5">
    <w:name w:val="annotation text"/>
    <w:basedOn w:val="a"/>
    <w:qFormat/>
  </w:style>
  <w:style w:type="paragraph" w:styleId="a6">
    <w:name w:val="Salutation"/>
    <w:basedOn w:val="a"/>
    <w:next w:val="a"/>
    <w:qFormat/>
    <w:rPr>
      <w:sz w:val="28"/>
      <w:szCs w:val="28"/>
    </w:rPr>
  </w:style>
  <w:style w:type="paragraph" w:styleId="a7">
    <w:name w:val="Body Text"/>
    <w:basedOn w:val="a"/>
    <w:qFormat/>
    <w:pPr>
      <w:textAlignment w:val="baseline"/>
    </w:pPr>
    <w:rPr>
      <w:sz w:val="20"/>
      <w:szCs w:val="20"/>
    </w:rPr>
  </w:style>
  <w:style w:type="paragraph" w:styleId="a8">
    <w:name w:val="Body Text Indent"/>
    <w:basedOn w:val="a"/>
    <w:qFormat/>
    <w:pPr>
      <w:ind w:firstLine="600"/>
    </w:pPr>
    <w:rPr>
      <w:rFonts w:ascii="宋体" w:eastAsia="宋体" w:hAnsi="宋体"/>
      <w:b/>
      <w:sz w:val="30"/>
      <w:szCs w:val="30"/>
    </w:rPr>
  </w:style>
  <w:style w:type="paragraph" w:styleId="TOC5">
    <w:name w:val="toc 5"/>
    <w:next w:val="a"/>
    <w:uiPriority w:val="32"/>
    <w:unhideWhenUsed/>
    <w:qFormat/>
    <w:pPr>
      <w:ind w:left="1700"/>
      <w:jc w:val="both"/>
    </w:pPr>
    <w:rPr>
      <w:rFonts w:eastAsia="Times New Roman" w:cstheme="minorBidi"/>
      <w:sz w:val="21"/>
      <w:szCs w:val="21"/>
    </w:rPr>
  </w:style>
  <w:style w:type="paragraph" w:styleId="TOC3">
    <w:name w:val="toc 3"/>
    <w:next w:val="a"/>
    <w:uiPriority w:val="30"/>
    <w:unhideWhenUsed/>
    <w:qFormat/>
    <w:pPr>
      <w:ind w:left="850"/>
      <w:jc w:val="both"/>
    </w:pPr>
    <w:rPr>
      <w:rFonts w:eastAsia="Times New Roman" w:cstheme="minorBidi"/>
      <w:sz w:val="21"/>
      <w:szCs w:val="21"/>
    </w:rPr>
  </w:style>
  <w:style w:type="paragraph" w:styleId="a9">
    <w:name w:val="Plain Text"/>
    <w:basedOn w:val="a"/>
    <w:qFormat/>
    <w:rPr>
      <w:rFonts w:ascii="宋体" w:eastAsia="Courier New" w:hAnsi="宋体"/>
      <w:sz w:val="20"/>
      <w:szCs w:val="20"/>
    </w:rPr>
  </w:style>
  <w:style w:type="paragraph" w:styleId="TOC8">
    <w:name w:val="toc 8"/>
    <w:next w:val="a"/>
    <w:uiPriority w:val="35"/>
    <w:unhideWhenUsed/>
    <w:qFormat/>
    <w:pPr>
      <w:ind w:left="2975"/>
      <w:jc w:val="both"/>
    </w:pPr>
    <w:rPr>
      <w:rFonts w:eastAsia="Times New Roman" w:cstheme="minorBidi"/>
      <w:sz w:val="21"/>
      <w:szCs w:val="21"/>
    </w:rPr>
  </w:style>
  <w:style w:type="paragraph" w:styleId="aa">
    <w:name w:val="Date"/>
    <w:basedOn w:val="a"/>
    <w:next w:val="a"/>
    <w:qFormat/>
    <w:pPr>
      <w:ind w:left="100"/>
    </w:pPr>
    <w:rPr>
      <w:rFonts w:ascii="楷体_GB2312" w:eastAsia="楷体_GB2312" w:hAnsi="楷体_GB2312"/>
      <w:sz w:val="28"/>
      <w:szCs w:val="28"/>
    </w:rPr>
  </w:style>
  <w:style w:type="paragraph" w:styleId="20">
    <w:name w:val="Body Text Indent 2"/>
    <w:basedOn w:val="a"/>
    <w:qFormat/>
    <w:pPr>
      <w:ind w:firstLine="600"/>
    </w:pPr>
    <w:rPr>
      <w:rFonts w:ascii="楷体_GB2312" w:eastAsia="楷体_GB2312" w:hAnsi="楷体_GB2312"/>
      <w:sz w:val="28"/>
      <w:szCs w:val="28"/>
    </w:rPr>
  </w:style>
  <w:style w:type="paragraph" w:styleId="ab">
    <w:name w:val="Balloon Text"/>
    <w:basedOn w:val="a"/>
    <w:semiHidden/>
    <w:qFormat/>
    <w:rPr>
      <w:sz w:val="18"/>
      <w:szCs w:val="18"/>
    </w:rPr>
  </w:style>
  <w:style w:type="paragraph" w:styleId="ac">
    <w:name w:val="footer"/>
    <w:basedOn w:val="a"/>
    <w:next w:val="a"/>
    <w:qFormat/>
    <w:pPr>
      <w:pBdr>
        <w:top w:val="single" w:sz="4" w:space="1" w:color="auto"/>
        <w:left w:val="none" w:sz="0" w:space="4" w:color="auto"/>
        <w:bottom w:val="none" w:sz="0" w:space="1" w:color="auto"/>
        <w:right w:val="none" w:sz="0" w:space="4" w:color="auto"/>
      </w:pBdr>
      <w:tabs>
        <w:tab w:val="center" w:pos="4153"/>
        <w:tab w:val="right" w:pos="8306"/>
      </w:tabs>
      <w:textAlignment w:val="baseline"/>
    </w:pPr>
    <w:rPr>
      <w:rFonts w:eastAsia="宋体"/>
      <w:sz w:val="18"/>
      <w:szCs w:val="18"/>
    </w:rPr>
  </w:style>
  <w:style w:type="paragraph" w:styleId="ad">
    <w:name w:val="header"/>
    <w:basedOn w:val="a"/>
    <w:next w:val="TOC8"/>
    <w:qFormat/>
    <w:pPr>
      <w:tabs>
        <w:tab w:val="center" w:pos="4153"/>
        <w:tab w:val="right" w:pos="8306"/>
      </w:tabs>
      <w:jc w:val="center"/>
      <w:textAlignment w:val="baseline"/>
    </w:pPr>
    <w:rPr>
      <w:sz w:val="18"/>
      <w:szCs w:val="18"/>
    </w:rPr>
  </w:style>
  <w:style w:type="paragraph" w:styleId="TOC1">
    <w:name w:val="toc 1"/>
    <w:next w:val="a"/>
    <w:uiPriority w:val="28"/>
    <w:unhideWhenUsed/>
    <w:qFormat/>
    <w:pPr>
      <w:jc w:val="both"/>
    </w:pPr>
    <w:rPr>
      <w:rFonts w:eastAsia="Times New Roman" w:cstheme="minorBidi"/>
      <w:sz w:val="21"/>
      <w:szCs w:val="21"/>
    </w:rPr>
  </w:style>
  <w:style w:type="paragraph" w:styleId="TOC4">
    <w:name w:val="toc 4"/>
    <w:next w:val="a"/>
    <w:uiPriority w:val="31"/>
    <w:unhideWhenUsed/>
    <w:qFormat/>
    <w:pPr>
      <w:ind w:left="1275"/>
      <w:jc w:val="both"/>
    </w:pPr>
    <w:rPr>
      <w:rFonts w:eastAsia="Times New Roman" w:cstheme="minorBidi"/>
      <w:sz w:val="21"/>
      <w:szCs w:val="21"/>
    </w:rPr>
  </w:style>
  <w:style w:type="paragraph" w:styleId="ae">
    <w:name w:val="Subtitle"/>
    <w:uiPriority w:val="16"/>
    <w:qFormat/>
    <w:pPr>
      <w:jc w:val="center"/>
    </w:pPr>
    <w:rPr>
      <w:rFonts w:eastAsia="Times New Roman" w:cstheme="minorBidi"/>
      <w:sz w:val="24"/>
      <w:szCs w:val="24"/>
    </w:rPr>
  </w:style>
  <w:style w:type="paragraph" w:styleId="TOC6">
    <w:name w:val="toc 6"/>
    <w:next w:val="a"/>
    <w:uiPriority w:val="33"/>
    <w:unhideWhenUsed/>
    <w:qFormat/>
    <w:pPr>
      <w:ind w:left="2125"/>
      <w:jc w:val="both"/>
    </w:pPr>
    <w:rPr>
      <w:rFonts w:eastAsia="Times New Roman" w:cstheme="minorBidi"/>
      <w:sz w:val="21"/>
      <w:szCs w:val="21"/>
    </w:rPr>
  </w:style>
  <w:style w:type="paragraph" w:styleId="30">
    <w:name w:val="Body Text Indent 3"/>
    <w:basedOn w:val="a"/>
    <w:qFormat/>
    <w:pPr>
      <w:ind w:firstLine="420"/>
    </w:pPr>
    <w:rPr>
      <w:rFonts w:ascii="楷体_GB2312" w:eastAsia="楷体_GB2312" w:hAnsi="楷体_GB2312"/>
      <w:sz w:val="28"/>
      <w:szCs w:val="28"/>
    </w:rPr>
  </w:style>
  <w:style w:type="paragraph" w:styleId="TOC2">
    <w:name w:val="toc 2"/>
    <w:next w:val="a"/>
    <w:uiPriority w:val="29"/>
    <w:unhideWhenUsed/>
    <w:qFormat/>
    <w:pPr>
      <w:ind w:left="425"/>
      <w:jc w:val="both"/>
    </w:pPr>
    <w:rPr>
      <w:rFonts w:eastAsia="Times New Roman" w:cstheme="minorBidi"/>
      <w:sz w:val="21"/>
      <w:szCs w:val="21"/>
    </w:rPr>
  </w:style>
  <w:style w:type="paragraph" w:styleId="TOC9">
    <w:name w:val="toc 9"/>
    <w:next w:val="a"/>
    <w:uiPriority w:val="36"/>
    <w:unhideWhenUsed/>
    <w:qFormat/>
    <w:pPr>
      <w:ind w:left="3400"/>
      <w:jc w:val="both"/>
    </w:pPr>
    <w:rPr>
      <w:rFonts w:eastAsia="Times New Roman" w:cstheme="minorBidi"/>
      <w:sz w:val="21"/>
      <w:szCs w:val="21"/>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4"/>
      <w:szCs w:val="24"/>
    </w:rPr>
  </w:style>
  <w:style w:type="paragraph" w:styleId="af">
    <w:name w:val="Normal (Web)"/>
    <w:basedOn w:val="a"/>
    <w:qFormat/>
    <w:rPr>
      <w:rFonts w:ascii="宋体" w:eastAsia="宋体" w:hAnsi="宋体"/>
      <w:sz w:val="24"/>
      <w:szCs w:val="24"/>
    </w:rPr>
  </w:style>
  <w:style w:type="paragraph" w:styleId="af0">
    <w:name w:val="Title"/>
    <w:uiPriority w:val="6"/>
    <w:qFormat/>
    <w:pPr>
      <w:jc w:val="center"/>
    </w:pPr>
    <w:rPr>
      <w:rFonts w:eastAsia="Times New Roman" w:cstheme="minorBidi"/>
      <w:b/>
      <w:sz w:val="32"/>
      <w:szCs w:val="32"/>
    </w:rPr>
  </w:style>
  <w:style w:type="paragraph" w:styleId="af1">
    <w:name w:val="Body Text First Indent"/>
    <w:qFormat/>
    <w:pPr>
      <w:ind w:firstLine="420"/>
      <w:jc w:val="both"/>
      <w:textAlignment w:val="baseline"/>
    </w:pPr>
    <w:rPr>
      <w:rFonts w:ascii="Arial" w:eastAsia="Arial" w:hAnsi="Arial" w:cstheme="minorBidi"/>
      <w:spacing w:val="-5"/>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0"/>
    <w:qFormat/>
    <w:rPr>
      <w:b/>
      <w:w w:val="100"/>
      <w:sz w:val="21"/>
      <w:szCs w:val="21"/>
      <w:shd w:val="clear" w:color="auto" w:fill="auto"/>
    </w:rPr>
  </w:style>
  <w:style w:type="character" w:styleId="af4">
    <w:name w:val="page number"/>
    <w:basedOn w:val="a0"/>
    <w:qFormat/>
  </w:style>
  <w:style w:type="character" w:styleId="af5">
    <w:name w:val="FollowedHyperlink"/>
    <w:basedOn w:val="a0"/>
    <w:qFormat/>
    <w:rPr>
      <w:color w:val="333333"/>
      <w:u w:val="none"/>
    </w:rPr>
  </w:style>
  <w:style w:type="character" w:styleId="af6">
    <w:name w:val="Emphasis"/>
    <w:basedOn w:val="a0"/>
    <w:uiPriority w:val="18"/>
    <w:qFormat/>
  </w:style>
  <w:style w:type="character" w:styleId="HTML0">
    <w:name w:val="HTML Definition"/>
    <w:basedOn w:val="a0"/>
    <w:qFormat/>
  </w:style>
  <w:style w:type="character" w:styleId="HTML1">
    <w:name w:val="HTML Variable"/>
    <w:basedOn w:val="a0"/>
    <w:qFormat/>
  </w:style>
  <w:style w:type="character" w:styleId="af7">
    <w:name w:val="Hyperlink"/>
    <w:basedOn w:val="a0"/>
    <w:qFormat/>
    <w:rPr>
      <w:color w:val="333333"/>
      <w:u w:val="none"/>
    </w:rPr>
  </w:style>
  <w:style w:type="character" w:styleId="HTML2">
    <w:name w:val="HTML Code"/>
    <w:basedOn w:val="a0"/>
    <w:qFormat/>
    <w:rPr>
      <w:rFonts w:ascii="Arial" w:eastAsia="Arial" w:hAnsi="Arial"/>
      <w:w w:val="100"/>
      <w:sz w:val="20"/>
      <w:szCs w:val="20"/>
      <w:shd w:val="clear" w:color="auto" w:fill="auto"/>
    </w:rPr>
  </w:style>
  <w:style w:type="character" w:styleId="HTML3">
    <w:name w:val="HTML Cite"/>
    <w:basedOn w:val="a0"/>
    <w:qFormat/>
  </w:style>
  <w:style w:type="character" w:styleId="HTML4">
    <w:name w:val="HTML Keyboard"/>
    <w:basedOn w:val="a0"/>
    <w:qFormat/>
    <w:rPr>
      <w:rFonts w:ascii="Arial" w:eastAsia="Arial" w:hAnsi="Arial"/>
      <w:w w:val="100"/>
      <w:sz w:val="20"/>
      <w:szCs w:val="20"/>
      <w:shd w:val="clear" w:color="auto" w:fill="auto"/>
    </w:rPr>
  </w:style>
  <w:style w:type="character" w:styleId="HTML5">
    <w:name w:val="HTML Sample"/>
    <w:basedOn w:val="a0"/>
    <w:qFormat/>
    <w:rPr>
      <w:rFonts w:ascii="Arial" w:eastAsia="Arial" w:hAnsi="Arial"/>
      <w:w w:val="100"/>
      <w:sz w:val="20"/>
      <w:szCs w:val="20"/>
      <w:shd w:val="clear" w:color="auto" w:fill="auto"/>
    </w:rPr>
  </w:style>
  <w:style w:type="paragraph" w:customStyle="1" w:styleId="Char">
    <w:name w:val="Char"/>
    <w:basedOn w:val="a"/>
    <w:next w:val="a"/>
    <w:qFormat/>
    <w:pPr>
      <w:widowControl w:val="0"/>
    </w:pPr>
    <w:rPr>
      <w:rFonts w:ascii="Tahoma" w:eastAsia="宋体"/>
      <w:sz w:val="24"/>
    </w:rPr>
  </w:style>
  <w:style w:type="paragraph" w:customStyle="1" w:styleId="10">
    <w:name w:val="无间隔1"/>
    <w:uiPriority w:val="5"/>
    <w:qFormat/>
    <w:pPr>
      <w:jc w:val="both"/>
    </w:pPr>
    <w:rPr>
      <w:rFonts w:eastAsia="Times New Roman"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customStyle="1" w:styleId="13">
    <w:name w:val="引用1"/>
    <w:uiPriority w:val="21"/>
    <w:qFormat/>
    <w:pPr>
      <w:ind w:left="864" w:right="864"/>
      <w:jc w:val="center"/>
    </w:pPr>
    <w:rPr>
      <w:rFonts w:eastAsia="Times New Roman" w:cstheme="minorBidi"/>
      <w:i/>
      <w:color w:val="404040"/>
      <w:sz w:val="21"/>
      <w:szCs w:val="21"/>
    </w:rPr>
  </w:style>
  <w:style w:type="paragraph" w:customStyle="1" w:styleId="14">
    <w:name w:val="明显引用1"/>
    <w:uiPriority w:val="22"/>
    <w:qFormat/>
    <w:pPr>
      <w:ind w:left="950" w:right="950"/>
      <w:jc w:val="center"/>
    </w:pPr>
    <w:rPr>
      <w:rFonts w:eastAsia="Times New Roman" w:cstheme="minorBidi"/>
      <w:i/>
      <w:color w:val="5B9BD5"/>
      <w:sz w:val="21"/>
      <w:szCs w:val="21"/>
    </w:rPr>
  </w:style>
  <w:style w:type="character" w:customStyle="1" w:styleId="15">
    <w:name w:val="不明显参考1"/>
    <w:uiPriority w:val="23"/>
    <w:qFormat/>
    <w:rPr>
      <w:smallCaps/>
      <w:color w:val="5A5A5A"/>
      <w:w w:val="100"/>
      <w:sz w:val="21"/>
      <w:szCs w:val="21"/>
      <w:shd w:val="clear" w:color="auto" w:fill="auto"/>
    </w:rPr>
  </w:style>
  <w:style w:type="character" w:customStyle="1" w:styleId="16">
    <w:name w:val="明显参考1"/>
    <w:uiPriority w:val="24"/>
    <w:qFormat/>
    <w:rPr>
      <w:b/>
      <w:smallCaps/>
      <w:color w:val="5B9BD5"/>
      <w:w w:val="100"/>
      <w:sz w:val="21"/>
      <w:szCs w:val="21"/>
      <w:shd w:val="clear" w:color="auto" w:fill="auto"/>
    </w:rPr>
  </w:style>
  <w:style w:type="character" w:customStyle="1" w:styleId="17">
    <w:name w:val="书籍标题1"/>
    <w:uiPriority w:val="25"/>
    <w:qFormat/>
    <w:rPr>
      <w:b/>
      <w:i/>
      <w:w w:val="100"/>
      <w:sz w:val="21"/>
      <w:szCs w:val="21"/>
      <w:shd w:val="clear" w:color="auto" w:fill="auto"/>
    </w:rPr>
  </w:style>
  <w:style w:type="paragraph" w:customStyle="1" w:styleId="18">
    <w:name w:val="列表段落1"/>
    <w:uiPriority w:val="26"/>
    <w:qFormat/>
    <w:pPr>
      <w:ind w:left="850"/>
      <w:jc w:val="both"/>
    </w:pPr>
    <w:rPr>
      <w:rFonts w:eastAsia="Times New Roman" w:cstheme="minorBidi"/>
      <w:sz w:val="21"/>
      <w:szCs w:val="21"/>
    </w:rPr>
  </w:style>
  <w:style w:type="paragraph" w:customStyle="1" w:styleId="TOC10">
    <w:name w:val="TOC 标题1"/>
    <w:uiPriority w:val="27"/>
    <w:unhideWhenUsed/>
    <w:qFormat/>
    <w:rPr>
      <w:rFonts w:eastAsia="Times New Roman" w:cstheme="minorBidi"/>
      <w:color w:val="2E74B5"/>
      <w:sz w:val="32"/>
      <w:szCs w:val="32"/>
    </w:rPr>
  </w:style>
  <w:style w:type="character" w:customStyle="1" w:styleId="bdsnopic2">
    <w:name w:val="bds_nopic2"/>
    <w:basedOn w:val="a0"/>
    <w:qFormat/>
  </w:style>
  <w:style w:type="character" w:customStyle="1" w:styleId="font21">
    <w:name w:val="font21"/>
    <w:basedOn w:val="a0"/>
    <w:qFormat/>
    <w:rPr>
      <w:rFonts w:ascii="宋体" w:eastAsia="宋体" w:hAnsi="宋体"/>
      <w:color w:val="000000"/>
      <w:w w:val="100"/>
      <w:sz w:val="20"/>
      <w:szCs w:val="20"/>
      <w:u w:val="none"/>
      <w:shd w:val="clear" w:color="auto" w:fill="auto"/>
    </w:rPr>
  </w:style>
  <w:style w:type="character" w:customStyle="1" w:styleId="num">
    <w:name w:val="num"/>
    <w:basedOn w:val="a0"/>
    <w:qFormat/>
    <w:rPr>
      <w:b/>
      <w:color w:val="FF7800"/>
      <w:w w:val="100"/>
      <w:sz w:val="20"/>
      <w:szCs w:val="20"/>
      <w:shd w:val="clear" w:color="auto" w:fill="auto"/>
    </w:rPr>
  </w:style>
  <w:style w:type="character" w:customStyle="1" w:styleId="bdsmore">
    <w:name w:val="bds_more"/>
    <w:basedOn w:val="a0"/>
    <w:qFormat/>
    <w:rPr>
      <w:rFonts w:ascii="宋体" w:eastAsia="宋体" w:hAnsi="宋体"/>
      <w:w w:val="100"/>
      <w:sz w:val="20"/>
      <w:szCs w:val="20"/>
      <w:shd w:val="clear" w:color="auto" w:fill="auto"/>
    </w:rPr>
  </w:style>
  <w:style w:type="character" w:customStyle="1" w:styleId="bdsnopic1">
    <w:name w:val="bds_nopic1"/>
    <w:basedOn w:val="a0"/>
    <w:qFormat/>
  </w:style>
  <w:style w:type="character" w:customStyle="1" w:styleId="bdsmore1">
    <w:name w:val="bds_more1"/>
    <w:basedOn w:val="a0"/>
    <w:qFormat/>
  </w:style>
  <w:style w:type="character" w:customStyle="1" w:styleId="apple-converted-space">
    <w:name w:val="apple-converted-space"/>
    <w:basedOn w:val="a0"/>
    <w:qFormat/>
  </w:style>
  <w:style w:type="character" w:customStyle="1" w:styleId="bdsmore2">
    <w:name w:val="bds_more2"/>
    <w:basedOn w:val="a0"/>
    <w:qFormat/>
  </w:style>
  <w:style w:type="character" w:customStyle="1" w:styleId="legend">
    <w:name w:val="legend"/>
    <w:basedOn w:val="a0"/>
    <w:qFormat/>
    <w:rPr>
      <w:color w:val="73B304"/>
      <w:w w:val="100"/>
      <w:sz w:val="20"/>
      <w:szCs w:val="20"/>
      <w:shd w:val="clear" w:color="000000" w:fill="FFFFFF"/>
    </w:rPr>
  </w:style>
  <w:style w:type="character" w:customStyle="1" w:styleId="bdsnopic">
    <w:name w:val="bds_nopic"/>
    <w:basedOn w:val="a0"/>
    <w:qFormat/>
  </w:style>
  <w:style w:type="paragraph" w:customStyle="1" w:styleId="Char1">
    <w:name w:val="Char1"/>
    <w:basedOn w:val="a"/>
    <w:qFormat/>
    <w:rPr>
      <w:rFonts w:ascii="Tahoma" w:eastAsia="Tahoma" w:hAnsi="Tahoma"/>
      <w:sz w:val="24"/>
      <w:szCs w:val="24"/>
    </w:rPr>
  </w:style>
  <w:style w:type="paragraph" w:customStyle="1" w:styleId="xl25">
    <w:name w:val="xl25"/>
    <w:basedOn w:val="a"/>
    <w:qFormat/>
    <w:rPr>
      <w:rFonts w:ascii="仿宋_GB2312" w:eastAsia="仿宋_GB2312" w:hAnsi="仿宋_GB2312"/>
      <w:sz w:val="24"/>
      <w:szCs w:val="24"/>
    </w:rPr>
  </w:style>
  <w:style w:type="paragraph" w:customStyle="1" w:styleId="Default">
    <w:name w:val="Default"/>
    <w:qFormat/>
    <w:pPr>
      <w:autoSpaceDE w:val="0"/>
      <w:autoSpaceDN w:val="0"/>
    </w:pPr>
    <w:rPr>
      <w:rFonts w:ascii="宋体" w:hAnsi="宋体" w:cstheme="minorBidi"/>
      <w:color w:val="000000"/>
      <w:sz w:val="24"/>
      <w:szCs w:val="24"/>
    </w:rPr>
  </w:style>
  <w:style w:type="paragraph" w:customStyle="1" w:styleId="xl37">
    <w:name w:val="xl37"/>
    <w:basedOn w:val="a"/>
    <w:qFormat/>
    <w:pPr>
      <w:jc w:val="center"/>
    </w:pPr>
    <w:rPr>
      <w:rFonts w:ascii="仿宋_GB2312" w:eastAsia="仿宋_GB2312" w:hAnsi="仿宋_GB2312"/>
      <w:b/>
      <w:sz w:val="36"/>
      <w:szCs w:val="36"/>
    </w:rPr>
  </w:style>
  <w:style w:type="paragraph" w:customStyle="1" w:styleId="xl26">
    <w:name w:val="xl26"/>
    <w:basedOn w:val="a"/>
    <w:qFormat/>
    <w:pPr>
      <w:jc w:val="center"/>
    </w:pPr>
    <w:rPr>
      <w:rFonts w:ascii="仿宋_GB2312" w:eastAsia="仿宋_GB2312" w:hAnsi="仿宋_GB2312"/>
      <w:sz w:val="24"/>
      <w:szCs w:val="24"/>
    </w:rPr>
  </w:style>
  <w:style w:type="paragraph" w:customStyle="1" w:styleId="19">
    <w:name w:val="日期1"/>
    <w:basedOn w:val="a"/>
    <w:next w:val="a"/>
    <w:qFormat/>
    <w:pPr>
      <w:autoSpaceDE w:val="0"/>
      <w:autoSpaceDN w:val="0"/>
      <w:textAlignment w:val="baseline"/>
    </w:pPr>
    <w:rPr>
      <w:rFonts w:ascii="仿宋_GB2312" w:eastAsia="仿宋_GB2312" w:hAnsi="仿宋_GB2312"/>
      <w:sz w:val="28"/>
      <w:szCs w:val="28"/>
    </w:rPr>
  </w:style>
  <w:style w:type="paragraph" w:customStyle="1" w:styleId="xl41">
    <w:name w:val="xl41"/>
    <w:basedOn w:val="a"/>
    <w:qFormat/>
    <w:rPr>
      <w:rFonts w:ascii="宋体" w:eastAsia="宋体" w:hAnsi="宋体"/>
      <w:sz w:val="24"/>
      <w:szCs w:val="24"/>
    </w:rPr>
  </w:style>
  <w:style w:type="paragraph" w:customStyle="1" w:styleId="xl33">
    <w:name w:val="xl33"/>
    <w:basedOn w:val="a"/>
    <w:qFormat/>
    <w:rPr>
      <w:sz w:val="20"/>
      <w:szCs w:val="20"/>
    </w:rPr>
  </w:style>
  <w:style w:type="paragraph" w:customStyle="1" w:styleId="xl36">
    <w:name w:val="xl36"/>
    <w:basedOn w:val="a"/>
    <w:qFormat/>
    <w:pPr>
      <w:jc w:val="right"/>
    </w:pPr>
    <w:rPr>
      <w:rFonts w:ascii="仿宋_GB2312" w:eastAsia="仿宋_GB2312" w:hAnsi="仿宋_GB2312"/>
      <w:sz w:val="18"/>
      <w:szCs w:val="18"/>
    </w:rPr>
  </w:style>
  <w:style w:type="paragraph" w:customStyle="1" w:styleId="xl31">
    <w:name w:val="xl31"/>
    <w:basedOn w:val="a"/>
    <w:qFormat/>
    <w:rPr>
      <w:rFonts w:ascii="仿宋_GB2312" w:eastAsia="仿宋_GB2312" w:hAnsi="仿宋_GB2312"/>
      <w:sz w:val="24"/>
      <w:szCs w:val="24"/>
    </w:rPr>
  </w:style>
  <w:style w:type="paragraph" w:customStyle="1" w:styleId="font7">
    <w:name w:val="font7"/>
    <w:basedOn w:val="a"/>
    <w:qFormat/>
    <w:rPr>
      <w:rFonts w:ascii="仿宋_GB2312" w:eastAsia="仿宋_GB2312" w:hAnsi="仿宋_GB2312"/>
      <w:sz w:val="18"/>
      <w:szCs w:val="18"/>
    </w:rPr>
  </w:style>
  <w:style w:type="paragraph" w:customStyle="1" w:styleId="xl38">
    <w:name w:val="xl38"/>
    <w:basedOn w:val="a"/>
    <w:qFormat/>
    <w:rPr>
      <w:rFonts w:ascii="仿宋_GB2312" w:eastAsia="仿宋_GB2312" w:hAnsi="仿宋_GB2312"/>
      <w:sz w:val="18"/>
      <w:szCs w:val="18"/>
    </w:rPr>
  </w:style>
  <w:style w:type="paragraph" w:customStyle="1" w:styleId="ZW">
    <w:name w:val="ZW"/>
    <w:basedOn w:val="a"/>
    <w:qFormat/>
    <w:pPr>
      <w:ind w:firstLine="601"/>
      <w:textAlignment w:val="baseline"/>
    </w:pPr>
    <w:rPr>
      <w:rFonts w:ascii="Arial Narrow" w:eastAsia="昆仑楷体" w:hAnsi="Arial Narrow"/>
      <w:sz w:val="28"/>
      <w:szCs w:val="28"/>
    </w:rPr>
  </w:style>
  <w:style w:type="paragraph" w:customStyle="1" w:styleId="xl29">
    <w:name w:val="xl29"/>
    <w:basedOn w:val="a"/>
    <w:qFormat/>
    <w:rPr>
      <w:sz w:val="24"/>
      <w:szCs w:val="24"/>
    </w:rPr>
  </w:style>
  <w:style w:type="paragraph" w:customStyle="1" w:styleId="font5">
    <w:name w:val="font5"/>
    <w:basedOn w:val="a"/>
    <w:qFormat/>
    <w:rPr>
      <w:rFonts w:ascii="宋体" w:eastAsia="宋体" w:hAnsi="宋体"/>
      <w:sz w:val="18"/>
      <w:szCs w:val="18"/>
    </w:rPr>
  </w:style>
  <w:style w:type="paragraph" w:customStyle="1" w:styleId="3333">
    <w:name w:val="3333"/>
    <w:basedOn w:val="a"/>
    <w:qFormat/>
    <w:pPr>
      <w:ind w:firstLine="200"/>
    </w:pPr>
    <w:rPr>
      <w:rFonts w:ascii="仿宋_GB2312" w:eastAsia="仿宋_GB2312" w:hAnsi="仿宋_GB2312"/>
      <w:sz w:val="24"/>
      <w:szCs w:val="24"/>
    </w:rPr>
  </w:style>
  <w:style w:type="paragraph" w:customStyle="1" w:styleId="xl28">
    <w:name w:val="xl28"/>
    <w:basedOn w:val="a"/>
    <w:qFormat/>
    <w:pPr>
      <w:jc w:val="center"/>
    </w:pPr>
    <w:rPr>
      <w:rFonts w:ascii="仿宋_GB2312" w:eastAsia="仿宋_GB2312" w:hAnsi="仿宋_GB2312"/>
      <w:sz w:val="24"/>
      <w:szCs w:val="24"/>
    </w:rPr>
  </w:style>
  <w:style w:type="paragraph" w:customStyle="1" w:styleId="xl40">
    <w:name w:val="xl40"/>
    <w:basedOn w:val="a"/>
    <w:qFormat/>
    <w:rPr>
      <w:rFonts w:ascii="宋体" w:eastAsia="宋体" w:hAnsi="宋体"/>
      <w:b/>
      <w:sz w:val="24"/>
      <w:szCs w:val="24"/>
    </w:rPr>
  </w:style>
  <w:style w:type="paragraph" w:customStyle="1" w:styleId="xl35">
    <w:name w:val="xl35"/>
    <w:basedOn w:val="a"/>
    <w:qFormat/>
    <w:rPr>
      <w:rFonts w:ascii="仿宋_GB2312" w:eastAsia="仿宋_GB2312" w:hAnsi="仿宋_GB2312"/>
      <w:sz w:val="24"/>
      <w:szCs w:val="24"/>
    </w:rPr>
  </w:style>
  <w:style w:type="paragraph" w:customStyle="1" w:styleId="33333">
    <w:name w:val="33333"/>
    <w:basedOn w:val="a"/>
    <w:qFormat/>
    <w:pPr>
      <w:ind w:firstLine="480"/>
    </w:pPr>
    <w:rPr>
      <w:rFonts w:ascii="仿宋" w:eastAsia="宋体" w:hAnsi="仿宋"/>
      <w:sz w:val="24"/>
      <w:szCs w:val="24"/>
    </w:rPr>
  </w:style>
  <w:style w:type="paragraph" w:customStyle="1" w:styleId="xl24">
    <w:name w:val="xl24"/>
    <w:basedOn w:val="a"/>
    <w:qFormat/>
    <w:rPr>
      <w:rFonts w:ascii="仿宋_GB2312" w:eastAsia="仿宋_GB2312" w:hAnsi="仿宋_GB2312"/>
      <w:sz w:val="18"/>
      <w:szCs w:val="18"/>
    </w:rPr>
  </w:style>
  <w:style w:type="paragraph" w:customStyle="1" w:styleId="xl30">
    <w:name w:val="xl30"/>
    <w:basedOn w:val="a"/>
    <w:qFormat/>
    <w:pPr>
      <w:jc w:val="center"/>
    </w:pPr>
    <w:rPr>
      <w:rFonts w:ascii="仿宋_GB2312" w:eastAsia="仿宋_GB2312" w:hAnsi="仿宋_GB2312"/>
      <w:sz w:val="24"/>
      <w:szCs w:val="24"/>
    </w:rPr>
  </w:style>
  <w:style w:type="paragraph" w:customStyle="1" w:styleId="xl27">
    <w:name w:val="xl27"/>
    <w:basedOn w:val="a"/>
    <w:qFormat/>
    <w:pPr>
      <w:jc w:val="center"/>
      <w:textAlignment w:val="center"/>
    </w:pPr>
    <w:rPr>
      <w:rFonts w:ascii="仿宋_GB2312" w:eastAsia="仿宋_GB2312" w:hAnsi="仿宋_GB2312"/>
      <w:sz w:val="24"/>
      <w:szCs w:val="24"/>
    </w:rPr>
  </w:style>
  <w:style w:type="paragraph" w:customStyle="1" w:styleId="xl34">
    <w:name w:val="xl34"/>
    <w:basedOn w:val="a"/>
    <w:qFormat/>
    <w:rPr>
      <w:rFonts w:ascii="仿宋_GB2312" w:eastAsia="仿宋_GB2312" w:hAnsi="仿宋_GB2312"/>
      <w:sz w:val="24"/>
      <w:szCs w:val="24"/>
    </w:rPr>
  </w:style>
  <w:style w:type="paragraph" w:customStyle="1" w:styleId="1111">
    <w:name w:val="1111"/>
    <w:basedOn w:val="a"/>
    <w:qFormat/>
    <w:pPr>
      <w:autoSpaceDE w:val="0"/>
      <w:autoSpaceDN w:val="0"/>
      <w:ind w:firstLine="640"/>
    </w:pPr>
    <w:rPr>
      <w:rFonts w:ascii="宋体" w:eastAsia="华文仿宋" w:hAnsi="宋体"/>
      <w:color w:val="000000"/>
      <w:sz w:val="32"/>
      <w:szCs w:val="32"/>
    </w:rPr>
  </w:style>
  <w:style w:type="paragraph" w:customStyle="1" w:styleId="xl32">
    <w:name w:val="xl32"/>
    <w:basedOn w:val="a"/>
    <w:qFormat/>
    <w:rPr>
      <w:rFonts w:ascii="仿宋_GB2312" w:eastAsia="仿宋_GB2312" w:hAnsi="仿宋_GB2312"/>
      <w:sz w:val="24"/>
      <w:szCs w:val="24"/>
    </w:rPr>
  </w:style>
  <w:style w:type="paragraph" w:customStyle="1" w:styleId="font6">
    <w:name w:val="font6"/>
    <w:basedOn w:val="a"/>
    <w:qFormat/>
    <w:rPr>
      <w:rFonts w:ascii="仿宋_GB2312" w:eastAsia="仿宋_GB2312" w:hAnsi="仿宋_GB2312"/>
      <w:sz w:val="24"/>
      <w:szCs w:val="24"/>
    </w:rPr>
  </w:style>
  <w:style w:type="paragraph" w:customStyle="1" w:styleId="xl39">
    <w:name w:val="xl39"/>
    <w:basedOn w:val="a"/>
    <w:qFormat/>
    <w:pPr>
      <w:textAlignment w:val="center"/>
    </w:pPr>
    <w:rPr>
      <w:rFonts w:ascii="宋体" w:eastAsia="宋体" w:hAnsi="宋体"/>
      <w:b/>
      <w:sz w:val="24"/>
      <w:szCs w:val="24"/>
    </w:rPr>
  </w:style>
  <w:style w:type="paragraph" w:customStyle="1" w:styleId="yyy">
    <w:name w:val="yyy"/>
    <w:basedOn w:val="af8"/>
    <w:qFormat/>
    <w:pPr>
      <w:spacing w:line="460" w:lineRule="exact"/>
      <w:jc w:val="left"/>
    </w:pPr>
    <w:rPr>
      <w:bCs/>
    </w:rPr>
  </w:style>
  <w:style w:type="paragraph" w:customStyle="1" w:styleId="af8">
    <w:name w:val="二级"/>
    <w:basedOn w:val="a"/>
    <w:qFormat/>
    <w:pPr>
      <w:tabs>
        <w:tab w:val="right" w:pos="9480"/>
      </w:tabs>
      <w:spacing w:line="520" w:lineRule="exact"/>
    </w:pPr>
    <w:rPr>
      <w:rFonts w:ascii="黑体" w:eastAsia="黑体" w:hAnsi="宋体"/>
      <w:b/>
      <w:color w:val="000000"/>
      <w:sz w:val="24"/>
    </w:rPr>
  </w:style>
  <w:style w:type="paragraph" w:customStyle="1" w:styleId="mmm">
    <w:name w:val="mmm"/>
    <w:basedOn w:val="a"/>
    <w:qFormat/>
    <w:pPr>
      <w:snapToGrid w:val="0"/>
      <w:spacing w:line="500" w:lineRule="exact"/>
      <w:ind w:firstLineChars="200" w:firstLine="200"/>
    </w:pPr>
    <w:rPr>
      <w:rFonts w:ascii="宋体" w:hAnsi="宋体"/>
      <w:bCs/>
      <w:sz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01">
    <w:name w:val="font01"/>
    <w:basedOn w:val="a0"/>
    <w:qFormat/>
    <w:rPr>
      <w:rFonts w:ascii="华文细黑" w:eastAsia="华文细黑" w:hAnsi="华文细黑" w:cs="华文细黑" w:hint="default"/>
      <w:color w:val="000000"/>
      <w:sz w:val="18"/>
      <w:szCs w:val="18"/>
      <w:u w:val="none"/>
      <w:vertAlign w:val="superscript"/>
    </w:rPr>
  </w:style>
  <w:style w:type="character" w:customStyle="1" w:styleId="font41">
    <w:name w:val="font41"/>
    <w:basedOn w:val="a0"/>
    <w:qFormat/>
    <w:rPr>
      <w:rFonts w:ascii="华文细黑" w:eastAsia="华文细黑" w:hAnsi="华文细黑" w:cs="华文细黑" w:hint="default"/>
      <w:color w:val="000000"/>
      <w:sz w:val="18"/>
      <w:szCs w:val="18"/>
      <w:u w:val="none"/>
      <w:vertAlign w:val="superscript"/>
    </w:rPr>
  </w:style>
  <w:style w:type="paragraph" w:customStyle="1" w:styleId="af9">
    <w:name w:val="标准"/>
    <w:basedOn w:val="a"/>
    <w:qFormat/>
    <w:pPr>
      <w:autoSpaceDE w:val="0"/>
      <w:autoSpaceDN w:val="0"/>
      <w:adjustRightInd w:val="0"/>
      <w:spacing w:line="480" w:lineRule="atLeast"/>
      <w:textAlignment w:val="bottom"/>
    </w:pPr>
    <w:rPr>
      <w:rFonts w:ascii="昆仑仿宋" w:eastAsia="昆仑仿宋"/>
      <w:spacing w:val="4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1742</Words>
  <Characters>9935</Characters>
  <Application>Microsoft Office Word</Application>
  <DocSecurity>0</DocSecurity>
  <Lines>82</Lines>
  <Paragraphs>23</Paragraphs>
  <ScaleCrop>false</ScaleCrop>
  <Company>zxcpa</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江西茂昌实业有限公司</dc:title>
  <dc:creator>zx4</dc:creator>
  <cp:lastModifiedBy>江西三源房地产土地资产评估咨询有限公司</cp:lastModifiedBy>
  <cp:revision>19</cp:revision>
  <cp:lastPrinted>2022-06-13T13:00:00Z</cp:lastPrinted>
  <dcterms:created xsi:type="dcterms:W3CDTF">2022-05-10T09:31:00Z</dcterms:created>
  <dcterms:modified xsi:type="dcterms:W3CDTF">2022-06-14T01:58:00Z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15122111039249F18E030D753C356D59</vt:lpwstr>
  </property>
</Properties>
</file>