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535"/>
          <w:tab w:val="left" w:pos="8115"/>
        </w:tabs>
        <w:autoSpaceDE w:val="0"/>
        <w:autoSpaceDN w:val="0"/>
        <w:adjustRightInd w:val="0"/>
        <w:snapToGrid w:val="0"/>
        <w:jc w:val="left"/>
        <w:textAlignment w:val="bottom"/>
        <w:outlineLvl w:val="0"/>
        <w:rPr>
          <w:rFonts w:ascii="黑体" w:eastAsia="黑体"/>
          <w:b/>
          <w:color w:val="000000"/>
          <w:sz w:val="52"/>
        </w:rPr>
      </w:pPr>
      <w:r>
        <w:rPr>
          <w:rFonts w:ascii="黑体" w:eastAsia="黑体"/>
          <w:b/>
          <w:color w:val="000000"/>
          <w:sz w:val="52"/>
        </w:rPr>
        <w:tab/>
      </w:r>
      <w:r>
        <w:rPr>
          <w:rFonts w:hint="eastAsia" w:ascii="黑体" w:eastAsia="黑体"/>
          <w:bCs/>
          <w:color w:val="000000"/>
          <w:sz w:val="44"/>
          <w:szCs w:val="44"/>
        </w:rPr>
        <w:t>涉执房地产处置司法评估报告</w:t>
      </w:r>
      <w:r>
        <w:rPr>
          <w:rFonts w:ascii="黑体" w:eastAsia="黑体"/>
          <w:b/>
          <w:color w:val="000000"/>
          <w:sz w:val="52"/>
        </w:rPr>
        <w:tab/>
      </w:r>
    </w:p>
    <w:p>
      <w:pPr>
        <w:autoSpaceDE w:val="0"/>
        <w:autoSpaceDN w:val="0"/>
        <w:adjustRightInd w:val="0"/>
        <w:snapToGrid w:val="0"/>
        <w:jc w:val="center"/>
        <w:textAlignment w:val="bottom"/>
        <w:rPr>
          <w:rFonts w:hint="eastAsia" w:ascii="仿宋_GB2312" w:eastAsia="仿宋_GB2312"/>
          <w:color w:val="000000"/>
          <w:sz w:val="28"/>
        </w:rPr>
      </w:pPr>
    </w:p>
    <w:p>
      <w:pPr>
        <w:autoSpaceDE w:val="0"/>
        <w:autoSpaceDN w:val="0"/>
        <w:adjustRightInd w:val="0"/>
        <w:snapToGrid w:val="0"/>
        <w:jc w:val="center"/>
        <w:textAlignment w:val="bottom"/>
        <w:rPr>
          <w:rFonts w:hint="eastAsia" w:ascii="仿宋_GB2312" w:eastAsia="仿宋_GB2312"/>
          <w:color w:val="000000"/>
          <w:sz w:val="28"/>
        </w:rPr>
      </w:pPr>
    </w:p>
    <w:p>
      <w:pPr>
        <w:autoSpaceDE w:val="0"/>
        <w:autoSpaceDN w:val="0"/>
        <w:adjustRightInd w:val="0"/>
        <w:snapToGrid w:val="0"/>
        <w:jc w:val="center"/>
        <w:textAlignment w:val="bottom"/>
        <w:rPr>
          <w:rFonts w:hint="eastAsia" w:ascii="仿宋_GB2312" w:hAnsi="仿宋_GB2312" w:eastAsia="仿宋_GB2312"/>
          <w:color w:val="000000"/>
          <w:sz w:val="28"/>
        </w:rPr>
      </w:pPr>
    </w:p>
    <w:p>
      <w:pPr>
        <w:adjustRightInd w:val="0"/>
        <w:snapToGrid w:val="0"/>
        <w:spacing w:line="480" w:lineRule="exact"/>
        <w:outlineLvl w:val="0"/>
        <w:rPr>
          <w:rFonts w:hint="eastAsia" w:ascii="仿宋_GB2312" w:hAnsi="仿宋_GB2312" w:eastAsia="仿宋_GB2312" w:cs="仿宋_GB2312"/>
          <w:b/>
          <w:color w:val="000000"/>
          <w:sz w:val="32"/>
        </w:rPr>
      </w:pPr>
      <w:r>
        <w:rPr>
          <w:rFonts w:hint="eastAsia" w:ascii="仿宋_GB2312" w:hAnsi="仿宋_GB2312" w:eastAsia="仿宋_GB2312" w:cs="仿宋_GB2312"/>
          <w:b/>
          <w:color w:val="000000"/>
          <w:sz w:val="30"/>
          <w:szCs w:val="30"/>
        </w:rPr>
        <w:t>估价报告编号</w:t>
      </w:r>
      <w:r>
        <w:rPr>
          <w:rFonts w:hint="eastAsia" w:ascii="仿宋_GB2312" w:hAnsi="仿宋_GB2312" w:eastAsia="仿宋_GB2312" w:cs="仿宋_GB2312"/>
          <w:b/>
          <w:color w:val="000000"/>
          <w:sz w:val="30"/>
          <w:szCs w:val="30"/>
          <w14:shadow w14:blurRad="50800" w14:dist="38100" w14:dir="2700000" w14:sx="100000" w14:sy="100000" w14:kx="0" w14:ky="0" w14:algn="tl">
            <w14:srgbClr w14:val="000000">
              <w14:alpha w14:val="60000"/>
            </w14:srgbClr>
          </w14:shadow>
        </w:rPr>
        <w:t>：</w:t>
      </w:r>
      <w:r>
        <w:rPr>
          <w:rFonts w:hint="eastAsia" w:ascii="仿宋_GB2312" w:hAnsi="仿宋_GB2312" w:eastAsia="仿宋_GB2312" w:cs="仿宋_GB2312"/>
          <w:color w:val="000000"/>
          <w:sz w:val="30"/>
          <w:szCs w:val="30"/>
        </w:rPr>
        <w:t>金正大估（202</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）第YK3-</w:t>
      </w:r>
      <w:r>
        <w:rPr>
          <w:rFonts w:hint="eastAsia" w:ascii="仿宋_GB2312" w:hAnsi="仿宋_GB2312" w:eastAsia="仿宋_GB2312" w:cs="仿宋_GB2312"/>
          <w:color w:val="000000"/>
          <w:sz w:val="30"/>
          <w:szCs w:val="30"/>
          <w:lang w:val="en-US" w:eastAsia="zh-CN"/>
        </w:rPr>
        <w:t>0504</w:t>
      </w:r>
      <w:r>
        <w:rPr>
          <w:rFonts w:hint="eastAsia" w:ascii="仿宋_GB2312" w:hAnsi="仿宋_GB2312" w:eastAsia="仿宋_GB2312" w:cs="仿宋_GB2312"/>
          <w:color w:val="000000"/>
          <w:sz w:val="30"/>
          <w:szCs w:val="30"/>
        </w:rPr>
        <w:t>号</w:t>
      </w:r>
    </w:p>
    <w:p>
      <w:pPr>
        <w:tabs>
          <w:tab w:val="left" w:pos="6195"/>
        </w:tabs>
        <w:autoSpaceDE w:val="0"/>
        <w:autoSpaceDN w:val="0"/>
        <w:adjustRightInd w:val="0"/>
        <w:snapToGrid w:val="0"/>
        <w:spacing w:line="480" w:lineRule="exact"/>
        <w:jc w:val="left"/>
        <w:textAlignment w:val="bottom"/>
        <w:rPr>
          <w:rFonts w:hint="eastAsia" w:ascii="仿宋_GB2312" w:hAnsi="仿宋_GB2312" w:eastAsia="仿宋_GB2312" w:cs="仿宋_GB2312"/>
          <w:b/>
          <w:color w:val="000000"/>
          <w:sz w:val="30"/>
          <w:szCs w:val="30"/>
        </w:rPr>
      </w:pPr>
    </w:p>
    <w:p>
      <w:pPr>
        <w:tabs>
          <w:tab w:val="left" w:pos="6195"/>
        </w:tabs>
        <w:autoSpaceDE w:val="0"/>
        <w:autoSpaceDN w:val="0"/>
        <w:adjustRightInd w:val="0"/>
        <w:snapToGrid w:val="0"/>
        <w:spacing w:line="480" w:lineRule="exact"/>
        <w:jc w:val="left"/>
        <w:textAlignment w:val="bottom"/>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估价项目名称：</w:t>
      </w:r>
      <w:r>
        <w:rPr>
          <w:rFonts w:hint="eastAsia" w:ascii="仿宋_GB2312" w:hAnsi="仿宋_GB2312" w:eastAsia="仿宋_GB2312" w:cs="仿宋_GB2312"/>
          <w:bCs/>
          <w:color w:val="000000"/>
          <w:sz w:val="30"/>
          <w:szCs w:val="30"/>
          <w:lang w:eastAsia="zh-CN"/>
        </w:rPr>
        <w:t>东阳市横店镇横店社区杨店居民小区（现门牌号为登龙路80号）</w:t>
      </w:r>
      <w:r>
        <w:rPr>
          <w:rFonts w:hint="eastAsia" w:ascii="仿宋_GB2312" w:hAnsi="仿宋_GB2312" w:eastAsia="仿宋_GB2312" w:cs="仿宋_GB2312"/>
          <w:bCs/>
          <w:color w:val="000000"/>
          <w:sz w:val="30"/>
          <w:szCs w:val="30"/>
        </w:rPr>
        <w:t>住宅房地产</w:t>
      </w:r>
      <w:r>
        <w:rPr>
          <w:rFonts w:hint="eastAsia" w:ascii="仿宋_GB2312" w:hAnsi="仿宋_GB2312" w:eastAsia="仿宋_GB2312" w:cs="仿宋_GB2312"/>
          <w:color w:val="000000"/>
          <w:sz w:val="30"/>
          <w:szCs w:val="30"/>
        </w:rPr>
        <w:t>司法估价</w:t>
      </w: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lang w:eastAsia="zh-CN"/>
        </w:rPr>
      </w:pPr>
      <w:r>
        <w:rPr>
          <w:rFonts w:hint="eastAsia" w:ascii="仿宋_GB2312" w:hAnsi="仿宋_GB2312" w:eastAsia="仿宋_GB2312" w:cs="仿宋_GB2312"/>
          <w:b/>
          <w:color w:val="000000"/>
          <w:sz w:val="30"/>
          <w:szCs w:val="30"/>
        </w:rPr>
        <w:t>估价委托人：</w:t>
      </w:r>
      <w:r>
        <w:rPr>
          <w:rFonts w:hint="eastAsia" w:ascii="仿宋_GB2312" w:hAnsi="仿宋_GB2312" w:eastAsia="仿宋_GB2312" w:cs="仿宋_GB2312"/>
          <w:bCs/>
          <w:color w:val="000000"/>
          <w:sz w:val="30"/>
          <w:szCs w:val="30"/>
          <w:lang w:eastAsia="zh-CN"/>
        </w:rPr>
        <w:t>永康市人民法院</w:t>
      </w: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p>
    <w:p>
      <w:pPr>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房地产估价机构：</w:t>
      </w:r>
      <w:r>
        <w:rPr>
          <w:rFonts w:hint="eastAsia" w:ascii="仿宋_GB2312" w:hAnsi="仿宋_GB2312" w:eastAsia="仿宋_GB2312" w:cs="仿宋_GB2312"/>
          <w:color w:val="000000"/>
          <w:sz w:val="30"/>
          <w:szCs w:val="30"/>
        </w:rPr>
        <w:t>金华市正大房地产估价师事务所有限公司</w:t>
      </w:r>
    </w:p>
    <w:p>
      <w:pPr>
        <w:tabs>
          <w:tab w:val="left" w:pos="7005"/>
        </w:tabs>
        <w:autoSpaceDE w:val="0"/>
        <w:autoSpaceDN w:val="0"/>
        <w:adjustRightInd w:val="0"/>
        <w:snapToGrid w:val="0"/>
        <w:spacing w:line="480" w:lineRule="exact"/>
        <w:textAlignment w:val="bottom"/>
        <w:outlineLvl w:val="0"/>
        <w:rPr>
          <w:rFonts w:hint="eastAsia" w:ascii="仿宋_GB2312" w:hAnsi="仿宋_GB2312" w:eastAsia="仿宋_GB2312" w:cs="仿宋_GB2312"/>
          <w:b/>
          <w:color w:val="000000"/>
          <w:sz w:val="30"/>
          <w:szCs w:val="30"/>
        </w:rPr>
      </w:pPr>
      <w:r>
        <w:rPr>
          <w:rFonts w:hint="eastAsia" w:ascii="仿宋_GB2312" w:hAnsi="仿宋_GB2312" w:eastAsia="仿宋_GB2312" w:cs="仿宋_GB2312"/>
          <w:b/>
          <w:color w:val="000000"/>
          <w:sz w:val="30"/>
          <w:szCs w:val="30"/>
        </w:rPr>
        <w:tab/>
      </w:r>
    </w:p>
    <w:p>
      <w:pPr>
        <w:autoSpaceDE w:val="0"/>
        <w:autoSpaceDN w:val="0"/>
        <w:adjustRightInd w:val="0"/>
        <w:snapToGrid w:val="0"/>
        <w:spacing w:line="480" w:lineRule="exact"/>
        <w:textAlignment w:val="bottom"/>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b/>
          <w:color w:val="000000"/>
          <w:sz w:val="30"/>
          <w:szCs w:val="30"/>
        </w:rPr>
        <w:t>注册房地产估价师：</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（注册证号</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w:t>
      </w:r>
    </w:p>
    <w:p>
      <w:pPr>
        <w:adjustRightInd w:val="0"/>
        <w:snapToGrid w:val="0"/>
        <w:spacing w:line="480" w:lineRule="exact"/>
        <w:ind w:firstLine="2700" w:firstLineChars="900"/>
        <w:outlineLvl w:val="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（注册证号</w:t>
      </w:r>
      <w:r>
        <w:rPr>
          <w:rFonts w:hint="eastAsia" w:ascii="仿宋_GB2312" w:hAnsi="仿宋_GB2312" w:eastAsia="仿宋_GB2312" w:cs="仿宋_GB2312"/>
          <w:color w:val="000000"/>
          <w:sz w:val="30"/>
          <w:szCs w:val="30"/>
          <w:lang w:val="en-US" w:eastAsia="zh-CN"/>
        </w:rPr>
        <w:t>***</w:t>
      </w:r>
      <w:r>
        <w:rPr>
          <w:rFonts w:hint="eastAsia" w:ascii="仿宋_GB2312" w:hAnsi="仿宋_GB2312" w:eastAsia="仿宋_GB2312" w:cs="仿宋_GB2312"/>
          <w:color w:val="000000"/>
          <w:sz w:val="30"/>
          <w:szCs w:val="30"/>
        </w:rPr>
        <w:t>）</w:t>
      </w:r>
    </w:p>
    <w:p>
      <w:pPr>
        <w:adjustRightInd w:val="0"/>
        <w:snapToGrid w:val="0"/>
        <w:spacing w:line="480" w:lineRule="exact"/>
        <w:outlineLvl w:val="0"/>
        <w:rPr>
          <w:rFonts w:hint="eastAsia" w:ascii="仿宋_GB2312" w:hAnsi="仿宋_GB2312" w:eastAsia="仿宋_GB2312" w:cs="仿宋_GB2312"/>
          <w:b/>
          <w:color w:val="000000"/>
          <w:sz w:val="30"/>
          <w:szCs w:val="30"/>
        </w:rPr>
      </w:pPr>
    </w:p>
    <w:p>
      <w:pPr>
        <w:adjustRightInd w:val="0"/>
        <w:snapToGrid w:val="0"/>
        <w:spacing w:line="480" w:lineRule="exact"/>
        <w:outlineLvl w:val="0"/>
        <w:rPr>
          <w:rFonts w:hint="eastAsia" w:ascii="仿宋_GB2312" w:hAnsi="仿宋_GB2312" w:eastAsia="仿宋_GB2312" w:cs="仿宋_GB2312"/>
          <w:b/>
          <w:color w:val="000000"/>
          <w:sz w:val="30"/>
          <w:szCs w:val="30"/>
          <w:lang w:eastAsia="zh-CN"/>
        </w:rPr>
      </w:pPr>
      <w:r>
        <w:rPr>
          <w:rFonts w:hint="eastAsia" w:ascii="仿宋_GB2312" w:hAnsi="仿宋_GB2312" w:eastAsia="仿宋_GB2312" w:cs="仿宋_GB2312"/>
          <w:b/>
          <w:color w:val="000000"/>
          <w:sz w:val="30"/>
          <w:szCs w:val="30"/>
        </w:rPr>
        <w:t>估价报告出具日期：</w:t>
      </w:r>
      <w:r>
        <w:rPr>
          <w:rFonts w:hint="eastAsia" w:ascii="仿宋_GB2312" w:hAnsi="仿宋_GB2312" w:eastAsia="仿宋_GB2312" w:cs="仿宋_GB2312"/>
          <w:color w:val="000000"/>
          <w:sz w:val="30"/>
          <w:szCs w:val="30"/>
          <w:lang w:eastAsia="zh-CN"/>
        </w:rPr>
        <w:t>2022年6月20日</w:t>
      </w:r>
    </w:p>
    <w:p>
      <w:pPr>
        <w:adjustRightInd w:val="0"/>
        <w:snapToGrid w:val="0"/>
        <w:spacing w:line="480" w:lineRule="exact"/>
        <w:outlineLvl w:val="0"/>
        <w:rPr>
          <w:rFonts w:hint="eastAsia" w:ascii="仿宋_GB2312" w:hAnsi="仿宋_GB2312" w:eastAsia="仿宋_GB2312" w:cs="仿宋_GB2312"/>
          <w:b/>
          <w:color w:val="000000"/>
          <w:sz w:val="30"/>
          <w:szCs w:val="30"/>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adjustRightInd w:val="0"/>
        <w:snapToGrid w:val="0"/>
        <w:outlineLvl w:val="0"/>
        <w:rPr>
          <w:rFonts w:hint="eastAsia" w:ascii="楷体_GB2312" w:eastAsia="楷体_GB2312"/>
          <w:b/>
          <w:color w:val="000000"/>
          <w:sz w:val="32"/>
        </w:rPr>
      </w:pPr>
    </w:p>
    <w:p>
      <w:pPr>
        <w:spacing w:line="420" w:lineRule="exact"/>
        <w:jc w:val="center"/>
        <w:rPr>
          <w:rFonts w:hint="eastAsia" w:eastAsia="黑体"/>
          <w:color w:val="000000"/>
          <w:sz w:val="40"/>
        </w:rPr>
      </w:pPr>
      <w:r>
        <w:rPr>
          <w:rFonts w:hint="eastAsia" w:eastAsia="黑体"/>
          <w:color w:val="000000"/>
          <w:sz w:val="40"/>
        </w:rPr>
        <w:t>致估价委托人函</w:t>
      </w:r>
    </w:p>
    <w:p>
      <w:pPr>
        <w:spacing w:line="420" w:lineRule="exact"/>
        <w:jc w:val="center"/>
        <w:rPr>
          <w:rFonts w:hint="eastAsia" w:ascii="仿宋_GB2312" w:hAnsi="仿宋_GB2312" w:eastAsia="仿宋_GB2312" w:cs="仿宋_GB2312"/>
          <w:color w:val="000000"/>
          <w:sz w:val="26"/>
          <w:szCs w:val="26"/>
        </w:rPr>
      </w:pPr>
      <w:r>
        <w:rPr>
          <w:rFonts w:hint="eastAsia" w:ascii="仿宋_GB2312" w:hAnsi="仿宋_GB2312" w:eastAsia="仿宋_GB2312" w:cs="仿宋_GB2312"/>
          <w:color w:val="000000"/>
          <w:sz w:val="26"/>
          <w:szCs w:val="26"/>
        </w:rPr>
        <w:t>金正大估（202</w:t>
      </w:r>
      <w:r>
        <w:rPr>
          <w:rFonts w:hint="eastAsia" w:ascii="仿宋_GB2312" w:hAnsi="仿宋_GB2312" w:eastAsia="仿宋_GB2312" w:cs="仿宋_GB2312"/>
          <w:color w:val="000000"/>
          <w:sz w:val="26"/>
          <w:szCs w:val="26"/>
          <w:lang w:val="en-US" w:eastAsia="zh-CN"/>
        </w:rPr>
        <w:t>2</w:t>
      </w:r>
      <w:r>
        <w:rPr>
          <w:rFonts w:hint="eastAsia" w:ascii="仿宋_GB2312" w:hAnsi="仿宋_GB2312" w:eastAsia="仿宋_GB2312" w:cs="仿宋_GB2312"/>
          <w:color w:val="000000"/>
          <w:sz w:val="26"/>
          <w:szCs w:val="26"/>
        </w:rPr>
        <w:t>）第YK3-</w:t>
      </w:r>
      <w:r>
        <w:rPr>
          <w:rFonts w:hint="eastAsia" w:ascii="仿宋_GB2312" w:hAnsi="仿宋_GB2312" w:eastAsia="仿宋_GB2312" w:cs="仿宋_GB2312"/>
          <w:color w:val="000000"/>
          <w:sz w:val="26"/>
          <w:szCs w:val="26"/>
          <w:lang w:val="en-US" w:eastAsia="zh-CN"/>
        </w:rPr>
        <w:t>0504</w:t>
      </w:r>
      <w:r>
        <w:rPr>
          <w:rFonts w:hint="eastAsia" w:ascii="仿宋_GB2312" w:hAnsi="仿宋_GB2312" w:eastAsia="仿宋_GB2312" w:cs="仿宋_GB2312"/>
          <w:color w:val="000000"/>
          <w:sz w:val="26"/>
          <w:szCs w:val="26"/>
        </w:rPr>
        <w:t>号</w:t>
      </w:r>
    </w:p>
    <w:p>
      <w:pPr>
        <w:spacing w:line="420" w:lineRule="exact"/>
        <w:textAlignment w:val="baseline"/>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2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永康市人民法院</w:t>
      </w:r>
      <w:r>
        <w:rPr>
          <w:rFonts w:hint="eastAsia" w:ascii="仿宋_GB2312" w:hAnsi="仿宋_GB2312" w:eastAsia="仿宋_GB2312" w:cs="仿宋_GB2312"/>
          <w:color w:val="000000"/>
          <w:sz w:val="28"/>
          <w:szCs w:val="28"/>
        </w:rPr>
        <w:t>：</w:t>
      </w:r>
    </w:p>
    <w:p>
      <w:pPr>
        <w:pStyle w:val="2"/>
        <w:keepNext w:val="0"/>
        <w:keepLines w:val="0"/>
        <w:pageBreakBefore w:val="0"/>
        <w:widowControl w:val="0"/>
        <w:kinsoku/>
        <w:wordWrap/>
        <w:overflowPunct/>
        <w:topLinePunct w:val="0"/>
        <w:autoSpaceDE/>
        <w:autoSpaceDN/>
        <w:bidi w:val="0"/>
        <w:adjustRightInd/>
        <w:snapToGrid/>
        <w:spacing w:line="4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受贵单位的委托[编号：（</w:t>
      </w:r>
      <w:r>
        <w:rPr>
          <w:rFonts w:hint="eastAsia" w:ascii="仿宋_GB2312" w:hAnsi="仿宋_GB2312" w:eastAsia="仿宋_GB2312" w:cs="仿宋_GB2312"/>
          <w:color w:val="000000"/>
          <w:szCs w:val="28"/>
          <w:lang w:val="en-US" w:eastAsia="zh-CN"/>
        </w:rPr>
        <w:t>2022</w:t>
      </w:r>
      <w:r>
        <w:rPr>
          <w:rFonts w:hint="eastAsia" w:ascii="仿宋_GB2312" w:hAnsi="仿宋_GB2312" w:eastAsia="仿宋_GB2312" w:cs="仿宋_GB2312"/>
          <w:color w:val="000000"/>
          <w:szCs w:val="28"/>
        </w:rPr>
        <w:t>）浙0784执</w:t>
      </w:r>
      <w:r>
        <w:rPr>
          <w:rFonts w:hint="eastAsia" w:ascii="仿宋_GB2312" w:hAnsi="仿宋_GB2312" w:eastAsia="仿宋_GB2312" w:cs="仿宋_GB2312"/>
          <w:color w:val="000000"/>
          <w:szCs w:val="28"/>
          <w:lang w:val="en-US" w:eastAsia="zh-CN"/>
        </w:rPr>
        <w:t>1141</w:t>
      </w:r>
      <w:r>
        <w:rPr>
          <w:rFonts w:hint="eastAsia" w:ascii="仿宋_GB2312" w:hAnsi="仿宋_GB2312" w:eastAsia="仿宋_GB2312" w:cs="仿宋_GB2312"/>
          <w:color w:val="000000"/>
          <w:szCs w:val="28"/>
        </w:rPr>
        <w:t>号]，我公司对位于</w:t>
      </w:r>
      <w:r>
        <w:rPr>
          <w:rFonts w:hint="eastAsia" w:ascii="仿宋_GB2312" w:hAnsi="仿宋_GB2312" w:eastAsia="仿宋_GB2312" w:cs="仿宋_GB2312"/>
          <w:color w:val="000000"/>
          <w:szCs w:val="28"/>
          <w:lang w:eastAsia="zh-CN"/>
        </w:rPr>
        <w:t>东阳市横店镇横店社区杨店居民小区（现门牌号为登龙路80号）</w:t>
      </w:r>
      <w:r>
        <w:rPr>
          <w:rFonts w:hint="eastAsia" w:ascii="仿宋_GB2312" w:hAnsi="仿宋_GB2312" w:eastAsia="仿宋_GB2312" w:cs="仿宋_GB2312"/>
          <w:color w:val="000000"/>
          <w:szCs w:val="28"/>
        </w:rPr>
        <w:t>住宅房地产进行估价。</w:t>
      </w:r>
    </w:p>
    <w:p>
      <w:pPr>
        <w:pStyle w:val="2"/>
        <w:keepNext w:val="0"/>
        <w:keepLines w:val="0"/>
        <w:pageBreakBefore w:val="0"/>
        <w:widowControl w:val="0"/>
        <w:kinsoku/>
        <w:wordWrap/>
        <w:overflowPunct/>
        <w:topLinePunct w:val="0"/>
        <w:autoSpaceDE/>
        <w:autoSpaceDN/>
        <w:bidi w:val="0"/>
        <w:adjustRightInd/>
        <w:snapToGrid/>
        <w:spacing w:line="4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估价目的：</w:t>
      </w:r>
      <w:r>
        <w:rPr>
          <w:rFonts w:hint="eastAsia" w:ascii="仿宋_GB2312" w:hAnsi="仿宋_GB2312" w:eastAsia="仿宋_GB2312" w:cs="仿宋_GB2312"/>
          <w:color w:val="000000"/>
          <w:szCs w:val="28"/>
          <w:shd w:val="clear" w:color="auto" w:fill="FFFFFF"/>
        </w:rPr>
        <w:t>为人民法院确定财产处置参考价提供参考依据</w:t>
      </w:r>
      <w:r>
        <w:rPr>
          <w:rFonts w:hint="eastAsia" w:ascii="仿宋_GB2312" w:hAnsi="仿宋_GB2312" w:eastAsia="仿宋_GB2312" w:cs="仿宋_GB2312"/>
          <w:color w:val="000000"/>
          <w:szCs w:val="28"/>
        </w:rPr>
        <w:t>。</w:t>
      </w:r>
    </w:p>
    <w:p>
      <w:pPr>
        <w:pStyle w:val="2"/>
        <w:keepNext w:val="0"/>
        <w:keepLines w:val="0"/>
        <w:pageBreakBefore w:val="0"/>
        <w:widowControl w:val="0"/>
        <w:kinsoku/>
        <w:wordWrap/>
        <w:overflowPunct/>
        <w:topLinePunct w:val="0"/>
        <w:autoSpaceDE/>
        <w:autoSpaceDN/>
        <w:bidi w:val="0"/>
        <w:adjustRightInd/>
        <w:snapToGrid/>
        <w:spacing w:line="4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估价对象：</w:t>
      </w:r>
      <w:r>
        <w:rPr>
          <w:rFonts w:hint="eastAsia" w:ascii="仿宋_GB2312" w:hAnsi="仿宋_GB2312" w:eastAsia="仿宋_GB2312" w:cs="仿宋_GB2312"/>
          <w:color w:val="000000"/>
          <w:szCs w:val="28"/>
          <w:lang w:eastAsia="zh-CN"/>
        </w:rPr>
        <w:t>王勇剑、吴婷婷</w:t>
      </w:r>
      <w:r>
        <w:rPr>
          <w:rFonts w:hint="eastAsia" w:ascii="仿宋_GB2312" w:hAnsi="仿宋_GB2312" w:eastAsia="仿宋_GB2312" w:cs="仿宋_GB2312"/>
          <w:color w:val="000000"/>
          <w:szCs w:val="28"/>
        </w:rPr>
        <w:t>所有的位于</w:t>
      </w:r>
      <w:r>
        <w:rPr>
          <w:rFonts w:hint="eastAsia" w:ascii="仿宋_GB2312" w:hAnsi="仿宋_GB2312" w:eastAsia="仿宋_GB2312" w:cs="仿宋_GB2312"/>
          <w:color w:val="000000"/>
          <w:szCs w:val="28"/>
          <w:lang w:eastAsia="zh-CN"/>
        </w:rPr>
        <w:t>东阳市横店镇横店社区杨店居民小区（现门牌号为登龙路80号）</w:t>
      </w:r>
      <w:r>
        <w:rPr>
          <w:rFonts w:hint="eastAsia" w:ascii="仿宋_GB2312" w:hAnsi="仿宋_GB2312" w:eastAsia="仿宋_GB2312" w:cs="仿宋_GB2312"/>
          <w:color w:val="000000"/>
          <w:szCs w:val="28"/>
        </w:rPr>
        <w:t>房地产，财产范围为估价对象的房屋所有权及其合法分摊的土地使用权，含室内固定装修、房屋正常使用不可分割的共用设备设施及房屋所有权人合法享用的相关权益</w:t>
      </w:r>
      <w:r>
        <w:rPr>
          <w:rFonts w:eastAsia="仿宋_GB2312"/>
          <w:color w:val="000000"/>
          <w:sz w:val="28"/>
          <w:szCs w:val="28"/>
        </w:rPr>
        <w:t>，不包括动产、债权债务、特许经营权等其他财产或权益</w:t>
      </w:r>
      <w:r>
        <w:rPr>
          <w:rFonts w:hint="eastAsia" w:ascii="仿宋_GB2312" w:hAnsi="仿宋_GB2312" w:eastAsia="仿宋_GB2312" w:cs="仿宋_GB2312"/>
          <w:color w:val="000000"/>
          <w:szCs w:val="28"/>
        </w:rPr>
        <w:t>；房屋</w:t>
      </w:r>
      <w:r>
        <w:rPr>
          <w:rFonts w:hint="eastAsia" w:ascii="仿宋_GB2312" w:hAnsi="仿宋_GB2312" w:eastAsia="仿宋_GB2312" w:cs="仿宋_GB2312"/>
          <w:color w:val="000000"/>
          <w:sz w:val="28"/>
          <w:szCs w:val="28"/>
        </w:rPr>
        <w:t>建筑面积</w:t>
      </w:r>
      <w:r>
        <w:rPr>
          <w:rFonts w:hint="eastAsia" w:ascii="仿宋_GB2312" w:hAnsi="仿宋_GB2312" w:eastAsia="仿宋_GB2312" w:cs="仿宋_GB2312"/>
          <w:color w:val="000000"/>
          <w:sz w:val="28"/>
          <w:szCs w:val="28"/>
          <w:lang w:eastAsia="zh-CN"/>
        </w:rPr>
        <w:t>587.91</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Cs w:val="28"/>
        </w:rPr>
        <w:t>用途住宅；土地使用权面积</w:t>
      </w:r>
      <w:r>
        <w:rPr>
          <w:rFonts w:hint="eastAsia" w:ascii="仿宋_GB2312" w:hAnsi="仿宋_GB2312" w:eastAsia="仿宋_GB2312" w:cs="仿宋_GB2312"/>
          <w:color w:val="000000"/>
          <w:szCs w:val="28"/>
          <w:lang w:val="en-US" w:eastAsia="zh-CN"/>
        </w:rPr>
        <w:t>152</w:t>
      </w:r>
      <w:r>
        <w:rPr>
          <w:rFonts w:hint="eastAsia" w:ascii="仿宋_GB2312" w:hAnsi="仿宋_GB2312" w:eastAsia="仿宋_GB2312" w:cs="仿宋_GB2312"/>
          <w:color w:val="000000"/>
          <w:szCs w:val="28"/>
        </w:rPr>
        <w:t>平方米，土地使用权类型为出让，土地用途</w:t>
      </w:r>
      <w:r>
        <w:rPr>
          <w:rFonts w:hint="eastAsia" w:ascii="仿宋_GB2312" w:hAnsi="仿宋_GB2312" w:eastAsia="仿宋_GB2312" w:cs="仿宋_GB2312"/>
          <w:color w:val="000000"/>
          <w:sz w:val="28"/>
          <w:szCs w:val="28"/>
          <w:lang w:val="en-US" w:eastAsia="zh-CN"/>
        </w:rPr>
        <w:t>住宅</w:t>
      </w:r>
      <w:r>
        <w:rPr>
          <w:rFonts w:hint="eastAsia" w:ascii="仿宋_GB2312" w:hAnsi="仿宋_GB2312" w:eastAsia="仿宋_GB2312" w:cs="仿宋_GB2312"/>
          <w:color w:val="000000"/>
          <w:sz w:val="28"/>
          <w:szCs w:val="28"/>
        </w:rPr>
        <w:t>用地</w:t>
      </w:r>
      <w:r>
        <w:rPr>
          <w:rFonts w:hint="eastAsia" w:ascii="仿宋_GB2312" w:hAnsi="仿宋_GB2312" w:eastAsia="仿宋_GB2312" w:cs="仿宋_GB2312"/>
          <w:color w:val="000000"/>
          <w:szCs w:val="28"/>
        </w:rPr>
        <w:t>，终止日期</w:t>
      </w:r>
      <w:r>
        <w:rPr>
          <w:rFonts w:hint="eastAsia" w:ascii="仿宋_GB2312" w:hAnsi="仿宋_GB2312" w:eastAsia="仿宋_GB2312" w:cs="仿宋_GB2312"/>
          <w:color w:val="000000"/>
          <w:szCs w:val="28"/>
          <w:lang w:eastAsia="zh-CN"/>
        </w:rPr>
        <w:t>2075年7月3日</w:t>
      </w:r>
      <w:r>
        <w:rPr>
          <w:rFonts w:hint="eastAsia" w:ascii="仿宋_GB2312" w:hAnsi="仿宋_GB2312" w:eastAsia="仿宋_GB2312" w:cs="仿宋_GB2312"/>
          <w:color w:val="000000"/>
          <w:szCs w:val="28"/>
        </w:rPr>
        <w:t>。</w:t>
      </w:r>
    </w:p>
    <w:p>
      <w:pPr>
        <w:pStyle w:val="2"/>
        <w:keepNext w:val="0"/>
        <w:keepLines w:val="0"/>
        <w:pageBreakBefore w:val="0"/>
        <w:widowControl w:val="0"/>
        <w:kinsoku/>
        <w:wordWrap/>
        <w:overflowPunct/>
        <w:topLinePunct w:val="0"/>
        <w:autoSpaceDE/>
        <w:autoSpaceDN/>
        <w:bidi w:val="0"/>
        <w:adjustRightInd/>
        <w:snapToGrid/>
        <w:spacing w:line="4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价值时点：</w:t>
      </w:r>
      <w:r>
        <w:rPr>
          <w:rFonts w:hint="eastAsia" w:ascii="仿宋_GB2312" w:hAnsi="仿宋_GB2312" w:eastAsia="仿宋_GB2312" w:cs="仿宋_GB2312"/>
          <w:color w:val="000000"/>
          <w:szCs w:val="28"/>
          <w:lang w:eastAsia="zh-CN"/>
        </w:rPr>
        <w:t>2022年6月15日</w:t>
      </w:r>
      <w:r>
        <w:rPr>
          <w:rFonts w:hint="eastAsia" w:ascii="仿宋_GB2312" w:hAnsi="仿宋_GB2312" w:eastAsia="仿宋_GB2312" w:cs="仿宋_GB2312"/>
          <w:color w:val="000000"/>
          <w:szCs w:val="28"/>
        </w:rPr>
        <w:t>。</w:t>
      </w:r>
    </w:p>
    <w:p>
      <w:pPr>
        <w:pStyle w:val="5"/>
        <w:keepNext w:val="0"/>
        <w:keepLines w:val="0"/>
        <w:pageBreakBefore w:val="0"/>
        <w:widowControl w:val="0"/>
        <w:kinsoku/>
        <w:wordWrap/>
        <w:overflowPunct/>
        <w:topLinePunct w:val="0"/>
        <w:autoSpaceDE/>
        <w:autoSpaceDN/>
        <w:bidi w:val="0"/>
        <w:adjustRightInd/>
        <w:snapToGrid/>
        <w:spacing w:line="420" w:lineRule="exact"/>
        <w:jc w:val="both"/>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价值类型：市场价格。</w:t>
      </w:r>
    </w:p>
    <w:p>
      <w:pPr>
        <w:pStyle w:val="2"/>
        <w:keepNext w:val="0"/>
        <w:keepLines w:val="0"/>
        <w:pageBreakBefore w:val="0"/>
        <w:widowControl w:val="0"/>
        <w:kinsoku/>
        <w:wordWrap/>
        <w:overflowPunct/>
        <w:topLinePunct w:val="0"/>
        <w:autoSpaceDE/>
        <w:autoSpaceDN/>
        <w:bidi w:val="0"/>
        <w:adjustRightInd/>
        <w:snapToGrid/>
        <w:spacing w:line="4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估价方法：比较法、收益法。</w:t>
      </w:r>
    </w:p>
    <w:p>
      <w:pPr>
        <w:pStyle w:val="2"/>
        <w:keepNext w:val="0"/>
        <w:keepLines w:val="0"/>
        <w:pageBreakBefore w:val="0"/>
        <w:widowControl w:val="0"/>
        <w:kinsoku/>
        <w:wordWrap/>
        <w:overflowPunct/>
        <w:topLinePunct w:val="0"/>
        <w:autoSpaceDE/>
        <w:autoSpaceDN/>
        <w:bidi w:val="0"/>
        <w:adjustRightInd/>
        <w:snapToGrid/>
        <w:spacing w:line="4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估价结果：估价对象在价值时点的市场价格为人民币（大写</w:t>
      </w:r>
      <w:r>
        <w:rPr>
          <w:rFonts w:hint="eastAsia" w:ascii="仿宋_GB2312" w:hAnsi="仿宋_GB2312" w:eastAsia="仿宋_GB2312" w:cs="仿宋_GB2312"/>
          <w:b w:val="0"/>
          <w:bCs w:val="0"/>
          <w:color w:val="000000"/>
          <w:sz w:val="28"/>
          <w:szCs w:val="28"/>
          <w:lang w:eastAsia="zh-CN"/>
        </w:rPr>
        <w:t>）：</w:t>
      </w:r>
      <w:r>
        <w:rPr>
          <w:rFonts w:hint="eastAsia" w:ascii="仿宋_GB2312" w:hAnsi="仿宋_GB2312" w:eastAsia="仿宋_GB2312" w:cs="仿宋_GB2312"/>
          <w:b/>
          <w:bCs/>
          <w:color w:val="000000"/>
          <w:sz w:val="28"/>
          <w:szCs w:val="28"/>
          <w:lang w:val="en-US" w:eastAsia="zh-CN"/>
        </w:rPr>
        <w:fldChar w:fldCharType="begin"/>
      </w:r>
      <w:r>
        <w:rPr>
          <w:rFonts w:hint="eastAsia" w:ascii="仿宋_GB2312" w:hAnsi="仿宋_GB2312" w:eastAsia="仿宋_GB2312" w:cs="仿宋_GB2312"/>
          <w:b/>
          <w:bCs/>
          <w:color w:val="000000"/>
          <w:sz w:val="28"/>
          <w:szCs w:val="28"/>
          <w:lang w:val="en-US" w:eastAsia="zh-CN"/>
        </w:rPr>
        <w:instrText xml:space="preserve"> = 4230000 \* CHINESENUM2 \* MERGEFORMAT </w:instrText>
      </w:r>
      <w:r>
        <w:rPr>
          <w:rFonts w:hint="eastAsia" w:ascii="仿宋_GB2312" w:hAnsi="仿宋_GB2312" w:eastAsia="仿宋_GB2312" w:cs="仿宋_GB2312"/>
          <w:b/>
          <w:bCs/>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肆佰贰拾叁万</w:t>
      </w:r>
      <w:r>
        <w:rPr>
          <w:rFonts w:hint="eastAsia" w:ascii="仿宋_GB2312" w:hAnsi="仿宋_GB2312" w:eastAsia="仿宋_GB2312" w:cs="仿宋_GB2312"/>
          <w:b/>
          <w:bCs/>
          <w:color w:val="000000"/>
          <w:sz w:val="28"/>
          <w:szCs w:val="28"/>
          <w:lang w:val="en-US" w:eastAsia="zh-CN"/>
        </w:rPr>
        <w:fldChar w:fldCharType="end"/>
      </w:r>
      <w:r>
        <w:rPr>
          <w:rFonts w:hint="eastAsia" w:ascii="仿宋_GB2312" w:hAnsi="仿宋_GB2312" w:eastAsia="仿宋_GB2312" w:cs="仿宋_GB2312"/>
          <w:b/>
          <w:bCs/>
          <w:color w:val="000000"/>
          <w:sz w:val="28"/>
          <w:szCs w:val="28"/>
          <w:lang w:val="en-US" w:eastAsia="zh-CN"/>
        </w:rPr>
        <w:t>元整（￥：423万元），</w:t>
      </w:r>
      <w:r>
        <w:rPr>
          <w:rFonts w:hint="eastAsia" w:ascii="仿宋_GB2312" w:hAnsi="仿宋_GB2312" w:eastAsia="仿宋_GB2312" w:cs="仿宋_GB2312"/>
          <w:b w:val="0"/>
          <w:bCs w:val="0"/>
          <w:color w:val="000000"/>
          <w:sz w:val="28"/>
          <w:szCs w:val="28"/>
          <w:lang w:val="en-US" w:eastAsia="zh-CN"/>
        </w:rPr>
        <w:t>单价7195元/平方米</w:t>
      </w:r>
      <w:r>
        <w:rPr>
          <w:rFonts w:hint="eastAsia" w:ascii="仿宋_GB2312" w:hAnsi="仿宋_GB2312" w:eastAsia="仿宋_GB2312" w:cs="仿宋_GB2312"/>
          <w:color w:val="000000"/>
          <w:szCs w:val="28"/>
        </w:rPr>
        <w:t>。估价报告使用期限</w:t>
      </w:r>
      <w:r>
        <w:rPr>
          <w:rFonts w:hint="eastAsia" w:ascii="仿宋_GB2312" w:hAnsi="仿宋_GB2312" w:eastAsia="仿宋_GB2312" w:cs="仿宋_GB2312"/>
          <w:color w:val="000000"/>
          <w:sz w:val="28"/>
          <w:szCs w:val="28"/>
          <w:lang w:eastAsia="zh-CN"/>
        </w:rPr>
        <w:t>2022年6月20日</w:t>
      </w:r>
      <w:r>
        <w:rPr>
          <w:rFonts w:hint="eastAsia" w:ascii="仿宋_GB2312" w:hAnsi="仿宋_GB2312" w:eastAsia="仿宋_GB2312" w:cs="仿宋_GB2312"/>
          <w:color w:val="000000"/>
          <w:sz w:val="28"/>
          <w:szCs w:val="28"/>
        </w:rPr>
        <w:t>至202</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19</w:t>
      </w:r>
      <w:r>
        <w:rPr>
          <w:rFonts w:hint="eastAsia" w:ascii="仿宋_GB2312" w:hAnsi="仿宋_GB2312" w:eastAsia="仿宋_GB2312" w:cs="仿宋_GB2312"/>
          <w:color w:val="000000"/>
          <w:sz w:val="28"/>
          <w:szCs w:val="28"/>
        </w:rPr>
        <w:t>日</w:t>
      </w:r>
      <w:r>
        <w:rPr>
          <w:rFonts w:hint="eastAsia" w:ascii="仿宋_GB2312" w:hAnsi="仿宋_GB2312" w:eastAsia="仿宋_GB2312" w:cs="仿宋_GB2312"/>
          <w:color w:val="000000"/>
          <w:szCs w:val="28"/>
        </w:rPr>
        <w:t>。</w:t>
      </w:r>
    </w:p>
    <w:p>
      <w:pPr>
        <w:keepNext w:val="0"/>
        <w:keepLines w:val="0"/>
        <w:pageBreakBefore w:val="0"/>
        <w:widowControl w:val="0"/>
        <w:kinsoku/>
        <w:wordWrap/>
        <w:overflowPunct/>
        <w:topLinePunct w:val="0"/>
        <w:autoSpaceDE/>
        <w:autoSpaceDN/>
        <w:bidi w:val="0"/>
        <w:adjustRightInd/>
        <w:snapToGrid/>
        <w:spacing w:line="260" w:lineRule="exact"/>
        <w:ind w:left="1033" w:leftChars="208" w:hanging="596" w:hangingChars="271"/>
        <w:jc w:val="lef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特别提示：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left"/>
        <w:textAlignment w:val="auto"/>
        <w:rPr>
          <w:rStyle w:val="11"/>
          <w:rFonts w:hint="eastAsia" w:eastAsia="仿宋_GB2312"/>
          <w:color w:val="000000"/>
          <w:szCs w:val="21"/>
        </w:rPr>
      </w:pPr>
      <w:r>
        <w:rPr>
          <w:rStyle w:val="11"/>
          <w:rFonts w:hint="eastAsia" w:eastAsia="仿宋_GB2312"/>
          <w:color w:val="000000"/>
          <w:szCs w:val="21"/>
        </w:rPr>
        <w:t>1.应当按照法律规定和评估报告载明的用途、使用人、使用期限等使用范围使用评估报告。否则，房地产估价机构和注册房地产估价师依法不承担责任；</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left"/>
        <w:textAlignment w:val="auto"/>
        <w:rPr>
          <w:rStyle w:val="11"/>
          <w:rFonts w:hint="eastAsia" w:eastAsia="仿宋_GB2312"/>
          <w:color w:val="000000"/>
          <w:szCs w:val="21"/>
        </w:rPr>
      </w:pPr>
      <w:r>
        <w:rPr>
          <w:rStyle w:val="11"/>
          <w:rFonts w:hint="eastAsia" w:eastAsia="仿宋_GB2312"/>
          <w:color w:val="000000"/>
          <w:szCs w:val="21"/>
        </w:rPr>
        <w:t>2.评估结果仅为人民法院确定财产处置参考价服务，不是评估对象处置可实现的成交价格，也不应当被视为对评估对象处置成交价格的保证；</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left"/>
        <w:textAlignment w:val="auto"/>
        <w:rPr>
          <w:rStyle w:val="11"/>
          <w:rFonts w:hint="eastAsia" w:eastAsia="仿宋_GB2312"/>
          <w:color w:val="000000"/>
          <w:szCs w:val="21"/>
        </w:rPr>
      </w:pPr>
      <w:r>
        <w:rPr>
          <w:rStyle w:val="11"/>
          <w:rFonts w:hint="eastAsia" w:eastAsia="仿宋_GB2312"/>
          <w:color w:val="000000"/>
          <w:szCs w:val="21"/>
        </w:rPr>
        <w:t>3.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jc w:val="left"/>
        <w:textAlignment w:val="auto"/>
        <w:rPr>
          <w:rStyle w:val="11"/>
          <w:rFonts w:hint="eastAsia" w:eastAsia="仿宋_GB2312"/>
          <w:color w:val="000000"/>
          <w:szCs w:val="21"/>
        </w:rPr>
      </w:pPr>
      <w:r>
        <w:rPr>
          <w:rStyle w:val="11"/>
          <w:rFonts w:hint="eastAsia" w:eastAsia="仿宋_GB2312"/>
          <w:color w:val="000000"/>
          <w:szCs w:val="21"/>
        </w:rPr>
        <w:t>4.在评估报告使用期限或者评估结果有效期内，评估报告或者评估结果未使用之前，如果评估对象状况或者房地产市场状况发生明显变化的，评估结果应当进行相应调整后才可使用。</w:t>
      </w:r>
    </w:p>
    <w:p>
      <w:pPr>
        <w:spacing w:line="340" w:lineRule="exact"/>
        <w:ind w:left="987" w:leftChars="199" w:hanging="569" w:hangingChars="271"/>
        <w:jc w:val="left"/>
        <w:rPr>
          <w:rFonts w:hint="eastAsia" w:ascii="仿宋_GB2312" w:hAnsi="仿宋_GB2312" w:eastAsia="仿宋_GB2312" w:cs="仿宋_GB2312"/>
          <w:color w:val="000000"/>
          <w:sz w:val="28"/>
          <w:szCs w:val="28"/>
        </w:rPr>
      </w:pPr>
      <w:r>
        <w:rPr>
          <w:rStyle w:val="11"/>
          <w:rFonts w:hint="eastAsia" w:eastAsia="仿宋_GB2312"/>
          <w:color w:val="000000"/>
          <w:szCs w:val="21"/>
        </w:rPr>
        <w:t xml:space="preserve">          </w:t>
      </w:r>
    </w:p>
    <w:p>
      <w:pPr>
        <w:spacing w:line="660" w:lineRule="exact"/>
        <w:ind w:firstLine="3640" w:firstLineChars="13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金华市正大房地产估价师事务所有限公司</w:t>
      </w:r>
    </w:p>
    <w:p>
      <w:pPr>
        <w:spacing w:line="66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法定代表人：</w:t>
      </w:r>
    </w:p>
    <w:p>
      <w:pPr>
        <w:spacing w:line="660" w:lineRule="exact"/>
        <w:ind w:firstLine="5838" w:firstLineChars="2085"/>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8"/>
          <w:szCs w:val="28"/>
        </w:rPr>
        <w:t>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六</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十日</w:t>
      </w:r>
    </w:p>
    <w:p>
      <w:pPr>
        <w:adjustRightInd w:val="0"/>
        <w:snapToGrid w:val="0"/>
        <w:spacing w:line="540" w:lineRule="exact"/>
        <w:jc w:val="center"/>
        <w:outlineLvl w:val="0"/>
        <w:rPr>
          <w:rFonts w:hint="eastAsia" w:ascii="仿宋_GB2312" w:hAnsi="仿宋_GB2312" w:eastAsia="仿宋_GB2312" w:cs="仿宋_GB2312"/>
          <w:b/>
          <w:color w:val="000000"/>
          <w:sz w:val="27"/>
          <w:szCs w:val="27"/>
        </w:rPr>
        <w:sectPr>
          <w:headerReference r:id="rId3" w:type="default"/>
          <w:footerReference r:id="rId4" w:type="default"/>
          <w:pgSz w:w="11906" w:h="16838"/>
          <w:pgMar w:top="1440" w:right="1134" w:bottom="1440" w:left="1701" w:header="851" w:footer="851" w:gutter="0"/>
          <w:cols w:space="720" w:num="1"/>
          <w:docGrid w:type="lines" w:linePitch="312" w:charSpace="0"/>
        </w:sectPr>
      </w:pPr>
    </w:p>
    <w:p>
      <w:pPr>
        <w:adjustRightInd w:val="0"/>
        <w:snapToGrid w:val="0"/>
        <w:jc w:val="center"/>
        <w:outlineLvl w:val="0"/>
        <w:rPr>
          <w:rFonts w:hint="eastAsia" w:eastAsia="楷体_GB2312"/>
          <w:b/>
          <w:color w:val="000000"/>
          <w:sz w:val="52"/>
        </w:rPr>
      </w:pPr>
      <w:r>
        <w:rPr>
          <w:rFonts w:eastAsia="楷体_GB2312"/>
          <w:b/>
          <w:color w:val="000000"/>
          <w:sz w:val="52"/>
        </w:rPr>
        <w:t>目    录</w:t>
      </w:r>
    </w:p>
    <w:p>
      <w:pPr>
        <w:pStyle w:val="6"/>
        <w:shd w:val="clear" w:color="auto" w:fill="FFFFFF"/>
        <w:spacing w:before="0" w:beforeAutospacing="0" w:after="0" w:afterAutospacing="0" w:line="500" w:lineRule="exact"/>
        <w:ind w:left="181" w:leftChars="86" w:firstLine="300" w:firstLineChars="100"/>
        <w:rPr>
          <w:rFonts w:hint="eastAsia" w:ascii="仿宋_GB2312" w:hAnsi="仿宋_GB2312" w:eastAsia="仿宋_GB2312" w:cs="仿宋_GB2312"/>
          <w:color w:val="000000"/>
          <w:spacing w:val="15"/>
          <w:sz w:val="27"/>
          <w:szCs w:val="27"/>
        </w:rPr>
      </w:pPr>
    </w:p>
    <w:p>
      <w:pPr>
        <w:pStyle w:val="6"/>
        <w:shd w:val="clear" w:color="auto" w:fill="FFFFFF"/>
        <w:spacing w:before="0" w:beforeAutospacing="0" w:after="0" w:afterAutospacing="0" w:line="500" w:lineRule="exact"/>
        <w:ind w:left="181" w:leftChars="86"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第一部分 估价师声明┄┄┄┄┄┄┄┄┄┄┄┄┄┄┄┄2</w:t>
      </w:r>
    </w:p>
    <w:p>
      <w:pPr>
        <w:pStyle w:val="6"/>
        <w:numPr>
          <w:ilvl w:val="0"/>
          <w:numId w:val="1"/>
        </w:numPr>
        <w:shd w:val="clear" w:color="auto" w:fill="FFFFFF"/>
        <w:spacing w:before="0" w:beforeAutospacing="0" w:after="0" w:afterAutospacing="0" w:line="500" w:lineRule="exact"/>
        <w:ind w:left="164" w:leftChars="78"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估价假设和限制条件┄┄┄┄┄┄┄┄┄┄┄┄3</w:t>
      </w:r>
    </w:p>
    <w:p>
      <w:pPr>
        <w:pStyle w:val="6"/>
        <w:numPr>
          <w:ilvl w:val="0"/>
          <w:numId w:val="1"/>
        </w:numPr>
        <w:shd w:val="clear" w:color="auto" w:fill="FFFFFF"/>
        <w:spacing w:before="0" w:beforeAutospacing="0" w:after="0" w:afterAutospacing="0" w:line="500" w:lineRule="exact"/>
        <w:ind w:left="164" w:leftChars="78"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估价结果报告┄┄┄┄┄┄┄┄┄┄┄┄┄┄┄5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估价委托人┄┄┄┄┄┄┄┄┄┄┄┄┄┄┄┄┄┄5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估价机构┄┄┄┄┄┄┄┄┄┄┄┄┄┄┄┄┄┄┄5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估价目的┄┄┄┄┄┄┄┄┄┄┄┄┄┄┄┄┄┄┄5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估价对象┄┄┄┄┄┄┄┄┄┄┄┄┄┄┄┄┄┄┄5</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价值时点┄┄┄┄┄┄┄┄┄┄┄┄┄┄┄┄┄┄┄8</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价值类型┄┄┄┄┄┄┄┄┄┄┄┄┄┄┄┄┄┄┄8</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估价依据┄┄┄┄┄┄┄┄┄┄┄┄┄┄┄┄┄┄┄8</w:t>
      </w:r>
    </w:p>
    <w:p>
      <w:pPr>
        <w:pStyle w:val="6"/>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估价原则┄┄┄┄┄┄┄┄┄┄┄┄┄┄┄┄┄┄┄9</w:t>
      </w:r>
    </w:p>
    <w:p>
      <w:pPr>
        <w:pStyle w:val="6"/>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估价方法┄┄┄┄┄┄┄┄┄┄┄┄┄┄┄┄┄┄┄10</w:t>
      </w:r>
    </w:p>
    <w:p>
      <w:pPr>
        <w:pStyle w:val="6"/>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估价结果┄┄┄┄┄┄┄┄┄┄┄┄┄┄┄┄┄┄┄10</w:t>
      </w:r>
    </w:p>
    <w:p>
      <w:pPr>
        <w:pStyle w:val="6"/>
        <w:numPr>
          <w:ilvl w:val="0"/>
          <w:numId w:val="2"/>
        </w:numPr>
        <w:shd w:val="clear" w:color="auto" w:fill="FFFFFF"/>
        <w:spacing w:before="0" w:beforeAutospacing="0" w:after="0" w:afterAutospacing="0" w:line="500" w:lineRule="exact"/>
        <w:ind w:firstLine="600" w:firstLineChars="200"/>
        <w:rPr>
          <w:rFonts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注册房地产估价师┄┄┄┄┄┄┄┄┄┄┄┄┄┄10</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实地查勘期┄┄┄┄┄┄┄┄┄┄┄┄┄┄┄┄┄10</w:t>
      </w:r>
    </w:p>
    <w:p>
      <w:pPr>
        <w:pStyle w:val="6"/>
        <w:numPr>
          <w:ilvl w:val="0"/>
          <w:numId w:val="2"/>
        </w:numPr>
        <w:shd w:val="clear" w:color="auto" w:fill="FFFFFF"/>
        <w:spacing w:before="0" w:beforeAutospacing="0" w:after="0" w:afterAutospacing="0" w:line="500" w:lineRule="exact"/>
        <w:ind w:firstLine="600" w:firstLineChars="2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估价作业期┄┄┄┄┄┄┄┄┄┄┄┄┄┄┄┄┄10</w:t>
      </w:r>
    </w:p>
    <w:p>
      <w:pPr>
        <w:pStyle w:val="6"/>
        <w:shd w:val="clear" w:color="auto" w:fill="FFFFFF"/>
        <w:spacing w:before="0" w:beforeAutospacing="0" w:after="0" w:afterAutospacing="0" w:line="500" w:lineRule="exact"/>
        <w:ind w:firstLine="300" w:firstLineChars="100"/>
        <w:rPr>
          <w:rFonts w:hint="eastAsia" w:ascii="仿宋_GB2312" w:hAnsi="仿宋_GB2312" w:eastAsia="仿宋_GB2312" w:cs="仿宋_GB2312"/>
          <w:color w:val="000000"/>
          <w:spacing w:val="15"/>
          <w:sz w:val="27"/>
          <w:szCs w:val="27"/>
        </w:rPr>
      </w:pPr>
      <w:r>
        <w:rPr>
          <w:rFonts w:hint="eastAsia" w:ascii="仿宋_GB2312" w:hAnsi="仿宋_GB2312" w:eastAsia="仿宋_GB2312" w:cs="仿宋_GB2312"/>
          <w:color w:val="000000"/>
          <w:spacing w:val="15"/>
          <w:sz w:val="27"/>
          <w:szCs w:val="27"/>
        </w:rPr>
        <w:t>第四部分 附件 ┄┄┄┄┄┄┄┄┄┄┄┄┄┄┄┄┄┄┄11</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附件一、估价对象位置图</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附件二、估价对象实景照片</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附件三、司法评估委托书复印件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附件四、房地产权属证明复印件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附件五、估价机构备案证书复印件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附件六、估价机构营业执照复印件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7"/>
          <w:szCs w:val="27"/>
        </w:rPr>
        <w:t>附件七、估价师资格证书复印件</w:t>
      </w:r>
    </w:p>
    <w:p>
      <w:pPr>
        <w:spacing w:line="500" w:lineRule="exact"/>
        <w:ind w:firstLine="540" w:firstLineChars="200"/>
        <w:textAlignment w:val="baseline"/>
        <w:rPr>
          <w:rFonts w:hint="eastAsia" w:ascii="仿宋_GB2312" w:hAnsi="仿宋_GB2312" w:eastAsia="仿宋_GB2312" w:cs="仿宋_GB2312"/>
          <w:color w:val="000000"/>
          <w:sz w:val="27"/>
          <w:szCs w:val="27"/>
        </w:rPr>
      </w:pPr>
    </w:p>
    <w:p>
      <w:pPr>
        <w:spacing w:after="468" w:afterLines="150"/>
        <w:jc w:val="center"/>
        <w:rPr>
          <w:rFonts w:hint="eastAsia" w:eastAsia="黑体"/>
          <w:color w:val="000000"/>
          <w:sz w:val="40"/>
        </w:rPr>
      </w:pPr>
      <w:r>
        <w:rPr>
          <w:rFonts w:hint="eastAsia" w:eastAsia="黑体"/>
          <w:color w:val="000000"/>
          <w:sz w:val="40"/>
        </w:rPr>
        <w:t>第一部分  估价师声明</w:t>
      </w:r>
    </w:p>
    <w:p>
      <w:pPr>
        <w:spacing w:line="560" w:lineRule="exact"/>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我们郑重声明：</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我们在本估价报告中对事实的说明是真实和准确的，没有虚假记载、误导性陈述和重大遗漏。</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本估价报告中的分析、意见和结论是注册房地产估价师独立、客观、公正的专业分析、意见和结论，但受到本估价报告中已说明的假设和限制条件的限制。</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注册房地产估价师与估价报告中的估价对象没有现实或潜在的利益，与估价委托人及估价利害关系人没有利害关系，也对估价对象、估价委托人及估价利害关系人没有偏见。</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我们依照国家标准《房地产估价规范》（GB/T50291--2015）、《房地产估价基本术语标准》（GB/T50899-2013）进行分析，形成意见和结论，撰写本估价报告。</w:t>
      </w:r>
    </w:p>
    <w:p>
      <w:pPr>
        <w:spacing w:line="6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注册房地产估价师于</w:t>
      </w:r>
      <w:r>
        <w:rPr>
          <w:rFonts w:hint="eastAsia" w:ascii="仿宋_GB2312" w:hAnsi="仿宋_GB2312" w:eastAsia="仿宋_GB2312" w:cs="仿宋_GB2312"/>
          <w:color w:val="000000"/>
          <w:sz w:val="28"/>
          <w:szCs w:val="28"/>
          <w:lang w:eastAsia="zh-CN"/>
        </w:rPr>
        <w:t>2022年6月15日</w:t>
      </w:r>
      <w:r>
        <w:rPr>
          <w:rFonts w:hint="eastAsia" w:ascii="仿宋_GB2312" w:hAnsi="仿宋_GB2312" w:eastAsia="仿宋_GB2312" w:cs="仿宋_GB2312"/>
          <w:color w:val="000000"/>
          <w:sz w:val="28"/>
          <w:szCs w:val="28"/>
        </w:rPr>
        <w:t>进行了实地查勘，并进行记录。</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 没有人对本估价报告提供重要专业帮助。</w:t>
      </w:r>
    </w:p>
    <w:p>
      <w:pPr>
        <w:spacing w:line="520" w:lineRule="exact"/>
        <w:ind w:firstLine="280" w:firstLineChars="100"/>
        <w:rPr>
          <w:rFonts w:hint="eastAsia" w:ascii="仿宋_GB2312" w:hAnsi="仿宋_GB2312" w:eastAsia="仿宋_GB2312" w:cs="仿宋_GB2312"/>
          <w:color w:val="000000"/>
          <w:sz w:val="28"/>
          <w:szCs w:val="28"/>
        </w:rPr>
      </w:pPr>
    </w:p>
    <w:p>
      <w:pPr>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注册房地产估价师：               注册房地产估价师：</w:t>
      </w:r>
    </w:p>
    <w:p>
      <w:pPr>
        <w:snapToGrid w:val="0"/>
        <w:spacing w:line="520" w:lineRule="exact"/>
        <w:ind w:firstLine="560" w:firstLineChars="200"/>
        <w:textAlignment w:val="baseline"/>
        <w:rPr>
          <w:rFonts w:hint="eastAsia" w:ascii="仿宋_GB2312" w:hAnsi="仿宋_GB2312" w:eastAsia="仿宋_GB2312" w:cs="仿宋_GB2312"/>
          <w:color w:val="000000"/>
          <w:sz w:val="28"/>
          <w:szCs w:val="28"/>
        </w:rPr>
      </w:pPr>
    </w:p>
    <w:p>
      <w:pPr>
        <w:snapToGrid w:val="0"/>
        <w:spacing w:line="520" w:lineRule="exact"/>
        <w:ind w:firstLine="560" w:firstLineChars="200"/>
        <w:textAlignment w:val="baseline"/>
        <w:rPr>
          <w:rFonts w:hint="eastAsia" w:ascii="仿宋_GB2312" w:hAnsi="仿宋_GB2312" w:eastAsia="仿宋_GB2312" w:cs="仿宋_GB2312"/>
          <w:color w:val="000000"/>
          <w:sz w:val="27"/>
          <w:szCs w:val="27"/>
        </w:rPr>
      </w:pPr>
      <w:r>
        <w:rPr>
          <w:rFonts w:hint="eastAsia" w:ascii="仿宋_GB2312" w:hAnsi="仿宋_GB2312" w:eastAsia="仿宋_GB2312" w:cs="仿宋_GB2312"/>
          <w:color w:val="000000"/>
          <w:sz w:val="28"/>
          <w:szCs w:val="28"/>
        </w:rPr>
        <w:t xml:space="preserve">注册证号：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注册证号：</w:t>
      </w:r>
    </w:p>
    <w:p>
      <w:pPr>
        <w:snapToGrid w:val="0"/>
        <w:spacing w:after="468" w:afterLines="150"/>
        <w:jc w:val="center"/>
        <w:textAlignment w:val="baseline"/>
        <w:rPr>
          <w:rFonts w:hint="eastAsia" w:eastAsia="黑体"/>
          <w:snapToGrid w:val="0"/>
          <w:color w:val="000000"/>
          <w:kern w:val="21"/>
          <w:sz w:val="40"/>
        </w:rPr>
      </w:pPr>
      <w:r>
        <w:rPr>
          <w:rFonts w:hint="eastAsia" w:eastAsia="黑体"/>
          <w:snapToGrid w:val="0"/>
          <w:color w:val="000000"/>
          <w:kern w:val="21"/>
          <w:sz w:val="40"/>
        </w:rPr>
        <w:t xml:space="preserve"> </w:t>
      </w:r>
    </w:p>
    <w:p>
      <w:pPr>
        <w:snapToGrid w:val="0"/>
        <w:spacing w:after="468" w:afterLines="150"/>
        <w:jc w:val="center"/>
        <w:textAlignment w:val="baseline"/>
        <w:rPr>
          <w:rFonts w:hint="eastAsia" w:eastAsia="黑体"/>
          <w:snapToGrid w:val="0"/>
          <w:color w:val="000000"/>
          <w:kern w:val="21"/>
          <w:sz w:val="40"/>
        </w:rPr>
      </w:pPr>
    </w:p>
    <w:p>
      <w:pPr>
        <w:snapToGrid w:val="0"/>
        <w:spacing w:after="468" w:afterLines="150"/>
        <w:jc w:val="center"/>
        <w:textAlignment w:val="baseline"/>
        <w:rPr>
          <w:rFonts w:hint="eastAsia" w:eastAsia="黑体"/>
          <w:snapToGrid w:val="0"/>
          <w:color w:val="000000"/>
          <w:kern w:val="21"/>
          <w:sz w:val="40"/>
        </w:rPr>
      </w:pPr>
      <w:r>
        <w:rPr>
          <w:rFonts w:hint="eastAsia" w:eastAsia="黑体"/>
          <w:snapToGrid w:val="0"/>
          <w:color w:val="000000"/>
          <w:kern w:val="21"/>
          <w:sz w:val="40"/>
        </w:rPr>
        <w:t>第二部分  估价假设和限制条件</w:t>
      </w:r>
    </w:p>
    <w:p>
      <w:pPr>
        <w:snapToGrid w:val="0"/>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kern w:val="21"/>
          <w:sz w:val="28"/>
          <w:szCs w:val="28"/>
        </w:rPr>
        <w:t>一、估价假</w:t>
      </w:r>
      <w:r>
        <w:rPr>
          <w:rFonts w:hint="eastAsia" w:ascii="仿宋_GB2312" w:hAnsi="仿宋_GB2312" w:eastAsia="仿宋_GB2312" w:cs="仿宋_GB2312"/>
          <w:b/>
          <w:color w:val="000000"/>
          <w:sz w:val="28"/>
          <w:szCs w:val="28"/>
        </w:rPr>
        <w:t>设</w:t>
      </w:r>
    </w:p>
    <w:p>
      <w:pPr>
        <w:snapToGrid w:val="0"/>
        <w:spacing w:line="520" w:lineRule="exact"/>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    </w:t>
      </w:r>
      <w:r>
        <w:rPr>
          <w:rFonts w:hint="eastAsia" w:ascii="仿宋_GB2312" w:hAnsi="仿宋_GB2312" w:eastAsia="仿宋_GB2312" w:cs="仿宋_GB2312"/>
          <w:color w:val="000000"/>
          <w:sz w:val="28"/>
          <w:szCs w:val="28"/>
        </w:rPr>
        <w:t>（一）一般假设</w:t>
      </w:r>
    </w:p>
    <w:p>
      <w:pPr>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注册房地产估价师对估价所依据的估价对象的权属、面积、用途等资料进行了检查，在无理由怀疑其合法性、真实性、准确性和完整性且未予以核实的情况下，假设上述权属、面积、用途等资料是合法、真实、准确和完整的。</w:t>
      </w:r>
    </w:p>
    <w:p>
      <w:pPr>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注册房地产估价师对估价对象房屋安全、环境污染等影响估价对象价值或价格的重大因素给予了关注，在无理由怀疑估价对象存在安全隐患且无相应的专业机构进行鉴定、检测的情况下，假设估价对象是安全的。</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3．估价对象在价值时点的房地产市场为公开、平等、自愿的交易市场。</w:t>
      </w:r>
    </w:p>
    <w:p>
      <w:pPr>
        <w:spacing w:line="520" w:lineRule="exact"/>
        <w:ind w:firstLine="548" w:firstLineChars="196"/>
        <w:textAlignment w:val="baseline"/>
        <w:rPr>
          <w:rFonts w:hint="eastAsia" w:ascii="仿宋_GB2312" w:hAnsi="仿宋_GB2312" w:cs="仿宋_GB2312"/>
          <w:color w:val="000000"/>
          <w:sz w:val="28"/>
          <w:szCs w:val="28"/>
        </w:rPr>
      </w:pPr>
      <w:r>
        <w:rPr>
          <w:rFonts w:hint="eastAsia" w:ascii="仿宋_GB2312" w:hAnsi="仿宋_GB2312" w:eastAsia="仿宋_GB2312" w:cs="仿宋_GB2312"/>
          <w:color w:val="000000"/>
          <w:sz w:val="28"/>
          <w:szCs w:val="28"/>
        </w:rPr>
        <w:t>4.估价对象不存在租赁权、用益物权及占有使用情况。</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本次估价不存在尚未明确或不够明确的事项，故本次估价报告无未定事项假设。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估价委托人提供的资料、估价师查档及实地踏勘，估价对象于价值时点尚有查封未解除，抵押权未注销，考虑到本次估价目的，本次评估价值的影响因素不包括估价对象被查封和原有的抵押权。故本次估价以估价对象无上述查封、抵押权为假设前提。</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本次估价不存在不相一致事项，故本次估价报告无不相一致假设。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本次估价不存在依据不足事项，故本次估价报告无依据不足假设。</w:t>
      </w:r>
    </w:p>
    <w:p>
      <w:pPr>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二、估价报告使用限制</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估价报告使用期限为自估价报告出具之日起壹年整。超过估价报告使用有效期使用估价报告的，相关责任由使用者承担。</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 本估价报告结果是依据估价对象的法定用途得出的，由于房地产价格水平高低受房地产用途的影响较大，当估价对象房地产的用途发生变化时，其价格需要重新评估。</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 本估价报告是</w:t>
      </w:r>
      <w:r>
        <w:rPr>
          <w:rFonts w:hint="eastAsia" w:ascii="仿宋_GB2312" w:hAnsi="仿宋_GB2312" w:eastAsia="仿宋_GB2312" w:cs="仿宋_GB2312"/>
          <w:color w:val="000000"/>
          <w:sz w:val="28"/>
          <w:szCs w:val="28"/>
          <w:shd w:val="clear" w:color="auto" w:fill="FFFFFF"/>
        </w:rPr>
        <w:t>为人民法院确定财产处置参考价提供参考依据</w:t>
      </w:r>
      <w:r>
        <w:rPr>
          <w:rFonts w:hint="eastAsia" w:ascii="仿宋_GB2312" w:hAnsi="仿宋_GB2312" w:eastAsia="仿宋_GB2312" w:cs="仿宋_GB2312"/>
          <w:color w:val="000000"/>
          <w:sz w:val="28"/>
          <w:szCs w:val="28"/>
        </w:rPr>
        <w:t>，对用于其它方面我们不做探讨，如果改变估价目的，则估价结果应进行相应调整直至重新评估，因估价委托人使用本评估报告书不当而引起的不良后果，我公司不承担任何责任。</w:t>
      </w:r>
    </w:p>
    <w:p>
      <w:pPr>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 本估价报告都盖有本公司公章，并加盖本公司骑缝章，必须完整使用方为有效，对使用未盖有公章的估价报告，以及对使用本报告中部分内容对有关方面可能造成的损失，我公司不承担任何责任。</w:t>
      </w:r>
    </w:p>
    <w:p>
      <w:pPr>
        <w:spacing w:line="520" w:lineRule="exact"/>
        <w:ind w:firstLine="560" w:firstLineChars="200"/>
        <w:textAlignment w:val="baseline"/>
        <w:rPr>
          <w:rFonts w:hint="eastAsia" w:ascii="宋体" w:hAnsi="宋体"/>
          <w:color w:val="000000"/>
          <w:sz w:val="27"/>
        </w:rPr>
      </w:pPr>
      <w:r>
        <w:rPr>
          <w:rFonts w:hint="eastAsia" w:ascii="仿宋_GB2312" w:hAnsi="仿宋_GB2312" w:eastAsia="仿宋_GB2312" w:cs="仿宋_GB2312"/>
          <w:color w:val="000000"/>
          <w:sz w:val="28"/>
          <w:szCs w:val="28"/>
        </w:rPr>
        <w:t xml:space="preserve">5. 未经我公司及估价人员书面同意，不得向估价委托人、估价报告使用者和估价报告审核部门之外的任何单位或个人提供本报告的全部或部分内容，本报告亦不得用于本次估价目的之外的其他用途，未经许可不得部分或全部发表于任何公开媒体上。   </w:t>
      </w:r>
      <w:r>
        <w:rPr>
          <w:rFonts w:hint="eastAsia" w:ascii="仿宋_GB2312" w:hAnsi="仿宋_GB2312" w:eastAsia="仿宋_GB2312" w:cs="仿宋_GB2312"/>
          <w:color w:val="000000"/>
          <w:sz w:val="27"/>
        </w:rPr>
        <w:t xml:space="preserve">  </w:t>
      </w: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p>
    <w:p>
      <w:pPr>
        <w:spacing w:after="468" w:afterLines="150"/>
        <w:jc w:val="center"/>
        <w:rPr>
          <w:rFonts w:hint="eastAsia" w:eastAsia="黑体"/>
          <w:color w:val="000000"/>
          <w:sz w:val="40"/>
        </w:rPr>
      </w:pPr>
      <w:r>
        <w:rPr>
          <w:rFonts w:hint="eastAsia" w:eastAsia="黑体"/>
          <w:color w:val="000000"/>
          <w:sz w:val="40"/>
        </w:rPr>
        <w:t>第三部分   估价结果报告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531" w:leftChars="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lang w:eastAsia="zh-CN"/>
        </w:rPr>
        <w:t>一、</w:t>
      </w:r>
      <w:r>
        <w:rPr>
          <w:rFonts w:hint="eastAsia" w:ascii="仿宋_GB2312" w:hAnsi="仿宋_GB2312" w:eastAsia="仿宋_GB2312" w:cs="仿宋_GB2312"/>
          <w:b/>
          <w:color w:val="000000"/>
          <w:sz w:val="28"/>
          <w:szCs w:val="28"/>
        </w:rPr>
        <w:t>估价委托人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永康市人民法院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住所：永康市华溪北路90号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邮编：321300</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二、房地产估价机构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金华市正大房地产估价师事务所有限公司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法定代表人：黄婵儿</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住所：浙江省金华市婺城区双溪西路243号</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估价备案等级：贰级</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联系电话：0579-83188000　83188080</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估价备案证书编号：浙建房估证字【2017】003号</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三、估价目的</w:t>
      </w:r>
    </w:p>
    <w:p>
      <w:pPr>
        <w:keepNext w:val="0"/>
        <w:keepLines w:val="0"/>
        <w:pageBreakBefore w:val="0"/>
        <w:widowControl w:val="0"/>
        <w:kinsoku/>
        <w:wordWrap/>
        <w:overflowPunct/>
        <w:topLinePunct w:val="0"/>
        <w:autoSpaceDE/>
        <w:autoSpaceDN/>
        <w:bidi w:val="0"/>
        <w:adjustRightInd/>
        <w:snapToGrid/>
        <w:spacing w:line="520" w:lineRule="exact"/>
        <w:ind w:firstLine="546" w:firstLineChars="195"/>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shd w:val="clear" w:color="auto" w:fill="FFFFFF"/>
        </w:rPr>
        <w:t>为人民法院确定财产处置参考价提供参考依据</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48" w:firstLineChars="195"/>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四、估价对象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1.估价对象财产范围</w:t>
      </w:r>
    </w:p>
    <w:p>
      <w:pPr>
        <w:keepNext w:val="0"/>
        <w:keepLines w:val="0"/>
        <w:pageBreakBefore w:val="0"/>
        <w:widowControl w:val="0"/>
        <w:kinsoku/>
        <w:wordWrap/>
        <w:overflowPunct/>
        <w:topLinePunct w:val="0"/>
        <w:autoSpaceDE/>
        <w:autoSpaceDN/>
        <w:bidi w:val="0"/>
        <w:adjustRightInd/>
        <w:snapToGrid/>
        <w:spacing w:line="520" w:lineRule="exact"/>
        <w:ind w:firstLine="579" w:firstLineChars="207"/>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估价对象为</w:t>
      </w:r>
      <w:r>
        <w:rPr>
          <w:rFonts w:hint="eastAsia" w:ascii="仿宋_GB2312" w:hAnsi="仿宋_GB2312" w:eastAsia="仿宋_GB2312" w:cs="仿宋_GB2312"/>
          <w:color w:val="000000"/>
          <w:sz w:val="28"/>
          <w:szCs w:val="28"/>
          <w:lang w:eastAsia="zh-CN"/>
        </w:rPr>
        <w:t>王勇剑、吴婷婷</w:t>
      </w:r>
      <w:r>
        <w:rPr>
          <w:rFonts w:hint="eastAsia" w:ascii="仿宋_GB2312" w:hAnsi="仿宋_GB2312" w:eastAsia="仿宋_GB2312" w:cs="仿宋_GB2312"/>
          <w:color w:val="000000"/>
          <w:sz w:val="28"/>
          <w:szCs w:val="28"/>
        </w:rPr>
        <w:t>所有的位于</w:t>
      </w:r>
      <w:r>
        <w:rPr>
          <w:rFonts w:hint="eastAsia" w:ascii="仿宋_GB2312" w:hAnsi="仿宋_GB2312" w:eastAsia="仿宋_GB2312" w:cs="仿宋_GB2312"/>
          <w:color w:val="000000"/>
          <w:sz w:val="28"/>
          <w:szCs w:val="28"/>
          <w:lang w:eastAsia="zh-CN"/>
        </w:rPr>
        <w:t>东阳市横店镇横店社区杨店居民小区（现门牌号为登龙路80号）</w:t>
      </w:r>
      <w:r>
        <w:rPr>
          <w:rFonts w:hint="eastAsia" w:ascii="仿宋_GB2312" w:hAnsi="仿宋_GB2312" w:eastAsia="仿宋_GB2312" w:cs="仿宋_GB2312"/>
          <w:color w:val="000000"/>
          <w:sz w:val="28"/>
          <w:szCs w:val="28"/>
        </w:rPr>
        <w:t>房地产，房屋建筑面积</w:t>
      </w:r>
      <w:r>
        <w:rPr>
          <w:rFonts w:hint="eastAsia" w:ascii="仿宋_GB2312" w:hAnsi="仿宋_GB2312" w:eastAsia="仿宋_GB2312" w:cs="仿宋_GB2312"/>
          <w:color w:val="000000"/>
          <w:sz w:val="28"/>
          <w:szCs w:val="28"/>
          <w:lang w:eastAsia="zh-CN"/>
        </w:rPr>
        <w:t>587.91</w:t>
      </w:r>
      <w:r>
        <w:rPr>
          <w:rFonts w:hint="eastAsia" w:ascii="仿宋_GB2312" w:hAnsi="仿宋_GB2312" w:eastAsia="仿宋_GB2312" w:cs="仿宋_GB2312"/>
          <w:color w:val="000000"/>
          <w:sz w:val="28"/>
          <w:szCs w:val="28"/>
        </w:rPr>
        <w:t>平方米，土地使用权面积</w:t>
      </w:r>
      <w:r>
        <w:rPr>
          <w:rFonts w:hint="eastAsia" w:ascii="仿宋_GB2312" w:hAnsi="仿宋_GB2312" w:eastAsia="仿宋_GB2312" w:cs="仿宋_GB2312"/>
          <w:color w:val="000000"/>
          <w:sz w:val="28"/>
          <w:szCs w:val="28"/>
          <w:lang w:val="en-US" w:eastAsia="zh-CN"/>
        </w:rPr>
        <w:t>152</w:t>
      </w:r>
      <w:r>
        <w:rPr>
          <w:rFonts w:hint="eastAsia" w:ascii="仿宋_GB2312" w:hAnsi="仿宋_GB2312" w:eastAsia="仿宋_GB2312" w:cs="仿宋_GB2312"/>
          <w:color w:val="000000"/>
          <w:sz w:val="28"/>
          <w:szCs w:val="28"/>
        </w:rPr>
        <w:t>平方米，财产范围为估价对象的房屋所有权及土地使用权，含室内固定装修、房屋正常使用不可分割的共用设备设施及房屋所有权人合法享用的相关权益</w:t>
      </w:r>
      <w:r>
        <w:rPr>
          <w:rFonts w:eastAsia="仿宋_GB2312"/>
          <w:color w:val="000000"/>
          <w:sz w:val="28"/>
          <w:szCs w:val="28"/>
        </w:rPr>
        <w:t>，不包括动产、债权债务、特许经营权等其他财产或权益</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56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2．估价对象权益状况</w:t>
      </w:r>
    </w:p>
    <w:p>
      <w:pPr>
        <w:keepNext w:val="0"/>
        <w:keepLines w:val="0"/>
        <w:pageBreakBefore w:val="0"/>
        <w:widowControl w:val="0"/>
        <w:kinsoku/>
        <w:wordWrap/>
        <w:overflowPunct/>
        <w:topLinePunct w:val="0"/>
        <w:autoSpaceDE/>
        <w:autoSpaceDN/>
        <w:bidi w:val="0"/>
        <w:adjustRightInd/>
        <w:snapToGrid/>
        <w:spacing w:line="520" w:lineRule="exact"/>
        <w:ind w:left="56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（1）土地权益状况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估价对象国有土地使用权证号东阳市国用（2005）第40-58号，土地使用权人</w:t>
      </w:r>
      <w:r>
        <w:rPr>
          <w:rFonts w:hint="eastAsia" w:ascii="仿宋_GB2312" w:hAnsi="仿宋_GB2312" w:eastAsia="仿宋_GB2312" w:cs="仿宋_GB2312"/>
          <w:color w:val="000000"/>
          <w:sz w:val="28"/>
          <w:szCs w:val="28"/>
          <w:lang w:eastAsia="zh-CN"/>
        </w:rPr>
        <w:t>王勇剑</w:t>
      </w:r>
      <w:r>
        <w:rPr>
          <w:rFonts w:hint="eastAsia" w:ascii="仿宋_GB2312" w:hAnsi="仿宋_GB2312" w:eastAsia="仿宋_GB2312" w:cs="仿宋_GB2312"/>
          <w:color w:val="000000"/>
          <w:sz w:val="28"/>
          <w:szCs w:val="28"/>
        </w:rPr>
        <w:t>，用途为</w:t>
      </w:r>
      <w:r>
        <w:rPr>
          <w:rFonts w:hint="eastAsia" w:ascii="仿宋_GB2312" w:hAnsi="仿宋_GB2312" w:eastAsia="仿宋_GB2312" w:cs="仿宋_GB2312"/>
          <w:color w:val="000000"/>
          <w:sz w:val="28"/>
          <w:szCs w:val="28"/>
          <w:lang w:val="en-US" w:eastAsia="zh-CN"/>
        </w:rPr>
        <w:t>住宅</w:t>
      </w:r>
      <w:r>
        <w:rPr>
          <w:rFonts w:hint="eastAsia" w:ascii="仿宋_GB2312" w:hAnsi="仿宋_GB2312" w:eastAsia="仿宋_GB2312" w:cs="仿宋_GB2312"/>
          <w:color w:val="000000"/>
          <w:sz w:val="28"/>
          <w:szCs w:val="28"/>
        </w:rPr>
        <w:t>用地，使用权类型为出让，使用权面积</w:t>
      </w:r>
      <w:r>
        <w:rPr>
          <w:rFonts w:hint="eastAsia" w:ascii="仿宋_GB2312" w:hAnsi="仿宋_GB2312" w:eastAsia="仿宋_GB2312" w:cs="仿宋_GB2312"/>
          <w:color w:val="000000"/>
          <w:sz w:val="28"/>
          <w:szCs w:val="28"/>
          <w:lang w:val="en-US" w:eastAsia="zh-CN"/>
        </w:rPr>
        <w:t>152</w:t>
      </w:r>
      <w:r>
        <w:rPr>
          <w:rFonts w:hint="eastAsia" w:ascii="仿宋_GB2312" w:hAnsi="仿宋_GB2312" w:eastAsia="仿宋_GB2312" w:cs="仿宋_GB2312"/>
          <w:color w:val="000000"/>
          <w:sz w:val="28"/>
          <w:szCs w:val="28"/>
        </w:rPr>
        <w:t>平方米，终止日期</w:t>
      </w:r>
      <w:r>
        <w:rPr>
          <w:rFonts w:hint="eastAsia" w:ascii="仿宋_GB2312" w:hAnsi="仿宋_GB2312" w:eastAsia="仿宋_GB2312" w:cs="仿宋_GB2312"/>
          <w:color w:val="000000"/>
          <w:sz w:val="28"/>
          <w:szCs w:val="28"/>
          <w:lang w:eastAsia="zh-CN"/>
        </w:rPr>
        <w:t>2075年7月3日</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（2）建筑物权益状况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估价对象房屋所有权证号东房横店共字第002427号、东房权证横店字第055177号，房屋所有权人</w:t>
      </w:r>
      <w:r>
        <w:rPr>
          <w:rFonts w:hint="eastAsia" w:ascii="仿宋_GB2312" w:hAnsi="仿宋_GB2312" w:eastAsia="仿宋_GB2312" w:cs="仿宋_GB2312"/>
          <w:color w:val="000000"/>
          <w:sz w:val="28"/>
          <w:szCs w:val="28"/>
          <w:lang w:eastAsia="zh-CN"/>
        </w:rPr>
        <w:t>王勇剑、吴婷婷</w:t>
      </w:r>
      <w:r>
        <w:rPr>
          <w:rFonts w:hint="eastAsia" w:ascii="仿宋_GB2312" w:hAnsi="仿宋_GB2312" w:eastAsia="仿宋_GB2312" w:cs="仿宋_GB2312"/>
          <w:color w:val="000000"/>
          <w:sz w:val="28"/>
          <w:szCs w:val="28"/>
        </w:rPr>
        <w:t>，房屋总层数</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层，所在层</w:t>
      </w:r>
      <w:r>
        <w:rPr>
          <w:rFonts w:hint="eastAsia" w:ascii="仿宋_GB2312" w:hAnsi="仿宋_GB2312" w:eastAsia="仿宋_GB2312" w:cs="仿宋_GB2312"/>
          <w:color w:val="000000"/>
          <w:sz w:val="28"/>
          <w:szCs w:val="28"/>
          <w:lang w:val="en-US" w:eastAsia="zh-CN"/>
        </w:rPr>
        <w:t>1-4</w:t>
      </w:r>
      <w:r>
        <w:rPr>
          <w:rFonts w:hint="eastAsia" w:ascii="仿宋_GB2312" w:hAnsi="仿宋_GB2312" w:eastAsia="仿宋_GB2312" w:cs="仿宋_GB2312"/>
          <w:color w:val="000000"/>
          <w:sz w:val="28"/>
          <w:szCs w:val="28"/>
        </w:rPr>
        <w:t>层，建筑面积</w:t>
      </w:r>
      <w:r>
        <w:rPr>
          <w:rFonts w:hint="eastAsia" w:ascii="仿宋_GB2312" w:hAnsi="仿宋_GB2312" w:eastAsia="仿宋_GB2312" w:cs="仿宋_GB2312"/>
          <w:color w:val="000000"/>
          <w:sz w:val="28"/>
          <w:szCs w:val="28"/>
          <w:lang w:eastAsia="zh-CN"/>
        </w:rPr>
        <w:t>587.91</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 w:val="28"/>
          <w:szCs w:val="28"/>
          <w:lang w:val="en-US" w:eastAsia="zh-CN"/>
        </w:rPr>
        <w:t>混合</w:t>
      </w:r>
      <w:r>
        <w:rPr>
          <w:rFonts w:hint="eastAsia" w:ascii="仿宋_GB2312" w:hAnsi="宋体" w:eastAsia="仿宋_GB2312"/>
          <w:color w:val="000000"/>
          <w:sz w:val="28"/>
          <w:szCs w:val="28"/>
        </w:rPr>
        <w:t>结构</w:t>
      </w:r>
      <w:r>
        <w:rPr>
          <w:rFonts w:hint="eastAsia" w:ascii="仿宋_GB2312" w:hAnsi="仿宋_GB2312" w:eastAsia="仿宋_GB2312" w:cs="仿宋_GB2312"/>
          <w:color w:val="000000"/>
          <w:sz w:val="28"/>
          <w:szCs w:val="28"/>
        </w:rPr>
        <w:t>，规划用途住宅</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发证日期2005年8月26日</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（3）他项权利状况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eastAsia="仿宋_GB2312"/>
          <w:color w:val="000000"/>
          <w:sz w:val="28"/>
          <w:szCs w:val="28"/>
        </w:rPr>
      </w:pPr>
      <w:r>
        <w:rPr>
          <w:rFonts w:hint="eastAsia" w:ascii="仿宋_GB2312" w:hAnsi="仿宋_GB2312" w:eastAsia="仿宋_GB2312" w:cs="仿宋_GB2312"/>
          <w:color w:val="000000"/>
          <w:sz w:val="28"/>
          <w:szCs w:val="28"/>
        </w:rPr>
        <w:t>根据《不动产权属查询结果单》记载，估价对象已抵押，</w:t>
      </w:r>
      <w:r>
        <w:rPr>
          <w:rFonts w:hint="eastAsia" w:eastAsia="仿宋_GB2312"/>
          <w:color w:val="000000"/>
          <w:sz w:val="28"/>
        </w:rPr>
        <w:t>抵押权利人</w:t>
      </w:r>
      <w:r>
        <w:rPr>
          <w:rFonts w:hint="eastAsia" w:eastAsia="仿宋_GB2312"/>
          <w:color w:val="000000"/>
          <w:sz w:val="28"/>
          <w:lang w:val="en-US" w:eastAsia="zh-CN"/>
        </w:rPr>
        <w:t>永康市融济典当有限责任公司</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（4）查封情况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根据《不动产权属查询结果单》记载，估价对象已被查封，查封法院为</w:t>
      </w:r>
      <w:r>
        <w:rPr>
          <w:rFonts w:hint="eastAsia" w:eastAsia="仿宋_GB2312"/>
          <w:color w:val="000000"/>
          <w:sz w:val="28"/>
          <w:lang w:eastAsia="zh-CN"/>
        </w:rPr>
        <w:t>永康市人民法院</w:t>
      </w:r>
      <w:r>
        <w:rPr>
          <w:rFonts w:hint="eastAsia" w:ascii="仿宋_GB2312" w:hAnsi="仿宋_GB2312" w:eastAsia="仿宋_GB2312" w:cs="仿宋_GB2312"/>
          <w:bCs/>
          <w:color w:val="000000"/>
          <w:sz w:val="30"/>
          <w:szCs w:val="30"/>
          <w:lang w:eastAsia="zh-CN"/>
        </w:rPr>
        <w:t>、</w:t>
      </w:r>
      <w:r>
        <w:rPr>
          <w:rFonts w:hint="eastAsia" w:ascii="仿宋_GB2312" w:hAnsi="仿宋_GB2312" w:eastAsia="仿宋_GB2312" w:cs="仿宋_GB2312"/>
          <w:color w:val="000000"/>
          <w:sz w:val="28"/>
          <w:szCs w:val="28"/>
          <w:lang w:val="en-US" w:eastAsia="zh-CN"/>
        </w:rPr>
        <w:t>东阳市人民法院、</w:t>
      </w:r>
      <w:r>
        <w:rPr>
          <w:rFonts w:hint="eastAsia" w:ascii="仿宋_GB2312" w:hAnsi="仿宋_GB2312" w:eastAsia="仿宋_GB2312" w:cs="仿宋_GB2312"/>
          <w:bCs/>
          <w:color w:val="000000"/>
          <w:sz w:val="30"/>
          <w:szCs w:val="30"/>
          <w:lang w:eastAsia="zh-CN"/>
        </w:rPr>
        <w:t>武汉市武昌区人民法院</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2．估价对象实物状况</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（1）土地实物状况</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rPr>
        <w:t>坐落：</w:t>
      </w:r>
      <w:r>
        <w:rPr>
          <w:rFonts w:hint="eastAsia" w:ascii="仿宋_GB2312" w:hAnsi="仿宋_GB2312" w:eastAsia="仿宋_GB2312" w:cs="仿宋_GB2312"/>
          <w:color w:val="000000"/>
          <w:sz w:val="28"/>
          <w:szCs w:val="28"/>
          <w:lang w:eastAsia="zh-CN"/>
        </w:rPr>
        <w:t>东阳市横店镇横店社区杨店居民小区（现门牌号为登龙路80号）</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rPr>
        <w:t>土地使用</w:t>
      </w:r>
      <w:r>
        <w:rPr>
          <w:rFonts w:hint="eastAsia" w:ascii="仿宋_GB2312" w:hAnsi="仿宋_GB2312" w:eastAsia="仿宋_GB2312" w:cs="仿宋_GB2312"/>
          <w:color w:val="000000"/>
          <w:sz w:val="28"/>
          <w:szCs w:val="28"/>
        </w:rPr>
        <w:t>权面积：</w:t>
      </w:r>
      <w:r>
        <w:rPr>
          <w:rFonts w:hint="eastAsia" w:ascii="仿宋_GB2312" w:hAnsi="仿宋_GB2312" w:eastAsia="仿宋_GB2312" w:cs="仿宋_GB2312"/>
          <w:color w:val="000000"/>
          <w:sz w:val="28"/>
          <w:szCs w:val="28"/>
          <w:lang w:val="en-US" w:eastAsia="zh-CN"/>
        </w:rPr>
        <w:t>152</w:t>
      </w:r>
      <w:r>
        <w:rPr>
          <w:rFonts w:hint="eastAsia" w:ascii="仿宋_GB2312" w:hAnsi="仿宋_GB2312" w:eastAsia="仿宋_GB2312" w:cs="仿宋_GB2312"/>
          <w:color w:val="000000"/>
          <w:sz w:val="28"/>
        </w:rPr>
        <w:t>平方米</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土地使用期限：至</w:t>
      </w:r>
      <w:r>
        <w:rPr>
          <w:rFonts w:hint="eastAsia" w:ascii="仿宋_GB2312" w:hAnsi="仿宋_GB2312" w:eastAsia="仿宋_GB2312" w:cs="仿宋_GB2312"/>
          <w:color w:val="000000"/>
          <w:sz w:val="28"/>
          <w:szCs w:val="28"/>
          <w:lang w:eastAsia="zh-CN"/>
        </w:rPr>
        <w:t>2075年7月3日</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土地形状</w:t>
      </w:r>
      <w:r>
        <w:rPr>
          <w:rFonts w:hint="eastAsia" w:ascii="仿宋_GB2312" w:hAnsi="仿宋_GB2312" w:eastAsia="仿宋_GB2312" w:cs="仿宋_GB2312"/>
          <w:color w:val="000000"/>
          <w:sz w:val="28"/>
          <w:szCs w:val="22"/>
        </w:rPr>
        <w:t>：</w:t>
      </w:r>
      <w:r>
        <w:rPr>
          <w:rFonts w:hint="eastAsia" w:ascii="仿宋_GB2312" w:hAnsi="仿宋_GB2312" w:eastAsia="仿宋_GB2312" w:cs="仿宋_GB2312"/>
          <w:color w:val="000000"/>
          <w:sz w:val="28"/>
          <w:szCs w:val="22"/>
          <w:lang w:val="en-US" w:eastAsia="zh-CN"/>
        </w:rPr>
        <w:t>较规则</w:t>
      </w:r>
      <w:r>
        <w:rPr>
          <w:rFonts w:hint="eastAsia" w:ascii="仿宋_GB2312" w:hAnsi="仿宋_GB2312" w:eastAsia="仿宋_GB2312" w:cs="仿宋_GB2312"/>
          <w:color w:val="000000"/>
          <w:sz w:val="28"/>
          <w:szCs w:val="22"/>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地形地势：平坦。</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土壤地基：良好。</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土地开发程度：完成</w:t>
      </w:r>
      <w:r>
        <w:rPr>
          <w:rFonts w:hint="eastAsia" w:ascii="仿宋_GB2312" w:hAnsi="仿宋_GB2312" w:eastAsia="仿宋_GB2312" w:cs="仿宋_GB2312"/>
          <w:color w:val="000000"/>
          <w:sz w:val="28"/>
          <w:lang w:val="en-US" w:eastAsia="zh-CN"/>
        </w:rPr>
        <w:t>五</w:t>
      </w:r>
      <w:r>
        <w:rPr>
          <w:rFonts w:hint="eastAsia" w:ascii="仿宋_GB2312" w:hAnsi="仿宋_GB2312" w:eastAsia="仿宋_GB2312" w:cs="仿宋_GB2312"/>
          <w:color w:val="000000"/>
          <w:sz w:val="28"/>
        </w:rPr>
        <w:t>通一</w:t>
      </w:r>
      <w:r>
        <w:rPr>
          <w:rFonts w:hint="eastAsia" w:ascii="仿宋_GB2312" w:hAnsi="仿宋_GB2312" w:eastAsia="仿宋_GB2312" w:cs="仿宋_GB2312"/>
          <w:color w:val="000000"/>
          <w:sz w:val="28"/>
          <w:szCs w:val="22"/>
        </w:rPr>
        <w:t>平，水、电、供排水接入市政管网</w:t>
      </w:r>
      <w:r>
        <w:rPr>
          <w:rFonts w:hint="eastAsia" w:ascii="仿宋_GB2312" w:hAnsi="仿宋_GB2312" w:eastAsia="仿宋_GB2312" w:cs="仿宋_GB2312"/>
          <w:color w:val="000000"/>
          <w:sz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（2）建筑物实物状况</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坐落：</w:t>
      </w:r>
      <w:r>
        <w:rPr>
          <w:rFonts w:hint="eastAsia" w:ascii="仿宋_GB2312" w:hAnsi="仿宋_GB2312" w:eastAsia="仿宋_GB2312" w:cs="仿宋_GB2312"/>
          <w:color w:val="000000"/>
          <w:sz w:val="28"/>
          <w:szCs w:val="28"/>
          <w:lang w:eastAsia="zh-CN"/>
        </w:rPr>
        <w:t>东阳市横店镇横店社区杨店居民小区（现门牌号为登龙路80号）</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建筑物结构：混合结构。</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朝向：</w:t>
      </w:r>
      <w:r>
        <w:rPr>
          <w:rFonts w:hint="eastAsia" w:ascii="仿宋_GB2312" w:hAnsi="仿宋_GB2312" w:eastAsia="仿宋_GB2312" w:cs="仿宋_GB2312"/>
          <w:color w:val="000000"/>
          <w:sz w:val="28"/>
          <w:lang w:val="en-US" w:eastAsia="zh-CN"/>
        </w:rPr>
        <w:t>东南</w:t>
      </w:r>
      <w:r>
        <w:rPr>
          <w:rFonts w:hint="eastAsia" w:ascii="仿宋_GB2312" w:hAnsi="仿宋_GB2312" w:eastAsia="仿宋_GB2312" w:cs="仿宋_GB2312"/>
          <w:color w:val="000000"/>
          <w:sz w:val="28"/>
        </w:rPr>
        <w:t>朝向。</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楼层：</w:t>
      </w:r>
      <w:r>
        <w:rPr>
          <w:rFonts w:hint="eastAsia" w:ascii="仿宋_GB2312" w:hAnsi="仿宋_GB2312" w:eastAsia="仿宋_GB2312" w:cs="仿宋_GB2312"/>
          <w:color w:val="000000"/>
          <w:sz w:val="28"/>
          <w:szCs w:val="28"/>
          <w:lang w:val="en-US" w:eastAsia="zh-CN"/>
        </w:rPr>
        <w:t>1-4/4</w:t>
      </w:r>
      <w:r>
        <w:rPr>
          <w:rFonts w:hint="eastAsia" w:ascii="仿宋_GB2312" w:hAnsi="仿宋_GB2312" w:eastAsia="仿宋_GB2312" w:cs="仿宋_GB2312"/>
          <w:color w:val="000000"/>
          <w:sz w:val="28"/>
        </w:rPr>
        <w:t>。</w:t>
      </w:r>
    </w:p>
    <w:p>
      <w:pPr>
        <w:pStyle w:val="7"/>
        <w:keepNext w:val="0"/>
        <w:keepLines w:val="0"/>
        <w:pageBreakBefore w:val="0"/>
        <w:widowControl w:val="0"/>
        <w:kinsoku/>
        <w:wordWrap/>
        <w:overflowPunct/>
        <w:topLinePunct w:val="0"/>
        <w:autoSpaceDE/>
        <w:autoSpaceDN/>
        <w:bidi w:val="0"/>
        <w:adjustRightInd/>
        <w:snapToGrid/>
        <w:spacing w:after="0" w:line="520" w:lineRule="exact"/>
        <w:ind w:left="0" w:leftChars="0" w:firstLine="560" w:firstLineChars="0"/>
        <w:rPr>
          <w:rFonts w:hint="eastAsia" w:ascii="仿宋_GB2312" w:hAnsi="仿宋_GB2312" w:eastAsia="仿宋_GB2312" w:cs="仿宋_GB2312"/>
          <w:color w:val="000000"/>
          <w:szCs w:val="22"/>
        </w:rPr>
      </w:pPr>
      <w:r>
        <w:rPr>
          <w:rFonts w:hint="eastAsia" w:ascii="仿宋_GB2312" w:hAnsi="仿宋_GB2312" w:eastAsia="仿宋_GB2312" w:cs="仿宋_GB2312"/>
          <w:color w:val="000000"/>
          <w:szCs w:val="22"/>
        </w:rPr>
        <w:t>建筑面</w:t>
      </w:r>
      <w:r>
        <w:rPr>
          <w:rFonts w:hint="eastAsia" w:ascii="仿宋_GB2312" w:hAnsi="仿宋_GB2312" w:eastAsia="仿宋_GB2312" w:cs="仿宋_GB2312"/>
          <w:color w:val="000000"/>
        </w:rPr>
        <w:t>积：</w:t>
      </w:r>
      <w:r>
        <w:rPr>
          <w:rFonts w:hint="eastAsia" w:ascii="仿宋_GB2312" w:hAnsi="仿宋_GB2312" w:eastAsia="仿宋_GB2312" w:cs="仿宋_GB2312"/>
          <w:color w:val="000000"/>
          <w:sz w:val="28"/>
          <w:szCs w:val="28"/>
        </w:rPr>
        <w:t>建筑面积</w:t>
      </w:r>
      <w:r>
        <w:rPr>
          <w:rFonts w:hint="eastAsia" w:ascii="仿宋_GB2312" w:hAnsi="仿宋_GB2312" w:eastAsia="仿宋_GB2312" w:cs="仿宋_GB2312"/>
          <w:color w:val="000000"/>
          <w:sz w:val="28"/>
          <w:szCs w:val="28"/>
          <w:lang w:eastAsia="zh-CN"/>
        </w:rPr>
        <w:t>587.91</w:t>
      </w:r>
      <w:r>
        <w:rPr>
          <w:rFonts w:hint="eastAsia" w:ascii="仿宋_GB2312" w:hAnsi="仿宋_GB2312" w:eastAsia="仿宋_GB2312" w:cs="仿宋_GB2312"/>
          <w:color w:val="000000"/>
          <w:sz w:val="28"/>
          <w:szCs w:val="28"/>
        </w:rPr>
        <w:t>平方米</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带阁楼</w:t>
      </w:r>
      <w:r>
        <w:rPr>
          <w:rFonts w:hint="eastAsia" w:ascii="仿宋_GB2312" w:hAnsi="仿宋_GB2312" w:eastAsia="仿宋_GB2312" w:cs="仿宋_GB2312"/>
          <w:color w:val="000000"/>
          <w:szCs w:val="22"/>
        </w:rPr>
        <w:t>。</w:t>
      </w:r>
    </w:p>
    <w:p>
      <w:pPr>
        <w:pStyle w:val="7"/>
        <w:keepNext w:val="0"/>
        <w:keepLines w:val="0"/>
        <w:pageBreakBefore w:val="0"/>
        <w:widowControl w:val="0"/>
        <w:kinsoku/>
        <w:wordWrap/>
        <w:overflowPunct/>
        <w:topLinePunct w:val="0"/>
        <w:autoSpaceDE/>
        <w:autoSpaceDN/>
        <w:bidi w:val="0"/>
        <w:adjustRightInd/>
        <w:snapToGrid/>
        <w:spacing w:after="0" w:line="520" w:lineRule="exact"/>
        <w:ind w:left="0" w:leftChars="0" w:firstLine="560" w:firstLineChars="0"/>
        <w:rPr>
          <w:rFonts w:hint="eastAsia" w:ascii="仿宋_GB2312" w:hAnsi="仿宋_GB2312" w:eastAsia="仿宋_GB2312" w:cs="仿宋_GB2312"/>
          <w:color w:val="000000"/>
        </w:rPr>
      </w:pPr>
      <w:r>
        <w:rPr>
          <w:rFonts w:hint="eastAsia" w:ascii="仿宋_GB2312" w:hAnsi="仿宋_GB2312" w:eastAsia="仿宋_GB2312" w:cs="仿宋_GB2312"/>
          <w:color w:val="000000"/>
        </w:rPr>
        <w:t>设施设备：</w:t>
      </w:r>
      <w:r>
        <w:rPr>
          <w:rFonts w:eastAsia="仿宋_GB2312"/>
          <w:color w:val="000000"/>
        </w:rPr>
        <w:t>水</w:t>
      </w:r>
      <w:r>
        <w:rPr>
          <w:rFonts w:hint="eastAsia" w:eastAsia="仿宋_GB2312"/>
          <w:color w:val="000000"/>
        </w:rPr>
        <w:t>、</w:t>
      </w:r>
      <w:r>
        <w:rPr>
          <w:rFonts w:eastAsia="仿宋_GB2312"/>
          <w:color w:val="000000"/>
        </w:rPr>
        <w:t>电</w:t>
      </w:r>
      <w:r>
        <w:rPr>
          <w:rFonts w:hint="eastAsia" w:eastAsia="仿宋_GB2312"/>
          <w:color w:val="000000"/>
          <w:lang w:eastAsia="zh-CN"/>
        </w:rPr>
        <w:t>、</w:t>
      </w:r>
      <w:r>
        <w:rPr>
          <w:rFonts w:hint="eastAsia" w:eastAsia="仿宋_GB2312"/>
          <w:color w:val="000000"/>
          <w:lang w:val="en-US" w:eastAsia="zh-CN"/>
        </w:rPr>
        <w:t>卫</w:t>
      </w:r>
      <w:r>
        <w:rPr>
          <w:rFonts w:eastAsia="仿宋_GB2312"/>
          <w:color w:val="000000"/>
        </w:rPr>
        <w:t>等设施齐全</w:t>
      </w:r>
      <w:r>
        <w:rPr>
          <w:rFonts w:hint="eastAsia" w:ascii="仿宋_GB2312" w:hAnsi="仿宋_GB2312" w:eastAsia="仿宋_GB2312" w:cs="仿宋_GB2312"/>
          <w:color w:val="000000"/>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房屋使用状况：</w:t>
      </w:r>
      <w:r>
        <w:rPr>
          <w:rFonts w:hint="eastAsia" w:ascii="仿宋_GB2312" w:hAnsi="仿宋_GB2312" w:eastAsia="仿宋_GB2312" w:cs="仿宋_GB2312"/>
          <w:color w:val="000000"/>
          <w:sz w:val="28"/>
          <w:lang w:val="en-US" w:eastAsia="zh-CN"/>
        </w:rPr>
        <w:t>居住</w:t>
      </w:r>
      <w:r>
        <w:rPr>
          <w:rFonts w:hint="eastAsia" w:ascii="仿宋_GB2312" w:hAnsi="仿宋_GB2312" w:eastAsia="仿宋_GB2312" w:cs="仿宋_GB2312"/>
          <w:color w:val="000000"/>
          <w:sz w:val="28"/>
        </w:rPr>
        <w:t>。</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建成时间：</w:t>
      </w:r>
      <w:r>
        <w:rPr>
          <w:rFonts w:hint="eastAsia" w:ascii="仿宋_GB2312" w:hAnsi="仿宋_GB2312" w:eastAsia="仿宋_GB2312" w:cs="仿宋_GB2312"/>
          <w:color w:val="000000"/>
          <w:sz w:val="28"/>
          <w:lang w:val="en-US" w:eastAsia="zh-CN"/>
        </w:rPr>
        <w:t>1999</w:t>
      </w:r>
      <w:r>
        <w:rPr>
          <w:rFonts w:hint="eastAsia" w:ascii="仿宋_GB2312" w:hAnsi="仿宋_GB2312" w:eastAsia="仿宋_GB2312" w:cs="仿宋_GB2312"/>
          <w:color w:val="000000"/>
          <w:sz w:val="28"/>
        </w:rPr>
        <w:t>年。</w:t>
      </w:r>
    </w:p>
    <w:p>
      <w:pPr>
        <w:keepNext w:val="0"/>
        <w:keepLines w:val="0"/>
        <w:pageBreakBefore w:val="0"/>
        <w:widowControl w:val="0"/>
        <w:kinsoku/>
        <w:wordWrap/>
        <w:overflowPunct/>
        <w:topLinePunct w:val="0"/>
        <w:autoSpaceDE/>
        <w:autoSpaceDN/>
        <w:bidi w:val="0"/>
        <w:adjustRightInd/>
        <w:snapToGrid/>
        <w:spacing w:line="520" w:lineRule="exact"/>
        <w:ind w:firstLine="537" w:firstLineChars="192"/>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t>维护状况：整体维护状况良好。</w:t>
      </w:r>
    </w:p>
    <w:p>
      <w:pPr>
        <w:keepNext w:val="0"/>
        <w:keepLines w:val="0"/>
        <w:pageBreakBefore w:val="0"/>
        <w:widowControl w:val="0"/>
        <w:tabs>
          <w:tab w:val="left" w:pos="3060"/>
        </w:tabs>
        <w:kinsoku/>
        <w:wordWrap/>
        <w:overflowPunct/>
        <w:topLinePunct w:val="0"/>
        <w:autoSpaceDE/>
        <w:autoSpaceDN/>
        <w:bidi w:val="0"/>
        <w:adjustRightInd/>
        <w:snapToGrid/>
        <w:spacing w:line="520" w:lineRule="exact"/>
        <w:ind w:right="181"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建筑用途：住宅。</w:t>
      </w:r>
    </w:p>
    <w:p>
      <w:pPr>
        <w:keepNext w:val="0"/>
        <w:keepLines w:val="0"/>
        <w:pageBreakBefore w:val="0"/>
        <w:widowControl w:val="0"/>
        <w:tabs>
          <w:tab w:val="left" w:pos="3060"/>
        </w:tabs>
        <w:kinsoku/>
        <w:wordWrap/>
        <w:overflowPunct/>
        <w:topLinePunct w:val="0"/>
        <w:autoSpaceDE/>
        <w:autoSpaceDN/>
        <w:bidi w:val="0"/>
        <w:adjustRightInd/>
        <w:snapToGrid/>
        <w:spacing w:line="520" w:lineRule="exact"/>
        <w:ind w:right="181" w:firstLine="560" w:firstLineChars="200"/>
        <w:rPr>
          <w:rFonts w:hint="default" w:eastAsia="仿宋_GB2312"/>
          <w:color w:val="000000"/>
          <w:sz w:val="28"/>
          <w:lang w:val="en-US" w:eastAsia="zh-CN"/>
        </w:rPr>
      </w:pPr>
      <w:r>
        <w:rPr>
          <w:rFonts w:hint="eastAsia" w:eastAsia="仿宋_GB2312"/>
          <w:color w:val="000000"/>
          <w:sz w:val="28"/>
          <w:lang w:eastAsia="zh-CN"/>
        </w:rPr>
        <w:t>层高：</w:t>
      </w:r>
      <w:r>
        <w:rPr>
          <w:rFonts w:hint="eastAsia" w:ascii="仿宋_GB2312" w:hAnsi="仿宋_GB2312" w:eastAsia="仿宋_GB2312" w:cs="仿宋_GB2312"/>
          <w:color w:val="000000"/>
          <w:sz w:val="28"/>
        </w:rPr>
        <w:t>1层约</w:t>
      </w:r>
      <w:r>
        <w:rPr>
          <w:rFonts w:hint="eastAsia" w:ascii="仿宋_GB2312" w:hAnsi="仿宋_GB2312" w:eastAsia="仿宋_GB2312" w:cs="仿宋_GB2312"/>
          <w:color w:val="000000"/>
          <w:sz w:val="28"/>
          <w:lang w:val="en-US" w:eastAsia="zh-CN"/>
        </w:rPr>
        <w:t>3.6</w:t>
      </w:r>
      <w:r>
        <w:rPr>
          <w:rFonts w:hint="eastAsia" w:ascii="仿宋_GB2312" w:hAnsi="仿宋_GB2312" w:eastAsia="仿宋_GB2312" w:cs="仿宋_GB2312"/>
          <w:color w:val="000000"/>
          <w:sz w:val="28"/>
        </w:rPr>
        <w:t>米，2层约</w:t>
      </w:r>
      <w:r>
        <w:rPr>
          <w:rFonts w:hint="eastAsia" w:ascii="仿宋_GB2312" w:hAnsi="仿宋_GB2312" w:eastAsia="仿宋_GB2312" w:cs="仿宋_GB2312"/>
          <w:color w:val="000000"/>
          <w:sz w:val="28"/>
          <w:lang w:val="en-US" w:eastAsia="zh-CN"/>
        </w:rPr>
        <w:t>3</w:t>
      </w:r>
      <w:r>
        <w:rPr>
          <w:rFonts w:hint="eastAsia" w:ascii="仿宋_GB2312" w:hAnsi="仿宋_GB2312" w:eastAsia="仿宋_GB2312" w:cs="仿宋_GB2312"/>
          <w:color w:val="000000"/>
          <w:sz w:val="28"/>
        </w:rPr>
        <w:t>米</w:t>
      </w:r>
      <w:r>
        <w:rPr>
          <w:rFonts w:hint="eastAsia" w:ascii="仿宋_GB2312" w:hAnsi="仿宋_GB2312" w:eastAsia="仿宋_GB2312" w:cs="仿宋_GB2312"/>
          <w:color w:val="000000"/>
          <w:sz w:val="28"/>
          <w:lang w:eastAsia="zh-CN"/>
        </w:rPr>
        <w:t>，</w:t>
      </w:r>
      <w:r>
        <w:rPr>
          <w:rFonts w:hint="eastAsia" w:ascii="仿宋_GB2312" w:hAnsi="仿宋_GB2312" w:eastAsia="仿宋_GB2312" w:cs="仿宋_GB2312"/>
          <w:color w:val="000000"/>
          <w:sz w:val="28"/>
          <w:lang w:val="en-US" w:eastAsia="zh-CN"/>
        </w:rPr>
        <w:t>3-4层约3.2米</w:t>
      </w:r>
      <w:r>
        <w:rPr>
          <w:rFonts w:hint="eastAsia" w:ascii="仿宋_GB2312" w:hAnsi="仿宋_GB2312" w:eastAsia="仿宋_GB2312" w:cs="仿宋_GB2312"/>
          <w:color w:val="000000"/>
          <w:sz w:val="28"/>
        </w:rPr>
        <w:t>。</w:t>
      </w:r>
    </w:p>
    <w:p>
      <w:pPr>
        <w:keepNext w:val="0"/>
        <w:keepLines w:val="0"/>
        <w:pageBreakBefore w:val="0"/>
        <w:widowControl w:val="0"/>
        <w:tabs>
          <w:tab w:val="left" w:pos="3060"/>
        </w:tabs>
        <w:kinsoku/>
        <w:wordWrap/>
        <w:overflowPunct/>
        <w:topLinePunct w:val="0"/>
        <w:autoSpaceDE/>
        <w:autoSpaceDN/>
        <w:bidi w:val="0"/>
        <w:adjustRightInd/>
        <w:snapToGrid/>
        <w:spacing w:line="520" w:lineRule="exact"/>
        <w:ind w:right="181" w:firstLine="560" w:firstLineChars="200"/>
        <w:rPr>
          <w:rFonts w:eastAsia="仿宋_GB2312"/>
          <w:color w:val="000000"/>
          <w:sz w:val="28"/>
        </w:rPr>
      </w:pPr>
      <w:r>
        <w:rPr>
          <w:rFonts w:hint="eastAsia" w:eastAsia="仿宋_GB2312"/>
          <w:color w:val="000000"/>
          <w:sz w:val="28"/>
        </w:rPr>
        <w:t>布局：</w:t>
      </w:r>
      <w:r>
        <w:rPr>
          <w:rFonts w:hint="eastAsia" w:ascii="仿宋_GB2312" w:hAnsi="仿宋_GB2312" w:eastAsia="仿宋_GB2312" w:cs="仿宋_GB2312"/>
          <w:color w:val="000000"/>
          <w:sz w:val="28"/>
        </w:rPr>
        <w:t>垂直式房屋，布局合理。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highlight w:val="none"/>
        </w:rPr>
      </w:pPr>
      <w:r>
        <w:rPr>
          <w:rFonts w:hint="eastAsia" w:ascii="仿宋_GB2312" w:hAnsi="仿宋_GB2312" w:eastAsia="仿宋_GB2312" w:cs="仿宋_GB2312"/>
          <w:color w:val="000000"/>
          <w:sz w:val="28"/>
        </w:rPr>
        <w:t>室内装修：</w:t>
      </w:r>
      <w:r>
        <w:rPr>
          <w:rFonts w:hint="eastAsia" w:ascii="仿宋_GB2312" w:hAnsi="仿宋_GB2312" w:eastAsia="仿宋_GB2312" w:cs="仿宋_GB2312"/>
          <w:color w:val="000000"/>
          <w:sz w:val="28"/>
          <w:highlight w:val="none"/>
        </w:rPr>
        <w:t>外墙面</w:t>
      </w:r>
      <w:r>
        <w:rPr>
          <w:rFonts w:hint="eastAsia" w:ascii="仿宋_GB2312" w:hAnsi="仿宋_GB2312" w:eastAsia="仿宋_GB2312" w:cs="仿宋_GB2312"/>
          <w:color w:val="000000"/>
          <w:sz w:val="28"/>
          <w:highlight w:val="none"/>
          <w:lang w:val="en-US" w:eastAsia="zh-CN"/>
        </w:rPr>
        <w:t>墙砖</w:t>
      </w:r>
      <w:r>
        <w:rPr>
          <w:rFonts w:hint="eastAsia" w:ascii="仿宋_GB2312" w:hAnsi="仿宋_GB2312" w:eastAsia="仿宋_GB2312" w:cs="仿宋_GB2312"/>
          <w:color w:val="000000"/>
          <w:sz w:val="28"/>
          <w:highlight w:val="none"/>
        </w:rPr>
        <w:t>，1楼</w:t>
      </w:r>
      <w:r>
        <w:rPr>
          <w:rFonts w:hint="eastAsia" w:ascii="仿宋_GB2312" w:hAnsi="仿宋_GB2312" w:eastAsia="仿宋_GB2312" w:cs="仿宋_GB2312"/>
          <w:color w:val="000000"/>
          <w:sz w:val="28"/>
          <w:highlight w:val="none"/>
          <w:lang w:val="en-US" w:eastAsia="zh-CN"/>
        </w:rPr>
        <w:t>客厅、</w:t>
      </w:r>
      <w:r>
        <w:rPr>
          <w:rFonts w:hint="eastAsia" w:ascii="仿宋_GB2312" w:hAnsi="仿宋_GB2312" w:eastAsia="仿宋_GB2312"/>
          <w:color w:val="000000"/>
          <w:sz w:val="28"/>
          <w:szCs w:val="28"/>
        </w:rPr>
        <w:t>餐厅</w:t>
      </w:r>
      <w:r>
        <w:rPr>
          <w:rFonts w:hint="eastAsia" w:ascii="仿宋_GB2312" w:hAnsi="仿宋_GB2312" w:eastAsia="仿宋_GB2312"/>
          <w:color w:val="000000"/>
          <w:sz w:val="28"/>
          <w:szCs w:val="28"/>
          <w:lang w:val="en-US" w:eastAsia="zh-CN"/>
        </w:rPr>
        <w:t>花岗岩</w:t>
      </w:r>
      <w:r>
        <w:rPr>
          <w:rFonts w:hint="eastAsia" w:ascii="仿宋_GB2312" w:hAnsi="仿宋_GB2312" w:eastAsia="仿宋_GB2312" w:cs="仿宋_GB2312"/>
          <w:color w:val="000000"/>
          <w:sz w:val="28"/>
          <w:szCs w:val="28"/>
          <w:highlight w:val="none"/>
        </w:rPr>
        <w:t>地面</w:t>
      </w:r>
      <w:r>
        <w:rPr>
          <w:rFonts w:hint="eastAsia" w:ascii="仿宋_GB2312" w:hAnsi="仿宋_GB2312" w:eastAsia="仿宋_GB2312" w:cs="仿宋_GB2312"/>
          <w:color w:val="000000"/>
          <w:sz w:val="28"/>
          <w:highlight w:val="none"/>
        </w:rPr>
        <w:t>，</w:t>
      </w:r>
      <w:r>
        <w:rPr>
          <w:rFonts w:hint="eastAsia" w:ascii="仿宋_GB2312" w:hAnsi="仿宋_GB2312" w:eastAsia="仿宋_GB2312" w:cs="仿宋_GB2312"/>
          <w:color w:val="000000"/>
          <w:sz w:val="28"/>
          <w:highlight w:val="none"/>
          <w:lang w:val="en-US" w:eastAsia="zh-CN"/>
        </w:rPr>
        <w:t>墙面及天棚涂料，</w:t>
      </w:r>
      <w:r>
        <w:rPr>
          <w:rFonts w:hint="eastAsia" w:ascii="仿宋_GB2312" w:hAnsi="仿宋_GB2312" w:eastAsia="仿宋_GB2312" w:cs="仿宋_GB2312"/>
          <w:color w:val="000000"/>
          <w:sz w:val="28"/>
          <w:highlight w:val="none"/>
        </w:rPr>
        <w:t>厨</w:t>
      </w:r>
      <w:r>
        <w:rPr>
          <w:rFonts w:hint="eastAsia" w:ascii="仿宋_GB2312" w:hAnsi="仿宋_GB2312" w:eastAsia="仿宋_GB2312" w:cs="仿宋_GB2312"/>
          <w:color w:val="000000"/>
          <w:sz w:val="28"/>
          <w:highlight w:val="none"/>
          <w:lang w:val="en-US" w:eastAsia="zh-CN"/>
        </w:rPr>
        <w:t>房、卫生间</w:t>
      </w:r>
      <w:r>
        <w:rPr>
          <w:rFonts w:hint="eastAsia" w:ascii="仿宋_GB2312" w:hAnsi="仿宋_GB2312" w:eastAsia="仿宋_GB2312" w:cs="仿宋_GB2312"/>
          <w:color w:val="000000"/>
          <w:sz w:val="28"/>
          <w:highlight w:val="none"/>
        </w:rPr>
        <w:t>地砖地面，墙砖墙面，</w:t>
      </w:r>
      <w:r>
        <w:rPr>
          <w:rFonts w:hint="eastAsia" w:ascii="仿宋_GB2312" w:hAnsi="仿宋_GB2312" w:eastAsia="仿宋_GB2312" w:cs="仿宋_GB2312"/>
          <w:color w:val="000000"/>
          <w:sz w:val="28"/>
          <w:highlight w:val="none"/>
          <w:lang w:val="en-US" w:eastAsia="zh-CN"/>
        </w:rPr>
        <w:t>铝扣板</w:t>
      </w:r>
      <w:r>
        <w:rPr>
          <w:rFonts w:hint="eastAsia" w:ascii="仿宋_GB2312" w:hAnsi="仿宋_GB2312" w:eastAsia="仿宋_GB2312" w:cs="仿宋_GB2312"/>
          <w:color w:val="000000"/>
          <w:sz w:val="28"/>
          <w:highlight w:val="none"/>
        </w:rPr>
        <w:t>吊顶天棚</w:t>
      </w:r>
      <w:r>
        <w:rPr>
          <w:rFonts w:hint="eastAsia" w:ascii="仿宋_GB2312" w:hAnsi="仿宋_GB2312" w:eastAsia="仿宋_GB2312" w:cs="仿宋_GB2312"/>
          <w:color w:val="000000"/>
          <w:sz w:val="28"/>
          <w:highlight w:val="none"/>
          <w:lang w:val="en-US" w:eastAsia="zh-CN"/>
        </w:rPr>
        <w:t>；</w:t>
      </w:r>
      <w:r>
        <w:rPr>
          <w:rFonts w:hint="eastAsia" w:ascii="仿宋_GB2312" w:hAnsi="仿宋_GB2312" w:eastAsia="仿宋_GB2312" w:cs="仿宋_GB2312"/>
          <w:color w:val="000000"/>
          <w:sz w:val="28"/>
          <w:highlight w:val="none"/>
        </w:rPr>
        <w:t>2楼客厅、卧室木地板地面，</w:t>
      </w:r>
      <w:r>
        <w:rPr>
          <w:rFonts w:hint="eastAsia" w:ascii="仿宋_GB2312" w:hAnsi="仿宋_GB2312" w:eastAsia="仿宋_GB2312" w:cs="仿宋_GB2312"/>
          <w:color w:val="000000"/>
          <w:sz w:val="28"/>
          <w:highlight w:val="none"/>
          <w:lang w:val="en-US" w:eastAsia="zh-CN"/>
        </w:rPr>
        <w:t>墙纸、软包</w:t>
      </w:r>
      <w:r>
        <w:rPr>
          <w:rFonts w:hint="eastAsia" w:ascii="仿宋_GB2312" w:hAnsi="仿宋_GB2312" w:eastAsia="仿宋_GB2312" w:cs="仿宋_GB2312"/>
          <w:color w:val="000000"/>
          <w:sz w:val="28"/>
          <w:highlight w:val="none"/>
        </w:rPr>
        <w:t>墙面</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lang w:val="en-US" w:eastAsia="zh-CN"/>
        </w:rPr>
        <w:t>电视背景墙，</w:t>
      </w:r>
      <w:r>
        <w:rPr>
          <w:rFonts w:hint="eastAsia" w:ascii="仿宋_GB2312" w:hAnsi="仿宋_GB2312" w:eastAsia="仿宋_GB2312" w:cs="仿宋_GB2312"/>
          <w:color w:val="000000"/>
          <w:sz w:val="28"/>
          <w:highlight w:val="none"/>
        </w:rPr>
        <w:t>天棚涂料</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lang w:val="en-US" w:eastAsia="zh-CN"/>
        </w:rPr>
        <w:t>部分石膏板</w:t>
      </w:r>
      <w:r>
        <w:rPr>
          <w:rFonts w:hint="eastAsia" w:ascii="仿宋_GB2312" w:hAnsi="仿宋_GB2312" w:eastAsia="仿宋_GB2312" w:cs="仿宋_GB2312"/>
          <w:color w:val="000000"/>
          <w:sz w:val="28"/>
          <w:highlight w:val="none"/>
        </w:rPr>
        <w:t>吊顶</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rPr>
        <w:t>卫生间地砖地面，墙砖墙面，</w:t>
      </w:r>
      <w:r>
        <w:rPr>
          <w:rFonts w:hint="eastAsia" w:ascii="仿宋_GB2312" w:hAnsi="仿宋_GB2312" w:eastAsia="仿宋_GB2312" w:cs="仿宋_GB2312"/>
          <w:color w:val="000000"/>
          <w:sz w:val="28"/>
          <w:highlight w:val="none"/>
          <w:lang w:val="en-US" w:eastAsia="zh-CN"/>
        </w:rPr>
        <w:t>铝扣板</w:t>
      </w:r>
      <w:r>
        <w:rPr>
          <w:rFonts w:hint="eastAsia" w:ascii="仿宋_GB2312" w:hAnsi="仿宋_GB2312" w:eastAsia="仿宋_GB2312" w:cs="仿宋_GB2312"/>
          <w:color w:val="000000"/>
          <w:sz w:val="28"/>
          <w:highlight w:val="none"/>
        </w:rPr>
        <w:t>吊顶天棚</w:t>
      </w:r>
      <w:r>
        <w:rPr>
          <w:rFonts w:hint="eastAsia" w:ascii="仿宋_GB2312" w:hAnsi="仿宋_GB2312" w:eastAsia="仿宋_GB2312" w:cs="仿宋_GB2312"/>
          <w:color w:val="000000"/>
          <w:sz w:val="28"/>
          <w:highlight w:val="none"/>
          <w:lang w:val="en-US" w:eastAsia="zh-CN"/>
        </w:rPr>
        <w:t>；3</w:t>
      </w:r>
      <w:r>
        <w:rPr>
          <w:rFonts w:hint="eastAsia" w:ascii="仿宋_GB2312" w:hAnsi="仿宋_GB2312" w:eastAsia="仿宋_GB2312" w:cs="仿宋_GB2312"/>
          <w:color w:val="000000"/>
          <w:sz w:val="28"/>
          <w:highlight w:val="none"/>
        </w:rPr>
        <w:t>楼客厅、卧室</w:t>
      </w:r>
      <w:r>
        <w:rPr>
          <w:rFonts w:hint="eastAsia" w:ascii="仿宋_GB2312" w:hAnsi="仿宋_GB2312" w:eastAsia="仿宋_GB2312" w:cs="仿宋_GB2312"/>
          <w:color w:val="000000"/>
          <w:sz w:val="28"/>
          <w:highlight w:val="none"/>
          <w:lang w:val="en-US" w:eastAsia="zh-CN"/>
        </w:rPr>
        <w:t>复合</w:t>
      </w:r>
      <w:r>
        <w:rPr>
          <w:rFonts w:hint="eastAsia" w:ascii="仿宋_GB2312" w:hAnsi="仿宋_GB2312" w:eastAsia="仿宋_GB2312" w:cs="仿宋_GB2312"/>
          <w:color w:val="000000"/>
          <w:sz w:val="28"/>
          <w:highlight w:val="none"/>
        </w:rPr>
        <w:t>地板地面，墙面</w:t>
      </w:r>
      <w:r>
        <w:rPr>
          <w:rFonts w:hint="eastAsia" w:ascii="仿宋_GB2312" w:hAnsi="仿宋_GB2312" w:eastAsia="仿宋_GB2312" w:cs="仿宋_GB2312"/>
          <w:color w:val="000000"/>
          <w:sz w:val="28"/>
          <w:highlight w:val="none"/>
          <w:lang w:val="en-US" w:eastAsia="zh-CN"/>
        </w:rPr>
        <w:t>及</w:t>
      </w:r>
      <w:r>
        <w:rPr>
          <w:rFonts w:hint="eastAsia" w:ascii="仿宋_GB2312" w:hAnsi="仿宋_GB2312" w:eastAsia="仿宋_GB2312" w:cs="仿宋_GB2312"/>
          <w:color w:val="000000"/>
          <w:sz w:val="28"/>
          <w:highlight w:val="none"/>
        </w:rPr>
        <w:t>天棚涂料</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rPr>
        <w:t>卫生间地砖地面，墙砖墙面</w:t>
      </w:r>
      <w:r>
        <w:rPr>
          <w:rFonts w:hint="eastAsia" w:ascii="仿宋_GB2312" w:hAnsi="仿宋_GB2312" w:eastAsia="仿宋_GB2312" w:cs="仿宋_GB2312"/>
          <w:color w:val="000000"/>
          <w:sz w:val="28"/>
          <w:highlight w:val="none"/>
          <w:lang w:val="en-US" w:eastAsia="zh-CN"/>
        </w:rPr>
        <w:t>；4</w:t>
      </w:r>
      <w:r>
        <w:rPr>
          <w:rFonts w:hint="eastAsia" w:ascii="仿宋_GB2312" w:hAnsi="仿宋_GB2312" w:eastAsia="仿宋_GB2312" w:cs="仿宋_GB2312"/>
          <w:color w:val="000000"/>
          <w:sz w:val="28"/>
          <w:highlight w:val="none"/>
        </w:rPr>
        <w:t>楼</w:t>
      </w:r>
      <w:r>
        <w:rPr>
          <w:rFonts w:hint="eastAsia" w:ascii="仿宋_GB2312" w:hAnsi="仿宋_GB2312" w:eastAsia="仿宋_GB2312" w:cs="仿宋_GB2312"/>
          <w:color w:val="000000"/>
          <w:sz w:val="28"/>
          <w:highlight w:val="none"/>
          <w:lang w:val="en-US" w:eastAsia="zh-CN"/>
        </w:rPr>
        <w:t>未装修，水泥地面，墙面及天棚刷白；</w:t>
      </w:r>
      <w:r>
        <w:rPr>
          <w:rFonts w:hint="eastAsia" w:ascii="仿宋_GB2312" w:hAnsi="仿宋_GB2312" w:eastAsia="仿宋_GB2312" w:cs="仿宋_GB2312"/>
          <w:color w:val="000000"/>
          <w:sz w:val="28"/>
          <w:highlight w:val="none"/>
        </w:rPr>
        <w:t>楼梯</w:t>
      </w:r>
      <w:r>
        <w:rPr>
          <w:rFonts w:hint="eastAsia" w:ascii="仿宋_GB2312" w:hAnsi="仿宋_GB2312" w:eastAsia="仿宋_GB2312" w:cs="仿宋_GB2312"/>
          <w:color w:val="000000"/>
          <w:sz w:val="28"/>
          <w:highlight w:val="none"/>
          <w:lang w:val="en-US" w:eastAsia="zh-CN"/>
        </w:rPr>
        <w:t>踏步铺花岗岩，木扶手护栏</w:t>
      </w:r>
      <w:r>
        <w:rPr>
          <w:rFonts w:hint="eastAsia" w:ascii="仿宋_GB2312" w:hAnsi="仿宋_GB2312" w:eastAsia="仿宋_GB2312" w:cs="仿宋_GB2312"/>
          <w:color w:val="000000"/>
          <w:sz w:val="28"/>
          <w:highlight w:val="none"/>
        </w:rPr>
        <w:t>，铝合金窗</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rPr>
        <w:t>安装有整体橱柜、卫生洁具、固定柜子、</w:t>
      </w:r>
      <w:r>
        <w:rPr>
          <w:rFonts w:hint="eastAsia" w:ascii="仿宋_GB2312" w:hAnsi="仿宋_GB2312" w:eastAsia="仿宋_GB2312" w:cs="仿宋_GB2312"/>
          <w:color w:val="000000"/>
          <w:sz w:val="28"/>
          <w:highlight w:val="none"/>
          <w:lang w:val="en-US" w:eastAsia="zh-CN"/>
        </w:rPr>
        <w:t>木</w:t>
      </w:r>
      <w:r>
        <w:rPr>
          <w:rFonts w:hint="eastAsia" w:ascii="仿宋_GB2312" w:hAnsi="仿宋_GB2312" w:eastAsia="仿宋_GB2312" w:cs="仿宋_GB2312"/>
          <w:color w:val="000000"/>
          <w:sz w:val="28"/>
          <w:highlight w:val="none"/>
        </w:rPr>
        <w:t>门</w:t>
      </w:r>
      <w:r>
        <w:rPr>
          <w:rFonts w:hint="eastAsia" w:ascii="仿宋_GB2312" w:hAnsi="仿宋_GB2312" w:eastAsia="仿宋_GB2312" w:cs="仿宋_GB2312"/>
          <w:color w:val="000000"/>
          <w:sz w:val="28"/>
          <w:highlight w:val="none"/>
          <w:lang w:eastAsia="zh-CN"/>
        </w:rPr>
        <w:t>、</w:t>
      </w:r>
      <w:r>
        <w:rPr>
          <w:rFonts w:hint="eastAsia" w:ascii="仿宋_GB2312" w:hAnsi="仿宋_GB2312" w:eastAsia="仿宋_GB2312" w:cs="仿宋_GB2312"/>
          <w:color w:val="000000"/>
          <w:sz w:val="28"/>
          <w:highlight w:val="none"/>
          <w:lang w:val="en-US" w:eastAsia="zh-CN"/>
        </w:rPr>
        <w:t>防盗门</w:t>
      </w:r>
      <w:r>
        <w:rPr>
          <w:rFonts w:hint="eastAsia" w:ascii="仿宋_GB2312" w:hAnsi="仿宋_GB2312" w:eastAsia="仿宋_GB2312" w:cs="仿宋_GB2312"/>
          <w:color w:val="000000"/>
          <w:sz w:val="28"/>
          <w:highlight w:val="none"/>
          <w:lang w:eastAsia="zh-CN"/>
        </w:rPr>
        <w:t>等</w:t>
      </w:r>
      <w:r>
        <w:rPr>
          <w:rFonts w:hint="eastAsia" w:ascii="仿宋_GB2312" w:hAnsi="仿宋_GB2312" w:eastAsia="仿宋_GB2312" w:cs="仿宋_GB2312"/>
          <w:color w:val="000000"/>
          <w:sz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560"/>
        <w:textAlignment w:val="baseline"/>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3.估价对象区位状况</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ascii="仿宋_GB2312" w:hAnsi="仿宋_GB2312" w:eastAsia="仿宋_GB2312" w:cs="仿宋_GB2312"/>
          <w:color w:val="000000"/>
          <w:szCs w:val="28"/>
        </w:rPr>
      </w:pPr>
      <w:r>
        <w:rPr>
          <w:rFonts w:hint="eastAsia" w:ascii="仿宋_GB2312" w:hAnsi="仿宋_GB2312" w:eastAsia="仿宋_GB2312" w:cs="仿宋_GB2312"/>
          <w:color w:val="000000"/>
          <w:szCs w:val="28"/>
        </w:rPr>
        <w:t>位置状况:位于</w:t>
      </w:r>
      <w:r>
        <w:rPr>
          <w:rFonts w:hint="eastAsia" w:ascii="仿宋_GB2312" w:hAnsi="仿宋_GB2312" w:eastAsia="仿宋_GB2312" w:cs="仿宋_GB2312"/>
          <w:color w:val="000000"/>
          <w:szCs w:val="28"/>
          <w:lang w:eastAsia="zh-CN"/>
        </w:rPr>
        <w:t>东阳市横店镇横店社区杨店居民小区（现门牌号为登龙路80号）</w:t>
      </w:r>
      <w:r>
        <w:rPr>
          <w:rFonts w:hint="eastAsia" w:ascii="仿宋_GB2312" w:hAnsi="仿宋_GB2312" w:eastAsia="仿宋_GB2312" w:cs="仿宋_GB2312"/>
          <w:color w:val="000000"/>
          <w:szCs w:val="28"/>
        </w:rPr>
        <w:t>，共</w:t>
      </w:r>
      <w:r>
        <w:rPr>
          <w:rFonts w:hint="eastAsia" w:ascii="仿宋_GB2312" w:hAnsi="仿宋_GB2312" w:eastAsia="仿宋_GB2312" w:cs="仿宋_GB2312"/>
          <w:color w:val="000000"/>
          <w:szCs w:val="28"/>
          <w:lang w:val="en-US" w:eastAsia="zh-CN"/>
        </w:rPr>
        <w:t>4</w:t>
      </w:r>
      <w:r>
        <w:rPr>
          <w:rFonts w:hint="eastAsia" w:ascii="仿宋_GB2312" w:hAnsi="仿宋_GB2312" w:eastAsia="仿宋_GB2312" w:cs="仿宋_GB2312"/>
          <w:color w:val="000000"/>
          <w:szCs w:val="28"/>
        </w:rPr>
        <w:t>层，所在层</w:t>
      </w:r>
      <w:r>
        <w:rPr>
          <w:rFonts w:hint="eastAsia" w:ascii="仿宋_GB2312" w:hAnsi="仿宋_GB2312" w:eastAsia="仿宋_GB2312" w:cs="仿宋_GB2312"/>
          <w:color w:val="000000"/>
          <w:szCs w:val="28"/>
          <w:lang w:val="en-US" w:eastAsia="zh-CN"/>
        </w:rPr>
        <w:t>1-4</w:t>
      </w:r>
      <w:r>
        <w:rPr>
          <w:rFonts w:hint="eastAsia" w:ascii="仿宋_GB2312" w:hAnsi="仿宋_GB2312" w:eastAsia="仿宋_GB2312" w:cs="仿宋_GB2312"/>
          <w:color w:val="000000"/>
          <w:szCs w:val="28"/>
        </w:rPr>
        <w:t>层</w:t>
      </w:r>
      <w:r>
        <w:rPr>
          <w:rFonts w:hint="eastAsia" w:ascii="仿宋_GB2312" w:hAnsi="仿宋_GB2312" w:eastAsia="仿宋_GB2312" w:cs="仿宋_GB2312"/>
          <w:color w:val="000000"/>
          <w:szCs w:val="28"/>
          <w:lang w:val="en-US" w:eastAsia="zh-CN"/>
        </w:rPr>
        <w:t>，估价对象</w:t>
      </w:r>
      <w:r>
        <w:rPr>
          <w:rFonts w:hint="eastAsia" w:ascii="仿宋_GB2312" w:hAnsi="仿宋_GB2312" w:eastAsia="仿宋_GB2312" w:cs="仿宋_GB2312"/>
          <w:color w:val="000000"/>
          <w:szCs w:val="28"/>
        </w:rPr>
        <w:t>地处</w:t>
      </w:r>
      <w:r>
        <w:rPr>
          <w:rFonts w:hint="eastAsia" w:ascii="仿宋_GB2312" w:hAnsi="仿宋_GB2312" w:eastAsia="仿宋_GB2312" w:cs="仿宋_GB2312"/>
          <w:color w:val="000000"/>
          <w:szCs w:val="28"/>
          <w:lang w:val="en-US" w:eastAsia="zh-CN"/>
        </w:rPr>
        <w:t>秦清路与</w:t>
      </w:r>
      <w:r>
        <w:rPr>
          <w:rFonts w:hint="eastAsia" w:ascii="仿宋_GB2312" w:hAnsi="仿宋_GB2312" w:eastAsia="仿宋_GB2312" w:cs="仿宋_GB2312"/>
          <w:color w:val="000000"/>
          <w:szCs w:val="28"/>
          <w:lang w:eastAsia="zh-CN"/>
        </w:rPr>
        <w:t>登龙路</w:t>
      </w:r>
      <w:r>
        <w:rPr>
          <w:rFonts w:hint="eastAsia" w:ascii="仿宋_GB2312" w:hAnsi="仿宋_GB2312" w:eastAsia="仿宋_GB2312" w:cs="仿宋_GB2312"/>
          <w:color w:val="000000"/>
          <w:szCs w:val="28"/>
          <w:lang w:val="en-US" w:eastAsia="zh-CN"/>
        </w:rPr>
        <w:t>交叉口附近</w:t>
      </w:r>
      <w:r>
        <w:rPr>
          <w:rFonts w:hint="eastAsia" w:ascii="仿宋_GB2312" w:hAnsi="仿宋_GB2312" w:eastAsia="仿宋_GB2312" w:cs="仿宋_GB2312"/>
          <w:color w:val="000000"/>
          <w:szCs w:val="28"/>
        </w:rPr>
        <w:t>，</w:t>
      </w:r>
      <w:r>
        <w:rPr>
          <w:rFonts w:hint="eastAsia" w:ascii="仿宋_GB2312" w:hAnsi="仿宋_GB2312" w:eastAsia="仿宋_GB2312" w:cs="仿宋_GB2312"/>
          <w:color w:val="000000"/>
          <w:szCs w:val="28"/>
          <w:lang w:val="en-US" w:eastAsia="zh-CN"/>
        </w:rPr>
        <w:t>紧邻</w:t>
      </w:r>
      <w:r>
        <w:rPr>
          <w:rFonts w:hint="eastAsia" w:ascii="仿宋_GB2312" w:hAnsi="仿宋_GB2312" w:eastAsia="仿宋_GB2312" w:cs="仿宋_GB2312"/>
          <w:color w:val="000000"/>
          <w:kern w:val="2"/>
          <w:sz w:val="28"/>
          <w:szCs w:val="28"/>
          <w:lang w:val="en-US" w:eastAsia="zh-CN" w:bidi="ar"/>
        </w:rPr>
        <w:t>清明上河图景区，</w:t>
      </w:r>
      <w:r>
        <w:rPr>
          <w:rFonts w:hint="eastAsia" w:ascii="仿宋_GB2312" w:hAnsi="仿宋_GB2312" w:eastAsia="仿宋_GB2312" w:cs="仿宋_GB2312"/>
          <w:color w:val="000000"/>
          <w:szCs w:val="28"/>
        </w:rPr>
        <w:t>距</w:t>
      </w:r>
      <w:r>
        <w:rPr>
          <w:rFonts w:hint="eastAsia" w:ascii="仿宋_GB2312" w:hAnsi="仿宋_GB2312" w:eastAsia="仿宋_GB2312" w:cs="仿宋_GB2312"/>
          <w:color w:val="000000"/>
          <w:szCs w:val="28"/>
          <w:lang w:eastAsia="zh-CN"/>
        </w:rPr>
        <w:t>横店镇</w:t>
      </w:r>
      <w:r>
        <w:rPr>
          <w:rFonts w:hint="eastAsia" w:ascii="仿宋_GB2312" w:hAnsi="仿宋_GB2312" w:eastAsia="仿宋_GB2312" w:cs="仿宋_GB2312"/>
          <w:color w:val="000000"/>
          <w:szCs w:val="28"/>
        </w:rPr>
        <w:t>政府</w:t>
      </w:r>
      <w:r>
        <w:rPr>
          <w:rFonts w:hint="eastAsia" w:ascii="仿宋_GB2312" w:hAnsi="仿宋_GB2312" w:eastAsia="仿宋_GB2312" w:cs="仿宋_GB2312"/>
          <w:color w:val="000000"/>
          <w:szCs w:val="28"/>
          <w:lang w:val="en-US" w:eastAsia="zh-CN"/>
        </w:rPr>
        <w:t>直线距离</w:t>
      </w:r>
      <w:r>
        <w:rPr>
          <w:rFonts w:hint="eastAsia" w:ascii="仿宋_GB2312" w:hAnsi="仿宋_GB2312" w:eastAsia="仿宋_GB2312" w:cs="仿宋_GB2312"/>
          <w:color w:val="000000"/>
          <w:szCs w:val="28"/>
        </w:rPr>
        <w:t>约</w:t>
      </w:r>
      <w:r>
        <w:rPr>
          <w:rFonts w:hint="eastAsia" w:ascii="仿宋_GB2312" w:hAnsi="仿宋_GB2312" w:eastAsia="仿宋_GB2312" w:cs="仿宋_GB2312"/>
          <w:color w:val="000000"/>
          <w:szCs w:val="28"/>
          <w:lang w:val="en-US" w:eastAsia="zh-CN"/>
        </w:rPr>
        <w:t>3</w:t>
      </w:r>
      <w:r>
        <w:rPr>
          <w:rFonts w:hint="eastAsia" w:ascii="仿宋_GB2312" w:hAnsi="仿宋_GB2312" w:eastAsia="仿宋_GB2312" w:cs="仿宋_GB2312"/>
          <w:color w:val="000000"/>
          <w:szCs w:val="28"/>
        </w:rPr>
        <w:t>.</w:t>
      </w:r>
      <w:r>
        <w:rPr>
          <w:rFonts w:hint="eastAsia" w:ascii="仿宋_GB2312" w:hAnsi="仿宋_GB2312" w:eastAsia="仿宋_GB2312" w:cs="仿宋_GB2312"/>
          <w:color w:val="000000"/>
          <w:szCs w:val="28"/>
          <w:lang w:val="en-US" w:eastAsia="zh-CN"/>
        </w:rPr>
        <w:t>5</w:t>
      </w:r>
      <w:r>
        <w:rPr>
          <w:rFonts w:hint="eastAsia" w:ascii="仿宋_GB2312" w:hAnsi="仿宋_GB2312" w:eastAsia="仿宋_GB2312" w:cs="仿宋_GB2312"/>
          <w:color w:val="000000"/>
          <w:szCs w:val="28"/>
        </w:rPr>
        <w:t>公里。</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交通状况：</w:t>
      </w:r>
      <w:r>
        <w:rPr>
          <w:rFonts w:hint="eastAsia" w:ascii="仿宋_GB2312" w:hAnsi="仿宋_GB2312" w:eastAsia="仿宋_GB2312"/>
          <w:color w:val="000000"/>
          <w:szCs w:val="21"/>
        </w:rPr>
        <w:t>区域</w:t>
      </w:r>
      <w:r>
        <w:rPr>
          <w:rFonts w:hint="eastAsia" w:ascii="仿宋_GB2312" w:hAnsi="仿宋_GB2312" w:eastAsia="仿宋_GB2312" w:cs="仿宋_GB2312"/>
          <w:color w:val="000000"/>
          <w:szCs w:val="28"/>
        </w:rPr>
        <w:t>内有</w:t>
      </w:r>
      <w:r>
        <w:rPr>
          <w:rFonts w:hint="eastAsia" w:ascii="仿宋_GB2312" w:hAnsi="仿宋_GB2312" w:eastAsia="仿宋_GB2312" w:cs="仿宋_GB2312"/>
          <w:color w:val="000000"/>
          <w:szCs w:val="28"/>
          <w:lang w:val="en-US" w:eastAsia="zh-CN"/>
        </w:rPr>
        <w:t>国防路、清明上河图路、秦清路</w:t>
      </w:r>
      <w:r>
        <w:rPr>
          <w:rFonts w:hint="eastAsia" w:ascii="仿宋_GB2312" w:hAnsi="仿宋_GB2312" w:eastAsia="仿宋_GB2312" w:cs="仿宋_GB2312"/>
          <w:color w:val="000000"/>
          <w:szCs w:val="28"/>
        </w:rPr>
        <w:t>等道</w:t>
      </w:r>
      <w:r>
        <w:rPr>
          <w:rFonts w:hint="eastAsia" w:ascii="仿宋_GB2312" w:hAnsi="仿宋_GB2312" w:eastAsia="仿宋_GB2312" w:cs="仿宋_GB2312"/>
          <w:color w:val="000000"/>
          <w:szCs w:val="28"/>
          <w:lang w:val="en-US" w:eastAsia="zh-CN"/>
        </w:rPr>
        <w:t>路</w:t>
      </w:r>
      <w:r>
        <w:rPr>
          <w:rFonts w:hint="eastAsia" w:ascii="仿宋_GB2312" w:hAnsi="仿宋_GB2312" w:eastAsia="仿宋_GB2312" w:cs="仿宋_GB2312"/>
          <w:color w:val="000000"/>
          <w:szCs w:val="28"/>
        </w:rPr>
        <w:t>，周围</w:t>
      </w:r>
      <w:r>
        <w:rPr>
          <w:rFonts w:hint="eastAsia" w:ascii="仿宋_GB2312" w:hAnsi="仿宋_GB2312" w:eastAsia="仿宋_GB2312" w:cs="仿宋_GB2312"/>
          <w:color w:val="000000"/>
          <w:szCs w:val="28"/>
          <w:highlight w:val="none"/>
        </w:rPr>
        <w:t>有</w:t>
      </w:r>
      <w:r>
        <w:rPr>
          <w:rFonts w:hint="eastAsia" w:ascii="仿宋_GB2312" w:hAnsi="仿宋_GB2312" w:eastAsia="仿宋_GB2312" w:cs="仿宋_GB2312"/>
          <w:color w:val="000000"/>
          <w:szCs w:val="28"/>
          <w:lang w:val="en-US" w:eastAsia="zh-CN"/>
        </w:rPr>
        <w:t>A</w:t>
      </w:r>
      <w:r>
        <w:rPr>
          <w:rFonts w:hint="eastAsia" w:ascii="仿宋_GB2312" w:hAnsi="仿宋_GB2312" w:eastAsia="仿宋_GB2312" w:cs="仿宋_GB2312"/>
          <w:color w:val="000000"/>
          <w:szCs w:val="28"/>
        </w:rPr>
        <w:t>线横店影视城循环观光车</w:t>
      </w:r>
      <w:r>
        <w:rPr>
          <w:rFonts w:hint="eastAsia" w:ascii="仿宋_GB2312" w:hAnsi="仿宋_GB2312" w:eastAsia="仿宋_GB2312" w:cs="仿宋_GB2312"/>
          <w:color w:val="000000"/>
          <w:szCs w:val="28"/>
          <w:lang w:eastAsia="zh-CN"/>
        </w:rPr>
        <w:t>、</w:t>
      </w:r>
      <w:r>
        <w:rPr>
          <w:rFonts w:hint="eastAsia" w:ascii="仿宋_GB2312" w:hAnsi="仿宋_GB2312" w:eastAsia="仿宋_GB2312" w:cs="仿宋_GB2312"/>
          <w:color w:val="000000"/>
          <w:szCs w:val="28"/>
          <w:highlight w:val="none"/>
          <w:lang w:val="en-US" w:eastAsia="zh-CN"/>
        </w:rPr>
        <w:t>横店</w:t>
      </w:r>
      <w:r>
        <w:rPr>
          <w:rFonts w:hint="eastAsia" w:ascii="仿宋_GB2312" w:hAnsi="仿宋_GB2312" w:eastAsia="仿宋_GB2312" w:cs="仿宋_GB2312"/>
          <w:color w:val="000000"/>
          <w:szCs w:val="28"/>
          <w:lang w:val="en-US" w:eastAsia="zh-CN"/>
        </w:rPr>
        <w:t>1</w:t>
      </w:r>
      <w:r>
        <w:rPr>
          <w:rFonts w:hint="eastAsia" w:ascii="仿宋_GB2312" w:hAnsi="仿宋_GB2312" w:eastAsia="仿宋_GB2312" w:cs="仿宋_GB2312"/>
          <w:color w:val="000000"/>
          <w:szCs w:val="28"/>
        </w:rPr>
        <w:t>路</w:t>
      </w:r>
      <w:r>
        <w:rPr>
          <w:rFonts w:hint="eastAsia" w:ascii="仿宋_GB2312" w:hAnsi="仿宋_GB2312" w:eastAsia="仿宋_GB2312" w:cs="仿宋_GB2312"/>
          <w:color w:val="000000"/>
          <w:szCs w:val="28"/>
          <w:lang w:val="en-US" w:eastAsia="zh-CN"/>
        </w:rPr>
        <w:t>等</w:t>
      </w:r>
      <w:r>
        <w:rPr>
          <w:rFonts w:hint="eastAsia" w:ascii="仿宋_GB2312" w:hAnsi="仿宋_GB2312" w:eastAsia="仿宋_GB2312" w:cs="仿宋_GB2312"/>
          <w:color w:val="000000"/>
          <w:szCs w:val="28"/>
        </w:rPr>
        <w:t>公交线路经过，交通便捷，周边无交通管制，停车便捷度较好。</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自然环境：</w:t>
      </w:r>
      <w:r>
        <w:rPr>
          <w:rFonts w:hint="eastAsia" w:ascii="仿宋_GB2312" w:hAnsi="仿宋_GB2312" w:eastAsia="仿宋_GB2312" w:cs="仿宋_GB2312"/>
          <w:color w:val="000000"/>
          <w:szCs w:val="28"/>
          <w:lang w:val="en-US" w:eastAsia="zh-CN"/>
        </w:rPr>
        <w:t>位于一般城市街区</w:t>
      </w:r>
      <w:r>
        <w:rPr>
          <w:rFonts w:hint="eastAsia" w:ascii="仿宋_GB2312" w:hAnsi="仿宋_GB2312" w:eastAsia="仿宋_GB2312" w:cs="仿宋_GB2312"/>
          <w:color w:val="000000"/>
          <w:szCs w:val="28"/>
        </w:rPr>
        <w:t>，</w:t>
      </w:r>
      <w:r>
        <w:rPr>
          <w:rFonts w:hint="eastAsia" w:ascii="仿宋_GB2312" w:hAnsi="宋体" w:eastAsia="仿宋_GB2312"/>
          <w:color w:val="000000"/>
          <w:szCs w:val="28"/>
        </w:rPr>
        <w:t>无明显空气污染</w:t>
      </w:r>
      <w:r>
        <w:rPr>
          <w:rFonts w:hint="eastAsia" w:ascii="仿宋_GB2312" w:hAnsi="仿宋_GB2312" w:eastAsia="仿宋_GB2312" w:cs="仿宋_GB2312"/>
          <w:color w:val="000000"/>
          <w:szCs w:val="28"/>
        </w:rPr>
        <w:t>，自然环境</w:t>
      </w:r>
      <w:r>
        <w:rPr>
          <w:rFonts w:hint="eastAsia" w:ascii="仿宋_GB2312" w:hAnsi="仿宋_GB2312" w:eastAsia="仿宋_GB2312" w:cs="仿宋_GB2312"/>
          <w:color w:val="000000"/>
          <w:szCs w:val="28"/>
          <w:lang w:val="en-US" w:eastAsia="zh-CN"/>
        </w:rPr>
        <w:t>一般</w:t>
      </w:r>
      <w:r>
        <w:rPr>
          <w:rFonts w:hint="eastAsia" w:ascii="仿宋_GB2312" w:hAnsi="仿宋_GB2312" w:eastAsia="仿宋_GB2312" w:cs="仿宋_GB2312"/>
          <w:color w:val="000000"/>
          <w:szCs w:val="28"/>
        </w:rPr>
        <w:t>。</w:t>
      </w:r>
    </w:p>
    <w:p>
      <w:pPr>
        <w:pStyle w:val="5"/>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人文环境：附近有</w:t>
      </w:r>
      <w:r>
        <w:rPr>
          <w:rFonts w:hint="eastAsia" w:ascii="仿宋_GB2312" w:hAnsi="仿宋_GB2312" w:eastAsia="仿宋_GB2312" w:cs="仿宋_GB2312"/>
          <w:color w:val="000000"/>
          <w:kern w:val="2"/>
          <w:sz w:val="28"/>
          <w:szCs w:val="28"/>
          <w:lang w:val="en-US" w:eastAsia="zh-CN" w:bidi="ar"/>
        </w:rPr>
        <w:t>翡翠苑小区、登龙花园</w:t>
      </w:r>
      <w:r>
        <w:rPr>
          <w:rFonts w:hint="eastAsia" w:ascii="仿宋_GB2312" w:hAnsi="仿宋_GB2312" w:eastAsia="仿宋_GB2312" w:cs="仿宋_GB2312"/>
          <w:color w:val="000000"/>
          <w:szCs w:val="28"/>
        </w:rPr>
        <w:t>等住宅小区，</w:t>
      </w:r>
      <w:r>
        <w:rPr>
          <w:rFonts w:hint="eastAsia" w:ascii="仿宋_GB2312" w:hAnsi="仿宋_GB2312" w:eastAsia="仿宋_GB2312" w:cs="仿宋_GB2312"/>
          <w:color w:val="000000"/>
          <w:kern w:val="2"/>
          <w:sz w:val="28"/>
          <w:szCs w:val="28"/>
          <w:lang w:val="en-US" w:eastAsia="zh-CN" w:bidi="ar"/>
        </w:rPr>
        <w:t>以及清明上河图、梦幻谷、大智禅寺等景区，区</w:t>
      </w:r>
      <w:r>
        <w:rPr>
          <w:rFonts w:hint="eastAsia" w:ascii="仿宋_GB2312" w:hAnsi="仿宋_GB2312" w:eastAsia="仿宋_GB2312" w:cs="仿宋_GB2312"/>
          <w:color w:val="000000"/>
          <w:szCs w:val="28"/>
        </w:rPr>
        <w:t>域内治安环境良好，人文环境一般。</w:t>
      </w:r>
    </w:p>
    <w:p>
      <w:pPr>
        <w:pStyle w:val="2"/>
        <w:keepNext w:val="0"/>
        <w:keepLines w:val="0"/>
        <w:pageBreakBefore w:val="0"/>
        <w:widowControl w:val="0"/>
        <w:kinsoku/>
        <w:wordWrap/>
        <w:overflowPunct/>
        <w:topLinePunct w:val="0"/>
        <w:autoSpaceDE/>
        <w:autoSpaceDN/>
        <w:bidi w:val="0"/>
        <w:adjustRightInd/>
        <w:snapToGrid/>
        <w:spacing w:line="520" w:lineRule="exact"/>
        <w:ind w:firstLine="562" w:firstLineChars="0"/>
        <w:textAlignment w:val="baseline"/>
        <w:rPr>
          <w:rFonts w:hint="eastAsia" w:ascii="仿宋_GB2312" w:hAnsi="仿宋_GB2312" w:eastAsia="仿宋_GB2312" w:cs="仿宋_GB2312"/>
          <w:b/>
          <w:color w:val="000000"/>
          <w:szCs w:val="28"/>
        </w:rPr>
      </w:pPr>
      <w:r>
        <w:rPr>
          <w:rFonts w:hint="eastAsia" w:ascii="仿宋_GB2312" w:hAnsi="仿宋_GB2312" w:eastAsia="仿宋_GB2312" w:cs="仿宋_GB2312"/>
          <w:bCs/>
          <w:color w:val="000000"/>
          <w:szCs w:val="28"/>
        </w:rPr>
        <w:t>基础设施：道路、供水、排水、供电、通信、数字电视等均完备，满足</w:t>
      </w:r>
      <w:r>
        <w:rPr>
          <w:rStyle w:val="12"/>
          <w:rFonts w:ascii="仿宋_GB2312" w:hAnsi="仿宋_GB2312" w:eastAsia="仿宋_GB2312"/>
          <w:color w:val="000000"/>
          <w:szCs w:val="28"/>
        </w:rPr>
        <w:t>正常</w:t>
      </w:r>
      <w:r>
        <w:rPr>
          <w:rFonts w:hint="eastAsia" w:ascii="仿宋_GB2312" w:hAnsi="仿宋_GB2312" w:eastAsia="仿宋_GB2312" w:cs="仿宋_GB2312"/>
          <w:bCs/>
          <w:color w:val="000000"/>
          <w:szCs w:val="28"/>
        </w:rPr>
        <w:t>供应且综合保障率高。</w:t>
      </w:r>
    </w:p>
    <w:p>
      <w:pPr>
        <w:keepNext w:val="0"/>
        <w:keepLines w:val="0"/>
        <w:pageBreakBefore w:val="0"/>
        <w:widowControl w:val="0"/>
        <w:kinsoku/>
        <w:wordWrap/>
        <w:overflowPunct/>
        <w:topLinePunct w:val="0"/>
        <w:autoSpaceDE/>
        <w:autoSpaceDN/>
        <w:bidi w:val="0"/>
        <w:adjustRightInd/>
        <w:snapToGrid/>
        <w:spacing w:line="52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公共服务设施：附近有学校、酒店、银行网点、超市等设施，公共配套设施齐全。</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五、价值时点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2022年6月15日</w:t>
      </w:r>
      <w:r>
        <w:rPr>
          <w:rFonts w:hint="eastAsia" w:ascii="仿宋_GB2312" w:hAnsi="仿宋_GB2312" w:eastAsia="仿宋_GB2312" w:cs="仿宋_GB2312"/>
          <w:color w:val="000000"/>
          <w:sz w:val="28"/>
          <w:szCs w:val="28"/>
        </w:rPr>
        <w:t>，此价值时点为估价对象实地查勘完成之日。</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六、价值类型</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（一）价值类型名称</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本次估价的价值类型为市场价格。</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（二）价值定义</w:t>
      </w:r>
    </w:p>
    <w:p>
      <w:pPr>
        <w:pStyle w:val="2"/>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市场价格是某种房地产在市场上的平均交易价格。</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（三）价值内涵</w:t>
      </w:r>
    </w:p>
    <w:p>
      <w:pPr>
        <w:keepNext w:val="0"/>
        <w:keepLines w:val="0"/>
        <w:pageBreakBefore w:val="0"/>
        <w:widowControl w:val="0"/>
        <w:kinsoku/>
        <w:wordWrap/>
        <w:overflowPunct/>
        <w:topLinePunct w:val="0"/>
        <w:autoSpaceDE/>
        <w:autoSpaceDN/>
        <w:bidi w:val="0"/>
        <w:adjustRightInd/>
        <w:snapToGrid/>
        <w:spacing w:line="520" w:lineRule="exact"/>
        <w:ind w:firstLine="565" w:firstLineChars="202"/>
        <w:rPr>
          <w:rFonts w:eastAsia="仿宋_GB2312"/>
          <w:color w:val="000000"/>
          <w:sz w:val="28"/>
        </w:rPr>
      </w:pPr>
      <w:r>
        <w:rPr>
          <w:rFonts w:eastAsia="仿宋_GB2312"/>
          <w:color w:val="000000"/>
          <w:sz w:val="28"/>
        </w:rPr>
        <w:t>价值内涵是估价对象在价值时点，满足本次估价假设和限制条件下包括</w:t>
      </w:r>
      <w:r>
        <w:rPr>
          <w:rFonts w:hint="eastAsia" w:ascii="仿宋_GB2312" w:hAnsi="仿宋_GB2312" w:eastAsia="仿宋_GB2312" w:cs="仿宋_GB2312"/>
          <w:color w:val="000000"/>
          <w:sz w:val="28"/>
          <w:szCs w:val="28"/>
        </w:rPr>
        <w:t>房屋所有权及其合法分摊的土地使用权、室内固定装修、房屋正常使用不可分割的共用设备设施及房屋所有权人合法享用的相关权益</w:t>
      </w:r>
      <w:r>
        <w:rPr>
          <w:rFonts w:eastAsia="仿宋_GB2312"/>
          <w:color w:val="000000"/>
          <w:sz w:val="28"/>
        </w:rPr>
        <w:t>，不包括动产、债权债务、特许经营权等其他财产或权益；房屋面积内涵</w:t>
      </w:r>
      <w:r>
        <w:rPr>
          <w:rFonts w:hint="eastAsia" w:eastAsia="仿宋_GB2312"/>
          <w:color w:val="000000"/>
          <w:sz w:val="28"/>
        </w:rPr>
        <w:t>是</w:t>
      </w:r>
      <w:r>
        <w:rPr>
          <w:rFonts w:eastAsia="仿宋_GB2312"/>
          <w:color w:val="000000"/>
          <w:sz w:val="28"/>
        </w:rPr>
        <w:t>建筑面积</w:t>
      </w:r>
      <w:r>
        <w:rPr>
          <w:rFonts w:hint="eastAsia" w:eastAsia="仿宋_GB2312"/>
          <w:color w:val="000000"/>
          <w:sz w:val="28"/>
        </w:rPr>
        <w:t>；</w:t>
      </w:r>
      <w:r>
        <w:rPr>
          <w:rFonts w:hint="eastAsia" w:ascii="仿宋_GB2312" w:hAnsi="仿宋_GB2312" w:eastAsia="仿宋_GB2312" w:cs="仿宋_GB2312"/>
          <w:color w:val="000000"/>
          <w:sz w:val="28"/>
          <w:szCs w:val="28"/>
          <w:shd w:val="clear" w:color="auto" w:fill="FFFFFF"/>
        </w:rPr>
        <w:t>税费负担方式是按照法律法规规定，转让人和买受人各自负担</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七、估价依据</w:t>
      </w:r>
    </w:p>
    <w:p>
      <w:pPr>
        <w:keepNext w:val="0"/>
        <w:keepLines w:val="0"/>
        <w:pageBreakBefore w:val="0"/>
        <w:widowControl w:val="0"/>
        <w:kinsoku/>
        <w:wordWrap/>
        <w:overflowPunct/>
        <w:topLinePunct w:val="0"/>
        <w:autoSpaceDE/>
        <w:autoSpaceDN/>
        <w:bidi w:val="0"/>
        <w:adjustRightInd/>
        <w:snapToGrid/>
        <w:spacing w:line="52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（一）法律法规及文件依据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1.《中华人民共和国城市房地产管理法》；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2.《中华人民共和国土地管理法》；</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3.《中华人民共和国城市规划法》；</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4.《中华人民共和国资产评估法》；</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5.《中华人民共和国民法典》；</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r>
        <w:rPr>
          <w:rFonts w:hint="eastAsia" w:eastAsia="仿宋_GB2312"/>
          <w:color w:val="000000"/>
          <w:sz w:val="28"/>
          <w:szCs w:val="28"/>
        </w:rPr>
        <w:t>《最高人民法院关于人民法院确定财产处置参考价若干问题的规定》（法释[2018]15号）;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eastAsia="仿宋_GB2312"/>
          <w:color w:val="000000"/>
          <w:sz w:val="28"/>
          <w:szCs w:val="28"/>
        </w:rPr>
        <w:t>7.《关于印发&lt;人民法院委托评估工作规范&gt;的通知》（法办[2018]273号）</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（二）估价标准依据</w:t>
      </w:r>
    </w:p>
    <w:p>
      <w:pPr>
        <w:keepNext w:val="0"/>
        <w:keepLines w:val="0"/>
        <w:pageBreakBefore w:val="0"/>
        <w:widowControl w:val="0"/>
        <w:kinsoku/>
        <w:wordWrap/>
        <w:overflowPunct/>
        <w:topLinePunct w:val="0"/>
        <w:autoSpaceDE/>
        <w:autoSpaceDN/>
        <w:bidi w:val="0"/>
        <w:adjustRightInd/>
        <w:snapToGrid/>
        <w:spacing w:line="520" w:lineRule="exact"/>
        <w:ind w:left="258" w:leftChars="123" w:firstLine="260" w:firstLineChars="93"/>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 中华人民共和国国家标准GB/T50291-2015《房地产估价规范》；</w:t>
      </w:r>
    </w:p>
    <w:p>
      <w:pPr>
        <w:keepNext w:val="0"/>
        <w:keepLines w:val="0"/>
        <w:pageBreakBefore w:val="0"/>
        <w:widowControl w:val="0"/>
        <w:kinsoku/>
        <w:wordWrap/>
        <w:overflowPunct/>
        <w:topLinePunct w:val="0"/>
        <w:autoSpaceDE/>
        <w:autoSpaceDN/>
        <w:bidi w:val="0"/>
        <w:adjustRightInd/>
        <w:snapToGrid/>
        <w:spacing w:line="520" w:lineRule="exact"/>
        <w:ind w:left="258" w:leftChars="123" w:firstLine="260" w:firstLineChars="93"/>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2．中华人民共和国国家标准GB/T50899-2013《房地产估价基本术语标准》。</w:t>
      </w:r>
    </w:p>
    <w:p>
      <w:pPr>
        <w:keepNext w:val="0"/>
        <w:keepLines w:val="0"/>
        <w:pageBreakBefore w:val="0"/>
        <w:widowControl w:val="0"/>
        <w:kinsoku/>
        <w:wordWrap/>
        <w:overflowPunct/>
        <w:topLinePunct w:val="0"/>
        <w:autoSpaceDE/>
        <w:autoSpaceDN/>
        <w:bidi w:val="0"/>
        <w:adjustRightInd/>
        <w:snapToGrid/>
        <w:spacing w:line="520" w:lineRule="exact"/>
        <w:ind w:firstLine="284"/>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（三）估价委托人提供的资料依据</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eastAsia="仿宋_GB2312"/>
          <w:color w:val="000000"/>
          <w:sz w:val="28"/>
        </w:rPr>
        <w:t>1. 估价</w:t>
      </w:r>
      <w:r>
        <w:rPr>
          <w:rFonts w:eastAsia="仿宋_GB2312"/>
          <w:color w:val="000000"/>
          <w:sz w:val="28"/>
        </w:rPr>
        <w:t>委托书</w:t>
      </w:r>
      <w:r>
        <w:rPr>
          <w:rFonts w:hint="eastAsia" w:eastAsia="仿宋_GB2312"/>
          <w:color w:val="000000"/>
          <w:sz w:val="28"/>
        </w:rPr>
        <w:t>；</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2.房地产权属证明复印件；</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3.其它相关资料。</w:t>
      </w:r>
    </w:p>
    <w:p>
      <w:pPr>
        <w:keepNext w:val="0"/>
        <w:keepLines w:val="0"/>
        <w:pageBreakBefore w:val="0"/>
        <w:widowControl w:val="0"/>
        <w:kinsoku/>
        <w:wordWrap/>
        <w:overflowPunct/>
        <w:topLinePunct w:val="0"/>
        <w:autoSpaceDE/>
        <w:autoSpaceDN/>
        <w:bidi w:val="0"/>
        <w:adjustRightInd/>
        <w:snapToGrid/>
        <w:spacing w:line="520" w:lineRule="exact"/>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（四）估价机构及估价师搜集的资料依据</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1.估价对象照片；</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2.实地查勘记录；</w:t>
      </w:r>
    </w:p>
    <w:p>
      <w:pPr>
        <w:keepNext w:val="0"/>
        <w:keepLines w:val="0"/>
        <w:pageBreakBefore w:val="0"/>
        <w:widowControl w:val="0"/>
        <w:kinsoku/>
        <w:wordWrap/>
        <w:overflowPunct/>
        <w:topLinePunct w:val="0"/>
        <w:autoSpaceDE/>
        <w:autoSpaceDN/>
        <w:bidi w:val="0"/>
        <w:adjustRightInd/>
        <w:snapToGrid/>
        <w:spacing w:line="520" w:lineRule="exact"/>
        <w:ind w:firstLine="539"/>
        <w:rPr>
          <w:rFonts w:eastAsia="仿宋_GB2312"/>
          <w:color w:val="000000"/>
          <w:sz w:val="28"/>
        </w:rPr>
      </w:pPr>
      <w:r>
        <w:rPr>
          <w:rFonts w:eastAsia="仿宋_GB2312"/>
          <w:color w:val="000000"/>
          <w:sz w:val="28"/>
        </w:rPr>
        <w:t>3</w:t>
      </w:r>
      <w:r>
        <w:rPr>
          <w:rFonts w:hint="eastAsia" w:eastAsia="仿宋_GB2312"/>
          <w:color w:val="000000"/>
          <w:sz w:val="28"/>
        </w:rPr>
        <w:t>.相关部门查询的权属证明；</w:t>
      </w:r>
    </w:p>
    <w:p>
      <w:pPr>
        <w:keepNext w:val="0"/>
        <w:keepLines w:val="0"/>
        <w:pageBreakBefore w:val="0"/>
        <w:widowControl w:val="0"/>
        <w:kinsoku/>
        <w:wordWrap/>
        <w:overflowPunct/>
        <w:topLinePunct w:val="0"/>
        <w:autoSpaceDE/>
        <w:autoSpaceDN/>
        <w:bidi w:val="0"/>
        <w:adjustRightInd/>
        <w:snapToGrid/>
        <w:spacing w:line="520" w:lineRule="exact"/>
        <w:ind w:firstLine="539"/>
        <w:rPr>
          <w:rFonts w:hint="eastAsia" w:ascii="宋体" w:hAnsi="宋体"/>
          <w:color w:val="000000"/>
          <w:sz w:val="27"/>
          <w:szCs w:val="27"/>
        </w:rPr>
      </w:pPr>
      <w:r>
        <w:rPr>
          <w:rFonts w:hint="eastAsia" w:ascii="仿宋_GB2312" w:hAnsi="仿宋_GB2312" w:eastAsia="仿宋_GB2312" w:cs="仿宋_GB2312"/>
          <w:color w:val="000000"/>
          <w:sz w:val="28"/>
          <w:szCs w:val="28"/>
        </w:rPr>
        <w:t>4.当地市场调查和搜集的有关资料等。</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八、估价原则</w:t>
      </w:r>
    </w:p>
    <w:p>
      <w:pPr>
        <w:pStyle w:val="2"/>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本公司遵循房地产估价以下原则：</w:t>
      </w:r>
    </w:p>
    <w:p>
      <w:pPr>
        <w:pStyle w:val="2"/>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1．独立、客观、公正原则：要求站在中立的立场上，实事求是、公平正直地评估出对各方估价利害关系人均是公平合理的价值或价格的原则。</w:t>
      </w:r>
    </w:p>
    <w:p>
      <w:pPr>
        <w:pStyle w:val="2"/>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2. 合法原则：要求估价结果是在依法判定的估价对象状况下的价值或价格的原则。</w:t>
      </w:r>
    </w:p>
    <w:p>
      <w:pPr>
        <w:pStyle w:val="2"/>
        <w:keepNext w:val="0"/>
        <w:keepLines w:val="0"/>
        <w:pageBreakBefore w:val="0"/>
        <w:widowControl w:val="0"/>
        <w:kinsoku/>
        <w:wordWrap/>
        <w:overflowPunct/>
        <w:topLinePunct w:val="0"/>
        <w:autoSpaceDE/>
        <w:autoSpaceDN/>
        <w:bidi w:val="0"/>
        <w:adjustRightInd/>
        <w:snapToGrid/>
        <w:spacing w:line="52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3. 价值时点原则：要求估价结果是在根据估价目的确定的某一特定时间的价值或价格的原则。</w:t>
      </w:r>
    </w:p>
    <w:p>
      <w:pPr>
        <w:pStyle w:val="2"/>
        <w:keepNext w:val="0"/>
        <w:keepLines w:val="0"/>
        <w:pageBreakBefore w:val="0"/>
        <w:widowControl w:val="0"/>
        <w:kinsoku/>
        <w:wordWrap/>
        <w:overflowPunct/>
        <w:topLinePunct w:val="0"/>
        <w:autoSpaceDE/>
        <w:autoSpaceDN/>
        <w:bidi w:val="0"/>
        <w:adjustRightInd/>
        <w:snapToGrid/>
        <w:spacing w:line="500" w:lineRule="exact"/>
        <w:textAlignment w:val="baseline"/>
        <w:rPr>
          <w:rFonts w:hint="eastAsia" w:ascii="仿宋_GB2312" w:hAnsi="仿宋_GB2312" w:eastAsia="仿宋_GB2312" w:cs="仿宋_GB2312"/>
          <w:color w:val="000000"/>
          <w:szCs w:val="28"/>
        </w:rPr>
      </w:pPr>
      <w:r>
        <w:rPr>
          <w:rFonts w:hint="eastAsia" w:ascii="仿宋_GB2312" w:hAnsi="仿宋_GB2312" w:eastAsia="仿宋_GB2312" w:cs="仿宋_GB2312"/>
          <w:color w:val="000000"/>
          <w:szCs w:val="28"/>
        </w:rPr>
        <w:t>4. 替代原则：要求估价结果与估价对象的类似房地产在同等条件下的价值或价格偏差在合理范围内的原则。</w:t>
      </w:r>
    </w:p>
    <w:p>
      <w:pPr>
        <w:keepNext w:val="0"/>
        <w:keepLines w:val="0"/>
        <w:pageBreakBefore w:val="0"/>
        <w:widowControl w:val="0"/>
        <w:tabs>
          <w:tab w:val="center" w:pos="4816"/>
        </w:tabs>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 最高最佳利用原则：要求估价结果是在估价对象最高最佳利用状况下的价值或价格的原则。最高最佳利用是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九、估价方法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本次采用比较法、收益法进行评估。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比较法是选取一定数量的可比实例，将它们与估价对象进行比较，根据其间的差异对可比实例成交价格进行处理后得到估价对象价值或价格的方法。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收益法是预测估价对象的未来收益，利用报酬率或资本化率、收益乘数将未来收益转换为价值得到估价对象价值或价格的方法。</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十、估价结果</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估价人员根据估价目的，遵循估价原则，按照估价工作程序，经过测算，在满足估价假设和限制条件下，确定估价对象于价值时点的市场价格为人民币（大写）：</w:t>
      </w:r>
      <w:r>
        <w:rPr>
          <w:rFonts w:hint="eastAsia" w:ascii="仿宋_GB2312" w:hAnsi="仿宋_GB2312" w:eastAsia="仿宋_GB2312" w:cs="仿宋_GB2312"/>
          <w:b/>
          <w:bCs/>
          <w:color w:val="000000"/>
          <w:sz w:val="28"/>
          <w:szCs w:val="28"/>
          <w:lang w:val="en-US" w:eastAsia="zh-CN"/>
        </w:rPr>
        <w:fldChar w:fldCharType="begin"/>
      </w:r>
      <w:r>
        <w:rPr>
          <w:rFonts w:hint="eastAsia" w:ascii="仿宋_GB2312" w:hAnsi="仿宋_GB2312" w:eastAsia="仿宋_GB2312" w:cs="仿宋_GB2312"/>
          <w:b/>
          <w:bCs/>
          <w:color w:val="000000"/>
          <w:sz w:val="28"/>
          <w:szCs w:val="28"/>
          <w:lang w:val="en-US" w:eastAsia="zh-CN"/>
        </w:rPr>
        <w:instrText xml:space="preserve"> = 4230000 \* CHINESENUM2 \* MERGEFORMAT </w:instrText>
      </w:r>
      <w:r>
        <w:rPr>
          <w:rFonts w:hint="eastAsia" w:ascii="仿宋_GB2312" w:hAnsi="仿宋_GB2312" w:eastAsia="仿宋_GB2312" w:cs="仿宋_GB2312"/>
          <w:b/>
          <w:bCs/>
          <w:color w:val="000000"/>
          <w:sz w:val="28"/>
          <w:szCs w:val="28"/>
          <w:lang w:val="en-US" w:eastAsia="zh-CN"/>
        </w:rPr>
        <w:fldChar w:fldCharType="separate"/>
      </w:r>
      <w:r>
        <w:rPr>
          <w:rFonts w:hint="eastAsia" w:ascii="仿宋_GB2312" w:hAnsi="仿宋_GB2312" w:eastAsia="仿宋_GB2312" w:cs="仿宋_GB2312"/>
          <w:b/>
          <w:bCs/>
          <w:color w:val="000000"/>
          <w:sz w:val="28"/>
          <w:szCs w:val="28"/>
          <w:lang w:val="en-US" w:eastAsia="zh-CN"/>
        </w:rPr>
        <w:t>肆佰贰拾叁万</w:t>
      </w:r>
      <w:r>
        <w:rPr>
          <w:rFonts w:hint="eastAsia" w:ascii="仿宋_GB2312" w:hAnsi="仿宋_GB2312" w:eastAsia="仿宋_GB2312" w:cs="仿宋_GB2312"/>
          <w:b/>
          <w:bCs/>
          <w:color w:val="000000"/>
          <w:sz w:val="28"/>
          <w:szCs w:val="28"/>
          <w:lang w:val="en-US" w:eastAsia="zh-CN"/>
        </w:rPr>
        <w:fldChar w:fldCharType="end"/>
      </w:r>
      <w:r>
        <w:rPr>
          <w:rFonts w:hint="eastAsia" w:ascii="仿宋_GB2312" w:hAnsi="仿宋_GB2312" w:eastAsia="仿宋_GB2312" w:cs="仿宋_GB2312"/>
          <w:b/>
          <w:bCs/>
          <w:color w:val="000000"/>
          <w:sz w:val="28"/>
          <w:szCs w:val="28"/>
          <w:lang w:val="en-US" w:eastAsia="zh-CN"/>
        </w:rPr>
        <w:t>元整（￥：423万元），</w:t>
      </w:r>
      <w:r>
        <w:rPr>
          <w:rFonts w:hint="eastAsia" w:ascii="仿宋_GB2312" w:hAnsi="仿宋_GB2312" w:eastAsia="仿宋_GB2312" w:cs="仿宋_GB2312"/>
          <w:b w:val="0"/>
          <w:bCs w:val="0"/>
          <w:color w:val="000000"/>
          <w:sz w:val="28"/>
          <w:szCs w:val="28"/>
          <w:lang w:val="en-US" w:eastAsia="zh-CN"/>
        </w:rPr>
        <w:t>单价7195元/平方米</w:t>
      </w:r>
      <w:r>
        <w:rPr>
          <w:rStyle w:val="12"/>
          <w:rFonts w:hint="eastAsia" w:ascii="仿宋_GB2312" w:hAnsi="仿宋_GB2312" w:eastAsia="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宋体" w:eastAsia="仿宋_GB2312"/>
          <w:b/>
          <w:color w:val="000000"/>
          <w:sz w:val="28"/>
          <w:szCs w:val="28"/>
        </w:rPr>
      </w:pPr>
      <w:r>
        <w:rPr>
          <w:rFonts w:hint="eastAsia" w:ascii="仿宋_GB2312" w:hAnsi="仿宋_GB2312" w:eastAsia="仿宋_GB2312" w:cs="仿宋_GB2312"/>
          <w:b/>
          <w:color w:val="000000"/>
          <w:sz w:val="28"/>
          <w:szCs w:val="28"/>
        </w:rPr>
        <w:t>十一、注册房地产估价师</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1980"/>
        <w:gridCol w:w="2340"/>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姓名</w:t>
            </w: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注册号</w:t>
            </w: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签名</w:t>
            </w: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999"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198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340" w:type="dxa"/>
            <w:noWrap w:val="0"/>
            <w:vAlign w:val="center"/>
          </w:tcPr>
          <w:p>
            <w:pPr>
              <w:spacing w:line="410" w:lineRule="exact"/>
              <w:jc w:val="center"/>
              <w:textAlignment w:val="baseline"/>
              <w:rPr>
                <w:rFonts w:hint="eastAsia" w:ascii="仿宋_GB2312" w:hAnsi="宋体" w:eastAsia="仿宋_GB2312"/>
                <w:color w:val="000000"/>
                <w:szCs w:val="21"/>
              </w:rPr>
            </w:pPr>
          </w:p>
        </w:tc>
        <w:tc>
          <w:tcPr>
            <w:tcW w:w="2429" w:type="dxa"/>
            <w:noWrap w:val="0"/>
            <w:vAlign w:val="center"/>
          </w:tcPr>
          <w:p>
            <w:pPr>
              <w:spacing w:line="410" w:lineRule="exact"/>
              <w:jc w:val="center"/>
              <w:textAlignment w:val="baseline"/>
              <w:rPr>
                <w:rFonts w:hint="eastAsia" w:ascii="仿宋_GB2312" w:hAnsi="宋体" w:eastAsia="仿宋_GB2312"/>
                <w:color w:val="000000"/>
                <w:szCs w:val="21"/>
              </w:rPr>
            </w:pPr>
            <w:r>
              <w:rPr>
                <w:rFonts w:hint="eastAsia" w:ascii="仿宋_GB2312" w:hAnsi="宋体" w:eastAsia="仿宋_GB2312"/>
                <w:color w:val="000000"/>
                <w:szCs w:val="21"/>
              </w:rPr>
              <w:t xml:space="preserve">       年    月    日</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十二、实地查勘期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本次估价的实地查勘期为二Ｏ二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六</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十五</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520" w:lineRule="exact"/>
        <w:ind w:firstLine="551" w:firstLineChars="196"/>
        <w:textAlignment w:val="baseline"/>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十三、估价作业期</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五</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三十</w:t>
      </w:r>
      <w:r>
        <w:rPr>
          <w:rFonts w:hint="eastAsia" w:ascii="仿宋_GB2312" w:hAnsi="仿宋_GB2312" w:eastAsia="仿宋_GB2312" w:cs="仿宋_GB2312"/>
          <w:color w:val="000000"/>
          <w:sz w:val="28"/>
          <w:szCs w:val="28"/>
        </w:rPr>
        <w:t>日～二Ｏ二</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六</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二</w:t>
      </w:r>
      <w:r>
        <w:rPr>
          <w:rFonts w:hint="eastAsia" w:ascii="仿宋_GB2312" w:hAnsi="仿宋_GB2312" w:eastAsia="仿宋_GB2312" w:cs="仿宋_GB2312"/>
          <w:color w:val="000000"/>
          <w:sz w:val="28"/>
          <w:szCs w:val="28"/>
        </w:rPr>
        <w:t>十日</w:t>
      </w:r>
    </w:p>
    <w:p>
      <w:pPr>
        <w:spacing w:line="460" w:lineRule="exact"/>
        <w:rPr>
          <w:rFonts w:hint="eastAsia" w:eastAsia="黑体"/>
          <w:color w:val="000000"/>
          <w:sz w:val="40"/>
        </w:rPr>
      </w:pPr>
    </w:p>
    <w:p>
      <w:pPr>
        <w:spacing w:line="460" w:lineRule="exact"/>
        <w:rPr>
          <w:rFonts w:hint="eastAsia" w:eastAsia="黑体"/>
          <w:color w:val="000000"/>
          <w:sz w:val="40"/>
        </w:rPr>
      </w:pPr>
    </w:p>
    <w:p>
      <w:pPr>
        <w:spacing w:line="460" w:lineRule="exact"/>
        <w:jc w:val="center"/>
        <w:rPr>
          <w:rFonts w:hint="eastAsia" w:eastAsia="黑体"/>
          <w:color w:val="000000"/>
          <w:sz w:val="40"/>
        </w:rPr>
      </w:pPr>
      <w:r>
        <w:rPr>
          <w:rFonts w:hint="eastAsia" w:eastAsia="黑体"/>
          <w:color w:val="000000"/>
          <w:sz w:val="40"/>
        </w:rPr>
        <w:t>第五部分   附件</w:t>
      </w:r>
    </w:p>
    <w:p>
      <w:pPr>
        <w:spacing w:line="440" w:lineRule="exact"/>
        <w:ind w:firstLine="540" w:firstLineChars="200"/>
        <w:rPr>
          <w:rFonts w:hint="eastAsia" w:ascii="仿宋_GB2312" w:hAnsi="仿宋_GB2312" w:eastAsia="仿宋_GB2312"/>
          <w:color w:val="000000"/>
          <w:sz w:val="27"/>
        </w:rPr>
      </w:pPr>
    </w:p>
    <w:p>
      <w:pPr>
        <w:spacing w:line="560" w:lineRule="exact"/>
        <w:ind w:firstLine="560" w:firstLineChars="200"/>
        <w:textAlignment w:val="baseline"/>
        <w:rPr>
          <w:rFonts w:hint="eastAsia" w:ascii="仿宋_GB2312" w:hAnsi="仿宋_GB2312" w:eastAsia="仿宋_GB2312" w:cs="仿宋_GB2312"/>
          <w:color w:val="000000"/>
          <w:sz w:val="28"/>
          <w:szCs w:val="28"/>
        </w:rPr>
      </w:pP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附件一、估价对象位置图</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附件二、估价对象实景照片</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附件三、司法评估委托书复印件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附件四、房地产权属证明复印件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附件五、估价机构备案证书复印件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附件六、估价机构营业执照复印件</w:t>
      </w:r>
    </w:p>
    <w:p>
      <w:pPr>
        <w:spacing w:line="560" w:lineRule="exact"/>
        <w:ind w:firstLine="560" w:firstLineChars="200"/>
        <w:textAlignment w:val="baseline"/>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附件七、估价师资格证书复印件</w:t>
      </w:r>
    </w:p>
    <w:p>
      <w:bookmarkStart w:id="0" w:name="_GoBack"/>
      <w:bookmarkEnd w:id="0"/>
    </w:p>
    <w:sectPr>
      <w:footerReference r:id="rId5" w:type="default"/>
      <w:pgSz w:w="11906" w:h="16838"/>
      <w:pgMar w:top="1440" w:right="1134" w:bottom="1440" w:left="1701"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隶书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beforeLines="50"/>
      <w:jc w:val="center"/>
      <w:rPr>
        <w:rStyle w:val="10"/>
        <w:rFonts w:hint="eastAsia"/>
        <w:sz w:val="21"/>
      </w:rPr>
    </w:pPr>
    <w:r>
      <w:rPr>
        <w:rFonts w:eastAsia="方正隶书简体"/>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96280" cy="9525"/>
              <wp:effectExtent l="0" t="0" r="0" b="0"/>
              <wp:wrapNone/>
              <wp:docPr id="4" name="直接连接符 4"/>
              <wp:cNvGraphicFramePr/>
              <a:graphic xmlns:a="http://schemas.openxmlformats.org/drawingml/2006/main">
                <a:graphicData uri="http://schemas.microsoft.com/office/word/2010/wordprocessingShape">
                  <wps:wsp>
                    <wps:cNvSpPr/>
                    <wps:spPr>
                      <a:xfrm flipV="1">
                        <a:off x="0" y="0"/>
                        <a:ext cx="579628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05pt;height:0.75pt;width:456.4pt;z-index:251661312;mso-width-relative:page;mso-height-relative:page;" filled="f" stroked="t" coordsize="21600,21600" o:gfxdata="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6MsQ0wAAAAQBAAAPAAAA&#10;AAAAAAEAIAAAACIAAABkcnMvZG93bnJldi54bWxQSwECFAAUAAAACACHTuJAAER9oeEBAACjAwAA&#10;DgAAAAAAAAABACAAAAAiAQAAZHJzL2Uyb0RvYy54bWxQSwUGAAAAAAYABgBZAQAAdQUAAAAA&#10;">
              <v:path arrowok="t"/>
              <v:fill on="f" focussize="0,0"/>
              <v:stroke/>
              <v:imagedata o:title=""/>
              <o:lock v:ext="edit" grouping="f" rotation="f" text="f" aspectratio="f"/>
            </v:line>
          </w:pict>
        </mc:Fallback>
      </mc:AlternateContent>
    </w:r>
    <w:r>
      <w:rPr>
        <w:rFonts w:eastAsia="方正隶书简体"/>
        <w:sz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5796280" cy="9525"/>
              <wp:effectExtent l="0" t="9525" r="13970" b="9525"/>
              <wp:wrapNone/>
              <wp:docPr id="1" name="直接连接符 1"/>
              <wp:cNvGraphicFramePr/>
              <a:graphic xmlns:a="http://schemas.openxmlformats.org/drawingml/2006/main">
                <a:graphicData uri="http://schemas.microsoft.com/office/word/2010/wordprocessingShape">
                  <wps:wsp>
                    <wps:cNvSpPr/>
                    <wps:spPr>
                      <a:xfrm flipV="1">
                        <a:off x="0" y="0"/>
                        <a:ext cx="5796280" cy="95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5pt;height:0.75pt;width:456.4pt;z-index:251660288;mso-width-relative:page;mso-height-relative:page;" filled="f" stroked="t" coordsize="21600,21600" o:gfxdata="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RfZos0wAAAAQBAAAPAAAA&#10;AAAAAAEAIAAAACIAAABkcnMvZG93bnJldi54bWxQSwECFAAUAAAACACHTuJA9RoLbeEBAACkAwAA&#10;DgAAAAAAAAABACAAAAAiAQAAZHJzL2Uyb0RvYy54bWxQSwUGAAAAAAYABgBZAQAAdQUAAAAA&#10;">
              <v:path arrowok="t"/>
              <v:fill on="f" focussize="0,0"/>
              <v:stroke weight="1.5pt"/>
              <v:imagedata o:title=""/>
              <o:lock v:ext="edit" grouping="f" rotation="f" text="f"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beforeLines="50"/>
      <w:jc w:val="center"/>
      <w:rPr>
        <w:rStyle w:val="10"/>
        <w:rFonts w:hint="eastAsia"/>
        <w:sz w:val="21"/>
      </w:rPr>
    </w:pPr>
    <w:r>
      <w:rPr>
        <w:rFonts w:eastAsia="方正隶书简体"/>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26035</wp:posOffset>
              </wp:positionV>
              <wp:extent cx="5796280" cy="9525"/>
              <wp:effectExtent l="0" t="0" r="0" b="0"/>
              <wp:wrapNone/>
              <wp:docPr id="3" name="直接连接符 3"/>
              <wp:cNvGraphicFramePr/>
              <a:graphic xmlns:a="http://schemas.openxmlformats.org/drawingml/2006/main">
                <a:graphicData uri="http://schemas.microsoft.com/office/word/2010/wordprocessingShape">
                  <wps:wsp>
                    <wps:cNvSpPr/>
                    <wps:spPr>
                      <a:xfrm flipV="1">
                        <a:off x="0" y="0"/>
                        <a:ext cx="579628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05pt;height:0.75pt;width:456.4pt;z-index:251663360;mso-width-relative:page;mso-height-relative:page;" filled="f" stroked="t" coordsize="21600,21600" o:gfxdata="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6MsQ0wAAAAQBAAAPAAAA&#10;AAAAAAEAIAAAACIAAABkcnMvZG93bnJldi54bWxQSwECFAAUAAAACACHTuJAKl03AeEBAACjAwAA&#10;DgAAAAAAAAABACAAAAAiAQAAZHJzL2Uyb0RvYy54bWxQSwUGAAAAAAYABgBZAQAAdQUAAAAA&#10;">
              <v:path arrowok="t"/>
              <v:fill on="f" focussize="0,0"/>
              <v:stroke/>
              <v:imagedata o:title=""/>
              <o:lock v:ext="edit" grouping="f" rotation="f" text="f" aspectratio="f"/>
            </v:line>
          </w:pict>
        </mc:Fallback>
      </mc:AlternateContent>
    </w:r>
    <w:r>
      <w:rPr>
        <w:rFonts w:eastAsia="方正隶书简体"/>
        <w:sz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-6350</wp:posOffset>
              </wp:positionV>
              <wp:extent cx="5796280" cy="9525"/>
              <wp:effectExtent l="0" t="9525" r="13970" b="9525"/>
              <wp:wrapNone/>
              <wp:docPr id="2" name="直接连接符 2"/>
              <wp:cNvGraphicFramePr/>
              <a:graphic xmlns:a="http://schemas.openxmlformats.org/drawingml/2006/main">
                <a:graphicData uri="http://schemas.microsoft.com/office/word/2010/wordprocessingShape">
                  <wps:wsp>
                    <wps:cNvSpPr/>
                    <wps:spPr>
                      <a:xfrm flipV="1">
                        <a:off x="0" y="0"/>
                        <a:ext cx="5796280" cy="952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5pt;height:0.75pt;width:456.4pt;z-index:251662336;mso-width-relative:page;mso-height-relative:page;" filled="f" stroked="t" coordsize="21600,21600" o:gfxdata="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9mizTAAAABAEAAA8A&#10;AAAAAAAAAQAgAAAAIgAAAGRycy9kb3ducmV2LnhtbFBLAQIUABQAAAAIAIdO4kBFQc9R4wEAAKQD&#10;AAAOAAAAAAAAAAEAIAAAACIBAABkcnMvZTJvRG9jLnhtbFBLBQYAAAAABgAGAFkBAAB3BQAAAAA=&#10;">
              <v:path arrowok="t"/>
              <v:fill on="f" focussize="0,0"/>
              <v:stroke weight="1.5pt"/>
              <v:imagedata o:title=""/>
              <o:lock v:ext="edit" grouping="f" rotation="f" text="f" aspectratio="f"/>
            </v:line>
          </w:pict>
        </mc:Fallback>
      </mc:AlternateContent>
    </w:r>
    <w:r>
      <w:rPr>
        <w:rStyle w:val="10"/>
        <w:rFonts w:hint="eastAsia"/>
        <w:sz w:val="21"/>
      </w:rPr>
      <w:t>第</w:t>
    </w:r>
    <w:r>
      <w:rPr>
        <w:sz w:val="21"/>
      </w:rPr>
      <w:fldChar w:fldCharType="begin"/>
    </w:r>
    <w:r>
      <w:rPr>
        <w:rStyle w:val="10"/>
        <w:sz w:val="21"/>
      </w:rPr>
      <w:instrText xml:space="preserve"> PAGE </w:instrText>
    </w:r>
    <w:r>
      <w:rPr>
        <w:sz w:val="21"/>
      </w:rPr>
      <w:fldChar w:fldCharType="separate"/>
    </w:r>
    <w:r>
      <w:rPr>
        <w:rStyle w:val="10"/>
        <w:sz w:val="21"/>
      </w:rPr>
      <w:t>10</w:t>
    </w:r>
    <w:r>
      <w:rPr>
        <w:sz w:val="21"/>
      </w:rPr>
      <w:fldChar w:fldCharType="end"/>
    </w:r>
    <w:r>
      <w:rPr>
        <w:rStyle w:val="10"/>
        <w:rFonts w:hint="eastAsia"/>
        <w:sz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2"/>
      </w:pBdr>
      <w:jc w:val="right"/>
      <w:rPr>
        <w:rFonts w:hint="eastAsia" w:eastAsia="隶书"/>
        <w:sz w:val="32"/>
      </w:rPr>
    </w:pPr>
    <w:r>
      <w:rPr>
        <w:rFonts w:eastAsia="隶书"/>
        <w:sz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330200</wp:posOffset>
              </wp:positionV>
              <wp:extent cx="5796280" cy="11430"/>
              <wp:effectExtent l="0" t="0" r="0" b="0"/>
              <wp:wrapNone/>
              <wp:docPr id="5" name="直接连接符 5"/>
              <wp:cNvGraphicFramePr/>
              <a:graphic xmlns:a="http://schemas.openxmlformats.org/drawingml/2006/main">
                <a:graphicData uri="http://schemas.microsoft.com/office/word/2010/wordprocessingShape">
                  <wps:wsp>
                    <wps:cNvSpPr/>
                    <wps:spPr>
                      <a:xfrm flipV="1">
                        <a:off x="0" y="0"/>
                        <a:ext cx="5796280" cy="1143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85pt;margin-top:26pt;height:0.9pt;width:456.4pt;z-index:251659264;mso-width-relative:page;mso-height-relative:page;" filled="f" stroked="t" coordsize="21600,21600" o:gfxdata="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eT1gAA&#10;AAgBAAAPAAAAAAAAAAEAIAAAACIAAABkcnMvZG93bnJldi54bWxQSwECFAAUAAAACACHTuJADK/D&#10;jucBAAClAwAADgAAAAAAAAABACAAAAAlAQAAZHJzL2Uyb0RvYy54bWxQSwUGAAAAAAYABgBZAQAA&#10;fgUAAAAA&#10;">
              <v:path arrowok="t"/>
              <v:fill on="f" focussize="0,0"/>
              <v:stroke weight="1.5pt"/>
              <v:imagedata o:title=""/>
              <o:lock v:ext="edit" grouping="f" rotation="f" text="f" aspectratio="f"/>
            </v:line>
          </w:pict>
        </mc:Fallback>
      </mc:AlternateContent>
    </w:r>
    <w:r>
      <w:rPr>
        <w:rFonts w:hint="eastAsia" w:eastAsia="隶书"/>
        <w:sz w:val="32"/>
      </w:rPr>
      <w:t>正大估价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53AA4A"/>
    <w:multiLevelType w:val="singleLevel"/>
    <w:tmpl w:val="C353AA4A"/>
    <w:lvl w:ilvl="0" w:tentative="0">
      <w:start w:val="2"/>
      <w:numFmt w:val="chineseCounting"/>
      <w:suff w:val="space"/>
      <w:lvlText w:val="第%1部分"/>
      <w:lvlJc w:val="left"/>
      <w:rPr>
        <w:rFonts w:hint="eastAsia"/>
      </w:rPr>
    </w:lvl>
  </w:abstractNum>
  <w:abstractNum w:abstractNumId="1">
    <w:nsid w:val="130611BA"/>
    <w:multiLevelType w:val="singleLevel"/>
    <w:tmpl w:val="130611B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64FDE"/>
    <w:rsid w:val="00151FA3"/>
    <w:rsid w:val="00270441"/>
    <w:rsid w:val="00387185"/>
    <w:rsid w:val="0042508A"/>
    <w:rsid w:val="0064774C"/>
    <w:rsid w:val="007655C4"/>
    <w:rsid w:val="00B65E02"/>
    <w:rsid w:val="00C209EE"/>
    <w:rsid w:val="00C347CE"/>
    <w:rsid w:val="00F10156"/>
    <w:rsid w:val="00F8058E"/>
    <w:rsid w:val="010242C9"/>
    <w:rsid w:val="0107536F"/>
    <w:rsid w:val="0108339F"/>
    <w:rsid w:val="011355EE"/>
    <w:rsid w:val="012B3C93"/>
    <w:rsid w:val="01341878"/>
    <w:rsid w:val="0134589B"/>
    <w:rsid w:val="013F12FE"/>
    <w:rsid w:val="01410B95"/>
    <w:rsid w:val="01414F8A"/>
    <w:rsid w:val="016522C4"/>
    <w:rsid w:val="016A07C2"/>
    <w:rsid w:val="016A3BE0"/>
    <w:rsid w:val="018A1D25"/>
    <w:rsid w:val="0197394D"/>
    <w:rsid w:val="01AA0DAF"/>
    <w:rsid w:val="01AA1C3F"/>
    <w:rsid w:val="01B421A8"/>
    <w:rsid w:val="01B91EC9"/>
    <w:rsid w:val="01CC21FA"/>
    <w:rsid w:val="01CF23F1"/>
    <w:rsid w:val="01E0414A"/>
    <w:rsid w:val="01F931EA"/>
    <w:rsid w:val="020D265D"/>
    <w:rsid w:val="021F6EB0"/>
    <w:rsid w:val="023D3562"/>
    <w:rsid w:val="024F0F11"/>
    <w:rsid w:val="025D37A8"/>
    <w:rsid w:val="026D145B"/>
    <w:rsid w:val="027156F6"/>
    <w:rsid w:val="028617BF"/>
    <w:rsid w:val="02955C2D"/>
    <w:rsid w:val="02AD1DEB"/>
    <w:rsid w:val="02B27411"/>
    <w:rsid w:val="02B72A36"/>
    <w:rsid w:val="02BA0C1E"/>
    <w:rsid w:val="02D23832"/>
    <w:rsid w:val="02D467BD"/>
    <w:rsid w:val="02D76C85"/>
    <w:rsid w:val="02E65340"/>
    <w:rsid w:val="02F710EA"/>
    <w:rsid w:val="02FE39D2"/>
    <w:rsid w:val="03047997"/>
    <w:rsid w:val="03075833"/>
    <w:rsid w:val="031C4EFD"/>
    <w:rsid w:val="032609A8"/>
    <w:rsid w:val="03331985"/>
    <w:rsid w:val="03423AF3"/>
    <w:rsid w:val="034A52AB"/>
    <w:rsid w:val="036A514D"/>
    <w:rsid w:val="03706DE4"/>
    <w:rsid w:val="03780984"/>
    <w:rsid w:val="03835321"/>
    <w:rsid w:val="03852705"/>
    <w:rsid w:val="03907F31"/>
    <w:rsid w:val="03937784"/>
    <w:rsid w:val="03984DC3"/>
    <w:rsid w:val="03A00744"/>
    <w:rsid w:val="03A46450"/>
    <w:rsid w:val="03A95933"/>
    <w:rsid w:val="03B74E7D"/>
    <w:rsid w:val="03CE2549"/>
    <w:rsid w:val="03D949AE"/>
    <w:rsid w:val="03DE09D2"/>
    <w:rsid w:val="03E53E34"/>
    <w:rsid w:val="03FC66A5"/>
    <w:rsid w:val="040A0DB7"/>
    <w:rsid w:val="040B52B5"/>
    <w:rsid w:val="042104E9"/>
    <w:rsid w:val="0421179E"/>
    <w:rsid w:val="042C392D"/>
    <w:rsid w:val="042F10BA"/>
    <w:rsid w:val="04336ED8"/>
    <w:rsid w:val="0451425C"/>
    <w:rsid w:val="04522F0D"/>
    <w:rsid w:val="047D3B17"/>
    <w:rsid w:val="04802751"/>
    <w:rsid w:val="049E7CAB"/>
    <w:rsid w:val="04A14310"/>
    <w:rsid w:val="04B76D2F"/>
    <w:rsid w:val="04D037F9"/>
    <w:rsid w:val="04D90714"/>
    <w:rsid w:val="04DB4893"/>
    <w:rsid w:val="04F22186"/>
    <w:rsid w:val="050267C6"/>
    <w:rsid w:val="05033322"/>
    <w:rsid w:val="051C70A2"/>
    <w:rsid w:val="052022B0"/>
    <w:rsid w:val="052A4A98"/>
    <w:rsid w:val="05346CFD"/>
    <w:rsid w:val="053A360B"/>
    <w:rsid w:val="055F5519"/>
    <w:rsid w:val="0560704C"/>
    <w:rsid w:val="05764A82"/>
    <w:rsid w:val="05801E4B"/>
    <w:rsid w:val="05963B8B"/>
    <w:rsid w:val="059D0F4A"/>
    <w:rsid w:val="05B07D31"/>
    <w:rsid w:val="05BD2DAC"/>
    <w:rsid w:val="05E82874"/>
    <w:rsid w:val="060334FA"/>
    <w:rsid w:val="0619768A"/>
    <w:rsid w:val="061C3CA6"/>
    <w:rsid w:val="06414B28"/>
    <w:rsid w:val="065012BE"/>
    <w:rsid w:val="06721BA2"/>
    <w:rsid w:val="067619E0"/>
    <w:rsid w:val="06763450"/>
    <w:rsid w:val="06765C46"/>
    <w:rsid w:val="067924EC"/>
    <w:rsid w:val="06A17A57"/>
    <w:rsid w:val="06A85A6C"/>
    <w:rsid w:val="06AB370A"/>
    <w:rsid w:val="06C46C24"/>
    <w:rsid w:val="06D11FC2"/>
    <w:rsid w:val="07051253"/>
    <w:rsid w:val="0711509A"/>
    <w:rsid w:val="071D7A0D"/>
    <w:rsid w:val="074E6BB5"/>
    <w:rsid w:val="075B3DA6"/>
    <w:rsid w:val="07600150"/>
    <w:rsid w:val="07641457"/>
    <w:rsid w:val="07676571"/>
    <w:rsid w:val="077E096A"/>
    <w:rsid w:val="0794099F"/>
    <w:rsid w:val="07AD3663"/>
    <w:rsid w:val="07AF1238"/>
    <w:rsid w:val="07B4686C"/>
    <w:rsid w:val="07BA5207"/>
    <w:rsid w:val="07F11935"/>
    <w:rsid w:val="07F93F2C"/>
    <w:rsid w:val="08051CBB"/>
    <w:rsid w:val="08301CBD"/>
    <w:rsid w:val="0832630D"/>
    <w:rsid w:val="085D5E36"/>
    <w:rsid w:val="08751F2B"/>
    <w:rsid w:val="08765745"/>
    <w:rsid w:val="08880FCD"/>
    <w:rsid w:val="08B31624"/>
    <w:rsid w:val="08BA4980"/>
    <w:rsid w:val="08BC66BE"/>
    <w:rsid w:val="08BD7063"/>
    <w:rsid w:val="08BE050C"/>
    <w:rsid w:val="08D57115"/>
    <w:rsid w:val="08DA7D57"/>
    <w:rsid w:val="08DB2A5D"/>
    <w:rsid w:val="08E35686"/>
    <w:rsid w:val="08F57E75"/>
    <w:rsid w:val="08F67AAB"/>
    <w:rsid w:val="09004014"/>
    <w:rsid w:val="090D07BF"/>
    <w:rsid w:val="09185A94"/>
    <w:rsid w:val="091C16A8"/>
    <w:rsid w:val="091E4C60"/>
    <w:rsid w:val="092856AB"/>
    <w:rsid w:val="092C029F"/>
    <w:rsid w:val="092C4535"/>
    <w:rsid w:val="09446DF2"/>
    <w:rsid w:val="0949572E"/>
    <w:rsid w:val="095B4571"/>
    <w:rsid w:val="096518B3"/>
    <w:rsid w:val="097B082E"/>
    <w:rsid w:val="09914CCC"/>
    <w:rsid w:val="099718AA"/>
    <w:rsid w:val="099B4046"/>
    <w:rsid w:val="099C4D16"/>
    <w:rsid w:val="09A43D15"/>
    <w:rsid w:val="09A92BBC"/>
    <w:rsid w:val="09AC1C93"/>
    <w:rsid w:val="09B808A5"/>
    <w:rsid w:val="09D000CB"/>
    <w:rsid w:val="09E1087D"/>
    <w:rsid w:val="09E2051A"/>
    <w:rsid w:val="09E4249A"/>
    <w:rsid w:val="09FE4CB4"/>
    <w:rsid w:val="0A0170D6"/>
    <w:rsid w:val="0A0905C7"/>
    <w:rsid w:val="0A0F22B3"/>
    <w:rsid w:val="0A10423F"/>
    <w:rsid w:val="0A1B3F18"/>
    <w:rsid w:val="0A280313"/>
    <w:rsid w:val="0A4D613A"/>
    <w:rsid w:val="0A5754CD"/>
    <w:rsid w:val="0A636DCE"/>
    <w:rsid w:val="0A6373FA"/>
    <w:rsid w:val="0A7A7C81"/>
    <w:rsid w:val="0A820F26"/>
    <w:rsid w:val="0A93205A"/>
    <w:rsid w:val="0A996FCE"/>
    <w:rsid w:val="0AB54A71"/>
    <w:rsid w:val="0AB831DA"/>
    <w:rsid w:val="0AC90A63"/>
    <w:rsid w:val="0ADD12AA"/>
    <w:rsid w:val="0ADF5C20"/>
    <w:rsid w:val="0AEB6152"/>
    <w:rsid w:val="0AF2259A"/>
    <w:rsid w:val="0B075866"/>
    <w:rsid w:val="0B166966"/>
    <w:rsid w:val="0B4A3DFC"/>
    <w:rsid w:val="0B4B01E3"/>
    <w:rsid w:val="0B52224A"/>
    <w:rsid w:val="0B5930C6"/>
    <w:rsid w:val="0B605D7B"/>
    <w:rsid w:val="0B684FE4"/>
    <w:rsid w:val="0B73221F"/>
    <w:rsid w:val="0B785FF1"/>
    <w:rsid w:val="0B7D5664"/>
    <w:rsid w:val="0B804495"/>
    <w:rsid w:val="0B874FD9"/>
    <w:rsid w:val="0B8C0A25"/>
    <w:rsid w:val="0B8C1355"/>
    <w:rsid w:val="0BA55AA7"/>
    <w:rsid w:val="0BA93E21"/>
    <w:rsid w:val="0BE2316F"/>
    <w:rsid w:val="0C133E30"/>
    <w:rsid w:val="0C1452CE"/>
    <w:rsid w:val="0C1F2CD8"/>
    <w:rsid w:val="0C29353B"/>
    <w:rsid w:val="0C293744"/>
    <w:rsid w:val="0C37117E"/>
    <w:rsid w:val="0C4342E3"/>
    <w:rsid w:val="0C4E5A7E"/>
    <w:rsid w:val="0C567451"/>
    <w:rsid w:val="0C607B7F"/>
    <w:rsid w:val="0C656FA9"/>
    <w:rsid w:val="0C740949"/>
    <w:rsid w:val="0C79012B"/>
    <w:rsid w:val="0C79294B"/>
    <w:rsid w:val="0C822F38"/>
    <w:rsid w:val="0CBF656D"/>
    <w:rsid w:val="0CD03853"/>
    <w:rsid w:val="0CDB0DC3"/>
    <w:rsid w:val="0CE44C61"/>
    <w:rsid w:val="0CED2310"/>
    <w:rsid w:val="0D1F61D9"/>
    <w:rsid w:val="0D261937"/>
    <w:rsid w:val="0D2C75C7"/>
    <w:rsid w:val="0D2D6569"/>
    <w:rsid w:val="0D32011D"/>
    <w:rsid w:val="0D3D1BC8"/>
    <w:rsid w:val="0D3D5693"/>
    <w:rsid w:val="0D3E3F1B"/>
    <w:rsid w:val="0D5A1C74"/>
    <w:rsid w:val="0D7A0C65"/>
    <w:rsid w:val="0DBD4497"/>
    <w:rsid w:val="0DF7512D"/>
    <w:rsid w:val="0DFF6966"/>
    <w:rsid w:val="0E0B11A5"/>
    <w:rsid w:val="0E0E64F6"/>
    <w:rsid w:val="0E1B2CAA"/>
    <w:rsid w:val="0E37465A"/>
    <w:rsid w:val="0E433B7F"/>
    <w:rsid w:val="0E687334"/>
    <w:rsid w:val="0E6A4D01"/>
    <w:rsid w:val="0E6D4A6D"/>
    <w:rsid w:val="0E7017ED"/>
    <w:rsid w:val="0E9B078D"/>
    <w:rsid w:val="0EAB0EE0"/>
    <w:rsid w:val="0EB44FD0"/>
    <w:rsid w:val="0ECA1376"/>
    <w:rsid w:val="0ED20933"/>
    <w:rsid w:val="0EDC24EC"/>
    <w:rsid w:val="0EDD4D55"/>
    <w:rsid w:val="0EF119DC"/>
    <w:rsid w:val="0EF71AE4"/>
    <w:rsid w:val="0EFD0511"/>
    <w:rsid w:val="0F0D3CDC"/>
    <w:rsid w:val="0F1754A8"/>
    <w:rsid w:val="0F191194"/>
    <w:rsid w:val="0F2A20A3"/>
    <w:rsid w:val="0F335E5E"/>
    <w:rsid w:val="0F397217"/>
    <w:rsid w:val="0F434FBB"/>
    <w:rsid w:val="0F4457D9"/>
    <w:rsid w:val="0F673565"/>
    <w:rsid w:val="0F6913CF"/>
    <w:rsid w:val="0F9C597A"/>
    <w:rsid w:val="0FA0627B"/>
    <w:rsid w:val="0FA105B9"/>
    <w:rsid w:val="0FE1757D"/>
    <w:rsid w:val="0FE35B50"/>
    <w:rsid w:val="0FEB62E4"/>
    <w:rsid w:val="0FF56BB4"/>
    <w:rsid w:val="100168B7"/>
    <w:rsid w:val="10231AA3"/>
    <w:rsid w:val="1035124E"/>
    <w:rsid w:val="1046632A"/>
    <w:rsid w:val="105916C1"/>
    <w:rsid w:val="107F7141"/>
    <w:rsid w:val="10875884"/>
    <w:rsid w:val="108A4610"/>
    <w:rsid w:val="108B152F"/>
    <w:rsid w:val="108B2508"/>
    <w:rsid w:val="10962492"/>
    <w:rsid w:val="10BA4298"/>
    <w:rsid w:val="10C24278"/>
    <w:rsid w:val="10D3761D"/>
    <w:rsid w:val="10DE05F2"/>
    <w:rsid w:val="10E47CEE"/>
    <w:rsid w:val="10EB6E3D"/>
    <w:rsid w:val="10F7756D"/>
    <w:rsid w:val="11183456"/>
    <w:rsid w:val="111E5E71"/>
    <w:rsid w:val="1138334C"/>
    <w:rsid w:val="11393B50"/>
    <w:rsid w:val="11580124"/>
    <w:rsid w:val="115C5601"/>
    <w:rsid w:val="11865BB8"/>
    <w:rsid w:val="118D2F90"/>
    <w:rsid w:val="118F68F0"/>
    <w:rsid w:val="119E30AA"/>
    <w:rsid w:val="11AB0956"/>
    <w:rsid w:val="11AB70A3"/>
    <w:rsid w:val="11AF23CA"/>
    <w:rsid w:val="11C341AA"/>
    <w:rsid w:val="11CA0DC5"/>
    <w:rsid w:val="11E62E4F"/>
    <w:rsid w:val="11EB01B1"/>
    <w:rsid w:val="120E04C6"/>
    <w:rsid w:val="12215D56"/>
    <w:rsid w:val="123D5E0A"/>
    <w:rsid w:val="125552BB"/>
    <w:rsid w:val="125646E8"/>
    <w:rsid w:val="125C0145"/>
    <w:rsid w:val="126870B8"/>
    <w:rsid w:val="126B7211"/>
    <w:rsid w:val="12731B97"/>
    <w:rsid w:val="12742F5C"/>
    <w:rsid w:val="127A347D"/>
    <w:rsid w:val="127E11C2"/>
    <w:rsid w:val="12841AEE"/>
    <w:rsid w:val="128A1BEA"/>
    <w:rsid w:val="128F4682"/>
    <w:rsid w:val="12943D7B"/>
    <w:rsid w:val="12B8399F"/>
    <w:rsid w:val="12BA7138"/>
    <w:rsid w:val="12BF50DA"/>
    <w:rsid w:val="12CC3093"/>
    <w:rsid w:val="12D01C81"/>
    <w:rsid w:val="12E65A04"/>
    <w:rsid w:val="12E93E33"/>
    <w:rsid w:val="12F3319B"/>
    <w:rsid w:val="13027FE5"/>
    <w:rsid w:val="130610D6"/>
    <w:rsid w:val="131B0681"/>
    <w:rsid w:val="13292518"/>
    <w:rsid w:val="13333EA8"/>
    <w:rsid w:val="133576D3"/>
    <w:rsid w:val="13374526"/>
    <w:rsid w:val="133A2D05"/>
    <w:rsid w:val="13423929"/>
    <w:rsid w:val="13466D8F"/>
    <w:rsid w:val="13524D98"/>
    <w:rsid w:val="13557FA2"/>
    <w:rsid w:val="1362308E"/>
    <w:rsid w:val="137F46C5"/>
    <w:rsid w:val="137F6D36"/>
    <w:rsid w:val="13920C96"/>
    <w:rsid w:val="13D56218"/>
    <w:rsid w:val="13D83EE8"/>
    <w:rsid w:val="13D87519"/>
    <w:rsid w:val="13DC7372"/>
    <w:rsid w:val="13EA292B"/>
    <w:rsid w:val="13F731C9"/>
    <w:rsid w:val="14061138"/>
    <w:rsid w:val="141C4077"/>
    <w:rsid w:val="14335970"/>
    <w:rsid w:val="143D6409"/>
    <w:rsid w:val="147009C5"/>
    <w:rsid w:val="14774F54"/>
    <w:rsid w:val="149A41E9"/>
    <w:rsid w:val="14A26467"/>
    <w:rsid w:val="14A445DF"/>
    <w:rsid w:val="14C42227"/>
    <w:rsid w:val="14E102C9"/>
    <w:rsid w:val="15013754"/>
    <w:rsid w:val="150144B2"/>
    <w:rsid w:val="150159A8"/>
    <w:rsid w:val="1545506C"/>
    <w:rsid w:val="15574C94"/>
    <w:rsid w:val="155A0FC4"/>
    <w:rsid w:val="15763FA6"/>
    <w:rsid w:val="157C4DAC"/>
    <w:rsid w:val="15800506"/>
    <w:rsid w:val="1581175D"/>
    <w:rsid w:val="15863EE6"/>
    <w:rsid w:val="158E4BC7"/>
    <w:rsid w:val="15B22502"/>
    <w:rsid w:val="15B37F15"/>
    <w:rsid w:val="15C30956"/>
    <w:rsid w:val="15F239FF"/>
    <w:rsid w:val="1603768D"/>
    <w:rsid w:val="160D1EDA"/>
    <w:rsid w:val="161D6F18"/>
    <w:rsid w:val="1626586E"/>
    <w:rsid w:val="162E1281"/>
    <w:rsid w:val="16361DDE"/>
    <w:rsid w:val="163753E5"/>
    <w:rsid w:val="163B1997"/>
    <w:rsid w:val="16435BE1"/>
    <w:rsid w:val="1654482C"/>
    <w:rsid w:val="165923E7"/>
    <w:rsid w:val="165A5216"/>
    <w:rsid w:val="165B6333"/>
    <w:rsid w:val="1677302B"/>
    <w:rsid w:val="1684388A"/>
    <w:rsid w:val="169157E3"/>
    <w:rsid w:val="16AD36FC"/>
    <w:rsid w:val="16BB2FE2"/>
    <w:rsid w:val="16C037C7"/>
    <w:rsid w:val="16C16A05"/>
    <w:rsid w:val="16C5200F"/>
    <w:rsid w:val="16C609C6"/>
    <w:rsid w:val="16C95487"/>
    <w:rsid w:val="16DD65AB"/>
    <w:rsid w:val="16F72EE9"/>
    <w:rsid w:val="17014813"/>
    <w:rsid w:val="170661F0"/>
    <w:rsid w:val="17340D0F"/>
    <w:rsid w:val="173E273D"/>
    <w:rsid w:val="17457679"/>
    <w:rsid w:val="175C061E"/>
    <w:rsid w:val="17734A36"/>
    <w:rsid w:val="1782161B"/>
    <w:rsid w:val="17891395"/>
    <w:rsid w:val="178C1515"/>
    <w:rsid w:val="17B400DC"/>
    <w:rsid w:val="17B47DB6"/>
    <w:rsid w:val="17C26CC3"/>
    <w:rsid w:val="17DB3CD9"/>
    <w:rsid w:val="17F72BF1"/>
    <w:rsid w:val="17F85600"/>
    <w:rsid w:val="18033733"/>
    <w:rsid w:val="180A59ED"/>
    <w:rsid w:val="18260470"/>
    <w:rsid w:val="18317C5C"/>
    <w:rsid w:val="183E26CB"/>
    <w:rsid w:val="185D62ED"/>
    <w:rsid w:val="188036D8"/>
    <w:rsid w:val="18830ABD"/>
    <w:rsid w:val="18895E7F"/>
    <w:rsid w:val="18897006"/>
    <w:rsid w:val="188F1360"/>
    <w:rsid w:val="18D06AD8"/>
    <w:rsid w:val="18E46A80"/>
    <w:rsid w:val="18E54818"/>
    <w:rsid w:val="18EB30DE"/>
    <w:rsid w:val="18F54678"/>
    <w:rsid w:val="190B4343"/>
    <w:rsid w:val="1918050E"/>
    <w:rsid w:val="191B7932"/>
    <w:rsid w:val="19252CAE"/>
    <w:rsid w:val="19290343"/>
    <w:rsid w:val="193B74BF"/>
    <w:rsid w:val="194C554E"/>
    <w:rsid w:val="194F0712"/>
    <w:rsid w:val="19576352"/>
    <w:rsid w:val="196A558D"/>
    <w:rsid w:val="197129CE"/>
    <w:rsid w:val="197D6DFA"/>
    <w:rsid w:val="19A23CCC"/>
    <w:rsid w:val="19AA4C63"/>
    <w:rsid w:val="19C734A4"/>
    <w:rsid w:val="19D84B10"/>
    <w:rsid w:val="19DA7D90"/>
    <w:rsid w:val="19E524C7"/>
    <w:rsid w:val="19EA7B0D"/>
    <w:rsid w:val="1A296C96"/>
    <w:rsid w:val="1A5A5C8E"/>
    <w:rsid w:val="1A5B7524"/>
    <w:rsid w:val="1A6842DF"/>
    <w:rsid w:val="1A7529F2"/>
    <w:rsid w:val="1AD02B64"/>
    <w:rsid w:val="1AE9326E"/>
    <w:rsid w:val="1AEE78B7"/>
    <w:rsid w:val="1AF05499"/>
    <w:rsid w:val="1AFC589C"/>
    <w:rsid w:val="1B021EB6"/>
    <w:rsid w:val="1B23046F"/>
    <w:rsid w:val="1B300B5B"/>
    <w:rsid w:val="1B3B49D4"/>
    <w:rsid w:val="1B45778C"/>
    <w:rsid w:val="1B464800"/>
    <w:rsid w:val="1B4E42FC"/>
    <w:rsid w:val="1B521AC7"/>
    <w:rsid w:val="1B527650"/>
    <w:rsid w:val="1B600E30"/>
    <w:rsid w:val="1B66273D"/>
    <w:rsid w:val="1B797616"/>
    <w:rsid w:val="1B9137B9"/>
    <w:rsid w:val="1B955B45"/>
    <w:rsid w:val="1BA608FC"/>
    <w:rsid w:val="1BAD398E"/>
    <w:rsid w:val="1BCF67DE"/>
    <w:rsid w:val="1BD1253C"/>
    <w:rsid w:val="1BE33A44"/>
    <w:rsid w:val="1BFE52E2"/>
    <w:rsid w:val="1C237E02"/>
    <w:rsid w:val="1C395920"/>
    <w:rsid w:val="1C3B1515"/>
    <w:rsid w:val="1C3D28DE"/>
    <w:rsid w:val="1C5045AB"/>
    <w:rsid w:val="1C55638A"/>
    <w:rsid w:val="1C64728C"/>
    <w:rsid w:val="1C7F08BB"/>
    <w:rsid w:val="1C8D6797"/>
    <w:rsid w:val="1C8E7C37"/>
    <w:rsid w:val="1C9B2A57"/>
    <w:rsid w:val="1CAE3731"/>
    <w:rsid w:val="1CAE520E"/>
    <w:rsid w:val="1CB052DC"/>
    <w:rsid w:val="1CC96B46"/>
    <w:rsid w:val="1CE72F6C"/>
    <w:rsid w:val="1CF05C96"/>
    <w:rsid w:val="1CF91581"/>
    <w:rsid w:val="1D03167B"/>
    <w:rsid w:val="1D0E2671"/>
    <w:rsid w:val="1D20284B"/>
    <w:rsid w:val="1D244447"/>
    <w:rsid w:val="1D3744CF"/>
    <w:rsid w:val="1D4B02E4"/>
    <w:rsid w:val="1D5D3A4B"/>
    <w:rsid w:val="1D6B36A5"/>
    <w:rsid w:val="1D6D3087"/>
    <w:rsid w:val="1D733383"/>
    <w:rsid w:val="1D897131"/>
    <w:rsid w:val="1DDC5676"/>
    <w:rsid w:val="1DE00787"/>
    <w:rsid w:val="1E111613"/>
    <w:rsid w:val="1E180D28"/>
    <w:rsid w:val="1E186948"/>
    <w:rsid w:val="1E721FD1"/>
    <w:rsid w:val="1E731943"/>
    <w:rsid w:val="1E73289E"/>
    <w:rsid w:val="1E8E21BB"/>
    <w:rsid w:val="1E8E2B86"/>
    <w:rsid w:val="1E925226"/>
    <w:rsid w:val="1EA3765E"/>
    <w:rsid w:val="1EB01191"/>
    <w:rsid w:val="1EB73EB1"/>
    <w:rsid w:val="1ECF7CC4"/>
    <w:rsid w:val="1EDF49F9"/>
    <w:rsid w:val="1F020553"/>
    <w:rsid w:val="1F213C68"/>
    <w:rsid w:val="1F357DEB"/>
    <w:rsid w:val="1F4D0F74"/>
    <w:rsid w:val="1F554111"/>
    <w:rsid w:val="1F57427A"/>
    <w:rsid w:val="1F5B42A7"/>
    <w:rsid w:val="1F6C4E80"/>
    <w:rsid w:val="1F904AC5"/>
    <w:rsid w:val="1F912D8A"/>
    <w:rsid w:val="1F915F91"/>
    <w:rsid w:val="1F931149"/>
    <w:rsid w:val="1F953D4D"/>
    <w:rsid w:val="1F9F6A8C"/>
    <w:rsid w:val="1FC47235"/>
    <w:rsid w:val="1FE506F2"/>
    <w:rsid w:val="1FF32A27"/>
    <w:rsid w:val="20013824"/>
    <w:rsid w:val="20066F61"/>
    <w:rsid w:val="20093BE6"/>
    <w:rsid w:val="200E214E"/>
    <w:rsid w:val="202770AD"/>
    <w:rsid w:val="20383615"/>
    <w:rsid w:val="20450E93"/>
    <w:rsid w:val="205321FF"/>
    <w:rsid w:val="20540675"/>
    <w:rsid w:val="205D2D1E"/>
    <w:rsid w:val="205E2992"/>
    <w:rsid w:val="206F040D"/>
    <w:rsid w:val="20725BA8"/>
    <w:rsid w:val="209268B6"/>
    <w:rsid w:val="20970235"/>
    <w:rsid w:val="209B454F"/>
    <w:rsid w:val="20C3056C"/>
    <w:rsid w:val="20C849B6"/>
    <w:rsid w:val="20CC3B6E"/>
    <w:rsid w:val="20E06FAB"/>
    <w:rsid w:val="20FB3A00"/>
    <w:rsid w:val="20FD0BD2"/>
    <w:rsid w:val="20FF3808"/>
    <w:rsid w:val="211737FA"/>
    <w:rsid w:val="211A6B77"/>
    <w:rsid w:val="21225334"/>
    <w:rsid w:val="21433A9B"/>
    <w:rsid w:val="215B4379"/>
    <w:rsid w:val="215F3787"/>
    <w:rsid w:val="21650466"/>
    <w:rsid w:val="216E323A"/>
    <w:rsid w:val="217033BE"/>
    <w:rsid w:val="218D0B12"/>
    <w:rsid w:val="21A734B0"/>
    <w:rsid w:val="21B4716B"/>
    <w:rsid w:val="21B6170D"/>
    <w:rsid w:val="21B92737"/>
    <w:rsid w:val="21C36774"/>
    <w:rsid w:val="21C52EE5"/>
    <w:rsid w:val="21D02C9B"/>
    <w:rsid w:val="21DA46CE"/>
    <w:rsid w:val="21DA5B3C"/>
    <w:rsid w:val="21E26F9F"/>
    <w:rsid w:val="21F2266E"/>
    <w:rsid w:val="220A4A3C"/>
    <w:rsid w:val="221734F3"/>
    <w:rsid w:val="22395D80"/>
    <w:rsid w:val="22506A95"/>
    <w:rsid w:val="225C4E87"/>
    <w:rsid w:val="22643B04"/>
    <w:rsid w:val="22671F41"/>
    <w:rsid w:val="22766578"/>
    <w:rsid w:val="22803281"/>
    <w:rsid w:val="22845BC0"/>
    <w:rsid w:val="22951C36"/>
    <w:rsid w:val="22A77D09"/>
    <w:rsid w:val="22BA3B71"/>
    <w:rsid w:val="22C45ABE"/>
    <w:rsid w:val="22CD0499"/>
    <w:rsid w:val="22E40C40"/>
    <w:rsid w:val="22F80BA1"/>
    <w:rsid w:val="230F3231"/>
    <w:rsid w:val="231A1572"/>
    <w:rsid w:val="232204D1"/>
    <w:rsid w:val="23484FA1"/>
    <w:rsid w:val="23520274"/>
    <w:rsid w:val="235A3D19"/>
    <w:rsid w:val="235D673A"/>
    <w:rsid w:val="23637125"/>
    <w:rsid w:val="23644615"/>
    <w:rsid w:val="2366044D"/>
    <w:rsid w:val="23775081"/>
    <w:rsid w:val="23833CA1"/>
    <w:rsid w:val="239E4928"/>
    <w:rsid w:val="23A654ED"/>
    <w:rsid w:val="23BC3810"/>
    <w:rsid w:val="23C50AE8"/>
    <w:rsid w:val="23D67C8A"/>
    <w:rsid w:val="23FD04C5"/>
    <w:rsid w:val="24055C45"/>
    <w:rsid w:val="2411116B"/>
    <w:rsid w:val="24247D45"/>
    <w:rsid w:val="242B7E45"/>
    <w:rsid w:val="24443561"/>
    <w:rsid w:val="244B4A48"/>
    <w:rsid w:val="24532065"/>
    <w:rsid w:val="24585EA1"/>
    <w:rsid w:val="245E196F"/>
    <w:rsid w:val="245F59C2"/>
    <w:rsid w:val="246B2672"/>
    <w:rsid w:val="247878EE"/>
    <w:rsid w:val="247A2215"/>
    <w:rsid w:val="248A2838"/>
    <w:rsid w:val="24A46FF8"/>
    <w:rsid w:val="24A532A0"/>
    <w:rsid w:val="24B87B51"/>
    <w:rsid w:val="24BB4134"/>
    <w:rsid w:val="24C437EC"/>
    <w:rsid w:val="24C62EAD"/>
    <w:rsid w:val="24DA5943"/>
    <w:rsid w:val="24E1071E"/>
    <w:rsid w:val="24E700FF"/>
    <w:rsid w:val="24E91C1F"/>
    <w:rsid w:val="24EF2C4D"/>
    <w:rsid w:val="24F0480E"/>
    <w:rsid w:val="24FC6D61"/>
    <w:rsid w:val="24FD6F63"/>
    <w:rsid w:val="250F4D09"/>
    <w:rsid w:val="252475E6"/>
    <w:rsid w:val="252926F1"/>
    <w:rsid w:val="252F198D"/>
    <w:rsid w:val="253365EC"/>
    <w:rsid w:val="253C006D"/>
    <w:rsid w:val="253C62D7"/>
    <w:rsid w:val="25447585"/>
    <w:rsid w:val="25490E12"/>
    <w:rsid w:val="254F5B4B"/>
    <w:rsid w:val="2551153F"/>
    <w:rsid w:val="255A0182"/>
    <w:rsid w:val="256D5B6C"/>
    <w:rsid w:val="256E2425"/>
    <w:rsid w:val="25904AF9"/>
    <w:rsid w:val="25B20C29"/>
    <w:rsid w:val="25BD1B5F"/>
    <w:rsid w:val="25D90F64"/>
    <w:rsid w:val="25E02A00"/>
    <w:rsid w:val="25E33A2A"/>
    <w:rsid w:val="25FA1C3F"/>
    <w:rsid w:val="26097D56"/>
    <w:rsid w:val="260E7778"/>
    <w:rsid w:val="261345BA"/>
    <w:rsid w:val="26140B05"/>
    <w:rsid w:val="261A4C08"/>
    <w:rsid w:val="262929DE"/>
    <w:rsid w:val="263671DF"/>
    <w:rsid w:val="2638703F"/>
    <w:rsid w:val="2652707D"/>
    <w:rsid w:val="26673179"/>
    <w:rsid w:val="26776F3D"/>
    <w:rsid w:val="26830835"/>
    <w:rsid w:val="268369AC"/>
    <w:rsid w:val="26841B6C"/>
    <w:rsid w:val="26901B99"/>
    <w:rsid w:val="26984B60"/>
    <w:rsid w:val="269E0CD7"/>
    <w:rsid w:val="26AA2227"/>
    <w:rsid w:val="26D07537"/>
    <w:rsid w:val="26D36416"/>
    <w:rsid w:val="26D36BD8"/>
    <w:rsid w:val="26D66E40"/>
    <w:rsid w:val="26EB05A0"/>
    <w:rsid w:val="270530AF"/>
    <w:rsid w:val="27150EAE"/>
    <w:rsid w:val="272D4D47"/>
    <w:rsid w:val="27393738"/>
    <w:rsid w:val="273E2C11"/>
    <w:rsid w:val="276E4AD5"/>
    <w:rsid w:val="27701C59"/>
    <w:rsid w:val="278B19E7"/>
    <w:rsid w:val="278C41E7"/>
    <w:rsid w:val="27B61BDC"/>
    <w:rsid w:val="27B67F2F"/>
    <w:rsid w:val="27B7115D"/>
    <w:rsid w:val="27D047AD"/>
    <w:rsid w:val="27F40576"/>
    <w:rsid w:val="27FA5F1D"/>
    <w:rsid w:val="280715F2"/>
    <w:rsid w:val="280F25A7"/>
    <w:rsid w:val="28170551"/>
    <w:rsid w:val="28177256"/>
    <w:rsid w:val="28244497"/>
    <w:rsid w:val="283208A5"/>
    <w:rsid w:val="2834542A"/>
    <w:rsid w:val="284960AD"/>
    <w:rsid w:val="284A386A"/>
    <w:rsid w:val="28723889"/>
    <w:rsid w:val="28917104"/>
    <w:rsid w:val="28A64D78"/>
    <w:rsid w:val="28A6780D"/>
    <w:rsid w:val="28AE7BA7"/>
    <w:rsid w:val="28C52022"/>
    <w:rsid w:val="28D65699"/>
    <w:rsid w:val="28E30E20"/>
    <w:rsid w:val="29062795"/>
    <w:rsid w:val="29171808"/>
    <w:rsid w:val="29383D74"/>
    <w:rsid w:val="294B4C74"/>
    <w:rsid w:val="296D27CF"/>
    <w:rsid w:val="29915B3D"/>
    <w:rsid w:val="29956DC1"/>
    <w:rsid w:val="29987347"/>
    <w:rsid w:val="299A62E5"/>
    <w:rsid w:val="299B1594"/>
    <w:rsid w:val="29B07B0B"/>
    <w:rsid w:val="29B86B8A"/>
    <w:rsid w:val="29BD5A68"/>
    <w:rsid w:val="29C243A4"/>
    <w:rsid w:val="29CB53E3"/>
    <w:rsid w:val="29DF3FD6"/>
    <w:rsid w:val="29EB7B3F"/>
    <w:rsid w:val="2A0D7202"/>
    <w:rsid w:val="2A10432C"/>
    <w:rsid w:val="2A1201EF"/>
    <w:rsid w:val="2A163515"/>
    <w:rsid w:val="2A2A4007"/>
    <w:rsid w:val="2A2F6773"/>
    <w:rsid w:val="2A521F9D"/>
    <w:rsid w:val="2A687396"/>
    <w:rsid w:val="2A7F5C82"/>
    <w:rsid w:val="2A8E7CEF"/>
    <w:rsid w:val="2ABB3963"/>
    <w:rsid w:val="2AD27C9B"/>
    <w:rsid w:val="2AD317DF"/>
    <w:rsid w:val="2ADC1695"/>
    <w:rsid w:val="2ADE2CE1"/>
    <w:rsid w:val="2AE40FB0"/>
    <w:rsid w:val="2AFD73B4"/>
    <w:rsid w:val="2B033C0B"/>
    <w:rsid w:val="2B072D79"/>
    <w:rsid w:val="2B1349D0"/>
    <w:rsid w:val="2B192C63"/>
    <w:rsid w:val="2B213AE4"/>
    <w:rsid w:val="2B3B6563"/>
    <w:rsid w:val="2B3F4CF1"/>
    <w:rsid w:val="2B413027"/>
    <w:rsid w:val="2B4244CA"/>
    <w:rsid w:val="2B505B74"/>
    <w:rsid w:val="2B5E5FE4"/>
    <w:rsid w:val="2B8503E6"/>
    <w:rsid w:val="2B97256C"/>
    <w:rsid w:val="2BAC68F2"/>
    <w:rsid w:val="2BB63628"/>
    <w:rsid w:val="2BBE1AD9"/>
    <w:rsid w:val="2BC14198"/>
    <w:rsid w:val="2BD217B3"/>
    <w:rsid w:val="2BDF629C"/>
    <w:rsid w:val="2BFB0C59"/>
    <w:rsid w:val="2C065989"/>
    <w:rsid w:val="2C0E58A5"/>
    <w:rsid w:val="2C291AC2"/>
    <w:rsid w:val="2C2F662B"/>
    <w:rsid w:val="2C3D7DF6"/>
    <w:rsid w:val="2C493D90"/>
    <w:rsid w:val="2C495A53"/>
    <w:rsid w:val="2C5A2800"/>
    <w:rsid w:val="2C5B2B57"/>
    <w:rsid w:val="2C601F30"/>
    <w:rsid w:val="2C7017A3"/>
    <w:rsid w:val="2C7C5096"/>
    <w:rsid w:val="2CB06696"/>
    <w:rsid w:val="2CBD6001"/>
    <w:rsid w:val="2CDA2C68"/>
    <w:rsid w:val="2CE86904"/>
    <w:rsid w:val="2CF4341D"/>
    <w:rsid w:val="2CF910A1"/>
    <w:rsid w:val="2D1E41E2"/>
    <w:rsid w:val="2D2513E7"/>
    <w:rsid w:val="2D453DE5"/>
    <w:rsid w:val="2D4F3922"/>
    <w:rsid w:val="2D5E6414"/>
    <w:rsid w:val="2D735751"/>
    <w:rsid w:val="2D8428DC"/>
    <w:rsid w:val="2DAA2499"/>
    <w:rsid w:val="2DD94907"/>
    <w:rsid w:val="2DDA0EDD"/>
    <w:rsid w:val="2DFD4D68"/>
    <w:rsid w:val="2DFE13F3"/>
    <w:rsid w:val="2E040408"/>
    <w:rsid w:val="2E1164A1"/>
    <w:rsid w:val="2E12700C"/>
    <w:rsid w:val="2E156B31"/>
    <w:rsid w:val="2E1702DB"/>
    <w:rsid w:val="2E1E6270"/>
    <w:rsid w:val="2E1E7575"/>
    <w:rsid w:val="2E213B1F"/>
    <w:rsid w:val="2E2B7FCE"/>
    <w:rsid w:val="2E34530B"/>
    <w:rsid w:val="2E3612B4"/>
    <w:rsid w:val="2E394229"/>
    <w:rsid w:val="2E3C6B10"/>
    <w:rsid w:val="2E554763"/>
    <w:rsid w:val="2E557F5F"/>
    <w:rsid w:val="2E594205"/>
    <w:rsid w:val="2E785368"/>
    <w:rsid w:val="2E7D1ED2"/>
    <w:rsid w:val="2E810ACB"/>
    <w:rsid w:val="2E945B93"/>
    <w:rsid w:val="2EA4119D"/>
    <w:rsid w:val="2EA61D48"/>
    <w:rsid w:val="2EB450FA"/>
    <w:rsid w:val="2EC625ED"/>
    <w:rsid w:val="2ED07DE1"/>
    <w:rsid w:val="2ED32D03"/>
    <w:rsid w:val="2ED768BF"/>
    <w:rsid w:val="2EEA638C"/>
    <w:rsid w:val="2EEB5D86"/>
    <w:rsid w:val="2EF50CB9"/>
    <w:rsid w:val="2F0A252D"/>
    <w:rsid w:val="2F0A4649"/>
    <w:rsid w:val="2F27707C"/>
    <w:rsid w:val="2F290981"/>
    <w:rsid w:val="2F30644F"/>
    <w:rsid w:val="2F343D39"/>
    <w:rsid w:val="2F373A33"/>
    <w:rsid w:val="2F3F4CD2"/>
    <w:rsid w:val="2F4163FF"/>
    <w:rsid w:val="2F531067"/>
    <w:rsid w:val="2F886EBE"/>
    <w:rsid w:val="2F9A049C"/>
    <w:rsid w:val="2FA3620D"/>
    <w:rsid w:val="2FC052EF"/>
    <w:rsid w:val="2FE5452E"/>
    <w:rsid w:val="303758C5"/>
    <w:rsid w:val="3053222A"/>
    <w:rsid w:val="306A65F8"/>
    <w:rsid w:val="306F58BE"/>
    <w:rsid w:val="3078148B"/>
    <w:rsid w:val="307D63B0"/>
    <w:rsid w:val="308A069E"/>
    <w:rsid w:val="308D4A10"/>
    <w:rsid w:val="309A1873"/>
    <w:rsid w:val="309F3986"/>
    <w:rsid w:val="30A53415"/>
    <w:rsid w:val="30AC2CAA"/>
    <w:rsid w:val="30B32DD1"/>
    <w:rsid w:val="30B7508D"/>
    <w:rsid w:val="30B8421A"/>
    <w:rsid w:val="30BC3FB7"/>
    <w:rsid w:val="30C3426B"/>
    <w:rsid w:val="30EB5BBF"/>
    <w:rsid w:val="30F6781E"/>
    <w:rsid w:val="310A73D3"/>
    <w:rsid w:val="312004D5"/>
    <w:rsid w:val="31300C77"/>
    <w:rsid w:val="3134774A"/>
    <w:rsid w:val="31350420"/>
    <w:rsid w:val="31400D3C"/>
    <w:rsid w:val="31517AAA"/>
    <w:rsid w:val="316E1C6D"/>
    <w:rsid w:val="31786D1B"/>
    <w:rsid w:val="31943799"/>
    <w:rsid w:val="31964088"/>
    <w:rsid w:val="319A025A"/>
    <w:rsid w:val="319C4A63"/>
    <w:rsid w:val="31A22218"/>
    <w:rsid w:val="31B91156"/>
    <w:rsid w:val="31BC5651"/>
    <w:rsid w:val="31D14679"/>
    <w:rsid w:val="31DD6B3A"/>
    <w:rsid w:val="31EC0898"/>
    <w:rsid w:val="31FF58B8"/>
    <w:rsid w:val="32332F60"/>
    <w:rsid w:val="324C7831"/>
    <w:rsid w:val="32571A7D"/>
    <w:rsid w:val="326B74C0"/>
    <w:rsid w:val="32761E4B"/>
    <w:rsid w:val="327B3F53"/>
    <w:rsid w:val="32840F9A"/>
    <w:rsid w:val="329E1BAD"/>
    <w:rsid w:val="32A33110"/>
    <w:rsid w:val="32AB291E"/>
    <w:rsid w:val="32B41F4D"/>
    <w:rsid w:val="32B50FB7"/>
    <w:rsid w:val="32B96D58"/>
    <w:rsid w:val="32BB23DA"/>
    <w:rsid w:val="32F917C8"/>
    <w:rsid w:val="331A3B7F"/>
    <w:rsid w:val="3336568E"/>
    <w:rsid w:val="33442119"/>
    <w:rsid w:val="33497D02"/>
    <w:rsid w:val="334F1C2F"/>
    <w:rsid w:val="3352023F"/>
    <w:rsid w:val="33563238"/>
    <w:rsid w:val="33633BC9"/>
    <w:rsid w:val="33783B9C"/>
    <w:rsid w:val="337F669E"/>
    <w:rsid w:val="33E41C32"/>
    <w:rsid w:val="33F268EE"/>
    <w:rsid w:val="33F547D9"/>
    <w:rsid w:val="33F83BB8"/>
    <w:rsid w:val="341E454F"/>
    <w:rsid w:val="34387B39"/>
    <w:rsid w:val="343D3AAF"/>
    <w:rsid w:val="344B50D2"/>
    <w:rsid w:val="344D7E8D"/>
    <w:rsid w:val="3451232F"/>
    <w:rsid w:val="346656AC"/>
    <w:rsid w:val="34691E81"/>
    <w:rsid w:val="346F2872"/>
    <w:rsid w:val="3476767A"/>
    <w:rsid w:val="34824E0E"/>
    <w:rsid w:val="349C372C"/>
    <w:rsid w:val="349C727D"/>
    <w:rsid w:val="34C24E04"/>
    <w:rsid w:val="34C5402F"/>
    <w:rsid w:val="34E1647E"/>
    <w:rsid w:val="34E319FB"/>
    <w:rsid w:val="34E32D69"/>
    <w:rsid w:val="34E82286"/>
    <w:rsid w:val="34F33AC1"/>
    <w:rsid w:val="34F470D6"/>
    <w:rsid w:val="34F701EA"/>
    <w:rsid w:val="35026198"/>
    <w:rsid w:val="350560F5"/>
    <w:rsid w:val="35074544"/>
    <w:rsid w:val="352A35BC"/>
    <w:rsid w:val="353159F4"/>
    <w:rsid w:val="35353C49"/>
    <w:rsid w:val="355D2D82"/>
    <w:rsid w:val="355E21BE"/>
    <w:rsid w:val="35767EBD"/>
    <w:rsid w:val="357D4DCB"/>
    <w:rsid w:val="35886C69"/>
    <w:rsid w:val="359C226D"/>
    <w:rsid w:val="35CA3729"/>
    <w:rsid w:val="35D97FF1"/>
    <w:rsid w:val="35E235EC"/>
    <w:rsid w:val="35ED5394"/>
    <w:rsid w:val="36196A3D"/>
    <w:rsid w:val="361B32FF"/>
    <w:rsid w:val="3625087F"/>
    <w:rsid w:val="364E0419"/>
    <w:rsid w:val="365C4FCB"/>
    <w:rsid w:val="365E4C7F"/>
    <w:rsid w:val="366246C0"/>
    <w:rsid w:val="36837A73"/>
    <w:rsid w:val="368858A3"/>
    <w:rsid w:val="36904950"/>
    <w:rsid w:val="36993CA1"/>
    <w:rsid w:val="36AA039F"/>
    <w:rsid w:val="36B50804"/>
    <w:rsid w:val="36BF67FE"/>
    <w:rsid w:val="36C4259E"/>
    <w:rsid w:val="36D33F9A"/>
    <w:rsid w:val="36EA218D"/>
    <w:rsid w:val="37345641"/>
    <w:rsid w:val="373C30F0"/>
    <w:rsid w:val="374121C9"/>
    <w:rsid w:val="374131DA"/>
    <w:rsid w:val="37525D0D"/>
    <w:rsid w:val="376455BE"/>
    <w:rsid w:val="376C018C"/>
    <w:rsid w:val="37743A72"/>
    <w:rsid w:val="378252A0"/>
    <w:rsid w:val="378600B9"/>
    <w:rsid w:val="3794496C"/>
    <w:rsid w:val="3798048C"/>
    <w:rsid w:val="37A11FB9"/>
    <w:rsid w:val="37A3197B"/>
    <w:rsid w:val="37B34ABF"/>
    <w:rsid w:val="37C0704F"/>
    <w:rsid w:val="37C74610"/>
    <w:rsid w:val="37C95237"/>
    <w:rsid w:val="37E31303"/>
    <w:rsid w:val="37EB2465"/>
    <w:rsid w:val="37EB3E6E"/>
    <w:rsid w:val="37EB4EDF"/>
    <w:rsid w:val="37ED3BD9"/>
    <w:rsid w:val="380B0D24"/>
    <w:rsid w:val="38142B0E"/>
    <w:rsid w:val="38207129"/>
    <w:rsid w:val="382B2BF9"/>
    <w:rsid w:val="384127B8"/>
    <w:rsid w:val="384607A0"/>
    <w:rsid w:val="384E3525"/>
    <w:rsid w:val="384E527C"/>
    <w:rsid w:val="387D52F2"/>
    <w:rsid w:val="388C74D9"/>
    <w:rsid w:val="389D38AB"/>
    <w:rsid w:val="38A076A8"/>
    <w:rsid w:val="38A458D6"/>
    <w:rsid w:val="38AE29F7"/>
    <w:rsid w:val="38E23F6E"/>
    <w:rsid w:val="38E26B20"/>
    <w:rsid w:val="38E37571"/>
    <w:rsid w:val="38EA3F74"/>
    <w:rsid w:val="38F74EF6"/>
    <w:rsid w:val="38FD1619"/>
    <w:rsid w:val="39013F8D"/>
    <w:rsid w:val="39051316"/>
    <w:rsid w:val="3908221D"/>
    <w:rsid w:val="391A073D"/>
    <w:rsid w:val="39372432"/>
    <w:rsid w:val="394A5A87"/>
    <w:rsid w:val="394B2EB8"/>
    <w:rsid w:val="395D4F0A"/>
    <w:rsid w:val="396C32A3"/>
    <w:rsid w:val="399D45D5"/>
    <w:rsid w:val="39B30724"/>
    <w:rsid w:val="39B63027"/>
    <w:rsid w:val="39E0302E"/>
    <w:rsid w:val="39F55F9D"/>
    <w:rsid w:val="39FA5D99"/>
    <w:rsid w:val="39FD6810"/>
    <w:rsid w:val="3A176B2F"/>
    <w:rsid w:val="3A315DCC"/>
    <w:rsid w:val="3A72759C"/>
    <w:rsid w:val="3A7D6552"/>
    <w:rsid w:val="3A845557"/>
    <w:rsid w:val="3AAE2CE5"/>
    <w:rsid w:val="3AB51A68"/>
    <w:rsid w:val="3AC30EDB"/>
    <w:rsid w:val="3AD5406D"/>
    <w:rsid w:val="3AD709F1"/>
    <w:rsid w:val="3AF42F06"/>
    <w:rsid w:val="3AFD0BA0"/>
    <w:rsid w:val="3B0148E8"/>
    <w:rsid w:val="3B0B1BA4"/>
    <w:rsid w:val="3B453FE5"/>
    <w:rsid w:val="3B535D79"/>
    <w:rsid w:val="3B57383D"/>
    <w:rsid w:val="3B5C3F1F"/>
    <w:rsid w:val="3B766928"/>
    <w:rsid w:val="3B79380A"/>
    <w:rsid w:val="3B7F3933"/>
    <w:rsid w:val="3BA63E7D"/>
    <w:rsid w:val="3BB65425"/>
    <w:rsid w:val="3BC132A0"/>
    <w:rsid w:val="3BD16961"/>
    <w:rsid w:val="3BD31A0C"/>
    <w:rsid w:val="3C0F0961"/>
    <w:rsid w:val="3C1F3AC0"/>
    <w:rsid w:val="3C223BBB"/>
    <w:rsid w:val="3C3E7DD7"/>
    <w:rsid w:val="3C47708D"/>
    <w:rsid w:val="3C5258CF"/>
    <w:rsid w:val="3C5E472F"/>
    <w:rsid w:val="3C691CDD"/>
    <w:rsid w:val="3C705A01"/>
    <w:rsid w:val="3C9B3E3E"/>
    <w:rsid w:val="3C9C1C16"/>
    <w:rsid w:val="3CA31612"/>
    <w:rsid w:val="3CA631D4"/>
    <w:rsid w:val="3CCE7B4C"/>
    <w:rsid w:val="3CD23297"/>
    <w:rsid w:val="3CD948CB"/>
    <w:rsid w:val="3CDB4AB3"/>
    <w:rsid w:val="3CDC250C"/>
    <w:rsid w:val="3D006BAF"/>
    <w:rsid w:val="3D1C5187"/>
    <w:rsid w:val="3D1F6906"/>
    <w:rsid w:val="3D2068F5"/>
    <w:rsid w:val="3D3C1B5C"/>
    <w:rsid w:val="3D416FD7"/>
    <w:rsid w:val="3D5B5A7C"/>
    <w:rsid w:val="3D600A2F"/>
    <w:rsid w:val="3D6B5921"/>
    <w:rsid w:val="3D8A71FB"/>
    <w:rsid w:val="3D945656"/>
    <w:rsid w:val="3DA541A8"/>
    <w:rsid w:val="3DBA7116"/>
    <w:rsid w:val="3DC35C78"/>
    <w:rsid w:val="3DC419BA"/>
    <w:rsid w:val="3DCA15A6"/>
    <w:rsid w:val="3DD80D4D"/>
    <w:rsid w:val="3DE00E9C"/>
    <w:rsid w:val="3DE6396C"/>
    <w:rsid w:val="3E1C320B"/>
    <w:rsid w:val="3E234C82"/>
    <w:rsid w:val="3E290AFD"/>
    <w:rsid w:val="3E426A28"/>
    <w:rsid w:val="3E4467DA"/>
    <w:rsid w:val="3E6409E6"/>
    <w:rsid w:val="3E6F0EED"/>
    <w:rsid w:val="3E78413B"/>
    <w:rsid w:val="3E827D93"/>
    <w:rsid w:val="3EBA517E"/>
    <w:rsid w:val="3EC7136D"/>
    <w:rsid w:val="3ECC0432"/>
    <w:rsid w:val="3EDA12EC"/>
    <w:rsid w:val="3EDE2A2A"/>
    <w:rsid w:val="3EE357A5"/>
    <w:rsid w:val="3EE543E6"/>
    <w:rsid w:val="3EF93FBD"/>
    <w:rsid w:val="3F237A6E"/>
    <w:rsid w:val="3F28309C"/>
    <w:rsid w:val="3F2C48CD"/>
    <w:rsid w:val="3F320000"/>
    <w:rsid w:val="3F3F14A2"/>
    <w:rsid w:val="3F5318CB"/>
    <w:rsid w:val="3F5F1AC1"/>
    <w:rsid w:val="3F7134CA"/>
    <w:rsid w:val="3F791209"/>
    <w:rsid w:val="3F804C20"/>
    <w:rsid w:val="3F8E331D"/>
    <w:rsid w:val="3F9C7BC4"/>
    <w:rsid w:val="3FA96B1A"/>
    <w:rsid w:val="3FB67C5D"/>
    <w:rsid w:val="3FC4576F"/>
    <w:rsid w:val="3FCA15DA"/>
    <w:rsid w:val="3FCC45C7"/>
    <w:rsid w:val="3FE81741"/>
    <w:rsid w:val="3FF50AA0"/>
    <w:rsid w:val="3FF6633A"/>
    <w:rsid w:val="3FF66FC6"/>
    <w:rsid w:val="3FF83FC7"/>
    <w:rsid w:val="40353E6B"/>
    <w:rsid w:val="40402FF0"/>
    <w:rsid w:val="4051324C"/>
    <w:rsid w:val="406B69A9"/>
    <w:rsid w:val="406E0AA9"/>
    <w:rsid w:val="408C7BC1"/>
    <w:rsid w:val="408D6BA9"/>
    <w:rsid w:val="40A367F8"/>
    <w:rsid w:val="40A87A8A"/>
    <w:rsid w:val="40B27D07"/>
    <w:rsid w:val="40B67106"/>
    <w:rsid w:val="40D32B5E"/>
    <w:rsid w:val="40FB5366"/>
    <w:rsid w:val="40FD2D4B"/>
    <w:rsid w:val="41000C61"/>
    <w:rsid w:val="41044A72"/>
    <w:rsid w:val="411C0570"/>
    <w:rsid w:val="4188192A"/>
    <w:rsid w:val="419F0002"/>
    <w:rsid w:val="41BD6161"/>
    <w:rsid w:val="41BD70D0"/>
    <w:rsid w:val="41BE7655"/>
    <w:rsid w:val="41C910D8"/>
    <w:rsid w:val="41CF5740"/>
    <w:rsid w:val="41E33B05"/>
    <w:rsid w:val="41FB1CA2"/>
    <w:rsid w:val="420047D2"/>
    <w:rsid w:val="42051FA4"/>
    <w:rsid w:val="42220480"/>
    <w:rsid w:val="422A4533"/>
    <w:rsid w:val="422A5194"/>
    <w:rsid w:val="42512823"/>
    <w:rsid w:val="42560874"/>
    <w:rsid w:val="428D085E"/>
    <w:rsid w:val="429100A7"/>
    <w:rsid w:val="42975473"/>
    <w:rsid w:val="42C75D48"/>
    <w:rsid w:val="42F60511"/>
    <w:rsid w:val="42F72391"/>
    <w:rsid w:val="43157217"/>
    <w:rsid w:val="43173367"/>
    <w:rsid w:val="43275475"/>
    <w:rsid w:val="432E4999"/>
    <w:rsid w:val="433871D5"/>
    <w:rsid w:val="434556BD"/>
    <w:rsid w:val="434E5AC9"/>
    <w:rsid w:val="435B18F2"/>
    <w:rsid w:val="436B09D7"/>
    <w:rsid w:val="436D78D8"/>
    <w:rsid w:val="43751E44"/>
    <w:rsid w:val="438A0736"/>
    <w:rsid w:val="439760E8"/>
    <w:rsid w:val="43B0532E"/>
    <w:rsid w:val="43B74ABE"/>
    <w:rsid w:val="43C23344"/>
    <w:rsid w:val="43C261FC"/>
    <w:rsid w:val="43C57D68"/>
    <w:rsid w:val="43D27BF9"/>
    <w:rsid w:val="43DC1CC2"/>
    <w:rsid w:val="442210E7"/>
    <w:rsid w:val="44265FE8"/>
    <w:rsid w:val="443237AD"/>
    <w:rsid w:val="44466E4D"/>
    <w:rsid w:val="444904CF"/>
    <w:rsid w:val="444D7C3A"/>
    <w:rsid w:val="4469140D"/>
    <w:rsid w:val="446E45FA"/>
    <w:rsid w:val="447B2951"/>
    <w:rsid w:val="44845020"/>
    <w:rsid w:val="44A138AA"/>
    <w:rsid w:val="44D155FA"/>
    <w:rsid w:val="44D24E0D"/>
    <w:rsid w:val="44DF6361"/>
    <w:rsid w:val="44E0757F"/>
    <w:rsid w:val="44E67AEB"/>
    <w:rsid w:val="44F347FE"/>
    <w:rsid w:val="44F53A43"/>
    <w:rsid w:val="44F75C38"/>
    <w:rsid w:val="45010D72"/>
    <w:rsid w:val="450D5015"/>
    <w:rsid w:val="4519534D"/>
    <w:rsid w:val="4527630C"/>
    <w:rsid w:val="45296C4E"/>
    <w:rsid w:val="452E6FFD"/>
    <w:rsid w:val="454E5674"/>
    <w:rsid w:val="455B4358"/>
    <w:rsid w:val="45671254"/>
    <w:rsid w:val="45687F1D"/>
    <w:rsid w:val="457E1FCE"/>
    <w:rsid w:val="459A1541"/>
    <w:rsid w:val="459D0B17"/>
    <w:rsid w:val="45A1158E"/>
    <w:rsid w:val="45B84FE4"/>
    <w:rsid w:val="45C7532E"/>
    <w:rsid w:val="45CB7D57"/>
    <w:rsid w:val="45D24327"/>
    <w:rsid w:val="45D42641"/>
    <w:rsid w:val="45ED6633"/>
    <w:rsid w:val="45F020A3"/>
    <w:rsid w:val="46077375"/>
    <w:rsid w:val="460F2BDD"/>
    <w:rsid w:val="462A21BC"/>
    <w:rsid w:val="46446C9B"/>
    <w:rsid w:val="465216FC"/>
    <w:rsid w:val="4664210B"/>
    <w:rsid w:val="46655FCF"/>
    <w:rsid w:val="467E1DD5"/>
    <w:rsid w:val="46807751"/>
    <w:rsid w:val="4684579E"/>
    <w:rsid w:val="46AA2113"/>
    <w:rsid w:val="46AC51F1"/>
    <w:rsid w:val="46B13BA5"/>
    <w:rsid w:val="46BA0598"/>
    <w:rsid w:val="46BA6341"/>
    <w:rsid w:val="46BD3F53"/>
    <w:rsid w:val="46C23826"/>
    <w:rsid w:val="46CD6205"/>
    <w:rsid w:val="46F3023F"/>
    <w:rsid w:val="46F4420D"/>
    <w:rsid w:val="46F85020"/>
    <w:rsid w:val="47030EEB"/>
    <w:rsid w:val="470A61EC"/>
    <w:rsid w:val="471104F9"/>
    <w:rsid w:val="47353C77"/>
    <w:rsid w:val="473B5071"/>
    <w:rsid w:val="47514FA8"/>
    <w:rsid w:val="4763545C"/>
    <w:rsid w:val="47673FD4"/>
    <w:rsid w:val="47752F31"/>
    <w:rsid w:val="4781604A"/>
    <w:rsid w:val="478656C4"/>
    <w:rsid w:val="47AE6861"/>
    <w:rsid w:val="47B0793C"/>
    <w:rsid w:val="47BB0E19"/>
    <w:rsid w:val="47BB60BD"/>
    <w:rsid w:val="47BD403F"/>
    <w:rsid w:val="47C05908"/>
    <w:rsid w:val="47D34DC7"/>
    <w:rsid w:val="47D366BF"/>
    <w:rsid w:val="47DC4024"/>
    <w:rsid w:val="47DD0C97"/>
    <w:rsid w:val="47F53781"/>
    <w:rsid w:val="480612ED"/>
    <w:rsid w:val="480B6704"/>
    <w:rsid w:val="481F472C"/>
    <w:rsid w:val="4829715C"/>
    <w:rsid w:val="48314D5E"/>
    <w:rsid w:val="483D3655"/>
    <w:rsid w:val="484800CE"/>
    <w:rsid w:val="48686068"/>
    <w:rsid w:val="488F34C1"/>
    <w:rsid w:val="48A91D43"/>
    <w:rsid w:val="48B80A6A"/>
    <w:rsid w:val="48BB4002"/>
    <w:rsid w:val="48E01A64"/>
    <w:rsid w:val="48FD1F09"/>
    <w:rsid w:val="49271A20"/>
    <w:rsid w:val="49416222"/>
    <w:rsid w:val="49487A4D"/>
    <w:rsid w:val="495C28CE"/>
    <w:rsid w:val="495E7ED8"/>
    <w:rsid w:val="49621A4A"/>
    <w:rsid w:val="49664152"/>
    <w:rsid w:val="49690CFB"/>
    <w:rsid w:val="497128B4"/>
    <w:rsid w:val="4977232F"/>
    <w:rsid w:val="49923B5A"/>
    <w:rsid w:val="49B24491"/>
    <w:rsid w:val="49BD328F"/>
    <w:rsid w:val="49C27503"/>
    <w:rsid w:val="49C55ABF"/>
    <w:rsid w:val="49D832F8"/>
    <w:rsid w:val="49F539C4"/>
    <w:rsid w:val="49FA2B87"/>
    <w:rsid w:val="4A186620"/>
    <w:rsid w:val="4A1D4A72"/>
    <w:rsid w:val="4A214B31"/>
    <w:rsid w:val="4A2656F2"/>
    <w:rsid w:val="4A403F7B"/>
    <w:rsid w:val="4A556D8E"/>
    <w:rsid w:val="4AB1091F"/>
    <w:rsid w:val="4ABD2171"/>
    <w:rsid w:val="4AC1635D"/>
    <w:rsid w:val="4AD72C9D"/>
    <w:rsid w:val="4AD75314"/>
    <w:rsid w:val="4AEE24EA"/>
    <w:rsid w:val="4AF2456C"/>
    <w:rsid w:val="4AF87D9E"/>
    <w:rsid w:val="4AFC6B91"/>
    <w:rsid w:val="4B06005A"/>
    <w:rsid w:val="4B162906"/>
    <w:rsid w:val="4B300D43"/>
    <w:rsid w:val="4B38765B"/>
    <w:rsid w:val="4B5725DF"/>
    <w:rsid w:val="4B6524F5"/>
    <w:rsid w:val="4B781C9B"/>
    <w:rsid w:val="4BB92E18"/>
    <w:rsid w:val="4BBF5815"/>
    <w:rsid w:val="4BC36E54"/>
    <w:rsid w:val="4BC377B3"/>
    <w:rsid w:val="4BD16CBE"/>
    <w:rsid w:val="4BE55E60"/>
    <w:rsid w:val="4BF4200A"/>
    <w:rsid w:val="4BFE3D99"/>
    <w:rsid w:val="4C151987"/>
    <w:rsid w:val="4C346D0E"/>
    <w:rsid w:val="4C365967"/>
    <w:rsid w:val="4C383697"/>
    <w:rsid w:val="4C3E7C72"/>
    <w:rsid w:val="4C672F88"/>
    <w:rsid w:val="4C7D556E"/>
    <w:rsid w:val="4C7E4D30"/>
    <w:rsid w:val="4C9668A8"/>
    <w:rsid w:val="4D011740"/>
    <w:rsid w:val="4D063CBF"/>
    <w:rsid w:val="4D082298"/>
    <w:rsid w:val="4D1C541E"/>
    <w:rsid w:val="4D3B0DC6"/>
    <w:rsid w:val="4D4D47C6"/>
    <w:rsid w:val="4D513B2B"/>
    <w:rsid w:val="4D5500C1"/>
    <w:rsid w:val="4D597918"/>
    <w:rsid w:val="4D5C4B0F"/>
    <w:rsid w:val="4D5D7927"/>
    <w:rsid w:val="4D6007A0"/>
    <w:rsid w:val="4D787CF8"/>
    <w:rsid w:val="4D8D5666"/>
    <w:rsid w:val="4D9D6FDE"/>
    <w:rsid w:val="4DA61727"/>
    <w:rsid w:val="4DA95B70"/>
    <w:rsid w:val="4DB9038B"/>
    <w:rsid w:val="4DBF326E"/>
    <w:rsid w:val="4DC53BA9"/>
    <w:rsid w:val="4DE91DBF"/>
    <w:rsid w:val="4DF25CE6"/>
    <w:rsid w:val="4DF4573B"/>
    <w:rsid w:val="4DFC2E83"/>
    <w:rsid w:val="4E0076EB"/>
    <w:rsid w:val="4E051218"/>
    <w:rsid w:val="4E0E40D7"/>
    <w:rsid w:val="4E1746DA"/>
    <w:rsid w:val="4E2F62C6"/>
    <w:rsid w:val="4E323154"/>
    <w:rsid w:val="4E38004C"/>
    <w:rsid w:val="4E541061"/>
    <w:rsid w:val="4E580650"/>
    <w:rsid w:val="4E5A3EDB"/>
    <w:rsid w:val="4E5F57B6"/>
    <w:rsid w:val="4E7E026E"/>
    <w:rsid w:val="4E865747"/>
    <w:rsid w:val="4EBB597B"/>
    <w:rsid w:val="4EBF5FD2"/>
    <w:rsid w:val="4EC17070"/>
    <w:rsid w:val="4EC37AAD"/>
    <w:rsid w:val="4EC83194"/>
    <w:rsid w:val="4EDA5C42"/>
    <w:rsid w:val="4EE54497"/>
    <w:rsid w:val="4EF00F2F"/>
    <w:rsid w:val="4EF20186"/>
    <w:rsid w:val="4F0A0973"/>
    <w:rsid w:val="4F0B5DC2"/>
    <w:rsid w:val="4F117CA4"/>
    <w:rsid w:val="4F3B61C4"/>
    <w:rsid w:val="4F3C060F"/>
    <w:rsid w:val="4F3F5C67"/>
    <w:rsid w:val="4F504E48"/>
    <w:rsid w:val="4F673E38"/>
    <w:rsid w:val="4F8C5E05"/>
    <w:rsid w:val="4FB83610"/>
    <w:rsid w:val="4FBE30EA"/>
    <w:rsid w:val="4FCA17F3"/>
    <w:rsid w:val="4FE16010"/>
    <w:rsid w:val="4FEA4073"/>
    <w:rsid w:val="4FEC53D6"/>
    <w:rsid w:val="4FFB3EB8"/>
    <w:rsid w:val="500326C6"/>
    <w:rsid w:val="501045D9"/>
    <w:rsid w:val="501A0B05"/>
    <w:rsid w:val="50206949"/>
    <w:rsid w:val="50263335"/>
    <w:rsid w:val="502D4044"/>
    <w:rsid w:val="504521F6"/>
    <w:rsid w:val="50564EBC"/>
    <w:rsid w:val="50643402"/>
    <w:rsid w:val="50702ECC"/>
    <w:rsid w:val="507B5EA4"/>
    <w:rsid w:val="50995CE8"/>
    <w:rsid w:val="50B56AE1"/>
    <w:rsid w:val="50D35BA6"/>
    <w:rsid w:val="50D64C9C"/>
    <w:rsid w:val="50EC0D9D"/>
    <w:rsid w:val="50F32DE1"/>
    <w:rsid w:val="50F4292D"/>
    <w:rsid w:val="50F65348"/>
    <w:rsid w:val="50FD0E4D"/>
    <w:rsid w:val="5143599D"/>
    <w:rsid w:val="51517755"/>
    <w:rsid w:val="516711A7"/>
    <w:rsid w:val="517A472B"/>
    <w:rsid w:val="518A2461"/>
    <w:rsid w:val="51954FB5"/>
    <w:rsid w:val="51985FEF"/>
    <w:rsid w:val="51CC517B"/>
    <w:rsid w:val="51D07591"/>
    <w:rsid w:val="51D35DBE"/>
    <w:rsid w:val="51D819CE"/>
    <w:rsid w:val="51D93C4C"/>
    <w:rsid w:val="51F35DD2"/>
    <w:rsid w:val="51FA5F73"/>
    <w:rsid w:val="5200177E"/>
    <w:rsid w:val="52140286"/>
    <w:rsid w:val="522F458D"/>
    <w:rsid w:val="5237318A"/>
    <w:rsid w:val="523E6FE5"/>
    <w:rsid w:val="525621A6"/>
    <w:rsid w:val="52665A5D"/>
    <w:rsid w:val="52AE5E14"/>
    <w:rsid w:val="52B8142C"/>
    <w:rsid w:val="52CA423D"/>
    <w:rsid w:val="52CD3AF2"/>
    <w:rsid w:val="52D938A4"/>
    <w:rsid w:val="52DB1029"/>
    <w:rsid w:val="52FF4206"/>
    <w:rsid w:val="531C5C51"/>
    <w:rsid w:val="533D23E6"/>
    <w:rsid w:val="533D530D"/>
    <w:rsid w:val="53431E3F"/>
    <w:rsid w:val="5345463C"/>
    <w:rsid w:val="53671980"/>
    <w:rsid w:val="53735F3A"/>
    <w:rsid w:val="53767BA4"/>
    <w:rsid w:val="537C6470"/>
    <w:rsid w:val="537F3154"/>
    <w:rsid w:val="538025F8"/>
    <w:rsid w:val="53822701"/>
    <w:rsid w:val="53C069C9"/>
    <w:rsid w:val="53C76CE7"/>
    <w:rsid w:val="53E629BE"/>
    <w:rsid w:val="53E73B15"/>
    <w:rsid w:val="53F52E83"/>
    <w:rsid w:val="53F80776"/>
    <w:rsid w:val="53F91BE2"/>
    <w:rsid w:val="53FE0FE0"/>
    <w:rsid w:val="540546D2"/>
    <w:rsid w:val="5406154E"/>
    <w:rsid w:val="5416716C"/>
    <w:rsid w:val="54221C35"/>
    <w:rsid w:val="542449C5"/>
    <w:rsid w:val="54251738"/>
    <w:rsid w:val="542905E3"/>
    <w:rsid w:val="54595C78"/>
    <w:rsid w:val="548B3ECB"/>
    <w:rsid w:val="548C0732"/>
    <w:rsid w:val="549338E3"/>
    <w:rsid w:val="549C06BD"/>
    <w:rsid w:val="54B27B3E"/>
    <w:rsid w:val="54B30407"/>
    <w:rsid w:val="54B45AFF"/>
    <w:rsid w:val="54B52A51"/>
    <w:rsid w:val="54B863C5"/>
    <w:rsid w:val="54BD7FBD"/>
    <w:rsid w:val="54C8370A"/>
    <w:rsid w:val="54D868CD"/>
    <w:rsid w:val="54DE73F5"/>
    <w:rsid w:val="54F205E8"/>
    <w:rsid w:val="54FB5594"/>
    <w:rsid w:val="551173DF"/>
    <w:rsid w:val="554C3D83"/>
    <w:rsid w:val="556623B0"/>
    <w:rsid w:val="557170CE"/>
    <w:rsid w:val="558A1239"/>
    <w:rsid w:val="559C1B70"/>
    <w:rsid w:val="559C6DB7"/>
    <w:rsid w:val="55A36D7F"/>
    <w:rsid w:val="55A63FD5"/>
    <w:rsid w:val="55AF0FAE"/>
    <w:rsid w:val="55B43CF8"/>
    <w:rsid w:val="55BA4A8E"/>
    <w:rsid w:val="55C363AA"/>
    <w:rsid w:val="55C92C77"/>
    <w:rsid w:val="55CE7951"/>
    <w:rsid w:val="55D41CDC"/>
    <w:rsid w:val="55FE3D22"/>
    <w:rsid w:val="560064AD"/>
    <w:rsid w:val="56386644"/>
    <w:rsid w:val="563B32E9"/>
    <w:rsid w:val="564A4480"/>
    <w:rsid w:val="565F69EF"/>
    <w:rsid w:val="56693CFF"/>
    <w:rsid w:val="56697D28"/>
    <w:rsid w:val="566C721E"/>
    <w:rsid w:val="56911071"/>
    <w:rsid w:val="569A4008"/>
    <w:rsid w:val="56A97572"/>
    <w:rsid w:val="56BC1683"/>
    <w:rsid w:val="56E77BFD"/>
    <w:rsid w:val="56F11BBA"/>
    <w:rsid w:val="56F4394F"/>
    <w:rsid w:val="56F619E3"/>
    <w:rsid w:val="570058EA"/>
    <w:rsid w:val="57067E11"/>
    <w:rsid w:val="570D2E27"/>
    <w:rsid w:val="570E53B4"/>
    <w:rsid w:val="57115FB9"/>
    <w:rsid w:val="5730090D"/>
    <w:rsid w:val="573737D7"/>
    <w:rsid w:val="573771F4"/>
    <w:rsid w:val="5757617F"/>
    <w:rsid w:val="57585F22"/>
    <w:rsid w:val="575C0765"/>
    <w:rsid w:val="57624B91"/>
    <w:rsid w:val="576F41A8"/>
    <w:rsid w:val="577F56E8"/>
    <w:rsid w:val="57987F44"/>
    <w:rsid w:val="579B10F2"/>
    <w:rsid w:val="57AB3553"/>
    <w:rsid w:val="57AD383F"/>
    <w:rsid w:val="57B01196"/>
    <w:rsid w:val="57B359C7"/>
    <w:rsid w:val="57B77A4E"/>
    <w:rsid w:val="57D7618F"/>
    <w:rsid w:val="57DD2689"/>
    <w:rsid w:val="57E16C1F"/>
    <w:rsid w:val="57E309FD"/>
    <w:rsid w:val="57F65A24"/>
    <w:rsid w:val="57F7526F"/>
    <w:rsid w:val="580068DD"/>
    <w:rsid w:val="580133F8"/>
    <w:rsid w:val="581B265B"/>
    <w:rsid w:val="581F4013"/>
    <w:rsid w:val="58297557"/>
    <w:rsid w:val="582B1994"/>
    <w:rsid w:val="58393E27"/>
    <w:rsid w:val="583B67B4"/>
    <w:rsid w:val="585259FE"/>
    <w:rsid w:val="5854184E"/>
    <w:rsid w:val="58573BCA"/>
    <w:rsid w:val="585D77B9"/>
    <w:rsid w:val="58764AAA"/>
    <w:rsid w:val="58915E07"/>
    <w:rsid w:val="58957003"/>
    <w:rsid w:val="58A02EB2"/>
    <w:rsid w:val="58A6618C"/>
    <w:rsid w:val="58A8772C"/>
    <w:rsid w:val="58B95EEB"/>
    <w:rsid w:val="58BB2211"/>
    <w:rsid w:val="58C325EC"/>
    <w:rsid w:val="58E6656E"/>
    <w:rsid w:val="59190F6A"/>
    <w:rsid w:val="59293C91"/>
    <w:rsid w:val="592B14FE"/>
    <w:rsid w:val="5941785C"/>
    <w:rsid w:val="59480227"/>
    <w:rsid w:val="594B2B81"/>
    <w:rsid w:val="595319F3"/>
    <w:rsid w:val="598202B4"/>
    <w:rsid w:val="598239D7"/>
    <w:rsid w:val="598607E8"/>
    <w:rsid w:val="59864EC5"/>
    <w:rsid w:val="59900A05"/>
    <w:rsid w:val="59983D08"/>
    <w:rsid w:val="599F7DA6"/>
    <w:rsid w:val="59CE133C"/>
    <w:rsid w:val="59CF28A2"/>
    <w:rsid w:val="59F55FF2"/>
    <w:rsid w:val="59F72FE6"/>
    <w:rsid w:val="59FB11C8"/>
    <w:rsid w:val="5A0715BA"/>
    <w:rsid w:val="5A0B0811"/>
    <w:rsid w:val="5A256A8E"/>
    <w:rsid w:val="5A317165"/>
    <w:rsid w:val="5A337C59"/>
    <w:rsid w:val="5A357B80"/>
    <w:rsid w:val="5A440DF7"/>
    <w:rsid w:val="5A4F3A33"/>
    <w:rsid w:val="5A55217C"/>
    <w:rsid w:val="5A7A0DF1"/>
    <w:rsid w:val="5AA72947"/>
    <w:rsid w:val="5AAA279D"/>
    <w:rsid w:val="5AB51BBF"/>
    <w:rsid w:val="5AB95D74"/>
    <w:rsid w:val="5AC53834"/>
    <w:rsid w:val="5ACC756A"/>
    <w:rsid w:val="5AE17DAD"/>
    <w:rsid w:val="5AEC6F99"/>
    <w:rsid w:val="5AF9572F"/>
    <w:rsid w:val="5AFE03BF"/>
    <w:rsid w:val="5B032BC3"/>
    <w:rsid w:val="5B084511"/>
    <w:rsid w:val="5B16564E"/>
    <w:rsid w:val="5B1656D4"/>
    <w:rsid w:val="5B194AA2"/>
    <w:rsid w:val="5B230392"/>
    <w:rsid w:val="5B2A1148"/>
    <w:rsid w:val="5B2F20AA"/>
    <w:rsid w:val="5B304385"/>
    <w:rsid w:val="5B3A76D8"/>
    <w:rsid w:val="5B3C59B1"/>
    <w:rsid w:val="5B420C10"/>
    <w:rsid w:val="5B4A6609"/>
    <w:rsid w:val="5B5E68DA"/>
    <w:rsid w:val="5B6367A0"/>
    <w:rsid w:val="5B684D96"/>
    <w:rsid w:val="5B6B7DC1"/>
    <w:rsid w:val="5B8118A7"/>
    <w:rsid w:val="5B9B495D"/>
    <w:rsid w:val="5B9C34C2"/>
    <w:rsid w:val="5BA82F39"/>
    <w:rsid w:val="5BCB7BFB"/>
    <w:rsid w:val="5BD02489"/>
    <w:rsid w:val="5BDB4F3F"/>
    <w:rsid w:val="5BE241F5"/>
    <w:rsid w:val="5BF702B0"/>
    <w:rsid w:val="5BF90474"/>
    <w:rsid w:val="5BFF7DD8"/>
    <w:rsid w:val="5C095C8F"/>
    <w:rsid w:val="5C0D2214"/>
    <w:rsid w:val="5C0E6782"/>
    <w:rsid w:val="5C415CE0"/>
    <w:rsid w:val="5C472ABD"/>
    <w:rsid w:val="5C5F55FA"/>
    <w:rsid w:val="5C6F2435"/>
    <w:rsid w:val="5C8B16C1"/>
    <w:rsid w:val="5C9311CB"/>
    <w:rsid w:val="5C9F211C"/>
    <w:rsid w:val="5CA26654"/>
    <w:rsid w:val="5CAF1E94"/>
    <w:rsid w:val="5CBC1AAE"/>
    <w:rsid w:val="5CD421A8"/>
    <w:rsid w:val="5D001507"/>
    <w:rsid w:val="5D0A1FC8"/>
    <w:rsid w:val="5D19771C"/>
    <w:rsid w:val="5D292E8E"/>
    <w:rsid w:val="5D2C075A"/>
    <w:rsid w:val="5D3B6352"/>
    <w:rsid w:val="5D3F7F63"/>
    <w:rsid w:val="5D7A4D72"/>
    <w:rsid w:val="5D7B7AC9"/>
    <w:rsid w:val="5DA14A83"/>
    <w:rsid w:val="5DBC01D8"/>
    <w:rsid w:val="5DC3317B"/>
    <w:rsid w:val="5DC74817"/>
    <w:rsid w:val="5DFF3558"/>
    <w:rsid w:val="5E0424AA"/>
    <w:rsid w:val="5E070D0B"/>
    <w:rsid w:val="5E08259C"/>
    <w:rsid w:val="5E0861A1"/>
    <w:rsid w:val="5E145857"/>
    <w:rsid w:val="5E2C5A3D"/>
    <w:rsid w:val="5E4C71B7"/>
    <w:rsid w:val="5E585B93"/>
    <w:rsid w:val="5E5C246F"/>
    <w:rsid w:val="5E735668"/>
    <w:rsid w:val="5E886BA5"/>
    <w:rsid w:val="5E957B4F"/>
    <w:rsid w:val="5E9E0585"/>
    <w:rsid w:val="5EA56692"/>
    <w:rsid w:val="5EB33828"/>
    <w:rsid w:val="5EBD014A"/>
    <w:rsid w:val="5EC65D98"/>
    <w:rsid w:val="5EDD1BC1"/>
    <w:rsid w:val="5EDF5E50"/>
    <w:rsid w:val="5EF414DF"/>
    <w:rsid w:val="5EFD0E3A"/>
    <w:rsid w:val="5EFE4037"/>
    <w:rsid w:val="5F011B28"/>
    <w:rsid w:val="5F10044B"/>
    <w:rsid w:val="5F186EC7"/>
    <w:rsid w:val="5F2001C0"/>
    <w:rsid w:val="5F2D7E11"/>
    <w:rsid w:val="5F373E8F"/>
    <w:rsid w:val="5F436FF3"/>
    <w:rsid w:val="5F4F1AE8"/>
    <w:rsid w:val="5F585EBC"/>
    <w:rsid w:val="5F6811EA"/>
    <w:rsid w:val="5F764269"/>
    <w:rsid w:val="5F8102BB"/>
    <w:rsid w:val="5F8A65DB"/>
    <w:rsid w:val="5F9505F2"/>
    <w:rsid w:val="5FAD7A72"/>
    <w:rsid w:val="5FB568D3"/>
    <w:rsid w:val="5FC00D54"/>
    <w:rsid w:val="5FC20F13"/>
    <w:rsid w:val="5FC363F9"/>
    <w:rsid w:val="5FC71551"/>
    <w:rsid w:val="5FD55031"/>
    <w:rsid w:val="5FED7854"/>
    <w:rsid w:val="600E2825"/>
    <w:rsid w:val="6012222D"/>
    <w:rsid w:val="6029112D"/>
    <w:rsid w:val="606C7DF0"/>
    <w:rsid w:val="607A3347"/>
    <w:rsid w:val="608B0302"/>
    <w:rsid w:val="60B62E12"/>
    <w:rsid w:val="60B72414"/>
    <w:rsid w:val="60BA212C"/>
    <w:rsid w:val="60BA32B2"/>
    <w:rsid w:val="60BF409B"/>
    <w:rsid w:val="60C16BB9"/>
    <w:rsid w:val="60CE53DE"/>
    <w:rsid w:val="60CF23FF"/>
    <w:rsid w:val="60D0425A"/>
    <w:rsid w:val="60D81BA8"/>
    <w:rsid w:val="60FB2F7A"/>
    <w:rsid w:val="60FC2CF6"/>
    <w:rsid w:val="61031DD7"/>
    <w:rsid w:val="610E4520"/>
    <w:rsid w:val="61167A1A"/>
    <w:rsid w:val="611970C7"/>
    <w:rsid w:val="61293033"/>
    <w:rsid w:val="61295803"/>
    <w:rsid w:val="616020A9"/>
    <w:rsid w:val="6173406B"/>
    <w:rsid w:val="618E0702"/>
    <w:rsid w:val="61997739"/>
    <w:rsid w:val="619B1E81"/>
    <w:rsid w:val="61C458B1"/>
    <w:rsid w:val="61D062A4"/>
    <w:rsid w:val="61D26073"/>
    <w:rsid w:val="61EA7AC0"/>
    <w:rsid w:val="621410AF"/>
    <w:rsid w:val="621C559D"/>
    <w:rsid w:val="6223410B"/>
    <w:rsid w:val="62384E95"/>
    <w:rsid w:val="62387F5A"/>
    <w:rsid w:val="6239563E"/>
    <w:rsid w:val="625F6390"/>
    <w:rsid w:val="62611B93"/>
    <w:rsid w:val="62614DC0"/>
    <w:rsid w:val="62820D87"/>
    <w:rsid w:val="62915345"/>
    <w:rsid w:val="62B23D0C"/>
    <w:rsid w:val="62C57793"/>
    <w:rsid w:val="62CA2D9F"/>
    <w:rsid w:val="62D204E5"/>
    <w:rsid w:val="62E168CE"/>
    <w:rsid w:val="62E541A4"/>
    <w:rsid w:val="62E77BAE"/>
    <w:rsid w:val="62E77E18"/>
    <w:rsid w:val="62ED78F3"/>
    <w:rsid w:val="62F170B4"/>
    <w:rsid w:val="62FF75B4"/>
    <w:rsid w:val="63022CDA"/>
    <w:rsid w:val="63266265"/>
    <w:rsid w:val="63483270"/>
    <w:rsid w:val="6352089C"/>
    <w:rsid w:val="63565BF9"/>
    <w:rsid w:val="635A595E"/>
    <w:rsid w:val="638A5F5A"/>
    <w:rsid w:val="63977E42"/>
    <w:rsid w:val="639A4A48"/>
    <w:rsid w:val="63A85BEF"/>
    <w:rsid w:val="63D62E90"/>
    <w:rsid w:val="63DE2357"/>
    <w:rsid w:val="64031284"/>
    <w:rsid w:val="642C7E99"/>
    <w:rsid w:val="64364BBC"/>
    <w:rsid w:val="64396FC8"/>
    <w:rsid w:val="643A12C6"/>
    <w:rsid w:val="64491417"/>
    <w:rsid w:val="644B4ACF"/>
    <w:rsid w:val="6462481D"/>
    <w:rsid w:val="647548A2"/>
    <w:rsid w:val="64844DFF"/>
    <w:rsid w:val="6484584D"/>
    <w:rsid w:val="64875442"/>
    <w:rsid w:val="648C2538"/>
    <w:rsid w:val="64A52C51"/>
    <w:rsid w:val="64AD0167"/>
    <w:rsid w:val="64B07A15"/>
    <w:rsid w:val="64B10E71"/>
    <w:rsid w:val="64B67729"/>
    <w:rsid w:val="64BA2C73"/>
    <w:rsid w:val="64BC7D78"/>
    <w:rsid w:val="64C26786"/>
    <w:rsid w:val="64DB2BB2"/>
    <w:rsid w:val="64DC4253"/>
    <w:rsid w:val="64DC5F5B"/>
    <w:rsid w:val="64FE0349"/>
    <w:rsid w:val="65076301"/>
    <w:rsid w:val="6514240C"/>
    <w:rsid w:val="651F42E1"/>
    <w:rsid w:val="652B36AD"/>
    <w:rsid w:val="65303C8A"/>
    <w:rsid w:val="654A161D"/>
    <w:rsid w:val="6554789E"/>
    <w:rsid w:val="65565828"/>
    <w:rsid w:val="65584C03"/>
    <w:rsid w:val="656611AE"/>
    <w:rsid w:val="656E5CD8"/>
    <w:rsid w:val="65777DF6"/>
    <w:rsid w:val="6583573B"/>
    <w:rsid w:val="658B708B"/>
    <w:rsid w:val="65A450BB"/>
    <w:rsid w:val="65A87FCA"/>
    <w:rsid w:val="65B827FE"/>
    <w:rsid w:val="65BE3DCB"/>
    <w:rsid w:val="65BF0DA9"/>
    <w:rsid w:val="65CE562F"/>
    <w:rsid w:val="65D74CCD"/>
    <w:rsid w:val="65FC379F"/>
    <w:rsid w:val="65FF5195"/>
    <w:rsid w:val="66170FFF"/>
    <w:rsid w:val="6628358E"/>
    <w:rsid w:val="663C4542"/>
    <w:rsid w:val="66450DF3"/>
    <w:rsid w:val="664852D4"/>
    <w:rsid w:val="664A1CFB"/>
    <w:rsid w:val="665A19F7"/>
    <w:rsid w:val="66783426"/>
    <w:rsid w:val="668B0E57"/>
    <w:rsid w:val="668F4AE7"/>
    <w:rsid w:val="669A26F3"/>
    <w:rsid w:val="669C15FA"/>
    <w:rsid w:val="66A4646A"/>
    <w:rsid w:val="66A67015"/>
    <w:rsid w:val="66A7440D"/>
    <w:rsid w:val="66AD2979"/>
    <w:rsid w:val="66C60937"/>
    <w:rsid w:val="66D14199"/>
    <w:rsid w:val="66D65EBC"/>
    <w:rsid w:val="66EB16E9"/>
    <w:rsid w:val="66F17C80"/>
    <w:rsid w:val="66F47138"/>
    <w:rsid w:val="67194839"/>
    <w:rsid w:val="671D69F6"/>
    <w:rsid w:val="672A267F"/>
    <w:rsid w:val="67334B97"/>
    <w:rsid w:val="67382585"/>
    <w:rsid w:val="673B30DC"/>
    <w:rsid w:val="67410D71"/>
    <w:rsid w:val="67437B33"/>
    <w:rsid w:val="67631CE9"/>
    <w:rsid w:val="677C1772"/>
    <w:rsid w:val="67917D92"/>
    <w:rsid w:val="6798289A"/>
    <w:rsid w:val="67AE55F1"/>
    <w:rsid w:val="67BA365F"/>
    <w:rsid w:val="67CF52CD"/>
    <w:rsid w:val="67D3128D"/>
    <w:rsid w:val="67E513BC"/>
    <w:rsid w:val="67F9233A"/>
    <w:rsid w:val="680B285E"/>
    <w:rsid w:val="68417356"/>
    <w:rsid w:val="68490E7A"/>
    <w:rsid w:val="687A2878"/>
    <w:rsid w:val="687E5601"/>
    <w:rsid w:val="68930105"/>
    <w:rsid w:val="6893649D"/>
    <w:rsid w:val="68AB13F7"/>
    <w:rsid w:val="68C33DF7"/>
    <w:rsid w:val="68D65731"/>
    <w:rsid w:val="68D82CAE"/>
    <w:rsid w:val="68FC1731"/>
    <w:rsid w:val="68FD0F89"/>
    <w:rsid w:val="690677AE"/>
    <w:rsid w:val="69173CE2"/>
    <w:rsid w:val="691C28B8"/>
    <w:rsid w:val="693D3AE5"/>
    <w:rsid w:val="694139EB"/>
    <w:rsid w:val="694A36D7"/>
    <w:rsid w:val="695C400F"/>
    <w:rsid w:val="69622BB6"/>
    <w:rsid w:val="69701F48"/>
    <w:rsid w:val="6989410E"/>
    <w:rsid w:val="698B24D3"/>
    <w:rsid w:val="699038D8"/>
    <w:rsid w:val="699A62FB"/>
    <w:rsid w:val="69A144A9"/>
    <w:rsid w:val="69A31F1F"/>
    <w:rsid w:val="69A52708"/>
    <w:rsid w:val="69B648E4"/>
    <w:rsid w:val="69BB2DD0"/>
    <w:rsid w:val="69C605EF"/>
    <w:rsid w:val="69D74972"/>
    <w:rsid w:val="69E94768"/>
    <w:rsid w:val="69E951DA"/>
    <w:rsid w:val="69F15924"/>
    <w:rsid w:val="69F940C3"/>
    <w:rsid w:val="6A001585"/>
    <w:rsid w:val="6A0B37C0"/>
    <w:rsid w:val="6A227928"/>
    <w:rsid w:val="6A2548C7"/>
    <w:rsid w:val="6A3C310D"/>
    <w:rsid w:val="6A4068C5"/>
    <w:rsid w:val="6A585723"/>
    <w:rsid w:val="6A595A7D"/>
    <w:rsid w:val="6A655178"/>
    <w:rsid w:val="6A682A6E"/>
    <w:rsid w:val="6A7724E7"/>
    <w:rsid w:val="6A7B290A"/>
    <w:rsid w:val="6A8234B7"/>
    <w:rsid w:val="6A932349"/>
    <w:rsid w:val="6A9D2F65"/>
    <w:rsid w:val="6AAB4999"/>
    <w:rsid w:val="6AAE2021"/>
    <w:rsid w:val="6AB61002"/>
    <w:rsid w:val="6AEB6B8A"/>
    <w:rsid w:val="6AED72C6"/>
    <w:rsid w:val="6AFA0F84"/>
    <w:rsid w:val="6AFB15FB"/>
    <w:rsid w:val="6B013477"/>
    <w:rsid w:val="6B0524C5"/>
    <w:rsid w:val="6B1F1890"/>
    <w:rsid w:val="6B2E6FAA"/>
    <w:rsid w:val="6B562D96"/>
    <w:rsid w:val="6B6C61CE"/>
    <w:rsid w:val="6B6D0928"/>
    <w:rsid w:val="6B707CBE"/>
    <w:rsid w:val="6B766532"/>
    <w:rsid w:val="6B91348F"/>
    <w:rsid w:val="6BA0371D"/>
    <w:rsid w:val="6BBE3298"/>
    <w:rsid w:val="6BC8243E"/>
    <w:rsid w:val="6BCC7DDF"/>
    <w:rsid w:val="6BD06DC5"/>
    <w:rsid w:val="6BD27970"/>
    <w:rsid w:val="6BD64222"/>
    <w:rsid w:val="6BD84F6B"/>
    <w:rsid w:val="6BE274CF"/>
    <w:rsid w:val="6BED55EC"/>
    <w:rsid w:val="6BF129E0"/>
    <w:rsid w:val="6BFC14B9"/>
    <w:rsid w:val="6C0878C0"/>
    <w:rsid w:val="6C166776"/>
    <w:rsid w:val="6C302EA1"/>
    <w:rsid w:val="6C3358F9"/>
    <w:rsid w:val="6C3A6000"/>
    <w:rsid w:val="6C4C1456"/>
    <w:rsid w:val="6C576228"/>
    <w:rsid w:val="6C6D6893"/>
    <w:rsid w:val="6C6F1033"/>
    <w:rsid w:val="6C757CAE"/>
    <w:rsid w:val="6C8501F7"/>
    <w:rsid w:val="6C9119B4"/>
    <w:rsid w:val="6CA0640D"/>
    <w:rsid w:val="6CA520C7"/>
    <w:rsid w:val="6CBB2BE0"/>
    <w:rsid w:val="6CCC270B"/>
    <w:rsid w:val="6CDB52FA"/>
    <w:rsid w:val="6CF1024B"/>
    <w:rsid w:val="6CF83929"/>
    <w:rsid w:val="6D166446"/>
    <w:rsid w:val="6D2113F4"/>
    <w:rsid w:val="6D250AE8"/>
    <w:rsid w:val="6D276DD9"/>
    <w:rsid w:val="6D41698C"/>
    <w:rsid w:val="6D5B51D4"/>
    <w:rsid w:val="6D6C2690"/>
    <w:rsid w:val="6D740979"/>
    <w:rsid w:val="6D8D3A27"/>
    <w:rsid w:val="6D9A5818"/>
    <w:rsid w:val="6DA54EB4"/>
    <w:rsid w:val="6DA73D3A"/>
    <w:rsid w:val="6DAE0A6B"/>
    <w:rsid w:val="6DB00216"/>
    <w:rsid w:val="6DDD0A95"/>
    <w:rsid w:val="6DEC534F"/>
    <w:rsid w:val="6DF436AB"/>
    <w:rsid w:val="6DF61397"/>
    <w:rsid w:val="6E0F1D4D"/>
    <w:rsid w:val="6E114491"/>
    <w:rsid w:val="6E135CCF"/>
    <w:rsid w:val="6E1402BF"/>
    <w:rsid w:val="6E1509CE"/>
    <w:rsid w:val="6E1D2827"/>
    <w:rsid w:val="6E2A6586"/>
    <w:rsid w:val="6E2C1D75"/>
    <w:rsid w:val="6E364E3E"/>
    <w:rsid w:val="6E3C3359"/>
    <w:rsid w:val="6E452DDD"/>
    <w:rsid w:val="6E530D86"/>
    <w:rsid w:val="6E54318B"/>
    <w:rsid w:val="6E65613E"/>
    <w:rsid w:val="6E701728"/>
    <w:rsid w:val="6E7D68BC"/>
    <w:rsid w:val="6E954F23"/>
    <w:rsid w:val="6E995ED7"/>
    <w:rsid w:val="6E9E560B"/>
    <w:rsid w:val="6EA5681A"/>
    <w:rsid w:val="6EA81911"/>
    <w:rsid w:val="6EA92598"/>
    <w:rsid w:val="6EAD64EF"/>
    <w:rsid w:val="6EBB05B2"/>
    <w:rsid w:val="6EBB6EB1"/>
    <w:rsid w:val="6EC059C7"/>
    <w:rsid w:val="6EFE13E5"/>
    <w:rsid w:val="6EFF50A8"/>
    <w:rsid w:val="6F0045E7"/>
    <w:rsid w:val="6F023E4E"/>
    <w:rsid w:val="6F055812"/>
    <w:rsid w:val="6F0E3694"/>
    <w:rsid w:val="6F431DE6"/>
    <w:rsid w:val="6F4B1F64"/>
    <w:rsid w:val="6F5B7D99"/>
    <w:rsid w:val="6F8332F5"/>
    <w:rsid w:val="6F8A11FB"/>
    <w:rsid w:val="6F936CFB"/>
    <w:rsid w:val="6F9878E8"/>
    <w:rsid w:val="6F9950D4"/>
    <w:rsid w:val="6FBF6D3D"/>
    <w:rsid w:val="6FC1774B"/>
    <w:rsid w:val="6FC25D5A"/>
    <w:rsid w:val="6FD12B5B"/>
    <w:rsid w:val="6FE13E78"/>
    <w:rsid w:val="6FF42E90"/>
    <w:rsid w:val="700554BD"/>
    <w:rsid w:val="70161B93"/>
    <w:rsid w:val="70202D76"/>
    <w:rsid w:val="702C76C1"/>
    <w:rsid w:val="702D73AA"/>
    <w:rsid w:val="70381BEF"/>
    <w:rsid w:val="705B275D"/>
    <w:rsid w:val="705E2FF9"/>
    <w:rsid w:val="70714195"/>
    <w:rsid w:val="707D5C4E"/>
    <w:rsid w:val="708315AC"/>
    <w:rsid w:val="709F2847"/>
    <w:rsid w:val="70A0714F"/>
    <w:rsid w:val="70B353E5"/>
    <w:rsid w:val="70C65004"/>
    <w:rsid w:val="70CA4796"/>
    <w:rsid w:val="70CD0751"/>
    <w:rsid w:val="70CD0B1A"/>
    <w:rsid w:val="7109585B"/>
    <w:rsid w:val="710B3D27"/>
    <w:rsid w:val="716B0123"/>
    <w:rsid w:val="71723E76"/>
    <w:rsid w:val="717D4581"/>
    <w:rsid w:val="71A73326"/>
    <w:rsid w:val="71AF7C23"/>
    <w:rsid w:val="71B3564E"/>
    <w:rsid w:val="71B9331D"/>
    <w:rsid w:val="71BF0099"/>
    <w:rsid w:val="71C76499"/>
    <w:rsid w:val="71EF2287"/>
    <w:rsid w:val="71EF3F91"/>
    <w:rsid w:val="720512CF"/>
    <w:rsid w:val="72067D9F"/>
    <w:rsid w:val="720B095D"/>
    <w:rsid w:val="721A38A2"/>
    <w:rsid w:val="72226204"/>
    <w:rsid w:val="722C18D7"/>
    <w:rsid w:val="72341DEB"/>
    <w:rsid w:val="72442E44"/>
    <w:rsid w:val="7246298F"/>
    <w:rsid w:val="724933AB"/>
    <w:rsid w:val="72521A57"/>
    <w:rsid w:val="72535338"/>
    <w:rsid w:val="725D1575"/>
    <w:rsid w:val="725D3050"/>
    <w:rsid w:val="7264345E"/>
    <w:rsid w:val="72807E35"/>
    <w:rsid w:val="729F0200"/>
    <w:rsid w:val="72AC4584"/>
    <w:rsid w:val="72B60F95"/>
    <w:rsid w:val="72BA4108"/>
    <w:rsid w:val="72D27436"/>
    <w:rsid w:val="72DF2E2F"/>
    <w:rsid w:val="72E36DF8"/>
    <w:rsid w:val="72F07E04"/>
    <w:rsid w:val="7328247B"/>
    <w:rsid w:val="73291765"/>
    <w:rsid w:val="73455BEE"/>
    <w:rsid w:val="73561E4F"/>
    <w:rsid w:val="736A6E9D"/>
    <w:rsid w:val="73A46726"/>
    <w:rsid w:val="73AA00DF"/>
    <w:rsid w:val="73C1789A"/>
    <w:rsid w:val="73C33DB8"/>
    <w:rsid w:val="73C41EB3"/>
    <w:rsid w:val="73C733ED"/>
    <w:rsid w:val="73D52A21"/>
    <w:rsid w:val="73DF0088"/>
    <w:rsid w:val="73FC0ECD"/>
    <w:rsid w:val="73FF2667"/>
    <w:rsid w:val="74181CC4"/>
    <w:rsid w:val="741F7851"/>
    <w:rsid w:val="742537FF"/>
    <w:rsid w:val="7430012B"/>
    <w:rsid w:val="747E2F11"/>
    <w:rsid w:val="748638BD"/>
    <w:rsid w:val="74933D75"/>
    <w:rsid w:val="74C47BC4"/>
    <w:rsid w:val="74E51A78"/>
    <w:rsid w:val="74F4306D"/>
    <w:rsid w:val="74FB37C9"/>
    <w:rsid w:val="75043C6B"/>
    <w:rsid w:val="75075BF9"/>
    <w:rsid w:val="75194ABA"/>
    <w:rsid w:val="751C655E"/>
    <w:rsid w:val="7526036D"/>
    <w:rsid w:val="7526310B"/>
    <w:rsid w:val="754E5811"/>
    <w:rsid w:val="75574440"/>
    <w:rsid w:val="75706E76"/>
    <w:rsid w:val="75733B18"/>
    <w:rsid w:val="75794AA6"/>
    <w:rsid w:val="757F2B18"/>
    <w:rsid w:val="7580554A"/>
    <w:rsid w:val="75822926"/>
    <w:rsid w:val="7589622F"/>
    <w:rsid w:val="75B07156"/>
    <w:rsid w:val="75C77936"/>
    <w:rsid w:val="75D43E72"/>
    <w:rsid w:val="75D56693"/>
    <w:rsid w:val="75DF448C"/>
    <w:rsid w:val="75FE731B"/>
    <w:rsid w:val="760302B1"/>
    <w:rsid w:val="760644D9"/>
    <w:rsid w:val="76080F74"/>
    <w:rsid w:val="760B6BEE"/>
    <w:rsid w:val="7615374C"/>
    <w:rsid w:val="76314AD9"/>
    <w:rsid w:val="76336430"/>
    <w:rsid w:val="76443CC6"/>
    <w:rsid w:val="7668364E"/>
    <w:rsid w:val="76776900"/>
    <w:rsid w:val="768F468C"/>
    <w:rsid w:val="76BB2191"/>
    <w:rsid w:val="76CC52C5"/>
    <w:rsid w:val="76CE31AE"/>
    <w:rsid w:val="76D11389"/>
    <w:rsid w:val="76DE7925"/>
    <w:rsid w:val="76E560BB"/>
    <w:rsid w:val="76ED6FAB"/>
    <w:rsid w:val="76F563C2"/>
    <w:rsid w:val="76FD343F"/>
    <w:rsid w:val="77041A6B"/>
    <w:rsid w:val="770D59AB"/>
    <w:rsid w:val="7719480A"/>
    <w:rsid w:val="77273C05"/>
    <w:rsid w:val="77354E7A"/>
    <w:rsid w:val="773D6A55"/>
    <w:rsid w:val="77454C6E"/>
    <w:rsid w:val="774C614F"/>
    <w:rsid w:val="774D2EF2"/>
    <w:rsid w:val="776A1150"/>
    <w:rsid w:val="777859EB"/>
    <w:rsid w:val="779A77F6"/>
    <w:rsid w:val="77B90A58"/>
    <w:rsid w:val="77BF1726"/>
    <w:rsid w:val="77C30594"/>
    <w:rsid w:val="77D4321A"/>
    <w:rsid w:val="77DA3500"/>
    <w:rsid w:val="77DB5808"/>
    <w:rsid w:val="780901BD"/>
    <w:rsid w:val="781610AB"/>
    <w:rsid w:val="78172CA6"/>
    <w:rsid w:val="781F1202"/>
    <w:rsid w:val="78265104"/>
    <w:rsid w:val="782733B2"/>
    <w:rsid w:val="78362333"/>
    <w:rsid w:val="783A55E7"/>
    <w:rsid w:val="783B4ECD"/>
    <w:rsid w:val="783E5AB4"/>
    <w:rsid w:val="7843709C"/>
    <w:rsid w:val="78557D6B"/>
    <w:rsid w:val="787151DD"/>
    <w:rsid w:val="787E5398"/>
    <w:rsid w:val="788D5163"/>
    <w:rsid w:val="7890191E"/>
    <w:rsid w:val="78984363"/>
    <w:rsid w:val="78A63D85"/>
    <w:rsid w:val="78BB6C68"/>
    <w:rsid w:val="78BD2072"/>
    <w:rsid w:val="78CA393A"/>
    <w:rsid w:val="78E03C7D"/>
    <w:rsid w:val="78EE751C"/>
    <w:rsid w:val="78F23644"/>
    <w:rsid w:val="7913149A"/>
    <w:rsid w:val="791F102A"/>
    <w:rsid w:val="7931582A"/>
    <w:rsid w:val="793B0926"/>
    <w:rsid w:val="79456344"/>
    <w:rsid w:val="794C4435"/>
    <w:rsid w:val="79520A61"/>
    <w:rsid w:val="79615E88"/>
    <w:rsid w:val="79706910"/>
    <w:rsid w:val="799C2C3D"/>
    <w:rsid w:val="799D1190"/>
    <w:rsid w:val="79AF3F70"/>
    <w:rsid w:val="79AF59E4"/>
    <w:rsid w:val="79BB1F4E"/>
    <w:rsid w:val="79BC79C2"/>
    <w:rsid w:val="79C56AAE"/>
    <w:rsid w:val="79FC1DA0"/>
    <w:rsid w:val="7A060263"/>
    <w:rsid w:val="7A0B7B70"/>
    <w:rsid w:val="7A28112C"/>
    <w:rsid w:val="7A292F30"/>
    <w:rsid w:val="7A297081"/>
    <w:rsid w:val="7A4F138B"/>
    <w:rsid w:val="7A664914"/>
    <w:rsid w:val="7A6A76BC"/>
    <w:rsid w:val="7A7539ED"/>
    <w:rsid w:val="7A774ECD"/>
    <w:rsid w:val="7A7F3C1E"/>
    <w:rsid w:val="7A862B04"/>
    <w:rsid w:val="7A951A1A"/>
    <w:rsid w:val="7AAA02B5"/>
    <w:rsid w:val="7AB04D89"/>
    <w:rsid w:val="7AC005A9"/>
    <w:rsid w:val="7AC05ACF"/>
    <w:rsid w:val="7AD17CCF"/>
    <w:rsid w:val="7AEA78E5"/>
    <w:rsid w:val="7AEF64F3"/>
    <w:rsid w:val="7AF31CFA"/>
    <w:rsid w:val="7AFB780C"/>
    <w:rsid w:val="7B074BF4"/>
    <w:rsid w:val="7B313CAB"/>
    <w:rsid w:val="7B3C5D3E"/>
    <w:rsid w:val="7B5856CD"/>
    <w:rsid w:val="7B8C27DB"/>
    <w:rsid w:val="7B8C6731"/>
    <w:rsid w:val="7BA92AA1"/>
    <w:rsid w:val="7BAA67FA"/>
    <w:rsid w:val="7BE35296"/>
    <w:rsid w:val="7BE9369D"/>
    <w:rsid w:val="7BF37B95"/>
    <w:rsid w:val="7C040156"/>
    <w:rsid w:val="7C131ED4"/>
    <w:rsid w:val="7C1534DD"/>
    <w:rsid w:val="7C153E9D"/>
    <w:rsid w:val="7C192547"/>
    <w:rsid w:val="7C2E3634"/>
    <w:rsid w:val="7C3B722B"/>
    <w:rsid w:val="7C475B29"/>
    <w:rsid w:val="7C924482"/>
    <w:rsid w:val="7C986171"/>
    <w:rsid w:val="7C9965B4"/>
    <w:rsid w:val="7CA43B21"/>
    <w:rsid w:val="7CAD0D66"/>
    <w:rsid w:val="7CB148D3"/>
    <w:rsid w:val="7CBE0D35"/>
    <w:rsid w:val="7CBF1E4A"/>
    <w:rsid w:val="7CD03087"/>
    <w:rsid w:val="7CD8552D"/>
    <w:rsid w:val="7CE27DD8"/>
    <w:rsid w:val="7CEF5B76"/>
    <w:rsid w:val="7CF02361"/>
    <w:rsid w:val="7CF163D3"/>
    <w:rsid w:val="7D042FD4"/>
    <w:rsid w:val="7D0D5720"/>
    <w:rsid w:val="7D2E6D21"/>
    <w:rsid w:val="7D343F83"/>
    <w:rsid w:val="7D4C7A9C"/>
    <w:rsid w:val="7D50357E"/>
    <w:rsid w:val="7D62737E"/>
    <w:rsid w:val="7D6D582F"/>
    <w:rsid w:val="7D764DF6"/>
    <w:rsid w:val="7D994E90"/>
    <w:rsid w:val="7D9A2E72"/>
    <w:rsid w:val="7DA73EBF"/>
    <w:rsid w:val="7DAC4B6A"/>
    <w:rsid w:val="7DAD08DD"/>
    <w:rsid w:val="7DB01733"/>
    <w:rsid w:val="7DB10D49"/>
    <w:rsid w:val="7DBE1D41"/>
    <w:rsid w:val="7DC81201"/>
    <w:rsid w:val="7DD53FA6"/>
    <w:rsid w:val="7DD57FF9"/>
    <w:rsid w:val="7DE62C5C"/>
    <w:rsid w:val="7DEF312D"/>
    <w:rsid w:val="7E05332D"/>
    <w:rsid w:val="7E093EB1"/>
    <w:rsid w:val="7E0A13B7"/>
    <w:rsid w:val="7E4265BE"/>
    <w:rsid w:val="7E4431AB"/>
    <w:rsid w:val="7E4442EE"/>
    <w:rsid w:val="7E5354D0"/>
    <w:rsid w:val="7E537ADB"/>
    <w:rsid w:val="7E5F603C"/>
    <w:rsid w:val="7E65263A"/>
    <w:rsid w:val="7E75015A"/>
    <w:rsid w:val="7E765EC2"/>
    <w:rsid w:val="7E775EEA"/>
    <w:rsid w:val="7E937C68"/>
    <w:rsid w:val="7E964D3F"/>
    <w:rsid w:val="7EA6790A"/>
    <w:rsid w:val="7EA8376A"/>
    <w:rsid w:val="7EB06AA8"/>
    <w:rsid w:val="7EC37B9D"/>
    <w:rsid w:val="7EC47659"/>
    <w:rsid w:val="7EE74C5D"/>
    <w:rsid w:val="7EE7508F"/>
    <w:rsid w:val="7EEF2AC5"/>
    <w:rsid w:val="7EF379D0"/>
    <w:rsid w:val="7F01507E"/>
    <w:rsid w:val="7F035093"/>
    <w:rsid w:val="7F0C4CA7"/>
    <w:rsid w:val="7F1F6BB2"/>
    <w:rsid w:val="7F3F30B7"/>
    <w:rsid w:val="7F575D23"/>
    <w:rsid w:val="7F5A74B8"/>
    <w:rsid w:val="7F5F6835"/>
    <w:rsid w:val="7F605204"/>
    <w:rsid w:val="7F982000"/>
    <w:rsid w:val="7F991136"/>
    <w:rsid w:val="7FA61A1D"/>
    <w:rsid w:val="7FA635C9"/>
    <w:rsid w:val="7FAC2C5A"/>
    <w:rsid w:val="7FBC765A"/>
    <w:rsid w:val="7FD334CF"/>
    <w:rsid w:val="7FD45C27"/>
    <w:rsid w:val="7FD93FB5"/>
    <w:rsid w:val="7FEE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spacing w:line="660" w:lineRule="exact"/>
      <w:ind w:firstLine="560" w:firstLineChars="200"/>
    </w:pPr>
    <w:rPr>
      <w:sz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paragraph" w:styleId="5">
    <w:name w:val="Body Text Indent 3"/>
    <w:basedOn w:val="1"/>
    <w:uiPriority w:val="0"/>
    <w:pPr>
      <w:spacing w:line="580" w:lineRule="exact"/>
      <w:ind w:firstLine="570"/>
      <w:jc w:val="left"/>
    </w:pPr>
    <w:rPr>
      <w:sz w:val="28"/>
    </w:rPr>
  </w:style>
  <w:style w:type="paragraph" w:styleId="6">
    <w:name w:val="Normal (Web)"/>
    <w:basedOn w:val="1"/>
    <w:uiPriority w:val="0"/>
    <w:pPr>
      <w:widowControl/>
      <w:spacing w:before="100" w:beforeLines="0" w:beforeAutospacing="1" w:after="100" w:afterLines="0" w:afterAutospacing="1" w:line="315" w:lineRule="atLeast"/>
      <w:ind w:firstLine="480"/>
    </w:pPr>
    <w:rPr>
      <w:rFonts w:ascii="Arial Unicode MS" w:hAnsi="Arial Unicode MS" w:eastAsia="Arial Unicode MS"/>
      <w:color w:val="000000"/>
      <w:kern w:val="0"/>
      <w:sz w:val="20"/>
    </w:rPr>
  </w:style>
  <w:style w:type="paragraph" w:styleId="7">
    <w:name w:val="Body Text First Indent 2"/>
    <w:basedOn w:val="2"/>
    <w:qFormat/>
    <w:uiPriority w:val="0"/>
    <w:pPr>
      <w:spacing w:after="120" w:line="240" w:lineRule="auto"/>
      <w:ind w:left="420" w:leftChars="200" w:firstLine="420"/>
      <w:jc w:val="left"/>
    </w:pPr>
    <w:rPr>
      <w:rFonts w:eastAsia="宋体"/>
    </w:rPr>
  </w:style>
  <w:style w:type="character" w:styleId="10">
    <w:name w:val="page number"/>
    <w:basedOn w:val="9"/>
    <w:qFormat/>
    <w:uiPriority w:val="0"/>
  </w:style>
  <w:style w:type="character" w:customStyle="1" w:styleId="11">
    <w:name w:val="msonormal"/>
    <w:basedOn w:val="9"/>
    <w:uiPriority w:val="0"/>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2021-03-25T01:10:00Z</dcterms:created>
  <dc:creator>Administrator</dc:creator>
  <cp:lastModifiedBy>NTKO</cp:lastModifiedBy>
  <dcterms:modified xsi:type="dcterms:W3CDTF">2022-07-15T06:43:20Z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