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auto"/>
          <w:sz w:val="84"/>
          <w:highlight w:val="none"/>
        </w:rPr>
      </w:pPr>
    </w:p>
    <w:p>
      <w:pPr>
        <w:ind w:firstLine="522" w:firstLineChars="100"/>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涉执房地产处置司法评估报告</w:t>
      </w:r>
    </w:p>
    <w:p>
      <w:pPr>
        <w:ind w:firstLine="321" w:firstLineChars="100"/>
        <w:rPr>
          <w:rFonts w:ascii="仿宋_GB2312" w:eastAsia="仿宋_GB2312"/>
          <w:b/>
          <w:bCs/>
          <w:color w:val="auto"/>
          <w:sz w:val="32"/>
          <w:highlight w:val="none"/>
        </w:rPr>
      </w:pPr>
    </w:p>
    <w:tbl>
      <w:tblPr>
        <w:tblStyle w:val="19"/>
        <w:tblW w:w="9353" w:type="dxa"/>
        <w:tblInd w:w="0" w:type="dxa"/>
        <w:tblLayout w:type="fixed"/>
        <w:tblCellMar>
          <w:top w:w="0" w:type="dxa"/>
          <w:left w:w="108" w:type="dxa"/>
          <w:bottom w:w="0" w:type="dxa"/>
          <w:right w:w="108" w:type="dxa"/>
        </w:tblCellMar>
      </w:tblPr>
      <w:tblGrid>
        <w:gridCol w:w="3085"/>
        <w:gridCol w:w="6268"/>
      </w:tblGrid>
      <w:tr>
        <w:tblPrEx>
          <w:tblCellMar>
            <w:top w:w="0" w:type="dxa"/>
            <w:left w:w="108" w:type="dxa"/>
            <w:bottom w:w="0" w:type="dxa"/>
            <w:right w:w="108" w:type="dxa"/>
          </w:tblCellMar>
        </w:tblPrEx>
        <w:trPr>
          <w:trHeight w:val="2962" w:hRule="exact"/>
        </w:trPr>
        <w:tc>
          <w:tcPr>
            <w:tcW w:w="3085" w:type="dxa"/>
            <w:vAlign w:val="center"/>
          </w:tcPr>
          <w:p>
            <w:pPr>
              <w:rPr>
                <w:rFonts w:ascii="仿宋_GB2312" w:eastAsia="仿宋_GB2312"/>
                <w:color w:val="auto"/>
                <w:sz w:val="28"/>
                <w:szCs w:val="28"/>
                <w:highlight w:val="none"/>
              </w:rPr>
            </w:pPr>
            <w:r>
              <w:rPr>
                <w:rFonts w:hint="eastAsia" w:ascii="黑体" w:hAnsi="黑体" w:eastAsia="黑体" w:cs="黑体"/>
                <w:b/>
                <w:bCs/>
                <w:color w:val="auto"/>
                <w:sz w:val="28"/>
                <w:szCs w:val="28"/>
                <w:highlight w:val="none"/>
              </w:rPr>
              <w:t>估价项目名称：</w:t>
            </w:r>
          </w:p>
        </w:tc>
        <w:tc>
          <w:tcPr>
            <w:tcW w:w="6268" w:type="dxa"/>
            <w:vAlign w:val="center"/>
          </w:tcPr>
          <w:p>
            <w:pPr>
              <w:tabs>
                <w:tab w:val="left" w:pos="3368"/>
              </w:tabs>
              <w:rPr>
                <w:rFonts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安乡县人民法院</w:t>
            </w:r>
            <w:r>
              <w:rPr>
                <w:rFonts w:hint="eastAsia" w:ascii="黑体" w:hAnsi="黑体" w:eastAsia="黑体" w:cs="黑体"/>
                <w:color w:val="auto"/>
                <w:sz w:val="28"/>
                <w:szCs w:val="28"/>
                <w:highlight w:val="none"/>
              </w:rPr>
              <w:t>委托的位于</w:t>
            </w:r>
            <w:r>
              <w:rPr>
                <w:rFonts w:hint="eastAsia" w:ascii="黑体" w:hAnsi="黑体" w:eastAsia="黑体" w:cs="黑体"/>
                <w:color w:val="auto"/>
                <w:sz w:val="28"/>
                <w:szCs w:val="28"/>
                <w:highlight w:val="none"/>
                <w:lang w:eastAsia="zh-CN"/>
              </w:rPr>
              <w:t>常德市安乡县深柳镇文昌湾社区深柳大道晨光小区3-B栋-101、-102住宅房地产</w:t>
            </w:r>
            <w:r>
              <w:rPr>
                <w:rFonts w:hint="eastAsia" w:ascii="黑体" w:hAnsi="黑体" w:eastAsia="黑体" w:cs="黑体"/>
                <w:color w:val="auto"/>
                <w:sz w:val="28"/>
                <w:szCs w:val="28"/>
                <w:highlight w:val="none"/>
              </w:rPr>
              <w:t>市场价值评估</w:t>
            </w:r>
          </w:p>
        </w:tc>
      </w:tr>
      <w:tr>
        <w:tblPrEx>
          <w:tblCellMar>
            <w:top w:w="0" w:type="dxa"/>
            <w:left w:w="108" w:type="dxa"/>
            <w:bottom w:w="0" w:type="dxa"/>
            <w:right w:w="108" w:type="dxa"/>
          </w:tblCellMar>
        </w:tblPrEx>
        <w:trPr>
          <w:trHeight w:val="1701" w:hRule="exact"/>
        </w:trPr>
        <w:tc>
          <w:tcPr>
            <w:tcW w:w="3085" w:type="dxa"/>
            <w:vAlign w:val="center"/>
          </w:tcPr>
          <w:p>
            <w:pPr>
              <w:rPr>
                <w:rFonts w:hint="eastAsia" w:ascii="黑体" w:hAnsi="黑体" w:eastAsia="黑体" w:cs="黑体"/>
                <w:b/>
                <w:bCs/>
                <w:color w:val="auto"/>
                <w:sz w:val="28"/>
                <w:szCs w:val="28"/>
                <w:highlight w:val="none"/>
                <w:lang w:eastAsia="zh-CN"/>
              </w:rPr>
            </w:pPr>
            <w:r>
              <w:rPr>
                <w:rFonts w:hint="eastAsia" w:ascii="黑体" w:hAnsi="黑体" w:eastAsia="黑体" w:cs="黑体"/>
                <w:b/>
                <w:bCs/>
                <w:color w:val="auto"/>
                <w:sz w:val="28"/>
                <w:szCs w:val="28"/>
                <w:highlight w:val="none"/>
              </w:rPr>
              <w:t>估价委托</w:t>
            </w:r>
            <w:r>
              <w:rPr>
                <w:rFonts w:hint="eastAsia" w:ascii="黑体" w:hAnsi="黑体" w:eastAsia="黑体" w:cs="黑体"/>
                <w:b/>
                <w:bCs/>
                <w:color w:val="auto"/>
                <w:sz w:val="28"/>
                <w:szCs w:val="28"/>
                <w:highlight w:val="none"/>
                <w:lang w:eastAsia="zh-CN"/>
              </w:rPr>
              <w:t>人</w:t>
            </w:r>
          </w:p>
        </w:tc>
        <w:tc>
          <w:tcPr>
            <w:tcW w:w="6268" w:type="dxa"/>
            <w:vAlign w:val="center"/>
          </w:tcPr>
          <w:p>
            <w:pPr>
              <w:rPr>
                <w:rFonts w:hint="eastAsia" w:ascii="黑体" w:hAnsi="黑体" w:eastAsia="黑体" w:cs="黑体"/>
                <w:bCs/>
                <w:color w:val="auto"/>
                <w:sz w:val="28"/>
                <w:szCs w:val="28"/>
                <w:highlight w:val="none"/>
                <w:lang w:eastAsia="zh-CN"/>
              </w:rPr>
            </w:pPr>
            <w:r>
              <w:rPr>
                <w:rFonts w:hint="eastAsia" w:ascii="黑体" w:hAnsi="黑体" w:eastAsia="黑体" w:cs="黑体"/>
                <w:color w:val="auto"/>
                <w:sz w:val="28"/>
                <w:szCs w:val="28"/>
                <w:highlight w:val="none"/>
                <w:lang w:eastAsia="zh-CN"/>
              </w:rPr>
              <w:t>安乡县人民法院</w:t>
            </w:r>
          </w:p>
        </w:tc>
      </w:tr>
      <w:tr>
        <w:tblPrEx>
          <w:tblCellMar>
            <w:top w:w="0" w:type="dxa"/>
            <w:left w:w="108" w:type="dxa"/>
            <w:bottom w:w="0" w:type="dxa"/>
            <w:right w:w="108" w:type="dxa"/>
          </w:tblCellMar>
        </w:tblPrEx>
        <w:trPr>
          <w:trHeight w:val="1701" w:hRule="exact"/>
        </w:trPr>
        <w:tc>
          <w:tcPr>
            <w:tcW w:w="3085" w:type="dxa"/>
            <w:vAlign w:val="center"/>
          </w:tcPr>
          <w:p>
            <w:pPr>
              <w:rPr>
                <w:rFonts w:ascii="仿宋_GB2312" w:eastAsia="仿宋_GB2312"/>
                <w:bCs/>
                <w:color w:val="auto"/>
                <w:sz w:val="28"/>
                <w:szCs w:val="28"/>
                <w:highlight w:val="none"/>
              </w:rPr>
            </w:pPr>
            <w:r>
              <w:rPr>
                <w:rFonts w:hint="eastAsia" w:ascii="黑体" w:hAnsi="黑体" w:eastAsia="黑体" w:cs="黑体"/>
                <w:b/>
                <w:bCs/>
                <w:color w:val="auto"/>
                <w:sz w:val="28"/>
                <w:szCs w:val="28"/>
                <w:highlight w:val="none"/>
              </w:rPr>
              <w:t>房地产估价机构：</w:t>
            </w:r>
          </w:p>
        </w:tc>
        <w:tc>
          <w:tcPr>
            <w:tcW w:w="6268" w:type="dxa"/>
            <w:vAlign w:val="center"/>
          </w:tcPr>
          <w:p>
            <w:pPr>
              <w:rPr>
                <w:rFonts w:ascii="仿宋_GB2312" w:eastAsia="仿宋_GB2312"/>
                <w:bCs/>
                <w:color w:val="auto"/>
                <w:sz w:val="28"/>
                <w:szCs w:val="28"/>
                <w:highlight w:val="none"/>
              </w:rPr>
            </w:pPr>
            <w:r>
              <w:rPr>
                <w:rFonts w:hint="eastAsia" w:ascii="黑体" w:hAnsi="黑体" w:eastAsia="黑体" w:cs="黑体"/>
                <w:bCs/>
                <w:color w:val="auto"/>
                <w:sz w:val="28"/>
                <w:szCs w:val="28"/>
                <w:highlight w:val="none"/>
              </w:rPr>
              <w:t>湖南友谊房地产评估经纪有限公司</w:t>
            </w:r>
          </w:p>
        </w:tc>
      </w:tr>
      <w:tr>
        <w:tblPrEx>
          <w:tblCellMar>
            <w:top w:w="0" w:type="dxa"/>
            <w:left w:w="108" w:type="dxa"/>
            <w:bottom w:w="0" w:type="dxa"/>
            <w:right w:w="108" w:type="dxa"/>
          </w:tblCellMar>
        </w:tblPrEx>
        <w:trPr>
          <w:trHeight w:val="1262" w:hRule="exact"/>
        </w:trPr>
        <w:tc>
          <w:tcPr>
            <w:tcW w:w="3085" w:type="dxa"/>
            <w:vAlign w:val="center"/>
          </w:tcPr>
          <w:p>
            <w:pPr>
              <w:tabs>
                <w:tab w:val="left" w:pos="1980"/>
              </w:tabs>
              <w:rPr>
                <w:rFonts w:ascii="仿宋_GB2312" w:eastAsia="仿宋_GB2312"/>
                <w:bCs/>
                <w:color w:val="auto"/>
                <w:spacing w:val="80"/>
                <w:sz w:val="28"/>
                <w:szCs w:val="28"/>
                <w:highlight w:val="none"/>
              </w:rPr>
            </w:pPr>
            <w:r>
              <w:rPr>
                <w:rFonts w:hint="eastAsia" w:ascii="黑体" w:hAnsi="黑体" w:eastAsia="黑体" w:cs="黑体"/>
                <w:b/>
                <w:bCs/>
                <w:color w:val="auto"/>
                <w:sz w:val="28"/>
                <w:szCs w:val="28"/>
                <w:highlight w:val="none"/>
              </w:rPr>
              <w:t>注册房地产估价师：</w:t>
            </w:r>
          </w:p>
        </w:tc>
        <w:tc>
          <w:tcPr>
            <w:tcW w:w="6268" w:type="dxa"/>
            <w:vAlign w:val="center"/>
          </w:tcPr>
          <w:p>
            <w:pPr>
              <w:spacing w:line="360" w:lineRule="auto"/>
              <w:rPr>
                <w:rFonts w:hint="default" w:ascii="黑体" w:eastAsia="黑体"/>
                <w:bCs/>
                <w:color w:val="auto"/>
                <w:sz w:val="28"/>
                <w:szCs w:val="28"/>
                <w:highlight w:val="none"/>
                <w:lang w:val="en-US" w:eastAsia="zh-CN"/>
              </w:rPr>
            </w:pPr>
            <w:r>
              <w:rPr>
                <w:rFonts w:hint="eastAsia" w:ascii="黑体" w:eastAsia="黑体"/>
                <w:bCs/>
                <w:color w:val="auto"/>
                <w:sz w:val="28"/>
                <w:szCs w:val="28"/>
                <w:highlight w:val="none"/>
                <w:lang w:eastAsia="zh-CN"/>
              </w:rPr>
              <w:t>杨</w:t>
            </w:r>
            <w:r>
              <w:rPr>
                <w:rFonts w:hint="eastAsia" w:ascii="黑体" w:eastAsia="黑体"/>
                <w:bCs/>
                <w:color w:val="auto"/>
                <w:sz w:val="28"/>
                <w:szCs w:val="28"/>
                <w:highlight w:val="none"/>
              </w:rPr>
              <w:t xml:space="preserve">  </w:t>
            </w:r>
            <w:r>
              <w:rPr>
                <w:rFonts w:hint="eastAsia" w:ascii="黑体" w:eastAsia="黑体"/>
                <w:bCs/>
                <w:color w:val="auto"/>
                <w:sz w:val="28"/>
                <w:szCs w:val="28"/>
                <w:highlight w:val="none"/>
                <w:lang w:eastAsia="zh-CN"/>
              </w:rPr>
              <w:t>卫</w:t>
            </w:r>
            <w:r>
              <w:rPr>
                <w:rFonts w:hint="eastAsia" w:ascii="黑体" w:eastAsia="黑体"/>
                <w:bCs/>
                <w:color w:val="auto"/>
                <w:sz w:val="28"/>
                <w:szCs w:val="28"/>
                <w:highlight w:val="none"/>
              </w:rPr>
              <w:t>4</w:t>
            </w:r>
            <w:r>
              <w:rPr>
                <w:rFonts w:hint="eastAsia" w:ascii="黑体" w:eastAsia="黑体"/>
                <w:bCs/>
                <w:color w:val="auto"/>
                <w:sz w:val="28"/>
                <w:szCs w:val="28"/>
                <w:highlight w:val="none"/>
                <w:lang w:val="en-US" w:eastAsia="zh-CN"/>
              </w:rPr>
              <w:t>220190048</w:t>
            </w:r>
          </w:p>
          <w:p>
            <w:pPr>
              <w:spacing w:line="360" w:lineRule="auto"/>
              <w:rPr>
                <w:rFonts w:hint="default" w:ascii="黑体" w:eastAsia="黑体"/>
                <w:bCs/>
                <w:color w:val="auto"/>
                <w:sz w:val="28"/>
                <w:szCs w:val="28"/>
                <w:highlight w:val="none"/>
                <w:lang w:val="en-US" w:eastAsia="zh-CN"/>
              </w:rPr>
            </w:pPr>
            <w:r>
              <w:rPr>
                <w:rFonts w:hint="eastAsia" w:ascii="黑体" w:eastAsia="黑体"/>
                <w:bCs/>
                <w:color w:val="auto"/>
                <w:sz w:val="28"/>
                <w:szCs w:val="28"/>
                <w:highlight w:val="none"/>
                <w:lang w:val="en-US" w:eastAsia="zh-CN"/>
              </w:rPr>
              <w:t>刘  鑫1120120096</w:t>
            </w:r>
          </w:p>
          <w:p>
            <w:pPr>
              <w:rPr>
                <w:rFonts w:ascii="仿宋_GB2312" w:eastAsia="仿宋_GB2312"/>
                <w:bCs/>
                <w:color w:val="auto"/>
                <w:sz w:val="28"/>
                <w:szCs w:val="28"/>
                <w:highlight w:val="none"/>
              </w:rPr>
            </w:pPr>
          </w:p>
        </w:tc>
      </w:tr>
      <w:tr>
        <w:tblPrEx>
          <w:tblCellMar>
            <w:top w:w="0" w:type="dxa"/>
            <w:left w:w="108" w:type="dxa"/>
            <w:bottom w:w="0" w:type="dxa"/>
            <w:right w:w="108" w:type="dxa"/>
          </w:tblCellMar>
        </w:tblPrEx>
        <w:trPr>
          <w:trHeight w:val="1476" w:hRule="exact"/>
        </w:trPr>
        <w:tc>
          <w:tcPr>
            <w:tcW w:w="3085" w:type="dxa"/>
            <w:vAlign w:val="center"/>
          </w:tcPr>
          <w:p>
            <w:pPr>
              <w:rPr>
                <w:rFonts w:ascii="仿宋_GB2312" w:eastAsia="仿宋_GB2312"/>
                <w:bCs/>
                <w:color w:val="auto"/>
                <w:sz w:val="28"/>
                <w:szCs w:val="28"/>
                <w:highlight w:val="none"/>
              </w:rPr>
            </w:pPr>
            <w:r>
              <w:rPr>
                <w:rFonts w:hint="eastAsia" w:ascii="黑体" w:hAnsi="黑体" w:eastAsia="黑体" w:cs="黑体"/>
                <w:b/>
                <w:color w:val="auto"/>
                <w:sz w:val="28"/>
                <w:szCs w:val="28"/>
                <w:highlight w:val="none"/>
              </w:rPr>
              <w:t>估价报告出具日期：</w:t>
            </w:r>
          </w:p>
        </w:tc>
        <w:tc>
          <w:tcPr>
            <w:tcW w:w="6268" w:type="dxa"/>
            <w:vAlign w:val="center"/>
          </w:tcPr>
          <w:p>
            <w:pPr>
              <w:tabs>
                <w:tab w:val="left" w:pos="3741"/>
              </w:tabs>
              <w:rPr>
                <w:rFonts w:hint="eastAsia" w:ascii="仿宋_GB2312" w:eastAsia="仿宋_GB2312"/>
                <w:bCs/>
                <w:color w:val="auto"/>
                <w:sz w:val="28"/>
                <w:szCs w:val="28"/>
                <w:highlight w:val="none"/>
                <w:lang w:eastAsia="zh-CN"/>
              </w:rPr>
            </w:pPr>
            <w:r>
              <w:rPr>
                <w:rFonts w:hint="eastAsia" w:ascii="黑体" w:hAnsi="黑体" w:eastAsia="黑体" w:cs="黑体"/>
                <w:bCs/>
                <w:color w:val="auto"/>
                <w:sz w:val="28"/>
                <w:szCs w:val="28"/>
                <w:highlight w:val="none"/>
                <w:lang w:eastAsia="zh-CN"/>
              </w:rPr>
              <w:t>二○二二年七月二十六日</w:t>
            </w:r>
          </w:p>
        </w:tc>
      </w:tr>
      <w:tr>
        <w:tblPrEx>
          <w:tblCellMar>
            <w:top w:w="0" w:type="dxa"/>
            <w:left w:w="108" w:type="dxa"/>
            <w:bottom w:w="0" w:type="dxa"/>
            <w:right w:w="108" w:type="dxa"/>
          </w:tblCellMar>
        </w:tblPrEx>
        <w:trPr>
          <w:trHeight w:val="1345" w:hRule="exact"/>
        </w:trPr>
        <w:tc>
          <w:tcPr>
            <w:tcW w:w="3085" w:type="dxa"/>
            <w:vAlign w:val="center"/>
          </w:tcPr>
          <w:p>
            <w:pPr>
              <w:rPr>
                <w:rFonts w:ascii="仿宋_GB2312" w:eastAsia="仿宋_GB2312"/>
                <w:bCs/>
                <w:color w:val="auto"/>
                <w:sz w:val="28"/>
                <w:szCs w:val="28"/>
                <w:highlight w:val="none"/>
              </w:rPr>
            </w:pPr>
            <w:r>
              <w:rPr>
                <w:rFonts w:hint="eastAsia" w:ascii="黑体" w:hAnsi="黑体" w:eastAsia="黑体" w:cs="黑体"/>
                <w:b/>
                <w:color w:val="auto"/>
                <w:sz w:val="28"/>
                <w:szCs w:val="28"/>
                <w:highlight w:val="none"/>
              </w:rPr>
              <w:t>估价报告编号：</w:t>
            </w:r>
          </w:p>
        </w:tc>
        <w:tc>
          <w:tcPr>
            <w:tcW w:w="6268" w:type="dxa"/>
            <w:vAlign w:val="center"/>
          </w:tcPr>
          <w:p>
            <w:pPr>
              <w:rPr>
                <w:rFonts w:hint="eastAsia" w:ascii="黑体" w:hAnsi="黑体" w:eastAsia="黑体" w:cs="黑体"/>
                <w:bCs/>
                <w:color w:val="auto"/>
                <w:sz w:val="28"/>
                <w:szCs w:val="28"/>
                <w:highlight w:val="none"/>
                <w:lang w:eastAsia="zh-CN"/>
              </w:rPr>
            </w:pPr>
            <w:r>
              <w:rPr>
                <w:rFonts w:hint="eastAsia" w:ascii="黑体" w:hAnsi="黑体" w:eastAsia="黑体" w:cs="黑体"/>
                <w:bCs/>
                <w:color w:val="auto"/>
                <w:sz w:val="28"/>
                <w:szCs w:val="28"/>
                <w:highlight w:val="none"/>
                <w:lang w:eastAsia="zh-CN"/>
              </w:rPr>
              <w:t>湘谊房评字(2022)第7A09HTY号</w:t>
            </w:r>
          </w:p>
        </w:tc>
      </w:tr>
    </w:tbl>
    <w:p>
      <w:pPr>
        <w:pStyle w:val="17"/>
        <w:spacing w:after="0" w:line="240" w:lineRule="auto"/>
        <w:rPr>
          <w:rFonts w:ascii="黑体" w:hAnsi="黑体" w:eastAsia="黑体" w:cs="黑体"/>
          <w:color w:val="auto"/>
          <w:highlight w:val="none"/>
        </w:rPr>
      </w:pPr>
      <w:bookmarkStart w:id="0" w:name="_Toc436063468"/>
      <w:bookmarkStart w:id="1" w:name="_Toc437529624"/>
      <w:bookmarkStart w:id="2" w:name="_Toc436213502"/>
      <w:bookmarkStart w:id="3" w:name="_Toc443902163"/>
      <w:bookmarkStart w:id="4" w:name="_Toc462218081"/>
      <w:bookmarkStart w:id="5" w:name="_Toc436212873"/>
      <w:bookmarkStart w:id="6" w:name="_Toc436212254"/>
      <w:bookmarkStart w:id="7" w:name="_Toc303111517"/>
      <w:bookmarkStart w:id="8" w:name="_Toc347076369"/>
      <w:r>
        <w:rPr>
          <w:rFonts w:hint="eastAsia" w:ascii="黑体" w:hAnsi="黑体" w:eastAsia="黑体" w:cs="黑体"/>
          <w:color w:val="auto"/>
          <w:highlight w:val="none"/>
        </w:rPr>
        <w:t>致估价委托人函</w:t>
      </w:r>
      <w:bookmarkEnd w:id="0"/>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_GB2312" w:eastAsia="仿宋_GB2312"/>
          <w:b/>
          <w:color w:val="auto"/>
          <w:sz w:val="24"/>
          <w:highlight w:val="none"/>
        </w:rPr>
      </w:pPr>
      <w:r>
        <w:rPr>
          <w:rFonts w:hint="eastAsia" w:ascii="仿宋_GB2312" w:eastAsia="仿宋_GB2312"/>
          <w:b/>
          <w:bCs/>
          <w:color w:val="auto"/>
          <w:sz w:val="24"/>
          <w:highlight w:val="none"/>
          <w:lang w:eastAsia="zh-CN"/>
        </w:rPr>
        <w:t>安乡县人民法院</w:t>
      </w:r>
      <w:r>
        <w:rPr>
          <w:rFonts w:hint="eastAsia" w:ascii="仿宋_GB2312" w:eastAsia="仿宋_GB2312"/>
          <w:b/>
          <w:color w:val="auto"/>
          <w:sz w:val="24"/>
          <w:highlight w:val="none"/>
        </w:rPr>
        <w:t>：</w:t>
      </w:r>
    </w:p>
    <w:p>
      <w:pPr>
        <w:keepNext w:val="0"/>
        <w:keepLines w:val="0"/>
        <w:pageBreakBefore w:val="0"/>
        <w:widowControl w:val="0"/>
        <w:tabs>
          <w:tab w:val="left" w:pos="0"/>
        </w:tabs>
        <w:kinsoku/>
        <w:wordWrap/>
        <w:overflowPunct/>
        <w:topLinePunct w:val="0"/>
        <w:autoSpaceDE/>
        <w:autoSpaceDN/>
        <w:bidi w:val="0"/>
        <w:adjustRightInd/>
        <w:snapToGrid w:val="0"/>
        <w:spacing w:line="440" w:lineRule="exact"/>
        <w:ind w:firstLine="539"/>
        <w:textAlignment w:val="auto"/>
        <w:rPr>
          <w:rFonts w:ascii="仿宋_GB2312" w:eastAsia="仿宋_GB2312"/>
          <w:b/>
          <w:color w:val="auto"/>
          <w:sz w:val="24"/>
          <w:highlight w:val="none"/>
        </w:rPr>
      </w:pPr>
      <w:r>
        <w:rPr>
          <w:rFonts w:hint="eastAsia" w:ascii="仿宋_GB2312" w:eastAsia="仿宋_GB2312"/>
          <w:color w:val="auto"/>
          <w:sz w:val="24"/>
          <w:highlight w:val="none"/>
        </w:rPr>
        <w:t>接受贵院的委托，本公司估价人员根据委托内容和特定委托目的，按照《房地产估价规范》（GB/T50291-2015）有关规定，</w:t>
      </w:r>
      <w:r>
        <w:rPr>
          <w:rFonts w:hint="eastAsia" w:ascii="仿宋_GB2312" w:eastAsia="仿宋_GB2312"/>
          <w:b w:val="0"/>
          <w:bCs/>
          <w:color w:val="auto"/>
          <w:sz w:val="24"/>
          <w:highlight w:val="none"/>
        </w:rPr>
        <w:t>对</w:t>
      </w:r>
      <w:r>
        <w:rPr>
          <w:rFonts w:hint="eastAsia" w:ascii="仿宋_GB2312" w:eastAsia="仿宋_GB2312"/>
          <w:b/>
          <w:color w:val="auto"/>
          <w:sz w:val="24"/>
          <w:highlight w:val="none"/>
          <w:lang w:eastAsia="zh-CN"/>
        </w:rPr>
        <w:t>常德市安乡县深柳镇文昌湾社区深柳大道晨光小区3-B栋-101、-102住宅房地产</w:t>
      </w:r>
      <w:r>
        <w:rPr>
          <w:rFonts w:hint="eastAsia" w:ascii="仿宋_GB2312" w:eastAsia="仿宋_GB2312"/>
          <w:b/>
          <w:color w:val="auto"/>
          <w:sz w:val="24"/>
          <w:highlight w:val="none"/>
        </w:rPr>
        <w:t>（纳入评估范围的建筑面积为</w:t>
      </w:r>
      <w:r>
        <w:rPr>
          <w:rFonts w:hint="eastAsia" w:ascii="仿宋_GB2312" w:eastAsia="仿宋_GB2312"/>
          <w:b/>
          <w:color w:val="auto"/>
          <w:sz w:val="24"/>
          <w:highlight w:val="none"/>
          <w:lang w:eastAsia="zh-CN"/>
        </w:rPr>
        <w:t>205.59</w:t>
      </w:r>
      <w:r>
        <w:rPr>
          <w:rFonts w:hint="eastAsia" w:ascii="仿宋_GB2312" w:eastAsia="仿宋_GB2312"/>
          <w:b/>
          <w:color w:val="auto"/>
          <w:sz w:val="24"/>
          <w:highlight w:val="none"/>
        </w:rPr>
        <w:t>平方米）市场价值进行了评估。估价对象房地产状况见下表：</w:t>
      </w:r>
    </w:p>
    <w:tbl>
      <w:tblPr>
        <w:tblStyle w:val="19"/>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15"/>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8342" w:type="dxa"/>
            <w:gridSpan w:val="2"/>
            <w:shd w:val="clear" w:color="auto" w:fill="auto"/>
            <w:vAlign w:val="center"/>
          </w:tcPr>
          <w:p>
            <w:pPr>
              <w:widowControl/>
              <w:spacing w:line="320" w:lineRule="exact"/>
              <w:jc w:val="center"/>
              <w:textAlignment w:val="center"/>
              <w:rPr>
                <w:rFonts w:hint="eastAsia" w:ascii="仿宋_GB2312" w:eastAsia="仿宋_GB2312"/>
                <w:b/>
                <w:color w:val="auto"/>
                <w:szCs w:val="21"/>
                <w:highlight w:val="none"/>
                <w:lang w:eastAsia="zh-CN"/>
              </w:rPr>
            </w:pPr>
            <w:r>
              <w:rPr>
                <w:rFonts w:hint="eastAsia" w:ascii="仿宋_GB2312" w:eastAsia="仿宋_GB2312"/>
                <w:b/>
                <w:color w:val="auto"/>
                <w:sz w:val="24"/>
                <w:highlight w:val="none"/>
                <w:lang w:eastAsia="zh-CN"/>
              </w:rPr>
              <w:t>房屋所有权证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kern w:val="0"/>
                <w:szCs w:val="21"/>
                <w:highlight w:val="none"/>
                <w:lang w:val="en-US" w:eastAsia="zh-CN"/>
              </w:rPr>
              <w:t>产权证号</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eastAsia="zh-CN"/>
              </w:rPr>
            </w:pPr>
            <w:r>
              <w:rPr>
                <w:rFonts w:hint="eastAsia" w:ascii="仿宋_GB2312" w:hAnsi="宋体" w:eastAsia="仿宋_GB2312" w:cs="仿宋_GB2312"/>
                <w:color w:val="auto"/>
                <w:szCs w:val="21"/>
                <w:highlight w:val="none"/>
                <w:lang w:val="en-US" w:eastAsia="zh-CN"/>
              </w:rPr>
              <w:t>安乡县房权证深柳镇字第0028784号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房屋所有权人</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安乡宏泰房地产开发公司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 xml:space="preserve">共有情况 </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房屋坐落</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安乡县深柳镇文昌湾社区深柳大道晨光小区3-B栋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登记时间</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2015-12-23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房屋性质</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 xml:space="preserve"> 国有房产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规划用途</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总层数</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建筑面积（㎡）</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205.59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套内建筑面积（㎡）</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附记</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档案保管号：0056291</w:t>
            </w:r>
          </w:p>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备注：拆分登记（2014）0022040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土地状况</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地号：01-103-169-2</w:t>
            </w:r>
          </w:p>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土地使用权取得方式：出让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备注</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根据该《房屋所有权证》后附房屋分层分户平面图，户室号为-101、-102。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8342" w:type="dxa"/>
            <w:gridSpan w:val="2"/>
            <w:shd w:val="clear" w:color="auto" w:fill="auto"/>
            <w:vAlign w:val="center"/>
          </w:tcPr>
          <w:p>
            <w:pPr>
              <w:widowControl/>
              <w:spacing w:line="320" w:lineRule="exact"/>
              <w:jc w:val="center"/>
              <w:textAlignment w:val="center"/>
              <w:rPr>
                <w:rFonts w:hint="eastAsia" w:ascii="仿宋_GB2312" w:hAnsi="宋体" w:eastAsia="仿宋_GB2312" w:cs="仿宋_GB2312"/>
                <w:color w:val="auto"/>
                <w:szCs w:val="21"/>
                <w:highlight w:val="none"/>
                <w:lang w:val="en-US" w:eastAsia="zh-CN"/>
              </w:rPr>
            </w:pPr>
            <w:r>
              <w:rPr>
                <w:rFonts w:hint="eastAsia" w:ascii="仿宋_GB2312" w:hAnsi="仿宋_GB2312" w:eastAsia="仿宋_GB2312" w:cs="仿宋_GB2312"/>
                <w:b/>
                <w:bCs/>
                <w:color w:val="auto"/>
                <w:szCs w:val="20"/>
                <w:highlight w:val="none"/>
                <w:lang w:eastAsia="zh-CN"/>
              </w:rPr>
              <w:t>他项权利状况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登记证明号</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安乡县房他证他权字第28501号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房屋他项权利人</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安乡县农村信用合作联社（营业部）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房屋所有权人</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安乡宏泰房地产开发公司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房屋所有权证号</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深柳镇0028784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房屋坐落</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安乡县深柳镇文昌湾社区深柳大道晨光小区3-B栋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他项权利种类</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抵押权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债权数额</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叁拾贰万元整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登记时间</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2015-12-25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附记</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档案保管号：0056291</w:t>
            </w:r>
          </w:p>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权利范围：两套</w:t>
            </w:r>
          </w:p>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约定期限：2015-12-24至2018-12-23</w:t>
            </w:r>
          </w:p>
          <w:p>
            <w:pPr>
              <w:widowControl/>
              <w:spacing w:line="320" w:lineRule="exact"/>
              <w:jc w:val="left"/>
              <w:textAlignment w:val="center"/>
              <w:rPr>
                <w:rFonts w:hint="default" w:hAnsi="宋体"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地址明细信息：3-B栋-1层-101室。3-B栋-1层-102室。</w:t>
            </w:r>
          </w:p>
        </w:tc>
      </w:tr>
    </w:tbl>
    <w:p>
      <w:pPr>
        <w:tabs>
          <w:tab w:val="left" w:pos="0"/>
        </w:tabs>
        <w:snapToGrid w:val="0"/>
        <w:spacing w:before="156" w:beforeLines="50" w:line="360" w:lineRule="auto"/>
        <w:ind w:firstLine="539"/>
        <w:rPr>
          <w:rFonts w:ascii="仿宋_GB2312" w:eastAsia="仿宋_GB2312"/>
          <w:color w:val="auto"/>
          <w:sz w:val="24"/>
          <w:highlight w:val="none"/>
        </w:rPr>
      </w:pPr>
      <w:r>
        <w:rPr>
          <w:rFonts w:hint="eastAsia" w:ascii="仿宋_GB2312" w:eastAsia="仿宋_GB2312"/>
          <w:color w:val="auto"/>
          <w:sz w:val="24"/>
          <w:highlight w:val="none"/>
        </w:rPr>
        <w:t>价值时点：</w:t>
      </w:r>
      <w:r>
        <w:rPr>
          <w:rFonts w:hint="eastAsia" w:ascii="仿宋_GB2312" w:eastAsia="仿宋_GB2312"/>
          <w:color w:val="auto"/>
          <w:sz w:val="24"/>
          <w:highlight w:val="none"/>
          <w:lang w:eastAsia="zh-CN"/>
        </w:rPr>
        <w:t>2022年7月5日</w:t>
      </w:r>
      <w:r>
        <w:rPr>
          <w:rFonts w:hint="eastAsia" w:ascii="仿宋_GB2312" w:eastAsia="仿宋_GB2312"/>
          <w:color w:val="auto"/>
          <w:sz w:val="24"/>
          <w:highlight w:val="none"/>
        </w:rPr>
        <w:t>。</w:t>
      </w:r>
    </w:p>
    <w:p>
      <w:pPr>
        <w:tabs>
          <w:tab w:val="left" w:pos="0"/>
        </w:tabs>
        <w:snapToGrid w:val="0"/>
        <w:spacing w:line="360" w:lineRule="auto"/>
        <w:ind w:firstLine="539"/>
        <w:rPr>
          <w:rFonts w:ascii="仿宋_GB2312" w:eastAsia="仿宋_GB2312"/>
          <w:color w:val="auto"/>
          <w:sz w:val="24"/>
          <w:highlight w:val="none"/>
        </w:rPr>
      </w:pPr>
      <w:r>
        <w:rPr>
          <w:rFonts w:hint="eastAsia" w:ascii="仿宋_GB2312" w:eastAsia="仿宋_GB2312"/>
          <w:color w:val="auto"/>
          <w:sz w:val="24"/>
          <w:highlight w:val="none"/>
        </w:rPr>
        <w:t>估价目的：为人民法院确定财产处置参考价提供参考依据。</w:t>
      </w:r>
    </w:p>
    <w:p>
      <w:pPr>
        <w:tabs>
          <w:tab w:val="left" w:pos="0"/>
        </w:tabs>
        <w:snapToGrid w:val="0"/>
        <w:spacing w:line="360" w:lineRule="auto"/>
        <w:ind w:firstLine="539"/>
        <w:rPr>
          <w:rFonts w:ascii="仿宋_GB2312" w:eastAsia="仿宋_GB2312"/>
          <w:color w:val="auto"/>
          <w:sz w:val="24"/>
          <w:highlight w:val="none"/>
        </w:rPr>
      </w:pPr>
      <w:r>
        <w:rPr>
          <w:rFonts w:hint="eastAsia" w:ascii="仿宋_GB2312" w:eastAsia="仿宋_GB2312"/>
          <w:color w:val="auto"/>
          <w:sz w:val="24"/>
          <w:highlight w:val="none"/>
        </w:rPr>
        <w:t>价值类型：市场价值，指估价对象经适当营销后，由熟悉情况、谨慎行事且不受强迫的交易双方，以公平交易方式在价值时点自愿进行交易的金额。</w:t>
      </w:r>
    </w:p>
    <w:p>
      <w:pPr>
        <w:tabs>
          <w:tab w:val="left" w:pos="0"/>
          <w:tab w:val="left" w:pos="3421"/>
        </w:tabs>
        <w:snapToGrid w:val="0"/>
        <w:spacing w:line="360" w:lineRule="auto"/>
        <w:ind w:firstLine="539"/>
        <w:rPr>
          <w:rFonts w:ascii="仿宋_GB2312" w:eastAsia="仿宋_GB2312"/>
          <w:color w:val="auto"/>
          <w:sz w:val="24"/>
          <w:highlight w:val="none"/>
        </w:rPr>
      </w:pPr>
      <w:r>
        <w:rPr>
          <w:rFonts w:hint="eastAsia" w:ascii="仿宋_GB2312" w:eastAsia="仿宋_GB2312"/>
          <w:color w:val="auto"/>
          <w:sz w:val="24"/>
          <w:highlight w:val="none"/>
        </w:rPr>
        <w:t>估价方法：比较法和收益法。</w:t>
      </w:r>
    </w:p>
    <w:p>
      <w:pPr>
        <w:tabs>
          <w:tab w:val="left" w:pos="0"/>
        </w:tabs>
        <w:snapToGrid w:val="0"/>
        <w:spacing w:line="360" w:lineRule="auto"/>
        <w:ind w:firstLine="480" w:firstLineChars="200"/>
        <w:rPr>
          <w:rFonts w:ascii="仿宋_GB2312" w:eastAsia="仿宋_GB2312"/>
          <w:b/>
          <w:color w:val="auto"/>
          <w:sz w:val="24"/>
          <w:highlight w:val="none"/>
        </w:rPr>
      </w:pPr>
      <w:r>
        <w:rPr>
          <w:rFonts w:hint="eastAsia" w:ascii="仿宋_GB2312" w:eastAsia="仿宋_GB2312"/>
          <w:color w:val="auto"/>
          <w:sz w:val="24"/>
          <w:highlight w:val="none"/>
        </w:rPr>
        <w:t>经过实地查勘和科学测算，在认真分析现有资料的基础上，经过周密准确的测算，并结合估价经验和对影响该房地产价格的因素进行分析，最后综合确定估价对象于价值时点</w:t>
      </w:r>
      <w:r>
        <w:rPr>
          <w:rFonts w:hint="eastAsia" w:ascii="仿宋_GB2312" w:eastAsia="仿宋_GB2312"/>
          <w:color w:val="auto"/>
          <w:sz w:val="24"/>
          <w:highlight w:val="none"/>
          <w:lang w:eastAsia="zh-CN"/>
        </w:rPr>
        <w:t>2022年7月5日</w:t>
      </w:r>
      <w:r>
        <w:rPr>
          <w:rFonts w:hint="eastAsia" w:ascii="仿宋_GB2312" w:eastAsia="仿宋_GB2312"/>
          <w:color w:val="auto"/>
          <w:sz w:val="24"/>
          <w:highlight w:val="none"/>
        </w:rPr>
        <w:t>的</w:t>
      </w:r>
      <w:r>
        <w:rPr>
          <w:rFonts w:hint="eastAsia" w:ascii="仿宋_GB2312" w:hAnsi="宋体" w:eastAsia="仿宋_GB2312"/>
          <w:color w:val="auto"/>
          <w:sz w:val="24"/>
          <w:highlight w:val="none"/>
        </w:rPr>
        <w:t>市场价值</w:t>
      </w:r>
      <w:r>
        <w:rPr>
          <w:rFonts w:hint="eastAsia" w:ascii="仿宋_GB2312" w:eastAsia="仿宋_GB2312"/>
          <w:color w:val="auto"/>
          <w:sz w:val="24"/>
          <w:highlight w:val="none"/>
        </w:rPr>
        <w:t>为</w:t>
      </w:r>
      <w:r>
        <w:rPr>
          <w:rFonts w:hint="eastAsia" w:ascii="仿宋_GB2312" w:eastAsia="仿宋_GB2312"/>
          <w:color w:val="auto"/>
          <w:sz w:val="24"/>
          <w:highlight w:val="none"/>
          <w:lang w:eastAsia="zh-CN"/>
        </w:rPr>
        <w:t>：</w:t>
      </w:r>
      <w:r>
        <w:rPr>
          <w:rFonts w:hint="eastAsia" w:ascii="仿宋_GB2312" w:eastAsia="仿宋_GB2312"/>
          <w:b/>
          <w:bCs/>
          <w:color w:val="auto"/>
          <w:sz w:val="24"/>
          <w:highlight w:val="none"/>
          <w:lang w:eastAsia="zh-CN"/>
        </w:rPr>
        <w:t>大写</w:t>
      </w:r>
      <w:r>
        <w:rPr>
          <w:rFonts w:hint="eastAsia" w:ascii="仿宋_GB2312" w:hAnsi="宋体" w:eastAsia="仿宋_GB2312"/>
          <w:b/>
          <w:bCs/>
          <w:color w:val="auto"/>
          <w:sz w:val="24"/>
          <w:highlight w:val="none"/>
        </w:rPr>
        <w:t>人民币</w:t>
      </w:r>
      <w:r>
        <w:rPr>
          <w:rFonts w:hint="eastAsia" w:ascii="仿宋_GB2312" w:hAnsi="宋体" w:eastAsia="仿宋_GB2312"/>
          <w:b/>
          <w:bCs/>
          <w:color w:val="auto"/>
          <w:sz w:val="24"/>
          <w:highlight w:val="none"/>
        </w:rPr>
        <w:fldChar w:fldCharType="begin"/>
      </w:r>
      <w:r>
        <w:rPr>
          <w:rFonts w:hint="eastAsia" w:ascii="仿宋_GB2312" w:hAnsi="宋体" w:eastAsia="仿宋_GB2312"/>
          <w:b/>
          <w:bCs/>
          <w:color w:val="auto"/>
          <w:sz w:val="24"/>
          <w:highlight w:val="none"/>
        </w:rPr>
        <w:instrText xml:space="preserve"> = 6285970 \* CHINESENUM2 \* MERGEFORMAT </w:instrText>
      </w:r>
      <w:r>
        <w:rPr>
          <w:rFonts w:hint="eastAsia" w:ascii="仿宋_GB2312" w:hAnsi="宋体" w:eastAsia="仿宋_GB2312"/>
          <w:b/>
          <w:bCs/>
          <w:color w:val="auto"/>
          <w:sz w:val="24"/>
          <w:highlight w:val="none"/>
        </w:rPr>
        <w:fldChar w:fldCharType="separate"/>
      </w:r>
      <w:r>
        <w:rPr>
          <w:rFonts w:hint="eastAsia" w:ascii="仿宋_GB2312" w:hAnsi="宋体" w:eastAsia="仿宋_GB2312"/>
          <w:b/>
          <w:bCs/>
          <w:color w:val="auto"/>
          <w:sz w:val="24"/>
          <w:highlight w:val="none"/>
          <w:lang w:eastAsia="zh-CN"/>
        </w:rPr>
        <w:t>肆拾壹万壹仟柒佰玖拾柒</w:t>
      </w:r>
      <w:r>
        <w:rPr>
          <w:rFonts w:hint="eastAsia" w:ascii="仿宋_GB2312" w:hAnsi="宋体" w:eastAsia="仿宋_GB2312"/>
          <w:b/>
          <w:bCs/>
          <w:color w:val="auto"/>
          <w:sz w:val="24"/>
          <w:highlight w:val="none"/>
        </w:rPr>
        <w:fldChar w:fldCharType="end"/>
      </w:r>
      <w:r>
        <w:rPr>
          <w:rFonts w:hint="eastAsia" w:ascii="仿宋_GB2312" w:hAnsi="宋体" w:eastAsia="仿宋_GB2312"/>
          <w:b/>
          <w:bCs/>
          <w:color w:val="auto"/>
          <w:sz w:val="24"/>
          <w:highlight w:val="none"/>
        </w:rPr>
        <w:t>元整（￥</w:t>
      </w:r>
      <w:r>
        <w:rPr>
          <w:rFonts w:hint="eastAsia" w:ascii="仿宋_GB2312" w:hAnsi="宋体" w:eastAsia="仿宋_GB2312"/>
          <w:b/>
          <w:bCs/>
          <w:color w:val="auto"/>
          <w:sz w:val="24"/>
          <w:highlight w:val="none"/>
          <w:lang w:eastAsia="zh-CN"/>
        </w:rPr>
        <w:t>411,797.00</w:t>
      </w:r>
      <w:r>
        <w:rPr>
          <w:rFonts w:hint="eastAsia" w:ascii="仿宋_GB2312" w:hAnsi="宋体" w:eastAsia="仿宋_GB2312"/>
          <w:b/>
          <w:bCs/>
          <w:color w:val="auto"/>
          <w:sz w:val="24"/>
          <w:highlight w:val="none"/>
        </w:rPr>
        <w:t>）</w:t>
      </w:r>
      <w:r>
        <w:rPr>
          <w:rFonts w:hint="eastAsia" w:ascii="仿宋_GB2312" w:eastAsia="仿宋_GB2312"/>
          <w:b/>
          <w:color w:val="auto"/>
          <w:sz w:val="24"/>
          <w:highlight w:val="none"/>
        </w:rPr>
        <w:t>，详见评估结果</w:t>
      </w:r>
      <w:r>
        <w:rPr>
          <w:rFonts w:hint="eastAsia" w:ascii="仿宋_GB2312" w:eastAsia="仿宋_GB2312"/>
          <w:b/>
          <w:color w:val="auto"/>
          <w:sz w:val="24"/>
          <w:highlight w:val="none"/>
          <w:lang w:eastAsia="zh-CN"/>
        </w:rPr>
        <w:t>汇总</w:t>
      </w:r>
      <w:r>
        <w:rPr>
          <w:rFonts w:hint="eastAsia" w:ascii="仿宋_GB2312" w:eastAsia="仿宋_GB2312"/>
          <w:b/>
          <w:color w:val="auto"/>
          <w:sz w:val="24"/>
          <w:highlight w:val="none"/>
        </w:rPr>
        <w:t>表。</w:t>
      </w:r>
    </w:p>
    <w:p>
      <w:pPr>
        <w:keepNext w:val="0"/>
        <w:keepLines w:val="0"/>
        <w:pageBreakBefore w:val="0"/>
        <w:widowControl w:val="0"/>
        <w:tabs>
          <w:tab w:val="left" w:pos="0"/>
        </w:tabs>
        <w:kinsoku/>
        <w:wordWrap/>
        <w:overflowPunct/>
        <w:topLinePunct w:val="0"/>
        <w:autoSpaceDE/>
        <w:autoSpaceDN/>
        <w:bidi w:val="0"/>
        <w:adjustRightInd/>
        <w:snapToGrid w:val="0"/>
        <w:spacing w:line="460" w:lineRule="exact"/>
        <w:ind w:firstLine="539"/>
        <w:jc w:val="center"/>
        <w:textAlignment w:val="auto"/>
        <w:rPr>
          <w:rFonts w:hint="eastAsia" w:ascii="仿宋_GB2312" w:eastAsia="仿宋_GB2312"/>
          <w:b/>
          <w:color w:val="auto"/>
          <w:sz w:val="24"/>
          <w:highlight w:val="none"/>
          <w:lang w:eastAsia="zh-CN"/>
        </w:rPr>
      </w:pPr>
      <w:r>
        <w:rPr>
          <w:rFonts w:hint="eastAsia" w:ascii="仿宋_GB2312" w:eastAsia="仿宋_GB2312"/>
          <w:b/>
          <w:color w:val="auto"/>
          <w:sz w:val="24"/>
          <w:highlight w:val="none"/>
          <w:lang w:eastAsia="zh-CN"/>
        </w:rPr>
        <w:t>评估结果汇总表</w:t>
      </w:r>
    </w:p>
    <w:p>
      <w:pPr>
        <w:autoSpaceDE w:val="0"/>
        <w:autoSpaceDN w:val="0"/>
        <w:adjustRightInd w:val="0"/>
        <w:spacing w:line="380" w:lineRule="exact"/>
        <w:ind w:firstLine="470" w:firstLineChars="196"/>
        <w:jc w:val="right"/>
        <w:rPr>
          <w:rFonts w:hint="eastAsia" w:ascii="仿宋_GB2312" w:eastAsia="仿宋_GB2312"/>
          <w:color w:val="auto"/>
          <w:sz w:val="24"/>
          <w:highlight w:val="none"/>
        </w:rPr>
      </w:pPr>
      <w:r>
        <w:rPr>
          <w:rFonts w:hint="eastAsia" w:ascii="仿宋_GB2312" w:eastAsia="仿宋_GB2312"/>
          <w:color w:val="auto"/>
          <w:sz w:val="24"/>
          <w:highlight w:val="none"/>
        </w:rPr>
        <w:t>币种：人民币</w:t>
      </w:r>
    </w:p>
    <w:tbl>
      <w:tblPr>
        <w:tblStyle w:val="19"/>
        <w:tblW w:w="504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2"/>
        <w:gridCol w:w="1455"/>
        <w:gridCol w:w="1886"/>
        <w:gridCol w:w="728"/>
        <w:gridCol w:w="867"/>
        <w:gridCol w:w="1109"/>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所有权人</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产权证号</w:t>
            </w:r>
          </w:p>
        </w:tc>
        <w:tc>
          <w:tcPr>
            <w:tcW w:w="10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坐落</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用途</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建筑面积（m</w:t>
            </w:r>
            <w:r>
              <w:rPr>
                <w:rFonts w:hint="eastAsia" w:ascii="仿宋_GB2312" w:hAnsi="仿宋_GB2312" w:eastAsia="仿宋_GB2312" w:cs="仿宋_GB2312"/>
                <w:i w:val="0"/>
                <w:iCs w:val="0"/>
                <w:color w:val="auto"/>
                <w:kern w:val="0"/>
                <w:sz w:val="21"/>
                <w:szCs w:val="21"/>
                <w:highlight w:val="none"/>
                <w:u w:val="none"/>
                <w:vertAlign w:val="superscript"/>
                <w:lang w:val="en-US" w:eastAsia="zh-CN" w:bidi="ar"/>
              </w:rPr>
              <w:t>2</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评估单价（元/m</w:t>
            </w:r>
            <w:r>
              <w:rPr>
                <w:rFonts w:hint="eastAsia" w:ascii="仿宋_GB2312" w:hAnsi="仿宋_GB2312" w:eastAsia="仿宋_GB2312" w:cs="仿宋_GB2312"/>
                <w:i w:val="0"/>
                <w:iCs w:val="0"/>
                <w:color w:val="auto"/>
                <w:kern w:val="0"/>
                <w:sz w:val="21"/>
                <w:szCs w:val="21"/>
                <w:highlight w:val="none"/>
                <w:u w:val="none"/>
                <w:vertAlign w:val="superscript"/>
                <w:lang w:val="en-US" w:eastAsia="zh-CN" w:bidi="ar"/>
              </w:rPr>
              <w:t>2</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评估总价（元）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2"/>
                <w:szCs w:val="22"/>
                <w:highlight w:val="none"/>
                <w:u w:val="none"/>
                <w:lang w:val="en-US" w:eastAsia="zh-CN" w:bidi="ar-SA"/>
              </w:rPr>
            </w:pPr>
            <w:r>
              <w:rPr>
                <w:rFonts w:hint="eastAsia" w:ascii="仿宋_GB2312" w:hAnsi="宋体" w:eastAsia="仿宋_GB2312" w:cs="仿宋_GB2312"/>
                <w:color w:val="auto"/>
                <w:szCs w:val="21"/>
                <w:highlight w:val="none"/>
                <w:lang w:val="en-US" w:eastAsia="zh-CN"/>
              </w:rPr>
              <w:t>安乡宏泰房地产开发公司</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宋体" w:eastAsia="仿宋_GB2312" w:cs="仿宋_GB2312"/>
                <w:color w:val="auto"/>
                <w:szCs w:val="21"/>
                <w:highlight w:val="none"/>
                <w:lang w:val="en-US" w:eastAsia="zh-CN"/>
              </w:rPr>
              <w:t>安乡县房权证深柳镇字第0028784号</w:t>
            </w:r>
          </w:p>
        </w:tc>
        <w:tc>
          <w:tcPr>
            <w:tcW w:w="10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宋体" w:eastAsia="仿宋_GB2312" w:cs="仿宋_GB2312"/>
                <w:color w:val="auto"/>
                <w:szCs w:val="21"/>
                <w:highlight w:val="none"/>
                <w:lang w:val="en-US" w:eastAsia="zh-CN"/>
              </w:rPr>
              <w:t>安乡县深柳镇文昌湾社区深柳大道晨光小区3-B栋</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住宅</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205.59</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2003</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411797</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240" w:lineRule="atLeast"/>
        <w:textAlignment w:val="auto"/>
        <w:rPr>
          <w:rFonts w:hint="eastAsia" w:ascii="仿宋_GB2312" w:hAnsi="宋体" w:eastAsia="仿宋_GB2312"/>
          <w:b/>
          <w:bCs/>
          <w:color w:val="auto"/>
          <w:sz w:val="24"/>
          <w:highlight w:val="none"/>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440" w:lineRule="exact"/>
        <w:textAlignment w:val="auto"/>
        <w:rPr>
          <w:rFonts w:hint="eastAsia" w:ascii="仿宋_GB2312" w:hAnsi="宋体" w:eastAsia="仿宋_GB2312"/>
          <w:b/>
          <w:bCs/>
          <w:color w:val="auto"/>
          <w:sz w:val="24"/>
          <w:highlight w:val="none"/>
          <w:lang w:val="en-US" w:eastAsia="zh-CN"/>
        </w:rPr>
      </w:pPr>
      <w:r>
        <w:rPr>
          <w:rFonts w:hint="eastAsia" w:ascii="仿宋_GB2312" w:hAnsi="宋体" w:eastAsia="仿宋_GB2312"/>
          <w:b/>
          <w:bCs/>
          <w:color w:val="auto"/>
          <w:sz w:val="24"/>
          <w:highlight w:val="none"/>
          <w:lang w:val="en-US" w:eastAsia="zh-CN"/>
        </w:rPr>
        <w:t>特别提示：1、根据委托方提供的产权证（安乡县房权证深柳镇字第0028784号）及后附房屋分层分户平面图，估价对象为晨光小区3-B栋-101、-102户室，产权登记的建筑面积为205.59平方米；我司注册房地产估价师查勘现场时，案件双方当事人代表均到达现场，据被执行人代表介绍，晨光小区3-B栋-101、-102户室中仅有南侧部分为被执行人拥有，即被执行人代表介绍的房屋范围与委托方提供的产权证</w:t>
      </w:r>
      <w:r>
        <w:rPr>
          <w:rFonts w:hint="eastAsia" w:ascii="仿宋_GB2312" w:hAnsi="宋体" w:eastAsia="仿宋_GB2312"/>
          <w:b/>
          <w:bCs/>
          <w:color w:val="auto"/>
          <w:sz w:val="24"/>
          <w:highlight w:val="none"/>
          <w:lang w:val="en-US" w:eastAsia="zh-CN"/>
        </w:rPr>
        <w:t>及房屋分层分户平面图所示范围不一致，但未告知具体原因；我司已将该情况书面告知委托方，根据委托方口头回复，要求我司按委托方提供的产权证登记范围（即205.59平方米）进行评估；故本次按委托方提供的产权证（安乡县房权证深柳镇字第0028784号）记载建筑面积及范围进行评估，如有不符，请补充相关权属变更资料，评估结果作相应调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440" w:lineRule="exact"/>
        <w:ind w:firstLine="482" w:firstLineChars="200"/>
        <w:textAlignment w:val="auto"/>
        <w:rPr>
          <w:rFonts w:hint="eastAsia" w:ascii="仿宋_GB2312" w:hAnsi="宋体" w:eastAsia="仿宋_GB2312"/>
          <w:b/>
          <w:bCs/>
          <w:color w:val="auto"/>
          <w:sz w:val="24"/>
          <w:highlight w:val="none"/>
          <w:lang w:val="en-US" w:eastAsia="zh-CN"/>
        </w:rPr>
      </w:pPr>
      <w:r>
        <w:rPr>
          <w:rFonts w:hint="eastAsia" w:ascii="仿宋_GB2312" w:hAnsi="宋体" w:eastAsia="仿宋_GB2312"/>
          <w:b/>
          <w:bCs/>
          <w:color w:val="auto"/>
          <w:sz w:val="24"/>
          <w:highlight w:val="none"/>
          <w:lang w:val="en-US" w:eastAsia="zh-CN"/>
        </w:rPr>
        <w:t>2、以上估价对象价值未包含估价对象交易税费，交易税费按照法律规定，由买卖双方各自负担；且未扣除评估费、拍卖费、诉讼费、律师费等财产处置费用；同时以上估价对象价值未包含室内物品价值；</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440" w:lineRule="exact"/>
        <w:ind w:firstLine="482" w:firstLineChars="200"/>
        <w:textAlignment w:val="auto"/>
        <w:rPr>
          <w:rFonts w:hint="eastAsia" w:ascii="仿宋_GB2312" w:hAnsi="宋体" w:eastAsia="仿宋_GB2312"/>
          <w:b/>
          <w:bCs/>
          <w:color w:val="auto"/>
          <w:sz w:val="24"/>
          <w:highlight w:val="none"/>
          <w:lang w:val="en-US" w:eastAsia="zh-CN"/>
        </w:rPr>
      </w:pPr>
      <w:r>
        <w:rPr>
          <w:rFonts w:hint="eastAsia" w:ascii="仿宋_GB2312" w:hAnsi="宋体" w:eastAsia="仿宋_GB2312"/>
          <w:b/>
          <w:bCs/>
          <w:color w:val="auto"/>
          <w:sz w:val="24"/>
          <w:highlight w:val="none"/>
          <w:lang w:val="en-US" w:eastAsia="zh-CN"/>
        </w:rPr>
        <w:t>3、估价对象房屋性质为国有房产，本次未考虑其特殊性质可能对交易产生的影响，提醒报告使用方注意；同时本次评估未考虑估价对象物业费缴纳情况的影响，提醒报告使用方自行核实。</w:t>
      </w:r>
    </w:p>
    <w:p>
      <w:pPr>
        <w:tabs>
          <w:tab w:val="left" w:pos="0"/>
        </w:tabs>
        <w:snapToGrid w:val="0"/>
        <w:spacing w:line="360" w:lineRule="auto"/>
        <w:ind w:firstLine="539"/>
        <w:rPr>
          <w:rFonts w:hint="eastAsia" w:ascii="仿宋_GB2312" w:eastAsia="仿宋_GB2312"/>
          <w:color w:val="auto"/>
          <w:sz w:val="24"/>
          <w:highlight w:val="none"/>
        </w:rPr>
      </w:pPr>
    </w:p>
    <w:p>
      <w:pPr>
        <w:tabs>
          <w:tab w:val="left" w:pos="0"/>
        </w:tabs>
        <w:snapToGrid w:val="0"/>
        <w:spacing w:line="360" w:lineRule="auto"/>
        <w:ind w:firstLine="539"/>
        <w:rPr>
          <w:rFonts w:ascii="仿宋_GB2312" w:eastAsia="仿宋_GB2312"/>
          <w:color w:val="auto"/>
          <w:sz w:val="24"/>
          <w:highlight w:val="none"/>
        </w:rPr>
      </w:pPr>
      <w:r>
        <w:rPr>
          <w:rFonts w:hint="eastAsia" w:ascii="仿宋_GB2312" w:eastAsia="仿宋_GB2312"/>
          <w:color w:val="auto"/>
          <w:sz w:val="24"/>
          <w:highlight w:val="none"/>
        </w:rPr>
        <w:t>以上内容摘自房地产估价报告书，欲全面了解本评估项目情况，应认真阅读后附《估价结果报告》全文。</w:t>
      </w:r>
    </w:p>
    <w:p>
      <w:pPr>
        <w:tabs>
          <w:tab w:val="left" w:pos="0"/>
        </w:tabs>
        <w:snapToGrid w:val="0"/>
        <w:spacing w:line="360" w:lineRule="auto"/>
        <w:ind w:firstLine="482" w:firstLineChars="200"/>
        <w:rPr>
          <w:rFonts w:ascii="仿宋_GB2312" w:eastAsia="仿宋_GB2312"/>
          <w:b/>
          <w:color w:val="auto"/>
          <w:sz w:val="24"/>
          <w:highlight w:val="none"/>
        </w:rPr>
      </w:pPr>
      <w:r>
        <w:rPr>
          <w:rFonts w:hint="eastAsia" w:ascii="仿宋_GB2312" w:hAnsi="宋体" w:eastAsia="仿宋_GB2312"/>
          <w:b/>
          <w:bCs/>
          <w:color w:val="auto"/>
          <w:sz w:val="24"/>
          <w:highlight w:val="none"/>
        </w:rPr>
        <w:t>当事人接到本报告书起5日内，如对评估结果有异议，应书面提出并提交相应依据，逾期不提出，本报告生效</w:t>
      </w:r>
      <w:r>
        <w:rPr>
          <w:rFonts w:hint="eastAsia" w:ascii="仿宋_GB2312" w:eastAsia="仿宋_GB2312"/>
          <w:b/>
          <w:color w:val="auto"/>
          <w:sz w:val="24"/>
          <w:highlight w:val="none"/>
        </w:rPr>
        <w:t>。</w:t>
      </w:r>
    </w:p>
    <w:p>
      <w:pPr>
        <w:pStyle w:val="8"/>
        <w:spacing w:line="500" w:lineRule="exact"/>
        <w:ind w:right="144"/>
        <w:jc w:val="right"/>
        <w:rPr>
          <w:b/>
          <w:color w:val="auto"/>
          <w:sz w:val="24"/>
          <w:highlight w:val="none"/>
        </w:rPr>
      </w:pPr>
      <w:r>
        <w:rPr>
          <w:rFonts w:hint="eastAsia"/>
          <w:b/>
          <w:color w:val="auto"/>
          <w:sz w:val="24"/>
          <w:highlight w:val="none"/>
        </w:rPr>
        <w:t>湖南友谊房地产评估经纪有限公司</w:t>
      </w:r>
    </w:p>
    <w:p>
      <w:pPr>
        <w:snapToGrid w:val="0"/>
        <w:spacing w:line="500" w:lineRule="exact"/>
        <w:ind w:right="1080" w:firstLine="843" w:firstLineChars="350"/>
        <w:jc w:val="center"/>
        <w:rPr>
          <w:rFonts w:ascii="仿宋_GB2312" w:eastAsia="仿宋_GB2312"/>
          <w:b/>
          <w:color w:val="auto"/>
          <w:sz w:val="24"/>
          <w:highlight w:val="none"/>
        </w:rPr>
      </w:pPr>
      <w:r>
        <w:rPr>
          <w:rFonts w:hint="eastAsia" w:ascii="仿宋_GB2312" w:eastAsia="仿宋_GB2312"/>
          <w:b/>
          <w:color w:val="auto"/>
          <w:sz w:val="24"/>
          <w:highlight w:val="none"/>
        </w:rPr>
        <w:t xml:space="preserve">                             法定代表人：</w:t>
      </w:r>
    </w:p>
    <w:p>
      <w:pPr>
        <w:snapToGrid w:val="0"/>
        <w:spacing w:line="500" w:lineRule="exact"/>
        <w:ind w:right="720" w:firstLine="1687" w:firstLineChars="700"/>
        <w:jc w:val="center"/>
        <w:rPr>
          <w:rFonts w:hint="eastAsia" w:ascii="仿宋_GB2312" w:eastAsia="仿宋_GB2312"/>
          <w:b/>
          <w:color w:val="auto"/>
          <w:sz w:val="28"/>
          <w:szCs w:val="28"/>
          <w:highlight w:val="none"/>
          <w:lang w:eastAsia="zh-CN"/>
        </w:rPr>
      </w:pPr>
      <w:r>
        <w:rPr>
          <w:rFonts w:hint="eastAsia" w:ascii="仿宋_GB2312" w:eastAsia="仿宋_GB2312"/>
          <w:b/>
          <w:color w:val="auto"/>
          <w:sz w:val="24"/>
          <w:highlight w:val="none"/>
        </w:rPr>
        <w:t xml:space="preserve">                           </w:t>
      </w:r>
      <w:r>
        <w:rPr>
          <w:rFonts w:hint="eastAsia" w:ascii="仿宋_GB2312" w:eastAsia="仿宋_GB2312"/>
          <w:b/>
          <w:color w:val="auto"/>
          <w:sz w:val="24"/>
          <w:highlight w:val="none"/>
          <w:lang w:eastAsia="zh-CN"/>
        </w:rPr>
        <w:t>二○二二年七月二十六日</w:t>
      </w:r>
    </w:p>
    <w:p>
      <w:pPr>
        <w:widowControl/>
        <w:jc w:val="left"/>
        <w:rPr>
          <w:color w:val="auto"/>
          <w:highlight w:val="none"/>
        </w:rPr>
      </w:pPr>
      <w:bookmarkStart w:id="9" w:name="_Toc436063470"/>
      <w:r>
        <w:rPr>
          <w:color w:val="auto"/>
          <w:highlight w:val="none"/>
        </w:rPr>
        <w:br w:type="page"/>
      </w:r>
    </w:p>
    <w:p>
      <w:pPr>
        <w:widowControl/>
        <w:jc w:val="left"/>
        <w:rPr>
          <w:color w:val="auto"/>
          <w:highlight w:val="none"/>
        </w:rPr>
      </w:pPr>
    </w:p>
    <w:p>
      <w:pPr>
        <w:pStyle w:val="17"/>
        <w:spacing w:after="0" w:line="240" w:lineRule="auto"/>
        <w:rPr>
          <w:rFonts w:ascii="黑体" w:hAnsi="黑体" w:eastAsia="黑体" w:cs="黑体"/>
          <w:color w:val="auto"/>
          <w:highlight w:val="none"/>
        </w:rPr>
      </w:pPr>
      <w:bookmarkStart w:id="10" w:name="_Toc436212256"/>
      <w:bookmarkStart w:id="11" w:name="_Toc437529626"/>
      <w:bookmarkStart w:id="12" w:name="_Toc462218082"/>
      <w:bookmarkStart w:id="13" w:name="_Toc443902164"/>
      <w:bookmarkStart w:id="14" w:name="_Toc436213504"/>
      <w:bookmarkStart w:id="15" w:name="_Toc436212875"/>
      <w:r>
        <w:rPr>
          <w:rFonts w:hint="eastAsia" w:ascii="黑体" w:hAnsi="黑体" w:eastAsia="黑体" w:cs="黑体"/>
          <w:color w:val="auto"/>
          <w:highlight w:val="none"/>
        </w:rPr>
        <w:t>目  录</w:t>
      </w:r>
      <w:bookmarkEnd w:id="7"/>
      <w:bookmarkEnd w:id="8"/>
      <w:bookmarkEnd w:id="9"/>
      <w:bookmarkEnd w:id="10"/>
      <w:bookmarkEnd w:id="11"/>
      <w:bookmarkEnd w:id="12"/>
      <w:bookmarkEnd w:id="13"/>
      <w:bookmarkEnd w:id="14"/>
      <w:bookmarkEnd w:id="15"/>
    </w:p>
    <w:p>
      <w:pPr>
        <w:pStyle w:val="16"/>
        <w:rPr>
          <w:rFonts w:ascii="黑体" w:hAnsi="黑体" w:eastAsia="黑体" w:cstheme="minorBidi"/>
          <w:b/>
          <w:color w:val="auto"/>
          <w:szCs w:val="21"/>
          <w:highlight w:val="none"/>
        </w:rPr>
      </w:pPr>
      <w:r>
        <w:rPr>
          <w:rFonts w:ascii="黑体" w:hAnsi="黑体" w:eastAsia="黑体"/>
          <w:color w:val="auto"/>
          <w:szCs w:val="21"/>
          <w:highlight w:val="none"/>
        </w:rPr>
        <w:fldChar w:fldCharType="begin"/>
      </w:r>
      <w:r>
        <w:rPr>
          <w:rFonts w:hint="eastAsia" w:ascii="黑体" w:hAnsi="黑体" w:eastAsia="黑体"/>
          <w:color w:val="auto"/>
          <w:szCs w:val="21"/>
          <w:highlight w:val="none"/>
        </w:rPr>
        <w:instrText xml:space="preserve">TOC \o "1-3" \h \z \u</w:instrText>
      </w:r>
      <w:r>
        <w:rPr>
          <w:rFonts w:ascii="黑体" w:hAnsi="黑体" w:eastAsia="黑体"/>
          <w:color w:val="auto"/>
          <w:szCs w:val="21"/>
          <w:highlight w:val="none"/>
        </w:rPr>
        <w:fldChar w:fldCharType="separate"/>
      </w:r>
    </w:p>
    <w:p>
      <w:pPr>
        <w:pStyle w:val="16"/>
        <w:rPr>
          <w:rFonts w:ascii="黑体" w:hAnsi="黑体" w:eastAsia="黑体" w:cstheme="minorBidi"/>
          <w:b/>
          <w:color w:val="auto"/>
          <w:szCs w:val="21"/>
          <w:highlight w:val="none"/>
        </w:rPr>
      </w:pPr>
    </w:p>
    <w:p>
      <w:pPr>
        <w:pStyle w:val="16"/>
        <w:rPr>
          <w:rFonts w:ascii="黑体" w:hAnsi="黑体" w:eastAsia="黑体" w:cs="黑体"/>
          <w:b/>
          <w:color w:val="auto"/>
          <w:szCs w:val="21"/>
          <w:highlight w:val="none"/>
        </w:rPr>
      </w:pPr>
      <w:r>
        <w:rPr>
          <w:color w:val="auto"/>
          <w:highlight w:val="none"/>
        </w:rPr>
        <w:fldChar w:fldCharType="begin"/>
      </w:r>
      <w:r>
        <w:rPr>
          <w:color w:val="auto"/>
          <w:highlight w:val="none"/>
        </w:rPr>
        <w:instrText xml:space="preserve"> HYPERLINK \l "_Toc462218083" </w:instrText>
      </w:r>
      <w:r>
        <w:rPr>
          <w:color w:val="auto"/>
          <w:highlight w:val="none"/>
        </w:rPr>
        <w:fldChar w:fldCharType="separate"/>
      </w:r>
      <w:r>
        <w:rPr>
          <w:rStyle w:val="25"/>
          <w:rFonts w:hint="eastAsia" w:ascii="黑体" w:hAnsi="黑体" w:eastAsia="黑体" w:cs="黑体"/>
          <w:b/>
          <w:color w:val="auto"/>
          <w:szCs w:val="21"/>
          <w:highlight w:val="none"/>
        </w:rPr>
        <w:t>一、注册房地产估价师声明</w:t>
      </w:r>
      <w:r>
        <w:rPr>
          <w:rFonts w:hint="eastAsia" w:ascii="黑体" w:hAnsi="黑体" w:eastAsia="黑体" w:cs="黑体"/>
          <w:b/>
          <w:color w:val="auto"/>
          <w:szCs w:val="21"/>
          <w:highlight w:val="none"/>
        </w:rPr>
        <w:tab/>
      </w:r>
      <w:r>
        <w:rPr>
          <w:rFonts w:hint="eastAsia" w:ascii="黑体" w:hAnsi="黑体" w:eastAsia="黑体" w:cs="黑体"/>
          <w:b/>
          <w:color w:val="auto"/>
          <w:szCs w:val="21"/>
          <w:highlight w:val="none"/>
        </w:rPr>
        <w:fldChar w:fldCharType="begin"/>
      </w:r>
      <w:r>
        <w:rPr>
          <w:rFonts w:hint="eastAsia" w:ascii="黑体" w:hAnsi="黑体" w:eastAsia="黑体" w:cs="黑体"/>
          <w:b/>
          <w:color w:val="auto"/>
          <w:szCs w:val="21"/>
          <w:highlight w:val="none"/>
        </w:rPr>
        <w:instrText xml:space="preserve"> PAGEREF _Toc462218083 \h </w:instrText>
      </w:r>
      <w:r>
        <w:rPr>
          <w:rFonts w:hint="eastAsia" w:ascii="黑体" w:hAnsi="黑体" w:eastAsia="黑体" w:cs="黑体"/>
          <w:b/>
          <w:color w:val="auto"/>
          <w:szCs w:val="21"/>
          <w:highlight w:val="none"/>
        </w:rPr>
        <w:fldChar w:fldCharType="separate"/>
      </w:r>
      <w:r>
        <w:rPr>
          <w:rFonts w:hint="eastAsia" w:ascii="黑体" w:hAnsi="黑体" w:eastAsia="黑体" w:cs="黑体"/>
          <w:b/>
          <w:color w:val="auto"/>
          <w:szCs w:val="21"/>
          <w:highlight w:val="none"/>
        </w:rPr>
        <w:t>6</w:t>
      </w:r>
      <w:r>
        <w:rPr>
          <w:rFonts w:hint="eastAsia" w:ascii="黑体" w:hAnsi="黑体" w:eastAsia="黑体" w:cs="黑体"/>
          <w:b/>
          <w:color w:val="auto"/>
          <w:szCs w:val="21"/>
          <w:highlight w:val="none"/>
        </w:rPr>
        <w:fldChar w:fldCharType="end"/>
      </w:r>
      <w:r>
        <w:rPr>
          <w:rFonts w:hint="eastAsia" w:ascii="黑体" w:hAnsi="黑体" w:eastAsia="黑体" w:cs="黑体"/>
          <w:b/>
          <w:color w:val="auto"/>
          <w:szCs w:val="21"/>
          <w:highlight w:val="none"/>
        </w:rPr>
        <w:fldChar w:fldCharType="end"/>
      </w:r>
    </w:p>
    <w:p>
      <w:pPr>
        <w:pStyle w:val="16"/>
        <w:rPr>
          <w:rFonts w:ascii="黑体" w:hAnsi="黑体" w:eastAsia="黑体" w:cs="黑体"/>
          <w:b/>
          <w:color w:val="auto"/>
          <w:szCs w:val="21"/>
          <w:highlight w:val="none"/>
        </w:rPr>
      </w:pPr>
      <w:r>
        <w:rPr>
          <w:color w:val="auto"/>
          <w:highlight w:val="none"/>
        </w:rPr>
        <w:fldChar w:fldCharType="begin"/>
      </w:r>
      <w:r>
        <w:rPr>
          <w:color w:val="auto"/>
          <w:highlight w:val="none"/>
        </w:rPr>
        <w:instrText xml:space="preserve"> HYPERLINK \l "_Toc462218084" </w:instrText>
      </w:r>
      <w:r>
        <w:rPr>
          <w:color w:val="auto"/>
          <w:highlight w:val="none"/>
        </w:rPr>
        <w:fldChar w:fldCharType="separate"/>
      </w:r>
      <w:r>
        <w:rPr>
          <w:rStyle w:val="25"/>
          <w:rFonts w:hint="eastAsia" w:ascii="黑体" w:hAnsi="黑体" w:eastAsia="黑体" w:cs="黑体"/>
          <w:b/>
          <w:color w:val="auto"/>
          <w:szCs w:val="21"/>
          <w:highlight w:val="none"/>
        </w:rPr>
        <w:t>二、估价假设和限制条件</w:t>
      </w:r>
      <w:r>
        <w:rPr>
          <w:rFonts w:hint="eastAsia" w:ascii="黑体" w:hAnsi="黑体" w:eastAsia="黑体" w:cs="黑体"/>
          <w:b/>
          <w:color w:val="auto"/>
          <w:szCs w:val="21"/>
          <w:highlight w:val="none"/>
        </w:rPr>
        <w:tab/>
      </w:r>
      <w:r>
        <w:rPr>
          <w:rFonts w:hint="eastAsia" w:ascii="黑体" w:hAnsi="黑体" w:eastAsia="黑体" w:cs="黑体"/>
          <w:b/>
          <w:color w:val="auto"/>
          <w:szCs w:val="21"/>
          <w:highlight w:val="none"/>
        </w:rPr>
        <w:fldChar w:fldCharType="begin"/>
      </w:r>
      <w:r>
        <w:rPr>
          <w:rFonts w:hint="eastAsia" w:ascii="黑体" w:hAnsi="黑体" w:eastAsia="黑体" w:cs="黑体"/>
          <w:b/>
          <w:color w:val="auto"/>
          <w:szCs w:val="21"/>
          <w:highlight w:val="none"/>
        </w:rPr>
        <w:instrText xml:space="preserve"> PAGEREF _Toc462218084 \h </w:instrText>
      </w:r>
      <w:r>
        <w:rPr>
          <w:rFonts w:hint="eastAsia" w:ascii="黑体" w:hAnsi="黑体" w:eastAsia="黑体" w:cs="黑体"/>
          <w:b/>
          <w:color w:val="auto"/>
          <w:szCs w:val="21"/>
          <w:highlight w:val="none"/>
        </w:rPr>
        <w:fldChar w:fldCharType="separate"/>
      </w:r>
      <w:r>
        <w:rPr>
          <w:rFonts w:hint="eastAsia" w:ascii="黑体" w:hAnsi="黑体" w:eastAsia="黑体" w:cs="黑体"/>
          <w:b/>
          <w:color w:val="auto"/>
          <w:szCs w:val="21"/>
          <w:highlight w:val="none"/>
        </w:rPr>
        <w:t>7</w:t>
      </w:r>
      <w:r>
        <w:rPr>
          <w:rFonts w:hint="eastAsia" w:ascii="黑体" w:hAnsi="黑体" w:eastAsia="黑体" w:cs="黑体"/>
          <w:b/>
          <w:color w:val="auto"/>
          <w:szCs w:val="21"/>
          <w:highlight w:val="none"/>
        </w:rPr>
        <w:fldChar w:fldCharType="end"/>
      </w:r>
      <w:r>
        <w:rPr>
          <w:rFonts w:hint="eastAsia" w:ascii="黑体" w:hAnsi="黑体" w:eastAsia="黑体" w:cs="黑体"/>
          <w:b/>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"_Toc462218085" </w:instrText>
      </w:r>
      <w:r>
        <w:rPr>
          <w:color w:val="auto"/>
          <w:highlight w:val="none"/>
        </w:rPr>
        <w:fldChar w:fldCharType="separate"/>
      </w:r>
      <w:r>
        <w:rPr>
          <w:rStyle w:val="25"/>
          <w:rFonts w:hint="eastAsia" w:ascii="黑体" w:hAnsi="黑体" w:eastAsia="黑体" w:cs="黑体"/>
          <w:color w:val="auto"/>
          <w:szCs w:val="21"/>
          <w:highlight w:val="none"/>
        </w:rPr>
        <w:t>1、一般假设</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_Toc462218085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7</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"_Toc462218086" </w:instrText>
      </w:r>
      <w:r>
        <w:rPr>
          <w:color w:val="auto"/>
          <w:highlight w:val="none"/>
        </w:rPr>
        <w:fldChar w:fldCharType="separate"/>
      </w:r>
      <w:r>
        <w:rPr>
          <w:rStyle w:val="25"/>
          <w:rFonts w:hint="eastAsia" w:ascii="黑体" w:hAnsi="黑体" w:eastAsia="黑体" w:cs="黑体"/>
          <w:color w:val="auto"/>
          <w:szCs w:val="21"/>
          <w:highlight w:val="none"/>
        </w:rPr>
        <w:t>2、未定事项假设</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_Toc462218086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8</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"_Toc462218087" </w:instrText>
      </w:r>
      <w:r>
        <w:rPr>
          <w:color w:val="auto"/>
          <w:highlight w:val="none"/>
        </w:rPr>
        <w:fldChar w:fldCharType="separate"/>
      </w:r>
      <w:r>
        <w:rPr>
          <w:rStyle w:val="25"/>
          <w:rFonts w:hint="eastAsia" w:ascii="黑体" w:hAnsi="黑体" w:eastAsia="黑体" w:cs="黑体"/>
          <w:color w:val="auto"/>
          <w:szCs w:val="21"/>
          <w:highlight w:val="none"/>
        </w:rPr>
        <w:t>3、背离事实假设</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_Toc462218087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8</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"_Toc462218088" </w:instrText>
      </w:r>
      <w:r>
        <w:rPr>
          <w:color w:val="auto"/>
          <w:highlight w:val="none"/>
        </w:rPr>
        <w:fldChar w:fldCharType="separate"/>
      </w:r>
      <w:r>
        <w:rPr>
          <w:rStyle w:val="25"/>
          <w:rFonts w:hint="eastAsia" w:ascii="黑体" w:hAnsi="黑体" w:eastAsia="黑体" w:cs="黑体"/>
          <w:color w:val="auto"/>
          <w:szCs w:val="21"/>
          <w:highlight w:val="none"/>
        </w:rPr>
        <w:t>4、不相一致假设</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_Toc462218088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8</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"_Toc462218089" </w:instrText>
      </w:r>
      <w:r>
        <w:rPr>
          <w:color w:val="auto"/>
          <w:highlight w:val="none"/>
        </w:rPr>
        <w:fldChar w:fldCharType="separate"/>
      </w:r>
      <w:r>
        <w:rPr>
          <w:rStyle w:val="25"/>
          <w:rFonts w:hint="eastAsia" w:ascii="黑体" w:hAnsi="黑体" w:eastAsia="黑体" w:cs="黑体"/>
          <w:color w:val="auto"/>
          <w:szCs w:val="21"/>
          <w:highlight w:val="none"/>
        </w:rPr>
        <w:t>5、依据不足假设</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_Toc462218089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9</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theme="minorBidi"/>
          <w:color w:val="auto"/>
          <w:szCs w:val="21"/>
          <w:highlight w:val="none"/>
        </w:rPr>
      </w:pPr>
      <w:r>
        <w:rPr>
          <w:color w:val="auto"/>
          <w:highlight w:val="none"/>
        </w:rPr>
        <w:fldChar w:fldCharType="begin"/>
      </w:r>
      <w:r>
        <w:rPr>
          <w:color w:val="auto"/>
          <w:highlight w:val="none"/>
        </w:rPr>
        <w:instrText xml:space="preserve"> HYPERLINK \l "_Toc462218090" </w:instrText>
      </w:r>
      <w:r>
        <w:rPr>
          <w:color w:val="auto"/>
          <w:highlight w:val="none"/>
        </w:rPr>
        <w:fldChar w:fldCharType="separate"/>
      </w:r>
      <w:r>
        <w:rPr>
          <w:rStyle w:val="25"/>
          <w:rFonts w:hint="eastAsia" w:ascii="黑体" w:hAnsi="黑体" w:eastAsia="黑体" w:cs="黑体"/>
          <w:color w:val="auto"/>
          <w:szCs w:val="21"/>
          <w:highlight w:val="none"/>
        </w:rPr>
        <w:t>6、估价报告使用限制</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_Toc462218090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9</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b/>
          <w:color w:val="auto"/>
          <w:szCs w:val="21"/>
          <w:highlight w:val="none"/>
        </w:rPr>
      </w:pPr>
      <w:r>
        <w:rPr>
          <w:color w:val="auto"/>
          <w:highlight w:val="none"/>
        </w:rPr>
        <w:fldChar w:fldCharType="begin"/>
      </w:r>
      <w:r>
        <w:rPr>
          <w:color w:val="auto"/>
          <w:highlight w:val="none"/>
        </w:rPr>
        <w:instrText xml:space="preserve"> HYPERLINK \l "_Toc462218091" </w:instrText>
      </w:r>
      <w:r>
        <w:rPr>
          <w:color w:val="auto"/>
          <w:highlight w:val="none"/>
        </w:rPr>
        <w:fldChar w:fldCharType="separate"/>
      </w:r>
      <w:r>
        <w:rPr>
          <w:rStyle w:val="25"/>
          <w:rFonts w:hint="eastAsia" w:ascii="黑体" w:hAnsi="黑体" w:eastAsia="黑体" w:cs="黑体"/>
          <w:b/>
          <w:color w:val="auto"/>
          <w:szCs w:val="21"/>
          <w:highlight w:val="none"/>
        </w:rPr>
        <w:t>三、估价结果报告</w:t>
      </w:r>
      <w:r>
        <w:rPr>
          <w:rFonts w:hint="eastAsia" w:ascii="黑体" w:hAnsi="黑体" w:eastAsia="黑体" w:cs="黑体"/>
          <w:b/>
          <w:color w:val="auto"/>
          <w:szCs w:val="21"/>
          <w:highlight w:val="none"/>
        </w:rPr>
        <w:tab/>
      </w:r>
      <w:r>
        <w:rPr>
          <w:rFonts w:hint="eastAsia" w:ascii="黑体" w:hAnsi="黑体" w:eastAsia="黑体" w:cs="黑体"/>
          <w:b/>
          <w:color w:val="auto"/>
          <w:szCs w:val="21"/>
          <w:highlight w:val="none"/>
        </w:rPr>
        <w:fldChar w:fldCharType="begin"/>
      </w:r>
      <w:r>
        <w:rPr>
          <w:rFonts w:hint="eastAsia" w:ascii="黑体" w:hAnsi="黑体" w:eastAsia="黑体" w:cs="黑体"/>
          <w:b/>
          <w:color w:val="auto"/>
          <w:szCs w:val="21"/>
          <w:highlight w:val="none"/>
        </w:rPr>
        <w:instrText xml:space="preserve"> PAGEREF _Toc462218091 \h </w:instrText>
      </w:r>
      <w:r>
        <w:rPr>
          <w:rFonts w:hint="eastAsia" w:ascii="黑体" w:hAnsi="黑体" w:eastAsia="黑体" w:cs="黑体"/>
          <w:b/>
          <w:color w:val="auto"/>
          <w:szCs w:val="21"/>
          <w:highlight w:val="none"/>
        </w:rPr>
        <w:fldChar w:fldCharType="separate"/>
      </w:r>
      <w:r>
        <w:rPr>
          <w:rFonts w:hint="eastAsia" w:ascii="黑体" w:hAnsi="黑体" w:eastAsia="黑体" w:cs="黑体"/>
          <w:b/>
          <w:color w:val="auto"/>
          <w:szCs w:val="21"/>
          <w:highlight w:val="none"/>
        </w:rPr>
        <w:t>11</w:t>
      </w:r>
      <w:r>
        <w:rPr>
          <w:rFonts w:hint="eastAsia" w:ascii="黑体" w:hAnsi="黑体" w:eastAsia="黑体" w:cs="黑体"/>
          <w:b/>
          <w:color w:val="auto"/>
          <w:szCs w:val="21"/>
          <w:highlight w:val="none"/>
        </w:rPr>
        <w:fldChar w:fldCharType="end"/>
      </w:r>
      <w:r>
        <w:rPr>
          <w:rFonts w:hint="eastAsia" w:ascii="黑体" w:hAnsi="黑体" w:eastAsia="黑体" w:cs="黑体"/>
          <w:b/>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"_Toc462218092" </w:instrText>
      </w:r>
      <w:r>
        <w:rPr>
          <w:color w:val="auto"/>
          <w:highlight w:val="none"/>
        </w:rPr>
        <w:fldChar w:fldCharType="separate"/>
      </w:r>
      <w:r>
        <w:rPr>
          <w:rStyle w:val="25"/>
          <w:rFonts w:hint="eastAsia" w:ascii="黑体" w:hAnsi="黑体" w:eastAsia="黑体" w:cs="黑体"/>
          <w:color w:val="auto"/>
          <w:szCs w:val="21"/>
          <w:highlight w:val="none"/>
        </w:rPr>
        <w:t>（一）估价委托人</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_Toc462218092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11</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"_Toc462218093" </w:instrText>
      </w:r>
      <w:r>
        <w:rPr>
          <w:color w:val="auto"/>
          <w:highlight w:val="none"/>
        </w:rPr>
        <w:fldChar w:fldCharType="separate"/>
      </w:r>
      <w:r>
        <w:rPr>
          <w:rStyle w:val="25"/>
          <w:rFonts w:hint="eastAsia" w:ascii="黑体" w:hAnsi="黑体" w:eastAsia="黑体" w:cs="黑体"/>
          <w:color w:val="auto"/>
          <w:szCs w:val="21"/>
          <w:highlight w:val="none"/>
        </w:rPr>
        <w:t>（二）产权方</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_Toc462218093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11</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"_Toc462218094" </w:instrText>
      </w:r>
      <w:r>
        <w:rPr>
          <w:color w:val="auto"/>
          <w:highlight w:val="none"/>
        </w:rPr>
        <w:fldChar w:fldCharType="separate"/>
      </w:r>
      <w:r>
        <w:rPr>
          <w:rStyle w:val="25"/>
          <w:rFonts w:hint="eastAsia" w:ascii="黑体" w:hAnsi="黑体" w:eastAsia="黑体" w:cs="黑体"/>
          <w:color w:val="auto"/>
          <w:szCs w:val="21"/>
          <w:highlight w:val="none"/>
        </w:rPr>
        <w:t>（三）房地产估价机构</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_Toc462218094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11</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"_Toc462218095" </w:instrText>
      </w:r>
      <w:r>
        <w:rPr>
          <w:color w:val="auto"/>
          <w:highlight w:val="none"/>
        </w:rPr>
        <w:fldChar w:fldCharType="separate"/>
      </w:r>
      <w:r>
        <w:rPr>
          <w:rStyle w:val="25"/>
          <w:rFonts w:hint="eastAsia" w:ascii="黑体" w:hAnsi="黑体" w:eastAsia="黑体" w:cs="黑体"/>
          <w:color w:val="auto"/>
          <w:szCs w:val="21"/>
          <w:highlight w:val="none"/>
        </w:rPr>
        <w:t>（四）估价目的</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_Toc462218095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11</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"_Toc462218096" </w:instrText>
      </w:r>
      <w:r>
        <w:rPr>
          <w:color w:val="auto"/>
          <w:highlight w:val="none"/>
        </w:rPr>
        <w:fldChar w:fldCharType="separate"/>
      </w:r>
      <w:r>
        <w:rPr>
          <w:rStyle w:val="25"/>
          <w:rFonts w:hint="eastAsia" w:ascii="黑体" w:hAnsi="黑体" w:eastAsia="黑体" w:cs="黑体"/>
          <w:color w:val="auto"/>
          <w:szCs w:val="21"/>
          <w:highlight w:val="none"/>
        </w:rPr>
        <w:t>（五）估价对象</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_Toc462218096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11</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"_Toc462218097" </w:instrText>
      </w:r>
      <w:r>
        <w:rPr>
          <w:color w:val="auto"/>
          <w:highlight w:val="none"/>
        </w:rPr>
        <w:fldChar w:fldCharType="separate"/>
      </w:r>
      <w:r>
        <w:rPr>
          <w:rStyle w:val="25"/>
          <w:rFonts w:hint="eastAsia" w:ascii="黑体" w:hAnsi="黑体" w:eastAsia="黑体" w:cs="黑体"/>
          <w:color w:val="auto"/>
          <w:szCs w:val="21"/>
          <w:highlight w:val="none"/>
        </w:rPr>
        <w:t>（六）价值时点</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_Toc462218097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12</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"_Toc462218098" </w:instrText>
      </w:r>
      <w:r>
        <w:rPr>
          <w:color w:val="auto"/>
          <w:highlight w:val="none"/>
        </w:rPr>
        <w:fldChar w:fldCharType="separate"/>
      </w:r>
      <w:r>
        <w:rPr>
          <w:rStyle w:val="25"/>
          <w:rFonts w:hint="eastAsia" w:ascii="黑体" w:hAnsi="黑体" w:eastAsia="黑体" w:cs="黑体"/>
          <w:color w:val="auto"/>
          <w:szCs w:val="21"/>
          <w:highlight w:val="none"/>
        </w:rPr>
        <w:t>（七）价值类型</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_Toc462218098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13</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"_Toc462218099" </w:instrText>
      </w:r>
      <w:r>
        <w:rPr>
          <w:color w:val="auto"/>
          <w:highlight w:val="none"/>
        </w:rPr>
        <w:fldChar w:fldCharType="separate"/>
      </w:r>
      <w:r>
        <w:rPr>
          <w:rStyle w:val="25"/>
          <w:rFonts w:hint="eastAsia" w:ascii="黑体" w:hAnsi="黑体" w:eastAsia="黑体" w:cs="黑体"/>
          <w:color w:val="auto"/>
          <w:szCs w:val="21"/>
          <w:highlight w:val="none"/>
        </w:rPr>
        <w:t>（八）估价原则</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_Toc462218099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13</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"_Toc462218100" </w:instrText>
      </w:r>
      <w:r>
        <w:rPr>
          <w:color w:val="auto"/>
          <w:highlight w:val="none"/>
        </w:rPr>
        <w:fldChar w:fldCharType="separate"/>
      </w:r>
      <w:r>
        <w:rPr>
          <w:rStyle w:val="25"/>
          <w:rFonts w:hint="eastAsia" w:ascii="黑体" w:hAnsi="黑体" w:eastAsia="黑体" w:cs="黑体"/>
          <w:color w:val="auto"/>
          <w:szCs w:val="21"/>
          <w:highlight w:val="none"/>
        </w:rPr>
        <w:t>（九）估价依据</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_Toc462218100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13</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bookmarkStart w:id="51" w:name="_GoBack"/>
      <w:bookmarkEnd w:id="51"/>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"_Toc462218101" </w:instrText>
      </w:r>
      <w:r>
        <w:rPr>
          <w:color w:val="auto"/>
          <w:highlight w:val="none"/>
        </w:rPr>
        <w:fldChar w:fldCharType="separate"/>
      </w:r>
      <w:r>
        <w:rPr>
          <w:rStyle w:val="25"/>
          <w:rFonts w:hint="eastAsia" w:ascii="黑体" w:hAnsi="黑体" w:eastAsia="黑体" w:cs="黑体"/>
          <w:color w:val="auto"/>
          <w:szCs w:val="21"/>
          <w:highlight w:val="none"/>
        </w:rPr>
        <w:t>（十）估价方法</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_Toc462218101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15</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"_Toc462218102" </w:instrText>
      </w:r>
      <w:r>
        <w:rPr>
          <w:color w:val="auto"/>
          <w:highlight w:val="none"/>
        </w:rPr>
        <w:fldChar w:fldCharType="separate"/>
      </w:r>
      <w:r>
        <w:rPr>
          <w:rStyle w:val="25"/>
          <w:rFonts w:hint="eastAsia" w:ascii="黑体" w:hAnsi="黑体" w:eastAsia="黑体" w:cs="黑体"/>
          <w:color w:val="auto"/>
          <w:szCs w:val="21"/>
          <w:highlight w:val="none"/>
        </w:rPr>
        <w:t>（十一）估价结果</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_Toc462218102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15</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"_Toc462218103" </w:instrText>
      </w:r>
      <w:r>
        <w:rPr>
          <w:color w:val="auto"/>
          <w:highlight w:val="none"/>
        </w:rPr>
        <w:fldChar w:fldCharType="separate"/>
      </w:r>
      <w:r>
        <w:rPr>
          <w:rStyle w:val="25"/>
          <w:rFonts w:hint="eastAsia" w:ascii="黑体" w:hAnsi="黑体" w:eastAsia="黑体" w:cs="黑体"/>
          <w:color w:val="auto"/>
          <w:szCs w:val="21"/>
          <w:highlight w:val="none"/>
        </w:rPr>
        <w:t>（十二）注册房地产估价师</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_Toc462218103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16</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"_Toc462218104" </w:instrText>
      </w:r>
      <w:r>
        <w:rPr>
          <w:color w:val="auto"/>
          <w:highlight w:val="none"/>
        </w:rPr>
        <w:fldChar w:fldCharType="separate"/>
      </w:r>
      <w:r>
        <w:rPr>
          <w:rStyle w:val="25"/>
          <w:rFonts w:hint="eastAsia" w:ascii="黑体" w:hAnsi="黑体" w:eastAsia="黑体" w:cs="黑体"/>
          <w:color w:val="auto"/>
          <w:szCs w:val="21"/>
          <w:highlight w:val="none"/>
        </w:rPr>
        <w:t>（十三）实地查勘期</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_Toc462218104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17</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"_Toc462218105" </w:instrText>
      </w:r>
      <w:r>
        <w:rPr>
          <w:color w:val="auto"/>
          <w:highlight w:val="none"/>
        </w:rPr>
        <w:fldChar w:fldCharType="separate"/>
      </w:r>
      <w:r>
        <w:rPr>
          <w:rStyle w:val="25"/>
          <w:rFonts w:hint="eastAsia" w:ascii="黑体" w:hAnsi="黑体" w:eastAsia="黑体" w:cs="黑体"/>
          <w:color w:val="auto"/>
          <w:szCs w:val="21"/>
          <w:highlight w:val="none"/>
        </w:rPr>
        <w:t>（十四）估价作业期</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_Toc462218105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17</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ascii="黑体" w:hAnsi="黑体" w:eastAsia="黑体" w:cs="黑体"/>
          <w:color w:val="auto"/>
          <w:szCs w:val="21"/>
          <w:highlight w:val="none"/>
        </w:rPr>
      </w:pPr>
      <w:r>
        <w:rPr>
          <w:color w:val="auto"/>
          <w:highlight w:val="none"/>
        </w:rPr>
        <w:fldChar w:fldCharType="begin"/>
      </w:r>
      <w:r>
        <w:rPr>
          <w:color w:val="auto"/>
          <w:highlight w:val="none"/>
        </w:rPr>
        <w:instrText xml:space="preserve"> HYPERLINK \l "_Toc462218106" </w:instrText>
      </w:r>
      <w:r>
        <w:rPr>
          <w:color w:val="auto"/>
          <w:highlight w:val="none"/>
        </w:rPr>
        <w:fldChar w:fldCharType="separate"/>
      </w:r>
      <w:r>
        <w:rPr>
          <w:rStyle w:val="25"/>
          <w:rFonts w:hint="eastAsia" w:ascii="黑体" w:hAnsi="黑体" w:eastAsia="黑体" w:cs="黑体"/>
          <w:color w:val="auto"/>
          <w:szCs w:val="21"/>
          <w:highlight w:val="none"/>
        </w:rPr>
        <w:t>（十五）估价报告使用期限</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_Toc462218106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17</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pStyle w:val="16"/>
        <w:rPr>
          <w:rFonts w:hint="default" w:eastAsia="黑体"/>
          <w:color w:val="auto"/>
          <w:highlight w:val="none"/>
          <w:lang w:val="en-US" w:eastAsia="zh-CN"/>
        </w:rPr>
      </w:pPr>
      <w:r>
        <w:rPr>
          <w:color w:val="auto"/>
          <w:highlight w:val="none"/>
        </w:rPr>
        <w:fldChar w:fldCharType="begin"/>
      </w:r>
      <w:r>
        <w:rPr>
          <w:color w:val="auto"/>
          <w:highlight w:val="none"/>
        </w:rPr>
        <w:instrText xml:space="preserve"> HYPERLINK \l "_Toc462218107" </w:instrText>
      </w:r>
      <w:r>
        <w:rPr>
          <w:color w:val="auto"/>
          <w:highlight w:val="none"/>
        </w:rPr>
        <w:fldChar w:fldCharType="separate"/>
      </w:r>
      <w:r>
        <w:rPr>
          <w:rStyle w:val="25"/>
          <w:rFonts w:hint="eastAsia" w:ascii="黑体" w:hAnsi="黑体" w:eastAsia="黑体" w:cs="黑体"/>
          <w:color w:val="auto"/>
          <w:szCs w:val="21"/>
          <w:highlight w:val="none"/>
        </w:rPr>
        <w:t>附   件</w:t>
      </w:r>
      <w:r>
        <w:rPr>
          <w:rFonts w:hint="eastAsia" w:ascii="黑体" w:hAnsi="黑体" w:eastAsia="黑体" w:cs="黑体"/>
          <w:color w:val="auto"/>
          <w:szCs w:val="21"/>
          <w:highlight w:val="none"/>
        </w:rPr>
        <w:tab/>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PAGEREF _Toc462218107 \h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18</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fldChar w:fldCharType="end"/>
      </w:r>
    </w:p>
    <w:p>
      <w:pPr>
        <w:snapToGrid w:val="0"/>
        <w:spacing w:line="360" w:lineRule="auto"/>
        <w:rPr>
          <w:rFonts w:ascii="黑体" w:hAnsi="黑体" w:eastAsia="黑体"/>
          <w:color w:val="auto"/>
          <w:szCs w:val="21"/>
          <w:highlight w:val="none"/>
        </w:rPr>
      </w:pPr>
      <w:r>
        <w:rPr>
          <w:rFonts w:ascii="黑体" w:hAnsi="黑体" w:eastAsia="黑体"/>
          <w:color w:val="auto"/>
          <w:szCs w:val="21"/>
          <w:highlight w:val="none"/>
        </w:rPr>
        <w:fldChar w:fldCharType="end"/>
      </w:r>
    </w:p>
    <w:p>
      <w:pPr>
        <w:rPr>
          <w:color w:val="auto"/>
          <w:highlight w:val="none"/>
        </w:rPr>
      </w:pPr>
      <w:bookmarkStart w:id="16" w:name="_Toc462218083"/>
    </w:p>
    <w:p>
      <w:pPr>
        <w:rPr>
          <w:color w:val="auto"/>
          <w:highlight w:val="none"/>
        </w:rPr>
      </w:pPr>
    </w:p>
    <w:p>
      <w:pPr>
        <w:widowControl/>
        <w:jc w:val="left"/>
        <w:rPr>
          <w:color w:val="auto"/>
          <w:highlight w:val="none"/>
        </w:rPr>
      </w:pPr>
      <w:r>
        <w:rPr>
          <w:color w:val="auto"/>
          <w:highlight w:val="none"/>
        </w:rPr>
        <w:br w:type="page"/>
      </w:r>
    </w:p>
    <w:p>
      <w:pPr>
        <w:pStyle w:val="17"/>
        <w:spacing w:line="240" w:lineRule="auto"/>
        <w:rPr>
          <w:rFonts w:ascii="黑体" w:hAnsi="黑体" w:eastAsia="黑体" w:cs="黑体"/>
          <w:color w:val="auto"/>
          <w:highlight w:val="none"/>
        </w:rPr>
      </w:pPr>
      <w:r>
        <w:rPr>
          <w:rFonts w:hint="eastAsia" w:ascii="黑体" w:hAnsi="黑体" w:eastAsia="黑体" w:cs="黑体"/>
          <w:color w:val="auto"/>
          <w:highlight w:val="none"/>
        </w:rPr>
        <w:t>一、注册房地产估价师声明</w:t>
      </w:r>
      <w:bookmarkEnd w:id="16"/>
    </w:p>
    <w:p>
      <w:pPr>
        <w:spacing w:line="360" w:lineRule="auto"/>
        <w:ind w:firstLine="641"/>
        <w:rPr>
          <w:rFonts w:ascii="仿宋_GB2312" w:eastAsia="仿宋_GB2312"/>
          <w:color w:val="auto"/>
          <w:sz w:val="24"/>
          <w:highlight w:val="none"/>
        </w:rPr>
      </w:pPr>
      <w:r>
        <w:rPr>
          <w:rFonts w:hint="eastAsia" w:ascii="仿宋_GB2312" w:eastAsia="仿宋_GB2312"/>
          <w:color w:val="auto"/>
          <w:sz w:val="24"/>
          <w:highlight w:val="none"/>
        </w:rPr>
        <w:t>我们郑重声明：</w:t>
      </w:r>
    </w:p>
    <w:p>
      <w:pPr>
        <w:numPr>
          <w:ilvl w:val="0"/>
          <w:numId w:val="1"/>
        </w:numPr>
        <w:spacing w:line="360" w:lineRule="auto"/>
        <w:ind w:firstLine="641"/>
        <w:rPr>
          <w:rFonts w:ascii="仿宋_GB2312" w:eastAsia="仿宋_GB2312"/>
          <w:color w:val="auto"/>
          <w:sz w:val="24"/>
          <w:highlight w:val="none"/>
        </w:rPr>
      </w:pPr>
      <w:r>
        <w:rPr>
          <w:rFonts w:hint="eastAsia" w:ascii="仿宋_GB2312" w:eastAsia="仿宋_GB2312"/>
          <w:color w:val="auto"/>
          <w:sz w:val="24"/>
          <w:highlight w:val="none"/>
        </w:rPr>
        <w:t>我们在本估价报告中陈述的事实是真实的和准确的，没有虚假记载、误导性陈述和重大遗漏。</w:t>
      </w:r>
    </w:p>
    <w:p>
      <w:pPr>
        <w:spacing w:line="360" w:lineRule="auto"/>
        <w:ind w:firstLine="720" w:firstLineChars="300"/>
        <w:rPr>
          <w:rFonts w:ascii="仿宋_GB2312" w:eastAsia="仿宋_GB2312"/>
          <w:color w:val="auto"/>
          <w:sz w:val="24"/>
          <w:highlight w:val="none"/>
        </w:rPr>
      </w:pPr>
      <w:r>
        <w:rPr>
          <w:rFonts w:hint="eastAsia" w:ascii="仿宋_GB2312" w:eastAsia="仿宋_GB2312"/>
          <w:color w:val="auto"/>
          <w:sz w:val="24"/>
          <w:highlight w:val="none"/>
        </w:rPr>
        <w:t>二、估价报告中的分析、意见和结论是我们自己独立、客观、公正的专业分析、意见和结论，但受到本估价报告中已说明的假设和限制条件的限制。</w:t>
      </w:r>
    </w:p>
    <w:p>
      <w:pPr>
        <w:spacing w:line="360" w:lineRule="auto"/>
        <w:ind w:firstLine="641"/>
        <w:rPr>
          <w:rFonts w:ascii="仿宋_GB2312" w:eastAsia="仿宋_GB2312"/>
          <w:color w:val="auto"/>
          <w:sz w:val="24"/>
          <w:highlight w:val="none"/>
        </w:rPr>
      </w:pPr>
      <w:r>
        <w:rPr>
          <w:rFonts w:hint="eastAsia" w:ascii="仿宋_GB2312" w:eastAsia="仿宋_GB2312"/>
          <w:color w:val="auto"/>
          <w:sz w:val="24"/>
          <w:highlight w:val="none"/>
        </w:rPr>
        <w:t>三、我们与本估价报告中的估价对象没有现实或潜在的利益，也与估价委托人及估价利害关系人没有利害关系，也对估价对象、估价委托人及估价利害关系人没有偏见。</w:t>
      </w:r>
    </w:p>
    <w:p>
      <w:pPr>
        <w:spacing w:line="360" w:lineRule="auto"/>
        <w:ind w:firstLine="641"/>
        <w:rPr>
          <w:rFonts w:ascii="仿宋_GB2312" w:hAnsi="仿宋" w:eastAsia="仿宋_GB2312"/>
          <w:color w:val="auto"/>
          <w:sz w:val="24"/>
          <w:highlight w:val="none"/>
        </w:rPr>
      </w:pPr>
      <w:r>
        <w:rPr>
          <w:rFonts w:hint="eastAsia" w:ascii="仿宋_GB2312" w:eastAsia="仿宋_GB2312"/>
          <w:color w:val="auto"/>
          <w:sz w:val="24"/>
          <w:highlight w:val="none"/>
        </w:rPr>
        <w:t>四、我们</w:t>
      </w:r>
      <w:r>
        <w:rPr>
          <w:rFonts w:hint="eastAsia" w:ascii="仿宋_GB2312" w:hAnsi="仿宋" w:eastAsia="仿宋_GB2312"/>
          <w:color w:val="auto"/>
          <w:sz w:val="24"/>
          <w:highlight w:val="none"/>
        </w:rPr>
        <w:t>依照中华人民共和国国家标准《房地产估价规范》【</w:t>
      </w:r>
      <w:r>
        <w:rPr>
          <w:rFonts w:ascii="仿宋_GB2312" w:hAnsi="仿宋" w:eastAsia="仿宋_GB2312"/>
          <w:color w:val="auto"/>
          <w:sz w:val="24"/>
          <w:highlight w:val="none"/>
        </w:rPr>
        <w:t>GB/T 50291-2015</w:t>
      </w:r>
      <w:r>
        <w:rPr>
          <w:rFonts w:hint="eastAsia" w:ascii="仿宋_GB2312" w:hAnsi="仿宋" w:eastAsia="仿宋_GB2312"/>
          <w:color w:val="auto"/>
          <w:sz w:val="24"/>
          <w:highlight w:val="none"/>
        </w:rPr>
        <w:t>】、《</w:t>
      </w:r>
      <w:r>
        <w:rPr>
          <w:rFonts w:hint="eastAsia" w:ascii="仿宋_GB2312" w:eastAsia="仿宋_GB2312"/>
          <w:color w:val="auto"/>
          <w:sz w:val="24"/>
          <w:highlight w:val="none"/>
        </w:rPr>
        <w:t>房地产估价基本术语标准》【</w:t>
      </w:r>
      <w:r>
        <w:rPr>
          <w:rFonts w:ascii="仿宋_GB2312" w:eastAsia="仿宋_GB2312"/>
          <w:color w:val="auto"/>
          <w:sz w:val="24"/>
          <w:highlight w:val="none"/>
        </w:rPr>
        <w:t>GB/T 50899-2013</w:t>
      </w:r>
      <w:r>
        <w:rPr>
          <w:rFonts w:hint="eastAsia" w:ascii="仿宋_GB2312" w:eastAsia="仿宋_GB2312"/>
          <w:color w:val="auto"/>
          <w:sz w:val="24"/>
          <w:highlight w:val="none"/>
        </w:rPr>
        <w:t>】</w:t>
      </w:r>
      <w:r>
        <w:rPr>
          <w:rFonts w:hint="eastAsia" w:ascii="仿宋_GB2312" w:hAnsi="仿宋" w:eastAsia="仿宋_GB2312"/>
          <w:color w:val="auto"/>
          <w:sz w:val="24"/>
          <w:highlight w:val="none"/>
        </w:rPr>
        <w:t>进行分析，形成意见和结论，撰写本估价报告。</w:t>
      </w:r>
    </w:p>
    <w:p>
      <w:pPr>
        <w:spacing w:line="360" w:lineRule="auto"/>
        <w:ind w:firstLine="641"/>
        <w:rPr>
          <w:rFonts w:ascii="仿宋_GB2312" w:eastAsia="仿宋_GB2312"/>
          <w:color w:val="auto"/>
          <w:sz w:val="24"/>
          <w:highlight w:val="none"/>
        </w:rPr>
      </w:pPr>
      <w:r>
        <w:rPr>
          <w:rFonts w:hint="eastAsia" w:ascii="仿宋_GB2312" w:eastAsia="仿宋_GB2312"/>
          <w:color w:val="auto"/>
          <w:sz w:val="24"/>
          <w:highlight w:val="none"/>
        </w:rPr>
        <w:t>五、</w:t>
      </w:r>
      <w:r>
        <w:rPr>
          <w:rFonts w:hint="eastAsia" w:ascii="仿宋_GB2312" w:hAnsi="宋体" w:eastAsia="仿宋_GB2312"/>
          <w:color w:val="auto"/>
          <w:sz w:val="24"/>
          <w:highlight w:val="none"/>
        </w:rPr>
        <w:t>注册房地产估价师</w:t>
      </w:r>
      <w:r>
        <w:rPr>
          <w:rFonts w:hint="eastAsia" w:ascii="仿宋_GB2312" w:eastAsia="仿宋_GB2312"/>
          <w:color w:val="auto"/>
          <w:sz w:val="24"/>
          <w:highlight w:val="none"/>
        </w:rPr>
        <w:t>已于</w:t>
      </w:r>
      <w:r>
        <w:rPr>
          <w:rFonts w:hint="eastAsia" w:ascii="仿宋_GB2312" w:eastAsia="仿宋_GB2312"/>
          <w:color w:val="auto"/>
          <w:sz w:val="24"/>
          <w:highlight w:val="none"/>
          <w:lang w:eastAsia="zh-CN"/>
        </w:rPr>
        <w:t>2022年7月5日</w:t>
      </w:r>
      <w:r>
        <w:rPr>
          <w:rFonts w:hint="eastAsia" w:ascii="仿宋_GB2312" w:eastAsia="仿宋_GB2312"/>
          <w:color w:val="auto"/>
          <w:sz w:val="24"/>
          <w:highlight w:val="none"/>
        </w:rPr>
        <w:t>对估价报告中的估价对象进行了实地查勘，然而未使用专业检测仪器对其结构及设备进行检测。其建筑物及相关设备的质量情况最终应以有相关资质机构的鉴定结果为准</w:t>
      </w:r>
      <w:r>
        <w:rPr>
          <w:rFonts w:hint="eastAsia" w:ascii="仿宋_GB2312" w:hAnsi="仿宋" w:eastAsia="仿宋_GB2312"/>
          <w:color w:val="auto"/>
          <w:sz w:val="24"/>
          <w:highlight w:val="none"/>
        </w:rPr>
        <w:t>。</w:t>
      </w:r>
    </w:p>
    <w:p>
      <w:pPr>
        <w:spacing w:line="360" w:lineRule="auto"/>
        <w:ind w:firstLine="641"/>
        <w:rPr>
          <w:rFonts w:ascii="仿宋_GB2312" w:hAnsi="仿宋" w:eastAsia="仿宋_GB2312"/>
          <w:color w:val="auto"/>
          <w:sz w:val="24"/>
          <w:highlight w:val="none"/>
        </w:rPr>
      </w:pPr>
      <w:r>
        <w:rPr>
          <w:rFonts w:hint="eastAsia" w:ascii="仿宋_GB2312" w:eastAsia="仿宋_GB2312"/>
          <w:color w:val="auto"/>
          <w:sz w:val="24"/>
          <w:highlight w:val="none"/>
        </w:rPr>
        <w:t>六、没有外部专家和单位对本估价报告提供重要专业帮助</w:t>
      </w:r>
      <w:r>
        <w:rPr>
          <w:rFonts w:hint="eastAsia" w:ascii="仿宋_GB2312" w:hAnsi="仿宋" w:eastAsia="仿宋_GB2312"/>
          <w:color w:val="auto"/>
          <w:sz w:val="24"/>
          <w:highlight w:val="none"/>
        </w:rPr>
        <w:t>。</w:t>
      </w:r>
    </w:p>
    <w:p>
      <w:pPr>
        <w:widowControl/>
        <w:jc w:val="left"/>
        <w:rPr>
          <w:rFonts w:ascii="仿宋_GB2312" w:eastAsia="仿宋_GB2312"/>
          <w:color w:val="auto"/>
          <w:sz w:val="28"/>
          <w:szCs w:val="28"/>
          <w:highlight w:val="none"/>
        </w:rPr>
      </w:pPr>
      <w:r>
        <w:rPr>
          <w:rFonts w:ascii="仿宋_GB2312" w:eastAsia="仿宋_GB2312"/>
          <w:color w:val="auto"/>
          <w:sz w:val="28"/>
          <w:szCs w:val="28"/>
          <w:highlight w:val="none"/>
        </w:rPr>
        <w:br w:type="page"/>
      </w:r>
    </w:p>
    <w:p>
      <w:pPr>
        <w:pStyle w:val="17"/>
        <w:spacing w:line="540" w:lineRule="exact"/>
        <w:rPr>
          <w:rFonts w:ascii="黑体" w:hAnsi="黑体" w:eastAsia="黑体" w:cs="黑体"/>
          <w:color w:val="auto"/>
          <w:highlight w:val="none"/>
        </w:rPr>
      </w:pPr>
      <w:bookmarkStart w:id="17" w:name="_Toc462218084"/>
      <w:r>
        <w:rPr>
          <w:rFonts w:hint="eastAsia" w:ascii="黑体" w:hAnsi="黑体" w:eastAsia="黑体" w:cs="黑体"/>
          <w:color w:val="auto"/>
          <w:highlight w:val="none"/>
        </w:rPr>
        <w:t>二、估价假设和限制条件</w:t>
      </w:r>
      <w:bookmarkEnd w:id="17"/>
    </w:p>
    <w:p>
      <w:pPr>
        <w:pStyle w:val="4"/>
        <w:spacing w:before="0" w:after="0" w:line="360" w:lineRule="auto"/>
        <w:ind w:left="0" w:leftChars="0" w:right="210" w:firstLine="472" w:firstLineChars="196"/>
        <w:rPr>
          <w:color w:val="auto"/>
          <w:sz w:val="24"/>
          <w:szCs w:val="24"/>
          <w:highlight w:val="none"/>
        </w:rPr>
      </w:pPr>
      <w:bookmarkStart w:id="18" w:name="_Toc462218085"/>
      <w:r>
        <w:rPr>
          <w:rFonts w:hint="eastAsia"/>
          <w:color w:val="auto"/>
          <w:sz w:val="24"/>
          <w:szCs w:val="24"/>
          <w:highlight w:val="none"/>
        </w:rPr>
        <w:t>1、一般假设</w:t>
      </w:r>
      <w:bookmarkEnd w:id="18"/>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（1）在价值时点的房地产市场为公开、平等、自愿的交易市场。</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（2）估价对象产权明晰，手续齐全，可在公开市场上自由转让。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（3）任何有关估价对象的运作方式、程序均符合国家、地方的有关法律、法规。</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（4）本次估价结果未考虑国家宏观经济政策发生重大变化以及遇有自然力和其他不可抗力对估价结论的影响。</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（5）本报告以估价对象在价值时点时的状况为依据进行的，且以该状况在估价报告使用期限内无重大变化为前提。</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（6）本次估价未考虑除已披露事项外可能与估价对象产权人有关的债权及债务情况对估价结果的影响。</w:t>
      </w:r>
    </w:p>
    <w:p>
      <w:pPr>
        <w:spacing w:line="360" w:lineRule="auto"/>
        <w:ind w:firstLine="480" w:firstLineChars="20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（7）</w:t>
      </w:r>
      <w:bookmarkStart w:id="19" w:name="B001__COMPARE"/>
      <w:bookmarkEnd w:id="19"/>
      <w:r>
        <w:rPr>
          <w:rFonts w:hint="eastAsia" w:ascii="仿宋_GB2312" w:eastAsia="仿宋_GB2312"/>
          <w:color w:val="auto"/>
          <w:sz w:val="24"/>
          <w:highlight w:val="none"/>
        </w:rPr>
        <w:t>本次估价是以估价委托人提供的与估价对象有关的法律文件、权属证明及相关资料真实、合法、准确、完整为前提。如因委托人提供资料有误而造成评估值失实，估价机构和估价人员不承担相应责任。</w:t>
      </w:r>
    </w:p>
    <w:p>
      <w:pPr>
        <w:spacing w:line="460" w:lineRule="exact"/>
        <w:ind w:firstLine="480" w:firstLineChars="200"/>
        <w:rPr>
          <w:rFonts w:hint="eastAsia" w:ascii="仿宋_GB2312" w:hAnsi="宋体" w:eastAsia="仿宋_GB2312"/>
          <w:color w:val="auto"/>
          <w:sz w:val="24"/>
          <w:highlight w:val="none"/>
          <w:lang w:eastAsia="zh-CN"/>
        </w:rPr>
      </w:pPr>
      <w:r>
        <w:rPr>
          <w:rFonts w:hint="eastAsia" w:ascii="仿宋_GB2312" w:hAnsi="宋体" w:eastAsia="仿宋_GB2312"/>
          <w:color w:val="auto"/>
          <w:sz w:val="24"/>
          <w:highlight w:val="none"/>
        </w:rPr>
        <w:t>（8）</w:t>
      </w:r>
      <w:r>
        <w:rPr>
          <w:rFonts w:hint="eastAsia" w:ascii="仿宋_GB2312" w:eastAsia="仿宋_GB2312"/>
          <w:color w:val="auto"/>
          <w:sz w:val="24"/>
          <w:highlight w:val="none"/>
        </w:rPr>
        <w:t>估价人员对估价对象所在小区位置及周边情况进行了实地查勘，但估价人员对估价对象的现场查勘仅限于估价对象的外观及外部设施设备情况，并未对估价对象做建筑物基础、房屋结构上的测量和实验，因此无法确认估价对象建筑物是否存在结构性损坏。对被遮盖、未暴露及难以接触到的房屋结构部分及其内部设施、设备，本报告假设其无建筑物基础、房屋结构等方面的重大质量问题，符合国家有关技术、质量、验收规范，且符合国家有关安全使用标准</w:t>
      </w:r>
      <w:r>
        <w:rPr>
          <w:rFonts w:hint="eastAsia" w:ascii="仿宋_GB2312" w:hAnsi="宋体" w:eastAsia="仿宋_GB2312"/>
          <w:color w:val="auto"/>
          <w:sz w:val="24"/>
          <w:highlight w:val="none"/>
          <w:lang w:eastAsia="zh-CN"/>
        </w:rPr>
        <w:t>。</w:t>
      </w:r>
    </w:p>
    <w:p>
      <w:pPr>
        <w:spacing w:line="360" w:lineRule="auto"/>
        <w:ind w:firstLine="480" w:firstLineChars="20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9）本次评估价值时点设定为实地查勘之日，目的是为人民法院确定财产处置参考价提供参考依据，故本次评估假定人民法院拍卖（或者变卖）财产之日的估价对象状况和房地产市场状况与实地查勘完成之日的状况相同。</w:t>
      </w:r>
    </w:p>
    <w:p>
      <w:pPr>
        <w:spacing w:line="360" w:lineRule="auto"/>
        <w:ind w:firstLine="480" w:firstLineChars="200"/>
        <w:rPr>
          <w:rFonts w:hint="eastAsia" w:ascii="仿宋_GB2312" w:hAnsi="宋体" w:eastAsia="仿宋_GB2312"/>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0</w:t>
      </w:r>
      <w:r>
        <w:rPr>
          <w:rFonts w:hint="eastAsia" w:ascii="仿宋_GB2312" w:eastAsia="仿宋_GB2312"/>
          <w:color w:val="auto"/>
          <w:sz w:val="24"/>
          <w:highlight w:val="none"/>
        </w:rPr>
        <w:t>）涉执房地产处置司法评估应当考虑评估对象欠缴税费（含物业费、供暖费、水电气费等）对评估结果的影响，本次评估委托方未明确估价对象存在欠缴税费，我司亦未掌握相关情况，本次评估假定估价对象不存在欠缴税费</w:t>
      </w:r>
      <w:r>
        <w:rPr>
          <w:rFonts w:hint="eastAsia" w:ascii="仿宋_GB2312" w:hAnsi="宋体" w:eastAsia="仿宋_GB2312"/>
          <w:color w:val="auto"/>
          <w:sz w:val="24"/>
          <w:highlight w:val="none"/>
        </w:rPr>
        <w:t>，并以此为估价前提，请报告使用方自行核实。</w:t>
      </w:r>
    </w:p>
    <w:p>
      <w:pPr>
        <w:spacing w:line="360" w:lineRule="auto"/>
        <w:ind w:firstLine="480" w:firstLineChars="200"/>
        <w:rPr>
          <w:rFonts w:hint="eastAsia" w:ascii="仿宋_GB2312" w:eastAsia="仿宋_GB2312"/>
          <w:color w:val="auto"/>
          <w:sz w:val="24"/>
          <w:highlight w:val="none"/>
        </w:rPr>
      </w:pP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lang w:val="en-US" w:eastAsia="zh-CN"/>
        </w:rPr>
        <w:t>11</w:t>
      </w:r>
      <w:r>
        <w:rPr>
          <w:rFonts w:hint="eastAsia" w:ascii="仿宋_GB2312" w:hAnsi="宋体" w:eastAsia="仿宋_GB2312"/>
          <w:color w:val="auto"/>
          <w:sz w:val="24"/>
          <w:highlight w:val="none"/>
          <w:lang w:eastAsia="zh-CN"/>
        </w:rPr>
        <w:t>）</w:t>
      </w:r>
      <w:r>
        <w:rPr>
          <w:rFonts w:hint="eastAsia" w:ascii="仿宋_GB2312" w:eastAsia="仿宋_GB2312"/>
          <w:color w:val="auto"/>
          <w:sz w:val="24"/>
          <w:highlight w:val="none"/>
        </w:rPr>
        <w:t>人民法院未明确除去原有的租赁权和用益物权后拍卖（或者变卖）的，应当考虑原有租赁权、用益物权对</w:t>
      </w:r>
      <w:r>
        <w:rPr>
          <w:rFonts w:hint="eastAsia" w:ascii="仿宋_GB2312" w:eastAsia="仿宋_GB2312"/>
          <w:color w:val="auto"/>
          <w:sz w:val="24"/>
          <w:highlight w:val="none"/>
          <w:lang w:eastAsia="zh-CN"/>
        </w:rPr>
        <w:t>评估结果的影响。本次评估委托方未明确估价对象存在租赁权和其他用益物权，我司亦未掌握相关情况，本次评估假定估价对象未设定租赁权和其他用益物权，并以</w:t>
      </w:r>
      <w:r>
        <w:rPr>
          <w:rFonts w:hint="eastAsia" w:ascii="仿宋_GB2312" w:hAnsi="宋体" w:eastAsia="仿宋_GB2312"/>
          <w:color w:val="auto"/>
          <w:sz w:val="24"/>
          <w:highlight w:val="none"/>
        </w:rPr>
        <w:t>此为估价前提，请报告使用方自行核实。</w:t>
      </w:r>
    </w:p>
    <w:p>
      <w:pPr>
        <w:pStyle w:val="4"/>
        <w:spacing w:before="0" w:after="0" w:line="360" w:lineRule="auto"/>
        <w:ind w:left="0" w:leftChars="0" w:right="210" w:firstLine="472" w:firstLineChars="196"/>
        <w:rPr>
          <w:color w:val="auto"/>
          <w:sz w:val="24"/>
          <w:szCs w:val="24"/>
          <w:highlight w:val="none"/>
        </w:rPr>
      </w:pPr>
      <w:bookmarkStart w:id="20" w:name="_Toc462218086"/>
      <w:r>
        <w:rPr>
          <w:rFonts w:hint="eastAsia"/>
          <w:color w:val="auto"/>
          <w:sz w:val="24"/>
          <w:szCs w:val="24"/>
          <w:highlight w:val="none"/>
        </w:rPr>
        <w:t>2、未定事项假设</w:t>
      </w:r>
      <w:bookmarkEnd w:id="20"/>
    </w:p>
    <w:p>
      <w:pPr>
        <w:spacing w:line="360" w:lineRule="auto"/>
        <w:ind w:firstLine="480" w:firstLineChars="200"/>
        <w:rPr>
          <w:rFonts w:ascii="仿宋_GB2312" w:hAnsi="宋体" w:eastAsia="仿宋_GB2312"/>
          <w:color w:val="auto"/>
          <w:sz w:val="24"/>
          <w:highlight w:val="none"/>
        </w:rPr>
      </w:pPr>
      <w:bookmarkStart w:id="21" w:name="_Toc25949"/>
      <w:bookmarkStart w:id="22" w:name="_Toc462218087"/>
      <w:bookmarkStart w:id="23" w:name="_Toc436298589"/>
      <w:r>
        <w:rPr>
          <w:rFonts w:hint="eastAsia" w:ascii="仿宋_GB2312" w:hAnsi="宋体" w:eastAsia="仿宋_GB2312"/>
          <w:color w:val="auto"/>
          <w:sz w:val="24"/>
          <w:highlight w:val="none"/>
        </w:rPr>
        <w:t>未定事项假设是对估价所必需的尚未明确或不够明确的土地用途、容积率等事项所做的合理的、最可能的假定。</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本次估价无未定事项假设。</w:t>
      </w:r>
    </w:p>
    <w:p>
      <w:pPr>
        <w:pStyle w:val="4"/>
        <w:spacing w:before="0" w:after="0" w:line="360" w:lineRule="auto"/>
        <w:ind w:left="0" w:leftChars="0" w:right="210" w:firstLine="472" w:firstLineChars="196"/>
        <w:rPr>
          <w:color w:val="auto"/>
          <w:sz w:val="24"/>
          <w:szCs w:val="24"/>
          <w:highlight w:val="none"/>
        </w:rPr>
      </w:pPr>
      <w:r>
        <w:rPr>
          <w:rFonts w:hint="eastAsia"/>
          <w:color w:val="auto"/>
          <w:sz w:val="24"/>
          <w:szCs w:val="24"/>
          <w:highlight w:val="none"/>
        </w:rPr>
        <w:t>3、背离事实假设</w:t>
      </w:r>
      <w:bookmarkEnd w:id="21"/>
      <w:bookmarkEnd w:id="22"/>
      <w:bookmarkEnd w:id="23"/>
    </w:p>
    <w:p>
      <w:pPr>
        <w:spacing w:line="360" w:lineRule="auto"/>
        <w:ind w:firstLine="480" w:firstLineChars="200"/>
        <w:rPr>
          <w:rFonts w:hint="eastAsia" w:ascii="仿宋_GB2312" w:eastAsia="仿宋_GB2312"/>
          <w:color w:val="auto"/>
          <w:sz w:val="24"/>
          <w:highlight w:val="none"/>
        </w:rPr>
      </w:pPr>
      <w:r>
        <w:rPr>
          <w:rFonts w:hint="eastAsia" w:ascii="仿宋_GB2312" w:eastAsia="仿宋_GB2312"/>
          <w:color w:val="auto"/>
          <w:sz w:val="24"/>
          <w:highlight w:val="none"/>
        </w:rPr>
        <w:t>背离事项假设是因估价目的的特殊需要、交易条件设定或约定，对估价对象状况所做的与估价对象在价值时点的实际状况不一致的合理假定。</w:t>
      </w:r>
    </w:p>
    <w:p>
      <w:pPr>
        <w:spacing w:line="360" w:lineRule="auto"/>
        <w:ind w:firstLine="480" w:firstLineChars="200"/>
        <w:rPr>
          <w:rFonts w:hint="eastAsia" w:ascii="仿宋_GB2312" w:eastAsia="仿宋_GB2312"/>
          <w:color w:val="auto"/>
          <w:sz w:val="24"/>
          <w:highlight w:val="none"/>
        </w:rPr>
      </w:pPr>
      <w:bookmarkStart w:id="24" w:name="_Toc462218088"/>
      <w:bookmarkStart w:id="25" w:name="_Toc436298590"/>
      <w:bookmarkStart w:id="26" w:name="_Toc26769"/>
      <w:r>
        <w:rPr>
          <w:rFonts w:hint="eastAsia" w:ascii="仿宋_GB2312" w:eastAsia="仿宋_GB2312"/>
          <w:color w:val="auto"/>
          <w:sz w:val="24"/>
          <w:highlight w:val="none"/>
          <w:lang w:eastAsia="zh-CN"/>
        </w:rPr>
        <w:t>根据委托方介绍及其提供的相关资料，</w:t>
      </w:r>
      <w:r>
        <w:rPr>
          <w:rFonts w:hint="eastAsia" w:ascii="仿宋_GB2312" w:eastAsia="仿宋_GB2312"/>
          <w:color w:val="auto"/>
          <w:sz w:val="24"/>
          <w:highlight w:val="none"/>
        </w:rPr>
        <w:t>估价对象处于</w:t>
      </w:r>
      <w:r>
        <w:rPr>
          <w:rFonts w:hint="eastAsia" w:ascii="仿宋_GB2312" w:eastAsia="仿宋_GB2312"/>
          <w:color w:val="auto"/>
          <w:sz w:val="24"/>
          <w:highlight w:val="none"/>
          <w:lang w:eastAsia="zh-CN"/>
        </w:rPr>
        <w:t>抵押</w:t>
      </w:r>
      <w:r>
        <w:rPr>
          <w:rFonts w:hint="eastAsia" w:ascii="仿宋_GB2312" w:eastAsia="仿宋_GB2312"/>
          <w:color w:val="auto"/>
          <w:sz w:val="24"/>
          <w:highlight w:val="none"/>
        </w:rPr>
        <w:t>状态。结合本次估价目的，评估价值的影响因素应包括拍卖房地产的瑕疵，但不应包括拍卖房地产被</w:t>
      </w:r>
      <w:r>
        <w:rPr>
          <w:rFonts w:hint="eastAsia" w:ascii="仿宋_GB2312" w:eastAsia="仿宋_GB2312"/>
          <w:color w:val="auto"/>
          <w:sz w:val="24"/>
          <w:highlight w:val="none"/>
          <w:lang w:eastAsia="zh-CN"/>
        </w:rPr>
        <w:t>抵押、</w:t>
      </w:r>
      <w:r>
        <w:rPr>
          <w:rFonts w:hint="eastAsia" w:ascii="仿宋_GB2312" w:eastAsia="仿宋_GB2312"/>
          <w:color w:val="auto"/>
          <w:sz w:val="24"/>
          <w:highlight w:val="none"/>
        </w:rPr>
        <w:t>查封及拍卖房地产上原有的担保物权或其他优先受偿权，故本次未考虑估价对象</w:t>
      </w:r>
      <w:r>
        <w:rPr>
          <w:rFonts w:hint="eastAsia" w:ascii="仿宋_GB2312" w:eastAsia="仿宋_GB2312"/>
          <w:color w:val="auto"/>
          <w:sz w:val="24"/>
          <w:highlight w:val="none"/>
          <w:lang w:eastAsia="zh-CN"/>
        </w:rPr>
        <w:t>已抵押</w:t>
      </w:r>
      <w:r>
        <w:rPr>
          <w:rFonts w:hint="eastAsia" w:ascii="仿宋_GB2312" w:eastAsia="仿宋_GB2312"/>
          <w:color w:val="auto"/>
          <w:sz w:val="24"/>
          <w:highlight w:val="none"/>
        </w:rPr>
        <w:t>对评估价值的影响，以假定估价对象产权完整、能自由转让为前提。</w:t>
      </w:r>
    </w:p>
    <w:p>
      <w:pPr>
        <w:pStyle w:val="4"/>
        <w:spacing w:before="0" w:after="0" w:line="360" w:lineRule="auto"/>
        <w:ind w:left="0" w:leftChars="0" w:right="210" w:firstLine="472" w:firstLineChars="196"/>
        <w:rPr>
          <w:color w:val="auto"/>
          <w:sz w:val="24"/>
          <w:szCs w:val="24"/>
          <w:highlight w:val="none"/>
        </w:rPr>
      </w:pPr>
      <w:r>
        <w:rPr>
          <w:rFonts w:hint="eastAsia"/>
          <w:color w:val="auto"/>
          <w:sz w:val="24"/>
          <w:szCs w:val="24"/>
          <w:highlight w:val="none"/>
        </w:rPr>
        <w:t>4、不相一致假设</w:t>
      </w:r>
      <w:bookmarkEnd w:id="24"/>
      <w:bookmarkEnd w:id="25"/>
      <w:bookmarkEnd w:id="26"/>
      <w:bookmarkStart w:id="27" w:name="_Toc436298591"/>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不相一致假设是在估价对象的实际用途、房屋登记用途、土地登记用途、规划用途等用途之间不一致，或房屋权属证明、土地权属证明等资料的权利人之间不一致，估价对象的名称不一致等情况下，对估价所依据的用途或权利人、名称等的合理假定。</w:t>
      </w:r>
    </w:p>
    <w:p>
      <w:pPr>
        <w:spacing w:line="360" w:lineRule="auto"/>
        <w:ind w:firstLine="480" w:firstLineChars="200"/>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根据委托方提供的产权证（安乡县房权证深柳镇字第0028784号）及后附房屋分层分户平面图，估价对象为晨光小区3-B栋-101、-102户室，产权登记的建筑面积为205.59平方米；我司注册房地产估价师查勘现场时，案件双方当事人代表均到达现场，据被执行人代表介绍，晨光小区3-B栋-101、-102户室中仅有南侧部分为被执行人拥有，即被执行人代表介绍的房屋范围与委托方提供的产权证及房屋分层分户平面图所示范围不一致，但未告知具体原因；我司已将该情况书面告知委托方，根据委托方口头回复，要求我司按委托方提供的产权证登记范围（即205.59平方米）进行评估；故本次按委托方提供的产权证（安乡县房权证深柳镇字第0028784号）记载建筑面积及范围进行评估，如有不符，请补充相关权属变更资料，评估结果作相应调整。</w:t>
      </w:r>
    </w:p>
    <w:p>
      <w:pPr>
        <w:pStyle w:val="4"/>
        <w:spacing w:before="0" w:after="0" w:line="360" w:lineRule="auto"/>
        <w:ind w:left="0" w:leftChars="0" w:right="210" w:firstLine="472" w:firstLineChars="196"/>
        <w:rPr>
          <w:color w:val="auto"/>
          <w:sz w:val="24"/>
          <w:szCs w:val="24"/>
          <w:highlight w:val="none"/>
        </w:rPr>
      </w:pPr>
      <w:bookmarkStart w:id="28" w:name="_Toc462218089"/>
      <w:bookmarkStart w:id="29" w:name="_Toc17799"/>
      <w:r>
        <w:rPr>
          <w:rFonts w:hint="eastAsia"/>
          <w:color w:val="auto"/>
          <w:sz w:val="24"/>
          <w:szCs w:val="24"/>
          <w:highlight w:val="none"/>
        </w:rPr>
        <w:t>5、依据不足假设</w:t>
      </w:r>
      <w:bookmarkEnd w:id="27"/>
      <w:bookmarkEnd w:id="28"/>
      <w:bookmarkEnd w:id="29"/>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依据不足假设应说明在估价委托人无法提供估价所必需的反映估价对象状况的资料及注册</w:t>
      </w:r>
      <w:r>
        <w:rPr>
          <w:color w:val="auto"/>
          <w:highlight w:val="none"/>
        </w:rPr>
        <w:fldChar w:fldCharType="begin"/>
      </w:r>
      <w:r>
        <w:rPr>
          <w:color w:val="auto"/>
          <w:highlight w:val="none"/>
        </w:rPr>
        <w:instrText xml:space="preserve"> HYPERLINK "https://www.jianshe99.com/gujia/" \t "https://www.jianshe99.com/gujia/ziliao/_blank" \o "房地产估价师" </w:instrText>
      </w:r>
      <w:r>
        <w:rPr>
          <w:color w:val="auto"/>
          <w:highlight w:val="none"/>
        </w:rPr>
        <w:fldChar w:fldCharType="separate"/>
      </w:r>
      <w:r>
        <w:rPr>
          <w:rFonts w:hint="eastAsia" w:ascii="仿宋_GB2312" w:eastAsia="仿宋_GB2312"/>
          <w:color w:val="auto"/>
          <w:sz w:val="24"/>
          <w:highlight w:val="none"/>
        </w:rPr>
        <w:t>房地产估价师</w:t>
      </w:r>
      <w:r>
        <w:rPr>
          <w:rFonts w:hint="eastAsia" w:ascii="仿宋_GB2312" w:eastAsia="仿宋_GB2312"/>
          <w:color w:val="auto"/>
          <w:sz w:val="24"/>
          <w:highlight w:val="none"/>
        </w:rPr>
        <w:fldChar w:fldCharType="end"/>
      </w:r>
      <w:r>
        <w:rPr>
          <w:rFonts w:hint="eastAsia" w:ascii="仿宋_GB2312" w:eastAsia="仿宋_GB2312"/>
          <w:color w:val="auto"/>
          <w:sz w:val="24"/>
          <w:highlight w:val="none"/>
        </w:rPr>
        <w:t>进行了尽职调查仍然难以取得该资料的情况下，缺少该资料及对相应的估价对象状况的合理假定。当无依据不足时，应无依据不足假设。</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lang w:eastAsia="zh-CN"/>
        </w:rPr>
        <w:t>估价对象相关资</w:t>
      </w:r>
      <w:r>
        <w:rPr>
          <w:rFonts w:hint="eastAsia" w:ascii="仿宋_GB2312" w:eastAsia="仿宋_GB2312"/>
          <w:color w:val="auto"/>
          <w:sz w:val="24"/>
          <w:szCs w:val="24"/>
          <w:highlight w:val="none"/>
          <w:lang w:eastAsia="zh-CN"/>
        </w:rPr>
        <w:t>料均未</w:t>
      </w:r>
      <w:r>
        <w:rPr>
          <w:rFonts w:hint="eastAsia" w:ascii="仿宋_GB2312" w:eastAsia="仿宋_GB2312"/>
          <w:color w:val="auto"/>
          <w:sz w:val="24"/>
          <w:szCs w:val="24"/>
          <w:highlight w:val="none"/>
          <w:lang w:val="en-US" w:eastAsia="zh-CN"/>
        </w:rPr>
        <w:t>记载其房屋</w:t>
      </w:r>
      <w:r>
        <w:rPr>
          <w:rFonts w:hint="eastAsia" w:ascii="仿宋_GB2312" w:eastAsia="仿宋_GB2312"/>
          <w:color w:val="auto"/>
          <w:sz w:val="24"/>
          <w:highlight w:val="none"/>
          <w:lang w:eastAsia="zh-CN"/>
        </w:rPr>
        <w:t>建筑年代，经估价师调查了解，估价对象建筑年代约为</w:t>
      </w:r>
      <w:r>
        <w:rPr>
          <w:rFonts w:hint="eastAsia" w:ascii="仿宋_GB2312" w:eastAsia="仿宋_GB2312"/>
          <w:color w:val="auto"/>
          <w:sz w:val="24"/>
          <w:highlight w:val="none"/>
          <w:lang w:val="en-US" w:eastAsia="zh-CN"/>
        </w:rPr>
        <w:t>2011年，本次设定估价对象建筑年代为2011年，如有不符，评估结果作相应调整</w:t>
      </w:r>
      <w:r>
        <w:rPr>
          <w:rFonts w:hint="eastAsia" w:ascii="仿宋_GB2312" w:eastAsia="仿宋_GB2312"/>
          <w:color w:val="auto"/>
          <w:sz w:val="24"/>
          <w:highlight w:val="none"/>
        </w:rPr>
        <w:t>。</w:t>
      </w:r>
    </w:p>
    <w:p>
      <w:pPr>
        <w:pStyle w:val="4"/>
        <w:spacing w:before="0" w:after="0" w:line="360" w:lineRule="auto"/>
        <w:ind w:left="0" w:leftChars="0" w:right="210" w:firstLine="472" w:firstLineChars="196"/>
        <w:rPr>
          <w:color w:val="auto"/>
          <w:sz w:val="24"/>
          <w:szCs w:val="24"/>
          <w:highlight w:val="none"/>
        </w:rPr>
      </w:pPr>
      <w:bookmarkStart w:id="30" w:name="_Toc462218090"/>
      <w:r>
        <w:rPr>
          <w:rFonts w:hint="eastAsia"/>
          <w:color w:val="auto"/>
          <w:sz w:val="24"/>
          <w:szCs w:val="24"/>
          <w:highlight w:val="none"/>
        </w:rPr>
        <w:t>6、估价报告使用限制</w:t>
      </w:r>
      <w:bookmarkEnd w:id="30"/>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w:t>
      </w:r>
      <w:r>
        <w:rPr>
          <w:rFonts w:hint="eastAsia" w:ascii="仿宋_GB2312" w:eastAsia="仿宋_GB2312"/>
          <w:color w:val="auto"/>
          <w:sz w:val="24"/>
          <w:highlight w:val="none"/>
        </w:rPr>
        <w:t>本报告提出的评估结论仅适用于为人民法院确定财产处置参考价提供参考依据，不得作为评估目的以外的用途。如果估价条件或目的发生变化，估价报告需做相应调整。</w:t>
      </w:r>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（2）未经本估价机构书面同意，本报告的全部或任何一部分均不得向估价委托人、报告使用者、报告审查部门之外的单位和个人提供，也不得以任何形式公开发表。</w:t>
      </w:r>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（3）本报告必须完整使用方为有效，对仅使用本报告中部分内容而导致可能的损失，本估价机构不承担责任，</w:t>
      </w:r>
      <w:r>
        <w:rPr>
          <w:rFonts w:hint="eastAsia" w:ascii="仿宋_GB2312" w:eastAsia="仿宋_GB2312"/>
          <w:color w:val="auto"/>
          <w:sz w:val="24"/>
          <w:highlight w:val="none"/>
        </w:rPr>
        <w:t>应当按照法律规定和评估报告载明的用途、使用人、使用期限等使用范围使用评估报告。否则，房地产估价机构和注册房地产估价师依法不承担责任</w:t>
      </w:r>
      <w:r>
        <w:rPr>
          <w:rFonts w:hint="eastAsia" w:ascii="仿宋_GB2312" w:hAnsi="宋体" w:eastAsia="仿宋_GB2312"/>
          <w:color w:val="auto"/>
          <w:sz w:val="24"/>
          <w:highlight w:val="none"/>
        </w:rPr>
        <w:t>。</w:t>
      </w:r>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（4）估价结果未考虑资产占有方已承担的债务、或有债务及经营决策失误或市场运作失当对其价值的影响。</w:t>
      </w:r>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（5）本次估价结果受价值时点的限制，且本估价报告使用期限自估价报告出具之日</w:t>
      </w:r>
      <w:r>
        <w:rPr>
          <w:rFonts w:hint="eastAsia" w:ascii="仿宋_GB2312" w:hAnsi="宋体" w:eastAsia="仿宋_GB2312"/>
          <w:color w:val="auto"/>
          <w:sz w:val="24"/>
          <w:highlight w:val="none"/>
          <w:lang w:eastAsia="zh-CN"/>
        </w:rPr>
        <w:t>2022年7月26日</w:t>
      </w:r>
      <w:r>
        <w:rPr>
          <w:rFonts w:hint="eastAsia" w:ascii="仿宋_GB2312" w:hAnsi="宋体" w:eastAsia="仿宋_GB2312"/>
          <w:color w:val="auto"/>
          <w:sz w:val="24"/>
          <w:highlight w:val="none"/>
        </w:rPr>
        <w:t>起为壹年。</w:t>
      </w:r>
      <w:r>
        <w:rPr>
          <w:rFonts w:hint="eastAsia" w:ascii="仿宋_GB2312" w:eastAsia="仿宋_GB2312"/>
          <w:color w:val="auto"/>
          <w:sz w:val="24"/>
          <w:highlight w:val="none"/>
        </w:rPr>
        <w:t>在评估报告使用期限或者评估结果有效期内，评估报告或者评估结果未使用之前，如果评估对象状况或者房地产市场状况发生明显变化的，评估结果应当进行相应调整后才可使用</w:t>
      </w:r>
      <w:r>
        <w:rPr>
          <w:rFonts w:hint="eastAsia" w:ascii="仿宋_GB2312" w:hAnsi="宋体" w:eastAsia="仿宋_GB2312"/>
          <w:color w:val="auto"/>
          <w:sz w:val="24"/>
          <w:highlight w:val="none"/>
        </w:rPr>
        <w:t>。</w:t>
      </w:r>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（6）</w:t>
      </w:r>
      <w:r>
        <w:rPr>
          <w:rFonts w:hint="eastAsia" w:ascii="仿宋_GB2312" w:hAnsi="宋体" w:eastAsia="仿宋_GB2312"/>
          <w:color w:val="auto"/>
          <w:sz w:val="24"/>
          <w:highlight w:val="none"/>
        </w:rPr>
        <w:t>本次估价结果是指在目前房地产市场状况下、估价对象在现状利用条件下的房地产市场价值，包括国有出让土地使用权价值和与房屋有关的土建、安装</w:t>
      </w:r>
      <w:r>
        <w:rPr>
          <w:rFonts w:hint="eastAsia" w:ascii="仿宋_GB2312" w:hAnsi="宋体" w:eastAsia="仿宋_GB2312"/>
          <w:color w:val="auto"/>
          <w:sz w:val="24"/>
          <w:highlight w:val="none"/>
          <w:lang w:eastAsia="zh-CN"/>
        </w:rPr>
        <w:t>、装饰</w:t>
      </w:r>
      <w:r>
        <w:rPr>
          <w:rFonts w:hint="eastAsia" w:ascii="仿宋_GB2312" w:hAnsi="宋体" w:eastAsia="仿宋_GB2312"/>
          <w:color w:val="auto"/>
          <w:sz w:val="24"/>
          <w:highlight w:val="none"/>
        </w:rPr>
        <w:t>价值</w:t>
      </w:r>
      <w:r>
        <w:rPr>
          <w:rFonts w:hint="eastAsia" w:ascii="仿宋_GB2312" w:hAnsi="宋体" w:eastAsia="仿宋_GB2312"/>
          <w:color w:val="auto"/>
          <w:sz w:val="24"/>
          <w:highlight w:val="none"/>
          <w:lang w:eastAsia="zh-CN"/>
        </w:rPr>
        <w:t>，未包含</w:t>
      </w:r>
      <w:r>
        <w:rPr>
          <w:rFonts w:hint="eastAsia" w:ascii="仿宋_GB2312" w:hAnsi="宋体" w:eastAsia="仿宋_GB2312"/>
          <w:color w:val="auto"/>
          <w:sz w:val="24"/>
          <w:highlight w:val="none"/>
        </w:rPr>
        <w:t>室内</w:t>
      </w:r>
      <w:r>
        <w:rPr>
          <w:rFonts w:hint="eastAsia" w:ascii="仿宋_GB2312" w:hAnsi="宋体" w:eastAsia="仿宋_GB2312"/>
          <w:color w:val="auto"/>
          <w:sz w:val="24"/>
          <w:highlight w:val="none"/>
        </w:rPr>
        <w:t>可移动的家具、电器等物品的价值。</w:t>
      </w:r>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（7）本次评估根据《</w:t>
      </w:r>
      <w:r>
        <w:rPr>
          <w:rFonts w:hint="eastAsia" w:ascii="仿宋_GB2312" w:hAnsi="宋体" w:eastAsia="仿宋_GB2312"/>
          <w:color w:val="auto"/>
          <w:sz w:val="24"/>
          <w:highlight w:val="none"/>
          <w:lang w:eastAsia="zh-CN"/>
        </w:rPr>
        <w:t>安乡县人民法院</w:t>
      </w:r>
      <w:r>
        <w:rPr>
          <w:rFonts w:hint="eastAsia" w:ascii="仿宋_GB2312" w:hAnsi="宋体" w:eastAsia="仿宋_GB2312"/>
          <w:color w:val="auto"/>
          <w:sz w:val="24"/>
          <w:highlight w:val="none"/>
        </w:rPr>
        <w:t>委托书》（</w:t>
      </w:r>
      <w:r>
        <w:rPr>
          <w:rFonts w:hint="eastAsia" w:ascii="仿宋_GB2312" w:hAnsi="宋体" w:eastAsia="仿宋_GB2312"/>
          <w:color w:val="auto"/>
          <w:sz w:val="24"/>
          <w:highlight w:val="none"/>
          <w:lang w:eastAsia="zh-CN"/>
        </w:rPr>
        <w:t>（2022）湘0721执597号</w:t>
      </w:r>
      <w:r>
        <w:rPr>
          <w:rFonts w:hint="eastAsia" w:ascii="仿宋_GB2312" w:hAnsi="宋体" w:eastAsia="仿宋_GB2312"/>
          <w:color w:val="auto"/>
          <w:sz w:val="24"/>
          <w:highlight w:val="none"/>
        </w:rPr>
        <w:t>）和</w:t>
      </w:r>
      <w:r>
        <w:rPr>
          <w:rFonts w:hint="eastAsia" w:ascii="仿宋_GB2312" w:hAnsi="宋体" w:eastAsia="仿宋_GB2312"/>
          <w:color w:val="auto"/>
          <w:sz w:val="24"/>
          <w:highlight w:val="none"/>
          <w:lang w:eastAsia="zh-CN"/>
        </w:rPr>
        <w:t>估价委托人</w:t>
      </w:r>
      <w:r>
        <w:rPr>
          <w:rFonts w:hint="eastAsia" w:ascii="仿宋_GB2312" w:hAnsi="宋体" w:eastAsia="仿宋_GB2312"/>
          <w:color w:val="auto"/>
          <w:sz w:val="24"/>
          <w:highlight w:val="none"/>
        </w:rPr>
        <w:t>提供的《</w:t>
      </w:r>
      <w:r>
        <w:rPr>
          <w:rFonts w:hint="eastAsia" w:ascii="仿宋_GB2312" w:hAnsi="宋体" w:eastAsia="仿宋_GB2312"/>
          <w:color w:val="auto"/>
          <w:sz w:val="24"/>
          <w:highlight w:val="none"/>
          <w:lang w:eastAsia="zh-CN"/>
        </w:rPr>
        <w:t>房屋所有权证</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eastAsia="zh-CN"/>
        </w:rPr>
        <w:t>、《房屋他项权证》复印件</w:t>
      </w:r>
      <w:r>
        <w:rPr>
          <w:rFonts w:hint="eastAsia" w:ascii="仿宋_GB2312" w:hAnsi="宋体" w:eastAsia="仿宋_GB2312"/>
          <w:color w:val="auto"/>
          <w:sz w:val="24"/>
          <w:highlight w:val="none"/>
        </w:rPr>
        <w:t>进行评估。</w:t>
      </w:r>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（8）当事人、利害关系人收到评估报告后五日内对评估报告</w:t>
      </w:r>
      <w:r>
        <w:rPr>
          <w:rFonts w:hint="eastAsia" w:ascii="仿宋_GB2312" w:hAnsi="宋体" w:eastAsia="仿宋_GB2312"/>
          <w:color w:val="auto"/>
          <w:sz w:val="24"/>
          <w:highlight w:val="none"/>
          <w:lang w:val="en-US" w:eastAsia="zh-CN"/>
        </w:rPr>
        <w:t>有异议的可</w:t>
      </w:r>
      <w:r>
        <w:rPr>
          <w:rFonts w:hint="eastAsia" w:ascii="仿宋_GB2312" w:hAnsi="宋体" w:eastAsia="仿宋_GB2312"/>
          <w:color w:val="auto"/>
          <w:sz w:val="24"/>
          <w:highlight w:val="none"/>
        </w:rPr>
        <w:t>向人民法院提出书面异议；当事人、利害关系人对评估机构作出的说明仍有异议的，可以提请人民法院委托评估行业组织进行专业技术评审。</w:t>
      </w:r>
    </w:p>
    <w:p>
      <w:pPr>
        <w:spacing w:line="44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（9）</w:t>
      </w:r>
      <w:r>
        <w:rPr>
          <w:rFonts w:hint="eastAsia" w:ascii="仿宋_GB2312" w:eastAsia="仿宋_GB2312"/>
          <w:color w:val="auto"/>
          <w:sz w:val="24"/>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pacing w:line="440" w:lineRule="exact"/>
        <w:ind w:firstLine="480" w:firstLineChars="200"/>
        <w:rPr>
          <w:rFonts w:hint="eastAsia" w:ascii="仿宋_GB2312" w:hAnsi="Times New Roman" w:eastAsia="仿宋_GB2312" w:cs="Times New Roman"/>
          <w:color w:val="auto"/>
          <w:sz w:val="24"/>
          <w:highlight w:val="none"/>
          <w:lang w:val="en-US" w:eastAsia="zh-CN"/>
        </w:rPr>
      </w:pPr>
      <w:r>
        <w:rPr>
          <w:rFonts w:hint="eastAsia" w:ascii="仿宋_GB2312" w:hAnsi="宋体" w:eastAsia="仿宋_GB2312"/>
          <w:color w:val="auto"/>
          <w:sz w:val="24"/>
          <w:highlight w:val="none"/>
        </w:rPr>
        <w:t>（10）</w:t>
      </w:r>
      <w:r>
        <w:rPr>
          <w:rFonts w:hint="eastAsia" w:ascii="仿宋_GB2312" w:hAnsi="宋体" w:eastAsia="仿宋_GB2312"/>
          <w:color w:val="auto"/>
          <w:sz w:val="24"/>
          <w:highlight w:val="none"/>
          <w:lang w:eastAsia="zh-CN"/>
        </w:rPr>
        <w:t>估价委托人</w:t>
      </w:r>
      <w:r>
        <w:rPr>
          <w:rFonts w:hint="eastAsia" w:ascii="仿宋_GB2312" w:hAnsi="宋体" w:eastAsia="仿宋_GB2312"/>
          <w:color w:val="auto"/>
          <w:sz w:val="24"/>
          <w:highlight w:val="none"/>
        </w:rPr>
        <w:t>或评估报告使用人应当按照法律规定和评估报告载明的使用范围使用评估报告，违反该规定使用评估报告的，房地产估价机构和注册房地产估价师依法不承担责任</w:t>
      </w:r>
      <w:r>
        <w:rPr>
          <w:rFonts w:hint="eastAsia" w:ascii="仿宋_GB2312" w:hAnsi="Times New Roman" w:eastAsia="仿宋_GB2312" w:cs="Times New Roman"/>
          <w:color w:val="auto"/>
          <w:sz w:val="24"/>
          <w:highlight w:val="none"/>
        </w:rPr>
        <w:t>。</w:t>
      </w:r>
    </w:p>
    <w:p>
      <w:pPr>
        <w:spacing w:line="440" w:lineRule="exact"/>
        <w:ind w:firstLine="480" w:firstLineChars="200"/>
        <w:rPr>
          <w:rFonts w:ascii="仿宋_GB2312" w:eastAsia="仿宋_GB2312"/>
          <w:color w:val="auto"/>
          <w:sz w:val="24"/>
          <w:highlight w:val="none"/>
        </w:rPr>
      </w:pPr>
      <w:r>
        <w:rPr>
          <w:rFonts w:hint="eastAsia" w:ascii="仿宋_GB2312" w:hAnsi="宋体" w:eastAsia="仿宋_GB2312"/>
          <w:color w:val="auto"/>
          <w:sz w:val="24"/>
          <w:highlight w:val="none"/>
        </w:rPr>
        <w:t>（1</w:t>
      </w:r>
      <w:r>
        <w:rPr>
          <w:rFonts w:hint="eastAsia" w:ascii="仿宋_GB2312" w:hAnsi="宋体" w:eastAsia="仿宋_GB2312"/>
          <w:color w:val="auto"/>
          <w:sz w:val="24"/>
          <w:highlight w:val="none"/>
          <w:lang w:val="en-US" w:eastAsia="zh-CN"/>
        </w:rPr>
        <w:t>1</w:t>
      </w:r>
      <w:r>
        <w:rPr>
          <w:rFonts w:hint="eastAsia" w:ascii="仿宋_GB2312" w:hAnsi="宋体" w:eastAsia="仿宋_GB2312"/>
          <w:color w:val="auto"/>
          <w:sz w:val="24"/>
          <w:highlight w:val="none"/>
        </w:rPr>
        <w:t>）</w:t>
      </w:r>
      <w:r>
        <w:rPr>
          <w:rFonts w:hint="eastAsia" w:ascii="仿宋_GB2312" w:eastAsia="仿宋_GB2312"/>
          <w:color w:val="auto"/>
          <w:sz w:val="24"/>
          <w:highlight w:val="none"/>
        </w:rPr>
        <w:t>评估结果仅为人民法院确定财产处置参考价服务，不是评估对象处置可实现的成交价格，也不应当被视为对评估对象处置成交价格的保证。</w:t>
      </w:r>
    </w:p>
    <w:p>
      <w:pPr>
        <w:widowControl/>
        <w:jc w:val="left"/>
        <w:rPr>
          <w:rFonts w:ascii="仿宋_GB2312" w:eastAsia="仿宋_GB2312"/>
          <w:color w:val="auto"/>
          <w:sz w:val="24"/>
          <w:highlight w:val="none"/>
        </w:rPr>
      </w:pPr>
      <w:r>
        <w:rPr>
          <w:rFonts w:ascii="仿宋_GB2312" w:eastAsia="仿宋_GB2312"/>
          <w:color w:val="auto"/>
          <w:sz w:val="24"/>
          <w:highlight w:val="none"/>
        </w:rPr>
        <w:br w:type="page"/>
      </w:r>
    </w:p>
    <w:p>
      <w:pPr>
        <w:pStyle w:val="17"/>
        <w:rPr>
          <w:rFonts w:ascii="黑体" w:hAnsi="黑体" w:eastAsia="黑体" w:cs="黑体"/>
          <w:color w:val="auto"/>
          <w:highlight w:val="none"/>
        </w:rPr>
      </w:pPr>
      <w:bookmarkStart w:id="31" w:name="_Toc462218091"/>
      <w:r>
        <w:rPr>
          <w:rFonts w:hint="eastAsia" w:ascii="黑体" w:hAnsi="黑体" w:eastAsia="黑体" w:cs="黑体"/>
          <w:color w:val="auto"/>
          <w:highlight w:val="none"/>
        </w:rPr>
        <w:t>三、估价结果报告</w:t>
      </w:r>
      <w:bookmarkEnd w:id="31"/>
    </w:p>
    <w:p>
      <w:pPr>
        <w:pStyle w:val="4"/>
        <w:spacing w:before="0" w:after="0" w:line="360" w:lineRule="auto"/>
        <w:ind w:left="420"/>
        <w:rPr>
          <w:color w:val="auto"/>
          <w:sz w:val="24"/>
          <w:szCs w:val="24"/>
          <w:highlight w:val="none"/>
        </w:rPr>
      </w:pPr>
      <w:bookmarkStart w:id="32" w:name="_Toc462218092"/>
      <w:r>
        <w:rPr>
          <w:rFonts w:hint="eastAsia"/>
          <w:color w:val="auto"/>
          <w:sz w:val="24"/>
          <w:szCs w:val="24"/>
          <w:highlight w:val="none"/>
        </w:rPr>
        <w:t>（一）估价委托人</w:t>
      </w:r>
      <w:bookmarkEnd w:id="32"/>
    </w:p>
    <w:p>
      <w:pPr>
        <w:adjustRightInd w:val="0"/>
        <w:snapToGrid w:val="0"/>
        <w:spacing w:line="360" w:lineRule="auto"/>
        <w:ind w:firstLine="468" w:firstLineChars="195"/>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名称</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安乡县人民法院</w:t>
      </w:r>
    </w:p>
    <w:p>
      <w:pPr>
        <w:pStyle w:val="4"/>
        <w:spacing w:before="0" w:after="0" w:line="360" w:lineRule="auto"/>
        <w:ind w:left="420"/>
        <w:rPr>
          <w:rFonts w:hint="eastAsia" w:eastAsia="仿宋_GB2312"/>
          <w:b w:val="0"/>
          <w:bCs w:val="0"/>
          <w:color w:val="auto"/>
          <w:sz w:val="24"/>
          <w:szCs w:val="24"/>
          <w:highlight w:val="none"/>
          <w:lang w:eastAsia="zh-CN"/>
        </w:rPr>
      </w:pPr>
      <w:bookmarkStart w:id="33" w:name="_Toc462218093"/>
      <w:r>
        <w:rPr>
          <w:rFonts w:hint="eastAsia"/>
          <w:color w:val="auto"/>
          <w:sz w:val="24"/>
          <w:szCs w:val="24"/>
          <w:highlight w:val="none"/>
        </w:rPr>
        <w:t>（二）</w:t>
      </w:r>
      <w:bookmarkEnd w:id="33"/>
      <w:r>
        <w:rPr>
          <w:rFonts w:hint="eastAsia"/>
          <w:color w:val="auto"/>
          <w:sz w:val="24"/>
          <w:szCs w:val="24"/>
          <w:highlight w:val="none"/>
          <w:lang w:eastAsia="zh-CN"/>
        </w:rPr>
        <w:t>产</w:t>
      </w:r>
      <w:r>
        <w:rPr>
          <w:rFonts w:hint="eastAsia"/>
          <w:color w:val="auto"/>
          <w:sz w:val="24"/>
          <w:szCs w:val="24"/>
          <w:highlight w:val="none"/>
        </w:rPr>
        <w:t>权</w:t>
      </w:r>
      <w:r>
        <w:rPr>
          <w:rFonts w:hint="eastAsia"/>
          <w:color w:val="auto"/>
          <w:sz w:val="24"/>
          <w:szCs w:val="24"/>
          <w:highlight w:val="none"/>
          <w:lang w:eastAsia="zh-CN"/>
        </w:rPr>
        <w:t>人</w:t>
      </w:r>
    </w:p>
    <w:p>
      <w:pPr>
        <w:adjustRightInd w:val="0"/>
        <w:snapToGrid w:val="0"/>
        <w:spacing w:line="360" w:lineRule="auto"/>
        <w:ind w:firstLine="588" w:firstLineChars="245"/>
        <w:rPr>
          <w:rFonts w:hint="eastAsia" w:ascii="仿宋_GB2312" w:hAnsi="仿宋" w:eastAsia="仿宋_GB2312"/>
          <w:color w:val="auto"/>
          <w:sz w:val="24"/>
          <w:highlight w:val="none"/>
          <w:lang w:eastAsia="zh-CN"/>
        </w:rPr>
      </w:pPr>
      <w:r>
        <w:rPr>
          <w:rFonts w:hint="eastAsia" w:ascii="仿宋_GB2312" w:eastAsia="仿宋_GB2312"/>
          <w:color w:val="auto"/>
          <w:sz w:val="24"/>
          <w:highlight w:val="none"/>
        </w:rPr>
        <w:t>名    称</w:t>
      </w:r>
      <w:r>
        <w:rPr>
          <w:rFonts w:hint="eastAsia" w:ascii="仿宋_GB2312" w:hAnsi="仿宋" w:eastAsia="仿宋_GB2312"/>
          <w:color w:val="auto"/>
          <w:sz w:val="24"/>
          <w:highlight w:val="none"/>
        </w:rPr>
        <w:t>：</w:t>
      </w:r>
      <w:bookmarkStart w:id="34" w:name="_Toc462218094"/>
      <w:r>
        <w:rPr>
          <w:rFonts w:hint="eastAsia" w:ascii="仿宋_GB2312" w:hAnsi="仿宋" w:eastAsia="仿宋_GB2312"/>
          <w:color w:val="auto"/>
          <w:sz w:val="24"/>
          <w:highlight w:val="none"/>
          <w:lang w:eastAsia="zh-CN"/>
        </w:rPr>
        <w:t>安乡宏泰房地产开发公司</w:t>
      </w:r>
    </w:p>
    <w:p>
      <w:pPr>
        <w:adjustRightInd w:val="0"/>
        <w:snapToGrid w:val="0"/>
        <w:spacing w:line="360" w:lineRule="auto"/>
        <w:ind w:firstLine="470" w:firstLineChars="195"/>
        <w:rPr>
          <w:rFonts w:eastAsia="仿宋_GB2312"/>
          <w:b/>
          <w:bCs/>
          <w:color w:val="auto"/>
          <w:kern w:val="44"/>
          <w:sz w:val="24"/>
          <w:highlight w:val="none"/>
        </w:rPr>
      </w:pPr>
      <w:r>
        <w:rPr>
          <w:rFonts w:hint="eastAsia" w:eastAsia="仿宋_GB2312"/>
          <w:b/>
          <w:bCs/>
          <w:color w:val="auto"/>
          <w:kern w:val="44"/>
          <w:sz w:val="24"/>
          <w:highlight w:val="none"/>
        </w:rPr>
        <w:t>（三）房地产估价机构</w:t>
      </w:r>
      <w:bookmarkEnd w:id="34"/>
    </w:p>
    <w:p>
      <w:pPr>
        <w:snapToGrid w:val="0"/>
        <w:spacing w:line="360" w:lineRule="auto"/>
        <w:ind w:firstLine="564" w:firstLineChars="235"/>
        <w:rPr>
          <w:rFonts w:ascii="仿宋_GB2312" w:eastAsia="仿宋_GB2312"/>
          <w:color w:val="auto"/>
          <w:sz w:val="24"/>
          <w:highlight w:val="none"/>
        </w:rPr>
      </w:pPr>
      <w:bookmarkStart w:id="35" w:name="_Toc462218095"/>
      <w:r>
        <w:rPr>
          <w:rFonts w:hint="eastAsia" w:ascii="仿宋_GB2312" w:eastAsia="仿宋_GB2312"/>
          <w:color w:val="auto"/>
          <w:sz w:val="24"/>
          <w:highlight w:val="none"/>
        </w:rPr>
        <w:t>单位名称：湖南友谊房地产评估经纪有限公司</w:t>
      </w:r>
    </w:p>
    <w:p>
      <w:pPr>
        <w:snapToGrid w:val="0"/>
        <w:spacing w:line="360" w:lineRule="auto"/>
        <w:ind w:firstLine="564" w:firstLineChars="235"/>
        <w:rPr>
          <w:rFonts w:ascii="仿宋_GB2312" w:eastAsia="仿宋_GB2312"/>
          <w:color w:val="auto"/>
          <w:sz w:val="24"/>
          <w:highlight w:val="none"/>
        </w:rPr>
      </w:pPr>
      <w:r>
        <w:rPr>
          <w:rFonts w:hint="eastAsia" w:ascii="仿宋_GB2312" w:eastAsia="仿宋_GB2312"/>
          <w:color w:val="auto"/>
          <w:sz w:val="24"/>
          <w:highlight w:val="none"/>
        </w:rPr>
        <w:t>住    所：长沙市开福区兴联路339号友谊咨询大厦2102号房</w:t>
      </w:r>
    </w:p>
    <w:p>
      <w:pPr>
        <w:snapToGrid w:val="0"/>
        <w:spacing w:line="360" w:lineRule="auto"/>
        <w:ind w:firstLine="564" w:firstLineChars="235"/>
        <w:rPr>
          <w:rFonts w:ascii="仿宋_GB2312" w:eastAsia="仿宋_GB2312"/>
          <w:color w:val="auto"/>
          <w:sz w:val="24"/>
          <w:highlight w:val="none"/>
        </w:rPr>
      </w:pPr>
      <w:r>
        <w:rPr>
          <w:rFonts w:hint="eastAsia" w:ascii="仿宋_GB2312" w:eastAsia="仿宋_GB2312"/>
          <w:color w:val="auto"/>
          <w:sz w:val="24"/>
          <w:highlight w:val="none"/>
        </w:rPr>
        <w:t>法定代表人：邓新苗</w:t>
      </w:r>
    </w:p>
    <w:p>
      <w:pPr>
        <w:snapToGrid w:val="0"/>
        <w:spacing w:line="360" w:lineRule="auto"/>
        <w:ind w:firstLine="564" w:firstLineChars="235"/>
        <w:rPr>
          <w:rFonts w:ascii="仿宋_GB2312" w:eastAsia="仿宋_GB2312"/>
          <w:color w:val="auto"/>
          <w:sz w:val="24"/>
          <w:highlight w:val="none"/>
        </w:rPr>
      </w:pPr>
      <w:r>
        <w:rPr>
          <w:rFonts w:hint="eastAsia" w:ascii="仿宋_GB2312" w:eastAsia="仿宋_GB2312"/>
          <w:color w:val="auto"/>
          <w:sz w:val="24"/>
          <w:highlight w:val="none"/>
        </w:rPr>
        <w:t>注册资本：</w:t>
      </w:r>
      <w:r>
        <w:rPr>
          <w:rFonts w:ascii="仿宋_GB2312" w:eastAsia="仿宋_GB2312"/>
          <w:color w:val="auto"/>
          <w:sz w:val="24"/>
          <w:highlight w:val="none"/>
        </w:rPr>
        <w:fldChar w:fldCharType="begin"/>
      </w:r>
      <w:r>
        <w:rPr>
          <w:rFonts w:ascii="仿宋_GB2312" w:eastAsia="仿宋_GB2312"/>
          <w:color w:val="auto"/>
          <w:sz w:val="24"/>
          <w:highlight w:val="none"/>
        </w:rPr>
        <w:instrText xml:space="preserve"> = 2000000 \* CHINESENUM2 </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贰佰万</w:t>
      </w:r>
      <w:r>
        <w:rPr>
          <w:rFonts w:ascii="仿宋_GB2312" w:eastAsia="仿宋_GB2312"/>
          <w:color w:val="auto"/>
          <w:sz w:val="24"/>
          <w:highlight w:val="none"/>
        </w:rPr>
        <w:fldChar w:fldCharType="end"/>
      </w:r>
      <w:r>
        <w:rPr>
          <w:rFonts w:hint="eastAsia" w:ascii="仿宋_GB2312" w:eastAsia="仿宋_GB2312"/>
          <w:color w:val="auto"/>
          <w:sz w:val="24"/>
          <w:highlight w:val="none"/>
        </w:rPr>
        <w:t>元整</w:t>
      </w:r>
    </w:p>
    <w:p>
      <w:pPr>
        <w:snapToGrid w:val="0"/>
        <w:spacing w:line="360" w:lineRule="auto"/>
        <w:ind w:firstLine="564" w:firstLineChars="235"/>
        <w:rPr>
          <w:rFonts w:ascii="仿宋_GB2312" w:eastAsia="仿宋_GB2312"/>
          <w:color w:val="auto"/>
          <w:sz w:val="24"/>
          <w:highlight w:val="none"/>
        </w:rPr>
      </w:pPr>
      <w:r>
        <w:rPr>
          <w:rFonts w:hint="eastAsia" w:ascii="仿宋_GB2312" w:eastAsia="仿宋_GB2312"/>
          <w:color w:val="auto"/>
          <w:sz w:val="24"/>
          <w:highlight w:val="none"/>
        </w:rPr>
        <w:t>备案等级：一级</w:t>
      </w:r>
    </w:p>
    <w:p>
      <w:pPr>
        <w:snapToGrid w:val="0"/>
        <w:spacing w:line="360" w:lineRule="auto"/>
        <w:ind w:firstLine="564" w:firstLineChars="235"/>
        <w:rPr>
          <w:rFonts w:ascii="仿宋_GB2312" w:eastAsia="仿宋_GB2312"/>
          <w:color w:val="auto"/>
          <w:sz w:val="24"/>
          <w:highlight w:val="none"/>
        </w:rPr>
      </w:pPr>
      <w:r>
        <w:rPr>
          <w:rFonts w:hint="eastAsia" w:ascii="仿宋_GB2312" w:eastAsia="仿宋_GB2312"/>
          <w:color w:val="auto"/>
          <w:sz w:val="24"/>
          <w:highlight w:val="none"/>
        </w:rPr>
        <w:t>证书编号：湘建房估（长）字第0410265号</w:t>
      </w:r>
    </w:p>
    <w:p>
      <w:pPr>
        <w:snapToGrid w:val="0"/>
        <w:spacing w:line="360" w:lineRule="auto"/>
        <w:ind w:firstLine="564" w:firstLineChars="235"/>
        <w:rPr>
          <w:rFonts w:ascii="仿宋_GB2312" w:eastAsia="仿宋_GB2312"/>
          <w:color w:val="auto"/>
          <w:sz w:val="24"/>
          <w:highlight w:val="none"/>
        </w:rPr>
      </w:pPr>
      <w:r>
        <w:rPr>
          <w:rFonts w:hint="eastAsia" w:ascii="仿宋_GB2312" w:eastAsia="仿宋_GB2312"/>
          <w:color w:val="auto"/>
          <w:sz w:val="24"/>
          <w:highlight w:val="none"/>
        </w:rPr>
        <w:t>经营范围：一般项目：房地产评估；房地产经纪；房地产咨询；信息咨询服务（不含许可类信息咨询服务）；土地调查评估服务；资产评估（除依法须经批准的项目外，凭营业执照依法自主开展经营活动）。</w:t>
      </w:r>
    </w:p>
    <w:p>
      <w:pPr>
        <w:snapToGrid w:val="0"/>
        <w:spacing w:line="360" w:lineRule="auto"/>
        <w:ind w:firstLine="564" w:firstLineChars="235"/>
        <w:rPr>
          <w:rFonts w:ascii="仿宋_GB2312" w:eastAsia="仿宋_GB2312"/>
          <w:color w:val="auto"/>
          <w:sz w:val="24"/>
          <w:highlight w:val="none"/>
        </w:rPr>
      </w:pPr>
      <w:r>
        <w:rPr>
          <w:rFonts w:hint="eastAsia" w:ascii="仿宋_GB2312" w:eastAsia="仿宋_GB2312"/>
          <w:color w:val="auto"/>
          <w:sz w:val="24"/>
          <w:highlight w:val="none"/>
        </w:rPr>
        <w:t>联系人：邓新苗</w:t>
      </w:r>
    </w:p>
    <w:p>
      <w:pPr>
        <w:snapToGrid w:val="0"/>
        <w:spacing w:line="360" w:lineRule="auto"/>
        <w:ind w:firstLine="564" w:firstLineChars="235"/>
        <w:rPr>
          <w:rFonts w:ascii="仿宋_GB2312" w:eastAsia="仿宋_GB2312"/>
          <w:color w:val="auto"/>
          <w:sz w:val="24"/>
          <w:highlight w:val="none"/>
        </w:rPr>
      </w:pPr>
      <w:r>
        <w:rPr>
          <w:rFonts w:hint="eastAsia" w:ascii="仿宋_GB2312" w:eastAsia="仿宋_GB2312"/>
          <w:color w:val="auto"/>
          <w:sz w:val="24"/>
          <w:highlight w:val="none"/>
        </w:rPr>
        <w:t>联系电话：</w:t>
      </w:r>
      <w:r>
        <w:rPr>
          <w:rFonts w:ascii="仿宋_GB2312" w:eastAsia="仿宋_GB2312"/>
          <w:color w:val="auto"/>
          <w:sz w:val="24"/>
          <w:highlight w:val="none"/>
        </w:rPr>
        <w:t>0731-8870000</w:t>
      </w:r>
      <w:r>
        <w:rPr>
          <w:rFonts w:hint="eastAsia" w:ascii="仿宋_GB2312" w:eastAsia="仿宋_GB2312"/>
          <w:color w:val="auto"/>
          <w:sz w:val="24"/>
          <w:highlight w:val="none"/>
        </w:rPr>
        <w:t>0</w:t>
      </w:r>
      <w:r>
        <w:rPr>
          <w:rFonts w:ascii="仿宋_GB2312" w:eastAsia="仿宋_GB2312"/>
          <w:color w:val="auto"/>
          <w:sz w:val="24"/>
          <w:highlight w:val="none"/>
        </w:rPr>
        <w:t>-</w:t>
      </w:r>
      <w:r>
        <w:rPr>
          <w:rFonts w:hint="eastAsia" w:ascii="仿宋_GB2312" w:eastAsia="仿宋_GB2312"/>
          <w:color w:val="auto"/>
          <w:sz w:val="24"/>
          <w:highlight w:val="none"/>
        </w:rPr>
        <w:t>21</w:t>
      </w:r>
      <w:r>
        <w:rPr>
          <w:rFonts w:ascii="仿宋_GB2312" w:eastAsia="仿宋_GB2312"/>
          <w:color w:val="auto"/>
          <w:sz w:val="24"/>
          <w:highlight w:val="none"/>
        </w:rPr>
        <w:t>56</w:t>
      </w:r>
    </w:p>
    <w:p>
      <w:pPr>
        <w:pStyle w:val="4"/>
        <w:spacing w:before="0" w:after="0" w:line="360" w:lineRule="auto"/>
        <w:ind w:left="420"/>
        <w:rPr>
          <w:color w:val="auto"/>
          <w:sz w:val="24"/>
          <w:szCs w:val="24"/>
          <w:highlight w:val="none"/>
        </w:rPr>
      </w:pPr>
      <w:r>
        <w:rPr>
          <w:rFonts w:hint="eastAsia"/>
          <w:color w:val="auto"/>
          <w:sz w:val="24"/>
          <w:szCs w:val="24"/>
          <w:highlight w:val="none"/>
        </w:rPr>
        <w:t>（四）估价目的</w:t>
      </w:r>
      <w:bookmarkEnd w:id="35"/>
    </w:p>
    <w:p>
      <w:pPr>
        <w:snapToGrid w:val="0"/>
        <w:spacing w:line="360" w:lineRule="auto"/>
        <w:ind w:firstLine="564" w:firstLineChars="235"/>
        <w:rPr>
          <w:color w:val="auto"/>
          <w:sz w:val="24"/>
          <w:highlight w:val="none"/>
        </w:rPr>
      </w:pPr>
      <w:r>
        <w:rPr>
          <w:rFonts w:hint="eastAsia" w:ascii="仿宋_GB2312" w:eastAsia="仿宋_GB2312"/>
          <w:color w:val="auto"/>
          <w:sz w:val="24"/>
          <w:highlight w:val="none"/>
        </w:rPr>
        <w:t>为人民法院确定财产处置参考价提供参考依据。</w:t>
      </w:r>
    </w:p>
    <w:p>
      <w:pPr>
        <w:pStyle w:val="4"/>
        <w:spacing w:before="0" w:after="0" w:line="360" w:lineRule="auto"/>
        <w:ind w:left="420"/>
        <w:rPr>
          <w:color w:val="auto"/>
          <w:sz w:val="24"/>
          <w:szCs w:val="24"/>
          <w:highlight w:val="none"/>
        </w:rPr>
      </w:pPr>
      <w:bookmarkStart w:id="36" w:name="_Toc462218096"/>
      <w:r>
        <w:rPr>
          <w:rFonts w:hint="eastAsia"/>
          <w:color w:val="auto"/>
          <w:sz w:val="24"/>
          <w:szCs w:val="24"/>
          <w:highlight w:val="none"/>
        </w:rPr>
        <w:t>（五）估价对象</w:t>
      </w:r>
      <w:bookmarkEnd w:id="36"/>
    </w:p>
    <w:p>
      <w:pPr>
        <w:pStyle w:val="3"/>
        <w:spacing w:line="360" w:lineRule="auto"/>
        <w:ind w:firstLine="480"/>
        <w:rPr>
          <w:rFonts w:hAnsi="宋体"/>
          <w:color w:val="auto"/>
          <w:sz w:val="24"/>
          <w:highlight w:val="none"/>
        </w:rPr>
      </w:pPr>
      <w:r>
        <w:rPr>
          <w:rFonts w:hint="eastAsia" w:hAnsi="宋体"/>
          <w:color w:val="auto"/>
          <w:sz w:val="24"/>
          <w:highlight w:val="none"/>
        </w:rPr>
        <w:t>（1）权属状况</w:t>
      </w:r>
    </w:p>
    <w:p>
      <w:pPr>
        <w:pStyle w:val="3"/>
        <w:spacing w:line="360" w:lineRule="auto"/>
        <w:ind w:firstLine="480"/>
        <w:rPr>
          <w:rFonts w:hint="eastAsia" w:hAnsi="宋体"/>
          <w:color w:val="auto"/>
          <w:sz w:val="24"/>
          <w:highlight w:val="none"/>
        </w:rPr>
      </w:pPr>
      <w:r>
        <w:rPr>
          <w:rFonts w:hint="eastAsia" w:hAnsi="宋体"/>
          <w:color w:val="auto"/>
          <w:sz w:val="24"/>
          <w:highlight w:val="none"/>
        </w:rPr>
        <w:t>应委托方要求纳入本次评估范围的标的物为</w:t>
      </w:r>
      <w:r>
        <w:rPr>
          <w:rFonts w:hint="eastAsia" w:hAnsi="宋体"/>
          <w:color w:val="auto"/>
          <w:sz w:val="24"/>
          <w:highlight w:val="none"/>
          <w:lang w:eastAsia="zh-CN"/>
        </w:rPr>
        <w:t>位于安乡县深柳镇文昌湾社区深柳大道晨光小区3-B栋-101、-102住宅房地产，</w:t>
      </w:r>
      <w:r>
        <w:rPr>
          <w:rFonts w:hint="eastAsia" w:hAnsi="宋体"/>
          <w:color w:val="auto"/>
          <w:sz w:val="24"/>
          <w:highlight w:val="none"/>
        </w:rPr>
        <w:t>根据委托方提供的资料，估价对象房地产状况见下表：</w:t>
      </w:r>
    </w:p>
    <w:tbl>
      <w:tblPr>
        <w:tblStyle w:val="19"/>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15"/>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8342" w:type="dxa"/>
            <w:gridSpan w:val="2"/>
            <w:shd w:val="clear" w:color="auto" w:fill="auto"/>
            <w:vAlign w:val="center"/>
          </w:tcPr>
          <w:p>
            <w:pPr>
              <w:widowControl/>
              <w:spacing w:line="320" w:lineRule="exact"/>
              <w:jc w:val="center"/>
              <w:textAlignment w:val="center"/>
              <w:rPr>
                <w:rFonts w:hint="eastAsia" w:ascii="仿宋_GB2312" w:eastAsia="仿宋_GB2312"/>
                <w:b/>
                <w:color w:val="auto"/>
                <w:szCs w:val="21"/>
                <w:highlight w:val="none"/>
                <w:lang w:eastAsia="zh-CN"/>
              </w:rPr>
            </w:pPr>
            <w:r>
              <w:rPr>
                <w:rFonts w:hint="eastAsia" w:ascii="仿宋_GB2312" w:eastAsia="仿宋_GB2312"/>
                <w:b/>
                <w:color w:val="auto"/>
                <w:sz w:val="24"/>
                <w:highlight w:val="none"/>
                <w:lang w:eastAsia="zh-CN"/>
              </w:rPr>
              <w:t>房屋所有权证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kern w:val="0"/>
                <w:szCs w:val="21"/>
                <w:highlight w:val="none"/>
                <w:lang w:val="en-US" w:eastAsia="zh-CN"/>
              </w:rPr>
              <w:t>产权证号</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eastAsia="zh-CN"/>
              </w:rPr>
            </w:pPr>
            <w:r>
              <w:rPr>
                <w:rFonts w:hint="eastAsia" w:ascii="仿宋_GB2312" w:hAnsi="宋体" w:eastAsia="仿宋_GB2312" w:cs="仿宋_GB2312"/>
                <w:color w:val="auto"/>
                <w:szCs w:val="21"/>
                <w:highlight w:val="none"/>
                <w:lang w:val="en-US" w:eastAsia="zh-CN"/>
              </w:rPr>
              <w:t>安乡县房权证深柳镇字第0028784号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房屋所有权人</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安乡宏泰房地产开发公司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 xml:space="preserve">共有情况 </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房屋坐落</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安乡县深柳镇文昌湾社区深柳大道晨光小区3-B栋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登记时间</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2015-12-23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房屋性质</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 xml:space="preserve"> 国有房产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规划用途</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总层数</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建筑面积（㎡）</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205.59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套内建筑面积（㎡）</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附记</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档案保管号：0056291</w:t>
            </w:r>
          </w:p>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备注：拆分登记（2014）0022040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default"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土地状况</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地号：01-103-169-2</w:t>
            </w:r>
          </w:p>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土地使用权取得方式：出让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备注</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根据该《房屋所有权证》后附房屋分层分户平面图，户室号为-101、-102。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8342" w:type="dxa"/>
            <w:gridSpan w:val="2"/>
            <w:shd w:val="clear" w:color="auto" w:fill="auto"/>
            <w:vAlign w:val="center"/>
          </w:tcPr>
          <w:p>
            <w:pPr>
              <w:widowControl/>
              <w:spacing w:line="320" w:lineRule="exact"/>
              <w:jc w:val="center"/>
              <w:textAlignment w:val="center"/>
              <w:rPr>
                <w:rFonts w:hint="eastAsia" w:ascii="仿宋_GB2312" w:hAnsi="宋体" w:eastAsia="仿宋_GB2312" w:cs="仿宋_GB2312"/>
                <w:color w:val="auto"/>
                <w:szCs w:val="21"/>
                <w:highlight w:val="none"/>
                <w:lang w:val="en-US" w:eastAsia="zh-CN"/>
              </w:rPr>
            </w:pPr>
            <w:r>
              <w:rPr>
                <w:rFonts w:hint="eastAsia" w:ascii="仿宋_GB2312" w:hAnsi="仿宋_GB2312" w:eastAsia="仿宋_GB2312" w:cs="仿宋_GB2312"/>
                <w:b/>
                <w:bCs/>
                <w:color w:val="auto"/>
                <w:szCs w:val="20"/>
                <w:highlight w:val="none"/>
                <w:lang w:eastAsia="zh-CN"/>
              </w:rPr>
              <w:t>他项权利状况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登记证明号</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安乡县房他证他权字第28501号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房屋他项权利人</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安乡县农村信用合作联社（营业部）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房屋所有权人</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安乡宏泰房地产开发公司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房屋所有权证号</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深柳镇0028784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房屋坐落</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安乡县深柳镇文昌湾社区深柳大道晨光小区3-B栋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他项权利种类</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抵押权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债权数额</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叁拾贰万元整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kern w:val="0"/>
                <w:szCs w:val="21"/>
                <w:highlight w:val="none"/>
                <w:lang w:val="en-US" w:eastAsia="zh-CN"/>
              </w:rPr>
            </w:pPr>
            <w:r>
              <w:rPr>
                <w:rFonts w:hint="eastAsia" w:ascii="仿宋_GB2312" w:hAnsi="宋体" w:eastAsia="仿宋_GB2312" w:cs="仿宋_GB2312"/>
                <w:color w:val="auto"/>
                <w:kern w:val="0"/>
                <w:szCs w:val="21"/>
                <w:highlight w:val="none"/>
                <w:lang w:val="en-US" w:eastAsia="zh-CN"/>
              </w:rPr>
              <w:t>登记时间</w:t>
            </w:r>
          </w:p>
        </w:tc>
        <w:tc>
          <w:tcPr>
            <w:tcW w:w="6627" w:type="dxa"/>
            <w:shd w:val="clear" w:color="auto" w:fill="auto"/>
            <w:vAlign w:val="center"/>
          </w:tcPr>
          <w:p>
            <w:pPr>
              <w:widowControl/>
              <w:spacing w:line="320" w:lineRule="exact"/>
              <w:jc w:val="left"/>
              <w:textAlignment w:val="center"/>
              <w:rPr>
                <w:rFonts w:hint="default"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2015-12-25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1715" w:type="dxa"/>
            <w:shd w:val="clear" w:color="auto" w:fill="auto"/>
            <w:vAlign w:val="center"/>
          </w:tcPr>
          <w:p>
            <w:pPr>
              <w:widowControl/>
              <w:spacing w:line="320" w:lineRule="exact"/>
              <w:jc w:val="center"/>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附记</w:t>
            </w:r>
          </w:p>
        </w:tc>
        <w:tc>
          <w:tcPr>
            <w:tcW w:w="6627" w:type="dxa"/>
            <w:shd w:val="clear" w:color="auto" w:fill="auto"/>
            <w:vAlign w:val="center"/>
          </w:tcPr>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档案保管号：0056291</w:t>
            </w:r>
          </w:p>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权利范围：两套</w:t>
            </w:r>
          </w:p>
          <w:p>
            <w:pPr>
              <w:widowControl/>
              <w:spacing w:line="320" w:lineRule="exact"/>
              <w:jc w:val="left"/>
              <w:textAlignment w:val="center"/>
              <w:rPr>
                <w:rFonts w:hint="eastAsia" w:ascii="仿宋_GB2312" w:hAnsi="宋体" w:eastAsia="仿宋_GB2312"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约定期限：2015-12-24至2018-12-23</w:t>
            </w:r>
          </w:p>
          <w:p>
            <w:pPr>
              <w:widowControl/>
              <w:spacing w:line="320" w:lineRule="exact"/>
              <w:jc w:val="left"/>
              <w:textAlignment w:val="center"/>
              <w:rPr>
                <w:rFonts w:hint="default" w:hAnsi="宋体" w:cs="仿宋_GB2312"/>
                <w:color w:val="auto"/>
                <w:szCs w:val="21"/>
                <w:highlight w:val="none"/>
                <w:lang w:val="en-US" w:eastAsia="zh-CN"/>
              </w:rPr>
            </w:pPr>
            <w:r>
              <w:rPr>
                <w:rFonts w:hint="eastAsia" w:ascii="仿宋_GB2312" w:hAnsi="宋体" w:eastAsia="仿宋_GB2312" w:cs="仿宋_GB2312"/>
                <w:color w:val="auto"/>
                <w:szCs w:val="21"/>
                <w:highlight w:val="none"/>
                <w:lang w:val="en-US" w:eastAsia="zh-CN"/>
              </w:rPr>
              <w:t>地址明细信息：3-B栋-1层-101室。3-B栋-1层-102室。</w:t>
            </w:r>
          </w:p>
        </w:tc>
      </w:tr>
    </w:tbl>
    <w:p>
      <w:pPr>
        <w:numPr>
          <w:ilvl w:val="0"/>
          <w:numId w:val="2"/>
        </w:numPr>
        <w:spacing w:after="156" w:afterLines="5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实物状况</w:t>
      </w:r>
    </w:p>
    <w:tbl>
      <w:tblPr>
        <w:tblStyle w:val="1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77"/>
        <w:gridCol w:w="1134"/>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Align w:val="center"/>
          </w:tcPr>
          <w:p>
            <w:pPr>
              <w:adjustRightInd w:val="0"/>
              <w:jc w:val="center"/>
              <w:rPr>
                <w:rFonts w:ascii="仿宋_GB2312" w:hAnsi="宋体" w:eastAsia="仿宋_GB2312"/>
                <w:color w:val="auto"/>
                <w:szCs w:val="21"/>
                <w:highlight w:val="none"/>
              </w:rPr>
            </w:pPr>
            <w:r>
              <w:rPr>
                <w:rFonts w:hint="eastAsia" w:ascii="仿宋_GB2312" w:hAnsi="宋体" w:eastAsia="仿宋_GB2312"/>
                <w:color w:val="auto"/>
                <w:szCs w:val="21"/>
                <w:highlight w:val="none"/>
              </w:rPr>
              <w:t>建筑形态</w:t>
            </w:r>
          </w:p>
        </w:tc>
        <w:tc>
          <w:tcPr>
            <w:tcW w:w="2977" w:type="dxa"/>
            <w:vAlign w:val="center"/>
          </w:tcPr>
          <w:p>
            <w:pPr>
              <w:adjustRightInd w:val="0"/>
              <w:jc w:val="center"/>
              <w:rPr>
                <w:rFonts w:ascii="仿宋_GB2312" w:eastAsia="仿宋_GB2312"/>
                <w:color w:val="auto"/>
                <w:szCs w:val="21"/>
                <w:highlight w:val="none"/>
              </w:rPr>
            </w:pPr>
            <w:r>
              <w:rPr>
                <w:rFonts w:hint="eastAsia" w:ascii="仿宋_GB2312" w:hAnsi="宋体" w:eastAsia="仿宋_GB2312"/>
                <w:color w:val="auto"/>
                <w:szCs w:val="21"/>
                <w:highlight w:val="none"/>
                <w:lang w:val="en-US" w:eastAsia="zh-CN"/>
              </w:rPr>
              <w:t>多</w:t>
            </w:r>
            <w:r>
              <w:rPr>
                <w:rFonts w:hint="eastAsia" w:ascii="仿宋_GB2312" w:hAnsi="宋体" w:eastAsia="仿宋_GB2312"/>
                <w:color w:val="auto"/>
                <w:szCs w:val="21"/>
                <w:highlight w:val="none"/>
              </w:rPr>
              <w:t>层</w:t>
            </w:r>
          </w:p>
        </w:tc>
        <w:tc>
          <w:tcPr>
            <w:tcW w:w="1134" w:type="dxa"/>
            <w:vAlign w:val="center"/>
          </w:tcPr>
          <w:p>
            <w:pPr>
              <w:adjustRightInd w:val="0"/>
              <w:jc w:val="center"/>
              <w:rPr>
                <w:rFonts w:ascii="仿宋_GB2312" w:hAnsi="宋体" w:eastAsia="仿宋_GB2312"/>
                <w:color w:val="auto"/>
                <w:szCs w:val="21"/>
                <w:highlight w:val="none"/>
              </w:rPr>
            </w:pPr>
            <w:r>
              <w:rPr>
                <w:rFonts w:hint="eastAsia" w:ascii="仿宋_GB2312" w:eastAsia="仿宋_GB2312"/>
                <w:color w:val="auto"/>
                <w:szCs w:val="21"/>
                <w:highlight w:val="none"/>
              </w:rPr>
              <w:t>建筑年代</w:t>
            </w:r>
          </w:p>
        </w:tc>
        <w:tc>
          <w:tcPr>
            <w:tcW w:w="2608" w:type="dxa"/>
            <w:vAlign w:val="center"/>
          </w:tcPr>
          <w:p>
            <w:pPr>
              <w:adjustRightInd w:val="0"/>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约2011</w:t>
            </w:r>
            <w:r>
              <w:rPr>
                <w:rFonts w:hint="eastAsia" w:ascii="仿宋_GB2312" w:eastAsia="仿宋_GB2312"/>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Align w:val="center"/>
          </w:tcPr>
          <w:p>
            <w:pPr>
              <w:adjustRightInd w:val="0"/>
              <w:jc w:val="center"/>
              <w:rPr>
                <w:rFonts w:ascii="仿宋_GB2312" w:eastAsia="仿宋_GB2312"/>
                <w:color w:val="auto"/>
                <w:szCs w:val="21"/>
                <w:highlight w:val="none"/>
              </w:rPr>
            </w:pPr>
            <w:r>
              <w:rPr>
                <w:rFonts w:hint="eastAsia" w:ascii="仿宋_GB2312" w:hAnsi="宋体" w:eastAsia="仿宋_GB2312"/>
                <w:color w:val="auto"/>
                <w:szCs w:val="21"/>
                <w:highlight w:val="none"/>
              </w:rPr>
              <w:t>垂直通道</w:t>
            </w:r>
          </w:p>
        </w:tc>
        <w:tc>
          <w:tcPr>
            <w:tcW w:w="2977" w:type="dxa"/>
            <w:vAlign w:val="center"/>
          </w:tcPr>
          <w:p>
            <w:pPr>
              <w:adjustRightInd w:val="0"/>
              <w:jc w:val="center"/>
              <w:rPr>
                <w:rFonts w:hint="eastAsia" w:ascii="仿宋_GB2312" w:hAnsi="宋体" w:eastAsia="仿宋_GB2312"/>
                <w:color w:val="auto"/>
                <w:szCs w:val="21"/>
                <w:highlight w:val="none"/>
                <w:lang w:eastAsia="zh-CN"/>
              </w:rPr>
            </w:pPr>
            <w:r>
              <w:rPr>
                <w:rFonts w:hint="eastAsia" w:ascii="仿宋_GB2312" w:eastAsia="仿宋_GB2312"/>
                <w:color w:val="auto"/>
                <w:szCs w:val="21"/>
                <w:highlight w:val="none"/>
                <w:lang w:val="en-US" w:eastAsia="zh-CN"/>
              </w:rPr>
              <w:t>楼梯</w:t>
            </w:r>
          </w:p>
        </w:tc>
        <w:tc>
          <w:tcPr>
            <w:tcW w:w="1134" w:type="dxa"/>
            <w:vAlign w:val="center"/>
          </w:tcPr>
          <w:p>
            <w:pPr>
              <w:adjustRightInd w:val="0"/>
              <w:jc w:val="center"/>
              <w:rPr>
                <w:rFonts w:ascii="仿宋_GB2312" w:hAnsi="宋体" w:eastAsia="仿宋_GB2312"/>
                <w:color w:val="auto"/>
                <w:szCs w:val="21"/>
                <w:highlight w:val="none"/>
              </w:rPr>
            </w:pPr>
            <w:r>
              <w:rPr>
                <w:rFonts w:hint="eastAsia" w:ascii="仿宋_GB2312" w:eastAsia="仿宋_GB2312"/>
                <w:color w:val="auto"/>
                <w:szCs w:val="21"/>
                <w:highlight w:val="none"/>
              </w:rPr>
              <w:t>物业管理</w:t>
            </w:r>
          </w:p>
        </w:tc>
        <w:tc>
          <w:tcPr>
            <w:tcW w:w="2608" w:type="dxa"/>
            <w:vAlign w:val="center"/>
          </w:tcPr>
          <w:p>
            <w:pPr>
              <w:adjustRightInd w:val="0"/>
              <w:jc w:val="center"/>
              <w:rPr>
                <w:rFonts w:hint="eastAsia" w:ascii="仿宋_GB2312" w:hAnsi="宋体" w:eastAsia="仿宋_GB2312"/>
                <w:color w:val="auto"/>
                <w:szCs w:val="21"/>
                <w:highlight w:val="none"/>
                <w:lang w:eastAsia="zh-CN"/>
              </w:rPr>
            </w:pPr>
            <w:r>
              <w:rPr>
                <w:rFonts w:hint="eastAsia" w:ascii="仿宋_GB2312" w:hAnsi="宋体" w:eastAsia="仿宋_GB2312"/>
                <w:color w:val="auto"/>
                <w:szCs w:val="21"/>
                <w:highlight w:val="none"/>
                <w:lang w:val="en-US" w:eastAsia="zh-CN"/>
              </w:rPr>
              <w:t>小区物业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Align w:val="center"/>
          </w:tcPr>
          <w:p>
            <w:pPr>
              <w:adjustRightInd w:val="0"/>
              <w:snapToGrid w:val="0"/>
              <w:jc w:val="center"/>
              <w:rPr>
                <w:rFonts w:ascii="仿宋_GB2312" w:eastAsia="仿宋_GB2312"/>
                <w:color w:val="auto"/>
                <w:szCs w:val="21"/>
                <w:highlight w:val="none"/>
              </w:rPr>
            </w:pPr>
            <w:r>
              <w:rPr>
                <w:rFonts w:hint="eastAsia" w:ascii="仿宋_GB2312" w:eastAsia="仿宋_GB2312"/>
                <w:color w:val="auto"/>
                <w:szCs w:val="21"/>
                <w:highlight w:val="none"/>
                <w:lang w:eastAsia="zh-CN"/>
              </w:rPr>
              <w:t>所在</w:t>
            </w:r>
            <w:r>
              <w:rPr>
                <w:rFonts w:hint="eastAsia" w:ascii="仿宋_GB2312" w:eastAsia="仿宋_GB2312"/>
                <w:color w:val="auto"/>
                <w:szCs w:val="21"/>
                <w:highlight w:val="none"/>
              </w:rPr>
              <w:t>层次/总层数</w:t>
            </w:r>
          </w:p>
        </w:tc>
        <w:tc>
          <w:tcPr>
            <w:tcW w:w="6719" w:type="dxa"/>
            <w:gridSpan w:val="3"/>
            <w:vAlign w:val="center"/>
          </w:tcPr>
          <w:p>
            <w:pPr>
              <w:adjustRightInd w:val="0"/>
              <w:snapToGrid w:val="0"/>
              <w:jc w:val="left"/>
              <w:rPr>
                <w:rFonts w:hint="eastAsia" w:ascii="仿宋_GB2312" w:hAnsi="宋体" w:eastAsia="仿宋_GB2312"/>
                <w:color w:val="auto"/>
                <w:szCs w:val="21"/>
                <w:highlight w:val="none"/>
                <w:lang w:eastAsia="zh-CN"/>
              </w:rPr>
            </w:pPr>
            <w:r>
              <w:rPr>
                <w:rFonts w:hint="eastAsia" w:ascii="仿宋_GB2312" w:hAnsi="宋体" w:eastAsia="仿宋_GB2312"/>
                <w:color w:val="auto"/>
                <w:szCs w:val="21"/>
                <w:highlight w:val="none"/>
              </w:rPr>
              <w:t>所在层次：</w:t>
            </w:r>
            <w:r>
              <w:rPr>
                <w:rFonts w:hint="eastAsia" w:ascii="仿宋_GB2312" w:hAnsi="宋体" w:eastAsia="仿宋_GB2312"/>
                <w:color w:val="auto"/>
                <w:szCs w:val="21"/>
                <w:highlight w:val="none"/>
                <w:lang w:val="en-US" w:eastAsia="zh-CN"/>
              </w:rPr>
              <w:t>实勘为地面第1层</w:t>
            </w:r>
            <w:r>
              <w:rPr>
                <w:rFonts w:hint="eastAsia" w:ascii="仿宋_GB2312" w:hAnsi="宋体" w:eastAsia="仿宋_GB2312"/>
                <w:color w:val="auto"/>
                <w:szCs w:val="21"/>
                <w:highlight w:val="none"/>
              </w:rPr>
              <w:t>，总层数：</w:t>
            </w:r>
            <w:r>
              <w:rPr>
                <w:rFonts w:hint="eastAsia" w:ascii="仿宋_GB2312" w:hAnsi="宋体" w:eastAsia="仿宋_GB2312"/>
                <w:color w:val="auto"/>
                <w:szCs w:val="21"/>
                <w:highlight w:val="none"/>
                <w:lang w:val="en-US" w:eastAsia="zh-CN"/>
              </w:rPr>
              <w:t>实勘共7层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vAlign w:val="center"/>
          </w:tcPr>
          <w:p>
            <w:pPr>
              <w:adjustRightInd w:val="0"/>
              <w:snapToGrid w:val="0"/>
              <w:jc w:val="center"/>
              <w:rPr>
                <w:rFonts w:hint="eastAsia" w:ascii="仿宋_GB2312" w:hAnsi="宋体" w:eastAsia="仿宋_GB2312" w:cs="宋体"/>
                <w:b/>
                <w:color w:val="auto"/>
                <w:kern w:val="0"/>
                <w:szCs w:val="21"/>
                <w:highlight w:val="none"/>
                <w:lang w:eastAsia="zh-CN"/>
              </w:rPr>
            </w:pPr>
            <w:r>
              <w:rPr>
                <w:rFonts w:hint="eastAsia" w:ascii="仿宋_GB2312" w:eastAsia="仿宋_GB2312"/>
                <w:b/>
                <w:color w:val="auto"/>
                <w:szCs w:val="21"/>
                <w:highlight w:val="none"/>
                <w:lang w:eastAsia="zh-CN"/>
              </w:rPr>
              <w:t>装修情况</w:t>
            </w:r>
          </w:p>
        </w:tc>
        <w:tc>
          <w:tcPr>
            <w:tcW w:w="6719" w:type="dxa"/>
            <w:gridSpan w:val="3"/>
            <w:vAlign w:val="center"/>
          </w:tcPr>
          <w:p>
            <w:pPr>
              <w:adjustRightInd w:val="0"/>
              <w:snapToGrid w:val="0"/>
              <w:jc w:val="left"/>
              <w:rPr>
                <w:rFonts w:ascii="仿宋_GB2312" w:hAnsi="宋体" w:eastAsia="仿宋_GB2312"/>
                <w:b/>
                <w:color w:val="auto"/>
                <w:szCs w:val="21"/>
                <w:highlight w:val="none"/>
              </w:rPr>
            </w:pPr>
            <w:r>
              <w:rPr>
                <w:rFonts w:hint="eastAsia" w:ascii="仿宋_GB2312" w:hAnsi="宋体" w:eastAsia="仿宋_GB2312"/>
                <w:color w:val="auto"/>
                <w:szCs w:val="21"/>
                <w:highlight w:val="none"/>
                <w:lang w:val="en-US" w:eastAsia="zh-CN"/>
              </w:rPr>
              <w:t>经实地查勘，估价对象外墙为墙砖，目前分为三个部分，南侧与北侧靠东头室内为毛坯，北侧靠西头室内</w:t>
            </w:r>
            <w:r>
              <w:rPr>
                <w:rFonts w:hint="eastAsia" w:ascii="仿宋_GB2312" w:hAnsi="宋体" w:eastAsia="仿宋_GB2312"/>
                <w:color w:val="auto"/>
                <w:szCs w:val="21"/>
                <w:highlight w:val="none"/>
              </w:rPr>
              <w:t>内墙及天花</w:t>
            </w:r>
            <w:r>
              <w:rPr>
                <w:rFonts w:hint="eastAsia" w:ascii="仿宋_GB2312" w:hAnsi="宋体" w:eastAsia="仿宋_GB2312"/>
                <w:color w:val="auto"/>
                <w:szCs w:val="21"/>
                <w:highlight w:val="none"/>
                <w:lang w:eastAsia="zh-CN"/>
              </w:rPr>
              <w:t>为</w:t>
            </w:r>
            <w:r>
              <w:rPr>
                <w:rFonts w:hint="eastAsia" w:ascii="仿宋_GB2312" w:hAnsi="宋体" w:eastAsia="仿宋_GB2312"/>
                <w:color w:val="auto"/>
                <w:szCs w:val="21"/>
                <w:highlight w:val="none"/>
              </w:rPr>
              <w:t>墙漆</w:t>
            </w:r>
            <w:r>
              <w:rPr>
                <w:rFonts w:hint="eastAsia" w:ascii="仿宋_GB2312" w:hAnsi="宋体" w:eastAsia="仿宋_GB2312"/>
                <w:color w:val="auto"/>
                <w:szCs w:val="21"/>
                <w:highlight w:val="none"/>
                <w:lang w:eastAsia="zh-CN"/>
              </w:rPr>
              <w:t>，木板吊顶，</w:t>
            </w:r>
            <w:r>
              <w:rPr>
                <w:rFonts w:hint="eastAsia" w:ascii="仿宋_GB2312" w:hAnsi="宋体" w:eastAsia="仿宋_GB2312"/>
                <w:color w:val="auto"/>
                <w:szCs w:val="21"/>
                <w:highlight w:val="none"/>
              </w:rPr>
              <w:t>地面</w:t>
            </w:r>
            <w:r>
              <w:rPr>
                <w:rFonts w:hint="eastAsia" w:ascii="仿宋_GB2312" w:hAnsi="宋体" w:eastAsia="仿宋_GB2312"/>
                <w:color w:val="auto"/>
                <w:szCs w:val="21"/>
                <w:highlight w:val="none"/>
                <w:lang w:eastAsia="zh-CN"/>
              </w:rPr>
              <w:t>为</w:t>
            </w:r>
            <w:r>
              <w:rPr>
                <w:rFonts w:hint="eastAsia" w:ascii="仿宋_GB2312" w:hAnsi="宋体" w:eastAsia="仿宋_GB2312"/>
                <w:color w:val="auto"/>
                <w:szCs w:val="21"/>
                <w:highlight w:val="none"/>
              </w:rPr>
              <w:t>瓷砖</w:t>
            </w:r>
            <w:r>
              <w:rPr>
                <w:rFonts w:hint="eastAsia" w:ascii="仿宋_GB2312" w:hAnsi="宋体" w:eastAsia="仿宋_GB2312"/>
                <w:color w:val="auto"/>
                <w:szCs w:val="21"/>
                <w:highlight w:val="none"/>
                <w:lang w:eastAsia="zh-CN"/>
              </w:rPr>
              <w:t>，</w:t>
            </w:r>
            <w:r>
              <w:rPr>
                <w:rFonts w:hint="eastAsia" w:ascii="仿宋_GB2312" w:hAnsi="宋体" w:eastAsia="仿宋_GB2312"/>
                <w:color w:val="auto"/>
                <w:szCs w:val="21"/>
                <w:highlight w:val="none"/>
              </w:rPr>
              <w:t>防盗门</w:t>
            </w:r>
            <w:r>
              <w:rPr>
                <w:rFonts w:hint="eastAsia" w:ascii="仿宋_GB2312" w:hAnsi="宋体" w:eastAsia="仿宋_GB2312"/>
                <w:color w:val="auto"/>
                <w:szCs w:val="21"/>
                <w:highlight w:val="none"/>
                <w:lang w:eastAsia="zh-CN"/>
              </w:rPr>
              <w:t>入户，</w:t>
            </w:r>
            <w:r>
              <w:rPr>
                <w:rFonts w:hint="eastAsia" w:ascii="仿宋_GB2312" w:hAnsi="宋体" w:eastAsia="仿宋_GB2312"/>
                <w:color w:val="auto"/>
                <w:szCs w:val="21"/>
                <w:highlight w:val="none"/>
                <w:lang w:val="en-US" w:eastAsia="zh-CN"/>
              </w:rPr>
              <w:t>不锈钢</w:t>
            </w:r>
            <w:r>
              <w:rPr>
                <w:rFonts w:hint="eastAsia" w:ascii="仿宋_GB2312" w:hAnsi="宋体" w:eastAsia="仿宋_GB2312"/>
                <w:color w:val="auto"/>
                <w:szCs w:val="21"/>
                <w:highlight w:val="none"/>
              </w:rPr>
              <w:t>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auto"/>
                <w:szCs w:val="21"/>
                <w:highlight w:val="none"/>
              </w:rPr>
            </w:pPr>
            <w:r>
              <w:rPr>
                <w:rFonts w:hint="eastAsia" w:ascii="仿宋_GB2312" w:eastAsia="仿宋_GB2312"/>
                <w:color w:val="auto"/>
                <w:szCs w:val="21"/>
                <w:highlight w:val="none"/>
              </w:rPr>
              <w:t>基础设施完备程度与土地平整程度</w:t>
            </w:r>
          </w:p>
        </w:tc>
        <w:tc>
          <w:tcPr>
            <w:tcW w:w="671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估价对象基础设施完备，开发程度为“六通一平”（通上水、通下水、通路、通电、通讯、通气及场地平整），土地形状规整，地势平坦，地质情况较好，不受水文状况影响、地基承载力达到规定要求，符合规划限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auto"/>
                <w:szCs w:val="21"/>
                <w:highlight w:val="none"/>
              </w:rPr>
            </w:pPr>
            <w:r>
              <w:rPr>
                <w:rFonts w:hint="eastAsia" w:ascii="仿宋_GB2312" w:eastAsia="仿宋_GB2312"/>
                <w:color w:val="auto"/>
                <w:szCs w:val="21"/>
                <w:highlight w:val="none"/>
              </w:rPr>
              <w:t>估价对象利用现状、工程质量及维护保养情况</w:t>
            </w:r>
          </w:p>
        </w:tc>
        <w:tc>
          <w:tcPr>
            <w:tcW w:w="671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房屋工程质量合格，完损程度判定为完好房。但对估价对象的实地查勘仅限于其外观和使用状况，对被遮盖、未暴露及难以接触到的部分，则是依据委托方提供的资料进行评估，我们不承担对估价对象建筑结构质量进行调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color w:val="auto"/>
                <w:szCs w:val="21"/>
                <w:highlight w:val="none"/>
              </w:rPr>
            </w:pPr>
            <w:r>
              <w:rPr>
                <w:rFonts w:hint="eastAsia" w:ascii="仿宋_GB2312" w:eastAsia="仿宋_GB2312"/>
                <w:b/>
                <w:color w:val="auto"/>
                <w:szCs w:val="21"/>
                <w:highlight w:val="none"/>
              </w:rPr>
              <w:t>其他</w:t>
            </w:r>
          </w:p>
        </w:tc>
        <w:tc>
          <w:tcPr>
            <w:tcW w:w="671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宋体" w:eastAsia="仿宋_GB2312"/>
                <w:b/>
                <w:color w:val="auto"/>
                <w:szCs w:val="21"/>
                <w:highlight w:val="none"/>
                <w:lang w:eastAsia="zh-CN"/>
              </w:rPr>
            </w:pPr>
            <w:r>
              <w:rPr>
                <w:rFonts w:hint="eastAsia" w:ascii="仿宋_GB2312" w:hAnsi="宋体" w:eastAsia="仿宋_GB2312"/>
                <w:b/>
                <w:color w:val="auto"/>
                <w:szCs w:val="21"/>
                <w:highlight w:val="none"/>
                <w:lang w:val="en-US" w:eastAsia="zh-CN"/>
              </w:rPr>
              <w:t>/</w:t>
            </w:r>
          </w:p>
        </w:tc>
      </w:tr>
    </w:tbl>
    <w:p>
      <w:pPr>
        <w:numPr>
          <w:ilvl w:val="0"/>
          <w:numId w:val="0"/>
        </w:numPr>
        <w:spacing w:after="156" w:afterLines="50" w:line="560" w:lineRule="exact"/>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lang w:eastAsia="zh-CN"/>
        </w:rPr>
        <w:t>）区位状况</w:t>
      </w:r>
    </w:p>
    <w:tbl>
      <w:tblPr>
        <w:tblStyle w:val="1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color w:val="auto"/>
                <w:szCs w:val="21"/>
                <w:highlight w:val="none"/>
              </w:rPr>
            </w:pPr>
            <w:bookmarkStart w:id="37" w:name="_Toc462218097"/>
            <w:r>
              <w:rPr>
                <w:rFonts w:hint="eastAsia" w:ascii="仿宋_GB2312" w:eastAsia="仿宋_GB2312" w:cs="仿宋_GB2312"/>
                <w:color w:val="auto"/>
                <w:highlight w:val="none"/>
              </w:rPr>
              <w:t>四至情况</w:t>
            </w:r>
          </w:p>
        </w:tc>
        <w:tc>
          <w:tcPr>
            <w:tcW w:w="6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东临纯银路，北邻深柳大道</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lang w:val="en-US" w:eastAsia="zh-CN"/>
              </w:rPr>
              <w:t>南</w:t>
            </w:r>
            <w:r>
              <w:rPr>
                <w:rFonts w:hint="eastAsia" w:ascii="仿宋_GB2312" w:eastAsia="仿宋_GB2312"/>
                <w:color w:val="auto"/>
                <w:szCs w:val="21"/>
                <w:highlight w:val="none"/>
                <w:lang w:eastAsia="zh-CN"/>
              </w:rPr>
              <w:t>临围庵小学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color w:val="auto"/>
                <w:szCs w:val="21"/>
                <w:highlight w:val="none"/>
              </w:rPr>
            </w:pPr>
            <w:r>
              <w:rPr>
                <w:rFonts w:hint="eastAsia" w:ascii="仿宋_GB2312" w:eastAsia="仿宋_GB2312" w:cs="仿宋_GB2312"/>
                <w:color w:val="auto"/>
                <w:highlight w:val="none"/>
              </w:rPr>
              <w:t>交通状况</w:t>
            </w:r>
          </w:p>
        </w:tc>
        <w:tc>
          <w:tcPr>
            <w:tcW w:w="6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auto"/>
                <w:szCs w:val="21"/>
                <w:highlight w:val="none"/>
              </w:rPr>
            </w:pPr>
            <w:r>
              <w:rPr>
                <w:rFonts w:hint="eastAsia" w:ascii="仿宋_GB2312" w:eastAsia="仿宋_GB2312"/>
                <w:color w:val="auto"/>
                <w:szCs w:val="21"/>
                <w:highlight w:val="none"/>
              </w:rPr>
              <w:t>附近有</w:t>
            </w:r>
            <w:r>
              <w:rPr>
                <w:rFonts w:hint="eastAsia" w:ascii="仿宋_GB2312" w:eastAsia="仿宋_GB2312"/>
                <w:color w:val="auto"/>
                <w:szCs w:val="21"/>
                <w:highlight w:val="none"/>
                <w:lang w:val="en-US" w:eastAsia="zh-CN"/>
              </w:rPr>
              <w:t>安乡6</w:t>
            </w:r>
            <w:r>
              <w:rPr>
                <w:rFonts w:hint="eastAsia" w:ascii="仿宋_GB2312" w:eastAsia="仿宋_GB2312"/>
                <w:color w:val="auto"/>
                <w:szCs w:val="21"/>
                <w:highlight w:val="none"/>
              </w:rPr>
              <w:t>路</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lang w:val="en-US" w:eastAsia="zh-CN"/>
              </w:rPr>
              <w:t>7路、8路</w:t>
            </w:r>
            <w:r>
              <w:rPr>
                <w:rFonts w:hint="eastAsia" w:ascii="仿宋_GB2312" w:eastAsia="仿宋_GB2312"/>
                <w:color w:val="auto"/>
                <w:szCs w:val="21"/>
                <w:highlight w:val="none"/>
              </w:rPr>
              <w:t>等公交路线途经，交通</w:t>
            </w:r>
            <w:r>
              <w:rPr>
                <w:rFonts w:hint="eastAsia" w:ascii="仿宋_GB2312" w:eastAsia="仿宋_GB2312"/>
                <w:color w:val="auto"/>
                <w:szCs w:val="21"/>
                <w:highlight w:val="none"/>
                <w:lang w:val="en-US" w:eastAsia="zh-CN"/>
              </w:rPr>
              <w:t>较</w:t>
            </w:r>
            <w:r>
              <w:rPr>
                <w:rFonts w:hint="eastAsia" w:ascii="仿宋_GB2312" w:eastAsia="仿宋_GB2312"/>
                <w:color w:val="auto"/>
                <w:szCs w:val="21"/>
                <w:highlight w:val="none"/>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Cs w:val="21"/>
                <w:highlight w:val="none"/>
              </w:rPr>
            </w:pPr>
            <w:r>
              <w:rPr>
                <w:rFonts w:hint="eastAsia" w:ascii="仿宋_GB2312" w:eastAsia="仿宋_GB2312" w:cs="仿宋_GB2312"/>
                <w:color w:val="auto"/>
                <w:highlight w:val="none"/>
              </w:rPr>
              <w:t>配套情况</w:t>
            </w:r>
          </w:p>
        </w:tc>
        <w:tc>
          <w:tcPr>
            <w:tcW w:w="6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auto"/>
                <w:szCs w:val="21"/>
                <w:highlight w:val="none"/>
              </w:rPr>
            </w:pPr>
            <w:r>
              <w:rPr>
                <w:rFonts w:hint="eastAsia" w:ascii="仿宋_GB2312" w:eastAsia="仿宋_GB2312"/>
                <w:color w:val="auto"/>
                <w:szCs w:val="21"/>
                <w:highlight w:val="none"/>
              </w:rPr>
              <w:t>周边有</w:t>
            </w:r>
            <w:r>
              <w:rPr>
                <w:rFonts w:hint="eastAsia" w:ascii="仿宋_GB2312" w:eastAsia="仿宋_GB2312"/>
                <w:color w:val="auto"/>
                <w:szCs w:val="21"/>
                <w:highlight w:val="none"/>
                <w:lang w:eastAsia="zh-CN"/>
              </w:rPr>
              <w:t>围庵小学、</w:t>
            </w:r>
            <w:r>
              <w:rPr>
                <w:rFonts w:hint="eastAsia" w:ascii="仿宋_GB2312" w:eastAsia="仿宋_GB2312"/>
                <w:color w:val="auto"/>
                <w:szCs w:val="21"/>
                <w:highlight w:val="none"/>
                <w:lang w:val="en-US" w:eastAsia="zh-CN"/>
              </w:rPr>
              <w:t>安乡县城北小学</w:t>
            </w:r>
            <w:r>
              <w:rPr>
                <w:rFonts w:hint="eastAsia" w:ascii="仿宋_GB2312" w:eastAsia="仿宋_GB2312"/>
                <w:color w:val="auto"/>
                <w:szCs w:val="21"/>
                <w:highlight w:val="none"/>
                <w:lang w:eastAsia="zh-CN"/>
              </w:rPr>
              <w:t>、安乡县人民医院、天洁农贸市场、</w:t>
            </w:r>
            <w:r>
              <w:rPr>
                <w:rFonts w:hint="eastAsia" w:ascii="仿宋_GB2312" w:eastAsia="仿宋_GB2312"/>
                <w:color w:val="auto"/>
                <w:szCs w:val="21"/>
                <w:highlight w:val="none"/>
              </w:rPr>
              <w:t>生活超市、银行网点等，配套设施齐全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Cs w:val="21"/>
                <w:highlight w:val="none"/>
              </w:rPr>
            </w:pPr>
            <w:r>
              <w:rPr>
                <w:rFonts w:hint="eastAsia" w:ascii="仿宋_GB2312" w:eastAsia="仿宋_GB2312" w:cs="仿宋_GB2312"/>
                <w:color w:val="auto"/>
                <w:highlight w:val="none"/>
              </w:rPr>
              <w:t>开发程度</w:t>
            </w:r>
          </w:p>
        </w:tc>
        <w:tc>
          <w:tcPr>
            <w:tcW w:w="6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auto"/>
                <w:szCs w:val="21"/>
                <w:highlight w:val="none"/>
              </w:rPr>
            </w:pPr>
            <w:r>
              <w:rPr>
                <w:rFonts w:hint="eastAsia" w:ascii="仿宋_GB2312" w:eastAsia="仿宋_GB2312"/>
                <w:color w:val="auto"/>
                <w:szCs w:val="21"/>
                <w:highlight w:val="none"/>
              </w:rPr>
              <w:t>“六通一平”（</w:t>
            </w:r>
            <w:r>
              <w:rPr>
                <w:rFonts w:hint="eastAsia" w:ascii="仿宋_GB2312" w:hAnsi="宋体" w:eastAsia="仿宋_GB2312"/>
                <w:color w:val="auto"/>
                <w:szCs w:val="21"/>
                <w:highlight w:val="none"/>
              </w:rPr>
              <w:t>通路、通电、通讯、通上水、通下水、通气与场地平整</w:t>
            </w:r>
            <w:r>
              <w:rPr>
                <w:rFonts w:hint="eastAsia" w:ascii="仿宋_GB2312" w:eastAsia="仿宋_GB2312"/>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auto"/>
                <w:szCs w:val="21"/>
                <w:highlight w:val="none"/>
              </w:rPr>
            </w:pPr>
            <w:r>
              <w:rPr>
                <w:rFonts w:hint="eastAsia" w:ascii="仿宋_GB2312" w:eastAsia="仿宋_GB2312"/>
                <w:color w:val="auto"/>
                <w:szCs w:val="21"/>
                <w:highlight w:val="none"/>
              </w:rPr>
              <w:t>居住环境</w:t>
            </w:r>
          </w:p>
        </w:tc>
        <w:tc>
          <w:tcPr>
            <w:tcW w:w="6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小区绿化</w:t>
            </w:r>
            <w:r>
              <w:rPr>
                <w:rFonts w:hint="eastAsia" w:ascii="仿宋_GB2312" w:eastAsia="仿宋_GB2312"/>
                <w:color w:val="auto"/>
                <w:szCs w:val="21"/>
                <w:highlight w:val="none"/>
                <w:lang w:val="en-US" w:eastAsia="zh-CN"/>
              </w:rPr>
              <w:t>一般</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lang w:val="en-US" w:eastAsia="zh-CN"/>
              </w:rPr>
              <w:t>人车未分流</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rPr>
              <w:t>居住环境</w:t>
            </w:r>
            <w:r>
              <w:rPr>
                <w:rFonts w:hint="eastAsia" w:ascii="仿宋_GB2312" w:eastAsia="仿宋_GB2312"/>
                <w:color w:val="auto"/>
                <w:szCs w:val="21"/>
                <w:highlight w:val="none"/>
                <w:lang w:val="en-US" w:eastAsia="zh-CN"/>
              </w:rPr>
              <w:t>一般</w:t>
            </w:r>
          </w:p>
        </w:tc>
      </w:tr>
    </w:tbl>
    <w:p>
      <w:pPr>
        <w:pStyle w:val="4"/>
        <w:spacing w:before="0" w:after="0" w:line="360" w:lineRule="auto"/>
        <w:ind w:left="420"/>
        <w:rPr>
          <w:color w:val="auto"/>
          <w:sz w:val="24"/>
          <w:szCs w:val="24"/>
          <w:highlight w:val="none"/>
        </w:rPr>
      </w:pPr>
      <w:r>
        <w:rPr>
          <w:rFonts w:hint="eastAsia"/>
          <w:color w:val="auto"/>
          <w:sz w:val="24"/>
          <w:szCs w:val="24"/>
          <w:highlight w:val="none"/>
        </w:rPr>
        <w:t>（六）价值时点</w:t>
      </w:r>
      <w:bookmarkEnd w:id="37"/>
    </w:p>
    <w:p>
      <w:pPr>
        <w:snapToGrid w:val="0"/>
        <w:spacing w:line="360" w:lineRule="auto"/>
        <w:ind w:firstLine="480" w:firstLineChars="200"/>
        <w:rPr>
          <w:rFonts w:ascii="仿宋_GB2312" w:eastAsia="仿宋_GB2312"/>
          <w:color w:val="auto"/>
          <w:sz w:val="24"/>
          <w:highlight w:val="none"/>
        </w:rPr>
      </w:pPr>
      <w:bookmarkStart w:id="38" w:name="_Toc384364487"/>
      <w:bookmarkStart w:id="39" w:name="_Toc384323577"/>
      <w:r>
        <w:rPr>
          <w:rFonts w:hint="eastAsia" w:ascii="仿宋_GB2312" w:eastAsia="仿宋_GB2312"/>
          <w:bCs/>
          <w:color w:val="auto"/>
          <w:sz w:val="24"/>
          <w:highlight w:val="none"/>
        </w:rPr>
        <w:t>本次估价完成估价对象实地查勘之日为</w:t>
      </w:r>
      <w:r>
        <w:rPr>
          <w:rFonts w:hint="eastAsia" w:ascii="仿宋_GB2312" w:eastAsia="仿宋_GB2312"/>
          <w:bCs/>
          <w:color w:val="auto"/>
          <w:sz w:val="24"/>
          <w:highlight w:val="none"/>
          <w:lang w:eastAsia="zh-CN"/>
        </w:rPr>
        <w:t>2022年7月5日</w:t>
      </w:r>
      <w:r>
        <w:rPr>
          <w:rFonts w:hint="eastAsia" w:ascii="仿宋_GB2312" w:eastAsia="仿宋_GB2312"/>
          <w:bCs/>
          <w:color w:val="auto"/>
          <w:sz w:val="24"/>
          <w:highlight w:val="none"/>
        </w:rPr>
        <w:t>，</w:t>
      </w:r>
      <w:r>
        <w:rPr>
          <w:rFonts w:hint="eastAsia" w:ascii="仿宋_GB2312" w:eastAsia="仿宋_GB2312"/>
          <w:color w:val="auto"/>
          <w:sz w:val="24"/>
          <w:highlight w:val="none"/>
        </w:rPr>
        <w:t>价值时点无其他约定</w:t>
      </w:r>
      <w:r>
        <w:rPr>
          <w:rFonts w:hint="eastAsia" w:ascii="仿宋_GB2312" w:eastAsia="仿宋_GB2312"/>
          <w:bCs/>
          <w:color w:val="auto"/>
          <w:sz w:val="24"/>
          <w:highlight w:val="none"/>
        </w:rPr>
        <w:t>，根据估价目的，价值时点确定为</w:t>
      </w:r>
      <w:r>
        <w:rPr>
          <w:rFonts w:hint="eastAsia" w:ascii="仿宋_GB2312" w:eastAsia="仿宋_GB2312"/>
          <w:bCs/>
          <w:color w:val="auto"/>
          <w:sz w:val="24"/>
          <w:highlight w:val="none"/>
          <w:lang w:eastAsia="zh-CN"/>
        </w:rPr>
        <w:t>2022年7月5日</w:t>
      </w:r>
      <w:r>
        <w:rPr>
          <w:rFonts w:hint="eastAsia" w:ascii="仿宋_GB2312" w:eastAsia="仿宋_GB2312"/>
          <w:bCs/>
          <w:color w:val="auto"/>
          <w:sz w:val="24"/>
          <w:highlight w:val="none"/>
        </w:rPr>
        <w:t>。</w:t>
      </w:r>
      <w:bookmarkEnd w:id="38"/>
      <w:bookmarkEnd w:id="39"/>
    </w:p>
    <w:p>
      <w:pPr>
        <w:pStyle w:val="4"/>
        <w:spacing w:before="0" w:after="0" w:line="360" w:lineRule="auto"/>
        <w:ind w:left="420"/>
        <w:rPr>
          <w:color w:val="auto"/>
          <w:sz w:val="24"/>
          <w:szCs w:val="24"/>
          <w:highlight w:val="none"/>
        </w:rPr>
      </w:pPr>
      <w:bookmarkStart w:id="40" w:name="_Toc462218098"/>
      <w:r>
        <w:rPr>
          <w:rFonts w:hint="eastAsia"/>
          <w:color w:val="auto"/>
          <w:sz w:val="24"/>
          <w:szCs w:val="24"/>
          <w:highlight w:val="none"/>
        </w:rPr>
        <w:t>（七）价值类型</w:t>
      </w:r>
      <w:bookmarkEnd w:id="40"/>
    </w:p>
    <w:p>
      <w:pPr>
        <w:tabs>
          <w:tab w:val="left" w:pos="0"/>
        </w:tabs>
        <w:snapToGrid w:val="0"/>
        <w:spacing w:line="360" w:lineRule="auto"/>
        <w:ind w:firstLine="540"/>
        <w:rPr>
          <w:rFonts w:ascii="仿宋_GB2312" w:eastAsia="仿宋_GB2312"/>
          <w:color w:val="auto"/>
          <w:sz w:val="24"/>
          <w:highlight w:val="none"/>
        </w:rPr>
      </w:pPr>
      <w:r>
        <w:rPr>
          <w:rFonts w:hint="eastAsia" w:ascii="仿宋_GB2312" w:hAnsi="宋体" w:eastAsia="仿宋_GB2312"/>
          <w:color w:val="auto"/>
          <w:sz w:val="24"/>
          <w:highlight w:val="none"/>
        </w:rPr>
        <w:t>价值类型：</w:t>
      </w:r>
      <w:r>
        <w:rPr>
          <w:rFonts w:hint="eastAsia" w:ascii="仿宋_GB2312" w:eastAsia="仿宋_GB2312"/>
          <w:color w:val="auto"/>
          <w:sz w:val="24"/>
          <w:highlight w:val="none"/>
        </w:rPr>
        <w:t>市场价值，指估价对象经适当营销后，由熟悉情况、谨慎行事且不受强迫的交易双方，以公平交易方式在价值时点自愿进行交易的金额。</w:t>
      </w:r>
    </w:p>
    <w:p>
      <w:pPr>
        <w:pStyle w:val="4"/>
        <w:spacing w:before="0" w:after="0" w:line="360" w:lineRule="auto"/>
        <w:ind w:left="420"/>
        <w:rPr>
          <w:color w:val="auto"/>
          <w:sz w:val="24"/>
          <w:szCs w:val="24"/>
          <w:highlight w:val="none"/>
        </w:rPr>
      </w:pPr>
      <w:bookmarkStart w:id="41" w:name="_Toc462218099"/>
      <w:r>
        <w:rPr>
          <w:rFonts w:hint="eastAsia"/>
          <w:color w:val="auto"/>
          <w:sz w:val="24"/>
          <w:szCs w:val="24"/>
          <w:highlight w:val="none"/>
        </w:rPr>
        <w:t>（八）估价原则</w:t>
      </w:r>
      <w:bookmarkEnd w:id="41"/>
    </w:p>
    <w:p>
      <w:pPr>
        <w:snapToGrid w:val="0"/>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1、独立、客观、公正原则：要求站在中立的立场上，实事求是、公平正直地评估出对各方利害关系人均是公平合理的价值或价格的原则。</w:t>
      </w:r>
    </w:p>
    <w:p>
      <w:pPr>
        <w:snapToGrid w:val="0"/>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2、合法原则：要求估价结果是在依法判定的估价对象状况下的价值或价格的原则。</w:t>
      </w:r>
    </w:p>
    <w:p>
      <w:pPr>
        <w:snapToGrid w:val="0"/>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3、价值时点原则：要求估价结果是在根据估价目的确定的某一特定时间的价值或价格的原则。</w:t>
      </w:r>
    </w:p>
    <w:p>
      <w:pPr>
        <w:snapToGrid w:val="0"/>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4、替代原则：要求估价结果与估价对象的类似房地产在同等条件下的价值或价格偏差在合理范围内的原则。</w:t>
      </w:r>
    </w:p>
    <w:p>
      <w:pPr>
        <w:snapToGrid w:val="0"/>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5、最高最佳利用原则：要求估价结果是在估价对象最高最佳利用状况下的价值或价格。最高最佳利用是指房地产在法律上允许、技术上可能、财务上可行并使价值最大的合理、可能的利用，包括最佳的用途、规模、档次等。</w:t>
      </w:r>
    </w:p>
    <w:p>
      <w:pPr>
        <w:pStyle w:val="4"/>
        <w:spacing w:before="0" w:after="0" w:line="360" w:lineRule="auto"/>
        <w:ind w:left="420"/>
        <w:rPr>
          <w:color w:val="auto"/>
          <w:sz w:val="24"/>
          <w:szCs w:val="24"/>
          <w:highlight w:val="none"/>
        </w:rPr>
      </w:pPr>
      <w:bookmarkStart w:id="42" w:name="_Toc462218100"/>
      <w:r>
        <w:rPr>
          <w:rFonts w:hint="eastAsia"/>
          <w:color w:val="auto"/>
          <w:sz w:val="24"/>
          <w:szCs w:val="24"/>
          <w:highlight w:val="none"/>
        </w:rPr>
        <w:t>（九）估价依据</w:t>
      </w:r>
      <w:bookmarkEnd w:id="42"/>
    </w:p>
    <w:p>
      <w:pPr>
        <w:keepNext w:val="0"/>
        <w:keepLines w:val="0"/>
        <w:pageBreakBefore w:val="0"/>
        <w:widowControl w:val="0"/>
        <w:kinsoku/>
        <w:wordWrap/>
        <w:overflowPunct/>
        <w:topLinePunct w:val="0"/>
        <w:autoSpaceDE/>
        <w:autoSpaceDN/>
        <w:bidi w:val="0"/>
        <w:adjustRightInd/>
        <w:snapToGrid w:val="0"/>
        <w:spacing w:line="440" w:lineRule="exact"/>
        <w:ind w:firstLine="564" w:firstLineChars="235"/>
        <w:textAlignment w:val="auto"/>
        <w:rPr>
          <w:rFonts w:ascii="仿宋_GB2312" w:hAnsi="Arial Narrow" w:eastAsia="仿宋_GB2312"/>
          <w:b/>
          <w:color w:val="auto"/>
          <w:sz w:val="24"/>
          <w:highlight w:val="none"/>
        </w:rPr>
      </w:pPr>
      <w:r>
        <w:rPr>
          <w:rFonts w:hint="eastAsia" w:ascii="仿宋_GB2312" w:eastAsia="仿宋_GB2312"/>
          <w:color w:val="auto"/>
          <w:sz w:val="24"/>
          <w:highlight w:val="none"/>
        </w:rPr>
        <w:t>1、国家有关法律、行政法规、规章和政策、技术标准文件</w:t>
      </w:r>
    </w:p>
    <w:p>
      <w:pPr>
        <w:pageBreakBefore w:val="0"/>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(1) 《中华人民共和国民法典》（中华人民共和国主席令第45号，第十三届全国人民代表大会第三次会议通过，自2021年1月1日起施行）；</w:t>
      </w:r>
    </w:p>
    <w:p>
      <w:pPr>
        <w:pageBreakBefore w:val="0"/>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(2)</w:t>
      </w:r>
      <w:r>
        <w:rPr>
          <w:rFonts w:hint="eastAsia"/>
          <w:color w:val="auto"/>
          <w:highlight w:val="none"/>
        </w:rPr>
        <w:t xml:space="preserve"> </w:t>
      </w:r>
      <w:r>
        <w:rPr>
          <w:rFonts w:hint="eastAsia" w:ascii="仿宋_GB2312" w:eastAsia="仿宋_GB2312"/>
          <w:color w:val="auto"/>
          <w:sz w:val="24"/>
          <w:highlight w:val="none"/>
        </w:rPr>
        <w:t>《中华人民共和国城市房地产管理法》（中华人民共和国主席令第32号,2019年8月26日第十三届全国人民代表大会常务委员会第十二次会议修订通过，自2020年1月1日起施行）；</w:t>
      </w:r>
    </w:p>
    <w:p>
      <w:pPr>
        <w:pageBreakBefore w:val="0"/>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(3)</w:t>
      </w:r>
      <w:r>
        <w:rPr>
          <w:rFonts w:hint="eastAsia"/>
          <w:color w:val="auto"/>
          <w:highlight w:val="none"/>
        </w:rPr>
        <w:t xml:space="preserve"> </w:t>
      </w:r>
      <w:r>
        <w:rPr>
          <w:rFonts w:hint="eastAsia" w:ascii="仿宋_GB2312" w:eastAsia="仿宋_GB2312"/>
          <w:color w:val="auto"/>
          <w:sz w:val="24"/>
          <w:highlight w:val="none"/>
        </w:rPr>
        <w:t>《中华人民共和国土地管理法》（中华人民共和国主席令第32号,2019年8月26日第十三届全国人民代表大会常务委员会第十二次会议修订通过，自2020年1月1日起施行)；</w:t>
      </w:r>
    </w:p>
    <w:p>
      <w:pPr>
        <w:pageBreakBefore w:val="0"/>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(4)《</w:t>
      </w:r>
      <w:r>
        <w:rPr>
          <w:rFonts w:ascii="仿宋_GB2312" w:eastAsia="仿宋_GB2312"/>
          <w:color w:val="auto"/>
          <w:sz w:val="24"/>
          <w:highlight w:val="none"/>
        </w:rPr>
        <w:t>中华人民共和国拍卖法》</w:t>
      </w:r>
      <w:r>
        <w:rPr>
          <w:rFonts w:hint="eastAsia" w:ascii="仿宋_GB2312" w:eastAsia="仿宋_GB2312"/>
          <w:color w:val="auto"/>
          <w:sz w:val="24"/>
          <w:highlight w:val="none"/>
        </w:rPr>
        <w:t>（2015年4月24日第十二届全国人民代表大会常务委员会第十四次会议修正、1997年1月1日起施行；</w:t>
      </w:r>
    </w:p>
    <w:p>
      <w:pPr>
        <w:pageBreakBefore w:val="0"/>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(5)《中华人民共和国资产评估法》（中华人民共和国主席令第四十六号、自2016年12月1日起施行）；</w:t>
      </w:r>
    </w:p>
    <w:p>
      <w:pPr>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(6)《最高人民法院关于人民法院民事执行中拍卖、变卖财产的规定》（2004年10月26日最高人民法院审判委员会第1330次会议通过，2020年12月23日修正）；</w:t>
      </w:r>
    </w:p>
    <w:p>
      <w:pPr>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(7)</w:t>
      </w:r>
      <w:r>
        <w:rPr>
          <w:rFonts w:hint="eastAsia" w:ascii="仿宋_GB2312" w:hAnsi="Times New Roman" w:eastAsia="仿宋_GB2312" w:cs="Times New Roman"/>
          <w:color w:val="auto"/>
          <w:sz w:val="24"/>
          <w:highlight w:val="none"/>
          <w:lang w:val="en-US" w:eastAsia="zh-CN"/>
        </w:rPr>
        <w:t>《最高人民法院对外委托鉴定、评估、拍卖等工作管理规定》（自2007年9月1日施行）；</w:t>
      </w:r>
    </w:p>
    <w:p>
      <w:pPr>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(8)《最高人民法院关于人民法院委托评估、拍卖和变卖工作的若干规定》（法释[2009]16号）；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lang w:val="en-US" w:eastAsia="zh-CN"/>
        </w:rPr>
        <w:t>(9)</w:t>
      </w:r>
      <w:r>
        <w:rPr>
          <w:rFonts w:hint="eastAsia" w:ascii="仿宋_GB2312" w:eastAsia="仿宋_GB2312"/>
          <w:color w:val="auto"/>
          <w:sz w:val="24"/>
          <w:highlight w:val="none"/>
        </w:rPr>
        <w:t>《最高人民法院关于人民法院确定财产处置参考价若干问题的规定》（法释[2018]15号）；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w:t>
      </w:r>
      <w:r>
        <w:rPr>
          <w:rFonts w:hint="eastAsia" w:ascii="仿宋_GB2312" w:hAnsi="Times New Roman" w:eastAsia="仿宋_GB2312" w:cs="Times New Roman"/>
          <w:color w:val="auto"/>
          <w:sz w:val="24"/>
          <w:highlight w:val="none"/>
          <w:lang w:val="en-US" w:eastAsia="zh-CN"/>
        </w:rPr>
        <w:t>10</w:t>
      </w:r>
      <w:r>
        <w:rPr>
          <w:rFonts w:hint="eastAsia" w:ascii="仿宋_GB2312" w:hAnsi="Times New Roman" w:eastAsia="仿宋_GB2312" w:cs="Times New Roman"/>
          <w:color w:val="auto"/>
          <w:sz w:val="24"/>
          <w:highlight w:val="none"/>
        </w:rPr>
        <w:t>)《人民法院委托评估工作规范》（法办[2018]273号）；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w:t>
      </w:r>
      <w:r>
        <w:rPr>
          <w:rFonts w:hint="eastAsia" w:ascii="仿宋_GB2312" w:hAnsi="Times New Roman" w:eastAsia="仿宋_GB2312" w:cs="Times New Roman"/>
          <w:color w:val="auto"/>
          <w:sz w:val="24"/>
          <w:highlight w:val="none"/>
          <w:lang w:val="en-US" w:eastAsia="zh-CN"/>
        </w:rPr>
        <w:t>11</w:t>
      </w:r>
      <w:r>
        <w:rPr>
          <w:rFonts w:hint="eastAsia" w:ascii="仿宋_GB2312" w:hAnsi="Times New Roman" w:eastAsia="仿宋_GB2312" w:cs="Times New Roman"/>
          <w:color w:val="auto"/>
          <w:sz w:val="24"/>
          <w:highlight w:val="none"/>
        </w:rPr>
        <w:t>)</w:t>
      </w:r>
      <w:r>
        <w:rPr>
          <w:rFonts w:hint="eastAsia" w:ascii="仿宋_GB2312" w:hAnsi="Times New Roman" w:eastAsia="仿宋_GB2312" w:cs="Times New Roman"/>
          <w:color w:val="auto"/>
          <w:sz w:val="24"/>
          <w:highlight w:val="none"/>
          <w:lang w:val="en-US" w:eastAsia="zh-CN"/>
        </w:rPr>
        <w:t>《最高人民法院关于修改&lt;关于民事诉讼证据的若干规定&gt;的决定》（法释[2019]19号</w:t>
      </w:r>
      <w:r>
        <w:rPr>
          <w:rFonts w:hint="eastAsia" w:ascii="仿宋_GB2312" w:eastAsia="仿宋_GB2312" w:cs="Times New Roman"/>
          <w:color w:val="auto"/>
          <w:sz w:val="24"/>
          <w:highlight w:val="none"/>
          <w:lang w:val="en-US" w:eastAsia="zh-CN"/>
        </w:rPr>
        <w:t>，于2019年10月14日由最高人民法院审判委员会第1777次会议通过，自2020年5月1日起实施</w:t>
      </w:r>
      <w:r>
        <w:rPr>
          <w:rFonts w:hint="eastAsia" w:ascii="仿宋_GB2312" w:hAnsi="Times New Roman" w:eastAsia="仿宋_GB2312" w:cs="Times New Roman"/>
          <w:color w:val="auto"/>
          <w:sz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pacing w:line="440" w:lineRule="exact"/>
        <w:textAlignment w:val="auto"/>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(12)《最高人民法院关于人民法院民事诉讼中委托鉴定审查工作若干问题的规定》（法[2020]202号）；</w:t>
      </w:r>
    </w:p>
    <w:p>
      <w:pPr>
        <w:pageBreakBefore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13</w:t>
      </w:r>
      <w:r>
        <w:rPr>
          <w:rFonts w:hint="eastAsia" w:ascii="仿宋_GB2312" w:eastAsia="仿宋_GB2312"/>
          <w:color w:val="auto"/>
          <w:sz w:val="24"/>
          <w:highlight w:val="none"/>
        </w:rPr>
        <w:t>)《房地产估价规范》（GB/T 50291-2015）（住房和城乡建设部第797号，自2015年12月1日起实施）；</w:t>
      </w:r>
    </w:p>
    <w:p>
      <w:pPr>
        <w:pageBreakBefore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14</w:t>
      </w:r>
      <w:r>
        <w:rPr>
          <w:rFonts w:hint="eastAsia" w:ascii="仿宋_GB2312" w:eastAsia="仿宋_GB2312"/>
          <w:color w:val="auto"/>
          <w:sz w:val="24"/>
          <w:highlight w:val="none"/>
        </w:rPr>
        <w:t>)《房地产估价基本术语标准》（GB/T50899-2013、中华人民共和国住房和城乡建设部、国家质量监督检验检疫总局联合发布、2013年6月26日发布、2014年2月1日实施）；</w:t>
      </w:r>
    </w:p>
    <w:p>
      <w:pPr>
        <w:pageBreakBefore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rPr>
        <w:t>)《城市房地产转让管理办法》（建设部令第96号、2001年8月15日实施）；</w:t>
      </w:r>
    </w:p>
    <w:p>
      <w:pPr>
        <w:pageBreakBefore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6</w:t>
      </w:r>
      <w:r>
        <w:rPr>
          <w:rFonts w:hint="eastAsia" w:ascii="仿宋_GB2312" w:eastAsia="仿宋_GB2312"/>
          <w:color w:val="auto"/>
          <w:sz w:val="24"/>
          <w:highlight w:val="none"/>
        </w:rPr>
        <w:t>)《拍卖管理办法》(商务部令2004年第24号、2005年1月1日起施行) ；</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color w:val="auto"/>
          <w:sz w:val="24"/>
          <w:highlight w:val="none"/>
          <w:lang w:eastAsia="zh-CN"/>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7</w:t>
      </w:r>
      <w:r>
        <w:rPr>
          <w:rFonts w:hint="eastAsia" w:ascii="仿宋_GB2312" w:eastAsia="仿宋_GB2312"/>
          <w:color w:val="auto"/>
          <w:sz w:val="24"/>
          <w:highlight w:val="none"/>
        </w:rPr>
        <w:t>)《财政部 税务总局 海关总署关于深化增值税改革有关政策的公告》（财政部 税务总局 海关总署公告2019年第39号）</w:t>
      </w:r>
      <w:r>
        <w:rPr>
          <w:rFonts w:hint="eastAsia" w:ascii="仿宋_GB2312" w:eastAsia="仿宋_GB2312"/>
          <w:color w:val="auto"/>
          <w:sz w:val="24"/>
          <w:highlight w:val="none"/>
          <w:lang w:eastAsia="zh-CN"/>
        </w:rPr>
        <w:t>；</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color w:val="auto"/>
          <w:sz w:val="24"/>
          <w:highlight w:val="none"/>
          <w:lang w:eastAsia="zh-CN"/>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18</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关于印发《涉执房地产处置司法评估指导意见（试行）》的通知（中房学</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2021</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37号</w:t>
      </w:r>
      <w:r>
        <w:rPr>
          <w:rFonts w:hint="eastAsia" w:ascii="仿宋_GB2312" w:eastAsia="仿宋_GB2312"/>
          <w:color w:val="auto"/>
          <w:sz w:val="24"/>
          <w:highlight w:val="none"/>
          <w:lang w:eastAsia="zh-CN"/>
        </w:rPr>
        <w:t>，中国房地产估价师与房地产经纪人学会，</w:t>
      </w:r>
      <w:r>
        <w:rPr>
          <w:rFonts w:hint="eastAsia" w:ascii="仿宋_GB2312" w:eastAsia="仿宋_GB2312"/>
          <w:color w:val="auto"/>
          <w:sz w:val="24"/>
          <w:highlight w:val="none"/>
          <w:lang w:val="en-US" w:eastAsia="zh-CN"/>
        </w:rPr>
        <w:t>2021年8月18日发布，2021年9月1日起施行</w:t>
      </w:r>
      <w:r>
        <w:rPr>
          <w:rFonts w:hint="eastAsia" w:ascii="仿宋_GB2312" w:eastAsia="仿宋_GB2312"/>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eastAsia="仿宋_GB2312"/>
          <w:bCs/>
          <w:color w:val="auto"/>
          <w:sz w:val="24"/>
          <w:highlight w:val="none"/>
        </w:rPr>
      </w:pPr>
      <w:r>
        <w:rPr>
          <w:rFonts w:hint="eastAsia" w:ascii="仿宋_GB2312" w:eastAsia="仿宋_GB2312"/>
          <w:bCs/>
          <w:color w:val="auto"/>
          <w:sz w:val="24"/>
          <w:highlight w:val="none"/>
        </w:rPr>
        <w:t>2、省市有关法律、行政法规、规章和政策、技术标准文件</w:t>
      </w:r>
    </w:p>
    <w:p>
      <w:pPr>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(1)《湖南省人民法院对外委托工作实施细则(试行)》（2012年10月31日经省法院审判委员会讨论通过、2013年1月1日起开始正式实施）</w:t>
      </w:r>
      <w:r>
        <w:rPr>
          <w:rFonts w:hint="eastAsia" w:ascii="仿宋_GB2312" w:eastAsia="仿宋_GB2312"/>
          <w:bCs/>
          <w:color w:val="auto"/>
          <w:sz w:val="24"/>
          <w:highlight w:val="none"/>
        </w:rPr>
        <w:t>；</w:t>
      </w:r>
    </w:p>
    <w:p>
      <w:pPr>
        <w:pageBreakBefore w:val="0"/>
        <w:kinsoku/>
        <w:wordWrap/>
        <w:overflowPunct/>
        <w:topLinePunct w:val="0"/>
        <w:autoSpaceDE/>
        <w:autoSpaceDN/>
        <w:bidi w:val="0"/>
        <w:adjustRightInd/>
        <w:snapToGrid/>
        <w:spacing w:line="460" w:lineRule="exact"/>
        <w:ind w:firstLine="480" w:firstLineChars="200"/>
        <w:textAlignment w:val="auto"/>
        <w:rPr>
          <w:rFonts w:ascii="仿宋_GB2312" w:eastAsia="仿宋_GB2312"/>
          <w:bCs/>
          <w:color w:val="auto"/>
          <w:sz w:val="24"/>
          <w:highlight w:val="none"/>
        </w:rPr>
      </w:pPr>
      <w:r>
        <w:rPr>
          <w:rFonts w:hint="eastAsia" w:ascii="仿宋_GB2312" w:eastAsia="仿宋_GB2312"/>
          <w:color w:val="auto"/>
          <w:sz w:val="24"/>
          <w:highlight w:val="none"/>
        </w:rPr>
        <w:t>(2)《湖南省城镇国有土地使用权出让和转让实施办法》（2002年修正本）（2002年3月7日湖南省人民政府令152号第二次修改</w:t>
      </w:r>
      <w:r>
        <w:rPr>
          <w:rFonts w:hint="eastAsia" w:ascii="仿宋_GB2312" w:eastAsia="仿宋_GB2312"/>
          <w:bCs/>
          <w:color w:val="auto"/>
          <w:sz w:val="24"/>
          <w:highlight w:val="none"/>
        </w:rPr>
        <w:t>）；</w:t>
      </w:r>
    </w:p>
    <w:p>
      <w:pPr>
        <w:pageBreakBefore w:val="0"/>
        <w:kinsoku/>
        <w:wordWrap/>
        <w:overflowPunct/>
        <w:topLinePunct w:val="0"/>
        <w:autoSpaceDE/>
        <w:autoSpaceDN/>
        <w:bidi w:val="0"/>
        <w:adjustRightInd/>
        <w:snapToGrid/>
        <w:spacing w:line="460" w:lineRule="exact"/>
        <w:ind w:firstLine="480" w:firstLineChars="200"/>
        <w:textAlignment w:val="auto"/>
        <w:rPr>
          <w:rFonts w:ascii="仿宋_GB2312" w:eastAsia="仿宋_GB2312"/>
          <w:bCs/>
          <w:color w:val="auto"/>
          <w:sz w:val="24"/>
          <w:highlight w:val="none"/>
        </w:rPr>
      </w:pPr>
      <w:r>
        <w:rPr>
          <w:rFonts w:hint="eastAsia" w:ascii="仿宋_GB2312" w:eastAsia="仿宋_GB2312"/>
          <w:color w:val="auto"/>
          <w:sz w:val="24"/>
          <w:highlight w:val="none"/>
        </w:rPr>
        <w:t>(3) 《湖南省住房和城乡建设厅关于调整建设工程销项税额税率和材料价格综合税率计费标准的通知》（湘建价〔2019〕47号）。</w:t>
      </w:r>
    </w:p>
    <w:p>
      <w:pPr>
        <w:pageBreakBefore w:val="0"/>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3、估价委托人提供的资料</w:t>
      </w:r>
    </w:p>
    <w:p>
      <w:pPr>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eastAsia="zh-CN"/>
        </w:rPr>
        <w:t>安乡县人民法院</w:t>
      </w:r>
      <w:r>
        <w:rPr>
          <w:rFonts w:hint="eastAsia" w:ascii="仿宋_GB2312" w:eastAsia="仿宋_GB2312"/>
          <w:color w:val="auto"/>
          <w:sz w:val="24"/>
          <w:highlight w:val="none"/>
        </w:rPr>
        <w:t>委托书》（</w:t>
      </w:r>
      <w:r>
        <w:rPr>
          <w:rFonts w:hint="eastAsia" w:ascii="仿宋_GB2312" w:eastAsia="仿宋_GB2312"/>
          <w:color w:val="auto"/>
          <w:sz w:val="24"/>
          <w:highlight w:val="none"/>
          <w:lang w:eastAsia="zh-CN"/>
        </w:rPr>
        <w:t>（2022）湘0721执597号</w:t>
      </w:r>
      <w:r>
        <w:rPr>
          <w:rFonts w:hint="eastAsia" w:ascii="仿宋_GB2312" w:eastAsia="仿宋_GB2312"/>
          <w:color w:val="auto"/>
          <w:sz w:val="24"/>
          <w:highlight w:val="none"/>
        </w:rPr>
        <w:t>）；</w:t>
      </w:r>
    </w:p>
    <w:p>
      <w:pPr>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color w:val="auto"/>
          <w:sz w:val="24"/>
          <w:highlight w:val="none"/>
          <w:lang w:eastAsia="zh-CN"/>
        </w:rPr>
      </w:pPr>
      <w:r>
        <w:rPr>
          <w:rFonts w:hint="eastAsia" w:ascii="仿宋_GB2312" w:eastAsia="仿宋_GB2312"/>
          <w:color w:val="auto"/>
          <w:sz w:val="24"/>
          <w:highlight w:val="none"/>
        </w:rPr>
        <w:t>(2)</w:t>
      </w:r>
      <w:r>
        <w:rPr>
          <w:rFonts w:hint="eastAsia" w:ascii="仿宋_GB2312" w:eastAsia="仿宋_GB2312"/>
          <w:color w:val="auto"/>
          <w:sz w:val="24"/>
          <w:highlight w:val="none"/>
          <w:lang w:eastAsia="zh-CN"/>
        </w:rPr>
        <w:t>《房屋所有权证》（安乡县房权证深柳镇字第0028784号）复印件</w:t>
      </w:r>
      <w:r>
        <w:rPr>
          <w:rFonts w:hint="eastAsia" w:ascii="仿宋_GB2312" w:eastAsia="仿宋_GB2312"/>
          <w:color w:val="auto"/>
          <w:sz w:val="24"/>
          <w:highlight w:val="none"/>
        </w:rPr>
        <w:t>；</w:t>
      </w:r>
    </w:p>
    <w:p>
      <w:pPr>
        <w:pStyle w:val="2"/>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highlight w:val="none"/>
        </w:rPr>
        <w:t>(</w:t>
      </w:r>
      <w:r>
        <w:rPr>
          <w:rFonts w:hint="eastAsia"/>
          <w:color w:val="auto"/>
          <w:sz w:val="24"/>
          <w:highlight w:val="none"/>
          <w:lang w:val="en-US" w:eastAsia="zh-CN"/>
        </w:rPr>
        <w:t>3</w:t>
      </w:r>
      <w:r>
        <w:rPr>
          <w:rFonts w:hint="eastAsia" w:ascii="仿宋_GB2312" w:eastAsia="仿宋_GB2312"/>
          <w:color w:val="auto"/>
          <w:sz w:val="24"/>
          <w:highlight w:val="none"/>
        </w:rPr>
        <w:t>)</w:t>
      </w:r>
      <w:r>
        <w:rPr>
          <w:rFonts w:hint="eastAsia" w:ascii="仿宋_GB2312" w:hAnsi="Times New Roman" w:eastAsia="仿宋_GB2312" w:cs="Times New Roman"/>
          <w:color w:val="auto"/>
          <w:kern w:val="2"/>
          <w:sz w:val="24"/>
          <w:szCs w:val="24"/>
          <w:highlight w:val="none"/>
          <w:lang w:val="en-US" w:eastAsia="zh-CN" w:bidi="ar-SA"/>
        </w:rPr>
        <w:t>《房屋他项权证》</w:t>
      </w:r>
      <w:r>
        <w:rPr>
          <w:rFonts w:hint="eastAsia" w:cs="Times New Roman"/>
          <w:color w:val="auto"/>
          <w:kern w:val="2"/>
          <w:sz w:val="24"/>
          <w:szCs w:val="24"/>
          <w:highlight w:val="none"/>
          <w:lang w:val="en-US" w:eastAsia="zh-CN" w:bidi="ar-SA"/>
        </w:rPr>
        <w:t>（安乡县房他证他权字第28501号）</w:t>
      </w:r>
      <w:r>
        <w:rPr>
          <w:rFonts w:hint="eastAsia" w:ascii="仿宋_GB2312" w:eastAsia="仿宋_GB2312"/>
          <w:color w:val="auto"/>
          <w:sz w:val="24"/>
          <w:highlight w:val="none"/>
          <w:lang w:eastAsia="zh-CN"/>
        </w:rPr>
        <w:t>复印件。</w:t>
      </w:r>
    </w:p>
    <w:p>
      <w:pPr>
        <w:pageBreakBefore w:val="0"/>
        <w:kinsoku/>
        <w:wordWrap/>
        <w:overflowPunct/>
        <w:topLinePunct w:val="0"/>
        <w:autoSpaceDE/>
        <w:autoSpaceDN/>
        <w:bidi w:val="0"/>
        <w:adjustRightIn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4、房地产估价机构掌握的有关资料以及估价人员实地查勘所获取的资料</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(1)注册房地产估价师实地查勘资料和估价机构掌握的房地产相关资料；</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color w:val="auto"/>
          <w:sz w:val="24"/>
          <w:highlight w:val="none"/>
          <w:lang w:eastAsia="zh-CN"/>
        </w:rPr>
        <w:t>湘乡</w:t>
      </w:r>
      <w:r>
        <w:rPr>
          <w:rFonts w:hint="eastAsia" w:ascii="仿宋_GB2312" w:eastAsia="仿宋_GB2312"/>
          <w:color w:val="auto"/>
          <w:sz w:val="24"/>
          <w:highlight w:val="none"/>
        </w:rPr>
        <w:t>市房地产市场信息及估价对象所在区域的房地产市场状况等数据资料；</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(3)</w:t>
      </w:r>
      <w:r>
        <w:rPr>
          <w:rFonts w:hint="eastAsia" w:ascii="仿宋_GB2312" w:eastAsia="仿宋_GB2312"/>
          <w:color w:val="auto"/>
          <w:sz w:val="24"/>
          <w:highlight w:val="none"/>
          <w:lang w:eastAsia="zh-CN"/>
        </w:rPr>
        <w:t>湘乡</w:t>
      </w:r>
      <w:r>
        <w:rPr>
          <w:rFonts w:hint="eastAsia" w:ascii="仿宋_GB2312" w:eastAsia="仿宋_GB2312"/>
          <w:color w:val="auto"/>
          <w:sz w:val="24"/>
          <w:highlight w:val="none"/>
        </w:rPr>
        <w:t>市概况、规划、经济发展及自然、人文环境资料。</w:t>
      </w:r>
    </w:p>
    <w:p>
      <w:pPr>
        <w:pStyle w:val="4"/>
        <w:pageBreakBefore w:val="0"/>
        <w:widowControl w:val="0"/>
        <w:kinsoku/>
        <w:wordWrap/>
        <w:overflowPunct/>
        <w:topLinePunct w:val="0"/>
        <w:autoSpaceDE/>
        <w:autoSpaceDN/>
        <w:bidi w:val="0"/>
        <w:adjustRightInd/>
        <w:snapToGrid/>
        <w:spacing w:before="0" w:after="0" w:line="440" w:lineRule="exact"/>
        <w:ind w:left="420"/>
        <w:textAlignment w:val="auto"/>
        <w:rPr>
          <w:color w:val="auto"/>
          <w:sz w:val="24"/>
          <w:szCs w:val="24"/>
          <w:highlight w:val="none"/>
        </w:rPr>
      </w:pPr>
      <w:bookmarkStart w:id="43" w:name="_Toc462218101"/>
      <w:r>
        <w:rPr>
          <w:rFonts w:hint="eastAsia"/>
          <w:color w:val="auto"/>
          <w:sz w:val="24"/>
          <w:szCs w:val="24"/>
          <w:highlight w:val="none"/>
        </w:rPr>
        <w:t>（十）估价方法</w:t>
      </w:r>
      <w:bookmarkEnd w:id="43"/>
    </w:p>
    <w:p>
      <w:pPr>
        <w:pageBreakBefore w:val="0"/>
        <w:widowControl w:val="0"/>
        <w:tabs>
          <w:tab w:val="center" w:pos="4205"/>
        </w:tabs>
        <w:kinsoku/>
        <w:wordWrap/>
        <w:overflowPunct/>
        <w:topLinePunct w:val="0"/>
        <w:autoSpaceDE/>
        <w:autoSpaceDN/>
        <w:bidi w:val="0"/>
        <w:adjustRightInd/>
        <w:snapToGrid/>
        <w:spacing w:line="440" w:lineRule="exact"/>
        <w:ind w:firstLine="464" w:firstLineChars="200"/>
        <w:textAlignment w:val="auto"/>
        <w:rPr>
          <w:rFonts w:ascii="仿宋_GB2312" w:hAnsi="宋体" w:eastAsia="仿宋_GB2312"/>
          <w:color w:val="auto"/>
          <w:spacing w:val="-4"/>
          <w:sz w:val="24"/>
          <w:highlight w:val="none"/>
        </w:rPr>
      </w:pPr>
      <w:bookmarkStart w:id="44" w:name="_Toc462218102"/>
      <w:r>
        <w:rPr>
          <w:rFonts w:hint="eastAsia" w:ascii="仿宋_GB2312" w:hAnsi="宋体" w:eastAsia="仿宋_GB2312"/>
          <w:bCs/>
          <w:color w:val="auto"/>
          <w:spacing w:val="-4"/>
          <w:sz w:val="24"/>
          <w:highlight w:val="none"/>
        </w:rPr>
        <w:t>房地产评估应当采用科学的评估方法进行严谨的测算，常用的评估方法有比较法、收益法、成本法、假设开发法等，当估价对象仅适用一种估价方法进行估价时，可只选用一种估价方法进行估价。当估价对象适用两种或两种以上估价方法进行估价时，宜同时选用所有适用的估价方法进行估价，不得随意取舍；当必须取舍时，应在估价报告中说明并陈述理由。</w:t>
      </w:r>
    </w:p>
    <w:p>
      <w:pPr>
        <w:pageBreakBefore w:val="0"/>
        <w:widowControl/>
        <w:tabs>
          <w:tab w:val="center" w:pos="4205"/>
        </w:tabs>
        <w:kinsoku/>
        <w:wordWrap/>
        <w:overflowPunct/>
        <w:topLinePunct w:val="0"/>
        <w:autoSpaceDE/>
        <w:autoSpaceDN/>
        <w:bidi w:val="0"/>
        <w:adjustRightInd/>
        <w:spacing w:line="440" w:lineRule="exact"/>
        <w:ind w:firstLine="480" w:firstLineChars="200"/>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1、根据《房地产估价规范》相关规定，有条件选择用比较法进行估价的，应以比较法作为主要的估价方法。估价对象为</w:t>
      </w:r>
      <w:r>
        <w:rPr>
          <w:rFonts w:hint="eastAsia" w:ascii="仿宋_GB2312" w:hAnsi="宋体" w:eastAsia="仿宋_GB2312"/>
          <w:color w:val="auto"/>
          <w:sz w:val="24"/>
          <w:highlight w:val="none"/>
          <w:lang w:eastAsia="zh-CN"/>
        </w:rPr>
        <w:t>住宅</w:t>
      </w:r>
      <w:r>
        <w:rPr>
          <w:rFonts w:ascii="仿宋_GB2312" w:hAnsi="宋体" w:eastAsia="仿宋_GB2312"/>
          <w:color w:val="auto"/>
          <w:sz w:val="24"/>
          <w:highlight w:val="none"/>
        </w:rPr>
        <w:t>房地产</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eastAsia="zh-CN"/>
        </w:rPr>
        <w:t>所在</w:t>
      </w:r>
      <w:r>
        <w:rPr>
          <w:rFonts w:hint="eastAsia" w:ascii="仿宋_GB2312" w:hAnsi="宋体" w:eastAsia="仿宋_GB2312"/>
          <w:color w:val="auto"/>
          <w:sz w:val="24"/>
          <w:highlight w:val="none"/>
        </w:rPr>
        <w:t>区域内类似房地产交易案例较多，可比实例较易取得，适宜运用比较法评估。</w:t>
      </w:r>
    </w:p>
    <w:p>
      <w:pPr>
        <w:pageBreakBefore w:val="0"/>
        <w:widowControl/>
        <w:tabs>
          <w:tab w:val="center" w:pos="4205"/>
        </w:tabs>
        <w:kinsoku/>
        <w:wordWrap/>
        <w:overflowPunct/>
        <w:topLinePunct w:val="0"/>
        <w:autoSpaceDE/>
        <w:autoSpaceDN/>
        <w:bidi w:val="0"/>
        <w:adjustRightInd/>
        <w:spacing w:line="440" w:lineRule="exact"/>
        <w:ind w:firstLine="480" w:firstLineChars="200"/>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2、估价对象为</w:t>
      </w:r>
      <w:r>
        <w:rPr>
          <w:rFonts w:hint="eastAsia" w:ascii="仿宋_GB2312" w:hAnsi="宋体" w:eastAsia="仿宋_GB2312"/>
          <w:color w:val="auto"/>
          <w:sz w:val="24"/>
          <w:highlight w:val="none"/>
          <w:lang w:eastAsia="zh-CN"/>
        </w:rPr>
        <w:t>住宅房地产</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eastAsia="zh-CN"/>
        </w:rPr>
        <w:t>所在区域内</w:t>
      </w:r>
      <w:r>
        <w:rPr>
          <w:rFonts w:hint="eastAsia" w:ascii="仿宋_GB2312" w:hAnsi="宋体" w:eastAsia="仿宋_GB2312"/>
          <w:color w:val="auto"/>
          <w:sz w:val="24"/>
          <w:highlight w:val="none"/>
        </w:rPr>
        <w:t>同类物业租赁市场相对</w:t>
      </w:r>
      <w:r>
        <w:rPr>
          <w:rFonts w:hint="eastAsia" w:ascii="仿宋_GB2312" w:hAnsi="宋体" w:eastAsia="仿宋_GB2312"/>
          <w:color w:val="auto"/>
          <w:sz w:val="24"/>
          <w:highlight w:val="none"/>
          <w:lang w:eastAsia="zh-CN"/>
        </w:rPr>
        <w:t>较</w:t>
      </w:r>
      <w:r>
        <w:rPr>
          <w:rFonts w:hint="eastAsia" w:ascii="仿宋_GB2312" w:hAnsi="宋体" w:eastAsia="仿宋_GB2312"/>
          <w:color w:val="auto"/>
          <w:sz w:val="24"/>
          <w:highlight w:val="none"/>
        </w:rPr>
        <w:t>成熟，适宜采用收益法测算。</w:t>
      </w:r>
    </w:p>
    <w:p>
      <w:pPr>
        <w:pageBreakBefore w:val="0"/>
        <w:widowControl/>
        <w:tabs>
          <w:tab w:val="center" w:pos="4205"/>
        </w:tabs>
        <w:kinsoku/>
        <w:wordWrap/>
        <w:overflowPunct/>
        <w:topLinePunct w:val="0"/>
        <w:autoSpaceDE/>
        <w:autoSpaceDN/>
        <w:bidi w:val="0"/>
        <w:adjustRightInd/>
        <w:spacing w:line="440" w:lineRule="exact"/>
        <w:ind w:firstLine="480" w:firstLineChars="200"/>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3、估价对象为已建成房产</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rPr>
        <w:t>不具备再开发潜力，且不宜转变成其他用途，故不适用于用假设开发法进行评估。</w:t>
      </w:r>
    </w:p>
    <w:p>
      <w:pPr>
        <w:pageBreakBefore w:val="0"/>
        <w:widowControl/>
        <w:tabs>
          <w:tab w:val="center" w:pos="4205"/>
        </w:tabs>
        <w:kinsoku/>
        <w:wordWrap/>
        <w:overflowPunct/>
        <w:topLinePunct w:val="0"/>
        <w:autoSpaceDE/>
        <w:autoSpaceDN/>
        <w:bidi w:val="0"/>
        <w:adjustRightInd/>
        <w:spacing w:line="440" w:lineRule="exact"/>
        <w:ind w:firstLine="480" w:firstLineChars="200"/>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4、成本法适用于无市场依据或市场依据不充分而不宜采用其他方法时选用的一种方法。估价对象</w:t>
      </w:r>
      <w:r>
        <w:rPr>
          <w:rFonts w:hint="eastAsia" w:ascii="仿宋_GB2312" w:hAnsi="宋体" w:eastAsia="仿宋_GB2312"/>
          <w:color w:val="auto"/>
          <w:sz w:val="24"/>
          <w:highlight w:val="none"/>
          <w:lang w:eastAsia="zh-CN"/>
        </w:rPr>
        <w:t>具备采用比较法和收益法的条件</w:t>
      </w:r>
      <w:r>
        <w:rPr>
          <w:rFonts w:hint="eastAsia" w:ascii="仿宋_GB2312" w:hAnsi="宋体" w:eastAsia="仿宋_GB2312"/>
          <w:color w:val="auto"/>
          <w:sz w:val="24"/>
          <w:highlight w:val="none"/>
        </w:rPr>
        <w:t>，故</w:t>
      </w:r>
      <w:r>
        <w:rPr>
          <w:rFonts w:hint="eastAsia" w:ascii="仿宋_GB2312" w:hAnsi="宋体" w:eastAsia="仿宋_GB2312"/>
          <w:color w:val="auto"/>
          <w:sz w:val="24"/>
          <w:highlight w:val="none"/>
          <w:lang w:eastAsia="zh-CN"/>
        </w:rPr>
        <w:t>本次</w:t>
      </w:r>
      <w:r>
        <w:rPr>
          <w:rFonts w:hint="eastAsia" w:ascii="仿宋_GB2312" w:hAnsi="宋体" w:eastAsia="仿宋_GB2312"/>
          <w:color w:val="auto"/>
          <w:sz w:val="24"/>
          <w:highlight w:val="none"/>
        </w:rPr>
        <w:t>不采用成本法进行评估</w:t>
      </w:r>
      <w:r>
        <w:rPr>
          <w:rFonts w:hint="eastAsia" w:eastAsia="仿宋_GB2312"/>
          <w:color w:val="auto"/>
          <w:kern w:val="0"/>
          <w:sz w:val="24"/>
          <w:highlight w:val="none"/>
        </w:rPr>
        <w:t>。</w:t>
      </w:r>
    </w:p>
    <w:p>
      <w:pPr>
        <w:pageBreakBefore w:val="0"/>
        <w:widowControl/>
        <w:tabs>
          <w:tab w:val="center" w:pos="4205"/>
        </w:tabs>
        <w:kinsoku/>
        <w:wordWrap/>
        <w:overflowPunct/>
        <w:topLinePunct w:val="0"/>
        <w:autoSpaceDE/>
        <w:autoSpaceDN/>
        <w:bidi w:val="0"/>
        <w:adjustRightInd/>
        <w:spacing w:line="440" w:lineRule="exact"/>
        <w:ind w:firstLine="480" w:firstLineChars="200"/>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根据以上分析，本次评估我们主要采用比较法和收益法进行评估，其方法定义如下：</w:t>
      </w:r>
    </w:p>
    <w:p>
      <w:pPr>
        <w:pStyle w:val="47"/>
        <w:pageBreakBefore w:val="0"/>
        <w:kinsoku/>
        <w:wordWrap/>
        <w:overflowPunct/>
        <w:topLinePunct w:val="0"/>
        <w:autoSpaceDE/>
        <w:autoSpaceDN/>
        <w:bidi w:val="0"/>
        <w:adjustRightInd/>
        <w:spacing w:line="440" w:lineRule="exact"/>
        <w:ind w:firstLine="480"/>
        <w:textAlignment w:val="auto"/>
        <w:rPr>
          <w:color w:val="auto"/>
          <w:highlight w:val="none"/>
        </w:rPr>
      </w:pPr>
      <w:r>
        <w:rPr>
          <w:rFonts w:hint="eastAsia"/>
          <w:color w:val="auto"/>
          <w:highlight w:val="none"/>
        </w:rPr>
        <w:t>比较法：选取一定数量的可比实例，将它们与估价对象进行比较，根据其间的差异对可比实例成交价格进行处理后得到估价对象价值或价格的方法。</w:t>
      </w:r>
    </w:p>
    <w:p>
      <w:pPr>
        <w:pStyle w:val="2"/>
        <w:pageBreakBefore w:val="0"/>
        <w:kinsoku/>
        <w:wordWrap/>
        <w:overflowPunct/>
        <w:topLinePunct w:val="0"/>
        <w:autoSpaceDE/>
        <w:autoSpaceDN/>
        <w:bidi w:val="0"/>
        <w:adjustRightInd/>
        <w:spacing w:line="440" w:lineRule="exact"/>
        <w:ind w:firstLine="480"/>
        <w:textAlignment w:val="auto"/>
        <w:rPr>
          <w:color w:val="auto"/>
          <w:sz w:val="24"/>
          <w:highlight w:val="none"/>
        </w:rPr>
      </w:pPr>
      <w:r>
        <w:rPr>
          <w:rFonts w:hint="eastAsia"/>
          <w:color w:val="auto"/>
          <w:sz w:val="24"/>
          <w:highlight w:val="none"/>
        </w:rPr>
        <w:t>收益法：预测估价对象的未来收益，利用报酬率或资本化率、收益乘数将未来收益转换为价值得到估价对象价值或价格的方法。</w:t>
      </w:r>
    </w:p>
    <w:p>
      <w:pPr>
        <w:pStyle w:val="4"/>
        <w:pageBreakBefore w:val="0"/>
        <w:kinsoku/>
        <w:wordWrap/>
        <w:overflowPunct/>
        <w:topLinePunct w:val="0"/>
        <w:autoSpaceDE/>
        <w:autoSpaceDN/>
        <w:bidi w:val="0"/>
        <w:adjustRightInd/>
        <w:spacing w:before="0" w:after="0" w:line="440" w:lineRule="exact"/>
        <w:ind w:left="420"/>
        <w:textAlignment w:val="auto"/>
        <w:rPr>
          <w:color w:val="auto"/>
          <w:sz w:val="24"/>
          <w:szCs w:val="24"/>
          <w:highlight w:val="none"/>
        </w:rPr>
      </w:pPr>
      <w:r>
        <w:rPr>
          <w:rFonts w:hint="eastAsia"/>
          <w:color w:val="auto"/>
          <w:sz w:val="24"/>
          <w:szCs w:val="24"/>
          <w:highlight w:val="none"/>
        </w:rPr>
        <w:t>（十一）估价结果</w:t>
      </w:r>
      <w:bookmarkEnd w:id="44"/>
    </w:p>
    <w:p>
      <w:pPr>
        <w:pageBreakBefore w:val="0"/>
        <w:tabs>
          <w:tab w:val="left" w:pos="0"/>
        </w:tabs>
        <w:kinsoku/>
        <w:wordWrap/>
        <w:overflowPunct/>
        <w:topLinePunct w:val="0"/>
        <w:autoSpaceDE/>
        <w:autoSpaceDN/>
        <w:bidi w:val="0"/>
        <w:adjustRightInd/>
        <w:snapToGrid w:val="0"/>
        <w:spacing w:line="440" w:lineRule="exact"/>
        <w:ind w:firstLine="539"/>
        <w:textAlignment w:val="auto"/>
        <w:rPr>
          <w:rFonts w:ascii="仿宋_GB2312" w:hAnsi="宋体" w:eastAsia="仿宋_GB2312"/>
          <w:b/>
          <w:bCs/>
          <w:color w:val="auto"/>
          <w:sz w:val="24"/>
          <w:highlight w:val="none"/>
        </w:rPr>
      </w:pPr>
      <w:r>
        <w:rPr>
          <w:rFonts w:hint="eastAsia" w:ascii="仿宋_GB2312" w:eastAsia="仿宋_GB2312"/>
          <w:color w:val="auto"/>
          <w:sz w:val="24"/>
          <w:highlight w:val="none"/>
        </w:rPr>
        <w:t>估价人员遵循各项估价原则，根据估价目的和国家有关房地产估价的规范、规定，按照估价程序，经过实地查勘与市场调查，并进行了测算，确定估价对象在满足全部假设和限制条件下于价值时点的评估价值为</w:t>
      </w:r>
      <w:bookmarkStart w:id="45" w:name="_Toc462218103"/>
      <w:r>
        <w:rPr>
          <w:rFonts w:hint="eastAsia" w:ascii="仿宋_GB2312" w:eastAsia="仿宋_GB2312"/>
          <w:color w:val="auto"/>
          <w:sz w:val="24"/>
          <w:highlight w:val="none"/>
          <w:lang w:eastAsia="zh-CN"/>
        </w:rPr>
        <w:t>：</w:t>
      </w:r>
      <w:r>
        <w:rPr>
          <w:rFonts w:hint="eastAsia" w:ascii="仿宋_GB2312" w:eastAsia="仿宋_GB2312"/>
          <w:b/>
          <w:bCs/>
          <w:color w:val="auto"/>
          <w:sz w:val="24"/>
          <w:highlight w:val="none"/>
          <w:lang w:eastAsia="zh-CN"/>
        </w:rPr>
        <w:t>大写</w:t>
      </w:r>
      <w:r>
        <w:rPr>
          <w:rFonts w:hint="eastAsia" w:ascii="仿宋_GB2312" w:hAnsi="宋体" w:eastAsia="仿宋_GB2312"/>
          <w:b/>
          <w:bCs/>
          <w:color w:val="auto"/>
          <w:sz w:val="24"/>
          <w:highlight w:val="none"/>
        </w:rPr>
        <w:t>人民币</w:t>
      </w:r>
      <w:r>
        <w:rPr>
          <w:rFonts w:hint="eastAsia" w:ascii="仿宋_GB2312" w:hAnsi="宋体" w:eastAsia="仿宋_GB2312"/>
          <w:b/>
          <w:bCs/>
          <w:color w:val="auto"/>
          <w:sz w:val="24"/>
          <w:highlight w:val="none"/>
        </w:rPr>
        <w:fldChar w:fldCharType="begin"/>
      </w:r>
      <w:r>
        <w:rPr>
          <w:rFonts w:hint="eastAsia" w:ascii="仿宋_GB2312" w:hAnsi="宋体" w:eastAsia="仿宋_GB2312"/>
          <w:b/>
          <w:bCs/>
          <w:color w:val="auto"/>
          <w:sz w:val="24"/>
          <w:highlight w:val="none"/>
        </w:rPr>
        <w:instrText xml:space="preserve"> = 6285970 \* CHINESENUM2 \* MERGEFORMAT </w:instrText>
      </w:r>
      <w:r>
        <w:rPr>
          <w:rFonts w:hint="eastAsia" w:ascii="仿宋_GB2312" w:hAnsi="宋体" w:eastAsia="仿宋_GB2312"/>
          <w:b/>
          <w:bCs/>
          <w:color w:val="auto"/>
          <w:sz w:val="24"/>
          <w:highlight w:val="none"/>
        </w:rPr>
        <w:fldChar w:fldCharType="separate"/>
      </w:r>
      <w:r>
        <w:rPr>
          <w:rFonts w:hint="eastAsia" w:ascii="仿宋_GB2312" w:hAnsi="宋体" w:eastAsia="仿宋_GB2312"/>
          <w:b/>
          <w:bCs/>
          <w:color w:val="auto"/>
          <w:sz w:val="24"/>
          <w:highlight w:val="none"/>
          <w:lang w:eastAsia="zh-CN"/>
        </w:rPr>
        <w:t>肆拾壹万壹仟柒佰玖拾柒</w:t>
      </w:r>
      <w:r>
        <w:rPr>
          <w:rFonts w:hint="eastAsia" w:ascii="仿宋_GB2312" w:hAnsi="宋体" w:eastAsia="仿宋_GB2312"/>
          <w:b/>
          <w:bCs/>
          <w:color w:val="auto"/>
          <w:sz w:val="24"/>
          <w:highlight w:val="none"/>
        </w:rPr>
        <w:fldChar w:fldCharType="end"/>
      </w:r>
      <w:r>
        <w:rPr>
          <w:rFonts w:hint="eastAsia" w:ascii="仿宋_GB2312" w:hAnsi="宋体" w:eastAsia="仿宋_GB2312"/>
          <w:b/>
          <w:bCs/>
          <w:color w:val="auto"/>
          <w:sz w:val="24"/>
          <w:highlight w:val="none"/>
        </w:rPr>
        <w:t>元整（￥</w:t>
      </w:r>
      <w:r>
        <w:rPr>
          <w:rFonts w:hint="eastAsia" w:ascii="仿宋_GB2312" w:hAnsi="宋体" w:eastAsia="仿宋_GB2312"/>
          <w:b/>
          <w:bCs/>
          <w:color w:val="auto"/>
          <w:sz w:val="24"/>
          <w:highlight w:val="none"/>
          <w:lang w:eastAsia="zh-CN"/>
        </w:rPr>
        <w:t>411,797.00</w:t>
      </w:r>
      <w:r>
        <w:rPr>
          <w:rFonts w:hint="eastAsia" w:ascii="仿宋_GB2312" w:hAnsi="宋体" w:eastAsia="仿宋_GB2312"/>
          <w:b/>
          <w:bCs/>
          <w:color w:val="auto"/>
          <w:sz w:val="24"/>
          <w:highlight w:val="none"/>
        </w:rPr>
        <w:t>）</w:t>
      </w:r>
      <w:r>
        <w:rPr>
          <w:rFonts w:hint="eastAsia" w:ascii="仿宋_GB2312" w:eastAsia="仿宋_GB2312"/>
          <w:b/>
          <w:color w:val="auto"/>
          <w:sz w:val="24"/>
          <w:highlight w:val="none"/>
        </w:rPr>
        <w:t>，详见评估结果</w:t>
      </w:r>
      <w:r>
        <w:rPr>
          <w:rFonts w:hint="eastAsia" w:ascii="仿宋_GB2312" w:eastAsia="仿宋_GB2312"/>
          <w:b/>
          <w:color w:val="auto"/>
          <w:sz w:val="24"/>
          <w:highlight w:val="none"/>
          <w:lang w:eastAsia="zh-CN"/>
        </w:rPr>
        <w:t>汇总</w:t>
      </w:r>
      <w:r>
        <w:rPr>
          <w:rFonts w:hint="eastAsia" w:ascii="仿宋_GB2312" w:eastAsia="仿宋_GB2312"/>
          <w:b/>
          <w:color w:val="auto"/>
          <w:sz w:val="24"/>
          <w:highlight w:val="none"/>
        </w:rPr>
        <w:t>表。</w:t>
      </w:r>
    </w:p>
    <w:p>
      <w:pPr>
        <w:keepNext w:val="0"/>
        <w:keepLines w:val="0"/>
        <w:pageBreakBefore w:val="0"/>
        <w:widowControl w:val="0"/>
        <w:tabs>
          <w:tab w:val="left" w:pos="0"/>
        </w:tabs>
        <w:kinsoku/>
        <w:wordWrap/>
        <w:overflowPunct/>
        <w:topLinePunct w:val="0"/>
        <w:autoSpaceDE/>
        <w:autoSpaceDN/>
        <w:bidi w:val="0"/>
        <w:adjustRightInd/>
        <w:snapToGrid w:val="0"/>
        <w:spacing w:line="460" w:lineRule="exact"/>
        <w:ind w:firstLine="539"/>
        <w:jc w:val="center"/>
        <w:textAlignment w:val="auto"/>
        <w:rPr>
          <w:rFonts w:hint="eastAsia" w:ascii="仿宋_GB2312" w:eastAsia="仿宋_GB2312"/>
          <w:b/>
          <w:color w:val="auto"/>
          <w:sz w:val="24"/>
          <w:highlight w:val="none"/>
          <w:lang w:eastAsia="zh-CN"/>
        </w:rPr>
      </w:pPr>
      <w:r>
        <w:rPr>
          <w:rFonts w:hint="eastAsia" w:ascii="仿宋_GB2312" w:eastAsia="仿宋_GB2312"/>
          <w:b/>
          <w:color w:val="auto"/>
          <w:sz w:val="24"/>
          <w:highlight w:val="none"/>
          <w:lang w:eastAsia="zh-CN"/>
        </w:rPr>
        <w:t>评估结果汇总表</w:t>
      </w:r>
    </w:p>
    <w:p>
      <w:pPr>
        <w:autoSpaceDE w:val="0"/>
        <w:autoSpaceDN w:val="0"/>
        <w:adjustRightInd w:val="0"/>
        <w:spacing w:line="380" w:lineRule="exact"/>
        <w:ind w:firstLine="470" w:firstLineChars="196"/>
        <w:jc w:val="right"/>
        <w:rPr>
          <w:rFonts w:hint="eastAsia" w:ascii="仿宋_GB2312" w:eastAsia="仿宋_GB2312"/>
          <w:color w:val="auto"/>
          <w:sz w:val="24"/>
          <w:highlight w:val="none"/>
        </w:rPr>
      </w:pPr>
      <w:r>
        <w:rPr>
          <w:rFonts w:hint="eastAsia" w:ascii="仿宋_GB2312" w:eastAsia="仿宋_GB2312"/>
          <w:color w:val="auto"/>
          <w:sz w:val="24"/>
          <w:highlight w:val="none"/>
        </w:rPr>
        <w:t>币种：人民币</w:t>
      </w:r>
    </w:p>
    <w:tbl>
      <w:tblPr>
        <w:tblStyle w:val="19"/>
        <w:tblW w:w="504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2"/>
        <w:gridCol w:w="1455"/>
        <w:gridCol w:w="1886"/>
        <w:gridCol w:w="728"/>
        <w:gridCol w:w="867"/>
        <w:gridCol w:w="1109"/>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所有权人</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产权证号</w:t>
            </w:r>
          </w:p>
        </w:tc>
        <w:tc>
          <w:tcPr>
            <w:tcW w:w="10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坐落</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用途</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建筑面积（m</w:t>
            </w:r>
            <w:r>
              <w:rPr>
                <w:rFonts w:hint="eastAsia" w:ascii="仿宋_GB2312" w:hAnsi="仿宋_GB2312" w:eastAsia="仿宋_GB2312" w:cs="仿宋_GB2312"/>
                <w:i w:val="0"/>
                <w:iCs w:val="0"/>
                <w:color w:val="auto"/>
                <w:kern w:val="0"/>
                <w:sz w:val="21"/>
                <w:szCs w:val="21"/>
                <w:highlight w:val="none"/>
                <w:u w:val="none"/>
                <w:vertAlign w:val="superscript"/>
                <w:lang w:val="en-US" w:eastAsia="zh-CN" w:bidi="ar"/>
              </w:rPr>
              <w:t>2</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评估单价（元/m</w:t>
            </w:r>
            <w:r>
              <w:rPr>
                <w:rFonts w:hint="eastAsia" w:ascii="仿宋_GB2312" w:hAnsi="仿宋_GB2312" w:eastAsia="仿宋_GB2312" w:cs="仿宋_GB2312"/>
                <w:i w:val="0"/>
                <w:iCs w:val="0"/>
                <w:color w:val="auto"/>
                <w:kern w:val="0"/>
                <w:sz w:val="21"/>
                <w:szCs w:val="21"/>
                <w:highlight w:val="none"/>
                <w:u w:val="none"/>
                <w:vertAlign w:val="superscript"/>
                <w:lang w:val="en-US" w:eastAsia="zh-CN" w:bidi="ar"/>
              </w:rPr>
              <w:t>2</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评估总价（元）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2"/>
                <w:szCs w:val="22"/>
                <w:highlight w:val="none"/>
                <w:u w:val="none"/>
                <w:lang w:val="en-US" w:eastAsia="zh-CN" w:bidi="ar-SA"/>
              </w:rPr>
            </w:pPr>
            <w:r>
              <w:rPr>
                <w:rFonts w:hint="eastAsia" w:ascii="仿宋_GB2312" w:hAnsi="宋体" w:eastAsia="仿宋_GB2312" w:cs="仿宋_GB2312"/>
                <w:color w:val="auto"/>
                <w:szCs w:val="21"/>
                <w:highlight w:val="none"/>
                <w:lang w:val="en-US" w:eastAsia="zh-CN"/>
              </w:rPr>
              <w:t>安乡宏泰房地产开发公司</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宋体" w:eastAsia="仿宋_GB2312" w:cs="仿宋_GB2312"/>
                <w:color w:val="auto"/>
                <w:szCs w:val="21"/>
                <w:highlight w:val="none"/>
                <w:lang w:val="en-US" w:eastAsia="zh-CN"/>
              </w:rPr>
              <w:t>安乡县房权证深柳镇字第0028784号</w:t>
            </w:r>
          </w:p>
        </w:tc>
        <w:tc>
          <w:tcPr>
            <w:tcW w:w="10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宋体" w:eastAsia="仿宋_GB2312" w:cs="仿宋_GB2312"/>
                <w:color w:val="auto"/>
                <w:szCs w:val="21"/>
                <w:highlight w:val="none"/>
                <w:lang w:val="en-US" w:eastAsia="zh-CN"/>
              </w:rPr>
              <w:t>安乡县深柳镇文昌湾社区深柳大道晨光小区3-B栋</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住宅</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205.59</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2003</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411797</w:t>
            </w:r>
          </w:p>
        </w:tc>
      </w:tr>
    </w:tbl>
    <w:p>
      <w:pPr>
        <w:pStyle w:val="4"/>
        <w:spacing w:before="0" w:after="0" w:line="360" w:lineRule="auto"/>
        <w:ind w:left="420"/>
        <w:rPr>
          <w:color w:val="auto"/>
          <w:sz w:val="24"/>
          <w:szCs w:val="24"/>
          <w:highlight w:val="none"/>
        </w:rPr>
      </w:pPr>
      <w:r>
        <w:rPr>
          <w:rFonts w:hint="eastAsia"/>
          <w:color w:val="auto"/>
          <w:sz w:val="24"/>
          <w:szCs w:val="24"/>
          <w:highlight w:val="none"/>
        </w:rPr>
        <w:t>（十二）注册房地产估价师</w:t>
      </w:r>
      <w:bookmarkEnd w:id="45"/>
    </w:p>
    <w:p>
      <w:pPr>
        <w:pStyle w:val="36"/>
        <w:adjustRightInd w:val="0"/>
        <w:snapToGrid w:val="0"/>
        <w:spacing w:line="360" w:lineRule="auto"/>
        <w:ind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参加估价的注册房地产估价师为：</w:t>
      </w:r>
    </w:p>
    <w:tbl>
      <w:tblPr>
        <w:tblStyle w:val="19"/>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92" w:hRule="atLeast"/>
          <w:jc w:val="center"/>
        </w:trPr>
        <w:tc>
          <w:tcPr>
            <w:tcW w:w="1694" w:type="dxa"/>
            <w:tcBorders>
              <w:top w:val="thinThickSmallGap" w:color="auto" w:sz="12" w:space="0"/>
              <w:bottom w:val="single" w:color="auto" w:sz="4" w:space="0"/>
            </w:tcBorders>
            <w:vAlign w:val="center"/>
          </w:tcPr>
          <w:p>
            <w:pPr>
              <w:pStyle w:val="9"/>
              <w:adjustRightInd w:val="0"/>
              <w:snapToGrid w:val="0"/>
              <w:jc w:val="center"/>
              <w:rPr>
                <w:rFonts w:hint="default" w:ascii="仿宋_GB2312" w:hAnsi="仿宋" w:eastAsia="仿宋_GB2312"/>
                <w:b/>
                <w:color w:val="auto"/>
                <w:szCs w:val="28"/>
                <w:highlight w:val="none"/>
              </w:rPr>
            </w:pPr>
            <w:r>
              <w:rPr>
                <w:rFonts w:ascii="仿宋_GB2312" w:hAnsi="仿宋" w:eastAsia="仿宋_GB2312"/>
                <w:b/>
                <w:color w:val="auto"/>
                <w:szCs w:val="28"/>
                <w:highlight w:val="none"/>
              </w:rPr>
              <w:t>姓  名</w:t>
            </w:r>
          </w:p>
        </w:tc>
        <w:tc>
          <w:tcPr>
            <w:tcW w:w="2280" w:type="dxa"/>
            <w:tcBorders>
              <w:top w:val="thinThickSmallGap" w:color="auto" w:sz="12" w:space="0"/>
              <w:bottom w:val="single" w:color="auto" w:sz="4" w:space="0"/>
            </w:tcBorders>
            <w:vAlign w:val="center"/>
          </w:tcPr>
          <w:p>
            <w:pPr>
              <w:pStyle w:val="9"/>
              <w:adjustRightInd w:val="0"/>
              <w:snapToGrid w:val="0"/>
              <w:ind w:hanging="10" w:firstLineChars="0"/>
              <w:jc w:val="center"/>
              <w:rPr>
                <w:rFonts w:hint="default" w:ascii="仿宋_GB2312" w:hAnsi="仿宋" w:eastAsia="仿宋_GB2312"/>
                <w:b/>
                <w:color w:val="auto"/>
                <w:szCs w:val="28"/>
                <w:highlight w:val="none"/>
              </w:rPr>
            </w:pPr>
            <w:r>
              <w:rPr>
                <w:rFonts w:ascii="仿宋_GB2312" w:hAnsi="仿宋" w:eastAsia="仿宋_GB2312"/>
                <w:b/>
                <w:color w:val="auto"/>
                <w:szCs w:val="28"/>
                <w:highlight w:val="none"/>
              </w:rPr>
              <w:t>注册号</w:t>
            </w:r>
          </w:p>
        </w:tc>
        <w:tc>
          <w:tcPr>
            <w:tcW w:w="2397" w:type="dxa"/>
            <w:tcBorders>
              <w:top w:val="thinThickSmallGap" w:color="auto" w:sz="12" w:space="0"/>
              <w:bottom w:val="single" w:color="auto" w:sz="4" w:space="0"/>
            </w:tcBorders>
            <w:vAlign w:val="center"/>
          </w:tcPr>
          <w:p>
            <w:pPr>
              <w:pStyle w:val="9"/>
              <w:adjustRightInd w:val="0"/>
              <w:snapToGrid w:val="0"/>
              <w:ind w:hanging="10" w:firstLineChars="0"/>
              <w:jc w:val="center"/>
              <w:rPr>
                <w:rFonts w:hint="default" w:ascii="仿宋_GB2312" w:hAnsi="仿宋" w:eastAsia="仿宋_GB2312"/>
                <w:b/>
                <w:color w:val="auto"/>
                <w:szCs w:val="28"/>
                <w:highlight w:val="none"/>
              </w:rPr>
            </w:pPr>
            <w:r>
              <w:rPr>
                <w:rFonts w:ascii="仿宋_GB2312" w:hAnsi="仿宋" w:eastAsia="仿宋_GB2312"/>
                <w:b/>
                <w:color w:val="auto"/>
                <w:szCs w:val="28"/>
                <w:highlight w:val="none"/>
              </w:rPr>
              <w:t>签    名</w:t>
            </w:r>
          </w:p>
        </w:tc>
        <w:tc>
          <w:tcPr>
            <w:tcW w:w="2330" w:type="dxa"/>
            <w:tcBorders>
              <w:top w:val="thinThickSmallGap" w:color="auto" w:sz="12" w:space="0"/>
              <w:bottom w:val="single" w:color="auto" w:sz="4" w:space="0"/>
            </w:tcBorders>
            <w:vAlign w:val="center"/>
          </w:tcPr>
          <w:p>
            <w:pPr>
              <w:pStyle w:val="9"/>
              <w:adjustRightInd w:val="0"/>
              <w:snapToGrid w:val="0"/>
              <w:ind w:hanging="10" w:firstLineChars="0"/>
              <w:jc w:val="center"/>
              <w:rPr>
                <w:rFonts w:hint="default" w:ascii="仿宋_GB2312" w:hAnsi="仿宋" w:eastAsia="仿宋_GB2312"/>
                <w:b/>
                <w:color w:val="auto"/>
                <w:szCs w:val="28"/>
                <w:highlight w:val="none"/>
              </w:rPr>
            </w:pPr>
            <w:r>
              <w:rPr>
                <w:rFonts w:ascii="仿宋_GB2312" w:hAnsi="仿宋" w:eastAsia="仿宋_GB2312"/>
                <w:b/>
                <w:color w:val="auto"/>
                <w:szCs w:val="28"/>
                <w:highlight w:val="none"/>
              </w:rPr>
              <w:t>签名日期</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71" w:hRule="atLeast"/>
          <w:jc w:val="center"/>
        </w:trPr>
        <w:tc>
          <w:tcPr>
            <w:tcW w:w="1694" w:type="dxa"/>
            <w:tcBorders>
              <w:top w:val="single" w:color="auto" w:sz="4" w:space="0"/>
              <w:bottom w:val="dotted" w:color="auto" w:sz="4" w:space="0"/>
            </w:tcBorders>
            <w:vAlign w:val="center"/>
          </w:tcPr>
          <w:p>
            <w:pPr>
              <w:pStyle w:val="9"/>
              <w:adjustRightInd w:val="0"/>
              <w:snapToGrid w:val="0"/>
              <w:jc w:val="center"/>
              <w:rPr>
                <w:rFonts w:hint="default" w:ascii="仿宋_GB2312" w:hAnsi="仿宋" w:eastAsia="仿宋_GB2312"/>
                <w:b/>
                <w:color w:val="auto"/>
                <w:szCs w:val="28"/>
                <w:highlight w:val="none"/>
              </w:rPr>
            </w:pPr>
            <w:r>
              <w:rPr>
                <w:rFonts w:hint="eastAsia" w:ascii="仿宋_GB2312" w:hAnsi="仿宋" w:eastAsia="仿宋_GB2312"/>
                <w:b/>
                <w:color w:val="auto"/>
                <w:szCs w:val="28"/>
                <w:highlight w:val="none"/>
                <w:lang w:eastAsia="zh-CN"/>
              </w:rPr>
              <w:t>杨  卫</w:t>
            </w:r>
          </w:p>
        </w:tc>
        <w:tc>
          <w:tcPr>
            <w:tcW w:w="2280" w:type="dxa"/>
            <w:tcBorders>
              <w:top w:val="single" w:color="auto" w:sz="4" w:space="0"/>
              <w:bottom w:val="dotted" w:color="auto" w:sz="4" w:space="0"/>
            </w:tcBorders>
            <w:vAlign w:val="center"/>
          </w:tcPr>
          <w:p>
            <w:pPr>
              <w:pStyle w:val="9"/>
              <w:adjustRightInd w:val="0"/>
              <w:snapToGrid w:val="0"/>
              <w:jc w:val="center"/>
              <w:rPr>
                <w:rFonts w:hint="default" w:ascii="仿宋_GB2312" w:hAnsi="仿宋" w:eastAsia="仿宋_GB2312"/>
                <w:b/>
                <w:color w:val="auto"/>
                <w:szCs w:val="28"/>
                <w:highlight w:val="none"/>
              </w:rPr>
            </w:pPr>
            <w:r>
              <w:rPr>
                <w:rFonts w:hint="eastAsia" w:ascii="仿宋_GB2312" w:hAnsi="仿宋" w:eastAsia="仿宋_GB2312"/>
                <w:b/>
                <w:color w:val="auto"/>
                <w:szCs w:val="28"/>
                <w:highlight w:val="none"/>
                <w:lang w:eastAsia="zh-CN"/>
              </w:rPr>
              <w:t>4220190048</w:t>
            </w:r>
          </w:p>
        </w:tc>
        <w:tc>
          <w:tcPr>
            <w:tcW w:w="2397" w:type="dxa"/>
            <w:tcBorders>
              <w:top w:val="single" w:color="auto" w:sz="4" w:space="0"/>
              <w:bottom w:val="dotted" w:color="auto" w:sz="4" w:space="0"/>
            </w:tcBorders>
            <w:vAlign w:val="center"/>
          </w:tcPr>
          <w:p>
            <w:pPr>
              <w:pStyle w:val="9"/>
              <w:adjustRightInd w:val="0"/>
              <w:snapToGrid w:val="0"/>
              <w:rPr>
                <w:rFonts w:hint="default" w:ascii="仿宋_GB2312" w:hAnsi="仿宋" w:eastAsia="仿宋_GB2312"/>
                <w:b/>
                <w:color w:val="auto"/>
                <w:szCs w:val="28"/>
                <w:highlight w:val="none"/>
              </w:rPr>
            </w:pPr>
          </w:p>
        </w:tc>
        <w:tc>
          <w:tcPr>
            <w:tcW w:w="2330" w:type="dxa"/>
            <w:tcBorders>
              <w:top w:val="single" w:color="auto" w:sz="4" w:space="0"/>
              <w:bottom w:val="dotted" w:color="auto" w:sz="4" w:space="0"/>
            </w:tcBorders>
            <w:vAlign w:val="center"/>
          </w:tcPr>
          <w:p>
            <w:pPr>
              <w:pStyle w:val="9"/>
              <w:adjustRightInd w:val="0"/>
              <w:snapToGrid w:val="0"/>
              <w:jc w:val="center"/>
              <w:rPr>
                <w:rFonts w:hint="eastAsia" w:ascii="仿宋_GB2312" w:hAnsi="仿宋" w:eastAsia="仿宋_GB2312"/>
                <w:b/>
                <w:color w:val="auto"/>
                <w:szCs w:val="28"/>
                <w:highlight w:val="none"/>
                <w:lang w:eastAsia="zh-CN"/>
              </w:rPr>
            </w:pPr>
            <w:r>
              <w:rPr>
                <w:rFonts w:hint="eastAsia" w:ascii="仿宋_GB2312" w:hAnsi="仿宋" w:eastAsia="仿宋_GB2312"/>
                <w:b/>
                <w:color w:val="auto"/>
                <w:szCs w:val="28"/>
                <w:highlight w:val="none"/>
                <w:lang w:eastAsia="zh-CN"/>
              </w:rPr>
              <w:t>2022年7月26日</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86" w:hRule="atLeast"/>
          <w:jc w:val="center"/>
        </w:trPr>
        <w:tc>
          <w:tcPr>
            <w:tcW w:w="1694" w:type="dxa"/>
            <w:tcBorders>
              <w:top w:val="dotted" w:color="auto" w:sz="4" w:space="0"/>
            </w:tcBorders>
            <w:vAlign w:val="center"/>
          </w:tcPr>
          <w:p>
            <w:pPr>
              <w:pStyle w:val="9"/>
              <w:adjustRightInd w:val="0"/>
              <w:snapToGrid w:val="0"/>
              <w:jc w:val="center"/>
              <w:rPr>
                <w:rFonts w:hint="default" w:ascii="仿宋_GB2312" w:hAnsi="仿宋" w:eastAsia="仿宋_GB2312"/>
                <w:b/>
                <w:color w:val="auto"/>
                <w:szCs w:val="28"/>
                <w:highlight w:val="none"/>
              </w:rPr>
            </w:pPr>
            <w:r>
              <w:rPr>
                <w:rFonts w:hint="eastAsia" w:ascii="仿宋_GB2312" w:hAnsi="仿宋" w:eastAsia="仿宋_GB2312"/>
                <w:b/>
                <w:color w:val="auto"/>
                <w:szCs w:val="28"/>
                <w:highlight w:val="none"/>
                <w:lang w:eastAsia="zh-CN"/>
              </w:rPr>
              <w:t>刘</w:t>
            </w:r>
            <w:r>
              <w:rPr>
                <w:rFonts w:hint="eastAsia" w:ascii="仿宋_GB2312" w:hAnsi="仿宋" w:eastAsia="仿宋_GB2312"/>
                <w:b/>
                <w:color w:val="auto"/>
                <w:szCs w:val="28"/>
                <w:highlight w:val="none"/>
                <w:lang w:val="en-US" w:eastAsia="zh-CN"/>
              </w:rPr>
              <w:t xml:space="preserve">  </w:t>
            </w:r>
            <w:r>
              <w:rPr>
                <w:rFonts w:hint="eastAsia" w:ascii="仿宋_GB2312" w:hAnsi="仿宋" w:eastAsia="仿宋_GB2312"/>
                <w:b/>
                <w:color w:val="auto"/>
                <w:szCs w:val="28"/>
                <w:highlight w:val="none"/>
                <w:lang w:eastAsia="zh-CN"/>
              </w:rPr>
              <w:t>鑫</w:t>
            </w:r>
          </w:p>
        </w:tc>
        <w:tc>
          <w:tcPr>
            <w:tcW w:w="2280" w:type="dxa"/>
            <w:tcBorders>
              <w:top w:val="dotted" w:color="auto" w:sz="4" w:space="0"/>
            </w:tcBorders>
            <w:vAlign w:val="center"/>
          </w:tcPr>
          <w:p>
            <w:pPr>
              <w:pStyle w:val="9"/>
              <w:adjustRightInd w:val="0"/>
              <w:snapToGrid w:val="0"/>
              <w:jc w:val="center"/>
              <w:rPr>
                <w:rFonts w:hint="default" w:ascii="仿宋_GB2312" w:hAnsi="仿宋" w:eastAsia="仿宋_GB2312"/>
                <w:b/>
                <w:color w:val="auto"/>
                <w:szCs w:val="28"/>
                <w:highlight w:val="none"/>
              </w:rPr>
            </w:pPr>
            <w:r>
              <w:rPr>
                <w:rFonts w:hint="eastAsia" w:ascii="仿宋_GB2312" w:hAnsi="仿宋" w:eastAsia="仿宋_GB2312"/>
                <w:b/>
                <w:color w:val="auto"/>
                <w:szCs w:val="28"/>
                <w:highlight w:val="none"/>
                <w:lang w:eastAsia="zh-CN"/>
              </w:rPr>
              <w:t>1120120096</w:t>
            </w:r>
          </w:p>
        </w:tc>
        <w:tc>
          <w:tcPr>
            <w:tcW w:w="2397" w:type="dxa"/>
            <w:tcBorders>
              <w:top w:val="dotted" w:color="auto" w:sz="4" w:space="0"/>
            </w:tcBorders>
            <w:vAlign w:val="center"/>
          </w:tcPr>
          <w:p>
            <w:pPr>
              <w:pStyle w:val="9"/>
              <w:adjustRightInd w:val="0"/>
              <w:snapToGrid w:val="0"/>
              <w:rPr>
                <w:rFonts w:hint="default" w:ascii="仿宋_GB2312" w:hAnsi="仿宋" w:eastAsia="仿宋_GB2312"/>
                <w:b/>
                <w:color w:val="auto"/>
                <w:szCs w:val="28"/>
                <w:highlight w:val="none"/>
              </w:rPr>
            </w:pPr>
          </w:p>
        </w:tc>
        <w:tc>
          <w:tcPr>
            <w:tcW w:w="2330" w:type="dxa"/>
            <w:tcBorders>
              <w:top w:val="dotted" w:color="auto" w:sz="4" w:space="0"/>
            </w:tcBorders>
            <w:vAlign w:val="center"/>
          </w:tcPr>
          <w:p>
            <w:pPr>
              <w:pStyle w:val="9"/>
              <w:adjustRightInd w:val="0"/>
              <w:snapToGrid w:val="0"/>
              <w:jc w:val="center"/>
              <w:rPr>
                <w:rFonts w:hint="eastAsia" w:ascii="仿宋_GB2312" w:hAnsi="仿宋" w:eastAsia="仿宋_GB2312"/>
                <w:b/>
                <w:color w:val="auto"/>
                <w:szCs w:val="28"/>
                <w:highlight w:val="none"/>
                <w:lang w:eastAsia="zh-CN"/>
              </w:rPr>
            </w:pPr>
            <w:r>
              <w:rPr>
                <w:rFonts w:hint="eastAsia" w:ascii="仿宋_GB2312" w:hAnsi="仿宋" w:eastAsia="仿宋_GB2312"/>
                <w:b/>
                <w:color w:val="auto"/>
                <w:szCs w:val="28"/>
                <w:highlight w:val="none"/>
                <w:lang w:eastAsia="zh-CN"/>
              </w:rPr>
              <w:t>2022年7月26日</w:t>
            </w:r>
          </w:p>
        </w:tc>
      </w:tr>
    </w:tbl>
    <w:p>
      <w:pPr>
        <w:pStyle w:val="4"/>
        <w:spacing w:before="0" w:after="0" w:line="360" w:lineRule="auto"/>
        <w:ind w:left="420"/>
        <w:rPr>
          <w:color w:val="auto"/>
          <w:sz w:val="24"/>
          <w:szCs w:val="24"/>
          <w:highlight w:val="none"/>
        </w:rPr>
      </w:pPr>
      <w:bookmarkStart w:id="46" w:name="_Toc462218104"/>
      <w:r>
        <w:rPr>
          <w:rFonts w:hint="eastAsia"/>
          <w:color w:val="auto"/>
          <w:sz w:val="24"/>
          <w:szCs w:val="24"/>
          <w:highlight w:val="none"/>
        </w:rPr>
        <w:t>（十三）实地查勘期</w:t>
      </w:r>
      <w:bookmarkEnd w:id="46"/>
    </w:p>
    <w:p>
      <w:pPr>
        <w:snapToGrid w:val="0"/>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二○二二年七月五日</w:t>
      </w:r>
      <w:r>
        <w:rPr>
          <w:rFonts w:hint="eastAsia" w:ascii="仿宋_GB2312" w:eastAsia="仿宋_GB2312"/>
          <w:color w:val="auto"/>
          <w:sz w:val="24"/>
          <w:highlight w:val="none"/>
        </w:rPr>
        <w:t>至</w:t>
      </w:r>
      <w:r>
        <w:rPr>
          <w:rFonts w:hint="eastAsia" w:ascii="仿宋_GB2312" w:eastAsia="仿宋_GB2312"/>
          <w:color w:val="auto"/>
          <w:sz w:val="24"/>
          <w:highlight w:val="none"/>
          <w:lang w:eastAsia="zh-CN"/>
        </w:rPr>
        <w:t>二○二二年七月五日</w:t>
      </w:r>
    </w:p>
    <w:p>
      <w:pPr>
        <w:pStyle w:val="4"/>
        <w:spacing w:before="0" w:after="0" w:line="360" w:lineRule="auto"/>
        <w:ind w:left="420"/>
        <w:rPr>
          <w:color w:val="auto"/>
          <w:sz w:val="24"/>
          <w:szCs w:val="24"/>
          <w:highlight w:val="none"/>
        </w:rPr>
      </w:pPr>
      <w:bookmarkStart w:id="47" w:name="_Toc462218105"/>
      <w:r>
        <w:rPr>
          <w:rFonts w:hint="eastAsia"/>
          <w:color w:val="auto"/>
          <w:sz w:val="24"/>
          <w:szCs w:val="24"/>
          <w:highlight w:val="none"/>
        </w:rPr>
        <w:t>（十四）估价作业期</w:t>
      </w:r>
      <w:bookmarkEnd w:id="47"/>
    </w:p>
    <w:p>
      <w:pPr>
        <w:snapToGrid w:val="0"/>
        <w:spacing w:line="360" w:lineRule="auto"/>
        <w:ind w:left="420" w:leftChars="200" w:firstLine="120" w:firstLineChars="50"/>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二○二二年七月五日</w:t>
      </w:r>
      <w:r>
        <w:rPr>
          <w:rFonts w:hint="eastAsia" w:ascii="仿宋_GB2312" w:eastAsia="仿宋_GB2312"/>
          <w:color w:val="auto"/>
          <w:sz w:val="24"/>
          <w:highlight w:val="none"/>
        </w:rPr>
        <w:t>至</w:t>
      </w:r>
      <w:r>
        <w:rPr>
          <w:rFonts w:hint="eastAsia" w:ascii="仿宋_GB2312" w:eastAsia="仿宋_GB2312"/>
          <w:color w:val="auto"/>
          <w:sz w:val="24"/>
          <w:highlight w:val="none"/>
          <w:lang w:eastAsia="zh-CN"/>
        </w:rPr>
        <w:t>二○二二年七月二十六日</w:t>
      </w:r>
    </w:p>
    <w:p>
      <w:pPr>
        <w:pStyle w:val="4"/>
        <w:spacing w:before="0" w:after="0" w:line="360" w:lineRule="auto"/>
        <w:ind w:left="420"/>
        <w:rPr>
          <w:color w:val="auto"/>
          <w:sz w:val="24"/>
          <w:szCs w:val="24"/>
          <w:highlight w:val="none"/>
        </w:rPr>
      </w:pPr>
      <w:bookmarkStart w:id="48" w:name="_Toc462218106"/>
      <w:bookmarkStart w:id="49" w:name="_Toc423355994"/>
      <w:r>
        <w:rPr>
          <w:rFonts w:hint="eastAsia"/>
          <w:color w:val="auto"/>
          <w:sz w:val="24"/>
          <w:szCs w:val="24"/>
          <w:highlight w:val="none"/>
        </w:rPr>
        <w:t>（十五）估价报告使用期限</w:t>
      </w:r>
      <w:bookmarkEnd w:id="48"/>
      <w:bookmarkEnd w:id="49"/>
    </w:p>
    <w:p>
      <w:pPr>
        <w:snapToGrid w:val="0"/>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自报告出具之日起使用期限为一年。</w:t>
      </w:r>
      <w:r>
        <w:rPr>
          <w:rFonts w:hint="eastAsia" w:ascii="仿宋_GB2312" w:hAnsi="宋体" w:eastAsia="仿宋_GB2312"/>
          <w:color w:val="auto"/>
          <w:sz w:val="24"/>
          <w:highlight w:val="none"/>
        </w:rPr>
        <w:t>若报告使用期限内，房地产市场、建筑市场或估价对象自身状况发生重大变化，估价结果也需做相应调整或委托估价机构重新估价。</w:t>
      </w:r>
      <w:bookmarkStart w:id="50" w:name="_Toc462218107"/>
      <w:r>
        <w:rPr>
          <w:color w:val="auto"/>
          <w:highlight w:val="none"/>
        </w:rPr>
        <w:br w:type="page"/>
      </w:r>
    </w:p>
    <w:p>
      <w:pPr>
        <w:rPr>
          <w:color w:val="auto"/>
          <w:highlight w:val="none"/>
        </w:rPr>
      </w:pPr>
    </w:p>
    <w:p>
      <w:pPr>
        <w:rPr>
          <w:color w:val="auto"/>
          <w:highlight w:val="none"/>
        </w:rPr>
      </w:pPr>
    </w:p>
    <w:p>
      <w:pPr>
        <w:pStyle w:val="17"/>
        <w:rPr>
          <w:rFonts w:ascii="黑体" w:hAnsi="黑体" w:eastAsia="黑体" w:cs="黑体"/>
          <w:color w:val="auto"/>
          <w:highlight w:val="none"/>
        </w:rPr>
      </w:pPr>
      <w:r>
        <w:rPr>
          <w:rFonts w:hint="eastAsia" w:ascii="黑体" w:hAnsi="黑体" w:eastAsia="黑体" w:cs="黑体"/>
          <w:color w:val="auto"/>
          <w:highlight w:val="none"/>
        </w:rPr>
        <w:t>附   件</w:t>
      </w:r>
      <w:bookmarkEnd w:id="50"/>
    </w:p>
    <w:p>
      <w:pPr>
        <w:snapToGrid w:val="0"/>
        <w:spacing w:line="700" w:lineRule="exact"/>
        <w:ind w:firstLine="840" w:firstLineChars="350"/>
        <w:rPr>
          <w:rFonts w:ascii="仿宋_GB2312" w:hAnsi="仿宋" w:eastAsia="仿宋_GB2312"/>
          <w:color w:val="auto"/>
          <w:sz w:val="24"/>
          <w:highlight w:val="none"/>
        </w:rPr>
      </w:pPr>
      <w:r>
        <w:rPr>
          <w:rFonts w:hint="eastAsia" w:ascii="仿宋_GB2312" w:eastAsia="仿宋_GB2312"/>
          <w:color w:val="auto"/>
          <w:sz w:val="24"/>
          <w:highlight w:val="none"/>
        </w:rPr>
        <w:t>1、</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eastAsia="zh-CN"/>
        </w:rPr>
        <w:t>安乡县人民法院</w:t>
      </w:r>
      <w:r>
        <w:rPr>
          <w:rFonts w:hint="eastAsia" w:ascii="仿宋_GB2312" w:hAnsi="宋体" w:eastAsia="仿宋_GB2312"/>
          <w:color w:val="auto"/>
          <w:sz w:val="24"/>
          <w:highlight w:val="none"/>
        </w:rPr>
        <w:t>委托书》</w:t>
      </w:r>
      <w:r>
        <w:rPr>
          <w:rFonts w:hint="eastAsia" w:ascii="仿宋_GB2312" w:hAnsi="仿宋" w:eastAsia="仿宋_GB2312"/>
          <w:color w:val="auto"/>
          <w:sz w:val="24"/>
          <w:highlight w:val="none"/>
        </w:rPr>
        <w:t>复印件</w:t>
      </w:r>
    </w:p>
    <w:p>
      <w:pPr>
        <w:snapToGrid w:val="0"/>
        <w:spacing w:line="700" w:lineRule="exact"/>
        <w:ind w:firstLine="840" w:firstLineChars="35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w:t>
      </w:r>
      <w:r>
        <w:rPr>
          <w:rFonts w:hint="eastAsia" w:ascii="仿宋_GB2312" w:eastAsia="仿宋_GB2312"/>
          <w:color w:val="auto"/>
          <w:sz w:val="24"/>
          <w:highlight w:val="none"/>
        </w:rPr>
        <w:t>估价对象权属信息及</w:t>
      </w:r>
      <w:r>
        <w:rPr>
          <w:rFonts w:ascii="仿宋_GB2312" w:eastAsia="仿宋_GB2312"/>
          <w:color w:val="auto"/>
          <w:sz w:val="24"/>
          <w:highlight w:val="none"/>
        </w:rPr>
        <w:t>其他相关资料</w:t>
      </w:r>
      <w:r>
        <w:rPr>
          <w:rFonts w:hint="eastAsia" w:ascii="仿宋_GB2312" w:eastAsia="仿宋_GB2312"/>
          <w:color w:val="auto"/>
          <w:sz w:val="24"/>
          <w:highlight w:val="none"/>
        </w:rPr>
        <w:t>复印件</w:t>
      </w:r>
    </w:p>
    <w:p>
      <w:pPr>
        <w:snapToGrid w:val="0"/>
        <w:spacing w:line="700" w:lineRule="exact"/>
        <w:ind w:firstLine="840" w:firstLineChars="350"/>
        <w:rPr>
          <w:rFonts w:ascii="仿宋_GB2312" w:eastAsia="仿宋_GB2312"/>
          <w:color w:val="auto"/>
          <w:sz w:val="24"/>
          <w:highlight w:val="none"/>
        </w:rPr>
      </w:pPr>
      <w:r>
        <w:rPr>
          <w:rFonts w:hint="eastAsia" w:ascii="仿宋_GB2312" w:eastAsia="仿宋_GB2312"/>
          <w:color w:val="auto"/>
          <w:sz w:val="24"/>
          <w:highlight w:val="none"/>
        </w:rPr>
        <w:t>3、</w:t>
      </w:r>
      <w:r>
        <w:rPr>
          <w:rFonts w:hint="eastAsia" w:ascii="仿宋_GB2312" w:hAnsi="仿宋" w:eastAsia="仿宋_GB2312"/>
          <w:color w:val="auto"/>
          <w:sz w:val="24"/>
          <w:highlight w:val="none"/>
        </w:rPr>
        <w:t>估价对象位置示意图</w:t>
      </w:r>
    </w:p>
    <w:p>
      <w:pPr>
        <w:tabs>
          <w:tab w:val="left" w:pos="5160"/>
        </w:tabs>
        <w:snapToGrid w:val="0"/>
        <w:spacing w:line="700" w:lineRule="exact"/>
        <w:ind w:firstLine="840" w:firstLineChars="350"/>
        <w:rPr>
          <w:rFonts w:ascii="仿宋_GB2312" w:eastAsia="仿宋_GB2312"/>
          <w:color w:val="auto"/>
          <w:sz w:val="24"/>
          <w:highlight w:val="none"/>
        </w:rPr>
      </w:pPr>
      <w:r>
        <w:rPr>
          <w:rFonts w:hint="eastAsia" w:ascii="仿宋_GB2312" w:eastAsia="仿宋_GB2312"/>
          <w:color w:val="auto"/>
          <w:sz w:val="24"/>
          <w:highlight w:val="none"/>
        </w:rPr>
        <w:t>4、估价对象照片</w:t>
      </w:r>
    </w:p>
    <w:p>
      <w:pPr>
        <w:snapToGrid w:val="0"/>
        <w:spacing w:line="700" w:lineRule="exact"/>
        <w:ind w:firstLine="840" w:firstLineChars="350"/>
        <w:rPr>
          <w:rFonts w:ascii="仿宋_GB2312" w:eastAsia="仿宋_GB2312"/>
          <w:color w:val="auto"/>
          <w:sz w:val="24"/>
          <w:highlight w:val="none"/>
        </w:rPr>
      </w:pPr>
      <w:r>
        <w:rPr>
          <w:rFonts w:hint="eastAsia" w:ascii="仿宋_GB2312" w:eastAsia="仿宋_GB2312"/>
          <w:color w:val="auto"/>
          <w:sz w:val="24"/>
          <w:highlight w:val="none"/>
        </w:rPr>
        <w:t>5、房地产估价机构营业执照复印件</w:t>
      </w:r>
    </w:p>
    <w:p>
      <w:pPr>
        <w:snapToGrid w:val="0"/>
        <w:spacing w:line="700" w:lineRule="exact"/>
        <w:ind w:firstLine="840" w:firstLineChars="350"/>
        <w:rPr>
          <w:rFonts w:ascii="仿宋_GB2312" w:eastAsia="仿宋_GB2312"/>
          <w:color w:val="auto"/>
          <w:sz w:val="24"/>
          <w:highlight w:val="none"/>
        </w:rPr>
      </w:pPr>
      <w:r>
        <w:rPr>
          <w:rFonts w:hint="eastAsia" w:ascii="仿宋_GB2312" w:eastAsia="仿宋_GB2312"/>
          <w:color w:val="auto"/>
          <w:sz w:val="24"/>
          <w:highlight w:val="none"/>
        </w:rPr>
        <w:t>6、房地产估价机构备案证书复印件</w:t>
      </w:r>
    </w:p>
    <w:p>
      <w:pPr>
        <w:snapToGrid w:val="0"/>
        <w:spacing w:line="700" w:lineRule="exact"/>
        <w:ind w:firstLine="840" w:firstLineChars="350"/>
        <w:rPr>
          <w:rFonts w:ascii="仿宋_GB2312" w:eastAsia="仿宋_GB2312"/>
          <w:color w:val="auto"/>
          <w:sz w:val="24"/>
          <w:highlight w:val="none"/>
        </w:rPr>
      </w:pPr>
      <w:r>
        <w:rPr>
          <w:rFonts w:hint="eastAsia" w:ascii="仿宋_GB2312" w:eastAsia="仿宋_GB2312"/>
          <w:color w:val="auto"/>
          <w:sz w:val="24"/>
          <w:highlight w:val="none"/>
        </w:rPr>
        <w:t>7、注册房地产估价师注册证书复印件</w:t>
      </w: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700" w:lineRule="exact"/>
        <w:jc w:val="center"/>
        <w:rPr>
          <w:rFonts w:ascii="宋体" w:hAnsi="宋体"/>
          <w:b/>
          <w:bCs/>
          <w:color w:val="auto"/>
          <w:sz w:val="44"/>
          <w:highlight w:val="none"/>
        </w:rPr>
      </w:pPr>
    </w:p>
    <w:p>
      <w:pPr>
        <w:snapToGrid w:val="0"/>
        <w:spacing w:line="500" w:lineRule="exact"/>
        <w:jc w:val="left"/>
        <w:rPr>
          <w:rFonts w:ascii="宋体" w:hAnsi="宋体"/>
          <w:b/>
          <w:bCs/>
          <w:color w:val="auto"/>
          <w:sz w:val="44"/>
          <w:highlight w:val="none"/>
        </w:rPr>
      </w:pPr>
    </w:p>
    <w:sectPr>
      <w:headerReference r:id="rId3" w:type="default"/>
      <w:footerReference r:id="rId4" w:type="default"/>
      <w:footerReference r:id="rId5"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i/>
        <w:iCs/>
      </w:rPr>
    </w:pPr>
    <w:r>
      <w:rPr>
        <w:i/>
        <w:iCs/>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5257800" cy="0"/>
              <wp:effectExtent l="0" t="0" r="0" b="0"/>
              <wp:wrapNone/>
              <wp:docPr id="10" name="直线 102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025" o:spid="_x0000_s1026" o:spt="20" style="position:absolute;left:0pt;margin-left:0pt;margin-top:0.05pt;height:0pt;width:414pt;z-index:251662336;mso-width-relative:page;mso-height-relative:page;" filled="f" stroked="t" coordsize="21600,21600" o:gfxdata="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7A3Ds8AAAACAQAADwAA&#10;AAAAAAABACAAAAAiAAAAZHJzL2Rvd25yZXYueG1sUEsBAhQAFAAAAAgAh07iQGlkMYfmAQAA4QMA&#10;AA4AAAAAAAAAAQAgAAAAHgEAAGRycy9lMm9Eb2MueG1sUEsFBgAAAAAGAAYAWQEAAHYFAAAAAA==&#10;">
              <v:fill on="f" focussize="0,0"/>
              <v:stroke color="#000000" joinstyle="round"/>
              <v:imagedata o:title=""/>
              <o:lock v:ext="edit" aspectratio="f"/>
            </v:line>
          </w:pict>
        </mc:Fallback>
      </mc:AlternateContent>
    </w:r>
    <w:r>
      <w:rPr>
        <w:i/>
        <w:iCs/>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5257800" cy="0"/>
              <wp:effectExtent l="0" t="0" r="0" b="0"/>
              <wp:wrapNone/>
              <wp:docPr id="8" name="直线 102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026" o:spid="_x0000_s1026" o:spt="20" style="position:absolute;left:0pt;margin-left:0pt;margin-top:-0.2pt;height:0pt;width:414pt;z-index:251661312;mso-width-relative:page;mso-height-relative:page;" filled="f" stroked="t" coordsize="21600,21600" o:gfxdata="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4XBr9IAAAAEAQAA&#10;DwAAAAAAAAABACAAAAAiAAAAZHJzL2Rvd25yZXYueG1sUEsBAhQAFAAAAAgAh07iQPdDP+XmAQAA&#10;4AMAAA4AAAAAAAAAAQAgAAAAIQEAAGRycy9lMm9Eb2MueG1sUEsFBgAAAAAGAAYAWQEAAHkFAAAA&#10;AA==&#10;">
              <v:fill on="f" focussize="0,0"/>
              <v:stroke color="#000000" joinstyle="round"/>
              <v:imagedata o:title=""/>
              <o:lock v:ext="edit" aspectratio="f"/>
            </v:line>
          </w:pict>
        </mc:Fallback>
      </mc:AlternateContent>
    </w:r>
    <w:r>
      <w:rPr>
        <w:i/>
        <w:iCs/>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0" cy="0"/>
              <wp:effectExtent l="0" t="0" r="0" b="0"/>
              <wp:wrapNone/>
              <wp:docPr id="6" name="直线 1027"/>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027" o:spid="_x0000_s1026" o:spt="20" style="position:absolute;left:0pt;margin-left:0pt;margin-top:-0.2pt;height:0pt;width:0pt;z-index:251660288;mso-width-relative:page;mso-height-relative:page;" filled="f" stroked="t" coordsize="21600,21600" o:gfxdata="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LyB+/PAAAAAQEAAA8AAAAAAAAA&#10;AQAgAAAAIgAAAGRycy9kb3ducmV2LnhtbFBLAQIUABQAAAAIAIdO4kAvicza4QEAANoDAAAOAAAA&#10;AAAAAAEAIAAAAB4BAABkcnMvZTJvRG9jLnhtbFBLBQYAAAAABgAGAFkBAABxBQAAAAA=&#10;">
              <v:fill on="f" focussize="0,0"/>
              <v:stroke color="#000000" joinstyle="round"/>
              <v:imagedata o:title=""/>
              <o:lock v:ext="edit" aspectratio="f"/>
            </v:line>
          </w:pict>
        </mc:Fallback>
      </mc:AlternateContent>
    </w:r>
    <w:r>
      <w:rPr>
        <w:i/>
        <w:iCs/>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0" cy="0"/>
              <wp:effectExtent l="0" t="0" r="0" b="0"/>
              <wp:wrapNone/>
              <wp:docPr id="4" name="直线 1028"/>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028" o:spid="_x0000_s1026" o:spt="20" style="position:absolute;left:0pt;margin-left:0pt;margin-top:-0.2pt;height:0pt;width:0pt;z-index:251659264;mso-width-relative:page;mso-height-relative:page;" filled="f" stroked="t" coordsize="21600,21600" o:gfxdata="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LyB+/PAAAAAQEAAA8AAAAAAAAA&#10;AQAgAAAAIgAAAGRycy9kb3ducmV2LnhtbFBLAQIUABQAAAAIAIdO4kDefYav4QEAANoDAAAOAAAA&#10;AAAAAAEAIAAAAB4BAABkcnMvZTJvRG9jLnhtbFBLBQYAAAAABgAGAFkBAABxBQAAAAA=&#10;">
              <v:fill on="f" focussize="0,0"/>
              <v:stroke color="#000000" joinstyle="round"/>
              <v:imagedata o:title=""/>
              <o:lock v:ext="edit" aspectratio="f"/>
            </v:line>
          </w:pict>
        </mc:Fallback>
      </mc:AlternateContent>
    </w:r>
    <w:r>
      <w:rPr>
        <w:rFonts w:hint="eastAsia"/>
        <w:i/>
        <w:iCs/>
      </w:rPr>
      <w:t>湖南友谊房地产评估经纪有限公司        地址：长沙市开福区兴联路339号芙蓉北路口友谊咨询大厦</w:t>
    </w:r>
  </w:p>
  <w:p>
    <w:pPr>
      <w:pStyle w:val="11"/>
      <w:framePr w:wrap="around" w:vAnchor="text" w:hAnchor="margin" w:xAlign="center" w:y="1"/>
      <w:rPr>
        <w:rStyle w:val="23"/>
      </w:rPr>
    </w:pPr>
    <w:r>
      <w:rPr>
        <w:rFonts w:hint="eastAsia"/>
        <w:i/>
        <w:iCs/>
      </w:rPr>
      <w:t>联系方式：0731</w:t>
    </w:r>
    <w:r>
      <w:rPr>
        <w:i/>
        <w:iCs/>
        <w:color w:val="000000"/>
      </w:rPr>
      <w:t>—</w:t>
    </w:r>
    <w:r>
      <w:rPr>
        <w:rFonts w:hint="eastAsia"/>
        <w:i/>
        <w:iCs/>
        <w:color w:val="000000"/>
      </w:rPr>
      <w:t>88700000-21</w:t>
    </w:r>
    <w:r>
      <w:rPr>
        <w:i/>
        <w:iCs/>
        <w:color w:val="000000"/>
      </w:rPr>
      <w:t>56</w:t>
    </w:r>
    <w:r>
      <w:rPr>
        <w:rFonts w:hint="eastAsia"/>
        <w:i/>
        <w:iCs/>
      </w:rPr>
      <w:t xml:space="preserve">         邮编：410005</w:t>
    </w:r>
  </w:p>
  <w:p>
    <w:pPr>
      <w:pStyle w:val="11"/>
      <w:framePr w:wrap="around" w:vAnchor="text" w:hAnchor="margin" w:xAlign="center" w:y="1"/>
      <w:rPr>
        <w:rStyle w:val="23"/>
      </w:rPr>
    </w:pP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i/>
        <w:kern w:val="0"/>
      </w:rPr>
      <w:t>房地产估价报告书</w:t>
    </w:r>
    <w:r>
      <w:rPr>
        <w:rFonts w:hint="eastAsia"/>
        <w:i/>
      </w:rPr>
      <w:t xml:space="preserve">       　　　                                                     </w:t>
    </w:r>
    <w:r>
      <w:rPr>
        <w:rStyle w:val="23"/>
        <w:rFonts w:hint="eastAsia"/>
        <w:i/>
        <w:iCs/>
      </w:rPr>
      <w:t xml:space="preserve">第 </w:t>
    </w:r>
    <w:r>
      <w:rPr>
        <w:rStyle w:val="23"/>
        <w:i/>
        <w:iCs/>
      </w:rPr>
      <w:fldChar w:fldCharType="begin"/>
    </w:r>
    <w:r>
      <w:rPr>
        <w:rStyle w:val="23"/>
        <w:i/>
        <w:iCs/>
      </w:rPr>
      <w:instrText xml:space="preserve">PAGE  </w:instrText>
    </w:r>
    <w:r>
      <w:rPr>
        <w:rStyle w:val="23"/>
        <w:i/>
        <w:iCs/>
      </w:rPr>
      <w:fldChar w:fldCharType="separate"/>
    </w:r>
    <w:r>
      <w:rPr>
        <w:rStyle w:val="23"/>
        <w:i/>
        <w:iCs/>
      </w:rPr>
      <w:t>2</w:t>
    </w:r>
    <w:r>
      <w:rPr>
        <w:rStyle w:val="23"/>
        <w:i/>
        <w:iCs/>
      </w:rPr>
      <w:fldChar w:fldCharType="end"/>
    </w:r>
    <w:r>
      <w:rPr>
        <w:rStyle w:val="23"/>
        <w:rFonts w:hint="eastAsia"/>
        <w:i/>
        <w:iCs/>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FCF13"/>
    <w:multiLevelType w:val="singleLevel"/>
    <w:tmpl w:val="51AFCF13"/>
    <w:lvl w:ilvl="0" w:tentative="0">
      <w:start w:val="1"/>
      <w:numFmt w:val="chineseCounting"/>
      <w:suff w:val="nothing"/>
      <w:lvlText w:val="%1、"/>
      <w:lvlJc w:val="left"/>
      <w:rPr>
        <w:rFonts w:hint="eastAsia"/>
      </w:rPr>
    </w:lvl>
  </w:abstractNum>
  <w:abstractNum w:abstractNumId="1">
    <w:nsid w:val="66D5EB33"/>
    <w:multiLevelType w:val="singleLevel"/>
    <w:tmpl w:val="66D5EB3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WI4NjhhZWRjZGY5NTJjMzViNzJkZThkZGYxMDIifQ=="/>
  </w:docVars>
  <w:rsids>
    <w:rsidRoot w:val="001A7E35"/>
    <w:rsid w:val="000005F6"/>
    <w:rsid w:val="00000919"/>
    <w:rsid w:val="00000C0C"/>
    <w:rsid w:val="000015B1"/>
    <w:rsid w:val="000018A0"/>
    <w:rsid w:val="00001A3E"/>
    <w:rsid w:val="00001E57"/>
    <w:rsid w:val="00002661"/>
    <w:rsid w:val="00002DA1"/>
    <w:rsid w:val="00002F54"/>
    <w:rsid w:val="000037C2"/>
    <w:rsid w:val="0000382B"/>
    <w:rsid w:val="00003949"/>
    <w:rsid w:val="00003A39"/>
    <w:rsid w:val="00004856"/>
    <w:rsid w:val="000049E4"/>
    <w:rsid w:val="00004CE7"/>
    <w:rsid w:val="000053BF"/>
    <w:rsid w:val="0000599F"/>
    <w:rsid w:val="000059E8"/>
    <w:rsid w:val="00005BAD"/>
    <w:rsid w:val="00005F68"/>
    <w:rsid w:val="00005FEA"/>
    <w:rsid w:val="0000635E"/>
    <w:rsid w:val="000067B5"/>
    <w:rsid w:val="00006ABC"/>
    <w:rsid w:val="00006BCF"/>
    <w:rsid w:val="00006C5D"/>
    <w:rsid w:val="000107DF"/>
    <w:rsid w:val="00010F03"/>
    <w:rsid w:val="00010FFF"/>
    <w:rsid w:val="000120ED"/>
    <w:rsid w:val="00012BB6"/>
    <w:rsid w:val="00012D0E"/>
    <w:rsid w:val="000137B5"/>
    <w:rsid w:val="00014BFD"/>
    <w:rsid w:val="00014DE0"/>
    <w:rsid w:val="00015500"/>
    <w:rsid w:val="000159DE"/>
    <w:rsid w:val="00015F35"/>
    <w:rsid w:val="00015FB3"/>
    <w:rsid w:val="0001673D"/>
    <w:rsid w:val="00016BE3"/>
    <w:rsid w:val="0001719F"/>
    <w:rsid w:val="00017226"/>
    <w:rsid w:val="000176FE"/>
    <w:rsid w:val="0001770D"/>
    <w:rsid w:val="00017AC6"/>
    <w:rsid w:val="00017B0C"/>
    <w:rsid w:val="00020041"/>
    <w:rsid w:val="00020968"/>
    <w:rsid w:val="00020F68"/>
    <w:rsid w:val="00021847"/>
    <w:rsid w:val="00021929"/>
    <w:rsid w:val="000219B2"/>
    <w:rsid w:val="000225D0"/>
    <w:rsid w:val="00022917"/>
    <w:rsid w:val="00023A59"/>
    <w:rsid w:val="00023DE9"/>
    <w:rsid w:val="000243B9"/>
    <w:rsid w:val="0002459D"/>
    <w:rsid w:val="000249B6"/>
    <w:rsid w:val="00024B7E"/>
    <w:rsid w:val="000258B5"/>
    <w:rsid w:val="00025A13"/>
    <w:rsid w:val="00026239"/>
    <w:rsid w:val="000264C6"/>
    <w:rsid w:val="00030125"/>
    <w:rsid w:val="00030C67"/>
    <w:rsid w:val="00030D03"/>
    <w:rsid w:val="000310E2"/>
    <w:rsid w:val="000316F6"/>
    <w:rsid w:val="000321D1"/>
    <w:rsid w:val="00033929"/>
    <w:rsid w:val="00033CA8"/>
    <w:rsid w:val="000345C6"/>
    <w:rsid w:val="000346D7"/>
    <w:rsid w:val="00034A14"/>
    <w:rsid w:val="00034AE3"/>
    <w:rsid w:val="000350E2"/>
    <w:rsid w:val="0003528C"/>
    <w:rsid w:val="0003627A"/>
    <w:rsid w:val="00036A93"/>
    <w:rsid w:val="00040283"/>
    <w:rsid w:val="00040964"/>
    <w:rsid w:val="00040992"/>
    <w:rsid w:val="000412AD"/>
    <w:rsid w:val="00041716"/>
    <w:rsid w:val="0004182C"/>
    <w:rsid w:val="00041A72"/>
    <w:rsid w:val="00041B1D"/>
    <w:rsid w:val="00041F06"/>
    <w:rsid w:val="0004235D"/>
    <w:rsid w:val="00043224"/>
    <w:rsid w:val="000432DD"/>
    <w:rsid w:val="0004395D"/>
    <w:rsid w:val="00043BDF"/>
    <w:rsid w:val="0004423C"/>
    <w:rsid w:val="00045172"/>
    <w:rsid w:val="00045522"/>
    <w:rsid w:val="000459B8"/>
    <w:rsid w:val="00046077"/>
    <w:rsid w:val="00046320"/>
    <w:rsid w:val="000468A2"/>
    <w:rsid w:val="00046988"/>
    <w:rsid w:val="00046BFD"/>
    <w:rsid w:val="00047998"/>
    <w:rsid w:val="00047C60"/>
    <w:rsid w:val="00047D49"/>
    <w:rsid w:val="000500DF"/>
    <w:rsid w:val="00050333"/>
    <w:rsid w:val="000515A6"/>
    <w:rsid w:val="000522FF"/>
    <w:rsid w:val="0005233B"/>
    <w:rsid w:val="00053079"/>
    <w:rsid w:val="00053348"/>
    <w:rsid w:val="00053B9C"/>
    <w:rsid w:val="00053C53"/>
    <w:rsid w:val="000542DF"/>
    <w:rsid w:val="00054B6D"/>
    <w:rsid w:val="00054D78"/>
    <w:rsid w:val="00054DD0"/>
    <w:rsid w:val="000551DE"/>
    <w:rsid w:val="0005630C"/>
    <w:rsid w:val="00056537"/>
    <w:rsid w:val="00056691"/>
    <w:rsid w:val="000569D1"/>
    <w:rsid w:val="00056DD2"/>
    <w:rsid w:val="00056F9B"/>
    <w:rsid w:val="00057237"/>
    <w:rsid w:val="00057D99"/>
    <w:rsid w:val="00057EEB"/>
    <w:rsid w:val="000602BB"/>
    <w:rsid w:val="00060B49"/>
    <w:rsid w:val="00060C43"/>
    <w:rsid w:val="000616F7"/>
    <w:rsid w:val="00061A5F"/>
    <w:rsid w:val="00061E9A"/>
    <w:rsid w:val="00061EC3"/>
    <w:rsid w:val="00062356"/>
    <w:rsid w:val="00062E43"/>
    <w:rsid w:val="00063034"/>
    <w:rsid w:val="0006389E"/>
    <w:rsid w:val="00063D43"/>
    <w:rsid w:val="00063DE2"/>
    <w:rsid w:val="00063F8E"/>
    <w:rsid w:val="00064C30"/>
    <w:rsid w:val="0006585E"/>
    <w:rsid w:val="00065AA3"/>
    <w:rsid w:val="00066576"/>
    <w:rsid w:val="000665AE"/>
    <w:rsid w:val="000669DF"/>
    <w:rsid w:val="00066AD1"/>
    <w:rsid w:val="00066BEB"/>
    <w:rsid w:val="00067093"/>
    <w:rsid w:val="0006752F"/>
    <w:rsid w:val="000675E9"/>
    <w:rsid w:val="00067CA1"/>
    <w:rsid w:val="00067EDB"/>
    <w:rsid w:val="00070134"/>
    <w:rsid w:val="000720EF"/>
    <w:rsid w:val="00072A2C"/>
    <w:rsid w:val="00072D4C"/>
    <w:rsid w:val="0007327F"/>
    <w:rsid w:val="0007348A"/>
    <w:rsid w:val="00073701"/>
    <w:rsid w:val="000738F0"/>
    <w:rsid w:val="00073C9B"/>
    <w:rsid w:val="00074184"/>
    <w:rsid w:val="000745F1"/>
    <w:rsid w:val="00074EC3"/>
    <w:rsid w:val="000754C5"/>
    <w:rsid w:val="00075B90"/>
    <w:rsid w:val="00075E2E"/>
    <w:rsid w:val="00075EFF"/>
    <w:rsid w:val="00076301"/>
    <w:rsid w:val="000765DF"/>
    <w:rsid w:val="00076E70"/>
    <w:rsid w:val="0007703F"/>
    <w:rsid w:val="0007762B"/>
    <w:rsid w:val="00077985"/>
    <w:rsid w:val="000779AE"/>
    <w:rsid w:val="00077CF0"/>
    <w:rsid w:val="00077F07"/>
    <w:rsid w:val="0008048F"/>
    <w:rsid w:val="0008080B"/>
    <w:rsid w:val="00080B52"/>
    <w:rsid w:val="00080DF7"/>
    <w:rsid w:val="00080E6B"/>
    <w:rsid w:val="00081993"/>
    <w:rsid w:val="00081FA8"/>
    <w:rsid w:val="000826D3"/>
    <w:rsid w:val="000827F4"/>
    <w:rsid w:val="00082A35"/>
    <w:rsid w:val="00083166"/>
    <w:rsid w:val="00083632"/>
    <w:rsid w:val="0008384A"/>
    <w:rsid w:val="00084BEA"/>
    <w:rsid w:val="00085BAC"/>
    <w:rsid w:val="00086236"/>
    <w:rsid w:val="00086F55"/>
    <w:rsid w:val="000873EC"/>
    <w:rsid w:val="00090A71"/>
    <w:rsid w:val="00090D22"/>
    <w:rsid w:val="000917CB"/>
    <w:rsid w:val="0009386A"/>
    <w:rsid w:val="00093D78"/>
    <w:rsid w:val="00093EE4"/>
    <w:rsid w:val="000943E6"/>
    <w:rsid w:val="00094F7F"/>
    <w:rsid w:val="00095271"/>
    <w:rsid w:val="000953BC"/>
    <w:rsid w:val="00095946"/>
    <w:rsid w:val="00095B3B"/>
    <w:rsid w:val="00095CA8"/>
    <w:rsid w:val="00095CEB"/>
    <w:rsid w:val="00096F04"/>
    <w:rsid w:val="0009735B"/>
    <w:rsid w:val="00097363"/>
    <w:rsid w:val="00097D22"/>
    <w:rsid w:val="000A0037"/>
    <w:rsid w:val="000A0352"/>
    <w:rsid w:val="000A0CF2"/>
    <w:rsid w:val="000A0D2F"/>
    <w:rsid w:val="000A0E77"/>
    <w:rsid w:val="000A1190"/>
    <w:rsid w:val="000A14D8"/>
    <w:rsid w:val="000A1609"/>
    <w:rsid w:val="000A2065"/>
    <w:rsid w:val="000A3971"/>
    <w:rsid w:val="000A3E68"/>
    <w:rsid w:val="000A3F34"/>
    <w:rsid w:val="000A4770"/>
    <w:rsid w:val="000A49C2"/>
    <w:rsid w:val="000A4E92"/>
    <w:rsid w:val="000A59C8"/>
    <w:rsid w:val="000A681F"/>
    <w:rsid w:val="000A6BF1"/>
    <w:rsid w:val="000A7087"/>
    <w:rsid w:val="000B01F9"/>
    <w:rsid w:val="000B0612"/>
    <w:rsid w:val="000B0FE7"/>
    <w:rsid w:val="000B1073"/>
    <w:rsid w:val="000B15B0"/>
    <w:rsid w:val="000B1A5D"/>
    <w:rsid w:val="000B2001"/>
    <w:rsid w:val="000B271A"/>
    <w:rsid w:val="000B284C"/>
    <w:rsid w:val="000B2ECD"/>
    <w:rsid w:val="000B2F65"/>
    <w:rsid w:val="000B372C"/>
    <w:rsid w:val="000B38B0"/>
    <w:rsid w:val="000B4450"/>
    <w:rsid w:val="000B51C9"/>
    <w:rsid w:val="000B5C0A"/>
    <w:rsid w:val="000B7503"/>
    <w:rsid w:val="000B76B9"/>
    <w:rsid w:val="000B7793"/>
    <w:rsid w:val="000B79E7"/>
    <w:rsid w:val="000B7A9B"/>
    <w:rsid w:val="000B7B32"/>
    <w:rsid w:val="000B7E99"/>
    <w:rsid w:val="000C03C8"/>
    <w:rsid w:val="000C049B"/>
    <w:rsid w:val="000C052C"/>
    <w:rsid w:val="000C0BE8"/>
    <w:rsid w:val="000C13E0"/>
    <w:rsid w:val="000C1C43"/>
    <w:rsid w:val="000C20C2"/>
    <w:rsid w:val="000C231F"/>
    <w:rsid w:val="000C312C"/>
    <w:rsid w:val="000C3162"/>
    <w:rsid w:val="000C32EF"/>
    <w:rsid w:val="000C3313"/>
    <w:rsid w:val="000C3927"/>
    <w:rsid w:val="000C3EA9"/>
    <w:rsid w:val="000C40C4"/>
    <w:rsid w:val="000C44CF"/>
    <w:rsid w:val="000C4949"/>
    <w:rsid w:val="000C4D44"/>
    <w:rsid w:val="000C510B"/>
    <w:rsid w:val="000C5224"/>
    <w:rsid w:val="000C5663"/>
    <w:rsid w:val="000C65FA"/>
    <w:rsid w:val="000C7238"/>
    <w:rsid w:val="000C750F"/>
    <w:rsid w:val="000C7E90"/>
    <w:rsid w:val="000D046A"/>
    <w:rsid w:val="000D0E88"/>
    <w:rsid w:val="000D1183"/>
    <w:rsid w:val="000D11D9"/>
    <w:rsid w:val="000D1795"/>
    <w:rsid w:val="000D1C13"/>
    <w:rsid w:val="000D2143"/>
    <w:rsid w:val="000D245B"/>
    <w:rsid w:val="000D2C0F"/>
    <w:rsid w:val="000D2C15"/>
    <w:rsid w:val="000D2E39"/>
    <w:rsid w:val="000D3160"/>
    <w:rsid w:val="000D321E"/>
    <w:rsid w:val="000D3843"/>
    <w:rsid w:val="000D4C78"/>
    <w:rsid w:val="000D521C"/>
    <w:rsid w:val="000D59DD"/>
    <w:rsid w:val="000D5B96"/>
    <w:rsid w:val="000D5C63"/>
    <w:rsid w:val="000D6578"/>
    <w:rsid w:val="000D670E"/>
    <w:rsid w:val="000D67DF"/>
    <w:rsid w:val="000D6E76"/>
    <w:rsid w:val="000D792E"/>
    <w:rsid w:val="000D7A69"/>
    <w:rsid w:val="000D7B70"/>
    <w:rsid w:val="000D7B8A"/>
    <w:rsid w:val="000D7E6C"/>
    <w:rsid w:val="000D7E83"/>
    <w:rsid w:val="000E015C"/>
    <w:rsid w:val="000E0B62"/>
    <w:rsid w:val="000E0BE4"/>
    <w:rsid w:val="000E1530"/>
    <w:rsid w:val="000E1C7E"/>
    <w:rsid w:val="000E2B26"/>
    <w:rsid w:val="000E2B52"/>
    <w:rsid w:val="000E314E"/>
    <w:rsid w:val="000E394B"/>
    <w:rsid w:val="000E3F89"/>
    <w:rsid w:val="000E4AD6"/>
    <w:rsid w:val="000E4BBD"/>
    <w:rsid w:val="000E4FBF"/>
    <w:rsid w:val="000E587C"/>
    <w:rsid w:val="000E5F3C"/>
    <w:rsid w:val="000E656F"/>
    <w:rsid w:val="000E66BE"/>
    <w:rsid w:val="000E6BA1"/>
    <w:rsid w:val="000E778F"/>
    <w:rsid w:val="000E77A3"/>
    <w:rsid w:val="000F0595"/>
    <w:rsid w:val="000F099C"/>
    <w:rsid w:val="000F0C93"/>
    <w:rsid w:val="000F1CCF"/>
    <w:rsid w:val="000F22CE"/>
    <w:rsid w:val="000F2594"/>
    <w:rsid w:val="000F26F6"/>
    <w:rsid w:val="000F2A0D"/>
    <w:rsid w:val="000F2C6E"/>
    <w:rsid w:val="000F2E4D"/>
    <w:rsid w:val="000F3142"/>
    <w:rsid w:val="000F4AB2"/>
    <w:rsid w:val="000F4FC5"/>
    <w:rsid w:val="000F58B1"/>
    <w:rsid w:val="000F5A6D"/>
    <w:rsid w:val="000F638F"/>
    <w:rsid w:val="000F6557"/>
    <w:rsid w:val="000F6587"/>
    <w:rsid w:val="000F65C8"/>
    <w:rsid w:val="000F65E4"/>
    <w:rsid w:val="000F7220"/>
    <w:rsid w:val="000F7254"/>
    <w:rsid w:val="000F728A"/>
    <w:rsid w:val="000F744A"/>
    <w:rsid w:val="000F74FF"/>
    <w:rsid w:val="000F7B17"/>
    <w:rsid w:val="000F7B65"/>
    <w:rsid w:val="000F7D55"/>
    <w:rsid w:val="0010083D"/>
    <w:rsid w:val="0010123B"/>
    <w:rsid w:val="00101A81"/>
    <w:rsid w:val="00101EB3"/>
    <w:rsid w:val="0010206C"/>
    <w:rsid w:val="00102C89"/>
    <w:rsid w:val="00102E07"/>
    <w:rsid w:val="0010342B"/>
    <w:rsid w:val="0010361E"/>
    <w:rsid w:val="00104DC8"/>
    <w:rsid w:val="00104EB1"/>
    <w:rsid w:val="00105A3E"/>
    <w:rsid w:val="00105DB7"/>
    <w:rsid w:val="0010686C"/>
    <w:rsid w:val="00106CC1"/>
    <w:rsid w:val="00106F42"/>
    <w:rsid w:val="001070CE"/>
    <w:rsid w:val="001108DD"/>
    <w:rsid w:val="00110A5A"/>
    <w:rsid w:val="001111B7"/>
    <w:rsid w:val="00111269"/>
    <w:rsid w:val="0011131F"/>
    <w:rsid w:val="0011165C"/>
    <w:rsid w:val="00111E55"/>
    <w:rsid w:val="001129C2"/>
    <w:rsid w:val="00113131"/>
    <w:rsid w:val="00113676"/>
    <w:rsid w:val="00115435"/>
    <w:rsid w:val="00115FD1"/>
    <w:rsid w:val="0011715A"/>
    <w:rsid w:val="0011751D"/>
    <w:rsid w:val="00117A6B"/>
    <w:rsid w:val="00117E5E"/>
    <w:rsid w:val="00120243"/>
    <w:rsid w:val="00120589"/>
    <w:rsid w:val="00121ABB"/>
    <w:rsid w:val="00121B85"/>
    <w:rsid w:val="00122658"/>
    <w:rsid w:val="00122660"/>
    <w:rsid w:val="00122827"/>
    <w:rsid w:val="00122CB8"/>
    <w:rsid w:val="00123EDD"/>
    <w:rsid w:val="001241A4"/>
    <w:rsid w:val="00124A94"/>
    <w:rsid w:val="00124B07"/>
    <w:rsid w:val="00125537"/>
    <w:rsid w:val="001255ED"/>
    <w:rsid w:val="00125926"/>
    <w:rsid w:val="001259B5"/>
    <w:rsid w:val="00125FD2"/>
    <w:rsid w:val="00126126"/>
    <w:rsid w:val="00127404"/>
    <w:rsid w:val="0012794B"/>
    <w:rsid w:val="00127DCC"/>
    <w:rsid w:val="001301E0"/>
    <w:rsid w:val="00130752"/>
    <w:rsid w:val="00130F30"/>
    <w:rsid w:val="00131787"/>
    <w:rsid w:val="001332ED"/>
    <w:rsid w:val="00133489"/>
    <w:rsid w:val="001338F5"/>
    <w:rsid w:val="00133C8F"/>
    <w:rsid w:val="00134578"/>
    <w:rsid w:val="0013465F"/>
    <w:rsid w:val="00134AC0"/>
    <w:rsid w:val="00134DC0"/>
    <w:rsid w:val="00134F6F"/>
    <w:rsid w:val="001350AE"/>
    <w:rsid w:val="00135332"/>
    <w:rsid w:val="00135586"/>
    <w:rsid w:val="001358DE"/>
    <w:rsid w:val="00135EAD"/>
    <w:rsid w:val="00135FA9"/>
    <w:rsid w:val="00136955"/>
    <w:rsid w:val="00136A52"/>
    <w:rsid w:val="00136C1E"/>
    <w:rsid w:val="00136E31"/>
    <w:rsid w:val="00136F5B"/>
    <w:rsid w:val="001372CB"/>
    <w:rsid w:val="0013731B"/>
    <w:rsid w:val="00140AEC"/>
    <w:rsid w:val="00140BCD"/>
    <w:rsid w:val="00140C4B"/>
    <w:rsid w:val="00140CAF"/>
    <w:rsid w:val="0014110C"/>
    <w:rsid w:val="001414D8"/>
    <w:rsid w:val="00141622"/>
    <w:rsid w:val="001418FF"/>
    <w:rsid w:val="00141977"/>
    <w:rsid w:val="00142560"/>
    <w:rsid w:val="001426CE"/>
    <w:rsid w:val="00142BB9"/>
    <w:rsid w:val="00142CEA"/>
    <w:rsid w:val="001431D7"/>
    <w:rsid w:val="00143424"/>
    <w:rsid w:val="00143B7D"/>
    <w:rsid w:val="00143BA7"/>
    <w:rsid w:val="00144A7B"/>
    <w:rsid w:val="0014561A"/>
    <w:rsid w:val="00145731"/>
    <w:rsid w:val="0014614B"/>
    <w:rsid w:val="0014645E"/>
    <w:rsid w:val="00147049"/>
    <w:rsid w:val="001472B1"/>
    <w:rsid w:val="001473C2"/>
    <w:rsid w:val="00147413"/>
    <w:rsid w:val="001475A6"/>
    <w:rsid w:val="001477A1"/>
    <w:rsid w:val="001477AD"/>
    <w:rsid w:val="00147835"/>
    <w:rsid w:val="00147EA2"/>
    <w:rsid w:val="00150170"/>
    <w:rsid w:val="00150436"/>
    <w:rsid w:val="001506FF"/>
    <w:rsid w:val="00150750"/>
    <w:rsid w:val="0015095D"/>
    <w:rsid w:val="00151293"/>
    <w:rsid w:val="001527D5"/>
    <w:rsid w:val="00153731"/>
    <w:rsid w:val="00153B42"/>
    <w:rsid w:val="00154098"/>
    <w:rsid w:val="00154105"/>
    <w:rsid w:val="00154349"/>
    <w:rsid w:val="00154FCD"/>
    <w:rsid w:val="00155531"/>
    <w:rsid w:val="001558C8"/>
    <w:rsid w:val="00155D49"/>
    <w:rsid w:val="0015661F"/>
    <w:rsid w:val="00156649"/>
    <w:rsid w:val="001568E7"/>
    <w:rsid w:val="001571C1"/>
    <w:rsid w:val="001603DE"/>
    <w:rsid w:val="00160A79"/>
    <w:rsid w:val="001622E4"/>
    <w:rsid w:val="00162334"/>
    <w:rsid w:val="00162553"/>
    <w:rsid w:val="001630C9"/>
    <w:rsid w:val="0016330F"/>
    <w:rsid w:val="001638D1"/>
    <w:rsid w:val="001639C0"/>
    <w:rsid w:val="00163DAD"/>
    <w:rsid w:val="001656C4"/>
    <w:rsid w:val="00165B74"/>
    <w:rsid w:val="00166211"/>
    <w:rsid w:val="001662DA"/>
    <w:rsid w:val="001664D0"/>
    <w:rsid w:val="00166C32"/>
    <w:rsid w:val="00167D1E"/>
    <w:rsid w:val="00170406"/>
    <w:rsid w:val="0017086B"/>
    <w:rsid w:val="001708E0"/>
    <w:rsid w:val="001717DC"/>
    <w:rsid w:val="0017189C"/>
    <w:rsid w:val="00171A11"/>
    <w:rsid w:val="00172196"/>
    <w:rsid w:val="001727D1"/>
    <w:rsid w:val="00172C66"/>
    <w:rsid w:val="001736BD"/>
    <w:rsid w:val="00173E18"/>
    <w:rsid w:val="00174720"/>
    <w:rsid w:val="0017474C"/>
    <w:rsid w:val="00174CCE"/>
    <w:rsid w:val="00174F7F"/>
    <w:rsid w:val="0017526C"/>
    <w:rsid w:val="001753E0"/>
    <w:rsid w:val="00175B3B"/>
    <w:rsid w:val="00175EC3"/>
    <w:rsid w:val="001769B2"/>
    <w:rsid w:val="00176B4F"/>
    <w:rsid w:val="00177FDB"/>
    <w:rsid w:val="001800C2"/>
    <w:rsid w:val="001801D2"/>
    <w:rsid w:val="0018059A"/>
    <w:rsid w:val="00180C70"/>
    <w:rsid w:val="00180DD2"/>
    <w:rsid w:val="0018143B"/>
    <w:rsid w:val="00181471"/>
    <w:rsid w:val="00181A61"/>
    <w:rsid w:val="00182529"/>
    <w:rsid w:val="001828EC"/>
    <w:rsid w:val="00182CDC"/>
    <w:rsid w:val="00182DF8"/>
    <w:rsid w:val="00182EDE"/>
    <w:rsid w:val="00183653"/>
    <w:rsid w:val="0018381D"/>
    <w:rsid w:val="001840BB"/>
    <w:rsid w:val="001848F5"/>
    <w:rsid w:val="00184CE8"/>
    <w:rsid w:val="001854F8"/>
    <w:rsid w:val="00185BD1"/>
    <w:rsid w:val="00185E18"/>
    <w:rsid w:val="001863BC"/>
    <w:rsid w:val="001873D2"/>
    <w:rsid w:val="001877B7"/>
    <w:rsid w:val="0019012B"/>
    <w:rsid w:val="00190409"/>
    <w:rsid w:val="0019093F"/>
    <w:rsid w:val="001912D9"/>
    <w:rsid w:val="00191510"/>
    <w:rsid w:val="00191EE1"/>
    <w:rsid w:val="001921D1"/>
    <w:rsid w:val="001934B8"/>
    <w:rsid w:val="0019374A"/>
    <w:rsid w:val="00193864"/>
    <w:rsid w:val="00193B85"/>
    <w:rsid w:val="00193BA8"/>
    <w:rsid w:val="0019400D"/>
    <w:rsid w:val="00194138"/>
    <w:rsid w:val="00194630"/>
    <w:rsid w:val="00194A02"/>
    <w:rsid w:val="00196126"/>
    <w:rsid w:val="0019647C"/>
    <w:rsid w:val="001964BD"/>
    <w:rsid w:val="00196721"/>
    <w:rsid w:val="001967D2"/>
    <w:rsid w:val="00196D43"/>
    <w:rsid w:val="00197427"/>
    <w:rsid w:val="0019742C"/>
    <w:rsid w:val="001976AB"/>
    <w:rsid w:val="00197B47"/>
    <w:rsid w:val="001A0FAB"/>
    <w:rsid w:val="001A1A88"/>
    <w:rsid w:val="001A1DDF"/>
    <w:rsid w:val="001A20D2"/>
    <w:rsid w:val="001A2FD2"/>
    <w:rsid w:val="001A3894"/>
    <w:rsid w:val="001A3CB4"/>
    <w:rsid w:val="001A3E15"/>
    <w:rsid w:val="001A3FB8"/>
    <w:rsid w:val="001A42C3"/>
    <w:rsid w:val="001A51A6"/>
    <w:rsid w:val="001A5DCF"/>
    <w:rsid w:val="001A64A6"/>
    <w:rsid w:val="001A662E"/>
    <w:rsid w:val="001A69A0"/>
    <w:rsid w:val="001A6D3F"/>
    <w:rsid w:val="001A6E73"/>
    <w:rsid w:val="001A77C4"/>
    <w:rsid w:val="001A7BB0"/>
    <w:rsid w:val="001A7BF1"/>
    <w:rsid w:val="001A7E35"/>
    <w:rsid w:val="001A7E79"/>
    <w:rsid w:val="001B0255"/>
    <w:rsid w:val="001B0CBB"/>
    <w:rsid w:val="001B17AC"/>
    <w:rsid w:val="001B28EA"/>
    <w:rsid w:val="001B2909"/>
    <w:rsid w:val="001B2B8A"/>
    <w:rsid w:val="001B2D3B"/>
    <w:rsid w:val="001B2DE2"/>
    <w:rsid w:val="001B3253"/>
    <w:rsid w:val="001B327D"/>
    <w:rsid w:val="001B4B3C"/>
    <w:rsid w:val="001B4F66"/>
    <w:rsid w:val="001B5348"/>
    <w:rsid w:val="001B535E"/>
    <w:rsid w:val="001B5484"/>
    <w:rsid w:val="001B5552"/>
    <w:rsid w:val="001B5D5B"/>
    <w:rsid w:val="001B690C"/>
    <w:rsid w:val="001B6A15"/>
    <w:rsid w:val="001B6C27"/>
    <w:rsid w:val="001B742A"/>
    <w:rsid w:val="001B752B"/>
    <w:rsid w:val="001C00CA"/>
    <w:rsid w:val="001C0871"/>
    <w:rsid w:val="001C0A2A"/>
    <w:rsid w:val="001C0CC2"/>
    <w:rsid w:val="001C10B4"/>
    <w:rsid w:val="001C1B6D"/>
    <w:rsid w:val="001C1BE0"/>
    <w:rsid w:val="001C2756"/>
    <w:rsid w:val="001C2A91"/>
    <w:rsid w:val="001C2CC7"/>
    <w:rsid w:val="001C2E5C"/>
    <w:rsid w:val="001C3306"/>
    <w:rsid w:val="001C3D84"/>
    <w:rsid w:val="001C3ED4"/>
    <w:rsid w:val="001C3F00"/>
    <w:rsid w:val="001C41F4"/>
    <w:rsid w:val="001C4727"/>
    <w:rsid w:val="001C48CB"/>
    <w:rsid w:val="001C4B50"/>
    <w:rsid w:val="001C4D8D"/>
    <w:rsid w:val="001C515D"/>
    <w:rsid w:val="001C59F0"/>
    <w:rsid w:val="001C6C0B"/>
    <w:rsid w:val="001C6D56"/>
    <w:rsid w:val="001C6DC0"/>
    <w:rsid w:val="001C77C1"/>
    <w:rsid w:val="001D018B"/>
    <w:rsid w:val="001D1F65"/>
    <w:rsid w:val="001D22AF"/>
    <w:rsid w:val="001D235E"/>
    <w:rsid w:val="001D2AB1"/>
    <w:rsid w:val="001D3AD3"/>
    <w:rsid w:val="001D3C38"/>
    <w:rsid w:val="001D4062"/>
    <w:rsid w:val="001D4A2E"/>
    <w:rsid w:val="001D4BB4"/>
    <w:rsid w:val="001D4C1A"/>
    <w:rsid w:val="001D4D8D"/>
    <w:rsid w:val="001D508C"/>
    <w:rsid w:val="001D5118"/>
    <w:rsid w:val="001D5C35"/>
    <w:rsid w:val="001D5E27"/>
    <w:rsid w:val="001D5FBC"/>
    <w:rsid w:val="001D61C7"/>
    <w:rsid w:val="001D68F7"/>
    <w:rsid w:val="001D6917"/>
    <w:rsid w:val="001D6D06"/>
    <w:rsid w:val="001D6E4A"/>
    <w:rsid w:val="001D7055"/>
    <w:rsid w:val="001D7186"/>
    <w:rsid w:val="001D77F9"/>
    <w:rsid w:val="001D7859"/>
    <w:rsid w:val="001D7965"/>
    <w:rsid w:val="001D79E7"/>
    <w:rsid w:val="001D7E6F"/>
    <w:rsid w:val="001E08A8"/>
    <w:rsid w:val="001E1945"/>
    <w:rsid w:val="001E1A06"/>
    <w:rsid w:val="001E1A3B"/>
    <w:rsid w:val="001E249E"/>
    <w:rsid w:val="001E25A5"/>
    <w:rsid w:val="001E26B0"/>
    <w:rsid w:val="001E284C"/>
    <w:rsid w:val="001E3F86"/>
    <w:rsid w:val="001E3FC4"/>
    <w:rsid w:val="001E4270"/>
    <w:rsid w:val="001E4AAA"/>
    <w:rsid w:val="001E4F43"/>
    <w:rsid w:val="001E56B1"/>
    <w:rsid w:val="001E5C0F"/>
    <w:rsid w:val="001E5D68"/>
    <w:rsid w:val="001E613D"/>
    <w:rsid w:val="001E6B33"/>
    <w:rsid w:val="001E7285"/>
    <w:rsid w:val="001F0749"/>
    <w:rsid w:val="001F099D"/>
    <w:rsid w:val="001F126B"/>
    <w:rsid w:val="001F144E"/>
    <w:rsid w:val="001F179D"/>
    <w:rsid w:val="001F2637"/>
    <w:rsid w:val="001F2FEA"/>
    <w:rsid w:val="001F336E"/>
    <w:rsid w:val="001F3E52"/>
    <w:rsid w:val="001F42A0"/>
    <w:rsid w:val="001F448B"/>
    <w:rsid w:val="001F46AE"/>
    <w:rsid w:val="001F4888"/>
    <w:rsid w:val="001F4C4F"/>
    <w:rsid w:val="001F56D4"/>
    <w:rsid w:val="001F5985"/>
    <w:rsid w:val="001F5F76"/>
    <w:rsid w:val="001F657D"/>
    <w:rsid w:val="001F7A0D"/>
    <w:rsid w:val="001F7AE1"/>
    <w:rsid w:val="002007FA"/>
    <w:rsid w:val="002008AA"/>
    <w:rsid w:val="00200CD1"/>
    <w:rsid w:val="0020277A"/>
    <w:rsid w:val="00203073"/>
    <w:rsid w:val="00203C35"/>
    <w:rsid w:val="0020410D"/>
    <w:rsid w:val="0020467D"/>
    <w:rsid w:val="00204945"/>
    <w:rsid w:val="00204CC7"/>
    <w:rsid w:val="00204F8E"/>
    <w:rsid w:val="002051E7"/>
    <w:rsid w:val="00205861"/>
    <w:rsid w:val="00205CFC"/>
    <w:rsid w:val="00206190"/>
    <w:rsid w:val="00206305"/>
    <w:rsid w:val="00206F96"/>
    <w:rsid w:val="00207C18"/>
    <w:rsid w:val="00210BD7"/>
    <w:rsid w:val="00211424"/>
    <w:rsid w:val="002115ED"/>
    <w:rsid w:val="0021203D"/>
    <w:rsid w:val="002139AF"/>
    <w:rsid w:val="00213A47"/>
    <w:rsid w:val="00214405"/>
    <w:rsid w:val="0021476A"/>
    <w:rsid w:val="00214771"/>
    <w:rsid w:val="002151A4"/>
    <w:rsid w:val="002151EE"/>
    <w:rsid w:val="0021547C"/>
    <w:rsid w:val="002157CE"/>
    <w:rsid w:val="00215C30"/>
    <w:rsid w:val="00216405"/>
    <w:rsid w:val="002167C7"/>
    <w:rsid w:val="00217C4D"/>
    <w:rsid w:val="00217DE9"/>
    <w:rsid w:val="0022046C"/>
    <w:rsid w:val="0022066A"/>
    <w:rsid w:val="00220FC7"/>
    <w:rsid w:val="00221E1C"/>
    <w:rsid w:val="00222177"/>
    <w:rsid w:val="0022233C"/>
    <w:rsid w:val="00222451"/>
    <w:rsid w:val="0022276C"/>
    <w:rsid w:val="002234A0"/>
    <w:rsid w:val="002239FD"/>
    <w:rsid w:val="00224B61"/>
    <w:rsid w:val="00224E92"/>
    <w:rsid w:val="00225852"/>
    <w:rsid w:val="002259A0"/>
    <w:rsid w:val="00225C79"/>
    <w:rsid w:val="00226CBD"/>
    <w:rsid w:val="002270C6"/>
    <w:rsid w:val="002271D6"/>
    <w:rsid w:val="00227606"/>
    <w:rsid w:val="00227821"/>
    <w:rsid w:val="0022786D"/>
    <w:rsid w:val="0023142E"/>
    <w:rsid w:val="00231620"/>
    <w:rsid w:val="00231874"/>
    <w:rsid w:val="00231BB1"/>
    <w:rsid w:val="00232461"/>
    <w:rsid w:val="00232728"/>
    <w:rsid w:val="00232F56"/>
    <w:rsid w:val="0023311C"/>
    <w:rsid w:val="002334D1"/>
    <w:rsid w:val="00233F2E"/>
    <w:rsid w:val="0023469D"/>
    <w:rsid w:val="00234BBB"/>
    <w:rsid w:val="00235AD9"/>
    <w:rsid w:val="00235F49"/>
    <w:rsid w:val="00236365"/>
    <w:rsid w:val="0023647D"/>
    <w:rsid w:val="00237D70"/>
    <w:rsid w:val="002401CA"/>
    <w:rsid w:val="002407C4"/>
    <w:rsid w:val="002413B4"/>
    <w:rsid w:val="00241CFC"/>
    <w:rsid w:val="002421BA"/>
    <w:rsid w:val="0024258F"/>
    <w:rsid w:val="00242604"/>
    <w:rsid w:val="00242A86"/>
    <w:rsid w:val="00242F1D"/>
    <w:rsid w:val="00243626"/>
    <w:rsid w:val="00243868"/>
    <w:rsid w:val="002438C1"/>
    <w:rsid w:val="00243A2E"/>
    <w:rsid w:val="00243CD6"/>
    <w:rsid w:val="0024400A"/>
    <w:rsid w:val="00244261"/>
    <w:rsid w:val="00244590"/>
    <w:rsid w:val="00244993"/>
    <w:rsid w:val="00245156"/>
    <w:rsid w:val="00245C50"/>
    <w:rsid w:val="00245E1A"/>
    <w:rsid w:val="002460E1"/>
    <w:rsid w:val="00246542"/>
    <w:rsid w:val="00246B23"/>
    <w:rsid w:val="00247086"/>
    <w:rsid w:val="00247456"/>
    <w:rsid w:val="00247926"/>
    <w:rsid w:val="00251011"/>
    <w:rsid w:val="00251275"/>
    <w:rsid w:val="00251282"/>
    <w:rsid w:val="0025129B"/>
    <w:rsid w:val="00252032"/>
    <w:rsid w:val="002521AC"/>
    <w:rsid w:val="002527B6"/>
    <w:rsid w:val="00252E20"/>
    <w:rsid w:val="00252E30"/>
    <w:rsid w:val="00252E7B"/>
    <w:rsid w:val="00253B83"/>
    <w:rsid w:val="00253C1E"/>
    <w:rsid w:val="002542FA"/>
    <w:rsid w:val="00254497"/>
    <w:rsid w:val="00254C59"/>
    <w:rsid w:val="002559EA"/>
    <w:rsid w:val="00255B3F"/>
    <w:rsid w:val="00255C16"/>
    <w:rsid w:val="00255D07"/>
    <w:rsid w:val="00256265"/>
    <w:rsid w:val="00256BD2"/>
    <w:rsid w:val="002573A7"/>
    <w:rsid w:val="0025794C"/>
    <w:rsid w:val="002605F9"/>
    <w:rsid w:val="0026126D"/>
    <w:rsid w:val="002615FB"/>
    <w:rsid w:val="0026164B"/>
    <w:rsid w:val="00261F7D"/>
    <w:rsid w:val="00262421"/>
    <w:rsid w:val="00262766"/>
    <w:rsid w:val="00262B9D"/>
    <w:rsid w:val="00262D41"/>
    <w:rsid w:val="00263203"/>
    <w:rsid w:val="002633D9"/>
    <w:rsid w:val="002635A8"/>
    <w:rsid w:val="002637DC"/>
    <w:rsid w:val="002637F3"/>
    <w:rsid w:val="00263B8B"/>
    <w:rsid w:val="00263E48"/>
    <w:rsid w:val="00264321"/>
    <w:rsid w:val="0026437A"/>
    <w:rsid w:val="0026462E"/>
    <w:rsid w:val="002647DE"/>
    <w:rsid w:val="00264AFB"/>
    <w:rsid w:val="00264DB6"/>
    <w:rsid w:val="00265048"/>
    <w:rsid w:val="00265307"/>
    <w:rsid w:val="00265A3E"/>
    <w:rsid w:val="00265CB8"/>
    <w:rsid w:val="00266762"/>
    <w:rsid w:val="0026686B"/>
    <w:rsid w:val="00266A33"/>
    <w:rsid w:val="00266AD3"/>
    <w:rsid w:val="00266E03"/>
    <w:rsid w:val="0026797E"/>
    <w:rsid w:val="00267B0E"/>
    <w:rsid w:val="00270750"/>
    <w:rsid w:val="00270C8D"/>
    <w:rsid w:val="00270DC7"/>
    <w:rsid w:val="002715B5"/>
    <w:rsid w:val="002715FE"/>
    <w:rsid w:val="00271F18"/>
    <w:rsid w:val="00272CA7"/>
    <w:rsid w:val="00273768"/>
    <w:rsid w:val="0027389E"/>
    <w:rsid w:val="00274610"/>
    <w:rsid w:val="00274D7B"/>
    <w:rsid w:val="00275034"/>
    <w:rsid w:val="00275194"/>
    <w:rsid w:val="002754B0"/>
    <w:rsid w:val="00275882"/>
    <w:rsid w:val="00276256"/>
    <w:rsid w:val="00277820"/>
    <w:rsid w:val="00277A07"/>
    <w:rsid w:val="00277D06"/>
    <w:rsid w:val="00280413"/>
    <w:rsid w:val="00280E5D"/>
    <w:rsid w:val="00280F6F"/>
    <w:rsid w:val="0028186F"/>
    <w:rsid w:val="0028200A"/>
    <w:rsid w:val="002821E6"/>
    <w:rsid w:val="00282819"/>
    <w:rsid w:val="002836CC"/>
    <w:rsid w:val="0028372C"/>
    <w:rsid w:val="00283E25"/>
    <w:rsid w:val="002841EF"/>
    <w:rsid w:val="0028570C"/>
    <w:rsid w:val="00285ACF"/>
    <w:rsid w:val="0028667D"/>
    <w:rsid w:val="00287455"/>
    <w:rsid w:val="00287498"/>
    <w:rsid w:val="00290988"/>
    <w:rsid w:val="00290A30"/>
    <w:rsid w:val="00290C45"/>
    <w:rsid w:val="00290D94"/>
    <w:rsid w:val="00291791"/>
    <w:rsid w:val="00291E7E"/>
    <w:rsid w:val="002927D0"/>
    <w:rsid w:val="0029285E"/>
    <w:rsid w:val="00292987"/>
    <w:rsid w:val="00292EAD"/>
    <w:rsid w:val="00295FAA"/>
    <w:rsid w:val="002960D5"/>
    <w:rsid w:val="002965CB"/>
    <w:rsid w:val="00296A8D"/>
    <w:rsid w:val="00296BFD"/>
    <w:rsid w:val="0029709C"/>
    <w:rsid w:val="00297B39"/>
    <w:rsid w:val="00297C75"/>
    <w:rsid w:val="002A03DF"/>
    <w:rsid w:val="002A070B"/>
    <w:rsid w:val="002A12E2"/>
    <w:rsid w:val="002A1629"/>
    <w:rsid w:val="002A1DC4"/>
    <w:rsid w:val="002A1F80"/>
    <w:rsid w:val="002A312E"/>
    <w:rsid w:val="002A32BB"/>
    <w:rsid w:val="002A33A1"/>
    <w:rsid w:val="002A38CD"/>
    <w:rsid w:val="002A3E44"/>
    <w:rsid w:val="002A3F5A"/>
    <w:rsid w:val="002A3FC6"/>
    <w:rsid w:val="002A40FD"/>
    <w:rsid w:val="002A4283"/>
    <w:rsid w:val="002A467A"/>
    <w:rsid w:val="002A4EC1"/>
    <w:rsid w:val="002A4EE3"/>
    <w:rsid w:val="002A54F3"/>
    <w:rsid w:val="002A5825"/>
    <w:rsid w:val="002A5887"/>
    <w:rsid w:val="002A594E"/>
    <w:rsid w:val="002A6527"/>
    <w:rsid w:val="002A6751"/>
    <w:rsid w:val="002A6A5E"/>
    <w:rsid w:val="002A780C"/>
    <w:rsid w:val="002A7BEC"/>
    <w:rsid w:val="002A7DC6"/>
    <w:rsid w:val="002B0025"/>
    <w:rsid w:val="002B09D7"/>
    <w:rsid w:val="002B0E01"/>
    <w:rsid w:val="002B1564"/>
    <w:rsid w:val="002B17F9"/>
    <w:rsid w:val="002B1AEA"/>
    <w:rsid w:val="002B2AFB"/>
    <w:rsid w:val="002B3041"/>
    <w:rsid w:val="002B32B6"/>
    <w:rsid w:val="002B32CC"/>
    <w:rsid w:val="002B33F6"/>
    <w:rsid w:val="002B3483"/>
    <w:rsid w:val="002B41F0"/>
    <w:rsid w:val="002B47CA"/>
    <w:rsid w:val="002B4A07"/>
    <w:rsid w:val="002B4C9D"/>
    <w:rsid w:val="002B5C93"/>
    <w:rsid w:val="002B779B"/>
    <w:rsid w:val="002B7CA2"/>
    <w:rsid w:val="002C0009"/>
    <w:rsid w:val="002C01BA"/>
    <w:rsid w:val="002C0C95"/>
    <w:rsid w:val="002C29CB"/>
    <w:rsid w:val="002C3263"/>
    <w:rsid w:val="002C3B34"/>
    <w:rsid w:val="002C3D2F"/>
    <w:rsid w:val="002C3F0B"/>
    <w:rsid w:val="002C486A"/>
    <w:rsid w:val="002C4EB3"/>
    <w:rsid w:val="002C4ED1"/>
    <w:rsid w:val="002C50D6"/>
    <w:rsid w:val="002C7DA2"/>
    <w:rsid w:val="002D04AA"/>
    <w:rsid w:val="002D04D3"/>
    <w:rsid w:val="002D07EC"/>
    <w:rsid w:val="002D172C"/>
    <w:rsid w:val="002D222B"/>
    <w:rsid w:val="002D2302"/>
    <w:rsid w:val="002D2DB5"/>
    <w:rsid w:val="002D2FC5"/>
    <w:rsid w:val="002D32D3"/>
    <w:rsid w:val="002D35CC"/>
    <w:rsid w:val="002D3608"/>
    <w:rsid w:val="002D3CC0"/>
    <w:rsid w:val="002D425C"/>
    <w:rsid w:val="002D50D1"/>
    <w:rsid w:val="002D514A"/>
    <w:rsid w:val="002D55C4"/>
    <w:rsid w:val="002D6D4F"/>
    <w:rsid w:val="002D7384"/>
    <w:rsid w:val="002D77B8"/>
    <w:rsid w:val="002D7BD0"/>
    <w:rsid w:val="002D7EAC"/>
    <w:rsid w:val="002E07F3"/>
    <w:rsid w:val="002E0FA2"/>
    <w:rsid w:val="002E127F"/>
    <w:rsid w:val="002E1444"/>
    <w:rsid w:val="002E1B39"/>
    <w:rsid w:val="002E2358"/>
    <w:rsid w:val="002E3136"/>
    <w:rsid w:val="002E342D"/>
    <w:rsid w:val="002E38A6"/>
    <w:rsid w:val="002E3977"/>
    <w:rsid w:val="002E4598"/>
    <w:rsid w:val="002E4DC4"/>
    <w:rsid w:val="002E58B6"/>
    <w:rsid w:val="002E596B"/>
    <w:rsid w:val="002E63CB"/>
    <w:rsid w:val="002E6F9D"/>
    <w:rsid w:val="002E748A"/>
    <w:rsid w:val="002E75FB"/>
    <w:rsid w:val="002E7BA7"/>
    <w:rsid w:val="002E7F8E"/>
    <w:rsid w:val="002F087B"/>
    <w:rsid w:val="002F1D32"/>
    <w:rsid w:val="002F224B"/>
    <w:rsid w:val="002F2466"/>
    <w:rsid w:val="002F3AFA"/>
    <w:rsid w:val="002F3CB9"/>
    <w:rsid w:val="002F4576"/>
    <w:rsid w:val="002F48F1"/>
    <w:rsid w:val="002F4F9F"/>
    <w:rsid w:val="002F56B3"/>
    <w:rsid w:val="002F5B6B"/>
    <w:rsid w:val="002F5C50"/>
    <w:rsid w:val="002F5C77"/>
    <w:rsid w:val="002F60CF"/>
    <w:rsid w:val="002F63F3"/>
    <w:rsid w:val="002F67B0"/>
    <w:rsid w:val="002F6CE8"/>
    <w:rsid w:val="002F6F98"/>
    <w:rsid w:val="002F7740"/>
    <w:rsid w:val="002F79C2"/>
    <w:rsid w:val="002F7A9A"/>
    <w:rsid w:val="003006C0"/>
    <w:rsid w:val="003009DB"/>
    <w:rsid w:val="00300B4F"/>
    <w:rsid w:val="00300C4E"/>
    <w:rsid w:val="003015E1"/>
    <w:rsid w:val="00301EE2"/>
    <w:rsid w:val="003021C5"/>
    <w:rsid w:val="0030231C"/>
    <w:rsid w:val="003027DF"/>
    <w:rsid w:val="00302E03"/>
    <w:rsid w:val="003035F3"/>
    <w:rsid w:val="003038CC"/>
    <w:rsid w:val="00303BA5"/>
    <w:rsid w:val="00304072"/>
    <w:rsid w:val="0030422F"/>
    <w:rsid w:val="00304A06"/>
    <w:rsid w:val="00304D49"/>
    <w:rsid w:val="00304FA9"/>
    <w:rsid w:val="003050FC"/>
    <w:rsid w:val="00305940"/>
    <w:rsid w:val="00305DF5"/>
    <w:rsid w:val="00306196"/>
    <w:rsid w:val="00306268"/>
    <w:rsid w:val="00306398"/>
    <w:rsid w:val="003069B4"/>
    <w:rsid w:val="00306B73"/>
    <w:rsid w:val="00307538"/>
    <w:rsid w:val="00307E89"/>
    <w:rsid w:val="00310CA9"/>
    <w:rsid w:val="0031139C"/>
    <w:rsid w:val="00311789"/>
    <w:rsid w:val="00311B77"/>
    <w:rsid w:val="003125CF"/>
    <w:rsid w:val="00312DC5"/>
    <w:rsid w:val="00314074"/>
    <w:rsid w:val="003147CA"/>
    <w:rsid w:val="00315BCB"/>
    <w:rsid w:val="0031601C"/>
    <w:rsid w:val="003162A2"/>
    <w:rsid w:val="00316AFB"/>
    <w:rsid w:val="00316B26"/>
    <w:rsid w:val="00316B52"/>
    <w:rsid w:val="00316C79"/>
    <w:rsid w:val="003175AA"/>
    <w:rsid w:val="00320229"/>
    <w:rsid w:val="00320A6C"/>
    <w:rsid w:val="00320D61"/>
    <w:rsid w:val="00320EFB"/>
    <w:rsid w:val="003211DE"/>
    <w:rsid w:val="00321967"/>
    <w:rsid w:val="003228B9"/>
    <w:rsid w:val="00322E19"/>
    <w:rsid w:val="00323797"/>
    <w:rsid w:val="003237AF"/>
    <w:rsid w:val="003239DD"/>
    <w:rsid w:val="00323D2D"/>
    <w:rsid w:val="00324E32"/>
    <w:rsid w:val="0032543F"/>
    <w:rsid w:val="003255CA"/>
    <w:rsid w:val="003257F6"/>
    <w:rsid w:val="00325A53"/>
    <w:rsid w:val="00325B2F"/>
    <w:rsid w:val="00326136"/>
    <w:rsid w:val="003267B5"/>
    <w:rsid w:val="00326861"/>
    <w:rsid w:val="00326891"/>
    <w:rsid w:val="00326BD6"/>
    <w:rsid w:val="0032742F"/>
    <w:rsid w:val="00330C32"/>
    <w:rsid w:val="00330EC4"/>
    <w:rsid w:val="003310F8"/>
    <w:rsid w:val="00331135"/>
    <w:rsid w:val="00331404"/>
    <w:rsid w:val="00331D2E"/>
    <w:rsid w:val="00333042"/>
    <w:rsid w:val="00333564"/>
    <w:rsid w:val="003336C1"/>
    <w:rsid w:val="003338F0"/>
    <w:rsid w:val="00334C12"/>
    <w:rsid w:val="00335224"/>
    <w:rsid w:val="0033537B"/>
    <w:rsid w:val="00337AF4"/>
    <w:rsid w:val="0034028B"/>
    <w:rsid w:val="00340301"/>
    <w:rsid w:val="00340FE5"/>
    <w:rsid w:val="00342491"/>
    <w:rsid w:val="00342843"/>
    <w:rsid w:val="00342A08"/>
    <w:rsid w:val="00342F30"/>
    <w:rsid w:val="003430BE"/>
    <w:rsid w:val="00343930"/>
    <w:rsid w:val="00343ECC"/>
    <w:rsid w:val="00344C07"/>
    <w:rsid w:val="00344DC4"/>
    <w:rsid w:val="003450C1"/>
    <w:rsid w:val="003453F4"/>
    <w:rsid w:val="003457F6"/>
    <w:rsid w:val="00345967"/>
    <w:rsid w:val="00345BD1"/>
    <w:rsid w:val="00345EB9"/>
    <w:rsid w:val="00346000"/>
    <w:rsid w:val="0034608B"/>
    <w:rsid w:val="00346F69"/>
    <w:rsid w:val="00350932"/>
    <w:rsid w:val="00350C50"/>
    <w:rsid w:val="00350E28"/>
    <w:rsid w:val="0035153B"/>
    <w:rsid w:val="003525D5"/>
    <w:rsid w:val="003530C9"/>
    <w:rsid w:val="003530CA"/>
    <w:rsid w:val="00353551"/>
    <w:rsid w:val="00353DAF"/>
    <w:rsid w:val="00353E33"/>
    <w:rsid w:val="00354560"/>
    <w:rsid w:val="00354D2D"/>
    <w:rsid w:val="003555EC"/>
    <w:rsid w:val="00356110"/>
    <w:rsid w:val="00356123"/>
    <w:rsid w:val="003565BC"/>
    <w:rsid w:val="003565D7"/>
    <w:rsid w:val="003566A5"/>
    <w:rsid w:val="00356FDB"/>
    <w:rsid w:val="00357079"/>
    <w:rsid w:val="0035747E"/>
    <w:rsid w:val="00357566"/>
    <w:rsid w:val="0036117A"/>
    <w:rsid w:val="0036118A"/>
    <w:rsid w:val="00361800"/>
    <w:rsid w:val="00361AF0"/>
    <w:rsid w:val="00361CC3"/>
    <w:rsid w:val="00362728"/>
    <w:rsid w:val="00363F68"/>
    <w:rsid w:val="00364219"/>
    <w:rsid w:val="003652F7"/>
    <w:rsid w:val="0036543D"/>
    <w:rsid w:val="00366563"/>
    <w:rsid w:val="00366633"/>
    <w:rsid w:val="0036763D"/>
    <w:rsid w:val="00367867"/>
    <w:rsid w:val="00367CF1"/>
    <w:rsid w:val="0037025D"/>
    <w:rsid w:val="00370427"/>
    <w:rsid w:val="00371F47"/>
    <w:rsid w:val="00372515"/>
    <w:rsid w:val="00372CD5"/>
    <w:rsid w:val="003732CB"/>
    <w:rsid w:val="0037369A"/>
    <w:rsid w:val="00373BD8"/>
    <w:rsid w:val="00373D38"/>
    <w:rsid w:val="003746E7"/>
    <w:rsid w:val="00374797"/>
    <w:rsid w:val="00374F04"/>
    <w:rsid w:val="0037615F"/>
    <w:rsid w:val="003764C2"/>
    <w:rsid w:val="00376656"/>
    <w:rsid w:val="00376725"/>
    <w:rsid w:val="00376DDC"/>
    <w:rsid w:val="00377808"/>
    <w:rsid w:val="0037786D"/>
    <w:rsid w:val="00377A8B"/>
    <w:rsid w:val="00380085"/>
    <w:rsid w:val="0038106D"/>
    <w:rsid w:val="003810D0"/>
    <w:rsid w:val="00381A22"/>
    <w:rsid w:val="00381D71"/>
    <w:rsid w:val="00381E43"/>
    <w:rsid w:val="00381F26"/>
    <w:rsid w:val="003823BA"/>
    <w:rsid w:val="00382D89"/>
    <w:rsid w:val="0038408F"/>
    <w:rsid w:val="003842ED"/>
    <w:rsid w:val="00384433"/>
    <w:rsid w:val="003847B6"/>
    <w:rsid w:val="003853F2"/>
    <w:rsid w:val="00385509"/>
    <w:rsid w:val="00385576"/>
    <w:rsid w:val="003856C0"/>
    <w:rsid w:val="00385B8B"/>
    <w:rsid w:val="00385BA0"/>
    <w:rsid w:val="00385C27"/>
    <w:rsid w:val="0038651D"/>
    <w:rsid w:val="0039021D"/>
    <w:rsid w:val="00390C59"/>
    <w:rsid w:val="003912CE"/>
    <w:rsid w:val="00391951"/>
    <w:rsid w:val="003919D5"/>
    <w:rsid w:val="0039236C"/>
    <w:rsid w:val="00392977"/>
    <w:rsid w:val="00392B28"/>
    <w:rsid w:val="003930FE"/>
    <w:rsid w:val="00393510"/>
    <w:rsid w:val="00393A26"/>
    <w:rsid w:val="0039401A"/>
    <w:rsid w:val="003945EF"/>
    <w:rsid w:val="003949E1"/>
    <w:rsid w:val="003950FA"/>
    <w:rsid w:val="00395120"/>
    <w:rsid w:val="0039593B"/>
    <w:rsid w:val="00395D11"/>
    <w:rsid w:val="00395F00"/>
    <w:rsid w:val="0039615B"/>
    <w:rsid w:val="003967E2"/>
    <w:rsid w:val="0039683E"/>
    <w:rsid w:val="00396AC5"/>
    <w:rsid w:val="003A0215"/>
    <w:rsid w:val="003A0EF1"/>
    <w:rsid w:val="003A1209"/>
    <w:rsid w:val="003A1543"/>
    <w:rsid w:val="003A1C28"/>
    <w:rsid w:val="003A2648"/>
    <w:rsid w:val="003A33C8"/>
    <w:rsid w:val="003A340E"/>
    <w:rsid w:val="003A4407"/>
    <w:rsid w:val="003A4894"/>
    <w:rsid w:val="003A4A6C"/>
    <w:rsid w:val="003A50B3"/>
    <w:rsid w:val="003A5B7A"/>
    <w:rsid w:val="003A6406"/>
    <w:rsid w:val="003A6993"/>
    <w:rsid w:val="003A6F2B"/>
    <w:rsid w:val="003A70B5"/>
    <w:rsid w:val="003A7FA1"/>
    <w:rsid w:val="003B00F2"/>
    <w:rsid w:val="003B043A"/>
    <w:rsid w:val="003B0583"/>
    <w:rsid w:val="003B11CC"/>
    <w:rsid w:val="003B13C2"/>
    <w:rsid w:val="003B13FB"/>
    <w:rsid w:val="003B1C37"/>
    <w:rsid w:val="003B215C"/>
    <w:rsid w:val="003B22E9"/>
    <w:rsid w:val="003B2794"/>
    <w:rsid w:val="003B2800"/>
    <w:rsid w:val="003B294A"/>
    <w:rsid w:val="003B3581"/>
    <w:rsid w:val="003B3716"/>
    <w:rsid w:val="003B3883"/>
    <w:rsid w:val="003B3C85"/>
    <w:rsid w:val="003B3E68"/>
    <w:rsid w:val="003B44CE"/>
    <w:rsid w:val="003B4A1F"/>
    <w:rsid w:val="003B4A42"/>
    <w:rsid w:val="003B4D48"/>
    <w:rsid w:val="003B509C"/>
    <w:rsid w:val="003B54F6"/>
    <w:rsid w:val="003B5B94"/>
    <w:rsid w:val="003B604D"/>
    <w:rsid w:val="003B612D"/>
    <w:rsid w:val="003B6151"/>
    <w:rsid w:val="003B63AA"/>
    <w:rsid w:val="003B6D86"/>
    <w:rsid w:val="003B78BC"/>
    <w:rsid w:val="003C0693"/>
    <w:rsid w:val="003C0817"/>
    <w:rsid w:val="003C11CA"/>
    <w:rsid w:val="003C1F10"/>
    <w:rsid w:val="003C2323"/>
    <w:rsid w:val="003C2996"/>
    <w:rsid w:val="003C3066"/>
    <w:rsid w:val="003C386C"/>
    <w:rsid w:val="003C3E9F"/>
    <w:rsid w:val="003C44C6"/>
    <w:rsid w:val="003C4D5A"/>
    <w:rsid w:val="003C4DB7"/>
    <w:rsid w:val="003C5383"/>
    <w:rsid w:val="003C690A"/>
    <w:rsid w:val="003C6C75"/>
    <w:rsid w:val="003D0A56"/>
    <w:rsid w:val="003D0F26"/>
    <w:rsid w:val="003D2386"/>
    <w:rsid w:val="003D2592"/>
    <w:rsid w:val="003D296C"/>
    <w:rsid w:val="003D30AD"/>
    <w:rsid w:val="003D3265"/>
    <w:rsid w:val="003D32E0"/>
    <w:rsid w:val="003D348C"/>
    <w:rsid w:val="003D34B1"/>
    <w:rsid w:val="003D3676"/>
    <w:rsid w:val="003D3DB1"/>
    <w:rsid w:val="003D457A"/>
    <w:rsid w:val="003D48BF"/>
    <w:rsid w:val="003D57B9"/>
    <w:rsid w:val="003D5980"/>
    <w:rsid w:val="003D62F2"/>
    <w:rsid w:val="003D63C3"/>
    <w:rsid w:val="003D65B8"/>
    <w:rsid w:val="003D6771"/>
    <w:rsid w:val="003D6A90"/>
    <w:rsid w:val="003D6B23"/>
    <w:rsid w:val="003D73CC"/>
    <w:rsid w:val="003D7A10"/>
    <w:rsid w:val="003E0279"/>
    <w:rsid w:val="003E082C"/>
    <w:rsid w:val="003E10A4"/>
    <w:rsid w:val="003E13D0"/>
    <w:rsid w:val="003E18B6"/>
    <w:rsid w:val="003E1C77"/>
    <w:rsid w:val="003E1F29"/>
    <w:rsid w:val="003E237D"/>
    <w:rsid w:val="003E3019"/>
    <w:rsid w:val="003E3195"/>
    <w:rsid w:val="003E38B2"/>
    <w:rsid w:val="003E3D2F"/>
    <w:rsid w:val="003E3EC3"/>
    <w:rsid w:val="003E42E4"/>
    <w:rsid w:val="003E484F"/>
    <w:rsid w:val="003E56C9"/>
    <w:rsid w:val="003E61E7"/>
    <w:rsid w:val="003E6242"/>
    <w:rsid w:val="003E646E"/>
    <w:rsid w:val="003E76F5"/>
    <w:rsid w:val="003E788F"/>
    <w:rsid w:val="003E7C63"/>
    <w:rsid w:val="003E7E36"/>
    <w:rsid w:val="003E7F80"/>
    <w:rsid w:val="003F03ED"/>
    <w:rsid w:val="003F1FE2"/>
    <w:rsid w:val="003F21C6"/>
    <w:rsid w:val="003F2E36"/>
    <w:rsid w:val="003F36B6"/>
    <w:rsid w:val="003F36C0"/>
    <w:rsid w:val="003F3CCC"/>
    <w:rsid w:val="003F4AD9"/>
    <w:rsid w:val="003F53BF"/>
    <w:rsid w:val="003F5AD6"/>
    <w:rsid w:val="003F6428"/>
    <w:rsid w:val="003F6B41"/>
    <w:rsid w:val="003F70FF"/>
    <w:rsid w:val="003F715C"/>
    <w:rsid w:val="003F71E8"/>
    <w:rsid w:val="003F7392"/>
    <w:rsid w:val="003F754C"/>
    <w:rsid w:val="003F79EE"/>
    <w:rsid w:val="003F7BF1"/>
    <w:rsid w:val="004002A0"/>
    <w:rsid w:val="00400403"/>
    <w:rsid w:val="00400CF0"/>
    <w:rsid w:val="00401131"/>
    <w:rsid w:val="0040114E"/>
    <w:rsid w:val="00401238"/>
    <w:rsid w:val="00401326"/>
    <w:rsid w:val="004016AF"/>
    <w:rsid w:val="00401B3C"/>
    <w:rsid w:val="00401C63"/>
    <w:rsid w:val="00401F6D"/>
    <w:rsid w:val="00402882"/>
    <w:rsid w:val="00402A1F"/>
    <w:rsid w:val="00402B82"/>
    <w:rsid w:val="00402E23"/>
    <w:rsid w:val="004032C4"/>
    <w:rsid w:val="004033E1"/>
    <w:rsid w:val="00403459"/>
    <w:rsid w:val="004038DA"/>
    <w:rsid w:val="00403A88"/>
    <w:rsid w:val="00403F97"/>
    <w:rsid w:val="0040474C"/>
    <w:rsid w:val="004048C4"/>
    <w:rsid w:val="00405B76"/>
    <w:rsid w:val="00406E2C"/>
    <w:rsid w:val="0040763E"/>
    <w:rsid w:val="00407655"/>
    <w:rsid w:val="00407734"/>
    <w:rsid w:val="00407CD7"/>
    <w:rsid w:val="00407DDB"/>
    <w:rsid w:val="004104B0"/>
    <w:rsid w:val="004105FC"/>
    <w:rsid w:val="00410C08"/>
    <w:rsid w:val="004116A2"/>
    <w:rsid w:val="00412026"/>
    <w:rsid w:val="004127EB"/>
    <w:rsid w:val="00412D9A"/>
    <w:rsid w:val="004130CB"/>
    <w:rsid w:val="00413BA8"/>
    <w:rsid w:val="00413BB9"/>
    <w:rsid w:val="0041422A"/>
    <w:rsid w:val="0041424D"/>
    <w:rsid w:val="004143A5"/>
    <w:rsid w:val="004143B9"/>
    <w:rsid w:val="0041458C"/>
    <w:rsid w:val="0041480A"/>
    <w:rsid w:val="00414A8A"/>
    <w:rsid w:val="00414C45"/>
    <w:rsid w:val="004151A0"/>
    <w:rsid w:val="00415554"/>
    <w:rsid w:val="00415564"/>
    <w:rsid w:val="0041579E"/>
    <w:rsid w:val="004158C1"/>
    <w:rsid w:val="004159E0"/>
    <w:rsid w:val="004159F3"/>
    <w:rsid w:val="00415FE4"/>
    <w:rsid w:val="0041696F"/>
    <w:rsid w:val="00416CE7"/>
    <w:rsid w:val="00416F50"/>
    <w:rsid w:val="0041760B"/>
    <w:rsid w:val="00417B84"/>
    <w:rsid w:val="00420361"/>
    <w:rsid w:val="0042221A"/>
    <w:rsid w:val="004222A1"/>
    <w:rsid w:val="0042241E"/>
    <w:rsid w:val="0042282A"/>
    <w:rsid w:val="00423A2A"/>
    <w:rsid w:val="00425D7B"/>
    <w:rsid w:val="00425E97"/>
    <w:rsid w:val="0042625C"/>
    <w:rsid w:val="004263C6"/>
    <w:rsid w:val="00426764"/>
    <w:rsid w:val="00426F7B"/>
    <w:rsid w:val="00427759"/>
    <w:rsid w:val="0043067E"/>
    <w:rsid w:val="00430CC6"/>
    <w:rsid w:val="004312F2"/>
    <w:rsid w:val="00431741"/>
    <w:rsid w:val="00431B40"/>
    <w:rsid w:val="004323D1"/>
    <w:rsid w:val="00432F72"/>
    <w:rsid w:val="004333E3"/>
    <w:rsid w:val="00433E7A"/>
    <w:rsid w:val="0043442E"/>
    <w:rsid w:val="004346D3"/>
    <w:rsid w:val="004349C2"/>
    <w:rsid w:val="004350BE"/>
    <w:rsid w:val="0043525A"/>
    <w:rsid w:val="00435B44"/>
    <w:rsid w:val="0043648F"/>
    <w:rsid w:val="00437B9D"/>
    <w:rsid w:val="0044043E"/>
    <w:rsid w:val="0044046B"/>
    <w:rsid w:val="004410EA"/>
    <w:rsid w:val="00441224"/>
    <w:rsid w:val="0044149E"/>
    <w:rsid w:val="0044183B"/>
    <w:rsid w:val="00442857"/>
    <w:rsid w:val="004429D2"/>
    <w:rsid w:val="00442C16"/>
    <w:rsid w:val="00442C8A"/>
    <w:rsid w:val="004434C2"/>
    <w:rsid w:val="0044350D"/>
    <w:rsid w:val="00444ABF"/>
    <w:rsid w:val="00445B05"/>
    <w:rsid w:val="00445F84"/>
    <w:rsid w:val="00446DEA"/>
    <w:rsid w:val="00447358"/>
    <w:rsid w:val="0044758E"/>
    <w:rsid w:val="00447922"/>
    <w:rsid w:val="00447ABF"/>
    <w:rsid w:val="004504FF"/>
    <w:rsid w:val="0045097E"/>
    <w:rsid w:val="00450D36"/>
    <w:rsid w:val="00452516"/>
    <w:rsid w:val="004530ED"/>
    <w:rsid w:val="00453B2C"/>
    <w:rsid w:val="00453EC9"/>
    <w:rsid w:val="00453F5F"/>
    <w:rsid w:val="0045414A"/>
    <w:rsid w:val="004541FB"/>
    <w:rsid w:val="004542E2"/>
    <w:rsid w:val="00454792"/>
    <w:rsid w:val="004556C1"/>
    <w:rsid w:val="00455DA5"/>
    <w:rsid w:val="00456730"/>
    <w:rsid w:val="00456FA9"/>
    <w:rsid w:val="00457E25"/>
    <w:rsid w:val="0046006C"/>
    <w:rsid w:val="00460686"/>
    <w:rsid w:val="004608D4"/>
    <w:rsid w:val="00460902"/>
    <w:rsid w:val="00460917"/>
    <w:rsid w:val="0046093E"/>
    <w:rsid w:val="0046100B"/>
    <w:rsid w:val="0046116A"/>
    <w:rsid w:val="004615DC"/>
    <w:rsid w:val="004617D6"/>
    <w:rsid w:val="004619E5"/>
    <w:rsid w:val="00462780"/>
    <w:rsid w:val="00463519"/>
    <w:rsid w:val="0046367E"/>
    <w:rsid w:val="00463FFB"/>
    <w:rsid w:val="00464FC1"/>
    <w:rsid w:val="004650DB"/>
    <w:rsid w:val="00465AFA"/>
    <w:rsid w:val="00465BAF"/>
    <w:rsid w:val="00465BDE"/>
    <w:rsid w:val="004661DF"/>
    <w:rsid w:val="004662A7"/>
    <w:rsid w:val="004663D8"/>
    <w:rsid w:val="00466495"/>
    <w:rsid w:val="0046664D"/>
    <w:rsid w:val="00466D98"/>
    <w:rsid w:val="0046705B"/>
    <w:rsid w:val="00467150"/>
    <w:rsid w:val="00467E4B"/>
    <w:rsid w:val="00470364"/>
    <w:rsid w:val="004703F7"/>
    <w:rsid w:val="004712C6"/>
    <w:rsid w:val="004719F5"/>
    <w:rsid w:val="004723CC"/>
    <w:rsid w:val="0047277F"/>
    <w:rsid w:val="00472CE2"/>
    <w:rsid w:val="00472DAD"/>
    <w:rsid w:val="00473251"/>
    <w:rsid w:val="00473492"/>
    <w:rsid w:val="004734A0"/>
    <w:rsid w:val="0047387D"/>
    <w:rsid w:val="00473B7B"/>
    <w:rsid w:val="00473E47"/>
    <w:rsid w:val="00474E49"/>
    <w:rsid w:val="004756E6"/>
    <w:rsid w:val="00475792"/>
    <w:rsid w:val="004765DE"/>
    <w:rsid w:val="00477123"/>
    <w:rsid w:val="00477937"/>
    <w:rsid w:val="00477C11"/>
    <w:rsid w:val="00477ED4"/>
    <w:rsid w:val="004805A9"/>
    <w:rsid w:val="00480A74"/>
    <w:rsid w:val="00480EBF"/>
    <w:rsid w:val="00481343"/>
    <w:rsid w:val="0048144C"/>
    <w:rsid w:val="004816FC"/>
    <w:rsid w:val="00481EF2"/>
    <w:rsid w:val="00482383"/>
    <w:rsid w:val="0048240B"/>
    <w:rsid w:val="0048289A"/>
    <w:rsid w:val="00483296"/>
    <w:rsid w:val="0048342F"/>
    <w:rsid w:val="00483B8A"/>
    <w:rsid w:val="00484830"/>
    <w:rsid w:val="004848AE"/>
    <w:rsid w:val="00484BE0"/>
    <w:rsid w:val="00485263"/>
    <w:rsid w:val="00485902"/>
    <w:rsid w:val="00485920"/>
    <w:rsid w:val="00486240"/>
    <w:rsid w:val="004862CC"/>
    <w:rsid w:val="0048650A"/>
    <w:rsid w:val="00486580"/>
    <w:rsid w:val="00487741"/>
    <w:rsid w:val="00487A5D"/>
    <w:rsid w:val="00490457"/>
    <w:rsid w:val="00490AF4"/>
    <w:rsid w:val="00491576"/>
    <w:rsid w:val="00491C3C"/>
    <w:rsid w:val="00491E41"/>
    <w:rsid w:val="00492107"/>
    <w:rsid w:val="00492CB8"/>
    <w:rsid w:val="004935AC"/>
    <w:rsid w:val="004937A0"/>
    <w:rsid w:val="004938C7"/>
    <w:rsid w:val="004938EA"/>
    <w:rsid w:val="00494482"/>
    <w:rsid w:val="0049466D"/>
    <w:rsid w:val="0049475F"/>
    <w:rsid w:val="00494B09"/>
    <w:rsid w:val="00494E36"/>
    <w:rsid w:val="00495217"/>
    <w:rsid w:val="00495B69"/>
    <w:rsid w:val="004967F5"/>
    <w:rsid w:val="00496D64"/>
    <w:rsid w:val="00496E7E"/>
    <w:rsid w:val="004A0601"/>
    <w:rsid w:val="004A0A2B"/>
    <w:rsid w:val="004A10B0"/>
    <w:rsid w:val="004A1E91"/>
    <w:rsid w:val="004A280D"/>
    <w:rsid w:val="004A2B53"/>
    <w:rsid w:val="004A335E"/>
    <w:rsid w:val="004A36F2"/>
    <w:rsid w:val="004A38F8"/>
    <w:rsid w:val="004A3BC8"/>
    <w:rsid w:val="004A4244"/>
    <w:rsid w:val="004A488B"/>
    <w:rsid w:val="004A4E73"/>
    <w:rsid w:val="004A595F"/>
    <w:rsid w:val="004A5A03"/>
    <w:rsid w:val="004A643D"/>
    <w:rsid w:val="004A6534"/>
    <w:rsid w:val="004A6A37"/>
    <w:rsid w:val="004A6E2F"/>
    <w:rsid w:val="004A7730"/>
    <w:rsid w:val="004A7A04"/>
    <w:rsid w:val="004A7E71"/>
    <w:rsid w:val="004B054C"/>
    <w:rsid w:val="004B0C75"/>
    <w:rsid w:val="004B16C9"/>
    <w:rsid w:val="004B17D7"/>
    <w:rsid w:val="004B1B9E"/>
    <w:rsid w:val="004B2042"/>
    <w:rsid w:val="004B221E"/>
    <w:rsid w:val="004B321B"/>
    <w:rsid w:val="004B3541"/>
    <w:rsid w:val="004B381A"/>
    <w:rsid w:val="004B49D8"/>
    <w:rsid w:val="004B4AA0"/>
    <w:rsid w:val="004B4BA1"/>
    <w:rsid w:val="004B4D8A"/>
    <w:rsid w:val="004B4F23"/>
    <w:rsid w:val="004B52F4"/>
    <w:rsid w:val="004B5579"/>
    <w:rsid w:val="004B5692"/>
    <w:rsid w:val="004B6239"/>
    <w:rsid w:val="004B69EE"/>
    <w:rsid w:val="004B6AFD"/>
    <w:rsid w:val="004B6D78"/>
    <w:rsid w:val="004B70C4"/>
    <w:rsid w:val="004C0400"/>
    <w:rsid w:val="004C0C68"/>
    <w:rsid w:val="004C0F53"/>
    <w:rsid w:val="004C11EB"/>
    <w:rsid w:val="004C1288"/>
    <w:rsid w:val="004C140F"/>
    <w:rsid w:val="004C1870"/>
    <w:rsid w:val="004C22BF"/>
    <w:rsid w:val="004C23B8"/>
    <w:rsid w:val="004C2497"/>
    <w:rsid w:val="004C2E4C"/>
    <w:rsid w:val="004C3251"/>
    <w:rsid w:val="004C38A8"/>
    <w:rsid w:val="004C4959"/>
    <w:rsid w:val="004C4B3B"/>
    <w:rsid w:val="004C4B5B"/>
    <w:rsid w:val="004C55E8"/>
    <w:rsid w:val="004C6698"/>
    <w:rsid w:val="004C6D22"/>
    <w:rsid w:val="004C708F"/>
    <w:rsid w:val="004C7433"/>
    <w:rsid w:val="004C75A3"/>
    <w:rsid w:val="004C7E7D"/>
    <w:rsid w:val="004D00B5"/>
    <w:rsid w:val="004D1884"/>
    <w:rsid w:val="004D1FBC"/>
    <w:rsid w:val="004D22C9"/>
    <w:rsid w:val="004D2522"/>
    <w:rsid w:val="004D3035"/>
    <w:rsid w:val="004D390A"/>
    <w:rsid w:val="004D46CA"/>
    <w:rsid w:val="004D49FD"/>
    <w:rsid w:val="004D5BDE"/>
    <w:rsid w:val="004D7131"/>
    <w:rsid w:val="004D715D"/>
    <w:rsid w:val="004D732D"/>
    <w:rsid w:val="004D74CB"/>
    <w:rsid w:val="004D7696"/>
    <w:rsid w:val="004E0617"/>
    <w:rsid w:val="004E1317"/>
    <w:rsid w:val="004E2508"/>
    <w:rsid w:val="004E29D4"/>
    <w:rsid w:val="004E2A8E"/>
    <w:rsid w:val="004E4272"/>
    <w:rsid w:val="004E5C08"/>
    <w:rsid w:val="004E5F29"/>
    <w:rsid w:val="004E663C"/>
    <w:rsid w:val="004E6984"/>
    <w:rsid w:val="004E71D6"/>
    <w:rsid w:val="004E72E5"/>
    <w:rsid w:val="004E7CA6"/>
    <w:rsid w:val="004E7EA8"/>
    <w:rsid w:val="004F0223"/>
    <w:rsid w:val="004F0857"/>
    <w:rsid w:val="004F0895"/>
    <w:rsid w:val="004F0E2A"/>
    <w:rsid w:val="004F1A88"/>
    <w:rsid w:val="004F1AAD"/>
    <w:rsid w:val="004F1C0B"/>
    <w:rsid w:val="004F1F1D"/>
    <w:rsid w:val="004F1FB9"/>
    <w:rsid w:val="004F261C"/>
    <w:rsid w:val="004F2A7D"/>
    <w:rsid w:val="004F2DF5"/>
    <w:rsid w:val="004F2F3A"/>
    <w:rsid w:val="004F3130"/>
    <w:rsid w:val="004F3892"/>
    <w:rsid w:val="004F3C8D"/>
    <w:rsid w:val="004F3D42"/>
    <w:rsid w:val="004F3E21"/>
    <w:rsid w:val="004F4274"/>
    <w:rsid w:val="004F42BB"/>
    <w:rsid w:val="004F4395"/>
    <w:rsid w:val="004F4793"/>
    <w:rsid w:val="004F4B5E"/>
    <w:rsid w:val="004F4BB1"/>
    <w:rsid w:val="004F59BF"/>
    <w:rsid w:val="004F5A05"/>
    <w:rsid w:val="004F615F"/>
    <w:rsid w:val="004F7C96"/>
    <w:rsid w:val="00500778"/>
    <w:rsid w:val="005018E6"/>
    <w:rsid w:val="00501FC0"/>
    <w:rsid w:val="00502F42"/>
    <w:rsid w:val="00503572"/>
    <w:rsid w:val="00503600"/>
    <w:rsid w:val="00503692"/>
    <w:rsid w:val="00503DE2"/>
    <w:rsid w:val="0050411C"/>
    <w:rsid w:val="0050429D"/>
    <w:rsid w:val="00504575"/>
    <w:rsid w:val="00504812"/>
    <w:rsid w:val="005048C9"/>
    <w:rsid w:val="00505561"/>
    <w:rsid w:val="005055F0"/>
    <w:rsid w:val="00505769"/>
    <w:rsid w:val="0050652B"/>
    <w:rsid w:val="00506CA0"/>
    <w:rsid w:val="00506DEF"/>
    <w:rsid w:val="00506F54"/>
    <w:rsid w:val="005070EC"/>
    <w:rsid w:val="005073C8"/>
    <w:rsid w:val="005078AC"/>
    <w:rsid w:val="005079B3"/>
    <w:rsid w:val="00507ACC"/>
    <w:rsid w:val="00507C19"/>
    <w:rsid w:val="00507EF0"/>
    <w:rsid w:val="005104C7"/>
    <w:rsid w:val="005109F5"/>
    <w:rsid w:val="00510AC7"/>
    <w:rsid w:val="00510E80"/>
    <w:rsid w:val="005111F5"/>
    <w:rsid w:val="005112EC"/>
    <w:rsid w:val="0051133A"/>
    <w:rsid w:val="00511C54"/>
    <w:rsid w:val="00512A5F"/>
    <w:rsid w:val="00513433"/>
    <w:rsid w:val="00513794"/>
    <w:rsid w:val="005138B1"/>
    <w:rsid w:val="00513BE7"/>
    <w:rsid w:val="00513D35"/>
    <w:rsid w:val="005141CD"/>
    <w:rsid w:val="00514897"/>
    <w:rsid w:val="00514B76"/>
    <w:rsid w:val="00514FF6"/>
    <w:rsid w:val="00515056"/>
    <w:rsid w:val="00515739"/>
    <w:rsid w:val="00515AA5"/>
    <w:rsid w:val="00515B34"/>
    <w:rsid w:val="005160B7"/>
    <w:rsid w:val="005167B2"/>
    <w:rsid w:val="005167DC"/>
    <w:rsid w:val="00516F75"/>
    <w:rsid w:val="00517A11"/>
    <w:rsid w:val="00517FD2"/>
    <w:rsid w:val="0052019B"/>
    <w:rsid w:val="005202B3"/>
    <w:rsid w:val="0052072C"/>
    <w:rsid w:val="00521D1F"/>
    <w:rsid w:val="00521F85"/>
    <w:rsid w:val="005221E0"/>
    <w:rsid w:val="0052246A"/>
    <w:rsid w:val="0052257E"/>
    <w:rsid w:val="00522964"/>
    <w:rsid w:val="00522C6D"/>
    <w:rsid w:val="0052423F"/>
    <w:rsid w:val="005242D0"/>
    <w:rsid w:val="0052441B"/>
    <w:rsid w:val="0052472B"/>
    <w:rsid w:val="00526266"/>
    <w:rsid w:val="005273C8"/>
    <w:rsid w:val="0052758E"/>
    <w:rsid w:val="00527816"/>
    <w:rsid w:val="00527F84"/>
    <w:rsid w:val="00530817"/>
    <w:rsid w:val="00530C0E"/>
    <w:rsid w:val="00531122"/>
    <w:rsid w:val="00531474"/>
    <w:rsid w:val="005314B8"/>
    <w:rsid w:val="00531502"/>
    <w:rsid w:val="0053193F"/>
    <w:rsid w:val="00531FD6"/>
    <w:rsid w:val="00532712"/>
    <w:rsid w:val="0053271F"/>
    <w:rsid w:val="00533052"/>
    <w:rsid w:val="005330C5"/>
    <w:rsid w:val="0053369E"/>
    <w:rsid w:val="00533712"/>
    <w:rsid w:val="005338DB"/>
    <w:rsid w:val="00533C31"/>
    <w:rsid w:val="00533D6D"/>
    <w:rsid w:val="0053412B"/>
    <w:rsid w:val="00534803"/>
    <w:rsid w:val="0053524C"/>
    <w:rsid w:val="005358AD"/>
    <w:rsid w:val="005361BA"/>
    <w:rsid w:val="005365B4"/>
    <w:rsid w:val="005370BA"/>
    <w:rsid w:val="00537180"/>
    <w:rsid w:val="005375C9"/>
    <w:rsid w:val="00537B86"/>
    <w:rsid w:val="00537CA7"/>
    <w:rsid w:val="00537F82"/>
    <w:rsid w:val="00537FC2"/>
    <w:rsid w:val="00540252"/>
    <w:rsid w:val="00540F32"/>
    <w:rsid w:val="0054100A"/>
    <w:rsid w:val="005412CD"/>
    <w:rsid w:val="005427D4"/>
    <w:rsid w:val="00542EB4"/>
    <w:rsid w:val="005431D9"/>
    <w:rsid w:val="00544A4C"/>
    <w:rsid w:val="00544D65"/>
    <w:rsid w:val="00545F67"/>
    <w:rsid w:val="005501E7"/>
    <w:rsid w:val="00550A7E"/>
    <w:rsid w:val="00550DD3"/>
    <w:rsid w:val="00551007"/>
    <w:rsid w:val="005511E8"/>
    <w:rsid w:val="005512DE"/>
    <w:rsid w:val="00551604"/>
    <w:rsid w:val="00551B83"/>
    <w:rsid w:val="0055238B"/>
    <w:rsid w:val="00552475"/>
    <w:rsid w:val="0055291D"/>
    <w:rsid w:val="00552CA0"/>
    <w:rsid w:val="005544BF"/>
    <w:rsid w:val="00555B1B"/>
    <w:rsid w:val="00555BBE"/>
    <w:rsid w:val="00556983"/>
    <w:rsid w:val="005570C8"/>
    <w:rsid w:val="005602A4"/>
    <w:rsid w:val="005608C7"/>
    <w:rsid w:val="00560CE5"/>
    <w:rsid w:val="00560F8B"/>
    <w:rsid w:val="0056218D"/>
    <w:rsid w:val="0056220E"/>
    <w:rsid w:val="005622B9"/>
    <w:rsid w:val="00562382"/>
    <w:rsid w:val="005626AB"/>
    <w:rsid w:val="0056276C"/>
    <w:rsid w:val="00563492"/>
    <w:rsid w:val="00563741"/>
    <w:rsid w:val="00563F95"/>
    <w:rsid w:val="00564359"/>
    <w:rsid w:val="0056446C"/>
    <w:rsid w:val="00564B2C"/>
    <w:rsid w:val="00564C6D"/>
    <w:rsid w:val="00564CDD"/>
    <w:rsid w:val="00564D1A"/>
    <w:rsid w:val="00564F88"/>
    <w:rsid w:val="005651A6"/>
    <w:rsid w:val="00565BCE"/>
    <w:rsid w:val="00565E6A"/>
    <w:rsid w:val="0056605B"/>
    <w:rsid w:val="00566D0B"/>
    <w:rsid w:val="00567CE1"/>
    <w:rsid w:val="00567FEA"/>
    <w:rsid w:val="00570543"/>
    <w:rsid w:val="005705D2"/>
    <w:rsid w:val="00570DB0"/>
    <w:rsid w:val="0057130E"/>
    <w:rsid w:val="00571602"/>
    <w:rsid w:val="00571A0F"/>
    <w:rsid w:val="00571A44"/>
    <w:rsid w:val="00571B73"/>
    <w:rsid w:val="005721E0"/>
    <w:rsid w:val="005721F9"/>
    <w:rsid w:val="005723EE"/>
    <w:rsid w:val="005727F7"/>
    <w:rsid w:val="00572CA9"/>
    <w:rsid w:val="00573C27"/>
    <w:rsid w:val="005750A0"/>
    <w:rsid w:val="0057645F"/>
    <w:rsid w:val="005768BA"/>
    <w:rsid w:val="00577601"/>
    <w:rsid w:val="0057766D"/>
    <w:rsid w:val="005800D3"/>
    <w:rsid w:val="00580A35"/>
    <w:rsid w:val="00580BC6"/>
    <w:rsid w:val="00580D83"/>
    <w:rsid w:val="00580E0F"/>
    <w:rsid w:val="00581128"/>
    <w:rsid w:val="00582EAF"/>
    <w:rsid w:val="0058339A"/>
    <w:rsid w:val="005835F5"/>
    <w:rsid w:val="0058373C"/>
    <w:rsid w:val="00583A25"/>
    <w:rsid w:val="00583C41"/>
    <w:rsid w:val="00583E7C"/>
    <w:rsid w:val="00584C83"/>
    <w:rsid w:val="00584EA8"/>
    <w:rsid w:val="005856BB"/>
    <w:rsid w:val="00585BC0"/>
    <w:rsid w:val="00585E8E"/>
    <w:rsid w:val="00585FB6"/>
    <w:rsid w:val="005862A6"/>
    <w:rsid w:val="0058668B"/>
    <w:rsid w:val="0058668E"/>
    <w:rsid w:val="005868EC"/>
    <w:rsid w:val="005868FA"/>
    <w:rsid w:val="00586DE1"/>
    <w:rsid w:val="005873B2"/>
    <w:rsid w:val="00587739"/>
    <w:rsid w:val="00587AF8"/>
    <w:rsid w:val="00590009"/>
    <w:rsid w:val="00590138"/>
    <w:rsid w:val="00590CA2"/>
    <w:rsid w:val="00591859"/>
    <w:rsid w:val="00591BA2"/>
    <w:rsid w:val="00592A6D"/>
    <w:rsid w:val="00592C0A"/>
    <w:rsid w:val="00592CD6"/>
    <w:rsid w:val="00592FC6"/>
    <w:rsid w:val="00593004"/>
    <w:rsid w:val="0059359A"/>
    <w:rsid w:val="00593B68"/>
    <w:rsid w:val="00594470"/>
    <w:rsid w:val="00594595"/>
    <w:rsid w:val="00594727"/>
    <w:rsid w:val="00594736"/>
    <w:rsid w:val="00594980"/>
    <w:rsid w:val="00594B19"/>
    <w:rsid w:val="00595198"/>
    <w:rsid w:val="005954C9"/>
    <w:rsid w:val="00595B7F"/>
    <w:rsid w:val="005964E0"/>
    <w:rsid w:val="005966AC"/>
    <w:rsid w:val="005966B4"/>
    <w:rsid w:val="00596785"/>
    <w:rsid w:val="00597073"/>
    <w:rsid w:val="005977E8"/>
    <w:rsid w:val="00597B33"/>
    <w:rsid w:val="005A1DC8"/>
    <w:rsid w:val="005A2152"/>
    <w:rsid w:val="005A21F0"/>
    <w:rsid w:val="005A235F"/>
    <w:rsid w:val="005A2BF7"/>
    <w:rsid w:val="005A2CAA"/>
    <w:rsid w:val="005A3388"/>
    <w:rsid w:val="005A3A31"/>
    <w:rsid w:val="005A3B76"/>
    <w:rsid w:val="005A3C15"/>
    <w:rsid w:val="005A4089"/>
    <w:rsid w:val="005A41A3"/>
    <w:rsid w:val="005A430E"/>
    <w:rsid w:val="005A4576"/>
    <w:rsid w:val="005A4A9E"/>
    <w:rsid w:val="005A4D1C"/>
    <w:rsid w:val="005A4D68"/>
    <w:rsid w:val="005A4DD2"/>
    <w:rsid w:val="005A5184"/>
    <w:rsid w:val="005A54FF"/>
    <w:rsid w:val="005A572B"/>
    <w:rsid w:val="005A588C"/>
    <w:rsid w:val="005A5A34"/>
    <w:rsid w:val="005A6130"/>
    <w:rsid w:val="005A668D"/>
    <w:rsid w:val="005A754B"/>
    <w:rsid w:val="005A7590"/>
    <w:rsid w:val="005B07BC"/>
    <w:rsid w:val="005B161B"/>
    <w:rsid w:val="005B1643"/>
    <w:rsid w:val="005B1959"/>
    <w:rsid w:val="005B1BAE"/>
    <w:rsid w:val="005B1BC3"/>
    <w:rsid w:val="005B213D"/>
    <w:rsid w:val="005B2741"/>
    <w:rsid w:val="005B2E24"/>
    <w:rsid w:val="005B349E"/>
    <w:rsid w:val="005B3852"/>
    <w:rsid w:val="005B3E40"/>
    <w:rsid w:val="005B4E5E"/>
    <w:rsid w:val="005B5AAD"/>
    <w:rsid w:val="005B63EF"/>
    <w:rsid w:val="005B63F2"/>
    <w:rsid w:val="005B6B29"/>
    <w:rsid w:val="005B6C02"/>
    <w:rsid w:val="005B78E8"/>
    <w:rsid w:val="005C0FDA"/>
    <w:rsid w:val="005C159F"/>
    <w:rsid w:val="005C194D"/>
    <w:rsid w:val="005C1AC8"/>
    <w:rsid w:val="005C1B7C"/>
    <w:rsid w:val="005C1EB8"/>
    <w:rsid w:val="005C2351"/>
    <w:rsid w:val="005C307E"/>
    <w:rsid w:val="005C35FC"/>
    <w:rsid w:val="005C46E0"/>
    <w:rsid w:val="005C51DA"/>
    <w:rsid w:val="005C55D8"/>
    <w:rsid w:val="005C69A9"/>
    <w:rsid w:val="005C69E1"/>
    <w:rsid w:val="005C731B"/>
    <w:rsid w:val="005D04BB"/>
    <w:rsid w:val="005D0A72"/>
    <w:rsid w:val="005D0B30"/>
    <w:rsid w:val="005D0D31"/>
    <w:rsid w:val="005D0DAD"/>
    <w:rsid w:val="005D0E58"/>
    <w:rsid w:val="005D15B7"/>
    <w:rsid w:val="005D17CF"/>
    <w:rsid w:val="005D1965"/>
    <w:rsid w:val="005D1BBF"/>
    <w:rsid w:val="005D208F"/>
    <w:rsid w:val="005D20E7"/>
    <w:rsid w:val="005D214B"/>
    <w:rsid w:val="005D29BD"/>
    <w:rsid w:val="005D2AF0"/>
    <w:rsid w:val="005D2E1C"/>
    <w:rsid w:val="005D303B"/>
    <w:rsid w:val="005D39AB"/>
    <w:rsid w:val="005D39E9"/>
    <w:rsid w:val="005D3BE1"/>
    <w:rsid w:val="005D4086"/>
    <w:rsid w:val="005D4376"/>
    <w:rsid w:val="005D5481"/>
    <w:rsid w:val="005D580A"/>
    <w:rsid w:val="005D5861"/>
    <w:rsid w:val="005E03FB"/>
    <w:rsid w:val="005E0A0F"/>
    <w:rsid w:val="005E0D1A"/>
    <w:rsid w:val="005E1107"/>
    <w:rsid w:val="005E1562"/>
    <w:rsid w:val="005E15FE"/>
    <w:rsid w:val="005E20E2"/>
    <w:rsid w:val="005E2549"/>
    <w:rsid w:val="005E25DA"/>
    <w:rsid w:val="005E2ECF"/>
    <w:rsid w:val="005E3A68"/>
    <w:rsid w:val="005E3A78"/>
    <w:rsid w:val="005E3D87"/>
    <w:rsid w:val="005E40BB"/>
    <w:rsid w:val="005E4740"/>
    <w:rsid w:val="005E5163"/>
    <w:rsid w:val="005E52EA"/>
    <w:rsid w:val="005E5370"/>
    <w:rsid w:val="005E60C6"/>
    <w:rsid w:val="005E628D"/>
    <w:rsid w:val="005E6660"/>
    <w:rsid w:val="005E67D1"/>
    <w:rsid w:val="005E7987"/>
    <w:rsid w:val="005E7B8A"/>
    <w:rsid w:val="005E7E1C"/>
    <w:rsid w:val="005E7F44"/>
    <w:rsid w:val="005F077E"/>
    <w:rsid w:val="005F1AC4"/>
    <w:rsid w:val="005F1D7D"/>
    <w:rsid w:val="005F4192"/>
    <w:rsid w:val="005F431A"/>
    <w:rsid w:val="005F46B8"/>
    <w:rsid w:val="005F4AE3"/>
    <w:rsid w:val="005F5236"/>
    <w:rsid w:val="005F531B"/>
    <w:rsid w:val="005F767D"/>
    <w:rsid w:val="005F7B95"/>
    <w:rsid w:val="005F7BEF"/>
    <w:rsid w:val="00600D5F"/>
    <w:rsid w:val="00600E0F"/>
    <w:rsid w:val="0060126C"/>
    <w:rsid w:val="00601BE0"/>
    <w:rsid w:val="006020D2"/>
    <w:rsid w:val="006023CF"/>
    <w:rsid w:val="006028F4"/>
    <w:rsid w:val="006029C8"/>
    <w:rsid w:val="00602B1B"/>
    <w:rsid w:val="00603090"/>
    <w:rsid w:val="006039F6"/>
    <w:rsid w:val="00603FD5"/>
    <w:rsid w:val="006045DD"/>
    <w:rsid w:val="00604F7D"/>
    <w:rsid w:val="006050D9"/>
    <w:rsid w:val="00605311"/>
    <w:rsid w:val="0060593E"/>
    <w:rsid w:val="00605A70"/>
    <w:rsid w:val="00606D9F"/>
    <w:rsid w:val="00607290"/>
    <w:rsid w:val="0060786B"/>
    <w:rsid w:val="00607EC0"/>
    <w:rsid w:val="00607F3A"/>
    <w:rsid w:val="00611175"/>
    <w:rsid w:val="006115FD"/>
    <w:rsid w:val="00611810"/>
    <w:rsid w:val="00612421"/>
    <w:rsid w:val="00612537"/>
    <w:rsid w:val="006134BA"/>
    <w:rsid w:val="0061355A"/>
    <w:rsid w:val="00613701"/>
    <w:rsid w:val="006139BE"/>
    <w:rsid w:val="00613E94"/>
    <w:rsid w:val="0061469C"/>
    <w:rsid w:val="006147A6"/>
    <w:rsid w:val="00614E4D"/>
    <w:rsid w:val="00615002"/>
    <w:rsid w:val="0061635E"/>
    <w:rsid w:val="00616885"/>
    <w:rsid w:val="0061737E"/>
    <w:rsid w:val="0061789E"/>
    <w:rsid w:val="00620639"/>
    <w:rsid w:val="00620701"/>
    <w:rsid w:val="0062179F"/>
    <w:rsid w:val="0062260F"/>
    <w:rsid w:val="0062308C"/>
    <w:rsid w:val="006234A0"/>
    <w:rsid w:val="006234C1"/>
    <w:rsid w:val="0062374D"/>
    <w:rsid w:val="00624493"/>
    <w:rsid w:val="0062453E"/>
    <w:rsid w:val="00625036"/>
    <w:rsid w:val="00625268"/>
    <w:rsid w:val="00625A03"/>
    <w:rsid w:val="00625B58"/>
    <w:rsid w:val="00626550"/>
    <w:rsid w:val="006268E9"/>
    <w:rsid w:val="00627CFD"/>
    <w:rsid w:val="00627D7B"/>
    <w:rsid w:val="00630618"/>
    <w:rsid w:val="00630AE5"/>
    <w:rsid w:val="00630DCE"/>
    <w:rsid w:val="0063108A"/>
    <w:rsid w:val="00631925"/>
    <w:rsid w:val="00632AE3"/>
    <w:rsid w:val="00632F83"/>
    <w:rsid w:val="00633965"/>
    <w:rsid w:val="006342FE"/>
    <w:rsid w:val="0063500C"/>
    <w:rsid w:val="00636395"/>
    <w:rsid w:val="006364E5"/>
    <w:rsid w:val="00636549"/>
    <w:rsid w:val="0063654D"/>
    <w:rsid w:val="006365D5"/>
    <w:rsid w:val="006368E5"/>
    <w:rsid w:val="006375EE"/>
    <w:rsid w:val="00637672"/>
    <w:rsid w:val="00637828"/>
    <w:rsid w:val="00637AD1"/>
    <w:rsid w:val="006410EC"/>
    <w:rsid w:val="00641764"/>
    <w:rsid w:val="0064272B"/>
    <w:rsid w:val="00642D06"/>
    <w:rsid w:val="00643771"/>
    <w:rsid w:val="006438FA"/>
    <w:rsid w:val="00644677"/>
    <w:rsid w:val="00644B52"/>
    <w:rsid w:val="00644BBF"/>
    <w:rsid w:val="00644D03"/>
    <w:rsid w:val="00644E7F"/>
    <w:rsid w:val="006450F5"/>
    <w:rsid w:val="00645368"/>
    <w:rsid w:val="00645375"/>
    <w:rsid w:val="00645970"/>
    <w:rsid w:val="00645F8C"/>
    <w:rsid w:val="006469F2"/>
    <w:rsid w:val="00646F02"/>
    <w:rsid w:val="00647544"/>
    <w:rsid w:val="006475BC"/>
    <w:rsid w:val="006478A7"/>
    <w:rsid w:val="00650131"/>
    <w:rsid w:val="006515CF"/>
    <w:rsid w:val="00651E66"/>
    <w:rsid w:val="00652682"/>
    <w:rsid w:val="00652B5D"/>
    <w:rsid w:val="00652E8F"/>
    <w:rsid w:val="00652FC9"/>
    <w:rsid w:val="006530EF"/>
    <w:rsid w:val="00653B4B"/>
    <w:rsid w:val="00654884"/>
    <w:rsid w:val="006550E6"/>
    <w:rsid w:val="00655884"/>
    <w:rsid w:val="00656433"/>
    <w:rsid w:val="0065646B"/>
    <w:rsid w:val="00656578"/>
    <w:rsid w:val="00656624"/>
    <w:rsid w:val="0065746C"/>
    <w:rsid w:val="00660910"/>
    <w:rsid w:val="00660BE6"/>
    <w:rsid w:val="00661122"/>
    <w:rsid w:val="00661AA0"/>
    <w:rsid w:val="00661E9F"/>
    <w:rsid w:val="006624A1"/>
    <w:rsid w:val="0066287B"/>
    <w:rsid w:val="00662ABD"/>
    <w:rsid w:val="00662B72"/>
    <w:rsid w:val="00663016"/>
    <w:rsid w:val="00663087"/>
    <w:rsid w:val="00663B0A"/>
    <w:rsid w:val="00664443"/>
    <w:rsid w:val="0066465F"/>
    <w:rsid w:val="00664A75"/>
    <w:rsid w:val="00664C32"/>
    <w:rsid w:val="0066551F"/>
    <w:rsid w:val="006655B9"/>
    <w:rsid w:val="0066566B"/>
    <w:rsid w:val="0066579C"/>
    <w:rsid w:val="0066589D"/>
    <w:rsid w:val="00665F1C"/>
    <w:rsid w:val="00666C2E"/>
    <w:rsid w:val="00666FCE"/>
    <w:rsid w:val="00667C09"/>
    <w:rsid w:val="00667F6C"/>
    <w:rsid w:val="00670FC8"/>
    <w:rsid w:val="00671625"/>
    <w:rsid w:val="00671C31"/>
    <w:rsid w:val="00672016"/>
    <w:rsid w:val="006720FC"/>
    <w:rsid w:val="006721C5"/>
    <w:rsid w:val="00672C0E"/>
    <w:rsid w:val="00673293"/>
    <w:rsid w:val="00673432"/>
    <w:rsid w:val="00674418"/>
    <w:rsid w:val="006753D5"/>
    <w:rsid w:val="00675AB2"/>
    <w:rsid w:val="00675EB8"/>
    <w:rsid w:val="00676968"/>
    <w:rsid w:val="006802F1"/>
    <w:rsid w:val="006806C8"/>
    <w:rsid w:val="00680E22"/>
    <w:rsid w:val="006815EB"/>
    <w:rsid w:val="00683104"/>
    <w:rsid w:val="006835C2"/>
    <w:rsid w:val="00683B13"/>
    <w:rsid w:val="0068445F"/>
    <w:rsid w:val="00684642"/>
    <w:rsid w:val="00685095"/>
    <w:rsid w:val="006851B7"/>
    <w:rsid w:val="006851C4"/>
    <w:rsid w:val="006855A5"/>
    <w:rsid w:val="00685D04"/>
    <w:rsid w:val="006864A0"/>
    <w:rsid w:val="006867A7"/>
    <w:rsid w:val="00686825"/>
    <w:rsid w:val="00686EB3"/>
    <w:rsid w:val="00686EF4"/>
    <w:rsid w:val="006874E6"/>
    <w:rsid w:val="006875C4"/>
    <w:rsid w:val="0068763D"/>
    <w:rsid w:val="00687F52"/>
    <w:rsid w:val="0069021A"/>
    <w:rsid w:val="006902CB"/>
    <w:rsid w:val="00690466"/>
    <w:rsid w:val="00690BD1"/>
    <w:rsid w:val="00690C7E"/>
    <w:rsid w:val="006917E5"/>
    <w:rsid w:val="006919E9"/>
    <w:rsid w:val="00691D0F"/>
    <w:rsid w:val="00691D1F"/>
    <w:rsid w:val="00691EE1"/>
    <w:rsid w:val="00692231"/>
    <w:rsid w:val="00692354"/>
    <w:rsid w:val="00692D18"/>
    <w:rsid w:val="00693467"/>
    <w:rsid w:val="006935A9"/>
    <w:rsid w:val="00693A2D"/>
    <w:rsid w:val="00694229"/>
    <w:rsid w:val="00694702"/>
    <w:rsid w:val="00694714"/>
    <w:rsid w:val="00695110"/>
    <w:rsid w:val="00695258"/>
    <w:rsid w:val="006954B9"/>
    <w:rsid w:val="00695532"/>
    <w:rsid w:val="006957A5"/>
    <w:rsid w:val="0069628C"/>
    <w:rsid w:val="0069697F"/>
    <w:rsid w:val="006973E3"/>
    <w:rsid w:val="00697D4B"/>
    <w:rsid w:val="006A029C"/>
    <w:rsid w:val="006A07D2"/>
    <w:rsid w:val="006A0918"/>
    <w:rsid w:val="006A122C"/>
    <w:rsid w:val="006A146D"/>
    <w:rsid w:val="006A181A"/>
    <w:rsid w:val="006A18AC"/>
    <w:rsid w:val="006A1EED"/>
    <w:rsid w:val="006A2656"/>
    <w:rsid w:val="006A2E4D"/>
    <w:rsid w:val="006A3003"/>
    <w:rsid w:val="006A3C8C"/>
    <w:rsid w:val="006A4563"/>
    <w:rsid w:val="006A4564"/>
    <w:rsid w:val="006A4940"/>
    <w:rsid w:val="006A4CEA"/>
    <w:rsid w:val="006A5809"/>
    <w:rsid w:val="006A5EF4"/>
    <w:rsid w:val="006A5FBF"/>
    <w:rsid w:val="006A77AC"/>
    <w:rsid w:val="006A7A02"/>
    <w:rsid w:val="006A7D77"/>
    <w:rsid w:val="006B009E"/>
    <w:rsid w:val="006B00DB"/>
    <w:rsid w:val="006B07DB"/>
    <w:rsid w:val="006B0AEC"/>
    <w:rsid w:val="006B1008"/>
    <w:rsid w:val="006B107F"/>
    <w:rsid w:val="006B10EA"/>
    <w:rsid w:val="006B128D"/>
    <w:rsid w:val="006B15E2"/>
    <w:rsid w:val="006B17A8"/>
    <w:rsid w:val="006B1D5D"/>
    <w:rsid w:val="006B1E2B"/>
    <w:rsid w:val="006B351A"/>
    <w:rsid w:val="006B38DA"/>
    <w:rsid w:val="006B3A24"/>
    <w:rsid w:val="006B3C84"/>
    <w:rsid w:val="006B42CF"/>
    <w:rsid w:val="006B4341"/>
    <w:rsid w:val="006B5409"/>
    <w:rsid w:val="006B5425"/>
    <w:rsid w:val="006B54BA"/>
    <w:rsid w:val="006B56E7"/>
    <w:rsid w:val="006B5C16"/>
    <w:rsid w:val="006B6FFF"/>
    <w:rsid w:val="006B7025"/>
    <w:rsid w:val="006B7755"/>
    <w:rsid w:val="006B7907"/>
    <w:rsid w:val="006C0808"/>
    <w:rsid w:val="006C0ADF"/>
    <w:rsid w:val="006C0C06"/>
    <w:rsid w:val="006C0E10"/>
    <w:rsid w:val="006C13CD"/>
    <w:rsid w:val="006C14C7"/>
    <w:rsid w:val="006C2A0F"/>
    <w:rsid w:val="006C2B17"/>
    <w:rsid w:val="006C306A"/>
    <w:rsid w:val="006C3094"/>
    <w:rsid w:val="006C3541"/>
    <w:rsid w:val="006C3995"/>
    <w:rsid w:val="006C3ACB"/>
    <w:rsid w:val="006C4433"/>
    <w:rsid w:val="006C49CD"/>
    <w:rsid w:val="006C51B3"/>
    <w:rsid w:val="006C557E"/>
    <w:rsid w:val="006C571E"/>
    <w:rsid w:val="006C5CE9"/>
    <w:rsid w:val="006C65D6"/>
    <w:rsid w:val="006C65DD"/>
    <w:rsid w:val="006C697C"/>
    <w:rsid w:val="006C72BD"/>
    <w:rsid w:val="006C7669"/>
    <w:rsid w:val="006D0E98"/>
    <w:rsid w:val="006D157F"/>
    <w:rsid w:val="006D19BE"/>
    <w:rsid w:val="006D1B97"/>
    <w:rsid w:val="006D24EC"/>
    <w:rsid w:val="006D251D"/>
    <w:rsid w:val="006D2974"/>
    <w:rsid w:val="006D2EA4"/>
    <w:rsid w:val="006D312C"/>
    <w:rsid w:val="006D329E"/>
    <w:rsid w:val="006D3B55"/>
    <w:rsid w:val="006D3D9E"/>
    <w:rsid w:val="006D458E"/>
    <w:rsid w:val="006D476B"/>
    <w:rsid w:val="006D5957"/>
    <w:rsid w:val="006D5BDB"/>
    <w:rsid w:val="006D5BE7"/>
    <w:rsid w:val="006D5FC0"/>
    <w:rsid w:val="006D6447"/>
    <w:rsid w:val="006D6520"/>
    <w:rsid w:val="006D6587"/>
    <w:rsid w:val="006D65C2"/>
    <w:rsid w:val="006D7149"/>
    <w:rsid w:val="006D75DD"/>
    <w:rsid w:val="006D7617"/>
    <w:rsid w:val="006D7A66"/>
    <w:rsid w:val="006E04CD"/>
    <w:rsid w:val="006E0A88"/>
    <w:rsid w:val="006E0E5E"/>
    <w:rsid w:val="006E2613"/>
    <w:rsid w:val="006E2931"/>
    <w:rsid w:val="006E3B93"/>
    <w:rsid w:val="006E3BA6"/>
    <w:rsid w:val="006E3C25"/>
    <w:rsid w:val="006E3E6E"/>
    <w:rsid w:val="006E4D2F"/>
    <w:rsid w:val="006E516E"/>
    <w:rsid w:val="006E5651"/>
    <w:rsid w:val="006E5CFE"/>
    <w:rsid w:val="006E60BB"/>
    <w:rsid w:val="006E68B1"/>
    <w:rsid w:val="006E69A1"/>
    <w:rsid w:val="006E6A69"/>
    <w:rsid w:val="006E7136"/>
    <w:rsid w:val="006F0BA7"/>
    <w:rsid w:val="006F0F17"/>
    <w:rsid w:val="006F16B0"/>
    <w:rsid w:val="006F1FCC"/>
    <w:rsid w:val="006F3185"/>
    <w:rsid w:val="006F3368"/>
    <w:rsid w:val="006F38A3"/>
    <w:rsid w:val="006F38A6"/>
    <w:rsid w:val="006F3CB5"/>
    <w:rsid w:val="006F40E6"/>
    <w:rsid w:val="006F41A7"/>
    <w:rsid w:val="006F45E4"/>
    <w:rsid w:val="006F51FE"/>
    <w:rsid w:val="006F5424"/>
    <w:rsid w:val="006F54BD"/>
    <w:rsid w:val="006F5B1F"/>
    <w:rsid w:val="006F5F56"/>
    <w:rsid w:val="006F60B1"/>
    <w:rsid w:val="006F63D6"/>
    <w:rsid w:val="006F70E4"/>
    <w:rsid w:val="006F7D0E"/>
    <w:rsid w:val="0070123A"/>
    <w:rsid w:val="00701DB5"/>
    <w:rsid w:val="00702286"/>
    <w:rsid w:val="00702FC5"/>
    <w:rsid w:val="00703319"/>
    <w:rsid w:val="00703351"/>
    <w:rsid w:val="007036DA"/>
    <w:rsid w:val="00703CE3"/>
    <w:rsid w:val="00703FB9"/>
    <w:rsid w:val="007041B2"/>
    <w:rsid w:val="00704593"/>
    <w:rsid w:val="00704615"/>
    <w:rsid w:val="00704D41"/>
    <w:rsid w:val="0070627E"/>
    <w:rsid w:val="00706962"/>
    <w:rsid w:val="00706B05"/>
    <w:rsid w:val="00707108"/>
    <w:rsid w:val="0070781F"/>
    <w:rsid w:val="007078F8"/>
    <w:rsid w:val="00707CDD"/>
    <w:rsid w:val="00707EEE"/>
    <w:rsid w:val="0071003A"/>
    <w:rsid w:val="00710182"/>
    <w:rsid w:val="0071032D"/>
    <w:rsid w:val="00710892"/>
    <w:rsid w:val="00710BE1"/>
    <w:rsid w:val="0071147C"/>
    <w:rsid w:val="0071248A"/>
    <w:rsid w:val="00712B6E"/>
    <w:rsid w:val="00712B72"/>
    <w:rsid w:val="00713312"/>
    <w:rsid w:val="00713352"/>
    <w:rsid w:val="007136F7"/>
    <w:rsid w:val="007137BE"/>
    <w:rsid w:val="00713AC7"/>
    <w:rsid w:val="00713CFE"/>
    <w:rsid w:val="007141DD"/>
    <w:rsid w:val="00714852"/>
    <w:rsid w:val="0071485F"/>
    <w:rsid w:val="00714EDD"/>
    <w:rsid w:val="00715601"/>
    <w:rsid w:val="007158BF"/>
    <w:rsid w:val="00715A90"/>
    <w:rsid w:val="00715D0B"/>
    <w:rsid w:val="00715D2A"/>
    <w:rsid w:val="00716C94"/>
    <w:rsid w:val="00716E7B"/>
    <w:rsid w:val="0071704E"/>
    <w:rsid w:val="0071777F"/>
    <w:rsid w:val="00717F0D"/>
    <w:rsid w:val="0072014B"/>
    <w:rsid w:val="00720269"/>
    <w:rsid w:val="0072034B"/>
    <w:rsid w:val="0072057A"/>
    <w:rsid w:val="0072109A"/>
    <w:rsid w:val="0072116C"/>
    <w:rsid w:val="00721471"/>
    <w:rsid w:val="007215EE"/>
    <w:rsid w:val="00721B93"/>
    <w:rsid w:val="00721BBB"/>
    <w:rsid w:val="00721D46"/>
    <w:rsid w:val="00721F25"/>
    <w:rsid w:val="00721FDC"/>
    <w:rsid w:val="00722536"/>
    <w:rsid w:val="0072283A"/>
    <w:rsid w:val="00722CD8"/>
    <w:rsid w:val="00722E9C"/>
    <w:rsid w:val="0072335F"/>
    <w:rsid w:val="00723593"/>
    <w:rsid w:val="00723992"/>
    <w:rsid w:val="00723BFC"/>
    <w:rsid w:val="00723F2D"/>
    <w:rsid w:val="00723F81"/>
    <w:rsid w:val="00724248"/>
    <w:rsid w:val="007243D2"/>
    <w:rsid w:val="00724C63"/>
    <w:rsid w:val="00724EDD"/>
    <w:rsid w:val="00725077"/>
    <w:rsid w:val="00725092"/>
    <w:rsid w:val="0072527E"/>
    <w:rsid w:val="007255C0"/>
    <w:rsid w:val="00725DC8"/>
    <w:rsid w:val="007266A3"/>
    <w:rsid w:val="00727065"/>
    <w:rsid w:val="00727114"/>
    <w:rsid w:val="00727124"/>
    <w:rsid w:val="0073059F"/>
    <w:rsid w:val="007305D5"/>
    <w:rsid w:val="007307A0"/>
    <w:rsid w:val="00730DA7"/>
    <w:rsid w:val="00731A7C"/>
    <w:rsid w:val="00731CF0"/>
    <w:rsid w:val="00731FC4"/>
    <w:rsid w:val="00732098"/>
    <w:rsid w:val="007320D8"/>
    <w:rsid w:val="00732A0B"/>
    <w:rsid w:val="00732A70"/>
    <w:rsid w:val="00732AD7"/>
    <w:rsid w:val="0073327A"/>
    <w:rsid w:val="00734103"/>
    <w:rsid w:val="00734299"/>
    <w:rsid w:val="007345AE"/>
    <w:rsid w:val="00734D35"/>
    <w:rsid w:val="00734FBF"/>
    <w:rsid w:val="007355D3"/>
    <w:rsid w:val="00735AF4"/>
    <w:rsid w:val="00735DFB"/>
    <w:rsid w:val="00735E1E"/>
    <w:rsid w:val="00736B06"/>
    <w:rsid w:val="0073705B"/>
    <w:rsid w:val="00740444"/>
    <w:rsid w:val="00740736"/>
    <w:rsid w:val="007408F0"/>
    <w:rsid w:val="00740BB8"/>
    <w:rsid w:val="0074170B"/>
    <w:rsid w:val="00741856"/>
    <w:rsid w:val="00741CE5"/>
    <w:rsid w:val="00741EAF"/>
    <w:rsid w:val="00742717"/>
    <w:rsid w:val="007428BC"/>
    <w:rsid w:val="00743411"/>
    <w:rsid w:val="00743E16"/>
    <w:rsid w:val="00743EBD"/>
    <w:rsid w:val="00743FB2"/>
    <w:rsid w:val="00744948"/>
    <w:rsid w:val="007450F4"/>
    <w:rsid w:val="00746043"/>
    <w:rsid w:val="00746DAF"/>
    <w:rsid w:val="0074702E"/>
    <w:rsid w:val="00747559"/>
    <w:rsid w:val="00747968"/>
    <w:rsid w:val="007504E6"/>
    <w:rsid w:val="00750BAA"/>
    <w:rsid w:val="00750C17"/>
    <w:rsid w:val="00750ED3"/>
    <w:rsid w:val="00751016"/>
    <w:rsid w:val="007515A8"/>
    <w:rsid w:val="00751AC1"/>
    <w:rsid w:val="00751D32"/>
    <w:rsid w:val="00752E80"/>
    <w:rsid w:val="00753368"/>
    <w:rsid w:val="00753DBF"/>
    <w:rsid w:val="00754442"/>
    <w:rsid w:val="007548D4"/>
    <w:rsid w:val="00754D3C"/>
    <w:rsid w:val="00754DD3"/>
    <w:rsid w:val="00754DDA"/>
    <w:rsid w:val="00755147"/>
    <w:rsid w:val="00755404"/>
    <w:rsid w:val="007557D4"/>
    <w:rsid w:val="007561C6"/>
    <w:rsid w:val="00756D37"/>
    <w:rsid w:val="00756DFC"/>
    <w:rsid w:val="00756EBF"/>
    <w:rsid w:val="00756F0A"/>
    <w:rsid w:val="007571E4"/>
    <w:rsid w:val="0075722D"/>
    <w:rsid w:val="007575A7"/>
    <w:rsid w:val="00760044"/>
    <w:rsid w:val="007603C0"/>
    <w:rsid w:val="007604B8"/>
    <w:rsid w:val="007605E4"/>
    <w:rsid w:val="00760975"/>
    <w:rsid w:val="007610F4"/>
    <w:rsid w:val="00761979"/>
    <w:rsid w:val="00761C76"/>
    <w:rsid w:val="00762140"/>
    <w:rsid w:val="00762200"/>
    <w:rsid w:val="007622B7"/>
    <w:rsid w:val="007624C1"/>
    <w:rsid w:val="00762809"/>
    <w:rsid w:val="00762A24"/>
    <w:rsid w:val="00762B27"/>
    <w:rsid w:val="00762CF0"/>
    <w:rsid w:val="00762E27"/>
    <w:rsid w:val="00762F5B"/>
    <w:rsid w:val="0076300C"/>
    <w:rsid w:val="0076333B"/>
    <w:rsid w:val="007636C3"/>
    <w:rsid w:val="00763882"/>
    <w:rsid w:val="00763C0F"/>
    <w:rsid w:val="007646DB"/>
    <w:rsid w:val="0076511E"/>
    <w:rsid w:val="00765560"/>
    <w:rsid w:val="007656ED"/>
    <w:rsid w:val="007659D0"/>
    <w:rsid w:val="0076604E"/>
    <w:rsid w:val="00766942"/>
    <w:rsid w:val="007669F0"/>
    <w:rsid w:val="007702C3"/>
    <w:rsid w:val="00770A1A"/>
    <w:rsid w:val="00770C53"/>
    <w:rsid w:val="00770C62"/>
    <w:rsid w:val="007715EF"/>
    <w:rsid w:val="00771B2A"/>
    <w:rsid w:val="00771E94"/>
    <w:rsid w:val="00771F2A"/>
    <w:rsid w:val="0077253D"/>
    <w:rsid w:val="00772620"/>
    <w:rsid w:val="00772BEC"/>
    <w:rsid w:val="00772FF4"/>
    <w:rsid w:val="007739E1"/>
    <w:rsid w:val="00773F5C"/>
    <w:rsid w:val="00774451"/>
    <w:rsid w:val="007744D1"/>
    <w:rsid w:val="007766BD"/>
    <w:rsid w:val="00776A34"/>
    <w:rsid w:val="00776F0F"/>
    <w:rsid w:val="007776B7"/>
    <w:rsid w:val="00780A58"/>
    <w:rsid w:val="00780BE9"/>
    <w:rsid w:val="00781F36"/>
    <w:rsid w:val="007820D6"/>
    <w:rsid w:val="0078270C"/>
    <w:rsid w:val="00782788"/>
    <w:rsid w:val="0078330F"/>
    <w:rsid w:val="00783400"/>
    <w:rsid w:val="0078354C"/>
    <w:rsid w:val="007839DC"/>
    <w:rsid w:val="00783B63"/>
    <w:rsid w:val="00784AE8"/>
    <w:rsid w:val="00785386"/>
    <w:rsid w:val="0078605C"/>
    <w:rsid w:val="007862A4"/>
    <w:rsid w:val="00786FD5"/>
    <w:rsid w:val="0078764C"/>
    <w:rsid w:val="007876D8"/>
    <w:rsid w:val="00787722"/>
    <w:rsid w:val="0078779B"/>
    <w:rsid w:val="0079011E"/>
    <w:rsid w:val="0079026D"/>
    <w:rsid w:val="007903CD"/>
    <w:rsid w:val="00791FD9"/>
    <w:rsid w:val="0079245F"/>
    <w:rsid w:val="0079263D"/>
    <w:rsid w:val="007929CF"/>
    <w:rsid w:val="00792F43"/>
    <w:rsid w:val="00793135"/>
    <w:rsid w:val="007933C9"/>
    <w:rsid w:val="007936D5"/>
    <w:rsid w:val="00793C1F"/>
    <w:rsid w:val="00793CCA"/>
    <w:rsid w:val="00793FD0"/>
    <w:rsid w:val="00794611"/>
    <w:rsid w:val="0079475B"/>
    <w:rsid w:val="00794773"/>
    <w:rsid w:val="0079521F"/>
    <w:rsid w:val="00795E1F"/>
    <w:rsid w:val="007961D0"/>
    <w:rsid w:val="0079743F"/>
    <w:rsid w:val="00797452"/>
    <w:rsid w:val="007A191E"/>
    <w:rsid w:val="007A1ACC"/>
    <w:rsid w:val="007A4ECB"/>
    <w:rsid w:val="007A5041"/>
    <w:rsid w:val="007A5160"/>
    <w:rsid w:val="007A51B6"/>
    <w:rsid w:val="007A56D7"/>
    <w:rsid w:val="007A586C"/>
    <w:rsid w:val="007A5C61"/>
    <w:rsid w:val="007A5DF8"/>
    <w:rsid w:val="007A6551"/>
    <w:rsid w:val="007A6909"/>
    <w:rsid w:val="007A7A82"/>
    <w:rsid w:val="007A7E41"/>
    <w:rsid w:val="007B0423"/>
    <w:rsid w:val="007B07B2"/>
    <w:rsid w:val="007B0B01"/>
    <w:rsid w:val="007B1A6F"/>
    <w:rsid w:val="007B1D43"/>
    <w:rsid w:val="007B1FA1"/>
    <w:rsid w:val="007B217D"/>
    <w:rsid w:val="007B2F1B"/>
    <w:rsid w:val="007B2F29"/>
    <w:rsid w:val="007B3001"/>
    <w:rsid w:val="007B30B2"/>
    <w:rsid w:val="007B3293"/>
    <w:rsid w:val="007B3514"/>
    <w:rsid w:val="007B3AD3"/>
    <w:rsid w:val="007B40F9"/>
    <w:rsid w:val="007B4646"/>
    <w:rsid w:val="007B4709"/>
    <w:rsid w:val="007B4B32"/>
    <w:rsid w:val="007B4E25"/>
    <w:rsid w:val="007B50A1"/>
    <w:rsid w:val="007B50B9"/>
    <w:rsid w:val="007B58B0"/>
    <w:rsid w:val="007B63D5"/>
    <w:rsid w:val="007B6D23"/>
    <w:rsid w:val="007B6F1C"/>
    <w:rsid w:val="007C0B1A"/>
    <w:rsid w:val="007C1240"/>
    <w:rsid w:val="007C1A0F"/>
    <w:rsid w:val="007C1DD9"/>
    <w:rsid w:val="007C1F74"/>
    <w:rsid w:val="007C2B0C"/>
    <w:rsid w:val="007C2D0F"/>
    <w:rsid w:val="007C2EC0"/>
    <w:rsid w:val="007C31DA"/>
    <w:rsid w:val="007C346A"/>
    <w:rsid w:val="007C354F"/>
    <w:rsid w:val="007C53AE"/>
    <w:rsid w:val="007C567E"/>
    <w:rsid w:val="007C5DC6"/>
    <w:rsid w:val="007C5F2E"/>
    <w:rsid w:val="007C67B1"/>
    <w:rsid w:val="007C6BCB"/>
    <w:rsid w:val="007C79F8"/>
    <w:rsid w:val="007C7AAF"/>
    <w:rsid w:val="007D08E2"/>
    <w:rsid w:val="007D0D94"/>
    <w:rsid w:val="007D0E47"/>
    <w:rsid w:val="007D0F94"/>
    <w:rsid w:val="007D121F"/>
    <w:rsid w:val="007D1843"/>
    <w:rsid w:val="007D1945"/>
    <w:rsid w:val="007D1CA1"/>
    <w:rsid w:val="007D2698"/>
    <w:rsid w:val="007D28E2"/>
    <w:rsid w:val="007D2F69"/>
    <w:rsid w:val="007D3240"/>
    <w:rsid w:val="007D3255"/>
    <w:rsid w:val="007D3E3A"/>
    <w:rsid w:val="007D55BF"/>
    <w:rsid w:val="007D55C1"/>
    <w:rsid w:val="007D5BD2"/>
    <w:rsid w:val="007D5EA4"/>
    <w:rsid w:val="007D6006"/>
    <w:rsid w:val="007D6197"/>
    <w:rsid w:val="007D6C16"/>
    <w:rsid w:val="007D740A"/>
    <w:rsid w:val="007D78AA"/>
    <w:rsid w:val="007D7B2E"/>
    <w:rsid w:val="007D7C6C"/>
    <w:rsid w:val="007D7ED0"/>
    <w:rsid w:val="007E0A10"/>
    <w:rsid w:val="007E0B4E"/>
    <w:rsid w:val="007E1382"/>
    <w:rsid w:val="007E14F7"/>
    <w:rsid w:val="007E15D0"/>
    <w:rsid w:val="007E16AF"/>
    <w:rsid w:val="007E175A"/>
    <w:rsid w:val="007E1B27"/>
    <w:rsid w:val="007E1C5B"/>
    <w:rsid w:val="007E22B6"/>
    <w:rsid w:val="007E236F"/>
    <w:rsid w:val="007E2B41"/>
    <w:rsid w:val="007E2EAE"/>
    <w:rsid w:val="007E3E98"/>
    <w:rsid w:val="007E483F"/>
    <w:rsid w:val="007E5A0A"/>
    <w:rsid w:val="007E6496"/>
    <w:rsid w:val="007E69E5"/>
    <w:rsid w:val="007E6AC3"/>
    <w:rsid w:val="007F0666"/>
    <w:rsid w:val="007F0D01"/>
    <w:rsid w:val="007F10D1"/>
    <w:rsid w:val="007F166E"/>
    <w:rsid w:val="007F2455"/>
    <w:rsid w:val="007F30BE"/>
    <w:rsid w:val="007F3754"/>
    <w:rsid w:val="007F384D"/>
    <w:rsid w:val="007F40F4"/>
    <w:rsid w:val="007F4184"/>
    <w:rsid w:val="007F49E1"/>
    <w:rsid w:val="007F4DA3"/>
    <w:rsid w:val="007F5075"/>
    <w:rsid w:val="007F6775"/>
    <w:rsid w:val="007F6897"/>
    <w:rsid w:val="007F76AD"/>
    <w:rsid w:val="00800000"/>
    <w:rsid w:val="008006FE"/>
    <w:rsid w:val="00800BA6"/>
    <w:rsid w:val="00800F16"/>
    <w:rsid w:val="008013A0"/>
    <w:rsid w:val="00802285"/>
    <w:rsid w:val="00802375"/>
    <w:rsid w:val="008024E3"/>
    <w:rsid w:val="00802918"/>
    <w:rsid w:val="00802E1B"/>
    <w:rsid w:val="008032D1"/>
    <w:rsid w:val="00803820"/>
    <w:rsid w:val="00803909"/>
    <w:rsid w:val="00803FA1"/>
    <w:rsid w:val="00804157"/>
    <w:rsid w:val="00804555"/>
    <w:rsid w:val="008045A7"/>
    <w:rsid w:val="00804F53"/>
    <w:rsid w:val="00805CDF"/>
    <w:rsid w:val="008066EB"/>
    <w:rsid w:val="00806929"/>
    <w:rsid w:val="00807379"/>
    <w:rsid w:val="00807558"/>
    <w:rsid w:val="008077BA"/>
    <w:rsid w:val="008079A3"/>
    <w:rsid w:val="00807D0C"/>
    <w:rsid w:val="008103C6"/>
    <w:rsid w:val="0081078C"/>
    <w:rsid w:val="008116E5"/>
    <w:rsid w:val="008117A7"/>
    <w:rsid w:val="00811DC7"/>
    <w:rsid w:val="00811F2D"/>
    <w:rsid w:val="00812361"/>
    <w:rsid w:val="00812977"/>
    <w:rsid w:val="00812B83"/>
    <w:rsid w:val="0081312C"/>
    <w:rsid w:val="008134CF"/>
    <w:rsid w:val="008137B6"/>
    <w:rsid w:val="00814027"/>
    <w:rsid w:val="0081465B"/>
    <w:rsid w:val="00815CB8"/>
    <w:rsid w:val="00817EDB"/>
    <w:rsid w:val="00820102"/>
    <w:rsid w:val="008205AC"/>
    <w:rsid w:val="00820F46"/>
    <w:rsid w:val="008217CD"/>
    <w:rsid w:val="00821B62"/>
    <w:rsid w:val="00821F70"/>
    <w:rsid w:val="008221A6"/>
    <w:rsid w:val="008230BE"/>
    <w:rsid w:val="00823F5C"/>
    <w:rsid w:val="00824181"/>
    <w:rsid w:val="00824359"/>
    <w:rsid w:val="0082482A"/>
    <w:rsid w:val="008253C9"/>
    <w:rsid w:val="008257DE"/>
    <w:rsid w:val="00826118"/>
    <w:rsid w:val="0082627B"/>
    <w:rsid w:val="008263A3"/>
    <w:rsid w:val="00826506"/>
    <w:rsid w:val="008271EB"/>
    <w:rsid w:val="0082733A"/>
    <w:rsid w:val="00827D70"/>
    <w:rsid w:val="00830832"/>
    <w:rsid w:val="008314A1"/>
    <w:rsid w:val="008316FD"/>
    <w:rsid w:val="0083192A"/>
    <w:rsid w:val="00831AA7"/>
    <w:rsid w:val="00831E4E"/>
    <w:rsid w:val="00831FBC"/>
    <w:rsid w:val="008323E6"/>
    <w:rsid w:val="008326B1"/>
    <w:rsid w:val="00832930"/>
    <w:rsid w:val="008329B1"/>
    <w:rsid w:val="00832A95"/>
    <w:rsid w:val="00833254"/>
    <w:rsid w:val="008336F4"/>
    <w:rsid w:val="0083417F"/>
    <w:rsid w:val="0083423A"/>
    <w:rsid w:val="008343C4"/>
    <w:rsid w:val="00834EE6"/>
    <w:rsid w:val="008354EF"/>
    <w:rsid w:val="008356C9"/>
    <w:rsid w:val="0083586F"/>
    <w:rsid w:val="00835E92"/>
    <w:rsid w:val="008369D4"/>
    <w:rsid w:val="00837529"/>
    <w:rsid w:val="00837D9C"/>
    <w:rsid w:val="008406AE"/>
    <w:rsid w:val="00840B8C"/>
    <w:rsid w:val="00841C71"/>
    <w:rsid w:val="00842083"/>
    <w:rsid w:val="0084247B"/>
    <w:rsid w:val="0084259B"/>
    <w:rsid w:val="008425EC"/>
    <w:rsid w:val="008426B3"/>
    <w:rsid w:val="008426E1"/>
    <w:rsid w:val="00842E93"/>
    <w:rsid w:val="00843264"/>
    <w:rsid w:val="0084347D"/>
    <w:rsid w:val="00843501"/>
    <w:rsid w:val="008437A3"/>
    <w:rsid w:val="00844045"/>
    <w:rsid w:val="0084457D"/>
    <w:rsid w:val="00844587"/>
    <w:rsid w:val="0084597D"/>
    <w:rsid w:val="00845A8C"/>
    <w:rsid w:val="00845AE8"/>
    <w:rsid w:val="00845B47"/>
    <w:rsid w:val="00845DA6"/>
    <w:rsid w:val="00846108"/>
    <w:rsid w:val="008461F9"/>
    <w:rsid w:val="00846A72"/>
    <w:rsid w:val="00846D2D"/>
    <w:rsid w:val="00846F41"/>
    <w:rsid w:val="00847595"/>
    <w:rsid w:val="008477F9"/>
    <w:rsid w:val="00847B8B"/>
    <w:rsid w:val="00850698"/>
    <w:rsid w:val="0085074A"/>
    <w:rsid w:val="00850BEF"/>
    <w:rsid w:val="0085108D"/>
    <w:rsid w:val="00851281"/>
    <w:rsid w:val="00851534"/>
    <w:rsid w:val="00851AEF"/>
    <w:rsid w:val="0085203E"/>
    <w:rsid w:val="008520BB"/>
    <w:rsid w:val="008522DB"/>
    <w:rsid w:val="008535FE"/>
    <w:rsid w:val="00853D12"/>
    <w:rsid w:val="0085458D"/>
    <w:rsid w:val="00855605"/>
    <w:rsid w:val="00856175"/>
    <w:rsid w:val="00856578"/>
    <w:rsid w:val="00856ACF"/>
    <w:rsid w:val="00856B73"/>
    <w:rsid w:val="00856DFD"/>
    <w:rsid w:val="00857084"/>
    <w:rsid w:val="00857AE9"/>
    <w:rsid w:val="00857B4B"/>
    <w:rsid w:val="00860113"/>
    <w:rsid w:val="0086029F"/>
    <w:rsid w:val="008603A4"/>
    <w:rsid w:val="00860418"/>
    <w:rsid w:val="00860EF8"/>
    <w:rsid w:val="008628DB"/>
    <w:rsid w:val="00862EA4"/>
    <w:rsid w:val="00863455"/>
    <w:rsid w:val="00863817"/>
    <w:rsid w:val="008639BC"/>
    <w:rsid w:val="00863CB2"/>
    <w:rsid w:val="008643DB"/>
    <w:rsid w:val="008644D3"/>
    <w:rsid w:val="00864B74"/>
    <w:rsid w:val="008657CF"/>
    <w:rsid w:val="0086599A"/>
    <w:rsid w:val="00865C55"/>
    <w:rsid w:val="00865E0F"/>
    <w:rsid w:val="008667CB"/>
    <w:rsid w:val="00866D58"/>
    <w:rsid w:val="00866DB3"/>
    <w:rsid w:val="00866E81"/>
    <w:rsid w:val="00867575"/>
    <w:rsid w:val="008676AB"/>
    <w:rsid w:val="00867707"/>
    <w:rsid w:val="00867949"/>
    <w:rsid w:val="00867B99"/>
    <w:rsid w:val="00870097"/>
    <w:rsid w:val="00870189"/>
    <w:rsid w:val="00870840"/>
    <w:rsid w:val="008717A9"/>
    <w:rsid w:val="0087191B"/>
    <w:rsid w:val="00871D85"/>
    <w:rsid w:val="00871DF9"/>
    <w:rsid w:val="00872942"/>
    <w:rsid w:val="008733F2"/>
    <w:rsid w:val="008736F8"/>
    <w:rsid w:val="008738FE"/>
    <w:rsid w:val="00873BD2"/>
    <w:rsid w:val="00874E9C"/>
    <w:rsid w:val="00874FCD"/>
    <w:rsid w:val="008750BE"/>
    <w:rsid w:val="00875214"/>
    <w:rsid w:val="00875806"/>
    <w:rsid w:val="00876056"/>
    <w:rsid w:val="00876434"/>
    <w:rsid w:val="00877256"/>
    <w:rsid w:val="008775F2"/>
    <w:rsid w:val="008800AA"/>
    <w:rsid w:val="00880C53"/>
    <w:rsid w:val="00880D1C"/>
    <w:rsid w:val="00882587"/>
    <w:rsid w:val="00882CBF"/>
    <w:rsid w:val="00882DC9"/>
    <w:rsid w:val="00882EC5"/>
    <w:rsid w:val="00883DC4"/>
    <w:rsid w:val="00883EFC"/>
    <w:rsid w:val="0088431A"/>
    <w:rsid w:val="008843BD"/>
    <w:rsid w:val="0088458A"/>
    <w:rsid w:val="00884917"/>
    <w:rsid w:val="0088498B"/>
    <w:rsid w:val="00885033"/>
    <w:rsid w:val="0088535F"/>
    <w:rsid w:val="00885AB9"/>
    <w:rsid w:val="00885ACA"/>
    <w:rsid w:val="00885AFE"/>
    <w:rsid w:val="00886162"/>
    <w:rsid w:val="00886BB0"/>
    <w:rsid w:val="00887A48"/>
    <w:rsid w:val="00887E1A"/>
    <w:rsid w:val="00887FF4"/>
    <w:rsid w:val="0089043F"/>
    <w:rsid w:val="00891E1C"/>
    <w:rsid w:val="00892F76"/>
    <w:rsid w:val="008934E9"/>
    <w:rsid w:val="008936E9"/>
    <w:rsid w:val="00893DFF"/>
    <w:rsid w:val="008946B5"/>
    <w:rsid w:val="00894E00"/>
    <w:rsid w:val="00894E18"/>
    <w:rsid w:val="00894F0B"/>
    <w:rsid w:val="0089569A"/>
    <w:rsid w:val="008957CD"/>
    <w:rsid w:val="00895A8C"/>
    <w:rsid w:val="00895FB0"/>
    <w:rsid w:val="00896DA6"/>
    <w:rsid w:val="00897232"/>
    <w:rsid w:val="00897B4C"/>
    <w:rsid w:val="008A05CF"/>
    <w:rsid w:val="008A09E6"/>
    <w:rsid w:val="008A0A55"/>
    <w:rsid w:val="008A232A"/>
    <w:rsid w:val="008A23B3"/>
    <w:rsid w:val="008A2B68"/>
    <w:rsid w:val="008A3263"/>
    <w:rsid w:val="008A3C32"/>
    <w:rsid w:val="008A3E62"/>
    <w:rsid w:val="008A40B0"/>
    <w:rsid w:val="008A4113"/>
    <w:rsid w:val="008A4512"/>
    <w:rsid w:val="008A4622"/>
    <w:rsid w:val="008A4637"/>
    <w:rsid w:val="008A5B16"/>
    <w:rsid w:val="008A612D"/>
    <w:rsid w:val="008A626E"/>
    <w:rsid w:val="008A6527"/>
    <w:rsid w:val="008A6BC2"/>
    <w:rsid w:val="008A6DF6"/>
    <w:rsid w:val="008A6E66"/>
    <w:rsid w:val="008A6EF3"/>
    <w:rsid w:val="008A7967"/>
    <w:rsid w:val="008A7EEB"/>
    <w:rsid w:val="008B094A"/>
    <w:rsid w:val="008B150A"/>
    <w:rsid w:val="008B2623"/>
    <w:rsid w:val="008B2726"/>
    <w:rsid w:val="008B281A"/>
    <w:rsid w:val="008B2A76"/>
    <w:rsid w:val="008B34A7"/>
    <w:rsid w:val="008B3513"/>
    <w:rsid w:val="008B398F"/>
    <w:rsid w:val="008B3AF1"/>
    <w:rsid w:val="008B3CDC"/>
    <w:rsid w:val="008B3F5A"/>
    <w:rsid w:val="008B424E"/>
    <w:rsid w:val="008B4AAB"/>
    <w:rsid w:val="008B4B39"/>
    <w:rsid w:val="008B4B83"/>
    <w:rsid w:val="008B4C50"/>
    <w:rsid w:val="008B4D9C"/>
    <w:rsid w:val="008B51F7"/>
    <w:rsid w:val="008B579E"/>
    <w:rsid w:val="008B5A36"/>
    <w:rsid w:val="008B5AAB"/>
    <w:rsid w:val="008B5E97"/>
    <w:rsid w:val="008B6200"/>
    <w:rsid w:val="008B6237"/>
    <w:rsid w:val="008B6CA9"/>
    <w:rsid w:val="008B7153"/>
    <w:rsid w:val="008C05FA"/>
    <w:rsid w:val="008C1210"/>
    <w:rsid w:val="008C1B30"/>
    <w:rsid w:val="008C1E00"/>
    <w:rsid w:val="008C2220"/>
    <w:rsid w:val="008C2274"/>
    <w:rsid w:val="008C2889"/>
    <w:rsid w:val="008C2A2C"/>
    <w:rsid w:val="008C3009"/>
    <w:rsid w:val="008C31A9"/>
    <w:rsid w:val="008C4118"/>
    <w:rsid w:val="008C43E0"/>
    <w:rsid w:val="008C46AE"/>
    <w:rsid w:val="008C588F"/>
    <w:rsid w:val="008C5AAD"/>
    <w:rsid w:val="008C5D86"/>
    <w:rsid w:val="008C5DCD"/>
    <w:rsid w:val="008C6657"/>
    <w:rsid w:val="008C7C49"/>
    <w:rsid w:val="008D0D62"/>
    <w:rsid w:val="008D1230"/>
    <w:rsid w:val="008D1F20"/>
    <w:rsid w:val="008D2544"/>
    <w:rsid w:val="008D2A8C"/>
    <w:rsid w:val="008D2D95"/>
    <w:rsid w:val="008D2DB9"/>
    <w:rsid w:val="008D308A"/>
    <w:rsid w:val="008D38DE"/>
    <w:rsid w:val="008D395C"/>
    <w:rsid w:val="008D3B8C"/>
    <w:rsid w:val="008D4345"/>
    <w:rsid w:val="008D4542"/>
    <w:rsid w:val="008D47AA"/>
    <w:rsid w:val="008D521D"/>
    <w:rsid w:val="008D5C0C"/>
    <w:rsid w:val="008D624E"/>
    <w:rsid w:val="008D6C8F"/>
    <w:rsid w:val="008D760C"/>
    <w:rsid w:val="008E00B2"/>
    <w:rsid w:val="008E01F7"/>
    <w:rsid w:val="008E1601"/>
    <w:rsid w:val="008E195C"/>
    <w:rsid w:val="008E1B20"/>
    <w:rsid w:val="008E1B7B"/>
    <w:rsid w:val="008E1DC7"/>
    <w:rsid w:val="008E214E"/>
    <w:rsid w:val="008E250F"/>
    <w:rsid w:val="008E299A"/>
    <w:rsid w:val="008E4C24"/>
    <w:rsid w:val="008E5528"/>
    <w:rsid w:val="008E5A1B"/>
    <w:rsid w:val="008E5A30"/>
    <w:rsid w:val="008E60BE"/>
    <w:rsid w:val="008E6253"/>
    <w:rsid w:val="008E699C"/>
    <w:rsid w:val="008E6A2C"/>
    <w:rsid w:val="008E6BE5"/>
    <w:rsid w:val="008E6C83"/>
    <w:rsid w:val="008E6DC7"/>
    <w:rsid w:val="008E72F0"/>
    <w:rsid w:val="008E7976"/>
    <w:rsid w:val="008F0124"/>
    <w:rsid w:val="008F07EB"/>
    <w:rsid w:val="008F1212"/>
    <w:rsid w:val="008F1E59"/>
    <w:rsid w:val="008F235E"/>
    <w:rsid w:val="008F2C0E"/>
    <w:rsid w:val="008F39A3"/>
    <w:rsid w:val="008F3BCA"/>
    <w:rsid w:val="008F54A2"/>
    <w:rsid w:val="008F55ED"/>
    <w:rsid w:val="008F7275"/>
    <w:rsid w:val="008F730C"/>
    <w:rsid w:val="008F761C"/>
    <w:rsid w:val="008F7CA8"/>
    <w:rsid w:val="009003B6"/>
    <w:rsid w:val="009004C4"/>
    <w:rsid w:val="00900591"/>
    <w:rsid w:val="009009CA"/>
    <w:rsid w:val="00900A77"/>
    <w:rsid w:val="00901190"/>
    <w:rsid w:val="0090126C"/>
    <w:rsid w:val="009012A0"/>
    <w:rsid w:val="0090263D"/>
    <w:rsid w:val="00902B9C"/>
    <w:rsid w:val="00902CB7"/>
    <w:rsid w:val="009031F3"/>
    <w:rsid w:val="00903B0A"/>
    <w:rsid w:val="00904070"/>
    <w:rsid w:val="00904A06"/>
    <w:rsid w:val="0090531B"/>
    <w:rsid w:val="00906854"/>
    <w:rsid w:val="00906995"/>
    <w:rsid w:val="00910799"/>
    <w:rsid w:val="00910A62"/>
    <w:rsid w:val="00910F4F"/>
    <w:rsid w:val="009115C6"/>
    <w:rsid w:val="00911612"/>
    <w:rsid w:val="0091185E"/>
    <w:rsid w:val="00912084"/>
    <w:rsid w:val="009121C2"/>
    <w:rsid w:val="0091230C"/>
    <w:rsid w:val="009129A5"/>
    <w:rsid w:val="00912E72"/>
    <w:rsid w:val="009130BD"/>
    <w:rsid w:val="00913A97"/>
    <w:rsid w:val="00914158"/>
    <w:rsid w:val="009145BC"/>
    <w:rsid w:val="0091521E"/>
    <w:rsid w:val="009152EE"/>
    <w:rsid w:val="009155E8"/>
    <w:rsid w:val="00915786"/>
    <w:rsid w:val="0091597D"/>
    <w:rsid w:val="009163B6"/>
    <w:rsid w:val="0091787E"/>
    <w:rsid w:val="009178DF"/>
    <w:rsid w:val="00917C58"/>
    <w:rsid w:val="00920D97"/>
    <w:rsid w:val="009212BA"/>
    <w:rsid w:val="00921886"/>
    <w:rsid w:val="00921DB7"/>
    <w:rsid w:val="00921EF6"/>
    <w:rsid w:val="009224C4"/>
    <w:rsid w:val="00922572"/>
    <w:rsid w:val="00922C47"/>
    <w:rsid w:val="00922C68"/>
    <w:rsid w:val="0092423C"/>
    <w:rsid w:val="00924708"/>
    <w:rsid w:val="009247E6"/>
    <w:rsid w:val="0092483E"/>
    <w:rsid w:val="00924DB9"/>
    <w:rsid w:val="00924EFE"/>
    <w:rsid w:val="00925403"/>
    <w:rsid w:val="0092604A"/>
    <w:rsid w:val="0092605C"/>
    <w:rsid w:val="009263A7"/>
    <w:rsid w:val="00926547"/>
    <w:rsid w:val="009266A6"/>
    <w:rsid w:val="00926947"/>
    <w:rsid w:val="00927250"/>
    <w:rsid w:val="00927286"/>
    <w:rsid w:val="00930059"/>
    <w:rsid w:val="00930A2F"/>
    <w:rsid w:val="00931188"/>
    <w:rsid w:val="00931EA1"/>
    <w:rsid w:val="009330F5"/>
    <w:rsid w:val="00933894"/>
    <w:rsid w:val="00933BF3"/>
    <w:rsid w:val="00933D85"/>
    <w:rsid w:val="0093427B"/>
    <w:rsid w:val="00934A13"/>
    <w:rsid w:val="00934A48"/>
    <w:rsid w:val="00934A5A"/>
    <w:rsid w:val="00934F1A"/>
    <w:rsid w:val="00935338"/>
    <w:rsid w:val="009362FF"/>
    <w:rsid w:val="0093641C"/>
    <w:rsid w:val="00936525"/>
    <w:rsid w:val="00937C93"/>
    <w:rsid w:val="00941831"/>
    <w:rsid w:val="00941910"/>
    <w:rsid w:val="00941AD8"/>
    <w:rsid w:val="009425FD"/>
    <w:rsid w:val="00942AE4"/>
    <w:rsid w:val="00942AEA"/>
    <w:rsid w:val="00942EE7"/>
    <w:rsid w:val="00943648"/>
    <w:rsid w:val="00943B61"/>
    <w:rsid w:val="00943C60"/>
    <w:rsid w:val="00944C55"/>
    <w:rsid w:val="009452A6"/>
    <w:rsid w:val="00946ED0"/>
    <w:rsid w:val="009471B3"/>
    <w:rsid w:val="00947664"/>
    <w:rsid w:val="009477C4"/>
    <w:rsid w:val="00947B40"/>
    <w:rsid w:val="00947BF0"/>
    <w:rsid w:val="00950185"/>
    <w:rsid w:val="009506E0"/>
    <w:rsid w:val="00951273"/>
    <w:rsid w:val="009516C5"/>
    <w:rsid w:val="009516C6"/>
    <w:rsid w:val="00952DEF"/>
    <w:rsid w:val="00953122"/>
    <w:rsid w:val="009536F8"/>
    <w:rsid w:val="009545CB"/>
    <w:rsid w:val="0095471C"/>
    <w:rsid w:val="009549C7"/>
    <w:rsid w:val="009553DB"/>
    <w:rsid w:val="009558C9"/>
    <w:rsid w:val="00955992"/>
    <w:rsid w:val="009559A7"/>
    <w:rsid w:val="00956A32"/>
    <w:rsid w:val="00956B84"/>
    <w:rsid w:val="00956B91"/>
    <w:rsid w:val="00956FF0"/>
    <w:rsid w:val="00957272"/>
    <w:rsid w:val="0095740B"/>
    <w:rsid w:val="00957C99"/>
    <w:rsid w:val="00957CCF"/>
    <w:rsid w:val="0096048C"/>
    <w:rsid w:val="009609A4"/>
    <w:rsid w:val="00960B91"/>
    <w:rsid w:val="00960D0C"/>
    <w:rsid w:val="009612A7"/>
    <w:rsid w:val="0096182B"/>
    <w:rsid w:val="00961B7A"/>
    <w:rsid w:val="00961CE4"/>
    <w:rsid w:val="00962B71"/>
    <w:rsid w:val="00962C92"/>
    <w:rsid w:val="00962D65"/>
    <w:rsid w:val="00962DC7"/>
    <w:rsid w:val="00963855"/>
    <w:rsid w:val="009641D8"/>
    <w:rsid w:val="009641F6"/>
    <w:rsid w:val="009642D9"/>
    <w:rsid w:val="009643E3"/>
    <w:rsid w:val="00964853"/>
    <w:rsid w:val="00964894"/>
    <w:rsid w:val="00964EBF"/>
    <w:rsid w:val="0096517A"/>
    <w:rsid w:val="00965F7E"/>
    <w:rsid w:val="009668F2"/>
    <w:rsid w:val="00966A40"/>
    <w:rsid w:val="00966B51"/>
    <w:rsid w:val="00967061"/>
    <w:rsid w:val="00967085"/>
    <w:rsid w:val="009677BF"/>
    <w:rsid w:val="00967AB3"/>
    <w:rsid w:val="00967B72"/>
    <w:rsid w:val="00970094"/>
    <w:rsid w:val="009701C5"/>
    <w:rsid w:val="009704A3"/>
    <w:rsid w:val="009707F1"/>
    <w:rsid w:val="00970908"/>
    <w:rsid w:val="00971819"/>
    <w:rsid w:val="00971C08"/>
    <w:rsid w:val="009732F9"/>
    <w:rsid w:val="00974078"/>
    <w:rsid w:val="00975299"/>
    <w:rsid w:val="009756C5"/>
    <w:rsid w:val="0097587F"/>
    <w:rsid w:val="00976159"/>
    <w:rsid w:val="00976BD5"/>
    <w:rsid w:val="00977B28"/>
    <w:rsid w:val="00977D8F"/>
    <w:rsid w:val="00981305"/>
    <w:rsid w:val="00981E2E"/>
    <w:rsid w:val="00981EAD"/>
    <w:rsid w:val="009827D2"/>
    <w:rsid w:val="00982BC0"/>
    <w:rsid w:val="00982E1A"/>
    <w:rsid w:val="00982E5F"/>
    <w:rsid w:val="00983B87"/>
    <w:rsid w:val="00983C32"/>
    <w:rsid w:val="00983D45"/>
    <w:rsid w:val="0098457F"/>
    <w:rsid w:val="00984B80"/>
    <w:rsid w:val="00984FAE"/>
    <w:rsid w:val="00985596"/>
    <w:rsid w:val="00986047"/>
    <w:rsid w:val="009866CA"/>
    <w:rsid w:val="009869FA"/>
    <w:rsid w:val="00986B10"/>
    <w:rsid w:val="00986C0C"/>
    <w:rsid w:val="009874B1"/>
    <w:rsid w:val="009874E5"/>
    <w:rsid w:val="00987B1E"/>
    <w:rsid w:val="0099025D"/>
    <w:rsid w:val="0099027F"/>
    <w:rsid w:val="00990926"/>
    <w:rsid w:val="00990B47"/>
    <w:rsid w:val="00990E56"/>
    <w:rsid w:val="00990E79"/>
    <w:rsid w:val="009911CF"/>
    <w:rsid w:val="00991280"/>
    <w:rsid w:val="009915CF"/>
    <w:rsid w:val="0099163D"/>
    <w:rsid w:val="00991AD5"/>
    <w:rsid w:val="009922D2"/>
    <w:rsid w:val="00992524"/>
    <w:rsid w:val="009926BF"/>
    <w:rsid w:val="009929C2"/>
    <w:rsid w:val="00993230"/>
    <w:rsid w:val="0099323A"/>
    <w:rsid w:val="0099367A"/>
    <w:rsid w:val="00993770"/>
    <w:rsid w:val="009937EE"/>
    <w:rsid w:val="00994035"/>
    <w:rsid w:val="00994C32"/>
    <w:rsid w:val="009955BB"/>
    <w:rsid w:val="00995DE5"/>
    <w:rsid w:val="0099604A"/>
    <w:rsid w:val="009968F0"/>
    <w:rsid w:val="00996986"/>
    <w:rsid w:val="009A0042"/>
    <w:rsid w:val="009A0056"/>
    <w:rsid w:val="009A027F"/>
    <w:rsid w:val="009A0E3C"/>
    <w:rsid w:val="009A15BE"/>
    <w:rsid w:val="009A17DB"/>
    <w:rsid w:val="009A24D2"/>
    <w:rsid w:val="009A2AD8"/>
    <w:rsid w:val="009A2FD9"/>
    <w:rsid w:val="009A3D5A"/>
    <w:rsid w:val="009A3FB6"/>
    <w:rsid w:val="009A49D7"/>
    <w:rsid w:val="009A4C10"/>
    <w:rsid w:val="009A513C"/>
    <w:rsid w:val="009A520C"/>
    <w:rsid w:val="009A5263"/>
    <w:rsid w:val="009A5AB9"/>
    <w:rsid w:val="009A5B1A"/>
    <w:rsid w:val="009A675D"/>
    <w:rsid w:val="009A6817"/>
    <w:rsid w:val="009A69C4"/>
    <w:rsid w:val="009A71AB"/>
    <w:rsid w:val="009A7279"/>
    <w:rsid w:val="009B00F8"/>
    <w:rsid w:val="009B0A50"/>
    <w:rsid w:val="009B0EDF"/>
    <w:rsid w:val="009B0FDD"/>
    <w:rsid w:val="009B1114"/>
    <w:rsid w:val="009B1190"/>
    <w:rsid w:val="009B11F5"/>
    <w:rsid w:val="009B12B0"/>
    <w:rsid w:val="009B2886"/>
    <w:rsid w:val="009B31C0"/>
    <w:rsid w:val="009B34B0"/>
    <w:rsid w:val="009B453D"/>
    <w:rsid w:val="009B50C5"/>
    <w:rsid w:val="009B5795"/>
    <w:rsid w:val="009B5CA8"/>
    <w:rsid w:val="009B5D0A"/>
    <w:rsid w:val="009B5E78"/>
    <w:rsid w:val="009B5E83"/>
    <w:rsid w:val="009B6478"/>
    <w:rsid w:val="009B67F1"/>
    <w:rsid w:val="009B7B15"/>
    <w:rsid w:val="009B7C79"/>
    <w:rsid w:val="009C0164"/>
    <w:rsid w:val="009C0467"/>
    <w:rsid w:val="009C0C35"/>
    <w:rsid w:val="009C0E3E"/>
    <w:rsid w:val="009C12C4"/>
    <w:rsid w:val="009C12FD"/>
    <w:rsid w:val="009C1A1C"/>
    <w:rsid w:val="009C1A67"/>
    <w:rsid w:val="009C1B56"/>
    <w:rsid w:val="009C2610"/>
    <w:rsid w:val="009C28D9"/>
    <w:rsid w:val="009C2D1D"/>
    <w:rsid w:val="009C3250"/>
    <w:rsid w:val="009C3F5F"/>
    <w:rsid w:val="009C4A8B"/>
    <w:rsid w:val="009C5338"/>
    <w:rsid w:val="009C54DE"/>
    <w:rsid w:val="009C5B3C"/>
    <w:rsid w:val="009C5BFF"/>
    <w:rsid w:val="009C668A"/>
    <w:rsid w:val="009C68B3"/>
    <w:rsid w:val="009C7050"/>
    <w:rsid w:val="009C7EC4"/>
    <w:rsid w:val="009C7F2F"/>
    <w:rsid w:val="009D01BB"/>
    <w:rsid w:val="009D0273"/>
    <w:rsid w:val="009D032B"/>
    <w:rsid w:val="009D0354"/>
    <w:rsid w:val="009D07A3"/>
    <w:rsid w:val="009D0BE5"/>
    <w:rsid w:val="009D1179"/>
    <w:rsid w:val="009D11A2"/>
    <w:rsid w:val="009D15CB"/>
    <w:rsid w:val="009D33F0"/>
    <w:rsid w:val="009D3A55"/>
    <w:rsid w:val="009D3C65"/>
    <w:rsid w:val="009D5C6F"/>
    <w:rsid w:val="009D6640"/>
    <w:rsid w:val="009D6934"/>
    <w:rsid w:val="009D6C33"/>
    <w:rsid w:val="009D6D1E"/>
    <w:rsid w:val="009D72F5"/>
    <w:rsid w:val="009D7AA3"/>
    <w:rsid w:val="009E15FB"/>
    <w:rsid w:val="009E26AD"/>
    <w:rsid w:val="009E26EC"/>
    <w:rsid w:val="009E2739"/>
    <w:rsid w:val="009E2CE0"/>
    <w:rsid w:val="009E2FCD"/>
    <w:rsid w:val="009E34DB"/>
    <w:rsid w:val="009E36EE"/>
    <w:rsid w:val="009E3A3E"/>
    <w:rsid w:val="009E3D7B"/>
    <w:rsid w:val="009E4251"/>
    <w:rsid w:val="009E4BF4"/>
    <w:rsid w:val="009E5819"/>
    <w:rsid w:val="009E5B2F"/>
    <w:rsid w:val="009E5CAE"/>
    <w:rsid w:val="009E7563"/>
    <w:rsid w:val="009E7BF6"/>
    <w:rsid w:val="009E7CB3"/>
    <w:rsid w:val="009F0187"/>
    <w:rsid w:val="009F0775"/>
    <w:rsid w:val="009F1A25"/>
    <w:rsid w:val="009F2ECC"/>
    <w:rsid w:val="009F3EE3"/>
    <w:rsid w:val="009F42D7"/>
    <w:rsid w:val="009F4581"/>
    <w:rsid w:val="009F4BB1"/>
    <w:rsid w:val="009F5C06"/>
    <w:rsid w:val="009F5F85"/>
    <w:rsid w:val="009F606D"/>
    <w:rsid w:val="009F6B71"/>
    <w:rsid w:val="009F7D63"/>
    <w:rsid w:val="009F7E45"/>
    <w:rsid w:val="00A00011"/>
    <w:rsid w:val="00A0068F"/>
    <w:rsid w:val="00A006B1"/>
    <w:rsid w:val="00A01393"/>
    <w:rsid w:val="00A01510"/>
    <w:rsid w:val="00A0173E"/>
    <w:rsid w:val="00A017A2"/>
    <w:rsid w:val="00A019E9"/>
    <w:rsid w:val="00A023F0"/>
    <w:rsid w:val="00A02B93"/>
    <w:rsid w:val="00A03528"/>
    <w:rsid w:val="00A036EF"/>
    <w:rsid w:val="00A03800"/>
    <w:rsid w:val="00A03E67"/>
    <w:rsid w:val="00A04156"/>
    <w:rsid w:val="00A0450A"/>
    <w:rsid w:val="00A04AEE"/>
    <w:rsid w:val="00A04CB3"/>
    <w:rsid w:val="00A05029"/>
    <w:rsid w:val="00A0503F"/>
    <w:rsid w:val="00A05526"/>
    <w:rsid w:val="00A0552C"/>
    <w:rsid w:val="00A055E7"/>
    <w:rsid w:val="00A05BF5"/>
    <w:rsid w:val="00A062DB"/>
    <w:rsid w:val="00A0642B"/>
    <w:rsid w:val="00A06B42"/>
    <w:rsid w:val="00A06C41"/>
    <w:rsid w:val="00A077BD"/>
    <w:rsid w:val="00A07E47"/>
    <w:rsid w:val="00A10DDD"/>
    <w:rsid w:val="00A1106D"/>
    <w:rsid w:val="00A11365"/>
    <w:rsid w:val="00A1158D"/>
    <w:rsid w:val="00A12B12"/>
    <w:rsid w:val="00A12F83"/>
    <w:rsid w:val="00A1305E"/>
    <w:rsid w:val="00A1354E"/>
    <w:rsid w:val="00A137AE"/>
    <w:rsid w:val="00A142B9"/>
    <w:rsid w:val="00A14AE4"/>
    <w:rsid w:val="00A1513B"/>
    <w:rsid w:val="00A155F6"/>
    <w:rsid w:val="00A15892"/>
    <w:rsid w:val="00A15EED"/>
    <w:rsid w:val="00A1658F"/>
    <w:rsid w:val="00A1688B"/>
    <w:rsid w:val="00A16892"/>
    <w:rsid w:val="00A16A18"/>
    <w:rsid w:val="00A16A2D"/>
    <w:rsid w:val="00A16BC3"/>
    <w:rsid w:val="00A17616"/>
    <w:rsid w:val="00A176E8"/>
    <w:rsid w:val="00A17771"/>
    <w:rsid w:val="00A17F3B"/>
    <w:rsid w:val="00A20041"/>
    <w:rsid w:val="00A20242"/>
    <w:rsid w:val="00A207D1"/>
    <w:rsid w:val="00A21305"/>
    <w:rsid w:val="00A215AD"/>
    <w:rsid w:val="00A218E4"/>
    <w:rsid w:val="00A21DF7"/>
    <w:rsid w:val="00A2326F"/>
    <w:rsid w:val="00A24AB0"/>
    <w:rsid w:val="00A24D3D"/>
    <w:rsid w:val="00A25347"/>
    <w:rsid w:val="00A25568"/>
    <w:rsid w:val="00A25582"/>
    <w:rsid w:val="00A25F28"/>
    <w:rsid w:val="00A26812"/>
    <w:rsid w:val="00A268AB"/>
    <w:rsid w:val="00A26ACA"/>
    <w:rsid w:val="00A26E52"/>
    <w:rsid w:val="00A276C5"/>
    <w:rsid w:val="00A27C49"/>
    <w:rsid w:val="00A27D7A"/>
    <w:rsid w:val="00A3011F"/>
    <w:rsid w:val="00A302CA"/>
    <w:rsid w:val="00A30585"/>
    <w:rsid w:val="00A305D9"/>
    <w:rsid w:val="00A30A2E"/>
    <w:rsid w:val="00A30A45"/>
    <w:rsid w:val="00A30DD5"/>
    <w:rsid w:val="00A313E4"/>
    <w:rsid w:val="00A31722"/>
    <w:rsid w:val="00A32337"/>
    <w:rsid w:val="00A3280C"/>
    <w:rsid w:val="00A32829"/>
    <w:rsid w:val="00A3305B"/>
    <w:rsid w:val="00A345C5"/>
    <w:rsid w:val="00A34CB1"/>
    <w:rsid w:val="00A35046"/>
    <w:rsid w:val="00A36387"/>
    <w:rsid w:val="00A368F1"/>
    <w:rsid w:val="00A37881"/>
    <w:rsid w:val="00A3797D"/>
    <w:rsid w:val="00A37E73"/>
    <w:rsid w:val="00A37F72"/>
    <w:rsid w:val="00A41643"/>
    <w:rsid w:val="00A4169B"/>
    <w:rsid w:val="00A41887"/>
    <w:rsid w:val="00A41CFD"/>
    <w:rsid w:val="00A425BD"/>
    <w:rsid w:val="00A427C6"/>
    <w:rsid w:val="00A42B2F"/>
    <w:rsid w:val="00A42E84"/>
    <w:rsid w:val="00A437E2"/>
    <w:rsid w:val="00A43B24"/>
    <w:rsid w:val="00A43CBE"/>
    <w:rsid w:val="00A443CF"/>
    <w:rsid w:val="00A4513C"/>
    <w:rsid w:val="00A45C86"/>
    <w:rsid w:val="00A45EBC"/>
    <w:rsid w:val="00A46EB3"/>
    <w:rsid w:val="00A473B5"/>
    <w:rsid w:val="00A47D18"/>
    <w:rsid w:val="00A50464"/>
    <w:rsid w:val="00A5065D"/>
    <w:rsid w:val="00A5103F"/>
    <w:rsid w:val="00A513B1"/>
    <w:rsid w:val="00A516B1"/>
    <w:rsid w:val="00A51925"/>
    <w:rsid w:val="00A51B9C"/>
    <w:rsid w:val="00A51CAA"/>
    <w:rsid w:val="00A523DD"/>
    <w:rsid w:val="00A52732"/>
    <w:rsid w:val="00A529C7"/>
    <w:rsid w:val="00A52FBA"/>
    <w:rsid w:val="00A541B5"/>
    <w:rsid w:val="00A54289"/>
    <w:rsid w:val="00A54533"/>
    <w:rsid w:val="00A549AB"/>
    <w:rsid w:val="00A54EC5"/>
    <w:rsid w:val="00A55EA3"/>
    <w:rsid w:val="00A55F9A"/>
    <w:rsid w:val="00A602E5"/>
    <w:rsid w:val="00A609D1"/>
    <w:rsid w:val="00A60D49"/>
    <w:rsid w:val="00A617F5"/>
    <w:rsid w:val="00A6181C"/>
    <w:rsid w:val="00A620FD"/>
    <w:rsid w:val="00A6215C"/>
    <w:rsid w:val="00A62CC6"/>
    <w:rsid w:val="00A63FF1"/>
    <w:rsid w:val="00A6433E"/>
    <w:rsid w:val="00A64C33"/>
    <w:rsid w:val="00A65956"/>
    <w:rsid w:val="00A668EE"/>
    <w:rsid w:val="00A66972"/>
    <w:rsid w:val="00A66BE6"/>
    <w:rsid w:val="00A66C39"/>
    <w:rsid w:val="00A66D55"/>
    <w:rsid w:val="00A6734E"/>
    <w:rsid w:val="00A67523"/>
    <w:rsid w:val="00A67806"/>
    <w:rsid w:val="00A67996"/>
    <w:rsid w:val="00A67CFB"/>
    <w:rsid w:val="00A67D01"/>
    <w:rsid w:val="00A705EF"/>
    <w:rsid w:val="00A710A7"/>
    <w:rsid w:val="00A719BC"/>
    <w:rsid w:val="00A71BC1"/>
    <w:rsid w:val="00A72888"/>
    <w:rsid w:val="00A72B1B"/>
    <w:rsid w:val="00A72B69"/>
    <w:rsid w:val="00A72DDA"/>
    <w:rsid w:val="00A74693"/>
    <w:rsid w:val="00A74D50"/>
    <w:rsid w:val="00A74D76"/>
    <w:rsid w:val="00A7513A"/>
    <w:rsid w:val="00A7520B"/>
    <w:rsid w:val="00A7567C"/>
    <w:rsid w:val="00A7578E"/>
    <w:rsid w:val="00A75A01"/>
    <w:rsid w:val="00A762C3"/>
    <w:rsid w:val="00A76406"/>
    <w:rsid w:val="00A76C0C"/>
    <w:rsid w:val="00A77389"/>
    <w:rsid w:val="00A773F8"/>
    <w:rsid w:val="00A8012D"/>
    <w:rsid w:val="00A81746"/>
    <w:rsid w:val="00A81CD5"/>
    <w:rsid w:val="00A82225"/>
    <w:rsid w:val="00A8294D"/>
    <w:rsid w:val="00A82BF1"/>
    <w:rsid w:val="00A84482"/>
    <w:rsid w:val="00A84B88"/>
    <w:rsid w:val="00A85FD3"/>
    <w:rsid w:val="00A861A8"/>
    <w:rsid w:val="00A8627D"/>
    <w:rsid w:val="00A86941"/>
    <w:rsid w:val="00A86EB1"/>
    <w:rsid w:val="00A87967"/>
    <w:rsid w:val="00A90475"/>
    <w:rsid w:val="00A906BB"/>
    <w:rsid w:val="00A91AC7"/>
    <w:rsid w:val="00A91F75"/>
    <w:rsid w:val="00A91F8F"/>
    <w:rsid w:val="00A928DE"/>
    <w:rsid w:val="00A92DF1"/>
    <w:rsid w:val="00A930B4"/>
    <w:rsid w:val="00A935E7"/>
    <w:rsid w:val="00A93609"/>
    <w:rsid w:val="00A9385E"/>
    <w:rsid w:val="00A93957"/>
    <w:rsid w:val="00A93C9F"/>
    <w:rsid w:val="00A94732"/>
    <w:rsid w:val="00A94C5A"/>
    <w:rsid w:val="00A94EB2"/>
    <w:rsid w:val="00A953A8"/>
    <w:rsid w:val="00A95B25"/>
    <w:rsid w:val="00A95B69"/>
    <w:rsid w:val="00A95BBB"/>
    <w:rsid w:val="00A960F1"/>
    <w:rsid w:val="00A96120"/>
    <w:rsid w:val="00A9655C"/>
    <w:rsid w:val="00A9703B"/>
    <w:rsid w:val="00A972FF"/>
    <w:rsid w:val="00A973F6"/>
    <w:rsid w:val="00A97C2A"/>
    <w:rsid w:val="00AA18C4"/>
    <w:rsid w:val="00AA1E2D"/>
    <w:rsid w:val="00AA2D24"/>
    <w:rsid w:val="00AA389B"/>
    <w:rsid w:val="00AA3DB0"/>
    <w:rsid w:val="00AA412F"/>
    <w:rsid w:val="00AA41EF"/>
    <w:rsid w:val="00AA471B"/>
    <w:rsid w:val="00AA4D3D"/>
    <w:rsid w:val="00AA5076"/>
    <w:rsid w:val="00AA5595"/>
    <w:rsid w:val="00AA57FA"/>
    <w:rsid w:val="00AA5AD3"/>
    <w:rsid w:val="00AA5B63"/>
    <w:rsid w:val="00AA5ECD"/>
    <w:rsid w:val="00AA6259"/>
    <w:rsid w:val="00AA6D04"/>
    <w:rsid w:val="00AA6FAC"/>
    <w:rsid w:val="00AA710A"/>
    <w:rsid w:val="00AA74FA"/>
    <w:rsid w:val="00AA792F"/>
    <w:rsid w:val="00AA7990"/>
    <w:rsid w:val="00AA7B6E"/>
    <w:rsid w:val="00AA7BB3"/>
    <w:rsid w:val="00AB0537"/>
    <w:rsid w:val="00AB1404"/>
    <w:rsid w:val="00AB1CF5"/>
    <w:rsid w:val="00AB2143"/>
    <w:rsid w:val="00AB2390"/>
    <w:rsid w:val="00AB2608"/>
    <w:rsid w:val="00AB27EE"/>
    <w:rsid w:val="00AB32D2"/>
    <w:rsid w:val="00AB3D81"/>
    <w:rsid w:val="00AB3F39"/>
    <w:rsid w:val="00AB41E0"/>
    <w:rsid w:val="00AB45E3"/>
    <w:rsid w:val="00AB4A4B"/>
    <w:rsid w:val="00AB4B8C"/>
    <w:rsid w:val="00AB50D6"/>
    <w:rsid w:val="00AB5CC9"/>
    <w:rsid w:val="00AB5F35"/>
    <w:rsid w:val="00AB5F97"/>
    <w:rsid w:val="00AB6718"/>
    <w:rsid w:val="00AB68FE"/>
    <w:rsid w:val="00AB6F9B"/>
    <w:rsid w:val="00AB78F1"/>
    <w:rsid w:val="00AB7A7E"/>
    <w:rsid w:val="00AB7D05"/>
    <w:rsid w:val="00AB7F4C"/>
    <w:rsid w:val="00AC0677"/>
    <w:rsid w:val="00AC2144"/>
    <w:rsid w:val="00AC2396"/>
    <w:rsid w:val="00AC2411"/>
    <w:rsid w:val="00AC2F50"/>
    <w:rsid w:val="00AC34ED"/>
    <w:rsid w:val="00AC37D5"/>
    <w:rsid w:val="00AC3AC9"/>
    <w:rsid w:val="00AC41CC"/>
    <w:rsid w:val="00AC436C"/>
    <w:rsid w:val="00AC4870"/>
    <w:rsid w:val="00AC4BDE"/>
    <w:rsid w:val="00AC4BE8"/>
    <w:rsid w:val="00AC5386"/>
    <w:rsid w:val="00AC673B"/>
    <w:rsid w:val="00AC6C43"/>
    <w:rsid w:val="00AC70A0"/>
    <w:rsid w:val="00AC72C0"/>
    <w:rsid w:val="00AC76DB"/>
    <w:rsid w:val="00AC7EB3"/>
    <w:rsid w:val="00AD002F"/>
    <w:rsid w:val="00AD0071"/>
    <w:rsid w:val="00AD0391"/>
    <w:rsid w:val="00AD078D"/>
    <w:rsid w:val="00AD19FA"/>
    <w:rsid w:val="00AD1DC8"/>
    <w:rsid w:val="00AD2E1C"/>
    <w:rsid w:val="00AD3B06"/>
    <w:rsid w:val="00AD3F4F"/>
    <w:rsid w:val="00AD3F51"/>
    <w:rsid w:val="00AD487F"/>
    <w:rsid w:val="00AD4B43"/>
    <w:rsid w:val="00AD4CD8"/>
    <w:rsid w:val="00AD4DD3"/>
    <w:rsid w:val="00AD5174"/>
    <w:rsid w:val="00AD5775"/>
    <w:rsid w:val="00AD6063"/>
    <w:rsid w:val="00AD6475"/>
    <w:rsid w:val="00AD655A"/>
    <w:rsid w:val="00AD69B3"/>
    <w:rsid w:val="00AD6E42"/>
    <w:rsid w:val="00AD7084"/>
    <w:rsid w:val="00AD7A4C"/>
    <w:rsid w:val="00AE0257"/>
    <w:rsid w:val="00AE1F3C"/>
    <w:rsid w:val="00AE2369"/>
    <w:rsid w:val="00AE29A1"/>
    <w:rsid w:val="00AE2A0E"/>
    <w:rsid w:val="00AE2FA8"/>
    <w:rsid w:val="00AE398F"/>
    <w:rsid w:val="00AE407C"/>
    <w:rsid w:val="00AE416F"/>
    <w:rsid w:val="00AE453B"/>
    <w:rsid w:val="00AE4947"/>
    <w:rsid w:val="00AE4C6F"/>
    <w:rsid w:val="00AE4CBD"/>
    <w:rsid w:val="00AE5014"/>
    <w:rsid w:val="00AE6195"/>
    <w:rsid w:val="00AE70E8"/>
    <w:rsid w:val="00AE70F7"/>
    <w:rsid w:val="00AE7445"/>
    <w:rsid w:val="00AE7905"/>
    <w:rsid w:val="00AE793E"/>
    <w:rsid w:val="00AF0174"/>
    <w:rsid w:val="00AF0AEB"/>
    <w:rsid w:val="00AF113F"/>
    <w:rsid w:val="00AF1D67"/>
    <w:rsid w:val="00AF1E90"/>
    <w:rsid w:val="00AF1EED"/>
    <w:rsid w:val="00AF1F18"/>
    <w:rsid w:val="00AF2055"/>
    <w:rsid w:val="00AF217F"/>
    <w:rsid w:val="00AF2918"/>
    <w:rsid w:val="00AF295D"/>
    <w:rsid w:val="00AF3547"/>
    <w:rsid w:val="00AF40DC"/>
    <w:rsid w:val="00AF4D37"/>
    <w:rsid w:val="00AF4F9F"/>
    <w:rsid w:val="00AF59A0"/>
    <w:rsid w:val="00AF5E9F"/>
    <w:rsid w:val="00AF66EF"/>
    <w:rsid w:val="00AF6902"/>
    <w:rsid w:val="00AF6BDF"/>
    <w:rsid w:val="00AF6EB9"/>
    <w:rsid w:val="00AF74E0"/>
    <w:rsid w:val="00AF78DC"/>
    <w:rsid w:val="00B0019A"/>
    <w:rsid w:val="00B009D1"/>
    <w:rsid w:val="00B01410"/>
    <w:rsid w:val="00B014B1"/>
    <w:rsid w:val="00B02737"/>
    <w:rsid w:val="00B02B6E"/>
    <w:rsid w:val="00B02C33"/>
    <w:rsid w:val="00B02E10"/>
    <w:rsid w:val="00B03668"/>
    <w:rsid w:val="00B037F2"/>
    <w:rsid w:val="00B03AB9"/>
    <w:rsid w:val="00B03DB7"/>
    <w:rsid w:val="00B05C81"/>
    <w:rsid w:val="00B05DD9"/>
    <w:rsid w:val="00B0680B"/>
    <w:rsid w:val="00B06C74"/>
    <w:rsid w:val="00B0715E"/>
    <w:rsid w:val="00B075A3"/>
    <w:rsid w:val="00B07618"/>
    <w:rsid w:val="00B078F2"/>
    <w:rsid w:val="00B07E75"/>
    <w:rsid w:val="00B07E96"/>
    <w:rsid w:val="00B10C04"/>
    <w:rsid w:val="00B110C1"/>
    <w:rsid w:val="00B1123A"/>
    <w:rsid w:val="00B1143F"/>
    <w:rsid w:val="00B1158D"/>
    <w:rsid w:val="00B1180D"/>
    <w:rsid w:val="00B12257"/>
    <w:rsid w:val="00B1337E"/>
    <w:rsid w:val="00B13891"/>
    <w:rsid w:val="00B13A6C"/>
    <w:rsid w:val="00B13BC4"/>
    <w:rsid w:val="00B13BEB"/>
    <w:rsid w:val="00B13F3F"/>
    <w:rsid w:val="00B14620"/>
    <w:rsid w:val="00B14A8A"/>
    <w:rsid w:val="00B15731"/>
    <w:rsid w:val="00B15D2A"/>
    <w:rsid w:val="00B162FC"/>
    <w:rsid w:val="00B16846"/>
    <w:rsid w:val="00B172E2"/>
    <w:rsid w:val="00B17EC2"/>
    <w:rsid w:val="00B17FA8"/>
    <w:rsid w:val="00B21966"/>
    <w:rsid w:val="00B21D39"/>
    <w:rsid w:val="00B21F23"/>
    <w:rsid w:val="00B22343"/>
    <w:rsid w:val="00B22858"/>
    <w:rsid w:val="00B23DEB"/>
    <w:rsid w:val="00B241DD"/>
    <w:rsid w:val="00B245D2"/>
    <w:rsid w:val="00B24F19"/>
    <w:rsid w:val="00B25046"/>
    <w:rsid w:val="00B25410"/>
    <w:rsid w:val="00B25727"/>
    <w:rsid w:val="00B258C9"/>
    <w:rsid w:val="00B25A35"/>
    <w:rsid w:val="00B25E56"/>
    <w:rsid w:val="00B2639E"/>
    <w:rsid w:val="00B26BEE"/>
    <w:rsid w:val="00B273CB"/>
    <w:rsid w:val="00B30185"/>
    <w:rsid w:val="00B307A8"/>
    <w:rsid w:val="00B30F87"/>
    <w:rsid w:val="00B311FF"/>
    <w:rsid w:val="00B313DF"/>
    <w:rsid w:val="00B315DC"/>
    <w:rsid w:val="00B31659"/>
    <w:rsid w:val="00B3199A"/>
    <w:rsid w:val="00B31C77"/>
    <w:rsid w:val="00B322DE"/>
    <w:rsid w:val="00B32D69"/>
    <w:rsid w:val="00B33216"/>
    <w:rsid w:val="00B33767"/>
    <w:rsid w:val="00B33C70"/>
    <w:rsid w:val="00B34507"/>
    <w:rsid w:val="00B34A4B"/>
    <w:rsid w:val="00B34D0F"/>
    <w:rsid w:val="00B355CA"/>
    <w:rsid w:val="00B35D13"/>
    <w:rsid w:val="00B35F23"/>
    <w:rsid w:val="00B35FAB"/>
    <w:rsid w:val="00B36284"/>
    <w:rsid w:val="00B36583"/>
    <w:rsid w:val="00B36917"/>
    <w:rsid w:val="00B36C70"/>
    <w:rsid w:val="00B36E01"/>
    <w:rsid w:val="00B36EEF"/>
    <w:rsid w:val="00B374E8"/>
    <w:rsid w:val="00B379EB"/>
    <w:rsid w:val="00B40C44"/>
    <w:rsid w:val="00B40E3B"/>
    <w:rsid w:val="00B4112B"/>
    <w:rsid w:val="00B41D23"/>
    <w:rsid w:val="00B41EDA"/>
    <w:rsid w:val="00B42402"/>
    <w:rsid w:val="00B43626"/>
    <w:rsid w:val="00B44026"/>
    <w:rsid w:val="00B446EF"/>
    <w:rsid w:val="00B44F51"/>
    <w:rsid w:val="00B4612E"/>
    <w:rsid w:val="00B4626E"/>
    <w:rsid w:val="00B46835"/>
    <w:rsid w:val="00B4685A"/>
    <w:rsid w:val="00B46C63"/>
    <w:rsid w:val="00B46EA7"/>
    <w:rsid w:val="00B47762"/>
    <w:rsid w:val="00B47BDA"/>
    <w:rsid w:val="00B50383"/>
    <w:rsid w:val="00B51546"/>
    <w:rsid w:val="00B51EB7"/>
    <w:rsid w:val="00B51EC4"/>
    <w:rsid w:val="00B52088"/>
    <w:rsid w:val="00B52579"/>
    <w:rsid w:val="00B52953"/>
    <w:rsid w:val="00B52FB7"/>
    <w:rsid w:val="00B53624"/>
    <w:rsid w:val="00B550E9"/>
    <w:rsid w:val="00B552FE"/>
    <w:rsid w:val="00B5563B"/>
    <w:rsid w:val="00B557B7"/>
    <w:rsid w:val="00B55835"/>
    <w:rsid w:val="00B56140"/>
    <w:rsid w:val="00B5625F"/>
    <w:rsid w:val="00B562C1"/>
    <w:rsid w:val="00B566D3"/>
    <w:rsid w:val="00B571F6"/>
    <w:rsid w:val="00B57620"/>
    <w:rsid w:val="00B57642"/>
    <w:rsid w:val="00B578E8"/>
    <w:rsid w:val="00B57BFF"/>
    <w:rsid w:val="00B57D03"/>
    <w:rsid w:val="00B6013A"/>
    <w:rsid w:val="00B60CF1"/>
    <w:rsid w:val="00B60DFE"/>
    <w:rsid w:val="00B61D83"/>
    <w:rsid w:val="00B62C88"/>
    <w:rsid w:val="00B6403B"/>
    <w:rsid w:val="00B64568"/>
    <w:rsid w:val="00B64A7D"/>
    <w:rsid w:val="00B64DA2"/>
    <w:rsid w:val="00B64FA2"/>
    <w:rsid w:val="00B64FDC"/>
    <w:rsid w:val="00B65880"/>
    <w:rsid w:val="00B65AE2"/>
    <w:rsid w:val="00B65DA6"/>
    <w:rsid w:val="00B65F72"/>
    <w:rsid w:val="00B66403"/>
    <w:rsid w:val="00B66682"/>
    <w:rsid w:val="00B66875"/>
    <w:rsid w:val="00B66A6C"/>
    <w:rsid w:val="00B674EC"/>
    <w:rsid w:val="00B703D4"/>
    <w:rsid w:val="00B706D1"/>
    <w:rsid w:val="00B713E0"/>
    <w:rsid w:val="00B71631"/>
    <w:rsid w:val="00B72134"/>
    <w:rsid w:val="00B730C2"/>
    <w:rsid w:val="00B73CCD"/>
    <w:rsid w:val="00B74400"/>
    <w:rsid w:val="00B7456B"/>
    <w:rsid w:val="00B74B02"/>
    <w:rsid w:val="00B74B1F"/>
    <w:rsid w:val="00B74C4A"/>
    <w:rsid w:val="00B74C5B"/>
    <w:rsid w:val="00B75107"/>
    <w:rsid w:val="00B754C8"/>
    <w:rsid w:val="00B76454"/>
    <w:rsid w:val="00B76937"/>
    <w:rsid w:val="00B769F9"/>
    <w:rsid w:val="00B76CB6"/>
    <w:rsid w:val="00B77156"/>
    <w:rsid w:val="00B77271"/>
    <w:rsid w:val="00B7797A"/>
    <w:rsid w:val="00B77A70"/>
    <w:rsid w:val="00B801BF"/>
    <w:rsid w:val="00B801F5"/>
    <w:rsid w:val="00B8060E"/>
    <w:rsid w:val="00B82629"/>
    <w:rsid w:val="00B82843"/>
    <w:rsid w:val="00B834F6"/>
    <w:rsid w:val="00B83F00"/>
    <w:rsid w:val="00B83F01"/>
    <w:rsid w:val="00B84801"/>
    <w:rsid w:val="00B849FB"/>
    <w:rsid w:val="00B8548A"/>
    <w:rsid w:val="00B862E6"/>
    <w:rsid w:val="00B86450"/>
    <w:rsid w:val="00B8661E"/>
    <w:rsid w:val="00B8705B"/>
    <w:rsid w:val="00B871A8"/>
    <w:rsid w:val="00B873E3"/>
    <w:rsid w:val="00B87419"/>
    <w:rsid w:val="00B8754A"/>
    <w:rsid w:val="00B8764E"/>
    <w:rsid w:val="00B87A56"/>
    <w:rsid w:val="00B87B4F"/>
    <w:rsid w:val="00B87FF5"/>
    <w:rsid w:val="00B90250"/>
    <w:rsid w:val="00B9048C"/>
    <w:rsid w:val="00B9134E"/>
    <w:rsid w:val="00B91743"/>
    <w:rsid w:val="00B91E46"/>
    <w:rsid w:val="00B91F0E"/>
    <w:rsid w:val="00B9223B"/>
    <w:rsid w:val="00B92492"/>
    <w:rsid w:val="00B92724"/>
    <w:rsid w:val="00B93423"/>
    <w:rsid w:val="00B939F2"/>
    <w:rsid w:val="00B93C03"/>
    <w:rsid w:val="00B93D80"/>
    <w:rsid w:val="00B93DC2"/>
    <w:rsid w:val="00B94086"/>
    <w:rsid w:val="00B94895"/>
    <w:rsid w:val="00B94DAD"/>
    <w:rsid w:val="00B95292"/>
    <w:rsid w:val="00B954DA"/>
    <w:rsid w:val="00B95A65"/>
    <w:rsid w:val="00B96814"/>
    <w:rsid w:val="00B968E6"/>
    <w:rsid w:val="00B973F0"/>
    <w:rsid w:val="00B97DF5"/>
    <w:rsid w:val="00BA040D"/>
    <w:rsid w:val="00BA04F6"/>
    <w:rsid w:val="00BA0919"/>
    <w:rsid w:val="00BA2B55"/>
    <w:rsid w:val="00BA3091"/>
    <w:rsid w:val="00BA373F"/>
    <w:rsid w:val="00BA3AE7"/>
    <w:rsid w:val="00BA408A"/>
    <w:rsid w:val="00BA453D"/>
    <w:rsid w:val="00BA4568"/>
    <w:rsid w:val="00BA4909"/>
    <w:rsid w:val="00BA4A03"/>
    <w:rsid w:val="00BA4E6B"/>
    <w:rsid w:val="00BA5681"/>
    <w:rsid w:val="00BA5893"/>
    <w:rsid w:val="00BA5C43"/>
    <w:rsid w:val="00BA5DE8"/>
    <w:rsid w:val="00BA654E"/>
    <w:rsid w:val="00BA6CF0"/>
    <w:rsid w:val="00BA72A5"/>
    <w:rsid w:val="00BA7A79"/>
    <w:rsid w:val="00BA7FC7"/>
    <w:rsid w:val="00BB009B"/>
    <w:rsid w:val="00BB09F2"/>
    <w:rsid w:val="00BB0FD4"/>
    <w:rsid w:val="00BB1583"/>
    <w:rsid w:val="00BB16D4"/>
    <w:rsid w:val="00BB18C5"/>
    <w:rsid w:val="00BB1A86"/>
    <w:rsid w:val="00BB1BE7"/>
    <w:rsid w:val="00BB1CF2"/>
    <w:rsid w:val="00BB1F03"/>
    <w:rsid w:val="00BB2081"/>
    <w:rsid w:val="00BB2754"/>
    <w:rsid w:val="00BB2F9A"/>
    <w:rsid w:val="00BB300D"/>
    <w:rsid w:val="00BB3839"/>
    <w:rsid w:val="00BB3A20"/>
    <w:rsid w:val="00BB473E"/>
    <w:rsid w:val="00BB4C9E"/>
    <w:rsid w:val="00BB5C70"/>
    <w:rsid w:val="00BB667F"/>
    <w:rsid w:val="00BB75E3"/>
    <w:rsid w:val="00BB7888"/>
    <w:rsid w:val="00BB7A9F"/>
    <w:rsid w:val="00BC02D6"/>
    <w:rsid w:val="00BC08C1"/>
    <w:rsid w:val="00BC0E62"/>
    <w:rsid w:val="00BC164D"/>
    <w:rsid w:val="00BC17AD"/>
    <w:rsid w:val="00BC2170"/>
    <w:rsid w:val="00BC3819"/>
    <w:rsid w:val="00BC3F10"/>
    <w:rsid w:val="00BC3FDE"/>
    <w:rsid w:val="00BC419E"/>
    <w:rsid w:val="00BC43E4"/>
    <w:rsid w:val="00BC4D4B"/>
    <w:rsid w:val="00BC5143"/>
    <w:rsid w:val="00BC6A05"/>
    <w:rsid w:val="00BC6CC9"/>
    <w:rsid w:val="00BC6D34"/>
    <w:rsid w:val="00BC725F"/>
    <w:rsid w:val="00BC73E9"/>
    <w:rsid w:val="00BC77C6"/>
    <w:rsid w:val="00BD097D"/>
    <w:rsid w:val="00BD107A"/>
    <w:rsid w:val="00BD32BB"/>
    <w:rsid w:val="00BD3382"/>
    <w:rsid w:val="00BD4271"/>
    <w:rsid w:val="00BD45AC"/>
    <w:rsid w:val="00BD48F9"/>
    <w:rsid w:val="00BD52C5"/>
    <w:rsid w:val="00BD5326"/>
    <w:rsid w:val="00BD5337"/>
    <w:rsid w:val="00BD6208"/>
    <w:rsid w:val="00BD6315"/>
    <w:rsid w:val="00BD6A30"/>
    <w:rsid w:val="00BD6B97"/>
    <w:rsid w:val="00BE086B"/>
    <w:rsid w:val="00BE0A62"/>
    <w:rsid w:val="00BE0A89"/>
    <w:rsid w:val="00BE0CCE"/>
    <w:rsid w:val="00BE0E59"/>
    <w:rsid w:val="00BE106E"/>
    <w:rsid w:val="00BE1539"/>
    <w:rsid w:val="00BE1837"/>
    <w:rsid w:val="00BE1C4E"/>
    <w:rsid w:val="00BE2A01"/>
    <w:rsid w:val="00BE3008"/>
    <w:rsid w:val="00BE3081"/>
    <w:rsid w:val="00BE419D"/>
    <w:rsid w:val="00BE43A0"/>
    <w:rsid w:val="00BE471A"/>
    <w:rsid w:val="00BE548F"/>
    <w:rsid w:val="00BE678D"/>
    <w:rsid w:val="00BE76C1"/>
    <w:rsid w:val="00BE7EE3"/>
    <w:rsid w:val="00BF0B8C"/>
    <w:rsid w:val="00BF0E5F"/>
    <w:rsid w:val="00BF1726"/>
    <w:rsid w:val="00BF2CBD"/>
    <w:rsid w:val="00BF3BA4"/>
    <w:rsid w:val="00BF4382"/>
    <w:rsid w:val="00BF461C"/>
    <w:rsid w:val="00BF4F24"/>
    <w:rsid w:val="00BF50C9"/>
    <w:rsid w:val="00BF56A3"/>
    <w:rsid w:val="00BF56EC"/>
    <w:rsid w:val="00BF5942"/>
    <w:rsid w:val="00BF59FD"/>
    <w:rsid w:val="00BF5AE6"/>
    <w:rsid w:val="00BF5EA4"/>
    <w:rsid w:val="00BF6163"/>
    <w:rsid w:val="00BF7D10"/>
    <w:rsid w:val="00BF7DF9"/>
    <w:rsid w:val="00BF7E26"/>
    <w:rsid w:val="00C00A6C"/>
    <w:rsid w:val="00C012AA"/>
    <w:rsid w:val="00C015D7"/>
    <w:rsid w:val="00C01674"/>
    <w:rsid w:val="00C016A1"/>
    <w:rsid w:val="00C01852"/>
    <w:rsid w:val="00C02DDE"/>
    <w:rsid w:val="00C02E1F"/>
    <w:rsid w:val="00C03162"/>
    <w:rsid w:val="00C03921"/>
    <w:rsid w:val="00C03D6A"/>
    <w:rsid w:val="00C052AC"/>
    <w:rsid w:val="00C05525"/>
    <w:rsid w:val="00C057A1"/>
    <w:rsid w:val="00C062E3"/>
    <w:rsid w:val="00C06B4C"/>
    <w:rsid w:val="00C07946"/>
    <w:rsid w:val="00C07958"/>
    <w:rsid w:val="00C07D51"/>
    <w:rsid w:val="00C108CB"/>
    <w:rsid w:val="00C10CAB"/>
    <w:rsid w:val="00C117F5"/>
    <w:rsid w:val="00C12460"/>
    <w:rsid w:val="00C124E6"/>
    <w:rsid w:val="00C126F9"/>
    <w:rsid w:val="00C128D3"/>
    <w:rsid w:val="00C13E43"/>
    <w:rsid w:val="00C142CA"/>
    <w:rsid w:val="00C14501"/>
    <w:rsid w:val="00C149B0"/>
    <w:rsid w:val="00C14CEC"/>
    <w:rsid w:val="00C14E31"/>
    <w:rsid w:val="00C14F87"/>
    <w:rsid w:val="00C15298"/>
    <w:rsid w:val="00C158F4"/>
    <w:rsid w:val="00C165AE"/>
    <w:rsid w:val="00C16C5E"/>
    <w:rsid w:val="00C177B3"/>
    <w:rsid w:val="00C179B2"/>
    <w:rsid w:val="00C2025F"/>
    <w:rsid w:val="00C20CFE"/>
    <w:rsid w:val="00C210D0"/>
    <w:rsid w:val="00C218CD"/>
    <w:rsid w:val="00C21C9C"/>
    <w:rsid w:val="00C21E18"/>
    <w:rsid w:val="00C22192"/>
    <w:rsid w:val="00C223F1"/>
    <w:rsid w:val="00C22B04"/>
    <w:rsid w:val="00C23269"/>
    <w:rsid w:val="00C232AC"/>
    <w:rsid w:val="00C233AD"/>
    <w:rsid w:val="00C2431B"/>
    <w:rsid w:val="00C24825"/>
    <w:rsid w:val="00C248A4"/>
    <w:rsid w:val="00C255DB"/>
    <w:rsid w:val="00C259C8"/>
    <w:rsid w:val="00C25A8E"/>
    <w:rsid w:val="00C25CA9"/>
    <w:rsid w:val="00C269FA"/>
    <w:rsid w:val="00C26EEE"/>
    <w:rsid w:val="00C26FF4"/>
    <w:rsid w:val="00C2710C"/>
    <w:rsid w:val="00C273F8"/>
    <w:rsid w:val="00C275D5"/>
    <w:rsid w:val="00C27E53"/>
    <w:rsid w:val="00C27E97"/>
    <w:rsid w:val="00C30471"/>
    <w:rsid w:val="00C3066B"/>
    <w:rsid w:val="00C30E26"/>
    <w:rsid w:val="00C30FA0"/>
    <w:rsid w:val="00C313AD"/>
    <w:rsid w:val="00C315EA"/>
    <w:rsid w:val="00C31BBB"/>
    <w:rsid w:val="00C32A7C"/>
    <w:rsid w:val="00C32ADC"/>
    <w:rsid w:val="00C32DCD"/>
    <w:rsid w:val="00C338BF"/>
    <w:rsid w:val="00C33BB2"/>
    <w:rsid w:val="00C3444A"/>
    <w:rsid w:val="00C3485E"/>
    <w:rsid w:val="00C35EC6"/>
    <w:rsid w:val="00C3699B"/>
    <w:rsid w:val="00C40093"/>
    <w:rsid w:val="00C402CF"/>
    <w:rsid w:val="00C4086F"/>
    <w:rsid w:val="00C40B5D"/>
    <w:rsid w:val="00C40B82"/>
    <w:rsid w:val="00C4178D"/>
    <w:rsid w:val="00C41861"/>
    <w:rsid w:val="00C4199D"/>
    <w:rsid w:val="00C41D45"/>
    <w:rsid w:val="00C43197"/>
    <w:rsid w:val="00C43484"/>
    <w:rsid w:val="00C4389D"/>
    <w:rsid w:val="00C43A14"/>
    <w:rsid w:val="00C43C18"/>
    <w:rsid w:val="00C44473"/>
    <w:rsid w:val="00C448F0"/>
    <w:rsid w:val="00C4493F"/>
    <w:rsid w:val="00C45094"/>
    <w:rsid w:val="00C4583E"/>
    <w:rsid w:val="00C45E70"/>
    <w:rsid w:val="00C462BD"/>
    <w:rsid w:val="00C46B30"/>
    <w:rsid w:val="00C51485"/>
    <w:rsid w:val="00C51B01"/>
    <w:rsid w:val="00C520F8"/>
    <w:rsid w:val="00C52E91"/>
    <w:rsid w:val="00C53BB8"/>
    <w:rsid w:val="00C53E4C"/>
    <w:rsid w:val="00C54C0B"/>
    <w:rsid w:val="00C54E72"/>
    <w:rsid w:val="00C567F4"/>
    <w:rsid w:val="00C56844"/>
    <w:rsid w:val="00C56FE2"/>
    <w:rsid w:val="00C57591"/>
    <w:rsid w:val="00C575C1"/>
    <w:rsid w:val="00C5785E"/>
    <w:rsid w:val="00C57D92"/>
    <w:rsid w:val="00C60691"/>
    <w:rsid w:val="00C61B8B"/>
    <w:rsid w:val="00C61B8F"/>
    <w:rsid w:val="00C621EF"/>
    <w:rsid w:val="00C6262D"/>
    <w:rsid w:val="00C62E84"/>
    <w:rsid w:val="00C63C59"/>
    <w:rsid w:val="00C63FB8"/>
    <w:rsid w:val="00C64141"/>
    <w:rsid w:val="00C64395"/>
    <w:rsid w:val="00C64523"/>
    <w:rsid w:val="00C64A74"/>
    <w:rsid w:val="00C64D18"/>
    <w:rsid w:val="00C65616"/>
    <w:rsid w:val="00C65A07"/>
    <w:rsid w:val="00C66558"/>
    <w:rsid w:val="00C66CAD"/>
    <w:rsid w:val="00C66D2B"/>
    <w:rsid w:val="00C6723F"/>
    <w:rsid w:val="00C67A4B"/>
    <w:rsid w:val="00C702A7"/>
    <w:rsid w:val="00C70369"/>
    <w:rsid w:val="00C704BA"/>
    <w:rsid w:val="00C70562"/>
    <w:rsid w:val="00C7109C"/>
    <w:rsid w:val="00C71737"/>
    <w:rsid w:val="00C71AD0"/>
    <w:rsid w:val="00C71C82"/>
    <w:rsid w:val="00C72357"/>
    <w:rsid w:val="00C72405"/>
    <w:rsid w:val="00C72B6A"/>
    <w:rsid w:val="00C731C5"/>
    <w:rsid w:val="00C732B8"/>
    <w:rsid w:val="00C73CD0"/>
    <w:rsid w:val="00C73F1E"/>
    <w:rsid w:val="00C7446B"/>
    <w:rsid w:val="00C74875"/>
    <w:rsid w:val="00C74CD8"/>
    <w:rsid w:val="00C752C4"/>
    <w:rsid w:val="00C7547C"/>
    <w:rsid w:val="00C75788"/>
    <w:rsid w:val="00C75843"/>
    <w:rsid w:val="00C76318"/>
    <w:rsid w:val="00C76888"/>
    <w:rsid w:val="00C76E6B"/>
    <w:rsid w:val="00C775DC"/>
    <w:rsid w:val="00C77B3F"/>
    <w:rsid w:val="00C77C79"/>
    <w:rsid w:val="00C77D5C"/>
    <w:rsid w:val="00C805DB"/>
    <w:rsid w:val="00C80CE1"/>
    <w:rsid w:val="00C81115"/>
    <w:rsid w:val="00C814CE"/>
    <w:rsid w:val="00C818F1"/>
    <w:rsid w:val="00C81C85"/>
    <w:rsid w:val="00C824CE"/>
    <w:rsid w:val="00C8292A"/>
    <w:rsid w:val="00C82C4C"/>
    <w:rsid w:val="00C82C63"/>
    <w:rsid w:val="00C82DF9"/>
    <w:rsid w:val="00C82E4E"/>
    <w:rsid w:val="00C83B32"/>
    <w:rsid w:val="00C83D20"/>
    <w:rsid w:val="00C85273"/>
    <w:rsid w:val="00C856CF"/>
    <w:rsid w:val="00C864B4"/>
    <w:rsid w:val="00C86AA7"/>
    <w:rsid w:val="00C87660"/>
    <w:rsid w:val="00C90702"/>
    <w:rsid w:val="00C907F1"/>
    <w:rsid w:val="00C90BDA"/>
    <w:rsid w:val="00C91268"/>
    <w:rsid w:val="00C913C3"/>
    <w:rsid w:val="00C91404"/>
    <w:rsid w:val="00C91836"/>
    <w:rsid w:val="00C92033"/>
    <w:rsid w:val="00C92B42"/>
    <w:rsid w:val="00C92EEB"/>
    <w:rsid w:val="00C9307F"/>
    <w:rsid w:val="00C93281"/>
    <w:rsid w:val="00C93EC1"/>
    <w:rsid w:val="00C942D4"/>
    <w:rsid w:val="00C94500"/>
    <w:rsid w:val="00C949DA"/>
    <w:rsid w:val="00C9596B"/>
    <w:rsid w:val="00C95E50"/>
    <w:rsid w:val="00C962EE"/>
    <w:rsid w:val="00C966EC"/>
    <w:rsid w:val="00C96F9E"/>
    <w:rsid w:val="00C97214"/>
    <w:rsid w:val="00C97E1D"/>
    <w:rsid w:val="00CA020F"/>
    <w:rsid w:val="00CA1F46"/>
    <w:rsid w:val="00CA2496"/>
    <w:rsid w:val="00CA2CA6"/>
    <w:rsid w:val="00CA3779"/>
    <w:rsid w:val="00CA3D9C"/>
    <w:rsid w:val="00CA413E"/>
    <w:rsid w:val="00CA47ED"/>
    <w:rsid w:val="00CA4DF8"/>
    <w:rsid w:val="00CA5C8B"/>
    <w:rsid w:val="00CA5E4C"/>
    <w:rsid w:val="00CA5FD2"/>
    <w:rsid w:val="00CA6065"/>
    <w:rsid w:val="00CA69FB"/>
    <w:rsid w:val="00CA6AFA"/>
    <w:rsid w:val="00CA6B25"/>
    <w:rsid w:val="00CA7645"/>
    <w:rsid w:val="00CA7798"/>
    <w:rsid w:val="00CA7E57"/>
    <w:rsid w:val="00CB02C9"/>
    <w:rsid w:val="00CB0823"/>
    <w:rsid w:val="00CB0BEB"/>
    <w:rsid w:val="00CB13F5"/>
    <w:rsid w:val="00CB1808"/>
    <w:rsid w:val="00CB1D44"/>
    <w:rsid w:val="00CB1FAB"/>
    <w:rsid w:val="00CB23C4"/>
    <w:rsid w:val="00CB268D"/>
    <w:rsid w:val="00CB33F3"/>
    <w:rsid w:val="00CB3900"/>
    <w:rsid w:val="00CB3D09"/>
    <w:rsid w:val="00CB41E2"/>
    <w:rsid w:val="00CB438B"/>
    <w:rsid w:val="00CB449F"/>
    <w:rsid w:val="00CB5299"/>
    <w:rsid w:val="00CB5429"/>
    <w:rsid w:val="00CB5C83"/>
    <w:rsid w:val="00CB5D2F"/>
    <w:rsid w:val="00CB62CC"/>
    <w:rsid w:val="00CB681D"/>
    <w:rsid w:val="00CB690A"/>
    <w:rsid w:val="00CB69DA"/>
    <w:rsid w:val="00CB75B8"/>
    <w:rsid w:val="00CB77D0"/>
    <w:rsid w:val="00CC05C9"/>
    <w:rsid w:val="00CC073F"/>
    <w:rsid w:val="00CC1362"/>
    <w:rsid w:val="00CC15D5"/>
    <w:rsid w:val="00CC16EC"/>
    <w:rsid w:val="00CC1D05"/>
    <w:rsid w:val="00CC1DF5"/>
    <w:rsid w:val="00CC214B"/>
    <w:rsid w:val="00CC2182"/>
    <w:rsid w:val="00CC223E"/>
    <w:rsid w:val="00CC2250"/>
    <w:rsid w:val="00CC25DF"/>
    <w:rsid w:val="00CC2A9F"/>
    <w:rsid w:val="00CC2CF8"/>
    <w:rsid w:val="00CC3320"/>
    <w:rsid w:val="00CC426B"/>
    <w:rsid w:val="00CC4D38"/>
    <w:rsid w:val="00CC5B8D"/>
    <w:rsid w:val="00CC6B1F"/>
    <w:rsid w:val="00CC6EEB"/>
    <w:rsid w:val="00CC7CA7"/>
    <w:rsid w:val="00CD0302"/>
    <w:rsid w:val="00CD131F"/>
    <w:rsid w:val="00CD15F5"/>
    <w:rsid w:val="00CD27C5"/>
    <w:rsid w:val="00CD2B8B"/>
    <w:rsid w:val="00CD2DAB"/>
    <w:rsid w:val="00CD3276"/>
    <w:rsid w:val="00CD3712"/>
    <w:rsid w:val="00CD437F"/>
    <w:rsid w:val="00CD4736"/>
    <w:rsid w:val="00CD489B"/>
    <w:rsid w:val="00CD4F85"/>
    <w:rsid w:val="00CD584D"/>
    <w:rsid w:val="00CD593F"/>
    <w:rsid w:val="00CD6FE5"/>
    <w:rsid w:val="00CD736F"/>
    <w:rsid w:val="00CD74E1"/>
    <w:rsid w:val="00CD7EE0"/>
    <w:rsid w:val="00CE0B38"/>
    <w:rsid w:val="00CE133A"/>
    <w:rsid w:val="00CE15F1"/>
    <w:rsid w:val="00CE16B4"/>
    <w:rsid w:val="00CE18C9"/>
    <w:rsid w:val="00CE1B9B"/>
    <w:rsid w:val="00CE2192"/>
    <w:rsid w:val="00CE25BE"/>
    <w:rsid w:val="00CE2F92"/>
    <w:rsid w:val="00CE367E"/>
    <w:rsid w:val="00CE38E7"/>
    <w:rsid w:val="00CE39C5"/>
    <w:rsid w:val="00CE3A86"/>
    <w:rsid w:val="00CE4267"/>
    <w:rsid w:val="00CE54C9"/>
    <w:rsid w:val="00CE5934"/>
    <w:rsid w:val="00CE5D9D"/>
    <w:rsid w:val="00CE60DF"/>
    <w:rsid w:val="00CE618A"/>
    <w:rsid w:val="00CE6CDC"/>
    <w:rsid w:val="00CF03BC"/>
    <w:rsid w:val="00CF06FB"/>
    <w:rsid w:val="00CF17C4"/>
    <w:rsid w:val="00CF1933"/>
    <w:rsid w:val="00CF23F4"/>
    <w:rsid w:val="00CF2732"/>
    <w:rsid w:val="00CF29DC"/>
    <w:rsid w:val="00CF2D30"/>
    <w:rsid w:val="00CF3702"/>
    <w:rsid w:val="00CF395D"/>
    <w:rsid w:val="00CF46B6"/>
    <w:rsid w:val="00CF4B54"/>
    <w:rsid w:val="00CF55E2"/>
    <w:rsid w:val="00CF595E"/>
    <w:rsid w:val="00CF5C29"/>
    <w:rsid w:val="00CF6014"/>
    <w:rsid w:val="00CF610A"/>
    <w:rsid w:val="00CF67A2"/>
    <w:rsid w:val="00CF6BF9"/>
    <w:rsid w:val="00CF6DD9"/>
    <w:rsid w:val="00D00EEE"/>
    <w:rsid w:val="00D012C8"/>
    <w:rsid w:val="00D014BE"/>
    <w:rsid w:val="00D02319"/>
    <w:rsid w:val="00D0244A"/>
    <w:rsid w:val="00D02613"/>
    <w:rsid w:val="00D02949"/>
    <w:rsid w:val="00D02F37"/>
    <w:rsid w:val="00D0347F"/>
    <w:rsid w:val="00D035AD"/>
    <w:rsid w:val="00D03649"/>
    <w:rsid w:val="00D03E94"/>
    <w:rsid w:val="00D04144"/>
    <w:rsid w:val="00D041AD"/>
    <w:rsid w:val="00D04DC4"/>
    <w:rsid w:val="00D04F95"/>
    <w:rsid w:val="00D0549F"/>
    <w:rsid w:val="00D05D27"/>
    <w:rsid w:val="00D05DAC"/>
    <w:rsid w:val="00D0655C"/>
    <w:rsid w:val="00D0690F"/>
    <w:rsid w:val="00D0737A"/>
    <w:rsid w:val="00D07BEA"/>
    <w:rsid w:val="00D10BC2"/>
    <w:rsid w:val="00D114B0"/>
    <w:rsid w:val="00D122A2"/>
    <w:rsid w:val="00D12383"/>
    <w:rsid w:val="00D1283E"/>
    <w:rsid w:val="00D128CE"/>
    <w:rsid w:val="00D1293F"/>
    <w:rsid w:val="00D12F10"/>
    <w:rsid w:val="00D13359"/>
    <w:rsid w:val="00D13731"/>
    <w:rsid w:val="00D138C9"/>
    <w:rsid w:val="00D146BF"/>
    <w:rsid w:val="00D15354"/>
    <w:rsid w:val="00D15D16"/>
    <w:rsid w:val="00D15DE2"/>
    <w:rsid w:val="00D1687B"/>
    <w:rsid w:val="00D16AB5"/>
    <w:rsid w:val="00D16EA1"/>
    <w:rsid w:val="00D177CD"/>
    <w:rsid w:val="00D17CC2"/>
    <w:rsid w:val="00D200FD"/>
    <w:rsid w:val="00D20EB8"/>
    <w:rsid w:val="00D211B7"/>
    <w:rsid w:val="00D211D5"/>
    <w:rsid w:val="00D21F5E"/>
    <w:rsid w:val="00D226DA"/>
    <w:rsid w:val="00D229A6"/>
    <w:rsid w:val="00D22A94"/>
    <w:rsid w:val="00D22EED"/>
    <w:rsid w:val="00D23386"/>
    <w:rsid w:val="00D249F2"/>
    <w:rsid w:val="00D258A7"/>
    <w:rsid w:val="00D2663D"/>
    <w:rsid w:val="00D26DC1"/>
    <w:rsid w:val="00D274B2"/>
    <w:rsid w:val="00D2776F"/>
    <w:rsid w:val="00D27C6A"/>
    <w:rsid w:val="00D30094"/>
    <w:rsid w:val="00D3060C"/>
    <w:rsid w:val="00D30B74"/>
    <w:rsid w:val="00D30EAE"/>
    <w:rsid w:val="00D31A9C"/>
    <w:rsid w:val="00D31EE8"/>
    <w:rsid w:val="00D31F5C"/>
    <w:rsid w:val="00D32796"/>
    <w:rsid w:val="00D328FA"/>
    <w:rsid w:val="00D33611"/>
    <w:rsid w:val="00D33A43"/>
    <w:rsid w:val="00D34110"/>
    <w:rsid w:val="00D3436E"/>
    <w:rsid w:val="00D34ADE"/>
    <w:rsid w:val="00D34B71"/>
    <w:rsid w:val="00D3572A"/>
    <w:rsid w:val="00D35F81"/>
    <w:rsid w:val="00D36187"/>
    <w:rsid w:val="00D36FD2"/>
    <w:rsid w:val="00D372D9"/>
    <w:rsid w:val="00D37DD5"/>
    <w:rsid w:val="00D37E22"/>
    <w:rsid w:val="00D40277"/>
    <w:rsid w:val="00D40296"/>
    <w:rsid w:val="00D40335"/>
    <w:rsid w:val="00D40ABC"/>
    <w:rsid w:val="00D40BE6"/>
    <w:rsid w:val="00D41715"/>
    <w:rsid w:val="00D41896"/>
    <w:rsid w:val="00D41A75"/>
    <w:rsid w:val="00D41BD1"/>
    <w:rsid w:val="00D41E71"/>
    <w:rsid w:val="00D42497"/>
    <w:rsid w:val="00D42858"/>
    <w:rsid w:val="00D42866"/>
    <w:rsid w:val="00D4288D"/>
    <w:rsid w:val="00D43010"/>
    <w:rsid w:val="00D431A2"/>
    <w:rsid w:val="00D4378D"/>
    <w:rsid w:val="00D43C23"/>
    <w:rsid w:val="00D43D83"/>
    <w:rsid w:val="00D43F1D"/>
    <w:rsid w:val="00D44842"/>
    <w:rsid w:val="00D45904"/>
    <w:rsid w:val="00D46033"/>
    <w:rsid w:val="00D46133"/>
    <w:rsid w:val="00D46372"/>
    <w:rsid w:val="00D4656D"/>
    <w:rsid w:val="00D466A3"/>
    <w:rsid w:val="00D50158"/>
    <w:rsid w:val="00D51E50"/>
    <w:rsid w:val="00D527CF"/>
    <w:rsid w:val="00D52C55"/>
    <w:rsid w:val="00D5342A"/>
    <w:rsid w:val="00D53672"/>
    <w:rsid w:val="00D53703"/>
    <w:rsid w:val="00D53737"/>
    <w:rsid w:val="00D53CCB"/>
    <w:rsid w:val="00D54515"/>
    <w:rsid w:val="00D54573"/>
    <w:rsid w:val="00D549B9"/>
    <w:rsid w:val="00D54A52"/>
    <w:rsid w:val="00D55236"/>
    <w:rsid w:val="00D5568A"/>
    <w:rsid w:val="00D5637A"/>
    <w:rsid w:val="00D57021"/>
    <w:rsid w:val="00D573A9"/>
    <w:rsid w:val="00D57988"/>
    <w:rsid w:val="00D60A3E"/>
    <w:rsid w:val="00D621FC"/>
    <w:rsid w:val="00D6226D"/>
    <w:rsid w:val="00D62F95"/>
    <w:rsid w:val="00D63087"/>
    <w:rsid w:val="00D631A1"/>
    <w:rsid w:val="00D63428"/>
    <w:rsid w:val="00D638CA"/>
    <w:rsid w:val="00D639F8"/>
    <w:rsid w:val="00D63E4C"/>
    <w:rsid w:val="00D63E99"/>
    <w:rsid w:val="00D64DC3"/>
    <w:rsid w:val="00D64DDF"/>
    <w:rsid w:val="00D661CE"/>
    <w:rsid w:val="00D66819"/>
    <w:rsid w:val="00D66A49"/>
    <w:rsid w:val="00D701F4"/>
    <w:rsid w:val="00D704AA"/>
    <w:rsid w:val="00D710F0"/>
    <w:rsid w:val="00D71513"/>
    <w:rsid w:val="00D716CD"/>
    <w:rsid w:val="00D71ECE"/>
    <w:rsid w:val="00D7224E"/>
    <w:rsid w:val="00D722AB"/>
    <w:rsid w:val="00D73DC5"/>
    <w:rsid w:val="00D7456D"/>
    <w:rsid w:val="00D75148"/>
    <w:rsid w:val="00D75F0F"/>
    <w:rsid w:val="00D76D51"/>
    <w:rsid w:val="00D76D89"/>
    <w:rsid w:val="00D76EEF"/>
    <w:rsid w:val="00D775BE"/>
    <w:rsid w:val="00D77B4D"/>
    <w:rsid w:val="00D80916"/>
    <w:rsid w:val="00D81AC3"/>
    <w:rsid w:val="00D820C8"/>
    <w:rsid w:val="00D8221B"/>
    <w:rsid w:val="00D82508"/>
    <w:rsid w:val="00D828D4"/>
    <w:rsid w:val="00D82F0B"/>
    <w:rsid w:val="00D8301E"/>
    <w:rsid w:val="00D83096"/>
    <w:rsid w:val="00D8384A"/>
    <w:rsid w:val="00D83982"/>
    <w:rsid w:val="00D83F1F"/>
    <w:rsid w:val="00D8539B"/>
    <w:rsid w:val="00D856B3"/>
    <w:rsid w:val="00D86B02"/>
    <w:rsid w:val="00D86E40"/>
    <w:rsid w:val="00D86E57"/>
    <w:rsid w:val="00D86F17"/>
    <w:rsid w:val="00D87805"/>
    <w:rsid w:val="00D8789B"/>
    <w:rsid w:val="00D878C2"/>
    <w:rsid w:val="00D90514"/>
    <w:rsid w:val="00D905B4"/>
    <w:rsid w:val="00D90835"/>
    <w:rsid w:val="00D91068"/>
    <w:rsid w:val="00D917D7"/>
    <w:rsid w:val="00D91B54"/>
    <w:rsid w:val="00D927FD"/>
    <w:rsid w:val="00D92B5A"/>
    <w:rsid w:val="00D941F9"/>
    <w:rsid w:val="00D94F86"/>
    <w:rsid w:val="00D95203"/>
    <w:rsid w:val="00D9555E"/>
    <w:rsid w:val="00D956A8"/>
    <w:rsid w:val="00D96ADE"/>
    <w:rsid w:val="00D96CD9"/>
    <w:rsid w:val="00D96DA1"/>
    <w:rsid w:val="00D973EA"/>
    <w:rsid w:val="00D978A6"/>
    <w:rsid w:val="00DA0084"/>
    <w:rsid w:val="00DA00E9"/>
    <w:rsid w:val="00DA06FF"/>
    <w:rsid w:val="00DA0B88"/>
    <w:rsid w:val="00DA14A4"/>
    <w:rsid w:val="00DA162B"/>
    <w:rsid w:val="00DA1718"/>
    <w:rsid w:val="00DA1B77"/>
    <w:rsid w:val="00DA1C60"/>
    <w:rsid w:val="00DA1F5A"/>
    <w:rsid w:val="00DA22E3"/>
    <w:rsid w:val="00DA2361"/>
    <w:rsid w:val="00DA2AD6"/>
    <w:rsid w:val="00DA40C4"/>
    <w:rsid w:val="00DA4EAA"/>
    <w:rsid w:val="00DA5991"/>
    <w:rsid w:val="00DA5C43"/>
    <w:rsid w:val="00DA60F3"/>
    <w:rsid w:val="00DA62A3"/>
    <w:rsid w:val="00DA680A"/>
    <w:rsid w:val="00DA6934"/>
    <w:rsid w:val="00DA7397"/>
    <w:rsid w:val="00DA76AE"/>
    <w:rsid w:val="00DA784C"/>
    <w:rsid w:val="00DA7A19"/>
    <w:rsid w:val="00DA7EA5"/>
    <w:rsid w:val="00DB0057"/>
    <w:rsid w:val="00DB093F"/>
    <w:rsid w:val="00DB09FB"/>
    <w:rsid w:val="00DB1040"/>
    <w:rsid w:val="00DB1542"/>
    <w:rsid w:val="00DB335B"/>
    <w:rsid w:val="00DB362A"/>
    <w:rsid w:val="00DB38CF"/>
    <w:rsid w:val="00DB3D1A"/>
    <w:rsid w:val="00DB409B"/>
    <w:rsid w:val="00DB4490"/>
    <w:rsid w:val="00DB45D6"/>
    <w:rsid w:val="00DB50E5"/>
    <w:rsid w:val="00DB52AF"/>
    <w:rsid w:val="00DB58B9"/>
    <w:rsid w:val="00DB60B3"/>
    <w:rsid w:val="00DB642A"/>
    <w:rsid w:val="00DB69EA"/>
    <w:rsid w:val="00DB7233"/>
    <w:rsid w:val="00DB73ED"/>
    <w:rsid w:val="00DB764F"/>
    <w:rsid w:val="00DB76E2"/>
    <w:rsid w:val="00DB7ECB"/>
    <w:rsid w:val="00DB7F16"/>
    <w:rsid w:val="00DC030B"/>
    <w:rsid w:val="00DC03D1"/>
    <w:rsid w:val="00DC097A"/>
    <w:rsid w:val="00DC0A95"/>
    <w:rsid w:val="00DC0EF2"/>
    <w:rsid w:val="00DC16EB"/>
    <w:rsid w:val="00DC1F82"/>
    <w:rsid w:val="00DC23C1"/>
    <w:rsid w:val="00DC2515"/>
    <w:rsid w:val="00DC28EE"/>
    <w:rsid w:val="00DC3465"/>
    <w:rsid w:val="00DC3A7A"/>
    <w:rsid w:val="00DC3AFB"/>
    <w:rsid w:val="00DC48F4"/>
    <w:rsid w:val="00DC4916"/>
    <w:rsid w:val="00DC55BB"/>
    <w:rsid w:val="00DC55EB"/>
    <w:rsid w:val="00DC571D"/>
    <w:rsid w:val="00DC6032"/>
    <w:rsid w:val="00DC6149"/>
    <w:rsid w:val="00DC690C"/>
    <w:rsid w:val="00DC7B49"/>
    <w:rsid w:val="00DD0573"/>
    <w:rsid w:val="00DD12B3"/>
    <w:rsid w:val="00DD1444"/>
    <w:rsid w:val="00DD2DAB"/>
    <w:rsid w:val="00DD30CD"/>
    <w:rsid w:val="00DD32D1"/>
    <w:rsid w:val="00DD33B5"/>
    <w:rsid w:val="00DD3461"/>
    <w:rsid w:val="00DD4257"/>
    <w:rsid w:val="00DD4345"/>
    <w:rsid w:val="00DD4364"/>
    <w:rsid w:val="00DD4698"/>
    <w:rsid w:val="00DD534F"/>
    <w:rsid w:val="00DD620B"/>
    <w:rsid w:val="00DD65AD"/>
    <w:rsid w:val="00DD65B8"/>
    <w:rsid w:val="00DD66B9"/>
    <w:rsid w:val="00DD682D"/>
    <w:rsid w:val="00DD6CC5"/>
    <w:rsid w:val="00DD7E42"/>
    <w:rsid w:val="00DE00B1"/>
    <w:rsid w:val="00DE0187"/>
    <w:rsid w:val="00DE1938"/>
    <w:rsid w:val="00DE2151"/>
    <w:rsid w:val="00DE2983"/>
    <w:rsid w:val="00DE2FEF"/>
    <w:rsid w:val="00DE34AB"/>
    <w:rsid w:val="00DE385D"/>
    <w:rsid w:val="00DE411B"/>
    <w:rsid w:val="00DE4295"/>
    <w:rsid w:val="00DE4309"/>
    <w:rsid w:val="00DE4983"/>
    <w:rsid w:val="00DE4D38"/>
    <w:rsid w:val="00DE4FDE"/>
    <w:rsid w:val="00DE5CA6"/>
    <w:rsid w:val="00DE602C"/>
    <w:rsid w:val="00DE74EF"/>
    <w:rsid w:val="00DE7815"/>
    <w:rsid w:val="00DF05A6"/>
    <w:rsid w:val="00DF0649"/>
    <w:rsid w:val="00DF08E8"/>
    <w:rsid w:val="00DF0C14"/>
    <w:rsid w:val="00DF1C7E"/>
    <w:rsid w:val="00DF37AB"/>
    <w:rsid w:val="00DF3AED"/>
    <w:rsid w:val="00DF3B36"/>
    <w:rsid w:val="00DF3FEE"/>
    <w:rsid w:val="00DF41BC"/>
    <w:rsid w:val="00DF4CC5"/>
    <w:rsid w:val="00DF57CD"/>
    <w:rsid w:val="00DF6147"/>
    <w:rsid w:val="00DF64D4"/>
    <w:rsid w:val="00DF6864"/>
    <w:rsid w:val="00DF6E06"/>
    <w:rsid w:val="00DF70BE"/>
    <w:rsid w:val="00E00480"/>
    <w:rsid w:val="00E017DA"/>
    <w:rsid w:val="00E0238C"/>
    <w:rsid w:val="00E0360F"/>
    <w:rsid w:val="00E03D7F"/>
    <w:rsid w:val="00E041BE"/>
    <w:rsid w:val="00E042D1"/>
    <w:rsid w:val="00E0435F"/>
    <w:rsid w:val="00E056FB"/>
    <w:rsid w:val="00E0582A"/>
    <w:rsid w:val="00E0611C"/>
    <w:rsid w:val="00E06491"/>
    <w:rsid w:val="00E06D93"/>
    <w:rsid w:val="00E073BF"/>
    <w:rsid w:val="00E077A5"/>
    <w:rsid w:val="00E1061F"/>
    <w:rsid w:val="00E10652"/>
    <w:rsid w:val="00E10840"/>
    <w:rsid w:val="00E117AC"/>
    <w:rsid w:val="00E130BB"/>
    <w:rsid w:val="00E13339"/>
    <w:rsid w:val="00E13691"/>
    <w:rsid w:val="00E13781"/>
    <w:rsid w:val="00E137B6"/>
    <w:rsid w:val="00E13851"/>
    <w:rsid w:val="00E13D2E"/>
    <w:rsid w:val="00E140F8"/>
    <w:rsid w:val="00E14103"/>
    <w:rsid w:val="00E148D8"/>
    <w:rsid w:val="00E15089"/>
    <w:rsid w:val="00E150AA"/>
    <w:rsid w:val="00E150CE"/>
    <w:rsid w:val="00E15CC2"/>
    <w:rsid w:val="00E15DC9"/>
    <w:rsid w:val="00E16B03"/>
    <w:rsid w:val="00E16B6C"/>
    <w:rsid w:val="00E17A69"/>
    <w:rsid w:val="00E17C88"/>
    <w:rsid w:val="00E21136"/>
    <w:rsid w:val="00E2151E"/>
    <w:rsid w:val="00E2240E"/>
    <w:rsid w:val="00E2273A"/>
    <w:rsid w:val="00E22AF9"/>
    <w:rsid w:val="00E22BB5"/>
    <w:rsid w:val="00E22CF2"/>
    <w:rsid w:val="00E23775"/>
    <w:rsid w:val="00E23C7B"/>
    <w:rsid w:val="00E24C2A"/>
    <w:rsid w:val="00E252FF"/>
    <w:rsid w:val="00E25308"/>
    <w:rsid w:val="00E25AF5"/>
    <w:rsid w:val="00E25B39"/>
    <w:rsid w:val="00E25B7B"/>
    <w:rsid w:val="00E261EB"/>
    <w:rsid w:val="00E269DB"/>
    <w:rsid w:val="00E26D59"/>
    <w:rsid w:val="00E27A07"/>
    <w:rsid w:val="00E27B29"/>
    <w:rsid w:val="00E27BA0"/>
    <w:rsid w:val="00E27EE2"/>
    <w:rsid w:val="00E305C1"/>
    <w:rsid w:val="00E31182"/>
    <w:rsid w:val="00E317E1"/>
    <w:rsid w:val="00E3294B"/>
    <w:rsid w:val="00E32C6A"/>
    <w:rsid w:val="00E33423"/>
    <w:rsid w:val="00E334A5"/>
    <w:rsid w:val="00E33685"/>
    <w:rsid w:val="00E33CAB"/>
    <w:rsid w:val="00E33CE5"/>
    <w:rsid w:val="00E345CA"/>
    <w:rsid w:val="00E34696"/>
    <w:rsid w:val="00E35040"/>
    <w:rsid w:val="00E3542B"/>
    <w:rsid w:val="00E35967"/>
    <w:rsid w:val="00E35B57"/>
    <w:rsid w:val="00E35BA6"/>
    <w:rsid w:val="00E35C2F"/>
    <w:rsid w:val="00E35E65"/>
    <w:rsid w:val="00E366C8"/>
    <w:rsid w:val="00E36AD9"/>
    <w:rsid w:val="00E36B3C"/>
    <w:rsid w:val="00E36B6F"/>
    <w:rsid w:val="00E37ACA"/>
    <w:rsid w:val="00E37C46"/>
    <w:rsid w:val="00E37CCB"/>
    <w:rsid w:val="00E40074"/>
    <w:rsid w:val="00E40D2D"/>
    <w:rsid w:val="00E420D9"/>
    <w:rsid w:val="00E420F8"/>
    <w:rsid w:val="00E420FA"/>
    <w:rsid w:val="00E42BC8"/>
    <w:rsid w:val="00E42F97"/>
    <w:rsid w:val="00E4305D"/>
    <w:rsid w:val="00E43573"/>
    <w:rsid w:val="00E435A6"/>
    <w:rsid w:val="00E43C5C"/>
    <w:rsid w:val="00E448A2"/>
    <w:rsid w:val="00E45276"/>
    <w:rsid w:val="00E454C5"/>
    <w:rsid w:val="00E45ED6"/>
    <w:rsid w:val="00E46390"/>
    <w:rsid w:val="00E46769"/>
    <w:rsid w:val="00E467FE"/>
    <w:rsid w:val="00E469EB"/>
    <w:rsid w:val="00E46C47"/>
    <w:rsid w:val="00E472CE"/>
    <w:rsid w:val="00E472E0"/>
    <w:rsid w:val="00E47342"/>
    <w:rsid w:val="00E50266"/>
    <w:rsid w:val="00E51A59"/>
    <w:rsid w:val="00E5220A"/>
    <w:rsid w:val="00E5270B"/>
    <w:rsid w:val="00E5329B"/>
    <w:rsid w:val="00E53395"/>
    <w:rsid w:val="00E533D3"/>
    <w:rsid w:val="00E5398D"/>
    <w:rsid w:val="00E54390"/>
    <w:rsid w:val="00E5475F"/>
    <w:rsid w:val="00E548D5"/>
    <w:rsid w:val="00E5513F"/>
    <w:rsid w:val="00E5548F"/>
    <w:rsid w:val="00E5587A"/>
    <w:rsid w:val="00E55BFB"/>
    <w:rsid w:val="00E55D97"/>
    <w:rsid w:val="00E56242"/>
    <w:rsid w:val="00E56397"/>
    <w:rsid w:val="00E56496"/>
    <w:rsid w:val="00E56B29"/>
    <w:rsid w:val="00E56EA8"/>
    <w:rsid w:val="00E57021"/>
    <w:rsid w:val="00E571D0"/>
    <w:rsid w:val="00E57587"/>
    <w:rsid w:val="00E5775E"/>
    <w:rsid w:val="00E57A68"/>
    <w:rsid w:val="00E57CEC"/>
    <w:rsid w:val="00E617BB"/>
    <w:rsid w:val="00E61A8E"/>
    <w:rsid w:val="00E61EBD"/>
    <w:rsid w:val="00E624BA"/>
    <w:rsid w:val="00E627AE"/>
    <w:rsid w:val="00E62E3A"/>
    <w:rsid w:val="00E62EB5"/>
    <w:rsid w:val="00E633F4"/>
    <w:rsid w:val="00E64E5A"/>
    <w:rsid w:val="00E6514F"/>
    <w:rsid w:val="00E6542B"/>
    <w:rsid w:val="00E65445"/>
    <w:rsid w:val="00E657DE"/>
    <w:rsid w:val="00E66A0C"/>
    <w:rsid w:val="00E66A93"/>
    <w:rsid w:val="00E66B29"/>
    <w:rsid w:val="00E66E99"/>
    <w:rsid w:val="00E674B4"/>
    <w:rsid w:val="00E679E6"/>
    <w:rsid w:val="00E67B8E"/>
    <w:rsid w:val="00E7010B"/>
    <w:rsid w:val="00E70EA3"/>
    <w:rsid w:val="00E7190D"/>
    <w:rsid w:val="00E7196F"/>
    <w:rsid w:val="00E71BFD"/>
    <w:rsid w:val="00E71FA0"/>
    <w:rsid w:val="00E721A2"/>
    <w:rsid w:val="00E72989"/>
    <w:rsid w:val="00E72A11"/>
    <w:rsid w:val="00E73E5E"/>
    <w:rsid w:val="00E74105"/>
    <w:rsid w:val="00E745F4"/>
    <w:rsid w:val="00E746A9"/>
    <w:rsid w:val="00E747C3"/>
    <w:rsid w:val="00E74E1E"/>
    <w:rsid w:val="00E750BA"/>
    <w:rsid w:val="00E7561C"/>
    <w:rsid w:val="00E75CC7"/>
    <w:rsid w:val="00E75EDB"/>
    <w:rsid w:val="00E766DE"/>
    <w:rsid w:val="00E76A27"/>
    <w:rsid w:val="00E76F8C"/>
    <w:rsid w:val="00E773B9"/>
    <w:rsid w:val="00E80046"/>
    <w:rsid w:val="00E80BE0"/>
    <w:rsid w:val="00E81637"/>
    <w:rsid w:val="00E817D2"/>
    <w:rsid w:val="00E81DDB"/>
    <w:rsid w:val="00E82120"/>
    <w:rsid w:val="00E8259E"/>
    <w:rsid w:val="00E83AA3"/>
    <w:rsid w:val="00E840D0"/>
    <w:rsid w:val="00E84A27"/>
    <w:rsid w:val="00E84BA9"/>
    <w:rsid w:val="00E85DE7"/>
    <w:rsid w:val="00E85E13"/>
    <w:rsid w:val="00E86A42"/>
    <w:rsid w:val="00E86B54"/>
    <w:rsid w:val="00E87098"/>
    <w:rsid w:val="00E871B2"/>
    <w:rsid w:val="00E87296"/>
    <w:rsid w:val="00E87790"/>
    <w:rsid w:val="00E87E2A"/>
    <w:rsid w:val="00E87E8E"/>
    <w:rsid w:val="00E91423"/>
    <w:rsid w:val="00E917B5"/>
    <w:rsid w:val="00E918AF"/>
    <w:rsid w:val="00E92400"/>
    <w:rsid w:val="00E92946"/>
    <w:rsid w:val="00E938C2"/>
    <w:rsid w:val="00E93D03"/>
    <w:rsid w:val="00E9412A"/>
    <w:rsid w:val="00E95046"/>
    <w:rsid w:val="00E951F2"/>
    <w:rsid w:val="00E9551C"/>
    <w:rsid w:val="00E95638"/>
    <w:rsid w:val="00E959B0"/>
    <w:rsid w:val="00E96295"/>
    <w:rsid w:val="00E9633C"/>
    <w:rsid w:val="00E96411"/>
    <w:rsid w:val="00E9759B"/>
    <w:rsid w:val="00EA0132"/>
    <w:rsid w:val="00EA022D"/>
    <w:rsid w:val="00EA0342"/>
    <w:rsid w:val="00EA068A"/>
    <w:rsid w:val="00EA0700"/>
    <w:rsid w:val="00EA0DB2"/>
    <w:rsid w:val="00EA0FE2"/>
    <w:rsid w:val="00EA1516"/>
    <w:rsid w:val="00EA15B7"/>
    <w:rsid w:val="00EA1726"/>
    <w:rsid w:val="00EA1884"/>
    <w:rsid w:val="00EA1F65"/>
    <w:rsid w:val="00EA2253"/>
    <w:rsid w:val="00EA2266"/>
    <w:rsid w:val="00EA25FC"/>
    <w:rsid w:val="00EA26BA"/>
    <w:rsid w:val="00EA2C67"/>
    <w:rsid w:val="00EA2D1A"/>
    <w:rsid w:val="00EA36DB"/>
    <w:rsid w:val="00EA382C"/>
    <w:rsid w:val="00EA3E72"/>
    <w:rsid w:val="00EA4293"/>
    <w:rsid w:val="00EA4711"/>
    <w:rsid w:val="00EA4C87"/>
    <w:rsid w:val="00EA587D"/>
    <w:rsid w:val="00EA5AE1"/>
    <w:rsid w:val="00EA5C1B"/>
    <w:rsid w:val="00EA69AD"/>
    <w:rsid w:val="00EA6F53"/>
    <w:rsid w:val="00EA7161"/>
    <w:rsid w:val="00EA7977"/>
    <w:rsid w:val="00EB0F97"/>
    <w:rsid w:val="00EB1224"/>
    <w:rsid w:val="00EB1ADD"/>
    <w:rsid w:val="00EB23F7"/>
    <w:rsid w:val="00EB260E"/>
    <w:rsid w:val="00EB2F7B"/>
    <w:rsid w:val="00EB34BA"/>
    <w:rsid w:val="00EB3E8E"/>
    <w:rsid w:val="00EB3FB6"/>
    <w:rsid w:val="00EB413A"/>
    <w:rsid w:val="00EB4609"/>
    <w:rsid w:val="00EB5077"/>
    <w:rsid w:val="00EB59CA"/>
    <w:rsid w:val="00EB5D24"/>
    <w:rsid w:val="00EB5DF1"/>
    <w:rsid w:val="00EB64C3"/>
    <w:rsid w:val="00EB67CE"/>
    <w:rsid w:val="00EB6BFF"/>
    <w:rsid w:val="00EB7615"/>
    <w:rsid w:val="00EB7D8E"/>
    <w:rsid w:val="00EC008B"/>
    <w:rsid w:val="00EC0524"/>
    <w:rsid w:val="00EC1174"/>
    <w:rsid w:val="00EC1B56"/>
    <w:rsid w:val="00EC297F"/>
    <w:rsid w:val="00EC2C98"/>
    <w:rsid w:val="00EC3394"/>
    <w:rsid w:val="00EC3BBE"/>
    <w:rsid w:val="00EC3CD4"/>
    <w:rsid w:val="00EC3CE1"/>
    <w:rsid w:val="00EC3FB9"/>
    <w:rsid w:val="00EC421E"/>
    <w:rsid w:val="00EC57CB"/>
    <w:rsid w:val="00EC5E98"/>
    <w:rsid w:val="00EC6341"/>
    <w:rsid w:val="00EC69C4"/>
    <w:rsid w:val="00EC7460"/>
    <w:rsid w:val="00EC7F5E"/>
    <w:rsid w:val="00ED00E1"/>
    <w:rsid w:val="00ED0201"/>
    <w:rsid w:val="00ED0DAA"/>
    <w:rsid w:val="00ED167F"/>
    <w:rsid w:val="00ED1CFF"/>
    <w:rsid w:val="00ED3437"/>
    <w:rsid w:val="00ED42B6"/>
    <w:rsid w:val="00ED451C"/>
    <w:rsid w:val="00ED4C5C"/>
    <w:rsid w:val="00ED4D89"/>
    <w:rsid w:val="00ED4FEF"/>
    <w:rsid w:val="00ED5177"/>
    <w:rsid w:val="00ED7244"/>
    <w:rsid w:val="00ED7552"/>
    <w:rsid w:val="00ED7555"/>
    <w:rsid w:val="00ED7836"/>
    <w:rsid w:val="00ED7D1A"/>
    <w:rsid w:val="00ED7EAF"/>
    <w:rsid w:val="00EE0422"/>
    <w:rsid w:val="00EE084C"/>
    <w:rsid w:val="00EE1E13"/>
    <w:rsid w:val="00EE1F99"/>
    <w:rsid w:val="00EE23E8"/>
    <w:rsid w:val="00EE307D"/>
    <w:rsid w:val="00EE3A54"/>
    <w:rsid w:val="00EE3C65"/>
    <w:rsid w:val="00EE3DD2"/>
    <w:rsid w:val="00EE42D3"/>
    <w:rsid w:val="00EE4D65"/>
    <w:rsid w:val="00EE4E53"/>
    <w:rsid w:val="00EE55E1"/>
    <w:rsid w:val="00EE586A"/>
    <w:rsid w:val="00EE5AD1"/>
    <w:rsid w:val="00EE5D45"/>
    <w:rsid w:val="00EE673D"/>
    <w:rsid w:val="00EE7374"/>
    <w:rsid w:val="00EE783F"/>
    <w:rsid w:val="00EE7DC0"/>
    <w:rsid w:val="00EF01C8"/>
    <w:rsid w:val="00EF01FC"/>
    <w:rsid w:val="00EF173E"/>
    <w:rsid w:val="00EF3AC1"/>
    <w:rsid w:val="00EF3B0F"/>
    <w:rsid w:val="00EF3B6C"/>
    <w:rsid w:val="00EF4210"/>
    <w:rsid w:val="00EF4765"/>
    <w:rsid w:val="00EF487E"/>
    <w:rsid w:val="00EF5493"/>
    <w:rsid w:val="00EF5864"/>
    <w:rsid w:val="00EF59DA"/>
    <w:rsid w:val="00EF59FF"/>
    <w:rsid w:val="00EF5CF1"/>
    <w:rsid w:val="00EF677E"/>
    <w:rsid w:val="00EF691F"/>
    <w:rsid w:val="00EF6A71"/>
    <w:rsid w:val="00EF6D9B"/>
    <w:rsid w:val="00EF6EDC"/>
    <w:rsid w:val="00EF72AE"/>
    <w:rsid w:val="00EF783F"/>
    <w:rsid w:val="00EF7AC6"/>
    <w:rsid w:val="00F0001B"/>
    <w:rsid w:val="00F002A7"/>
    <w:rsid w:val="00F0046D"/>
    <w:rsid w:val="00F0064D"/>
    <w:rsid w:val="00F0074C"/>
    <w:rsid w:val="00F0095F"/>
    <w:rsid w:val="00F00D1D"/>
    <w:rsid w:val="00F00D99"/>
    <w:rsid w:val="00F012A3"/>
    <w:rsid w:val="00F01829"/>
    <w:rsid w:val="00F01A39"/>
    <w:rsid w:val="00F01A9B"/>
    <w:rsid w:val="00F01B84"/>
    <w:rsid w:val="00F02D80"/>
    <w:rsid w:val="00F0342C"/>
    <w:rsid w:val="00F03DE0"/>
    <w:rsid w:val="00F03ED0"/>
    <w:rsid w:val="00F04FB1"/>
    <w:rsid w:val="00F0548C"/>
    <w:rsid w:val="00F0550F"/>
    <w:rsid w:val="00F05AB6"/>
    <w:rsid w:val="00F05D4F"/>
    <w:rsid w:val="00F060CF"/>
    <w:rsid w:val="00F0682D"/>
    <w:rsid w:val="00F06A23"/>
    <w:rsid w:val="00F06ED5"/>
    <w:rsid w:val="00F10D35"/>
    <w:rsid w:val="00F111C9"/>
    <w:rsid w:val="00F1144F"/>
    <w:rsid w:val="00F116CF"/>
    <w:rsid w:val="00F1199F"/>
    <w:rsid w:val="00F11B5A"/>
    <w:rsid w:val="00F11D33"/>
    <w:rsid w:val="00F12C83"/>
    <w:rsid w:val="00F13075"/>
    <w:rsid w:val="00F13C0F"/>
    <w:rsid w:val="00F13E4C"/>
    <w:rsid w:val="00F144BD"/>
    <w:rsid w:val="00F14561"/>
    <w:rsid w:val="00F14BF8"/>
    <w:rsid w:val="00F15372"/>
    <w:rsid w:val="00F15EA1"/>
    <w:rsid w:val="00F16135"/>
    <w:rsid w:val="00F16626"/>
    <w:rsid w:val="00F172D4"/>
    <w:rsid w:val="00F17423"/>
    <w:rsid w:val="00F1745C"/>
    <w:rsid w:val="00F17ADD"/>
    <w:rsid w:val="00F20340"/>
    <w:rsid w:val="00F207B4"/>
    <w:rsid w:val="00F20E3E"/>
    <w:rsid w:val="00F21448"/>
    <w:rsid w:val="00F21BF0"/>
    <w:rsid w:val="00F22D42"/>
    <w:rsid w:val="00F23686"/>
    <w:rsid w:val="00F23B0D"/>
    <w:rsid w:val="00F243F9"/>
    <w:rsid w:val="00F24FA6"/>
    <w:rsid w:val="00F2566B"/>
    <w:rsid w:val="00F26113"/>
    <w:rsid w:val="00F26500"/>
    <w:rsid w:val="00F2698B"/>
    <w:rsid w:val="00F26BF8"/>
    <w:rsid w:val="00F274CF"/>
    <w:rsid w:val="00F277E3"/>
    <w:rsid w:val="00F27A95"/>
    <w:rsid w:val="00F27C06"/>
    <w:rsid w:val="00F27FA9"/>
    <w:rsid w:val="00F30EBD"/>
    <w:rsid w:val="00F31352"/>
    <w:rsid w:val="00F314F2"/>
    <w:rsid w:val="00F315B6"/>
    <w:rsid w:val="00F315C4"/>
    <w:rsid w:val="00F316CE"/>
    <w:rsid w:val="00F317AE"/>
    <w:rsid w:val="00F32551"/>
    <w:rsid w:val="00F3260A"/>
    <w:rsid w:val="00F3285F"/>
    <w:rsid w:val="00F329B2"/>
    <w:rsid w:val="00F32A5F"/>
    <w:rsid w:val="00F33F82"/>
    <w:rsid w:val="00F340C1"/>
    <w:rsid w:val="00F348CE"/>
    <w:rsid w:val="00F34B2F"/>
    <w:rsid w:val="00F36A31"/>
    <w:rsid w:val="00F37548"/>
    <w:rsid w:val="00F375C2"/>
    <w:rsid w:val="00F409CD"/>
    <w:rsid w:val="00F40D9D"/>
    <w:rsid w:val="00F40FEA"/>
    <w:rsid w:val="00F41175"/>
    <w:rsid w:val="00F4125E"/>
    <w:rsid w:val="00F41AAB"/>
    <w:rsid w:val="00F41B79"/>
    <w:rsid w:val="00F41D24"/>
    <w:rsid w:val="00F41FCD"/>
    <w:rsid w:val="00F425EF"/>
    <w:rsid w:val="00F42864"/>
    <w:rsid w:val="00F42891"/>
    <w:rsid w:val="00F42DFE"/>
    <w:rsid w:val="00F432ED"/>
    <w:rsid w:val="00F44339"/>
    <w:rsid w:val="00F4445E"/>
    <w:rsid w:val="00F445C5"/>
    <w:rsid w:val="00F44C19"/>
    <w:rsid w:val="00F44CD1"/>
    <w:rsid w:val="00F44E28"/>
    <w:rsid w:val="00F453D7"/>
    <w:rsid w:val="00F4545D"/>
    <w:rsid w:val="00F45F4C"/>
    <w:rsid w:val="00F46576"/>
    <w:rsid w:val="00F465F2"/>
    <w:rsid w:val="00F46701"/>
    <w:rsid w:val="00F46A26"/>
    <w:rsid w:val="00F47690"/>
    <w:rsid w:val="00F50181"/>
    <w:rsid w:val="00F50CFD"/>
    <w:rsid w:val="00F50D92"/>
    <w:rsid w:val="00F513E5"/>
    <w:rsid w:val="00F51928"/>
    <w:rsid w:val="00F51BB3"/>
    <w:rsid w:val="00F52182"/>
    <w:rsid w:val="00F528BB"/>
    <w:rsid w:val="00F5301F"/>
    <w:rsid w:val="00F53363"/>
    <w:rsid w:val="00F53A75"/>
    <w:rsid w:val="00F54143"/>
    <w:rsid w:val="00F541DC"/>
    <w:rsid w:val="00F543F1"/>
    <w:rsid w:val="00F54645"/>
    <w:rsid w:val="00F54E89"/>
    <w:rsid w:val="00F551B2"/>
    <w:rsid w:val="00F55287"/>
    <w:rsid w:val="00F55623"/>
    <w:rsid w:val="00F55676"/>
    <w:rsid w:val="00F55D57"/>
    <w:rsid w:val="00F55FFF"/>
    <w:rsid w:val="00F567AF"/>
    <w:rsid w:val="00F569FC"/>
    <w:rsid w:val="00F56B91"/>
    <w:rsid w:val="00F56E52"/>
    <w:rsid w:val="00F56F1C"/>
    <w:rsid w:val="00F5743C"/>
    <w:rsid w:val="00F574C1"/>
    <w:rsid w:val="00F6093C"/>
    <w:rsid w:val="00F611AF"/>
    <w:rsid w:val="00F6123D"/>
    <w:rsid w:val="00F6161D"/>
    <w:rsid w:val="00F6166D"/>
    <w:rsid w:val="00F6186C"/>
    <w:rsid w:val="00F61E11"/>
    <w:rsid w:val="00F61FCC"/>
    <w:rsid w:val="00F621F5"/>
    <w:rsid w:val="00F626B5"/>
    <w:rsid w:val="00F62AFD"/>
    <w:rsid w:val="00F6315A"/>
    <w:rsid w:val="00F633DD"/>
    <w:rsid w:val="00F6375A"/>
    <w:rsid w:val="00F6383D"/>
    <w:rsid w:val="00F640D7"/>
    <w:rsid w:val="00F64F66"/>
    <w:rsid w:val="00F654CB"/>
    <w:rsid w:val="00F65709"/>
    <w:rsid w:val="00F65882"/>
    <w:rsid w:val="00F65A46"/>
    <w:rsid w:val="00F65E98"/>
    <w:rsid w:val="00F663D4"/>
    <w:rsid w:val="00F665C7"/>
    <w:rsid w:val="00F6680C"/>
    <w:rsid w:val="00F66E82"/>
    <w:rsid w:val="00F679BC"/>
    <w:rsid w:val="00F679CD"/>
    <w:rsid w:val="00F67B5F"/>
    <w:rsid w:val="00F67E3E"/>
    <w:rsid w:val="00F704AC"/>
    <w:rsid w:val="00F70A1A"/>
    <w:rsid w:val="00F70BB2"/>
    <w:rsid w:val="00F70C6C"/>
    <w:rsid w:val="00F70CC9"/>
    <w:rsid w:val="00F7135C"/>
    <w:rsid w:val="00F71438"/>
    <w:rsid w:val="00F7177A"/>
    <w:rsid w:val="00F717BA"/>
    <w:rsid w:val="00F71938"/>
    <w:rsid w:val="00F72F3F"/>
    <w:rsid w:val="00F7313A"/>
    <w:rsid w:val="00F73B71"/>
    <w:rsid w:val="00F73BA1"/>
    <w:rsid w:val="00F73F9D"/>
    <w:rsid w:val="00F74092"/>
    <w:rsid w:val="00F750FD"/>
    <w:rsid w:val="00F75497"/>
    <w:rsid w:val="00F75733"/>
    <w:rsid w:val="00F75B56"/>
    <w:rsid w:val="00F7616F"/>
    <w:rsid w:val="00F76523"/>
    <w:rsid w:val="00F76659"/>
    <w:rsid w:val="00F767D3"/>
    <w:rsid w:val="00F76B49"/>
    <w:rsid w:val="00F7726F"/>
    <w:rsid w:val="00F77440"/>
    <w:rsid w:val="00F77622"/>
    <w:rsid w:val="00F776A4"/>
    <w:rsid w:val="00F779D1"/>
    <w:rsid w:val="00F77A8B"/>
    <w:rsid w:val="00F80095"/>
    <w:rsid w:val="00F80729"/>
    <w:rsid w:val="00F80F25"/>
    <w:rsid w:val="00F815D2"/>
    <w:rsid w:val="00F819B3"/>
    <w:rsid w:val="00F81AE2"/>
    <w:rsid w:val="00F81BBA"/>
    <w:rsid w:val="00F833EC"/>
    <w:rsid w:val="00F83954"/>
    <w:rsid w:val="00F8398D"/>
    <w:rsid w:val="00F844D9"/>
    <w:rsid w:val="00F84E35"/>
    <w:rsid w:val="00F85483"/>
    <w:rsid w:val="00F85951"/>
    <w:rsid w:val="00F859AA"/>
    <w:rsid w:val="00F86A45"/>
    <w:rsid w:val="00F87017"/>
    <w:rsid w:val="00F8740D"/>
    <w:rsid w:val="00F8751B"/>
    <w:rsid w:val="00F87536"/>
    <w:rsid w:val="00F90B50"/>
    <w:rsid w:val="00F91353"/>
    <w:rsid w:val="00F91F44"/>
    <w:rsid w:val="00F921BD"/>
    <w:rsid w:val="00F93388"/>
    <w:rsid w:val="00F944F6"/>
    <w:rsid w:val="00F9462E"/>
    <w:rsid w:val="00F94EB8"/>
    <w:rsid w:val="00F95A21"/>
    <w:rsid w:val="00F95FBF"/>
    <w:rsid w:val="00F961FA"/>
    <w:rsid w:val="00F9633F"/>
    <w:rsid w:val="00F965B6"/>
    <w:rsid w:val="00F96951"/>
    <w:rsid w:val="00F97A52"/>
    <w:rsid w:val="00F97D92"/>
    <w:rsid w:val="00FA0034"/>
    <w:rsid w:val="00FA0266"/>
    <w:rsid w:val="00FA0DD8"/>
    <w:rsid w:val="00FA0FE4"/>
    <w:rsid w:val="00FA118A"/>
    <w:rsid w:val="00FA1A69"/>
    <w:rsid w:val="00FA1AE8"/>
    <w:rsid w:val="00FA2559"/>
    <w:rsid w:val="00FA2A28"/>
    <w:rsid w:val="00FA2F52"/>
    <w:rsid w:val="00FA31EB"/>
    <w:rsid w:val="00FA379E"/>
    <w:rsid w:val="00FA4CBA"/>
    <w:rsid w:val="00FA57A3"/>
    <w:rsid w:val="00FA5BF2"/>
    <w:rsid w:val="00FA62EC"/>
    <w:rsid w:val="00FA659C"/>
    <w:rsid w:val="00FA6793"/>
    <w:rsid w:val="00FA6EED"/>
    <w:rsid w:val="00FA763C"/>
    <w:rsid w:val="00FA76D3"/>
    <w:rsid w:val="00FB0EEE"/>
    <w:rsid w:val="00FB166B"/>
    <w:rsid w:val="00FB1969"/>
    <w:rsid w:val="00FB1F1F"/>
    <w:rsid w:val="00FB2A11"/>
    <w:rsid w:val="00FB2D3E"/>
    <w:rsid w:val="00FB3869"/>
    <w:rsid w:val="00FB397C"/>
    <w:rsid w:val="00FB3A21"/>
    <w:rsid w:val="00FB3A58"/>
    <w:rsid w:val="00FB3EA7"/>
    <w:rsid w:val="00FB4697"/>
    <w:rsid w:val="00FB4AFA"/>
    <w:rsid w:val="00FB5129"/>
    <w:rsid w:val="00FB57E6"/>
    <w:rsid w:val="00FB599B"/>
    <w:rsid w:val="00FB5FE4"/>
    <w:rsid w:val="00FB6002"/>
    <w:rsid w:val="00FB61FB"/>
    <w:rsid w:val="00FB6592"/>
    <w:rsid w:val="00FB663A"/>
    <w:rsid w:val="00FB6A0D"/>
    <w:rsid w:val="00FB7146"/>
    <w:rsid w:val="00FB7B69"/>
    <w:rsid w:val="00FB7ECC"/>
    <w:rsid w:val="00FC083B"/>
    <w:rsid w:val="00FC08F3"/>
    <w:rsid w:val="00FC0BEE"/>
    <w:rsid w:val="00FC0DD6"/>
    <w:rsid w:val="00FC0E65"/>
    <w:rsid w:val="00FC1005"/>
    <w:rsid w:val="00FC18EE"/>
    <w:rsid w:val="00FC1ADB"/>
    <w:rsid w:val="00FC2912"/>
    <w:rsid w:val="00FC3397"/>
    <w:rsid w:val="00FC3591"/>
    <w:rsid w:val="00FC35E8"/>
    <w:rsid w:val="00FC49E2"/>
    <w:rsid w:val="00FC5545"/>
    <w:rsid w:val="00FC5F86"/>
    <w:rsid w:val="00FC60AA"/>
    <w:rsid w:val="00FC6D64"/>
    <w:rsid w:val="00FC7290"/>
    <w:rsid w:val="00FC7D25"/>
    <w:rsid w:val="00FC7E5A"/>
    <w:rsid w:val="00FD0512"/>
    <w:rsid w:val="00FD0581"/>
    <w:rsid w:val="00FD0875"/>
    <w:rsid w:val="00FD0B6C"/>
    <w:rsid w:val="00FD1006"/>
    <w:rsid w:val="00FD1118"/>
    <w:rsid w:val="00FD11A0"/>
    <w:rsid w:val="00FD1CA5"/>
    <w:rsid w:val="00FD304E"/>
    <w:rsid w:val="00FD3219"/>
    <w:rsid w:val="00FD3502"/>
    <w:rsid w:val="00FD3600"/>
    <w:rsid w:val="00FD37CF"/>
    <w:rsid w:val="00FD3B57"/>
    <w:rsid w:val="00FD3E36"/>
    <w:rsid w:val="00FD4ED4"/>
    <w:rsid w:val="00FD4EEA"/>
    <w:rsid w:val="00FD50CE"/>
    <w:rsid w:val="00FD5386"/>
    <w:rsid w:val="00FD5B84"/>
    <w:rsid w:val="00FD6005"/>
    <w:rsid w:val="00FD67F9"/>
    <w:rsid w:val="00FD6A4F"/>
    <w:rsid w:val="00FD6ABB"/>
    <w:rsid w:val="00FD710B"/>
    <w:rsid w:val="00FD7B6E"/>
    <w:rsid w:val="00FD7C34"/>
    <w:rsid w:val="00FE05AE"/>
    <w:rsid w:val="00FE0759"/>
    <w:rsid w:val="00FE0DE7"/>
    <w:rsid w:val="00FE1458"/>
    <w:rsid w:val="00FE1FF8"/>
    <w:rsid w:val="00FE2445"/>
    <w:rsid w:val="00FE2F53"/>
    <w:rsid w:val="00FE3DC8"/>
    <w:rsid w:val="00FE4B8B"/>
    <w:rsid w:val="00FE4D12"/>
    <w:rsid w:val="00FE4E81"/>
    <w:rsid w:val="00FE5AC9"/>
    <w:rsid w:val="00FE5D54"/>
    <w:rsid w:val="00FE603D"/>
    <w:rsid w:val="00FE6AAB"/>
    <w:rsid w:val="00FE7458"/>
    <w:rsid w:val="00FE7873"/>
    <w:rsid w:val="00FE7CA2"/>
    <w:rsid w:val="00FF0419"/>
    <w:rsid w:val="00FF0574"/>
    <w:rsid w:val="00FF06E4"/>
    <w:rsid w:val="00FF1306"/>
    <w:rsid w:val="00FF164E"/>
    <w:rsid w:val="00FF1786"/>
    <w:rsid w:val="00FF18E2"/>
    <w:rsid w:val="00FF1F34"/>
    <w:rsid w:val="00FF2576"/>
    <w:rsid w:val="00FF2613"/>
    <w:rsid w:val="00FF3472"/>
    <w:rsid w:val="00FF3863"/>
    <w:rsid w:val="00FF39FB"/>
    <w:rsid w:val="00FF3DD1"/>
    <w:rsid w:val="00FF3FC7"/>
    <w:rsid w:val="00FF43D8"/>
    <w:rsid w:val="00FF445B"/>
    <w:rsid w:val="00FF4604"/>
    <w:rsid w:val="00FF4ABE"/>
    <w:rsid w:val="00FF4FE7"/>
    <w:rsid w:val="00FF5042"/>
    <w:rsid w:val="00FF5881"/>
    <w:rsid w:val="00FF5A25"/>
    <w:rsid w:val="00FF611C"/>
    <w:rsid w:val="00FF6766"/>
    <w:rsid w:val="00FF6B05"/>
    <w:rsid w:val="00FF6E96"/>
    <w:rsid w:val="00FF7426"/>
    <w:rsid w:val="00FF7A97"/>
    <w:rsid w:val="00FF7F8D"/>
    <w:rsid w:val="014B0893"/>
    <w:rsid w:val="01DD4706"/>
    <w:rsid w:val="01F845DA"/>
    <w:rsid w:val="02041E20"/>
    <w:rsid w:val="020B5D15"/>
    <w:rsid w:val="02255D1D"/>
    <w:rsid w:val="023E36B3"/>
    <w:rsid w:val="0252016C"/>
    <w:rsid w:val="0261664A"/>
    <w:rsid w:val="02A843A1"/>
    <w:rsid w:val="02A9543A"/>
    <w:rsid w:val="02AE4915"/>
    <w:rsid w:val="02C012C6"/>
    <w:rsid w:val="02F33C8E"/>
    <w:rsid w:val="031622E2"/>
    <w:rsid w:val="031B1925"/>
    <w:rsid w:val="031C52B4"/>
    <w:rsid w:val="032332FA"/>
    <w:rsid w:val="03432250"/>
    <w:rsid w:val="03494E8E"/>
    <w:rsid w:val="03501B96"/>
    <w:rsid w:val="03503A8E"/>
    <w:rsid w:val="036A7DCC"/>
    <w:rsid w:val="03822BB9"/>
    <w:rsid w:val="03875203"/>
    <w:rsid w:val="038D3DA0"/>
    <w:rsid w:val="039E42F0"/>
    <w:rsid w:val="03B1062A"/>
    <w:rsid w:val="03B2573E"/>
    <w:rsid w:val="03C84E6D"/>
    <w:rsid w:val="03CD11FE"/>
    <w:rsid w:val="03D16D5D"/>
    <w:rsid w:val="03FD2D5A"/>
    <w:rsid w:val="04127DC5"/>
    <w:rsid w:val="04266B31"/>
    <w:rsid w:val="04406E13"/>
    <w:rsid w:val="044A32DC"/>
    <w:rsid w:val="0474282F"/>
    <w:rsid w:val="049E3163"/>
    <w:rsid w:val="049E6920"/>
    <w:rsid w:val="04C47A02"/>
    <w:rsid w:val="04FA5F8A"/>
    <w:rsid w:val="054C5671"/>
    <w:rsid w:val="055C6A92"/>
    <w:rsid w:val="056472D3"/>
    <w:rsid w:val="05685EA8"/>
    <w:rsid w:val="059860B3"/>
    <w:rsid w:val="05A10E8B"/>
    <w:rsid w:val="05A1681C"/>
    <w:rsid w:val="05A16A11"/>
    <w:rsid w:val="05BB6053"/>
    <w:rsid w:val="05D411B5"/>
    <w:rsid w:val="05F04B0F"/>
    <w:rsid w:val="05F6197E"/>
    <w:rsid w:val="061C7916"/>
    <w:rsid w:val="061F6BB2"/>
    <w:rsid w:val="062D572C"/>
    <w:rsid w:val="06372A16"/>
    <w:rsid w:val="06526CAA"/>
    <w:rsid w:val="066B0059"/>
    <w:rsid w:val="067338D5"/>
    <w:rsid w:val="069A1668"/>
    <w:rsid w:val="069A29F8"/>
    <w:rsid w:val="06AD4153"/>
    <w:rsid w:val="06AF13D1"/>
    <w:rsid w:val="06C65FB7"/>
    <w:rsid w:val="06CB6667"/>
    <w:rsid w:val="06F84D7D"/>
    <w:rsid w:val="06FB2669"/>
    <w:rsid w:val="07003964"/>
    <w:rsid w:val="070063C7"/>
    <w:rsid w:val="070413C8"/>
    <w:rsid w:val="0709539D"/>
    <w:rsid w:val="070B7356"/>
    <w:rsid w:val="07562DE4"/>
    <w:rsid w:val="07656C3C"/>
    <w:rsid w:val="076E541F"/>
    <w:rsid w:val="077331C5"/>
    <w:rsid w:val="079A211F"/>
    <w:rsid w:val="07C50139"/>
    <w:rsid w:val="07E028C2"/>
    <w:rsid w:val="07F615C4"/>
    <w:rsid w:val="08074A1C"/>
    <w:rsid w:val="082F7E72"/>
    <w:rsid w:val="08346591"/>
    <w:rsid w:val="084669A1"/>
    <w:rsid w:val="084C53CC"/>
    <w:rsid w:val="0853609E"/>
    <w:rsid w:val="08701D2E"/>
    <w:rsid w:val="08732213"/>
    <w:rsid w:val="087E1C79"/>
    <w:rsid w:val="089B5CFD"/>
    <w:rsid w:val="08A430EE"/>
    <w:rsid w:val="08B924D8"/>
    <w:rsid w:val="08C0676B"/>
    <w:rsid w:val="08CE03F7"/>
    <w:rsid w:val="08EC214A"/>
    <w:rsid w:val="08EE405B"/>
    <w:rsid w:val="08F655F4"/>
    <w:rsid w:val="09043C2F"/>
    <w:rsid w:val="090C58D8"/>
    <w:rsid w:val="091A778F"/>
    <w:rsid w:val="09266113"/>
    <w:rsid w:val="0933179F"/>
    <w:rsid w:val="097807DA"/>
    <w:rsid w:val="097E4CDA"/>
    <w:rsid w:val="09910ABE"/>
    <w:rsid w:val="09953447"/>
    <w:rsid w:val="09B126B5"/>
    <w:rsid w:val="09BF428B"/>
    <w:rsid w:val="09CE4D7D"/>
    <w:rsid w:val="09D50808"/>
    <w:rsid w:val="09E563BE"/>
    <w:rsid w:val="09FB4BA1"/>
    <w:rsid w:val="0A0B002E"/>
    <w:rsid w:val="0A0D21C8"/>
    <w:rsid w:val="0A2C1AD3"/>
    <w:rsid w:val="0A434869"/>
    <w:rsid w:val="0A5A2FEF"/>
    <w:rsid w:val="0A6333DB"/>
    <w:rsid w:val="0A681221"/>
    <w:rsid w:val="0A8119D2"/>
    <w:rsid w:val="0A8E1179"/>
    <w:rsid w:val="0ABC4306"/>
    <w:rsid w:val="0AC12977"/>
    <w:rsid w:val="0AF060AE"/>
    <w:rsid w:val="0B0674BC"/>
    <w:rsid w:val="0B3E56C6"/>
    <w:rsid w:val="0B4B702B"/>
    <w:rsid w:val="0B51127F"/>
    <w:rsid w:val="0B5375F0"/>
    <w:rsid w:val="0B854B5E"/>
    <w:rsid w:val="0BA97BF6"/>
    <w:rsid w:val="0BBF224A"/>
    <w:rsid w:val="0BC6038C"/>
    <w:rsid w:val="0BC842BA"/>
    <w:rsid w:val="0BCB649B"/>
    <w:rsid w:val="0BCD5792"/>
    <w:rsid w:val="0BCE6119"/>
    <w:rsid w:val="0BD7475E"/>
    <w:rsid w:val="0BDA41E3"/>
    <w:rsid w:val="0BE27DAF"/>
    <w:rsid w:val="0BF50149"/>
    <w:rsid w:val="0C0077A1"/>
    <w:rsid w:val="0C19296C"/>
    <w:rsid w:val="0C2410DF"/>
    <w:rsid w:val="0C250861"/>
    <w:rsid w:val="0C356FF7"/>
    <w:rsid w:val="0C3B3039"/>
    <w:rsid w:val="0C7067C1"/>
    <w:rsid w:val="0C827A69"/>
    <w:rsid w:val="0C8E131F"/>
    <w:rsid w:val="0CB44DF5"/>
    <w:rsid w:val="0CB50B4E"/>
    <w:rsid w:val="0CBC49C8"/>
    <w:rsid w:val="0CBE7246"/>
    <w:rsid w:val="0CCB5163"/>
    <w:rsid w:val="0CCF7411"/>
    <w:rsid w:val="0CE22F0E"/>
    <w:rsid w:val="0CF225D0"/>
    <w:rsid w:val="0CFE5C1A"/>
    <w:rsid w:val="0D246DB7"/>
    <w:rsid w:val="0D540D9A"/>
    <w:rsid w:val="0D795C00"/>
    <w:rsid w:val="0D7F47D6"/>
    <w:rsid w:val="0D863A15"/>
    <w:rsid w:val="0DA05386"/>
    <w:rsid w:val="0DA42245"/>
    <w:rsid w:val="0DAE0281"/>
    <w:rsid w:val="0DB37F58"/>
    <w:rsid w:val="0DB53749"/>
    <w:rsid w:val="0DDF3DF0"/>
    <w:rsid w:val="0DF20A80"/>
    <w:rsid w:val="0E064271"/>
    <w:rsid w:val="0E1E74CF"/>
    <w:rsid w:val="0E35526A"/>
    <w:rsid w:val="0E370EE2"/>
    <w:rsid w:val="0E3D4374"/>
    <w:rsid w:val="0E711482"/>
    <w:rsid w:val="0E8010A1"/>
    <w:rsid w:val="0E814375"/>
    <w:rsid w:val="0E821C25"/>
    <w:rsid w:val="0E8E1DF6"/>
    <w:rsid w:val="0EBD01DC"/>
    <w:rsid w:val="0ED11557"/>
    <w:rsid w:val="0ED65B82"/>
    <w:rsid w:val="0EDC0B3B"/>
    <w:rsid w:val="0EDE4B79"/>
    <w:rsid w:val="0EE416EF"/>
    <w:rsid w:val="0F044C62"/>
    <w:rsid w:val="0F047233"/>
    <w:rsid w:val="0F230F60"/>
    <w:rsid w:val="0F7639CB"/>
    <w:rsid w:val="0F8E13E1"/>
    <w:rsid w:val="0FD26DAA"/>
    <w:rsid w:val="10003711"/>
    <w:rsid w:val="100B69B3"/>
    <w:rsid w:val="102B3C05"/>
    <w:rsid w:val="104430E9"/>
    <w:rsid w:val="10522556"/>
    <w:rsid w:val="105D33CF"/>
    <w:rsid w:val="10763A0F"/>
    <w:rsid w:val="107864D4"/>
    <w:rsid w:val="10894191"/>
    <w:rsid w:val="109C2340"/>
    <w:rsid w:val="10A242F9"/>
    <w:rsid w:val="10AC14F6"/>
    <w:rsid w:val="10B21726"/>
    <w:rsid w:val="10BD4A40"/>
    <w:rsid w:val="10EB0E8E"/>
    <w:rsid w:val="10EC1A26"/>
    <w:rsid w:val="1107536F"/>
    <w:rsid w:val="110A6AE0"/>
    <w:rsid w:val="110B3615"/>
    <w:rsid w:val="112530F7"/>
    <w:rsid w:val="11512899"/>
    <w:rsid w:val="115B675E"/>
    <w:rsid w:val="116753B8"/>
    <w:rsid w:val="118C1BE5"/>
    <w:rsid w:val="11B10E94"/>
    <w:rsid w:val="11C10DC9"/>
    <w:rsid w:val="11C9479C"/>
    <w:rsid w:val="11D036BF"/>
    <w:rsid w:val="12423E55"/>
    <w:rsid w:val="124D6AA7"/>
    <w:rsid w:val="1269692C"/>
    <w:rsid w:val="1274342F"/>
    <w:rsid w:val="12751390"/>
    <w:rsid w:val="127547D4"/>
    <w:rsid w:val="12923EEF"/>
    <w:rsid w:val="12954134"/>
    <w:rsid w:val="1297251F"/>
    <w:rsid w:val="12BD0C9B"/>
    <w:rsid w:val="12D45EE0"/>
    <w:rsid w:val="12E873E9"/>
    <w:rsid w:val="12EC04E0"/>
    <w:rsid w:val="12F02E13"/>
    <w:rsid w:val="131A41EC"/>
    <w:rsid w:val="13322AFB"/>
    <w:rsid w:val="133851BA"/>
    <w:rsid w:val="13436CB2"/>
    <w:rsid w:val="13473C8C"/>
    <w:rsid w:val="13571612"/>
    <w:rsid w:val="13606205"/>
    <w:rsid w:val="13670557"/>
    <w:rsid w:val="136E04AD"/>
    <w:rsid w:val="13733230"/>
    <w:rsid w:val="13806ACE"/>
    <w:rsid w:val="13895F0B"/>
    <w:rsid w:val="13AA3EE6"/>
    <w:rsid w:val="1416691B"/>
    <w:rsid w:val="143C5F40"/>
    <w:rsid w:val="145406FB"/>
    <w:rsid w:val="146640E4"/>
    <w:rsid w:val="14B677DE"/>
    <w:rsid w:val="14D33C46"/>
    <w:rsid w:val="14DA0D46"/>
    <w:rsid w:val="14DF6889"/>
    <w:rsid w:val="14EA006E"/>
    <w:rsid w:val="14ED6700"/>
    <w:rsid w:val="14F77F93"/>
    <w:rsid w:val="14FF4F73"/>
    <w:rsid w:val="150A44B0"/>
    <w:rsid w:val="151F690D"/>
    <w:rsid w:val="152777A9"/>
    <w:rsid w:val="152A6084"/>
    <w:rsid w:val="15341D01"/>
    <w:rsid w:val="15466EC7"/>
    <w:rsid w:val="15497CF2"/>
    <w:rsid w:val="1557055F"/>
    <w:rsid w:val="156444F6"/>
    <w:rsid w:val="15894397"/>
    <w:rsid w:val="159808ED"/>
    <w:rsid w:val="15A503D3"/>
    <w:rsid w:val="15B35F77"/>
    <w:rsid w:val="15CF58CC"/>
    <w:rsid w:val="15ED124A"/>
    <w:rsid w:val="16113600"/>
    <w:rsid w:val="1614672D"/>
    <w:rsid w:val="162000F5"/>
    <w:rsid w:val="16226043"/>
    <w:rsid w:val="1635577C"/>
    <w:rsid w:val="1645566E"/>
    <w:rsid w:val="16545063"/>
    <w:rsid w:val="167D6A70"/>
    <w:rsid w:val="167E45F3"/>
    <w:rsid w:val="16833FFF"/>
    <w:rsid w:val="169D0B1B"/>
    <w:rsid w:val="16A12C06"/>
    <w:rsid w:val="16A356B5"/>
    <w:rsid w:val="16B43829"/>
    <w:rsid w:val="16B6391F"/>
    <w:rsid w:val="16B722AF"/>
    <w:rsid w:val="16C13BC8"/>
    <w:rsid w:val="16E45696"/>
    <w:rsid w:val="16F53AE9"/>
    <w:rsid w:val="1733712E"/>
    <w:rsid w:val="173D2888"/>
    <w:rsid w:val="17780CAB"/>
    <w:rsid w:val="17E02CA2"/>
    <w:rsid w:val="17F843A7"/>
    <w:rsid w:val="182413D8"/>
    <w:rsid w:val="18354FCE"/>
    <w:rsid w:val="18365A0D"/>
    <w:rsid w:val="184A3267"/>
    <w:rsid w:val="18591A18"/>
    <w:rsid w:val="1869126D"/>
    <w:rsid w:val="188A2076"/>
    <w:rsid w:val="1899639E"/>
    <w:rsid w:val="18BB032E"/>
    <w:rsid w:val="18BD26F6"/>
    <w:rsid w:val="18CB43A7"/>
    <w:rsid w:val="18E34449"/>
    <w:rsid w:val="18F06FEA"/>
    <w:rsid w:val="19126B74"/>
    <w:rsid w:val="193F1FD9"/>
    <w:rsid w:val="193F7F83"/>
    <w:rsid w:val="19404E8F"/>
    <w:rsid w:val="19495C3C"/>
    <w:rsid w:val="19612F9B"/>
    <w:rsid w:val="198F443A"/>
    <w:rsid w:val="19953AA5"/>
    <w:rsid w:val="199E54CE"/>
    <w:rsid w:val="19B959E5"/>
    <w:rsid w:val="19BD1AC0"/>
    <w:rsid w:val="19C4275F"/>
    <w:rsid w:val="19DA63DF"/>
    <w:rsid w:val="19DB2059"/>
    <w:rsid w:val="19DE679D"/>
    <w:rsid w:val="19E364B1"/>
    <w:rsid w:val="19EA5D1A"/>
    <w:rsid w:val="19F4285B"/>
    <w:rsid w:val="1A290185"/>
    <w:rsid w:val="1A395BE2"/>
    <w:rsid w:val="1A4D1784"/>
    <w:rsid w:val="1A656CC4"/>
    <w:rsid w:val="1A662D7F"/>
    <w:rsid w:val="1A6F5950"/>
    <w:rsid w:val="1A7279A1"/>
    <w:rsid w:val="1A7C3E81"/>
    <w:rsid w:val="1A960B24"/>
    <w:rsid w:val="1AAD5012"/>
    <w:rsid w:val="1ABD7F1C"/>
    <w:rsid w:val="1AC038A8"/>
    <w:rsid w:val="1ACC5026"/>
    <w:rsid w:val="1ADD7590"/>
    <w:rsid w:val="1AED1C29"/>
    <w:rsid w:val="1B104994"/>
    <w:rsid w:val="1B184311"/>
    <w:rsid w:val="1B3C4BE2"/>
    <w:rsid w:val="1B497CB0"/>
    <w:rsid w:val="1B772561"/>
    <w:rsid w:val="1B7C43C8"/>
    <w:rsid w:val="1BA302E7"/>
    <w:rsid w:val="1BC54150"/>
    <w:rsid w:val="1BD97943"/>
    <w:rsid w:val="1BEB5168"/>
    <w:rsid w:val="1BFB0E51"/>
    <w:rsid w:val="1C281C91"/>
    <w:rsid w:val="1C594942"/>
    <w:rsid w:val="1C5C05EF"/>
    <w:rsid w:val="1C5F6D74"/>
    <w:rsid w:val="1C6210D2"/>
    <w:rsid w:val="1CA0617F"/>
    <w:rsid w:val="1CB06FF1"/>
    <w:rsid w:val="1CB32D3B"/>
    <w:rsid w:val="1CEF7F37"/>
    <w:rsid w:val="1CFA7A77"/>
    <w:rsid w:val="1D0070B4"/>
    <w:rsid w:val="1D021B43"/>
    <w:rsid w:val="1D040253"/>
    <w:rsid w:val="1D0A01B1"/>
    <w:rsid w:val="1D0C694E"/>
    <w:rsid w:val="1D19732D"/>
    <w:rsid w:val="1D525D1E"/>
    <w:rsid w:val="1D5960B8"/>
    <w:rsid w:val="1D664164"/>
    <w:rsid w:val="1D6E258D"/>
    <w:rsid w:val="1D73671A"/>
    <w:rsid w:val="1D7F76C4"/>
    <w:rsid w:val="1D8015D1"/>
    <w:rsid w:val="1D933E8A"/>
    <w:rsid w:val="1D9D6BED"/>
    <w:rsid w:val="1DDB1A6A"/>
    <w:rsid w:val="1DDD4F85"/>
    <w:rsid w:val="1DFF6610"/>
    <w:rsid w:val="1E3637A9"/>
    <w:rsid w:val="1E6A480A"/>
    <w:rsid w:val="1E6A4857"/>
    <w:rsid w:val="1E6E1FCF"/>
    <w:rsid w:val="1E725B11"/>
    <w:rsid w:val="1E8313B3"/>
    <w:rsid w:val="1E844CEA"/>
    <w:rsid w:val="1E8C3542"/>
    <w:rsid w:val="1E983F75"/>
    <w:rsid w:val="1EB465DE"/>
    <w:rsid w:val="1F236396"/>
    <w:rsid w:val="1F4A31D2"/>
    <w:rsid w:val="1F5046FF"/>
    <w:rsid w:val="1F5E0637"/>
    <w:rsid w:val="1F8C10F4"/>
    <w:rsid w:val="1F8E005A"/>
    <w:rsid w:val="1FDA1D72"/>
    <w:rsid w:val="200500A6"/>
    <w:rsid w:val="2006673B"/>
    <w:rsid w:val="201B3059"/>
    <w:rsid w:val="201C0DB0"/>
    <w:rsid w:val="202B4556"/>
    <w:rsid w:val="20343F5E"/>
    <w:rsid w:val="20863CB7"/>
    <w:rsid w:val="20943C19"/>
    <w:rsid w:val="209519F5"/>
    <w:rsid w:val="20A803C8"/>
    <w:rsid w:val="20C27BAD"/>
    <w:rsid w:val="20CF0A67"/>
    <w:rsid w:val="20D63B11"/>
    <w:rsid w:val="20F21A8B"/>
    <w:rsid w:val="20F87CFB"/>
    <w:rsid w:val="212D61F5"/>
    <w:rsid w:val="213A7560"/>
    <w:rsid w:val="213D3F8A"/>
    <w:rsid w:val="214B4914"/>
    <w:rsid w:val="21963F8D"/>
    <w:rsid w:val="21A933E0"/>
    <w:rsid w:val="21C36120"/>
    <w:rsid w:val="21F607B2"/>
    <w:rsid w:val="21FB3C5B"/>
    <w:rsid w:val="22113B54"/>
    <w:rsid w:val="222802A2"/>
    <w:rsid w:val="223B3DAD"/>
    <w:rsid w:val="224F20FC"/>
    <w:rsid w:val="22627A44"/>
    <w:rsid w:val="226661D1"/>
    <w:rsid w:val="22782DBB"/>
    <w:rsid w:val="227C3035"/>
    <w:rsid w:val="22B054DF"/>
    <w:rsid w:val="22B440FE"/>
    <w:rsid w:val="22CB4113"/>
    <w:rsid w:val="22D835EA"/>
    <w:rsid w:val="22DD27FA"/>
    <w:rsid w:val="22E16B87"/>
    <w:rsid w:val="23061197"/>
    <w:rsid w:val="23272B22"/>
    <w:rsid w:val="232C19D4"/>
    <w:rsid w:val="23603C7E"/>
    <w:rsid w:val="2378641A"/>
    <w:rsid w:val="23B91058"/>
    <w:rsid w:val="23E0122B"/>
    <w:rsid w:val="23EB7D85"/>
    <w:rsid w:val="23F459FC"/>
    <w:rsid w:val="24120CC7"/>
    <w:rsid w:val="242013AC"/>
    <w:rsid w:val="243F5C4A"/>
    <w:rsid w:val="244F6456"/>
    <w:rsid w:val="24693CC0"/>
    <w:rsid w:val="24C80EA9"/>
    <w:rsid w:val="24DC5B6F"/>
    <w:rsid w:val="24E8628D"/>
    <w:rsid w:val="24EE1D3D"/>
    <w:rsid w:val="251542BC"/>
    <w:rsid w:val="251D2161"/>
    <w:rsid w:val="25252619"/>
    <w:rsid w:val="253A1993"/>
    <w:rsid w:val="255365A4"/>
    <w:rsid w:val="256C62F1"/>
    <w:rsid w:val="25A501B3"/>
    <w:rsid w:val="25A65435"/>
    <w:rsid w:val="25B42A3D"/>
    <w:rsid w:val="25BB5056"/>
    <w:rsid w:val="25C30C1B"/>
    <w:rsid w:val="25E10F9C"/>
    <w:rsid w:val="25FB4025"/>
    <w:rsid w:val="264F7204"/>
    <w:rsid w:val="265A66B8"/>
    <w:rsid w:val="26651571"/>
    <w:rsid w:val="26A53312"/>
    <w:rsid w:val="26B77320"/>
    <w:rsid w:val="26C03D3E"/>
    <w:rsid w:val="26EC39B7"/>
    <w:rsid w:val="272E308D"/>
    <w:rsid w:val="27537E6B"/>
    <w:rsid w:val="27764AB0"/>
    <w:rsid w:val="27BA73A9"/>
    <w:rsid w:val="27F64E5B"/>
    <w:rsid w:val="27FE0B89"/>
    <w:rsid w:val="28116D8E"/>
    <w:rsid w:val="281C0B4A"/>
    <w:rsid w:val="28213096"/>
    <w:rsid w:val="28364A85"/>
    <w:rsid w:val="2858614A"/>
    <w:rsid w:val="285C7C90"/>
    <w:rsid w:val="28631F6F"/>
    <w:rsid w:val="289E42E4"/>
    <w:rsid w:val="28BA1AFF"/>
    <w:rsid w:val="28BD5FE3"/>
    <w:rsid w:val="28CE7E82"/>
    <w:rsid w:val="291140BA"/>
    <w:rsid w:val="29194CBB"/>
    <w:rsid w:val="2941798A"/>
    <w:rsid w:val="2944652C"/>
    <w:rsid w:val="295A30DD"/>
    <w:rsid w:val="296017B8"/>
    <w:rsid w:val="29A87960"/>
    <w:rsid w:val="29BA614C"/>
    <w:rsid w:val="29DF159C"/>
    <w:rsid w:val="29E75298"/>
    <w:rsid w:val="29F25B36"/>
    <w:rsid w:val="29F6015D"/>
    <w:rsid w:val="2A077209"/>
    <w:rsid w:val="2A097206"/>
    <w:rsid w:val="2A1A4AE6"/>
    <w:rsid w:val="2A252D0A"/>
    <w:rsid w:val="2A2A03AE"/>
    <w:rsid w:val="2A3D343E"/>
    <w:rsid w:val="2A474E7B"/>
    <w:rsid w:val="2A5D507B"/>
    <w:rsid w:val="2A670AF1"/>
    <w:rsid w:val="2A696F1C"/>
    <w:rsid w:val="2A7B2BEA"/>
    <w:rsid w:val="2A93081F"/>
    <w:rsid w:val="2AA556FB"/>
    <w:rsid w:val="2AC35579"/>
    <w:rsid w:val="2AC84BEB"/>
    <w:rsid w:val="2AFE7817"/>
    <w:rsid w:val="2B2334CC"/>
    <w:rsid w:val="2B256541"/>
    <w:rsid w:val="2B7F55A5"/>
    <w:rsid w:val="2B816570"/>
    <w:rsid w:val="2B853239"/>
    <w:rsid w:val="2B85459E"/>
    <w:rsid w:val="2B931DE6"/>
    <w:rsid w:val="2B983E5B"/>
    <w:rsid w:val="2BD07805"/>
    <w:rsid w:val="2BEF7792"/>
    <w:rsid w:val="2BFD28B3"/>
    <w:rsid w:val="2C373386"/>
    <w:rsid w:val="2C390DC9"/>
    <w:rsid w:val="2C493FB6"/>
    <w:rsid w:val="2C4A722C"/>
    <w:rsid w:val="2C4E6853"/>
    <w:rsid w:val="2C6E5DB2"/>
    <w:rsid w:val="2C754824"/>
    <w:rsid w:val="2C815C24"/>
    <w:rsid w:val="2C8E7D3E"/>
    <w:rsid w:val="2C961472"/>
    <w:rsid w:val="2CA3726A"/>
    <w:rsid w:val="2CAD2D35"/>
    <w:rsid w:val="2CAE7ECB"/>
    <w:rsid w:val="2CD9491E"/>
    <w:rsid w:val="2CF37358"/>
    <w:rsid w:val="2D7C126A"/>
    <w:rsid w:val="2D880717"/>
    <w:rsid w:val="2D894C4C"/>
    <w:rsid w:val="2D974007"/>
    <w:rsid w:val="2D9F55A4"/>
    <w:rsid w:val="2DA8681E"/>
    <w:rsid w:val="2DFE3FAD"/>
    <w:rsid w:val="2E031D43"/>
    <w:rsid w:val="2E1022C1"/>
    <w:rsid w:val="2E337BCC"/>
    <w:rsid w:val="2E49632A"/>
    <w:rsid w:val="2E697F74"/>
    <w:rsid w:val="2E86475D"/>
    <w:rsid w:val="2EC05F34"/>
    <w:rsid w:val="2EC77A64"/>
    <w:rsid w:val="2EDD57E4"/>
    <w:rsid w:val="2F0C0E7E"/>
    <w:rsid w:val="2F5544FE"/>
    <w:rsid w:val="2FA279FE"/>
    <w:rsid w:val="2FA414A4"/>
    <w:rsid w:val="2FC14F62"/>
    <w:rsid w:val="2FC32D9A"/>
    <w:rsid w:val="2FC369A1"/>
    <w:rsid w:val="2FE43649"/>
    <w:rsid w:val="30316788"/>
    <w:rsid w:val="30376927"/>
    <w:rsid w:val="303B4F0F"/>
    <w:rsid w:val="30B55924"/>
    <w:rsid w:val="30CA20F4"/>
    <w:rsid w:val="30CA692A"/>
    <w:rsid w:val="30D05FC4"/>
    <w:rsid w:val="30D841A1"/>
    <w:rsid w:val="30FA729C"/>
    <w:rsid w:val="31076E9B"/>
    <w:rsid w:val="310B6133"/>
    <w:rsid w:val="3120346D"/>
    <w:rsid w:val="31776D45"/>
    <w:rsid w:val="318F6288"/>
    <w:rsid w:val="31B15DA6"/>
    <w:rsid w:val="31B40B91"/>
    <w:rsid w:val="31B427D7"/>
    <w:rsid w:val="31B74B0A"/>
    <w:rsid w:val="31BE6A72"/>
    <w:rsid w:val="320E1D12"/>
    <w:rsid w:val="32317193"/>
    <w:rsid w:val="324F04EE"/>
    <w:rsid w:val="32544DC3"/>
    <w:rsid w:val="325474B5"/>
    <w:rsid w:val="325E2A68"/>
    <w:rsid w:val="32833806"/>
    <w:rsid w:val="329B7D73"/>
    <w:rsid w:val="32AF4914"/>
    <w:rsid w:val="32B953EB"/>
    <w:rsid w:val="32CA3041"/>
    <w:rsid w:val="3302763B"/>
    <w:rsid w:val="33497215"/>
    <w:rsid w:val="335A00FA"/>
    <w:rsid w:val="33621D6F"/>
    <w:rsid w:val="33624050"/>
    <w:rsid w:val="33661E8C"/>
    <w:rsid w:val="33887C2B"/>
    <w:rsid w:val="33987F4F"/>
    <w:rsid w:val="33997736"/>
    <w:rsid w:val="33BA2328"/>
    <w:rsid w:val="33BB296A"/>
    <w:rsid w:val="33D67A98"/>
    <w:rsid w:val="34117602"/>
    <w:rsid w:val="343621CC"/>
    <w:rsid w:val="344C2193"/>
    <w:rsid w:val="34931F06"/>
    <w:rsid w:val="34A2636E"/>
    <w:rsid w:val="34C1604E"/>
    <w:rsid w:val="34DE69B7"/>
    <w:rsid w:val="352266ED"/>
    <w:rsid w:val="353667EF"/>
    <w:rsid w:val="35407BBE"/>
    <w:rsid w:val="356267EE"/>
    <w:rsid w:val="358B5193"/>
    <w:rsid w:val="35A6265D"/>
    <w:rsid w:val="35B814F9"/>
    <w:rsid w:val="35C91C87"/>
    <w:rsid w:val="360B74A0"/>
    <w:rsid w:val="360D3D96"/>
    <w:rsid w:val="36213011"/>
    <w:rsid w:val="36441D6F"/>
    <w:rsid w:val="36530C5E"/>
    <w:rsid w:val="366F1474"/>
    <w:rsid w:val="37061844"/>
    <w:rsid w:val="3707052A"/>
    <w:rsid w:val="37125117"/>
    <w:rsid w:val="371F38A3"/>
    <w:rsid w:val="37252B3B"/>
    <w:rsid w:val="373F4E29"/>
    <w:rsid w:val="37607C5D"/>
    <w:rsid w:val="376D5C82"/>
    <w:rsid w:val="37733513"/>
    <w:rsid w:val="37736A21"/>
    <w:rsid w:val="37824373"/>
    <w:rsid w:val="37930AF3"/>
    <w:rsid w:val="37957A43"/>
    <w:rsid w:val="38262428"/>
    <w:rsid w:val="38297133"/>
    <w:rsid w:val="38523CCF"/>
    <w:rsid w:val="38736B8A"/>
    <w:rsid w:val="38745D02"/>
    <w:rsid w:val="389457A1"/>
    <w:rsid w:val="38961762"/>
    <w:rsid w:val="38A46B17"/>
    <w:rsid w:val="38B3026C"/>
    <w:rsid w:val="390962B9"/>
    <w:rsid w:val="393F7F00"/>
    <w:rsid w:val="39407DB4"/>
    <w:rsid w:val="398D772B"/>
    <w:rsid w:val="39BE34A3"/>
    <w:rsid w:val="39F60AA6"/>
    <w:rsid w:val="3A0902AD"/>
    <w:rsid w:val="3A221ED2"/>
    <w:rsid w:val="3A311181"/>
    <w:rsid w:val="3A3C754F"/>
    <w:rsid w:val="3A5A5317"/>
    <w:rsid w:val="3A5C2AB7"/>
    <w:rsid w:val="3A8D62A3"/>
    <w:rsid w:val="3ABA1B1A"/>
    <w:rsid w:val="3B1A5ED9"/>
    <w:rsid w:val="3B3A37DB"/>
    <w:rsid w:val="3B452824"/>
    <w:rsid w:val="3B7463CA"/>
    <w:rsid w:val="3B7C745E"/>
    <w:rsid w:val="3B802127"/>
    <w:rsid w:val="3BAD0A66"/>
    <w:rsid w:val="3BB11F08"/>
    <w:rsid w:val="3BDB6DAB"/>
    <w:rsid w:val="3BE82425"/>
    <w:rsid w:val="3C293D37"/>
    <w:rsid w:val="3C4A32B4"/>
    <w:rsid w:val="3C5D0E7F"/>
    <w:rsid w:val="3C66681A"/>
    <w:rsid w:val="3C7A04EB"/>
    <w:rsid w:val="3C873498"/>
    <w:rsid w:val="3CEB73A4"/>
    <w:rsid w:val="3D0714CA"/>
    <w:rsid w:val="3D3C0AEF"/>
    <w:rsid w:val="3D5A16DC"/>
    <w:rsid w:val="3D755CE8"/>
    <w:rsid w:val="3D760594"/>
    <w:rsid w:val="3D7B0C70"/>
    <w:rsid w:val="3D813105"/>
    <w:rsid w:val="3D8221FD"/>
    <w:rsid w:val="3D8865EB"/>
    <w:rsid w:val="3DA84716"/>
    <w:rsid w:val="3DA978C0"/>
    <w:rsid w:val="3DAF1D26"/>
    <w:rsid w:val="3DCF5D6F"/>
    <w:rsid w:val="3E167590"/>
    <w:rsid w:val="3E183AE5"/>
    <w:rsid w:val="3E2E6F1F"/>
    <w:rsid w:val="3E302D61"/>
    <w:rsid w:val="3E546625"/>
    <w:rsid w:val="3E5A5662"/>
    <w:rsid w:val="3E5B09DD"/>
    <w:rsid w:val="3E5F2AF3"/>
    <w:rsid w:val="3E6E02CC"/>
    <w:rsid w:val="3E72641E"/>
    <w:rsid w:val="3E9C3717"/>
    <w:rsid w:val="3EA82E0A"/>
    <w:rsid w:val="3ED3752F"/>
    <w:rsid w:val="3EFA1A27"/>
    <w:rsid w:val="3F182647"/>
    <w:rsid w:val="3F21271C"/>
    <w:rsid w:val="3F26124F"/>
    <w:rsid w:val="3F400E83"/>
    <w:rsid w:val="3F46683C"/>
    <w:rsid w:val="3F4C2CC1"/>
    <w:rsid w:val="3F682BCC"/>
    <w:rsid w:val="3F7615A4"/>
    <w:rsid w:val="3FAE529E"/>
    <w:rsid w:val="3FB052D7"/>
    <w:rsid w:val="3FB96AA5"/>
    <w:rsid w:val="3FCF5617"/>
    <w:rsid w:val="3FEE25A6"/>
    <w:rsid w:val="403A689F"/>
    <w:rsid w:val="405F1059"/>
    <w:rsid w:val="40BC76B4"/>
    <w:rsid w:val="40D528DC"/>
    <w:rsid w:val="40D9090F"/>
    <w:rsid w:val="40DF32D3"/>
    <w:rsid w:val="40F8186B"/>
    <w:rsid w:val="40FF18BA"/>
    <w:rsid w:val="41023216"/>
    <w:rsid w:val="414F63C5"/>
    <w:rsid w:val="416430E7"/>
    <w:rsid w:val="41953271"/>
    <w:rsid w:val="41C35806"/>
    <w:rsid w:val="41DD5F80"/>
    <w:rsid w:val="42147167"/>
    <w:rsid w:val="424F19F5"/>
    <w:rsid w:val="426D0EF7"/>
    <w:rsid w:val="42B63481"/>
    <w:rsid w:val="42C27A39"/>
    <w:rsid w:val="42FB2E55"/>
    <w:rsid w:val="43076574"/>
    <w:rsid w:val="430C7C4A"/>
    <w:rsid w:val="43381D7C"/>
    <w:rsid w:val="433B45FC"/>
    <w:rsid w:val="43430652"/>
    <w:rsid w:val="434C2C19"/>
    <w:rsid w:val="435C2DB5"/>
    <w:rsid w:val="43610128"/>
    <w:rsid w:val="43655A33"/>
    <w:rsid w:val="437E09F8"/>
    <w:rsid w:val="43893BCE"/>
    <w:rsid w:val="43A16902"/>
    <w:rsid w:val="43BB3C0F"/>
    <w:rsid w:val="440F222F"/>
    <w:rsid w:val="445A2441"/>
    <w:rsid w:val="446F6D5A"/>
    <w:rsid w:val="44862B6C"/>
    <w:rsid w:val="44C574E8"/>
    <w:rsid w:val="44CF009C"/>
    <w:rsid w:val="44E33B63"/>
    <w:rsid w:val="44F05F4A"/>
    <w:rsid w:val="450C3CB3"/>
    <w:rsid w:val="45261D8B"/>
    <w:rsid w:val="45343D45"/>
    <w:rsid w:val="45445D16"/>
    <w:rsid w:val="45523901"/>
    <w:rsid w:val="45842F98"/>
    <w:rsid w:val="45897726"/>
    <w:rsid w:val="45B1505C"/>
    <w:rsid w:val="45BB1F24"/>
    <w:rsid w:val="45D85AAB"/>
    <w:rsid w:val="45D93143"/>
    <w:rsid w:val="45EC572C"/>
    <w:rsid w:val="45ED1C5F"/>
    <w:rsid w:val="460D0C06"/>
    <w:rsid w:val="46132B8C"/>
    <w:rsid w:val="463A1A4C"/>
    <w:rsid w:val="466C25E1"/>
    <w:rsid w:val="466D2FA3"/>
    <w:rsid w:val="46773EEC"/>
    <w:rsid w:val="46965C64"/>
    <w:rsid w:val="46D70FFC"/>
    <w:rsid w:val="46EC48A5"/>
    <w:rsid w:val="470038AD"/>
    <w:rsid w:val="47013E6B"/>
    <w:rsid w:val="4787161D"/>
    <w:rsid w:val="47A13456"/>
    <w:rsid w:val="47BB79BB"/>
    <w:rsid w:val="47BE4F54"/>
    <w:rsid w:val="47C856D8"/>
    <w:rsid w:val="47DF503C"/>
    <w:rsid w:val="47F11623"/>
    <w:rsid w:val="482C4812"/>
    <w:rsid w:val="48393C05"/>
    <w:rsid w:val="485E405F"/>
    <w:rsid w:val="487321E2"/>
    <w:rsid w:val="48A2342F"/>
    <w:rsid w:val="48B7387B"/>
    <w:rsid w:val="48E41909"/>
    <w:rsid w:val="48F35C12"/>
    <w:rsid w:val="492E76E8"/>
    <w:rsid w:val="496318B2"/>
    <w:rsid w:val="498255BB"/>
    <w:rsid w:val="498D440D"/>
    <w:rsid w:val="49C1096D"/>
    <w:rsid w:val="49EA2682"/>
    <w:rsid w:val="49EB5813"/>
    <w:rsid w:val="49F5515D"/>
    <w:rsid w:val="4A246673"/>
    <w:rsid w:val="4A2E5FFB"/>
    <w:rsid w:val="4A306714"/>
    <w:rsid w:val="4A5E59E7"/>
    <w:rsid w:val="4A6E459B"/>
    <w:rsid w:val="4A903A0D"/>
    <w:rsid w:val="4A91693F"/>
    <w:rsid w:val="4A9A5C7B"/>
    <w:rsid w:val="4AC8727D"/>
    <w:rsid w:val="4AD8673C"/>
    <w:rsid w:val="4ADD2677"/>
    <w:rsid w:val="4AE7228E"/>
    <w:rsid w:val="4AF95E13"/>
    <w:rsid w:val="4AFA56E0"/>
    <w:rsid w:val="4B271F48"/>
    <w:rsid w:val="4B2A39C6"/>
    <w:rsid w:val="4B502159"/>
    <w:rsid w:val="4B5B148B"/>
    <w:rsid w:val="4B6A7795"/>
    <w:rsid w:val="4B715906"/>
    <w:rsid w:val="4B782950"/>
    <w:rsid w:val="4B9057BE"/>
    <w:rsid w:val="4BAC677A"/>
    <w:rsid w:val="4BCA055C"/>
    <w:rsid w:val="4BD10DAA"/>
    <w:rsid w:val="4BDE28DA"/>
    <w:rsid w:val="4C063AC2"/>
    <w:rsid w:val="4C1862F6"/>
    <w:rsid w:val="4C2B7942"/>
    <w:rsid w:val="4C322A1E"/>
    <w:rsid w:val="4C3F2E5C"/>
    <w:rsid w:val="4C4D7E06"/>
    <w:rsid w:val="4C6339D2"/>
    <w:rsid w:val="4C6F1289"/>
    <w:rsid w:val="4C92068A"/>
    <w:rsid w:val="4C996708"/>
    <w:rsid w:val="4CAA6D5A"/>
    <w:rsid w:val="4CD101B4"/>
    <w:rsid w:val="4D076C25"/>
    <w:rsid w:val="4D0F3D3C"/>
    <w:rsid w:val="4D4A090B"/>
    <w:rsid w:val="4D7F5E77"/>
    <w:rsid w:val="4DC10297"/>
    <w:rsid w:val="4DDB660E"/>
    <w:rsid w:val="4E055942"/>
    <w:rsid w:val="4E09200C"/>
    <w:rsid w:val="4E0E4E2C"/>
    <w:rsid w:val="4E1862EF"/>
    <w:rsid w:val="4E190BCC"/>
    <w:rsid w:val="4E1A6ACF"/>
    <w:rsid w:val="4E51006B"/>
    <w:rsid w:val="4E675E22"/>
    <w:rsid w:val="4EA77667"/>
    <w:rsid w:val="4ED322E0"/>
    <w:rsid w:val="4EE61C80"/>
    <w:rsid w:val="4F022F2B"/>
    <w:rsid w:val="4F1500EA"/>
    <w:rsid w:val="4F187695"/>
    <w:rsid w:val="4F3021BF"/>
    <w:rsid w:val="4F397A36"/>
    <w:rsid w:val="4F4B4B3D"/>
    <w:rsid w:val="4F831D44"/>
    <w:rsid w:val="4F847089"/>
    <w:rsid w:val="4F9808EC"/>
    <w:rsid w:val="4FDC05B8"/>
    <w:rsid w:val="4FF14037"/>
    <w:rsid w:val="4FF53FDF"/>
    <w:rsid w:val="500E0207"/>
    <w:rsid w:val="505125D0"/>
    <w:rsid w:val="50962F12"/>
    <w:rsid w:val="50B70DFA"/>
    <w:rsid w:val="50CC0BE6"/>
    <w:rsid w:val="510075AF"/>
    <w:rsid w:val="51053BF3"/>
    <w:rsid w:val="51071719"/>
    <w:rsid w:val="51195F32"/>
    <w:rsid w:val="51227A94"/>
    <w:rsid w:val="51295DBA"/>
    <w:rsid w:val="5136443C"/>
    <w:rsid w:val="5151196F"/>
    <w:rsid w:val="51856722"/>
    <w:rsid w:val="51982501"/>
    <w:rsid w:val="51AB0D41"/>
    <w:rsid w:val="51CB1BC5"/>
    <w:rsid w:val="51D1544A"/>
    <w:rsid w:val="51E25585"/>
    <w:rsid w:val="51E87115"/>
    <w:rsid w:val="520C793D"/>
    <w:rsid w:val="52121A42"/>
    <w:rsid w:val="5237091F"/>
    <w:rsid w:val="52745DEE"/>
    <w:rsid w:val="52795A72"/>
    <w:rsid w:val="52AC442F"/>
    <w:rsid w:val="52B461F9"/>
    <w:rsid w:val="52C056ED"/>
    <w:rsid w:val="52CC5DBB"/>
    <w:rsid w:val="52D32DD5"/>
    <w:rsid w:val="52D466F7"/>
    <w:rsid w:val="52DE008B"/>
    <w:rsid w:val="52F33815"/>
    <w:rsid w:val="530F23FC"/>
    <w:rsid w:val="53155F5F"/>
    <w:rsid w:val="53220B92"/>
    <w:rsid w:val="532C282A"/>
    <w:rsid w:val="536C15B3"/>
    <w:rsid w:val="53826BE9"/>
    <w:rsid w:val="538C2908"/>
    <w:rsid w:val="53966416"/>
    <w:rsid w:val="5399084F"/>
    <w:rsid w:val="539E0EEE"/>
    <w:rsid w:val="53B7492D"/>
    <w:rsid w:val="53D86A43"/>
    <w:rsid w:val="53F41D4A"/>
    <w:rsid w:val="540624A0"/>
    <w:rsid w:val="540862FB"/>
    <w:rsid w:val="541817FE"/>
    <w:rsid w:val="541955B2"/>
    <w:rsid w:val="5442187D"/>
    <w:rsid w:val="54835B83"/>
    <w:rsid w:val="54890E82"/>
    <w:rsid w:val="54A14480"/>
    <w:rsid w:val="54C631FA"/>
    <w:rsid w:val="54D876B4"/>
    <w:rsid w:val="54E84E88"/>
    <w:rsid w:val="55094080"/>
    <w:rsid w:val="550A0B55"/>
    <w:rsid w:val="550E2502"/>
    <w:rsid w:val="552D278F"/>
    <w:rsid w:val="553F5DFA"/>
    <w:rsid w:val="554A50E8"/>
    <w:rsid w:val="557B1A52"/>
    <w:rsid w:val="55847C52"/>
    <w:rsid w:val="5591032C"/>
    <w:rsid w:val="55946466"/>
    <w:rsid w:val="5599190F"/>
    <w:rsid w:val="55AC03C9"/>
    <w:rsid w:val="55AF6B63"/>
    <w:rsid w:val="55D342C0"/>
    <w:rsid w:val="55E52B3F"/>
    <w:rsid w:val="562129DB"/>
    <w:rsid w:val="5621760B"/>
    <w:rsid w:val="56400B27"/>
    <w:rsid w:val="56783471"/>
    <w:rsid w:val="568E0FB9"/>
    <w:rsid w:val="56A4039D"/>
    <w:rsid w:val="56CB5BE4"/>
    <w:rsid w:val="56D45F27"/>
    <w:rsid w:val="56DA1B0D"/>
    <w:rsid w:val="56DA291C"/>
    <w:rsid w:val="56FB3425"/>
    <w:rsid w:val="56FF49E1"/>
    <w:rsid w:val="572C67CF"/>
    <w:rsid w:val="573F44E6"/>
    <w:rsid w:val="57651C95"/>
    <w:rsid w:val="57681A78"/>
    <w:rsid w:val="577068FA"/>
    <w:rsid w:val="57776ECD"/>
    <w:rsid w:val="57AC6ED0"/>
    <w:rsid w:val="57B5534E"/>
    <w:rsid w:val="57C178F8"/>
    <w:rsid w:val="57C67932"/>
    <w:rsid w:val="57DC56AE"/>
    <w:rsid w:val="57EA7A66"/>
    <w:rsid w:val="57EF4BBE"/>
    <w:rsid w:val="57F81E18"/>
    <w:rsid w:val="582E754E"/>
    <w:rsid w:val="584744C7"/>
    <w:rsid w:val="58565030"/>
    <w:rsid w:val="587A1F15"/>
    <w:rsid w:val="58AA08C3"/>
    <w:rsid w:val="58AD748A"/>
    <w:rsid w:val="58BA771D"/>
    <w:rsid w:val="58C2395D"/>
    <w:rsid w:val="58D469D7"/>
    <w:rsid w:val="58E74D8E"/>
    <w:rsid w:val="596545F6"/>
    <w:rsid w:val="59694B3B"/>
    <w:rsid w:val="596F4CAF"/>
    <w:rsid w:val="59870F94"/>
    <w:rsid w:val="59897866"/>
    <w:rsid w:val="599F6640"/>
    <w:rsid w:val="59A57238"/>
    <w:rsid w:val="59B213F5"/>
    <w:rsid w:val="59E97B06"/>
    <w:rsid w:val="5A105905"/>
    <w:rsid w:val="5A186745"/>
    <w:rsid w:val="5A6F3842"/>
    <w:rsid w:val="5A7B127C"/>
    <w:rsid w:val="5A7F434C"/>
    <w:rsid w:val="5A9413BD"/>
    <w:rsid w:val="5AA03420"/>
    <w:rsid w:val="5ABF6998"/>
    <w:rsid w:val="5AC07949"/>
    <w:rsid w:val="5AC32B55"/>
    <w:rsid w:val="5AE8660E"/>
    <w:rsid w:val="5B5B5361"/>
    <w:rsid w:val="5B666CA6"/>
    <w:rsid w:val="5B881E2C"/>
    <w:rsid w:val="5B8B2B16"/>
    <w:rsid w:val="5B8B58A8"/>
    <w:rsid w:val="5BA30291"/>
    <w:rsid w:val="5BA5067F"/>
    <w:rsid w:val="5BEF1728"/>
    <w:rsid w:val="5BF23AE9"/>
    <w:rsid w:val="5BFB2AA2"/>
    <w:rsid w:val="5C4737DC"/>
    <w:rsid w:val="5C5E2199"/>
    <w:rsid w:val="5C785991"/>
    <w:rsid w:val="5C852AD1"/>
    <w:rsid w:val="5C8801D3"/>
    <w:rsid w:val="5CAD1E23"/>
    <w:rsid w:val="5CB0091F"/>
    <w:rsid w:val="5CB35E58"/>
    <w:rsid w:val="5CBE1185"/>
    <w:rsid w:val="5CD1213F"/>
    <w:rsid w:val="5D5A5BAB"/>
    <w:rsid w:val="5D5C5AF1"/>
    <w:rsid w:val="5D707B1B"/>
    <w:rsid w:val="5D8B0B02"/>
    <w:rsid w:val="5D9A4135"/>
    <w:rsid w:val="5DA43D30"/>
    <w:rsid w:val="5DD45131"/>
    <w:rsid w:val="5DDB25EE"/>
    <w:rsid w:val="5E067911"/>
    <w:rsid w:val="5E0825CE"/>
    <w:rsid w:val="5E111EA4"/>
    <w:rsid w:val="5E241DCE"/>
    <w:rsid w:val="5E3B0A37"/>
    <w:rsid w:val="5E3F46E1"/>
    <w:rsid w:val="5E613920"/>
    <w:rsid w:val="5E674FE3"/>
    <w:rsid w:val="5E7E660C"/>
    <w:rsid w:val="5E935ECD"/>
    <w:rsid w:val="5EAB0E09"/>
    <w:rsid w:val="5EB71AAF"/>
    <w:rsid w:val="5EB9412D"/>
    <w:rsid w:val="5EBA2837"/>
    <w:rsid w:val="5EBB3B43"/>
    <w:rsid w:val="5EC12A3E"/>
    <w:rsid w:val="5ED12E92"/>
    <w:rsid w:val="5ED759C8"/>
    <w:rsid w:val="5F09016A"/>
    <w:rsid w:val="5F49033D"/>
    <w:rsid w:val="5F4A4A8C"/>
    <w:rsid w:val="5F5A19D3"/>
    <w:rsid w:val="5F5F4E16"/>
    <w:rsid w:val="5F98329A"/>
    <w:rsid w:val="5FAC2886"/>
    <w:rsid w:val="5FC03223"/>
    <w:rsid w:val="5FCC3346"/>
    <w:rsid w:val="600A356A"/>
    <w:rsid w:val="600A3F20"/>
    <w:rsid w:val="600D1754"/>
    <w:rsid w:val="604539A8"/>
    <w:rsid w:val="604C291C"/>
    <w:rsid w:val="605F3B9E"/>
    <w:rsid w:val="606105E1"/>
    <w:rsid w:val="609509AF"/>
    <w:rsid w:val="60BB08D9"/>
    <w:rsid w:val="60E6745F"/>
    <w:rsid w:val="61257459"/>
    <w:rsid w:val="6127639D"/>
    <w:rsid w:val="613A78EC"/>
    <w:rsid w:val="614352B8"/>
    <w:rsid w:val="61464D49"/>
    <w:rsid w:val="614B0C0A"/>
    <w:rsid w:val="615E5105"/>
    <w:rsid w:val="618B6252"/>
    <w:rsid w:val="61930AC0"/>
    <w:rsid w:val="61A67367"/>
    <w:rsid w:val="61CC5361"/>
    <w:rsid w:val="61CE16BD"/>
    <w:rsid w:val="61E91DA0"/>
    <w:rsid w:val="61F52A52"/>
    <w:rsid w:val="620F4E2E"/>
    <w:rsid w:val="6221142B"/>
    <w:rsid w:val="623B7304"/>
    <w:rsid w:val="6265177A"/>
    <w:rsid w:val="629B7225"/>
    <w:rsid w:val="62A55DE6"/>
    <w:rsid w:val="62B56103"/>
    <w:rsid w:val="62D87B2F"/>
    <w:rsid w:val="62DA702C"/>
    <w:rsid w:val="62E03563"/>
    <w:rsid w:val="62EE3C5C"/>
    <w:rsid w:val="62F41618"/>
    <w:rsid w:val="62FB6C04"/>
    <w:rsid w:val="630B6415"/>
    <w:rsid w:val="630E4DF2"/>
    <w:rsid w:val="63204C0B"/>
    <w:rsid w:val="632B3D27"/>
    <w:rsid w:val="632F4BB7"/>
    <w:rsid w:val="633E47E3"/>
    <w:rsid w:val="634949DF"/>
    <w:rsid w:val="634F25F0"/>
    <w:rsid w:val="635D76AE"/>
    <w:rsid w:val="635F7081"/>
    <w:rsid w:val="637C75B0"/>
    <w:rsid w:val="637F051E"/>
    <w:rsid w:val="6385441C"/>
    <w:rsid w:val="63962A2B"/>
    <w:rsid w:val="63A3501F"/>
    <w:rsid w:val="63B41120"/>
    <w:rsid w:val="63B84AF5"/>
    <w:rsid w:val="63F319A4"/>
    <w:rsid w:val="63F9680B"/>
    <w:rsid w:val="6411249C"/>
    <w:rsid w:val="6416238C"/>
    <w:rsid w:val="641B5F89"/>
    <w:rsid w:val="64285E19"/>
    <w:rsid w:val="642B3519"/>
    <w:rsid w:val="64651A1B"/>
    <w:rsid w:val="64897C1D"/>
    <w:rsid w:val="649137BE"/>
    <w:rsid w:val="64991F2D"/>
    <w:rsid w:val="64AC597D"/>
    <w:rsid w:val="64B22DCE"/>
    <w:rsid w:val="64BB6224"/>
    <w:rsid w:val="64D15FAB"/>
    <w:rsid w:val="64D75617"/>
    <w:rsid w:val="64DB7F56"/>
    <w:rsid w:val="64EE134D"/>
    <w:rsid w:val="650C61D5"/>
    <w:rsid w:val="65150040"/>
    <w:rsid w:val="654C13AD"/>
    <w:rsid w:val="655568EF"/>
    <w:rsid w:val="65633914"/>
    <w:rsid w:val="65980740"/>
    <w:rsid w:val="65B52539"/>
    <w:rsid w:val="65C1710D"/>
    <w:rsid w:val="65CB4E6C"/>
    <w:rsid w:val="65CB6D62"/>
    <w:rsid w:val="65CC3DA5"/>
    <w:rsid w:val="65DB6CFC"/>
    <w:rsid w:val="65E35C92"/>
    <w:rsid w:val="660D10CD"/>
    <w:rsid w:val="661F0BEF"/>
    <w:rsid w:val="663A0FD2"/>
    <w:rsid w:val="66966282"/>
    <w:rsid w:val="66AF4AA2"/>
    <w:rsid w:val="66B5671E"/>
    <w:rsid w:val="66BA7832"/>
    <w:rsid w:val="66BB7CFD"/>
    <w:rsid w:val="66C74B78"/>
    <w:rsid w:val="66DA02E3"/>
    <w:rsid w:val="66E331C1"/>
    <w:rsid w:val="66E35545"/>
    <w:rsid w:val="66EA5766"/>
    <w:rsid w:val="67137384"/>
    <w:rsid w:val="671562C7"/>
    <w:rsid w:val="6720245A"/>
    <w:rsid w:val="674363E7"/>
    <w:rsid w:val="676E7612"/>
    <w:rsid w:val="6784366C"/>
    <w:rsid w:val="67A72F8B"/>
    <w:rsid w:val="67A7735B"/>
    <w:rsid w:val="67AB570C"/>
    <w:rsid w:val="67C25449"/>
    <w:rsid w:val="67D951A0"/>
    <w:rsid w:val="67F353E9"/>
    <w:rsid w:val="680B25A1"/>
    <w:rsid w:val="6893481D"/>
    <w:rsid w:val="689513FC"/>
    <w:rsid w:val="68997B7E"/>
    <w:rsid w:val="68B01264"/>
    <w:rsid w:val="68DF49B7"/>
    <w:rsid w:val="68ED3AFD"/>
    <w:rsid w:val="690502AB"/>
    <w:rsid w:val="692377F7"/>
    <w:rsid w:val="69361EFC"/>
    <w:rsid w:val="69410A65"/>
    <w:rsid w:val="6944292F"/>
    <w:rsid w:val="69652105"/>
    <w:rsid w:val="698024E4"/>
    <w:rsid w:val="69961285"/>
    <w:rsid w:val="69A350EE"/>
    <w:rsid w:val="69A40852"/>
    <w:rsid w:val="69A638FD"/>
    <w:rsid w:val="69B31566"/>
    <w:rsid w:val="69BD3063"/>
    <w:rsid w:val="69E513A7"/>
    <w:rsid w:val="6A0E6D8F"/>
    <w:rsid w:val="6A1816BA"/>
    <w:rsid w:val="6A183A8B"/>
    <w:rsid w:val="6A2B1E32"/>
    <w:rsid w:val="6A446149"/>
    <w:rsid w:val="6A593A0C"/>
    <w:rsid w:val="6A5A4B1C"/>
    <w:rsid w:val="6A9451A8"/>
    <w:rsid w:val="6AA302AD"/>
    <w:rsid w:val="6AC337C9"/>
    <w:rsid w:val="6ACB0AFE"/>
    <w:rsid w:val="6ACE62C6"/>
    <w:rsid w:val="6AD250D6"/>
    <w:rsid w:val="6AEA6A54"/>
    <w:rsid w:val="6AFF77BB"/>
    <w:rsid w:val="6B045A55"/>
    <w:rsid w:val="6B0572B4"/>
    <w:rsid w:val="6B074CA2"/>
    <w:rsid w:val="6B335DEC"/>
    <w:rsid w:val="6B4E525B"/>
    <w:rsid w:val="6B584F11"/>
    <w:rsid w:val="6B9B4D87"/>
    <w:rsid w:val="6BA13CAC"/>
    <w:rsid w:val="6BC67C74"/>
    <w:rsid w:val="6BC71D79"/>
    <w:rsid w:val="6BFC5A5E"/>
    <w:rsid w:val="6C013484"/>
    <w:rsid w:val="6C1658CE"/>
    <w:rsid w:val="6C1F068F"/>
    <w:rsid w:val="6C322249"/>
    <w:rsid w:val="6C4F485D"/>
    <w:rsid w:val="6C522612"/>
    <w:rsid w:val="6C8D7972"/>
    <w:rsid w:val="6C956FC1"/>
    <w:rsid w:val="6C962837"/>
    <w:rsid w:val="6C97692E"/>
    <w:rsid w:val="6C9B24C6"/>
    <w:rsid w:val="6CCB3AEB"/>
    <w:rsid w:val="6CD75D28"/>
    <w:rsid w:val="6CD84EA5"/>
    <w:rsid w:val="6CDA3D0A"/>
    <w:rsid w:val="6CF23D00"/>
    <w:rsid w:val="6CF7788E"/>
    <w:rsid w:val="6D021AC7"/>
    <w:rsid w:val="6D0637AC"/>
    <w:rsid w:val="6D20422F"/>
    <w:rsid w:val="6D2418D9"/>
    <w:rsid w:val="6D2A25C0"/>
    <w:rsid w:val="6D2F7405"/>
    <w:rsid w:val="6D394B3A"/>
    <w:rsid w:val="6D3B299A"/>
    <w:rsid w:val="6D5208E2"/>
    <w:rsid w:val="6D7E5B3A"/>
    <w:rsid w:val="6D92400C"/>
    <w:rsid w:val="6DAB6E31"/>
    <w:rsid w:val="6DBE346D"/>
    <w:rsid w:val="6DC459AA"/>
    <w:rsid w:val="6DE250D3"/>
    <w:rsid w:val="6DF06439"/>
    <w:rsid w:val="6E216B7D"/>
    <w:rsid w:val="6E276346"/>
    <w:rsid w:val="6E350D24"/>
    <w:rsid w:val="6E5D4C0B"/>
    <w:rsid w:val="6E711C90"/>
    <w:rsid w:val="6E862730"/>
    <w:rsid w:val="6E8D1CBB"/>
    <w:rsid w:val="6EBB6751"/>
    <w:rsid w:val="6EC922AC"/>
    <w:rsid w:val="6ED30616"/>
    <w:rsid w:val="6ED751F1"/>
    <w:rsid w:val="6EEA3B69"/>
    <w:rsid w:val="6EEE7E24"/>
    <w:rsid w:val="6F032900"/>
    <w:rsid w:val="6F1770BD"/>
    <w:rsid w:val="6F390ABC"/>
    <w:rsid w:val="6F6338C2"/>
    <w:rsid w:val="6F724063"/>
    <w:rsid w:val="6F7761FB"/>
    <w:rsid w:val="6F797C3D"/>
    <w:rsid w:val="6F7B6B12"/>
    <w:rsid w:val="6F824A33"/>
    <w:rsid w:val="6F867CFC"/>
    <w:rsid w:val="6FDB7472"/>
    <w:rsid w:val="6FE557F8"/>
    <w:rsid w:val="700370F8"/>
    <w:rsid w:val="70086DE1"/>
    <w:rsid w:val="70104043"/>
    <w:rsid w:val="70181E30"/>
    <w:rsid w:val="701C29F7"/>
    <w:rsid w:val="704D30E1"/>
    <w:rsid w:val="70B074DF"/>
    <w:rsid w:val="70B60DBF"/>
    <w:rsid w:val="70C82C15"/>
    <w:rsid w:val="70CB5C6D"/>
    <w:rsid w:val="710C02E0"/>
    <w:rsid w:val="711F38BA"/>
    <w:rsid w:val="712A185C"/>
    <w:rsid w:val="716131C2"/>
    <w:rsid w:val="71625D3A"/>
    <w:rsid w:val="717E12FA"/>
    <w:rsid w:val="717E3D70"/>
    <w:rsid w:val="719F70D5"/>
    <w:rsid w:val="71B22861"/>
    <w:rsid w:val="71FF2D9A"/>
    <w:rsid w:val="7222560A"/>
    <w:rsid w:val="722375E1"/>
    <w:rsid w:val="722515A8"/>
    <w:rsid w:val="726C0396"/>
    <w:rsid w:val="727002E1"/>
    <w:rsid w:val="727A1A88"/>
    <w:rsid w:val="72960B8C"/>
    <w:rsid w:val="729D0816"/>
    <w:rsid w:val="72AA6680"/>
    <w:rsid w:val="72B41646"/>
    <w:rsid w:val="72CB75A2"/>
    <w:rsid w:val="73031920"/>
    <w:rsid w:val="730B4C41"/>
    <w:rsid w:val="731B2977"/>
    <w:rsid w:val="734C3D59"/>
    <w:rsid w:val="737F118B"/>
    <w:rsid w:val="739624C1"/>
    <w:rsid w:val="73A41F86"/>
    <w:rsid w:val="73AB4EAD"/>
    <w:rsid w:val="73C6545F"/>
    <w:rsid w:val="73C66778"/>
    <w:rsid w:val="73E05C26"/>
    <w:rsid w:val="73FB6DBA"/>
    <w:rsid w:val="740A73CA"/>
    <w:rsid w:val="741220FD"/>
    <w:rsid w:val="7415490C"/>
    <w:rsid w:val="74252C1F"/>
    <w:rsid w:val="74512515"/>
    <w:rsid w:val="74A31F17"/>
    <w:rsid w:val="74C549A2"/>
    <w:rsid w:val="74D925D0"/>
    <w:rsid w:val="75186A07"/>
    <w:rsid w:val="755C67FA"/>
    <w:rsid w:val="757E579F"/>
    <w:rsid w:val="75A153E9"/>
    <w:rsid w:val="75BB3D1A"/>
    <w:rsid w:val="75CA0DE4"/>
    <w:rsid w:val="75DC4C70"/>
    <w:rsid w:val="75F9025E"/>
    <w:rsid w:val="76097D62"/>
    <w:rsid w:val="762563F1"/>
    <w:rsid w:val="7627222F"/>
    <w:rsid w:val="76935C14"/>
    <w:rsid w:val="76D434A4"/>
    <w:rsid w:val="76DE7D7E"/>
    <w:rsid w:val="76F10ADC"/>
    <w:rsid w:val="76F51364"/>
    <w:rsid w:val="771E3E26"/>
    <w:rsid w:val="771F59C8"/>
    <w:rsid w:val="774F5305"/>
    <w:rsid w:val="77620166"/>
    <w:rsid w:val="77795644"/>
    <w:rsid w:val="77D632DB"/>
    <w:rsid w:val="77E030A6"/>
    <w:rsid w:val="77F52284"/>
    <w:rsid w:val="77F72868"/>
    <w:rsid w:val="78351008"/>
    <w:rsid w:val="78747D61"/>
    <w:rsid w:val="788238C2"/>
    <w:rsid w:val="788C5879"/>
    <w:rsid w:val="789E4415"/>
    <w:rsid w:val="78AB625C"/>
    <w:rsid w:val="78BB2CB9"/>
    <w:rsid w:val="78C725AE"/>
    <w:rsid w:val="78D4596F"/>
    <w:rsid w:val="79204249"/>
    <w:rsid w:val="794F29D3"/>
    <w:rsid w:val="796B3414"/>
    <w:rsid w:val="79716DA0"/>
    <w:rsid w:val="798F6531"/>
    <w:rsid w:val="79B643EB"/>
    <w:rsid w:val="79DA78DA"/>
    <w:rsid w:val="79DC01B7"/>
    <w:rsid w:val="79ED010A"/>
    <w:rsid w:val="7A0B05CC"/>
    <w:rsid w:val="7A152E64"/>
    <w:rsid w:val="7A191868"/>
    <w:rsid w:val="7A296CD6"/>
    <w:rsid w:val="7A337829"/>
    <w:rsid w:val="7A4D2D9C"/>
    <w:rsid w:val="7A722F48"/>
    <w:rsid w:val="7A85502C"/>
    <w:rsid w:val="7A9D6AC7"/>
    <w:rsid w:val="7AB112EB"/>
    <w:rsid w:val="7B2F0C51"/>
    <w:rsid w:val="7B3800AB"/>
    <w:rsid w:val="7B607F00"/>
    <w:rsid w:val="7B8152CD"/>
    <w:rsid w:val="7B92462A"/>
    <w:rsid w:val="7B9C05F4"/>
    <w:rsid w:val="7BA13169"/>
    <w:rsid w:val="7BA333C7"/>
    <w:rsid w:val="7BB12BBC"/>
    <w:rsid w:val="7BEF7C11"/>
    <w:rsid w:val="7BFC1DF0"/>
    <w:rsid w:val="7C1D3D67"/>
    <w:rsid w:val="7C2047C2"/>
    <w:rsid w:val="7C541A59"/>
    <w:rsid w:val="7C5B6573"/>
    <w:rsid w:val="7C6127C4"/>
    <w:rsid w:val="7C99137B"/>
    <w:rsid w:val="7CD3724C"/>
    <w:rsid w:val="7CEF5886"/>
    <w:rsid w:val="7CF51A50"/>
    <w:rsid w:val="7D0B70AA"/>
    <w:rsid w:val="7D232DFA"/>
    <w:rsid w:val="7D355959"/>
    <w:rsid w:val="7D4617A2"/>
    <w:rsid w:val="7D687D6C"/>
    <w:rsid w:val="7D803FD0"/>
    <w:rsid w:val="7D883401"/>
    <w:rsid w:val="7DA93EBE"/>
    <w:rsid w:val="7DAC5273"/>
    <w:rsid w:val="7DF44E21"/>
    <w:rsid w:val="7E027036"/>
    <w:rsid w:val="7E0D2BD7"/>
    <w:rsid w:val="7E195B56"/>
    <w:rsid w:val="7E2F6858"/>
    <w:rsid w:val="7E3E59F4"/>
    <w:rsid w:val="7E4C75D7"/>
    <w:rsid w:val="7E64660F"/>
    <w:rsid w:val="7E68123F"/>
    <w:rsid w:val="7E816549"/>
    <w:rsid w:val="7E84374E"/>
    <w:rsid w:val="7E881156"/>
    <w:rsid w:val="7E8B4FA5"/>
    <w:rsid w:val="7E92649D"/>
    <w:rsid w:val="7EB17FE7"/>
    <w:rsid w:val="7ED218C7"/>
    <w:rsid w:val="7EE00204"/>
    <w:rsid w:val="7EFB7EBB"/>
    <w:rsid w:val="7EFE61E8"/>
    <w:rsid w:val="7F1E519F"/>
    <w:rsid w:val="7F210953"/>
    <w:rsid w:val="7F3C376D"/>
    <w:rsid w:val="7F59695C"/>
    <w:rsid w:val="7F5B2AAD"/>
    <w:rsid w:val="7F841D63"/>
    <w:rsid w:val="7F8704FF"/>
    <w:rsid w:val="7FCE41A2"/>
    <w:rsid w:val="7FF837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spacing w:before="60" w:after="60"/>
      <w:ind w:left="200" w:leftChars="200"/>
      <w:jc w:val="left"/>
      <w:outlineLvl w:val="0"/>
    </w:pPr>
    <w:rPr>
      <w:rFonts w:eastAsia="仿宋_GB2312"/>
      <w:b/>
      <w:bCs/>
      <w:kern w:val="44"/>
      <w:sz w:val="28"/>
      <w:szCs w:val="44"/>
    </w:rPr>
  </w:style>
  <w:style w:type="paragraph" w:styleId="5">
    <w:name w:val="heading 2"/>
    <w:basedOn w:val="1"/>
    <w:next w:val="1"/>
    <w:link w:val="3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link w:val="31"/>
    <w:qFormat/>
    <w:uiPriority w:val="0"/>
    <w:pPr>
      <w:snapToGrid w:val="0"/>
      <w:spacing w:line="580" w:lineRule="exact"/>
      <w:ind w:firstLine="640" w:firstLineChars="200"/>
    </w:pPr>
    <w:rPr>
      <w:rFonts w:ascii="仿宋_GB2312" w:eastAsia="仿宋_GB2312"/>
      <w:sz w:val="32"/>
    </w:rPr>
  </w:style>
  <w:style w:type="paragraph" w:styleId="6">
    <w:name w:val="Document Map"/>
    <w:basedOn w:val="1"/>
    <w:link w:val="32"/>
    <w:qFormat/>
    <w:uiPriority w:val="0"/>
    <w:pPr>
      <w:shd w:val="clear" w:color="auto" w:fill="000080"/>
    </w:pPr>
  </w:style>
  <w:style w:type="paragraph" w:styleId="7">
    <w:name w:val="annotation text"/>
    <w:basedOn w:val="1"/>
    <w:semiHidden/>
    <w:qFormat/>
    <w:uiPriority w:val="0"/>
    <w:pPr>
      <w:jc w:val="left"/>
    </w:pPr>
  </w:style>
  <w:style w:type="paragraph" w:styleId="8">
    <w:name w:val="Salutation"/>
    <w:basedOn w:val="1"/>
    <w:next w:val="1"/>
    <w:qFormat/>
    <w:uiPriority w:val="0"/>
    <w:rPr>
      <w:rFonts w:ascii="仿宋_GB2312" w:eastAsia="仿宋_GB2312"/>
      <w:sz w:val="32"/>
    </w:rPr>
  </w:style>
  <w:style w:type="paragraph" w:styleId="9">
    <w:name w:val="Plain Text"/>
    <w:basedOn w:val="1"/>
    <w:next w:val="10"/>
    <w:link w:val="35"/>
    <w:qFormat/>
    <w:uiPriority w:val="0"/>
    <w:rPr>
      <w:rFonts w:hint="eastAsia" w:ascii="宋体" w:hAnsi="Courier New"/>
      <w:szCs w:val="20"/>
    </w:rPr>
  </w:style>
  <w:style w:type="paragraph" w:styleId="10">
    <w:name w:val="Normal (Web)"/>
    <w:basedOn w:val="1"/>
    <w:next w:val="11"/>
    <w:qFormat/>
    <w:uiPriority w:val="99"/>
    <w:pPr>
      <w:widowControl/>
      <w:jc w:val="left"/>
    </w:pPr>
    <w:rPr>
      <w:rFonts w:ascii="宋体" w:hAnsi="宋体" w:cs="宋体"/>
      <w:kern w:val="0"/>
      <w:sz w:val="24"/>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Date"/>
    <w:basedOn w:val="1"/>
    <w:next w:val="1"/>
    <w:qFormat/>
    <w:uiPriority w:val="0"/>
    <w:pPr>
      <w:ind w:left="100" w:leftChars="2500"/>
    </w:pPr>
    <w:rPr>
      <w:rFonts w:ascii="仿宋_GB2312" w:eastAsia="仿宋_GB2312"/>
      <w:sz w:val="32"/>
    </w:rPr>
  </w:style>
  <w:style w:type="paragraph" w:styleId="13">
    <w:name w:val="Body Text Indent 2"/>
    <w:basedOn w:val="1"/>
    <w:link w:val="30"/>
    <w:qFormat/>
    <w:uiPriority w:val="0"/>
    <w:pPr>
      <w:snapToGrid w:val="0"/>
      <w:spacing w:line="560" w:lineRule="exact"/>
      <w:ind w:firstLine="600" w:firstLineChars="200"/>
    </w:pPr>
    <w:rPr>
      <w:rFonts w:ascii="仿宋_GB2312" w:eastAsia="仿宋_GB2312"/>
      <w:sz w:val="30"/>
      <w:szCs w:val="30"/>
    </w:rPr>
  </w:style>
  <w:style w:type="paragraph" w:styleId="14">
    <w:name w:val="Balloon Text"/>
    <w:basedOn w:val="1"/>
    <w:semiHidden/>
    <w:qFormat/>
    <w:uiPriority w:val="0"/>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302"/>
      </w:tabs>
    </w:pPr>
  </w:style>
  <w:style w:type="paragraph" w:styleId="17">
    <w:name w:val="Title"/>
    <w:basedOn w:val="1"/>
    <w:next w:val="1"/>
    <w:link w:val="27"/>
    <w:qFormat/>
    <w:uiPriority w:val="0"/>
    <w:pPr>
      <w:spacing w:before="240" w:after="60" w:line="360" w:lineRule="auto"/>
      <w:jc w:val="center"/>
      <w:outlineLvl w:val="0"/>
    </w:pPr>
    <w:rPr>
      <w:rFonts w:ascii="Cambria" w:hAnsi="Cambria" w:eastAsia="仿宋_GB2312"/>
      <w:b/>
      <w:bCs/>
      <w:sz w:val="32"/>
      <w:szCs w:val="32"/>
    </w:rPr>
  </w:style>
  <w:style w:type="paragraph" w:styleId="18">
    <w:name w:val="annotation subject"/>
    <w:basedOn w:val="7"/>
    <w:next w:val="7"/>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page number"/>
    <w:basedOn w:val="21"/>
    <w:qFormat/>
    <w:uiPriority w:val="0"/>
  </w:style>
  <w:style w:type="character" w:styleId="24">
    <w:name w:val="FollowedHyperlink"/>
    <w:basedOn w:val="21"/>
    <w:qFormat/>
    <w:uiPriority w:val="0"/>
    <w:rPr>
      <w:color w:val="07519A"/>
      <w:u w:val="none"/>
    </w:rPr>
  </w:style>
  <w:style w:type="character" w:styleId="25">
    <w:name w:val="Hyperlink"/>
    <w:basedOn w:val="21"/>
    <w:unhideWhenUsed/>
    <w:qFormat/>
    <w:uiPriority w:val="99"/>
    <w:rPr>
      <w:color w:val="07519A"/>
      <w:u w:val="none"/>
    </w:rPr>
  </w:style>
  <w:style w:type="character" w:styleId="26">
    <w:name w:val="annotation reference"/>
    <w:basedOn w:val="21"/>
    <w:semiHidden/>
    <w:qFormat/>
    <w:uiPriority w:val="0"/>
    <w:rPr>
      <w:sz w:val="21"/>
      <w:szCs w:val="21"/>
    </w:rPr>
  </w:style>
  <w:style w:type="character" w:customStyle="1" w:styleId="27">
    <w:name w:val="标题 字符"/>
    <w:link w:val="17"/>
    <w:qFormat/>
    <w:uiPriority w:val="0"/>
    <w:rPr>
      <w:rFonts w:ascii="Cambria" w:hAnsi="Cambria" w:eastAsia="仿宋_GB2312" w:cs="Times New Roman"/>
      <w:b/>
      <w:bCs/>
      <w:kern w:val="2"/>
      <w:sz w:val="32"/>
      <w:szCs w:val="32"/>
    </w:rPr>
  </w:style>
  <w:style w:type="character" w:customStyle="1" w:styleId="28">
    <w:name w:val="标题 1 字符"/>
    <w:link w:val="4"/>
    <w:qFormat/>
    <w:uiPriority w:val="0"/>
    <w:rPr>
      <w:rFonts w:eastAsia="仿宋_GB2312"/>
      <w:b/>
      <w:bCs/>
      <w:kern w:val="44"/>
      <w:sz w:val="28"/>
      <w:szCs w:val="44"/>
    </w:rPr>
  </w:style>
  <w:style w:type="character" w:customStyle="1" w:styleId="29">
    <w:name w:val="页脚 字符"/>
    <w:link w:val="11"/>
    <w:qFormat/>
    <w:uiPriority w:val="99"/>
    <w:rPr>
      <w:kern w:val="2"/>
      <w:sz w:val="18"/>
      <w:szCs w:val="18"/>
    </w:rPr>
  </w:style>
  <w:style w:type="character" w:customStyle="1" w:styleId="30">
    <w:name w:val="正文文本缩进 2 字符"/>
    <w:link w:val="13"/>
    <w:qFormat/>
    <w:uiPriority w:val="0"/>
    <w:rPr>
      <w:rFonts w:ascii="仿宋_GB2312" w:eastAsia="仿宋_GB2312"/>
      <w:kern w:val="2"/>
      <w:sz w:val="30"/>
      <w:szCs w:val="30"/>
    </w:rPr>
  </w:style>
  <w:style w:type="character" w:customStyle="1" w:styleId="31">
    <w:name w:val="正文文本缩进 字符"/>
    <w:basedOn w:val="21"/>
    <w:link w:val="3"/>
    <w:qFormat/>
    <w:uiPriority w:val="0"/>
    <w:rPr>
      <w:rFonts w:ascii="仿宋_GB2312" w:eastAsia="仿宋_GB2312"/>
      <w:kern w:val="2"/>
      <w:sz w:val="32"/>
      <w:szCs w:val="24"/>
    </w:rPr>
  </w:style>
  <w:style w:type="character" w:customStyle="1" w:styleId="32">
    <w:name w:val="文档结构图 字符"/>
    <w:basedOn w:val="21"/>
    <w:link w:val="6"/>
    <w:qFormat/>
    <w:uiPriority w:val="0"/>
    <w:rPr>
      <w:kern w:val="2"/>
      <w:sz w:val="21"/>
      <w:szCs w:val="24"/>
      <w:shd w:val="clear" w:color="auto" w:fill="000080"/>
    </w:rPr>
  </w:style>
  <w:style w:type="character" w:customStyle="1" w:styleId="33">
    <w:name w:val="description"/>
    <w:basedOn w:val="21"/>
    <w:qFormat/>
    <w:uiPriority w:val="0"/>
  </w:style>
  <w:style w:type="character" w:customStyle="1" w:styleId="34">
    <w:name w:val="apple-converted-space"/>
    <w:basedOn w:val="21"/>
    <w:qFormat/>
    <w:uiPriority w:val="0"/>
  </w:style>
  <w:style w:type="character" w:customStyle="1" w:styleId="35">
    <w:name w:val="纯文本 字符"/>
    <w:basedOn w:val="21"/>
    <w:link w:val="9"/>
    <w:qFormat/>
    <w:uiPriority w:val="0"/>
    <w:rPr>
      <w:rFonts w:ascii="宋体" w:hAnsi="Courier New"/>
      <w:kern w:val="2"/>
      <w:sz w:val="21"/>
    </w:rPr>
  </w:style>
  <w:style w:type="paragraph" w:customStyle="1" w:styleId="36">
    <w:name w:val="列出段落1"/>
    <w:basedOn w:val="1"/>
    <w:unhideWhenUsed/>
    <w:qFormat/>
    <w:uiPriority w:val="34"/>
    <w:pPr>
      <w:ind w:firstLine="420" w:firstLineChars="200"/>
    </w:pPr>
  </w:style>
  <w:style w:type="character" w:customStyle="1" w:styleId="37">
    <w:name w:val="标题 2 字符"/>
    <w:basedOn w:val="21"/>
    <w:link w:val="5"/>
    <w:semiHidden/>
    <w:qFormat/>
    <w:uiPriority w:val="0"/>
    <w:rPr>
      <w:rFonts w:asciiTheme="majorHAnsi" w:hAnsiTheme="majorHAnsi" w:eastAsiaTheme="majorEastAsia" w:cstheme="majorBidi"/>
      <w:b/>
      <w:bCs/>
      <w:kern w:val="2"/>
      <w:sz w:val="32"/>
      <w:szCs w:val="32"/>
    </w:rPr>
  </w:style>
  <w:style w:type="character" w:customStyle="1" w:styleId="38">
    <w:name w:val="font21"/>
    <w:basedOn w:val="21"/>
    <w:qFormat/>
    <w:uiPriority w:val="0"/>
    <w:rPr>
      <w:rFonts w:hint="eastAsia" w:ascii="宋体" w:hAnsi="宋体" w:eastAsia="宋体" w:cs="宋体"/>
      <w:color w:val="000000"/>
      <w:sz w:val="21"/>
      <w:szCs w:val="21"/>
      <w:u w:val="none"/>
    </w:rPr>
  </w:style>
  <w:style w:type="character" w:customStyle="1" w:styleId="39">
    <w:name w:val="font11"/>
    <w:basedOn w:val="21"/>
    <w:qFormat/>
    <w:uiPriority w:val="0"/>
    <w:rPr>
      <w:rFonts w:hint="eastAsia" w:ascii="宋体" w:hAnsi="宋体" w:eastAsia="宋体" w:cs="宋体"/>
      <w:color w:val="000000"/>
      <w:sz w:val="21"/>
      <w:szCs w:val="21"/>
      <w:u w:val="none"/>
    </w:rPr>
  </w:style>
  <w:style w:type="character" w:customStyle="1" w:styleId="40">
    <w:name w:val="font01"/>
    <w:basedOn w:val="21"/>
    <w:qFormat/>
    <w:uiPriority w:val="0"/>
    <w:rPr>
      <w:rFonts w:hint="eastAsia" w:ascii="宋体" w:hAnsi="宋体" w:eastAsia="宋体" w:cs="宋体"/>
      <w:color w:val="000000"/>
      <w:sz w:val="21"/>
      <w:szCs w:val="21"/>
      <w:u w:val="none"/>
    </w:rPr>
  </w:style>
  <w:style w:type="character" w:customStyle="1" w:styleId="41">
    <w:name w:val="font31"/>
    <w:basedOn w:val="21"/>
    <w:qFormat/>
    <w:uiPriority w:val="0"/>
    <w:rPr>
      <w:rFonts w:hint="eastAsia" w:ascii="宋体" w:hAnsi="宋体" w:eastAsia="宋体" w:cs="宋体"/>
      <w:color w:val="000000"/>
      <w:sz w:val="21"/>
      <w:szCs w:val="21"/>
      <w:u w:val="none"/>
    </w:rPr>
  </w:style>
  <w:style w:type="character" w:customStyle="1" w:styleId="42">
    <w:name w:val="font41"/>
    <w:basedOn w:val="21"/>
    <w:qFormat/>
    <w:uiPriority w:val="0"/>
    <w:rPr>
      <w:rFonts w:hint="eastAsia" w:ascii="宋体" w:hAnsi="宋体" w:eastAsia="宋体" w:cs="宋体"/>
      <w:color w:val="000000"/>
      <w:sz w:val="21"/>
      <w:szCs w:val="21"/>
      <w:u w:val="none"/>
    </w:rPr>
  </w:style>
  <w:style w:type="paragraph" w:customStyle="1" w:styleId="43">
    <w:name w:val="zw"/>
    <w:basedOn w:val="1"/>
    <w:qFormat/>
    <w:uiPriority w:val="0"/>
    <w:pPr>
      <w:adjustRightInd w:val="0"/>
      <w:spacing w:line="360" w:lineRule="auto"/>
      <w:ind w:firstLine="482"/>
      <w:textAlignment w:val="baseline"/>
    </w:pPr>
    <w:rPr>
      <w:rFonts w:ascii="Arial Narrow" w:hAnsi="Arial Narrow" w:eastAsia="楷体_GB2312"/>
      <w:kern w:val="0"/>
      <w:sz w:val="24"/>
    </w:rPr>
  </w:style>
  <w:style w:type="character" w:customStyle="1" w:styleId="44">
    <w:name w:val="页码1"/>
    <w:qFormat/>
    <w:uiPriority w:val="0"/>
    <w:rPr>
      <w:rFonts w:cs="Times New Roman"/>
    </w:rPr>
  </w:style>
  <w:style w:type="paragraph" w:customStyle="1" w:styleId="45">
    <w:name w:val="报告正文"/>
    <w:basedOn w:val="1"/>
    <w:qFormat/>
    <w:uiPriority w:val="0"/>
    <w:pPr>
      <w:spacing w:line="500" w:lineRule="exact"/>
      <w:ind w:firstLine="567"/>
    </w:pPr>
    <w:rPr>
      <w:rFonts w:ascii="仿宋_GB2312" w:hAnsi="Courier New" w:eastAsia="仿宋_GB2312"/>
      <w:sz w:val="28"/>
      <w:szCs w:val="20"/>
    </w:rPr>
  </w:style>
  <w:style w:type="paragraph" w:styleId="46">
    <w:name w:val="List Paragraph"/>
    <w:basedOn w:val="1"/>
    <w:qFormat/>
    <w:uiPriority w:val="99"/>
    <w:pPr>
      <w:ind w:firstLine="420" w:firstLineChars="200"/>
    </w:pPr>
  </w:style>
  <w:style w:type="paragraph" w:customStyle="1" w:styleId="47">
    <w:name w:val="正文文本缩进1"/>
    <w:basedOn w:val="1"/>
    <w:qFormat/>
    <w:uiPriority w:val="0"/>
    <w:pPr>
      <w:snapToGrid w:val="0"/>
      <w:spacing w:line="580" w:lineRule="exact"/>
      <w:ind w:firstLine="640" w:firstLineChars="200"/>
    </w:pPr>
    <w:rPr>
      <w:rFonts w:ascii="仿宋_GB2312"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B195D4-E734-4700-9CA6-1753221F7326}">
  <ds:schemaRefs/>
</ds:datastoreItem>
</file>

<file path=docProps/app.xml><?xml version="1.0" encoding="utf-8"?>
<Properties xmlns="http://schemas.openxmlformats.org/officeDocument/2006/extended-properties" xmlns:vt="http://schemas.openxmlformats.org/officeDocument/2006/docPropsVTypes">
  <Template>Normal</Template>
  <Company>taohuadao</Company>
  <Pages>18</Pages>
  <Words>9206</Words>
  <Characters>10049</Characters>
  <Lines>251</Lines>
  <Paragraphs>70</Paragraphs>
  <TotalTime>3</TotalTime>
  <ScaleCrop>false</ScaleCrop>
  <LinksUpToDate>false</LinksUpToDate>
  <CharactersWithSpaces>10176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2016-02-22T03:17:00Z</dcterms:created>
  <dc:creator>pg03</dc:creator>
  <cp:lastModifiedBy>WINDY</cp:lastModifiedBy>
  <cp:lastPrinted>2022-07-28T02:57:00Z</cp:lastPrinted>
  <dcterms:modified xsi:type="dcterms:W3CDTF">2022-08-05T08:24:23Z</dcterms:modified>
  <cp:revision>945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405E1114E04D4F2DACE03479FADC8645</vt:lpwstr>
  </property>
</Properties>
</file>