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before="100" w:beforeAutospacing="1" w:after="2400" w:afterLines="1000"/>
        <w:jc w:val="center"/>
        <w:rPr>
          <w:rFonts w:asciiTheme="minorEastAsia" w:hAnsiTheme="minorEastAsia" w:eastAsiaTheme="minorEastAsia"/>
          <w:b/>
          <w:kern w:val="2"/>
          <w:sz w:val="52"/>
          <w:szCs w:val="52"/>
        </w:rPr>
      </w:pPr>
    </w:p>
    <w:p>
      <w:pPr>
        <w:wordWrap w:val="0"/>
        <w:spacing w:before="100" w:beforeAutospacing="1" w:after="2400" w:afterLines="1000"/>
        <w:jc w:val="center"/>
        <w:rPr>
          <w:rFonts w:asciiTheme="minorEastAsia" w:hAnsiTheme="minorEastAsia" w:eastAsiaTheme="minorEastAsia"/>
          <w:b/>
          <w:kern w:val="2"/>
          <w:sz w:val="52"/>
          <w:szCs w:val="52"/>
        </w:rPr>
      </w:pPr>
      <w:r>
        <w:rPr>
          <w:rFonts w:hint="eastAsia" w:asciiTheme="minorEastAsia" w:hAnsiTheme="minorEastAsia" w:eastAsiaTheme="minorEastAsia"/>
          <w:b/>
          <w:kern w:val="2"/>
          <w:sz w:val="52"/>
          <w:szCs w:val="52"/>
        </w:rPr>
        <w:t>涉执房地产处置司法评估报告</w:t>
      </w:r>
    </w:p>
    <w:p>
      <w:pPr>
        <w:tabs>
          <w:tab w:val="left" w:pos="5220"/>
        </w:tabs>
        <w:wordWrap w:val="0"/>
        <w:adjustRightInd/>
        <w:spacing w:before="600" w:beforeLines="250" w:after="600" w:afterLines="250" w:line="240" w:lineRule="auto"/>
        <w:ind w:left="2283" w:hanging="2283" w:hangingChars="698"/>
        <w:jc w:val="left"/>
        <w:textAlignment w:val="auto"/>
        <w:rPr>
          <w:rFonts w:asciiTheme="minorEastAsia" w:hAnsiTheme="minorEastAsia" w:eastAsiaTheme="minorEastAsia"/>
          <w:color w:val="000000" w:themeColor="text1"/>
          <w:kern w:val="28"/>
          <w:sz w:val="28"/>
          <w:szCs w:val="28"/>
        </w:rPr>
      </w:pPr>
      <w:r>
        <w:rPr>
          <w:rFonts w:hint="eastAsia" w:asciiTheme="minorEastAsia" w:hAnsiTheme="minorEastAsia" w:eastAsiaTheme="minorEastAsia"/>
          <w:b/>
          <w:color w:val="000000" w:themeColor="text1"/>
          <w:spacing w:val="23"/>
          <w:sz w:val="28"/>
          <w:szCs w:val="28"/>
        </w:rPr>
        <w:t>估价项目名称</w:t>
      </w:r>
      <w:r>
        <w:rPr>
          <w:rFonts w:hint="eastAsia" w:asciiTheme="minorEastAsia" w:hAnsiTheme="minorEastAsia" w:eastAsiaTheme="minorEastAsia"/>
          <w:b/>
          <w:color w:val="000000" w:themeColor="text1"/>
          <w:spacing w:val="2"/>
          <w:sz w:val="28"/>
          <w:szCs w:val="28"/>
        </w:rPr>
        <w:t>：</w:t>
      </w:r>
      <w:r>
        <w:rPr>
          <w:rFonts w:hint="eastAsia" w:asciiTheme="minorEastAsia" w:hAnsiTheme="minorEastAsia" w:eastAsiaTheme="minorEastAsia"/>
          <w:color w:val="000000" w:themeColor="text1"/>
          <w:kern w:val="28"/>
          <w:sz w:val="28"/>
          <w:szCs w:val="28"/>
        </w:rPr>
        <w:t>杨桂宏名下位于滁州市清流东路518号6幢602室住宅</w:t>
      </w:r>
      <w:r>
        <w:rPr>
          <w:rFonts w:asciiTheme="minorEastAsia" w:hAnsiTheme="minorEastAsia" w:eastAsiaTheme="minorEastAsia"/>
          <w:color w:val="000000" w:themeColor="text1"/>
          <w:kern w:val="28"/>
          <w:sz w:val="28"/>
          <w:szCs w:val="28"/>
        </w:rPr>
        <w:t>房地产市场价值评估</w:t>
      </w:r>
    </w:p>
    <w:p>
      <w:pPr>
        <w:tabs>
          <w:tab w:val="left" w:pos="5220"/>
        </w:tabs>
        <w:wordWrap w:val="0"/>
        <w:adjustRightInd/>
        <w:spacing w:before="600" w:beforeLines="250" w:after="600" w:afterLines="250" w:line="240" w:lineRule="auto"/>
        <w:ind w:left="2720" w:hanging="2720" w:hangingChars="692"/>
        <w:jc w:val="left"/>
        <w:textAlignment w:val="auto"/>
        <w:rPr>
          <w:rFonts w:asciiTheme="minorEastAsia" w:hAnsiTheme="minorEastAsia" w:eastAsiaTheme="minorEastAsia"/>
          <w:color w:val="000000" w:themeColor="text1"/>
          <w:kern w:val="28"/>
          <w:sz w:val="28"/>
          <w:szCs w:val="28"/>
        </w:rPr>
      </w:pPr>
      <w:r>
        <w:rPr>
          <w:rFonts w:hint="eastAsia" w:asciiTheme="minorEastAsia" w:hAnsiTheme="minorEastAsia" w:eastAsiaTheme="minorEastAsia"/>
          <w:b/>
          <w:bCs/>
          <w:color w:val="000000" w:themeColor="text1"/>
          <w:spacing w:val="56"/>
          <w:kern w:val="0"/>
          <w:sz w:val="28"/>
          <w:szCs w:val="28"/>
          <w:fitText w:val="2248" w:id="1"/>
        </w:rPr>
        <w:t>估价委托人</w:t>
      </w:r>
      <w:r>
        <w:rPr>
          <w:rFonts w:hint="eastAsia" w:asciiTheme="minorEastAsia" w:hAnsiTheme="minorEastAsia" w:eastAsiaTheme="minorEastAsia"/>
          <w:b/>
          <w:bCs/>
          <w:color w:val="000000" w:themeColor="text1"/>
          <w:spacing w:val="4"/>
          <w:kern w:val="0"/>
          <w:sz w:val="28"/>
          <w:szCs w:val="28"/>
          <w:fitText w:val="2248" w:id="1"/>
        </w:rPr>
        <w:t>：</w:t>
      </w:r>
      <w:r>
        <w:rPr>
          <w:rFonts w:hint="eastAsia" w:asciiTheme="minorEastAsia" w:hAnsiTheme="minorEastAsia" w:eastAsiaTheme="minorEastAsia"/>
          <w:color w:val="000000" w:themeColor="text1"/>
          <w:kern w:val="28"/>
          <w:sz w:val="28"/>
          <w:szCs w:val="28"/>
        </w:rPr>
        <w:t>滁州市琅琊区人民法院</w:t>
      </w:r>
    </w:p>
    <w:p>
      <w:pPr>
        <w:tabs>
          <w:tab w:val="left" w:pos="2268"/>
          <w:tab w:val="left" w:pos="5220"/>
        </w:tabs>
        <w:wordWrap w:val="0"/>
        <w:adjustRightInd/>
        <w:spacing w:before="600" w:beforeLines="250" w:after="600" w:afterLines="250" w:line="240" w:lineRule="auto"/>
        <w:ind w:left="1945" w:hanging="1945" w:hangingChars="692"/>
        <w:jc w:val="left"/>
        <w:textAlignment w:val="auto"/>
        <w:rPr>
          <w:rFonts w:asciiTheme="minorEastAsia" w:hAnsiTheme="minorEastAsia" w:eastAsiaTheme="minorEastAsia"/>
          <w:color w:val="000000" w:themeColor="text1"/>
          <w:kern w:val="28"/>
          <w:sz w:val="28"/>
          <w:szCs w:val="28"/>
        </w:rPr>
      </w:pPr>
      <w:r>
        <w:rPr>
          <w:rFonts w:hint="eastAsia" w:cs="仿宋_GB2312" w:asciiTheme="minorEastAsia" w:hAnsiTheme="minorEastAsia" w:eastAsiaTheme="minorEastAsia"/>
          <w:b/>
          <w:color w:val="000000" w:themeColor="text1"/>
          <w:spacing w:val="0"/>
          <w:kern w:val="0"/>
          <w:sz w:val="28"/>
          <w:szCs w:val="28"/>
          <w:fitText w:val="2248" w:id="2"/>
        </w:rPr>
        <w:t>房地产估价机构：</w:t>
      </w:r>
      <w:r>
        <w:rPr>
          <w:rFonts w:hint="eastAsia" w:asciiTheme="minorEastAsia" w:hAnsiTheme="minorEastAsia" w:eastAsiaTheme="minorEastAsia"/>
          <w:color w:val="000000" w:themeColor="text1"/>
          <w:sz w:val="28"/>
          <w:szCs w:val="28"/>
        </w:rPr>
        <w:t>安徽财苑房地产土地评估咨询有限公司</w:t>
      </w:r>
    </w:p>
    <w:p>
      <w:pPr>
        <w:tabs>
          <w:tab w:val="left" w:pos="5220"/>
        </w:tabs>
        <w:wordWrap w:val="0"/>
        <w:adjustRightInd/>
        <w:spacing w:before="600" w:beforeLines="250" w:after="600" w:afterLines="250" w:line="240" w:lineRule="auto"/>
        <w:ind w:left="2212" w:hanging="2206" w:hangingChars="900"/>
        <w:jc w:val="left"/>
        <w:textAlignment w:val="auto"/>
        <w:rPr>
          <w:rFonts w:asciiTheme="minorEastAsia" w:hAnsiTheme="minorEastAsia" w:eastAsiaTheme="minorEastAsia"/>
          <w:color w:val="000000" w:themeColor="text1"/>
          <w:kern w:val="28"/>
          <w:sz w:val="28"/>
          <w:szCs w:val="28"/>
        </w:rPr>
      </w:pPr>
      <w:r>
        <w:rPr>
          <w:rFonts w:hint="eastAsia" w:cs="仿宋_GB2312" w:asciiTheme="minorEastAsia" w:hAnsiTheme="minorEastAsia" w:eastAsiaTheme="minorEastAsia"/>
          <w:b/>
          <w:bCs/>
          <w:color w:val="000000" w:themeColor="text1"/>
          <w:spacing w:val="2"/>
          <w:w w:val="86"/>
          <w:sz w:val="28"/>
          <w:szCs w:val="28"/>
        </w:rPr>
        <w:t>注册房地产估价</w:t>
      </w:r>
      <w:r>
        <w:rPr>
          <w:rFonts w:hint="eastAsia" w:cs="仿宋_GB2312" w:asciiTheme="minorEastAsia" w:hAnsiTheme="minorEastAsia" w:eastAsiaTheme="minorEastAsia"/>
          <w:b/>
          <w:bCs/>
          <w:color w:val="000000" w:themeColor="text1"/>
          <w:spacing w:val="-6"/>
          <w:w w:val="86"/>
          <w:sz w:val="28"/>
          <w:szCs w:val="28"/>
        </w:rPr>
        <w:t>师</w:t>
      </w:r>
      <w:r>
        <w:rPr>
          <w:rFonts w:hint="eastAsia" w:cs="仿宋_GB2312" w:asciiTheme="minorEastAsia" w:hAnsiTheme="minorEastAsia" w:eastAsiaTheme="minorEastAsia"/>
          <w:b/>
          <w:bCs/>
          <w:color w:val="000000" w:themeColor="text1"/>
          <w:sz w:val="28"/>
          <w:szCs w:val="28"/>
        </w:rPr>
        <w:t>：</w:t>
      </w:r>
      <w:r>
        <w:rPr>
          <w:rFonts w:hint="eastAsia" w:asciiTheme="minorEastAsia" w:hAnsiTheme="minorEastAsia" w:eastAsiaTheme="minorEastAsia"/>
          <w:color w:val="000000" w:themeColor="text1"/>
          <w:kern w:val="28"/>
          <w:sz w:val="28"/>
          <w:szCs w:val="28"/>
        </w:rPr>
        <w:t>沙强（注册号：3420150048）</w:t>
      </w:r>
    </w:p>
    <w:p>
      <w:pPr>
        <w:tabs>
          <w:tab w:val="left" w:pos="5220"/>
        </w:tabs>
        <w:wordWrap w:val="0"/>
        <w:adjustRightInd/>
        <w:spacing w:before="600" w:beforeLines="250" w:after="600" w:afterLines="250" w:line="240" w:lineRule="auto"/>
        <w:ind w:left="2224" w:leftChars="1059"/>
        <w:jc w:val="left"/>
        <w:textAlignment w:val="auto"/>
        <w:rPr>
          <w:rFonts w:asciiTheme="minorEastAsia" w:hAnsiTheme="minorEastAsia" w:eastAsiaTheme="minorEastAsia"/>
          <w:color w:val="000000" w:themeColor="text1"/>
          <w:kern w:val="28"/>
          <w:sz w:val="28"/>
          <w:szCs w:val="28"/>
        </w:rPr>
      </w:pPr>
      <w:r>
        <w:rPr>
          <w:rFonts w:hint="eastAsia" w:asciiTheme="minorEastAsia" w:hAnsiTheme="minorEastAsia" w:eastAsiaTheme="minorEastAsia"/>
          <w:color w:val="000000" w:themeColor="text1"/>
          <w:kern w:val="28"/>
          <w:sz w:val="28"/>
          <w:szCs w:val="28"/>
        </w:rPr>
        <w:t>张娅（注册号：2320200084）</w:t>
      </w:r>
    </w:p>
    <w:p>
      <w:pPr>
        <w:tabs>
          <w:tab w:val="left" w:pos="1843"/>
          <w:tab w:val="left" w:pos="5220"/>
        </w:tabs>
        <w:wordWrap w:val="0"/>
        <w:adjustRightInd/>
        <w:spacing w:before="600" w:beforeLines="250" w:after="600" w:afterLines="250" w:line="240" w:lineRule="auto"/>
        <w:ind w:left="1700" w:hanging="1696" w:hangingChars="692"/>
        <w:jc w:val="left"/>
        <w:textAlignment w:val="auto"/>
        <w:rPr>
          <w:rFonts w:asciiTheme="minorEastAsia" w:hAnsiTheme="minorEastAsia" w:eastAsiaTheme="minorEastAsia"/>
          <w:b/>
          <w:color w:val="000000" w:themeColor="text1"/>
          <w:kern w:val="28"/>
          <w:sz w:val="28"/>
          <w:szCs w:val="28"/>
        </w:rPr>
      </w:pPr>
      <w:r>
        <w:rPr>
          <w:rFonts w:hint="eastAsia" w:cs="仿宋_GB2312" w:asciiTheme="minorEastAsia" w:hAnsiTheme="minorEastAsia" w:eastAsiaTheme="minorEastAsia"/>
          <w:b/>
          <w:color w:val="000000" w:themeColor="text1"/>
          <w:spacing w:val="2"/>
          <w:w w:val="86"/>
          <w:sz w:val="28"/>
          <w:szCs w:val="28"/>
        </w:rPr>
        <w:t>估价报告出具日期</w:t>
      </w:r>
      <w:r>
        <w:rPr>
          <w:rFonts w:hint="eastAsia" w:cs="仿宋_GB2312" w:asciiTheme="minorEastAsia" w:hAnsiTheme="minorEastAsia" w:eastAsiaTheme="minorEastAsia"/>
          <w:b/>
          <w:color w:val="000000" w:themeColor="text1"/>
          <w:sz w:val="28"/>
          <w:szCs w:val="28"/>
        </w:rPr>
        <w:t>：</w:t>
      </w:r>
      <w:r>
        <w:rPr>
          <w:rFonts w:hint="eastAsia" w:asciiTheme="minorEastAsia" w:hAnsiTheme="minorEastAsia" w:eastAsiaTheme="minorEastAsia"/>
          <w:color w:val="000000" w:themeColor="text1"/>
          <w:kern w:val="28"/>
          <w:sz w:val="28"/>
          <w:szCs w:val="28"/>
        </w:rPr>
        <w:t>二〇二二年七月二十九日</w:t>
      </w:r>
    </w:p>
    <w:p>
      <w:pPr>
        <w:tabs>
          <w:tab w:val="left" w:pos="2410"/>
          <w:tab w:val="left" w:pos="2552"/>
          <w:tab w:val="left" w:pos="2694"/>
          <w:tab w:val="left" w:pos="5220"/>
        </w:tabs>
        <w:wordWrap w:val="0"/>
        <w:adjustRightInd/>
        <w:spacing w:before="600" w:beforeLines="250" w:after="600" w:afterLines="250" w:line="240" w:lineRule="auto"/>
        <w:ind w:left="2266" w:hanging="2266" w:hangingChars="697"/>
        <w:jc w:val="left"/>
        <w:textAlignment w:val="auto"/>
        <w:rPr>
          <w:rFonts w:cs="Arial" w:asciiTheme="minorEastAsia" w:hAnsiTheme="minorEastAsia" w:eastAsiaTheme="minorEastAsia"/>
          <w:color w:val="000000" w:themeColor="text1"/>
          <w:szCs w:val="21"/>
        </w:rPr>
        <w:sectPr>
          <w:footerReference r:id="rId7" w:type="first"/>
          <w:headerReference r:id="rId5" w:type="default"/>
          <w:footerReference r:id="rId6" w:type="default"/>
          <w:pgSz w:w="11906" w:h="16838"/>
          <w:pgMar w:top="1134" w:right="1134" w:bottom="1134" w:left="1134" w:header="851" w:footer="992" w:gutter="567"/>
          <w:pgNumType w:start="1"/>
          <w:cols w:space="425" w:num="1"/>
          <w:titlePg/>
          <w:docGrid w:linePitch="286" w:charSpace="0"/>
        </w:sectPr>
      </w:pPr>
      <w:r>
        <w:rPr>
          <w:rFonts w:asciiTheme="minorEastAsia" w:hAnsiTheme="minorEastAsia" w:eastAsiaTheme="minorEastAsia"/>
          <w:b/>
          <w:color w:val="000000" w:themeColor="text1"/>
          <w:spacing w:val="22"/>
          <w:sz w:val="28"/>
          <w:szCs w:val="28"/>
        </w:rPr>
        <w:t>估价报告编号：</w:t>
      </w:r>
      <w:r>
        <w:rPr>
          <w:rFonts w:hint="eastAsia" w:asciiTheme="minorEastAsia" w:hAnsiTheme="minorEastAsia" w:eastAsiaTheme="minorEastAsia"/>
          <w:color w:val="000000" w:themeColor="text1"/>
          <w:kern w:val="28"/>
          <w:sz w:val="28"/>
          <w:szCs w:val="28"/>
        </w:rPr>
        <w:t>皖财苑房评估字［2022］第438号</w:t>
      </w:r>
    </w:p>
    <w:p>
      <w:pPr>
        <w:tabs>
          <w:tab w:val="left" w:pos="142"/>
          <w:tab w:val="left" w:pos="1560"/>
          <w:tab w:val="left" w:pos="1843"/>
          <w:tab w:val="left" w:pos="1985"/>
        </w:tabs>
        <w:wordWrap w:val="0"/>
        <w:adjustRightInd/>
        <w:snapToGrid w:val="0"/>
        <w:spacing w:before="780" w:beforeLines="250" w:line="240" w:lineRule="auto"/>
        <w:jc w:val="center"/>
        <w:textAlignment w:val="auto"/>
        <w:rPr>
          <w:rFonts w:cs="Arial" w:asciiTheme="minorEastAsia" w:hAnsiTheme="minorEastAsia" w:eastAsiaTheme="minorEastAsia"/>
          <w:color w:val="000000" w:themeColor="text1"/>
          <w:szCs w:val="21"/>
        </w:rPr>
      </w:pPr>
      <w:r>
        <w:rPr>
          <w:rFonts w:asciiTheme="minorEastAsia" w:hAnsiTheme="minorEastAsia" w:eastAsiaTheme="minorEastAsia"/>
          <w:b/>
          <w:color w:val="000000" w:themeColor="text1"/>
          <w:kern w:val="2"/>
          <w:sz w:val="32"/>
          <w:szCs w:val="32"/>
        </w:rPr>
        <w:t>致</w:t>
      </w:r>
      <w:r>
        <w:rPr>
          <w:rFonts w:hint="eastAsia" w:asciiTheme="minorEastAsia" w:hAnsiTheme="minorEastAsia" w:eastAsiaTheme="minorEastAsia"/>
          <w:b/>
          <w:color w:val="000000" w:themeColor="text1"/>
          <w:kern w:val="2"/>
          <w:sz w:val="32"/>
          <w:szCs w:val="32"/>
        </w:rPr>
        <w:t>估价</w:t>
      </w:r>
      <w:r>
        <w:rPr>
          <w:rFonts w:asciiTheme="minorEastAsia" w:hAnsiTheme="minorEastAsia" w:eastAsiaTheme="minorEastAsia"/>
          <w:b/>
          <w:color w:val="000000" w:themeColor="text1"/>
          <w:kern w:val="2"/>
          <w:sz w:val="32"/>
          <w:szCs w:val="32"/>
        </w:rPr>
        <w:t>委托</w:t>
      </w:r>
      <w:r>
        <w:rPr>
          <w:rFonts w:hint="eastAsia" w:asciiTheme="minorEastAsia" w:hAnsiTheme="minorEastAsia" w:eastAsiaTheme="minorEastAsia"/>
          <w:b/>
          <w:color w:val="000000" w:themeColor="text1"/>
          <w:kern w:val="2"/>
          <w:sz w:val="32"/>
          <w:szCs w:val="32"/>
        </w:rPr>
        <w:t>人</w:t>
      </w:r>
      <w:r>
        <w:rPr>
          <w:rFonts w:asciiTheme="minorEastAsia" w:hAnsiTheme="minorEastAsia" w:eastAsiaTheme="minorEastAsia"/>
          <w:b/>
          <w:color w:val="000000" w:themeColor="text1"/>
          <w:kern w:val="2"/>
          <w:sz w:val="32"/>
          <w:szCs w:val="32"/>
        </w:rPr>
        <w:t>函</w:t>
      </w:r>
    </w:p>
    <w:p>
      <w:pPr>
        <w:wordWrap w:val="0"/>
        <w:snapToGrid w:val="0"/>
        <w:spacing w:line="460" w:lineRule="exact"/>
        <w:ind w:right="-67" w:rightChars="-32"/>
        <w:rPr>
          <w:rFonts w:cs="仿宋_GB2312" w:asciiTheme="minorEastAsia" w:hAnsiTheme="minorEastAsia" w:eastAsiaTheme="minorEastAsia"/>
          <w:bCs/>
          <w:color w:val="000000" w:themeColor="text1"/>
          <w:sz w:val="24"/>
          <w:szCs w:val="28"/>
        </w:rPr>
      </w:pPr>
      <w:r>
        <w:rPr>
          <w:rFonts w:hint="eastAsia" w:cs="仿宋_GB2312" w:asciiTheme="minorEastAsia" w:hAnsiTheme="minorEastAsia" w:eastAsiaTheme="minorEastAsia"/>
          <w:b/>
          <w:color w:val="000000" w:themeColor="text1"/>
          <w:sz w:val="24"/>
          <w:szCs w:val="28"/>
        </w:rPr>
        <w:t>滁州市琅琊区人民法院</w:t>
      </w:r>
      <w:r>
        <w:rPr>
          <w:rFonts w:hint="eastAsia" w:cs="仿宋_GB2312" w:asciiTheme="minorEastAsia" w:hAnsiTheme="minorEastAsia" w:eastAsiaTheme="minorEastAsia"/>
          <w:bCs/>
          <w:color w:val="000000" w:themeColor="text1"/>
          <w:sz w:val="24"/>
          <w:szCs w:val="28"/>
        </w:rPr>
        <w:t>：</w:t>
      </w:r>
    </w:p>
    <w:p>
      <w:pPr>
        <w:tabs>
          <w:tab w:val="left" w:pos="3060"/>
        </w:tabs>
        <w:wordWrap w:val="0"/>
        <w:spacing w:line="460" w:lineRule="exact"/>
        <w:ind w:firstLine="480" w:firstLineChars="200"/>
        <w:rPr>
          <w:rFonts w:cs="仿宋_GB2312" w:asciiTheme="minorEastAsia" w:hAnsiTheme="minorEastAsia" w:eastAsiaTheme="minorEastAsia"/>
          <w:color w:val="000000" w:themeColor="text1"/>
          <w:sz w:val="24"/>
          <w:szCs w:val="28"/>
        </w:rPr>
      </w:pPr>
      <w:r>
        <w:rPr>
          <w:rFonts w:hint="eastAsia" w:asciiTheme="minorEastAsia" w:hAnsiTheme="minorEastAsia"/>
          <w:color w:val="000000" w:themeColor="text1"/>
          <w:sz w:val="24"/>
          <w:szCs w:val="28"/>
        </w:rPr>
        <w:t>承蒙委</w:t>
      </w:r>
      <w:r>
        <w:rPr>
          <w:rFonts w:hint="eastAsia" w:cs="Arial" w:asciiTheme="minorEastAsia" w:hAnsiTheme="minorEastAsia"/>
          <w:color w:val="000000" w:themeColor="text1"/>
          <w:sz w:val="24"/>
          <w:szCs w:val="28"/>
        </w:rPr>
        <w:t>托，我公司依据中华人民共和国《房地产估价规范》等规定，组织注册房地产估价师对贵方委托</w:t>
      </w:r>
      <w:r>
        <w:rPr>
          <w:rFonts w:cs="Arial" w:asciiTheme="minorEastAsia" w:hAnsiTheme="minorEastAsia"/>
          <w:color w:val="000000" w:themeColor="text1"/>
          <w:sz w:val="24"/>
          <w:szCs w:val="28"/>
        </w:rPr>
        <w:t>的位于</w:t>
      </w:r>
      <w:r>
        <w:rPr>
          <w:rFonts w:hint="eastAsia" w:cs="Arial" w:asciiTheme="minorEastAsia" w:hAnsiTheme="minorEastAsia"/>
          <w:color w:val="000000" w:themeColor="text1"/>
          <w:sz w:val="24"/>
          <w:szCs w:val="28"/>
        </w:rPr>
        <w:t>滁州市清流东路518号6幢602室</w:t>
      </w:r>
      <w:r>
        <w:rPr>
          <w:rFonts w:cs="Arial" w:asciiTheme="minorEastAsia" w:hAnsiTheme="minorEastAsia"/>
          <w:color w:val="000000" w:themeColor="text1"/>
          <w:sz w:val="24"/>
          <w:szCs w:val="28"/>
        </w:rPr>
        <w:t>的</w:t>
      </w:r>
      <w:r>
        <w:rPr>
          <w:rFonts w:hint="eastAsia" w:asciiTheme="minorEastAsia" w:hAnsiTheme="minorEastAsia" w:eastAsiaTheme="minorEastAsia"/>
          <w:color w:val="000000" w:themeColor="text1"/>
          <w:sz w:val="24"/>
          <w:szCs w:val="28"/>
        </w:rPr>
        <w:t>住宅</w:t>
      </w:r>
      <w:r>
        <w:rPr>
          <w:rFonts w:cs="Arial" w:asciiTheme="minorEastAsia" w:hAnsiTheme="minorEastAsia"/>
          <w:color w:val="000000" w:themeColor="text1"/>
          <w:sz w:val="24"/>
          <w:szCs w:val="28"/>
        </w:rPr>
        <w:t>房地产</w:t>
      </w:r>
      <w:r>
        <w:rPr>
          <w:rFonts w:hint="eastAsia" w:cs="Arial" w:asciiTheme="minorEastAsia" w:hAnsiTheme="minorEastAsia"/>
          <w:color w:val="000000" w:themeColor="text1"/>
          <w:sz w:val="24"/>
          <w:szCs w:val="28"/>
        </w:rPr>
        <w:t>进行了现场实地查勘，做出了具体测评</w:t>
      </w:r>
      <w:r>
        <w:rPr>
          <w:rFonts w:hint="eastAsia" w:asciiTheme="minorEastAsia" w:hAnsiTheme="minorEastAsia"/>
          <w:color w:val="000000" w:themeColor="text1"/>
          <w:sz w:val="24"/>
          <w:szCs w:val="28"/>
        </w:rPr>
        <w:t>。现将估价要项归纳如下：</w:t>
      </w:r>
    </w:p>
    <w:p>
      <w:pPr>
        <w:tabs>
          <w:tab w:val="left" w:pos="567"/>
        </w:tabs>
        <w:wordWrap w:val="0"/>
        <w:topLinePunct/>
        <w:spacing w:line="460" w:lineRule="exact"/>
        <w:ind w:firstLine="482" w:firstLineChars="200"/>
        <w:rPr>
          <w:rFonts w:cs="仿宋_GB2312" w:asciiTheme="minorEastAsia" w:hAnsiTheme="minorEastAsia" w:eastAsiaTheme="minorEastAsia"/>
          <w:color w:val="000000" w:themeColor="text1"/>
          <w:sz w:val="24"/>
          <w:szCs w:val="28"/>
        </w:rPr>
      </w:pPr>
      <w:r>
        <w:rPr>
          <w:rFonts w:hint="eastAsia" w:cs="仿宋_GB2312" w:asciiTheme="minorEastAsia" w:hAnsiTheme="minorEastAsia" w:eastAsiaTheme="minorEastAsia"/>
          <w:b/>
          <w:color w:val="000000" w:themeColor="text1"/>
          <w:sz w:val="24"/>
          <w:szCs w:val="28"/>
        </w:rPr>
        <w:t>估价目的：</w:t>
      </w:r>
      <w:r>
        <w:rPr>
          <w:rFonts w:hint="eastAsia" w:asciiTheme="minorEastAsia" w:hAnsiTheme="minorEastAsia" w:eastAsiaTheme="minorEastAsia"/>
          <w:color w:val="000000" w:themeColor="text1"/>
          <w:sz w:val="24"/>
          <w:szCs w:val="28"/>
        </w:rPr>
        <w:t>为人民法院确定财产处置参考价提供参考依据。</w:t>
      </w:r>
    </w:p>
    <w:p>
      <w:pPr>
        <w:wordWrap w:val="0"/>
        <w:spacing w:line="460" w:lineRule="exact"/>
        <w:ind w:firstLine="482" w:firstLineChars="200"/>
        <w:rPr>
          <w:rFonts w:asciiTheme="minorEastAsia" w:hAnsiTheme="minorEastAsia" w:eastAsiaTheme="minorEastAsia"/>
          <w:color w:val="000000" w:themeColor="text1"/>
          <w:szCs w:val="21"/>
        </w:rPr>
      </w:pPr>
      <w:r>
        <w:rPr>
          <w:rFonts w:hint="eastAsia" w:cs="仿宋_GB2312" w:asciiTheme="minorEastAsia" w:hAnsiTheme="minorEastAsia" w:eastAsiaTheme="minorEastAsia"/>
          <w:b/>
          <w:bCs/>
          <w:color w:val="000000" w:themeColor="text1"/>
          <w:sz w:val="24"/>
          <w:szCs w:val="28"/>
        </w:rPr>
        <w:t>估价对象概况</w:t>
      </w:r>
      <w:r>
        <w:rPr>
          <w:rFonts w:hint="eastAsia" w:cs="仿宋_GB2312" w:asciiTheme="minorEastAsia" w:hAnsiTheme="minorEastAsia" w:eastAsiaTheme="minorEastAsia"/>
          <w:bCs/>
          <w:color w:val="000000" w:themeColor="text1"/>
          <w:sz w:val="24"/>
          <w:szCs w:val="28"/>
        </w:rPr>
        <w:t>：</w:t>
      </w:r>
      <w:r>
        <w:rPr>
          <w:rFonts w:hint="eastAsia" w:asciiTheme="minorEastAsia" w:hAnsiTheme="minorEastAsia" w:eastAsiaTheme="minorEastAsia"/>
          <w:color w:val="000000" w:themeColor="text1"/>
          <w:sz w:val="24"/>
          <w:szCs w:val="28"/>
        </w:rPr>
        <w:t>位于清流东路518号6幢602室的住宅房地产(含其相应分摊的土地使用权及装饰装修，不含动产、特许经营权等)。估价对象权属证号：</w:t>
      </w:r>
      <w:r>
        <w:rPr>
          <w:rFonts w:hint="eastAsia" w:asciiTheme="minorEastAsia" w:hAnsiTheme="minorEastAsia" w:eastAsiaTheme="minorEastAsia"/>
          <w:color w:val="000000"/>
          <w:sz w:val="24"/>
          <w:szCs w:val="21"/>
        </w:rPr>
        <w:t>房地权滁字第006007089号</w:t>
      </w:r>
      <w:r>
        <w:rPr>
          <w:rFonts w:hint="eastAsia" w:asciiTheme="minorEastAsia" w:hAnsiTheme="minorEastAsia" w:eastAsiaTheme="minorEastAsia"/>
          <w:color w:val="000000" w:themeColor="text1"/>
          <w:sz w:val="24"/>
          <w:szCs w:val="28"/>
        </w:rPr>
        <w:t>，建筑面积为</w:t>
      </w:r>
      <w:r>
        <w:rPr>
          <w:rFonts w:asciiTheme="minorEastAsia" w:hAnsiTheme="minorEastAsia" w:eastAsiaTheme="minorEastAsia"/>
          <w:color w:val="000000" w:themeColor="text1"/>
          <w:sz w:val="24"/>
          <w:szCs w:val="28"/>
        </w:rPr>
        <w:t>131.12</w:t>
      </w:r>
      <w:r>
        <w:rPr>
          <w:rFonts w:hint="eastAsia" w:asciiTheme="minorEastAsia" w:hAnsiTheme="minorEastAsia" w:eastAsiaTheme="minorEastAsia"/>
          <w:color w:val="000000" w:themeColor="text1"/>
          <w:sz w:val="24"/>
          <w:szCs w:val="28"/>
        </w:rPr>
        <w:t>平方米，规划用途为住宅，房屋总层数6层，所在层为6层，房地产权利人为</w:t>
      </w:r>
      <w:r>
        <w:rPr>
          <w:rFonts w:hint="eastAsia" w:asciiTheme="minorEastAsia" w:hAnsiTheme="minorEastAsia" w:eastAsiaTheme="minorEastAsia"/>
          <w:color w:val="000000" w:themeColor="text1"/>
          <w:sz w:val="24"/>
          <w:szCs w:val="24"/>
        </w:rPr>
        <w:t>杨桂宏</w:t>
      </w:r>
      <w:r>
        <w:rPr>
          <w:rFonts w:hint="eastAsia" w:asciiTheme="minorEastAsia" w:hAnsiTheme="minorEastAsia" w:eastAsiaTheme="minorEastAsia"/>
          <w:color w:val="000000" w:themeColor="text1"/>
          <w:sz w:val="24"/>
          <w:szCs w:val="28"/>
        </w:rPr>
        <w:t>。土地分摊面积：68.06平方米，共用宗地面积为：9</w:t>
      </w:r>
      <w:r>
        <w:rPr>
          <w:rFonts w:asciiTheme="minorEastAsia" w:hAnsiTheme="minorEastAsia" w:eastAsiaTheme="minorEastAsia"/>
          <w:color w:val="000000" w:themeColor="text1"/>
          <w:sz w:val="24"/>
          <w:szCs w:val="28"/>
        </w:rPr>
        <w:t>182</w:t>
      </w:r>
      <w:r>
        <w:rPr>
          <w:rFonts w:hint="eastAsia" w:asciiTheme="minorEastAsia" w:hAnsiTheme="minorEastAsia" w:eastAsiaTheme="minorEastAsia"/>
          <w:color w:val="000000" w:themeColor="text1"/>
          <w:sz w:val="24"/>
          <w:szCs w:val="28"/>
        </w:rPr>
        <w:t>平方米，土地证载用途：住宅。</w:t>
      </w:r>
    </w:p>
    <w:p>
      <w:pPr>
        <w:wordWrap w:val="0"/>
        <w:spacing w:line="460" w:lineRule="exact"/>
        <w:ind w:firstLine="482" w:firstLineChars="200"/>
        <w:rPr>
          <w:rFonts w:asciiTheme="minorEastAsia" w:hAnsiTheme="minorEastAsia" w:eastAsiaTheme="minorEastAsia"/>
          <w:sz w:val="24"/>
          <w:szCs w:val="28"/>
        </w:rPr>
      </w:pPr>
      <w:r>
        <w:rPr>
          <w:rFonts w:hint="eastAsia" w:cs="仿宋_GB2312" w:asciiTheme="minorEastAsia" w:hAnsiTheme="minorEastAsia" w:eastAsiaTheme="minorEastAsia"/>
          <w:b/>
          <w:color w:val="000000" w:themeColor="text1"/>
          <w:sz w:val="24"/>
          <w:szCs w:val="28"/>
        </w:rPr>
        <w:t>价值时点：</w:t>
      </w:r>
      <w:r>
        <w:rPr>
          <w:rFonts w:hint="eastAsia" w:asciiTheme="minorEastAsia" w:hAnsiTheme="minorEastAsia" w:eastAsiaTheme="minorEastAsia"/>
          <w:sz w:val="24"/>
          <w:szCs w:val="28"/>
        </w:rPr>
        <w:t>2022年7月21日</w:t>
      </w:r>
    </w:p>
    <w:p>
      <w:pPr>
        <w:wordWrap w:val="0"/>
        <w:spacing w:line="460" w:lineRule="exact"/>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价值时点确定的理由：根据本次估价目的，以现场查勘之日确定为价值时点。本次现场查勘日期为2022年7月21日。</w:t>
      </w:r>
    </w:p>
    <w:p>
      <w:pPr>
        <w:wordWrap w:val="0"/>
        <w:spacing w:line="460" w:lineRule="exact"/>
        <w:ind w:firstLine="482" w:firstLineChars="200"/>
        <w:rPr>
          <w:rFonts w:cs="仿宋_GB2312" w:asciiTheme="minorEastAsia" w:hAnsiTheme="minorEastAsia" w:eastAsiaTheme="minorEastAsia"/>
          <w:color w:val="000000" w:themeColor="text1"/>
          <w:sz w:val="24"/>
          <w:szCs w:val="28"/>
        </w:rPr>
      </w:pPr>
      <w:r>
        <w:rPr>
          <w:rFonts w:hint="eastAsia" w:cs="仿宋_GB2312" w:asciiTheme="minorEastAsia" w:hAnsiTheme="minorEastAsia" w:eastAsiaTheme="minorEastAsia"/>
          <w:b/>
          <w:color w:val="000000" w:themeColor="text1"/>
          <w:sz w:val="24"/>
          <w:szCs w:val="28"/>
        </w:rPr>
        <w:t>价值类型：</w:t>
      </w:r>
      <w:r>
        <w:rPr>
          <w:rFonts w:hint="eastAsia" w:cs="仿宋_GB2312" w:asciiTheme="minorEastAsia" w:hAnsiTheme="minorEastAsia" w:eastAsiaTheme="minorEastAsia"/>
          <w:snapToGrid w:val="0"/>
          <w:color w:val="000000" w:themeColor="text1"/>
          <w:kern w:val="24"/>
          <w:sz w:val="24"/>
          <w:szCs w:val="28"/>
        </w:rPr>
        <w:t>市场价值</w:t>
      </w:r>
    </w:p>
    <w:p>
      <w:pPr>
        <w:wordWrap w:val="0"/>
        <w:spacing w:line="460" w:lineRule="exact"/>
        <w:ind w:firstLine="482" w:firstLineChars="200"/>
        <w:jc w:val="left"/>
        <w:rPr>
          <w:rFonts w:cs="仿宋_GB2312" w:asciiTheme="minorEastAsia" w:hAnsiTheme="minorEastAsia" w:eastAsiaTheme="minorEastAsia"/>
          <w:color w:val="000000" w:themeColor="text1"/>
          <w:sz w:val="24"/>
          <w:szCs w:val="28"/>
        </w:rPr>
      </w:pPr>
      <w:r>
        <w:rPr>
          <w:rFonts w:hint="eastAsia" w:cs="仿宋_GB2312" w:asciiTheme="minorEastAsia" w:hAnsiTheme="minorEastAsia" w:eastAsiaTheme="minorEastAsia"/>
          <w:b/>
          <w:color w:val="000000" w:themeColor="text1"/>
          <w:sz w:val="24"/>
          <w:szCs w:val="28"/>
        </w:rPr>
        <w:t>估价方法：</w:t>
      </w:r>
      <w:r>
        <w:rPr>
          <w:rFonts w:hint="eastAsia" w:cs="仿宋_GB2312" w:asciiTheme="minorEastAsia" w:hAnsiTheme="minorEastAsia" w:eastAsiaTheme="minorEastAsia"/>
          <w:snapToGrid w:val="0"/>
          <w:color w:val="000000" w:themeColor="text1"/>
          <w:kern w:val="24"/>
          <w:sz w:val="24"/>
          <w:szCs w:val="28"/>
        </w:rPr>
        <w:t>比较法、收益法</w:t>
      </w:r>
    </w:p>
    <w:p>
      <w:pPr>
        <w:wordWrap w:val="0"/>
        <w:spacing w:line="460" w:lineRule="exact"/>
        <w:ind w:firstLine="482" w:firstLineChars="200"/>
        <w:jc w:val="left"/>
        <w:rPr>
          <w:rFonts w:cs="仿宋_GB2312" w:asciiTheme="minorEastAsia" w:hAnsiTheme="minorEastAsia" w:eastAsiaTheme="minorEastAsia"/>
          <w:b/>
          <w:color w:val="000000" w:themeColor="text1"/>
          <w:sz w:val="24"/>
          <w:szCs w:val="28"/>
        </w:rPr>
      </w:pPr>
      <w:r>
        <w:rPr>
          <w:rFonts w:hint="eastAsia" w:cs="仿宋_GB2312" w:asciiTheme="minorEastAsia" w:hAnsiTheme="minorEastAsia" w:eastAsiaTheme="minorEastAsia"/>
          <w:b/>
          <w:color w:val="000000" w:themeColor="text1"/>
          <w:sz w:val="24"/>
          <w:szCs w:val="28"/>
        </w:rPr>
        <w:t>估价结果：</w:t>
      </w:r>
    </w:p>
    <w:p>
      <w:pPr>
        <w:wordWrap w:val="0"/>
        <w:spacing w:line="460" w:lineRule="exact"/>
        <w:ind w:firstLine="480" w:firstLineChars="200"/>
        <w:jc w:val="left"/>
        <w:rPr>
          <w:rFonts w:asciiTheme="minorEastAsia" w:hAnsiTheme="minorEastAsia" w:eastAsiaTheme="minorEastAsia"/>
          <w:color w:val="000000" w:themeColor="text1"/>
          <w:sz w:val="24"/>
          <w:szCs w:val="28"/>
        </w:rPr>
      </w:pPr>
      <w:r>
        <w:rPr>
          <w:rFonts w:hint="eastAsia" w:asciiTheme="minorEastAsia" w:hAnsiTheme="minorEastAsia" w:eastAsiaTheme="minorEastAsia"/>
          <w:color w:val="000000" w:themeColor="text1"/>
          <w:sz w:val="24"/>
          <w:szCs w:val="28"/>
        </w:rPr>
        <w:t>估价人员经过实地查勘和市场调查，根据估价目的，遵照</w:t>
      </w:r>
      <w:r>
        <w:rPr>
          <w:rFonts w:asciiTheme="minorEastAsia" w:hAnsiTheme="minorEastAsia" w:eastAsiaTheme="minorEastAsia"/>
          <w:color w:val="000000" w:themeColor="text1"/>
          <w:sz w:val="24"/>
          <w:szCs w:val="28"/>
        </w:rPr>
        <w:t>国家的相关法规</w:t>
      </w:r>
      <w:r>
        <w:rPr>
          <w:rFonts w:hint="eastAsia" w:asciiTheme="minorEastAsia" w:hAnsiTheme="minorEastAsia" w:eastAsiaTheme="minorEastAsia"/>
          <w:color w:val="000000" w:themeColor="text1"/>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pPr>
        <w:wordWrap w:val="0"/>
        <w:spacing w:before="156" w:beforeLines="50" w:line="460" w:lineRule="exact"/>
        <w:jc w:val="center"/>
        <w:rPr>
          <w:rFonts w:ascii="宋体" w:hAnsi="宋体"/>
          <w:b/>
          <w:color w:val="000000"/>
          <w:sz w:val="28"/>
          <w:szCs w:val="28"/>
        </w:rPr>
      </w:pPr>
      <w:r>
        <w:rPr>
          <w:rFonts w:hint="eastAsia" w:ascii="宋体" w:hAnsi="宋体"/>
          <w:b/>
          <w:color w:val="000000"/>
          <w:sz w:val="28"/>
          <w:szCs w:val="28"/>
        </w:rPr>
        <w:t>估价对象估价结果表</w:t>
      </w:r>
    </w:p>
    <w:p>
      <w:pPr>
        <w:wordWrap w:val="0"/>
        <w:spacing w:line="460" w:lineRule="exact"/>
        <w:jc w:val="right"/>
        <w:rPr>
          <w:rFonts w:ascii="宋体" w:hAnsi="宋体"/>
          <w:b/>
          <w:color w:val="000000"/>
          <w:szCs w:val="21"/>
        </w:rPr>
      </w:pPr>
      <w:r>
        <w:rPr>
          <w:rFonts w:hint="eastAsia" w:ascii="宋体" w:hAnsi="宋体"/>
          <w:b/>
          <w:color w:val="000000"/>
        </w:rPr>
        <w:t>币种：人民币</w:t>
      </w:r>
    </w:p>
    <w:tbl>
      <w:tblPr>
        <w:tblStyle w:val="2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418"/>
        <w:gridCol w:w="1440"/>
        <w:gridCol w:w="1265"/>
        <w:gridCol w:w="1266"/>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5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估价对象坐落</w:t>
            </w:r>
          </w:p>
        </w:tc>
        <w:tc>
          <w:tcPr>
            <w:tcW w:w="1418"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规划用途</w:t>
            </w:r>
          </w:p>
        </w:tc>
        <w:tc>
          <w:tcPr>
            <w:tcW w:w="1440"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楼层/总楼层</w:t>
            </w:r>
          </w:p>
        </w:tc>
        <w:tc>
          <w:tcPr>
            <w:tcW w:w="1265"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建筑面积(㎡)</w:t>
            </w:r>
          </w:p>
        </w:tc>
        <w:tc>
          <w:tcPr>
            <w:tcW w:w="1266"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评估单价(元/㎡)</w:t>
            </w:r>
          </w:p>
        </w:tc>
        <w:tc>
          <w:tcPr>
            <w:tcW w:w="1380"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评估总值(万元)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5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清流东路518号6幢602室</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住宅</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6层/6层</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131.12</w:t>
            </w:r>
          </w:p>
        </w:tc>
        <w:tc>
          <w:tcPr>
            <w:tcW w:w="1266"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6863</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25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szCs w:val="21"/>
                <w:lang w:bidi="ar"/>
              </w:rPr>
              <w:t>总价</w:t>
            </w:r>
            <w:r>
              <w:rPr>
                <w:rFonts w:hint="eastAsia" w:asciiTheme="minorEastAsia" w:hAnsiTheme="minorEastAsia" w:eastAsiaTheme="minorEastAsia"/>
                <w:lang w:bidi="ar"/>
              </w:rPr>
              <w:t>大写</w:t>
            </w:r>
          </w:p>
        </w:tc>
        <w:tc>
          <w:tcPr>
            <w:tcW w:w="6769" w:type="dxa"/>
            <w:gridSpan w:val="5"/>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捌拾玖万玖仟玖佰</w:t>
            </w:r>
            <w:r>
              <w:rPr>
                <w:rFonts w:hint="eastAsia" w:asciiTheme="minorEastAsia" w:hAnsiTheme="minorEastAsia" w:eastAsiaTheme="minorEastAsia"/>
                <w:color w:val="000000" w:themeColor="text1"/>
              </w:rPr>
              <w:t>元整</w:t>
            </w:r>
          </w:p>
        </w:tc>
      </w:tr>
    </w:tbl>
    <w:p>
      <w:pPr>
        <w:wordWrap w:val="0"/>
        <w:spacing w:line="460" w:lineRule="exact"/>
        <w:ind w:firstLine="480" w:firstLineChars="200"/>
        <w:jc w:val="left"/>
        <w:rPr>
          <w:rFonts w:asciiTheme="minorEastAsia" w:hAnsiTheme="minorEastAsia" w:eastAsiaTheme="minorEastAsia"/>
          <w:color w:val="000000" w:themeColor="text1"/>
          <w:sz w:val="24"/>
          <w:szCs w:val="28"/>
        </w:rPr>
      </w:pPr>
    </w:p>
    <w:p>
      <w:pPr>
        <w:wordWrap w:val="0"/>
        <w:spacing w:line="460" w:lineRule="exact"/>
        <w:ind w:right="103" w:rightChars="49"/>
        <w:rPr>
          <w:rFonts w:cs="仿宋_GB2312" w:asciiTheme="minorEastAsia" w:hAnsiTheme="minorEastAsia" w:eastAsiaTheme="minorEastAsia"/>
          <w:b/>
          <w:color w:val="000000" w:themeColor="text1"/>
          <w:sz w:val="24"/>
          <w:szCs w:val="24"/>
        </w:rPr>
      </w:pPr>
      <w:r>
        <w:rPr>
          <w:rFonts w:hint="eastAsia" w:cs="仿宋_GB2312" w:asciiTheme="minorEastAsia" w:hAnsiTheme="minorEastAsia" w:eastAsiaTheme="minorEastAsia"/>
          <w:b/>
          <w:color w:val="000000" w:themeColor="text1"/>
          <w:sz w:val="24"/>
          <w:szCs w:val="24"/>
        </w:rPr>
        <w:t>特别提示：</w:t>
      </w:r>
    </w:p>
    <w:p>
      <w:pPr>
        <w:wordWrap w:val="0"/>
        <w:spacing w:line="440" w:lineRule="exact"/>
        <w:ind w:firstLine="448" w:firstLineChars="200"/>
        <w:rPr>
          <w:rFonts w:cs="仿宋_GB2312" w:asciiTheme="minorEastAsia" w:hAnsiTheme="minorEastAsia" w:eastAsiaTheme="minorEastAsia"/>
          <w:color w:val="000000" w:themeColor="text1"/>
          <w:sz w:val="24"/>
          <w:szCs w:val="24"/>
        </w:rPr>
      </w:pPr>
      <w:r>
        <w:rPr>
          <w:rFonts w:asciiTheme="minorEastAsia" w:hAnsiTheme="minorEastAsia" w:eastAsiaTheme="minorEastAsia"/>
          <w:spacing w:val="-8"/>
          <w:sz w:val="24"/>
          <w:szCs w:val="24"/>
        </w:rPr>
        <w:t>1.</w:t>
      </w:r>
      <w:r>
        <w:rPr>
          <w:rFonts w:hint="eastAsia" w:asciiTheme="minorEastAsia" w:hAnsiTheme="minorEastAsia" w:eastAsiaTheme="minorEastAsia"/>
          <w:spacing w:val="-8"/>
          <w:sz w:val="24"/>
          <w:szCs w:val="24"/>
        </w:rPr>
        <w:t>房地产市场价值，是房地产经适当营销后，由熟悉情况、谨慎行事且不受强迫的交易双方，以公平交易方式在价值时点自愿进行交易的金额。</w:t>
      </w:r>
    </w:p>
    <w:p>
      <w:pPr>
        <w:wordWrap w:val="0"/>
        <w:spacing w:line="440" w:lineRule="exact"/>
        <w:ind w:firstLine="448" w:firstLineChars="200"/>
        <w:rPr>
          <w:rFonts w:cs="仿宋_GB2312" w:asciiTheme="minorEastAsia" w:hAnsiTheme="minorEastAsia" w:eastAsiaTheme="minorEastAsia"/>
          <w:color w:val="000000" w:themeColor="text1"/>
          <w:sz w:val="24"/>
          <w:szCs w:val="24"/>
        </w:rPr>
      </w:pPr>
      <w:r>
        <w:rPr>
          <w:rFonts w:hint="eastAsia" w:asciiTheme="minorEastAsia" w:hAnsiTheme="minorEastAsia" w:eastAsiaTheme="minorEastAsia"/>
          <w:spacing w:val="-8"/>
          <w:sz w:val="24"/>
          <w:szCs w:val="24"/>
        </w:rPr>
        <w:t>快速变现价值，是估价对象在没有充足的时间进行营销情况下的价值，往往因要在较短时间内将其卖出而降价销售，因此，快速变现价值通常低于市场价值。</w:t>
      </w:r>
    </w:p>
    <w:p>
      <w:pPr>
        <w:wordWrap w:val="0"/>
        <w:spacing w:line="440" w:lineRule="exact"/>
        <w:ind w:firstLine="448" w:firstLineChars="200"/>
        <w:rPr>
          <w:rFonts w:cs="仿宋_GB2312" w:asciiTheme="minorEastAsia" w:hAnsiTheme="minorEastAsia" w:eastAsiaTheme="minorEastAsia"/>
          <w:color w:val="000000" w:themeColor="text1"/>
          <w:sz w:val="24"/>
          <w:szCs w:val="24"/>
        </w:rPr>
      </w:pPr>
      <w:r>
        <w:rPr>
          <w:rFonts w:hint="eastAsia" w:asciiTheme="minorEastAsia" w:hAnsiTheme="minorEastAsia" w:eastAsiaTheme="minorEastAsia"/>
          <w:spacing w:val="-8"/>
          <w:sz w:val="24"/>
          <w:szCs w:val="24"/>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pPr>
        <w:wordWrap w:val="0"/>
        <w:spacing w:line="440" w:lineRule="exact"/>
        <w:ind w:firstLine="448" w:firstLineChars="200"/>
        <w:rPr>
          <w:rFonts w:asciiTheme="minorEastAsia" w:hAnsiTheme="minorEastAsia" w:eastAsiaTheme="minorEastAsia"/>
          <w:spacing w:val="-8"/>
          <w:sz w:val="24"/>
          <w:szCs w:val="24"/>
        </w:rPr>
      </w:pPr>
      <w:r>
        <w:rPr>
          <w:rFonts w:hint="eastAsia" w:asciiTheme="minorEastAsia" w:hAnsiTheme="minorEastAsia" w:eastAsiaTheme="minorEastAsia"/>
          <w:spacing w:val="-8"/>
          <w:sz w:val="24"/>
          <w:szCs w:val="24"/>
        </w:rPr>
        <w:t>3.</w:t>
      </w:r>
      <w:r>
        <w:rPr>
          <w:rFonts w:asciiTheme="minorEastAsia" w:hAnsiTheme="minorEastAsia" w:eastAsiaTheme="minorEastAsia"/>
          <w:spacing w:val="-8"/>
          <w:sz w:val="24"/>
          <w:szCs w:val="24"/>
        </w:rPr>
        <w:t>评估结果仅为人民法院确定财产处置参考价服务，不是评估对象处置可实现的成交价格，也不应当被视为对评估对象处置成交价格的保证</w:t>
      </w:r>
      <w:r>
        <w:rPr>
          <w:rFonts w:hint="eastAsia" w:asciiTheme="minorEastAsia" w:hAnsiTheme="minorEastAsia" w:eastAsiaTheme="minorEastAsia"/>
          <w:spacing w:val="-8"/>
          <w:sz w:val="24"/>
          <w:szCs w:val="24"/>
        </w:rPr>
        <w:t>。</w:t>
      </w:r>
    </w:p>
    <w:p>
      <w:pPr>
        <w:wordWrap w:val="0"/>
        <w:spacing w:line="440" w:lineRule="exact"/>
        <w:ind w:firstLine="448" w:firstLineChars="200"/>
        <w:rPr>
          <w:rFonts w:asciiTheme="minorEastAsia" w:hAnsiTheme="minorEastAsia" w:eastAsiaTheme="minorEastAsia"/>
          <w:spacing w:val="-8"/>
          <w:sz w:val="24"/>
          <w:szCs w:val="24"/>
        </w:rPr>
      </w:pPr>
      <w:r>
        <w:rPr>
          <w:rFonts w:asciiTheme="minorEastAsia" w:hAnsiTheme="minorEastAsia" w:eastAsiaTheme="minorEastAsia"/>
          <w:spacing w:val="-8"/>
          <w:sz w:val="24"/>
          <w:szCs w:val="24"/>
        </w:rPr>
        <w:t>4</w:t>
      </w:r>
      <w:r>
        <w:rPr>
          <w:rFonts w:hint="eastAsia" w:asciiTheme="minorEastAsia" w:hAnsiTheme="minorEastAsia" w:eastAsiaTheme="minorEastAsia"/>
          <w:spacing w:val="-8"/>
          <w:sz w:val="24"/>
          <w:szCs w:val="24"/>
        </w:rPr>
        <w:t>.因财产拍卖或者变卖之日与价值时点不一致，本次评估未考虑估价对象可能存在物业费、水、电欠缴情况，提请报告使用者和相关当事人注意。</w:t>
      </w:r>
    </w:p>
    <w:p>
      <w:pPr>
        <w:wordWrap w:val="0"/>
        <w:spacing w:line="440" w:lineRule="exact"/>
        <w:ind w:firstLine="448" w:firstLineChars="200"/>
        <w:rPr>
          <w:rFonts w:asciiTheme="minorEastAsia" w:hAnsiTheme="minorEastAsia" w:eastAsiaTheme="minorEastAsia"/>
          <w:spacing w:val="-8"/>
          <w:sz w:val="24"/>
          <w:szCs w:val="24"/>
        </w:rPr>
      </w:pPr>
      <w:r>
        <w:rPr>
          <w:rFonts w:asciiTheme="minorEastAsia" w:hAnsiTheme="minorEastAsia" w:eastAsiaTheme="minorEastAsia"/>
          <w:spacing w:val="-8"/>
          <w:sz w:val="24"/>
          <w:szCs w:val="24"/>
        </w:rPr>
        <w:t>5.</w:t>
      </w:r>
      <w:r>
        <w:rPr>
          <w:rFonts w:hint="eastAsia" w:asciiTheme="minorEastAsia" w:hAnsiTheme="minorEastAsia" w:eastAsiaTheme="minorEastAsia"/>
          <w:spacing w:val="-8"/>
          <w:sz w:val="24"/>
          <w:szCs w:val="24"/>
        </w:rPr>
        <w:t>本估价报告应用的有效期为一年，自</w:t>
      </w:r>
      <w:r>
        <w:rPr>
          <w:rFonts w:asciiTheme="minorEastAsia" w:hAnsiTheme="minorEastAsia" w:eastAsiaTheme="minorEastAsia"/>
          <w:spacing w:val="-8"/>
          <w:sz w:val="24"/>
          <w:szCs w:val="24"/>
        </w:rPr>
        <w:t>2022年7月29日</w:t>
      </w:r>
      <w:r>
        <w:rPr>
          <w:rFonts w:hint="eastAsia" w:asciiTheme="minorEastAsia" w:hAnsiTheme="minorEastAsia" w:eastAsiaTheme="minorEastAsia"/>
          <w:spacing w:val="-8"/>
          <w:sz w:val="24"/>
          <w:szCs w:val="24"/>
        </w:rPr>
        <w:t>至</w:t>
      </w:r>
      <w:r>
        <w:rPr>
          <w:rFonts w:asciiTheme="minorEastAsia" w:hAnsiTheme="minorEastAsia" w:eastAsiaTheme="minorEastAsia"/>
          <w:spacing w:val="-8"/>
          <w:sz w:val="24"/>
          <w:szCs w:val="24"/>
        </w:rPr>
        <w:t>2023年7月28日</w:t>
      </w:r>
      <w:r>
        <w:rPr>
          <w:rFonts w:hint="eastAsia" w:asciiTheme="minorEastAsia" w:hAnsiTheme="minorEastAsia" w:eastAsiaTheme="minorEastAsia"/>
          <w:spacing w:val="-8"/>
          <w:sz w:val="24"/>
          <w:szCs w:val="24"/>
        </w:rPr>
        <w:t>。</w:t>
      </w:r>
    </w:p>
    <w:p>
      <w:pPr>
        <w:wordWrap w:val="0"/>
        <w:spacing w:before="936" w:beforeLines="300" w:line="560" w:lineRule="exact"/>
        <w:ind w:firstLine="2880" w:firstLineChars="1200"/>
        <w:jc w:val="left"/>
        <w:rPr>
          <w:rFonts w:cs="Arial" w:asciiTheme="minorEastAsia" w:hAnsiTheme="minorEastAsia" w:eastAsiaTheme="minorEastAsia"/>
          <w:color w:val="000000" w:themeColor="text1"/>
          <w:kern w:val="2"/>
          <w:sz w:val="24"/>
          <w:szCs w:val="28"/>
        </w:rPr>
      </w:pPr>
      <w:r>
        <w:rPr>
          <w:rFonts w:hint="eastAsia" w:asciiTheme="minorEastAsia" w:hAnsiTheme="minorEastAsia" w:eastAsiaTheme="minorEastAsia"/>
          <w:color w:val="000000" w:themeColor="text1"/>
          <w:sz w:val="24"/>
          <w:szCs w:val="28"/>
        </w:rPr>
        <w:t>安徽财苑房地产土地评估咨询有限公司</w:t>
      </w:r>
    </w:p>
    <w:p>
      <w:pPr>
        <w:wordWrap w:val="0"/>
        <w:spacing w:line="560" w:lineRule="exact"/>
        <w:ind w:right="1120" w:firstLine="2880" w:firstLineChars="1200"/>
        <w:rPr>
          <w:rFonts w:cs="Arial" w:asciiTheme="minorEastAsia" w:hAnsiTheme="minorEastAsia" w:eastAsiaTheme="minorEastAsia"/>
          <w:color w:val="000000" w:themeColor="text1"/>
          <w:kern w:val="2"/>
          <w:sz w:val="24"/>
          <w:szCs w:val="28"/>
        </w:rPr>
      </w:pPr>
      <w:r>
        <w:rPr>
          <w:rFonts w:cs="Arial" w:asciiTheme="minorEastAsia" w:hAnsiTheme="minorEastAsia" w:eastAsiaTheme="minorEastAsia"/>
          <w:color w:val="000000" w:themeColor="text1"/>
          <w:kern w:val="2"/>
          <w:sz w:val="24"/>
          <w:szCs w:val="28"/>
        </w:rPr>
        <w:t>法定代表人：</w:t>
      </w:r>
    </w:p>
    <w:p>
      <w:pPr>
        <w:wordWrap w:val="0"/>
        <w:spacing w:before="156" w:beforeLines="50" w:line="240" w:lineRule="auto"/>
        <w:jc w:val="center"/>
        <w:rPr>
          <w:rFonts w:asciiTheme="minorEastAsia" w:hAnsiTheme="minorEastAsia" w:eastAsiaTheme="minorEastAsia"/>
          <w:b/>
          <w:color w:val="000000" w:themeColor="text1"/>
          <w:sz w:val="24"/>
          <w:szCs w:val="32"/>
        </w:rPr>
      </w:pPr>
      <w:r>
        <w:rPr>
          <w:rFonts w:hint="eastAsia" w:cs="Arial" w:asciiTheme="minorEastAsia" w:hAnsiTheme="minorEastAsia" w:eastAsiaTheme="minorEastAsia"/>
          <w:color w:val="000000" w:themeColor="text1"/>
          <w:sz w:val="24"/>
          <w:szCs w:val="28"/>
        </w:rPr>
        <w:t xml:space="preserve">       二〇二二年七月二十九日</w:t>
      </w:r>
    </w:p>
    <w:p>
      <w:pPr>
        <w:widowControl/>
        <w:adjustRightInd/>
        <w:spacing w:line="240" w:lineRule="auto"/>
        <w:jc w:val="left"/>
        <w:textAlignment w:val="auto"/>
        <w:rPr>
          <w:rFonts w:asciiTheme="minorEastAsia" w:hAnsiTheme="minorEastAsia" w:eastAsiaTheme="minorEastAsia"/>
          <w:b/>
          <w:color w:val="000000" w:themeColor="text1"/>
          <w:sz w:val="32"/>
          <w:szCs w:val="32"/>
        </w:rPr>
      </w:pPr>
      <w:r>
        <w:rPr>
          <w:rFonts w:asciiTheme="minorEastAsia" w:hAnsiTheme="minorEastAsia" w:eastAsiaTheme="minorEastAsia"/>
          <w:b/>
          <w:color w:val="000000" w:themeColor="text1"/>
          <w:sz w:val="32"/>
          <w:szCs w:val="32"/>
        </w:rPr>
        <w:br w:type="page"/>
      </w:r>
    </w:p>
    <w:p>
      <w:pPr>
        <w:wordWrap w:val="0"/>
        <w:spacing w:before="156" w:beforeLines="50" w:line="240" w:lineRule="auto"/>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目录</w:t>
      </w:r>
    </w:p>
    <w:p>
      <w:pPr>
        <w:pStyle w:val="18"/>
        <w:tabs>
          <w:tab w:val="right" w:leader="dot" w:pos="9061"/>
        </w:tabs>
        <w:rPr>
          <w:rFonts w:eastAsiaTheme="minorEastAsia" w:cstheme="minorBidi"/>
          <w:b w:val="0"/>
          <w:bCs w:val="0"/>
          <w:caps w:val="0"/>
          <w:kern w:val="2"/>
          <w:sz w:val="21"/>
          <w:szCs w:val="22"/>
        </w:rPr>
      </w:pPr>
      <w:r>
        <w:rPr>
          <w:rFonts w:asciiTheme="minorEastAsia" w:hAnsiTheme="minorEastAsia" w:eastAsiaTheme="minorEastAsia"/>
          <w:b w:val="0"/>
          <w:bCs w:val="0"/>
          <w:caps w:val="0"/>
          <w:color w:val="000000" w:themeColor="text1"/>
          <w:szCs w:val="24"/>
        </w:rPr>
        <w:fldChar w:fldCharType="begin"/>
      </w:r>
      <w:r>
        <w:rPr>
          <w:rFonts w:asciiTheme="minorEastAsia" w:hAnsiTheme="minorEastAsia" w:eastAsiaTheme="minorEastAsia"/>
          <w:b w:val="0"/>
          <w:bCs w:val="0"/>
          <w:caps w:val="0"/>
          <w:color w:val="000000" w:themeColor="text1"/>
          <w:szCs w:val="24"/>
        </w:rPr>
        <w:instrText xml:space="preserve"> TOC \o "1-2" \h \z \u </w:instrText>
      </w:r>
      <w:r>
        <w:rPr>
          <w:rFonts w:asciiTheme="minorEastAsia" w:hAnsiTheme="minorEastAsia" w:eastAsiaTheme="minorEastAsia"/>
          <w:b w:val="0"/>
          <w:bCs w:val="0"/>
          <w:caps w:val="0"/>
          <w:color w:val="000000" w:themeColor="text1"/>
          <w:szCs w:val="24"/>
        </w:rPr>
        <w:fldChar w:fldCharType="separate"/>
      </w:r>
      <w:r>
        <w:fldChar w:fldCharType="begin"/>
      </w:r>
      <w:r>
        <w:instrText xml:space="preserve"> HYPERLINK \l "_Toc110325016" </w:instrText>
      </w:r>
      <w:r>
        <w:fldChar w:fldCharType="separate"/>
      </w:r>
      <w:r>
        <w:rPr>
          <w:rStyle w:val="29"/>
        </w:rPr>
        <w:t>一、估价师声明</w:t>
      </w:r>
      <w:r>
        <w:tab/>
      </w:r>
      <w:r>
        <w:fldChar w:fldCharType="begin"/>
      </w:r>
      <w:r>
        <w:instrText xml:space="preserve"> PAGEREF _Toc110325016 \h </w:instrText>
      </w:r>
      <w:r>
        <w:fldChar w:fldCharType="separate"/>
      </w:r>
      <w:r>
        <w:t>1</w:t>
      </w:r>
      <w:r>
        <w:fldChar w:fldCharType="end"/>
      </w:r>
      <w:r>
        <w:fldChar w:fldCharType="end"/>
      </w:r>
    </w:p>
    <w:p>
      <w:pPr>
        <w:pStyle w:val="18"/>
        <w:tabs>
          <w:tab w:val="right" w:leader="dot" w:pos="9061"/>
        </w:tabs>
        <w:rPr>
          <w:rFonts w:eastAsiaTheme="minorEastAsia" w:cstheme="minorBidi"/>
          <w:b w:val="0"/>
          <w:bCs w:val="0"/>
          <w:caps w:val="0"/>
          <w:kern w:val="2"/>
          <w:sz w:val="21"/>
          <w:szCs w:val="22"/>
        </w:rPr>
      </w:pPr>
      <w:r>
        <w:fldChar w:fldCharType="begin"/>
      </w:r>
      <w:r>
        <w:instrText xml:space="preserve"> HYPERLINK \l "_Toc110325017" </w:instrText>
      </w:r>
      <w:r>
        <w:fldChar w:fldCharType="separate"/>
      </w:r>
      <w:r>
        <w:rPr>
          <w:rStyle w:val="29"/>
        </w:rPr>
        <w:t>二、估价假设和限制条件</w:t>
      </w:r>
      <w:r>
        <w:tab/>
      </w:r>
      <w:r>
        <w:fldChar w:fldCharType="begin"/>
      </w:r>
      <w:r>
        <w:instrText xml:space="preserve"> PAGEREF _Toc110325017 \h </w:instrText>
      </w:r>
      <w:r>
        <w:fldChar w:fldCharType="separate"/>
      </w:r>
      <w:r>
        <w:t>2</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"_Toc110325018" </w:instrText>
      </w:r>
      <w:r>
        <w:fldChar w:fldCharType="separate"/>
      </w:r>
      <w:r>
        <w:rPr>
          <w:rStyle w:val="29"/>
        </w:rPr>
        <w:t>（一）本项估价的假设条件</w:t>
      </w:r>
      <w:r>
        <w:tab/>
      </w:r>
      <w:r>
        <w:fldChar w:fldCharType="begin"/>
      </w:r>
      <w:r>
        <w:instrText xml:space="preserve"> PAGEREF _Toc110325018 \h </w:instrText>
      </w:r>
      <w:r>
        <w:fldChar w:fldCharType="separate"/>
      </w:r>
      <w:r>
        <w:t>2</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"_Toc110325019" </w:instrText>
      </w:r>
      <w:r>
        <w:fldChar w:fldCharType="separate"/>
      </w:r>
      <w:r>
        <w:rPr>
          <w:rStyle w:val="29"/>
        </w:rPr>
        <w:t>（二）本估价报告使用的限制条件</w:t>
      </w:r>
      <w:r>
        <w:tab/>
      </w:r>
      <w:r>
        <w:fldChar w:fldCharType="begin"/>
      </w:r>
      <w:r>
        <w:instrText xml:space="preserve"> PAGEREF _Toc110325019 \h </w:instrText>
      </w:r>
      <w:r>
        <w:fldChar w:fldCharType="separate"/>
      </w:r>
      <w:r>
        <w:t>3</w:t>
      </w:r>
      <w:r>
        <w:fldChar w:fldCharType="end"/>
      </w:r>
      <w:r>
        <w:fldChar w:fldCharType="end"/>
      </w:r>
    </w:p>
    <w:p>
      <w:pPr>
        <w:pStyle w:val="18"/>
        <w:tabs>
          <w:tab w:val="right" w:leader="dot" w:pos="9061"/>
        </w:tabs>
        <w:rPr>
          <w:rFonts w:eastAsiaTheme="minorEastAsia" w:cstheme="minorBidi"/>
          <w:b w:val="0"/>
          <w:bCs w:val="0"/>
          <w:caps w:val="0"/>
          <w:kern w:val="2"/>
          <w:sz w:val="21"/>
          <w:szCs w:val="22"/>
        </w:rPr>
      </w:pPr>
      <w:r>
        <w:fldChar w:fldCharType="begin"/>
      </w:r>
      <w:r>
        <w:instrText xml:space="preserve"> HYPERLINK \l "_Toc110325020" </w:instrText>
      </w:r>
      <w:r>
        <w:fldChar w:fldCharType="separate"/>
      </w:r>
      <w:r>
        <w:rPr>
          <w:rStyle w:val="29"/>
        </w:rPr>
        <w:t>三、估价结果报告</w:t>
      </w:r>
      <w:r>
        <w:tab/>
      </w:r>
      <w:r>
        <w:fldChar w:fldCharType="begin"/>
      </w:r>
      <w:r>
        <w:instrText xml:space="preserve"> PAGEREF _Toc110325020 \h </w:instrText>
      </w:r>
      <w:r>
        <w:fldChar w:fldCharType="separate"/>
      </w:r>
      <w:r>
        <w:t>4</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"_Toc110325021" </w:instrText>
      </w:r>
      <w:r>
        <w:fldChar w:fldCharType="separate"/>
      </w:r>
      <w:r>
        <w:rPr>
          <w:rStyle w:val="29"/>
        </w:rPr>
        <w:t>（一）估价委托人</w:t>
      </w:r>
      <w:r>
        <w:tab/>
      </w:r>
      <w:r>
        <w:fldChar w:fldCharType="begin"/>
      </w:r>
      <w:r>
        <w:instrText xml:space="preserve"> PAGEREF _Toc110325021 \h </w:instrText>
      </w:r>
      <w:r>
        <w:fldChar w:fldCharType="separate"/>
      </w:r>
      <w:r>
        <w:t>4</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"_Toc110325022" </w:instrText>
      </w:r>
      <w:r>
        <w:fldChar w:fldCharType="separate"/>
      </w:r>
      <w:r>
        <w:rPr>
          <w:rStyle w:val="29"/>
        </w:rPr>
        <w:t>（二）房地产估价机构</w:t>
      </w:r>
      <w:r>
        <w:tab/>
      </w:r>
      <w:r>
        <w:fldChar w:fldCharType="begin"/>
      </w:r>
      <w:r>
        <w:instrText xml:space="preserve"> PAGEREF _Toc110325022 \h </w:instrText>
      </w:r>
      <w:r>
        <w:fldChar w:fldCharType="separate"/>
      </w:r>
      <w:r>
        <w:t>4</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"_Toc110325023" </w:instrText>
      </w:r>
      <w:r>
        <w:fldChar w:fldCharType="separate"/>
      </w:r>
      <w:r>
        <w:rPr>
          <w:rStyle w:val="29"/>
        </w:rPr>
        <w:t>（三）估价目的</w:t>
      </w:r>
      <w:r>
        <w:tab/>
      </w:r>
      <w:r>
        <w:fldChar w:fldCharType="begin"/>
      </w:r>
      <w:r>
        <w:instrText xml:space="preserve"> PAGEREF _Toc110325023 \h </w:instrText>
      </w:r>
      <w:r>
        <w:fldChar w:fldCharType="separate"/>
      </w:r>
      <w:r>
        <w:t>4</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"_Toc110325024" </w:instrText>
      </w:r>
      <w:r>
        <w:fldChar w:fldCharType="separate"/>
      </w:r>
      <w:r>
        <w:rPr>
          <w:rStyle w:val="29"/>
        </w:rPr>
        <w:t>（四）估价对象</w:t>
      </w:r>
      <w:r>
        <w:tab/>
      </w:r>
      <w:r>
        <w:fldChar w:fldCharType="begin"/>
      </w:r>
      <w:r>
        <w:instrText xml:space="preserve"> PAGEREF _Toc110325024 \h </w:instrText>
      </w:r>
      <w:r>
        <w:fldChar w:fldCharType="separate"/>
      </w:r>
      <w:r>
        <w:t>4</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"_Toc110325025" </w:instrText>
      </w:r>
      <w:r>
        <w:fldChar w:fldCharType="separate"/>
      </w:r>
      <w:r>
        <w:rPr>
          <w:rStyle w:val="29"/>
        </w:rPr>
        <w:t>（五）价值时点</w:t>
      </w:r>
      <w:r>
        <w:tab/>
      </w:r>
      <w:r>
        <w:fldChar w:fldCharType="begin"/>
      </w:r>
      <w:r>
        <w:instrText xml:space="preserve"> PAGEREF _Toc110325025 \h </w:instrText>
      </w:r>
      <w:r>
        <w:fldChar w:fldCharType="separate"/>
      </w:r>
      <w:r>
        <w:t>7</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"_Toc110325026" </w:instrText>
      </w:r>
      <w:r>
        <w:fldChar w:fldCharType="separate"/>
      </w:r>
      <w:r>
        <w:rPr>
          <w:rStyle w:val="29"/>
        </w:rPr>
        <w:t>（六）价值类型</w:t>
      </w:r>
      <w:r>
        <w:tab/>
      </w:r>
      <w:r>
        <w:fldChar w:fldCharType="begin"/>
      </w:r>
      <w:r>
        <w:instrText xml:space="preserve"> PAGEREF _Toc110325026 \h </w:instrText>
      </w:r>
      <w:r>
        <w:fldChar w:fldCharType="separate"/>
      </w:r>
      <w:r>
        <w:t>7</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"_Toc110325027" </w:instrText>
      </w:r>
      <w:r>
        <w:fldChar w:fldCharType="separate"/>
      </w:r>
      <w:r>
        <w:rPr>
          <w:rStyle w:val="29"/>
        </w:rPr>
        <w:t>（七）估价原则</w:t>
      </w:r>
      <w:r>
        <w:tab/>
      </w:r>
      <w:r>
        <w:fldChar w:fldCharType="begin"/>
      </w:r>
      <w:r>
        <w:instrText xml:space="preserve"> PAGEREF _Toc110325027 \h </w:instrText>
      </w:r>
      <w:r>
        <w:fldChar w:fldCharType="separate"/>
      </w:r>
      <w:r>
        <w:t>7</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"_Toc110325028" </w:instrText>
      </w:r>
      <w:r>
        <w:fldChar w:fldCharType="separate"/>
      </w:r>
      <w:r>
        <w:rPr>
          <w:rStyle w:val="29"/>
        </w:rPr>
        <w:t>（八）估价依据</w:t>
      </w:r>
      <w:r>
        <w:tab/>
      </w:r>
      <w:r>
        <w:fldChar w:fldCharType="begin"/>
      </w:r>
      <w:r>
        <w:instrText xml:space="preserve"> PAGEREF _Toc110325028 \h </w:instrText>
      </w:r>
      <w:r>
        <w:fldChar w:fldCharType="separate"/>
      </w:r>
      <w:r>
        <w:t>8</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"_Toc110325029" </w:instrText>
      </w:r>
      <w:r>
        <w:fldChar w:fldCharType="separate"/>
      </w:r>
      <w:r>
        <w:rPr>
          <w:rStyle w:val="29"/>
        </w:rPr>
        <w:t>（九）估价方法</w:t>
      </w:r>
      <w:r>
        <w:tab/>
      </w:r>
      <w:r>
        <w:fldChar w:fldCharType="begin"/>
      </w:r>
      <w:r>
        <w:instrText xml:space="preserve"> PAGEREF _Toc110325029 \h </w:instrText>
      </w:r>
      <w:r>
        <w:fldChar w:fldCharType="separate"/>
      </w:r>
      <w:r>
        <w:t>9</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"_Toc110325030" </w:instrText>
      </w:r>
      <w:r>
        <w:fldChar w:fldCharType="separate"/>
      </w:r>
      <w:r>
        <w:rPr>
          <w:rStyle w:val="29"/>
        </w:rPr>
        <w:t>（十）估价结果</w:t>
      </w:r>
      <w:r>
        <w:tab/>
      </w:r>
      <w:r>
        <w:fldChar w:fldCharType="begin"/>
      </w:r>
      <w:r>
        <w:instrText xml:space="preserve"> PAGEREF _Toc110325030 \h </w:instrText>
      </w:r>
      <w:r>
        <w:fldChar w:fldCharType="separate"/>
      </w:r>
      <w:r>
        <w:t>11</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"_Toc110325031" </w:instrText>
      </w:r>
      <w:r>
        <w:fldChar w:fldCharType="separate"/>
      </w:r>
      <w:r>
        <w:rPr>
          <w:rStyle w:val="29"/>
        </w:rPr>
        <w:t>（十一）注册房地产估价师</w:t>
      </w:r>
      <w:r>
        <w:tab/>
      </w:r>
      <w:r>
        <w:fldChar w:fldCharType="begin"/>
      </w:r>
      <w:r>
        <w:instrText xml:space="preserve"> PAGEREF _Toc110325031 \h </w:instrText>
      </w:r>
      <w:r>
        <w:fldChar w:fldCharType="separate"/>
      </w:r>
      <w:r>
        <w:t>11</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"_Toc110325032" </w:instrText>
      </w:r>
      <w:r>
        <w:fldChar w:fldCharType="separate"/>
      </w:r>
      <w:r>
        <w:rPr>
          <w:rStyle w:val="29"/>
        </w:rPr>
        <w:t>（十二）实地查勘期</w:t>
      </w:r>
      <w:r>
        <w:tab/>
      </w:r>
      <w:r>
        <w:fldChar w:fldCharType="begin"/>
      </w:r>
      <w:r>
        <w:instrText xml:space="preserve"> PAGEREF _Toc110325032 \h </w:instrText>
      </w:r>
      <w:r>
        <w:fldChar w:fldCharType="separate"/>
      </w:r>
      <w:r>
        <w:t>11</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"_Toc110325033" </w:instrText>
      </w:r>
      <w:r>
        <w:fldChar w:fldCharType="separate"/>
      </w:r>
      <w:r>
        <w:rPr>
          <w:rStyle w:val="29"/>
        </w:rPr>
        <w:t>（十三）估价作业日期</w:t>
      </w:r>
      <w:r>
        <w:tab/>
      </w:r>
      <w:r>
        <w:fldChar w:fldCharType="begin"/>
      </w:r>
      <w:r>
        <w:instrText xml:space="preserve"> PAGEREF _Toc110325033 \h </w:instrText>
      </w:r>
      <w:r>
        <w:fldChar w:fldCharType="separate"/>
      </w:r>
      <w:r>
        <w:t>12</w:t>
      </w:r>
      <w:r>
        <w:fldChar w:fldCharType="end"/>
      </w:r>
      <w:r>
        <w:fldChar w:fldCharType="end"/>
      </w:r>
    </w:p>
    <w:p>
      <w:pPr>
        <w:pStyle w:val="18"/>
        <w:tabs>
          <w:tab w:val="right" w:leader="dot" w:pos="9061"/>
        </w:tabs>
        <w:rPr>
          <w:rFonts w:eastAsiaTheme="minorEastAsia" w:cstheme="minorBidi"/>
          <w:b w:val="0"/>
          <w:bCs w:val="0"/>
          <w:caps w:val="0"/>
          <w:kern w:val="2"/>
          <w:sz w:val="21"/>
          <w:szCs w:val="22"/>
        </w:rPr>
      </w:pPr>
      <w:r>
        <w:fldChar w:fldCharType="begin"/>
      </w:r>
      <w:r>
        <w:instrText xml:space="preserve"> HYPERLINK \l "_Toc110325034" </w:instrText>
      </w:r>
      <w:r>
        <w:fldChar w:fldCharType="separate"/>
      </w:r>
      <w:r>
        <w:rPr>
          <w:rStyle w:val="29"/>
        </w:rPr>
        <w:t>四、附   件</w:t>
      </w:r>
      <w:r>
        <w:tab/>
      </w:r>
      <w:r>
        <w:fldChar w:fldCharType="begin"/>
      </w:r>
      <w:r>
        <w:instrText xml:space="preserve"> PAGEREF _Toc110325034 \h </w:instrText>
      </w:r>
      <w:r>
        <w:fldChar w:fldCharType="separate"/>
      </w:r>
      <w:r>
        <w:t>13</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"_Toc110325035" </w:instrText>
      </w:r>
      <w:r>
        <w:fldChar w:fldCharType="separate"/>
      </w:r>
      <w:r>
        <w:rPr>
          <w:rStyle w:val="29"/>
          <w:rFonts w:ascii="宋体" w:hAnsi="宋体" w:cs="仿宋_GB2312"/>
        </w:rPr>
        <w:t>(一)委托书</w:t>
      </w:r>
      <w:r>
        <w:tab/>
      </w:r>
      <w:r>
        <w:fldChar w:fldCharType="begin"/>
      </w:r>
      <w:r>
        <w:instrText xml:space="preserve"> PAGEREF _Toc110325035 \h </w:instrText>
      </w:r>
      <w:r>
        <w:fldChar w:fldCharType="separate"/>
      </w:r>
      <w:r>
        <w:t>13</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"_Toc110325036" </w:instrText>
      </w:r>
      <w:r>
        <w:fldChar w:fldCharType="separate"/>
      </w:r>
      <w:r>
        <w:rPr>
          <w:rStyle w:val="29"/>
          <w:rFonts w:ascii="宋体" w:hAnsi="宋体" w:cs="仿宋_GB2312"/>
        </w:rPr>
        <w:t>(二)</w:t>
      </w:r>
      <w:r>
        <w:rPr>
          <w:rStyle w:val="29"/>
          <w:rFonts w:ascii="宋体" w:hAnsi="宋体" w:cs="宋体"/>
        </w:rPr>
        <w:t>《房地产权证》复印件</w:t>
      </w:r>
      <w:r>
        <w:tab/>
      </w:r>
      <w:r>
        <w:fldChar w:fldCharType="begin"/>
      </w:r>
      <w:r>
        <w:instrText xml:space="preserve"> PAGEREF _Toc110325036 \h </w:instrText>
      </w:r>
      <w:r>
        <w:fldChar w:fldCharType="separate"/>
      </w:r>
      <w:r>
        <w:t>13</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"_Toc110325037" </w:instrText>
      </w:r>
      <w:r>
        <w:fldChar w:fldCharType="separate"/>
      </w:r>
      <w:r>
        <w:rPr>
          <w:rStyle w:val="29"/>
          <w:rFonts w:ascii="宋体" w:hAnsi="宋体" w:cs="仿宋_GB2312"/>
        </w:rPr>
        <w:t>(三)估价对象位置图</w:t>
      </w:r>
      <w:r>
        <w:tab/>
      </w:r>
      <w:r>
        <w:fldChar w:fldCharType="begin"/>
      </w:r>
      <w:r>
        <w:instrText xml:space="preserve"> PAGEREF _Toc110325037 \h </w:instrText>
      </w:r>
      <w:r>
        <w:fldChar w:fldCharType="separate"/>
      </w:r>
      <w:r>
        <w:t>13</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"_Toc110325038" </w:instrText>
      </w:r>
      <w:r>
        <w:fldChar w:fldCharType="separate"/>
      </w:r>
      <w:r>
        <w:rPr>
          <w:rStyle w:val="29"/>
          <w:rFonts w:ascii="宋体" w:hAnsi="宋体" w:cs="仿宋_GB2312"/>
        </w:rPr>
        <w:t>(四)估价对象内外部状况照片</w:t>
      </w:r>
      <w:r>
        <w:tab/>
      </w:r>
      <w:r>
        <w:fldChar w:fldCharType="begin"/>
      </w:r>
      <w:r>
        <w:instrText xml:space="preserve"> PAGEREF _Toc110325038 \h </w:instrText>
      </w:r>
      <w:r>
        <w:fldChar w:fldCharType="separate"/>
      </w:r>
      <w:r>
        <w:t>13</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"_Toc110325039" </w:instrText>
      </w:r>
      <w:r>
        <w:fldChar w:fldCharType="separate"/>
      </w:r>
      <w:r>
        <w:rPr>
          <w:rStyle w:val="29"/>
          <w:rFonts w:ascii="宋体" w:hAnsi="宋体" w:cs="仿宋_GB2312"/>
        </w:rPr>
        <w:t>(五</w:t>
      </w:r>
      <w:r>
        <w:rPr>
          <w:rStyle w:val="29"/>
          <w:rFonts w:ascii="宋体" w:hAnsi="宋体" w:cs="宋体"/>
        </w:rPr>
        <w:t>)房地产估价机构营业执照复印件</w:t>
      </w:r>
      <w:r>
        <w:tab/>
      </w:r>
      <w:r>
        <w:fldChar w:fldCharType="begin"/>
      </w:r>
      <w:r>
        <w:instrText xml:space="preserve"> PAGEREF _Toc110325039 \h </w:instrText>
      </w:r>
      <w:r>
        <w:fldChar w:fldCharType="separate"/>
      </w:r>
      <w:r>
        <w:t>13</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"_Toc110325040" </w:instrText>
      </w:r>
      <w:r>
        <w:fldChar w:fldCharType="separate"/>
      </w:r>
      <w:r>
        <w:rPr>
          <w:rStyle w:val="29"/>
          <w:rFonts w:ascii="宋体" w:hAnsi="宋体" w:cs="宋体"/>
        </w:rPr>
        <w:t>(六)房地产估价机构资质证书复印件</w:t>
      </w:r>
      <w:r>
        <w:tab/>
      </w:r>
      <w:r>
        <w:fldChar w:fldCharType="begin"/>
      </w:r>
      <w:r>
        <w:instrText xml:space="preserve"> PAGEREF _Toc110325040 \h </w:instrText>
      </w:r>
      <w:r>
        <w:fldChar w:fldCharType="separate"/>
      </w:r>
      <w:r>
        <w:t>13</w:t>
      </w:r>
      <w:r>
        <w:fldChar w:fldCharType="end"/>
      </w:r>
      <w:r>
        <w:fldChar w:fldCharType="end"/>
      </w:r>
    </w:p>
    <w:p>
      <w:pPr>
        <w:pStyle w:val="21"/>
        <w:tabs>
          <w:tab w:val="right" w:leader="dot" w:pos="9061"/>
        </w:tabs>
        <w:rPr>
          <w:rFonts w:eastAsiaTheme="minorEastAsia" w:cstheme="minorBidi"/>
          <w:smallCaps w:val="0"/>
          <w:kern w:val="2"/>
          <w:sz w:val="21"/>
          <w:szCs w:val="22"/>
        </w:rPr>
      </w:pPr>
      <w:r>
        <w:fldChar w:fldCharType="begin"/>
      </w:r>
      <w:r>
        <w:instrText xml:space="preserve"> HYPERLINK \l "_Toc110325041" </w:instrText>
      </w:r>
      <w:r>
        <w:fldChar w:fldCharType="separate"/>
      </w:r>
      <w:r>
        <w:rPr>
          <w:rStyle w:val="29"/>
          <w:rFonts w:ascii="宋体" w:hAnsi="宋体" w:cs="宋体"/>
        </w:rPr>
        <w:t>(七)注册房地产估价师注册证书复印件</w:t>
      </w:r>
      <w:r>
        <w:tab/>
      </w:r>
      <w:r>
        <w:fldChar w:fldCharType="begin"/>
      </w:r>
      <w:r>
        <w:instrText xml:space="preserve"> PAGEREF _Toc110325041 \h </w:instrText>
      </w:r>
      <w:r>
        <w:fldChar w:fldCharType="separate"/>
      </w:r>
      <w:r>
        <w:t>13</w:t>
      </w:r>
      <w:r>
        <w:fldChar w:fldCharType="end"/>
      </w:r>
      <w:r>
        <w:fldChar w:fldCharType="end"/>
      </w:r>
    </w:p>
    <w:p>
      <w:pPr>
        <w:spacing w:before="93" w:beforeLines="30" w:after="93" w:afterLines="30" w:line="300" w:lineRule="atLeast"/>
        <w:rPr>
          <w:rFonts w:asciiTheme="minorEastAsia" w:hAnsiTheme="minorEastAsia" w:eastAsiaTheme="minorEastAsia"/>
          <w:color w:val="000000" w:themeColor="text1"/>
          <w:szCs w:val="21"/>
        </w:rPr>
        <w:sectPr>
          <w:pgSz w:w="11906" w:h="16838"/>
          <w:pgMar w:top="1134" w:right="1134" w:bottom="1134" w:left="1134" w:header="794" w:footer="907" w:gutter="567"/>
          <w:pgNumType w:start="1"/>
          <w:cols w:space="425" w:num="1"/>
          <w:docGrid w:type="lines" w:linePitch="312" w:charSpace="0"/>
        </w:sectPr>
      </w:pPr>
      <w:r>
        <w:rPr>
          <w:rFonts w:asciiTheme="minorEastAsia" w:hAnsiTheme="minorEastAsia" w:eastAsiaTheme="minorEastAsia"/>
          <w:b/>
          <w:bCs/>
          <w:caps/>
          <w:color w:val="000000" w:themeColor="text1"/>
          <w:sz w:val="24"/>
          <w:szCs w:val="24"/>
        </w:rPr>
        <w:fldChar w:fldCharType="end"/>
      </w:r>
    </w:p>
    <w:p>
      <w:pPr>
        <w:pStyle w:val="2"/>
        <w:wordWrap w:val="0"/>
        <w:spacing w:before="292"/>
        <w:rPr>
          <w:color w:val="000000" w:themeColor="text1"/>
        </w:rPr>
      </w:pPr>
      <w:bookmarkStart w:id="0" w:name="_Toc485393183"/>
      <w:bookmarkStart w:id="1" w:name="_Toc480967869"/>
      <w:bookmarkStart w:id="2" w:name="_Toc110325016"/>
      <w:r>
        <w:rPr>
          <w:color w:val="000000" w:themeColor="text1"/>
        </w:rPr>
        <w:t>一、估价师声明</w:t>
      </w:r>
      <w:bookmarkEnd w:id="0"/>
      <w:bookmarkEnd w:id="1"/>
      <w:bookmarkEnd w:id="2"/>
    </w:p>
    <w:p>
      <w:pPr>
        <w:widowControl/>
        <w:wordWrap w:val="0"/>
        <w:adjustRightInd/>
        <w:spacing w:line="440" w:lineRule="exact"/>
        <w:ind w:firstLine="480" w:firstLineChars="200"/>
        <w:jc w:val="left"/>
        <w:textAlignment w:val="auto"/>
        <w:rPr>
          <w:rFonts w:asciiTheme="minorEastAsia" w:hAnsiTheme="minorEastAsia" w:eastAsiaTheme="minorEastAsia"/>
          <w:color w:val="000000" w:themeColor="text1"/>
          <w:sz w:val="24"/>
          <w:szCs w:val="28"/>
        </w:rPr>
      </w:pPr>
      <w:r>
        <w:rPr>
          <w:rFonts w:cs="Arial" w:asciiTheme="minorEastAsia" w:hAnsiTheme="minorEastAsia"/>
          <w:color w:val="000000" w:themeColor="text1"/>
          <w:sz w:val="24"/>
          <w:szCs w:val="28"/>
        </w:rPr>
        <w:t>我们郑重声明：</w:t>
      </w:r>
    </w:p>
    <w:p>
      <w:pPr>
        <w:widowControl/>
        <w:wordWrap w:val="0"/>
        <w:adjustRightInd/>
        <w:spacing w:line="440" w:lineRule="exact"/>
        <w:ind w:firstLine="480" w:firstLineChars="200"/>
        <w:jc w:val="left"/>
        <w:textAlignment w:val="auto"/>
        <w:rPr>
          <w:rFonts w:asciiTheme="minorEastAsia" w:hAnsiTheme="minorEastAsia" w:eastAsiaTheme="minorEastAsia"/>
          <w:color w:val="000000" w:themeColor="text1"/>
          <w:sz w:val="24"/>
          <w:szCs w:val="28"/>
        </w:rPr>
      </w:pPr>
      <w:r>
        <w:rPr>
          <w:rFonts w:cs="Arial" w:asciiTheme="minorEastAsia" w:hAnsiTheme="minorEastAsia"/>
          <w:color w:val="000000" w:themeColor="text1"/>
          <w:sz w:val="24"/>
          <w:szCs w:val="28"/>
        </w:rPr>
        <w:t>(一)我们在本估价报告中对事实的说明是真实和准确的,没有虚假记载、误导性陈述和重大遗漏。</w:t>
      </w:r>
    </w:p>
    <w:p>
      <w:pPr>
        <w:widowControl/>
        <w:wordWrap w:val="0"/>
        <w:adjustRightInd/>
        <w:spacing w:line="440" w:lineRule="exact"/>
        <w:ind w:firstLine="480" w:firstLineChars="200"/>
        <w:jc w:val="left"/>
        <w:textAlignment w:val="auto"/>
        <w:rPr>
          <w:rFonts w:asciiTheme="minorEastAsia" w:hAnsiTheme="minorEastAsia" w:eastAsiaTheme="minorEastAsia"/>
          <w:color w:val="000000" w:themeColor="text1"/>
          <w:sz w:val="24"/>
          <w:szCs w:val="28"/>
        </w:rPr>
      </w:pPr>
      <w:r>
        <w:rPr>
          <w:rFonts w:cs="Arial" w:asciiTheme="minorEastAsia" w:hAnsiTheme="minorEastAsia"/>
          <w:color w:val="000000" w:themeColor="text1"/>
          <w:sz w:val="24"/>
          <w:szCs w:val="28"/>
        </w:rPr>
        <w:t>(二)本估价报告中的分析、意见和结论是我们独立、客观、公正的专业分析、意见和结论，但受到本估价报告中已说明的估价假设和限制条件的限制。</w:t>
      </w:r>
    </w:p>
    <w:p>
      <w:pPr>
        <w:widowControl/>
        <w:wordWrap w:val="0"/>
        <w:adjustRightInd/>
        <w:spacing w:line="440" w:lineRule="exact"/>
        <w:ind w:firstLine="480" w:firstLineChars="200"/>
        <w:jc w:val="left"/>
        <w:textAlignment w:val="auto"/>
        <w:rPr>
          <w:rFonts w:cs="Arial" w:asciiTheme="minorEastAsia" w:hAnsiTheme="minorEastAsia"/>
          <w:color w:val="000000" w:themeColor="text1"/>
          <w:sz w:val="24"/>
          <w:szCs w:val="28"/>
        </w:rPr>
      </w:pPr>
      <w:r>
        <w:rPr>
          <w:rFonts w:cs="Arial" w:asciiTheme="minorEastAsia" w:hAnsiTheme="minorEastAsia"/>
          <w:color w:val="000000" w:themeColor="text1"/>
          <w:sz w:val="24"/>
          <w:szCs w:val="28"/>
        </w:rPr>
        <w:t>(三) 我们与本估价报告中的估价对象没有现实或潜在的利益，与估价委托人及估价利害关系人没有利害关系</w:t>
      </w:r>
      <w:r>
        <w:rPr>
          <w:rFonts w:hint="eastAsia" w:cs="Arial" w:asciiTheme="minorEastAsia" w:hAnsiTheme="minorEastAsia"/>
          <w:color w:val="000000" w:themeColor="text1"/>
          <w:sz w:val="24"/>
          <w:szCs w:val="28"/>
        </w:rPr>
        <w:t>；也对</w:t>
      </w:r>
      <w:r>
        <w:rPr>
          <w:rFonts w:cs="Arial" w:asciiTheme="minorEastAsia" w:hAnsiTheme="minorEastAsia"/>
          <w:color w:val="000000" w:themeColor="text1"/>
          <w:sz w:val="24"/>
          <w:szCs w:val="28"/>
        </w:rPr>
        <w:t>估价对象、估价委托人及估价利害关系人没有偏见</w:t>
      </w:r>
      <w:r>
        <w:rPr>
          <w:rFonts w:hint="eastAsia" w:cs="Arial" w:asciiTheme="minorEastAsia" w:hAnsiTheme="minorEastAsia"/>
          <w:color w:val="000000" w:themeColor="text1"/>
          <w:sz w:val="24"/>
          <w:szCs w:val="28"/>
        </w:rPr>
        <w:t>。</w:t>
      </w:r>
    </w:p>
    <w:p>
      <w:pPr>
        <w:widowControl/>
        <w:wordWrap w:val="0"/>
        <w:adjustRightInd/>
        <w:spacing w:line="440" w:lineRule="exact"/>
        <w:ind w:firstLine="480" w:firstLineChars="200"/>
        <w:jc w:val="left"/>
        <w:textAlignment w:val="auto"/>
        <w:rPr>
          <w:rFonts w:cs="Arial" w:asciiTheme="minorEastAsia" w:hAnsiTheme="minorEastAsia"/>
          <w:color w:val="000000" w:themeColor="text1"/>
          <w:sz w:val="24"/>
          <w:szCs w:val="28"/>
        </w:rPr>
      </w:pPr>
      <w:r>
        <w:rPr>
          <w:rFonts w:cs="Arial" w:asciiTheme="minorEastAsia" w:hAnsiTheme="minorEastAsia"/>
          <w:color w:val="000000" w:themeColor="text1"/>
          <w:sz w:val="24"/>
          <w:szCs w:val="28"/>
        </w:rPr>
        <w:t>(</w:t>
      </w:r>
      <w:r>
        <w:rPr>
          <w:rFonts w:hint="eastAsia" w:cs="Arial" w:asciiTheme="minorEastAsia" w:hAnsiTheme="minorEastAsia"/>
          <w:color w:val="000000" w:themeColor="text1"/>
          <w:sz w:val="24"/>
          <w:szCs w:val="28"/>
        </w:rPr>
        <w:t>四</w:t>
      </w:r>
      <w:r>
        <w:rPr>
          <w:rFonts w:cs="Arial" w:asciiTheme="minorEastAsia" w:hAnsiTheme="minorEastAsia"/>
          <w:color w:val="000000" w:themeColor="text1"/>
          <w:sz w:val="24"/>
          <w:szCs w:val="28"/>
        </w:rPr>
        <w:t>)我们依照中华人民共和国国家标准</w:t>
      </w:r>
      <w:r>
        <w:rPr>
          <w:rFonts w:hint="eastAsia" w:cs="Arial" w:asciiTheme="minorEastAsia" w:hAnsiTheme="minorEastAsia"/>
          <w:color w:val="000000" w:themeColor="text1"/>
          <w:sz w:val="24"/>
          <w:szCs w:val="28"/>
        </w:rPr>
        <w:t>GB/T 50291—2015</w:t>
      </w:r>
      <w:r>
        <w:rPr>
          <w:rFonts w:cs="Arial" w:asciiTheme="minorEastAsia" w:hAnsiTheme="minorEastAsia"/>
          <w:color w:val="000000" w:themeColor="text1"/>
          <w:sz w:val="24"/>
          <w:szCs w:val="28"/>
        </w:rPr>
        <w:t>《房地产估价规范》、</w:t>
      </w:r>
      <w:r>
        <w:rPr>
          <w:rFonts w:hint="eastAsia" w:cs="Arial" w:asciiTheme="minorEastAsia" w:hAnsiTheme="minorEastAsia"/>
          <w:color w:val="000000" w:themeColor="text1"/>
          <w:sz w:val="24"/>
          <w:szCs w:val="28"/>
        </w:rPr>
        <w:t>GB/T 50899-2013</w:t>
      </w:r>
      <w:r>
        <w:rPr>
          <w:rFonts w:cs="Arial" w:asciiTheme="minorEastAsia" w:hAnsiTheme="minorEastAsia"/>
          <w:color w:val="000000" w:themeColor="text1"/>
          <w:sz w:val="24"/>
          <w:szCs w:val="28"/>
        </w:rPr>
        <w:t>《房地产估价基本术语标准》</w:t>
      </w:r>
      <w:r>
        <w:rPr>
          <w:rFonts w:hint="eastAsia" w:cs="Arial" w:asciiTheme="minorEastAsia" w:hAnsiTheme="minorEastAsia"/>
          <w:color w:val="000000" w:themeColor="text1"/>
          <w:sz w:val="24"/>
          <w:szCs w:val="28"/>
        </w:rPr>
        <w:t>进行分析，形成意见和结论，撰写本估价报告。</w:t>
      </w:r>
    </w:p>
    <w:p>
      <w:pPr>
        <w:widowControl/>
        <w:wordWrap w:val="0"/>
        <w:adjustRightInd/>
        <w:spacing w:line="440" w:lineRule="exact"/>
        <w:ind w:firstLine="480" w:firstLineChars="200"/>
        <w:jc w:val="left"/>
        <w:textAlignment w:val="auto"/>
        <w:rPr>
          <w:rFonts w:cs="Arial" w:asciiTheme="minorEastAsia" w:hAnsiTheme="minorEastAsia"/>
          <w:color w:val="000000" w:themeColor="text1"/>
          <w:sz w:val="24"/>
          <w:szCs w:val="28"/>
        </w:rPr>
      </w:pPr>
      <w:r>
        <w:rPr>
          <w:rFonts w:cs="Arial" w:asciiTheme="minorEastAsia" w:hAnsiTheme="minorEastAsia"/>
          <w:color w:val="000000" w:themeColor="text1"/>
          <w:sz w:val="24"/>
          <w:szCs w:val="28"/>
        </w:rPr>
        <w:t>(</w:t>
      </w:r>
      <w:r>
        <w:rPr>
          <w:rFonts w:hint="eastAsia" w:cs="Arial" w:asciiTheme="minorEastAsia" w:hAnsiTheme="minorEastAsia"/>
          <w:color w:val="000000" w:themeColor="text1"/>
          <w:sz w:val="24"/>
          <w:szCs w:val="28"/>
        </w:rPr>
        <w:t>五</w:t>
      </w:r>
      <w:r>
        <w:rPr>
          <w:rFonts w:cs="Arial" w:asciiTheme="minorEastAsia" w:hAnsiTheme="minorEastAsia"/>
          <w:color w:val="000000" w:themeColor="text1"/>
          <w:sz w:val="24"/>
          <w:szCs w:val="28"/>
        </w:rPr>
        <w:t>)</w:t>
      </w:r>
      <w:r>
        <w:rPr>
          <w:rFonts w:hint="eastAsia" w:cs="Arial" w:asciiTheme="minorEastAsia" w:hAnsiTheme="minorEastAsia"/>
          <w:color w:val="000000" w:themeColor="text1"/>
          <w:sz w:val="24"/>
          <w:szCs w:val="28"/>
        </w:rPr>
        <w:t>注册房地产估价师张娅</w:t>
      </w:r>
      <w:r>
        <w:rPr>
          <w:rFonts w:cs="Arial" w:asciiTheme="minorEastAsia" w:hAnsiTheme="minorEastAsia"/>
          <w:color w:val="000000" w:themeColor="text1"/>
          <w:sz w:val="24"/>
          <w:szCs w:val="28"/>
        </w:rPr>
        <w:t>对估价对象进行了实地查勘，</w:t>
      </w:r>
      <w:r>
        <w:rPr>
          <w:rFonts w:hint="eastAsia" w:cs="Arial" w:asciiTheme="minorEastAsia" w:hAnsiTheme="minorEastAsia"/>
          <w:color w:val="000000" w:themeColor="text1"/>
          <w:sz w:val="24"/>
          <w:szCs w:val="28"/>
        </w:rPr>
        <w:t>并做了实地勘查记录，拍摄了反映房地产外观及室内的影像资料，并对勘察的客观性、真实性、公正性负责，但我们对估价对象的现场查看仅限于其区位、外观等，对其</w:t>
      </w:r>
      <w:r>
        <w:rPr>
          <w:rFonts w:cs="Arial" w:asciiTheme="minorEastAsia" w:hAnsiTheme="minorEastAsia"/>
          <w:color w:val="000000" w:themeColor="text1"/>
          <w:sz w:val="24"/>
          <w:szCs w:val="28"/>
        </w:rPr>
        <w:t>建筑结构、</w:t>
      </w:r>
      <w:r>
        <w:rPr>
          <w:rFonts w:hint="eastAsia" w:cs="Arial" w:asciiTheme="minorEastAsia" w:hAnsiTheme="minorEastAsia"/>
          <w:color w:val="000000" w:themeColor="text1"/>
          <w:sz w:val="24"/>
          <w:szCs w:val="28"/>
        </w:rPr>
        <w:t>建筑</w:t>
      </w:r>
      <w:r>
        <w:rPr>
          <w:rFonts w:cs="Arial" w:asciiTheme="minorEastAsia" w:hAnsiTheme="minorEastAsia"/>
          <w:color w:val="000000" w:themeColor="text1"/>
          <w:sz w:val="24"/>
          <w:szCs w:val="28"/>
        </w:rPr>
        <w:t>质量</w:t>
      </w:r>
      <w:r>
        <w:rPr>
          <w:rFonts w:hint="eastAsia" w:cs="Arial" w:asciiTheme="minorEastAsia" w:hAnsiTheme="minorEastAsia"/>
          <w:color w:val="000000" w:themeColor="text1"/>
          <w:sz w:val="24"/>
          <w:szCs w:val="28"/>
        </w:rPr>
        <w:t>、</w:t>
      </w:r>
      <w:r>
        <w:rPr>
          <w:rFonts w:cs="Arial" w:asciiTheme="minorEastAsia" w:hAnsiTheme="minorEastAsia"/>
          <w:color w:val="000000" w:themeColor="text1"/>
          <w:sz w:val="24"/>
          <w:szCs w:val="28"/>
        </w:rPr>
        <w:t>其他被遮盖</w:t>
      </w:r>
      <w:r>
        <w:rPr>
          <w:rFonts w:hint="eastAsia" w:cs="Arial" w:asciiTheme="minorEastAsia" w:hAnsiTheme="minorEastAsia"/>
          <w:color w:val="000000" w:themeColor="text1"/>
          <w:sz w:val="24"/>
          <w:szCs w:val="28"/>
        </w:rPr>
        <w:t>和</w:t>
      </w:r>
      <w:r>
        <w:rPr>
          <w:rFonts w:cs="Arial" w:asciiTheme="minorEastAsia" w:hAnsiTheme="minorEastAsia"/>
          <w:color w:val="000000" w:themeColor="text1"/>
          <w:sz w:val="24"/>
          <w:szCs w:val="28"/>
        </w:rPr>
        <w:t>难于接触到部分</w:t>
      </w:r>
      <w:r>
        <w:rPr>
          <w:rFonts w:hint="eastAsia" w:cs="Arial" w:asciiTheme="minorEastAsia" w:hAnsiTheme="minorEastAsia"/>
          <w:color w:val="000000" w:themeColor="text1"/>
          <w:sz w:val="24"/>
          <w:szCs w:val="28"/>
        </w:rPr>
        <w:t>等未作查验。我们</w:t>
      </w:r>
      <w:r>
        <w:rPr>
          <w:rFonts w:cs="Arial" w:asciiTheme="minorEastAsia" w:hAnsiTheme="minorEastAsia"/>
          <w:color w:val="000000" w:themeColor="text1"/>
          <w:sz w:val="24"/>
          <w:szCs w:val="28"/>
        </w:rPr>
        <w:t>不承担对估价对象建筑结构、</w:t>
      </w:r>
      <w:r>
        <w:rPr>
          <w:rFonts w:hint="eastAsia" w:cs="Arial" w:asciiTheme="minorEastAsia" w:hAnsiTheme="minorEastAsia"/>
          <w:color w:val="000000" w:themeColor="text1"/>
          <w:sz w:val="24"/>
          <w:szCs w:val="28"/>
        </w:rPr>
        <w:t>建筑</w:t>
      </w:r>
      <w:r>
        <w:rPr>
          <w:rFonts w:cs="Arial" w:asciiTheme="minorEastAsia" w:hAnsiTheme="minorEastAsia"/>
          <w:color w:val="000000" w:themeColor="text1"/>
          <w:sz w:val="24"/>
          <w:szCs w:val="28"/>
        </w:rPr>
        <w:t>质量</w:t>
      </w:r>
      <w:r>
        <w:rPr>
          <w:rFonts w:hint="eastAsia" w:cs="Arial" w:asciiTheme="minorEastAsia" w:hAnsiTheme="minorEastAsia"/>
          <w:color w:val="000000" w:themeColor="text1"/>
          <w:sz w:val="24"/>
          <w:szCs w:val="28"/>
        </w:rPr>
        <w:t>、</w:t>
      </w:r>
      <w:r>
        <w:rPr>
          <w:rFonts w:cs="Arial" w:asciiTheme="minorEastAsia" w:hAnsiTheme="minorEastAsia"/>
          <w:color w:val="000000" w:themeColor="text1"/>
          <w:sz w:val="24"/>
          <w:szCs w:val="28"/>
        </w:rPr>
        <w:t>其他被遮盖</w:t>
      </w:r>
      <w:r>
        <w:rPr>
          <w:rFonts w:hint="eastAsia" w:cs="Arial" w:asciiTheme="minorEastAsia" w:hAnsiTheme="minorEastAsia"/>
          <w:color w:val="000000" w:themeColor="text1"/>
          <w:sz w:val="24"/>
          <w:szCs w:val="28"/>
        </w:rPr>
        <w:t>和</w:t>
      </w:r>
      <w:r>
        <w:rPr>
          <w:rFonts w:cs="Arial" w:asciiTheme="minorEastAsia" w:hAnsiTheme="minorEastAsia"/>
          <w:color w:val="000000" w:themeColor="text1"/>
          <w:sz w:val="24"/>
          <w:szCs w:val="28"/>
        </w:rPr>
        <w:t>难于接触到部分</w:t>
      </w:r>
      <w:r>
        <w:rPr>
          <w:rFonts w:hint="eastAsia" w:cs="Arial" w:asciiTheme="minorEastAsia" w:hAnsiTheme="minorEastAsia"/>
          <w:color w:val="000000" w:themeColor="text1"/>
          <w:sz w:val="24"/>
          <w:szCs w:val="28"/>
        </w:rPr>
        <w:t>等</w:t>
      </w:r>
      <w:r>
        <w:rPr>
          <w:rFonts w:cs="Arial" w:asciiTheme="minorEastAsia" w:hAnsiTheme="minorEastAsia"/>
          <w:color w:val="000000" w:themeColor="text1"/>
          <w:sz w:val="24"/>
          <w:szCs w:val="28"/>
        </w:rPr>
        <w:t>进行</w:t>
      </w:r>
      <w:r>
        <w:rPr>
          <w:rFonts w:hint="eastAsia" w:cs="Arial" w:asciiTheme="minorEastAsia" w:hAnsiTheme="minorEastAsia"/>
          <w:color w:val="000000" w:themeColor="text1"/>
          <w:sz w:val="24"/>
          <w:szCs w:val="28"/>
        </w:rPr>
        <w:t>调查</w:t>
      </w:r>
      <w:r>
        <w:rPr>
          <w:rFonts w:cs="Arial" w:asciiTheme="minorEastAsia" w:hAnsiTheme="minorEastAsia"/>
          <w:color w:val="000000" w:themeColor="text1"/>
          <w:sz w:val="24"/>
          <w:szCs w:val="28"/>
        </w:rPr>
        <w:t>的责任。</w:t>
      </w:r>
    </w:p>
    <w:p>
      <w:pPr>
        <w:widowControl/>
        <w:wordWrap w:val="0"/>
        <w:adjustRightInd/>
        <w:spacing w:line="440" w:lineRule="exact"/>
        <w:ind w:firstLine="480" w:firstLineChars="200"/>
        <w:jc w:val="left"/>
        <w:textAlignment w:val="auto"/>
        <w:rPr>
          <w:rFonts w:cs="Arial" w:asciiTheme="minorEastAsia" w:hAnsiTheme="minorEastAsia"/>
          <w:color w:val="000000" w:themeColor="text1"/>
          <w:sz w:val="24"/>
          <w:szCs w:val="28"/>
        </w:rPr>
      </w:pPr>
      <w:r>
        <w:rPr>
          <w:rFonts w:cs="Arial" w:asciiTheme="minorEastAsia" w:hAnsiTheme="minorEastAsia"/>
          <w:color w:val="000000" w:themeColor="text1"/>
          <w:sz w:val="24"/>
          <w:szCs w:val="28"/>
        </w:rPr>
        <w:t>(</w:t>
      </w:r>
      <w:r>
        <w:rPr>
          <w:rFonts w:hint="eastAsia" w:cs="Arial" w:asciiTheme="minorEastAsia" w:hAnsiTheme="minorEastAsia"/>
          <w:color w:val="000000" w:themeColor="text1"/>
          <w:sz w:val="24"/>
          <w:szCs w:val="28"/>
        </w:rPr>
        <w:t>六</w:t>
      </w:r>
      <w:r>
        <w:rPr>
          <w:rFonts w:cs="Arial" w:asciiTheme="minorEastAsia" w:hAnsiTheme="minorEastAsia"/>
          <w:color w:val="000000" w:themeColor="text1"/>
          <w:sz w:val="24"/>
          <w:szCs w:val="28"/>
        </w:rPr>
        <w:t>)</w:t>
      </w:r>
      <w:r>
        <w:rPr>
          <w:rFonts w:hint="eastAsia" w:cs="Arial" w:asciiTheme="minorEastAsia" w:hAnsiTheme="minorEastAsia"/>
          <w:color w:val="000000" w:themeColor="text1"/>
          <w:sz w:val="24"/>
          <w:szCs w:val="28"/>
        </w:rPr>
        <w:t>本次评估由估价师独立完成，</w:t>
      </w:r>
      <w:r>
        <w:rPr>
          <w:rFonts w:cs="Arial" w:asciiTheme="minorEastAsia" w:hAnsiTheme="minorEastAsia"/>
          <w:color w:val="000000" w:themeColor="text1"/>
          <w:sz w:val="24"/>
          <w:szCs w:val="28"/>
        </w:rPr>
        <w:t>没有其他行业的专业人士对本估价报告提供重要专业帮助。</w:t>
      </w:r>
    </w:p>
    <w:p>
      <w:pPr>
        <w:wordWrap w:val="0"/>
        <w:snapToGrid w:val="0"/>
        <w:spacing w:line="440" w:lineRule="exact"/>
        <w:ind w:firstLine="480" w:firstLineChars="200"/>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七</w:t>
      </w:r>
      <w:r>
        <w:rPr>
          <w:rFonts w:asciiTheme="minorEastAsia" w:hAnsiTheme="minorEastAsia"/>
          <w:sz w:val="24"/>
          <w:szCs w:val="24"/>
        </w:rPr>
        <w:t>)</w:t>
      </w:r>
      <w:r>
        <w:rPr>
          <w:rFonts w:hint="eastAsia" w:ascii="宋体" w:hAnsi="宋体"/>
          <w:sz w:val="24"/>
          <w:szCs w:val="24"/>
        </w:rPr>
        <w:t>本估价报告由安徽财苑房地产土地评估咨询有限公司负责解释。</w:t>
      </w:r>
    </w:p>
    <w:p>
      <w:pPr>
        <w:wordWrap w:val="0"/>
        <w:snapToGrid w:val="0"/>
        <w:spacing w:line="440" w:lineRule="exact"/>
        <w:ind w:firstLine="480" w:firstLineChars="200"/>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八</w:t>
      </w:r>
      <w:r>
        <w:rPr>
          <w:rFonts w:asciiTheme="minorEastAsia" w:hAnsiTheme="minorEastAsia"/>
          <w:sz w:val="24"/>
          <w:szCs w:val="24"/>
        </w:rPr>
        <w:t>)</w:t>
      </w:r>
      <w:r>
        <w:rPr>
          <w:rFonts w:hint="eastAsia" w:ascii="宋体" w:hAnsi="宋体"/>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pPr>
        <w:wordWrap w:val="0"/>
        <w:snapToGrid w:val="0"/>
        <w:spacing w:line="440" w:lineRule="exact"/>
        <w:ind w:firstLine="480" w:firstLineChars="200"/>
        <w:rPr>
          <w:rFonts w:asciiTheme="minorEastAsia" w:hAnsiTheme="minorEastAsia" w:eastAsiaTheme="minorEastAsia"/>
          <w:color w:val="000000" w:themeColor="text1"/>
          <w:sz w:val="24"/>
          <w:szCs w:val="28"/>
        </w:rPr>
      </w:pPr>
      <w:r>
        <w:rPr>
          <w:rFonts w:hint="eastAsia" w:asciiTheme="minorEastAsia" w:hAnsiTheme="minorEastAsia"/>
          <w:sz w:val="24"/>
          <w:szCs w:val="24"/>
        </w:rPr>
        <w:t>(九)</w:t>
      </w:r>
      <w:r>
        <w:rPr>
          <w:rFonts w:hint="eastAsia" w:ascii="宋体" w:hAnsi="宋体"/>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Style w:val="2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377"/>
        <w:gridCol w:w="2377"/>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67" w:type="dxa"/>
            <w:vAlign w:val="center"/>
          </w:tcPr>
          <w:p>
            <w:pPr>
              <w:jc w:val="center"/>
              <w:rPr>
                <w:b/>
              </w:rPr>
            </w:pPr>
            <w:r>
              <w:rPr>
                <w:rFonts w:hint="eastAsia" w:asciiTheme="minorEastAsia" w:hAnsiTheme="minorEastAsia" w:eastAsiaTheme="minorEastAsia"/>
                <w:b/>
              </w:rPr>
              <w:t>姓   名</w:t>
            </w:r>
          </w:p>
        </w:tc>
        <w:tc>
          <w:tcPr>
            <w:tcW w:w="2377" w:type="dxa"/>
            <w:vAlign w:val="center"/>
          </w:tcPr>
          <w:p>
            <w:pPr>
              <w:jc w:val="center"/>
              <w:rPr>
                <w:b/>
              </w:rPr>
            </w:pPr>
            <w:r>
              <w:rPr>
                <w:rFonts w:hint="eastAsia" w:asciiTheme="minorEastAsia" w:hAnsiTheme="minorEastAsia" w:eastAsiaTheme="minorEastAsia"/>
                <w:b/>
              </w:rPr>
              <w:t>注册号</w:t>
            </w:r>
          </w:p>
        </w:tc>
        <w:tc>
          <w:tcPr>
            <w:tcW w:w="2377" w:type="dxa"/>
            <w:vAlign w:val="center"/>
          </w:tcPr>
          <w:p>
            <w:pPr>
              <w:jc w:val="center"/>
              <w:rPr>
                <w:b/>
              </w:rPr>
            </w:pPr>
            <w:r>
              <w:rPr>
                <w:rFonts w:hint="eastAsia" w:asciiTheme="minorEastAsia" w:hAnsiTheme="minorEastAsia" w:eastAsiaTheme="minorEastAsia"/>
                <w:b/>
              </w:rPr>
              <w:t>签   名</w:t>
            </w:r>
          </w:p>
        </w:tc>
        <w:tc>
          <w:tcPr>
            <w:tcW w:w="2266" w:type="dxa"/>
            <w:vAlign w:val="center"/>
          </w:tcPr>
          <w:p>
            <w:pPr>
              <w:jc w:val="center"/>
              <w:rPr>
                <w:b/>
              </w:rPr>
            </w:pPr>
            <w:r>
              <w:rPr>
                <w:rFonts w:hint="eastAsia" w:asciiTheme="minorEastAsia" w:hAnsiTheme="minorEastAsia" w:eastAsiaTheme="minorEastAsia"/>
                <w:b/>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267" w:type="dxa"/>
            <w:vAlign w:val="center"/>
          </w:tcPr>
          <w:p>
            <w:pPr>
              <w:snapToGrid w:val="0"/>
              <w:spacing w:line="360" w:lineRule="auto"/>
              <w:jc w:val="center"/>
              <w:rPr>
                <w:rFonts w:asciiTheme="minorEastAsia" w:hAnsiTheme="minorEastAsia"/>
                <w:bCs/>
                <w:color w:val="000000" w:themeColor="text1"/>
                <w:szCs w:val="21"/>
              </w:rPr>
            </w:pPr>
            <w:r>
              <w:rPr>
                <w:rFonts w:hint="eastAsia" w:asciiTheme="minorEastAsia" w:hAnsiTheme="minorEastAsia" w:eastAsiaTheme="minorEastAsia"/>
                <w:bCs/>
                <w:color w:val="000000" w:themeColor="text1"/>
                <w:szCs w:val="21"/>
              </w:rPr>
              <w:t>沙强</w:t>
            </w:r>
          </w:p>
        </w:tc>
        <w:tc>
          <w:tcPr>
            <w:tcW w:w="2377" w:type="dxa"/>
            <w:vAlign w:val="center"/>
          </w:tcPr>
          <w:p>
            <w:pPr>
              <w:snapToGrid w:val="0"/>
              <w:spacing w:line="360" w:lineRule="auto"/>
              <w:jc w:val="center"/>
              <w:rPr>
                <w:rFonts w:asciiTheme="minorEastAsia" w:hAnsiTheme="minorEastAsia"/>
                <w:bCs/>
                <w:color w:val="000000" w:themeColor="text1"/>
                <w:szCs w:val="21"/>
              </w:rPr>
            </w:pPr>
            <w:r>
              <w:rPr>
                <w:rFonts w:hint="eastAsia" w:asciiTheme="minorEastAsia" w:hAnsiTheme="minorEastAsia" w:eastAsiaTheme="minorEastAsia"/>
                <w:color w:val="000000" w:themeColor="text1"/>
                <w:szCs w:val="21"/>
              </w:rPr>
              <w:t>3420150048</w:t>
            </w:r>
          </w:p>
        </w:tc>
        <w:tc>
          <w:tcPr>
            <w:tcW w:w="2377" w:type="dxa"/>
            <w:vAlign w:val="center"/>
          </w:tcPr>
          <w:p>
            <w:pPr>
              <w:snapToGrid w:val="0"/>
              <w:spacing w:line="360" w:lineRule="auto"/>
              <w:jc w:val="center"/>
              <w:rPr>
                <w:rFonts w:asciiTheme="minorEastAsia" w:hAnsiTheme="minorEastAsia"/>
                <w:b/>
                <w:bCs/>
                <w:color w:val="000000" w:themeColor="text1"/>
                <w:szCs w:val="21"/>
              </w:rPr>
            </w:pPr>
          </w:p>
        </w:tc>
        <w:tc>
          <w:tcPr>
            <w:tcW w:w="2266" w:type="dxa"/>
            <w:vAlign w:val="center"/>
          </w:tcPr>
          <w:p>
            <w:pPr>
              <w:snapToGrid w:val="0"/>
              <w:spacing w:line="360" w:lineRule="auto"/>
              <w:jc w:val="center"/>
              <w:rPr>
                <w:rFonts w:asciiTheme="minorEastAsia" w:hAnsiTheme="minorEastAsia"/>
                <w:b/>
                <w:bCs/>
                <w:color w:val="000000" w:themeColor="text1"/>
                <w:szCs w:val="21"/>
              </w:rPr>
            </w:pPr>
            <w:r>
              <w:rPr>
                <w:rStyle w:val="36"/>
                <w:rFonts w:hint="eastAsia" w:asciiTheme="minorEastAsia" w:hAnsiTheme="minorEastAsia" w:eastAsiaTheme="minorEastAsia"/>
                <w:color w:val="000000" w:themeColor="text1"/>
              </w:rPr>
              <w:t>2022年7月29日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2267" w:type="dxa"/>
            <w:vAlign w:val="center"/>
          </w:tcPr>
          <w:p>
            <w:pPr>
              <w:snapToGrid w:val="0"/>
              <w:spacing w:line="360" w:lineRule="auto"/>
              <w:jc w:val="center"/>
              <w:rPr>
                <w:rFonts w:asciiTheme="minorEastAsia" w:hAnsiTheme="minorEastAsia"/>
                <w:bCs/>
                <w:color w:val="000000" w:themeColor="text1"/>
                <w:szCs w:val="21"/>
              </w:rPr>
            </w:pPr>
            <w:r>
              <w:rPr>
                <w:rFonts w:hint="eastAsia" w:asciiTheme="minorEastAsia" w:hAnsiTheme="minorEastAsia" w:eastAsiaTheme="minorEastAsia"/>
                <w:bCs/>
                <w:color w:val="000000" w:themeColor="text1"/>
                <w:szCs w:val="21"/>
              </w:rPr>
              <w:t>张娅</w:t>
            </w:r>
          </w:p>
        </w:tc>
        <w:tc>
          <w:tcPr>
            <w:tcW w:w="2377" w:type="dxa"/>
            <w:vAlign w:val="center"/>
          </w:tcPr>
          <w:p>
            <w:pPr>
              <w:snapToGrid w:val="0"/>
              <w:spacing w:line="360" w:lineRule="auto"/>
              <w:jc w:val="center"/>
              <w:rPr>
                <w:rFonts w:asciiTheme="minorEastAsia" w:hAnsiTheme="minorEastAsia"/>
                <w:bCs/>
                <w:color w:val="000000" w:themeColor="text1"/>
                <w:szCs w:val="21"/>
              </w:rPr>
            </w:pPr>
            <w:r>
              <w:rPr>
                <w:rFonts w:hint="eastAsia" w:asciiTheme="minorEastAsia" w:hAnsiTheme="minorEastAsia" w:eastAsiaTheme="minorEastAsia"/>
                <w:color w:val="000000" w:themeColor="text1"/>
                <w:szCs w:val="21"/>
              </w:rPr>
              <w:t>2320200084</w:t>
            </w:r>
          </w:p>
        </w:tc>
        <w:tc>
          <w:tcPr>
            <w:tcW w:w="2377" w:type="dxa"/>
            <w:vAlign w:val="center"/>
          </w:tcPr>
          <w:p>
            <w:pPr>
              <w:snapToGrid w:val="0"/>
              <w:spacing w:line="360" w:lineRule="auto"/>
              <w:jc w:val="center"/>
              <w:rPr>
                <w:rFonts w:asciiTheme="minorEastAsia" w:hAnsiTheme="minorEastAsia"/>
                <w:b/>
                <w:bCs/>
                <w:color w:val="000000" w:themeColor="text1"/>
                <w:szCs w:val="21"/>
              </w:rPr>
            </w:pPr>
          </w:p>
        </w:tc>
        <w:tc>
          <w:tcPr>
            <w:tcW w:w="2266" w:type="dxa"/>
            <w:vAlign w:val="center"/>
          </w:tcPr>
          <w:p>
            <w:pPr>
              <w:snapToGrid w:val="0"/>
              <w:spacing w:line="360" w:lineRule="auto"/>
              <w:jc w:val="center"/>
              <w:rPr>
                <w:rFonts w:asciiTheme="minorEastAsia" w:hAnsiTheme="minorEastAsia"/>
                <w:b/>
                <w:bCs/>
                <w:color w:val="000000" w:themeColor="text1"/>
                <w:szCs w:val="21"/>
              </w:rPr>
            </w:pPr>
            <w:r>
              <w:rPr>
                <w:rStyle w:val="36"/>
                <w:rFonts w:hint="eastAsia" w:asciiTheme="minorEastAsia" w:hAnsiTheme="minorEastAsia" w:eastAsiaTheme="minorEastAsia"/>
                <w:color w:val="000000" w:themeColor="text1"/>
              </w:rPr>
              <w:t>2022年7月29日</w:t>
            </w:r>
          </w:p>
        </w:tc>
      </w:tr>
    </w:tbl>
    <w:p>
      <w:pPr>
        <w:widowControl/>
        <w:wordWrap w:val="0"/>
        <w:adjustRightInd/>
        <w:spacing w:line="240" w:lineRule="auto"/>
        <w:jc w:val="left"/>
        <w:textAlignment w:val="auto"/>
        <w:rPr>
          <w:rFonts w:cs="宋体" w:asciiTheme="minorEastAsia" w:hAnsiTheme="minorEastAsia" w:eastAsiaTheme="minorEastAsia"/>
          <w:color w:val="000000" w:themeColor="text1"/>
          <w:szCs w:val="21"/>
        </w:rPr>
      </w:pPr>
      <w:r>
        <w:rPr>
          <w:rFonts w:cs="宋体" w:asciiTheme="minorEastAsia" w:hAnsiTheme="minorEastAsia" w:eastAsiaTheme="minorEastAsia"/>
          <w:b/>
          <w:bCs/>
          <w:color w:val="000000" w:themeColor="text1"/>
          <w:szCs w:val="21"/>
        </w:rPr>
        <w:br w:type="page"/>
      </w:r>
      <w:bookmarkStart w:id="3" w:name="_Toc485393184"/>
    </w:p>
    <w:p>
      <w:pPr>
        <w:pStyle w:val="2"/>
        <w:wordWrap w:val="0"/>
        <w:spacing w:before="292"/>
        <w:rPr>
          <w:color w:val="000000" w:themeColor="text1"/>
        </w:rPr>
      </w:pPr>
      <w:bookmarkStart w:id="4" w:name="_Toc110325017"/>
      <w:r>
        <w:rPr>
          <w:rFonts w:hint="eastAsia"/>
          <w:color w:val="000000" w:themeColor="text1"/>
        </w:rPr>
        <w:t>二、估价假设和限制条件</w:t>
      </w:r>
      <w:bookmarkEnd w:id="3"/>
      <w:bookmarkEnd w:id="4"/>
    </w:p>
    <w:p>
      <w:pPr>
        <w:pStyle w:val="3"/>
        <w:wordWrap w:val="0"/>
        <w:spacing w:before="146"/>
        <w:rPr>
          <w:b w:val="0"/>
          <w:sz w:val="24"/>
          <w:szCs w:val="24"/>
        </w:rPr>
      </w:pPr>
      <w:bookmarkStart w:id="5" w:name="_Toc110325018"/>
      <w:bookmarkStart w:id="6" w:name="_Toc360010001"/>
      <w:bookmarkStart w:id="7" w:name="_Toc355619684"/>
      <w:r>
        <w:rPr>
          <w:rFonts w:hint="eastAsia"/>
          <w:sz w:val="24"/>
          <w:szCs w:val="24"/>
        </w:rPr>
        <w:t>（一）本项估价的假设条件</w:t>
      </w:r>
      <w:bookmarkEnd w:id="5"/>
      <w:bookmarkEnd w:id="6"/>
      <w:bookmarkEnd w:id="7"/>
    </w:p>
    <w:p>
      <w:pPr>
        <w:suppressAutoHyphens/>
        <w:wordWrap w:val="0"/>
        <w:spacing w:line="560" w:lineRule="exact"/>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1、一般假设</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(1)估价对象产权明晰，手续齐全，可在公开市场上自由转让。</w:t>
      </w:r>
    </w:p>
    <w:p>
      <w:pPr>
        <w:wordWrap w:val="0"/>
        <w:snapToGrid w:val="0"/>
        <w:spacing w:line="420" w:lineRule="exact"/>
        <w:ind w:firstLine="480" w:firstLineChars="200"/>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估价委托人提供了估价对象相关权属证件复印件(未提供原件)，估价人员对其记载的权属、面积、用途等内容进行了审慎检查</w:t>
      </w:r>
      <w:r>
        <w:rPr>
          <w:rFonts w:hint="eastAsia" w:asciiTheme="minorEastAsia" w:hAnsiTheme="minorEastAsia"/>
          <w:sz w:val="24"/>
          <w:szCs w:val="24"/>
        </w:rPr>
        <w:t>和尽职调查</w:t>
      </w:r>
      <w:r>
        <w:rPr>
          <w:rFonts w:asciiTheme="minorEastAsia" w:hAnsiTheme="minorEastAsia"/>
          <w:sz w:val="24"/>
          <w:szCs w:val="24"/>
        </w:rPr>
        <w:t>，在无理由怀疑其合法性、真实性、准确性和完整性的情况下，本次</w:t>
      </w:r>
      <w:r>
        <w:rPr>
          <w:rFonts w:hint="eastAsia" w:asciiTheme="minorEastAsia" w:hAnsiTheme="minorEastAsia"/>
          <w:sz w:val="24"/>
          <w:szCs w:val="24"/>
        </w:rPr>
        <w:t>评估是以</w:t>
      </w:r>
      <w:r>
        <w:rPr>
          <w:rFonts w:asciiTheme="minorEastAsia" w:hAnsiTheme="minorEastAsia"/>
          <w:sz w:val="24"/>
          <w:szCs w:val="24"/>
        </w:rPr>
        <w:t>估价委托人提供的资料</w:t>
      </w:r>
      <w:r>
        <w:rPr>
          <w:rFonts w:hint="eastAsia" w:asciiTheme="minorEastAsia" w:hAnsiTheme="minorEastAsia"/>
          <w:sz w:val="24"/>
          <w:szCs w:val="24"/>
        </w:rPr>
        <w:t>是</w:t>
      </w:r>
      <w:r>
        <w:rPr>
          <w:rFonts w:asciiTheme="minorEastAsia" w:hAnsiTheme="minorEastAsia"/>
          <w:sz w:val="24"/>
          <w:szCs w:val="24"/>
        </w:rPr>
        <w:t>合法、真实、准确</w:t>
      </w:r>
      <w:r>
        <w:rPr>
          <w:rFonts w:hint="eastAsia" w:asciiTheme="minorEastAsia" w:hAnsiTheme="minorEastAsia"/>
          <w:sz w:val="24"/>
          <w:szCs w:val="24"/>
        </w:rPr>
        <w:t>和</w:t>
      </w:r>
      <w:r>
        <w:rPr>
          <w:rFonts w:asciiTheme="minorEastAsia" w:hAnsiTheme="minorEastAsia"/>
          <w:sz w:val="24"/>
          <w:szCs w:val="24"/>
        </w:rPr>
        <w:t>完整</w:t>
      </w:r>
      <w:r>
        <w:rPr>
          <w:rFonts w:hint="eastAsia" w:asciiTheme="minorEastAsia" w:hAnsiTheme="minorEastAsia"/>
          <w:sz w:val="24"/>
          <w:szCs w:val="24"/>
        </w:rPr>
        <w:t>为前提进行估价的</w:t>
      </w:r>
      <w:r>
        <w:rPr>
          <w:rFonts w:asciiTheme="minorEastAsia" w:hAnsiTheme="minorEastAsia"/>
          <w:sz w:val="24"/>
          <w:szCs w:val="24"/>
        </w:rPr>
        <w:t>。</w:t>
      </w:r>
    </w:p>
    <w:p>
      <w:pPr>
        <w:wordWrap w:val="0"/>
        <w:snapToGrid w:val="0"/>
        <w:spacing w:line="420" w:lineRule="exact"/>
        <w:ind w:firstLine="480" w:firstLineChars="200"/>
        <w:rPr>
          <w:rFonts w:asciiTheme="minorEastAsia" w:hAnsiTheme="minorEastAsia"/>
          <w:sz w:val="24"/>
          <w:szCs w:val="24"/>
        </w:rPr>
      </w:pPr>
      <w:r>
        <w:rPr>
          <w:rFonts w:hint="eastAsia" w:asciiTheme="minorEastAsia" w:hAnsiTheme="minorEastAsia"/>
          <w:sz w:val="24"/>
          <w:szCs w:val="24"/>
        </w:rPr>
        <w:t>(3)市场供求关系未发生重大变化或实质性改变。</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(4)假设委估对象现状满足所采用的城市规划、用途管制和限制条件，另有说明的除外。</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(6)估价人员未对房地产建筑面积进行专业测量，经现场查勘观察，估价对象房地产建筑面积与相关权属</w:t>
      </w:r>
      <w:r>
        <w:rPr>
          <w:rFonts w:asciiTheme="minorEastAsia" w:hAnsiTheme="minorEastAsia"/>
          <w:sz w:val="24"/>
          <w:szCs w:val="24"/>
        </w:rPr>
        <w:t>证件</w:t>
      </w:r>
      <w:r>
        <w:rPr>
          <w:rFonts w:hint="eastAsia" w:asciiTheme="minorEastAsia" w:hAnsiTheme="minorEastAsia"/>
          <w:sz w:val="24"/>
          <w:szCs w:val="24"/>
        </w:rPr>
        <w:t>记载建筑面积大体相当。</w:t>
      </w:r>
    </w:p>
    <w:p>
      <w:pPr>
        <w:wordWrap w:val="0"/>
        <w:snapToGrid w:val="0"/>
        <w:spacing w:line="420" w:lineRule="exact"/>
        <w:ind w:firstLine="480" w:firstLineChars="200"/>
        <w:rPr>
          <w:rFonts w:asciiTheme="minorEastAsia" w:hAnsiTheme="minorEastAsia"/>
          <w:sz w:val="24"/>
          <w:szCs w:val="24"/>
        </w:rPr>
      </w:pPr>
      <w:r>
        <w:rPr>
          <w:rFonts w:hint="eastAsia" w:asciiTheme="minorEastAsia" w:hAnsiTheme="minorEastAsia"/>
          <w:sz w:val="24"/>
          <w:szCs w:val="24"/>
        </w:rPr>
        <w:t xml:space="preserve">(7) </w:t>
      </w:r>
      <w:r>
        <w:rPr>
          <w:rFonts w:hint="eastAsia" w:ascii="宋体" w:hAnsi="宋体"/>
          <w:sz w:val="24"/>
          <w:szCs w:val="24"/>
        </w:rPr>
        <w:t>假设估价对象在价值时点达到最高最佳使用状态，</w:t>
      </w:r>
      <w:r>
        <w:rPr>
          <w:rFonts w:hint="eastAsia" w:asciiTheme="minorEastAsia" w:hAnsiTheme="minorEastAsia"/>
          <w:sz w:val="24"/>
          <w:szCs w:val="24"/>
        </w:rPr>
        <w:t>并符合</w:t>
      </w:r>
      <w:r>
        <w:rPr>
          <w:rFonts w:hint="eastAsia" w:ascii="宋体" w:hAnsi="宋体"/>
          <w:sz w:val="24"/>
          <w:szCs w:val="24"/>
        </w:rPr>
        <w:t>国家和地方</w:t>
      </w:r>
      <w:r>
        <w:rPr>
          <w:rFonts w:hint="eastAsia" w:asciiTheme="minorEastAsia" w:hAnsiTheme="minorEastAsia"/>
          <w:sz w:val="24"/>
          <w:szCs w:val="24"/>
        </w:rPr>
        <w:t>的</w:t>
      </w:r>
      <w:r>
        <w:rPr>
          <w:rFonts w:hint="eastAsia" w:ascii="宋体" w:hAnsi="宋体"/>
          <w:sz w:val="24"/>
          <w:szCs w:val="24"/>
        </w:rPr>
        <w:t>法律法规</w:t>
      </w:r>
      <w:r>
        <w:rPr>
          <w:rFonts w:hint="eastAsia" w:asciiTheme="minorEastAsia" w:hAnsiTheme="minorEastAsia"/>
          <w:sz w:val="24"/>
          <w:szCs w:val="24"/>
        </w:rPr>
        <w:t>，其规划用途不变、并持续正常使用为前提进行估价。</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(8)估价对象在价值时点的房地产市场为公开、平等、自愿的交易市场，即能满足以下条件：</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①交易双方自愿地进行交易；</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②交易双方处于利己动机进行交易；</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③交易双方精明、谨慎行事，并了解交易对象、知晓市场行情；</w:t>
      </w:r>
    </w:p>
    <w:p>
      <w:pPr>
        <w:wordWrap w:val="0"/>
        <w:snapToGrid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④交易双方有较充裕的时间进行交易；</w:t>
      </w:r>
    </w:p>
    <w:p>
      <w:pPr>
        <w:wordWrap w:val="0"/>
        <w:snapToGrid w:val="0"/>
        <w:spacing w:line="420" w:lineRule="exact"/>
        <w:ind w:firstLine="480" w:firstLineChars="200"/>
        <w:rPr>
          <w:rFonts w:asciiTheme="minorEastAsia" w:hAnsiTheme="minorEastAsia"/>
          <w:sz w:val="24"/>
          <w:szCs w:val="24"/>
        </w:rPr>
      </w:pPr>
      <w:r>
        <w:rPr>
          <w:rFonts w:hint="eastAsia" w:asciiTheme="minorEastAsia" w:hAnsiTheme="minorEastAsia"/>
          <w:sz w:val="24"/>
          <w:szCs w:val="24"/>
        </w:rPr>
        <w:t>⑤不存在买者因特殊兴趣而给予附加出价。</w:t>
      </w:r>
    </w:p>
    <w:p>
      <w:pPr>
        <w:suppressAutoHyphens/>
        <w:wordWrap w:val="0"/>
        <w:spacing w:line="560" w:lineRule="exact"/>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2、未定事项假设（无）</w:t>
      </w:r>
    </w:p>
    <w:p>
      <w:pPr>
        <w:suppressAutoHyphens/>
        <w:wordWrap w:val="0"/>
        <w:spacing w:line="560" w:lineRule="exact"/>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3、背离事实假设</w:t>
      </w:r>
    </w:p>
    <w:p>
      <w:pPr>
        <w:suppressAutoHyphens/>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鉴于本次估价为委托方确定财产处置参考价参考依据，本次估价不考虑估价对象的可能存在的抵押权、租赁权、其他优先受偿权及查封等权利的限制。</w:t>
      </w:r>
    </w:p>
    <w:p>
      <w:pPr>
        <w:suppressAutoHyphens/>
        <w:wordWrap w:val="0"/>
        <w:spacing w:line="560" w:lineRule="exact"/>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4、不相一致假设（无）</w:t>
      </w:r>
    </w:p>
    <w:p>
      <w:pPr>
        <w:suppressAutoHyphens/>
        <w:wordWrap w:val="0"/>
        <w:spacing w:line="560" w:lineRule="exact"/>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5、依据不足假设</w:t>
      </w:r>
    </w:p>
    <w:p>
      <w:pPr>
        <w:suppressAutoHyphens/>
        <w:spacing w:line="420" w:lineRule="exact"/>
        <w:ind w:firstLine="480" w:firstLineChars="200"/>
        <w:rPr>
          <w:rFonts w:asciiTheme="minorEastAsia" w:hAnsiTheme="minorEastAsia" w:eastAsiaTheme="minorEastAsia"/>
          <w:color w:val="000000" w:themeColor="text1"/>
          <w:spacing w:val="-8"/>
          <w:sz w:val="24"/>
          <w:szCs w:val="24"/>
        </w:rPr>
      </w:pPr>
      <w:r>
        <w:rPr>
          <w:rFonts w:hint="eastAsia" w:asciiTheme="minorEastAsia" w:hAnsiTheme="minorEastAsia" w:eastAsiaTheme="minorEastAsia"/>
          <w:color w:val="000000" w:themeColor="text1"/>
          <w:sz w:val="24"/>
          <w:szCs w:val="24"/>
        </w:rPr>
        <w:t>估价对象《房地产权证》未记载估价对象房屋的建成年份，经注册房地产估价师实地勘查，估价对象建成年代为2</w:t>
      </w:r>
      <w:r>
        <w:rPr>
          <w:rFonts w:asciiTheme="minorEastAsia" w:hAnsiTheme="minorEastAsia" w:eastAsiaTheme="minorEastAsia"/>
          <w:color w:val="000000" w:themeColor="text1"/>
          <w:sz w:val="24"/>
          <w:szCs w:val="24"/>
        </w:rPr>
        <w:t>005</w:t>
      </w:r>
      <w:r>
        <w:rPr>
          <w:rFonts w:hint="eastAsia" w:asciiTheme="minorEastAsia" w:hAnsiTheme="minorEastAsia" w:eastAsiaTheme="minorEastAsia"/>
          <w:color w:val="000000" w:themeColor="text1"/>
          <w:sz w:val="24"/>
          <w:szCs w:val="24"/>
        </w:rPr>
        <w:t>年，</w:t>
      </w:r>
      <w:r>
        <w:rPr>
          <w:rFonts w:hint="eastAsia" w:asciiTheme="minorEastAsia" w:hAnsiTheme="minorEastAsia" w:eastAsiaTheme="minorEastAsia"/>
          <w:color w:val="000000" w:themeColor="text1"/>
          <w:spacing w:val="-8"/>
          <w:sz w:val="24"/>
          <w:szCs w:val="24"/>
        </w:rPr>
        <w:t>本次评估估价对象建成年代以实际调查为准。</w:t>
      </w:r>
    </w:p>
    <w:p>
      <w:pPr>
        <w:pStyle w:val="3"/>
        <w:wordWrap w:val="0"/>
        <w:spacing w:before="146"/>
        <w:rPr>
          <w:b w:val="0"/>
          <w:sz w:val="24"/>
          <w:szCs w:val="24"/>
        </w:rPr>
      </w:pPr>
      <w:bookmarkStart w:id="8" w:name="_Toc110325019"/>
      <w:r>
        <w:rPr>
          <w:rFonts w:hint="eastAsia"/>
          <w:sz w:val="24"/>
          <w:szCs w:val="24"/>
        </w:rPr>
        <w:t>（二）</w:t>
      </w:r>
      <w:r>
        <w:rPr>
          <w:sz w:val="24"/>
          <w:szCs w:val="24"/>
        </w:rPr>
        <w:t>本估价报告使用的限制条件</w:t>
      </w:r>
      <w:bookmarkEnd w:id="8"/>
    </w:p>
    <w:p>
      <w:pPr>
        <w:suppressAutoHyphens/>
        <w:wordWrap w:val="0"/>
        <w:spacing w:line="420" w:lineRule="exact"/>
        <w:ind w:firstLine="448"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pacing w:val="-8"/>
          <w:sz w:val="24"/>
          <w:szCs w:val="24"/>
        </w:rPr>
        <w:t>1、</w:t>
      </w:r>
      <w:r>
        <w:rPr>
          <w:rFonts w:hint="eastAsia" w:cs="Arial" w:asciiTheme="minorEastAsia" w:hAnsiTheme="minorEastAsia" w:eastAsiaTheme="minorEastAsia"/>
          <w:color w:val="000000" w:themeColor="text1"/>
          <w:sz w:val="24"/>
          <w:szCs w:val="24"/>
        </w:rPr>
        <w:t>本估价报告仅作为委托方在本次估价目的下使用，不得做其他用途。</w:t>
      </w:r>
    </w:p>
    <w:p>
      <w:pPr>
        <w:suppressAutoHyphens/>
        <w:wordWrap w:val="0"/>
        <w:spacing w:line="420" w:lineRule="exact"/>
        <w:ind w:firstLine="448" w:firstLineChars="200"/>
        <w:rPr>
          <w:rFonts w:asciiTheme="minorEastAsia" w:hAnsiTheme="minorEastAsia" w:eastAsiaTheme="minorEastAsia"/>
          <w:color w:val="000000" w:themeColor="text1"/>
          <w:spacing w:val="-8"/>
          <w:sz w:val="24"/>
          <w:szCs w:val="24"/>
        </w:rPr>
      </w:pPr>
      <w:r>
        <w:rPr>
          <w:rFonts w:hint="eastAsia" w:asciiTheme="minorEastAsia" w:hAnsiTheme="minorEastAsia" w:eastAsiaTheme="minorEastAsia"/>
          <w:color w:val="000000" w:themeColor="text1"/>
          <w:spacing w:val="-8"/>
          <w:sz w:val="24"/>
          <w:szCs w:val="24"/>
        </w:rPr>
        <w:t>2、本估价报告分为“估价结果报告”和“估价技术报告”两部分。“估价结果报告”提供给估价委托人，“估价技术报告”按有关规定留存估价机构备查。</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5、本估价报告若出现文字或数字因打印、校对及其他原因发生误差时，请估价委托人及时通知本估价机构更正。</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6、</w:t>
      </w:r>
      <w:r>
        <w:rPr>
          <w:rFonts w:hint="eastAsia" w:cs="Arial" w:asciiTheme="minorEastAsia" w:hAnsiTheme="minorEastAsia" w:eastAsiaTheme="minorEastAsia"/>
          <w:color w:val="000000" w:themeColor="text1"/>
          <w:sz w:val="24"/>
          <w:szCs w:val="24"/>
        </w:rPr>
        <w:t>估价报告的估价结果，需经</w:t>
      </w:r>
      <w:r>
        <w:rPr>
          <w:rFonts w:cs="Arial" w:asciiTheme="minorEastAsia" w:hAnsiTheme="minorEastAsia" w:eastAsiaTheme="minorEastAsia"/>
          <w:color w:val="000000" w:themeColor="text1"/>
          <w:sz w:val="24"/>
          <w:szCs w:val="24"/>
        </w:rPr>
        <w:t>安徽财苑房地产土地评估咨询有限公司</w:t>
      </w:r>
      <w:r>
        <w:rPr>
          <w:rFonts w:hint="eastAsia" w:cs="Arial" w:asciiTheme="minorEastAsia" w:hAnsiTheme="minorEastAsia" w:eastAsiaTheme="minorEastAsia"/>
          <w:color w:val="000000" w:themeColor="text1"/>
          <w:sz w:val="24"/>
          <w:szCs w:val="24"/>
        </w:rPr>
        <w:t>盖章及在该公司注册的两名房地产估价师签字，</w:t>
      </w:r>
      <w:r>
        <w:rPr>
          <w:rFonts w:cs="Arial" w:asciiTheme="minorEastAsia" w:hAnsiTheme="minorEastAsia" w:eastAsiaTheme="minorEastAsia"/>
          <w:color w:val="000000" w:themeColor="text1"/>
          <w:sz w:val="24"/>
          <w:szCs w:val="24"/>
        </w:rPr>
        <w:t>安徽财苑房地产土地评估咨询有限公司</w:t>
      </w:r>
      <w:r>
        <w:rPr>
          <w:rFonts w:hint="eastAsia" w:cs="Arial" w:asciiTheme="minorEastAsia" w:hAnsiTheme="minorEastAsia" w:eastAsiaTheme="minorEastAsia"/>
          <w:color w:val="000000" w:themeColor="text1"/>
          <w:sz w:val="24"/>
          <w:szCs w:val="24"/>
        </w:rPr>
        <w:t>对本次估价结果拥有最终解释权。</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7、</w:t>
      </w:r>
      <w:r>
        <w:rPr>
          <w:rFonts w:hint="eastAsia" w:asciiTheme="minorEastAsia" w:hAnsiTheme="minorEastAsia" w:eastAsiaTheme="minorEastAsia"/>
          <w:color w:val="000000" w:themeColor="text1"/>
          <w:spacing w:val="-6"/>
          <w:sz w:val="24"/>
          <w:szCs w:val="24"/>
        </w:rPr>
        <w:t>本房地产估价报告经估价机构加盖公章并由估价师签字后方可使用，估价机构仅对本报告的原件承担责任，对任何形式的复制件概不认可且不承担责任。</w:t>
      </w:r>
    </w:p>
    <w:p>
      <w:pPr>
        <w:suppressAutoHyphens/>
        <w:wordWrap w:val="0"/>
        <w:spacing w:line="420" w:lineRule="exact"/>
        <w:ind w:firstLine="480" w:firstLineChars="200"/>
        <w:rPr>
          <w:rFonts w:cs="Arial" w:asciiTheme="minorEastAsia" w:hAnsiTheme="minorEastAsia" w:eastAsiaTheme="minorEastAsia"/>
          <w:color w:val="FF0000"/>
          <w:sz w:val="24"/>
          <w:szCs w:val="24"/>
        </w:rPr>
      </w:pPr>
      <w:r>
        <w:rPr>
          <w:rFonts w:hint="eastAsia" w:asciiTheme="minorEastAsia" w:hAnsiTheme="minorEastAsia" w:eastAsiaTheme="minorEastAsia"/>
          <w:color w:val="000000" w:themeColor="text1"/>
          <w:sz w:val="24"/>
          <w:szCs w:val="24"/>
        </w:rPr>
        <w:t>8、如在自提交估价报告之日起未来一年中该区域同类型房地产市场行情无重大的变化时，本估价报告使用期为一年(</w:t>
      </w:r>
      <w:r>
        <w:rPr>
          <w:rFonts w:hint="eastAsia" w:cs="Arial" w:asciiTheme="minorEastAsia" w:hAnsiTheme="minorEastAsia" w:eastAsiaTheme="minorEastAsia"/>
          <w:color w:val="000000" w:themeColor="text1"/>
          <w:sz w:val="24"/>
          <w:szCs w:val="24"/>
        </w:rPr>
        <w:t>2022年7月29日至2023年7月28日</w:t>
      </w:r>
      <w:r>
        <w:rPr>
          <w:rFonts w:hint="eastAsia" w:asciiTheme="minorEastAsia" w:hAnsiTheme="minorEastAsia" w:eastAsiaTheme="minorEastAsia"/>
          <w:color w:val="000000" w:themeColor="text1"/>
          <w:sz w:val="24"/>
          <w:szCs w:val="24"/>
        </w:rPr>
        <w:t>)。如果使用本估价结果的时间超过了报告的使用有效期，我们对超过了报告使用有效期使用估价报告造成的损失不承担责任。</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9、根据《最高人民法院关于人民法院确定财产处置参考价若干问题的规定》</w:t>
      </w:r>
      <w:r>
        <w:rPr>
          <w:rFonts w:asciiTheme="minorEastAsia" w:hAnsiTheme="minorEastAsia" w:eastAsiaTheme="minorEastAsia"/>
          <w:color w:val="000000" w:themeColor="text1"/>
          <w:sz w:val="24"/>
          <w:szCs w:val="24"/>
        </w:rPr>
        <w:t>(法释[20</w:t>
      </w:r>
      <w:r>
        <w:rPr>
          <w:rFonts w:hint="eastAsia" w:asciiTheme="minorEastAsia" w:hAnsiTheme="minorEastAsia" w:eastAsiaTheme="minorEastAsia"/>
          <w:color w:val="000000" w:themeColor="text1"/>
          <w:sz w:val="24"/>
          <w:szCs w:val="24"/>
        </w:rPr>
        <w:t>18</w:t>
      </w:r>
      <w:r>
        <w:rPr>
          <w:rFonts w:asciiTheme="minorEastAsia" w:hAnsiTheme="minorEastAsia" w:eastAsiaTheme="minorEastAsia"/>
          <w:color w:val="000000" w:themeColor="text1"/>
          <w:sz w:val="24"/>
          <w:szCs w:val="24"/>
        </w:rPr>
        <w:t>]1</w:t>
      </w:r>
      <w:r>
        <w:rPr>
          <w:rFonts w:hint="eastAsia" w:asciiTheme="minorEastAsia" w:hAnsiTheme="minorEastAsia" w:eastAsiaTheme="minorEastAsia"/>
          <w:color w:val="000000" w:themeColor="text1"/>
          <w:sz w:val="24"/>
          <w:szCs w:val="24"/>
        </w:rPr>
        <w:t>5</w:t>
      </w:r>
      <w:r>
        <w:rPr>
          <w:rFonts w:asciiTheme="minorEastAsia" w:hAnsiTheme="minorEastAsia" w:eastAsiaTheme="minorEastAsia"/>
          <w:color w:val="000000" w:themeColor="text1"/>
          <w:sz w:val="24"/>
          <w:szCs w:val="24"/>
        </w:rPr>
        <w:t>号)</w:t>
      </w:r>
      <w:r>
        <w:rPr>
          <w:rFonts w:hint="eastAsia" w:asciiTheme="minorEastAsia" w:hAnsiTheme="minorEastAsia" w:eastAsiaTheme="minorEastAsia"/>
          <w:color w:val="000000" w:themeColor="text1"/>
          <w:sz w:val="24"/>
          <w:szCs w:val="24"/>
        </w:rPr>
        <w:t>，请</w:t>
      </w:r>
      <w:r>
        <w:rPr>
          <w:rFonts w:asciiTheme="minorEastAsia" w:hAnsiTheme="minorEastAsia" w:eastAsiaTheme="minorEastAsia"/>
          <w:color w:val="000000" w:themeColor="text1"/>
          <w:sz w:val="24"/>
          <w:szCs w:val="24"/>
        </w:rPr>
        <w:t>当事人</w:t>
      </w:r>
      <w:r>
        <w:rPr>
          <w:rFonts w:hint="eastAsia" w:asciiTheme="minorEastAsia" w:hAnsiTheme="minorEastAsia" w:eastAsiaTheme="minorEastAsia"/>
          <w:color w:val="000000" w:themeColor="text1"/>
          <w:sz w:val="24"/>
          <w:szCs w:val="24"/>
        </w:rPr>
        <w:t>、利害关系人</w:t>
      </w:r>
      <w:r>
        <w:rPr>
          <w:rFonts w:asciiTheme="minorEastAsia" w:hAnsiTheme="minorEastAsia" w:eastAsiaTheme="minorEastAsia"/>
          <w:color w:val="000000" w:themeColor="text1"/>
          <w:sz w:val="24"/>
          <w:szCs w:val="24"/>
        </w:rPr>
        <w:t>收到评估报告后五日内对评估报告的参照标准、计算方法或者评估结果等提出书面异议</w:t>
      </w:r>
      <w:r>
        <w:rPr>
          <w:rFonts w:hint="eastAsia" w:asciiTheme="minorEastAsia" w:hAnsiTheme="minorEastAsia" w:eastAsiaTheme="minorEastAsia"/>
          <w:color w:val="000000" w:themeColor="text1"/>
          <w:sz w:val="24"/>
          <w:szCs w:val="24"/>
        </w:rPr>
        <w:t>，未在规定期限内提出异议，我司不予受理。</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10、</w:t>
      </w:r>
      <w:r>
        <w:rPr>
          <w:rFonts w:asciiTheme="minorEastAsia" w:hAnsiTheme="minorEastAsia" w:eastAsiaTheme="minorEastAsia"/>
          <w:color w:val="000000" w:themeColor="text1"/>
          <w:sz w:val="24"/>
          <w:szCs w:val="24"/>
        </w:rPr>
        <w:t>在评估报告使用期限或者评估结果有效期内，评估报告或者评估结果未使用之前，如果评估对象状况或者房地产市场状况发生明显变化的，评估结果应当进行相应调整后才可使用；</w:t>
      </w:r>
    </w:p>
    <w:p>
      <w:pPr>
        <w:suppressAutoHyphens/>
        <w:wordWrap w:val="0"/>
        <w:spacing w:line="42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11、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bookmarkStart w:id="9" w:name="_Toc485393185"/>
    </w:p>
    <w:p>
      <w:pPr>
        <w:widowControl/>
        <w:adjustRightInd/>
        <w:spacing w:line="240" w:lineRule="auto"/>
        <w:jc w:val="left"/>
        <w:textAlignment w:val="auto"/>
        <w:rPr>
          <w:rFonts w:ascii="Courier New" w:hAnsi="Courier New"/>
          <w:color w:val="000000" w:themeColor="text1"/>
          <w:kern w:val="2"/>
          <w:szCs w:val="22"/>
        </w:rPr>
      </w:pPr>
      <w:r>
        <w:rPr>
          <w:color w:val="000000" w:themeColor="text1"/>
        </w:rPr>
        <w:br w:type="page"/>
      </w:r>
    </w:p>
    <w:p>
      <w:pPr>
        <w:pStyle w:val="2"/>
        <w:wordWrap w:val="0"/>
        <w:spacing w:before="292"/>
        <w:rPr>
          <w:color w:val="000000" w:themeColor="text1"/>
        </w:rPr>
      </w:pPr>
      <w:bookmarkStart w:id="10" w:name="_Toc110325020"/>
      <w:r>
        <w:rPr>
          <w:color w:val="000000" w:themeColor="text1"/>
        </w:rPr>
        <w:t>三、估价结果报告</w:t>
      </w:r>
      <w:bookmarkEnd w:id="9"/>
      <w:bookmarkEnd w:id="10"/>
    </w:p>
    <w:p>
      <w:pPr>
        <w:pStyle w:val="3"/>
        <w:wordWrap w:val="0"/>
        <w:spacing w:before="146" w:line="500" w:lineRule="exact"/>
        <w:rPr>
          <w:sz w:val="24"/>
          <w:szCs w:val="24"/>
        </w:rPr>
      </w:pPr>
      <w:bookmarkStart w:id="11" w:name="_Toc485393186"/>
      <w:bookmarkStart w:id="12" w:name="_Toc480967872"/>
      <w:bookmarkStart w:id="13" w:name="_Toc110325021"/>
      <w:r>
        <w:rPr>
          <w:sz w:val="24"/>
          <w:szCs w:val="24"/>
        </w:rPr>
        <w:t>（一）估价委托人</w:t>
      </w:r>
      <w:bookmarkEnd w:id="11"/>
      <w:bookmarkEnd w:id="12"/>
      <w:bookmarkEnd w:id="13"/>
    </w:p>
    <w:p>
      <w:pPr>
        <w:tabs>
          <w:tab w:val="left" w:pos="1843"/>
        </w:tabs>
        <w:wordWrap w:val="0"/>
        <w:spacing w:line="50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olor w:val="000000" w:themeColor="text1"/>
          <w:sz w:val="24"/>
          <w:szCs w:val="24"/>
        </w:rPr>
        <w:t>名称：滁州市琅琊区人民法院</w:t>
      </w:r>
    </w:p>
    <w:p>
      <w:pPr>
        <w:tabs>
          <w:tab w:val="left" w:pos="1843"/>
        </w:tabs>
        <w:wordWrap w:val="0"/>
        <w:spacing w:line="500" w:lineRule="exact"/>
        <w:ind w:firstLine="480" w:firstLineChars="200"/>
        <w:rPr>
          <w:rFonts w:cs="Arial" w:asciiTheme="minorEastAsia" w:hAnsiTheme="minorEastAsia"/>
          <w:color w:val="000000" w:themeColor="text1"/>
          <w:sz w:val="24"/>
          <w:szCs w:val="24"/>
        </w:rPr>
      </w:pPr>
      <w:r>
        <w:rPr>
          <w:rFonts w:hint="eastAsia" w:cs="Arial" w:asciiTheme="minorEastAsia" w:hAnsiTheme="minorEastAsia"/>
          <w:color w:val="000000" w:themeColor="text1"/>
          <w:sz w:val="24"/>
          <w:szCs w:val="24"/>
        </w:rPr>
        <w:t>地址：滁州市琅琊区欧阳修大道109号</w:t>
      </w:r>
    </w:p>
    <w:p>
      <w:pPr>
        <w:tabs>
          <w:tab w:val="left" w:pos="1843"/>
        </w:tabs>
        <w:wordWrap w:val="0"/>
        <w:spacing w:line="500" w:lineRule="exact"/>
        <w:ind w:firstLine="480" w:firstLineChars="200"/>
        <w:rPr>
          <w:rFonts w:cs="Arial" w:asciiTheme="minorEastAsia" w:hAnsiTheme="minorEastAsia"/>
          <w:color w:val="000000" w:themeColor="text1"/>
          <w:sz w:val="24"/>
          <w:szCs w:val="24"/>
        </w:rPr>
      </w:pPr>
      <w:r>
        <w:rPr>
          <w:rFonts w:hint="eastAsia" w:cs="Arial" w:asciiTheme="minorEastAsia" w:hAnsiTheme="minorEastAsia"/>
          <w:color w:val="000000" w:themeColor="text1"/>
          <w:sz w:val="24"/>
          <w:szCs w:val="24"/>
        </w:rPr>
        <w:t>联系人：汤法官</w:t>
      </w:r>
    </w:p>
    <w:p>
      <w:pPr>
        <w:tabs>
          <w:tab w:val="left" w:pos="1843"/>
        </w:tabs>
        <w:wordWrap w:val="0"/>
        <w:spacing w:line="500" w:lineRule="exact"/>
        <w:ind w:firstLine="480" w:firstLineChars="200"/>
        <w:rPr>
          <w:rFonts w:cs="Arial" w:asciiTheme="minorEastAsia" w:hAnsiTheme="minorEastAsia" w:eastAsiaTheme="minorEastAsia"/>
          <w:color w:val="000000" w:themeColor="text1"/>
          <w:sz w:val="24"/>
          <w:szCs w:val="24"/>
        </w:rPr>
      </w:pPr>
      <w:r>
        <w:rPr>
          <w:rFonts w:hint="eastAsia" w:cs="Arial" w:asciiTheme="minorEastAsia" w:hAnsiTheme="minorEastAsia"/>
          <w:color w:val="000000" w:themeColor="text1"/>
          <w:sz w:val="24"/>
          <w:szCs w:val="24"/>
        </w:rPr>
        <w:t>联系电话：0550-3216029</w:t>
      </w:r>
    </w:p>
    <w:p>
      <w:pPr>
        <w:pStyle w:val="3"/>
        <w:wordWrap w:val="0"/>
        <w:spacing w:before="146" w:line="500" w:lineRule="exact"/>
        <w:rPr>
          <w:sz w:val="24"/>
          <w:szCs w:val="24"/>
        </w:rPr>
      </w:pPr>
      <w:bookmarkStart w:id="14" w:name="_Toc480967873"/>
      <w:bookmarkStart w:id="15" w:name="_Toc485393187"/>
      <w:bookmarkStart w:id="16" w:name="_Toc110325022"/>
      <w:r>
        <w:rPr>
          <w:sz w:val="24"/>
          <w:szCs w:val="24"/>
        </w:rPr>
        <w:t>（二）房地产估价机构</w:t>
      </w:r>
      <w:bookmarkEnd w:id="14"/>
      <w:bookmarkEnd w:id="15"/>
      <w:bookmarkEnd w:id="16"/>
    </w:p>
    <w:p>
      <w:pPr>
        <w:wordWrap w:val="0"/>
        <w:spacing w:line="500" w:lineRule="exact"/>
        <w:ind w:firstLine="556"/>
        <w:rPr>
          <w:rFonts w:asciiTheme="minorEastAsia" w:hAnsiTheme="minorEastAsia" w:eastAsiaTheme="minorEastAsia"/>
          <w:color w:val="000000" w:themeColor="text1"/>
          <w:sz w:val="24"/>
          <w:szCs w:val="24"/>
        </w:rPr>
      </w:pPr>
      <w:r>
        <w:rPr>
          <w:rFonts w:hint="eastAsia" w:cs="Arial" w:asciiTheme="minorEastAsia" w:hAnsiTheme="minorEastAsia"/>
          <w:color w:val="000000" w:themeColor="text1"/>
          <w:spacing w:val="22"/>
          <w:kern w:val="0"/>
          <w:sz w:val="24"/>
          <w:szCs w:val="24"/>
          <w:fitText w:val="2240" w:id="3"/>
        </w:rPr>
        <w:t>房地产估价</w:t>
      </w:r>
      <w:r>
        <w:rPr>
          <w:rFonts w:cs="Arial" w:asciiTheme="minorEastAsia" w:hAnsiTheme="minorEastAsia"/>
          <w:color w:val="000000" w:themeColor="text1"/>
          <w:spacing w:val="22"/>
          <w:kern w:val="0"/>
          <w:sz w:val="24"/>
          <w:szCs w:val="24"/>
          <w:fitText w:val="2240" w:id="3"/>
        </w:rPr>
        <w:t>机构</w:t>
      </w:r>
      <w:r>
        <w:rPr>
          <w:rFonts w:cs="Arial" w:asciiTheme="minorEastAsia" w:hAnsiTheme="minorEastAsia"/>
          <w:color w:val="000000" w:themeColor="text1"/>
          <w:spacing w:val="6"/>
          <w:kern w:val="0"/>
          <w:sz w:val="24"/>
          <w:szCs w:val="24"/>
          <w:fitText w:val="2240" w:id="3"/>
        </w:rPr>
        <w:t>：</w:t>
      </w:r>
      <w:r>
        <w:rPr>
          <w:rFonts w:hint="eastAsia" w:cs="Arial" w:asciiTheme="minorEastAsia" w:hAnsiTheme="minorEastAsia"/>
          <w:color w:val="000000" w:themeColor="text1"/>
          <w:sz w:val="24"/>
          <w:szCs w:val="24"/>
        </w:rPr>
        <w:t>安徽财苑房地产土地评估咨询有限公司</w:t>
      </w:r>
    </w:p>
    <w:p>
      <w:pPr>
        <w:wordWrap w:val="0"/>
        <w:spacing w:line="500" w:lineRule="exact"/>
        <w:ind w:firstLine="556"/>
        <w:rPr>
          <w:rFonts w:asciiTheme="minorEastAsia" w:hAnsiTheme="minorEastAsia" w:eastAsiaTheme="minorEastAsia"/>
          <w:color w:val="000000" w:themeColor="text1"/>
          <w:sz w:val="24"/>
          <w:szCs w:val="24"/>
        </w:rPr>
      </w:pPr>
      <w:r>
        <w:rPr>
          <w:rFonts w:hint="eastAsia" w:cs="Arial" w:asciiTheme="minorEastAsia" w:hAnsiTheme="minorEastAsia"/>
          <w:color w:val="000000" w:themeColor="text1"/>
          <w:spacing w:val="80"/>
          <w:kern w:val="0"/>
          <w:sz w:val="24"/>
          <w:szCs w:val="24"/>
          <w:fitText w:val="2240" w:id="4"/>
        </w:rPr>
        <w:t>法定</w:t>
      </w:r>
      <w:r>
        <w:rPr>
          <w:rFonts w:cs="Arial" w:asciiTheme="minorEastAsia" w:hAnsiTheme="minorEastAsia"/>
          <w:color w:val="000000" w:themeColor="text1"/>
          <w:spacing w:val="80"/>
          <w:kern w:val="0"/>
          <w:sz w:val="24"/>
          <w:szCs w:val="24"/>
          <w:fitText w:val="2240" w:id="4"/>
        </w:rPr>
        <w:t>代表人</w:t>
      </w:r>
      <w:r>
        <w:rPr>
          <w:rFonts w:cs="Arial" w:asciiTheme="minorEastAsia" w:hAnsiTheme="minorEastAsia"/>
          <w:color w:val="000000" w:themeColor="text1"/>
          <w:spacing w:val="0"/>
          <w:kern w:val="0"/>
          <w:sz w:val="24"/>
          <w:szCs w:val="24"/>
          <w:fitText w:val="2240" w:id="4"/>
        </w:rPr>
        <w:t>：</w:t>
      </w:r>
      <w:r>
        <w:rPr>
          <w:rFonts w:hint="eastAsia" w:asciiTheme="minorEastAsia" w:hAnsiTheme="minorEastAsia"/>
          <w:color w:val="000000" w:themeColor="text1"/>
          <w:sz w:val="24"/>
          <w:szCs w:val="24"/>
        </w:rPr>
        <w:t>胡凌云</w:t>
      </w:r>
    </w:p>
    <w:p>
      <w:pPr>
        <w:wordWrap w:val="0"/>
        <w:spacing w:line="500" w:lineRule="exact"/>
        <w:ind w:firstLine="556"/>
        <w:rPr>
          <w:rFonts w:asciiTheme="minorEastAsia" w:hAnsiTheme="minorEastAsia" w:eastAsiaTheme="minorEastAsia"/>
          <w:color w:val="000000" w:themeColor="text1"/>
          <w:sz w:val="24"/>
          <w:szCs w:val="24"/>
        </w:rPr>
      </w:pPr>
      <w:r>
        <w:rPr>
          <w:rFonts w:hint="eastAsia" w:cs="Arial" w:asciiTheme="minorEastAsia" w:hAnsiTheme="minorEastAsia"/>
          <w:color w:val="000000" w:themeColor="text1"/>
          <w:spacing w:val="80"/>
          <w:kern w:val="0"/>
          <w:sz w:val="24"/>
          <w:szCs w:val="24"/>
          <w:fitText w:val="2240" w:id="5"/>
        </w:rPr>
        <w:t>地址：安徽</w:t>
      </w:r>
      <w:r>
        <w:rPr>
          <w:rFonts w:hint="eastAsia" w:cs="Arial" w:asciiTheme="minorEastAsia" w:hAnsiTheme="minorEastAsia"/>
          <w:color w:val="000000" w:themeColor="text1"/>
          <w:spacing w:val="0"/>
          <w:kern w:val="0"/>
          <w:sz w:val="24"/>
          <w:szCs w:val="24"/>
          <w:fitText w:val="2240" w:id="5"/>
        </w:rPr>
        <w:t>省</w:t>
      </w:r>
      <w:r>
        <w:rPr>
          <w:rFonts w:hint="eastAsia" w:cs="Arial" w:asciiTheme="minorEastAsia" w:hAnsiTheme="minorEastAsia"/>
          <w:color w:val="000000" w:themeColor="text1"/>
          <w:sz w:val="24"/>
          <w:szCs w:val="24"/>
        </w:rPr>
        <w:t>合肥市庐阳区庐江路1</w:t>
      </w:r>
      <w:r>
        <w:rPr>
          <w:rFonts w:cs="Arial" w:asciiTheme="minorEastAsia" w:hAnsiTheme="minorEastAsia"/>
          <w:color w:val="000000" w:themeColor="text1"/>
          <w:sz w:val="24"/>
          <w:szCs w:val="24"/>
        </w:rPr>
        <w:t>24</w:t>
      </w:r>
      <w:r>
        <w:rPr>
          <w:rFonts w:hint="eastAsia" w:cs="Arial" w:asciiTheme="minorEastAsia" w:hAnsiTheme="minorEastAsia"/>
          <w:color w:val="000000" w:themeColor="text1"/>
          <w:sz w:val="24"/>
          <w:szCs w:val="24"/>
        </w:rPr>
        <w:t>号创元大厦六楼</w:t>
      </w:r>
    </w:p>
    <w:p>
      <w:pPr>
        <w:wordWrap w:val="0"/>
        <w:spacing w:line="500" w:lineRule="exact"/>
        <w:ind w:firstLine="556"/>
        <w:rPr>
          <w:rFonts w:asciiTheme="minorEastAsia" w:hAnsiTheme="minorEastAsia" w:eastAsiaTheme="minorEastAsia"/>
          <w:color w:val="000000" w:themeColor="text1"/>
          <w:sz w:val="24"/>
          <w:szCs w:val="24"/>
        </w:rPr>
      </w:pPr>
      <w:r>
        <w:rPr>
          <w:rFonts w:hint="eastAsia" w:cs="Arial" w:asciiTheme="minorEastAsia" w:hAnsiTheme="minorEastAsia"/>
          <w:color w:val="000000" w:themeColor="text1"/>
          <w:spacing w:val="130"/>
          <w:kern w:val="0"/>
          <w:sz w:val="24"/>
          <w:szCs w:val="24"/>
          <w:fitText w:val="2240" w:id="6"/>
        </w:rPr>
        <w:t>营业执照</w:t>
      </w:r>
      <w:r>
        <w:rPr>
          <w:rFonts w:hint="eastAsia" w:cs="Arial" w:asciiTheme="minorEastAsia" w:hAnsiTheme="minorEastAsia"/>
          <w:color w:val="000000" w:themeColor="text1"/>
          <w:spacing w:val="0"/>
          <w:kern w:val="0"/>
          <w:sz w:val="24"/>
          <w:szCs w:val="24"/>
          <w:fitText w:val="2240" w:id="6"/>
        </w:rPr>
        <w:t>：</w:t>
      </w:r>
      <w:r>
        <w:rPr>
          <w:rFonts w:cs="Arial" w:asciiTheme="minorEastAsia" w:hAnsiTheme="minorEastAsia"/>
          <w:color w:val="000000" w:themeColor="text1"/>
          <w:sz w:val="24"/>
          <w:szCs w:val="24"/>
        </w:rPr>
        <w:t>91340100758536941J</w:t>
      </w:r>
    </w:p>
    <w:p>
      <w:pPr>
        <w:wordWrap w:val="0"/>
        <w:spacing w:line="500" w:lineRule="exact"/>
        <w:ind w:firstLine="556"/>
        <w:rPr>
          <w:rFonts w:asciiTheme="minorEastAsia" w:hAnsiTheme="minorEastAsia" w:eastAsiaTheme="minorEastAsia"/>
          <w:color w:val="000000" w:themeColor="text1"/>
          <w:sz w:val="24"/>
          <w:szCs w:val="24"/>
        </w:rPr>
      </w:pPr>
      <w:r>
        <w:rPr>
          <w:rFonts w:hint="eastAsia" w:cs="Arial" w:asciiTheme="minorEastAsia" w:hAnsiTheme="minorEastAsia"/>
          <w:color w:val="000000" w:themeColor="text1"/>
          <w:spacing w:val="46"/>
          <w:kern w:val="0"/>
          <w:sz w:val="24"/>
          <w:szCs w:val="24"/>
          <w:fitText w:val="2240" w:id="7"/>
        </w:rPr>
        <w:t>估价资格等级</w:t>
      </w:r>
      <w:r>
        <w:rPr>
          <w:rFonts w:hint="eastAsia" w:cs="Arial" w:asciiTheme="minorEastAsia" w:hAnsiTheme="minorEastAsia"/>
          <w:color w:val="000000" w:themeColor="text1"/>
          <w:spacing w:val="4"/>
          <w:kern w:val="0"/>
          <w:sz w:val="24"/>
          <w:szCs w:val="24"/>
          <w:fitText w:val="2240" w:id="7"/>
        </w:rPr>
        <w:t>：</w:t>
      </w:r>
      <w:r>
        <w:rPr>
          <w:rFonts w:hint="eastAsia" w:cs="Arial" w:asciiTheme="minorEastAsia" w:hAnsiTheme="minorEastAsia"/>
          <w:color w:val="000000" w:themeColor="text1"/>
          <w:sz w:val="24"/>
          <w:szCs w:val="24"/>
        </w:rPr>
        <w:t>一</w:t>
      </w:r>
      <w:r>
        <w:rPr>
          <w:rFonts w:cs="Arial" w:asciiTheme="minorEastAsia" w:hAnsiTheme="minorEastAsia"/>
          <w:color w:val="000000" w:themeColor="text1"/>
          <w:sz w:val="24"/>
          <w:szCs w:val="24"/>
        </w:rPr>
        <w:t>级</w:t>
      </w:r>
    </w:p>
    <w:p>
      <w:pPr>
        <w:wordWrap w:val="0"/>
        <w:spacing w:line="500" w:lineRule="exact"/>
        <w:ind w:firstLine="556"/>
        <w:rPr>
          <w:rFonts w:asciiTheme="minorEastAsia" w:hAnsiTheme="minorEastAsia" w:eastAsiaTheme="minorEastAsia"/>
          <w:color w:val="000000" w:themeColor="text1"/>
          <w:sz w:val="24"/>
          <w:szCs w:val="24"/>
        </w:rPr>
      </w:pPr>
      <w:r>
        <w:rPr>
          <w:rFonts w:hint="eastAsia" w:cs="Arial" w:asciiTheme="minorEastAsia" w:hAnsiTheme="minorEastAsia"/>
          <w:color w:val="000000" w:themeColor="text1"/>
          <w:spacing w:val="46"/>
          <w:kern w:val="0"/>
          <w:sz w:val="24"/>
          <w:szCs w:val="24"/>
          <w:fitText w:val="2240" w:id="8"/>
        </w:rPr>
        <w:t>资质证书</w:t>
      </w:r>
      <w:r>
        <w:rPr>
          <w:rFonts w:cs="Arial" w:asciiTheme="minorEastAsia" w:hAnsiTheme="minorEastAsia"/>
          <w:color w:val="000000" w:themeColor="text1"/>
          <w:spacing w:val="46"/>
          <w:kern w:val="0"/>
          <w:sz w:val="24"/>
          <w:szCs w:val="24"/>
          <w:fitText w:val="2240" w:id="8"/>
        </w:rPr>
        <w:t>编号</w:t>
      </w:r>
      <w:r>
        <w:rPr>
          <w:rFonts w:cs="Arial" w:asciiTheme="minorEastAsia" w:hAnsiTheme="minorEastAsia"/>
          <w:color w:val="000000" w:themeColor="text1"/>
          <w:spacing w:val="4"/>
          <w:kern w:val="0"/>
          <w:sz w:val="24"/>
          <w:szCs w:val="24"/>
          <w:fitText w:val="2240" w:id="8"/>
        </w:rPr>
        <w:t>：</w:t>
      </w:r>
      <w:r>
        <w:rPr>
          <w:rFonts w:asciiTheme="minorEastAsia" w:hAnsiTheme="minorEastAsia"/>
          <w:color w:val="000000" w:themeColor="text1"/>
          <w:sz w:val="24"/>
          <w:szCs w:val="24"/>
        </w:rPr>
        <w:t>GA211023</w:t>
      </w:r>
    </w:p>
    <w:p>
      <w:pPr>
        <w:pStyle w:val="3"/>
        <w:wordWrap w:val="0"/>
        <w:spacing w:before="146" w:line="500" w:lineRule="exact"/>
        <w:rPr>
          <w:sz w:val="24"/>
          <w:szCs w:val="24"/>
        </w:rPr>
      </w:pPr>
      <w:bookmarkStart w:id="17" w:name="_Toc480967874"/>
      <w:bookmarkStart w:id="18" w:name="_Toc485393188"/>
      <w:bookmarkStart w:id="19" w:name="_Toc110325023"/>
      <w:r>
        <w:rPr>
          <w:sz w:val="24"/>
          <w:szCs w:val="24"/>
        </w:rPr>
        <w:t>（三）估价目的</w:t>
      </w:r>
      <w:bookmarkEnd w:id="17"/>
      <w:bookmarkEnd w:id="18"/>
      <w:bookmarkEnd w:id="19"/>
    </w:p>
    <w:p>
      <w:pPr>
        <w:wordWrap w:val="0"/>
        <w:spacing w:line="5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为人民法院确定财产处置参考价提供价格参考。</w:t>
      </w:r>
    </w:p>
    <w:p>
      <w:pPr>
        <w:pStyle w:val="3"/>
        <w:wordWrap w:val="0"/>
        <w:spacing w:before="146" w:line="500" w:lineRule="exact"/>
        <w:rPr>
          <w:sz w:val="24"/>
          <w:szCs w:val="24"/>
        </w:rPr>
      </w:pPr>
      <w:bookmarkStart w:id="20" w:name="_Toc485393189"/>
      <w:bookmarkStart w:id="21" w:name="_Toc110325024"/>
      <w:bookmarkStart w:id="22" w:name="_Toc480967875"/>
      <w:r>
        <w:rPr>
          <w:sz w:val="24"/>
          <w:szCs w:val="24"/>
        </w:rPr>
        <w:t>（四）估价对象</w:t>
      </w:r>
      <w:bookmarkEnd w:id="20"/>
      <w:bookmarkEnd w:id="21"/>
      <w:bookmarkEnd w:id="22"/>
    </w:p>
    <w:p>
      <w:pPr>
        <w:suppressAutoHyphens/>
        <w:wordWrap w:val="0"/>
        <w:spacing w:line="500" w:lineRule="exact"/>
        <w:ind w:firstLine="482" w:firstLineChars="200"/>
        <w:rPr>
          <w:rFonts w:asciiTheme="minorEastAsia" w:hAnsiTheme="minorEastAsia" w:eastAsiaTheme="minorEastAsia"/>
          <w:b/>
          <w:color w:val="000000" w:themeColor="text1"/>
          <w:sz w:val="24"/>
          <w:szCs w:val="24"/>
        </w:rPr>
      </w:pPr>
      <w:r>
        <w:rPr>
          <w:rFonts w:hint="eastAsia" w:cs="仿宋_GB2312" w:asciiTheme="minorEastAsia" w:hAnsiTheme="minorEastAsia" w:eastAsiaTheme="minorEastAsia"/>
          <w:b/>
          <w:color w:val="000000" w:themeColor="text1"/>
          <w:sz w:val="24"/>
          <w:szCs w:val="24"/>
        </w:rPr>
        <w:t>1、</w:t>
      </w:r>
      <w:r>
        <w:rPr>
          <w:rFonts w:hint="eastAsia" w:asciiTheme="minorEastAsia" w:hAnsiTheme="minorEastAsia" w:eastAsiaTheme="minorEastAsia"/>
          <w:b/>
          <w:color w:val="000000" w:themeColor="text1"/>
          <w:sz w:val="24"/>
          <w:szCs w:val="24"/>
        </w:rPr>
        <w:t>估价对象财产范围</w:t>
      </w:r>
    </w:p>
    <w:p>
      <w:pPr>
        <w:wordWrap w:val="0"/>
        <w:spacing w:line="5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位于清流东路518号6幢602室的住宅房地产(含其相应分摊的土地使用权及装饰装修，不含动产、特许经营权等)，估价对象建筑面积为131.12平方米，规划用途为住宅，房屋所有权人为杨桂宏。</w:t>
      </w:r>
    </w:p>
    <w:p>
      <w:pPr>
        <w:wordWrap w:val="0"/>
        <w:spacing w:line="500" w:lineRule="exact"/>
        <w:ind w:firstLine="482" w:firstLineChars="200"/>
        <w:rPr>
          <w:rFonts w:cs="仿宋_GB2312" w:asciiTheme="minorEastAsia" w:hAnsiTheme="minorEastAsia" w:eastAsiaTheme="minorEastAsia"/>
          <w:b/>
          <w:color w:val="000000" w:themeColor="text1"/>
          <w:sz w:val="24"/>
          <w:szCs w:val="24"/>
        </w:rPr>
      </w:pPr>
      <w:r>
        <w:rPr>
          <w:rFonts w:hint="eastAsia" w:cs="仿宋_GB2312" w:asciiTheme="minorEastAsia" w:hAnsiTheme="minorEastAsia" w:eastAsiaTheme="minorEastAsia"/>
          <w:b/>
          <w:color w:val="000000" w:themeColor="text1"/>
          <w:sz w:val="24"/>
          <w:szCs w:val="24"/>
        </w:rPr>
        <w:t>2、估价对象</w:t>
      </w:r>
      <w:r>
        <w:rPr>
          <w:rFonts w:hint="eastAsia" w:asciiTheme="minorEastAsia" w:hAnsiTheme="minorEastAsia" w:eastAsiaTheme="minorEastAsia"/>
          <w:b/>
          <w:color w:val="000000" w:themeColor="text1"/>
          <w:sz w:val="24"/>
          <w:szCs w:val="24"/>
        </w:rPr>
        <w:t>实物状况</w:t>
      </w:r>
    </w:p>
    <w:p>
      <w:pPr>
        <w:wordWrap w:val="0"/>
        <w:spacing w:line="5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w:t>
      </w:r>
      <w:r>
        <w:rPr>
          <w:rFonts w:hint="eastAsia" w:asciiTheme="minorEastAsia" w:hAnsiTheme="minorEastAsia" w:cstheme="minorEastAsia"/>
          <w:color w:val="000000" w:themeColor="text1"/>
          <w:sz w:val="24"/>
          <w:szCs w:val="24"/>
        </w:rPr>
        <w:t>土地实物状况</w:t>
      </w:r>
    </w:p>
    <w:p>
      <w:pPr>
        <w:wordWrap w:val="0"/>
        <w:spacing w:line="5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①</w:t>
      </w:r>
      <w:r>
        <w:rPr>
          <w:rFonts w:hint="eastAsia" w:asciiTheme="minorEastAsia" w:hAnsiTheme="minorEastAsia" w:eastAsiaTheme="minorEastAsia"/>
          <w:color w:val="000000" w:themeColor="text1"/>
          <w:sz w:val="24"/>
          <w:szCs w:val="24"/>
        </w:rPr>
        <w:t>用途和面积：土地用途为住宅用地，分摊土地面积为68.06平方米，共用土地面积为9</w:t>
      </w:r>
      <w:r>
        <w:rPr>
          <w:rFonts w:asciiTheme="minorEastAsia" w:hAnsiTheme="minorEastAsia" w:eastAsiaTheme="minorEastAsia"/>
          <w:color w:val="000000" w:themeColor="text1"/>
          <w:sz w:val="24"/>
          <w:szCs w:val="24"/>
        </w:rPr>
        <w:t>182</w:t>
      </w:r>
      <w:r>
        <w:rPr>
          <w:rFonts w:hint="eastAsia" w:asciiTheme="minorEastAsia" w:hAnsiTheme="minorEastAsia" w:eastAsiaTheme="minorEastAsia"/>
          <w:color w:val="000000" w:themeColor="text1"/>
          <w:sz w:val="24"/>
          <w:szCs w:val="24"/>
        </w:rPr>
        <w:t>平方米。</w:t>
      </w:r>
    </w:p>
    <w:p>
      <w:pPr>
        <w:wordWrap w:val="0"/>
        <w:spacing w:line="500" w:lineRule="exact"/>
        <w:ind w:firstLine="480" w:firstLineChars="200"/>
        <w:rPr>
          <w:rFonts w:asciiTheme="minorEastAsia" w:hAnsiTheme="minorEastAsia" w:cstheme="minorEastAsia"/>
          <w:color w:val="000000" w:themeColor="text1"/>
          <w:sz w:val="24"/>
          <w:szCs w:val="24"/>
        </w:rPr>
      </w:pPr>
      <w:r>
        <w:rPr>
          <w:rFonts w:hint="eastAsia" w:asciiTheme="minorEastAsia" w:hAnsiTheme="minorEastAsia" w:cstheme="minorEastAsia"/>
          <w:sz w:val="24"/>
          <w:szCs w:val="24"/>
        </w:rPr>
        <w:t>②土地四至：</w:t>
      </w:r>
      <w:r>
        <w:rPr>
          <w:rFonts w:hint="eastAsia" w:asciiTheme="minorEastAsia" w:hAnsiTheme="minorEastAsia" w:cstheme="minorEastAsia"/>
          <w:color w:val="000000" w:themeColor="text1"/>
          <w:sz w:val="24"/>
          <w:szCs w:val="24"/>
        </w:rPr>
        <w:t>东至紫薇中路，南至相邻住宅支路，西至大成国际，北至清流中路。</w:t>
      </w:r>
    </w:p>
    <w:p>
      <w:pPr>
        <w:wordWrap w:val="0"/>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color w:val="000000" w:themeColor="text1"/>
          <w:sz w:val="24"/>
          <w:szCs w:val="24"/>
        </w:rPr>
        <w:t>③</w:t>
      </w:r>
      <w:r>
        <w:rPr>
          <w:rFonts w:hint="eastAsia" w:asciiTheme="minorEastAsia" w:hAnsiTheme="minorEastAsia" w:cstheme="minorEastAsia"/>
          <w:sz w:val="24"/>
          <w:szCs w:val="24"/>
        </w:rPr>
        <w:t>宗地</w:t>
      </w:r>
      <w:r>
        <w:rPr>
          <w:rFonts w:hint="eastAsia" w:asciiTheme="minorEastAsia" w:hAnsiTheme="minorEastAsia" w:cstheme="minorEastAsia"/>
          <w:color w:val="000000" w:themeColor="text1"/>
          <w:sz w:val="24"/>
          <w:szCs w:val="24"/>
        </w:rPr>
        <w:t>形状：估价对象所占用的共用宗地形状为多边形。</w:t>
      </w:r>
    </w:p>
    <w:p>
      <w:pPr>
        <w:wordWrap w:val="0"/>
        <w:spacing w:line="460" w:lineRule="exact"/>
        <w:ind w:firstLine="480" w:firstLineChars="200"/>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④地质条件：地基坚固，不需要做加强处理。</w:t>
      </w:r>
    </w:p>
    <w:p>
      <w:pPr>
        <w:wordWrap w:val="0"/>
        <w:spacing w:line="480" w:lineRule="exact"/>
        <w:ind w:firstLine="480" w:firstLineChars="200"/>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⑤地形、地势：估价对象所在区域属于平原地区，地势平整。</w:t>
      </w:r>
    </w:p>
    <w:p>
      <w:pPr>
        <w:wordWrap w:val="0"/>
        <w:spacing w:line="480" w:lineRule="exact"/>
        <w:ind w:firstLine="480" w:firstLineChars="200"/>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⑥土壤地基承载力：土壤地基承载力较好。</w:t>
      </w:r>
    </w:p>
    <w:p>
      <w:pPr>
        <w:wordWrap w:val="0"/>
        <w:spacing w:line="5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⑦</w:t>
      </w:r>
      <w:r>
        <w:rPr>
          <w:rFonts w:hint="eastAsia" w:ascii="宋体" w:hAnsi="宋体" w:cs="宋体"/>
          <w:color w:val="000000" w:themeColor="text1"/>
          <w:sz w:val="24"/>
          <w:szCs w:val="24"/>
        </w:rPr>
        <w:t>基础设施完备程度和土地平整程度</w:t>
      </w:r>
      <w:r>
        <w:rPr>
          <w:rFonts w:hint="eastAsia" w:asciiTheme="minorEastAsia" w:hAnsiTheme="minorEastAsia" w:cstheme="minorEastAsia"/>
          <w:color w:val="000000" w:themeColor="text1"/>
          <w:sz w:val="24"/>
          <w:szCs w:val="24"/>
        </w:rPr>
        <w:t>：六通一平。</w:t>
      </w:r>
    </w:p>
    <w:p>
      <w:pPr>
        <w:wordWrap w:val="0"/>
        <w:spacing w:line="500" w:lineRule="exact"/>
        <w:ind w:firstLine="480" w:firstLineChars="200"/>
        <w:rPr>
          <w:rFonts w:asciiTheme="minorEastAsia" w:hAnsiTheme="minorEastAsia" w:cstheme="minorEastAsia"/>
          <w:sz w:val="24"/>
          <w:szCs w:val="24"/>
        </w:rPr>
      </w:pPr>
      <w:r>
        <w:rPr>
          <w:rFonts w:hint="eastAsia" w:asciiTheme="minorEastAsia" w:hAnsiTheme="minorEastAsia" w:eastAsiaTheme="minorEastAsia"/>
          <w:color w:val="000000" w:themeColor="text1"/>
          <w:sz w:val="24"/>
          <w:szCs w:val="24"/>
        </w:rPr>
        <w:t>（2）</w:t>
      </w:r>
      <w:r>
        <w:rPr>
          <w:rFonts w:hint="eastAsia" w:asciiTheme="minorEastAsia" w:hAnsiTheme="minorEastAsia" w:cstheme="minorEastAsia"/>
          <w:sz w:val="24"/>
          <w:szCs w:val="24"/>
        </w:rPr>
        <w:t>房屋实物状况</w:t>
      </w:r>
    </w:p>
    <w:p>
      <w:pPr>
        <w:wordWrap w:val="0"/>
        <w:spacing w:line="500" w:lineRule="exact"/>
        <w:ind w:firstLine="480" w:firstLineChars="200"/>
        <w:rPr>
          <w:rFonts w:cs="仿宋_GB2312" w:asciiTheme="minorEastAsia" w:hAnsiTheme="minorEastAsia" w:eastAsiaTheme="minorEastAsia"/>
          <w:color w:val="000000" w:themeColor="text1"/>
          <w:sz w:val="24"/>
          <w:szCs w:val="24"/>
        </w:rPr>
      </w:pPr>
      <w:r>
        <w:rPr>
          <w:rFonts w:hint="eastAsia" w:asciiTheme="minorEastAsia" w:hAnsiTheme="minorEastAsia" w:cstheme="minorEastAsia"/>
          <w:sz w:val="24"/>
          <w:szCs w:val="24"/>
        </w:rPr>
        <w:t>①名称：</w:t>
      </w:r>
      <w:r>
        <w:rPr>
          <w:rFonts w:hint="eastAsia" w:asciiTheme="minorEastAsia" w:hAnsiTheme="minorEastAsia" w:eastAsiaTheme="minorEastAsia"/>
          <w:color w:val="000000" w:themeColor="text1"/>
          <w:sz w:val="24"/>
          <w:szCs w:val="24"/>
        </w:rPr>
        <w:t>清流东路518号6幢602室</w:t>
      </w:r>
      <w:r>
        <w:rPr>
          <w:rFonts w:hint="eastAsia" w:asciiTheme="minorEastAsia" w:hAnsiTheme="minorEastAsia" w:cstheme="minorEastAsia"/>
          <w:sz w:val="24"/>
          <w:szCs w:val="24"/>
        </w:rPr>
        <w:t>住宅</w:t>
      </w:r>
      <w:r>
        <w:rPr>
          <w:rFonts w:hint="eastAsia" w:cs="仿宋_GB2312" w:asciiTheme="minorEastAsia" w:hAnsiTheme="minorEastAsia" w:eastAsiaTheme="minorEastAsia"/>
          <w:color w:val="000000" w:themeColor="text1"/>
          <w:sz w:val="24"/>
          <w:szCs w:val="24"/>
        </w:rPr>
        <w:t>房地产</w:t>
      </w:r>
      <w:r>
        <w:rPr>
          <w:rFonts w:hint="eastAsia" w:asciiTheme="minorEastAsia" w:hAnsiTheme="minorEastAsia" w:eastAsiaTheme="minorEastAsia"/>
          <w:sz w:val="24"/>
          <w:szCs w:val="24"/>
        </w:rPr>
        <w:t>(含其应分摊的土地使用权及装饰装修，不含动产、特许经营权等)</w:t>
      </w:r>
      <w:r>
        <w:rPr>
          <w:rFonts w:hint="eastAsia" w:cs="仿宋_GB2312" w:asciiTheme="minorEastAsia" w:hAnsiTheme="minorEastAsia" w:eastAsiaTheme="minorEastAsia"/>
          <w:color w:val="000000" w:themeColor="text1"/>
          <w:sz w:val="24"/>
          <w:szCs w:val="24"/>
        </w:rPr>
        <w:t>。</w:t>
      </w:r>
    </w:p>
    <w:p>
      <w:pPr>
        <w:wordWrap w:val="0"/>
        <w:spacing w:line="500" w:lineRule="exact"/>
        <w:ind w:firstLine="480" w:firstLineChars="200"/>
        <w:rPr>
          <w:rFonts w:cs="仿宋_GB2312" w:asciiTheme="minorEastAsia" w:hAnsiTheme="minorEastAsia" w:eastAsiaTheme="minorEastAsia"/>
          <w:color w:val="000000" w:themeColor="text1"/>
          <w:sz w:val="24"/>
          <w:szCs w:val="24"/>
        </w:rPr>
      </w:pPr>
      <w:r>
        <w:rPr>
          <w:rFonts w:hint="eastAsia" w:asciiTheme="minorEastAsia" w:hAnsiTheme="minorEastAsia" w:cstheme="minorEastAsia"/>
          <w:sz w:val="24"/>
          <w:szCs w:val="24"/>
        </w:rPr>
        <w:t>②坐落：</w:t>
      </w:r>
      <w:r>
        <w:rPr>
          <w:rFonts w:hint="eastAsia" w:asciiTheme="minorEastAsia" w:hAnsiTheme="minorEastAsia" w:eastAsiaTheme="minorEastAsia"/>
          <w:color w:val="000000" w:themeColor="text1"/>
          <w:sz w:val="24"/>
          <w:szCs w:val="24"/>
        </w:rPr>
        <w:t>清流东路518号6幢602室</w:t>
      </w:r>
      <w:r>
        <w:rPr>
          <w:rFonts w:hint="eastAsia" w:cs="仿宋_GB2312" w:asciiTheme="minorEastAsia" w:hAnsiTheme="minorEastAsia" w:eastAsiaTheme="minorEastAsia"/>
          <w:color w:val="000000" w:themeColor="text1"/>
          <w:sz w:val="24"/>
          <w:szCs w:val="24"/>
        </w:rPr>
        <w:t>。</w:t>
      </w:r>
    </w:p>
    <w:p>
      <w:pPr>
        <w:wordWrap w:val="0"/>
        <w:spacing w:line="46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③房屋用途（功能）：规划用途为住宅。</w:t>
      </w:r>
    </w:p>
    <w:p>
      <w:pPr>
        <w:wordWrap w:val="0"/>
        <w:spacing w:line="46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④建筑规模：建筑面积为131.12平方米。</w:t>
      </w:r>
    </w:p>
    <w:p>
      <w:pPr>
        <w:wordWrap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⑤建成年代：约建成于2005年。</w:t>
      </w:r>
    </w:p>
    <w:p>
      <w:pPr>
        <w:wordWrap w:val="0"/>
        <w:spacing w:line="46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⑥建筑结构及工程质量：建筑结构为</w:t>
      </w:r>
      <w:r>
        <w:rPr>
          <w:rFonts w:hint="eastAsia" w:asciiTheme="minorEastAsia" w:hAnsiTheme="minorEastAsia" w:cstheme="minorEastAsia"/>
          <w:color w:val="000000" w:themeColor="text1"/>
          <w:sz w:val="24"/>
          <w:szCs w:val="24"/>
        </w:rPr>
        <w:t>砖混结构</w:t>
      </w:r>
      <w:r>
        <w:rPr>
          <w:rFonts w:hint="eastAsia" w:asciiTheme="minorEastAsia" w:hAnsiTheme="minorEastAsia" w:cstheme="minorEastAsia"/>
          <w:sz w:val="24"/>
          <w:szCs w:val="24"/>
        </w:rPr>
        <w:t>，建筑物工程质量较好。</w:t>
      </w:r>
    </w:p>
    <w:p>
      <w:pPr>
        <w:wordWrap w:val="0"/>
        <w:spacing w:line="46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⑦户型及空间布局：估价对象所在层为6层及阁楼层，</w:t>
      </w:r>
      <w:r>
        <w:rPr>
          <w:rFonts w:asciiTheme="minorEastAsia" w:hAnsiTheme="minorEastAsia" w:cstheme="minorEastAsia"/>
          <w:sz w:val="24"/>
          <w:szCs w:val="24"/>
        </w:rPr>
        <w:t>6</w:t>
      </w:r>
      <w:r>
        <w:rPr>
          <w:rFonts w:hint="eastAsia" w:asciiTheme="minorEastAsia" w:hAnsiTheme="minorEastAsia" w:cstheme="minorEastAsia"/>
          <w:sz w:val="24"/>
          <w:szCs w:val="24"/>
        </w:rPr>
        <w:t>层为</w:t>
      </w:r>
      <w:r>
        <w:rPr>
          <w:rFonts w:hint="eastAsia" w:asciiTheme="minorEastAsia" w:hAnsiTheme="minorEastAsia" w:cstheme="minorEastAsia"/>
          <w:color w:val="000000" w:themeColor="text1"/>
          <w:sz w:val="24"/>
          <w:szCs w:val="24"/>
        </w:rPr>
        <w:t>3室2厅1厨2卫</w:t>
      </w:r>
      <w:r>
        <w:rPr>
          <w:rFonts w:hint="eastAsia" w:asciiTheme="minorEastAsia" w:hAnsiTheme="minorEastAsia" w:cstheme="minorEastAsia"/>
          <w:sz w:val="24"/>
          <w:szCs w:val="24"/>
        </w:rPr>
        <w:t>，净高为</w:t>
      </w:r>
      <w:r>
        <w:rPr>
          <w:rFonts w:asciiTheme="minorEastAsia" w:hAnsiTheme="minorEastAsia" w:cstheme="minorEastAsia"/>
          <w:sz w:val="24"/>
          <w:szCs w:val="24"/>
        </w:rPr>
        <w:t>2.6</w:t>
      </w:r>
      <w:r>
        <w:rPr>
          <w:rFonts w:hint="eastAsia" w:asciiTheme="minorEastAsia" w:hAnsiTheme="minorEastAsia" w:cstheme="minorEastAsia"/>
          <w:sz w:val="24"/>
          <w:szCs w:val="24"/>
        </w:rPr>
        <w:t>米，阁楼层为2室1厅，净高1</w:t>
      </w:r>
      <w:r>
        <w:rPr>
          <w:rFonts w:asciiTheme="minorEastAsia" w:hAnsiTheme="minorEastAsia" w:cstheme="minorEastAsia"/>
          <w:sz w:val="24"/>
          <w:szCs w:val="24"/>
        </w:rPr>
        <w:t>.9</w:t>
      </w:r>
      <w:r>
        <w:rPr>
          <w:rFonts w:hint="eastAsia" w:asciiTheme="minorEastAsia" w:hAnsiTheme="minorEastAsia" w:cstheme="minorEastAsia"/>
          <w:sz w:val="24"/>
          <w:szCs w:val="24"/>
        </w:rPr>
        <w:t>米。</w:t>
      </w:r>
    </w:p>
    <w:p>
      <w:pPr>
        <w:wordWrap w:val="0"/>
        <w:spacing w:line="460" w:lineRule="exact"/>
        <w:ind w:firstLine="480" w:firstLineChars="200"/>
        <w:rPr>
          <w:rFonts w:asciiTheme="minorEastAsia" w:hAnsiTheme="minorEastAsia" w:cstheme="minorEastAsia"/>
          <w:color w:val="000000" w:themeColor="text1"/>
          <w:sz w:val="24"/>
          <w:szCs w:val="24"/>
        </w:rPr>
      </w:pPr>
      <w:r>
        <w:rPr>
          <w:rFonts w:hint="eastAsia" w:asciiTheme="minorEastAsia" w:hAnsiTheme="minorEastAsia" w:cstheme="minorEastAsia"/>
          <w:sz w:val="24"/>
          <w:szCs w:val="24"/>
        </w:rPr>
        <w:t>⑧装饰装修：</w:t>
      </w:r>
      <w:r>
        <w:rPr>
          <w:rFonts w:hint="eastAsia" w:asciiTheme="minorEastAsia" w:hAnsiTheme="minorEastAsia" w:cstheme="minorEastAsia"/>
          <w:color w:val="000000" w:themeColor="text1"/>
          <w:sz w:val="24"/>
          <w:szCs w:val="24"/>
        </w:rPr>
        <w:t>入户门为不锈钢防盗门；窗为铝合金窗；外墙面为马赛克；室内水电均为暗敷。</w:t>
      </w:r>
    </w:p>
    <w:tbl>
      <w:tblPr>
        <w:tblStyle w:val="26"/>
        <w:tblW w:w="9363" w:type="dxa"/>
        <w:tblInd w:w="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7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48" w:type="dxa"/>
          </w:tcPr>
          <w:p>
            <w:pPr>
              <w:wordWrap w:val="0"/>
              <w:spacing w:line="400" w:lineRule="exac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装修位置</w:t>
            </w:r>
          </w:p>
        </w:tc>
        <w:tc>
          <w:tcPr>
            <w:tcW w:w="7815" w:type="dxa"/>
          </w:tcPr>
          <w:p>
            <w:pPr>
              <w:wordWrap w:val="0"/>
              <w:spacing w:line="400" w:lineRule="exac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装修情况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客厅、餐厅</w:t>
            </w:r>
          </w:p>
        </w:tc>
        <w:tc>
          <w:tcPr>
            <w:tcW w:w="7815"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地面：复合木地板，内墙：乳胶漆；顶面：装饰吊顶及乳胶漆，其他：柜1组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厨房</w:t>
            </w:r>
          </w:p>
        </w:tc>
        <w:tc>
          <w:tcPr>
            <w:tcW w:w="7815"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地面：地砖，内墙：墙砖；顶面：塑扣板吊顶，其他：嵌入式地柜1组、吊柜</w:t>
            </w:r>
            <w:r>
              <w:rPr>
                <w:rFonts w:asciiTheme="minorEastAsia" w:hAnsiTheme="minorEastAsia" w:eastAsiaTheme="minorEastAsia" w:cstheme="minorEastAsia"/>
                <w:szCs w:val="21"/>
              </w:rPr>
              <w:t>1</w:t>
            </w:r>
            <w:r>
              <w:rPr>
                <w:rFonts w:hint="eastAsia" w:asciiTheme="minorEastAsia" w:hAnsiTheme="minorEastAsia" w:eastAsiaTheme="minorEastAsia" w:cstheme="minorEastAsia"/>
                <w:szCs w:val="21"/>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卫生间</w:t>
            </w:r>
          </w:p>
        </w:tc>
        <w:tc>
          <w:tcPr>
            <w:tcW w:w="7815"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地面：地砖，内墙：墙砖；顶面：塑扣板吊顶，其他：卫浴齐全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卧室1</w:t>
            </w:r>
          </w:p>
        </w:tc>
        <w:tc>
          <w:tcPr>
            <w:tcW w:w="7815"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地面：复合木地板，内墙：乳胶漆；顶面：乳胶漆，，其他：衣柜一组，带卫生间，卫生间装修同前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卧室2</w:t>
            </w:r>
          </w:p>
        </w:tc>
        <w:tc>
          <w:tcPr>
            <w:tcW w:w="7815"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地面：复合木地板，内墙：乳胶漆；顶面：乳胶漆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卧室3</w:t>
            </w:r>
          </w:p>
        </w:tc>
        <w:tc>
          <w:tcPr>
            <w:tcW w:w="7815"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地面：复合木地板，内墙：乳胶漆；顶面：乳胶漆</w:t>
            </w:r>
            <w:r>
              <w:rPr>
                <w:rFonts w:asciiTheme="minorEastAsia" w:hAnsiTheme="minorEastAsia" w:eastAsiaTheme="minorEastAsia" w:cs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其他</w:t>
            </w:r>
          </w:p>
        </w:tc>
        <w:tc>
          <w:tcPr>
            <w:tcW w:w="7815" w:type="dxa"/>
          </w:tcPr>
          <w:p>
            <w:pPr>
              <w:wordWrap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阁楼层：净高1</w:t>
            </w:r>
            <w:r>
              <w:rPr>
                <w:rFonts w:asciiTheme="minorEastAsia" w:hAnsiTheme="minorEastAsia" w:eastAsiaTheme="minorEastAsia" w:cstheme="minorEastAsia"/>
                <w:szCs w:val="21"/>
              </w:rPr>
              <w:t>.9</w:t>
            </w:r>
            <w:r>
              <w:rPr>
                <w:rFonts w:hint="eastAsia" w:asciiTheme="minorEastAsia" w:hAnsiTheme="minorEastAsia" w:eastAsiaTheme="minorEastAsia" w:cstheme="minorEastAsia"/>
                <w:szCs w:val="21"/>
              </w:rPr>
              <w:t>m，设有两间房，地面：复合木地板，内墙：乳胶漆；顶面：乳胶漆；有两露台，露台1：地面地砖，乳胶漆墙面，已加装玻璃做成阳光房、露台2，毛坯，且部分墙面地面老化；6层及阁楼层以木质扶手梯连接。</w:t>
            </w:r>
          </w:p>
        </w:tc>
      </w:tr>
    </w:tbl>
    <w:p>
      <w:pPr>
        <w:wordWrap w:val="0"/>
        <w:spacing w:line="460" w:lineRule="exact"/>
        <w:ind w:firstLine="480" w:firstLineChars="200"/>
        <w:rPr>
          <w:rFonts w:asciiTheme="minorEastAsia" w:hAnsiTheme="minorEastAsia" w:eastAsiaTheme="minorEastAsia"/>
          <w:color w:val="FF0000"/>
          <w:sz w:val="24"/>
          <w:szCs w:val="24"/>
        </w:rPr>
      </w:pPr>
      <w:r>
        <w:rPr>
          <w:rFonts w:hint="eastAsia" w:asciiTheme="minorEastAsia" w:hAnsiTheme="minorEastAsia" w:cstheme="minorEastAsia"/>
          <w:sz w:val="24"/>
          <w:szCs w:val="24"/>
        </w:rPr>
        <w:t>⑨设施设备：该建筑物配有供水、排水、电力、燃气、网络等设施设备。</w:t>
      </w:r>
      <w:r>
        <w:rPr>
          <w:rFonts w:asciiTheme="minorEastAsia" w:hAnsiTheme="minorEastAsia" w:eastAsiaTheme="minorEastAsia"/>
          <w:sz w:val="24"/>
          <w:szCs w:val="24"/>
        </w:rPr>
        <w:t xml:space="preserve"> </w:t>
      </w:r>
    </w:p>
    <w:p>
      <w:pPr>
        <w:wordWrap w:val="0"/>
        <w:spacing w:line="46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⑩通风、采光情况：估价对象光线较为充足，通风较畅通。</w:t>
      </w:r>
    </w:p>
    <w:p>
      <w:pPr>
        <w:wordWrap w:val="0"/>
        <w:spacing w:line="460" w:lineRule="exact"/>
        <w:ind w:firstLine="480" w:firstLineChars="200"/>
        <w:rPr>
          <w:rFonts w:asciiTheme="minorEastAsia" w:hAnsiTheme="minorEastAsia" w:eastAsiaTheme="minorEastAsia"/>
          <w:sz w:val="24"/>
          <w:szCs w:val="24"/>
        </w:rPr>
      </w:pPr>
      <w:r>
        <w:rPr>
          <w:rFonts w:hint="eastAsia" w:ascii="宋体" w:hAnsi="宋体" w:cs="宋体"/>
          <w:sz w:val="24"/>
          <w:szCs w:val="24"/>
        </w:rPr>
        <w:t>⑪</w:t>
      </w:r>
      <w:r>
        <w:rPr>
          <w:rFonts w:hint="eastAsia" w:asciiTheme="minorEastAsia" w:hAnsiTheme="minorEastAsia" w:cstheme="minorEastAsia"/>
          <w:sz w:val="24"/>
          <w:szCs w:val="24"/>
        </w:rPr>
        <w:t>外观维修养护情况：维护保养情况较好。</w:t>
      </w:r>
    </w:p>
    <w:p>
      <w:pPr>
        <w:wordWrap w:val="0"/>
        <w:spacing w:line="480" w:lineRule="exact"/>
        <w:ind w:firstLine="480" w:firstLineChars="200"/>
        <w:rPr>
          <w:rFonts w:asciiTheme="minorEastAsia" w:hAnsiTheme="minorEastAsia" w:cstheme="minorEastAsia"/>
          <w:sz w:val="24"/>
          <w:szCs w:val="24"/>
        </w:rPr>
      </w:pPr>
      <w:r>
        <w:rPr>
          <w:rFonts w:hint="eastAsia" w:ascii="宋体" w:hAnsi="宋体" w:cs="宋体"/>
          <w:color w:val="000000" w:themeColor="text1"/>
          <w:sz w:val="24"/>
          <w:szCs w:val="24"/>
        </w:rPr>
        <w:t>⑫</w:t>
      </w:r>
      <w:r>
        <w:rPr>
          <w:rFonts w:hint="eastAsia" w:asciiTheme="minorEastAsia" w:hAnsiTheme="minorEastAsia" w:cstheme="minorEastAsia"/>
          <w:color w:val="000000" w:themeColor="text1"/>
          <w:sz w:val="24"/>
          <w:szCs w:val="24"/>
        </w:rPr>
        <w:t>完损状况：结构完好；装修基本完好；设备基本完好，部分设备有轻微损坏。房屋成新率为80%。</w:t>
      </w:r>
    </w:p>
    <w:p>
      <w:pPr>
        <w:wordWrap w:val="0"/>
        <w:spacing w:line="460" w:lineRule="exact"/>
        <w:ind w:firstLine="480" w:firstLineChars="200"/>
        <w:rPr>
          <w:rFonts w:asciiTheme="minorEastAsia" w:hAnsiTheme="minorEastAsia" w:eastAsiaTheme="minorEastAsia"/>
          <w:color w:val="000000" w:themeColor="text1"/>
          <w:sz w:val="24"/>
          <w:szCs w:val="24"/>
        </w:rPr>
      </w:pPr>
      <w:r>
        <w:rPr>
          <w:rFonts w:hint="eastAsia" w:ascii="宋体" w:hAnsi="宋体" w:cs="宋体"/>
          <w:color w:val="000000" w:themeColor="text1"/>
          <w:sz w:val="24"/>
          <w:szCs w:val="24"/>
        </w:rPr>
        <w:t>⑬</w:t>
      </w:r>
      <w:r>
        <w:rPr>
          <w:rFonts w:hint="eastAsia" w:asciiTheme="minorEastAsia" w:hAnsiTheme="minorEastAsia" w:cstheme="minorEastAsia"/>
          <w:sz w:val="24"/>
          <w:szCs w:val="24"/>
        </w:rPr>
        <w:t>其他</w:t>
      </w:r>
      <w:r>
        <w:rPr>
          <w:rFonts w:asciiTheme="minorEastAsia" w:hAnsiTheme="minorEastAsia" w:cstheme="minorEastAsia"/>
          <w:sz w:val="24"/>
          <w:szCs w:val="24"/>
        </w:rPr>
        <w:t>情况</w:t>
      </w:r>
      <w:r>
        <w:rPr>
          <w:rFonts w:hint="eastAsia" w:asciiTheme="minorEastAsia" w:hAnsiTheme="minorEastAsia" w:cstheme="minorEastAsia"/>
          <w:sz w:val="24"/>
          <w:szCs w:val="24"/>
        </w:rPr>
        <w:t>：估价对象管理水平较高。</w:t>
      </w:r>
    </w:p>
    <w:p>
      <w:pPr>
        <w:wordWrap w:val="0"/>
        <w:spacing w:line="500" w:lineRule="exact"/>
        <w:ind w:firstLine="482" w:firstLineChars="200"/>
        <w:rPr>
          <w:rFonts w:cs="仿宋_GB2312" w:asciiTheme="minorEastAsia" w:hAnsiTheme="minorEastAsia" w:eastAsiaTheme="minorEastAsia"/>
          <w:b/>
          <w:color w:val="000000" w:themeColor="text1"/>
          <w:sz w:val="24"/>
          <w:szCs w:val="24"/>
        </w:rPr>
      </w:pPr>
      <w:r>
        <w:rPr>
          <w:rFonts w:hint="eastAsia" w:cs="仿宋_GB2312" w:asciiTheme="minorEastAsia" w:hAnsiTheme="minorEastAsia" w:eastAsiaTheme="minorEastAsia"/>
          <w:b/>
          <w:color w:val="000000" w:themeColor="text1"/>
          <w:sz w:val="24"/>
          <w:szCs w:val="24"/>
        </w:rPr>
        <w:t>3、估价对象权益状况</w:t>
      </w:r>
    </w:p>
    <w:tbl>
      <w:tblPr>
        <w:tblStyle w:val="25"/>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971"/>
        <w:gridCol w:w="1707"/>
        <w:gridCol w:w="1843"/>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46" w:type="dxa"/>
            <w:gridSpan w:val="2"/>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房屋所有权证及编号</w:t>
            </w:r>
          </w:p>
        </w:tc>
        <w:tc>
          <w:tcPr>
            <w:tcW w:w="5641" w:type="dxa"/>
            <w:gridSpan w:val="3"/>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szCs w:val="21"/>
              </w:rPr>
              <w:t>《房地产权证》房地权滁字第006007089号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46" w:type="dxa"/>
            <w:gridSpan w:val="2"/>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房地产权属人</w:t>
            </w:r>
          </w:p>
        </w:tc>
        <w:tc>
          <w:tcPr>
            <w:tcW w:w="5641" w:type="dxa"/>
            <w:gridSpan w:val="3"/>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color w:val="000000" w:themeColor="text1"/>
                <w:szCs w:val="21"/>
              </w:rPr>
              <w:t>杨桂宏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restart"/>
            <w:vAlign w:val="center"/>
          </w:tcPr>
          <w:p>
            <w:pPr>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房屋情况</w:t>
            </w:r>
          </w:p>
        </w:tc>
        <w:tc>
          <w:tcPr>
            <w:tcW w:w="2971"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房屋坐落</w:t>
            </w:r>
          </w:p>
        </w:tc>
        <w:tc>
          <w:tcPr>
            <w:tcW w:w="5641" w:type="dxa"/>
            <w:gridSpan w:val="3"/>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bCs/>
                <w:color w:val="000000" w:themeColor="text1"/>
                <w:szCs w:val="21"/>
              </w:rPr>
              <w:t>清流东路518号6幢602室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kern w:val="28"/>
                <w:szCs w:val="21"/>
              </w:rPr>
              <w:t>规划用途</w:t>
            </w:r>
          </w:p>
        </w:tc>
        <w:tc>
          <w:tcPr>
            <w:tcW w:w="1707"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kern w:val="28"/>
                <w:szCs w:val="21"/>
              </w:rPr>
              <w:t>住宅</w:t>
            </w:r>
          </w:p>
        </w:tc>
        <w:tc>
          <w:tcPr>
            <w:tcW w:w="1843"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实际用途</w:t>
            </w:r>
          </w:p>
        </w:tc>
        <w:tc>
          <w:tcPr>
            <w:tcW w:w="2091"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kern w:val="28"/>
                <w:szCs w:val="21"/>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widowControl/>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房屋结构</w:t>
            </w:r>
          </w:p>
        </w:tc>
        <w:tc>
          <w:tcPr>
            <w:tcW w:w="1707"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bCs/>
                <w:color w:val="000000" w:themeColor="text1"/>
                <w:szCs w:val="21"/>
              </w:rPr>
              <w:t>砖混结构</w:t>
            </w:r>
          </w:p>
        </w:tc>
        <w:tc>
          <w:tcPr>
            <w:tcW w:w="1843"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szCs w:val="21"/>
              </w:rPr>
              <w:t>房屋产别</w:t>
            </w:r>
          </w:p>
        </w:tc>
        <w:tc>
          <w:tcPr>
            <w:tcW w:w="2091"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私产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widowControl/>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总层数</w:t>
            </w:r>
          </w:p>
        </w:tc>
        <w:tc>
          <w:tcPr>
            <w:tcW w:w="1707"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szCs w:val="21"/>
              </w:rPr>
              <w:t>6层</w:t>
            </w:r>
          </w:p>
        </w:tc>
        <w:tc>
          <w:tcPr>
            <w:tcW w:w="1843"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szCs w:val="21"/>
              </w:rPr>
              <w:t>所在层</w:t>
            </w:r>
          </w:p>
        </w:tc>
        <w:tc>
          <w:tcPr>
            <w:tcW w:w="2091"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szCs w:val="21"/>
              </w:rPr>
              <w:t>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widowControl/>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建筑面积(㎡)</w:t>
            </w:r>
          </w:p>
        </w:tc>
        <w:tc>
          <w:tcPr>
            <w:tcW w:w="1707" w:type="dxa"/>
            <w:vAlign w:val="center"/>
          </w:tcPr>
          <w:p>
            <w:pPr>
              <w:widowControl/>
              <w:snapToGrid w:val="0"/>
              <w:jc w:val="center"/>
              <w:rPr>
                <w:rFonts w:asciiTheme="minorEastAsia" w:hAnsiTheme="minorEastAsia"/>
                <w:color w:val="000000" w:themeColor="text1"/>
                <w:szCs w:val="21"/>
              </w:rPr>
            </w:pPr>
            <w:r>
              <w:rPr>
                <w:rFonts w:hint="eastAsia" w:asciiTheme="minorEastAsia" w:hAnsiTheme="minorEastAsia" w:eastAsiaTheme="minorEastAsia"/>
                <w:color w:val="000000" w:themeColor="text1"/>
                <w:szCs w:val="21"/>
              </w:rPr>
              <w:t>131.12</w:t>
            </w:r>
          </w:p>
        </w:tc>
        <w:tc>
          <w:tcPr>
            <w:tcW w:w="1843" w:type="dxa"/>
            <w:vAlign w:val="center"/>
          </w:tcPr>
          <w:p>
            <w:pPr>
              <w:widowControl/>
              <w:snapToGrid w:val="0"/>
              <w:jc w:val="center"/>
              <w:rPr>
                <w:rFonts w:cs="宋体" w:asciiTheme="minorEastAsia" w:hAnsiTheme="minorEastAsia"/>
                <w:color w:val="000000" w:themeColor="text1"/>
                <w:szCs w:val="21"/>
              </w:rPr>
            </w:pPr>
          </w:p>
        </w:tc>
        <w:tc>
          <w:tcPr>
            <w:tcW w:w="2091" w:type="dxa"/>
            <w:vAlign w:val="center"/>
          </w:tcPr>
          <w:p>
            <w:pPr>
              <w:widowControl/>
              <w:snapToGrid w:val="0"/>
              <w:jc w:val="center"/>
              <w:rPr>
                <w:rFonts w:asciiTheme="minorEastAsia"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restart"/>
            <w:vAlign w:val="center"/>
          </w:tcPr>
          <w:p>
            <w:pPr>
              <w:widowControl/>
              <w:snapToGrid w:val="0"/>
              <w:jc w:val="center"/>
              <w:rPr>
                <w:rFonts w:cs="宋体" w:asciiTheme="minorEastAsia" w:hAnsiTheme="minorEastAsia"/>
                <w:color w:val="000000" w:themeColor="text1"/>
                <w:szCs w:val="21"/>
              </w:rPr>
            </w:pPr>
            <w:r>
              <w:rPr>
                <w:rFonts w:hint="eastAsia" w:cs="宋体" w:asciiTheme="minorEastAsia" w:hAnsiTheme="minorEastAsia"/>
                <w:color w:val="000000" w:themeColor="text1"/>
                <w:szCs w:val="21"/>
              </w:rPr>
              <w:t>土地情况</w:t>
            </w:r>
          </w:p>
        </w:tc>
        <w:tc>
          <w:tcPr>
            <w:tcW w:w="2971" w:type="dxa"/>
            <w:vAlign w:val="center"/>
          </w:tcPr>
          <w:p>
            <w:pPr>
              <w:widowControl/>
              <w:snapToGrid w:val="0"/>
              <w:jc w:val="center"/>
              <w:rPr>
                <w:rFonts w:asciiTheme="minorEastAsia" w:hAnsiTheme="minorEastAsia" w:eastAsiaTheme="minorEastAsia"/>
                <w:color w:val="000000" w:themeColor="text1"/>
                <w:szCs w:val="21"/>
              </w:rPr>
            </w:pPr>
            <w:r>
              <w:rPr>
                <w:sz w:val="22"/>
                <w:szCs w:val="22"/>
              </w:rPr>
              <w:t>土地</w:t>
            </w:r>
            <w:r>
              <w:rPr>
                <w:rFonts w:hint="eastAsia"/>
                <w:sz w:val="22"/>
                <w:szCs w:val="22"/>
              </w:rPr>
              <w:t>权属性质</w:t>
            </w:r>
          </w:p>
        </w:tc>
        <w:tc>
          <w:tcPr>
            <w:tcW w:w="1707"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国有</w:t>
            </w:r>
          </w:p>
        </w:tc>
        <w:tc>
          <w:tcPr>
            <w:tcW w:w="1843" w:type="dxa"/>
            <w:vAlign w:val="center"/>
          </w:tcPr>
          <w:p>
            <w:pPr>
              <w:widowControl/>
              <w:snapToGrid w:val="0"/>
              <w:jc w:val="center"/>
              <w:rPr>
                <w:rFonts w:asciiTheme="minorEastAsia" w:hAnsiTheme="minorEastAsia" w:eastAsiaTheme="minorEastAsia"/>
                <w:color w:val="000000" w:themeColor="text1"/>
                <w:szCs w:val="21"/>
              </w:rPr>
            </w:pPr>
            <w:r>
              <w:rPr>
                <w:rFonts w:hint="eastAsia"/>
                <w:sz w:val="22"/>
                <w:szCs w:val="22"/>
              </w:rPr>
              <w:t>土地使用权类型</w:t>
            </w:r>
          </w:p>
        </w:tc>
        <w:tc>
          <w:tcPr>
            <w:tcW w:w="2091"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widowControl/>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土地用途</w:t>
            </w:r>
          </w:p>
        </w:tc>
        <w:tc>
          <w:tcPr>
            <w:tcW w:w="1707"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住宅</w:t>
            </w:r>
          </w:p>
        </w:tc>
        <w:tc>
          <w:tcPr>
            <w:tcW w:w="1843"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土地终止年限</w:t>
            </w:r>
          </w:p>
        </w:tc>
        <w:tc>
          <w:tcPr>
            <w:tcW w:w="2091"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2073-12-26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widowControl/>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rFonts w:asciiTheme="minorEastAsia" w:hAnsiTheme="minorEastAsia" w:eastAsiaTheme="minorEastAsia"/>
                <w:color w:val="000000" w:themeColor="text1"/>
                <w:szCs w:val="21"/>
              </w:rPr>
            </w:pPr>
            <w:r>
              <w:rPr>
                <w:rFonts w:hint="eastAsia"/>
                <w:sz w:val="22"/>
                <w:szCs w:val="22"/>
              </w:rPr>
              <w:t>共有宗地面积</w:t>
            </w:r>
            <w:r>
              <w:rPr>
                <w:rFonts w:hint="eastAsia" w:asciiTheme="minorEastAsia" w:hAnsiTheme="minorEastAsia" w:eastAsiaTheme="minorEastAsia"/>
                <w:color w:val="000000" w:themeColor="text1"/>
                <w:szCs w:val="21"/>
              </w:rPr>
              <w:t>(㎡)</w:t>
            </w:r>
          </w:p>
        </w:tc>
        <w:tc>
          <w:tcPr>
            <w:tcW w:w="1707" w:type="dxa"/>
            <w:vAlign w:val="center"/>
          </w:tcPr>
          <w:p>
            <w:pPr>
              <w:widowControl/>
              <w:snapToGrid w:val="0"/>
              <w:jc w:val="center"/>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9182</w:t>
            </w:r>
          </w:p>
        </w:tc>
        <w:tc>
          <w:tcPr>
            <w:tcW w:w="1843" w:type="dxa"/>
            <w:vAlign w:val="center"/>
          </w:tcPr>
          <w:p>
            <w:pPr>
              <w:widowControl/>
              <w:snapToGrid w:val="0"/>
              <w:jc w:val="center"/>
              <w:rPr>
                <w:rFonts w:asciiTheme="minorEastAsia" w:hAnsiTheme="minorEastAsia" w:eastAsiaTheme="minorEastAsia"/>
                <w:color w:val="000000" w:themeColor="text1"/>
                <w:szCs w:val="21"/>
              </w:rPr>
            </w:pPr>
            <w:r>
              <w:rPr>
                <w:rFonts w:hint="eastAsia"/>
                <w:sz w:val="22"/>
                <w:szCs w:val="22"/>
              </w:rPr>
              <w:t>房屋占地面积</w:t>
            </w:r>
            <w:r>
              <w:rPr>
                <w:rFonts w:hint="eastAsia" w:asciiTheme="minorEastAsia" w:hAnsiTheme="minorEastAsia" w:eastAsiaTheme="minorEastAsia"/>
                <w:color w:val="000000" w:themeColor="text1"/>
                <w:szCs w:val="21"/>
              </w:rPr>
              <w:t>(㎡)</w:t>
            </w:r>
          </w:p>
        </w:tc>
        <w:tc>
          <w:tcPr>
            <w:tcW w:w="2091"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68.06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widowControl/>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sz w:val="22"/>
                <w:szCs w:val="22"/>
              </w:rPr>
            </w:pPr>
            <w:r>
              <w:rPr>
                <w:rFonts w:hint="eastAsia"/>
                <w:sz w:val="22"/>
                <w:szCs w:val="22"/>
              </w:rPr>
              <w:t>土地</w:t>
            </w:r>
            <w:r>
              <w:rPr>
                <w:sz w:val="22"/>
                <w:szCs w:val="22"/>
              </w:rPr>
              <w:t>使用管制</w:t>
            </w:r>
          </w:p>
        </w:tc>
        <w:tc>
          <w:tcPr>
            <w:tcW w:w="1707"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无</w:t>
            </w:r>
          </w:p>
        </w:tc>
        <w:tc>
          <w:tcPr>
            <w:tcW w:w="1843" w:type="dxa"/>
            <w:vAlign w:val="center"/>
          </w:tcPr>
          <w:p>
            <w:pPr>
              <w:widowControl/>
              <w:snapToGrid w:val="0"/>
              <w:jc w:val="center"/>
              <w:rPr>
                <w:rFonts w:asciiTheme="minorEastAsia" w:hAnsiTheme="minorEastAsia" w:eastAsiaTheme="minorEastAsia"/>
                <w:color w:val="000000" w:themeColor="text1"/>
                <w:szCs w:val="21"/>
              </w:rPr>
            </w:pPr>
            <w:r>
              <w:rPr>
                <w:sz w:val="22"/>
                <w:szCs w:val="22"/>
              </w:rPr>
              <w:t>其他特殊情况</w:t>
            </w:r>
          </w:p>
        </w:tc>
        <w:tc>
          <w:tcPr>
            <w:tcW w:w="2091" w:type="dxa"/>
            <w:vAlign w:val="center"/>
          </w:tcPr>
          <w:p>
            <w:pPr>
              <w:widowControl/>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附记</w:t>
            </w:r>
          </w:p>
        </w:tc>
        <w:tc>
          <w:tcPr>
            <w:tcW w:w="8612" w:type="dxa"/>
            <w:gridSpan w:val="4"/>
            <w:vAlign w:val="center"/>
          </w:tcPr>
          <w:p>
            <w:pPr>
              <w:widowControl/>
              <w:snapToGrid w:val="0"/>
              <w:jc w:val="center"/>
              <w:rPr>
                <w:rFonts w:cs="Arial" w:asciiTheme="minorEastAsia" w:hAnsiTheme="minorEastAsia"/>
                <w:color w:val="000000" w:themeColor="text1"/>
                <w:szCs w:val="21"/>
              </w:rPr>
            </w:pPr>
            <w:r>
              <w:rPr>
                <w:rFonts w:hint="eastAsia" w:cs="Arial" w:asciiTheme="minorEastAsia" w:hAnsi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restart"/>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他项权利情况</w:t>
            </w:r>
          </w:p>
        </w:tc>
        <w:tc>
          <w:tcPr>
            <w:tcW w:w="2971"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担保物权设立情况</w:t>
            </w:r>
          </w:p>
        </w:tc>
        <w:tc>
          <w:tcPr>
            <w:tcW w:w="5641" w:type="dxa"/>
            <w:gridSpan w:val="3"/>
            <w:vAlign w:val="center"/>
          </w:tcPr>
          <w:p>
            <w:pPr>
              <w:widowControl/>
              <w:snapToGrid w:val="0"/>
              <w:rPr>
                <w:rFonts w:asciiTheme="minorEastAsia" w:hAnsiTheme="minorEastAsia"/>
                <w:color w:val="000000" w:themeColor="text1"/>
                <w:szCs w:val="21"/>
              </w:rPr>
            </w:pPr>
            <w:r>
              <w:rPr>
                <w:rFonts w:hint="eastAsia" w:asciiTheme="minorEastAsia" w:hAnsiTheme="minorEastAsia" w:eastAsiaTheme="minorEastAsia"/>
                <w:color w:val="000000" w:themeColor="text1"/>
                <w:spacing w:val="-4"/>
                <w:szCs w:val="21"/>
              </w:rPr>
              <w:t>至价值时点，未见估价对象抵押资料。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5" w:type="dxa"/>
            <w:vMerge w:val="continue"/>
            <w:vAlign w:val="center"/>
          </w:tcPr>
          <w:p>
            <w:pPr>
              <w:widowControl/>
              <w:snapToGrid w:val="0"/>
              <w:jc w:val="center"/>
              <w:rPr>
                <w:rFonts w:cs="宋体" w:asciiTheme="minorEastAsia" w:hAnsiTheme="minorEastAsia"/>
                <w:color w:val="000000" w:themeColor="text1"/>
                <w:szCs w:val="21"/>
              </w:rPr>
            </w:pPr>
          </w:p>
        </w:tc>
        <w:tc>
          <w:tcPr>
            <w:tcW w:w="2971" w:type="dxa"/>
            <w:vAlign w:val="center"/>
          </w:tcPr>
          <w:p>
            <w:pPr>
              <w:widowControl/>
              <w:snapToGrid w:val="0"/>
              <w:jc w:val="center"/>
              <w:rPr>
                <w:rFonts w:cs="宋体" w:asciiTheme="minorEastAsia" w:hAnsiTheme="minorEastAsia"/>
                <w:color w:val="000000" w:themeColor="text1"/>
                <w:szCs w:val="21"/>
              </w:rPr>
            </w:pPr>
            <w:r>
              <w:rPr>
                <w:rFonts w:hint="eastAsia" w:asciiTheme="minorEastAsia" w:hAnsiTheme="minorEastAsia" w:eastAsiaTheme="minorEastAsia"/>
                <w:color w:val="000000" w:themeColor="text1"/>
                <w:szCs w:val="21"/>
              </w:rPr>
              <w:t>租赁或占用情况</w:t>
            </w:r>
          </w:p>
        </w:tc>
        <w:tc>
          <w:tcPr>
            <w:tcW w:w="5641" w:type="dxa"/>
            <w:gridSpan w:val="3"/>
            <w:vAlign w:val="center"/>
          </w:tcPr>
          <w:p>
            <w:pPr>
              <w:widowControl/>
              <w:snapToGrid w:val="0"/>
              <w:rPr>
                <w:rFonts w:asciiTheme="minorEastAsia" w:hAnsiTheme="minorEastAsia"/>
                <w:color w:val="000000" w:themeColor="text1"/>
                <w:szCs w:val="21"/>
              </w:rPr>
            </w:pPr>
            <w:r>
              <w:rPr>
                <w:rFonts w:hint="eastAsia" w:asciiTheme="minorEastAsia" w:hAnsiTheme="minorEastAsia" w:eastAsiaTheme="minorEastAsia"/>
                <w:color w:val="000000" w:themeColor="text1"/>
                <w:szCs w:val="21"/>
              </w:rPr>
              <w:t>至价值时点，估价对象由其权利人占有和使用，未对外出租。</w:t>
            </w:r>
          </w:p>
        </w:tc>
      </w:tr>
    </w:tbl>
    <w:p>
      <w:pPr>
        <w:wordWrap w:val="0"/>
        <w:spacing w:line="480" w:lineRule="exact"/>
        <w:ind w:firstLine="482" w:firstLineChars="200"/>
        <w:rPr>
          <w:rFonts w:cs="仿宋_GB2312" w:asciiTheme="minorEastAsia" w:hAnsiTheme="minorEastAsia" w:eastAsiaTheme="minorEastAsia"/>
          <w:b/>
          <w:color w:val="000000" w:themeColor="text1"/>
          <w:sz w:val="24"/>
          <w:szCs w:val="24"/>
        </w:rPr>
      </w:pPr>
      <w:r>
        <w:rPr>
          <w:rFonts w:hint="eastAsia" w:cs="仿宋_GB2312" w:asciiTheme="minorEastAsia" w:hAnsiTheme="minorEastAsia" w:eastAsiaTheme="minorEastAsia"/>
          <w:b/>
          <w:color w:val="000000" w:themeColor="text1"/>
          <w:sz w:val="24"/>
          <w:szCs w:val="24"/>
        </w:rPr>
        <w:t>4、估价对象区位状况</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(1)位置状况</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①坐落：清流东路518号6幢602室。</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②区域功能定位：住宅为主，商业配套，承载医疗卫生、文体教育、其他生态功能的综合性片区。</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③四至：东至紫薇中路，南至相邻住宅支路，西至大成国际，北至清流中路。</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④距区级商务中心距离：距区级商务中心500－1000米。</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⑤楼栋位置状况：估价对象不临路，位置较好。</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⑥楼层：建筑物总楼层为6层，估价对象所在楼层为6层。</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⑦朝向：南。</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(2)交通情况</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①道路状况：</w:t>
      </w:r>
      <w:r>
        <w:rPr>
          <w:rFonts w:hint="eastAsia" w:asciiTheme="minorEastAsia" w:hAnsiTheme="minorEastAsia"/>
          <w:sz w:val="24"/>
          <w:szCs w:val="24"/>
        </w:rPr>
        <w:t>估价对象所在区域有南谯北路、清流中路等主次干道。</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②交通工具及设施：公交站有邮政储蓄银行、刨花板厂、清流路，公交线路为2路、10路、20路、12路、22路、106路、110路、3路、4路、19路、24路、25路、103路、108路、K1路；</w:t>
      </w:r>
      <w:bookmarkStart w:id="59" w:name="_GoBack"/>
      <w:r>
        <w:rPr>
          <w:rFonts w:hint="eastAsia" w:asciiTheme="minorEastAsia" w:hAnsiTheme="minorEastAsia" w:cstheme="minorEastAsia"/>
          <w:color w:val="000000" w:themeColor="text1"/>
          <w:sz w:val="24"/>
          <w:szCs w:val="24"/>
        </w:rPr>
        <w:t>交通较便利。</w:t>
      </w:r>
      <w:bookmarkEnd w:id="59"/>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③交通管制情况：无特别管制。</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④停车方便程度：停车位较充足，停车较方便。</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(3)外部配套设施状况</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①基础设施：宗地外基础设施设施较齐全，较完善。</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②公共服务设施：估价对象附近有万达广场(滁州店)、乐彩城(滁州店)、金光大道广场；苏果超市(清流中路店)、苏果超市(滁州凤凰东路店)、苏果超市(清流西路店)；中国邮政储蓄银行(清流路支行)、中国工商银行ATM(清流分理处)、中国人民银行(滁州市中心支行)；滁州市第五人民医院、滁州银花医院、皖东人民医院(老院区)；滁州市第三小学、滁州市第二小学、滁州市实验中学(东校区)；公园有清流公园、莲心公园；设施较齐全，较完善。</w:t>
      </w:r>
    </w:p>
    <w:p>
      <w:pPr>
        <w:wordWrap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cstheme="minorEastAsia"/>
          <w:color w:val="000000" w:themeColor="text1"/>
          <w:sz w:val="24"/>
          <w:szCs w:val="24"/>
        </w:rPr>
        <w:t>(4)周边环境状况</w:t>
      </w:r>
    </w:p>
    <w:p>
      <w:pPr>
        <w:wordWrap w:val="0"/>
        <w:spacing w:line="48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①自然环境：估价对象所处区域环境一般，绿化达标（即自然环境一般）。</w:t>
      </w:r>
    </w:p>
    <w:p>
      <w:pPr>
        <w:wordWrap w:val="0"/>
        <w:spacing w:line="48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②人文环境：</w:t>
      </w:r>
      <w:r>
        <w:rPr>
          <w:rFonts w:hint="eastAsia" w:asciiTheme="minorEastAsia" w:hAnsiTheme="minorEastAsia"/>
          <w:sz w:val="24"/>
          <w:szCs w:val="24"/>
        </w:rPr>
        <w:t>估价对象所在区域</w:t>
      </w:r>
      <w:r>
        <w:rPr>
          <w:rFonts w:hint="eastAsia" w:asciiTheme="minorEastAsia" w:hAnsiTheme="minorEastAsia" w:cstheme="minorEastAsia"/>
          <w:sz w:val="24"/>
          <w:szCs w:val="24"/>
        </w:rPr>
        <w:t>人口素质较高，人文环境较好，治安状况较好（即人文环境较好）</w:t>
      </w:r>
      <w:r>
        <w:rPr>
          <w:rFonts w:hint="eastAsia" w:asciiTheme="minorEastAsia" w:hAnsiTheme="minorEastAsia"/>
          <w:sz w:val="24"/>
          <w:szCs w:val="24"/>
        </w:rPr>
        <w:t>。</w:t>
      </w:r>
    </w:p>
    <w:p>
      <w:pPr>
        <w:wordWrap w:val="0"/>
        <w:spacing w:line="48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③景观：</w:t>
      </w:r>
      <w:r>
        <w:rPr>
          <w:rFonts w:hint="eastAsia" w:asciiTheme="minorEastAsia" w:hAnsiTheme="minorEastAsia" w:cstheme="minorEastAsia"/>
          <w:spacing w:val="-6"/>
          <w:sz w:val="24"/>
          <w:szCs w:val="24"/>
        </w:rPr>
        <w:t>估价对象附近无景观，周边建筑式样一般，视野局限于建筑物周围</w:t>
      </w:r>
      <w:r>
        <w:rPr>
          <w:rFonts w:hint="eastAsia" w:asciiTheme="minorEastAsia" w:hAnsiTheme="minorEastAsia" w:cstheme="minorEastAsia"/>
          <w:sz w:val="24"/>
          <w:szCs w:val="24"/>
        </w:rPr>
        <w:t>。</w:t>
      </w:r>
    </w:p>
    <w:p>
      <w:pPr>
        <w:wordWrap w:val="0"/>
        <w:spacing w:line="480" w:lineRule="exact"/>
        <w:ind w:firstLine="480" w:firstLineChars="200"/>
        <w:rPr>
          <w:rFonts w:asciiTheme="minorEastAsia" w:hAnsiTheme="minorEastAsia" w:eastAsiaTheme="minorEastAsia"/>
          <w:sz w:val="24"/>
          <w:szCs w:val="24"/>
        </w:rPr>
      </w:pPr>
      <w:r>
        <w:rPr>
          <w:rFonts w:hint="eastAsia" w:asciiTheme="minorEastAsia" w:hAnsiTheme="minorEastAsia" w:cstheme="minorEastAsia"/>
          <w:sz w:val="24"/>
          <w:szCs w:val="24"/>
        </w:rPr>
        <w:t>④不良</w:t>
      </w:r>
      <w:r>
        <w:rPr>
          <w:rFonts w:asciiTheme="minorEastAsia" w:hAnsiTheme="minorEastAsia" w:cstheme="minorEastAsia"/>
          <w:sz w:val="24"/>
          <w:szCs w:val="24"/>
        </w:rPr>
        <w:t>影响设施：</w:t>
      </w:r>
      <w:r>
        <w:rPr>
          <w:rFonts w:hint="eastAsia" w:asciiTheme="minorEastAsia" w:hAnsiTheme="minorEastAsia" w:cstheme="minorEastAsia"/>
          <w:sz w:val="24"/>
          <w:szCs w:val="24"/>
        </w:rPr>
        <w:t>无。</w:t>
      </w:r>
    </w:p>
    <w:p>
      <w:pPr>
        <w:pStyle w:val="3"/>
        <w:spacing w:before="146" w:line="480" w:lineRule="exact"/>
        <w:rPr>
          <w:sz w:val="24"/>
          <w:szCs w:val="24"/>
        </w:rPr>
      </w:pPr>
      <w:bookmarkStart w:id="23" w:name="_Toc480967876"/>
      <w:bookmarkStart w:id="24" w:name="_Toc485393190"/>
      <w:bookmarkStart w:id="25" w:name="_Toc110325025"/>
      <w:r>
        <w:rPr>
          <w:sz w:val="24"/>
          <w:szCs w:val="24"/>
        </w:rPr>
        <w:t>（五）</w:t>
      </w:r>
      <w:r>
        <w:rPr>
          <w:rFonts w:hint="eastAsia"/>
          <w:sz w:val="24"/>
          <w:szCs w:val="24"/>
        </w:rPr>
        <w:t>价值</w:t>
      </w:r>
      <w:r>
        <w:rPr>
          <w:sz w:val="24"/>
          <w:szCs w:val="24"/>
        </w:rPr>
        <w:t>时点</w:t>
      </w:r>
      <w:bookmarkEnd w:id="23"/>
      <w:bookmarkEnd w:id="24"/>
      <w:bookmarkEnd w:id="25"/>
    </w:p>
    <w:p>
      <w:pPr>
        <w:spacing w:line="480" w:lineRule="exact"/>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2022年7月21日</w:t>
      </w:r>
    </w:p>
    <w:p>
      <w:pPr>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eastAsiaTheme="minorEastAsia"/>
          <w:sz w:val="24"/>
          <w:szCs w:val="24"/>
        </w:rPr>
        <w:t>价值时点确定的理由：根据本次估价目的，以现场查勘之日确定为价值时点。本次现场查勘日期为2022年7月21日。</w:t>
      </w:r>
    </w:p>
    <w:p>
      <w:pPr>
        <w:pStyle w:val="3"/>
        <w:spacing w:before="146" w:line="480" w:lineRule="exact"/>
        <w:rPr>
          <w:sz w:val="24"/>
          <w:szCs w:val="24"/>
        </w:rPr>
      </w:pPr>
      <w:bookmarkStart w:id="26" w:name="_Toc3144"/>
      <w:bookmarkStart w:id="27" w:name="_Toc110325026"/>
      <w:bookmarkStart w:id="28" w:name="_Toc484869468"/>
      <w:r>
        <w:rPr>
          <w:rFonts w:hint="eastAsia"/>
          <w:sz w:val="24"/>
          <w:szCs w:val="24"/>
        </w:rPr>
        <w:t>（六）价值类型</w:t>
      </w:r>
      <w:bookmarkEnd w:id="26"/>
      <w:bookmarkEnd w:id="27"/>
      <w:bookmarkEnd w:id="28"/>
    </w:p>
    <w:p>
      <w:pPr>
        <w:suppressAutoHyphens/>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sz w:val="24"/>
          <w:szCs w:val="24"/>
        </w:rPr>
        <w:t>房地产市场价值，是房地产经适当营销后，由熟悉情况、谨慎行事且不受强迫的交易双方，以公平交易方式在价值时点自愿进行交易的金额，不考虑抵押、租赁、查封等因素的影响。</w:t>
      </w:r>
    </w:p>
    <w:p>
      <w:pPr>
        <w:pStyle w:val="3"/>
        <w:spacing w:before="146" w:line="480" w:lineRule="exact"/>
        <w:rPr>
          <w:sz w:val="24"/>
          <w:szCs w:val="24"/>
        </w:rPr>
      </w:pPr>
      <w:bookmarkStart w:id="29" w:name="_Toc480967878"/>
      <w:bookmarkStart w:id="30" w:name="_Toc110325027"/>
      <w:bookmarkStart w:id="31" w:name="_Toc485393192"/>
      <w:r>
        <w:rPr>
          <w:sz w:val="24"/>
          <w:szCs w:val="24"/>
        </w:rPr>
        <w:t>（七）估价原则</w:t>
      </w:r>
      <w:bookmarkEnd w:id="29"/>
      <w:bookmarkEnd w:id="30"/>
      <w:bookmarkEnd w:id="31"/>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本次估价遵循的估价原则有：</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1、独立、客观、公正原则</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独立、客观、公正原则是</w:t>
      </w:r>
      <w:r>
        <w:rPr>
          <w:rFonts w:asciiTheme="minorEastAsia" w:hAnsiTheme="minorEastAsia" w:eastAsiaTheme="minorEastAsia"/>
          <w:color w:val="000000" w:themeColor="text1"/>
          <w:sz w:val="24"/>
          <w:szCs w:val="24"/>
        </w:rPr>
        <w:t>要求房地产估价师站在中立的立场上，</w:t>
      </w:r>
      <w:r>
        <w:rPr>
          <w:rFonts w:hint="eastAsia" w:asciiTheme="minorEastAsia" w:hAnsiTheme="minorEastAsia" w:eastAsiaTheme="minorEastAsia"/>
          <w:color w:val="000000" w:themeColor="text1"/>
          <w:sz w:val="24"/>
          <w:szCs w:val="24"/>
        </w:rPr>
        <w:t>事实求是、公平正直地</w:t>
      </w:r>
      <w:r>
        <w:rPr>
          <w:rFonts w:asciiTheme="minorEastAsia" w:hAnsiTheme="minorEastAsia" w:eastAsiaTheme="minorEastAsia"/>
          <w:color w:val="000000" w:themeColor="text1"/>
          <w:sz w:val="24"/>
          <w:szCs w:val="24"/>
        </w:rPr>
        <w:t>评估出对各方</w:t>
      </w:r>
      <w:r>
        <w:rPr>
          <w:rFonts w:hint="eastAsia" w:asciiTheme="minorEastAsia" w:hAnsiTheme="minorEastAsia" w:eastAsiaTheme="minorEastAsia"/>
          <w:color w:val="000000" w:themeColor="text1"/>
          <w:sz w:val="24"/>
          <w:szCs w:val="24"/>
        </w:rPr>
        <w:t>估价利害关系人均是公平合理的价值或价格。</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2、合法原则</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asciiTheme="minorEastAsia" w:hAnsiTheme="minorEastAsia" w:eastAsiaTheme="minorEastAsia"/>
          <w:color w:val="000000" w:themeColor="text1"/>
          <w:sz w:val="24"/>
          <w:szCs w:val="24"/>
        </w:rPr>
        <w:t>所谓合法，是指符合国家的法律、法规和当地政府的有关规定，其权益才能受法律保护，并体现其权益价值。在考虑估价对象的用途时，应以合法利用、合法交易、合法处置为前提。</w:t>
      </w:r>
      <w:r>
        <w:rPr>
          <w:rFonts w:hint="eastAsia" w:asciiTheme="minorEastAsia" w:hAnsiTheme="minorEastAsia" w:eastAsiaTheme="minorEastAsia"/>
          <w:color w:val="000000" w:themeColor="text1"/>
          <w:sz w:val="24"/>
          <w:szCs w:val="24"/>
        </w:rPr>
        <w:t>评估报告充分考虑了估价对象权属合法取得、合法使用以及今后合法处分，并以此作为本项评估的前提。</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3、价值时点原则</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房地产市场处于不断变化之中，其价格具有很强的时间性。本次估价对房地产的市场情况及其本身状况的界定，均以其在价值时点的状况为准。</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4、</w:t>
      </w:r>
      <w:r>
        <w:rPr>
          <w:rFonts w:asciiTheme="minorEastAsia" w:hAnsiTheme="minorEastAsia" w:eastAsiaTheme="minorEastAsia"/>
          <w:color w:val="000000" w:themeColor="text1"/>
          <w:sz w:val="24"/>
          <w:szCs w:val="24"/>
        </w:rPr>
        <w:t>替代原则</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Pr>
          <w:rFonts w:asciiTheme="minorEastAsia" w:hAnsiTheme="minorEastAsia" w:eastAsiaTheme="minorEastAsia"/>
          <w:color w:val="000000" w:themeColor="text1"/>
          <w:sz w:val="24"/>
          <w:szCs w:val="24"/>
        </w:rPr>
        <w:t>在房地产市场中也是如此，即在同一市场供需圈内，可以通过调查近期发生交易的、与待估房地产有替代可能的房地产价格和条件，通过与待估房地产进行比较，然后对其间的差别作适当的修正，确定待估房地产的市场价值。</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5、最高最佳利用原则</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asciiTheme="minorEastAsia" w:hAnsiTheme="minorEastAsia" w:eastAsiaTheme="minorEastAsia"/>
          <w:color w:val="000000" w:themeColor="text1"/>
          <w:sz w:val="24"/>
          <w:szCs w:val="24"/>
        </w:rPr>
        <w:t>房地产估价中所确定的客观合理价格或价值，其实质是房地产的经济价值，它体现在房地产的使用过程中。在考虑估价对象的用途时，应取其最高最佳利用状态，是指法律上允许、技术上可能、经济上可行、能使估价对象发挥最高价值的利用状态。</w:t>
      </w:r>
    </w:p>
    <w:p>
      <w:pPr>
        <w:snapToGrid w:val="0"/>
        <w:spacing w:line="48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总之，在估价过程中，要按国家、地方有关规定，遵守客观、公正、科学、合法的原则进行房地产价格评估，做到估价过程合法合理，估价方法科学，估价结果准确，严格保守估价秘密。</w:t>
      </w:r>
    </w:p>
    <w:p>
      <w:pPr>
        <w:pStyle w:val="3"/>
        <w:spacing w:before="146" w:line="480" w:lineRule="exact"/>
        <w:rPr>
          <w:sz w:val="24"/>
          <w:szCs w:val="24"/>
        </w:rPr>
      </w:pPr>
      <w:bookmarkStart w:id="32" w:name="_Toc110325028"/>
      <w:r>
        <w:rPr>
          <w:sz w:val="24"/>
          <w:szCs w:val="24"/>
        </w:rPr>
        <w:t>（</w:t>
      </w:r>
      <w:r>
        <w:rPr>
          <w:rFonts w:hint="eastAsia"/>
          <w:sz w:val="24"/>
          <w:szCs w:val="24"/>
        </w:rPr>
        <w:t>八</w:t>
      </w:r>
      <w:r>
        <w:rPr>
          <w:sz w:val="24"/>
          <w:szCs w:val="24"/>
        </w:rPr>
        <w:t>）估价</w:t>
      </w:r>
      <w:r>
        <w:rPr>
          <w:rFonts w:hint="eastAsia"/>
          <w:sz w:val="24"/>
          <w:szCs w:val="24"/>
        </w:rPr>
        <w:t>依据</w:t>
      </w:r>
      <w:bookmarkEnd w:id="32"/>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1、依据的有关法律、法规和部门规章</w:t>
      </w:r>
    </w:p>
    <w:p>
      <w:pPr>
        <w:spacing w:line="480" w:lineRule="exact"/>
        <w:ind w:firstLine="480" w:firstLineChars="200"/>
        <w:rPr>
          <w:rFonts w:cs="Arial" w:asciiTheme="minorEastAsia" w:hAnsiTheme="minorEastAsia" w:eastAsiaTheme="minorEastAsia"/>
          <w:color w:val="000000" w:themeColor="text1"/>
          <w:sz w:val="24"/>
          <w:szCs w:val="24"/>
        </w:rPr>
      </w:pPr>
      <w:r>
        <w:rPr>
          <w:rFonts w:hint="eastAsia" w:cs="Arial" w:asciiTheme="minorEastAsia" w:hAnsiTheme="minorEastAsia"/>
          <w:color w:val="000000" w:themeColor="text1"/>
          <w:sz w:val="24"/>
          <w:szCs w:val="24"/>
        </w:rPr>
        <w:t>(</w:t>
      </w:r>
      <w:r>
        <w:rPr>
          <w:rFonts w:cs="Arial" w:asciiTheme="minorEastAsia" w:hAnsiTheme="minorEastAsia"/>
          <w:color w:val="000000" w:themeColor="text1"/>
          <w:sz w:val="24"/>
          <w:szCs w:val="24"/>
        </w:rPr>
        <w:t>1</w:t>
      </w:r>
      <w:r>
        <w:rPr>
          <w:rFonts w:hint="eastAsia" w:cs="Arial" w:asciiTheme="minorEastAsia" w:hAnsiTheme="minorEastAsia"/>
          <w:color w:val="000000" w:themeColor="text1"/>
          <w:sz w:val="24"/>
          <w:szCs w:val="24"/>
        </w:rPr>
        <w:t>)《中华人民共和国资产评估法》(中华人民共和国主席令第46号，中华人民共和国第十二届全国人民代表大会第二十一条会议通过，自2016年12月1日起施行)；</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(2)</w:t>
      </w:r>
      <w:r>
        <w:rPr>
          <w:rFonts w:hint="eastAsia" w:cs="Arial" w:asciiTheme="minorEastAsia" w:hAnsiTheme="minorEastAsia"/>
          <w:color w:val="000000" w:themeColor="text1"/>
          <w:sz w:val="24"/>
          <w:szCs w:val="24"/>
        </w:rPr>
        <w:t>《中华人民共和国民法典》(中华人民共和国主席令第45号，自2021年1月1日施行)；</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(3)</w:t>
      </w:r>
      <w:r>
        <w:rPr>
          <w:rFonts w:hint="eastAsia" w:cs="Arial" w:asciiTheme="minorEastAsia" w:hAnsiTheme="minorEastAsia"/>
          <w:color w:val="000000" w:themeColor="text1"/>
          <w:sz w:val="24"/>
          <w:szCs w:val="24"/>
        </w:rPr>
        <w:t>《中华人民共和国城市房地产管理法》(2019年08月26日第三次修正)；</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(4)</w:t>
      </w:r>
      <w:r>
        <w:rPr>
          <w:rFonts w:hint="eastAsia" w:cs="Arial" w:asciiTheme="minorEastAsia" w:hAnsiTheme="minorEastAsia"/>
          <w:color w:val="000000" w:themeColor="text1"/>
          <w:sz w:val="24"/>
          <w:szCs w:val="24"/>
        </w:rPr>
        <w:t>《中华人民共和国土地管理法》(2019年08月26日第三次修正)</w:t>
      </w:r>
      <w:r>
        <w:rPr>
          <w:rFonts w:cs="Arial" w:asciiTheme="minorEastAsia" w:hAnsiTheme="minorEastAsia"/>
          <w:color w:val="000000" w:themeColor="text1"/>
          <w:sz w:val="24"/>
          <w:szCs w:val="24"/>
        </w:rPr>
        <w:t>；</w:t>
      </w:r>
    </w:p>
    <w:p>
      <w:pPr>
        <w:spacing w:line="480" w:lineRule="exact"/>
        <w:ind w:firstLine="480" w:firstLineChars="200"/>
        <w:rPr>
          <w:rFonts w:cs="Arial" w:asciiTheme="minorEastAsia" w:hAnsiTheme="minorEastAsia"/>
          <w:color w:val="000000" w:themeColor="text1"/>
          <w:sz w:val="24"/>
          <w:szCs w:val="24"/>
        </w:rPr>
      </w:pPr>
      <w:r>
        <w:rPr>
          <w:rFonts w:cs="Arial" w:asciiTheme="minorEastAsia" w:hAnsiTheme="minorEastAsia"/>
          <w:color w:val="000000" w:themeColor="text1"/>
          <w:sz w:val="24"/>
          <w:szCs w:val="24"/>
        </w:rPr>
        <w:t>(5)</w:t>
      </w:r>
      <w:r>
        <w:rPr>
          <w:rFonts w:hint="eastAsia" w:cs="仿宋_GB2312" w:asciiTheme="minorEastAsia" w:hAnsiTheme="minorEastAsia"/>
          <w:color w:val="000000" w:themeColor="text1"/>
          <w:sz w:val="24"/>
          <w:szCs w:val="24"/>
        </w:rPr>
        <w:t>《中华人民共和国城乡规划法》(中华人民共和国主席令第74号，中华人民共和国第十届全国人民代表大会常务委员会第三十次会议通过，自2008年1月1日起施行)</w:t>
      </w:r>
      <w:r>
        <w:rPr>
          <w:rFonts w:cs="Arial" w:asciiTheme="minorEastAsia" w:hAnsiTheme="minorEastAsia"/>
          <w:color w:val="000000" w:themeColor="text1"/>
          <w:sz w:val="24"/>
          <w:szCs w:val="24"/>
        </w:rPr>
        <w:t>；</w:t>
      </w:r>
    </w:p>
    <w:p>
      <w:pPr>
        <w:spacing w:line="460" w:lineRule="exact"/>
        <w:ind w:firstLine="448" w:firstLineChars="200"/>
        <w:rPr>
          <w:rFonts w:ascii="宋体" w:hAnsi="宋体"/>
          <w:sz w:val="24"/>
          <w:szCs w:val="24"/>
        </w:rPr>
      </w:pPr>
      <w:r>
        <w:rPr>
          <w:rFonts w:hint="eastAsia" w:asciiTheme="minorEastAsia" w:hAnsiTheme="minorEastAsia"/>
          <w:spacing w:val="-8"/>
          <w:sz w:val="24"/>
          <w:szCs w:val="24"/>
        </w:rPr>
        <w:t>(6)</w:t>
      </w:r>
      <w:r>
        <w:rPr>
          <w:rFonts w:hint="eastAsia" w:ascii="宋体" w:hAnsi="宋体"/>
          <w:sz w:val="24"/>
          <w:szCs w:val="24"/>
        </w:rPr>
        <w:t>《中华人民共和国房产税暂行条例》（1986年9月15日国务院发布）；</w:t>
      </w:r>
    </w:p>
    <w:p>
      <w:pPr>
        <w:spacing w:line="460" w:lineRule="exact"/>
        <w:ind w:firstLine="480" w:firstLineChars="200"/>
        <w:rPr>
          <w:rFonts w:cs="Arial" w:asciiTheme="minorEastAsia" w:hAnsiTheme="minorEastAsia" w:eastAsiaTheme="minorEastAsia"/>
          <w:color w:val="000000" w:themeColor="text1"/>
          <w:sz w:val="24"/>
          <w:szCs w:val="24"/>
        </w:rPr>
      </w:pPr>
      <w:r>
        <w:rPr>
          <w:rFonts w:hint="eastAsia" w:ascii="宋体" w:hAnsi="宋体"/>
          <w:sz w:val="24"/>
          <w:szCs w:val="24"/>
        </w:rPr>
        <w:t>(7)《关于全面推开营业税改征增值税试点的通知》</w:t>
      </w:r>
      <w:r>
        <w:rPr>
          <w:rFonts w:ascii="宋体" w:hAnsi="宋体"/>
          <w:sz w:val="24"/>
          <w:szCs w:val="24"/>
        </w:rPr>
        <w:t>财税</w:t>
      </w:r>
      <w:r>
        <w:rPr>
          <w:rFonts w:hint="eastAsia" w:ascii="宋体" w:hAnsi="宋体"/>
          <w:sz w:val="24"/>
          <w:szCs w:val="24"/>
        </w:rPr>
        <w:t>（</w:t>
      </w:r>
      <w:r>
        <w:rPr>
          <w:rFonts w:ascii="宋体" w:hAnsi="宋体"/>
          <w:sz w:val="24"/>
          <w:szCs w:val="24"/>
        </w:rPr>
        <w:t>〔2016〕36号</w:t>
      </w:r>
      <w:r>
        <w:rPr>
          <w:rFonts w:hint="eastAsia" w:ascii="宋体" w:hAnsi="宋体"/>
          <w:sz w:val="24"/>
          <w:szCs w:val="24"/>
        </w:rPr>
        <w:t>）</w:t>
      </w:r>
      <w:r>
        <w:rPr>
          <w:rFonts w:asciiTheme="minorEastAsia" w:hAnsiTheme="minorEastAsia"/>
          <w:spacing w:val="-8"/>
          <w:sz w:val="24"/>
          <w:szCs w:val="24"/>
        </w:rPr>
        <w:t>；</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(8)</w:t>
      </w:r>
      <w:r>
        <w:rPr>
          <w:rFonts w:hint="eastAsia" w:cs="Arial" w:asciiTheme="minorEastAsia" w:hAnsiTheme="minorEastAsia"/>
          <w:color w:val="000000" w:themeColor="text1"/>
          <w:sz w:val="24"/>
          <w:szCs w:val="24"/>
        </w:rPr>
        <w:t>《纳税人转让不动产增值税征收管理暂行办法》2016年5月1日起执行)；</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(9)</w:t>
      </w:r>
      <w:r>
        <w:rPr>
          <w:rFonts w:hint="eastAsia" w:cs="Arial" w:asciiTheme="minorEastAsia" w:hAnsiTheme="minorEastAsia"/>
          <w:color w:val="000000" w:themeColor="text1"/>
          <w:sz w:val="24"/>
          <w:szCs w:val="24"/>
        </w:rPr>
        <w:t>《关于全面推开营业税改征增值税试点有关税收征收管理事项的公告》(2016年5月1日起执行)；</w:t>
      </w:r>
    </w:p>
    <w:p>
      <w:pPr>
        <w:spacing w:line="460" w:lineRule="exact"/>
        <w:ind w:firstLine="480" w:firstLineChars="200"/>
        <w:rPr>
          <w:rFonts w:cs="Arial" w:asciiTheme="minorEastAsia" w:hAnsiTheme="minorEastAsia" w:eastAsiaTheme="minorEastAsia"/>
          <w:color w:val="000000" w:themeColor="text1"/>
          <w:sz w:val="24"/>
          <w:szCs w:val="24"/>
        </w:rPr>
      </w:pPr>
      <w:r>
        <w:rPr>
          <w:rFonts w:hint="eastAsia" w:cs="Arial" w:asciiTheme="minorEastAsia" w:hAnsiTheme="minorEastAsia" w:eastAsiaTheme="minorEastAsia"/>
          <w:color w:val="000000" w:themeColor="text1"/>
          <w:sz w:val="24"/>
          <w:szCs w:val="24"/>
        </w:rPr>
        <w:t>(10)</w:t>
      </w:r>
      <w:r>
        <w:rPr>
          <w:rFonts w:hint="eastAsia" w:ascii="宋体" w:hAnsi="宋体"/>
          <w:sz w:val="24"/>
          <w:szCs w:val="24"/>
        </w:rPr>
        <w:t>《国务院关于修改〈征收教育费附加的暂行规定〉的决定》（中华人民共和国国务院令第448号）；</w:t>
      </w:r>
    </w:p>
    <w:p>
      <w:pPr>
        <w:spacing w:line="480" w:lineRule="exact"/>
        <w:ind w:firstLine="480" w:firstLineChars="200"/>
        <w:rPr>
          <w:rFonts w:cs="Arial" w:asciiTheme="minorEastAsia" w:hAnsiTheme="minorEastAsia"/>
          <w:color w:val="000000" w:themeColor="text1"/>
          <w:sz w:val="24"/>
          <w:szCs w:val="24"/>
        </w:rPr>
      </w:pPr>
      <w:r>
        <w:rPr>
          <w:rFonts w:cs="Arial" w:asciiTheme="minorEastAsia" w:hAnsiTheme="minorEastAsia"/>
          <w:color w:val="000000" w:themeColor="text1"/>
          <w:sz w:val="24"/>
          <w:szCs w:val="24"/>
        </w:rPr>
        <w:t>(</w:t>
      </w:r>
      <w:r>
        <w:rPr>
          <w:rFonts w:hint="eastAsia" w:cs="Arial" w:asciiTheme="minorEastAsia" w:hAnsiTheme="minorEastAsia"/>
          <w:color w:val="000000" w:themeColor="text1"/>
          <w:sz w:val="24"/>
          <w:szCs w:val="24"/>
        </w:rPr>
        <w:t>11</w:t>
      </w:r>
      <w:r>
        <w:rPr>
          <w:rFonts w:cs="Arial" w:asciiTheme="minorEastAsia" w:hAnsiTheme="minorEastAsia"/>
          <w:color w:val="000000" w:themeColor="text1"/>
          <w:sz w:val="24"/>
          <w:szCs w:val="24"/>
        </w:rPr>
        <w:t>)</w:t>
      </w:r>
      <w:r>
        <w:rPr>
          <w:rFonts w:hint="eastAsia" w:cs="Arial" w:asciiTheme="minorEastAsia" w:hAnsiTheme="minorEastAsia"/>
          <w:color w:val="000000" w:themeColor="text1"/>
          <w:sz w:val="24"/>
          <w:szCs w:val="24"/>
        </w:rPr>
        <w:t>《关于营改增后契税、房产税、土地增值税、个人所得税、计税依据问题的通知》(2016年5月1日起执行)；</w:t>
      </w:r>
    </w:p>
    <w:p>
      <w:pPr>
        <w:spacing w:line="480" w:lineRule="exact"/>
        <w:ind w:firstLine="480" w:firstLineChars="200"/>
        <w:rPr>
          <w:rFonts w:cs="Arial" w:asciiTheme="minorEastAsia" w:hAnsiTheme="minorEastAsia"/>
          <w:color w:val="000000" w:themeColor="text1"/>
          <w:sz w:val="24"/>
          <w:szCs w:val="24"/>
        </w:rPr>
      </w:pPr>
      <w:r>
        <w:rPr>
          <w:rFonts w:hint="eastAsia" w:cs="Arial" w:asciiTheme="minorEastAsia" w:hAnsiTheme="minorEastAsia"/>
          <w:color w:val="000000" w:themeColor="text1"/>
          <w:sz w:val="24"/>
          <w:szCs w:val="24"/>
        </w:rPr>
        <w:t>(12)《关于人民法院确定财产处置参考价若干问题的规定》(法释【2018】15号)；</w:t>
      </w:r>
    </w:p>
    <w:p>
      <w:pPr>
        <w:spacing w:line="480" w:lineRule="exact"/>
        <w:ind w:firstLine="480" w:firstLineChars="200"/>
        <w:rPr>
          <w:rFonts w:cs="Arial" w:asciiTheme="minorEastAsia" w:hAnsiTheme="minorEastAsia"/>
          <w:color w:val="000000" w:themeColor="text1"/>
          <w:sz w:val="24"/>
          <w:szCs w:val="24"/>
        </w:rPr>
      </w:pPr>
      <w:r>
        <w:rPr>
          <w:rFonts w:hint="eastAsia" w:cs="Arial" w:asciiTheme="minorEastAsia" w:hAnsiTheme="minorEastAsia"/>
          <w:color w:val="000000" w:themeColor="text1"/>
          <w:sz w:val="24"/>
          <w:szCs w:val="24"/>
        </w:rPr>
        <w:t>(13)《人民法院委托评估工作规范》(法办【2018】273号)；</w:t>
      </w:r>
    </w:p>
    <w:p>
      <w:pPr>
        <w:spacing w:line="480" w:lineRule="exact"/>
        <w:ind w:firstLine="480" w:firstLineChars="200"/>
        <w:rPr>
          <w:rFonts w:cs="Arial" w:asciiTheme="minorEastAsia" w:hAnsiTheme="minorEastAsia"/>
          <w:color w:val="000000" w:themeColor="text1"/>
          <w:sz w:val="24"/>
          <w:szCs w:val="24"/>
        </w:rPr>
      </w:pPr>
      <w:r>
        <w:rPr>
          <w:rFonts w:hint="eastAsia" w:cs="Arial" w:asciiTheme="minorEastAsia" w:hAnsiTheme="minorEastAsia"/>
          <w:color w:val="000000" w:themeColor="text1"/>
          <w:sz w:val="24"/>
          <w:szCs w:val="24"/>
        </w:rPr>
        <w:t>(14)《涉执房地产处置司法评估指导意见（试行）》（2021年9月1日起施行）。</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2、采用的技术规程</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(1)</w:t>
      </w:r>
      <w:r>
        <w:rPr>
          <w:rFonts w:hint="eastAsia" w:asciiTheme="minorEastAsia" w:hAnsiTheme="minorEastAsia"/>
          <w:color w:val="000000" w:themeColor="text1"/>
          <w:sz w:val="24"/>
          <w:szCs w:val="24"/>
        </w:rPr>
        <w:t>中华人民共和国国家标准《房地产估价规范》[GB/T 50291—2015]；</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(2)</w:t>
      </w:r>
      <w:r>
        <w:rPr>
          <w:rFonts w:hint="eastAsia" w:cs="仿宋_GB2312" w:asciiTheme="minorEastAsia" w:hAnsiTheme="minorEastAsia"/>
          <w:color w:val="000000" w:themeColor="text1"/>
          <w:sz w:val="24"/>
          <w:szCs w:val="24"/>
        </w:rPr>
        <w:t>中华人民共和国国家标准GB/T50899-2013《房地产估价基本术语标准》</w:t>
      </w:r>
      <w:r>
        <w:rPr>
          <w:rFonts w:cs="Arial" w:asciiTheme="minorEastAsia" w:hAnsiTheme="minorEastAsia"/>
          <w:color w:val="000000" w:themeColor="text1"/>
          <w:sz w:val="24"/>
          <w:szCs w:val="24"/>
        </w:rPr>
        <w:t>；</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(3)中华人民共和国国家标准《城镇土地估价规程》(GB/T 508-2014，2014年12月1日)；</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3、委托方提供的有关资料：</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(1)</w:t>
      </w:r>
      <w:r>
        <w:rPr>
          <w:rFonts w:hint="eastAsia"/>
        </w:rPr>
        <w:t xml:space="preserve"> </w:t>
      </w:r>
      <w:r>
        <w:rPr>
          <w:rFonts w:hint="eastAsia" w:cs="仿宋_GB2312" w:asciiTheme="minorEastAsia" w:hAnsiTheme="minorEastAsia"/>
          <w:color w:val="000000" w:themeColor="text1"/>
          <w:sz w:val="24"/>
          <w:szCs w:val="24"/>
        </w:rPr>
        <w:t>司法鉴定委托书；</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(2)</w:t>
      </w:r>
      <w:r>
        <w:rPr>
          <w:rFonts w:hint="eastAsia" w:asciiTheme="minorEastAsia" w:hAnsiTheme="minorEastAsia"/>
          <w:color w:val="000000" w:themeColor="text1"/>
          <w:sz w:val="24"/>
          <w:szCs w:val="24"/>
        </w:rPr>
        <w:t>《房地产权证》</w:t>
      </w:r>
      <w:r>
        <w:rPr>
          <w:rFonts w:hint="eastAsia" w:cs="仿宋_GB2312" w:asciiTheme="minorEastAsia" w:hAnsiTheme="minorEastAsia"/>
          <w:color w:val="000000" w:themeColor="text1"/>
          <w:sz w:val="24"/>
          <w:szCs w:val="24"/>
        </w:rPr>
        <w:t>复印件；</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(3)</w:t>
      </w:r>
      <w:r>
        <w:rPr>
          <w:rFonts w:hint="eastAsia" w:asciiTheme="minorEastAsia" w:hAnsiTheme="minorEastAsia"/>
          <w:color w:val="000000" w:themeColor="text1"/>
          <w:sz w:val="24"/>
          <w:szCs w:val="24"/>
        </w:rPr>
        <w:t>估价委托人提供的其他估价相关资料。</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4、估价机构和估价人员所搜集掌握的有关资料</w:t>
      </w:r>
      <w:r>
        <w:rPr>
          <w:rFonts w:hint="eastAsia" w:cs="Arial" w:asciiTheme="minorEastAsia" w:hAnsiTheme="minorEastAsia"/>
          <w:color w:val="000000" w:themeColor="text1"/>
          <w:sz w:val="24"/>
          <w:szCs w:val="24"/>
        </w:rPr>
        <w:t>：</w:t>
      </w:r>
    </w:p>
    <w:p>
      <w:pPr>
        <w:spacing w:line="48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color w:val="000000" w:themeColor="text1"/>
          <w:sz w:val="24"/>
          <w:szCs w:val="24"/>
        </w:rPr>
        <w:t>(1)</w:t>
      </w:r>
      <w:r>
        <w:rPr>
          <w:rFonts w:hint="eastAsia" w:cs="Arial" w:asciiTheme="minorEastAsia" w:hAnsiTheme="minorEastAsia"/>
          <w:color w:val="000000" w:themeColor="text1"/>
          <w:sz w:val="24"/>
          <w:szCs w:val="24"/>
        </w:rPr>
        <w:t>估价</w:t>
      </w:r>
      <w:r>
        <w:rPr>
          <w:rFonts w:cs="Arial" w:asciiTheme="minorEastAsia" w:hAnsiTheme="minorEastAsia"/>
          <w:color w:val="000000" w:themeColor="text1"/>
          <w:sz w:val="24"/>
          <w:szCs w:val="24"/>
        </w:rPr>
        <w:t>对象照片</w:t>
      </w:r>
      <w:r>
        <w:rPr>
          <w:rFonts w:hint="eastAsia" w:cs="Arial" w:asciiTheme="minorEastAsia" w:hAnsiTheme="minorEastAsia"/>
          <w:color w:val="000000" w:themeColor="text1"/>
          <w:sz w:val="24"/>
          <w:szCs w:val="24"/>
        </w:rPr>
        <w:t>；</w:t>
      </w:r>
    </w:p>
    <w:p>
      <w:pPr>
        <w:spacing w:line="480" w:lineRule="exact"/>
        <w:ind w:firstLine="480" w:firstLineChars="200"/>
        <w:rPr>
          <w:rFonts w:cs="Arial" w:asciiTheme="minorEastAsia" w:hAnsiTheme="minorEastAsia" w:eastAsiaTheme="minorEastAsia"/>
          <w:color w:val="000000" w:themeColor="text1"/>
          <w:sz w:val="24"/>
          <w:szCs w:val="24"/>
        </w:rPr>
      </w:pPr>
      <w:r>
        <w:rPr>
          <w:rFonts w:hint="eastAsia" w:cs="Arial" w:asciiTheme="minorEastAsia" w:hAnsiTheme="minorEastAsia"/>
          <w:color w:val="000000" w:themeColor="text1"/>
          <w:sz w:val="24"/>
          <w:szCs w:val="24"/>
        </w:rPr>
        <w:t>(2)实地</w:t>
      </w:r>
      <w:r>
        <w:rPr>
          <w:rFonts w:cs="Arial" w:asciiTheme="minorEastAsia" w:hAnsiTheme="minorEastAsia"/>
          <w:color w:val="000000" w:themeColor="text1"/>
          <w:sz w:val="24"/>
          <w:szCs w:val="24"/>
        </w:rPr>
        <w:t>查勘记录</w:t>
      </w:r>
      <w:r>
        <w:rPr>
          <w:rFonts w:hint="eastAsia" w:cs="Arial" w:asciiTheme="minorEastAsia" w:hAnsiTheme="minorEastAsia"/>
          <w:color w:val="000000" w:themeColor="text1"/>
          <w:sz w:val="24"/>
          <w:szCs w:val="24"/>
        </w:rPr>
        <w:t>；</w:t>
      </w:r>
    </w:p>
    <w:p>
      <w:pPr>
        <w:spacing w:line="480" w:lineRule="exact"/>
        <w:ind w:firstLine="480" w:firstLineChars="200"/>
        <w:rPr>
          <w:rFonts w:cs="Arial" w:asciiTheme="minorEastAsia" w:hAnsiTheme="minorEastAsia" w:eastAsiaTheme="minorEastAsia"/>
          <w:color w:val="000000" w:themeColor="text1"/>
          <w:sz w:val="24"/>
          <w:szCs w:val="24"/>
        </w:rPr>
      </w:pPr>
      <w:r>
        <w:rPr>
          <w:rFonts w:hint="eastAsia" w:cs="Arial" w:asciiTheme="minorEastAsia" w:hAnsiTheme="minorEastAsia"/>
          <w:color w:val="000000" w:themeColor="text1"/>
          <w:sz w:val="24"/>
          <w:szCs w:val="24"/>
        </w:rPr>
        <w:t>(3)估价师搜集到的</w:t>
      </w:r>
      <w:r>
        <w:rPr>
          <w:rFonts w:cs="Arial" w:asciiTheme="minorEastAsia" w:hAnsiTheme="minorEastAsia"/>
          <w:color w:val="000000" w:themeColor="text1"/>
          <w:sz w:val="24"/>
          <w:szCs w:val="24"/>
        </w:rPr>
        <w:t>资料</w:t>
      </w:r>
      <w:r>
        <w:rPr>
          <w:rFonts w:hint="eastAsia" w:cs="Arial" w:asciiTheme="minorEastAsia" w:hAnsiTheme="minorEastAsia"/>
          <w:color w:val="000000" w:themeColor="text1"/>
          <w:sz w:val="24"/>
          <w:szCs w:val="24"/>
        </w:rPr>
        <w:t>；</w:t>
      </w:r>
    </w:p>
    <w:p>
      <w:pPr>
        <w:spacing w:line="480" w:lineRule="exact"/>
        <w:ind w:firstLine="480" w:firstLineChars="200"/>
        <w:rPr>
          <w:rFonts w:cs="Arial" w:asciiTheme="minorEastAsia" w:hAnsiTheme="minorEastAsia" w:eastAsiaTheme="minorEastAsia"/>
          <w:color w:val="000000" w:themeColor="text1"/>
          <w:sz w:val="24"/>
          <w:szCs w:val="24"/>
        </w:rPr>
      </w:pPr>
      <w:r>
        <w:rPr>
          <w:rFonts w:hint="eastAsia" w:cs="Arial" w:asciiTheme="minorEastAsia" w:hAnsiTheme="minorEastAsia"/>
          <w:color w:val="000000" w:themeColor="text1"/>
          <w:sz w:val="24"/>
          <w:szCs w:val="24"/>
        </w:rPr>
        <w:t>(4)估价对象所在区域的房地产市场状况、同类房地产市场交易等数据资料。</w:t>
      </w:r>
    </w:p>
    <w:p>
      <w:pPr>
        <w:pStyle w:val="3"/>
        <w:wordWrap w:val="0"/>
        <w:spacing w:before="146" w:line="480" w:lineRule="exact"/>
        <w:rPr>
          <w:sz w:val="24"/>
          <w:szCs w:val="24"/>
        </w:rPr>
      </w:pPr>
      <w:bookmarkStart w:id="33" w:name="_Toc110325029"/>
      <w:bookmarkStart w:id="34" w:name="_Toc485393194"/>
      <w:bookmarkStart w:id="35" w:name="_Toc480967880"/>
      <w:r>
        <w:rPr>
          <w:sz w:val="24"/>
          <w:szCs w:val="24"/>
        </w:rPr>
        <w:t>（九）估价方法</w:t>
      </w:r>
      <w:bookmarkEnd w:id="33"/>
      <w:bookmarkEnd w:id="34"/>
      <w:bookmarkEnd w:id="35"/>
    </w:p>
    <w:p>
      <w:pPr>
        <w:wordWrap w:val="0"/>
        <w:spacing w:line="480" w:lineRule="exact"/>
        <w:ind w:firstLine="482"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b/>
          <w:color w:val="000000"/>
          <w:sz w:val="24"/>
          <w:szCs w:val="24"/>
        </w:rPr>
        <w:t>1、确定估价方法</w:t>
      </w:r>
    </w:p>
    <w:p>
      <w:pPr>
        <w:wordWrap w:val="0"/>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color w:val="000000"/>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pPr>
        <w:wordWrap w:val="0"/>
        <w:spacing w:line="480" w:lineRule="exact"/>
        <w:ind w:firstLine="480" w:firstLineChars="20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w:t>
      </w:r>
      <w:r>
        <w:rPr>
          <w:rFonts w:hint="eastAsia" w:ascii="宋体" w:hAnsi="宋体"/>
          <w:sz w:val="24"/>
          <w:szCs w:val="24"/>
        </w:rPr>
        <w:t>选用的估价方法及理由</w:t>
      </w:r>
    </w:p>
    <w:p>
      <w:pPr>
        <w:wordWrap w:val="0"/>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color w:val="000000"/>
          <w:sz w:val="24"/>
          <w:szCs w:val="24"/>
        </w:rPr>
        <w:t>(1)估价对象为住宅房地产，近期同区域类似房地产交易案例较多，易获取其交易情况，适宜采用比较法。</w:t>
      </w:r>
    </w:p>
    <w:p>
      <w:pPr>
        <w:wordWrap w:val="0"/>
        <w:spacing w:line="480" w:lineRule="exact"/>
        <w:ind w:firstLine="480" w:firstLineChars="20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(2)在估价对象所在区域租赁市场较活跃，租赁收益明显，且估价对象可用于出租，具有潜在收益，因此可以采用收益法估价。</w:t>
      </w:r>
    </w:p>
    <w:p>
      <w:pPr>
        <w:wordWrap w:val="0"/>
        <w:spacing w:line="480" w:lineRule="exact"/>
        <w:ind w:firstLine="480" w:firstLineChars="20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2）未</w:t>
      </w:r>
      <w:r>
        <w:rPr>
          <w:rFonts w:hint="eastAsia" w:ascii="宋体" w:hAnsi="宋体"/>
          <w:sz w:val="24"/>
          <w:szCs w:val="24"/>
        </w:rPr>
        <w:t>选用的估价方法及理由</w:t>
      </w:r>
    </w:p>
    <w:p>
      <w:pPr>
        <w:wordWrap w:val="0"/>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color w:val="000000"/>
          <w:sz w:val="24"/>
          <w:szCs w:val="24"/>
        </w:rPr>
        <w:t>(1)由于成本法一般用于既无收益又很少发生交易的房地产的评估，现实住宅房地产价格与成本关联性弱，房地产的开发成本不能准确反映房地产的实际市场价值，因此不适宜采用成本法进行评估。</w:t>
      </w:r>
    </w:p>
    <w:p>
      <w:pPr>
        <w:wordWrap w:val="0"/>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color w:val="000000"/>
          <w:sz w:val="24"/>
          <w:szCs w:val="24"/>
        </w:rPr>
        <w:t>(2)由于假设开发法适用于具有投资开发或再开发潜力的房地产的评估，估价对象属于建成并已投入使用的物业，就目前状态处于最佳利用，不存在重新开发利用，因此不适宜采用假设开发法进行评估；</w:t>
      </w:r>
    </w:p>
    <w:p>
      <w:pPr>
        <w:wordWrap w:val="0"/>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color w:val="000000"/>
          <w:sz w:val="24"/>
          <w:szCs w:val="24"/>
        </w:rPr>
        <w:t>据此分析，本次评估采用比较法、收益法进行评估。</w:t>
      </w:r>
    </w:p>
    <w:p>
      <w:pPr>
        <w:wordWrap w:val="0"/>
        <w:spacing w:line="480" w:lineRule="exact"/>
        <w:ind w:firstLine="482"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b/>
          <w:color w:val="000000"/>
          <w:sz w:val="24"/>
          <w:szCs w:val="24"/>
        </w:rPr>
        <w:t>2、估价方法定义和公式</w:t>
      </w:r>
    </w:p>
    <w:p>
      <w:pPr>
        <w:wordWrap w:val="0"/>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color w:val="000000"/>
          <w:sz w:val="24"/>
          <w:szCs w:val="24"/>
        </w:rPr>
        <w:t>比较法：是将估价对象与在价值时点近期发生过交易的类似房地产进行比较，对这些类似房地产的已知价格作适当的修正，以此推算估价对象的客观合理价格或价值的方法。</w:t>
      </w:r>
    </w:p>
    <w:p>
      <w:pPr>
        <w:wordWrap w:val="0"/>
        <w:spacing w:line="480" w:lineRule="exact"/>
        <w:ind w:firstLine="480" w:firstLineChars="200"/>
        <w:rPr>
          <w:rFonts w:cs="Arial" w:asciiTheme="minorEastAsia" w:hAnsiTheme="minorEastAsia" w:eastAsiaTheme="minorEastAsia"/>
          <w:color w:val="000000" w:themeColor="text1"/>
          <w:sz w:val="24"/>
          <w:szCs w:val="24"/>
        </w:rPr>
      </w:pPr>
      <w:r>
        <w:rPr>
          <w:rFonts w:hint="eastAsia" w:asciiTheme="minorEastAsia" w:hAnsiTheme="minorEastAsia" w:cstheme="minorEastAsia"/>
          <w:color w:val="000000"/>
          <w:sz w:val="24"/>
          <w:szCs w:val="24"/>
        </w:rPr>
        <w:t>计算公式：估价对象价格=可比实例价格×交易情况修正系数×市场状况修正系数×区位状况修正系数×实物状况修正系数×权益状况修正系数</w:t>
      </w:r>
    </w:p>
    <w:p>
      <w:pPr>
        <w:wordWrap w:val="0"/>
        <w:spacing w:line="480" w:lineRule="exact"/>
        <w:ind w:firstLine="480" w:firstLineChars="200"/>
        <w:rPr>
          <w:rFonts w:cs="Arial" w:asciiTheme="minorEastAsia" w:hAnsiTheme="minorEastAsia" w:eastAsiaTheme="minorEastAsia"/>
          <w:sz w:val="24"/>
          <w:szCs w:val="24"/>
        </w:rPr>
      </w:pPr>
      <w:r>
        <w:rPr>
          <w:rFonts w:hint="eastAsia" w:asciiTheme="minorEastAsia" w:hAnsiTheme="minorEastAsia" w:cstheme="minorEastAsia"/>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Pr>
          <w:rFonts w:hint="eastAsia" w:asciiTheme="minorEastAsia" w:hAnsiTheme="minorEastAsia" w:eastAsiaTheme="minorEastAsia"/>
          <w:sz w:val="24"/>
          <w:szCs w:val="24"/>
        </w:rPr>
        <w:t>本次估价采用</w:t>
      </w:r>
      <w:r>
        <w:rPr>
          <w:rFonts w:hint="eastAsia" w:cs="宋体" w:asciiTheme="minorEastAsia" w:hAnsiTheme="minorEastAsia" w:eastAsiaTheme="minorEastAsia"/>
          <w:sz w:val="24"/>
          <w:szCs w:val="24"/>
        </w:rPr>
        <w:t>持有加转售</w:t>
      </w:r>
      <w:r>
        <w:rPr>
          <w:rFonts w:hint="eastAsia" w:asciiTheme="minorEastAsia" w:hAnsiTheme="minorEastAsia" w:eastAsiaTheme="minorEastAsia"/>
          <w:sz w:val="24"/>
          <w:szCs w:val="24"/>
        </w:rPr>
        <w:t>模式的报酬资本化法</w:t>
      </w:r>
      <w:r>
        <w:rPr>
          <w:rFonts w:hint="eastAsia" w:asciiTheme="minorEastAsia" w:hAnsiTheme="minorEastAsia" w:cstheme="minorEastAsia"/>
          <w:sz w:val="24"/>
          <w:szCs w:val="24"/>
        </w:rPr>
        <w:t>的计算公式进行计算。</w:t>
      </w:r>
    </w:p>
    <w:p>
      <w:pPr>
        <w:wordWrap w:val="0"/>
        <w:spacing w:line="480" w:lineRule="exact"/>
        <w:ind w:firstLine="480" w:firstLineChars="200"/>
        <w:rPr>
          <w:rFonts w:cs="Arial" w:asciiTheme="minorEastAsia" w:hAnsiTheme="minorEastAsia" w:eastAsiaTheme="minorEastAsia"/>
          <w:sz w:val="24"/>
          <w:szCs w:val="24"/>
        </w:rPr>
      </w:pPr>
      <w:r>
        <w:rPr>
          <w:rFonts w:hint="eastAsia" w:asciiTheme="minorEastAsia" w:hAnsiTheme="minorEastAsia" w:cstheme="minorEastAsia"/>
          <w:sz w:val="24"/>
          <w:szCs w:val="24"/>
        </w:rPr>
        <w:t>收益法计算公式：</w:t>
      </w:r>
    </w:p>
    <w:p>
      <w:pPr>
        <w:wordWrap w:val="0"/>
        <w:spacing w:line="480" w:lineRule="exact"/>
        <w:ind w:firstLine="520" w:firstLineChars="200"/>
        <w:rPr>
          <w:rFonts w:asciiTheme="minorEastAsia" w:hAnsiTheme="minorEastAsia" w:eastAsiaTheme="minorEastAsia"/>
          <w:color w:val="000000" w:themeColor="text1"/>
          <w:sz w:val="24"/>
          <w:szCs w:val="24"/>
        </w:rPr>
      </w:pPr>
      <w:bookmarkStart w:id="36" w:name="_Toc480967881"/>
      <w:bookmarkStart w:id="37" w:name="_Toc485393195"/>
      <w:r>
        <w:rPr>
          <w:rFonts w:asciiTheme="minorEastAsia" w:hAnsiTheme="minorEastAsia" w:cstheme="minorEastAsia"/>
          <w:color w:val="000000"/>
          <w:spacing w:val="10"/>
          <w:sz w:val="24"/>
          <w:szCs w:val="24"/>
        </w:rPr>
        <w:t>V=</w:t>
      </w:r>
      <w:r>
        <w:rPr>
          <w:rFonts w:hint="eastAsia" w:asciiTheme="minorEastAsia" w:hAnsiTheme="minorEastAsia" w:cstheme="minorEastAsia"/>
          <w:color w:val="000000"/>
          <w:spacing w:val="10"/>
          <w:sz w:val="24"/>
          <w:szCs w:val="24"/>
        </w:rPr>
        <w:t>a</w:t>
      </w:r>
      <w:r>
        <w:rPr>
          <w:rFonts w:asciiTheme="minorEastAsia" w:hAnsiTheme="minorEastAsia" w:cstheme="minorEastAsia"/>
          <w:color w:val="000000"/>
          <w:spacing w:val="10"/>
          <w:sz w:val="24"/>
          <w:szCs w:val="24"/>
        </w:rPr>
        <w:t>/(r-g)*(1-</w:t>
      </w:r>
      <w:r>
        <w:rPr>
          <w:rFonts w:hint="eastAsia" w:cs="宋体" w:asciiTheme="minorEastAsia" w:hAnsiTheme="minorEastAsia" w:eastAsiaTheme="minorEastAsia"/>
          <w:color w:val="000000" w:themeColor="text1"/>
          <w:sz w:val="24"/>
          <w:szCs w:val="24"/>
        </w:rPr>
        <w:t>[</w:t>
      </w:r>
      <w:r>
        <w:rPr>
          <w:rFonts w:asciiTheme="minorEastAsia" w:hAnsiTheme="minorEastAsia" w:cstheme="minorEastAsia"/>
          <w:color w:val="000000"/>
          <w:spacing w:val="10"/>
          <w:sz w:val="24"/>
          <w:szCs w:val="24"/>
        </w:rPr>
        <w:t xml:space="preserve"> (1+g) ^</w:t>
      </w:r>
      <w:r>
        <w:rPr>
          <w:rFonts w:hint="eastAsia" w:asciiTheme="minorEastAsia" w:hAnsiTheme="minorEastAsia" w:cstheme="minorEastAsia"/>
          <w:color w:val="000000"/>
          <w:spacing w:val="10"/>
          <w:sz w:val="24"/>
          <w:szCs w:val="24"/>
        </w:rPr>
        <w:t>t</w:t>
      </w:r>
      <w:r>
        <w:rPr>
          <w:rFonts w:asciiTheme="minorEastAsia" w:hAnsiTheme="minorEastAsia" w:cstheme="minorEastAsia"/>
          <w:color w:val="000000"/>
          <w:spacing w:val="10"/>
          <w:sz w:val="24"/>
          <w:szCs w:val="24"/>
        </w:rPr>
        <w:t xml:space="preserve"> /(1+r)^</w:t>
      </w:r>
      <w:r>
        <w:rPr>
          <w:rFonts w:hint="eastAsia" w:asciiTheme="minorEastAsia" w:hAnsiTheme="minorEastAsia" w:cstheme="minorEastAsia"/>
          <w:color w:val="000000"/>
          <w:spacing w:val="10"/>
          <w:sz w:val="24"/>
          <w:szCs w:val="24"/>
        </w:rPr>
        <w:t>t</w:t>
      </w:r>
      <w:r>
        <w:rPr>
          <w:rFonts w:hint="eastAsia" w:cs="宋体" w:asciiTheme="minorEastAsia" w:hAnsiTheme="minorEastAsia" w:eastAsiaTheme="minorEastAsia"/>
          <w:color w:val="000000" w:themeColor="text1"/>
          <w:sz w:val="24"/>
          <w:szCs w:val="24"/>
        </w:rPr>
        <w:t>]</w:t>
      </w:r>
      <w:r>
        <w:rPr>
          <w:rFonts w:asciiTheme="minorEastAsia" w:hAnsiTheme="minorEastAsia" w:cstheme="minorEastAsia"/>
          <w:color w:val="000000"/>
          <w:spacing w:val="10"/>
          <w:sz w:val="24"/>
          <w:szCs w:val="24"/>
        </w:rPr>
        <w:t>+ V</w:t>
      </w:r>
      <w:r>
        <w:rPr>
          <w:rFonts w:hint="eastAsia" w:asciiTheme="minorEastAsia" w:hAnsiTheme="minorEastAsia" w:cstheme="minorEastAsia"/>
          <w:color w:val="000000"/>
          <w:spacing w:val="10"/>
          <w:sz w:val="24"/>
          <w:szCs w:val="24"/>
        </w:rPr>
        <w:t>t</w:t>
      </w:r>
      <w:r>
        <w:rPr>
          <w:rFonts w:asciiTheme="minorEastAsia" w:hAnsiTheme="minorEastAsia" w:cstheme="minorEastAsia"/>
          <w:color w:val="000000"/>
          <w:spacing w:val="10"/>
          <w:sz w:val="24"/>
          <w:szCs w:val="24"/>
        </w:rPr>
        <w:t xml:space="preserve"> *(1</w:t>
      </w:r>
      <w:r>
        <w:rPr>
          <w:rFonts w:hint="eastAsia" w:asciiTheme="minorEastAsia" w:hAnsiTheme="minorEastAsia" w:cstheme="minorEastAsia"/>
          <w:color w:val="000000"/>
          <w:spacing w:val="10"/>
          <w:sz w:val="24"/>
          <w:szCs w:val="24"/>
        </w:rPr>
        <w:t>-s%</w:t>
      </w:r>
      <w:r>
        <w:rPr>
          <w:rFonts w:asciiTheme="minorEastAsia" w:hAnsiTheme="minorEastAsia" w:cstheme="minorEastAsia"/>
          <w:color w:val="000000"/>
          <w:spacing w:val="10"/>
          <w:sz w:val="24"/>
          <w:szCs w:val="24"/>
        </w:rPr>
        <w:t>)/ (1+r)^</w:t>
      </w:r>
      <w:r>
        <w:rPr>
          <w:rFonts w:hint="eastAsia" w:asciiTheme="minorEastAsia" w:hAnsiTheme="minorEastAsia" w:cstheme="minorEastAsia"/>
          <w:color w:val="000000"/>
          <w:spacing w:val="10"/>
          <w:sz w:val="24"/>
          <w:szCs w:val="24"/>
        </w:rPr>
        <w:t>t</w:t>
      </w:r>
    </w:p>
    <w:p>
      <w:pPr>
        <w:wordWrap w:val="0"/>
        <w:spacing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式中：V——总收益价格；a——房地年纯收益；r——报酬率；</w:t>
      </w:r>
    </w:p>
    <w:p>
      <w:pPr>
        <w:wordWrap w:val="0"/>
        <w:spacing w:line="480" w:lineRule="exact"/>
        <w:ind w:firstLine="1200" w:firstLineChars="5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g——租金年增长率；Vt——期末转售收益；</w:t>
      </w:r>
    </w:p>
    <w:p>
      <w:pPr>
        <w:wordWrap w:val="0"/>
        <w:spacing w:line="480" w:lineRule="exact"/>
        <w:ind w:firstLine="1200" w:firstLineChars="5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t——持有期限   </w:t>
      </w:r>
      <w:r>
        <w:rPr>
          <w:rFonts w:hint="eastAsia" w:asciiTheme="minorEastAsia" w:hAnsiTheme="minorEastAsia" w:cstheme="minorEastAsia"/>
          <w:color w:val="000000"/>
          <w:spacing w:val="10"/>
          <w:sz w:val="24"/>
          <w:szCs w:val="24"/>
        </w:rPr>
        <w:t>s</w:t>
      </w:r>
      <w:r>
        <w:rPr>
          <w:rFonts w:hint="eastAsia" w:cs="宋体" w:asciiTheme="minorEastAsia" w:hAnsiTheme="minorEastAsia" w:eastAsiaTheme="minorEastAsia"/>
          <w:sz w:val="24"/>
          <w:szCs w:val="24"/>
        </w:rPr>
        <w:t>——房产销售相关税费。</w:t>
      </w:r>
    </w:p>
    <w:p>
      <w:pPr>
        <w:pStyle w:val="3"/>
        <w:wordWrap w:val="0"/>
        <w:spacing w:before="146" w:line="480" w:lineRule="exact"/>
        <w:rPr>
          <w:sz w:val="24"/>
          <w:szCs w:val="24"/>
        </w:rPr>
      </w:pPr>
      <w:bookmarkStart w:id="38" w:name="_Toc110325030"/>
      <w:r>
        <w:rPr>
          <w:sz w:val="24"/>
          <w:szCs w:val="24"/>
        </w:rPr>
        <w:t>（十）估价结果</w:t>
      </w:r>
      <w:bookmarkEnd w:id="36"/>
      <w:bookmarkEnd w:id="37"/>
      <w:bookmarkEnd w:id="38"/>
    </w:p>
    <w:p>
      <w:pPr>
        <w:wordWrap w:val="0"/>
        <w:spacing w:line="480" w:lineRule="exact"/>
        <w:ind w:firstLine="480" w:firstLineChars="200"/>
        <w:jc w:val="left"/>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估价人员经过实地勘查和市场调查，根据估价目的，遵照</w:t>
      </w:r>
      <w:r>
        <w:rPr>
          <w:rFonts w:asciiTheme="minorEastAsia" w:hAnsiTheme="minorEastAsia" w:eastAsiaTheme="minorEastAsia"/>
          <w:color w:val="000000" w:themeColor="text1"/>
          <w:sz w:val="24"/>
          <w:szCs w:val="24"/>
        </w:rPr>
        <w:t>国家的相关法规</w:t>
      </w:r>
      <w:r>
        <w:rPr>
          <w:rFonts w:hint="eastAsia" w:asciiTheme="minorEastAsia" w:hAnsiTheme="minorEastAsia" w:eastAsiaTheme="minorEastAsia"/>
          <w:color w:val="000000" w:themeColor="text1"/>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pPr>
        <w:wordWrap w:val="0"/>
        <w:spacing w:before="146" w:beforeLines="50" w:line="460" w:lineRule="exact"/>
        <w:jc w:val="center"/>
        <w:rPr>
          <w:rFonts w:ascii="宋体" w:hAnsi="宋体"/>
          <w:b/>
          <w:color w:val="000000"/>
          <w:sz w:val="28"/>
          <w:szCs w:val="28"/>
        </w:rPr>
      </w:pPr>
      <w:r>
        <w:rPr>
          <w:rFonts w:hint="eastAsia" w:ascii="宋体" w:hAnsi="宋体"/>
          <w:b/>
          <w:color w:val="000000"/>
          <w:sz w:val="28"/>
          <w:szCs w:val="28"/>
        </w:rPr>
        <w:t>估价对象估价结果表</w:t>
      </w:r>
    </w:p>
    <w:p>
      <w:pPr>
        <w:wordWrap w:val="0"/>
        <w:spacing w:line="460" w:lineRule="exact"/>
        <w:jc w:val="right"/>
        <w:rPr>
          <w:rFonts w:ascii="宋体" w:hAnsi="宋体"/>
          <w:b/>
          <w:color w:val="000000"/>
          <w:szCs w:val="21"/>
        </w:rPr>
      </w:pPr>
      <w:r>
        <w:rPr>
          <w:rFonts w:hint="eastAsia" w:ascii="宋体" w:hAnsi="宋体"/>
          <w:b/>
          <w:color w:val="000000"/>
        </w:rPr>
        <w:t>币种：人民币</w:t>
      </w:r>
    </w:p>
    <w:tbl>
      <w:tblPr>
        <w:tblStyle w:val="2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418"/>
        <w:gridCol w:w="1440"/>
        <w:gridCol w:w="1265"/>
        <w:gridCol w:w="1266"/>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5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估价对象坐落</w:t>
            </w:r>
          </w:p>
        </w:tc>
        <w:tc>
          <w:tcPr>
            <w:tcW w:w="1418"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规划用途</w:t>
            </w:r>
          </w:p>
        </w:tc>
        <w:tc>
          <w:tcPr>
            <w:tcW w:w="1440"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楼层/总楼层</w:t>
            </w:r>
          </w:p>
        </w:tc>
        <w:tc>
          <w:tcPr>
            <w:tcW w:w="1265"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建筑面积(㎡)</w:t>
            </w:r>
          </w:p>
        </w:tc>
        <w:tc>
          <w:tcPr>
            <w:tcW w:w="1266"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评估单价(元/㎡)</w:t>
            </w:r>
          </w:p>
        </w:tc>
        <w:tc>
          <w:tcPr>
            <w:tcW w:w="1380" w:type="dxa"/>
            <w:tcBorders>
              <w:top w:val="single" w:color="auto" w:sz="4" w:space="0"/>
              <w:left w:val="nil"/>
              <w:bottom w:val="single" w:color="auto" w:sz="4" w:space="0"/>
              <w:right w:val="single" w:color="auto" w:sz="4" w:space="0"/>
            </w:tcBorders>
            <w:vAlign w:val="center"/>
          </w:tcPr>
          <w:p>
            <w:pPr>
              <w:widowControl/>
              <w:wordWrap w:val="0"/>
              <w:snapToGrid w:val="0"/>
              <w:jc w:val="center"/>
              <w:rPr>
                <w:rFonts w:ascii="宋体" w:hAnsi="宋体"/>
                <w:color w:val="000000"/>
              </w:rPr>
            </w:pPr>
            <w:r>
              <w:rPr>
                <w:rFonts w:hint="eastAsia" w:ascii="宋体" w:hAnsi="宋体"/>
                <w:color w:val="000000"/>
              </w:rPr>
              <w:t>评估总值(万元)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25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清流东路518号6幢602室</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住宅</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6层/6层</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131.12</w:t>
            </w:r>
          </w:p>
        </w:tc>
        <w:tc>
          <w:tcPr>
            <w:tcW w:w="1266"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6863</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trPr>
        <w:tc>
          <w:tcPr>
            <w:tcW w:w="2518" w:type="dxa"/>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szCs w:val="21"/>
                <w:lang w:bidi="ar"/>
              </w:rPr>
              <w:t>总价</w:t>
            </w:r>
            <w:r>
              <w:rPr>
                <w:rFonts w:hint="eastAsia" w:asciiTheme="minorEastAsia" w:hAnsiTheme="minorEastAsia" w:eastAsiaTheme="minorEastAsia"/>
                <w:lang w:bidi="ar"/>
              </w:rPr>
              <w:t>大写</w:t>
            </w:r>
          </w:p>
        </w:tc>
        <w:tc>
          <w:tcPr>
            <w:tcW w:w="6769" w:type="dxa"/>
            <w:gridSpan w:val="5"/>
            <w:tcBorders>
              <w:top w:val="single" w:color="auto" w:sz="4" w:space="0"/>
              <w:left w:val="single" w:color="auto" w:sz="4" w:space="0"/>
              <w:bottom w:val="single" w:color="auto" w:sz="4" w:space="0"/>
              <w:right w:val="single" w:color="auto" w:sz="4" w:space="0"/>
            </w:tcBorders>
            <w:vAlign w:val="center"/>
          </w:tcPr>
          <w:p>
            <w:pPr>
              <w:widowControl/>
              <w:wordWrap w:val="0"/>
              <w:snapToGrid w:val="0"/>
              <w:jc w:val="center"/>
              <w:rPr>
                <w:rFonts w:asciiTheme="minorEastAsia" w:hAnsiTheme="minorEastAsia" w:eastAsiaTheme="minorEastAsia"/>
                <w:color w:val="000000" w:themeColor="text1"/>
                <w:szCs w:val="22"/>
              </w:rPr>
            </w:pPr>
            <w:r>
              <w:rPr>
                <w:rFonts w:hint="eastAsia" w:asciiTheme="minorEastAsia" w:hAnsiTheme="minorEastAsia" w:eastAsiaTheme="minorEastAsia"/>
                <w:color w:val="000000" w:themeColor="text1"/>
                <w:szCs w:val="22"/>
              </w:rPr>
              <w:t>捌拾玖万玖仟玖佰</w:t>
            </w:r>
            <w:r>
              <w:rPr>
                <w:rFonts w:hint="eastAsia" w:asciiTheme="minorEastAsia" w:hAnsiTheme="minorEastAsia" w:eastAsiaTheme="minorEastAsia"/>
                <w:color w:val="000000" w:themeColor="text1"/>
              </w:rPr>
              <w:t>元整</w:t>
            </w:r>
          </w:p>
        </w:tc>
      </w:tr>
    </w:tbl>
    <w:p>
      <w:pPr>
        <w:wordWrap w:val="0"/>
        <w:spacing w:line="480" w:lineRule="exact"/>
        <w:ind w:firstLine="480" w:firstLineChars="200"/>
        <w:jc w:val="left"/>
        <w:rPr>
          <w:rFonts w:asciiTheme="minorEastAsia" w:hAnsiTheme="minorEastAsia" w:eastAsiaTheme="minorEastAsia"/>
          <w:color w:val="000000" w:themeColor="text1"/>
          <w:sz w:val="24"/>
          <w:szCs w:val="24"/>
        </w:rPr>
      </w:pPr>
    </w:p>
    <w:p>
      <w:pPr>
        <w:pStyle w:val="3"/>
        <w:wordWrap w:val="0"/>
        <w:spacing w:before="146"/>
      </w:pPr>
      <w:bookmarkStart w:id="39" w:name="_Toc480967882"/>
      <w:bookmarkStart w:id="40" w:name="_Toc485393196"/>
      <w:bookmarkStart w:id="41" w:name="_Toc110325031"/>
      <w:r>
        <w:t>（十一）注册房地产估价师</w:t>
      </w:r>
      <w:bookmarkEnd w:id="39"/>
      <w:bookmarkEnd w:id="40"/>
      <w:bookmarkEnd w:id="41"/>
    </w:p>
    <w:tbl>
      <w:tblPr>
        <w:tblStyle w:val="2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1" w:type="dxa"/>
            <w:vAlign w:val="center"/>
          </w:tcPr>
          <w:p>
            <w:pPr>
              <w:wordWrap w:val="0"/>
              <w:snapToGrid w:val="0"/>
              <w:spacing w:line="300" w:lineRule="auto"/>
              <w:jc w:val="center"/>
              <w:rPr>
                <w:rFonts w:asciiTheme="minorEastAsia" w:hAnsiTheme="minorEastAsia" w:eastAsiaTheme="minorEastAsia"/>
                <w:b/>
                <w:bCs/>
                <w:color w:val="000000" w:themeColor="text1"/>
                <w:szCs w:val="21"/>
              </w:rPr>
            </w:pPr>
            <w:bookmarkStart w:id="42" w:name="_Toc485393197"/>
            <w:bookmarkStart w:id="43" w:name="_Toc480967883"/>
            <w:r>
              <w:rPr>
                <w:rFonts w:hint="eastAsia" w:asciiTheme="minorEastAsia" w:hAnsiTheme="minorEastAsia" w:eastAsiaTheme="minorEastAsia"/>
                <w:b/>
                <w:bCs/>
                <w:color w:val="000000" w:themeColor="text1"/>
                <w:szCs w:val="21"/>
              </w:rPr>
              <w:t>姓  名</w:t>
            </w:r>
          </w:p>
        </w:tc>
        <w:tc>
          <w:tcPr>
            <w:tcW w:w="2322" w:type="dxa"/>
            <w:vAlign w:val="center"/>
          </w:tcPr>
          <w:p>
            <w:pPr>
              <w:wordWrap w:val="0"/>
              <w:snapToGrid w:val="0"/>
              <w:spacing w:line="30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注册号</w:t>
            </w:r>
          </w:p>
        </w:tc>
        <w:tc>
          <w:tcPr>
            <w:tcW w:w="2322" w:type="dxa"/>
            <w:vAlign w:val="center"/>
          </w:tcPr>
          <w:p>
            <w:pPr>
              <w:wordWrap w:val="0"/>
              <w:snapToGrid w:val="0"/>
              <w:spacing w:line="30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签   名</w:t>
            </w:r>
          </w:p>
        </w:tc>
        <w:tc>
          <w:tcPr>
            <w:tcW w:w="2322" w:type="dxa"/>
            <w:vAlign w:val="center"/>
          </w:tcPr>
          <w:p>
            <w:pPr>
              <w:wordWrap w:val="0"/>
              <w:snapToGrid w:val="0"/>
              <w:spacing w:line="30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2321" w:type="dxa"/>
            <w:vAlign w:val="center"/>
          </w:tcPr>
          <w:p>
            <w:pPr>
              <w:wordWrap w:val="0"/>
              <w:snapToGrid w:val="0"/>
              <w:spacing w:line="360" w:lineRule="auto"/>
              <w:jc w:val="center"/>
              <w:rPr>
                <w:rFonts w:asciiTheme="minorEastAsia" w:hAnsiTheme="minorEastAsia" w:eastAsiaTheme="minorEastAsia"/>
                <w:bCs/>
                <w:color w:val="000000" w:themeColor="text1"/>
                <w:szCs w:val="21"/>
              </w:rPr>
            </w:pPr>
            <w:r>
              <w:rPr>
                <w:rFonts w:hint="eastAsia" w:cs="仿宋_GB2312" w:asciiTheme="minorEastAsia" w:hAnsiTheme="minorEastAsia" w:eastAsiaTheme="minorEastAsia"/>
                <w:bCs/>
                <w:color w:val="000000" w:themeColor="text1"/>
                <w:szCs w:val="21"/>
              </w:rPr>
              <w:t>沙强</w:t>
            </w:r>
          </w:p>
        </w:tc>
        <w:tc>
          <w:tcPr>
            <w:tcW w:w="2322" w:type="dxa"/>
            <w:vAlign w:val="center"/>
          </w:tcPr>
          <w:p>
            <w:pPr>
              <w:wordWrap w:val="0"/>
              <w:snapToGrid w:val="0"/>
              <w:spacing w:line="360" w:lineRule="auto"/>
              <w:jc w:val="center"/>
              <w:rPr>
                <w:rFonts w:asciiTheme="minorEastAsia" w:hAnsiTheme="minorEastAsia" w:eastAsiaTheme="minorEastAsia"/>
                <w:bCs/>
                <w:color w:val="000000" w:themeColor="text1"/>
                <w:szCs w:val="21"/>
              </w:rPr>
            </w:pPr>
            <w:r>
              <w:rPr>
                <w:rFonts w:hint="eastAsia" w:cs="仿宋_GB2312" w:asciiTheme="minorEastAsia" w:hAnsiTheme="minorEastAsia" w:eastAsiaTheme="minorEastAsia"/>
                <w:color w:val="000000" w:themeColor="text1"/>
                <w:szCs w:val="21"/>
              </w:rPr>
              <w:t>3420150048</w:t>
            </w:r>
          </w:p>
        </w:tc>
        <w:tc>
          <w:tcPr>
            <w:tcW w:w="2322" w:type="dxa"/>
            <w:vAlign w:val="center"/>
          </w:tcPr>
          <w:p>
            <w:pPr>
              <w:wordWrap w:val="0"/>
              <w:snapToGrid w:val="0"/>
              <w:spacing w:line="360" w:lineRule="auto"/>
              <w:jc w:val="center"/>
              <w:rPr>
                <w:rFonts w:asciiTheme="minorEastAsia" w:hAnsiTheme="minorEastAsia" w:eastAsiaTheme="minorEastAsia"/>
                <w:b/>
                <w:bCs/>
                <w:color w:val="000000" w:themeColor="text1"/>
                <w:szCs w:val="21"/>
              </w:rPr>
            </w:pPr>
          </w:p>
        </w:tc>
        <w:tc>
          <w:tcPr>
            <w:tcW w:w="2322" w:type="dxa"/>
            <w:vAlign w:val="center"/>
          </w:tcPr>
          <w:p>
            <w:pPr>
              <w:wordWrap w:val="0"/>
              <w:snapToGrid w:val="0"/>
              <w:spacing w:line="360" w:lineRule="auto"/>
              <w:jc w:val="center"/>
              <w:rPr>
                <w:rFonts w:asciiTheme="minorEastAsia" w:hAnsiTheme="minorEastAsia" w:eastAsiaTheme="minorEastAsia"/>
                <w:b/>
                <w:bCs/>
                <w:color w:val="000000" w:themeColor="text1"/>
                <w:szCs w:val="21"/>
              </w:rPr>
            </w:pPr>
            <w:r>
              <w:rPr>
                <w:rStyle w:val="36"/>
                <w:rFonts w:hint="eastAsia" w:cs="仿宋_GB2312" w:asciiTheme="minorEastAsia" w:hAnsiTheme="minorEastAsia" w:eastAsiaTheme="minorEastAsia"/>
                <w:color w:val="000000" w:themeColor="text1"/>
              </w:rPr>
              <w:t>2022年7月29日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2321" w:type="dxa"/>
            <w:vAlign w:val="center"/>
          </w:tcPr>
          <w:p>
            <w:pPr>
              <w:wordWrap w:val="0"/>
              <w:snapToGrid w:val="0"/>
              <w:spacing w:line="360" w:lineRule="auto"/>
              <w:jc w:val="center"/>
              <w:rPr>
                <w:rFonts w:asciiTheme="minorEastAsia" w:hAnsiTheme="minorEastAsia" w:eastAsiaTheme="minorEastAsia"/>
                <w:bCs/>
                <w:color w:val="000000" w:themeColor="text1"/>
                <w:szCs w:val="21"/>
              </w:rPr>
            </w:pPr>
            <w:r>
              <w:rPr>
                <w:rFonts w:hint="eastAsia" w:cs="仿宋_GB2312" w:asciiTheme="minorEastAsia" w:hAnsiTheme="minorEastAsia" w:eastAsiaTheme="minorEastAsia"/>
                <w:bCs/>
                <w:color w:val="000000" w:themeColor="text1"/>
                <w:szCs w:val="21"/>
              </w:rPr>
              <w:t>张娅</w:t>
            </w:r>
          </w:p>
        </w:tc>
        <w:tc>
          <w:tcPr>
            <w:tcW w:w="2322" w:type="dxa"/>
            <w:vAlign w:val="center"/>
          </w:tcPr>
          <w:p>
            <w:pPr>
              <w:wordWrap w:val="0"/>
              <w:snapToGrid w:val="0"/>
              <w:spacing w:line="360" w:lineRule="auto"/>
              <w:jc w:val="center"/>
              <w:rPr>
                <w:rFonts w:asciiTheme="minorEastAsia" w:hAnsiTheme="minorEastAsia" w:eastAsiaTheme="minorEastAsia"/>
                <w:bCs/>
                <w:color w:val="000000" w:themeColor="text1"/>
                <w:szCs w:val="21"/>
              </w:rPr>
            </w:pPr>
            <w:r>
              <w:rPr>
                <w:rFonts w:hint="eastAsia" w:cs="仿宋_GB2312" w:asciiTheme="minorEastAsia" w:hAnsiTheme="minorEastAsia" w:eastAsiaTheme="minorEastAsia"/>
                <w:color w:val="000000" w:themeColor="text1"/>
                <w:szCs w:val="21"/>
              </w:rPr>
              <w:t>2320200084</w:t>
            </w:r>
          </w:p>
        </w:tc>
        <w:tc>
          <w:tcPr>
            <w:tcW w:w="2322" w:type="dxa"/>
            <w:vAlign w:val="center"/>
          </w:tcPr>
          <w:p>
            <w:pPr>
              <w:wordWrap w:val="0"/>
              <w:snapToGrid w:val="0"/>
              <w:spacing w:line="360" w:lineRule="auto"/>
              <w:jc w:val="center"/>
              <w:rPr>
                <w:rFonts w:asciiTheme="minorEastAsia" w:hAnsiTheme="minorEastAsia" w:eastAsiaTheme="minorEastAsia"/>
                <w:b/>
                <w:bCs/>
                <w:color w:val="000000" w:themeColor="text1"/>
                <w:szCs w:val="21"/>
              </w:rPr>
            </w:pPr>
          </w:p>
        </w:tc>
        <w:tc>
          <w:tcPr>
            <w:tcW w:w="2322" w:type="dxa"/>
            <w:vAlign w:val="center"/>
          </w:tcPr>
          <w:p>
            <w:pPr>
              <w:wordWrap w:val="0"/>
              <w:snapToGrid w:val="0"/>
              <w:spacing w:line="360" w:lineRule="auto"/>
              <w:jc w:val="center"/>
              <w:rPr>
                <w:rFonts w:asciiTheme="minorEastAsia" w:hAnsiTheme="minorEastAsia" w:eastAsiaTheme="minorEastAsia"/>
                <w:b/>
                <w:bCs/>
                <w:color w:val="000000" w:themeColor="text1"/>
                <w:szCs w:val="21"/>
              </w:rPr>
            </w:pPr>
            <w:r>
              <w:rPr>
                <w:rStyle w:val="36"/>
                <w:rFonts w:hint="eastAsia" w:cs="仿宋_GB2312" w:asciiTheme="minorEastAsia" w:hAnsiTheme="minorEastAsia" w:eastAsiaTheme="minorEastAsia"/>
                <w:color w:val="000000" w:themeColor="text1"/>
              </w:rPr>
              <w:t>2022年7月29日</w:t>
            </w:r>
          </w:p>
        </w:tc>
      </w:tr>
    </w:tbl>
    <w:p>
      <w:pPr>
        <w:pStyle w:val="3"/>
        <w:wordWrap w:val="0"/>
        <w:spacing w:before="146"/>
        <w:rPr>
          <w:sz w:val="24"/>
          <w:szCs w:val="24"/>
        </w:rPr>
      </w:pPr>
    </w:p>
    <w:p>
      <w:pPr>
        <w:pStyle w:val="3"/>
        <w:wordWrap w:val="0"/>
        <w:spacing w:before="146"/>
        <w:rPr>
          <w:sz w:val="24"/>
          <w:szCs w:val="24"/>
        </w:rPr>
      </w:pPr>
      <w:bookmarkStart w:id="44" w:name="_Toc110325032"/>
      <w:r>
        <w:rPr>
          <w:sz w:val="24"/>
          <w:szCs w:val="24"/>
        </w:rPr>
        <w:t>（十二）实地查勘期</w:t>
      </w:r>
      <w:bookmarkEnd w:id="42"/>
      <w:bookmarkEnd w:id="43"/>
      <w:bookmarkEnd w:id="44"/>
    </w:p>
    <w:p>
      <w:pPr>
        <w:wordWrap w:val="0"/>
        <w:spacing w:line="56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eastAsiaTheme="minorEastAsia"/>
          <w:color w:val="000000" w:themeColor="text1"/>
          <w:sz w:val="24"/>
          <w:szCs w:val="24"/>
        </w:rPr>
        <w:t>2022年7月21日</w:t>
      </w:r>
    </w:p>
    <w:p>
      <w:pPr>
        <w:wordWrap w:val="0"/>
        <w:spacing w:line="560" w:lineRule="exact"/>
        <w:ind w:firstLine="480" w:firstLineChars="200"/>
        <w:rPr>
          <w:rFonts w:cs="Arial" w:asciiTheme="minorEastAsia" w:hAnsiTheme="minorEastAsia" w:eastAsiaTheme="minorEastAsia"/>
          <w:color w:val="000000" w:themeColor="text1"/>
          <w:sz w:val="24"/>
          <w:szCs w:val="24"/>
        </w:rPr>
      </w:pPr>
    </w:p>
    <w:p>
      <w:pPr>
        <w:pStyle w:val="3"/>
        <w:wordWrap w:val="0"/>
        <w:spacing w:before="146"/>
        <w:rPr>
          <w:sz w:val="24"/>
          <w:szCs w:val="24"/>
        </w:rPr>
      </w:pPr>
      <w:bookmarkStart w:id="45" w:name="_Toc110325033"/>
      <w:bookmarkStart w:id="46" w:name="_Toc485393198"/>
      <w:bookmarkStart w:id="47" w:name="_Toc480967884"/>
      <w:r>
        <w:rPr>
          <w:sz w:val="24"/>
          <w:szCs w:val="24"/>
        </w:rPr>
        <w:t>（十三）估价作业日期</w:t>
      </w:r>
      <w:bookmarkEnd w:id="45"/>
      <w:bookmarkEnd w:id="46"/>
      <w:bookmarkEnd w:id="47"/>
    </w:p>
    <w:p>
      <w:pPr>
        <w:wordWrap w:val="0"/>
        <w:spacing w:line="560" w:lineRule="exact"/>
        <w:ind w:firstLine="480" w:firstLineChars="200"/>
        <w:rPr>
          <w:rFonts w:cs="Arial" w:asciiTheme="minorEastAsia" w:hAnsiTheme="minorEastAsia" w:eastAsiaTheme="minorEastAsia"/>
          <w:color w:val="000000" w:themeColor="text1"/>
          <w:sz w:val="24"/>
          <w:szCs w:val="24"/>
        </w:rPr>
      </w:pPr>
      <w:r>
        <w:rPr>
          <w:rFonts w:cs="Arial" w:asciiTheme="minorEastAsia" w:hAnsiTheme="minorEastAsia" w:eastAsiaTheme="minorEastAsia"/>
          <w:color w:val="000000" w:themeColor="text1"/>
          <w:sz w:val="24"/>
          <w:szCs w:val="24"/>
        </w:rPr>
        <w:t>2022年7月6日</w:t>
      </w:r>
      <w:r>
        <w:rPr>
          <w:rFonts w:cs="Arial" w:asciiTheme="minorEastAsia" w:hAnsiTheme="minorEastAsia" w:eastAsiaTheme="minorEastAsia"/>
          <w:color w:val="000000" w:themeColor="text1"/>
          <w:sz w:val="28"/>
          <w:szCs w:val="28"/>
        </w:rPr>
        <w:t>—</w:t>
      </w:r>
      <w:r>
        <w:rPr>
          <w:rFonts w:cs="Arial" w:asciiTheme="minorEastAsia" w:hAnsiTheme="minorEastAsia" w:eastAsiaTheme="minorEastAsia"/>
          <w:color w:val="000000" w:themeColor="text1"/>
          <w:sz w:val="24"/>
          <w:szCs w:val="24"/>
        </w:rPr>
        <w:t>2022年7月29日</w:t>
      </w:r>
    </w:p>
    <w:p>
      <w:pPr>
        <w:wordWrap w:val="0"/>
        <w:spacing w:before="876" w:beforeLines="300" w:line="360" w:lineRule="auto"/>
        <w:ind w:firstLine="3600" w:firstLineChars="1500"/>
        <w:jc w:val="left"/>
        <w:rPr>
          <w:rFonts w:cs="Arial" w:asciiTheme="minorEastAsia" w:hAnsiTheme="minorEastAsia" w:eastAsiaTheme="minorEastAsia"/>
          <w:color w:val="000000" w:themeColor="text1"/>
          <w:kern w:val="2"/>
          <w:sz w:val="24"/>
          <w:szCs w:val="24"/>
        </w:rPr>
      </w:pPr>
      <w:r>
        <w:rPr>
          <w:rFonts w:hint="eastAsia" w:asciiTheme="minorEastAsia" w:hAnsiTheme="minorEastAsia" w:eastAsiaTheme="minorEastAsia"/>
          <w:color w:val="000000" w:themeColor="text1"/>
          <w:sz w:val="24"/>
          <w:szCs w:val="24"/>
        </w:rPr>
        <w:t>安徽财苑房地产土地评估咨询有限公司</w:t>
      </w:r>
    </w:p>
    <w:p>
      <w:pPr>
        <w:wordWrap w:val="0"/>
        <w:spacing w:line="360" w:lineRule="auto"/>
        <w:ind w:firstLine="3600" w:firstLineChars="1500"/>
        <w:rPr>
          <w:rFonts w:cs="Arial" w:asciiTheme="minorEastAsia" w:hAnsiTheme="minorEastAsia" w:eastAsiaTheme="minorEastAsia"/>
          <w:color w:val="000000" w:themeColor="text1"/>
          <w:kern w:val="2"/>
          <w:sz w:val="24"/>
          <w:szCs w:val="24"/>
        </w:rPr>
      </w:pPr>
      <w:r>
        <w:rPr>
          <w:rFonts w:hint="eastAsia" w:cs="Arial" w:asciiTheme="minorEastAsia" w:hAnsiTheme="minorEastAsia" w:eastAsiaTheme="minorEastAsia"/>
          <w:color w:val="000000" w:themeColor="text1"/>
          <w:kern w:val="2"/>
          <w:sz w:val="24"/>
          <w:szCs w:val="24"/>
        </w:rPr>
        <w:t>法定代表人：</w:t>
      </w:r>
    </w:p>
    <w:p>
      <w:pPr>
        <w:spacing w:line="560" w:lineRule="exact"/>
        <w:ind w:firstLine="3600" w:firstLineChars="1500"/>
        <w:jc w:val="left"/>
        <w:rPr>
          <w:rFonts w:asciiTheme="minorEastAsia" w:hAnsiTheme="minorEastAsia" w:eastAsiaTheme="minorEastAsia"/>
          <w:color w:val="000000" w:themeColor="text1"/>
          <w:sz w:val="28"/>
          <w:szCs w:val="28"/>
        </w:rPr>
      </w:pPr>
      <w:r>
        <w:rPr>
          <w:rFonts w:hint="eastAsia" w:cs="Arial" w:asciiTheme="minorEastAsia" w:hAnsiTheme="minorEastAsia" w:eastAsiaTheme="minorEastAsia"/>
          <w:color w:val="000000" w:themeColor="text1"/>
          <w:kern w:val="2"/>
          <w:sz w:val="24"/>
          <w:szCs w:val="24"/>
        </w:rPr>
        <w:t>二〇二二年七月二十九日</w:t>
      </w:r>
      <w:r>
        <w:rPr>
          <w:rFonts w:asciiTheme="minorEastAsia" w:hAnsiTheme="minorEastAsia" w:eastAsiaTheme="minorEastAsia"/>
          <w:color w:val="000000" w:themeColor="text1"/>
          <w:sz w:val="28"/>
          <w:szCs w:val="28"/>
        </w:rPr>
        <w:br w:type="page"/>
      </w:r>
    </w:p>
    <w:p>
      <w:bookmarkStart w:id="48" w:name="_Toc485393210"/>
    </w:p>
    <w:p>
      <w:pPr>
        <w:pStyle w:val="2"/>
        <w:wordWrap w:val="0"/>
        <w:spacing w:before="292"/>
        <w:rPr>
          <w:color w:val="000000" w:themeColor="text1"/>
        </w:rPr>
      </w:pPr>
      <w:bookmarkStart w:id="49" w:name="_Toc110325034"/>
      <w:r>
        <w:rPr>
          <w:rFonts w:hint="eastAsia"/>
          <w:color w:val="000000" w:themeColor="text1"/>
        </w:rPr>
        <w:t>四</w:t>
      </w:r>
      <w:r>
        <w:rPr>
          <w:color w:val="000000" w:themeColor="text1"/>
        </w:rPr>
        <w:t>、附   件</w:t>
      </w:r>
      <w:bookmarkEnd w:id="48"/>
      <w:bookmarkEnd w:id="49"/>
    </w:p>
    <w:p>
      <w:pPr>
        <w:pStyle w:val="3"/>
        <w:spacing w:before="146"/>
        <w:rPr>
          <w:rFonts w:ascii="宋体" w:hAnsi="宋体" w:cs="仿宋_GB2312"/>
          <w:b w:val="0"/>
          <w:bCs w:val="0"/>
        </w:rPr>
      </w:pPr>
      <w:bookmarkStart w:id="50" w:name="_Toc110325035"/>
      <w:r>
        <w:rPr>
          <w:rFonts w:hint="eastAsia" w:ascii="宋体" w:hAnsi="宋体" w:cs="仿宋_GB2312"/>
          <w:b w:val="0"/>
        </w:rPr>
        <w:t>(一)委托书</w:t>
      </w:r>
      <w:bookmarkEnd w:id="50"/>
    </w:p>
    <w:p>
      <w:pPr>
        <w:pStyle w:val="3"/>
        <w:spacing w:before="146"/>
        <w:rPr>
          <w:rFonts w:ascii="宋体" w:hAnsi="宋体" w:cs="宋体"/>
          <w:b w:val="0"/>
          <w:color w:val="000000"/>
        </w:rPr>
      </w:pPr>
      <w:bookmarkStart w:id="51" w:name="_Toc110325036"/>
      <w:r>
        <w:rPr>
          <w:rFonts w:hint="eastAsia" w:ascii="宋体" w:hAnsi="宋体" w:cs="仿宋_GB2312"/>
          <w:b w:val="0"/>
        </w:rPr>
        <w:t>(二)</w:t>
      </w:r>
      <w:r>
        <w:rPr>
          <w:rFonts w:hint="eastAsia" w:ascii="宋体" w:hAnsi="宋体" w:cs="宋体"/>
          <w:b w:val="0"/>
        </w:rPr>
        <w:t>《房地产权证》</w:t>
      </w:r>
      <w:r>
        <w:rPr>
          <w:rFonts w:hint="eastAsia" w:ascii="宋体" w:hAnsi="宋体" w:cs="宋体"/>
          <w:b w:val="0"/>
          <w:color w:val="000000"/>
        </w:rPr>
        <w:t>复印件</w:t>
      </w:r>
      <w:bookmarkEnd w:id="51"/>
    </w:p>
    <w:p>
      <w:pPr>
        <w:pStyle w:val="3"/>
        <w:spacing w:before="146"/>
        <w:rPr>
          <w:b w:val="0"/>
        </w:rPr>
      </w:pPr>
      <w:bookmarkStart w:id="52" w:name="_Toc110325037"/>
      <w:r>
        <w:rPr>
          <w:rFonts w:hint="eastAsia" w:ascii="宋体" w:hAnsi="宋体" w:cs="仿宋_GB2312"/>
          <w:b w:val="0"/>
        </w:rPr>
        <w:t>(三)估价对象位置图</w:t>
      </w:r>
      <w:bookmarkEnd w:id="52"/>
    </w:p>
    <w:p>
      <w:pPr>
        <w:pStyle w:val="3"/>
        <w:spacing w:before="146"/>
        <w:rPr>
          <w:b w:val="0"/>
        </w:rPr>
      </w:pPr>
      <w:bookmarkStart w:id="53" w:name="_Toc110325038"/>
      <w:r>
        <w:rPr>
          <w:rFonts w:hint="eastAsia" w:ascii="宋体" w:hAnsi="宋体" w:cs="仿宋_GB2312"/>
          <w:b w:val="0"/>
        </w:rPr>
        <w:t>(四)估价对象内外部状况照片</w:t>
      </w:r>
      <w:bookmarkEnd w:id="53"/>
    </w:p>
    <w:p>
      <w:pPr>
        <w:pStyle w:val="3"/>
        <w:spacing w:before="146"/>
        <w:rPr>
          <w:b w:val="0"/>
        </w:rPr>
      </w:pPr>
      <w:bookmarkStart w:id="54" w:name="_Toc110325039"/>
      <w:r>
        <w:rPr>
          <w:rFonts w:hint="eastAsia" w:ascii="宋体" w:hAnsi="宋体" w:cs="仿宋_GB2312"/>
          <w:b w:val="0"/>
        </w:rPr>
        <w:t>(五</w:t>
      </w:r>
      <w:r>
        <w:rPr>
          <w:rFonts w:hint="eastAsia" w:ascii="宋体" w:hAnsi="宋体" w:cs="宋体"/>
          <w:b w:val="0"/>
        </w:rPr>
        <w:t>)房地产估价机构营业执照复印件</w:t>
      </w:r>
      <w:bookmarkEnd w:id="54"/>
    </w:p>
    <w:p>
      <w:pPr>
        <w:pStyle w:val="3"/>
        <w:spacing w:before="146"/>
        <w:rPr>
          <w:b w:val="0"/>
        </w:rPr>
      </w:pPr>
      <w:bookmarkStart w:id="55" w:name="_Toc110325040"/>
      <w:r>
        <w:rPr>
          <w:rFonts w:hint="eastAsia" w:ascii="宋体" w:hAnsi="宋体" w:cs="宋体"/>
          <w:b w:val="0"/>
        </w:rPr>
        <w:t>(六)房地产估价机构资质证书复印件</w:t>
      </w:r>
      <w:bookmarkEnd w:id="55"/>
    </w:p>
    <w:p>
      <w:pPr>
        <w:pStyle w:val="3"/>
        <w:spacing w:before="146"/>
        <w:rPr>
          <w:rFonts w:ascii="宋体" w:hAnsi="宋体" w:cs="宋体"/>
          <w:bCs w:val="0"/>
        </w:rPr>
      </w:pPr>
      <w:bookmarkStart w:id="56" w:name="_Toc110325041"/>
      <w:r>
        <w:rPr>
          <w:rFonts w:hint="eastAsia" w:ascii="宋体" w:hAnsi="宋体" w:cs="宋体"/>
          <w:b w:val="0"/>
        </w:rPr>
        <w:t>(七)注册房地产估价师注册证书复印件</w:t>
      </w:r>
      <w:bookmarkEnd w:id="56"/>
    </w:p>
    <w:p>
      <w:pPr>
        <w:wordWrap w:val="0"/>
        <w:spacing w:line="560" w:lineRule="exact"/>
        <w:ind w:firstLine="1400" w:firstLineChars="500"/>
        <w:jc w:val="left"/>
        <w:rPr>
          <w:rFonts w:ascii="宋体" w:hAnsi="宋体" w:cs="宋体"/>
          <w:bCs/>
          <w:color w:val="000000" w:themeColor="text1"/>
          <w:sz w:val="28"/>
          <w:szCs w:val="28"/>
        </w:rPr>
      </w:pPr>
    </w:p>
    <w:p>
      <w:pPr>
        <w:widowControl/>
        <w:spacing w:line="240" w:lineRule="auto"/>
        <w:jc w:val="center"/>
        <w:rPr>
          <w:rFonts w:cs="宋体" w:asciiTheme="minorEastAsia" w:hAnsiTheme="minorEastAsia"/>
          <w:b/>
          <w:color w:val="000000"/>
          <w:sz w:val="24"/>
        </w:rPr>
      </w:pPr>
    </w:p>
    <w:p>
      <w:pPr>
        <w:widowControl/>
        <w:spacing w:line="240" w:lineRule="auto"/>
        <w:jc w:val="center"/>
        <w:rPr>
          <w:rFonts w:cs="宋体" w:asciiTheme="minorEastAsia" w:hAnsiTheme="minorEastAsia"/>
          <w:b/>
          <w:color w:val="000000"/>
          <w:sz w:val="24"/>
        </w:rPr>
      </w:pPr>
    </w:p>
    <w:p>
      <w:pPr>
        <w:widowControl/>
        <w:spacing w:line="240" w:lineRule="auto"/>
        <w:jc w:val="center"/>
        <w:rPr>
          <w:rFonts w:cs="宋体" w:asciiTheme="minorEastAsia" w:hAnsiTheme="minorEastAsia"/>
          <w:b/>
          <w:color w:val="000000"/>
          <w:sz w:val="24"/>
        </w:rPr>
      </w:pPr>
    </w:p>
    <w:p>
      <w:pPr>
        <w:widowControl/>
        <w:spacing w:line="200" w:lineRule="exact"/>
        <w:jc w:val="center"/>
        <w:rPr>
          <w:rFonts w:cs="宋体" w:asciiTheme="minorEastAsia" w:hAnsiTheme="minorEastAsia"/>
          <w:b/>
          <w:color w:val="000000"/>
          <w:sz w:val="24"/>
        </w:rPr>
      </w:pPr>
    </w:p>
    <w:p>
      <w:pPr>
        <w:widowControl/>
        <w:spacing w:line="200" w:lineRule="exact"/>
        <w:jc w:val="center"/>
        <w:rPr>
          <w:rFonts w:cs="宋体" w:asciiTheme="minorEastAsia" w:hAnsiTheme="minorEastAsia"/>
          <w:b/>
          <w:color w:val="000000"/>
          <w:sz w:val="24"/>
        </w:rPr>
      </w:pPr>
    </w:p>
    <w:p>
      <w:pPr>
        <w:widowControl/>
        <w:spacing w:line="200" w:lineRule="exact"/>
        <w:jc w:val="center"/>
        <w:rPr>
          <w:rFonts w:cs="宋体" w:asciiTheme="minorEastAsia" w:hAnsiTheme="minorEastAsia"/>
          <w:b/>
          <w:color w:val="000000"/>
          <w:sz w:val="24"/>
        </w:rPr>
      </w:pPr>
    </w:p>
    <w:p>
      <w:pPr>
        <w:widowControl/>
        <w:spacing w:line="200" w:lineRule="exact"/>
        <w:jc w:val="center"/>
        <w:rPr>
          <w:rFonts w:cs="宋体" w:asciiTheme="minorEastAsia" w:hAnsiTheme="minorEastAsia"/>
          <w:b/>
          <w:color w:val="000000"/>
          <w:sz w:val="24"/>
        </w:rPr>
      </w:pPr>
    </w:p>
    <w:p>
      <w:pPr>
        <w:widowControl/>
        <w:spacing w:line="200" w:lineRule="exact"/>
        <w:jc w:val="center"/>
        <w:rPr>
          <w:rFonts w:cs="宋体" w:asciiTheme="minorEastAsia" w:hAnsiTheme="minorEastAsia"/>
          <w:b/>
          <w:color w:val="000000"/>
          <w:sz w:val="24"/>
        </w:rPr>
      </w:pPr>
    </w:p>
    <w:p>
      <w:pPr>
        <w:widowControl/>
        <w:spacing w:line="200" w:lineRule="exact"/>
        <w:jc w:val="center"/>
        <w:rPr>
          <w:rFonts w:cs="宋体" w:asciiTheme="minorEastAsia" w:hAnsiTheme="minorEastAsia"/>
          <w:b/>
          <w:color w:val="000000"/>
          <w:sz w:val="24"/>
        </w:rPr>
      </w:pPr>
    </w:p>
    <w:p>
      <w:pPr>
        <w:widowControl/>
        <w:spacing w:line="200" w:lineRule="exact"/>
        <w:jc w:val="center"/>
        <w:rPr>
          <w:rFonts w:cs="宋体" w:asciiTheme="minorEastAsia" w:hAnsiTheme="minorEastAsia"/>
          <w:b/>
          <w:color w:val="000000"/>
          <w:sz w:val="24"/>
        </w:rPr>
      </w:pPr>
    </w:p>
    <w:p>
      <w:pPr>
        <w:widowControl/>
        <w:adjustRightInd/>
        <w:spacing w:line="240" w:lineRule="auto"/>
        <w:jc w:val="left"/>
        <w:textAlignment w:val="auto"/>
        <w:rPr>
          <w:rFonts w:cs="宋体" w:asciiTheme="minorEastAsia" w:hAnsiTheme="minorEastAsia"/>
          <w:b/>
          <w:color w:val="000000"/>
          <w:sz w:val="24"/>
        </w:rPr>
      </w:pPr>
      <w:r>
        <w:rPr>
          <w:rFonts w:cs="宋体" w:asciiTheme="minorEastAsia" w:hAnsiTheme="minorEastAsia"/>
          <w:b/>
          <w:color w:val="000000"/>
          <w:sz w:val="24"/>
        </w:rPr>
        <w:br w:type="page"/>
      </w:r>
      <w:r>
        <w:rPr>
          <w:rFonts w:cs="宋体" w:asciiTheme="minorEastAsia" w:hAnsiTheme="minorEastAsia"/>
          <w:b/>
          <w:color w:val="000000"/>
          <w:sz w:val="24"/>
        </w:rPr>
        <w:pict>
          <v:shape id="_x0000_s2068" o:spid="_x0000_s2068" o:spt="202" type="#_x0000_t202" style="position:absolute;left:0pt;margin-left:0.8pt;margin-top:5.5pt;height:705.45pt;width:452.25pt;mso-wrap-distance-bottom:3.6pt;mso-wrap-distance-left:9pt;mso-wrap-distance-right:9pt;mso-wrap-distance-top:3.6pt;z-index:251666432;mso-width-relative:margin;mso-height-relative:margin;" coordsize="21600,21600">
            <v:path/>
            <v:fill focussize="0,0"/>
            <v:stroke joinstyle="miter"/>
            <v:imagedata o:title=""/>
            <o:lock v:ext="edit"/>
            <v:textbox>
              <w:txbxContent>
                <w:p>
                  <w:r>
                    <w:drawing>
                      <wp:inline distT="0" distB="0" distL="0" distR="0">
                        <wp:extent cx="5551170" cy="5128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551170" cy="5128895"/>
                                </a:xfrm>
                                <a:prstGeom prst="rect">
                                  <a:avLst/>
                                </a:prstGeom>
                              </pic:spPr>
                            </pic:pic>
                          </a:graphicData>
                        </a:graphic>
                      </wp:inline>
                    </w:drawing>
                  </w:r>
                </w:p>
              </w:txbxContent>
            </v:textbox>
            <w10:wrap type="square"/>
          </v:shape>
        </w:pict>
      </w:r>
      <w:r>
        <w:rPr>
          <w:rFonts w:cs="宋体" w:asciiTheme="minorEastAsia" w:hAnsiTheme="minorEastAsia"/>
          <w:b/>
          <w:color w:val="000000"/>
          <w:sz w:val="24"/>
        </w:rPr>
        <w:br w:type="page"/>
      </w:r>
    </w:p>
    <w:p>
      <w:pPr>
        <w:widowControl/>
        <w:adjustRightInd/>
        <w:spacing w:line="240" w:lineRule="auto"/>
        <w:jc w:val="center"/>
        <w:textAlignment w:val="auto"/>
        <w:rPr>
          <w:rFonts w:cs="宋体" w:asciiTheme="minorEastAsia" w:hAnsiTheme="minorEastAsia"/>
          <w:b/>
          <w:color w:val="000000"/>
          <w:sz w:val="24"/>
        </w:rPr>
      </w:pPr>
      <w:r>
        <w:rPr>
          <w:rFonts w:hint="eastAsia" w:cs="宋体" w:asciiTheme="minorEastAsia" w:hAnsiTheme="minorEastAsia"/>
          <w:b/>
          <w:color w:val="000000"/>
          <w:sz w:val="24"/>
        </w:rPr>
        <w:t>《房地产权证》</w:t>
      </w:r>
    </w:p>
    <w:p>
      <w:pPr>
        <w:widowControl/>
        <w:spacing w:line="200" w:lineRule="exact"/>
        <w:jc w:val="center"/>
        <w:rPr>
          <w:rFonts w:cs="宋体" w:asciiTheme="minorEastAsia" w:hAnsiTheme="minorEastAsia"/>
          <w:b/>
          <w:color w:val="000000"/>
          <w:sz w:val="24"/>
        </w:rPr>
      </w:pPr>
      <w:r>
        <w:pict>
          <v:shape id="_x0000_s2067" o:spid="_x0000_s2067" o:spt="202" type="#_x0000_t202" style="position:absolute;left:0pt;margin-left:2.35pt;margin-top:8.95pt;height:680.35pt;width:451.1pt;z-index:251665408;mso-width-relative:margin;mso-height-relative:margin;" coordsize="21600,21600">
            <v:path/>
            <v:fill focussize="0,0"/>
            <v:stroke joinstyle="miter"/>
            <v:imagedata o:title=""/>
            <o:lock v:ext="edit"/>
            <v:textbox>
              <w:txbxContent>
                <w:p>
                  <w:bookmarkStart w:id="57" w:name="委托函"/>
                  <w:bookmarkEnd w:id="57"/>
                  <w:r>
                    <w:drawing>
                      <wp:inline distT="0" distB="0" distL="0" distR="0">
                        <wp:extent cx="5536565" cy="7830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36565" cy="7830820"/>
                                </a:xfrm>
                                <a:prstGeom prst="rect">
                                  <a:avLst/>
                                </a:prstGeom>
                              </pic:spPr>
                            </pic:pic>
                          </a:graphicData>
                        </a:graphic>
                      </wp:inline>
                    </w:drawing>
                  </w:r>
                </w:p>
              </w:txbxContent>
            </v:textbox>
          </v:shape>
        </w:pict>
      </w:r>
    </w:p>
    <w:p>
      <w:pPr>
        <w:widowControl/>
        <w:spacing w:line="200" w:lineRule="exact"/>
        <w:jc w:val="center"/>
        <w:rPr>
          <w:rFonts w:cs="宋体" w:asciiTheme="minorEastAsia" w:hAnsiTheme="minorEastAsia"/>
          <w:b/>
          <w:color w:val="000000"/>
          <w:sz w:val="24"/>
        </w:rPr>
      </w:pPr>
    </w:p>
    <w:p>
      <w:pPr>
        <w:widowControl/>
        <w:adjustRightInd/>
        <w:spacing w:line="240" w:lineRule="auto"/>
        <w:jc w:val="left"/>
        <w:textAlignment w:val="auto"/>
        <w:rPr>
          <w:rFonts w:asciiTheme="minorEastAsia" w:hAnsiTheme="minorEastAsia"/>
          <w:b/>
          <w:sz w:val="24"/>
          <w:szCs w:val="24"/>
        </w:rPr>
      </w:pPr>
      <w:r>
        <w:rPr>
          <w:rFonts w:asciiTheme="minorEastAsia" w:hAnsiTheme="minorEastAsia"/>
          <w:b/>
          <w:sz w:val="24"/>
          <w:szCs w:val="24"/>
        </w:rPr>
        <w:br w:type="page"/>
      </w:r>
    </w:p>
    <w:p>
      <w:pPr>
        <w:widowControl/>
        <w:adjustRightInd/>
        <w:spacing w:line="240" w:lineRule="auto"/>
        <w:textAlignment w:val="auto"/>
        <w:rPr>
          <w:rFonts w:asciiTheme="minorEastAsia" w:hAnsiTheme="minorEastAsia"/>
          <w:b/>
          <w:sz w:val="24"/>
          <w:szCs w:val="24"/>
        </w:rPr>
      </w:pPr>
      <w:r>
        <w:rPr>
          <w:rFonts w:asciiTheme="minorEastAsia" w:hAnsiTheme="minorEastAsia"/>
          <w:b/>
          <w:sz w:val="24"/>
          <w:szCs w:val="24"/>
        </w:rPr>
        <w:pict>
          <v:shape id="_x0000_s2066" o:spid="_x0000_s2066" o:spt="202" type="#_x0000_t202" style="position:absolute;left:0pt;margin-left:0.75pt;margin-top:27.55pt;height:680.3pt;width:453.55pt;z-index:251664384;mso-width-relative:page;mso-height-relative:page;" coordsize="21600,21600">
            <v:path/>
            <v:fill focussize="0,0"/>
            <v:stroke joinstyle="miter"/>
            <v:imagedata o:title=""/>
            <o:lock v:ext="edit"/>
            <v:textbox>
              <w:txbxContent>
                <w:p>
                  <w:bookmarkStart w:id="58" w:name="房地产证"/>
                  <w:bookmarkEnd w:id="58"/>
                  <w:r>
                    <w:drawing>
                      <wp:inline distT="0" distB="0" distL="0" distR="0">
                        <wp:extent cx="5567680" cy="7875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67680" cy="7875270"/>
                                </a:xfrm>
                                <a:prstGeom prst="rect">
                                  <a:avLst/>
                                </a:prstGeom>
                              </pic:spPr>
                            </pic:pic>
                          </a:graphicData>
                        </a:graphic>
                      </wp:inline>
                    </w:drawing>
                  </w:r>
                </w:p>
              </w:txbxContent>
            </v:textbox>
          </v:shape>
        </w:pict>
      </w:r>
      <w:r>
        <w:rPr>
          <w:rFonts w:asciiTheme="minorEastAsia" w:hAnsiTheme="minorEastAsia"/>
          <w:b/>
          <w:sz w:val="24"/>
          <w:szCs w:val="24"/>
        </w:rPr>
        <w:br w:type="page"/>
      </w:r>
    </w:p>
    <w:p>
      <w:pPr>
        <w:widowControl/>
        <w:adjustRightInd/>
        <w:spacing w:line="240" w:lineRule="auto"/>
        <w:jc w:val="center"/>
        <w:textAlignment w:val="auto"/>
        <w:rPr>
          <w:rFonts w:asciiTheme="minorEastAsia" w:hAnsiTheme="minorEastAsia"/>
          <w:b/>
          <w:sz w:val="24"/>
          <w:szCs w:val="24"/>
        </w:rPr>
      </w:pPr>
      <w:r>
        <w:rPr>
          <w:rFonts w:hint="eastAsia" w:asciiTheme="minorEastAsia" w:hAnsiTheme="minorEastAsia"/>
          <w:b/>
          <w:sz w:val="24"/>
          <w:szCs w:val="24"/>
        </w:rPr>
        <w:t>位置图</w:t>
      </w:r>
    </w:p>
    <w:p>
      <w:pPr>
        <w:widowControl/>
        <w:adjustRightInd/>
        <w:spacing w:line="240" w:lineRule="auto"/>
        <w:jc w:val="left"/>
        <w:textAlignment w:val="auto"/>
        <w:rPr>
          <w:rFonts w:asciiTheme="minorEastAsia" w:hAnsiTheme="minorEastAsia"/>
          <w:b/>
          <w:sz w:val="24"/>
          <w:szCs w:val="24"/>
        </w:rPr>
      </w:pPr>
      <w:r>
        <w:drawing>
          <wp:inline distT="0" distB="0" distL="0" distR="0">
            <wp:extent cx="5760720" cy="3521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0720" cy="3521710"/>
                    </a:xfrm>
                    <a:prstGeom prst="rect">
                      <a:avLst/>
                    </a:prstGeom>
                    <a:noFill/>
                    <a:ln>
                      <a:noFill/>
                    </a:ln>
                  </pic:spPr>
                </pic:pic>
              </a:graphicData>
            </a:graphic>
          </wp:inline>
        </w:drawing>
      </w:r>
      <w:r>
        <w:rPr>
          <w:rFonts w:asciiTheme="minorEastAsia" w:hAnsiTheme="minorEastAsia"/>
          <w:b/>
          <w:sz w:val="24"/>
          <w:szCs w:val="24"/>
        </w:rPr>
        <w:br w:type="page"/>
      </w:r>
    </w:p>
    <w:p>
      <w:pPr>
        <w:jc w:val="center"/>
        <w:rPr>
          <w:rFonts w:asciiTheme="minorEastAsia" w:hAnsiTheme="minorEastAsia"/>
          <w:b/>
          <w:sz w:val="24"/>
          <w:szCs w:val="24"/>
        </w:rPr>
      </w:pPr>
      <w:r>
        <w:rPr>
          <w:rFonts w:hint="eastAsia" w:asciiTheme="minorEastAsia" w:hAnsiTheme="minorEastAsia"/>
          <w:b/>
          <w:sz w:val="24"/>
          <w:szCs w:val="24"/>
        </w:rPr>
        <w:t>现场勘察照片</w:t>
      </w:r>
    </w:p>
    <w:tbl>
      <w:tblPr>
        <w:tblStyle w:val="25"/>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jc w:val="center"/>
        </w:trPr>
        <w:tc>
          <w:tcPr>
            <w:tcW w:w="5040" w:type="dxa"/>
            <w:shd w:val="clear" w:color="auto" w:fill="auto"/>
            <w:vAlign w:val="center"/>
          </w:tcPr>
          <w:p>
            <w:pPr>
              <w:widowControl/>
              <w:spacing w:line="240" w:lineRule="auto"/>
              <w:jc w:val="center"/>
              <w:rPr>
                <w:rFonts w:cs="宋体" w:asciiTheme="minorEastAsia" w:hAnsiTheme="minorEastAsia"/>
                <w:b/>
                <w:sz w:val="24"/>
                <w:szCs w:val="24"/>
              </w:rPr>
            </w:pPr>
            <w:r>
              <w:rPr>
                <w:rFonts w:hint="eastAsia" w:cs="宋体" w:asciiTheme="minorEastAsia" w:hAnsiTheme="minorEastAsia"/>
                <w:b/>
                <w:sz w:val="24"/>
                <w:szCs w:val="24"/>
              </w:rPr>
              <w:drawing>
                <wp:inline distT="0" distB="0" distL="0" distR="0">
                  <wp:extent cx="2332355" cy="174879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2873" cy="1748969"/>
                          </a:xfrm>
                          <a:prstGeom prst="rect">
                            <a:avLst/>
                          </a:prstGeom>
                        </pic:spPr>
                      </pic:pic>
                    </a:graphicData>
                  </a:graphic>
                </wp:inline>
              </w:drawing>
            </w:r>
          </w:p>
        </w:tc>
        <w:tc>
          <w:tcPr>
            <w:tcW w:w="5040" w:type="dxa"/>
            <w:vAlign w:val="center"/>
          </w:tcPr>
          <w:p>
            <w:pPr>
              <w:widowControl/>
              <w:spacing w:line="240" w:lineRule="auto"/>
              <w:rPr>
                <w:rFonts w:cs="宋体" w:asciiTheme="minorEastAsia" w:hAnsiTheme="minorEastAsia"/>
                <w:b/>
                <w:sz w:val="24"/>
                <w:szCs w:val="24"/>
              </w:rPr>
            </w:pPr>
            <w:r>
              <w:rPr>
                <w:rFonts w:hint="eastAsia" w:cs="宋体" w:asciiTheme="minorEastAsia" w:hAnsiTheme="minorEastAsia"/>
                <w:b/>
                <w:sz w:val="24"/>
                <w:szCs w:val="24"/>
              </w:rPr>
              <w:drawing>
                <wp:anchor distT="0" distB="0" distL="114300" distR="114300" simplePos="0" relativeHeight="251667456" behindDoc="1" locked="0" layoutInCell="1" allowOverlap="1">
                  <wp:simplePos x="0" y="0"/>
                  <wp:positionH relativeFrom="column">
                    <wp:posOffset>397510</wp:posOffset>
                  </wp:positionH>
                  <wp:positionV relativeFrom="paragraph">
                    <wp:posOffset>4445</wp:posOffset>
                  </wp:positionV>
                  <wp:extent cx="2257425" cy="1629410"/>
                  <wp:effectExtent l="0" t="0" r="0" b="0"/>
                  <wp:wrapTight wrapText="bothSides">
                    <wp:wrapPolygon>
                      <wp:start x="0" y="0"/>
                      <wp:lineTo x="0" y="21465"/>
                      <wp:lineTo x="21509" y="21465"/>
                      <wp:lineTo x="21509" y="0"/>
                      <wp:lineTo x="0" y="0"/>
                    </wp:wrapPolygon>
                  </wp:wrapTight>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7425" cy="16294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40" w:type="dxa"/>
            <w:shd w:val="clear" w:color="auto" w:fill="auto"/>
            <w:vAlign w:val="center"/>
          </w:tcPr>
          <w:p>
            <w:pPr>
              <w:widowControl/>
              <w:spacing w:line="240" w:lineRule="auto"/>
              <w:jc w:val="center"/>
              <w:rPr>
                <w:rFonts w:cs="宋体" w:asciiTheme="minorEastAsia" w:hAnsiTheme="minorEastAsia"/>
                <w:b/>
                <w:sz w:val="24"/>
                <w:szCs w:val="24"/>
              </w:rPr>
            </w:pPr>
            <w:r>
              <w:rPr>
                <w:rFonts w:hint="eastAsia" w:cs="宋体" w:asciiTheme="minorEastAsia" w:hAnsiTheme="minorEastAsia"/>
                <w:b/>
                <w:sz w:val="24"/>
                <w:szCs w:val="24"/>
              </w:rPr>
              <w:drawing>
                <wp:inline distT="0" distB="0" distL="0" distR="0">
                  <wp:extent cx="2350135" cy="1762125"/>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0656" cy="1762301"/>
                          </a:xfrm>
                          <a:prstGeom prst="rect">
                            <a:avLst/>
                          </a:prstGeom>
                        </pic:spPr>
                      </pic:pic>
                    </a:graphicData>
                  </a:graphic>
                </wp:inline>
              </w:drawing>
            </w:r>
          </w:p>
        </w:tc>
        <w:tc>
          <w:tcPr>
            <w:tcW w:w="5040" w:type="dxa"/>
            <w:shd w:val="clear" w:color="auto" w:fill="auto"/>
            <w:vAlign w:val="center"/>
          </w:tcPr>
          <w:p>
            <w:pPr>
              <w:widowControl/>
              <w:spacing w:line="240" w:lineRule="auto"/>
              <w:jc w:val="center"/>
              <w:rPr>
                <w:rFonts w:cs="宋体" w:asciiTheme="minorEastAsia" w:hAnsiTheme="minorEastAsia"/>
                <w:b/>
                <w:sz w:val="24"/>
                <w:szCs w:val="24"/>
              </w:rPr>
            </w:pPr>
            <w:r>
              <w:rPr>
                <w:rFonts w:hint="eastAsia" w:cs="宋体" w:asciiTheme="minorEastAsia" w:hAnsiTheme="minorEastAsia"/>
                <w:b/>
                <w:sz w:val="24"/>
                <w:szCs w:val="24"/>
              </w:rPr>
              <w:drawing>
                <wp:inline distT="0" distB="0" distL="0" distR="0">
                  <wp:extent cx="2209800" cy="1685925"/>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3677" cy="1696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40" w:type="dxa"/>
            <w:shd w:val="clear" w:color="auto" w:fill="auto"/>
            <w:vAlign w:val="center"/>
          </w:tcPr>
          <w:p>
            <w:pPr>
              <w:widowControl/>
              <w:spacing w:line="240" w:lineRule="auto"/>
              <w:jc w:val="center"/>
              <w:rPr>
                <w:rFonts w:cs="宋体" w:asciiTheme="minorEastAsia" w:hAnsiTheme="minorEastAsia"/>
                <w:b/>
                <w:sz w:val="24"/>
                <w:szCs w:val="24"/>
              </w:rPr>
            </w:pPr>
            <w:r>
              <w:rPr>
                <w:rFonts w:hint="eastAsia" w:cs="宋体" w:asciiTheme="minorEastAsia" w:hAnsiTheme="minorEastAsia"/>
                <w:b/>
                <w:sz w:val="24"/>
                <w:szCs w:val="24"/>
              </w:rPr>
              <w:drawing>
                <wp:inline distT="0" distB="0" distL="0" distR="0">
                  <wp:extent cx="2348230" cy="176022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8274" cy="1760516"/>
                          </a:xfrm>
                          <a:prstGeom prst="rect">
                            <a:avLst/>
                          </a:prstGeom>
                        </pic:spPr>
                      </pic:pic>
                    </a:graphicData>
                  </a:graphic>
                </wp:inline>
              </w:drawing>
            </w:r>
          </w:p>
        </w:tc>
        <w:tc>
          <w:tcPr>
            <w:tcW w:w="5040" w:type="dxa"/>
            <w:shd w:val="clear" w:color="auto" w:fill="auto"/>
            <w:vAlign w:val="center"/>
          </w:tcPr>
          <w:p>
            <w:pPr>
              <w:widowControl/>
              <w:spacing w:line="240" w:lineRule="auto"/>
              <w:jc w:val="center"/>
              <w:rPr>
                <w:rFonts w:cs="宋体" w:asciiTheme="minorEastAsia" w:hAnsiTheme="minorEastAsia"/>
                <w:b/>
                <w:sz w:val="24"/>
                <w:szCs w:val="24"/>
              </w:rPr>
            </w:pPr>
            <w:r>
              <w:rPr>
                <w:rFonts w:hint="eastAsia" w:cs="宋体" w:asciiTheme="minorEastAsia" w:hAnsiTheme="minorEastAsia"/>
                <w:b/>
                <w:sz w:val="24"/>
                <w:szCs w:val="24"/>
              </w:rPr>
              <w:drawing>
                <wp:inline distT="0" distB="0" distL="0" distR="0">
                  <wp:extent cx="2268220" cy="170053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8404" cy="170063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40" w:type="dxa"/>
            <w:shd w:val="clear" w:color="auto" w:fill="auto"/>
            <w:vAlign w:val="center"/>
          </w:tcPr>
          <w:p>
            <w:pPr>
              <w:widowControl/>
              <w:spacing w:line="240" w:lineRule="auto"/>
              <w:jc w:val="center"/>
              <w:rPr>
                <w:rFonts w:cs="宋体" w:asciiTheme="minorEastAsia" w:hAnsiTheme="minorEastAsia"/>
                <w:b/>
                <w:sz w:val="24"/>
                <w:szCs w:val="24"/>
              </w:rPr>
            </w:pPr>
            <w:r>
              <w:rPr>
                <w:rFonts w:hint="eastAsia" w:cs="宋体" w:asciiTheme="minorEastAsia" w:hAnsiTheme="minorEastAsia"/>
                <w:b/>
                <w:sz w:val="24"/>
                <w:szCs w:val="24"/>
              </w:rPr>
              <w:drawing>
                <wp:inline distT="0" distB="0" distL="0" distR="0">
                  <wp:extent cx="2276475" cy="1706245"/>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587" cy="1706772"/>
                          </a:xfrm>
                          <a:prstGeom prst="rect">
                            <a:avLst/>
                          </a:prstGeom>
                        </pic:spPr>
                      </pic:pic>
                    </a:graphicData>
                  </a:graphic>
                </wp:inline>
              </w:drawing>
            </w:r>
          </w:p>
        </w:tc>
        <w:tc>
          <w:tcPr>
            <w:tcW w:w="5040" w:type="dxa"/>
            <w:vAlign w:val="center"/>
          </w:tcPr>
          <w:p>
            <w:pPr>
              <w:widowControl/>
              <w:spacing w:line="240" w:lineRule="auto"/>
              <w:jc w:val="center"/>
              <w:rPr>
                <w:rFonts w:cs="宋体" w:asciiTheme="minorEastAsia" w:hAnsiTheme="minorEastAsia"/>
                <w:b/>
                <w:sz w:val="24"/>
                <w:szCs w:val="24"/>
              </w:rPr>
            </w:pPr>
            <w:r>
              <w:rPr>
                <w:rFonts w:hint="eastAsia" w:cs="宋体" w:asciiTheme="minorEastAsia" w:hAnsiTheme="minorEastAsia"/>
                <w:b/>
                <w:sz w:val="24"/>
                <w:szCs w:val="24"/>
              </w:rPr>
              <w:drawing>
                <wp:inline distT="0" distB="0" distL="0" distR="0">
                  <wp:extent cx="2308860" cy="1730375"/>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8879" cy="1730980"/>
                          </a:xfrm>
                          <a:prstGeom prst="rect">
                            <a:avLst/>
                          </a:prstGeom>
                        </pic:spPr>
                      </pic:pic>
                    </a:graphicData>
                  </a:graphic>
                </wp:inline>
              </w:drawing>
            </w:r>
          </w:p>
        </w:tc>
      </w:tr>
    </w:tbl>
    <w:p>
      <w:pPr>
        <w:spacing w:before="58" w:beforeLines="20"/>
        <w:ind w:right="960"/>
        <w:rPr>
          <w:rFonts w:asciiTheme="minorEastAsia" w:hAnsiTheme="minorEastAsia"/>
          <w:sz w:val="24"/>
          <w:szCs w:val="24"/>
        </w:rPr>
      </w:pPr>
    </w:p>
    <w:p>
      <w:pPr>
        <w:widowControl/>
        <w:jc w:val="left"/>
        <w:rPr>
          <w:rFonts w:ascii="宋体" w:hAnsi="宋体" w:cs="仿宋_GB2312"/>
          <w:b/>
          <w:color w:val="000000" w:themeColor="text1"/>
          <w:sz w:val="24"/>
        </w:rPr>
        <w:sectPr>
          <w:pgSz w:w="11907" w:h="16840"/>
          <w:pgMar w:top="1134" w:right="1134" w:bottom="1134" w:left="1134" w:header="720" w:footer="720" w:gutter="567"/>
          <w:pgNumType w:start="1"/>
          <w:cols w:space="720" w:num="1"/>
          <w:docGrid w:type="lines" w:linePitch="292" w:charSpace="0"/>
        </w:sectPr>
      </w:pPr>
    </w:p>
    <w:p>
      <w:pPr>
        <w:pStyle w:val="12"/>
        <w:jc w:val="center"/>
        <w:rPr>
          <w:b/>
        </w:rPr>
      </w:pPr>
      <w:r>
        <w:drawing>
          <wp:anchor distT="0" distB="0" distL="114300" distR="114300" simplePos="0" relativeHeight="251668480" behindDoc="0" locked="0" layoutInCell="1" allowOverlap="1">
            <wp:simplePos x="0" y="0"/>
            <wp:positionH relativeFrom="column">
              <wp:posOffset>-1225550</wp:posOffset>
            </wp:positionH>
            <wp:positionV relativeFrom="paragraph">
              <wp:posOffset>1629410</wp:posOffset>
            </wp:positionV>
            <wp:extent cx="7974965" cy="5685155"/>
            <wp:effectExtent l="0" t="1162050" r="0" b="115443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a:picLocks noChangeArrowheads="1"/>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982721" cy="5690252"/>
                    </a:xfrm>
                    <a:prstGeom prst="rect">
                      <a:avLst/>
                    </a:prstGeom>
                    <a:solidFill>
                      <a:srgbClr val="FFFFFF"/>
                    </a:solidFill>
                    <a:ln w="9525">
                      <a:solidFill>
                        <a:srgbClr val="000000"/>
                      </a:solidFill>
                      <a:miter lim="800000"/>
                      <a:headEnd/>
                      <a:tailEnd/>
                    </a:ln>
                  </pic:spPr>
                </pic:pic>
              </a:graphicData>
            </a:graphic>
          </wp:anchor>
        </w:drawing>
      </w:r>
      <w:r>
        <w:rPr>
          <w:rFonts w:hint="eastAsia"/>
          <w:b/>
        </w:rPr>
        <w:t>房地产估价机构营业执照复印件</w:t>
      </w:r>
    </w:p>
    <w:p>
      <w:pPr>
        <w:widowControl/>
        <w:adjustRightInd/>
        <w:spacing w:line="240" w:lineRule="auto"/>
        <w:jc w:val="left"/>
        <w:rPr>
          <w:rFonts w:cs="宋体" w:asciiTheme="minorEastAsia" w:hAnsiTheme="minorEastAsia" w:eastAsiaTheme="minorEastAsia"/>
          <w:b/>
          <w:szCs w:val="21"/>
        </w:rPr>
        <w:sectPr>
          <w:pgSz w:w="11907" w:h="16840"/>
          <w:pgMar w:top="1134" w:right="1134" w:bottom="1134" w:left="1134" w:header="720" w:footer="720" w:gutter="567"/>
          <w:pgNumType w:start="20"/>
          <w:cols w:space="720" w:num="1"/>
          <w:docGrid w:type="lines" w:linePitch="292" w:charSpace="0"/>
        </w:sectPr>
      </w:pPr>
    </w:p>
    <w:p>
      <w:pPr>
        <w:widowControl/>
        <w:jc w:val="center"/>
        <w:rPr>
          <w:rFonts w:cs="宋体" w:asciiTheme="minorEastAsia" w:hAnsiTheme="minorEastAsia" w:eastAsiaTheme="minorEastAsia"/>
          <w:b/>
          <w:szCs w:val="21"/>
        </w:rPr>
      </w:pPr>
      <w:r>
        <w:drawing>
          <wp:anchor distT="0" distB="0" distL="114300" distR="114300" simplePos="0" relativeHeight="251669504" behindDoc="0" locked="0" layoutInCell="1" allowOverlap="1">
            <wp:simplePos x="0" y="0"/>
            <wp:positionH relativeFrom="column">
              <wp:posOffset>1905</wp:posOffset>
            </wp:positionH>
            <wp:positionV relativeFrom="paragraph">
              <wp:posOffset>737235</wp:posOffset>
            </wp:positionV>
            <wp:extent cx="5760085" cy="7974330"/>
            <wp:effectExtent l="19050" t="19050" r="0" b="7620"/>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a:picLocks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60000" cy="7974545"/>
                    </a:xfrm>
                    <a:prstGeom prst="rect">
                      <a:avLst/>
                    </a:prstGeom>
                    <a:solidFill>
                      <a:srgbClr val="FFFFFF"/>
                    </a:solidFill>
                    <a:ln w="9525">
                      <a:solidFill>
                        <a:srgbClr val="000000"/>
                      </a:solidFill>
                      <a:miter lim="800000"/>
                      <a:headEnd/>
                      <a:tailEnd/>
                    </a:ln>
                  </pic:spPr>
                </pic:pic>
              </a:graphicData>
            </a:graphic>
          </wp:anchor>
        </w:drawing>
      </w:r>
      <w:r>
        <w:rPr>
          <w:rFonts w:hint="eastAsia"/>
          <w:b/>
        </w:rPr>
        <w:t>房地产估价机构资质证书复印件</w:t>
      </w:r>
    </w:p>
    <w:p>
      <w:pPr>
        <w:widowControl/>
        <w:adjustRightInd/>
        <w:spacing w:line="240" w:lineRule="auto"/>
        <w:jc w:val="left"/>
        <w:rPr>
          <w:rFonts w:cs="宋体" w:asciiTheme="minorEastAsia" w:hAnsiTheme="minorEastAsia" w:eastAsiaTheme="minorEastAsia"/>
          <w:b/>
          <w:szCs w:val="21"/>
        </w:rPr>
        <w:sectPr>
          <w:pgSz w:w="11907" w:h="16840"/>
          <w:pgMar w:top="1134" w:right="1134" w:bottom="1134" w:left="1134" w:header="720" w:footer="720" w:gutter="567"/>
          <w:pgNumType w:start="19"/>
          <w:cols w:space="720" w:num="1"/>
          <w:docGrid w:type="lines" w:linePitch="292" w:charSpace="0"/>
        </w:sectPr>
      </w:pPr>
    </w:p>
    <w:p>
      <w:pPr>
        <w:pStyle w:val="12"/>
        <w:jc w:val="center"/>
        <w:rPr>
          <w:b/>
        </w:rPr>
      </w:pPr>
      <w:r>
        <w:rPr>
          <w:rFonts w:hint="eastAsia"/>
          <w:b/>
        </w:rPr>
        <w:t>注册房地产估价师注册证书复印件</w:t>
      </w:r>
    </w:p>
    <w:p>
      <w:pPr>
        <w:rPr>
          <w:rFonts w:ascii="宋体" w:hAnsi="宋体" w:cs="宋体"/>
          <w:bCs/>
          <w:sz w:val="28"/>
          <w:szCs w:val="28"/>
        </w:rPr>
      </w:pPr>
      <w:r>
        <w:rPr>
          <w:rFonts w:ascii="宋体" w:hAnsi="宋体" w:cs="宋体"/>
          <w:bCs/>
          <w:sz w:val="28"/>
          <w:szCs w:val="28"/>
        </w:rPr>
        <w:drawing>
          <wp:anchor distT="0" distB="0" distL="114300" distR="114300" simplePos="0" relativeHeight="251670528" behindDoc="0" locked="0" layoutInCell="1" allowOverlap="1">
            <wp:simplePos x="0" y="0"/>
            <wp:positionH relativeFrom="column">
              <wp:posOffset>942340</wp:posOffset>
            </wp:positionH>
            <wp:positionV relativeFrom="paragraph">
              <wp:posOffset>3870325</wp:posOffset>
            </wp:positionV>
            <wp:extent cx="3900170" cy="5297805"/>
            <wp:effectExtent l="704850" t="0" r="67183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900170" cy="5297805"/>
                    </a:xfrm>
                    <a:prstGeom prst="rect">
                      <a:avLst/>
                    </a:prstGeom>
                  </pic:spPr>
                </pic:pic>
              </a:graphicData>
            </a:graphic>
          </wp:anchor>
        </w:drawing>
      </w:r>
      <w:r>
        <w:rPr>
          <w:rFonts w:ascii="宋体" w:hAnsi="宋体" w:cs="宋体"/>
          <w:bCs/>
          <w:sz w:val="28"/>
          <w:szCs w:val="28"/>
        </w:rPr>
        <w:drawing>
          <wp:anchor distT="0" distB="0" distL="114300" distR="114300" simplePos="0" relativeHeight="251671552" behindDoc="0" locked="0" layoutInCell="1" allowOverlap="1">
            <wp:simplePos x="0" y="0"/>
            <wp:positionH relativeFrom="column">
              <wp:posOffset>268605</wp:posOffset>
            </wp:positionH>
            <wp:positionV relativeFrom="paragraph">
              <wp:posOffset>513715</wp:posOffset>
            </wp:positionV>
            <wp:extent cx="5229860" cy="366585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29860" cy="3665855"/>
                    </a:xfrm>
                    <a:prstGeom prst="rect">
                      <a:avLst/>
                    </a:prstGeom>
                  </pic:spPr>
                </pic:pic>
              </a:graphicData>
            </a:graphic>
          </wp:anchor>
        </w:drawing>
      </w:r>
    </w:p>
    <w:sectPr>
      <w:headerReference r:id="rId8" w:type="default"/>
      <w:footerReference r:id="rId9" w:type="default"/>
      <w:pgSz w:w="11907" w:h="16840"/>
      <w:pgMar w:top="1134" w:right="1134" w:bottom="1134" w:left="1134" w:header="720" w:footer="720" w:gutter="567"/>
      <w:pgNumType w:start="1"/>
      <w:cols w:space="720" w:num="1"/>
      <w:docGrid w:type="lines" w:linePitch="29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300" w:lineRule="exact"/>
    </w:pPr>
    <w:r>
      <w:pict>
        <v:shape id="_x0000_s3073" o:spid="_x0000_s3073" o:spt="202" type="#_x0000_t202" style="position:absolute;left:0pt;margin-top:0pt;height:21.6pt;width:21.05pt;mso-position-horizontal:right;mso-position-horizontal-relative:margin;z-index:251661312;mso-width-relative:page;mso-height-relative:page;" filled="f" stroked="f" coordsize="21600,21600">
          <v:path/>
          <v:fill on="f" focussize="0,0"/>
          <v:stroke on="f" weight="0.5pt" joinstyle="miter"/>
          <v:imagedata o:title=""/>
          <o:lock v:ext="edit"/>
          <v:textbox inset="0mm,0mm,0mm,0mm">
            <w:txbxContent>
              <w:p>
                <w:pPr>
                  <w:pStyle w:val="16"/>
                </w:pPr>
                <w:r>
                  <w:fldChar w:fldCharType="begin"/>
                </w:r>
                <w:r>
                  <w:instrText xml:space="preserve"> PAGE  \* MERGEFORMAT </w:instrText>
                </w:r>
                <w:r>
                  <w:fldChar w:fldCharType="separate"/>
                </w:r>
                <w:r>
                  <w:t>5</w:t>
                </w:r>
                <w:r>
                  <w:fldChar w:fldCharType="end"/>
                </w:r>
              </w:p>
            </w:txbxContent>
          </v:textbox>
        </v:shape>
      </w:pict>
    </w:r>
    <w:r>
      <w:rPr>
        <w:rFonts w:hint="eastAsia" w:ascii="宋体" w:hAnsi="宋体" w:cs="宋体"/>
        <w:bCs/>
      </w:rPr>
      <w:t>地址：安徽省合肥市庐阳区庐江路1</w:t>
    </w:r>
    <w:r>
      <w:rPr>
        <w:rFonts w:ascii="宋体" w:hAnsi="宋体" w:cs="宋体"/>
        <w:bCs/>
      </w:rPr>
      <w:t>24</w:t>
    </w:r>
    <w:r>
      <w:rPr>
        <w:rFonts w:hint="eastAsia" w:ascii="宋体" w:hAnsi="宋体" w:cs="宋体"/>
        <w:bCs/>
      </w:rPr>
      <w:t>号创元大厦六楼，电话：0551-62873102</w:t>
    </w:r>
    <w:r>
      <w:rPr>
        <w:rFonts w:asciiTheme="minorEastAsia" w:hAnsiTheme="minorEastAsia" w:eastAsiaTheme="minorEastAsia"/>
      </w:rPr>
      <w:pict>
        <v:line id="直接连接符 2" o:spid="_x0000_s3074" o:spt="20" style="position:absolute;left:0pt;margin-left:-1.05pt;margin-top:2.55pt;height:0.75pt;width:455.25pt;z-index:251659264;mso-width-relative:page;mso-height-relative:page;" coordsize="21600,21600">
          <v:path arrowok="t"/>
          <v:fill focussize="0,0"/>
          <v:stroke/>
          <v:imagedata o:title=""/>
          <o:lock v:ext="edit"/>
        </v:line>
      </w:pict>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pict>
        <v:shape id="_x0000_s3075" o:spid="_x0000_s3075"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weight="0.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宋体" w:hAnsi="宋体"/>
      </w:rPr>
    </w:pPr>
    <w:r>
      <w:pict>
        <v:shape id="_x0000_s3076" o:spid="_x0000_s3076"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6"/>
                </w:pPr>
                <w:r>
                  <w:rPr>
                    <w:rFonts w:hint="eastAsia"/>
                  </w:rPr>
                  <w:t>-</w:t>
                </w:r>
                <w:r>
                  <w:t>21</w:t>
                </w:r>
                <w:r>
                  <w:rPr>
                    <w:rFonts w:hint="eastAsia"/>
                  </w:rPr>
                  <w:t>-</w:t>
                </w:r>
              </w:p>
            </w:txbxContent>
          </v:textbox>
        </v:shape>
      </w:pict>
    </w:r>
    <w:r>
      <w:rPr>
        <w:rFonts w:hint="eastAsia" w:ascii="宋体" w:hAnsi="宋体" w:cs="宋体"/>
        <w:bCs/>
      </w:rPr>
      <w:t>地址：安徽省合肥市庐阳区庐江路1</w:t>
    </w:r>
    <w:r>
      <w:rPr>
        <w:rFonts w:ascii="宋体" w:hAnsi="宋体" w:cs="宋体"/>
        <w:bCs/>
      </w:rPr>
      <w:t>24</w:t>
    </w:r>
    <w:r>
      <w:rPr>
        <w:rFonts w:hint="eastAsia" w:ascii="宋体" w:hAnsi="宋体" w:cs="宋体"/>
        <w:bCs/>
      </w:rPr>
      <w:t>号创元大厦六楼，电话：0551-62873102</w:t>
    </w:r>
    <w:r>
      <w:rPr>
        <w:rFonts w:ascii="宋体" w:hAnsi="宋体"/>
      </w:rPr>
      <w:pict>
        <v:line id="_x0000_s3077" o:spid="_x0000_s3077" o:spt="20" style="position:absolute;left:0pt;margin-left:0pt;margin-top:-0.05pt;height:0.75pt;width:455.25pt;z-index:251660288;mso-width-relative:page;mso-height-relative:page;" coordsize="21600,21600">
          <v:path arrowok="t"/>
          <v:fill focussize="0,0"/>
          <v:stroke/>
          <v:imagedata o:title=""/>
          <o:lock v:ext="edit"/>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rFonts w:hint="eastAsia"/>
      </w:rPr>
      <w:drawing>
        <wp:inline distT="0" distB="0" distL="0" distR="0">
          <wp:extent cx="222250" cy="150495"/>
          <wp:effectExtent l="19050" t="0" r="6350" b="0"/>
          <wp:docPr id="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hint="eastAsia" w:ascii="华文行楷" w:hAnsi="Arial Narrow" w:eastAsia="华文行楷"/>
        <w:bCs/>
      </w:rPr>
      <w:t>安徽财苑房地产土地评估咨询有限公司</w:t>
    </w:r>
    <w:r>
      <w:ptab w:relativeTo="margin" w:alignment="center" w:leader="none"/>
    </w:r>
    <w:r>
      <w:ptab w:relativeTo="margin" w:alignment="right" w:leader="none"/>
    </w:r>
    <w:r>
      <w:rPr>
        <w:rFonts w:hint="eastAsia" w:ascii="华文行楷" w:hAnsi="Arial Narrow" w:eastAsia="华文行楷"/>
        <w:bCs/>
      </w:rPr>
      <w:t>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rFonts w:hint="eastAsia"/>
      </w:rPr>
      <w:drawing>
        <wp:inline distT="0" distB="0" distL="0" distR="0">
          <wp:extent cx="222250" cy="150495"/>
          <wp:effectExtent l="19050" t="0" r="6350" b="0"/>
          <wp:docPr id="2"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hint="eastAsia" w:ascii="华文行楷" w:hAnsi="Arial Narrow" w:eastAsia="华文行楷"/>
        <w:bCs/>
      </w:rPr>
      <w:t>安徽财苑房地产土地评估咨询有限公司</w:t>
    </w:r>
    <w:r>
      <w:ptab w:relativeTo="margin" w:alignment="center" w:leader="none"/>
    </w:r>
    <w:r>
      <w:ptab w:relativeTo="margin" w:alignment="right" w:leader="none"/>
    </w:r>
    <w:r>
      <w:rPr>
        <w:rFonts w:hint="eastAsia" w:ascii="华文行楷" w:hAnsi="Arial Narrow" w:eastAsia="华文行楷"/>
        <w:bCs/>
      </w:rPr>
      <w:t>房地产估价报告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5ZjkwMDA5ZmFmODc0MWM4ZjU0MjE0OWRkNGNjMTUifQ=="/>
  </w:docVars>
  <w:rsids>
    <w:rsidRoot w:val="00F23590"/>
    <w:rsid w:val="000D417A"/>
    <w:rsid w:val="000E2154"/>
    <w:rsid w:val="001C2802"/>
    <w:rsid w:val="0036595B"/>
    <w:rsid w:val="003B3FCE"/>
    <w:rsid w:val="003E7E46"/>
    <w:rsid w:val="00433C81"/>
    <w:rsid w:val="00487FA8"/>
    <w:rsid w:val="004E4D29"/>
    <w:rsid w:val="0053163E"/>
    <w:rsid w:val="00544991"/>
    <w:rsid w:val="006E2EE5"/>
    <w:rsid w:val="007047E2"/>
    <w:rsid w:val="00753EF5"/>
    <w:rsid w:val="008A0250"/>
    <w:rsid w:val="008A1128"/>
    <w:rsid w:val="008D1FED"/>
    <w:rsid w:val="00942EAE"/>
    <w:rsid w:val="009A6DA4"/>
    <w:rsid w:val="00BE0FEC"/>
    <w:rsid w:val="00C2447C"/>
    <w:rsid w:val="00C474E2"/>
    <w:rsid w:val="00CF375A"/>
    <w:rsid w:val="00D422AF"/>
    <w:rsid w:val="00DA47B2"/>
    <w:rsid w:val="00DB6D5F"/>
    <w:rsid w:val="00F23590"/>
    <w:rsid w:val="00F374AC"/>
    <w:rsid w:val="00F3783C"/>
    <w:rsid w:val="00FB2D1E"/>
    <w:rsid w:val="00FB5F7A"/>
    <w:rsid w:val="57CD68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2">
    <w:name w:val="heading 1"/>
    <w:basedOn w:val="1"/>
    <w:next w:val="1"/>
    <w:link w:val="31"/>
    <w:qFormat/>
    <w:uiPriority w:val="0"/>
    <w:pPr>
      <w:keepNext/>
      <w:keepLines/>
      <w:topLinePunct/>
      <w:adjustRightInd/>
      <w:spacing w:beforeLines="100" w:line="240" w:lineRule="auto"/>
      <w:jc w:val="center"/>
      <w:textAlignment w:val="auto"/>
      <w:outlineLvl w:val="0"/>
    </w:pPr>
    <w:rPr>
      <w:rFonts w:cs="Arial" w:asciiTheme="minorEastAsia" w:hAnsiTheme="minorEastAsia" w:eastAsiaTheme="minorEastAsia"/>
      <w:b/>
      <w:bCs/>
      <w:kern w:val="2"/>
      <w:sz w:val="32"/>
      <w:szCs w:val="32"/>
    </w:rPr>
  </w:style>
  <w:style w:type="paragraph" w:styleId="3">
    <w:name w:val="heading 2"/>
    <w:basedOn w:val="1"/>
    <w:next w:val="1"/>
    <w:link w:val="32"/>
    <w:unhideWhenUsed/>
    <w:qFormat/>
    <w:uiPriority w:val="9"/>
    <w:pPr>
      <w:keepNext/>
      <w:keepLines/>
      <w:spacing w:beforeLines="50" w:line="560" w:lineRule="exact"/>
      <w:outlineLvl w:val="1"/>
    </w:pPr>
    <w:rPr>
      <w:rFonts w:asciiTheme="minorEastAsia" w:hAnsiTheme="minorEastAsia" w:eastAsiaTheme="minorEastAsia" w:cstheme="majorBidi"/>
      <w:b/>
      <w:bCs/>
      <w:color w:val="000000" w:themeColor="text1"/>
      <w:sz w:val="28"/>
      <w:szCs w:val="28"/>
    </w:rPr>
  </w:style>
  <w:style w:type="paragraph" w:styleId="4">
    <w:name w:val="heading 3"/>
    <w:basedOn w:val="1"/>
    <w:next w:val="1"/>
    <w:link w:val="47"/>
    <w:semiHidden/>
    <w:unhideWhenUsed/>
    <w:qFormat/>
    <w:uiPriority w:val="9"/>
    <w:pPr>
      <w:keepNext/>
      <w:keepLines/>
      <w:spacing w:before="260" w:after="260" w:line="416" w:lineRule="atLeast"/>
      <w:outlineLvl w:val="2"/>
    </w:pPr>
    <w:rPr>
      <w:b/>
      <w:bCs/>
      <w:sz w:val="32"/>
      <w:szCs w:val="32"/>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sz w:val="18"/>
      <w:szCs w:val="18"/>
    </w:rPr>
  </w:style>
  <w:style w:type="paragraph" w:styleId="6">
    <w:name w:val="Document Map"/>
    <w:basedOn w:val="1"/>
    <w:link w:val="45"/>
    <w:semiHidden/>
    <w:unhideWhenUsed/>
    <w:qFormat/>
    <w:uiPriority w:val="99"/>
    <w:rPr>
      <w:rFonts w:ascii="宋体"/>
      <w:sz w:val="18"/>
      <w:szCs w:val="18"/>
    </w:rPr>
  </w:style>
  <w:style w:type="paragraph" w:styleId="7">
    <w:name w:val="annotation text"/>
    <w:basedOn w:val="1"/>
    <w:link w:val="44"/>
    <w:semiHidden/>
    <w:unhideWhenUsed/>
    <w:qFormat/>
    <w:uiPriority w:val="99"/>
    <w:pPr>
      <w:jc w:val="left"/>
    </w:pPr>
  </w:style>
  <w:style w:type="paragraph" w:styleId="8">
    <w:name w:val="Salutation"/>
    <w:basedOn w:val="1"/>
    <w:next w:val="1"/>
    <w:link w:val="42"/>
    <w:qFormat/>
    <w:uiPriority w:val="0"/>
    <w:pPr>
      <w:adjustRightInd/>
      <w:spacing w:line="240" w:lineRule="auto"/>
      <w:textAlignment w:val="auto"/>
    </w:pPr>
    <w:rPr>
      <w:kern w:val="2"/>
      <w:sz w:val="28"/>
    </w:rPr>
  </w:style>
  <w:style w:type="paragraph" w:styleId="9">
    <w:name w:val="Closing"/>
    <w:basedOn w:val="1"/>
    <w:link w:val="40"/>
    <w:qFormat/>
    <w:uiPriority w:val="0"/>
    <w:pPr>
      <w:adjustRightInd/>
      <w:spacing w:line="240" w:lineRule="auto"/>
      <w:ind w:left="100" w:leftChars="2100"/>
      <w:textAlignment w:val="auto"/>
    </w:pPr>
    <w:rPr>
      <w:kern w:val="2"/>
      <w:sz w:val="28"/>
      <w:szCs w:val="24"/>
    </w:rPr>
  </w:style>
  <w:style w:type="paragraph" w:styleId="10">
    <w:name w:val="toc 5"/>
    <w:basedOn w:val="1"/>
    <w:next w:val="1"/>
    <w:unhideWhenUsed/>
    <w:qFormat/>
    <w:uiPriority w:val="39"/>
    <w:pPr>
      <w:ind w:left="840"/>
      <w:jc w:val="left"/>
    </w:pPr>
    <w:rPr>
      <w:rFonts w:asciiTheme="minorHAnsi" w:hAnsiTheme="minorHAnsi"/>
      <w:sz w:val="18"/>
      <w:szCs w:val="18"/>
    </w:rPr>
  </w:style>
  <w:style w:type="paragraph" w:styleId="11">
    <w:name w:val="toc 3"/>
    <w:basedOn w:val="1"/>
    <w:next w:val="1"/>
    <w:unhideWhenUsed/>
    <w:qFormat/>
    <w:uiPriority w:val="39"/>
    <w:pPr>
      <w:ind w:left="420"/>
      <w:jc w:val="left"/>
    </w:pPr>
    <w:rPr>
      <w:rFonts w:asciiTheme="minorHAnsi" w:hAnsiTheme="minorHAnsi"/>
      <w:i/>
      <w:iCs/>
      <w:sz w:val="20"/>
    </w:rPr>
  </w:style>
  <w:style w:type="paragraph" w:styleId="12">
    <w:name w:val="Plain Text"/>
    <w:basedOn w:val="1"/>
    <w:link w:val="41"/>
    <w:qFormat/>
    <w:uiPriority w:val="0"/>
    <w:pPr>
      <w:autoSpaceDE w:val="0"/>
      <w:autoSpaceDN w:val="0"/>
      <w:textAlignment w:val="auto"/>
    </w:pPr>
    <w:rPr>
      <w:rFonts w:ascii="Courier New" w:hAnsi="Courier New"/>
      <w:kern w:val="2"/>
      <w:szCs w:val="22"/>
    </w:rPr>
  </w:style>
  <w:style w:type="paragraph" w:styleId="13">
    <w:name w:val="toc 8"/>
    <w:basedOn w:val="1"/>
    <w:next w:val="1"/>
    <w:unhideWhenUsed/>
    <w:qFormat/>
    <w:uiPriority w:val="39"/>
    <w:pPr>
      <w:ind w:left="1470"/>
      <w:jc w:val="left"/>
    </w:pPr>
    <w:rPr>
      <w:rFonts w:asciiTheme="minorHAnsi" w:hAnsiTheme="minorHAnsi"/>
      <w:sz w:val="18"/>
      <w:szCs w:val="18"/>
    </w:rPr>
  </w:style>
  <w:style w:type="paragraph" w:styleId="14">
    <w:name w:val="Date"/>
    <w:basedOn w:val="1"/>
    <w:next w:val="1"/>
    <w:link w:val="54"/>
    <w:semiHidden/>
    <w:unhideWhenUsed/>
    <w:uiPriority w:val="99"/>
    <w:pPr>
      <w:ind w:left="100" w:leftChars="2500"/>
    </w:pPr>
  </w:style>
  <w:style w:type="paragraph" w:styleId="15">
    <w:name w:val="Balloon Text"/>
    <w:basedOn w:val="1"/>
    <w:link w:val="43"/>
    <w:semiHidden/>
    <w:unhideWhenUsed/>
    <w:qFormat/>
    <w:uiPriority w:val="99"/>
    <w:pPr>
      <w:spacing w:line="240" w:lineRule="auto"/>
    </w:pPr>
    <w:rPr>
      <w:sz w:val="18"/>
      <w:szCs w:val="18"/>
    </w:rPr>
  </w:style>
  <w:style w:type="paragraph" w:styleId="16">
    <w:name w:val="footer"/>
    <w:basedOn w:val="1"/>
    <w:link w:val="34"/>
    <w:unhideWhenUsed/>
    <w:qFormat/>
    <w:uiPriority w:val="99"/>
    <w:pPr>
      <w:tabs>
        <w:tab w:val="center" w:pos="4153"/>
        <w:tab w:val="right" w:pos="8306"/>
      </w:tabs>
      <w:snapToGrid w:val="0"/>
      <w:jc w:val="left"/>
    </w:pPr>
    <w:rPr>
      <w:sz w:val="18"/>
      <w:szCs w:val="18"/>
    </w:rPr>
  </w:style>
  <w:style w:type="paragraph" w:styleId="17">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line="400" w:lineRule="exact"/>
      <w:jc w:val="left"/>
    </w:pPr>
    <w:rPr>
      <w:rFonts w:asciiTheme="minorHAnsi" w:hAnsiTheme="minorHAnsi"/>
      <w:b/>
      <w:bCs/>
      <w:caps/>
      <w:sz w:val="24"/>
    </w:rPr>
  </w:style>
  <w:style w:type="paragraph" w:styleId="19">
    <w:name w:val="toc 4"/>
    <w:basedOn w:val="1"/>
    <w:next w:val="1"/>
    <w:unhideWhenUsed/>
    <w:qFormat/>
    <w:uiPriority w:val="39"/>
    <w:pPr>
      <w:ind w:left="630"/>
      <w:jc w:val="left"/>
    </w:pPr>
    <w:rPr>
      <w:rFonts w:asciiTheme="minorHAnsi" w:hAnsiTheme="minorHAnsi"/>
      <w:sz w:val="18"/>
      <w:szCs w:val="18"/>
    </w:rPr>
  </w:style>
  <w:style w:type="paragraph" w:styleId="20">
    <w:name w:val="toc 6"/>
    <w:basedOn w:val="1"/>
    <w:next w:val="1"/>
    <w:unhideWhenUsed/>
    <w:qFormat/>
    <w:uiPriority w:val="39"/>
    <w:pPr>
      <w:ind w:left="1050"/>
      <w:jc w:val="left"/>
    </w:pPr>
    <w:rPr>
      <w:rFonts w:asciiTheme="minorHAnsi" w:hAnsiTheme="minorHAnsi"/>
      <w:sz w:val="18"/>
      <w:szCs w:val="18"/>
    </w:rPr>
  </w:style>
  <w:style w:type="paragraph" w:styleId="21">
    <w:name w:val="toc 2"/>
    <w:basedOn w:val="1"/>
    <w:next w:val="1"/>
    <w:unhideWhenUsed/>
    <w:qFormat/>
    <w:uiPriority w:val="39"/>
    <w:pPr>
      <w:spacing w:line="400" w:lineRule="exact"/>
      <w:ind w:left="210"/>
      <w:jc w:val="left"/>
    </w:pPr>
    <w:rPr>
      <w:rFonts w:asciiTheme="minorHAnsi" w:hAnsiTheme="minorHAnsi"/>
      <w:smallCaps/>
      <w:sz w:val="24"/>
    </w:rPr>
  </w:style>
  <w:style w:type="paragraph" w:styleId="22">
    <w:name w:val="toc 9"/>
    <w:basedOn w:val="1"/>
    <w:next w:val="1"/>
    <w:unhideWhenUsed/>
    <w:qFormat/>
    <w:uiPriority w:val="39"/>
    <w:pPr>
      <w:ind w:left="1680"/>
      <w:jc w:val="left"/>
    </w:pPr>
    <w:rPr>
      <w:rFonts w:asciiTheme="minorHAnsi" w:hAnsiTheme="minorHAnsi"/>
      <w:sz w:val="18"/>
      <w:szCs w:val="18"/>
    </w:rPr>
  </w:style>
  <w:style w:type="paragraph" w:styleId="23">
    <w:name w:val="Normal (Web)"/>
    <w:basedOn w:val="1"/>
    <w:semiHidden/>
    <w:unhideWhenUsed/>
    <w:qFormat/>
    <w:uiPriority w:val="99"/>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24">
    <w:name w:val="annotation subject"/>
    <w:basedOn w:val="7"/>
    <w:next w:val="7"/>
    <w:link w:val="49"/>
    <w:semiHidden/>
    <w:unhideWhenUsed/>
    <w:qFormat/>
    <w:uiPriority w:val="99"/>
    <w:rPr>
      <w:b/>
      <w:bCs/>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8">
    <w:name w:val="Strong"/>
    <w:basedOn w:val="27"/>
    <w:qFormat/>
    <w:uiPriority w:val="22"/>
    <w:rPr>
      <w:b/>
      <w:bCs/>
    </w:rPr>
  </w:style>
  <w:style w:type="character" w:styleId="29">
    <w:name w:val="Hyperlink"/>
    <w:basedOn w:val="27"/>
    <w:unhideWhenUsed/>
    <w:qFormat/>
    <w:uiPriority w:val="99"/>
    <w:rPr>
      <w:color w:val="0000FF" w:themeColor="hyperlink"/>
      <w:u w:val="single"/>
    </w:rPr>
  </w:style>
  <w:style w:type="character" w:styleId="30">
    <w:name w:val="annotation reference"/>
    <w:basedOn w:val="27"/>
    <w:semiHidden/>
    <w:unhideWhenUsed/>
    <w:qFormat/>
    <w:uiPriority w:val="99"/>
    <w:rPr>
      <w:sz w:val="21"/>
      <w:szCs w:val="21"/>
    </w:rPr>
  </w:style>
  <w:style w:type="character" w:customStyle="1" w:styleId="31">
    <w:name w:val="标题 1 字符"/>
    <w:basedOn w:val="27"/>
    <w:link w:val="2"/>
    <w:qFormat/>
    <w:uiPriority w:val="0"/>
    <w:rPr>
      <w:rFonts w:cs="Arial" w:asciiTheme="minorEastAsia" w:hAnsiTheme="minorEastAsia"/>
      <w:b/>
      <w:bCs/>
      <w:sz w:val="32"/>
      <w:szCs w:val="32"/>
    </w:rPr>
  </w:style>
  <w:style w:type="character" w:customStyle="1" w:styleId="32">
    <w:name w:val="标题 2 字符"/>
    <w:basedOn w:val="27"/>
    <w:link w:val="3"/>
    <w:qFormat/>
    <w:uiPriority w:val="9"/>
    <w:rPr>
      <w:rFonts w:asciiTheme="minorEastAsia" w:hAnsiTheme="minorEastAsia" w:cstheme="majorBidi"/>
      <w:b/>
      <w:bCs/>
      <w:color w:val="000000" w:themeColor="text1"/>
      <w:sz w:val="28"/>
      <w:szCs w:val="28"/>
    </w:rPr>
  </w:style>
  <w:style w:type="character" w:customStyle="1" w:styleId="33">
    <w:name w:val="页眉 字符"/>
    <w:basedOn w:val="27"/>
    <w:link w:val="17"/>
    <w:qFormat/>
    <w:uiPriority w:val="0"/>
    <w:rPr>
      <w:rFonts w:ascii="Times New Roman" w:hAnsi="Times New Roman" w:eastAsia="宋体" w:cs="Times New Roman"/>
      <w:kern w:val="0"/>
      <w:sz w:val="18"/>
      <w:szCs w:val="18"/>
    </w:rPr>
  </w:style>
  <w:style w:type="character" w:customStyle="1" w:styleId="34">
    <w:name w:val="页脚 字符"/>
    <w:basedOn w:val="27"/>
    <w:link w:val="16"/>
    <w:qFormat/>
    <w:uiPriority w:val="99"/>
    <w:rPr>
      <w:rFonts w:ascii="Times New Roman" w:hAnsi="Times New Roman" w:eastAsia="宋体" w:cs="Times New Roman"/>
      <w:kern w:val="0"/>
      <w:sz w:val="18"/>
      <w:szCs w:val="18"/>
    </w:rPr>
  </w:style>
  <w:style w:type="paragraph" w:customStyle="1" w:styleId="35">
    <w:name w:val="列出段落1"/>
    <w:basedOn w:val="1"/>
    <w:qFormat/>
    <w:uiPriority w:val="34"/>
    <w:pPr>
      <w:ind w:firstLine="420" w:firstLineChars="200"/>
    </w:pPr>
  </w:style>
  <w:style w:type="character" w:customStyle="1" w:styleId="36">
    <w:name w:val="content1"/>
    <w:qFormat/>
    <w:uiPriority w:val="0"/>
    <w:rPr>
      <w:color w:val="000000"/>
      <w:kern w:val="2"/>
      <w:sz w:val="21"/>
      <w:szCs w:val="21"/>
    </w:rPr>
  </w:style>
  <w:style w:type="paragraph" w:customStyle="1" w:styleId="37">
    <w:name w:val="列出段落11"/>
    <w:basedOn w:val="1"/>
    <w:qFormat/>
    <w:uiPriority w:val="34"/>
    <w:pPr>
      <w:widowControl/>
      <w:adjustRightInd/>
      <w:spacing w:line="360" w:lineRule="auto"/>
      <w:ind w:firstLine="420" w:firstLineChars="200"/>
      <w:jc w:val="left"/>
      <w:textAlignment w:val="auto"/>
    </w:pPr>
    <w:rPr>
      <w:sz w:val="20"/>
    </w:rPr>
  </w:style>
  <w:style w:type="paragraph" w:customStyle="1" w:styleId="38">
    <w:name w:val="四级缩2"/>
    <w:basedOn w:val="1"/>
    <w:qFormat/>
    <w:uiPriority w:val="0"/>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39">
    <w:name w:val="reader-word-layer"/>
    <w:basedOn w:val="1"/>
    <w:qFormat/>
    <w:uiPriority w:val="0"/>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40">
    <w:name w:val="结束语 字符"/>
    <w:basedOn w:val="27"/>
    <w:link w:val="9"/>
    <w:qFormat/>
    <w:uiPriority w:val="0"/>
    <w:rPr>
      <w:rFonts w:ascii="Times New Roman" w:hAnsi="Times New Roman" w:eastAsia="宋体" w:cs="Times New Roman"/>
      <w:sz w:val="28"/>
      <w:szCs w:val="24"/>
    </w:rPr>
  </w:style>
  <w:style w:type="character" w:customStyle="1" w:styleId="41">
    <w:name w:val="纯文本 字符"/>
    <w:basedOn w:val="27"/>
    <w:link w:val="12"/>
    <w:qFormat/>
    <w:uiPriority w:val="0"/>
    <w:rPr>
      <w:rFonts w:ascii="Courier New" w:hAnsi="Courier New" w:eastAsia="宋体" w:cs="Times New Roman"/>
    </w:rPr>
  </w:style>
  <w:style w:type="character" w:customStyle="1" w:styleId="42">
    <w:name w:val="称呼 字符"/>
    <w:basedOn w:val="27"/>
    <w:link w:val="8"/>
    <w:qFormat/>
    <w:uiPriority w:val="0"/>
    <w:rPr>
      <w:rFonts w:ascii="Times New Roman" w:hAnsi="Times New Roman" w:eastAsia="宋体" w:cs="Times New Roman"/>
      <w:sz w:val="28"/>
      <w:szCs w:val="20"/>
    </w:rPr>
  </w:style>
  <w:style w:type="character" w:customStyle="1" w:styleId="43">
    <w:name w:val="批注框文本 字符"/>
    <w:basedOn w:val="27"/>
    <w:link w:val="15"/>
    <w:semiHidden/>
    <w:qFormat/>
    <w:uiPriority w:val="99"/>
    <w:rPr>
      <w:rFonts w:ascii="Times New Roman" w:hAnsi="Times New Roman" w:eastAsia="宋体" w:cs="Times New Roman"/>
      <w:sz w:val="18"/>
      <w:szCs w:val="18"/>
    </w:rPr>
  </w:style>
  <w:style w:type="character" w:customStyle="1" w:styleId="44">
    <w:name w:val="批注文字 字符"/>
    <w:basedOn w:val="27"/>
    <w:link w:val="7"/>
    <w:semiHidden/>
    <w:qFormat/>
    <w:uiPriority w:val="99"/>
    <w:rPr>
      <w:rFonts w:ascii="Times New Roman" w:hAnsi="Times New Roman" w:eastAsia="宋体" w:cs="Times New Roman"/>
      <w:sz w:val="21"/>
    </w:rPr>
  </w:style>
  <w:style w:type="character" w:customStyle="1" w:styleId="45">
    <w:name w:val="文档结构图 字符"/>
    <w:basedOn w:val="27"/>
    <w:link w:val="6"/>
    <w:semiHidden/>
    <w:qFormat/>
    <w:uiPriority w:val="99"/>
    <w:rPr>
      <w:rFonts w:ascii="宋体" w:hAnsi="Times New Roman" w:eastAsia="宋体" w:cs="Times New Roman"/>
      <w:sz w:val="18"/>
      <w:szCs w:val="18"/>
    </w:rPr>
  </w:style>
  <w:style w:type="character" w:customStyle="1" w:styleId="46">
    <w:name w:val="zhengwen1"/>
    <w:qFormat/>
    <w:uiPriority w:val="0"/>
    <w:rPr>
      <w:rFonts w:hint="eastAsia" w:ascii="宋体" w:hAnsi="宋体" w:eastAsia="宋体"/>
      <w:color w:val="000000"/>
      <w:sz w:val="18"/>
      <w:szCs w:val="18"/>
    </w:rPr>
  </w:style>
  <w:style w:type="character" w:customStyle="1" w:styleId="47">
    <w:name w:val="标题 3 字符"/>
    <w:basedOn w:val="27"/>
    <w:link w:val="4"/>
    <w:semiHidden/>
    <w:qFormat/>
    <w:uiPriority w:val="9"/>
    <w:rPr>
      <w:rFonts w:ascii="Times New Roman" w:hAnsi="Times New Roman" w:eastAsia="宋体" w:cs="Times New Roman"/>
      <w:b/>
      <w:bCs/>
      <w:sz w:val="32"/>
      <w:szCs w:val="32"/>
    </w:rPr>
  </w:style>
  <w:style w:type="paragraph" w:customStyle="1" w:styleId="48">
    <w:name w:val="f_center"/>
    <w:basedOn w:val="1"/>
    <w:qFormat/>
    <w:uiPriority w:val="0"/>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49">
    <w:name w:val="批注主题 字符"/>
    <w:basedOn w:val="44"/>
    <w:link w:val="24"/>
    <w:semiHidden/>
    <w:qFormat/>
    <w:uiPriority w:val="99"/>
    <w:rPr>
      <w:rFonts w:ascii="Times New Roman" w:hAnsi="Times New Roman" w:eastAsia="宋体" w:cs="Times New Roman"/>
      <w:b/>
      <w:bCs/>
      <w:sz w:val="21"/>
    </w:rPr>
  </w:style>
  <w:style w:type="paragraph" w:styleId="50">
    <w:name w:val="List Paragraph"/>
    <w:basedOn w:val="1"/>
    <w:qFormat/>
    <w:uiPriority w:val="99"/>
    <w:pPr>
      <w:ind w:firstLine="420" w:firstLineChars="200"/>
    </w:pPr>
  </w:style>
  <w:style w:type="character" w:customStyle="1" w:styleId="51">
    <w:name w:val="font21"/>
    <w:basedOn w:val="27"/>
    <w:qFormat/>
    <w:uiPriority w:val="0"/>
    <w:rPr>
      <w:rFonts w:hint="eastAsia" w:ascii="宋体" w:hAnsi="宋体" w:eastAsia="宋体" w:cs="宋体"/>
      <w:color w:val="000000"/>
      <w:sz w:val="18"/>
      <w:szCs w:val="18"/>
      <w:u w:val="none"/>
      <w:vertAlign w:val="superscript"/>
    </w:rPr>
  </w:style>
  <w:style w:type="character" w:customStyle="1" w:styleId="52">
    <w:name w:val="font31"/>
    <w:basedOn w:val="27"/>
    <w:qFormat/>
    <w:uiPriority w:val="0"/>
    <w:rPr>
      <w:rFonts w:hint="eastAsia" w:ascii="宋体" w:hAnsi="宋体" w:eastAsia="宋体" w:cs="宋体"/>
      <w:color w:val="000000"/>
      <w:sz w:val="18"/>
      <w:szCs w:val="18"/>
      <w:u w:val="none"/>
    </w:rPr>
  </w:style>
  <w:style w:type="paragraph" w:customStyle="1" w:styleId="53">
    <w:name w:val="Revision"/>
    <w:hidden/>
    <w:semiHidden/>
    <w:uiPriority w:val="99"/>
    <w:rPr>
      <w:rFonts w:ascii="Times New Roman" w:hAnsi="Times New Roman" w:eastAsia="宋体" w:cs="Times New Roman"/>
      <w:sz w:val="21"/>
      <w:lang w:val="en-US" w:eastAsia="zh-CN" w:bidi="ar-SA"/>
    </w:rPr>
  </w:style>
  <w:style w:type="character" w:customStyle="1" w:styleId="54">
    <w:name w:val="日期 字符"/>
    <w:basedOn w:val="27"/>
    <w:link w:val="14"/>
    <w:semiHidden/>
    <w:uiPriority w:val="99"/>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3"/>
    <customShpInfo spid="_x0000_s3074"/>
    <customShpInfo spid="_x0000_s3075"/>
    <customShpInfo spid="_x0000_s3076"/>
    <customShpInfo spid="_x0000_s3077"/>
    <customShpInfo spid="_x0000_s2068"/>
    <customShpInfo spid="_x0000_s2067"/>
    <customShpInfo spid="_x0000_s206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23C3D9-F5FC-4BE6-A818-689A75AD86D2}">
  <ds:schemaRefs/>
</ds:datastoreItem>
</file>

<file path=docProps/app.xml><?xml version="1.0" encoding="utf-8"?>
<Properties xmlns="http://schemas.openxmlformats.org/officeDocument/2006/extended-properties" xmlns:vt="http://schemas.openxmlformats.org/officeDocument/2006/docPropsVTypes">
  <Template>Normal</Template>
  <Company>Zhuozhengsoft</Company>
  <Pages>25</Pages>
  <Words>9098</Words>
  <Characters>9712</Characters>
  <Lines>84</Lines>
  <Paragraphs>23</Paragraphs>
  <TotalTime>214</TotalTime>
  <ScaleCrop>false</ScaleCrop>
  <LinksUpToDate>false</LinksUpToDate>
  <CharactersWithSpaces>9781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2019-07-16T12:11:00Z</dcterms:created>
  <dc:creator>somebody</dc:creator>
  <cp:lastModifiedBy>123</cp:lastModifiedBy>
  <cp:lastPrinted>2022-08-02T01:30:00Z</cp:lastPrinted>
  <dcterms:modified xsi:type="dcterms:W3CDTF">2022-08-11T08:27:11Z</dcterms:modified>
  <cp:revision>1565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2052-11.1.0.12302</vt:lpwstr>
  </property>
</Properties>
</file>