
<file path=[Content_Types].xml><?xml version="1.0" encoding="utf-8"?>
<Types xmlns="http://schemas.openxmlformats.org/package/2006/content-types">
  <Default Extension="xml" ContentType="application/xml"/>
  <Default Extension="png" ContentType="image/png"/>
  <Default Extension="jpeg" ContentType="image/jpeg"/>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000000">
    <v:background id="_x0000_s2049">
      <v:fill type="pattern" on="t" color2="#FFFFFF" focussize="0,0" r:id="rId10"/>
    </v:background>
  </w:background>
  <w:body>
    <w:p>
      <w:pPr>
        <w:spacing w:line="440" w:lineRule="exact"/>
        <w:jc w:val="center"/>
        <w:rPr>
          <w:rFonts w:ascii="仿宋_GB2312" w:hAnsi="仿宋" w:eastAsia="仿宋_GB2312"/>
          <w:i/>
          <w:iCs/>
          <w:color w:val="000000" w:themeColor="text1"/>
          <w:sz w:val="32"/>
          <w:szCs w:val="32"/>
        </w:rPr>
      </w:pPr>
    </w:p>
    <w:p>
      <w:pPr>
        <w:spacing w:line="440" w:lineRule="exact"/>
        <w:ind w:firstLine="1325" w:firstLineChars="300"/>
        <w:rPr>
          <w:rFonts w:hint="eastAsia" w:ascii="仿宋_GB2312" w:hAnsi="仿宋" w:eastAsia="仿宋_GB2312"/>
          <w:b/>
          <w:bCs/>
          <w:color w:val="000000" w:themeColor="text1"/>
          <w:sz w:val="44"/>
          <w:szCs w:val="44"/>
          <w:lang w:val="en-US" w:eastAsia="zh-CN"/>
        </w:rPr>
      </w:pPr>
      <w:r>
        <w:rPr>
          <w:rFonts w:hint="eastAsia" w:ascii="仿宋_GB2312" w:hAnsi="仿宋" w:eastAsia="仿宋_GB2312"/>
          <w:b/>
          <w:bCs/>
          <w:color w:val="000000" w:themeColor="text1"/>
          <w:sz w:val="44"/>
          <w:szCs w:val="44"/>
          <w:lang w:val="en-US" w:eastAsia="zh-CN"/>
        </w:rPr>
        <w:t xml:space="preserve">涉执房地产处置司法评估报告  </w:t>
      </w:r>
    </w:p>
    <w:p>
      <w:pPr>
        <w:spacing w:line="440" w:lineRule="exact"/>
        <w:rPr>
          <w:rFonts w:hint="default" w:ascii="仿宋_GB2312" w:hAnsi="仿宋" w:eastAsia="仿宋_GB2312"/>
          <w:color w:val="000000" w:themeColor="text1"/>
          <w:sz w:val="32"/>
          <w:szCs w:val="32"/>
          <w:lang w:val="en-US" w:eastAsia="zh-CN"/>
        </w:rPr>
      </w:pPr>
      <w:r>
        <w:rPr>
          <w:rFonts w:hint="eastAsia" w:ascii="仿宋_GB2312" w:hAnsi="仿宋" w:eastAsia="仿宋_GB2312"/>
          <w:color w:val="000000" w:themeColor="text1"/>
          <w:sz w:val="32"/>
          <w:szCs w:val="32"/>
          <w:lang w:val="en-US" w:eastAsia="zh-CN"/>
        </w:rPr>
        <w:t xml:space="preserve">                   </w:t>
      </w:r>
    </w:p>
    <w:p>
      <w:pPr>
        <w:spacing w:line="600" w:lineRule="exact"/>
        <w:ind w:left="1233" w:leftChars="87" w:hanging="1050" w:hangingChars="500"/>
        <w:rPr>
          <w:rFonts w:ascii="仿宋_GB2312" w:hAnsi="仿宋" w:eastAsia="仿宋_GB2312"/>
          <w:color w:val="000000" w:themeColor="text1"/>
          <w:sz w:val="32"/>
          <w:szCs w:val="32"/>
        </w:rPr>
      </w:pPr>
      <w:r>
        <w:rPr>
          <w:rFonts w:hint="eastAsia" w:ascii="微软雅黑" w:hAnsi="微软雅黑" w:eastAsia="微软雅黑" w:cs="微软雅黑"/>
        </w:rPr>
        <w:drawing>
          <wp:anchor distT="0" distB="0" distL="114300" distR="114300" simplePos="0" relativeHeight="251677696" behindDoc="1" locked="0" layoutInCell="1" allowOverlap="1">
            <wp:simplePos x="0" y="0"/>
            <wp:positionH relativeFrom="margin">
              <wp:posOffset>3860165</wp:posOffset>
            </wp:positionH>
            <wp:positionV relativeFrom="page">
              <wp:posOffset>2326640</wp:posOffset>
            </wp:positionV>
            <wp:extent cx="2015490" cy="2015490"/>
            <wp:effectExtent l="0" t="0" r="0" b="0"/>
            <wp:wrapNone/>
            <wp:docPr id="8" name="图片 8" descr="5984289f7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984289f71421"/>
                    <pic:cNvPicPr>
                      <a:picLocks noChangeAspect="1"/>
                    </pic:cNvPicPr>
                  </pic:nvPicPr>
                  <pic:blipFill>
                    <a:blip r:embed="rId11"/>
                    <a:stretch>
                      <a:fillRect/>
                    </a:stretch>
                  </pic:blipFill>
                  <pic:spPr>
                    <a:xfrm>
                      <a:off x="0" y="0"/>
                      <a:ext cx="2015490" cy="2015490"/>
                    </a:xfrm>
                    <a:prstGeom prst="rect">
                      <a:avLst/>
                    </a:prstGeom>
                  </pic:spPr>
                </pic:pic>
              </a:graphicData>
            </a:graphic>
          </wp:anchor>
        </w:drawing>
      </w:r>
      <w:r>
        <w:rPr>
          <w:rFonts w:hint="eastAsia" w:ascii="仿宋_GB2312" w:hAnsi="仿宋" w:eastAsia="仿宋_GB2312"/>
          <w:color w:val="000000" w:themeColor="text1"/>
          <w:sz w:val="32"/>
          <w:szCs w:val="32"/>
        </w:rPr>
        <w:t xml:space="preserve">                   </w:t>
      </w:r>
    </w:p>
    <w:p>
      <w:pPr>
        <w:spacing w:line="600" w:lineRule="exact"/>
        <w:ind w:left="1719" w:hanging="1718" w:hangingChars="467"/>
        <w:rPr>
          <w:rFonts w:ascii="仿宋_GB2312" w:hAnsi="仿宋" w:eastAsia="仿宋_GB2312"/>
          <w:color w:val="000000" w:themeColor="text1"/>
          <w:spacing w:val="36"/>
          <w:sz w:val="32"/>
          <w:szCs w:val="32"/>
        </w:rPr>
      </w:pPr>
      <w:r>
        <w:rPr>
          <w:rFonts w:hint="eastAsia" w:ascii="仿宋_GB2312" w:hAnsi="仿宋" w:eastAsia="仿宋_GB2312" w:cs="仿宋_GB2312"/>
          <w:color w:val="000000" w:themeColor="text1"/>
          <w:spacing w:val="24"/>
          <w:sz w:val="32"/>
          <w:szCs w:val="32"/>
        </w:rPr>
        <w:t>估价报告编号</w:t>
      </w:r>
      <w:r>
        <w:rPr>
          <w:rFonts w:hint="eastAsia" w:ascii="仿宋_GB2312" w:hAnsi="仿宋" w:eastAsia="仿宋_GB2312" w:cs="仿宋_GB2312"/>
          <w:color w:val="000000" w:themeColor="text1"/>
          <w:sz w:val="32"/>
          <w:szCs w:val="32"/>
        </w:rPr>
        <w:t>：皖中信房估字</w:t>
      </w:r>
      <w:r>
        <w:rPr>
          <w:rFonts w:ascii="仿宋_GB2312" w:hAnsi="仿宋" w:eastAsia="仿宋_GB2312" w:cs="仿宋_GB2312"/>
          <w:color w:val="000000" w:themeColor="text1"/>
          <w:sz w:val="32"/>
          <w:szCs w:val="32"/>
        </w:rPr>
        <w:t>[</w:t>
      </w:r>
      <w:r>
        <w:rPr>
          <w:rFonts w:hint="eastAsia" w:ascii="仿宋_GB2312" w:hAnsi="仿宋" w:eastAsia="仿宋_GB2312" w:cs="仿宋_GB2312"/>
          <w:color w:val="000000" w:themeColor="text1"/>
          <w:sz w:val="32"/>
          <w:szCs w:val="32"/>
        </w:rPr>
        <w:t>202</w:t>
      </w:r>
      <w:r>
        <w:rPr>
          <w:rFonts w:hint="eastAsia" w:ascii="仿宋_GB2312" w:hAnsi="仿宋" w:eastAsia="仿宋_GB2312" w:cs="仿宋_GB2312"/>
          <w:color w:val="000000" w:themeColor="text1"/>
          <w:sz w:val="32"/>
          <w:szCs w:val="32"/>
          <w:lang w:val="en-US" w:eastAsia="zh-CN"/>
        </w:rPr>
        <w:t>2</w:t>
      </w:r>
      <w:r>
        <w:rPr>
          <w:rFonts w:ascii="仿宋_GB2312" w:hAnsi="仿宋" w:eastAsia="仿宋_GB2312" w:cs="仿宋_GB2312"/>
          <w:color w:val="000000" w:themeColor="text1"/>
          <w:sz w:val="32"/>
          <w:szCs w:val="32"/>
        </w:rPr>
        <w:t>]</w:t>
      </w:r>
      <w:r>
        <w:rPr>
          <w:rFonts w:hint="eastAsia" w:ascii="仿宋_GB2312" w:hAnsi="仿宋" w:eastAsia="仿宋_GB2312" w:cs="仿宋_GB2312"/>
          <w:color w:val="000000" w:themeColor="text1"/>
          <w:sz w:val="32"/>
          <w:szCs w:val="32"/>
        </w:rPr>
        <w:t>M-</w:t>
      </w:r>
      <w:r>
        <w:rPr>
          <w:rFonts w:hint="eastAsia" w:ascii="仿宋_GB2312" w:hAnsi="仿宋" w:eastAsia="仿宋_GB2312" w:cs="仿宋_GB2312"/>
          <w:color w:val="000000" w:themeColor="text1"/>
          <w:sz w:val="32"/>
          <w:szCs w:val="32"/>
          <w:lang w:val="en-US" w:eastAsia="zh-CN"/>
        </w:rPr>
        <w:t>0341</w:t>
      </w:r>
      <w:r>
        <w:rPr>
          <w:rFonts w:hint="eastAsia" w:ascii="仿宋_GB2312" w:hAnsi="仿宋" w:eastAsia="仿宋_GB2312" w:cs="仿宋_GB2312"/>
          <w:color w:val="000000" w:themeColor="text1"/>
          <w:sz w:val="32"/>
          <w:szCs w:val="32"/>
        </w:rPr>
        <w:t>号</w:t>
      </w:r>
    </w:p>
    <w:p>
      <w:pPr>
        <w:spacing w:line="600" w:lineRule="exact"/>
        <w:ind w:left="2631" w:hanging="2631" w:hangingChars="715"/>
        <w:rPr>
          <w:rFonts w:ascii="仿宋_GB2312" w:hAnsi="仿宋" w:eastAsia="仿宋_GB2312" w:cs="仿宋_GB2312"/>
          <w:color w:val="000000" w:themeColor="text1"/>
          <w:spacing w:val="24"/>
          <w:sz w:val="32"/>
          <w:szCs w:val="32"/>
        </w:rPr>
      </w:pPr>
    </w:p>
    <w:p>
      <w:pPr>
        <w:spacing w:line="600" w:lineRule="exact"/>
        <w:ind w:left="1719" w:hanging="1718" w:hangingChars="467"/>
        <w:rPr>
          <w:rFonts w:ascii="仿宋_GB2312" w:hAnsi="仿宋" w:eastAsia="仿宋_GB2312" w:cs="仿宋_GB2312"/>
          <w:color w:val="000000" w:themeColor="text1"/>
          <w:sz w:val="32"/>
          <w:szCs w:val="32"/>
        </w:rPr>
      </w:pPr>
      <w:r>
        <w:rPr>
          <w:rFonts w:hint="eastAsia" w:ascii="仿宋_GB2312" w:hAnsi="仿宋" w:eastAsia="仿宋_GB2312" w:cs="仿宋_GB2312"/>
          <w:color w:val="000000" w:themeColor="text1"/>
          <w:spacing w:val="24"/>
          <w:sz w:val="32"/>
          <w:szCs w:val="32"/>
        </w:rPr>
        <w:t>估价项目名称</w:t>
      </w:r>
      <w:r>
        <w:rPr>
          <w:rFonts w:hint="eastAsia" w:ascii="仿宋_GB2312" w:hAnsi="仿宋" w:eastAsia="仿宋_GB2312" w:cs="仿宋_GB2312"/>
          <w:color w:val="000000" w:themeColor="text1"/>
          <w:sz w:val="32"/>
          <w:szCs w:val="32"/>
        </w:rPr>
        <w:t>：</w:t>
      </w:r>
      <w:r>
        <w:rPr>
          <w:rFonts w:hint="eastAsia" w:ascii="仿宋_GB2312" w:hAnsi="仿宋" w:eastAsia="仿宋_GB2312" w:cs="仿宋_GB2312"/>
          <w:color w:val="000000" w:themeColor="text1"/>
          <w:sz w:val="32"/>
          <w:szCs w:val="32"/>
          <w:lang w:eastAsia="zh-CN"/>
        </w:rPr>
        <w:t>全椒县襄河镇港口路277号2幢2单元202室</w:t>
      </w:r>
      <w:r>
        <w:rPr>
          <w:rFonts w:hint="eastAsia" w:ascii="仿宋_GB2312" w:hAnsi="仿宋" w:eastAsia="仿宋_GB2312" w:cs="仿宋_GB2312"/>
          <w:color w:val="000000" w:themeColor="text1"/>
          <w:sz w:val="32"/>
          <w:szCs w:val="32"/>
        </w:rPr>
        <w:t>住宅用房市场价值评估</w:t>
      </w:r>
    </w:p>
    <w:p>
      <w:pPr>
        <w:spacing w:line="600" w:lineRule="exact"/>
        <w:rPr>
          <w:rFonts w:ascii="仿宋_GB2312" w:hAnsi="仿宋" w:eastAsia="仿宋_GB2312" w:cs="仿宋_GB2312"/>
          <w:color w:val="000000" w:themeColor="text1"/>
          <w:sz w:val="32"/>
          <w:szCs w:val="32"/>
        </w:rPr>
      </w:pPr>
    </w:p>
    <w:p>
      <w:pPr>
        <w:spacing w:line="600" w:lineRule="exact"/>
        <w:rPr>
          <w:rFonts w:hint="eastAsia" w:ascii="仿宋_GB2312" w:hAnsi="仿宋" w:eastAsia="仿宋_GB2312"/>
          <w:color w:val="000000" w:themeColor="text1"/>
          <w:spacing w:val="-20"/>
          <w:sz w:val="32"/>
          <w:szCs w:val="32"/>
          <w:lang w:eastAsia="zh-CN"/>
        </w:rPr>
      </w:pPr>
      <w:r>
        <w:rPr>
          <w:rFonts w:hint="eastAsia" w:ascii="仿宋_GB2312" w:hAnsi="仿宋" w:eastAsia="仿宋_GB2312" w:cs="仿宋_GB2312"/>
          <w:color w:val="000000" w:themeColor="text1"/>
          <w:sz w:val="32"/>
          <w:szCs w:val="32"/>
        </w:rPr>
        <w:t>估 价 委 托 人</w:t>
      </w:r>
      <w:r>
        <w:rPr>
          <w:rFonts w:hint="eastAsia" w:ascii="仿宋_GB2312" w:hAnsi="仿宋" w:eastAsia="仿宋_GB2312" w:cs="仿宋_GB2312"/>
          <w:color w:val="000000" w:themeColor="text1"/>
          <w:spacing w:val="-20"/>
          <w:sz w:val="32"/>
          <w:szCs w:val="32"/>
        </w:rPr>
        <w:t>：</w:t>
      </w:r>
      <w:r>
        <w:rPr>
          <w:rFonts w:hint="eastAsia" w:ascii="仿宋_GB2312" w:hAnsi="仿宋" w:eastAsia="仿宋_GB2312" w:cs="仿宋_GB2312"/>
          <w:color w:val="000000" w:themeColor="text1"/>
          <w:spacing w:val="-20"/>
          <w:sz w:val="32"/>
          <w:szCs w:val="32"/>
          <w:lang w:eastAsia="zh-CN"/>
        </w:rPr>
        <w:t>全椒县人民法院</w:t>
      </w:r>
    </w:p>
    <w:p>
      <w:pPr>
        <w:spacing w:line="600" w:lineRule="exact"/>
        <w:ind w:left="1494" w:hanging="1494" w:hangingChars="467"/>
        <w:rPr>
          <w:rFonts w:ascii="仿宋_GB2312" w:hAnsi="仿宋" w:eastAsia="仿宋_GB2312" w:cs="仿宋_GB2312"/>
          <w:color w:val="000000" w:themeColor="text1"/>
          <w:sz w:val="32"/>
          <w:szCs w:val="32"/>
        </w:rPr>
      </w:pPr>
    </w:p>
    <w:p>
      <w:pPr>
        <w:spacing w:line="600" w:lineRule="exact"/>
        <w:ind w:left="1494" w:hanging="1494" w:hangingChars="467"/>
        <w:rPr>
          <w:rFonts w:ascii="仿宋_GB2312" w:hAnsi="仿宋" w:eastAsia="仿宋_GB2312"/>
          <w:color w:val="000000" w:themeColor="text1"/>
          <w:spacing w:val="-20"/>
          <w:sz w:val="32"/>
          <w:szCs w:val="32"/>
        </w:rPr>
      </w:pPr>
      <w:r>
        <w:rPr>
          <w:rFonts w:hint="eastAsia" w:ascii="仿宋_GB2312" w:hAnsi="仿宋" w:eastAsia="仿宋_GB2312" w:cs="仿宋_GB2312"/>
          <w:color w:val="000000" w:themeColor="text1"/>
          <w:sz w:val="32"/>
          <w:szCs w:val="32"/>
        </w:rPr>
        <w:t>房地产估价机构：</w:t>
      </w:r>
      <w:r>
        <w:rPr>
          <w:rFonts w:hint="eastAsia" w:ascii="仿宋_GB2312" w:hAnsi="仿宋" w:eastAsia="仿宋_GB2312" w:cs="仿宋_GB2312"/>
          <w:color w:val="000000" w:themeColor="text1"/>
          <w:spacing w:val="-20"/>
          <w:sz w:val="32"/>
          <w:szCs w:val="32"/>
        </w:rPr>
        <w:t>安徽中信房地产土地资产价格评估有限公司</w:t>
      </w:r>
    </w:p>
    <w:p>
      <w:pPr>
        <w:spacing w:line="600" w:lineRule="exact"/>
        <w:ind w:left="1400" w:hanging="1400" w:hangingChars="500"/>
        <w:rPr>
          <w:rFonts w:ascii="仿宋_GB2312" w:hAnsi="仿宋" w:eastAsia="仿宋_GB2312" w:cs="仿宋_GB2312"/>
          <w:color w:val="000000" w:themeColor="text1"/>
          <w:spacing w:val="-20"/>
          <w:sz w:val="32"/>
          <w:szCs w:val="32"/>
        </w:rPr>
      </w:pPr>
    </w:p>
    <w:p>
      <w:pPr>
        <w:spacing w:line="600" w:lineRule="exact"/>
        <w:ind w:left="1400" w:hanging="1400" w:hangingChars="500"/>
        <w:rPr>
          <w:rFonts w:hint="eastAsia" w:ascii="仿宋_GB2312" w:hAnsi="仿宋" w:eastAsia="仿宋_GB2312"/>
          <w:color w:val="000000" w:themeColor="text1"/>
          <w:sz w:val="32"/>
          <w:szCs w:val="32"/>
          <w:lang w:eastAsia="zh-CN"/>
        </w:rPr>
      </w:pPr>
      <w:r>
        <w:rPr>
          <w:rFonts w:hint="eastAsia" w:ascii="仿宋_GB2312" w:hAnsi="仿宋" w:eastAsia="仿宋_GB2312" w:cs="仿宋_GB2312"/>
          <w:color w:val="000000" w:themeColor="text1"/>
          <w:spacing w:val="-20"/>
          <w:sz w:val="32"/>
          <w:szCs w:val="32"/>
        </w:rPr>
        <w:t>注册房地产估价师</w:t>
      </w:r>
      <w:r>
        <w:rPr>
          <w:rFonts w:hint="eastAsia" w:ascii="仿宋_GB2312" w:hAnsi="仿宋" w:eastAsia="仿宋_GB2312" w:cs="仿宋_GB2312"/>
          <w:color w:val="000000" w:themeColor="text1"/>
          <w:sz w:val="32"/>
          <w:szCs w:val="32"/>
        </w:rPr>
        <w:t xml:space="preserve">：  姬再娟         </w:t>
      </w:r>
      <w:r>
        <w:rPr>
          <w:rFonts w:hint="eastAsia" w:ascii="仿宋_GB2312" w:hAnsi="仿宋" w:eastAsia="仿宋_GB2312" w:cs="仿宋_GB2312"/>
          <w:color w:val="000000" w:themeColor="text1"/>
          <w:sz w:val="32"/>
          <w:szCs w:val="32"/>
          <w:lang w:eastAsia="zh-CN"/>
        </w:rPr>
        <w:t>金</w:t>
      </w:r>
      <w:r>
        <w:rPr>
          <w:rFonts w:hint="eastAsia" w:ascii="仿宋_GB2312" w:hAnsi="仿宋" w:eastAsia="仿宋_GB2312" w:cs="仿宋_GB2312"/>
          <w:color w:val="000000" w:themeColor="text1"/>
          <w:sz w:val="32"/>
          <w:szCs w:val="32"/>
          <w:lang w:val="en-US" w:eastAsia="zh-CN"/>
        </w:rPr>
        <w:t xml:space="preserve"> </w:t>
      </w:r>
      <w:r>
        <w:rPr>
          <w:rFonts w:hint="eastAsia" w:ascii="仿宋_GB2312" w:hAnsi="仿宋" w:eastAsia="仿宋_GB2312" w:cs="仿宋_GB2312"/>
          <w:color w:val="000000" w:themeColor="text1"/>
          <w:sz w:val="32"/>
          <w:szCs w:val="32"/>
          <w:lang w:eastAsia="zh-CN"/>
        </w:rPr>
        <w:t>涛</w:t>
      </w:r>
    </w:p>
    <w:p>
      <w:pPr>
        <w:spacing w:line="600" w:lineRule="exact"/>
        <w:ind w:left="1800" w:hanging="1800" w:hangingChars="500"/>
        <w:rPr>
          <w:rFonts w:ascii="仿宋_GB2312" w:hAnsi="仿宋" w:eastAsia="仿宋_GB2312" w:cs="仿宋_GB2312"/>
          <w:color w:val="000000" w:themeColor="text1"/>
          <w:spacing w:val="20"/>
          <w:sz w:val="32"/>
          <w:szCs w:val="32"/>
        </w:rPr>
      </w:pPr>
    </w:p>
    <w:p>
      <w:pPr>
        <w:spacing w:line="600" w:lineRule="exact"/>
        <w:ind w:left="1800" w:hanging="1800" w:hangingChars="500"/>
        <w:rPr>
          <w:rFonts w:hint="eastAsia" w:ascii="仿宋_GB2312" w:hAnsi="仿宋" w:eastAsia="仿宋_GB2312" w:cs="仿宋_GB2312"/>
          <w:color w:val="000000" w:themeColor="text1"/>
          <w:sz w:val="32"/>
          <w:szCs w:val="32"/>
          <w:lang w:eastAsia="zh-CN"/>
        </w:rPr>
      </w:pPr>
      <w:r>
        <w:rPr>
          <w:rFonts w:hint="eastAsia" w:ascii="仿宋_GB2312" w:hAnsi="仿宋" w:eastAsia="仿宋_GB2312" w:cs="仿宋_GB2312"/>
          <w:color w:val="000000" w:themeColor="text1"/>
          <w:spacing w:val="20"/>
          <w:sz w:val="32"/>
          <w:szCs w:val="32"/>
        </w:rPr>
        <w:t>注   册   号</w:t>
      </w:r>
      <w:r>
        <w:rPr>
          <w:rFonts w:hint="eastAsia" w:ascii="仿宋_GB2312" w:hAnsi="仿宋" w:eastAsia="仿宋_GB2312" w:cs="仿宋_GB2312"/>
          <w:color w:val="000000" w:themeColor="text1"/>
          <w:sz w:val="32"/>
          <w:szCs w:val="32"/>
        </w:rPr>
        <w:t>：</w:t>
      </w:r>
      <w:r>
        <w:rPr>
          <w:rFonts w:ascii="仿宋_GB2312" w:hAnsi="仿宋" w:eastAsia="仿宋_GB2312" w:cs="仿宋_GB2312"/>
          <w:color w:val="000000" w:themeColor="text1"/>
          <w:sz w:val="32"/>
          <w:szCs w:val="32"/>
        </w:rPr>
        <w:t xml:space="preserve">3420150050      </w:t>
      </w:r>
      <w:r>
        <w:rPr>
          <w:rFonts w:hint="eastAsia" w:ascii="仿宋_GB2312" w:hAnsi="仿宋" w:eastAsia="仿宋_GB2312" w:cs="仿宋_GB2312"/>
          <w:color w:val="000000" w:themeColor="text1"/>
          <w:sz w:val="32"/>
          <w:szCs w:val="32"/>
          <w:lang w:eastAsia="zh-CN"/>
        </w:rPr>
        <w:t>3420190095</w:t>
      </w:r>
    </w:p>
    <w:p>
      <w:pPr>
        <w:spacing w:line="600" w:lineRule="exact"/>
        <w:ind w:left="1494" w:hanging="1494" w:hangingChars="467"/>
        <w:rPr>
          <w:rFonts w:ascii="仿宋_GB2312" w:hAnsi="仿宋" w:eastAsia="仿宋_GB2312" w:cs="仿宋_GB2312"/>
          <w:color w:val="000000" w:themeColor="text1"/>
          <w:sz w:val="32"/>
          <w:szCs w:val="32"/>
        </w:rPr>
      </w:pPr>
    </w:p>
    <w:p>
      <w:pPr>
        <w:spacing w:line="600" w:lineRule="exact"/>
        <w:ind w:left="1494" w:hanging="1494" w:hangingChars="467"/>
        <w:rPr>
          <w:rFonts w:hint="eastAsia" w:ascii="仿宋_GB2312" w:hAnsi="仿宋" w:eastAsia="仿宋_GB2312" w:cs="仿宋_GB2312"/>
          <w:color w:val="000000" w:themeColor="text1"/>
          <w:sz w:val="32"/>
          <w:szCs w:val="32"/>
          <w:lang w:eastAsia="zh-CN"/>
        </w:rPr>
      </w:pPr>
      <w:r>
        <w:rPr>
          <w:rFonts w:hint="eastAsia" w:ascii="仿宋_GB2312" w:hAnsi="仿宋" w:eastAsia="仿宋_GB2312" w:cs="仿宋_GB2312"/>
          <w:color w:val="000000" w:themeColor="text1"/>
          <w:sz w:val="32"/>
          <w:szCs w:val="32"/>
        </w:rPr>
        <w:t>估价报告出具日：</w:t>
      </w:r>
      <w:r>
        <w:rPr>
          <w:rFonts w:hint="eastAsia" w:ascii="仿宋_GB2312" w:hAnsi="仿宋" w:eastAsia="仿宋_GB2312" w:cs="仿宋_GB2312"/>
          <w:color w:val="000000" w:themeColor="text1"/>
          <w:sz w:val="32"/>
          <w:szCs w:val="32"/>
          <w:lang w:eastAsia="zh-CN"/>
        </w:rPr>
        <w:t>二零二二年八月二十九日</w:t>
      </w:r>
    </w:p>
    <w:p>
      <w:pPr>
        <w:rPr>
          <w:rFonts w:ascii="仿宋" w:hAnsi="仿宋" w:eastAsia="仿宋" w:cs="宋体"/>
          <w:color w:val="000000" w:themeColor="text1"/>
        </w:rPr>
        <w:sectPr>
          <w:headerReference r:id="rId3" w:type="default"/>
          <w:footerReference r:id="rId4" w:type="default"/>
          <w:pgSz w:w="11906" w:h="16838"/>
          <w:pgMar w:top="1797" w:right="1797" w:bottom="1797" w:left="1797" w:header="680" w:footer="851" w:gutter="0"/>
          <w:pgNumType w:fmt="numberInDash" w:start="1"/>
          <w:cols w:space="720" w:num="1"/>
          <w:docGrid w:linePitch="285" w:charSpace="0"/>
        </w:sectPr>
      </w:pPr>
      <w:r>
        <w:rPr>
          <w:rFonts w:hint="eastAsia" w:ascii="仿宋_GB2312" w:hAnsi="仿宋" w:eastAsia="仿宋_GB2312" w:cs="仿宋_GB2312"/>
          <w:color w:val="000000" w:themeColor="text1"/>
          <w:sz w:val="32"/>
          <w:szCs w:val="32"/>
        </w:rPr>
        <w:br w:type="page"/>
      </w:r>
      <w:bookmarkStart w:id="0" w:name="_Toc530663967"/>
      <w:bookmarkStart w:id="1" w:name="_Toc433731386"/>
      <w:bookmarkStart w:id="2" w:name="_Toc439232011"/>
      <w:bookmarkStart w:id="3" w:name="_Toc433731411"/>
    </w:p>
    <w:p>
      <w:pPr>
        <w:pStyle w:val="2"/>
        <w:pageBreakBefore w:val="0"/>
        <w:widowControl w:val="0"/>
        <w:kinsoku/>
        <w:wordWrap/>
        <w:overflowPunct/>
        <w:autoSpaceDE/>
        <w:autoSpaceDN/>
        <w:bidi w:val="0"/>
        <w:spacing w:line="480" w:lineRule="exact"/>
        <w:textAlignment w:val="auto"/>
        <w:rPr>
          <w:rFonts w:ascii="仿宋" w:hAnsi="仿宋" w:eastAsia="仿宋" w:cs="宋体"/>
          <w:bCs w:val="0"/>
          <w:color w:val="000000" w:themeColor="text1"/>
        </w:rPr>
      </w:pPr>
      <w:bookmarkStart w:id="4" w:name="_Toc19082"/>
      <w:r>
        <w:rPr>
          <w:rFonts w:hint="eastAsia" w:ascii="仿宋" w:hAnsi="仿宋" w:eastAsia="仿宋" w:cs="宋体"/>
          <w:bCs w:val="0"/>
          <w:color w:val="000000" w:themeColor="text1"/>
        </w:rPr>
        <w:t>致 估 价 委 托 人 函</w:t>
      </w:r>
      <w:bookmarkEnd w:id="0"/>
      <w:bookmarkEnd w:id="1"/>
      <w:bookmarkEnd w:id="4"/>
    </w:p>
    <w:p>
      <w:pPr>
        <w:pageBreakBefore w:val="0"/>
        <w:widowControl w:val="0"/>
        <w:kinsoku/>
        <w:wordWrap/>
        <w:overflowPunct/>
        <w:autoSpaceDE/>
        <w:autoSpaceDN/>
        <w:bidi w:val="0"/>
        <w:spacing w:line="480" w:lineRule="exact"/>
        <w:textAlignment w:val="auto"/>
        <w:rPr>
          <w:rFonts w:ascii="仿宋" w:hAnsi="仿宋" w:eastAsia="仿宋" w:cs="仿宋"/>
          <w:sz w:val="24"/>
          <w:szCs w:val="24"/>
        </w:rPr>
      </w:pPr>
      <w:r>
        <w:rPr>
          <w:rFonts w:hint="eastAsia" w:ascii="仿宋" w:hAnsi="仿宋" w:eastAsia="仿宋" w:cs="仿宋"/>
          <w:sz w:val="24"/>
          <w:szCs w:val="24"/>
          <w:lang w:eastAsia="zh-CN"/>
        </w:rPr>
        <w:t>全椒县人民法院</w:t>
      </w:r>
      <w:r>
        <w:rPr>
          <w:rFonts w:hint="eastAsia" w:ascii="仿宋" w:hAnsi="仿宋" w:eastAsia="仿宋" w:cs="仿宋"/>
          <w:sz w:val="24"/>
          <w:szCs w:val="24"/>
        </w:rPr>
        <w:t>：</w:t>
      </w:r>
    </w:p>
    <w:p>
      <w:pPr>
        <w:pageBreakBefore w:val="0"/>
        <w:widowControl w:val="0"/>
        <w:kinsoku/>
        <w:wordWrap/>
        <w:overflowPunct/>
        <w:autoSpaceDE/>
        <w:autoSpaceDN/>
        <w:bidi w:val="0"/>
        <w:spacing w:line="48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受贵</w:t>
      </w:r>
      <w:r>
        <w:rPr>
          <w:rFonts w:hint="eastAsia" w:ascii="仿宋" w:hAnsi="仿宋" w:eastAsia="仿宋" w:cs="仿宋"/>
          <w:sz w:val="24"/>
          <w:szCs w:val="24"/>
          <w:lang w:val="en-US" w:eastAsia="zh-CN"/>
        </w:rPr>
        <w:t>院</w:t>
      </w:r>
      <w:r>
        <w:rPr>
          <w:rFonts w:hint="eastAsia" w:ascii="仿宋" w:hAnsi="仿宋" w:eastAsia="仿宋" w:cs="仿宋"/>
          <w:sz w:val="24"/>
          <w:szCs w:val="24"/>
        </w:rPr>
        <w:t>的委托,我公司对</w:t>
      </w:r>
      <w:r>
        <w:rPr>
          <w:rFonts w:hint="eastAsia" w:ascii="仿宋" w:hAnsi="仿宋" w:eastAsia="仿宋" w:cs="仿宋"/>
          <w:sz w:val="24"/>
          <w:szCs w:val="24"/>
          <w:lang w:eastAsia="zh-CN"/>
        </w:rPr>
        <w:t>黄少松</w:t>
      </w:r>
      <w:r>
        <w:rPr>
          <w:rFonts w:hint="eastAsia" w:ascii="仿宋" w:hAnsi="仿宋" w:eastAsia="仿宋" w:cs="仿宋"/>
          <w:color w:val="auto"/>
          <w:sz w:val="24"/>
          <w:szCs w:val="24"/>
          <w:highlight w:val="none"/>
          <w:lang w:eastAsia="zh-CN"/>
        </w:rPr>
        <w:t>单独所有</w:t>
      </w:r>
      <w:r>
        <w:rPr>
          <w:rFonts w:hint="eastAsia" w:ascii="仿宋" w:hAnsi="仿宋" w:eastAsia="仿宋" w:cs="仿宋"/>
          <w:color w:val="auto"/>
          <w:sz w:val="24"/>
          <w:szCs w:val="24"/>
          <w:highlight w:val="none"/>
        </w:rPr>
        <w:t>的位于【估价</w:t>
      </w:r>
      <w:r>
        <w:rPr>
          <w:rFonts w:hint="eastAsia" w:ascii="仿宋" w:hAnsi="仿宋" w:eastAsia="仿宋" w:cs="仿宋"/>
          <w:sz w:val="24"/>
          <w:szCs w:val="24"/>
        </w:rPr>
        <w:t>对象：</w:t>
      </w:r>
      <w:r>
        <w:rPr>
          <w:rFonts w:hint="eastAsia" w:ascii="仿宋" w:hAnsi="仿宋" w:eastAsia="仿宋" w:cs="仿宋"/>
          <w:sz w:val="24"/>
          <w:szCs w:val="24"/>
          <w:lang w:eastAsia="zh-CN"/>
        </w:rPr>
        <w:t>全椒县襄河镇港口路277号2幢2单元202室</w:t>
      </w:r>
      <w:r>
        <w:rPr>
          <w:rFonts w:hint="eastAsia" w:ascii="仿宋" w:hAnsi="仿宋" w:eastAsia="仿宋" w:cs="仿宋"/>
          <w:sz w:val="24"/>
          <w:szCs w:val="24"/>
        </w:rPr>
        <w:t>住宅用房，</w:t>
      </w:r>
      <w:r>
        <w:rPr>
          <w:rFonts w:hint="eastAsia" w:ascii="仿宋" w:hAnsi="仿宋" w:eastAsia="仿宋" w:cs="仿宋"/>
          <w:sz w:val="24"/>
          <w:szCs w:val="24"/>
          <w:lang w:val="en-US" w:eastAsia="zh-CN"/>
        </w:rPr>
        <w:t>混合</w:t>
      </w:r>
      <w:r>
        <w:rPr>
          <w:rFonts w:hint="eastAsia" w:ascii="仿宋" w:hAnsi="仿宋" w:eastAsia="仿宋" w:cs="仿宋"/>
          <w:sz w:val="24"/>
          <w:szCs w:val="24"/>
        </w:rPr>
        <w:t>结构，建筑面积为</w:t>
      </w:r>
      <w:r>
        <w:rPr>
          <w:rFonts w:hint="eastAsia" w:ascii="仿宋" w:hAnsi="仿宋" w:eastAsia="仿宋" w:cs="仿宋"/>
          <w:sz w:val="24"/>
          <w:szCs w:val="24"/>
          <w:lang w:eastAsia="zh-CN"/>
        </w:rPr>
        <w:t>86.77</w:t>
      </w:r>
      <w:r>
        <w:rPr>
          <w:rFonts w:hint="eastAsia" w:ascii="仿宋" w:hAnsi="仿宋" w:eastAsia="仿宋" w:cs="仿宋"/>
          <w:sz w:val="24"/>
          <w:szCs w:val="24"/>
        </w:rPr>
        <w:t>平方米，分摊</w:t>
      </w:r>
      <w:r>
        <w:rPr>
          <w:rFonts w:hint="eastAsia" w:ascii="仿宋_GB2312" w:hAnsi="仿宋" w:eastAsia="仿宋_GB2312"/>
          <w:sz w:val="24"/>
          <w:szCs w:val="24"/>
        </w:rPr>
        <w:t>土地面积</w:t>
      </w:r>
      <w:r>
        <w:rPr>
          <w:rFonts w:hint="eastAsia" w:ascii="仿宋_GB2312" w:hAnsi="仿宋" w:eastAsia="仿宋_GB2312"/>
          <w:sz w:val="24"/>
          <w:szCs w:val="24"/>
          <w:lang w:val="en-US" w:eastAsia="zh-CN"/>
        </w:rPr>
        <w:t>为34.78平方米</w:t>
      </w:r>
      <w:r>
        <w:rPr>
          <w:rFonts w:hint="eastAsia" w:ascii="仿宋" w:hAnsi="仿宋" w:eastAsia="仿宋" w:cs="仿宋"/>
          <w:sz w:val="24"/>
          <w:szCs w:val="24"/>
        </w:rPr>
        <w:t>（产权证号：</w:t>
      </w:r>
      <w:r>
        <w:rPr>
          <w:rFonts w:hint="eastAsia" w:ascii="仿宋" w:hAnsi="仿宋" w:eastAsia="仿宋" w:cs="仿宋"/>
          <w:sz w:val="24"/>
          <w:szCs w:val="24"/>
          <w:lang w:val="en-US" w:eastAsia="zh-CN"/>
        </w:rPr>
        <w:t>皖（2018）全椒县不动产权第0001353号</w:t>
      </w:r>
      <w:r>
        <w:rPr>
          <w:rFonts w:hint="eastAsia" w:ascii="仿宋" w:hAnsi="仿宋" w:eastAsia="仿宋" w:cs="仿宋"/>
          <w:sz w:val="24"/>
          <w:szCs w:val="24"/>
        </w:rPr>
        <w:t>）】的房地产，在现状利用条件下的市场价值进行了估价。估价人员遵循各项估价原则，根据估价目的和国家有关房地产估价的规范、规定，按照估价程序，经过了实地查勘与市场调查。</w:t>
      </w:r>
    </w:p>
    <w:p>
      <w:pPr>
        <w:pageBreakBefore w:val="0"/>
        <w:widowControl w:val="0"/>
        <w:kinsoku/>
        <w:wordWrap/>
        <w:overflowPunct/>
        <w:autoSpaceDE/>
        <w:autoSpaceDN/>
        <w:bidi w:val="0"/>
        <w:spacing w:line="480" w:lineRule="exact"/>
        <w:ind w:firstLine="482" w:firstLineChars="200"/>
        <w:textAlignment w:val="auto"/>
        <w:rPr>
          <w:rFonts w:hint="eastAsia" w:ascii="仿宋" w:hAnsi="仿宋" w:eastAsia="仿宋" w:cs="仿宋"/>
          <w:b/>
          <w:sz w:val="24"/>
          <w:szCs w:val="24"/>
        </w:rPr>
      </w:pPr>
      <w:r>
        <w:rPr>
          <w:rFonts w:hint="eastAsia" w:ascii="仿宋" w:hAnsi="仿宋" w:eastAsia="仿宋" w:cs="仿宋"/>
          <w:b/>
          <w:sz w:val="24"/>
          <w:szCs w:val="24"/>
        </w:rPr>
        <w:t>估价报告摘要如下：</w:t>
      </w:r>
    </w:p>
    <w:p>
      <w:pPr>
        <w:keepNext w:val="0"/>
        <w:keepLines w:val="0"/>
        <w:pageBreakBefore w:val="0"/>
        <w:widowControl w:val="0"/>
        <w:kinsoku/>
        <w:wordWrap/>
        <w:overflowPunct/>
        <w:topLinePunct/>
        <w:autoSpaceDE/>
        <w:autoSpaceDN/>
        <w:bidi w:val="0"/>
        <w:adjustRightInd w:val="0"/>
        <w:snapToGrid w:val="0"/>
        <w:spacing w:line="480" w:lineRule="exact"/>
        <w:ind w:firstLine="472" w:firstLineChars="200"/>
        <w:textAlignment w:val="auto"/>
        <w:rPr>
          <w:rFonts w:ascii="仿宋_GB2312" w:hAnsi="仿宋" w:eastAsia="仿宋_GB2312" w:cs="新宋体-18030"/>
          <w:color w:val="auto"/>
          <w:spacing w:val="-2"/>
          <w:sz w:val="24"/>
        </w:rPr>
      </w:pPr>
      <w:r>
        <w:rPr>
          <w:rFonts w:hint="eastAsia" w:ascii="仿宋_GB2312" w:hAnsi="仿宋" w:eastAsia="仿宋_GB2312" w:cs="新宋体-18030"/>
          <w:color w:val="auto"/>
          <w:spacing w:val="-2"/>
          <w:sz w:val="24"/>
        </w:rPr>
        <w:t>根据</w:t>
      </w:r>
      <w:r>
        <w:rPr>
          <w:rFonts w:hint="eastAsia" w:ascii="仿宋_GB2312" w:hAnsi="仿宋" w:eastAsia="仿宋_GB2312" w:cs="新宋体-18030"/>
          <w:color w:val="auto"/>
          <w:spacing w:val="-2"/>
          <w:sz w:val="24"/>
          <w:lang w:val="en-US" w:eastAsia="zh-CN"/>
        </w:rPr>
        <w:t>委托方</w:t>
      </w:r>
      <w:r>
        <w:rPr>
          <w:rFonts w:hint="eastAsia" w:ascii="仿宋_GB2312" w:hAnsi="仿宋" w:eastAsia="仿宋_GB2312" w:cs="新宋体-18030"/>
          <w:color w:val="auto"/>
          <w:spacing w:val="-2"/>
          <w:sz w:val="24"/>
        </w:rPr>
        <w:t>提供的</w:t>
      </w:r>
      <w:r>
        <w:rPr>
          <w:rFonts w:hint="eastAsia" w:ascii="仿宋_GB2312" w:hAnsi="仿宋" w:eastAsia="仿宋_GB2312" w:cs="新宋体-18030"/>
          <w:color w:val="auto"/>
          <w:spacing w:val="-2"/>
          <w:sz w:val="24"/>
          <w:lang w:eastAsia="zh-CN"/>
        </w:rPr>
        <w:t>《</w:t>
      </w:r>
      <w:r>
        <w:rPr>
          <w:rFonts w:hint="eastAsia" w:ascii="仿宋_GB2312" w:hAnsi="仿宋" w:eastAsia="仿宋_GB2312" w:cs="新宋体-18030"/>
          <w:color w:val="auto"/>
          <w:spacing w:val="-2"/>
          <w:sz w:val="24"/>
          <w:lang w:val="en-US" w:eastAsia="zh-CN"/>
        </w:rPr>
        <w:t>不动产权证</w:t>
      </w:r>
      <w:r>
        <w:rPr>
          <w:rFonts w:hint="eastAsia" w:ascii="仿宋_GB2312" w:hAnsi="仿宋" w:eastAsia="仿宋_GB2312" w:cs="新宋体-18030"/>
          <w:color w:val="auto"/>
          <w:spacing w:val="-2"/>
          <w:sz w:val="24"/>
          <w:lang w:eastAsia="zh-CN"/>
        </w:rPr>
        <w:t>》、</w:t>
      </w:r>
      <w:r>
        <w:rPr>
          <w:rFonts w:hint="eastAsia" w:ascii="仿宋_GB2312" w:hAnsi="仿宋" w:eastAsia="仿宋_GB2312" w:cs="新宋体-18030"/>
          <w:color w:val="auto"/>
          <w:spacing w:val="-2"/>
          <w:sz w:val="24"/>
        </w:rPr>
        <w:t>《</w:t>
      </w:r>
      <w:r>
        <w:rPr>
          <w:rFonts w:hint="eastAsia" w:ascii="仿宋_GB2312" w:hAnsi="仿宋" w:eastAsia="仿宋_GB2312" w:cs="新宋体-18030"/>
          <w:color w:val="auto"/>
          <w:spacing w:val="-2"/>
          <w:sz w:val="24"/>
          <w:lang w:val="en-US" w:eastAsia="zh-CN"/>
        </w:rPr>
        <w:t>不动产登记信息</w:t>
      </w:r>
      <w:r>
        <w:rPr>
          <w:rFonts w:hint="eastAsia" w:ascii="仿宋_GB2312" w:hAnsi="仿宋" w:eastAsia="仿宋_GB2312" w:cs="新宋体-18030"/>
          <w:color w:val="auto"/>
          <w:spacing w:val="-2"/>
          <w:sz w:val="24"/>
        </w:rPr>
        <w:t>》及《估价委托书》，本次估价对象具体范围及座落、规模、用途等权属情况见下表：</w:t>
      </w:r>
    </w:p>
    <w:p>
      <w:pPr>
        <w:keepNext w:val="0"/>
        <w:keepLines w:val="0"/>
        <w:pageBreakBefore w:val="0"/>
        <w:widowControl w:val="0"/>
        <w:kinsoku/>
        <w:wordWrap/>
        <w:overflowPunct/>
        <w:topLinePunct/>
        <w:autoSpaceDE/>
        <w:autoSpaceDN/>
        <w:bidi w:val="0"/>
        <w:adjustRightInd w:val="0"/>
        <w:snapToGrid w:val="0"/>
        <w:spacing w:line="480" w:lineRule="exact"/>
        <w:jc w:val="center"/>
        <w:textAlignment w:val="auto"/>
        <w:rPr>
          <w:rFonts w:hint="eastAsia" w:ascii="微软雅黑" w:hAnsi="微软雅黑" w:eastAsia="微软雅黑"/>
          <w:b w:val="0"/>
          <w:bCs w:val="0"/>
          <w:color w:val="auto"/>
        </w:rPr>
      </w:pPr>
      <w:r>
        <w:rPr>
          <w:rFonts w:hint="eastAsia" w:ascii="微软雅黑" w:hAnsi="微软雅黑" w:eastAsia="微软雅黑"/>
          <w:b w:val="0"/>
          <w:bCs w:val="0"/>
          <w:color w:val="auto"/>
        </w:rPr>
        <w:t>估价对象一览表</w:t>
      </w:r>
    </w:p>
    <w:tbl>
      <w:tblPr>
        <w:tblStyle w:val="26"/>
        <w:tblW w:w="10319" w:type="dxa"/>
        <w:tblInd w:w="-934" w:type="dxa"/>
        <w:shd w:val="clear" w:color="auto" w:fill="auto"/>
        <w:tblLayout w:type="fixed"/>
        <w:tblCellMar>
          <w:top w:w="0" w:type="dxa"/>
          <w:left w:w="0" w:type="dxa"/>
          <w:bottom w:w="0" w:type="dxa"/>
          <w:right w:w="0" w:type="dxa"/>
        </w:tblCellMar>
      </w:tblPr>
      <w:tblGrid>
        <w:gridCol w:w="727"/>
        <w:gridCol w:w="1927"/>
        <w:gridCol w:w="1073"/>
        <w:gridCol w:w="808"/>
        <w:gridCol w:w="819"/>
        <w:gridCol w:w="912"/>
        <w:gridCol w:w="934"/>
        <w:gridCol w:w="739"/>
        <w:gridCol w:w="715"/>
        <w:gridCol w:w="665"/>
        <w:gridCol w:w="1000"/>
      </w:tblGrid>
      <w:tr>
        <w:tblPrEx>
          <w:shd w:val="clear" w:color="auto" w:fill="auto"/>
          <w:tblCellMar>
            <w:top w:w="0" w:type="dxa"/>
            <w:left w:w="0" w:type="dxa"/>
            <w:bottom w:w="0" w:type="dxa"/>
            <w:right w:w="0" w:type="dxa"/>
          </w:tblCellMar>
        </w:tblPrEx>
        <w:trPr>
          <w:trHeight w:val="840"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序号</w:t>
            </w:r>
          </w:p>
        </w:tc>
        <w:tc>
          <w:tcPr>
            <w:tcW w:w="1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坐落</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产权人/权利人</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建筑面积（M</w:t>
            </w:r>
            <w:r>
              <w:rPr>
                <w:rFonts w:hint="eastAsia" w:ascii="仿宋_GB2312" w:hAnsi="仿宋" w:eastAsia="仿宋_GB2312" w:cs="新宋体-18030"/>
                <w:color w:val="auto"/>
                <w:spacing w:val="-2"/>
                <w:sz w:val="20"/>
                <w:szCs w:val="16"/>
                <w:vertAlign w:val="superscript"/>
                <w:lang w:val="en-US" w:eastAsia="zh-CN"/>
              </w:rPr>
              <w:t>2</w:t>
            </w:r>
            <w:r>
              <w:rPr>
                <w:rFonts w:hint="eastAsia" w:ascii="仿宋_GB2312" w:hAnsi="仿宋" w:eastAsia="仿宋_GB2312" w:cs="新宋体-18030"/>
                <w:color w:val="auto"/>
                <w:spacing w:val="-2"/>
                <w:sz w:val="20"/>
                <w:szCs w:val="16"/>
                <w:lang w:val="en-US" w:eastAsia="zh-CN"/>
              </w:rPr>
              <w:t>）</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分摊土地面积（M</w:t>
            </w:r>
            <w:r>
              <w:rPr>
                <w:rFonts w:hint="eastAsia" w:ascii="仿宋_GB2312" w:hAnsi="仿宋" w:eastAsia="仿宋_GB2312" w:cs="新宋体-18030"/>
                <w:color w:val="auto"/>
                <w:spacing w:val="-2"/>
                <w:sz w:val="20"/>
                <w:szCs w:val="16"/>
                <w:vertAlign w:val="superscript"/>
                <w:lang w:val="en-US" w:eastAsia="zh-CN"/>
              </w:rPr>
              <w:t>2</w:t>
            </w:r>
            <w:r>
              <w:rPr>
                <w:rFonts w:hint="eastAsia" w:ascii="仿宋_GB2312" w:hAnsi="仿宋" w:eastAsia="仿宋_GB2312" w:cs="新宋体-18030"/>
                <w:color w:val="auto"/>
                <w:spacing w:val="-2"/>
                <w:sz w:val="20"/>
                <w:szCs w:val="16"/>
                <w:lang w:val="en-US" w:eastAsia="zh-CN"/>
              </w:rPr>
              <w:t>）</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规划/设计用途</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证载土地用途</w:t>
            </w:r>
          </w:p>
        </w:tc>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建筑结构</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总楼层</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所在层</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备注</w:t>
            </w:r>
          </w:p>
        </w:tc>
      </w:tr>
      <w:tr>
        <w:tblPrEx>
          <w:tblCellMar>
            <w:top w:w="0" w:type="dxa"/>
            <w:left w:w="0" w:type="dxa"/>
            <w:bottom w:w="0" w:type="dxa"/>
            <w:right w:w="0" w:type="dxa"/>
          </w:tblCellMar>
        </w:tblPrEx>
        <w:trPr>
          <w:trHeight w:val="84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topLinePunct/>
              <w:adjustRightInd w:val="0"/>
              <w:snapToGrid w:val="0"/>
              <w:spacing w:line="276" w:lineRule="auto"/>
              <w:ind w:firstLine="196" w:firstLineChars="100"/>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1</w:t>
            </w:r>
          </w:p>
        </w:tc>
        <w:tc>
          <w:tcPr>
            <w:tcW w:w="1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default" w:ascii="仿宋_GB2312" w:hAnsi="仿宋" w:eastAsia="仿宋_GB2312" w:cs="新宋体-18030"/>
                <w:color w:val="auto"/>
                <w:spacing w:val="-2"/>
                <w:sz w:val="20"/>
                <w:szCs w:val="16"/>
                <w:lang w:val="en-US" w:eastAsia="zh-CN"/>
              </w:rPr>
            </w:pPr>
            <w:r>
              <w:rPr>
                <w:rFonts w:hint="eastAsia" w:ascii="仿宋_GB2312" w:hAnsi="仿宋" w:eastAsia="仿宋_GB2312" w:cs="新宋体-18030"/>
                <w:color w:val="auto"/>
                <w:spacing w:val="-2"/>
                <w:sz w:val="20"/>
                <w:szCs w:val="16"/>
                <w:lang w:val="en-US" w:eastAsia="zh-CN"/>
              </w:rPr>
              <w:t>全椒县襄河镇港口路277号2幢2单元202室</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eastAsia="zh-CN"/>
              </w:rPr>
              <w:t>黄少松</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val="0"/>
                <w:i w:val="0"/>
                <w:color w:val="auto"/>
                <w:sz w:val="20"/>
                <w:szCs w:val="20"/>
                <w:u w:val="none"/>
                <w:lang w:val="en-US" w:eastAsia="zh-CN"/>
              </w:rPr>
            </w:pPr>
            <w:r>
              <w:rPr>
                <w:rFonts w:hint="eastAsia" w:ascii="仿宋" w:hAnsi="仿宋" w:cs="仿宋"/>
                <w:b w:val="0"/>
                <w:bCs w:val="0"/>
                <w:i w:val="0"/>
                <w:color w:val="auto"/>
                <w:sz w:val="20"/>
                <w:szCs w:val="20"/>
                <w:u w:val="none"/>
                <w:lang w:eastAsia="zh-CN"/>
              </w:rPr>
              <w:t>86.77</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cs="仿宋"/>
                <w:b w:val="0"/>
                <w:bCs w:val="0"/>
                <w:i w:val="0"/>
                <w:color w:val="auto"/>
                <w:sz w:val="20"/>
                <w:szCs w:val="20"/>
                <w:u w:val="none"/>
                <w:lang w:val="en-US" w:eastAsia="zh-CN"/>
              </w:rPr>
            </w:pPr>
            <w:r>
              <w:rPr>
                <w:rFonts w:hint="eastAsia" w:ascii="仿宋" w:hAnsi="仿宋" w:cs="仿宋"/>
                <w:b w:val="0"/>
                <w:bCs w:val="0"/>
                <w:i w:val="0"/>
                <w:color w:val="auto"/>
                <w:sz w:val="20"/>
                <w:szCs w:val="20"/>
                <w:u w:val="none"/>
                <w:lang w:val="en-US" w:eastAsia="zh-CN"/>
              </w:rPr>
              <w:t>34.78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住宅</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_GB2312" w:hAnsi="仿宋" w:eastAsia="仿宋_GB2312" w:cs="新宋体-18030"/>
                <w:color w:val="auto"/>
                <w:spacing w:val="-2"/>
                <w:sz w:val="20"/>
                <w:szCs w:val="16"/>
                <w:lang w:val="en-US" w:eastAsia="zh-CN"/>
              </w:rPr>
              <w:t>住宅</w:t>
            </w:r>
          </w:p>
        </w:tc>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lang w:val="en-US" w:eastAsia="zh-CN"/>
              </w:rPr>
            </w:pPr>
            <w:r>
              <w:rPr>
                <w:rFonts w:hint="eastAsia" w:ascii="仿宋_GB2312" w:hAnsi="仿宋" w:eastAsia="仿宋_GB2312" w:cs="新宋体-18030"/>
                <w:color w:val="auto"/>
                <w:spacing w:val="-2"/>
                <w:sz w:val="20"/>
                <w:szCs w:val="16"/>
                <w:lang w:val="en-US" w:eastAsia="zh-CN"/>
              </w:rPr>
              <w:t>混合</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ind w:firstLine="196" w:firstLineChars="100"/>
              <w:jc w:val="center"/>
              <w:rPr>
                <w:rFonts w:hint="default" w:ascii="仿宋_GB2312" w:hAnsi="仿宋" w:eastAsia="仿宋_GB2312" w:cs="新宋体-18030"/>
                <w:color w:val="auto"/>
                <w:spacing w:val="-2"/>
                <w:sz w:val="20"/>
                <w:szCs w:val="16"/>
                <w:lang w:val="en-US" w:eastAsia="zh-CN"/>
              </w:rPr>
            </w:pPr>
            <w:r>
              <w:rPr>
                <w:rFonts w:hint="eastAsia" w:ascii="仿宋_GB2312" w:hAnsi="仿宋" w:eastAsia="仿宋_GB2312" w:cs="新宋体-18030"/>
                <w:color w:val="auto"/>
                <w:spacing w:val="-2"/>
                <w:sz w:val="20"/>
                <w:szCs w:val="16"/>
                <w:lang w:val="en-US" w:eastAsia="zh-CN"/>
              </w:rPr>
              <w:t>6</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ind w:firstLine="392" w:firstLineChars="200"/>
              <w:jc w:val="center"/>
              <w:rPr>
                <w:rFonts w:hint="default" w:ascii="仿宋_GB2312" w:hAnsi="仿宋" w:eastAsia="仿宋_GB2312" w:cs="新宋体-18030"/>
                <w:color w:val="auto"/>
                <w:spacing w:val="-2"/>
                <w:sz w:val="20"/>
                <w:szCs w:val="16"/>
                <w:lang w:val="en-US"/>
              </w:rPr>
            </w:pPr>
            <w:r>
              <w:rPr>
                <w:rFonts w:hint="eastAsia" w:ascii="仿宋_GB2312" w:hAnsi="仿宋" w:eastAsia="仿宋_GB2312" w:cs="新宋体-18030"/>
                <w:color w:val="auto"/>
                <w:spacing w:val="-2"/>
                <w:sz w:val="20"/>
                <w:szCs w:val="16"/>
                <w:lang w:val="en-US" w:eastAsia="zh-CN"/>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topLinePunct/>
              <w:adjustRightInd w:val="0"/>
              <w:snapToGrid w:val="0"/>
              <w:spacing w:line="276" w:lineRule="auto"/>
              <w:jc w:val="center"/>
              <w:rPr>
                <w:rFonts w:hint="eastAsia" w:ascii="仿宋_GB2312" w:hAnsi="仿宋" w:eastAsia="仿宋_GB2312" w:cs="新宋体-18030"/>
                <w:color w:val="auto"/>
                <w:spacing w:val="-2"/>
                <w:sz w:val="20"/>
                <w:szCs w:val="16"/>
              </w:rPr>
            </w:pPr>
            <w:r>
              <w:rPr>
                <w:rFonts w:hint="eastAsia" w:ascii="仿宋" w:hAnsi="仿宋" w:cs="仿宋"/>
                <w:b w:val="0"/>
                <w:bCs w:val="0"/>
                <w:i w:val="0"/>
                <w:color w:val="auto"/>
                <w:sz w:val="20"/>
                <w:szCs w:val="20"/>
                <w:u w:val="none"/>
                <w:lang w:eastAsia="zh-CN"/>
              </w:rPr>
              <w:t>——</w:t>
            </w:r>
          </w:p>
        </w:tc>
      </w:tr>
      <w:tr>
        <w:tblPrEx>
          <w:shd w:val="clear" w:color="auto" w:fill="auto"/>
          <w:tblCellMar>
            <w:top w:w="0" w:type="dxa"/>
            <w:left w:w="0" w:type="dxa"/>
            <w:bottom w:w="0" w:type="dxa"/>
            <w:right w:w="0" w:type="dxa"/>
          </w:tblCellMar>
        </w:tblPrEx>
        <w:trPr>
          <w:trHeight w:val="363"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_GB2312" w:hAnsi="仿宋" w:eastAsia="仿宋_GB2312" w:cs="新宋体-18030"/>
                <w:color w:val="auto"/>
                <w:spacing w:val="-2"/>
                <w:sz w:val="20"/>
                <w:szCs w:val="16"/>
                <w:lang w:val="en-US" w:eastAsia="zh-CN"/>
              </w:rPr>
              <w:t>合计</w:t>
            </w:r>
          </w:p>
        </w:tc>
        <w:tc>
          <w:tcPr>
            <w:tcW w:w="19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lang w:eastAsia="zh-CN"/>
              </w:rPr>
            </w:pPr>
            <w:r>
              <w:rPr>
                <w:rFonts w:hint="eastAsia" w:ascii="仿宋" w:hAnsi="仿宋" w:cs="仿宋"/>
                <w:b w:val="0"/>
                <w:bCs w:val="0"/>
                <w:i w:val="0"/>
                <w:color w:val="auto"/>
                <w:sz w:val="20"/>
                <w:szCs w:val="20"/>
                <w:u w:val="none"/>
                <w:lang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val="0"/>
                <w:i w:val="0"/>
                <w:color w:val="auto"/>
                <w:sz w:val="20"/>
                <w:szCs w:val="20"/>
                <w:u w:val="none"/>
                <w:lang w:val="en-US" w:eastAsia="zh-CN"/>
              </w:rPr>
            </w:pPr>
            <w:r>
              <w:rPr>
                <w:rFonts w:hint="eastAsia" w:ascii="仿宋" w:hAnsi="仿宋" w:cs="仿宋"/>
                <w:b w:val="0"/>
                <w:bCs w:val="0"/>
                <w:i w:val="0"/>
                <w:color w:val="auto"/>
                <w:sz w:val="20"/>
                <w:szCs w:val="20"/>
                <w:u w:val="none"/>
                <w:lang w:eastAsia="zh-CN"/>
              </w:rPr>
              <w:t>86.77</w:t>
            </w:r>
          </w:p>
        </w:tc>
        <w:tc>
          <w:tcPr>
            <w:tcW w:w="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cs="仿宋"/>
                <w:b w:val="0"/>
                <w:bCs w:val="0"/>
                <w:i w:val="0"/>
                <w:color w:val="auto"/>
                <w:sz w:val="20"/>
                <w:szCs w:val="20"/>
                <w:u w:val="none"/>
                <w:lang w:val="en-US" w:eastAsia="zh-CN"/>
              </w:rPr>
            </w:pPr>
            <w:r>
              <w:rPr>
                <w:rFonts w:hint="eastAsia" w:ascii="仿宋" w:hAnsi="仿宋" w:cs="仿宋"/>
                <w:b w:val="0"/>
                <w:bCs w:val="0"/>
                <w:i w:val="0"/>
                <w:color w:val="auto"/>
                <w:sz w:val="20"/>
                <w:szCs w:val="20"/>
                <w:u w:val="none"/>
                <w:lang w:val="en-US" w:eastAsia="zh-CN"/>
              </w:rPr>
              <w:t>34.78</w:t>
            </w: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c>
          <w:tcPr>
            <w:tcW w:w="7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c>
          <w:tcPr>
            <w:tcW w:w="7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c>
          <w:tcPr>
            <w:tcW w:w="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3"/>
                <w:szCs w:val="13"/>
                <w:u w:val="none"/>
              </w:rPr>
            </w:pPr>
            <w:r>
              <w:rPr>
                <w:rFonts w:hint="eastAsia" w:ascii="仿宋" w:hAnsi="仿宋" w:cs="仿宋"/>
                <w:b w:val="0"/>
                <w:bCs w:val="0"/>
                <w:i w:val="0"/>
                <w:color w:val="auto"/>
                <w:sz w:val="20"/>
                <w:szCs w:val="20"/>
                <w:u w:val="none"/>
                <w:lang w:eastAsia="zh-CN"/>
              </w:rPr>
              <w:t>——</w:t>
            </w:r>
          </w:p>
        </w:tc>
      </w:tr>
    </w:tbl>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估价目的：</w:t>
      </w:r>
      <w:r>
        <w:rPr>
          <w:rFonts w:hint="eastAsia" w:ascii="仿宋" w:hAnsi="仿宋" w:eastAsia="仿宋" w:cs="新宋体-18030"/>
          <w:color w:val="000000"/>
          <w:sz w:val="24"/>
          <w:lang w:eastAsia="zh-CN"/>
        </w:rPr>
        <w:t>为人民法院确定财产处置参考价提供参考依据</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价值时点：</w:t>
      </w:r>
      <w:r>
        <w:rPr>
          <w:rFonts w:hint="eastAsia" w:ascii="仿宋" w:hAnsi="仿宋" w:eastAsia="仿宋" w:cs="仿宋"/>
          <w:sz w:val="24"/>
          <w:szCs w:val="24"/>
          <w:lang w:eastAsia="zh-CN"/>
        </w:rPr>
        <w:t>2022年8月8日</w:t>
      </w:r>
      <w:r>
        <w:rPr>
          <w:rFonts w:hint="eastAsia" w:ascii="仿宋" w:hAnsi="仿宋" w:eastAsia="仿宋" w:cs="仿宋"/>
          <w:sz w:val="24"/>
          <w:szCs w:val="24"/>
        </w:rPr>
        <w:t>（实地查勘日）</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估价方法：比较法</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价值类型：房地产市场价值</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估价结果：估价对象房地产在满足本估价报告中“估价的假设和限制条件”下，在价值时点的房地产市场价值总价</w:t>
      </w:r>
      <w:r>
        <w:rPr>
          <w:rFonts w:hint="eastAsia" w:ascii="仿宋" w:hAnsi="仿宋" w:eastAsia="仿宋" w:cs="仿宋"/>
          <w:color w:val="auto"/>
          <w:sz w:val="24"/>
          <w:szCs w:val="24"/>
          <w:highlight w:val="none"/>
        </w:rPr>
        <w:t>为:</w:t>
      </w:r>
      <w:r>
        <w:rPr>
          <w:rFonts w:ascii="宋体" w:hAnsi="宋体" w:eastAsia="宋体" w:cs="宋体"/>
          <w:color w:val="auto"/>
          <w:sz w:val="22"/>
          <w:szCs w:val="22"/>
          <w:highlight w:val="none"/>
        </w:rPr>
        <w:t>¥</w:t>
      </w:r>
      <w:r>
        <w:rPr>
          <w:rFonts w:hint="eastAsia" w:ascii="仿宋" w:hAnsi="仿宋" w:eastAsia="仿宋" w:cs="仿宋"/>
          <w:color w:val="auto"/>
          <w:sz w:val="24"/>
          <w:szCs w:val="24"/>
          <w:highlight w:val="none"/>
          <w:lang w:val="en-US" w:eastAsia="zh-CN"/>
        </w:rPr>
        <w:t>34.60</w:t>
      </w:r>
      <w:r>
        <w:rPr>
          <w:rFonts w:hint="eastAsia" w:ascii="仿宋" w:hAnsi="仿宋" w:eastAsia="仿宋" w:cs="仿宋"/>
          <w:color w:val="auto"/>
          <w:sz w:val="24"/>
          <w:szCs w:val="24"/>
          <w:highlight w:val="none"/>
        </w:rPr>
        <w:t>万元，大写金额</w:t>
      </w:r>
      <w:r>
        <w:rPr>
          <w:rFonts w:hint="eastAsia" w:ascii="仿宋" w:hAnsi="仿宋" w:eastAsia="仿宋" w:cs="仿宋"/>
          <w:sz w:val="24"/>
          <w:szCs w:val="24"/>
        </w:rPr>
        <w:t>：</w:t>
      </w:r>
      <w:r>
        <w:rPr>
          <w:rFonts w:hint="eastAsia" w:ascii="仿宋" w:hAnsi="仿宋" w:eastAsia="仿宋" w:cs="仿宋"/>
          <w:sz w:val="24"/>
          <w:szCs w:val="24"/>
          <w:lang w:val="en-US" w:eastAsia="zh-CN"/>
        </w:rPr>
        <w:t>人民币</w:t>
      </w:r>
      <w:r>
        <w:rPr>
          <w:rFonts w:hint="eastAsia" w:ascii="仿宋" w:hAnsi="仿宋" w:eastAsia="仿宋" w:cs="仿宋"/>
          <w:sz w:val="24"/>
          <w:szCs w:val="24"/>
          <w:lang w:eastAsia="zh-CN"/>
        </w:rPr>
        <w:t>叁拾肆万陆仟元整</w:t>
      </w:r>
      <w:r>
        <w:rPr>
          <w:rFonts w:hint="eastAsia" w:ascii="仿宋" w:hAnsi="仿宋" w:eastAsia="仿宋" w:cs="仿宋"/>
          <w:sz w:val="24"/>
          <w:szCs w:val="24"/>
        </w:rPr>
        <w:t>，评估单价：</w:t>
      </w:r>
      <w:r>
        <w:rPr>
          <w:rFonts w:hint="eastAsia" w:ascii="仿宋" w:hAnsi="仿宋" w:eastAsia="仿宋" w:cs="仿宋"/>
          <w:sz w:val="24"/>
          <w:szCs w:val="24"/>
          <w:lang w:val="en-US" w:eastAsia="zh-CN"/>
        </w:rPr>
        <w:t>3988</w:t>
      </w:r>
      <w:r>
        <w:rPr>
          <w:rFonts w:hint="eastAsia" w:ascii="仿宋" w:hAnsi="仿宋" w:eastAsia="仿宋" w:cs="仿宋"/>
          <w:sz w:val="24"/>
          <w:szCs w:val="24"/>
          <w:lang w:eastAsia="zh-CN"/>
        </w:rPr>
        <w:t>.00</w:t>
      </w:r>
      <w:r>
        <w:rPr>
          <w:rFonts w:hint="eastAsia" w:ascii="仿宋" w:hAnsi="仿宋" w:eastAsia="仿宋" w:cs="仿宋"/>
          <w:sz w:val="24"/>
          <w:szCs w:val="24"/>
        </w:rPr>
        <w:t>元/平方米。</w:t>
      </w:r>
    </w:p>
    <w:p>
      <w:pPr>
        <w:keepNext w:val="0"/>
        <w:keepLines w:val="0"/>
        <w:pageBreakBefore w:val="0"/>
        <w:widowControl w:val="0"/>
        <w:kinsoku/>
        <w:wordWrap/>
        <w:overflowPunct/>
        <w:topLinePunct w:val="0"/>
        <w:autoSpaceDE/>
        <w:autoSpaceDN/>
        <w:bidi w:val="0"/>
        <w:adjustRightInd w:val="0"/>
        <w:snapToGrid w:val="0"/>
        <w:spacing w:line="480" w:lineRule="exact"/>
        <w:ind w:firstLine="474" w:firstLineChars="200"/>
        <w:textAlignment w:val="auto"/>
        <w:rPr>
          <w:rFonts w:ascii="仿宋" w:hAnsi="仿宋" w:eastAsia="仿宋" w:cs="新宋体-18030"/>
          <w:b/>
          <w:color w:val="000000" w:themeColor="text1"/>
          <w:spacing w:val="-2"/>
          <w:sz w:val="24"/>
          <w:szCs w:val="24"/>
        </w:rPr>
      </w:pPr>
      <w:r>
        <w:rPr>
          <w:rFonts w:hint="eastAsia" w:ascii="仿宋" w:hAnsi="仿宋" w:eastAsia="仿宋" w:cs="新宋体-18030"/>
          <w:b/>
          <w:color w:val="000000" w:themeColor="text1"/>
          <w:spacing w:val="-2"/>
          <w:sz w:val="24"/>
          <w:szCs w:val="24"/>
        </w:rPr>
        <w:t>特别提示:</w:t>
      </w:r>
    </w:p>
    <w:p>
      <w:pPr>
        <w:keepNext w:val="0"/>
        <w:keepLines w:val="0"/>
        <w:pageBreakBefore w:val="0"/>
        <w:widowControl w:val="0"/>
        <w:kinsoku/>
        <w:wordWrap/>
        <w:overflowPunct/>
        <w:topLinePunct w:val="0"/>
        <w:autoSpaceDE/>
        <w:autoSpaceDN/>
        <w:bidi w:val="0"/>
        <w:adjustRightInd w:val="0"/>
        <w:snapToGrid w:val="0"/>
        <w:spacing w:line="480" w:lineRule="exact"/>
        <w:ind w:firstLine="472" w:firstLineChars="200"/>
        <w:textAlignment w:val="auto"/>
        <w:rPr>
          <w:rFonts w:ascii="仿宋_GB2312" w:hAnsi="仿宋" w:eastAsia="仿宋_GB2312" w:cs="新宋体-18030"/>
          <w:color w:val="000000" w:themeColor="text1"/>
          <w:spacing w:val="-2"/>
          <w:sz w:val="24"/>
        </w:rPr>
      </w:pPr>
      <w:r>
        <w:rPr>
          <w:rFonts w:hint="eastAsia" w:ascii="仿宋_GB2312" w:hAnsi="仿宋" w:eastAsia="仿宋_GB2312" w:cs="新宋体-18030"/>
          <w:color w:val="000000" w:themeColor="text1"/>
          <w:spacing w:val="-2"/>
          <w:sz w:val="24"/>
        </w:rPr>
        <w:t>（一）上述评估值为估价对象在满足本报告全部假设和限制条件下于价值时点</w:t>
      </w:r>
      <w:r>
        <w:rPr>
          <w:rFonts w:hint="eastAsia" w:ascii="仿宋_GB2312" w:hAnsi="仿宋" w:eastAsia="仿宋_GB2312" w:cs="新宋体-18030"/>
          <w:color w:val="000000" w:themeColor="text1"/>
          <w:spacing w:val="-2"/>
          <w:sz w:val="24"/>
          <w:lang w:eastAsia="zh-CN"/>
        </w:rPr>
        <w:t>2022年8月8日</w:t>
      </w:r>
      <w:r>
        <w:rPr>
          <w:rFonts w:hint="eastAsia" w:ascii="仿宋_GB2312" w:hAnsi="仿宋" w:eastAsia="仿宋_GB2312" w:cs="新宋体-18030"/>
          <w:color w:val="000000" w:themeColor="text1"/>
          <w:spacing w:val="-2"/>
          <w:sz w:val="24"/>
        </w:rPr>
        <w:t xml:space="preserve">的估价结果。 </w:t>
      </w:r>
    </w:p>
    <w:p>
      <w:pPr>
        <w:keepNext w:val="0"/>
        <w:keepLines w:val="0"/>
        <w:pageBreakBefore w:val="0"/>
        <w:widowControl w:val="0"/>
        <w:kinsoku/>
        <w:wordWrap/>
        <w:overflowPunct/>
        <w:topLinePunct w:val="0"/>
        <w:autoSpaceDE/>
        <w:autoSpaceDN/>
        <w:bidi w:val="0"/>
        <w:spacing w:line="480" w:lineRule="exact"/>
        <w:ind w:firstLine="472" w:firstLineChars="200"/>
        <w:textAlignment w:val="auto"/>
        <w:rPr>
          <w:rFonts w:ascii="仿宋_GB2312" w:hAnsi="仿宋" w:eastAsia="仿宋_GB2312" w:cs="新宋体-18030"/>
          <w:color w:val="000000" w:themeColor="text1"/>
          <w:spacing w:val="-2"/>
          <w:sz w:val="24"/>
        </w:rPr>
      </w:pPr>
      <w:r>
        <w:rPr>
          <w:rFonts w:hint="eastAsia" w:ascii="仿宋_GB2312" w:hAnsi="仿宋" w:eastAsia="仿宋_GB2312" w:cs="新宋体-18030"/>
          <w:color w:val="000000" w:themeColor="text1"/>
          <w:spacing w:val="-2"/>
          <w:sz w:val="24"/>
        </w:rPr>
        <w:t>（二）</w:t>
      </w:r>
      <w:r>
        <w:rPr>
          <w:rFonts w:ascii="仿宋_GB2312" w:hAnsi="仿宋" w:eastAsia="仿宋_GB2312" w:cs="新宋体-18030"/>
          <w:color w:val="000000" w:themeColor="text1"/>
          <w:spacing w:val="-2"/>
          <w:sz w:val="24"/>
        </w:rPr>
        <w:t>本报告的使用有效期为自估价报告出具之日</w:t>
      </w:r>
      <w:r>
        <w:rPr>
          <w:rFonts w:hint="eastAsia" w:ascii="仿宋_GB2312" w:hAnsi="仿宋" w:eastAsia="仿宋_GB2312" w:cs="新宋体-18030"/>
          <w:color w:val="000000" w:themeColor="text1"/>
          <w:spacing w:val="-2"/>
          <w:sz w:val="24"/>
          <w:lang w:eastAsia="zh-CN"/>
        </w:rPr>
        <w:t>2022年8月29日</w:t>
      </w:r>
      <w:r>
        <w:rPr>
          <w:rFonts w:ascii="仿宋_GB2312" w:hAnsi="仿宋" w:eastAsia="仿宋_GB2312" w:cs="新宋体-18030"/>
          <w:color w:val="000000" w:themeColor="text1"/>
          <w:spacing w:val="-2"/>
          <w:sz w:val="24"/>
        </w:rPr>
        <w:t>起计算为壹年。</w:t>
      </w:r>
    </w:p>
    <w:p>
      <w:pPr>
        <w:keepNext w:val="0"/>
        <w:keepLines w:val="0"/>
        <w:pageBreakBefore w:val="0"/>
        <w:widowControl w:val="0"/>
        <w:kinsoku/>
        <w:wordWrap/>
        <w:overflowPunct/>
        <w:topLinePunct w:val="0"/>
        <w:autoSpaceDE/>
        <w:autoSpaceDN/>
        <w:bidi w:val="0"/>
        <w:adjustRightInd w:val="0"/>
        <w:snapToGrid w:val="0"/>
        <w:spacing w:line="480" w:lineRule="exact"/>
        <w:ind w:firstLine="472" w:firstLineChars="200"/>
        <w:textAlignment w:val="auto"/>
        <w:rPr>
          <w:rFonts w:ascii="仿宋_GB2312" w:hAnsi="仿宋" w:eastAsia="仿宋_GB2312" w:cs="新宋体-18030"/>
          <w:color w:val="000000" w:themeColor="text1"/>
          <w:spacing w:val="-2"/>
          <w:sz w:val="24"/>
        </w:rPr>
      </w:pPr>
      <w:r>
        <w:rPr>
          <w:rFonts w:hint="eastAsia" w:ascii="仿宋_GB2312" w:hAnsi="仿宋" w:eastAsia="仿宋_GB2312" w:cs="新宋体-18030"/>
          <w:color w:val="000000" w:themeColor="text1"/>
          <w:spacing w:val="-2"/>
          <w:sz w:val="24"/>
        </w:rPr>
        <w:t>（三）上述结论在应用时应认真阅读本估价报告书全文。</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hint="eastAsia" w:ascii="仿宋" w:hAnsi="仿宋" w:eastAsia="仿宋"/>
          <w:color w:val="auto"/>
          <w:sz w:val="24"/>
          <w:szCs w:val="24"/>
        </w:rPr>
      </w:pPr>
      <w:r>
        <w:rPr>
          <w:rFonts w:hint="eastAsia" w:ascii="仿宋" w:hAnsi="仿宋" w:eastAsia="仿宋"/>
          <w:color w:val="auto"/>
          <w:sz w:val="24"/>
          <w:szCs w:val="24"/>
        </w:rPr>
        <w:t>（四）估价对象土地使用权性质为划拨，本报告评估价格未扣除估价对象相应用途的国有土地使用权出让金，估价对象后期进行拍卖或其他交易时最终出让金数额应以</w:t>
      </w:r>
      <w:r>
        <w:rPr>
          <w:rFonts w:hint="eastAsia" w:ascii="仿宋" w:hAnsi="仿宋" w:eastAsia="仿宋"/>
          <w:color w:val="auto"/>
          <w:sz w:val="24"/>
          <w:szCs w:val="24"/>
          <w:lang w:val="en-US" w:eastAsia="zh-CN"/>
        </w:rPr>
        <w:t>全椒县</w:t>
      </w:r>
      <w:r>
        <w:rPr>
          <w:rFonts w:hint="eastAsia" w:ascii="仿宋" w:hAnsi="仿宋" w:eastAsia="仿宋"/>
          <w:color w:val="auto"/>
          <w:sz w:val="24"/>
          <w:szCs w:val="24"/>
        </w:rPr>
        <w:t>土地管理部门审定结果为准。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sz w:val="24"/>
          <w:szCs w:val="24"/>
        </w:rPr>
      </w:pPr>
    </w:p>
    <w:p>
      <w:pPr>
        <w:adjustRightInd w:val="0"/>
        <w:snapToGrid w:val="0"/>
        <w:rPr>
          <w:rFonts w:ascii="仿宋_GB2312" w:hAnsi="仿宋" w:eastAsia="仿宋_GB2312"/>
          <w:sz w:val="24"/>
          <w:szCs w:val="24"/>
        </w:rPr>
      </w:pPr>
    </w:p>
    <w:p>
      <w:pPr>
        <w:spacing w:line="340" w:lineRule="exact"/>
        <w:rPr>
          <w:rFonts w:ascii="仿宋_GB2312" w:hAnsi="仿宋" w:eastAsia="仿宋_GB2312" w:cs="新宋体-18030"/>
          <w:b/>
          <w:bCs/>
          <w:color w:val="000000" w:themeColor="text1"/>
          <w:spacing w:val="20"/>
          <w:sz w:val="24"/>
        </w:rPr>
      </w:pPr>
      <w:bookmarkStart w:id="5" w:name="_Toc433731387"/>
    </w:p>
    <w:p>
      <w:pPr>
        <w:spacing w:line="340" w:lineRule="exact"/>
        <w:ind w:firstLine="281" w:firstLineChars="100"/>
        <w:rPr>
          <w:rFonts w:ascii="仿宋_GB2312" w:hAnsi="仿宋" w:eastAsia="仿宋_GB2312" w:cs="新宋体-18030"/>
          <w:b/>
          <w:bCs/>
          <w:color w:val="000000" w:themeColor="text1"/>
          <w:spacing w:val="20"/>
          <w:sz w:val="24"/>
        </w:rPr>
      </w:pPr>
      <w:r>
        <w:rPr>
          <w:rFonts w:hint="eastAsia" w:ascii="仿宋_GB2312" w:hAnsi="仿宋" w:eastAsia="仿宋_GB2312" w:cs="新宋体-18030"/>
          <w:b/>
          <w:bCs/>
          <w:color w:val="000000" w:themeColor="text1"/>
          <w:spacing w:val="20"/>
          <w:sz w:val="24"/>
        </w:rPr>
        <w:t xml:space="preserve">法定代表人（盖章）  </w:t>
      </w:r>
    </w:p>
    <w:p>
      <w:pPr>
        <w:spacing w:line="340" w:lineRule="exact"/>
        <w:ind w:firstLine="200"/>
        <w:rPr>
          <w:rFonts w:ascii="仿宋_GB2312" w:hAnsi="仿宋" w:eastAsia="仿宋_GB2312" w:cs="新宋体-18030"/>
          <w:b/>
          <w:bCs/>
          <w:color w:val="000000" w:themeColor="text1"/>
          <w:spacing w:val="20"/>
          <w:sz w:val="24"/>
        </w:rPr>
      </w:pPr>
    </w:p>
    <w:p>
      <w:pPr>
        <w:spacing w:line="340" w:lineRule="exact"/>
        <w:ind w:firstLine="200"/>
        <w:rPr>
          <w:rFonts w:hint="eastAsia" w:ascii="仿宋_GB2312" w:hAnsi="仿宋" w:eastAsia="仿宋_GB2312" w:cs="新宋体-18030"/>
          <w:b/>
          <w:bCs/>
          <w:color w:val="000000" w:themeColor="text1"/>
          <w:spacing w:val="20"/>
          <w:sz w:val="24"/>
          <w:lang w:val="en-US" w:eastAsia="zh-CN"/>
        </w:rPr>
      </w:pPr>
      <w:r>
        <w:rPr>
          <w:rFonts w:hint="eastAsia" w:ascii="仿宋_GB2312" w:hAnsi="仿宋" w:eastAsia="仿宋_GB2312" w:cs="新宋体-18030"/>
          <w:b/>
          <w:bCs/>
          <w:color w:val="000000" w:themeColor="text1"/>
          <w:spacing w:val="20"/>
          <w:sz w:val="24"/>
          <w:lang w:val="en-US" w:eastAsia="zh-CN"/>
        </w:rPr>
        <w:t xml:space="preserve"> </w:t>
      </w:r>
    </w:p>
    <w:p>
      <w:pPr>
        <w:spacing w:line="340" w:lineRule="exact"/>
        <w:ind w:right="140" w:firstLine="200"/>
        <w:jc w:val="center"/>
        <w:rPr>
          <w:rFonts w:ascii="仿宋_GB2312" w:hAnsi="仿宋" w:eastAsia="仿宋_GB2312" w:cs="新宋体-18030"/>
          <w:b/>
          <w:bCs/>
          <w:color w:val="000000" w:themeColor="text1"/>
          <w:spacing w:val="20"/>
          <w:sz w:val="24"/>
        </w:rPr>
      </w:pPr>
      <w:r>
        <w:rPr>
          <w:rFonts w:hint="eastAsia" w:ascii="仿宋_GB2312" w:hAnsi="仿宋" w:eastAsia="仿宋_GB2312" w:cs="新宋体-18030"/>
          <w:b/>
          <w:bCs/>
          <w:color w:val="000000" w:themeColor="text1"/>
          <w:spacing w:val="20"/>
          <w:sz w:val="24"/>
          <w:lang w:val="en-US" w:eastAsia="zh-CN"/>
        </w:rPr>
        <w:t xml:space="preserve">                    </w:t>
      </w:r>
      <w:r>
        <w:rPr>
          <w:rFonts w:hint="eastAsia" w:ascii="仿宋_GB2312" w:hAnsi="仿宋" w:eastAsia="仿宋_GB2312" w:cs="新宋体-18030"/>
          <w:b/>
          <w:bCs/>
          <w:color w:val="000000" w:themeColor="text1"/>
          <w:spacing w:val="20"/>
          <w:sz w:val="24"/>
        </w:rPr>
        <w:t xml:space="preserve">安徽中信房地产土地资产价格评估有限公司 </w:t>
      </w:r>
    </w:p>
    <w:bookmarkEnd w:id="5"/>
    <w:p>
      <w:pPr>
        <w:spacing w:line="340" w:lineRule="exact"/>
        <w:ind w:firstLine="5057" w:firstLineChars="1800"/>
        <w:jc w:val="both"/>
        <w:rPr>
          <w:rFonts w:ascii="仿宋" w:hAnsi="仿宋" w:eastAsia="仿宋" w:cs="宋体"/>
          <w:b/>
          <w:color w:val="000000" w:themeColor="text1"/>
          <w:kern w:val="44"/>
          <w:sz w:val="32"/>
          <w:szCs w:val="32"/>
        </w:rPr>
      </w:pPr>
      <w:bookmarkStart w:id="6" w:name="_Toc18392"/>
      <w:r>
        <w:rPr>
          <w:rFonts w:hint="eastAsia" w:ascii="仿宋_GB2312" w:hAnsi="仿宋" w:eastAsia="仿宋_GB2312" w:cs="新宋体-18030"/>
          <w:b/>
          <w:bCs/>
          <w:color w:val="000000" w:themeColor="text1"/>
          <w:spacing w:val="20"/>
          <w:sz w:val="24"/>
          <w:lang w:eastAsia="zh-CN"/>
        </w:rPr>
        <w:t>二零二二年八月二十九日</w:t>
      </w:r>
      <w:r>
        <w:rPr>
          <w:rFonts w:ascii="仿宋" w:hAnsi="仿宋" w:eastAsia="仿宋" w:cs="宋体"/>
          <w:bCs/>
          <w:color w:val="000000" w:themeColor="text1"/>
        </w:rPr>
        <w:br w:type="page"/>
      </w:r>
    </w:p>
    <w:p>
      <w:pPr>
        <w:spacing w:line="440" w:lineRule="exact"/>
        <w:jc w:val="both"/>
        <w:rPr>
          <w:rFonts w:hint="eastAsia" w:ascii="仿宋_GB2312" w:hAnsi="仿宋" w:eastAsia="仿宋_GB2312" w:cs="仿宋_GB2312"/>
          <w:b/>
          <w:bCs/>
          <w:color w:val="000000" w:themeColor="text1"/>
          <w:sz w:val="44"/>
          <w:szCs w:val="44"/>
        </w:rPr>
      </w:pPr>
    </w:p>
    <w:p>
      <w:pPr>
        <w:spacing w:line="440" w:lineRule="exact"/>
        <w:jc w:val="center"/>
        <w:rPr>
          <w:rFonts w:hint="eastAsia" w:ascii="仿宋_GB2312" w:hAnsi="仿宋" w:eastAsia="仿宋_GB2312" w:cs="仿宋_GB2312"/>
          <w:b/>
          <w:bCs/>
          <w:color w:val="000000" w:themeColor="text1"/>
          <w:sz w:val="44"/>
          <w:szCs w:val="44"/>
        </w:rPr>
      </w:pPr>
      <w:r>
        <w:rPr>
          <w:rFonts w:hint="eastAsia" w:ascii="仿宋_GB2312" w:hAnsi="仿宋" w:eastAsia="仿宋_GB2312" w:cs="仿宋_GB2312"/>
          <w:b/>
          <w:bCs/>
          <w:color w:val="000000" w:themeColor="text1"/>
          <w:sz w:val="44"/>
          <w:szCs w:val="44"/>
        </w:rPr>
        <w:t>目录</w:t>
      </w:r>
    </w:p>
    <w:p>
      <w:pPr>
        <w:spacing w:line="440" w:lineRule="exact"/>
        <w:jc w:val="center"/>
        <w:rPr>
          <w:rFonts w:hint="eastAsia" w:ascii="仿宋_GB2312" w:hAnsi="仿宋" w:eastAsia="仿宋_GB2312" w:cs="仿宋_GB2312"/>
          <w:b/>
          <w:bCs/>
          <w:color w:val="000000" w:themeColor="text1"/>
          <w:sz w:val="44"/>
          <w:szCs w:val="44"/>
        </w:rPr>
      </w:pPr>
    </w:p>
    <w:p>
      <w:pPr>
        <w:pStyle w:val="18"/>
        <w:tabs>
          <w:tab w:val="right" w:leader="dot" w:pos="8900"/>
          <w:tab w:val="clear" w:pos="8890"/>
        </w:tabs>
      </w:pPr>
      <w:r>
        <w:rPr>
          <w:rFonts w:ascii="仿宋_GB2312" w:hAnsi="仿宋" w:cs="仿宋_GB2312"/>
          <w:b w:val="0"/>
          <w:bCs w:val="0"/>
          <w:color w:val="000000" w:themeColor="text1"/>
        </w:rPr>
        <w:fldChar w:fldCharType="begin"/>
      </w:r>
      <w:r>
        <w:rPr>
          <w:rFonts w:ascii="仿宋_GB2312" w:hAnsi="仿宋" w:cs="仿宋_GB2312"/>
          <w:b w:val="0"/>
          <w:bCs w:val="0"/>
          <w:color w:val="000000" w:themeColor="text1"/>
        </w:rPr>
        <w:instrText xml:space="preserve"> TOC \o "1-3" \h \z \u </w:instrText>
      </w:r>
      <w:r>
        <w:rPr>
          <w:rFonts w:ascii="仿宋_GB2312" w:hAnsi="仿宋" w:cs="仿宋_GB2312"/>
          <w:b w:val="0"/>
          <w:bCs w:val="0"/>
          <w:color w:val="000000" w:themeColor="text1"/>
        </w:rPr>
        <w:fldChar w:fldCharType="separate"/>
      </w:r>
      <w:r>
        <w:rPr>
          <w:rFonts w:ascii="仿宋_GB2312" w:hAnsi="仿宋" w:cs="仿宋_GB2312"/>
          <w:bCs w:val="0"/>
          <w:color w:val="000000" w:themeColor="text1"/>
        </w:rPr>
        <w:fldChar w:fldCharType="begin"/>
      </w:r>
      <w:r>
        <w:rPr>
          <w:rFonts w:ascii="仿宋_GB2312" w:hAnsi="仿宋" w:cs="仿宋_GB2312"/>
          <w:bCs w:val="0"/>
        </w:rPr>
        <w:instrText xml:space="preserve"> HYPERLINK \l _Toc19082 </w:instrText>
      </w:r>
      <w:r>
        <w:rPr>
          <w:rFonts w:ascii="仿宋_GB2312" w:hAnsi="仿宋" w:cs="仿宋_GB2312"/>
          <w:bCs w:val="0"/>
        </w:rPr>
        <w:fldChar w:fldCharType="separate"/>
      </w:r>
      <w:r>
        <w:rPr>
          <w:rFonts w:hint="eastAsia" w:ascii="仿宋" w:hAnsi="仿宋" w:eastAsia="仿宋" w:cs="宋体"/>
          <w:bCs w:val="0"/>
        </w:rPr>
        <w:t>致 估 价 委 托 人 函</w:t>
      </w:r>
      <w:r>
        <w:tab/>
      </w:r>
      <w:r>
        <w:fldChar w:fldCharType="begin"/>
      </w:r>
      <w:r>
        <w:instrText xml:space="preserve"> PAGEREF _Toc19082 </w:instrText>
      </w:r>
      <w:r>
        <w:fldChar w:fldCharType="separate"/>
      </w:r>
      <w:r>
        <w:t>- 2 -</w:t>
      </w:r>
      <w:r>
        <w:fldChar w:fldCharType="end"/>
      </w:r>
      <w:r>
        <w:rPr>
          <w:rFonts w:ascii="仿宋_GB2312" w:hAnsi="仿宋" w:cs="仿宋_GB2312"/>
          <w:bCs w:val="0"/>
          <w:color w:val="000000" w:themeColor="text1"/>
        </w:rPr>
        <w:fldChar w:fldCharType="end"/>
      </w:r>
    </w:p>
    <w:p>
      <w:pPr>
        <w:pStyle w:val="18"/>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_Toc24895 </w:instrText>
      </w:r>
      <w:r>
        <w:rPr>
          <w:rFonts w:ascii="仿宋_GB2312" w:hAnsi="仿宋" w:cs="仿宋_GB2312"/>
          <w:bCs/>
        </w:rPr>
        <w:fldChar w:fldCharType="separate"/>
      </w:r>
      <w:r>
        <w:rPr>
          <w:rFonts w:hint="eastAsia" w:ascii="仿宋" w:hAnsi="仿宋" w:eastAsia="仿宋" w:cs="宋体"/>
          <w:bCs w:val="0"/>
        </w:rPr>
        <w:t>房地产估价师声明</w:t>
      </w:r>
      <w:r>
        <w:tab/>
      </w:r>
      <w:r>
        <w:fldChar w:fldCharType="begin"/>
      </w:r>
      <w:r>
        <w:instrText xml:space="preserve"> PAGEREF _Toc24895 </w:instrText>
      </w:r>
      <w:r>
        <w:fldChar w:fldCharType="separate"/>
      </w:r>
      <w:r>
        <w:t>- 5 -</w:t>
      </w:r>
      <w:r>
        <w:fldChar w:fldCharType="end"/>
      </w:r>
      <w:r>
        <w:rPr>
          <w:rFonts w:ascii="仿宋_GB2312" w:hAnsi="仿宋" w:cs="仿宋_GB2312"/>
          <w:bCs/>
          <w:color w:val="000000" w:themeColor="text1"/>
        </w:rPr>
        <w:fldChar w:fldCharType="end"/>
      </w:r>
    </w:p>
    <w:p>
      <w:pPr>
        <w:pStyle w:val="18"/>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_Toc27744 </w:instrText>
      </w:r>
      <w:r>
        <w:rPr>
          <w:rFonts w:ascii="仿宋_GB2312" w:hAnsi="仿宋" w:cs="仿宋_GB2312"/>
          <w:bCs/>
        </w:rPr>
        <w:fldChar w:fldCharType="separate"/>
      </w:r>
      <w:r>
        <w:rPr>
          <w:rFonts w:hint="eastAsia" w:ascii="仿宋_GB2312" w:hAnsi="仿宋"/>
        </w:rPr>
        <w:t>估价的假设和限制条件</w:t>
      </w:r>
      <w:r>
        <w:tab/>
      </w:r>
      <w:r>
        <w:fldChar w:fldCharType="begin"/>
      </w:r>
      <w:r>
        <w:instrText xml:space="preserve"> PAGEREF _Toc27744 </w:instrText>
      </w:r>
      <w:r>
        <w:fldChar w:fldCharType="separate"/>
      </w:r>
      <w:r>
        <w:t>- 6 -</w:t>
      </w:r>
      <w:r>
        <w:fldChar w:fldCharType="end"/>
      </w:r>
      <w:r>
        <w:rPr>
          <w:rFonts w:ascii="仿宋_GB2312" w:hAnsi="仿宋" w:cs="仿宋_GB2312"/>
          <w:bCs/>
          <w:color w:val="000000" w:themeColor="text1"/>
        </w:rPr>
        <w:fldChar w:fldCharType="end"/>
      </w:r>
    </w:p>
    <w:p>
      <w:pPr>
        <w:pStyle w:val="18"/>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_Toc14510 </w:instrText>
      </w:r>
      <w:r>
        <w:rPr>
          <w:rFonts w:ascii="仿宋_GB2312" w:hAnsi="仿宋" w:cs="仿宋_GB2312"/>
          <w:bCs/>
        </w:rPr>
        <w:fldChar w:fldCharType="separate"/>
      </w:r>
      <w:r>
        <w:rPr>
          <w:rFonts w:hint="eastAsia" w:ascii="仿宋" w:hAnsi="仿宋" w:eastAsia="仿宋" w:cs="新宋体-18030"/>
          <w:bCs/>
          <w:szCs w:val="44"/>
        </w:rPr>
        <w:t>房地产估价结果报告</w:t>
      </w:r>
      <w:r>
        <w:tab/>
      </w:r>
      <w:r>
        <w:fldChar w:fldCharType="begin"/>
      </w:r>
      <w:r>
        <w:instrText xml:space="preserve"> PAGEREF _Toc14510 </w:instrText>
      </w:r>
      <w:r>
        <w:fldChar w:fldCharType="separate"/>
      </w:r>
      <w:r>
        <w:t>- 9 -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_Toc14436 </w:instrText>
      </w:r>
      <w:r>
        <w:rPr>
          <w:rFonts w:ascii="仿宋_GB2312" w:hAnsi="仿宋" w:cs="仿宋_GB2312"/>
          <w:bCs/>
        </w:rPr>
        <w:fldChar w:fldCharType="separate"/>
      </w:r>
      <w:r>
        <w:rPr>
          <w:rFonts w:hint="eastAsia" w:ascii="仿宋_GB2312" w:hAnsi="仿宋" w:eastAsia="仿宋_GB2312" w:cs="新宋体-18030"/>
          <w:bCs/>
        </w:rPr>
        <w:t>一、估价委托人</w:t>
      </w:r>
      <w:r>
        <w:tab/>
      </w:r>
      <w:r>
        <w:fldChar w:fldCharType="begin"/>
      </w:r>
      <w:r>
        <w:instrText xml:space="preserve"> PAGEREF _Toc14436 </w:instrText>
      </w:r>
      <w:r>
        <w:fldChar w:fldCharType="separate"/>
      </w:r>
      <w:r>
        <w:t>- 9 -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_Toc16975 </w:instrText>
      </w:r>
      <w:r>
        <w:rPr>
          <w:rFonts w:ascii="仿宋_GB2312" w:hAnsi="仿宋" w:cs="仿宋_GB2312"/>
          <w:bCs/>
        </w:rPr>
        <w:fldChar w:fldCharType="separate"/>
      </w:r>
      <w:r>
        <w:rPr>
          <w:rFonts w:hint="eastAsia" w:ascii="仿宋_GB2312" w:hAnsi="仿宋" w:eastAsia="仿宋_GB2312" w:cs="新宋体-18030"/>
          <w:bCs/>
        </w:rPr>
        <w:t>二、房地产估价机构</w:t>
      </w:r>
      <w:r>
        <w:tab/>
      </w:r>
      <w:r>
        <w:fldChar w:fldCharType="begin"/>
      </w:r>
      <w:r>
        <w:instrText xml:space="preserve"> PAGEREF _Toc16975 </w:instrText>
      </w:r>
      <w:r>
        <w:fldChar w:fldCharType="separate"/>
      </w:r>
      <w:r>
        <w:t>- 9 -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_Toc9366 </w:instrText>
      </w:r>
      <w:r>
        <w:rPr>
          <w:rFonts w:ascii="仿宋_GB2312" w:hAnsi="仿宋" w:cs="仿宋_GB2312"/>
          <w:bCs/>
        </w:rPr>
        <w:fldChar w:fldCharType="separate"/>
      </w:r>
      <w:r>
        <w:rPr>
          <w:rFonts w:hint="eastAsia" w:ascii="仿宋_GB2312" w:hAnsi="仿宋" w:eastAsia="仿宋_GB2312" w:cs="新宋体-18030"/>
          <w:bCs/>
        </w:rPr>
        <w:t>三、估价目的</w:t>
      </w:r>
      <w:r>
        <w:tab/>
      </w:r>
      <w:r>
        <w:fldChar w:fldCharType="begin"/>
      </w:r>
      <w:r>
        <w:instrText xml:space="preserve"> PAGEREF _Toc9366 </w:instrText>
      </w:r>
      <w:r>
        <w:fldChar w:fldCharType="separate"/>
      </w:r>
      <w:r>
        <w:t>- 9 -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_Toc27671 </w:instrText>
      </w:r>
      <w:r>
        <w:rPr>
          <w:rFonts w:ascii="仿宋_GB2312" w:hAnsi="仿宋" w:cs="仿宋_GB2312"/>
          <w:bCs/>
        </w:rPr>
        <w:fldChar w:fldCharType="separate"/>
      </w:r>
      <w:r>
        <w:rPr>
          <w:rFonts w:hint="eastAsia" w:ascii="仿宋_GB2312" w:hAnsi="仿宋" w:eastAsia="仿宋_GB2312" w:cs="新宋体-18030"/>
          <w:bCs/>
        </w:rPr>
        <w:t>四、估价对象</w:t>
      </w:r>
      <w:r>
        <w:tab/>
      </w:r>
      <w:r>
        <w:fldChar w:fldCharType="begin"/>
      </w:r>
      <w:r>
        <w:instrText xml:space="preserve"> PAGEREF _Toc27671 </w:instrText>
      </w:r>
      <w:r>
        <w:fldChar w:fldCharType="separate"/>
      </w:r>
      <w:r>
        <w:t>- 9 -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_Toc16196 </w:instrText>
      </w:r>
      <w:r>
        <w:rPr>
          <w:rFonts w:ascii="仿宋_GB2312" w:hAnsi="仿宋" w:cs="仿宋_GB2312"/>
          <w:bCs/>
        </w:rPr>
        <w:fldChar w:fldCharType="separate"/>
      </w:r>
      <w:r>
        <w:rPr>
          <w:rFonts w:hint="eastAsia" w:ascii="仿宋_GB2312" w:hAnsi="仿宋" w:eastAsia="仿宋_GB2312" w:cs="新宋体-18030"/>
          <w:bCs/>
        </w:rPr>
        <w:t>五、价值时点</w:t>
      </w:r>
      <w:r>
        <w:tab/>
      </w:r>
      <w:r>
        <w:fldChar w:fldCharType="begin"/>
      </w:r>
      <w:r>
        <w:instrText xml:space="preserve"> PAGEREF _Toc16196 </w:instrText>
      </w:r>
      <w:r>
        <w:fldChar w:fldCharType="separate"/>
      </w:r>
      <w:r>
        <w:t>- 11 -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_Toc10909 </w:instrText>
      </w:r>
      <w:r>
        <w:rPr>
          <w:rFonts w:ascii="仿宋_GB2312" w:hAnsi="仿宋" w:cs="仿宋_GB2312"/>
          <w:bCs/>
        </w:rPr>
        <w:fldChar w:fldCharType="separate"/>
      </w:r>
      <w:r>
        <w:rPr>
          <w:rFonts w:hint="eastAsia" w:ascii="仿宋_GB2312" w:hAnsi="仿宋" w:eastAsia="仿宋_GB2312" w:cs="新宋体-18030"/>
        </w:rPr>
        <w:t>六、价值类型</w:t>
      </w:r>
      <w:r>
        <w:tab/>
      </w:r>
      <w:r>
        <w:fldChar w:fldCharType="begin"/>
      </w:r>
      <w:r>
        <w:instrText xml:space="preserve"> PAGEREF _Toc10909 </w:instrText>
      </w:r>
      <w:r>
        <w:fldChar w:fldCharType="separate"/>
      </w:r>
      <w:r>
        <w:t>- 11 -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_Toc21536 </w:instrText>
      </w:r>
      <w:r>
        <w:rPr>
          <w:rFonts w:ascii="仿宋_GB2312" w:hAnsi="仿宋" w:cs="仿宋_GB2312"/>
          <w:bCs/>
        </w:rPr>
        <w:fldChar w:fldCharType="separate"/>
      </w:r>
      <w:r>
        <w:rPr>
          <w:rFonts w:hint="eastAsia" w:ascii="仿宋_GB2312" w:hAnsi="仿宋" w:eastAsia="仿宋_GB2312" w:cs="新宋体-18030"/>
          <w:bCs/>
        </w:rPr>
        <w:t>七、估价依据</w:t>
      </w:r>
      <w:r>
        <w:tab/>
      </w:r>
      <w:r>
        <w:fldChar w:fldCharType="begin"/>
      </w:r>
      <w:r>
        <w:instrText xml:space="preserve"> PAGEREF _Toc21536 </w:instrText>
      </w:r>
      <w:r>
        <w:fldChar w:fldCharType="separate"/>
      </w:r>
      <w:r>
        <w:t>- 11 -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_Toc1631 </w:instrText>
      </w:r>
      <w:r>
        <w:rPr>
          <w:rFonts w:ascii="仿宋_GB2312" w:hAnsi="仿宋" w:cs="仿宋_GB2312"/>
          <w:bCs/>
        </w:rPr>
        <w:fldChar w:fldCharType="separate"/>
      </w:r>
      <w:r>
        <w:rPr>
          <w:rFonts w:hint="eastAsia" w:ascii="仿宋_GB2312" w:hAnsi="仿宋" w:eastAsia="仿宋_GB2312" w:cs="新宋体-18030"/>
          <w:bCs/>
        </w:rPr>
        <w:t>八、估价原则</w:t>
      </w:r>
      <w:r>
        <w:tab/>
      </w:r>
      <w:r>
        <w:fldChar w:fldCharType="begin"/>
      </w:r>
      <w:r>
        <w:instrText xml:space="preserve"> PAGEREF _Toc1631 </w:instrText>
      </w:r>
      <w:r>
        <w:fldChar w:fldCharType="separate"/>
      </w:r>
      <w:r>
        <w:t>- 12 -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_Toc21507 </w:instrText>
      </w:r>
      <w:r>
        <w:rPr>
          <w:rFonts w:ascii="仿宋_GB2312" w:hAnsi="仿宋" w:cs="仿宋_GB2312"/>
          <w:bCs/>
        </w:rPr>
        <w:fldChar w:fldCharType="separate"/>
      </w:r>
      <w:r>
        <w:rPr>
          <w:rFonts w:hint="eastAsia" w:ascii="仿宋_GB2312" w:hAnsi="仿宋" w:eastAsia="仿宋_GB2312" w:cs="新宋体-18030"/>
          <w:bCs/>
        </w:rPr>
        <w:t>九、估价方法</w:t>
      </w:r>
      <w:r>
        <w:tab/>
      </w:r>
      <w:r>
        <w:fldChar w:fldCharType="begin"/>
      </w:r>
      <w:r>
        <w:instrText xml:space="preserve"> PAGEREF _Toc21507 </w:instrText>
      </w:r>
      <w:r>
        <w:fldChar w:fldCharType="separate"/>
      </w:r>
      <w:r>
        <w:t>- 15 -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_Toc29056 </w:instrText>
      </w:r>
      <w:r>
        <w:rPr>
          <w:rFonts w:ascii="仿宋_GB2312" w:hAnsi="仿宋" w:cs="仿宋_GB2312"/>
          <w:bCs/>
        </w:rPr>
        <w:fldChar w:fldCharType="separate"/>
      </w:r>
      <w:r>
        <w:rPr>
          <w:rFonts w:hint="eastAsia" w:ascii="仿宋_GB2312" w:hAnsi="仿宋_GB2312" w:eastAsia="仿宋_GB2312" w:cs="仿宋_GB2312"/>
          <w:kern w:val="2"/>
        </w:rPr>
        <w:t>十、估价结果</w:t>
      </w:r>
      <w:r>
        <w:tab/>
      </w:r>
      <w:r>
        <w:fldChar w:fldCharType="begin"/>
      </w:r>
      <w:r>
        <w:instrText xml:space="preserve"> PAGEREF _Toc29056 </w:instrText>
      </w:r>
      <w:r>
        <w:fldChar w:fldCharType="separate"/>
      </w:r>
      <w:r>
        <w:t>- 15 -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_Toc30669 </w:instrText>
      </w:r>
      <w:r>
        <w:rPr>
          <w:rFonts w:ascii="仿宋_GB2312" w:hAnsi="仿宋" w:cs="仿宋_GB2312"/>
          <w:bCs/>
        </w:rPr>
        <w:fldChar w:fldCharType="separate"/>
      </w:r>
      <w:r>
        <w:rPr>
          <w:rFonts w:hint="eastAsia" w:ascii="仿宋_GB2312" w:hAnsi="仿宋" w:cs="新宋体-18030"/>
        </w:rPr>
        <w:t>十一、注册房地产估价师</w:t>
      </w:r>
      <w:r>
        <w:tab/>
      </w:r>
      <w:r>
        <w:fldChar w:fldCharType="begin"/>
      </w:r>
      <w:r>
        <w:instrText xml:space="preserve"> PAGEREF _Toc30669 </w:instrText>
      </w:r>
      <w:r>
        <w:fldChar w:fldCharType="separate"/>
      </w:r>
      <w:r>
        <w:t>- 15 -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_Toc23367 </w:instrText>
      </w:r>
      <w:r>
        <w:rPr>
          <w:rFonts w:ascii="仿宋_GB2312" w:hAnsi="仿宋" w:cs="仿宋_GB2312"/>
          <w:bCs/>
        </w:rPr>
        <w:fldChar w:fldCharType="separate"/>
      </w:r>
      <w:r>
        <w:rPr>
          <w:rFonts w:hint="eastAsia" w:ascii="仿宋_GB2312" w:hAnsi="仿宋" w:eastAsia="仿宋_GB2312" w:cs="新宋体-18030"/>
          <w:bCs/>
        </w:rPr>
        <w:t>十二、实地查勘期</w:t>
      </w:r>
      <w:r>
        <w:tab/>
      </w:r>
      <w:r>
        <w:fldChar w:fldCharType="begin"/>
      </w:r>
      <w:r>
        <w:instrText xml:space="preserve"> PAGEREF _Toc23367 </w:instrText>
      </w:r>
      <w:r>
        <w:fldChar w:fldCharType="separate"/>
      </w:r>
      <w:r>
        <w:t>- 15 -</w:t>
      </w:r>
      <w:r>
        <w:fldChar w:fldCharType="end"/>
      </w:r>
      <w:r>
        <w:rPr>
          <w:rFonts w:ascii="仿宋_GB2312" w:hAnsi="仿宋" w:cs="仿宋_GB2312"/>
          <w:bCs/>
          <w:color w:val="000000" w:themeColor="text1"/>
        </w:rPr>
        <w:fldChar w:fldCharType="end"/>
      </w:r>
    </w:p>
    <w:p>
      <w:pPr>
        <w:pStyle w:val="22"/>
        <w:tabs>
          <w:tab w:val="right" w:leader="dot" w:pos="8900"/>
          <w:tab w:val="clear" w:pos="8890"/>
        </w:tabs>
      </w:pPr>
      <w:r>
        <w:rPr>
          <w:rFonts w:ascii="仿宋_GB2312" w:hAnsi="仿宋" w:cs="仿宋_GB2312"/>
          <w:bCs/>
          <w:color w:val="000000" w:themeColor="text1"/>
        </w:rPr>
        <w:fldChar w:fldCharType="begin"/>
      </w:r>
      <w:r>
        <w:rPr>
          <w:rFonts w:ascii="仿宋_GB2312" w:hAnsi="仿宋" w:cs="仿宋_GB2312"/>
          <w:bCs/>
        </w:rPr>
        <w:instrText xml:space="preserve"> HYPERLINK \l _Toc21927 </w:instrText>
      </w:r>
      <w:r>
        <w:rPr>
          <w:rFonts w:ascii="仿宋_GB2312" w:hAnsi="仿宋" w:cs="仿宋_GB2312"/>
          <w:bCs/>
        </w:rPr>
        <w:fldChar w:fldCharType="separate"/>
      </w:r>
      <w:r>
        <w:rPr>
          <w:rFonts w:hint="eastAsia" w:ascii="仿宋_GB2312" w:hAnsi="仿宋" w:eastAsia="仿宋_GB2312" w:cs="新宋体-18030"/>
          <w:bCs/>
        </w:rPr>
        <w:t>十三、估价作业日期</w:t>
      </w:r>
      <w:r>
        <w:tab/>
      </w:r>
      <w:r>
        <w:fldChar w:fldCharType="begin"/>
      </w:r>
      <w:r>
        <w:instrText xml:space="preserve"> PAGEREF _Toc21927 </w:instrText>
      </w:r>
      <w:r>
        <w:fldChar w:fldCharType="separate"/>
      </w:r>
      <w:r>
        <w:t>- 15 -</w:t>
      </w:r>
      <w:r>
        <w:fldChar w:fldCharType="end"/>
      </w:r>
      <w:r>
        <w:rPr>
          <w:rFonts w:ascii="仿宋_GB2312" w:hAnsi="仿宋" w:cs="仿宋_GB2312"/>
          <w:bCs/>
          <w:color w:val="000000" w:themeColor="text1"/>
        </w:rPr>
        <w:fldChar w:fldCharType="end"/>
      </w:r>
    </w:p>
    <w:p>
      <w:pPr>
        <w:rPr>
          <w:rFonts w:ascii="仿宋_GB2312" w:hAnsi="仿宋" w:cs="仿宋_GB2312"/>
          <w:bCs/>
          <w:color w:val="000000" w:themeColor="text1"/>
        </w:rPr>
      </w:pPr>
      <w:r>
        <w:rPr>
          <w:rFonts w:ascii="仿宋_GB2312" w:hAnsi="仿宋" w:cs="仿宋_GB2312"/>
          <w:bCs/>
          <w:color w:val="000000" w:themeColor="text1"/>
        </w:rPr>
        <w:fldChar w:fldCharType="end"/>
      </w:r>
    </w:p>
    <w:p>
      <w:pPr>
        <w:rPr>
          <w:rFonts w:ascii="仿宋_GB2312" w:hAnsi="仿宋" w:cs="仿宋_GB2312"/>
          <w:bCs/>
          <w:color w:val="000000" w:themeColor="text1"/>
        </w:rPr>
      </w:pPr>
    </w:p>
    <w:p>
      <w:pPr>
        <w:rPr>
          <w:rFonts w:ascii="仿宋_GB2312" w:hAnsi="仿宋" w:cs="仿宋_GB2312"/>
          <w:bCs/>
          <w:color w:val="000000" w:themeColor="text1"/>
        </w:rPr>
      </w:pPr>
    </w:p>
    <w:p>
      <w:pPr>
        <w:rPr>
          <w:rFonts w:ascii="仿宋_GB2312" w:hAnsi="仿宋" w:cs="仿宋_GB2312"/>
          <w:bCs/>
          <w:color w:val="000000" w:themeColor="text1"/>
        </w:rPr>
      </w:pPr>
    </w:p>
    <w:p>
      <w:pPr>
        <w:rPr>
          <w:rFonts w:ascii="仿宋_GB2312" w:hAnsi="仿宋" w:cs="仿宋_GB2312"/>
          <w:bCs/>
          <w:color w:val="000000" w:themeColor="text1"/>
        </w:rPr>
      </w:pPr>
    </w:p>
    <w:p>
      <w:pPr>
        <w:rPr>
          <w:rFonts w:ascii="仿宋_GB2312" w:hAnsi="仿宋" w:cs="仿宋_GB2312"/>
          <w:bCs/>
          <w:color w:val="000000" w:themeColor="text1"/>
        </w:rPr>
      </w:pPr>
    </w:p>
    <w:p>
      <w:pPr>
        <w:rPr>
          <w:rFonts w:ascii="仿宋_GB2312" w:hAnsi="仿宋" w:cs="仿宋_GB2312"/>
          <w:bCs/>
          <w:color w:val="000000" w:themeColor="text1"/>
        </w:rPr>
      </w:pPr>
    </w:p>
    <w:p>
      <w:pPr>
        <w:rPr>
          <w:rFonts w:ascii="仿宋_GB2312" w:hAnsi="仿宋" w:cs="仿宋_GB2312"/>
          <w:bCs/>
          <w:color w:val="000000" w:themeColor="text1"/>
        </w:rPr>
      </w:pPr>
    </w:p>
    <w:p>
      <w:pPr>
        <w:rPr>
          <w:rFonts w:ascii="仿宋_GB2312" w:hAnsi="仿宋" w:cs="仿宋_GB2312"/>
          <w:bCs/>
          <w:color w:val="000000" w:themeColor="text1"/>
        </w:rPr>
      </w:pPr>
    </w:p>
    <w:p>
      <w:pPr>
        <w:rPr>
          <w:rFonts w:ascii="仿宋_GB2312" w:hAnsi="仿宋" w:cs="仿宋_GB2312"/>
          <w:bCs/>
          <w:color w:val="000000" w:themeColor="text1"/>
        </w:rPr>
      </w:pPr>
    </w:p>
    <w:p>
      <w:pPr>
        <w:rPr>
          <w:rFonts w:ascii="仿宋_GB2312" w:hAnsi="仿宋" w:cs="仿宋_GB2312"/>
          <w:bCs/>
          <w:color w:val="000000" w:themeColor="text1"/>
        </w:rPr>
      </w:pPr>
    </w:p>
    <w:p>
      <w:pPr>
        <w:rPr>
          <w:rFonts w:ascii="仿宋_GB2312" w:hAnsi="仿宋" w:cs="仿宋_GB2312"/>
          <w:bCs/>
          <w:color w:val="000000" w:themeColor="text1"/>
        </w:rPr>
      </w:pPr>
    </w:p>
    <w:p>
      <w:pPr>
        <w:rPr>
          <w:rFonts w:ascii="仿宋_GB2312" w:hAnsi="仿宋" w:cs="仿宋_GB2312"/>
          <w:bCs/>
          <w:color w:val="000000" w:themeColor="text1"/>
        </w:rPr>
      </w:pPr>
    </w:p>
    <w:p>
      <w:pPr>
        <w:rPr>
          <w:rFonts w:ascii="仿宋_GB2312" w:hAnsi="仿宋" w:cs="仿宋_GB2312"/>
          <w:bCs/>
          <w:color w:val="000000" w:themeColor="text1"/>
        </w:rPr>
      </w:pPr>
    </w:p>
    <w:p>
      <w:pPr>
        <w:rPr>
          <w:rFonts w:ascii="仿宋_GB2312" w:hAnsi="仿宋" w:cs="仿宋_GB2312"/>
          <w:bCs/>
          <w:color w:val="000000" w:themeColor="text1"/>
        </w:rPr>
      </w:pPr>
    </w:p>
    <w:p>
      <w:pPr>
        <w:rPr>
          <w:rFonts w:hint="eastAsia" w:ascii="仿宋_GB2312" w:hAnsi="仿宋" w:cs="仿宋_GB2312"/>
          <w:bCs/>
          <w:color w:val="000000" w:themeColor="text1"/>
        </w:rPr>
      </w:pPr>
    </w:p>
    <w:p>
      <w:pPr>
        <w:rPr>
          <w:rFonts w:hint="eastAsia" w:ascii="仿宋" w:hAnsi="仿宋" w:eastAsia="仿宋" w:cs="宋体"/>
          <w:bCs w:val="0"/>
          <w:color w:val="000000" w:themeColor="text1"/>
        </w:rPr>
      </w:pPr>
    </w:p>
    <w:p>
      <w:pPr>
        <w:rPr>
          <w:rFonts w:hint="eastAsia" w:ascii="仿宋" w:hAnsi="仿宋" w:eastAsia="仿宋" w:cs="宋体"/>
          <w:bCs w:val="0"/>
          <w:color w:val="000000" w:themeColor="text1"/>
        </w:rPr>
      </w:pPr>
    </w:p>
    <w:p>
      <w:pPr>
        <w:pStyle w:val="2"/>
        <w:ind w:firstLine="2891" w:firstLineChars="900"/>
        <w:jc w:val="both"/>
        <w:rPr>
          <w:rFonts w:ascii="仿宋" w:hAnsi="仿宋" w:eastAsia="仿宋" w:cs="宋体"/>
          <w:bCs w:val="0"/>
          <w:color w:val="000000" w:themeColor="text1"/>
          <w:sz w:val="24"/>
        </w:rPr>
      </w:pPr>
      <w:bookmarkStart w:id="7" w:name="_Toc24895"/>
      <w:r>
        <w:rPr>
          <w:rFonts w:hint="eastAsia" w:ascii="仿宋" w:hAnsi="仿宋" w:eastAsia="仿宋" w:cs="宋体"/>
          <w:bCs w:val="0"/>
          <w:color w:val="000000" w:themeColor="text1"/>
        </w:rPr>
        <w:t>房地产估价师声明</w:t>
      </w:r>
      <w:bookmarkEnd w:id="7"/>
    </w:p>
    <w:p>
      <w:pPr>
        <w:spacing w:line="480" w:lineRule="exact"/>
        <w:ind w:firstLine="562" w:firstLineChars="200"/>
        <w:rPr>
          <w:rFonts w:ascii="仿宋" w:hAnsi="仿宋" w:eastAsia="仿宋" w:cs="宋体"/>
          <w:b/>
          <w:bCs/>
          <w:color w:val="000000" w:themeColor="text1"/>
          <w:spacing w:val="20"/>
          <w:sz w:val="24"/>
        </w:rPr>
      </w:pPr>
      <w:r>
        <w:rPr>
          <w:rFonts w:hint="eastAsia" w:ascii="仿宋" w:hAnsi="仿宋" w:eastAsia="仿宋" w:cs="宋体"/>
          <w:b/>
          <w:bCs/>
          <w:color w:val="000000" w:themeColor="text1"/>
          <w:spacing w:val="20"/>
          <w:sz w:val="24"/>
        </w:rPr>
        <w:t>我们郑重声明：</w:t>
      </w:r>
    </w:p>
    <w:p>
      <w:pPr>
        <w:numPr>
          <w:ilvl w:val="0"/>
          <w:numId w:val="0"/>
        </w:numPr>
        <w:spacing w:line="480" w:lineRule="exact"/>
        <w:ind w:firstLine="480" w:firstLineChars="200"/>
        <w:rPr>
          <w:rFonts w:hint="eastAsia" w:ascii="仿宋" w:hAnsi="仿宋" w:eastAsia="仿宋" w:cs="宋体"/>
          <w:color w:val="000000" w:themeColor="text1"/>
          <w:sz w:val="24"/>
        </w:rPr>
      </w:pPr>
      <w:r>
        <w:rPr>
          <w:rFonts w:hint="eastAsia" w:ascii="仿宋" w:hAnsi="仿宋" w:eastAsia="仿宋" w:cs="宋体"/>
          <w:color w:val="000000" w:themeColor="text1"/>
          <w:sz w:val="24"/>
          <w:lang w:val="en-US" w:eastAsia="zh-CN"/>
        </w:rPr>
        <w:t>一、</w:t>
      </w:r>
      <w:r>
        <w:rPr>
          <w:rFonts w:hint="eastAsia" w:ascii="仿宋" w:hAnsi="仿宋" w:eastAsia="仿宋" w:cs="宋体"/>
          <w:color w:val="000000" w:themeColor="text1"/>
          <w:sz w:val="24"/>
        </w:rPr>
        <w:t>注册房地产估价师在本估价报告中陈述的事实是真实的和准确的，没有虚假记载、误导性陈述和重大遗漏；</w:t>
      </w:r>
    </w:p>
    <w:p>
      <w:pPr>
        <w:numPr>
          <w:ilvl w:val="0"/>
          <w:numId w:val="0"/>
        </w:numPr>
        <w:spacing w:line="480" w:lineRule="exact"/>
        <w:ind w:firstLine="480" w:firstLineChars="200"/>
        <w:rPr>
          <w:rFonts w:ascii="仿宋" w:hAnsi="仿宋" w:eastAsia="仿宋" w:cs="宋体"/>
          <w:color w:val="000000" w:themeColor="text1"/>
          <w:sz w:val="24"/>
        </w:rPr>
      </w:pPr>
      <w:r>
        <w:rPr>
          <w:rFonts w:hint="eastAsia" w:ascii="仿宋" w:hAnsi="仿宋" w:eastAsia="仿宋" w:cs="宋体"/>
          <w:color w:val="000000" w:themeColor="text1"/>
          <w:sz w:val="24"/>
        </w:rPr>
        <w:t>二、本估价报告中的分析、意见和结论是注册房地产估价师独立、客观、公正的专业分析、意见和结论，但受本估价报告中已说明的假设和限制条件的限制。</w:t>
      </w:r>
    </w:p>
    <w:p>
      <w:pPr>
        <w:spacing w:line="480" w:lineRule="exact"/>
        <w:ind w:firstLine="470" w:firstLineChars="196"/>
        <w:rPr>
          <w:rFonts w:ascii="仿宋" w:hAnsi="仿宋" w:eastAsia="仿宋" w:cs="宋体"/>
          <w:color w:val="000000" w:themeColor="text1"/>
          <w:sz w:val="24"/>
        </w:rPr>
      </w:pPr>
      <w:r>
        <w:rPr>
          <w:rFonts w:hint="eastAsia" w:ascii="仿宋" w:hAnsi="仿宋" w:eastAsia="仿宋" w:cs="宋体"/>
          <w:color w:val="000000" w:themeColor="text1"/>
          <w:sz w:val="24"/>
        </w:rPr>
        <w:t>三、本公司及本次参与估价的注册房地产估价师与估价对象没有现实或潜在的利益关系，与估价委托人、估价当事人及估价利害关系人没有利害关系，对估价对象、估价委托人及估价利害关系人没有偏见；</w:t>
      </w:r>
    </w:p>
    <w:p>
      <w:pPr>
        <w:spacing w:line="480" w:lineRule="exact"/>
        <w:ind w:firstLine="470" w:firstLineChars="196"/>
        <w:rPr>
          <w:rFonts w:ascii="仿宋" w:hAnsi="仿宋" w:eastAsia="仿宋" w:cs="宋体"/>
          <w:color w:val="000000" w:themeColor="text1"/>
          <w:sz w:val="24"/>
        </w:rPr>
      </w:pPr>
      <w:r>
        <w:rPr>
          <w:rFonts w:hint="eastAsia" w:ascii="仿宋" w:hAnsi="仿宋" w:eastAsia="仿宋" w:cs="宋体"/>
          <w:color w:val="000000" w:themeColor="text1"/>
          <w:sz w:val="24"/>
        </w:rPr>
        <w:t>四、注册房地产估价师</w:t>
      </w:r>
      <w:r>
        <w:rPr>
          <w:rFonts w:hint="eastAsia" w:ascii="仿宋" w:hAnsi="仿宋" w:eastAsia="仿宋" w:cs="宋体"/>
          <w:color w:val="000000" w:themeColor="text1"/>
          <w:sz w:val="24"/>
          <w:lang w:val="en-US" w:eastAsia="zh-CN"/>
        </w:rPr>
        <w:t>金涛</w:t>
      </w:r>
      <w:r>
        <w:rPr>
          <w:rFonts w:hint="eastAsia" w:ascii="仿宋" w:hAnsi="仿宋" w:eastAsia="仿宋" w:cs="宋体"/>
          <w:color w:val="000000" w:themeColor="text1"/>
          <w:sz w:val="24"/>
        </w:rPr>
        <w:t>和估价人员钱玉琴于</w:t>
      </w:r>
      <w:r>
        <w:rPr>
          <w:rFonts w:hint="eastAsia" w:ascii="仿宋" w:hAnsi="仿宋" w:eastAsia="仿宋" w:cs="宋体"/>
          <w:color w:val="000000" w:themeColor="text1"/>
          <w:sz w:val="24"/>
          <w:lang w:eastAsia="zh-CN"/>
        </w:rPr>
        <w:t>2022年8月8日</w:t>
      </w:r>
      <w:r>
        <w:rPr>
          <w:rFonts w:hint="eastAsia" w:ascii="仿宋" w:hAnsi="仿宋" w:eastAsia="仿宋" w:cs="宋体"/>
          <w:color w:val="000000" w:themeColor="text1"/>
          <w:sz w:val="24"/>
        </w:rPr>
        <w:t>对估价对象进行了实地查勘。负责本项目的注册房地产估价师具备相关专业知识和相应的房地产市场分析能力。</w:t>
      </w:r>
    </w:p>
    <w:p>
      <w:pPr>
        <w:spacing w:line="480" w:lineRule="exact"/>
        <w:ind w:firstLine="470" w:firstLineChars="196"/>
        <w:rPr>
          <w:rFonts w:ascii="仿宋" w:hAnsi="仿宋" w:eastAsia="仿宋" w:cs="宋体"/>
          <w:color w:val="000000" w:themeColor="text1"/>
          <w:sz w:val="24"/>
        </w:rPr>
      </w:pPr>
      <w:r>
        <w:rPr>
          <w:rFonts w:hint="eastAsia" w:ascii="仿宋" w:hAnsi="仿宋" w:eastAsia="仿宋" w:cs="宋体"/>
          <w:color w:val="000000" w:themeColor="text1"/>
          <w:sz w:val="24"/>
        </w:rPr>
        <w:t>五、注册房地产估价师是按照中华人民共和国国家标准《房地产估价规范》【GB/T 5</w:t>
      </w:r>
      <w:r>
        <w:rPr>
          <w:rFonts w:hint="eastAsia" w:ascii="仿宋" w:hAnsi="仿宋" w:eastAsia="仿宋" w:cs="宋体"/>
          <w:color w:val="000000" w:themeColor="text1"/>
          <w:sz w:val="24"/>
          <w:lang w:eastAsia="zh-CN"/>
        </w:rPr>
        <w:t>0026</w:t>
      </w:r>
      <w:r>
        <w:rPr>
          <w:rFonts w:hint="eastAsia" w:ascii="仿宋" w:hAnsi="仿宋" w:eastAsia="仿宋" w:cs="宋体"/>
          <w:color w:val="000000" w:themeColor="text1"/>
          <w:sz w:val="24"/>
        </w:rPr>
        <w:t>-2015】、《房地产估价基本术语标准》【GB/T 50899-2013】、《房地产估价指导意见》的规定进行估价工作，形成意见和结论，撰写本估价报告。</w:t>
      </w:r>
    </w:p>
    <w:p>
      <w:pPr>
        <w:spacing w:line="480" w:lineRule="exact"/>
        <w:ind w:firstLine="470" w:firstLineChars="196"/>
        <w:rPr>
          <w:rFonts w:ascii="仿宋_GB2312" w:hAnsi="仿宋" w:eastAsia="仿宋_GB2312"/>
          <w:sz w:val="24"/>
        </w:rPr>
      </w:pPr>
      <w:r>
        <w:rPr>
          <w:rFonts w:hint="eastAsia" w:ascii="仿宋_GB2312" w:hAnsi="仿宋" w:eastAsia="仿宋_GB2312"/>
          <w:sz w:val="24"/>
        </w:rPr>
        <w:t>六、本估价报告是由专业估价师完成的，没有其他人对本估价报告提供重要专业帮助。</w:t>
      </w:r>
    </w:p>
    <w:tbl>
      <w:tblPr>
        <w:tblStyle w:val="26"/>
        <w:tblpPr w:leftFromText="180" w:rightFromText="180" w:vertAnchor="text" w:horzAnchor="page" w:tblpX="1538" w:tblpY="20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9"/>
        <w:gridCol w:w="2279"/>
        <w:gridCol w:w="207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279" w:type="dxa"/>
            <w:vAlign w:val="center"/>
          </w:tcPr>
          <w:p>
            <w:pPr>
              <w:spacing w:line="440" w:lineRule="exact"/>
              <w:jc w:val="center"/>
              <w:rPr>
                <w:rFonts w:ascii="仿宋_GB2312" w:hAnsi="仿宋" w:eastAsia="仿宋_GB2312"/>
                <w:b/>
                <w:color w:val="000000" w:themeColor="text1"/>
                <w:sz w:val="24"/>
              </w:rPr>
            </w:pPr>
            <w:r>
              <w:rPr>
                <w:rFonts w:hint="eastAsia" w:ascii="仿宋_GB2312" w:hAnsi="仿宋" w:eastAsia="仿宋_GB2312"/>
                <w:b/>
                <w:color w:val="000000" w:themeColor="text1"/>
                <w:sz w:val="24"/>
              </w:rPr>
              <w:t>姓名</w:t>
            </w:r>
          </w:p>
        </w:tc>
        <w:tc>
          <w:tcPr>
            <w:tcW w:w="2279" w:type="dxa"/>
            <w:vAlign w:val="center"/>
          </w:tcPr>
          <w:p>
            <w:pPr>
              <w:spacing w:line="440" w:lineRule="exact"/>
              <w:jc w:val="center"/>
              <w:rPr>
                <w:rFonts w:ascii="仿宋_GB2312" w:hAnsi="仿宋" w:eastAsia="仿宋_GB2312"/>
                <w:b/>
                <w:color w:val="000000" w:themeColor="text1"/>
                <w:sz w:val="24"/>
              </w:rPr>
            </w:pPr>
            <w:r>
              <w:rPr>
                <w:rFonts w:hint="eastAsia" w:ascii="仿宋_GB2312" w:hAnsi="仿宋" w:eastAsia="仿宋_GB2312"/>
                <w:b/>
                <w:color w:val="000000" w:themeColor="text1"/>
                <w:sz w:val="24"/>
              </w:rPr>
              <w:t>注册号</w:t>
            </w:r>
          </w:p>
        </w:tc>
        <w:tc>
          <w:tcPr>
            <w:tcW w:w="2071" w:type="dxa"/>
            <w:vAlign w:val="center"/>
          </w:tcPr>
          <w:p>
            <w:pPr>
              <w:spacing w:line="440" w:lineRule="exact"/>
              <w:jc w:val="center"/>
              <w:rPr>
                <w:rFonts w:ascii="仿宋_GB2312" w:hAnsi="仿宋" w:eastAsia="仿宋_GB2312"/>
                <w:b/>
                <w:color w:val="000000" w:themeColor="text1"/>
                <w:sz w:val="24"/>
              </w:rPr>
            </w:pPr>
            <w:r>
              <w:rPr>
                <w:rFonts w:hint="eastAsia" w:ascii="仿宋_GB2312" w:hAnsi="仿宋" w:eastAsia="仿宋_GB2312"/>
                <w:b/>
                <w:color w:val="000000" w:themeColor="text1"/>
                <w:sz w:val="24"/>
              </w:rPr>
              <w:t>签名</w:t>
            </w:r>
          </w:p>
        </w:tc>
        <w:tc>
          <w:tcPr>
            <w:tcW w:w="2551" w:type="dxa"/>
            <w:vAlign w:val="center"/>
          </w:tcPr>
          <w:p>
            <w:pPr>
              <w:spacing w:line="440" w:lineRule="exact"/>
              <w:jc w:val="center"/>
              <w:rPr>
                <w:rFonts w:ascii="仿宋_GB2312" w:hAnsi="仿宋" w:eastAsia="仿宋_GB2312"/>
                <w:b/>
                <w:color w:val="000000" w:themeColor="text1"/>
                <w:sz w:val="24"/>
              </w:rPr>
            </w:pPr>
            <w:r>
              <w:rPr>
                <w:rFonts w:hint="eastAsia" w:ascii="仿宋_GB2312" w:hAnsi="仿宋" w:eastAsia="仿宋_GB2312"/>
                <w:b/>
                <w:color w:val="000000" w:themeColor="text1"/>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7" w:hRule="atLeast"/>
        </w:trPr>
        <w:tc>
          <w:tcPr>
            <w:tcW w:w="2279" w:type="dxa"/>
            <w:vAlign w:val="center"/>
          </w:tcPr>
          <w:p>
            <w:pPr>
              <w:spacing w:line="440" w:lineRule="exact"/>
              <w:jc w:val="center"/>
              <w:rPr>
                <w:rFonts w:ascii="仿宋_GB2312" w:hAnsi="仿宋" w:eastAsia="仿宋_GB2312"/>
                <w:color w:val="000000" w:themeColor="text1"/>
                <w:sz w:val="24"/>
              </w:rPr>
            </w:pPr>
            <w:r>
              <w:rPr>
                <w:rFonts w:hint="eastAsia" w:ascii="仿宋_GB2312" w:hAnsi="仿宋" w:eastAsia="仿宋_GB2312"/>
                <w:color w:val="000000" w:themeColor="text1"/>
                <w:sz w:val="24"/>
              </w:rPr>
              <w:t>姬再娟</w:t>
            </w:r>
          </w:p>
        </w:tc>
        <w:tc>
          <w:tcPr>
            <w:tcW w:w="2279" w:type="dxa"/>
            <w:vAlign w:val="center"/>
          </w:tcPr>
          <w:p>
            <w:pPr>
              <w:spacing w:line="440" w:lineRule="exact"/>
              <w:jc w:val="center"/>
              <w:rPr>
                <w:rFonts w:ascii="仿宋_GB2312" w:hAnsi="仿宋" w:eastAsia="仿宋_GB2312"/>
                <w:color w:val="000000" w:themeColor="text1"/>
                <w:sz w:val="24"/>
              </w:rPr>
            </w:pPr>
            <w:r>
              <w:rPr>
                <w:rFonts w:ascii="仿宋_GB2312" w:hAnsi="仿宋" w:eastAsia="仿宋_GB2312"/>
                <w:color w:val="000000" w:themeColor="text1"/>
                <w:sz w:val="24"/>
              </w:rPr>
              <w:t>3420150050</w:t>
            </w:r>
          </w:p>
        </w:tc>
        <w:tc>
          <w:tcPr>
            <w:tcW w:w="2071" w:type="dxa"/>
            <w:vAlign w:val="center"/>
          </w:tcPr>
          <w:p>
            <w:pPr>
              <w:spacing w:line="440" w:lineRule="exact"/>
              <w:jc w:val="center"/>
              <w:rPr>
                <w:rFonts w:ascii="仿宋_GB2312" w:hAnsi="仿宋" w:eastAsia="仿宋_GB2312"/>
                <w:color w:val="000000" w:themeColor="text1"/>
                <w:sz w:val="24"/>
              </w:rPr>
            </w:pPr>
          </w:p>
        </w:tc>
        <w:tc>
          <w:tcPr>
            <w:tcW w:w="2551" w:type="dxa"/>
            <w:vAlign w:val="center"/>
          </w:tcPr>
          <w:p>
            <w:pPr>
              <w:spacing w:line="440" w:lineRule="exact"/>
              <w:jc w:val="center"/>
              <w:rPr>
                <w:rFonts w:hint="eastAsia" w:ascii="仿宋_GB2312" w:hAnsi="仿宋" w:eastAsia="仿宋_GB2312"/>
                <w:color w:val="000000" w:themeColor="text1"/>
                <w:sz w:val="24"/>
                <w:lang w:eastAsia="zh-CN"/>
              </w:rPr>
            </w:pPr>
            <w:r>
              <w:rPr>
                <w:rFonts w:hint="eastAsia" w:ascii="仿宋_GB2312" w:hAnsi="仿宋" w:eastAsia="仿宋_GB2312"/>
                <w:color w:val="000000" w:themeColor="text1"/>
                <w:sz w:val="24"/>
                <w:lang w:eastAsia="zh-CN"/>
              </w:rPr>
              <w:t>2022年8月29日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279" w:type="dxa"/>
            <w:vAlign w:val="center"/>
          </w:tcPr>
          <w:p>
            <w:pPr>
              <w:spacing w:line="440" w:lineRule="exact"/>
              <w:jc w:val="center"/>
              <w:rPr>
                <w:rFonts w:hint="eastAsia" w:ascii="仿宋_GB2312" w:hAnsi="仿宋" w:eastAsia="仿宋_GB2312"/>
                <w:color w:val="000000" w:themeColor="text1"/>
                <w:sz w:val="24"/>
                <w:lang w:eastAsia="zh-CN"/>
              </w:rPr>
            </w:pPr>
            <w:r>
              <w:rPr>
                <w:rFonts w:hint="eastAsia" w:ascii="仿宋" w:hAnsi="仿宋" w:eastAsia="仿宋"/>
                <w:sz w:val="24"/>
                <w:szCs w:val="24"/>
                <w:lang w:eastAsia="zh-CN"/>
              </w:rPr>
              <w:t>金</w:t>
            </w:r>
            <w:r>
              <w:rPr>
                <w:rFonts w:hint="eastAsia" w:ascii="仿宋" w:hAnsi="仿宋" w:eastAsia="仿宋"/>
                <w:sz w:val="24"/>
                <w:szCs w:val="24"/>
                <w:lang w:val="en-US" w:eastAsia="zh-CN"/>
              </w:rPr>
              <w:t xml:space="preserve"> </w:t>
            </w:r>
            <w:r>
              <w:rPr>
                <w:rFonts w:hint="eastAsia" w:ascii="仿宋" w:hAnsi="仿宋" w:eastAsia="仿宋"/>
                <w:sz w:val="24"/>
                <w:szCs w:val="24"/>
                <w:lang w:eastAsia="zh-CN"/>
              </w:rPr>
              <w:t>涛</w:t>
            </w:r>
          </w:p>
        </w:tc>
        <w:tc>
          <w:tcPr>
            <w:tcW w:w="2279" w:type="dxa"/>
            <w:vAlign w:val="center"/>
          </w:tcPr>
          <w:p>
            <w:pPr>
              <w:spacing w:line="440" w:lineRule="exact"/>
              <w:jc w:val="center"/>
              <w:rPr>
                <w:rFonts w:hint="eastAsia" w:ascii="仿宋_GB2312" w:hAnsi="仿宋" w:eastAsia="仿宋_GB2312"/>
                <w:color w:val="000000" w:themeColor="text1"/>
                <w:sz w:val="24"/>
                <w:lang w:eastAsia="zh-CN"/>
              </w:rPr>
            </w:pPr>
            <w:r>
              <w:rPr>
                <w:rFonts w:hint="eastAsia" w:ascii="仿宋_GB2312" w:hAnsi="仿宋" w:eastAsia="仿宋_GB2312"/>
                <w:color w:val="000000" w:themeColor="text1"/>
                <w:sz w:val="24"/>
                <w:lang w:eastAsia="zh-CN"/>
              </w:rPr>
              <w:t>3420190095</w:t>
            </w:r>
          </w:p>
        </w:tc>
        <w:tc>
          <w:tcPr>
            <w:tcW w:w="2071" w:type="dxa"/>
            <w:vAlign w:val="center"/>
          </w:tcPr>
          <w:p>
            <w:pPr>
              <w:spacing w:line="440" w:lineRule="exact"/>
              <w:jc w:val="center"/>
              <w:rPr>
                <w:rFonts w:ascii="仿宋_GB2312" w:hAnsi="仿宋" w:eastAsia="仿宋_GB2312"/>
                <w:color w:val="000000" w:themeColor="text1"/>
                <w:sz w:val="24"/>
              </w:rPr>
            </w:pPr>
          </w:p>
        </w:tc>
        <w:tc>
          <w:tcPr>
            <w:tcW w:w="2551" w:type="dxa"/>
            <w:vAlign w:val="center"/>
          </w:tcPr>
          <w:p>
            <w:pPr>
              <w:spacing w:line="440" w:lineRule="exact"/>
              <w:jc w:val="center"/>
              <w:rPr>
                <w:rFonts w:hint="eastAsia" w:ascii="仿宋_GB2312" w:hAnsi="仿宋" w:eastAsia="仿宋_GB2312"/>
                <w:color w:val="000000" w:themeColor="text1"/>
                <w:sz w:val="24"/>
                <w:lang w:eastAsia="zh-CN"/>
              </w:rPr>
            </w:pPr>
            <w:r>
              <w:rPr>
                <w:rFonts w:hint="eastAsia" w:ascii="仿宋_GB2312" w:hAnsi="仿宋" w:eastAsia="仿宋_GB2312"/>
                <w:color w:val="000000" w:themeColor="text1"/>
                <w:sz w:val="24"/>
                <w:lang w:eastAsia="zh-CN"/>
              </w:rPr>
              <w:t>2022年8月29日</w:t>
            </w:r>
          </w:p>
        </w:tc>
      </w:tr>
    </w:tbl>
    <w:p>
      <w:pPr>
        <w:pStyle w:val="2"/>
        <w:ind w:firstLine="2570" w:firstLineChars="800"/>
        <w:jc w:val="both"/>
        <w:rPr>
          <w:rFonts w:hint="eastAsia" w:ascii="仿宋" w:hAnsi="仿宋" w:eastAsia="仿宋" w:cs="宋体"/>
          <w:bCs w:val="0"/>
          <w:color w:val="000000" w:themeColor="text1"/>
        </w:rPr>
      </w:pPr>
    </w:p>
    <w:bookmarkEnd w:id="6"/>
    <w:p>
      <w:pPr>
        <w:spacing w:line="440" w:lineRule="exact"/>
        <w:ind w:firstLine="482" w:firstLineChars="200"/>
        <w:rPr>
          <w:rFonts w:hint="eastAsia" w:ascii="仿宋_GB2312" w:hAnsi="仿宋" w:eastAsia="仿宋_GB2312" w:cs="新宋体-18030"/>
          <w:b/>
          <w:color w:val="000000" w:themeColor="text1"/>
          <w:sz w:val="24"/>
        </w:rPr>
      </w:pPr>
      <w:bookmarkStart w:id="8" w:name="_Toc503261500"/>
      <w:bookmarkStart w:id="9" w:name="_Toc490812574"/>
      <w:bookmarkStart w:id="10" w:name="_Toc499561844"/>
      <w:bookmarkStart w:id="11" w:name="_Toc503262042"/>
    </w:p>
    <w:p>
      <w:pPr>
        <w:spacing w:line="440" w:lineRule="exact"/>
        <w:ind w:firstLine="482" w:firstLineChars="200"/>
        <w:rPr>
          <w:rFonts w:hint="eastAsia" w:ascii="仿宋_GB2312" w:hAnsi="仿宋" w:eastAsia="仿宋_GB2312" w:cs="新宋体-18030"/>
          <w:b/>
          <w:color w:val="000000" w:themeColor="text1"/>
          <w:sz w:val="24"/>
        </w:rPr>
      </w:pPr>
    </w:p>
    <w:p>
      <w:pPr>
        <w:spacing w:line="440" w:lineRule="exact"/>
        <w:ind w:firstLine="482" w:firstLineChars="200"/>
        <w:rPr>
          <w:rFonts w:hint="eastAsia" w:ascii="仿宋_GB2312" w:hAnsi="仿宋" w:eastAsia="仿宋_GB2312" w:cs="新宋体-18030"/>
          <w:b/>
          <w:color w:val="000000" w:themeColor="text1"/>
          <w:sz w:val="24"/>
        </w:rPr>
      </w:pPr>
    </w:p>
    <w:p>
      <w:pPr>
        <w:pStyle w:val="2"/>
        <w:pageBreakBefore w:val="0"/>
        <w:kinsoku/>
        <w:wordWrap/>
        <w:overflowPunct/>
        <w:autoSpaceDE/>
        <w:autoSpaceDN/>
        <w:bidi w:val="0"/>
        <w:spacing w:line="480" w:lineRule="exact"/>
        <w:ind w:firstLine="2891" w:firstLineChars="900"/>
        <w:jc w:val="both"/>
        <w:textAlignment w:val="auto"/>
        <w:rPr>
          <w:rFonts w:ascii="仿宋_GB2312" w:hAnsi="仿宋"/>
          <w:color w:val="000000" w:themeColor="text1"/>
        </w:rPr>
      </w:pPr>
      <w:bookmarkStart w:id="12" w:name="_Toc27744"/>
      <w:r>
        <w:rPr>
          <w:rFonts w:hint="eastAsia" w:ascii="仿宋_GB2312" w:hAnsi="仿宋"/>
          <w:color w:val="000000" w:themeColor="text1"/>
        </w:rPr>
        <w:t>估价的假设和限制条件</w:t>
      </w:r>
      <w:bookmarkEnd w:id="12"/>
    </w:p>
    <w:p>
      <w:pPr>
        <w:pageBreakBefore w:val="0"/>
        <w:kinsoku/>
        <w:wordWrap/>
        <w:overflowPunct/>
        <w:autoSpaceDE/>
        <w:autoSpaceDN/>
        <w:bidi w:val="0"/>
        <w:spacing w:line="480" w:lineRule="exact"/>
        <w:ind w:firstLine="602" w:firstLineChars="250"/>
        <w:textAlignment w:val="auto"/>
        <w:rPr>
          <w:rFonts w:ascii="仿宋_GB2312" w:hAnsi="仿宋" w:eastAsia="仿宋_GB2312" w:cs="新宋体-18030"/>
          <w:b/>
          <w:color w:val="000000" w:themeColor="text1"/>
          <w:sz w:val="24"/>
        </w:rPr>
      </w:pPr>
      <w:r>
        <w:rPr>
          <w:rFonts w:hint="eastAsia" w:ascii="仿宋_GB2312" w:hAnsi="仿宋" w:eastAsia="仿宋_GB2312" w:cs="新宋体-18030"/>
          <w:b/>
          <w:color w:val="000000" w:themeColor="text1"/>
          <w:sz w:val="24"/>
        </w:rPr>
        <w:t>估价的假设：</w:t>
      </w:r>
    </w:p>
    <w:p>
      <w:pPr>
        <w:pageBreakBefore w:val="0"/>
        <w:kinsoku/>
        <w:wordWrap/>
        <w:overflowPunct/>
        <w:autoSpaceDE/>
        <w:autoSpaceDN/>
        <w:bidi w:val="0"/>
        <w:spacing w:line="480" w:lineRule="exact"/>
        <w:ind w:firstLine="482" w:firstLineChars="200"/>
        <w:textAlignment w:val="auto"/>
        <w:rPr>
          <w:rFonts w:ascii="华文仿宋" w:hAnsi="华文仿宋" w:eastAsia="华文仿宋" w:cs="新宋体-18030"/>
          <w:b/>
          <w:color w:val="000000" w:themeColor="text1"/>
          <w:sz w:val="24"/>
          <w:szCs w:val="24"/>
        </w:rPr>
      </w:pPr>
      <w:r>
        <w:rPr>
          <w:rFonts w:hint="eastAsia" w:ascii="仿宋_GB2312" w:hAnsi="仿宋" w:eastAsia="仿宋_GB2312" w:cs="新宋体-18030"/>
          <w:b/>
          <w:color w:val="000000" w:themeColor="text1"/>
          <w:sz w:val="24"/>
        </w:rPr>
        <w:t>一、</w:t>
      </w:r>
      <w:r>
        <w:rPr>
          <w:rFonts w:hint="eastAsia" w:ascii="华文仿宋" w:hAnsi="华文仿宋" w:eastAsia="华文仿宋" w:cs="新宋体-18030"/>
          <w:b/>
          <w:color w:val="000000" w:themeColor="text1"/>
          <w:sz w:val="24"/>
          <w:szCs w:val="24"/>
        </w:rPr>
        <w:t>一般假设</w:t>
      </w:r>
    </w:p>
    <w:p>
      <w:pPr>
        <w:pageBreakBefore w:val="0"/>
        <w:kinsoku/>
        <w:wordWrap/>
        <w:overflowPunct/>
        <w:autoSpaceDE/>
        <w:autoSpaceDN/>
        <w:bidi w:val="0"/>
        <w:spacing w:line="480" w:lineRule="exact"/>
        <w:ind w:firstLine="480" w:firstLineChars="200"/>
        <w:textAlignment w:val="auto"/>
        <w:rPr>
          <w:rFonts w:ascii="仿宋" w:hAnsi="仿宋" w:eastAsia="仿宋" w:cs="新宋体-18030"/>
          <w:color w:val="000000" w:themeColor="text1"/>
          <w:sz w:val="24"/>
          <w:szCs w:val="24"/>
        </w:rPr>
      </w:pPr>
      <w:r>
        <w:rPr>
          <w:rFonts w:hint="eastAsia" w:ascii="仿宋" w:hAnsi="仿宋" w:eastAsia="仿宋" w:cs="新宋体-18030"/>
          <w:color w:val="000000" w:themeColor="text1"/>
          <w:sz w:val="24"/>
          <w:szCs w:val="24"/>
        </w:rPr>
        <w:t>（一）注册房地产估价师根据估价业务的具体情况，对估价对象进行了实地查勘，收集了权属证明、租赁信息和其它相关资料，经核对，估价委托人所提供的产权资料复印件与原件一致；但目前受国土、房屋、规划管理等相关部门对档案查询资格的限制，注册房地产估价师无法到上述主管部门对权属证明材料及其记载的内容进行核实验证，上述相关部门官网公众信息平台也无法查询。本次估价是以估价委托人提供的与估价对象有关的权属证明、租赁信息及其它相关资料真实、合法、准确、完整为前提。</w:t>
      </w:r>
    </w:p>
    <w:p>
      <w:pPr>
        <w:pageBreakBefore w:val="0"/>
        <w:kinsoku/>
        <w:wordWrap/>
        <w:overflowPunct/>
        <w:autoSpaceDE/>
        <w:autoSpaceDN/>
        <w:bidi w:val="0"/>
        <w:spacing w:line="480" w:lineRule="exact"/>
        <w:ind w:firstLine="480" w:firstLineChars="200"/>
        <w:textAlignment w:val="auto"/>
        <w:rPr>
          <w:rFonts w:ascii="仿宋" w:hAnsi="仿宋" w:eastAsia="仿宋" w:cs="新宋体-18030"/>
          <w:color w:val="000000" w:themeColor="text1"/>
          <w:sz w:val="24"/>
          <w:szCs w:val="24"/>
        </w:rPr>
      </w:pPr>
      <w:r>
        <w:rPr>
          <w:rFonts w:hint="eastAsia" w:ascii="仿宋" w:hAnsi="仿宋" w:eastAsia="仿宋" w:cs="新宋体-18030"/>
          <w:color w:val="000000" w:themeColor="text1"/>
          <w:sz w:val="24"/>
          <w:szCs w:val="24"/>
        </w:rPr>
        <w:t>（二）估价师对估价对象的实地查勘仅限于估价对象的外观和使用状况、内部布局、装修及设备情况，并未对估价对象做房地产基础、房屋结构上的测量和实验，因此无法确认其内部有无缺损、是否存在结构性损坏。对被遮盖、未暴露及难以接触到的房屋结构部分及其内部设施、设备，本报告假设其无房地产基础、房屋结构等方面的重大质量问题，符合国家有关技术、质量、验收规范，且符合国家有关安全使用标准。</w:t>
      </w:r>
    </w:p>
    <w:p>
      <w:pPr>
        <w:pageBreakBefore w:val="0"/>
        <w:kinsoku/>
        <w:wordWrap/>
        <w:overflowPunct/>
        <w:autoSpaceDE/>
        <w:autoSpaceDN/>
        <w:bidi w:val="0"/>
        <w:spacing w:line="480" w:lineRule="exact"/>
        <w:ind w:firstLine="480" w:firstLineChars="200"/>
        <w:textAlignment w:val="auto"/>
        <w:rPr>
          <w:rFonts w:ascii="仿宋" w:hAnsi="仿宋" w:eastAsia="仿宋" w:cs="新宋体-18030"/>
          <w:color w:val="000000" w:themeColor="text1"/>
          <w:sz w:val="24"/>
          <w:szCs w:val="24"/>
        </w:rPr>
      </w:pPr>
      <w:r>
        <w:rPr>
          <w:rFonts w:hint="eastAsia" w:ascii="仿宋" w:hAnsi="仿宋" w:eastAsia="仿宋" w:cs="新宋体-18030"/>
          <w:color w:val="000000" w:themeColor="text1"/>
          <w:sz w:val="24"/>
          <w:szCs w:val="24"/>
        </w:rPr>
        <w:t>（三）假设市场上交易双方进行交易的目的在于最大限度地追求经济利益，并掌握必要的市场信息，有较充裕的时间进行交易，对交易对象具有必要的专业知识，交易条件公开且不具有排他性。</w:t>
      </w:r>
    </w:p>
    <w:p>
      <w:pPr>
        <w:pageBreakBefore w:val="0"/>
        <w:kinsoku/>
        <w:wordWrap/>
        <w:overflowPunct/>
        <w:autoSpaceDE/>
        <w:autoSpaceDN/>
        <w:bidi w:val="0"/>
        <w:spacing w:line="480" w:lineRule="exact"/>
        <w:ind w:firstLine="480" w:firstLineChars="200"/>
        <w:textAlignment w:val="auto"/>
        <w:rPr>
          <w:rFonts w:ascii="仿宋" w:hAnsi="仿宋" w:eastAsia="仿宋" w:cs="新宋体-18030"/>
          <w:color w:val="000000" w:themeColor="text1"/>
          <w:sz w:val="24"/>
          <w:szCs w:val="24"/>
        </w:rPr>
      </w:pPr>
      <w:r>
        <w:rPr>
          <w:rFonts w:hint="eastAsia" w:ascii="仿宋" w:hAnsi="仿宋" w:eastAsia="仿宋" w:cs="新宋体-18030"/>
          <w:color w:val="000000" w:themeColor="text1"/>
          <w:sz w:val="24"/>
          <w:szCs w:val="24"/>
        </w:rPr>
        <w:t>（四）假设估价对象在价值时点和未来合理存续期间，按目前使用方式、规模、环境和用途等情况下可以继续使用。</w:t>
      </w:r>
    </w:p>
    <w:p>
      <w:pPr>
        <w:pageBreakBefore w:val="0"/>
        <w:kinsoku/>
        <w:wordWrap/>
        <w:overflowPunct/>
        <w:autoSpaceDE/>
        <w:autoSpaceDN/>
        <w:bidi w:val="0"/>
        <w:spacing w:line="480" w:lineRule="exact"/>
        <w:ind w:firstLine="480" w:firstLineChars="200"/>
        <w:textAlignment w:val="auto"/>
        <w:rPr>
          <w:rFonts w:ascii="仿宋" w:hAnsi="仿宋" w:eastAsia="仿宋" w:cs="新宋体-18030"/>
          <w:color w:val="000000" w:themeColor="text1"/>
          <w:sz w:val="24"/>
          <w:szCs w:val="24"/>
        </w:rPr>
      </w:pPr>
      <w:r>
        <w:rPr>
          <w:rFonts w:hint="eastAsia" w:ascii="仿宋" w:hAnsi="仿宋" w:eastAsia="仿宋" w:cs="仿宋_GB2312"/>
          <w:color w:val="000000" w:themeColor="text1"/>
          <w:sz w:val="24"/>
          <w:szCs w:val="24"/>
        </w:rPr>
        <w:t>（五）估价结果是</w:t>
      </w:r>
      <w:r>
        <w:rPr>
          <w:rFonts w:hint="eastAsia" w:ascii="仿宋" w:hAnsi="仿宋" w:eastAsia="仿宋" w:cs="仿宋_GB2312"/>
          <w:color w:val="000000" w:themeColor="text1"/>
          <w:sz w:val="24"/>
          <w:szCs w:val="24"/>
          <w:lang w:eastAsia="zh-CN"/>
        </w:rPr>
        <w:t>为人民法院确定财产处置参考价提供参考依据</w:t>
      </w:r>
      <w:r>
        <w:rPr>
          <w:rFonts w:hint="eastAsia" w:ascii="仿宋" w:hAnsi="仿宋" w:eastAsia="仿宋" w:cs="仿宋_GB2312"/>
          <w:color w:val="000000" w:themeColor="text1"/>
          <w:sz w:val="24"/>
          <w:szCs w:val="24"/>
        </w:rPr>
        <w:t>，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w:t>
      </w:r>
      <w:r>
        <w:rPr>
          <w:rFonts w:hint="eastAsia" w:ascii="仿宋" w:hAnsi="仿宋" w:eastAsia="仿宋" w:cs="新宋体-18030"/>
          <w:color w:val="000000" w:themeColor="text1"/>
          <w:sz w:val="24"/>
          <w:szCs w:val="24"/>
        </w:rPr>
        <w:t>发生变化时，估价结果一般亦会发生变化。</w:t>
      </w:r>
    </w:p>
    <w:p>
      <w:pPr>
        <w:pageBreakBefore w:val="0"/>
        <w:widowControl/>
        <w:kinsoku/>
        <w:wordWrap/>
        <w:overflowPunct/>
        <w:autoSpaceDE/>
        <w:autoSpaceDN/>
        <w:bidi w:val="0"/>
        <w:spacing w:line="480" w:lineRule="exact"/>
        <w:ind w:firstLine="482" w:firstLineChars="200"/>
        <w:textAlignment w:val="auto"/>
        <w:rPr>
          <w:rFonts w:ascii="华文仿宋" w:hAnsi="华文仿宋" w:eastAsia="华文仿宋"/>
          <w:b/>
          <w:color w:val="000000"/>
          <w:sz w:val="24"/>
          <w:szCs w:val="24"/>
        </w:rPr>
      </w:pPr>
      <w:r>
        <w:rPr>
          <w:rFonts w:hint="eastAsia" w:ascii="华文仿宋" w:hAnsi="华文仿宋" w:eastAsia="华文仿宋"/>
          <w:b/>
          <w:color w:val="000000"/>
          <w:sz w:val="24"/>
          <w:szCs w:val="24"/>
        </w:rPr>
        <w:t>二、未定事项假设</w:t>
      </w:r>
      <w:bookmarkEnd w:id="8"/>
      <w:bookmarkEnd w:id="9"/>
      <w:bookmarkEnd w:id="10"/>
      <w:bookmarkEnd w:id="11"/>
    </w:p>
    <w:p>
      <w:pPr>
        <w:pageBreakBefore w:val="0"/>
        <w:kinsoku/>
        <w:wordWrap/>
        <w:overflowPunct/>
        <w:topLinePunct/>
        <w:autoSpaceDE/>
        <w:autoSpaceDN/>
        <w:bidi w:val="0"/>
        <w:adjustRightInd w:val="0"/>
        <w:snapToGrid w:val="0"/>
        <w:spacing w:line="480" w:lineRule="exact"/>
        <w:ind w:firstLine="480" w:firstLineChars="200"/>
        <w:textAlignment w:val="auto"/>
        <w:rPr>
          <w:rFonts w:ascii="华文仿宋" w:hAnsi="华文仿宋" w:eastAsia="华文仿宋"/>
          <w:color w:val="0070C0"/>
          <w:sz w:val="24"/>
          <w:szCs w:val="24"/>
        </w:rPr>
      </w:pPr>
      <w:r>
        <w:rPr>
          <w:rFonts w:hint="eastAsia" w:ascii="华文仿宋" w:hAnsi="华文仿宋" w:eastAsia="华文仿宋"/>
          <w:sz w:val="24"/>
          <w:szCs w:val="24"/>
        </w:rPr>
        <w:t>本次估价的估价对象不存在未定事项，故本估价报告无未定事项假设。</w:t>
      </w:r>
    </w:p>
    <w:p>
      <w:pPr>
        <w:pageBreakBefore w:val="0"/>
        <w:widowControl/>
        <w:kinsoku/>
        <w:wordWrap/>
        <w:overflowPunct/>
        <w:autoSpaceDE/>
        <w:autoSpaceDN/>
        <w:bidi w:val="0"/>
        <w:spacing w:line="480" w:lineRule="exact"/>
        <w:ind w:firstLine="482" w:firstLineChars="200"/>
        <w:textAlignment w:val="auto"/>
        <w:rPr>
          <w:rFonts w:ascii="华文仿宋" w:hAnsi="华文仿宋" w:eastAsia="华文仿宋"/>
          <w:b/>
          <w:color w:val="000000"/>
          <w:sz w:val="24"/>
          <w:szCs w:val="24"/>
        </w:rPr>
      </w:pPr>
      <w:bookmarkStart w:id="13" w:name="_Toc499561845"/>
      <w:bookmarkStart w:id="14" w:name="_Toc490812575"/>
      <w:bookmarkStart w:id="15" w:name="_Toc503261501"/>
      <w:bookmarkStart w:id="16" w:name="_Toc503262043"/>
      <w:r>
        <w:rPr>
          <w:rFonts w:hint="eastAsia" w:ascii="华文仿宋" w:hAnsi="华文仿宋" w:eastAsia="华文仿宋"/>
          <w:b/>
          <w:color w:val="000000"/>
          <w:sz w:val="24"/>
          <w:szCs w:val="24"/>
        </w:rPr>
        <w:t>三、背离事实假设</w:t>
      </w:r>
      <w:bookmarkEnd w:id="13"/>
      <w:bookmarkEnd w:id="14"/>
      <w:bookmarkEnd w:id="15"/>
      <w:bookmarkEnd w:id="16"/>
    </w:p>
    <w:p>
      <w:pPr>
        <w:pageBreakBefore w:val="0"/>
        <w:kinsoku/>
        <w:wordWrap/>
        <w:overflowPunct/>
        <w:topLinePunct/>
        <w:autoSpaceDE/>
        <w:autoSpaceDN/>
        <w:bidi w:val="0"/>
        <w:adjustRightInd w:val="0"/>
        <w:snapToGrid w:val="0"/>
        <w:spacing w:line="480" w:lineRule="exact"/>
        <w:ind w:firstLine="480" w:firstLineChars="200"/>
        <w:textAlignment w:val="auto"/>
        <w:rPr>
          <w:rFonts w:hint="eastAsia" w:ascii="仿宋_GB2312" w:hAnsi="仿宋" w:eastAsia="仿宋_GB2312" w:cs="新宋体-18030"/>
          <w:bCs/>
          <w:color w:val="auto"/>
          <w:sz w:val="24"/>
          <w:lang w:eastAsia="zh-CN"/>
        </w:rPr>
      </w:pPr>
      <w:bookmarkStart w:id="17" w:name="_Toc499561846"/>
      <w:bookmarkStart w:id="18" w:name="_Toc503261502"/>
      <w:bookmarkStart w:id="19" w:name="_Toc490812576"/>
      <w:bookmarkStart w:id="20" w:name="_Toc503262044"/>
      <w:r>
        <w:rPr>
          <w:rFonts w:hint="eastAsia" w:ascii="仿宋_GB2312" w:hAnsi="仿宋" w:eastAsia="仿宋_GB2312" w:cs="新宋体-18030"/>
          <w:bCs/>
          <w:color w:val="auto"/>
          <w:sz w:val="24"/>
          <w:lang w:eastAsia="zh-CN"/>
        </w:rPr>
        <w:t>估价对象于2019年10月11日至2024年10月10日被全椒中银富登村镇银行有限公司抵押，于2022年1月28日至2025年1月27日被滁州市南谯区人民法院查封，于2022年4月21日至2025年4月20日被全椒县人民法院查封，估价对象存在他项权。根据本次估价目的，不考虑其对本次估价价值的影响。</w:t>
      </w:r>
    </w:p>
    <w:p>
      <w:pPr>
        <w:pageBreakBefore w:val="0"/>
        <w:widowControl/>
        <w:kinsoku/>
        <w:wordWrap/>
        <w:overflowPunct/>
        <w:autoSpaceDE/>
        <w:autoSpaceDN/>
        <w:bidi w:val="0"/>
        <w:spacing w:line="480" w:lineRule="exact"/>
        <w:ind w:firstLine="482" w:firstLineChars="200"/>
        <w:textAlignment w:val="auto"/>
        <w:rPr>
          <w:rFonts w:ascii="华文仿宋" w:hAnsi="华文仿宋" w:eastAsia="华文仿宋"/>
          <w:b/>
          <w:color w:val="000000"/>
          <w:sz w:val="24"/>
          <w:szCs w:val="24"/>
        </w:rPr>
      </w:pPr>
      <w:r>
        <w:rPr>
          <w:rFonts w:hint="eastAsia" w:ascii="华文仿宋" w:hAnsi="华文仿宋" w:eastAsia="华文仿宋"/>
          <w:b/>
          <w:color w:val="000000"/>
          <w:sz w:val="24"/>
          <w:szCs w:val="24"/>
        </w:rPr>
        <w:t>四、不相一致假设</w:t>
      </w:r>
      <w:bookmarkEnd w:id="17"/>
      <w:bookmarkEnd w:id="18"/>
      <w:bookmarkEnd w:id="19"/>
      <w:bookmarkEnd w:id="20"/>
    </w:p>
    <w:p>
      <w:pPr>
        <w:pageBreakBefore w:val="0"/>
        <w:widowControl/>
        <w:kinsoku/>
        <w:wordWrap/>
        <w:overflowPunct/>
        <w:autoSpaceDE/>
        <w:autoSpaceDN/>
        <w:bidi w:val="0"/>
        <w:spacing w:line="480" w:lineRule="exact"/>
        <w:ind w:firstLine="480" w:firstLineChars="200"/>
        <w:textAlignment w:val="auto"/>
        <w:rPr>
          <w:rFonts w:hint="eastAsia" w:ascii="华文仿宋" w:hAnsi="华文仿宋" w:eastAsia="华文仿宋"/>
          <w:sz w:val="24"/>
          <w:lang w:val="en-US" w:eastAsia="zh-CN"/>
        </w:rPr>
      </w:pPr>
      <w:bookmarkStart w:id="21" w:name="_Toc503262045"/>
      <w:bookmarkStart w:id="22" w:name="_Toc490812577"/>
      <w:bookmarkStart w:id="23" w:name="_Toc503261503"/>
      <w:bookmarkStart w:id="24" w:name="_Toc499561847"/>
      <w:r>
        <w:rPr>
          <w:rFonts w:hint="eastAsia" w:ascii="华文仿宋" w:hAnsi="华文仿宋" w:eastAsia="华文仿宋"/>
          <w:sz w:val="24"/>
          <w:szCs w:val="24"/>
          <w:lang w:val="en-US" w:eastAsia="zh-CN"/>
        </w:rPr>
        <w:t>根据</w:t>
      </w:r>
      <w:r>
        <w:rPr>
          <w:rFonts w:hint="eastAsia" w:ascii="华文仿宋" w:hAnsi="华文仿宋" w:eastAsia="华文仿宋"/>
          <w:sz w:val="24"/>
          <w:lang w:val="en-US" w:eastAsia="zh-CN"/>
        </w:rPr>
        <w:t>《不动产权证》[皖（2018）全椒县不动产权第0001353号]证载房屋坐落于全椒县襄河镇港口路277号2幢2单元202室，《不动产登记信息》证载房屋坐落于全椒县襄河镇港口路277号4幢2单元202室，两者不相一致，故本次按《不动产权证》证载房屋坐落于全椒县襄河镇港口路277号2幢2单元202室评估。本次估价以此为估价前提，如与不动产登记簿不相一致，以不动产登记簿为准，则评估报告需作相应调整。</w:t>
      </w:r>
    </w:p>
    <w:p>
      <w:pPr>
        <w:pageBreakBefore w:val="0"/>
        <w:widowControl/>
        <w:kinsoku/>
        <w:wordWrap/>
        <w:overflowPunct/>
        <w:autoSpaceDE/>
        <w:autoSpaceDN/>
        <w:bidi w:val="0"/>
        <w:spacing w:line="480" w:lineRule="exact"/>
        <w:ind w:firstLine="482" w:firstLineChars="200"/>
        <w:textAlignment w:val="auto"/>
        <w:rPr>
          <w:rFonts w:ascii="华文仿宋" w:hAnsi="华文仿宋" w:eastAsia="华文仿宋"/>
          <w:b/>
          <w:color w:val="000000"/>
          <w:sz w:val="24"/>
          <w:szCs w:val="24"/>
        </w:rPr>
      </w:pPr>
      <w:r>
        <w:rPr>
          <w:rFonts w:hint="eastAsia" w:ascii="华文仿宋" w:hAnsi="华文仿宋" w:eastAsia="华文仿宋"/>
          <w:b/>
          <w:color w:val="000000"/>
          <w:sz w:val="24"/>
          <w:szCs w:val="24"/>
        </w:rPr>
        <w:t>五、依据不足假设</w:t>
      </w:r>
      <w:bookmarkEnd w:id="21"/>
      <w:bookmarkEnd w:id="22"/>
      <w:bookmarkEnd w:id="23"/>
      <w:bookmarkEnd w:id="24"/>
    </w:p>
    <w:p>
      <w:pPr>
        <w:pageBreakBefore w:val="0"/>
        <w:tabs>
          <w:tab w:val="left" w:pos="1134"/>
        </w:tabs>
        <w:kinsoku/>
        <w:wordWrap/>
        <w:overflowPunct/>
        <w:topLinePunct/>
        <w:autoSpaceDE/>
        <w:autoSpaceDN/>
        <w:bidi w:val="0"/>
        <w:adjustRightInd w:val="0"/>
        <w:snapToGrid w:val="0"/>
        <w:spacing w:line="480" w:lineRule="exact"/>
        <w:ind w:firstLine="480" w:firstLineChars="200"/>
        <w:textAlignment w:val="auto"/>
        <w:rPr>
          <w:rFonts w:ascii="华文仿宋" w:hAnsi="华文仿宋" w:eastAsia="华文仿宋"/>
          <w:color w:val="auto"/>
          <w:sz w:val="24"/>
          <w:szCs w:val="24"/>
        </w:rPr>
      </w:pPr>
      <w:r>
        <w:rPr>
          <w:rFonts w:hint="eastAsia" w:ascii="华文仿宋" w:hAnsi="华文仿宋" w:eastAsia="华文仿宋"/>
          <w:sz w:val="24"/>
          <w:szCs w:val="24"/>
        </w:rPr>
        <w:t>本次估价的估价对象不存在依据不足事项，故本估价报告无</w:t>
      </w:r>
      <w:r>
        <w:rPr>
          <w:rFonts w:hint="eastAsia" w:ascii="华文仿宋" w:hAnsi="华文仿宋" w:eastAsia="华文仿宋"/>
          <w:color w:val="auto"/>
          <w:sz w:val="24"/>
          <w:szCs w:val="24"/>
        </w:rPr>
        <w:t>依据不足假设。</w:t>
      </w:r>
    </w:p>
    <w:p>
      <w:pPr>
        <w:pageBreakBefore w:val="0"/>
        <w:widowControl/>
        <w:kinsoku/>
        <w:wordWrap/>
        <w:overflowPunct/>
        <w:autoSpaceDE/>
        <w:autoSpaceDN/>
        <w:bidi w:val="0"/>
        <w:spacing w:line="480" w:lineRule="exact"/>
        <w:ind w:firstLine="482" w:firstLineChars="200"/>
        <w:textAlignment w:val="auto"/>
        <w:rPr>
          <w:rFonts w:ascii="华文仿宋" w:hAnsi="华文仿宋" w:eastAsia="华文仿宋"/>
          <w:b/>
          <w:color w:val="000000"/>
          <w:sz w:val="24"/>
          <w:szCs w:val="24"/>
        </w:rPr>
      </w:pPr>
      <w:r>
        <w:rPr>
          <w:rFonts w:hint="eastAsia" w:ascii="华文仿宋" w:hAnsi="华文仿宋" w:eastAsia="华文仿宋"/>
          <w:b/>
          <w:color w:val="000000"/>
          <w:sz w:val="24"/>
          <w:szCs w:val="24"/>
        </w:rPr>
        <w:t>六、估价报告使用限制</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hint="eastAsia" w:ascii="华文仿宋" w:hAnsi="华文仿宋" w:eastAsia="华文仿宋" w:cs="Times New Roman"/>
          <w:color w:val="000000"/>
          <w:kern w:val="2"/>
          <w:sz w:val="24"/>
          <w:szCs w:val="24"/>
          <w:lang w:val="en-US" w:eastAsia="zh-CN" w:bidi="ar-SA"/>
        </w:rPr>
      </w:pPr>
      <w:r>
        <w:rPr>
          <w:rFonts w:hint="eastAsia" w:ascii="华文仿宋" w:hAnsi="华文仿宋" w:eastAsia="华文仿宋" w:cs="Times New Roman"/>
          <w:color w:val="000000"/>
          <w:kern w:val="2"/>
          <w:sz w:val="24"/>
          <w:szCs w:val="24"/>
          <w:lang w:val="en-US" w:eastAsia="zh-CN" w:bidi="ar-SA"/>
        </w:rPr>
        <w:t>（一）估价报告的估价目的具有唯一性。本估价报告书仅为人民法院确定财产处置参考价提供参考依据，不作抵押、担保、征收等其他任何估价目的之用。如果估价条件或目的发生变化，估价报告需作相应调整。</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hint="eastAsia" w:ascii="华文仿宋" w:hAnsi="华文仿宋" w:eastAsia="华文仿宋" w:cs="Times New Roman"/>
          <w:color w:val="000000"/>
          <w:kern w:val="2"/>
          <w:sz w:val="24"/>
          <w:szCs w:val="24"/>
          <w:lang w:val="en-US" w:eastAsia="zh-CN" w:bidi="ar-SA"/>
        </w:rPr>
      </w:pPr>
      <w:r>
        <w:rPr>
          <w:rFonts w:hint="eastAsia" w:ascii="华文仿宋" w:hAnsi="华文仿宋" w:eastAsia="华文仿宋" w:cs="Times New Roman"/>
          <w:color w:val="000000"/>
          <w:kern w:val="2"/>
          <w:sz w:val="24"/>
          <w:szCs w:val="24"/>
          <w:lang w:val="en-US" w:eastAsia="zh-CN" w:bidi="ar-SA"/>
        </w:rPr>
        <w:t>（二）未经本估价机构书面同意，本报告的全部或任何一部分均不得向估价委托人、报告使用者、报告审查部门之外的单位和个人提供，也不得以任何形式公开发表。</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hint="eastAsia" w:ascii="华文仿宋" w:hAnsi="华文仿宋" w:eastAsia="华文仿宋" w:cs="Times New Roman"/>
          <w:color w:val="000000"/>
          <w:kern w:val="2"/>
          <w:sz w:val="24"/>
          <w:szCs w:val="24"/>
          <w:lang w:val="en-US" w:eastAsia="zh-CN" w:bidi="ar-SA"/>
        </w:rPr>
      </w:pPr>
      <w:r>
        <w:rPr>
          <w:rFonts w:hint="eastAsia" w:ascii="华文仿宋" w:hAnsi="华文仿宋" w:eastAsia="华文仿宋" w:cs="Times New Roman"/>
          <w:color w:val="000000"/>
          <w:kern w:val="2"/>
          <w:sz w:val="24"/>
          <w:szCs w:val="24"/>
          <w:lang w:val="en-US" w:eastAsia="zh-CN" w:bidi="ar-SA"/>
        </w:rPr>
        <w:t>（三）委托人、报告使用者、报告审查部门之外的单位和个人提供，也不得以任何形式公开发表。</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hint="eastAsia" w:ascii="华文仿宋" w:hAnsi="华文仿宋" w:eastAsia="华文仿宋" w:cs="Times New Roman"/>
          <w:color w:val="000000"/>
          <w:kern w:val="2"/>
          <w:sz w:val="24"/>
          <w:szCs w:val="24"/>
          <w:lang w:val="en-US" w:eastAsia="zh-CN" w:bidi="ar-SA"/>
        </w:rPr>
      </w:pPr>
      <w:r>
        <w:rPr>
          <w:rFonts w:hint="eastAsia" w:ascii="华文仿宋" w:hAnsi="华文仿宋" w:eastAsia="华文仿宋" w:cs="Times New Roman"/>
          <w:color w:val="000000"/>
          <w:kern w:val="2"/>
          <w:sz w:val="24"/>
          <w:szCs w:val="24"/>
          <w:lang w:val="en-US" w:eastAsia="zh-CN" w:bidi="ar-SA"/>
        </w:rPr>
        <w:t>（四）本报告必须完整使用方为有效，对仅使用本报告中部分内容而导致可能的损失，本估价机构不承担责任。</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hint="eastAsia" w:ascii="华文仿宋" w:hAnsi="华文仿宋" w:eastAsia="华文仿宋" w:cs="Times New Roman"/>
          <w:color w:val="000000"/>
          <w:kern w:val="2"/>
          <w:sz w:val="24"/>
          <w:szCs w:val="24"/>
          <w:lang w:val="en-US" w:eastAsia="zh-CN" w:bidi="ar-SA"/>
        </w:rPr>
      </w:pPr>
      <w:r>
        <w:rPr>
          <w:rFonts w:hint="eastAsia" w:ascii="华文仿宋" w:hAnsi="华文仿宋" w:eastAsia="华文仿宋" w:cs="Times New Roman"/>
          <w:color w:val="000000"/>
          <w:kern w:val="2"/>
          <w:sz w:val="24"/>
          <w:szCs w:val="24"/>
          <w:lang w:val="en-US" w:eastAsia="zh-CN" w:bidi="ar-SA"/>
        </w:rPr>
        <w:t>（五）本次估价结果受价值时点的限制，且本估价报告使用期限自估价报告出具之日2022年8月29日起为壹年。若报告使用期限内，房地产市场、建筑市场或估价对象自身状况发生重大变化，估价结果也需作相应调整或委托估价机构重新估价。</w:t>
      </w:r>
    </w:p>
    <w:p>
      <w:pPr>
        <w:pStyle w:val="66"/>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textAlignment w:val="auto"/>
        <w:rPr>
          <w:rFonts w:hint="eastAsia" w:ascii="华文仿宋" w:hAnsi="华文仿宋" w:eastAsia="华文仿宋" w:cs="Times New Roman"/>
          <w:color w:val="000000"/>
          <w:kern w:val="2"/>
          <w:sz w:val="24"/>
          <w:szCs w:val="24"/>
          <w:lang w:val="en-US" w:eastAsia="zh-CN" w:bidi="ar-SA"/>
        </w:rPr>
      </w:pPr>
      <w:r>
        <w:rPr>
          <w:rFonts w:hint="eastAsia" w:ascii="华文仿宋" w:hAnsi="华文仿宋" w:eastAsia="华文仿宋" w:cs="Times New Roman"/>
          <w:color w:val="000000"/>
          <w:kern w:val="2"/>
          <w:sz w:val="24"/>
          <w:szCs w:val="24"/>
          <w:lang w:val="en-US" w:eastAsia="zh-CN" w:bidi="ar-SA"/>
        </w:rPr>
        <w:t>（六）本次估价结果是指在目前房地产市场状况下，估价对象在现状利用条件下的房地产价值，包括国有划拨土地使用权价值和与房屋有关的土建、安装、二次装修。</w:t>
      </w:r>
    </w:p>
    <w:p>
      <w:pPr>
        <w:pStyle w:val="66"/>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textAlignment w:val="auto"/>
        <w:rPr>
          <w:rFonts w:ascii="华文仿宋" w:hAnsi="华文仿宋" w:eastAsia="华文仿宋"/>
          <w:sz w:val="24"/>
          <w:szCs w:val="24"/>
        </w:rPr>
      </w:pPr>
      <w:r>
        <w:rPr>
          <w:rFonts w:hint="eastAsia" w:ascii="华文仿宋" w:hAnsi="华文仿宋" w:eastAsia="华文仿宋" w:cs="Times New Roman"/>
          <w:color w:val="000000"/>
          <w:kern w:val="2"/>
          <w:sz w:val="24"/>
          <w:szCs w:val="24"/>
          <w:lang w:val="en-US" w:eastAsia="zh-CN" w:bidi="ar-SA"/>
        </w:rPr>
        <w:t>（七）本报告书由正文和附件两部分共同组成，不得随意分割使用。且本报告书应与估价对象的合法产权证明一并使用、经两名注册房地产估价师签字、估价机构</w:t>
      </w:r>
      <w:r>
        <w:rPr>
          <w:rFonts w:hint="eastAsia" w:ascii="华文仿宋" w:hAnsi="华文仿宋" w:eastAsia="华文仿宋"/>
          <w:color w:val="000000"/>
          <w:sz w:val="24"/>
          <w:szCs w:val="24"/>
        </w:rPr>
        <w:t>盖章并作为一个整体时有效。对仅使用本报告中部分内容而导致可能的损失，本估价机构不承担责任。</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ascii="华文仿宋" w:hAnsi="华文仿宋" w:eastAsia="华文仿宋"/>
          <w:color w:val="000000"/>
          <w:sz w:val="24"/>
          <w:szCs w:val="24"/>
        </w:rPr>
      </w:pPr>
      <w:r>
        <w:rPr>
          <w:rFonts w:hint="eastAsia" w:ascii="华文仿宋" w:hAnsi="华文仿宋" w:eastAsia="华文仿宋"/>
          <w:color w:val="000000"/>
          <w:sz w:val="24"/>
          <w:szCs w:val="24"/>
        </w:rPr>
        <w:t>（</w:t>
      </w:r>
      <w:r>
        <w:rPr>
          <w:rFonts w:hint="eastAsia" w:ascii="华文仿宋" w:hAnsi="华文仿宋" w:eastAsia="华文仿宋"/>
          <w:color w:val="000000"/>
          <w:sz w:val="24"/>
          <w:szCs w:val="24"/>
          <w:lang w:val="en-US" w:eastAsia="zh-CN"/>
        </w:rPr>
        <w:t>八</w:t>
      </w:r>
      <w:r>
        <w:rPr>
          <w:rFonts w:hint="eastAsia" w:ascii="华文仿宋" w:hAnsi="华文仿宋" w:eastAsia="华文仿宋"/>
          <w:color w:val="000000"/>
          <w:sz w:val="24"/>
          <w:szCs w:val="24"/>
        </w:rPr>
        <w:t>）本报告的最终解释权由本估价机构所有。</w:t>
      </w:r>
    </w:p>
    <w:p>
      <w:pPr>
        <w:keepNext w:val="0"/>
        <w:keepLines w:val="0"/>
        <w:pageBreakBefore w:val="0"/>
        <w:widowControl w:val="0"/>
        <w:tabs>
          <w:tab w:val="left" w:pos="1134"/>
        </w:tabs>
        <w:kinsoku/>
        <w:wordWrap/>
        <w:overflowPunct/>
        <w:topLinePunct/>
        <w:autoSpaceDE/>
        <w:autoSpaceDN/>
        <w:bidi w:val="0"/>
        <w:adjustRightInd w:val="0"/>
        <w:snapToGrid w:val="0"/>
        <w:spacing w:line="480" w:lineRule="exact"/>
        <w:ind w:firstLine="480" w:firstLineChars="200"/>
        <w:textAlignment w:val="auto"/>
        <w:rPr>
          <w:rFonts w:ascii="华文仿宋" w:hAnsi="华文仿宋" w:eastAsia="华文仿宋"/>
          <w:color w:val="000000"/>
          <w:sz w:val="24"/>
          <w:szCs w:val="24"/>
        </w:rPr>
      </w:pPr>
      <w:r>
        <w:rPr>
          <w:rFonts w:hint="eastAsia" w:ascii="华文仿宋" w:hAnsi="华文仿宋" w:eastAsia="华文仿宋"/>
          <w:color w:val="000000"/>
          <w:sz w:val="24"/>
          <w:szCs w:val="24"/>
        </w:rPr>
        <w:t>（九）</w:t>
      </w:r>
      <w:r>
        <w:rPr>
          <w:rFonts w:hint="eastAsia" w:ascii="仿宋" w:hAnsi="仿宋" w:eastAsia="仿宋" w:cs="新宋体-18030"/>
          <w:color w:val="000000" w:themeColor="text1"/>
          <w:sz w:val="24"/>
        </w:rPr>
        <w:t>估价对象土地为划拨用地，在出售转让时需补交出让金。特提醒报告使用人注意！</w:t>
      </w:r>
    </w:p>
    <w:p>
      <w:pPr>
        <w:widowControl/>
        <w:jc w:val="left"/>
        <w:rPr>
          <w:rFonts w:ascii="华文仿宋" w:hAnsi="华文仿宋" w:eastAsia="华文仿宋" w:cs="新宋体-18030"/>
          <w:b/>
          <w:bCs/>
          <w:color w:val="7030A0"/>
          <w:sz w:val="24"/>
          <w:szCs w:val="24"/>
        </w:rPr>
      </w:pPr>
      <w:bookmarkStart w:id="25" w:name="_Toc18854"/>
      <w:bookmarkStart w:id="26" w:name="_Toc13624"/>
      <w:bookmarkStart w:id="27" w:name="_Toc1247"/>
      <w:bookmarkStart w:id="28" w:name="_Toc433731390"/>
      <w:bookmarkStart w:id="29" w:name="_Toc530663971"/>
      <w:r>
        <w:rPr>
          <w:rFonts w:ascii="华文仿宋" w:hAnsi="华文仿宋" w:eastAsia="华文仿宋" w:cs="新宋体-18030"/>
          <w:b/>
          <w:bCs/>
          <w:color w:val="7030A0"/>
          <w:sz w:val="24"/>
          <w:szCs w:val="24"/>
        </w:rPr>
        <w:br w:type="page"/>
      </w:r>
    </w:p>
    <w:p>
      <w:pPr>
        <w:spacing w:line="440" w:lineRule="exact"/>
        <w:ind w:firstLine="2650" w:firstLineChars="600"/>
        <w:outlineLvl w:val="0"/>
        <w:rPr>
          <w:rFonts w:hint="eastAsia" w:ascii="仿宋" w:hAnsi="仿宋" w:eastAsia="仿宋" w:cs="新宋体-18030"/>
          <w:b/>
          <w:bCs/>
          <w:color w:val="000000"/>
          <w:sz w:val="44"/>
          <w:szCs w:val="44"/>
        </w:rPr>
      </w:pPr>
    </w:p>
    <w:p>
      <w:pPr>
        <w:spacing w:line="440" w:lineRule="exact"/>
        <w:ind w:firstLine="2650" w:firstLineChars="600"/>
        <w:outlineLvl w:val="0"/>
        <w:rPr>
          <w:rFonts w:ascii="仿宋" w:hAnsi="仿宋" w:eastAsia="仿宋" w:cs="新宋体-18030"/>
          <w:b/>
          <w:bCs/>
          <w:color w:val="000000"/>
          <w:sz w:val="44"/>
          <w:szCs w:val="44"/>
        </w:rPr>
      </w:pPr>
      <w:bookmarkStart w:id="30" w:name="_Toc14510"/>
      <w:r>
        <w:rPr>
          <w:rFonts w:hint="eastAsia" w:ascii="仿宋" w:hAnsi="仿宋" w:eastAsia="仿宋" w:cs="新宋体-18030"/>
          <w:b/>
          <w:bCs/>
          <w:color w:val="000000"/>
          <w:sz w:val="44"/>
          <w:szCs w:val="44"/>
        </w:rPr>
        <w:t>房地产估价结果报告</w:t>
      </w:r>
      <w:bookmarkEnd w:id="25"/>
      <w:bookmarkEnd w:id="26"/>
      <w:bookmarkEnd w:id="27"/>
      <w:bookmarkEnd w:id="30"/>
    </w:p>
    <w:p>
      <w:pPr>
        <w:spacing w:line="440" w:lineRule="exact"/>
        <w:ind w:firstLine="3080" w:firstLineChars="1400"/>
        <w:rPr>
          <w:rFonts w:ascii="仿宋" w:hAnsi="仿宋" w:eastAsia="仿宋" w:cs="新宋体-18030"/>
          <w:sz w:val="22"/>
          <w:szCs w:val="20"/>
        </w:rPr>
      </w:pPr>
      <w:r>
        <w:rPr>
          <w:rFonts w:hint="eastAsia" w:ascii="仿宋" w:hAnsi="仿宋" w:eastAsia="仿宋" w:cs="新宋体-18030"/>
          <w:sz w:val="22"/>
          <w:szCs w:val="20"/>
        </w:rPr>
        <w:t>皖中信房估字[202</w:t>
      </w:r>
      <w:r>
        <w:rPr>
          <w:rFonts w:hint="eastAsia" w:ascii="仿宋" w:hAnsi="仿宋" w:eastAsia="仿宋" w:cs="新宋体-18030"/>
          <w:sz w:val="22"/>
          <w:szCs w:val="20"/>
          <w:lang w:val="en-US" w:eastAsia="zh-CN"/>
        </w:rPr>
        <w:t>2</w:t>
      </w:r>
      <w:r>
        <w:rPr>
          <w:rFonts w:hint="eastAsia" w:ascii="仿宋" w:hAnsi="仿宋" w:eastAsia="仿宋" w:cs="新宋体-18030"/>
          <w:sz w:val="22"/>
          <w:szCs w:val="20"/>
        </w:rPr>
        <w:t>]M-</w:t>
      </w:r>
      <w:r>
        <w:rPr>
          <w:rFonts w:hint="eastAsia" w:ascii="仿宋" w:hAnsi="仿宋" w:eastAsia="仿宋" w:cs="新宋体-18030"/>
          <w:sz w:val="22"/>
          <w:szCs w:val="20"/>
          <w:lang w:eastAsia="zh-CN"/>
        </w:rPr>
        <w:t>0</w:t>
      </w:r>
      <w:r>
        <w:rPr>
          <w:rFonts w:hint="eastAsia" w:ascii="仿宋" w:hAnsi="仿宋" w:eastAsia="仿宋" w:cs="新宋体-18030"/>
          <w:sz w:val="22"/>
          <w:szCs w:val="20"/>
          <w:lang w:val="en-US" w:eastAsia="zh-CN"/>
        </w:rPr>
        <w:t>341</w:t>
      </w:r>
      <w:r>
        <w:rPr>
          <w:rFonts w:hint="eastAsia" w:ascii="仿宋" w:hAnsi="仿宋" w:eastAsia="仿宋" w:cs="新宋体-18030"/>
          <w:sz w:val="22"/>
          <w:szCs w:val="20"/>
        </w:rPr>
        <w:t>号</w:t>
      </w:r>
    </w:p>
    <w:p>
      <w:pPr>
        <w:spacing w:line="470" w:lineRule="exact"/>
        <w:ind w:firstLine="482" w:firstLineChars="200"/>
        <w:outlineLvl w:val="1"/>
        <w:rPr>
          <w:rFonts w:ascii="仿宋_GB2312" w:hAnsi="仿宋" w:eastAsia="仿宋_GB2312" w:cs="新宋体-18030"/>
          <w:b/>
          <w:bCs/>
          <w:color w:val="000000" w:themeColor="text1"/>
          <w:sz w:val="24"/>
        </w:rPr>
      </w:pPr>
      <w:bookmarkStart w:id="31" w:name="_Toc14436"/>
      <w:r>
        <w:rPr>
          <w:rFonts w:hint="eastAsia" w:ascii="仿宋_GB2312" w:hAnsi="仿宋" w:eastAsia="仿宋_GB2312" w:cs="新宋体-18030"/>
          <w:b/>
          <w:bCs/>
          <w:color w:val="000000" w:themeColor="text1"/>
          <w:sz w:val="24"/>
        </w:rPr>
        <w:t>一、估价委托人</w:t>
      </w:r>
      <w:bookmarkEnd w:id="28"/>
      <w:bookmarkEnd w:id="29"/>
      <w:bookmarkEnd w:id="31"/>
    </w:p>
    <w:p>
      <w:pPr>
        <w:spacing w:line="440" w:lineRule="exact"/>
        <w:ind w:firstLine="480" w:firstLineChars="200"/>
        <w:rPr>
          <w:rFonts w:hint="eastAsia" w:ascii="仿宋" w:hAnsi="仿宋" w:eastAsia="仿宋" w:cs="新宋体-18030"/>
          <w:sz w:val="24"/>
          <w:lang w:eastAsia="zh-CN"/>
        </w:rPr>
      </w:pPr>
      <w:bookmarkStart w:id="32" w:name="_Toc433731391"/>
      <w:bookmarkStart w:id="33" w:name="_Toc530663972"/>
      <w:r>
        <w:rPr>
          <w:rFonts w:hint="eastAsia" w:ascii="仿宋" w:hAnsi="仿宋" w:eastAsia="仿宋" w:cs="新宋体-18030"/>
          <w:sz w:val="24"/>
        </w:rPr>
        <w:t>名    称：</w:t>
      </w:r>
      <w:r>
        <w:rPr>
          <w:rFonts w:hint="eastAsia" w:ascii="仿宋" w:hAnsi="仿宋" w:eastAsia="仿宋" w:cs="新宋体-18030"/>
          <w:sz w:val="24"/>
          <w:lang w:eastAsia="zh-CN"/>
        </w:rPr>
        <w:t>全椒县人民法院</w:t>
      </w:r>
    </w:p>
    <w:p>
      <w:pPr>
        <w:spacing w:line="470" w:lineRule="exact"/>
        <w:ind w:firstLine="482" w:firstLineChars="200"/>
        <w:outlineLvl w:val="1"/>
        <w:rPr>
          <w:rFonts w:ascii="仿宋_GB2312" w:hAnsi="仿宋" w:eastAsia="仿宋_GB2312" w:cs="新宋体-18030"/>
          <w:b/>
          <w:bCs/>
          <w:color w:val="000000" w:themeColor="text1"/>
          <w:sz w:val="24"/>
        </w:rPr>
      </w:pPr>
      <w:bookmarkStart w:id="34" w:name="_Toc16975"/>
      <w:r>
        <w:rPr>
          <w:rFonts w:hint="eastAsia" w:ascii="仿宋_GB2312" w:hAnsi="仿宋" w:eastAsia="仿宋_GB2312" w:cs="新宋体-18030"/>
          <w:b/>
          <w:bCs/>
          <w:color w:val="000000" w:themeColor="text1"/>
          <w:sz w:val="24"/>
        </w:rPr>
        <w:t>二、房地产估价机构</w:t>
      </w:r>
      <w:bookmarkEnd w:id="32"/>
      <w:bookmarkEnd w:id="33"/>
      <w:bookmarkEnd w:id="34"/>
    </w:p>
    <w:p>
      <w:pPr>
        <w:spacing w:line="48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估价机构：安徽中信房地产土地资产价格评估有限公司</w:t>
      </w:r>
    </w:p>
    <w:p>
      <w:pPr>
        <w:spacing w:line="480" w:lineRule="exact"/>
        <w:ind w:firstLine="480" w:firstLineChars="200"/>
        <w:rPr>
          <w:rFonts w:ascii="仿宋" w:hAnsi="仿宋" w:eastAsia="仿宋"/>
          <w:sz w:val="24"/>
        </w:rPr>
      </w:pPr>
      <w:r>
        <w:rPr>
          <w:rFonts w:hint="eastAsia" w:ascii="仿宋_GB2312" w:hAnsi="仿宋" w:eastAsia="仿宋_GB2312" w:cs="新宋体-18030"/>
          <w:color w:val="000000" w:themeColor="text1"/>
          <w:sz w:val="24"/>
        </w:rPr>
        <w:t>地    址：</w:t>
      </w:r>
      <w:r>
        <w:rPr>
          <w:rFonts w:hint="eastAsia" w:ascii="仿宋" w:hAnsi="仿宋" w:eastAsia="仿宋"/>
          <w:sz w:val="24"/>
        </w:rPr>
        <w:t>合肥市蜀山区潜山路525号方大郢综合楼10-11层整层</w:t>
      </w:r>
    </w:p>
    <w:p>
      <w:pPr>
        <w:spacing w:line="48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法定代表人：胡朝伟</w:t>
      </w:r>
    </w:p>
    <w:p>
      <w:pPr>
        <w:spacing w:line="48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机构资质等级：国家壹级资质</w:t>
      </w:r>
    </w:p>
    <w:p>
      <w:pPr>
        <w:spacing w:line="480" w:lineRule="exact"/>
        <w:ind w:firstLine="480" w:firstLineChars="200"/>
        <w:rPr>
          <w:rFonts w:hint="eastAsia" w:ascii="仿宋_GB2312" w:hAnsi="仿宋" w:eastAsia="仿宋_GB2312" w:cs="新宋体-18030"/>
          <w:color w:val="000000" w:themeColor="text1"/>
          <w:sz w:val="24"/>
        </w:rPr>
      </w:pPr>
      <w:bookmarkStart w:id="35" w:name="_Toc433731392"/>
      <w:bookmarkStart w:id="36" w:name="_Toc530663973"/>
      <w:r>
        <w:rPr>
          <w:rFonts w:hint="eastAsia" w:ascii="仿宋_GB2312" w:hAnsi="仿宋" w:eastAsia="仿宋_GB2312" w:cs="新宋体-18030"/>
          <w:color w:val="000000" w:themeColor="text1"/>
          <w:sz w:val="24"/>
        </w:rPr>
        <w:t>证书编号</w:t>
      </w:r>
      <w:r>
        <w:rPr>
          <w:rFonts w:hint="eastAsia" w:ascii="仿宋_GB2312" w:hAnsi="仿宋" w:eastAsia="仿宋_GB2312" w:cs="新宋体-18030"/>
          <w:color w:val="000000" w:themeColor="text1"/>
          <w:sz w:val="24"/>
          <w:lang w:eastAsia="zh-CN"/>
        </w:rPr>
        <w:t>：</w:t>
      </w:r>
      <w:r>
        <w:rPr>
          <w:rFonts w:hint="eastAsia" w:ascii="仿宋_GB2312" w:hAnsi="仿宋" w:eastAsia="仿宋_GB2312" w:cs="新宋体-18030"/>
          <w:color w:val="000000" w:themeColor="text1"/>
          <w:sz w:val="24"/>
        </w:rPr>
        <w:t>GA221804</w:t>
      </w:r>
    </w:p>
    <w:p>
      <w:pPr>
        <w:spacing w:line="470" w:lineRule="exact"/>
        <w:ind w:firstLine="482" w:firstLineChars="200"/>
        <w:outlineLvl w:val="1"/>
        <w:rPr>
          <w:rFonts w:ascii="仿宋_GB2312" w:hAnsi="仿宋" w:eastAsia="仿宋_GB2312" w:cs="新宋体-18030"/>
          <w:b/>
          <w:bCs/>
          <w:color w:val="000000" w:themeColor="text1"/>
          <w:sz w:val="24"/>
        </w:rPr>
      </w:pPr>
      <w:bookmarkStart w:id="37" w:name="_Toc9366"/>
      <w:r>
        <w:rPr>
          <w:rFonts w:hint="eastAsia" w:ascii="仿宋_GB2312" w:hAnsi="仿宋" w:eastAsia="仿宋_GB2312" w:cs="新宋体-18030"/>
          <w:b/>
          <w:bCs/>
          <w:color w:val="000000" w:themeColor="text1"/>
          <w:sz w:val="24"/>
        </w:rPr>
        <w:t>三、估价目的</w:t>
      </w:r>
      <w:bookmarkEnd w:id="35"/>
      <w:bookmarkEnd w:id="36"/>
      <w:bookmarkEnd w:id="37"/>
    </w:p>
    <w:p>
      <w:pPr>
        <w:adjustRightInd w:val="0"/>
        <w:snapToGrid w:val="0"/>
        <w:spacing w:line="440" w:lineRule="exact"/>
        <w:ind w:firstLine="480" w:firstLineChars="200"/>
        <w:rPr>
          <w:rFonts w:ascii="仿宋_GB2312" w:hAnsi="仿宋" w:eastAsia="仿宋_GB2312"/>
          <w:sz w:val="24"/>
          <w:szCs w:val="24"/>
        </w:rPr>
      </w:pPr>
      <w:bookmarkStart w:id="38" w:name="_Toc433731393"/>
      <w:bookmarkStart w:id="39" w:name="_Toc530663974"/>
      <w:r>
        <w:rPr>
          <w:rFonts w:hint="eastAsia" w:ascii="仿宋" w:hAnsi="仿宋" w:eastAsia="仿宋" w:cs="新宋体-18030"/>
          <w:sz w:val="24"/>
          <w:lang w:eastAsia="zh-CN"/>
        </w:rPr>
        <w:t>为人民法院确定财产处置参考价提供参考依据</w:t>
      </w:r>
      <w:r>
        <w:rPr>
          <w:rFonts w:hint="eastAsia" w:ascii="仿宋" w:hAnsi="仿宋" w:eastAsia="仿宋" w:cs="新宋体-18030"/>
          <w:sz w:val="24"/>
        </w:rPr>
        <w:t>。</w:t>
      </w:r>
    </w:p>
    <w:p>
      <w:pPr>
        <w:spacing w:line="470" w:lineRule="exact"/>
        <w:ind w:firstLine="482" w:firstLineChars="200"/>
        <w:outlineLvl w:val="1"/>
        <w:rPr>
          <w:rFonts w:ascii="仿宋_GB2312" w:hAnsi="仿宋" w:eastAsia="仿宋_GB2312" w:cs="新宋体-18030"/>
          <w:b/>
          <w:bCs/>
          <w:color w:val="000000" w:themeColor="text1"/>
          <w:sz w:val="24"/>
        </w:rPr>
      </w:pPr>
      <w:bookmarkStart w:id="40" w:name="_Toc27671"/>
      <w:r>
        <w:rPr>
          <w:rFonts w:hint="eastAsia" w:ascii="仿宋_GB2312" w:hAnsi="仿宋" w:eastAsia="仿宋_GB2312" w:cs="新宋体-18030"/>
          <w:b/>
          <w:bCs/>
          <w:color w:val="000000" w:themeColor="text1"/>
          <w:sz w:val="24"/>
        </w:rPr>
        <w:t>四、估价对象</w:t>
      </w:r>
      <w:bookmarkEnd w:id="38"/>
      <w:bookmarkEnd w:id="39"/>
      <w:bookmarkEnd w:id="40"/>
    </w:p>
    <w:p>
      <w:pPr>
        <w:snapToGrid w:val="0"/>
        <w:spacing w:line="470" w:lineRule="exact"/>
        <w:ind w:firstLine="482" w:firstLineChars="200"/>
        <w:rPr>
          <w:rFonts w:ascii="仿宋_GB2312" w:hAnsi="仿宋" w:eastAsia="仿宋_GB2312"/>
          <w:b/>
          <w:caps/>
          <w:color w:val="000000" w:themeColor="text1"/>
          <w:sz w:val="24"/>
        </w:rPr>
      </w:pPr>
      <w:bookmarkStart w:id="41" w:name="_Toc433731394"/>
      <w:bookmarkStart w:id="42" w:name="_Toc530663975"/>
      <w:r>
        <w:rPr>
          <w:rFonts w:hint="eastAsia" w:ascii="仿宋_GB2312" w:hAnsi="仿宋" w:eastAsia="仿宋_GB2312"/>
          <w:b/>
          <w:caps/>
          <w:color w:val="000000" w:themeColor="text1"/>
          <w:sz w:val="24"/>
        </w:rPr>
        <w:t>（一）估价对象财产范围及概况：</w:t>
      </w:r>
    </w:p>
    <w:p>
      <w:pPr>
        <w:spacing w:line="470" w:lineRule="exact"/>
        <w:ind w:firstLine="480" w:firstLineChars="200"/>
        <w:rPr>
          <w:rFonts w:ascii="仿宋_GB2312" w:hAnsi="仿宋" w:eastAsia="仿宋_GB2312" w:cs="新宋体-18030"/>
          <w:bCs/>
          <w:color w:val="auto"/>
          <w:sz w:val="24"/>
        </w:rPr>
      </w:pPr>
      <w:r>
        <w:rPr>
          <w:rFonts w:hint="eastAsia" w:ascii="仿宋_GB2312" w:hAnsi="仿宋" w:eastAsia="仿宋_GB2312" w:cs="新宋体-18030"/>
          <w:bCs/>
          <w:color w:val="000000" w:themeColor="text1"/>
          <w:sz w:val="24"/>
        </w:rPr>
        <w:t>估价对象：为</w:t>
      </w:r>
      <w:r>
        <w:rPr>
          <w:rFonts w:hint="eastAsia" w:ascii="仿宋_GB2312" w:hAnsi="仿宋" w:eastAsia="仿宋_GB2312" w:cs="新宋体-18030"/>
          <w:bCs/>
          <w:color w:val="000000" w:themeColor="text1"/>
          <w:sz w:val="24"/>
          <w:lang w:eastAsia="zh-CN"/>
        </w:rPr>
        <w:t>全椒县襄河镇港口路277号2幢2单元202室</w:t>
      </w:r>
      <w:r>
        <w:rPr>
          <w:rFonts w:hint="eastAsia" w:ascii="仿宋_GB2312" w:hAnsi="仿宋" w:eastAsia="仿宋_GB2312" w:cs="新宋体-18030"/>
          <w:bCs/>
          <w:color w:val="000000" w:themeColor="text1"/>
          <w:sz w:val="24"/>
        </w:rPr>
        <w:t>住宅用房，房屋建筑面积为</w:t>
      </w:r>
      <w:r>
        <w:rPr>
          <w:rFonts w:hint="eastAsia" w:ascii="仿宋_GB2312" w:hAnsi="仿宋" w:eastAsia="仿宋_GB2312" w:cs="新宋体-18030"/>
          <w:bCs/>
          <w:color w:val="000000" w:themeColor="text1"/>
          <w:sz w:val="24"/>
          <w:lang w:eastAsia="zh-CN"/>
        </w:rPr>
        <w:t>86.77</w:t>
      </w:r>
      <w:r>
        <w:rPr>
          <w:rFonts w:hint="eastAsia" w:ascii="仿宋_GB2312" w:hAnsi="仿宋" w:eastAsia="仿宋_GB2312" w:cs="新宋体-18030"/>
          <w:bCs/>
          <w:color w:val="000000" w:themeColor="text1"/>
          <w:sz w:val="24"/>
        </w:rPr>
        <w:t>平方米，分摊土地面积</w:t>
      </w:r>
      <w:r>
        <w:rPr>
          <w:rFonts w:hint="eastAsia" w:ascii="仿宋_GB2312" w:hAnsi="仿宋" w:eastAsia="仿宋_GB2312" w:cs="新宋体-18030"/>
          <w:bCs/>
          <w:color w:val="000000" w:themeColor="text1"/>
          <w:sz w:val="24"/>
          <w:lang w:val="en-US" w:eastAsia="zh-CN"/>
        </w:rPr>
        <w:t>为34.78平方米</w:t>
      </w:r>
      <w:r>
        <w:rPr>
          <w:rFonts w:hint="eastAsia" w:ascii="仿宋_GB2312" w:hAnsi="仿宋" w:eastAsia="仿宋_GB2312" w:cs="新宋体-18030"/>
          <w:bCs/>
          <w:sz w:val="24"/>
        </w:rPr>
        <w:t>。总</w:t>
      </w:r>
      <w:r>
        <w:rPr>
          <w:rFonts w:hint="eastAsia" w:ascii="仿宋_GB2312" w:hAnsi="仿宋" w:eastAsia="仿宋_GB2312" w:cs="新宋体-18030"/>
          <w:bCs/>
          <w:color w:val="000000" w:themeColor="text1"/>
          <w:sz w:val="24"/>
        </w:rPr>
        <w:t>楼层为</w:t>
      </w:r>
      <w:r>
        <w:rPr>
          <w:rFonts w:hint="eastAsia" w:ascii="仿宋_GB2312" w:hAnsi="仿宋" w:eastAsia="仿宋_GB2312" w:cs="新宋体-18030"/>
          <w:bCs/>
          <w:color w:val="000000" w:themeColor="text1"/>
          <w:sz w:val="24"/>
          <w:lang w:val="en-US" w:eastAsia="zh-CN"/>
        </w:rPr>
        <w:t>六</w:t>
      </w:r>
      <w:r>
        <w:rPr>
          <w:rFonts w:hint="eastAsia" w:ascii="仿宋_GB2312" w:hAnsi="仿宋" w:eastAsia="仿宋_GB2312" w:cs="新宋体-18030"/>
          <w:bCs/>
          <w:color w:val="000000" w:themeColor="text1"/>
          <w:sz w:val="24"/>
        </w:rPr>
        <w:t>层，估价对象位于第</w:t>
      </w:r>
      <w:r>
        <w:rPr>
          <w:rFonts w:hint="eastAsia" w:ascii="仿宋_GB2312" w:hAnsi="仿宋" w:eastAsia="仿宋_GB2312" w:cs="新宋体-18030"/>
          <w:bCs/>
          <w:color w:val="000000" w:themeColor="text1"/>
          <w:sz w:val="24"/>
          <w:lang w:val="en-US" w:eastAsia="zh-CN"/>
        </w:rPr>
        <w:t>二</w:t>
      </w:r>
      <w:r>
        <w:rPr>
          <w:rFonts w:hint="eastAsia" w:ascii="仿宋_GB2312" w:hAnsi="仿宋" w:eastAsia="仿宋_GB2312" w:cs="新宋体-18030"/>
          <w:bCs/>
          <w:color w:val="000000" w:themeColor="text1"/>
          <w:sz w:val="24"/>
        </w:rPr>
        <w:t>层</w:t>
      </w:r>
      <w:r>
        <w:rPr>
          <w:rFonts w:hint="eastAsia" w:ascii="仿宋_GB2312" w:hAnsi="仿宋" w:eastAsia="仿宋_GB2312" w:cs="新宋体-18030"/>
          <w:bCs/>
          <w:color w:val="000000" w:themeColor="text1"/>
          <w:sz w:val="24"/>
          <w:lang w:eastAsia="zh-CN"/>
        </w:rPr>
        <w:t>，</w:t>
      </w:r>
      <w:r>
        <w:rPr>
          <w:rFonts w:hint="eastAsia" w:ascii="仿宋_GB2312" w:hAnsi="仿宋" w:eastAsia="仿宋_GB2312" w:cs="新宋体-18030"/>
          <w:bCs/>
          <w:color w:val="000000" w:themeColor="text1"/>
          <w:sz w:val="24"/>
        </w:rPr>
        <w:t>第</w:t>
      </w:r>
      <w:r>
        <w:rPr>
          <w:rFonts w:hint="eastAsia" w:ascii="仿宋_GB2312" w:hAnsi="仿宋" w:eastAsia="仿宋_GB2312" w:cs="新宋体-18030"/>
          <w:bCs/>
          <w:color w:val="000000" w:themeColor="text1"/>
          <w:sz w:val="24"/>
          <w:lang w:val="en-US" w:eastAsia="zh-CN"/>
        </w:rPr>
        <w:t>二</w:t>
      </w:r>
      <w:r>
        <w:rPr>
          <w:rFonts w:hint="eastAsia" w:ascii="仿宋_GB2312" w:hAnsi="仿宋" w:eastAsia="仿宋_GB2312" w:cs="新宋体-18030"/>
          <w:bCs/>
          <w:color w:val="000000" w:themeColor="text1"/>
          <w:sz w:val="24"/>
        </w:rPr>
        <w:t>层</w:t>
      </w:r>
      <w:r>
        <w:rPr>
          <w:rFonts w:hint="eastAsia" w:ascii="仿宋_GB2312" w:hAnsi="仿宋" w:eastAsia="仿宋_GB2312" w:cs="仿宋_GB2312"/>
          <w:color w:val="000000" w:themeColor="text1"/>
          <w:sz w:val="24"/>
          <w:szCs w:val="24"/>
        </w:rPr>
        <w:t>现用于</w:t>
      </w:r>
      <w:r>
        <w:rPr>
          <w:rFonts w:hint="eastAsia" w:ascii="仿宋_GB2312" w:hAnsi="仿宋" w:eastAsia="仿宋_GB2312" w:cs="仿宋_GB2312"/>
          <w:color w:val="000000" w:themeColor="text1"/>
          <w:sz w:val="24"/>
          <w:szCs w:val="24"/>
          <w:lang w:val="en-US" w:eastAsia="zh-CN"/>
        </w:rPr>
        <w:t>住宅。</w:t>
      </w:r>
      <w:r>
        <w:rPr>
          <w:rFonts w:hint="eastAsia" w:ascii="仿宋_GB2312" w:hAnsi="仿宋" w:eastAsia="仿宋_GB2312" w:cs="新宋体-18030"/>
          <w:bCs/>
          <w:color w:val="000000" w:themeColor="text1"/>
          <w:sz w:val="24"/>
        </w:rPr>
        <w:t>估价对象房屋证载用途为住宅，实际用途为住宅；</w:t>
      </w:r>
      <w:r>
        <w:rPr>
          <w:rFonts w:hint="eastAsia" w:ascii="仿宋_GB2312" w:hAnsi="仿宋" w:eastAsia="仿宋_GB2312" w:cs="新宋体-18030"/>
          <w:bCs/>
          <w:color w:val="auto"/>
          <w:sz w:val="24"/>
          <w:lang w:val="en-US" w:eastAsia="zh-CN"/>
        </w:rPr>
        <w:t>土地</w:t>
      </w:r>
      <w:r>
        <w:rPr>
          <w:rFonts w:hint="eastAsia" w:ascii="仿宋_GB2312" w:hAnsi="仿宋" w:eastAsia="仿宋_GB2312" w:cs="新宋体-18030"/>
          <w:bCs/>
          <w:color w:val="auto"/>
          <w:sz w:val="24"/>
        </w:rPr>
        <w:t>证载使用权类型为</w:t>
      </w:r>
      <w:r>
        <w:rPr>
          <w:rFonts w:hint="eastAsia" w:ascii="仿宋_GB2312" w:hAnsi="仿宋" w:eastAsia="仿宋_GB2312" w:cs="新宋体-18030"/>
          <w:bCs/>
          <w:color w:val="auto"/>
          <w:sz w:val="24"/>
          <w:lang w:val="en-US" w:eastAsia="zh-CN"/>
        </w:rPr>
        <w:t>划拨</w:t>
      </w:r>
      <w:r>
        <w:rPr>
          <w:rFonts w:hint="eastAsia" w:ascii="仿宋_GB2312" w:hAnsi="仿宋" w:eastAsia="仿宋_GB2312" w:cs="新宋体-18030"/>
          <w:bCs/>
          <w:color w:val="auto"/>
          <w:sz w:val="24"/>
        </w:rPr>
        <w:t>，用途为</w:t>
      </w:r>
      <w:r>
        <w:rPr>
          <w:rFonts w:hint="eastAsia" w:ascii="仿宋_GB2312" w:hAnsi="仿宋" w:eastAsia="仿宋_GB2312" w:cs="新宋体-18030"/>
          <w:bCs/>
          <w:color w:val="auto"/>
          <w:sz w:val="24"/>
          <w:lang w:val="en-US" w:eastAsia="zh-CN"/>
        </w:rPr>
        <w:t>普通住宅/安置房</w:t>
      </w:r>
      <w:r>
        <w:rPr>
          <w:rFonts w:hint="eastAsia" w:ascii="仿宋_GB2312" w:hAnsi="仿宋" w:eastAsia="仿宋_GB2312" w:cs="新宋体-18030"/>
          <w:bCs/>
          <w:color w:val="auto"/>
          <w:sz w:val="24"/>
        </w:rPr>
        <w:t>。</w:t>
      </w:r>
    </w:p>
    <w:p>
      <w:pPr>
        <w:snapToGrid w:val="0"/>
        <w:spacing w:line="470" w:lineRule="exact"/>
        <w:ind w:firstLine="480" w:firstLineChars="200"/>
        <w:rPr>
          <w:rFonts w:ascii="仿宋_GB2312" w:hAnsi="仿宋" w:eastAsia="仿宋_GB2312"/>
          <w:caps/>
          <w:color w:val="000000" w:themeColor="text1"/>
          <w:sz w:val="24"/>
        </w:rPr>
      </w:pPr>
      <w:r>
        <w:rPr>
          <w:rFonts w:hint="eastAsia" w:ascii="仿宋_GB2312" w:hAnsi="仿宋" w:eastAsia="仿宋_GB2312" w:cs="新宋体-18030"/>
          <w:bCs/>
          <w:color w:val="000000" w:themeColor="text1"/>
          <w:sz w:val="24"/>
        </w:rPr>
        <w:t>本估价对象属</w:t>
      </w:r>
      <w:r>
        <w:rPr>
          <w:rFonts w:hint="eastAsia" w:ascii="仿宋_GB2312" w:hAnsi="仿宋" w:eastAsia="仿宋_GB2312" w:cs="新宋体-18030"/>
          <w:bCs/>
          <w:color w:val="000000" w:themeColor="text1"/>
          <w:sz w:val="24"/>
          <w:lang w:eastAsia="zh-CN"/>
        </w:rPr>
        <w:t>黄少松</w:t>
      </w:r>
      <w:r>
        <w:rPr>
          <w:rFonts w:hint="eastAsia" w:ascii="仿宋_GB2312" w:hAnsi="仿宋" w:eastAsia="仿宋_GB2312" w:cs="新宋体-18030"/>
          <w:bCs/>
          <w:color w:val="000000" w:themeColor="text1"/>
          <w:sz w:val="24"/>
          <w:highlight w:val="none"/>
          <w:lang w:eastAsia="zh-CN"/>
        </w:rPr>
        <w:t>单独所有</w:t>
      </w:r>
      <w:r>
        <w:rPr>
          <w:rFonts w:hint="eastAsia" w:ascii="仿宋_GB2312" w:hAnsi="仿宋" w:eastAsia="仿宋_GB2312" w:cs="新宋体-18030"/>
          <w:bCs/>
          <w:color w:val="000000" w:themeColor="text1"/>
          <w:sz w:val="24"/>
          <w:highlight w:val="none"/>
        </w:rPr>
        <w:t>，估价对</w:t>
      </w:r>
      <w:r>
        <w:rPr>
          <w:rFonts w:hint="eastAsia" w:ascii="仿宋_GB2312" w:hAnsi="仿宋" w:eastAsia="仿宋_GB2312" w:cs="新宋体-18030"/>
          <w:bCs/>
          <w:color w:val="000000" w:themeColor="text1"/>
          <w:sz w:val="24"/>
        </w:rPr>
        <w:t>象的财产范围包</w:t>
      </w:r>
      <w:r>
        <w:rPr>
          <w:rFonts w:hint="eastAsia" w:ascii="仿宋_GB2312" w:hAnsi="仿宋" w:eastAsia="仿宋_GB2312" w:cs="新宋体-18030"/>
          <w:bCs/>
          <w:color w:val="000000" w:themeColor="text1"/>
          <w:sz w:val="24"/>
          <w:highlight w:val="none"/>
        </w:rPr>
        <w:t>括建筑物</w:t>
      </w:r>
      <w:r>
        <w:rPr>
          <w:rFonts w:hint="eastAsia" w:ascii="仿宋_GB2312" w:hAnsi="仿宋" w:eastAsia="仿宋_GB2312" w:cs="新宋体-18030"/>
          <w:bCs/>
          <w:color w:val="000000" w:themeColor="text1"/>
          <w:sz w:val="24"/>
          <w:highlight w:val="none"/>
          <w:lang w:eastAsia="zh-CN"/>
        </w:rPr>
        <w:t>（</w:t>
      </w:r>
      <w:r>
        <w:rPr>
          <w:rFonts w:hint="eastAsia" w:ascii="仿宋_GB2312" w:hAnsi="仿宋" w:eastAsia="仿宋_GB2312" w:cs="新宋体-18030"/>
          <w:bCs/>
          <w:color w:val="000000" w:themeColor="text1"/>
          <w:sz w:val="24"/>
          <w:highlight w:val="none"/>
          <w:lang w:val="en-US" w:eastAsia="zh-CN"/>
        </w:rPr>
        <w:t>含装修</w:t>
      </w:r>
      <w:r>
        <w:rPr>
          <w:rFonts w:hint="eastAsia" w:ascii="仿宋_GB2312" w:hAnsi="仿宋" w:eastAsia="仿宋_GB2312" w:cs="新宋体-18030"/>
          <w:bCs/>
          <w:color w:val="000000" w:themeColor="text1"/>
          <w:sz w:val="24"/>
          <w:highlight w:val="none"/>
          <w:lang w:eastAsia="zh-CN"/>
        </w:rPr>
        <w:t>）</w:t>
      </w:r>
      <w:r>
        <w:rPr>
          <w:rFonts w:hint="eastAsia" w:ascii="仿宋_GB2312" w:hAnsi="仿宋" w:eastAsia="仿宋_GB2312" w:cs="新宋体-18030"/>
          <w:bCs/>
          <w:color w:val="000000" w:themeColor="text1"/>
          <w:sz w:val="24"/>
          <w:highlight w:val="none"/>
        </w:rPr>
        <w:t>、</w:t>
      </w:r>
      <w:r>
        <w:rPr>
          <w:rFonts w:hint="eastAsia" w:ascii="仿宋_GB2312" w:hAnsi="仿宋" w:eastAsia="仿宋_GB2312" w:cs="新宋体-18030"/>
          <w:bCs/>
          <w:color w:val="000000" w:themeColor="text1"/>
          <w:sz w:val="24"/>
        </w:rPr>
        <w:t>分摊的土地使用权（</w:t>
      </w:r>
      <w:r>
        <w:rPr>
          <w:rFonts w:hint="eastAsia" w:ascii="仿宋_GB2312" w:hAnsi="仿宋" w:eastAsia="仿宋_GB2312" w:cs="新宋体-18030"/>
          <w:bCs/>
          <w:color w:val="000000" w:themeColor="text1"/>
          <w:sz w:val="24"/>
          <w:lang w:val="en-US" w:eastAsia="zh-CN"/>
        </w:rPr>
        <w:t>不</w:t>
      </w:r>
      <w:r>
        <w:rPr>
          <w:rFonts w:hint="eastAsia" w:ascii="仿宋_GB2312" w:hAnsi="仿宋" w:eastAsia="仿宋_GB2312" w:cs="新宋体-18030"/>
          <w:bCs/>
          <w:color w:val="000000" w:themeColor="text1"/>
          <w:sz w:val="24"/>
        </w:rPr>
        <w:t>含土地出让金），不包括动产、债权债务、特许经营权等及其他财产或权益。</w:t>
      </w:r>
    </w:p>
    <w:p>
      <w:pPr>
        <w:spacing w:line="470" w:lineRule="exact"/>
        <w:ind w:firstLine="482" w:firstLineChars="200"/>
        <w:rPr>
          <w:rFonts w:ascii="仿宋_GB2312" w:hAnsi="仿宋" w:eastAsia="仿宋_GB2312" w:cs="新宋体-18030"/>
          <w:b/>
          <w:color w:val="000000" w:themeColor="text1"/>
          <w:sz w:val="24"/>
        </w:rPr>
      </w:pPr>
      <w:r>
        <w:rPr>
          <w:rFonts w:hint="eastAsia" w:ascii="仿宋_GB2312" w:hAnsi="仿宋" w:eastAsia="仿宋_GB2312" w:cs="新宋体-18030"/>
          <w:b/>
          <w:color w:val="000000" w:themeColor="text1"/>
          <w:sz w:val="24"/>
        </w:rPr>
        <w:t>（二）房地产权益情况</w:t>
      </w:r>
    </w:p>
    <w:p>
      <w:pPr>
        <w:spacing w:line="47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（1）</w:t>
      </w:r>
      <w:r>
        <w:rPr>
          <w:rFonts w:hint="eastAsia" w:ascii="仿宋_GB2312" w:hAnsi="仿宋" w:eastAsia="仿宋_GB2312" w:cs="新宋体-18030"/>
          <w:bCs/>
          <w:color w:val="000000" w:themeColor="text1"/>
          <w:sz w:val="24"/>
          <w:lang w:val="en-US" w:eastAsia="zh-CN"/>
        </w:rPr>
        <w:t>不动产权证登记信息</w:t>
      </w:r>
      <w:r>
        <w:rPr>
          <w:rFonts w:hint="eastAsia" w:ascii="仿宋_GB2312" w:hAnsi="仿宋" w:eastAsia="仿宋_GB2312" w:cs="新宋体-18030"/>
          <w:color w:val="000000" w:themeColor="text1"/>
          <w:sz w:val="24"/>
        </w:rPr>
        <w:t>状况</w:t>
      </w:r>
    </w:p>
    <w:tbl>
      <w:tblPr>
        <w:tblStyle w:val="26"/>
        <w:tblW w:w="10570" w:type="dxa"/>
        <w:jc w:val="center"/>
        <w:tblLayout w:type="fixed"/>
        <w:tblCellMar>
          <w:top w:w="0" w:type="dxa"/>
          <w:left w:w="108" w:type="dxa"/>
          <w:bottom w:w="0" w:type="dxa"/>
          <w:right w:w="108" w:type="dxa"/>
        </w:tblCellMar>
      </w:tblPr>
      <w:tblGrid>
        <w:gridCol w:w="718"/>
        <w:gridCol w:w="1451"/>
        <w:gridCol w:w="946"/>
        <w:gridCol w:w="1431"/>
        <w:gridCol w:w="900"/>
        <w:gridCol w:w="923"/>
        <w:gridCol w:w="785"/>
        <w:gridCol w:w="755"/>
        <w:gridCol w:w="965"/>
        <w:gridCol w:w="755"/>
        <w:gridCol w:w="941"/>
      </w:tblGrid>
      <w:tr>
        <w:tblPrEx>
          <w:tblCellMar>
            <w:top w:w="0" w:type="dxa"/>
            <w:left w:w="108" w:type="dxa"/>
            <w:bottom w:w="0" w:type="dxa"/>
            <w:right w:w="108" w:type="dxa"/>
          </w:tblCellMar>
        </w:tblPrEx>
        <w:trPr>
          <w:trHeight w:val="641"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估价</w:t>
            </w:r>
            <w:r>
              <w:rPr>
                <w:rFonts w:ascii="仿宋_GB2312" w:hAnsi="宋体" w:eastAsia="仿宋_GB2312"/>
                <w:color w:val="000000" w:themeColor="text1"/>
                <w:kern w:val="0"/>
                <w:sz w:val="22"/>
                <w:szCs w:val="22"/>
              </w:rPr>
              <w:br w:type="textWrapping"/>
            </w:r>
            <w:r>
              <w:rPr>
                <w:rFonts w:hint="eastAsia" w:ascii="仿宋_GB2312" w:hAnsi="宋体" w:eastAsia="仿宋_GB2312" w:cs="仿宋_GB2312"/>
                <w:color w:val="000000" w:themeColor="text1"/>
                <w:kern w:val="0"/>
                <w:sz w:val="22"/>
                <w:szCs w:val="22"/>
              </w:rPr>
              <w:t>对象</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房屋坐落</w:t>
            </w:r>
          </w:p>
        </w:tc>
        <w:tc>
          <w:tcPr>
            <w:tcW w:w="9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产权人</w:t>
            </w:r>
          </w:p>
        </w:tc>
        <w:tc>
          <w:tcPr>
            <w:tcW w:w="14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产权证号</w:t>
            </w:r>
          </w:p>
        </w:tc>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建筑面积（</w:t>
            </w:r>
            <w:r>
              <w:rPr>
                <w:rFonts w:ascii="仿宋_GB2312" w:hAnsi="宋体" w:eastAsia="仿宋_GB2312" w:cs="仿宋_GB2312"/>
                <w:color w:val="000000" w:themeColor="text1"/>
                <w:kern w:val="0"/>
                <w:sz w:val="22"/>
                <w:szCs w:val="22"/>
              </w:rPr>
              <w:t>m</w:t>
            </w:r>
            <w:r>
              <w:rPr>
                <w:rFonts w:ascii="仿宋_GB2312" w:hAnsi="宋体" w:eastAsia="仿宋_GB2312" w:cs="仿宋_GB2312"/>
                <w:color w:val="000000" w:themeColor="text1"/>
                <w:kern w:val="0"/>
                <w:szCs w:val="24"/>
                <w:vertAlign w:val="superscript"/>
              </w:rPr>
              <w:t>2</w:t>
            </w:r>
            <w:r>
              <w:rPr>
                <w:rFonts w:hint="eastAsia" w:ascii="仿宋_GB2312" w:hAnsi="宋体" w:eastAsia="仿宋_GB2312" w:cs="仿宋_GB2312"/>
                <w:color w:val="000000" w:themeColor="text1"/>
                <w:kern w:val="0"/>
                <w:sz w:val="22"/>
                <w:szCs w:val="22"/>
              </w:rPr>
              <w:t>）</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color w:val="000000" w:themeColor="text1"/>
                <w:kern w:val="0"/>
                <w:sz w:val="22"/>
                <w:szCs w:val="22"/>
              </w:rPr>
            </w:pPr>
            <w:r>
              <w:rPr>
                <w:rFonts w:hint="eastAsia" w:ascii="仿宋_GB2312" w:hAnsi="宋体" w:eastAsia="仿宋_GB2312" w:cs="仿宋_GB2312"/>
                <w:color w:val="000000" w:themeColor="text1"/>
                <w:kern w:val="0"/>
                <w:sz w:val="22"/>
                <w:szCs w:val="22"/>
              </w:rPr>
              <w:t>分摊土地面积（</w:t>
            </w:r>
            <w:r>
              <w:rPr>
                <w:rFonts w:ascii="仿宋_GB2312" w:hAnsi="宋体" w:eastAsia="仿宋_GB2312" w:cs="仿宋_GB2312"/>
                <w:color w:val="000000" w:themeColor="text1"/>
                <w:kern w:val="0"/>
                <w:sz w:val="22"/>
                <w:szCs w:val="22"/>
              </w:rPr>
              <w:t>m</w:t>
            </w:r>
            <w:r>
              <w:rPr>
                <w:rFonts w:ascii="仿宋_GB2312" w:hAnsi="宋体" w:eastAsia="仿宋_GB2312" w:cs="仿宋_GB2312"/>
                <w:color w:val="000000" w:themeColor="text1"/>
                <w:kern w:val="0"/>
                <w:szCs w:val="24"/>
                <w:vertAlign w:val="superscript"/>
              </w:rPr>
              <w:t>2</w:t>
            </w:r>
            <w:r>
              <w:rPr>
                <w:rFonts w:hint="eastAsia" w:ascii="仿宋_GB2312" w:hAnsi="宋体" w:eastAsia="仿宋_GB2312" w:cs="仿宋_GB2312"/>
                <w:color w:val="000000" w:themeColor="text1"/>
                <w:kern w:val="0"/>
                <w:sz w:val="22"/>
                <w:szCs w:val="22"/>
              </w:rPr>
              <w:t>）</w:t>
            </w:r>
          </w:p>
        </w:tc>
        <w:tc>
          <w:tcPr>
            <w:tcW w:w="7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层次</w:t>
            </w:r>
          </w:p>
          <w:p>
            <w:pPr>
              <w:widowControl/>
              <w:jc w:val="center"/>
              <w:rPr>
                <w:rFonts w:ascii="仿宋_GB2312" w:hAnsi="宋体" w:eastAsia="仿宋_GB2312"/>
                <w:color w:val="000000" w:themeColor="text1"/>
                <w:kern w:val="0"/>
                <w:sz w:val="22"/>
              </w:rPr>
            </w:pPr>
            <w:r>
              <w:rPr>
                <w:rFonts w:ascii="仿宋_GB2312" w:hAnsi="宋体" w:eastAsia="仿宋_GB2312" w:cs="仿宋_GB2312"/>
                <w:color w:val="000000" w:themeColor="text1"/>
                <w:kern w:val="0"/>
                <w:sz w:val="22"/>
                <w:szCs w:val="22"/>
              </w:rPr>
              <w:t>/</w:t>
            </w:r>
            <w:r>
              <w:rPr>
                <w:rFonts w:hint="eastAsia" w:ascii="仿宋_GB2312" w:hAnsi="宋体" w:eastAsia="仿宋_GB2312" w:cs="仿宋_GB2312"/>
                <w:color w:val="000000" w:themeColor="text1"/>
                <w:kern w:val="0"/>
                <w:sz w:val="22"/>
                <w:szCs w:val="22"/>
              </w:rPr>
              <w:t>总层数</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建筑</w:t>
            </w:r>
            <w:r>
              <w:rPr>
                <w:rFonts w:ascii="仿宋_GB2312" w:hAnsi="宋体" w:eastAsia="仿宋_GB2312"/>
                <w:color w:val="000000" w:themeColor="text1"/>
                <w:kern w:val="0"/>
                <w:sz w:val="22"/>
                <w:szCs w:val="22"/>
              </w:rPr>
              <w:br w:type="textWrapping"/>
            </w:r>
            <w:r>
              <w:rPr>
                <w:rFonts w:hint="eastAsia" w:ascii="仿宋_GB2312" w:hAnsi="宋体" w:eastAsia="仿宋_GB2312" w:cs="仿宋_GB2312"/>
                <w:color w:val="000000" w:themeColor="text1"/>
                <w:kern w:val="0"/>
                <w:sz w:val="22"/>
                <w:szCs w:val="22"/>
              </w:rPr>
              <w:t>结构</w:t>
            </w:r>
          </w:p>
        </w:tc>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建筑</w:t>
            </w:r>
            <w:r>
              <w:rPr>
                <w:rFonts w:ascii="仿宋_GB2312" w:hAnsi="宋体" w:eastAsia="仿宋_GB2312"/>
                <w:color w:val="000000" w:themeColor="text1"/>
                <w:kern w:val="0"/>
                <w:sz w:val="22"/>
                <w:szCs w:val="22"/>
              </w:rPr>
              <w:br w:type="textWrapping"/>
            </w:r>
            <w:r>
              <w:rPr>
                <w:rFonts w:hint="eastAsia" w:ascii="仿宋_GB2312" w:hAnsi="宋体" w:eastAsia="仿宋_GB2312" w:cs="仿宋_GB2312"/>
                <w:color w:val="000000" w:themeColor="text1"/>
                <w:kern w:val="0"/>
                <w:sz w:val="22"/>
                <w:szCs w:val="22"/>
              </w:rPr>
              <w:t>年代</w:t>
            </w:r>
          </w:p>
        </w:tc>
        <w:tc>
          <w:tcPr>
            <w:tcW w:w="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olor w:val="000000" w:themeColor="text1"/>
                <w:kern w:val="0"/>
                <w:sz w:val="22"/>
              </w:rPr>
            </w:pPr>
            <w:r>
              <w:rPr>
                <w:rFonts w:hint="eastAsia" w:ascii="仿宋_GB2312" w:hAnsi="宋体" w:eastAsia="仿宋_GB2312" w:cs="仿宋_GB2312"/>
                <w:color w:val="000000" w:themeColor="text1"/>
                <w:kern w:val="0"/>
                <w:sz w:val="22"/>
                <w:szCs w:val="22"/>
              </w:rPr>
              <w:t>用途</w:t>
            </w:r>
          </w:p>
        </w:tc>
        <w:tc>
          <w:tcPr>
            <w:tcW w:w="9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仿宋_GB2312"/>
                <w:color w:val="000000" w:themeColor="text1"/>
                <w:kern w:val="0"/>
                <w:sz w:val="22"/>
                <w:szCs w:val="22"/>
              </w:rPr>
            </w:pPr>
            <w:r>
              <w:rPr>
                <w:rFonts w:hint="eastAsia" w:ascii="仿宋_GB2312" w:hAnsi="宋体" w:eastAsia="仿宋_GB2312" w:cs="仿宋_GB2312"/>
                <w:color w:val="000000" w:themeColor="text1"/>
                <w:kern w:val="0"/>
                <w:sz w:val="22"/>
                <w:szCs w:val="22"/>
              </w:rPr>
              <w:t>权利性质</w:t>
            </w:r>
          </w:p>
        </w:tc>
      </w:tr>
      <w:tr>
        <w:tblPrEx>
          <w:tblCellMar>
            <w:top w:w="0" w:type="dxa"/>
            <w:left w:w="108" w:type="dxa"/>
            <w:bottom w:w="0" w:type="dxa"/>
            <w:right w:w="108" w:type="dxa"/>
          </w:tblCellMar>
        </w:tblPrEx>
        <w:trPr>
          <w:trHeight w:val="1275" w:hRule="atLeast"/>
          <w:jc w:val="center"/>
        </w:trPr>
        <w:tc>
          <w:tcPr>
            <w:tcW w:w="718"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rPr>
            </w:pPr>
            <w:r>
              <w:rPr>
                <w:rFonts w:hint="eastAsia" w:ascii="仿宋_GB2312" w:hAnsi="宋体" w:eastAsia="仿宋_GB2312" w:cs="仿宋_GB2312"/>
                <w:color w:val="000000" w:themeColor="text1"/>
                <w:kern w:val="0"/>
                <w:sz w:val="22"/>
                <w:szCs w:val="22"/>
              </w:rPr>
              <w:t>1</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lang w:eastAsia="zh-CN"/>
              </w:rPr>
            </w:pPr>
            <w:r>
              <w:rPr>
                <w:rFonts w:hint="eastAsia" w:ascii="仿宋_GB2312" w:hAnsi="宋体" w:eastAsia="仿宋_GB2312" w:cs="仿宋_GB2312"/>
                <w:color w:val="000000" w:themeColor="text1"/>
                <w:kern w:val="0"/>
                <w:sz w:val="22"/>
                <w:szCs w:val="22"/>
                <w:lang w:eastAsia="zh-CN"/>
              </w:rPr>
              <w:t>全椒县襄河镇港口路277号2幢2单元202室</w:t>
            </w:r>
          </w:p>
        </w:tc>
        <w:tc>
          <w:tcPr>
            <w:tcW w:w="946"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lang w:eastAsia="zh-CN"/>
              </w:rPr>
            </w:pPr>
            <w:r>
              <w:rPr>
                <w:rFonts w:hint="eastAsia" w:ascii="仿宋_GB2312" w:hAnsi="宋体" w:eastAsia="仿宋_GB2312" w:cs="仿宋_GB2312"/>
                <w:color w:val="000000" w:themeColor="text1"/>
                <w:kern w:val="0"/>
                <w:sz w:val="22"/>
                <w:szCs w:val="22"/>
                <w:lang w:eastAsia="zh-CN"/>
              </w:rPr>
              <w:t>黄少松</w:t>
            </w:r>
          </w:p>
        </w:tc>
        <w:tc>
          <w:tcPr>
            <w:tcW w:w="143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lang w:eastAsia="zh-CN"/>
              </w:rPr>
            </w:pPr>
            <w:r>
              <w:rPr>
                <w:rFonts w:hint="eastAsia" w:ascii="仿宋_GB2312" w:hAnsi="宋体" w:eastAsia="仿宋_GB2312" w:cs="仿宋_GB2312"/>
                <w:color w:val="000000" w:themeColor="text1"/>
                <w:kern w:val="0"/>
                <w:sz w:val="22"/>
                <w:szCs w:val="22"/>
                <w:lang w:eastAsia="zh-CN"/>
              </w:rPr>
              <w:t>皖（2018）全椒县不动产权第0001353号</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lang w:eastAsia="zh-CN"/>
              </w:rPr>
            </w:pPr>
            <w:r>
              <w:rPr>
                <w:rFonts w:hint="eastAsia" w:ascii="仿宋_GB2312" w:hAnsi="宋体" w:eastAsia="仿宋_GB2312" w:cs="仿宋_GB2312"/>
                <w:color w:val="000000" w:themeColor="text1"/>
                <w:kern w:val="0"/>
                <w:sz w:val="22"/>
                <w:szCs w:val="22"/>
                <w:lang w:eastAsia="zh-CN"/>
              </w:rPr>
              <w:t>86.77</w:t>
            </w:r>
          </w:p>
        </w:tc>
        <w:tc>
          <w:tcPr>
            <w:tcW w:w="923"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仿宋_GB2312" w:cs="仿宋_GB2312"/>
                <w:color w:val="000000" w:themeColor="text1"/>
                <w:kern w:val="0"/>
                <w:sz w:val="22"/>
                <w:szCs w:val="22"/>
                <w:lang w:val="en-US" w:eastAsia="zh-CN"/>
              </w:rPr>
            </w:pPr>
            <w:r>
              <w:rPr>
                <w:rFonts w:hint="eastAsia" w:ascii="仿宋_GB2312" w:hAnsi="宋体" w:eastAsia="仿宋_GB2312" w:cs="仿宋_GB2312"/>
                <w:color w:val="000000" w:themeColor="text1"/>
                <w:kern w:val="0"/>
                <w:sz w:val="22"/>
                <w:szCs w:val="22"/>
                <w:lang w:val="en-US" w:eastAsia="zh-CN"/>
              </w:rPr>
              <w:t>34.78</w:t>
            </w:r>
          </w:p>
        </w:tc>
        <w:tc>
          <w:tcPr>
            <w:tcW w:w="785"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仿宋_GB2312" w:cs="仿宋_GB2312"/>
                <w:color w:val="000000" w:themeColor="text1"/>
                <w:kern w:val="0"/>
                <w:sz w:val="22"/>
                <w:szCs w:val="22"/>
                <w:lang w:val="en-US" w:eastAsia="zh-CN"/>
              </w:rPr>
            </w:pPr>
            <w:r>
              <w:rPr>
                <w:rFonts w:hint="eastAsia" w:ascii="仿宋_GB2312" w:hAnsi="宋体" w:eastAsia="仿宋_GB2312" w:cs="仿宋_GB2312"/>
                <w:color w:val="000000" w:themeColor="text1"/>
                <w:kern w:val="0"/>
                <w:sz w:val="22"/>
                <w:szCs w:val="22"/>
                <w:lang w:val="en-US" w:eastAsia="zh-CN"/>
              </w:rPr>
              <w:t>2/6层</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lang w:eastAsia="zh-CN"/>
              </w:rPr>
            </w:pPr>
            <w:r>
              <w:rPr>
                <w:rFonts w:hint="eastAsia" w:ascii="仿宋_GB2312" w:hAnsi="宋体" w:eastAsia="仿宋_GB2312" w:cs="仿宋_GB2312"/>
                <w:color w:val="000000" w:themeColor="text1"/>
                <w:kern w:val="0"/>
                <w:sz w:val="22"/>
                <w:szCs w:val="22"/>
                <w:lang w:val="en-US" w:eastAsia="zh-CN"/>
              </w:rPr>
              <w:t>混合</w:t>
            </w:r>
          </w:p>
        </w:tc>
        <w:tc>
          <w:tcPr>
            <w:tcW w:w="965" w:type="dxa"/>
            <w:tcBorders>
              <w:top w:val="single" w:color="auto" w:sz="4" w:space="0"/>
              <w:left w:val="nil"/>
              <w:bottom w:val="single" w:color="auto" w:sz="4" w:space="0"/>
              <w:right w:val="single" w:color="auto" w:sz="4" w:space="0"/>
            </w:tcBorders>
            <w:vAlign w:val="center"/>
          </w:tcPr>
          <w:p>
            <w:pPr>
              <w:widowControl/>
              <w:jc w:val="center"/>
              <w:rPr>
                <w:rFonts w:hint="default" w:ascii="仿宋_GB2312" w:hAnsi="宋体" w:eastAsia="仿宋_GB2312" w:cs="仿宋_GB2312"/>
                <w:color w:val="000000" w:themeColor="text1"/>
                <w:kern w:val="0"/>
                <w:sz w:val="22"/>
                <w:szCs w:val="22"/>
                <w:lang w:val="en-US" w:eastAsia="zh-CN"/>
              </w:rPr>
            </w:pPr>
            <w:r>
              <w:rPr>
                <w:rFonts w:hint="eastAsia" w:ascii="仿宋_GB2312" w:hAnsi="宋体" w:eastAsia="仿宋_GB2312" w:cs="仿宋_GB2312"/>
                <w:color w:val="000000" w:themeColor="text1"/>
                <w:kern w:val="0"/>
                <w:sz w:val="22"/>
                <w:szCs w:val="22"/>
                <w:lang w:val="en-US" w:eastAsia="zh-CN"/>
              </w:rPr>
              <w:t>2009</w:t>
            </w:r>
            <w:r>
              <w:rPr>
                <w:rFonts w:hint="eastAsia" w:ascii="仿宋_GB2312" w:hAnsi="宋体" w:eastAsia="仿宋_GB2312" w:cs="仿宋_GB2312"/>
                <w:color w:val="000000" w:themeColor="text1"/>
                <w:kern w:val="0"/>
                <w:sz w:val="22"/>
                <w:szCs w:val="22"/>
              </w:rPr>
              <w:t>年</w:t>
            </w:r>
            <w:r>
              <w:rPr>
                <w:rFonts w:hint="eastAsia" w:ascii="仿宋_GB2312" w:hAnsi="宋体" w:eastAsia="仿宋_GB2312" w:cs="仿宋_GB2312"/>
                <w:color w:val="000000" w:themeColor="text1"/>
                <w:kern w:val="0"/>
                <w:sz w:val="22"/>
                <w:szCs w:val="22"/>
                <w:lang w:val="en-US" w:eastAsia="zh-CN"/>
              </w:rPr>
              <w:t>1月1日</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rPr>
            </w:pPr>
            <w:r>
              <w:rPr>
                <w:rFonts w:hint="eastAsia" w:ascii="仿宋_GB2312" w:hAnsi="宋体" w:eastAsia="仿宋_GB2312" w:cs="仿宋_GB2312"/>
                <w:color w:val="000000" w:themeColor="text1"/>
                <w:kern w:val="0"/>
                <w:sz w:val="22"/>
                <w:szCs w:val="22"/>
              </w:rPr>
              <w:t>住宅</w:t>
            </w:r>
          </w:p>
        </w:tc>
        <w:tc>
          <w:tcPr>
            <w:tcW w:w="94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仿宋_GB2312"/>
                <w:color w:val="000000" w:themeColor="text1"/>
                <w:kern w:val="0"/>
                <w:sz w:val="22"/>
                <w:szCs w:val="22"/>
                <w:lang w:eastAsia="zh-CN"/>
              </w:rPr>
            </w:pPr>
            <w:r>
              <w:rPr>
                <w:rFonts w:hint="eastAsia" w:ascii="仿宋_GB2312" w:hAnsi="宋体" w:eastAsia="仿宋_GB2312" w:cs="仿宋_GB2312"/>
                <w:color w:val="000000" w:themeColor="text1"/>
                <w:kern w:val="0"/>
                <w:sz w:val="22"/>
                <w:szCs w:val="22"/>
                <w:lang w:val="en-US" w:eastAsia="zh-CN"/>
              </w:rPr>
              <w:t>划拨</w:t>
            </w:r>
          </w:p>
        </w:tc>
      </w:tr>
    </w:tbl>
    <w:p>
      <w:pPr>
        <w:spacing w:line="480" w:lineRule="exact"/>
        <w:ind w:firstLine="240" w:firstLineChars="100"/>
        <w:rPr>
          <w:rFonts w:ascii="仿宋_GB2312" w:hAnsi="仿宋" w:eastAsia="仿宋_GB2312" w:cs="新宋体-18030"/>
          <w:bCs/>
          <w:color w:val="000000" w:themeColor="text1"/>
          <w:sz w:val="24"/>
        </w:rPr>
      </w:pPr>
      <w:r>
        <w:rPr>
          <w:rFonts w:hint="eastAsia" w:ascii="仿宋_GB2312" w:hAnsi="仿宋" w:eastAsia="仿宋_GB2312" w:cs="新宋体-18030"/>
          <w:bCs/>
          <w:color w:val="000000" w:themeColor="text1"/>
          <w:sz w:val="24"/>
        </w:rPr>
        <w:t>（2）估价对象其他权利状况</w:t>
      </w:r>
    </w:p>
    <w:p>
      <w:pPr>
        <w:keepNext w:val="0"/>
        <w:keepLines w:val="0"/>
        <w:pageBreakBefore w:val="0"/>
        <w:widowControl w:val="0"/>
        <w:kinsoku/>
        <w:wordWrap/>
        <w:overflowPunct/>
        <w:topLinePunct/>
        <w:autoSpaceDE/>
        <w:autoSpaceDN/>
        <w:bidi w:val="0"/>
        <w:adjustRightInd w:val="0"/>
        <w:snapToGrid w:val="0"/>
        <w:spacing w:line="480" w:lineRule="exact"/>
        <w:ind w:firstLine="480" w:firstLineChars="200"/>
        <w:textAlignment w:val="auto"/>
        <w:rPr>
          <w:rFonts w:ascii="华文仿宋" w:hAnsi="华文仿宋" w:eastAsia="华文仿宋"/>
          <w:color w:val="0070C0"/>
          <w:sz w:val="24"/>
          <w:szCs w:val="24"/>
        </w:rPr>
      </w:pPr>
      <w:r>
        <w:rPr>
          <w:rFonts w:hint="eastAsia" w:ascii="仿宋_GB2312" w:hAnsi="仿宋" w:eastAsia="仿宋_GB2312" w:cs="新宋体-18030"/>
          <w:bCs/>
          <w:color w:val="auto"/>
          <w:sz w:val="24"/>
          <w:lang w:eastAsia="zh-CN"/>
        </w:rPr>
        <w:t>估价对象于2019年10月11日至2024年10月10日被全椒中银富登村镇银行有限公司抵押，于2022年1月28日至2025年1月27日被滁州市南谯区人民法院查封，于2022年4月21日至2025年4月20日被全椒县人民法院查封，估价对象存在他项权。根据本次估价目的，不考虑其对本次估价价值的影响。</w:t>
      </w:r>
    </w:p>
    <w:p>
      <w:pPr>
        <w:spacing w:line="480" w:lineRule="exact"/>
        <w:ind w:firstLine="482" w:firstLineChars="200"/>
        <w:rPr>
          <w:rFonts w:ascii="仿宋_GB2312" w:hAnsi="仿宋" w:eastAsia="仿宋_GB2312" w:cs="新宋体-18030"/>
          <w:b/>
          <w:bCs/>
          <w:color w:val="000000" w:themeColor="text1"/>
          <w:sz w:val="24"/>
        </w:rPr>
      </w:pPr>
      <w:r>
        <w:rPr>
          <w:rFonts w:hint="eastAsia" w:ascii="仿宋_GB2312" w:hAnsi="仿宋" w:eastAsia="仿宋_GB2312" w:cs="新宋体-18030"/>
          <w:b/>
          <w:bCs/>
          <w:color w:val="000000" w:themeColor="text1"/>
          <w:sz w:val="24"/>
        </w:rPr>
        <w:t>（三）估价对象区位状况</w:t>
      </w:r>
    </w:p>
    <w:tbl>
      <w:tblPr>
        <w:tblStyle w:val="26"/>
        <w:tblW w:w="899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310"/>
        <w:gridCol w:w="66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81" w:hRule="atLeast"/>
          <w:jc w:val="center"/>
        </w:trPr>
        <w:tc>
          <w:tcPr>
            <w:tcW w:w="2310"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交通状况</w:t>
            </w:r>
          </w:p>
        </w:tc>
        <w:tc>
          <w:tcPr>
            <w:tcW w:w="6686"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lang w:val="en-US" w:eastAsia="zh-CN"/>
              </w:rPr>
              <w:t>全椒10</w:t>
            </w:r>
            <w:r>
              <w:rPr>
                <w:rFonts w:hint="eastAsia" w:ascii="仿宋" w:hAnsi="仿宋" w:eastAsia="仿宋" w:cs="宋体"/>
                <w:color w:val="auto"/>
                <w:kern w:val="0"/>
                <w:sz w:val="24"/>
                <w:highlight w:val="none"/>
              </w:rPr>
              <w:t>路、</w:t>
            </w:r>
            <w:r>
              <w:rPr>
                <w:rFonts w:hint="eastAsia" w:ascii="仿宋" w:hAnsi="仿宋" w:eastAsia="仿宋" w:cs="宋体"/>
                <w:color w:val="auto"/>
                <w:kern w:val="0"/>
                <w:sz w:val="24"/>
                <w:highlight w:val="none"/>
                <w:lang w:val="en-US" w:eastAsia="zh-CN"/>
              </w:rPr>
              <w:t>全椒2</w:t>
            </w:r>
            <w:r>
              <w:rPr>
                <w:rFonts w:hint="eastAsia" w:ascii="仿宋" w:hAnsi="仿宋" w:eastAsia="仿宋" w:cs="宋体"/>
                <w:color w:val="auto"/>
                <w:kern w:val="0"/>
                <w:sz w:val="24"/>
                <w:highlight w:val="none"/>
              </w:rPr>
              <w:t>路等多路公交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8" w:hRule="atLeast"/>
          <w:jc w:val="center"/>
        </w:trPr>
        <w:tc>
          <w:tcPr>
            <w:tcW w:w="2310"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自然人文环境质量</w:t>
            </w:r>
          </w:p>
        </w:tc>
        <w:tc>
          <w:tcPr>
            <w:tcW w:w="6686"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自然人文环境较优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8" w:hRule="atLeast"/>
          <w:jc w:val="center"/>
        </w:trPr>
        <w:tc>
          <w:tcPr>
            <w:tcW w:w="2310"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基础设施配套情况</w:t>
            </w:r>
          </w:p>
        </w:tc>
        <w:tc>
          <w:tcPr>
            <w:tcW w:w="6686"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已达到“六通一平”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8" w:hRule="atLeast"/>
          <w:jc w:val="center"/>
        </w:trPr>
        <w:tc>
          <w:tcPr>
            <w:tcW w:w="2310"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公共配套情况</w:t>
            </w:r>
          </w:p>
        </w:tc>
        <w:tc>
          <w:tcPr>
            <w:tcW w:w="6686" w:type="dxa"/>
            <w:tcBorders>
              <w:tl2br w:val="nil"/>
              <w:tr2bl w:val="nil"/>
            </w:tcBorders>
            <w:vAlign w:val="center"/>
          </w:tcPr>
          <w:p>
            <w:pPr>
              <w:widowControl/>
              <w:spacing w:line="440" w:lineRule="exact"/>
              <w:jc w:val="center"/>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周边有</w:t>
            </w:r>
            <w:r>
              <w:rPr>
                <w:rFonts w:hint="eastAsia" w:ascii="仿宋" w:hAnsi="仿宋" w:eastAsia="仿宋" w:cs="宋体"/>
                <w:color w:val="auto"/>
                <w:kern w:val="0"/>
                <w:sz w:val="24"/>
                <w:highlight w:val="none"/>
                <w:lang w:val="en-US" w:eastAsia="zh-CN"/>
              </w:rPr>
              <w:t>南屏山森林公园</w:t>
            </w:r>
            <w:r>
              <w:rPr>
                <w:rFonts w:hint="eastAsia" w:ascii="仿宋" w:hAnsi="仿宋" w:eastAsia="仿宋" w:cs="宋体"/>
                <w:color w:val="auto"/>
                <w:kern w:val="0"/>
                <w:sz w:val="24"/>
                <w:highlight w:val="none"/>
              </w:rPr>
              <w:t>，</w:t>
            </w:r>
            <w:r>
              <w:rPr>
                <w:rFonts w:hint="eastAsia" w:ascii="仿宋" w:hAnsi="仿宋" w:eastAsia="仿宋" w:cs="宋体"/>
                <w:color w:val="auto"/>
                <w:kern w:val="0"/>
                <w:sz w:val="24"/>
                <w:highlight w:val="none"/>
                <w:lang w:val="en-US" w:eastAsia="zh-CN"/>
              </w:rPr>
              <w:t>全椒县逸夫小学</w:t>
            </w:r>
            <w:r>
              <w:rPr>
                <w:rFonts w:hint="eastAsia" w:ascii="仿宋" w:hAnsi="仿宋" w:eastAsia="仿宋" w:cs="宋体"/>
                <w:color w:val="auto"/>
                <w:kern w:val="0"/>
                <w:sz w:val="24"/>
                <w:highlight w:val="none"/>
              </w:rPr>
              <w:t>等公建配套设施</w:t>
            </w:r>
          </w:p>
        </w:tc>
      </w:tr>
    </w:tbl>
    <w:p>
      <w:pPr>
        <w:spacing w:line="360" w:lineRule="auto"/>
        <w:ind w:firstLine="482" w:firstLineChars="200"/>
        <w:jc w:val="center"/>
        <w:rPr>
          <w:rFonts w:ascii="仿宋_GB2312" w:hAnsi="仿宋" w:eastAsia="仿宋_GB2312" w:cs="新宋体-18030"/>
          <w:b/>
          <w:color w:val="000000" w:themeColor="text1"/>
          <w:sz w:val="24"/>
        </w:rPr>
      </w:pPr>
      <w:r>
        <w:rPr>
          <w:rFonts w:hint="eastAsia" w:ascii="仿宋_GB2312" w:hAnsi="仿宋" w:eastAsia="仿宋_GB2312" w:cs="新宋体-18030"/>
          <w:b/>
          <w:color w:val="000000" w:themeColor="text1"/>
          <w:sz w:val="24"/>
        </w:rPr>
        <w:t>估价对象位置示意图</w:t>
      </w:r>
    </w:p>
    <w:p>
      <w:pPr>
        <w:widowControl/>
        <w:jc w:val="left"/>
        <w:rPr>
          <w:rFonts w:hint="eastAsia" w:eastAsia="宋体"/>
          <w:b/>
          <w:lang w:eastAsia="zh-CN"/>
        </w:rPr>
      </w:pPr>
      <w:r>
        <w:rPr>
          <w:rFonts w:hint="eastAsia" w:eastAsia="宋体"/>
          <w:b/>
          <w:lang w:eastAsia="zh-CN"/>
        </w:rPr>
        <w:drawing>
          <wp:inline distT="0" distB="0" distL="114300" distR="114300">
            <wp:extent cx="5552440" cy="2728595"/>
            <wp:effectExtent l="0" t="0" r="10160" b="14605"/>
            <wp:docPr id="1" name="图片 1" descr="C:\Users\Administrator\Desktop\1660612268(1).png1660612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1660612268(1).png1660612268(1)"/>
                    <pic:cNvPicPr>
                      <a:picLocks noChangeAspect="1"/>
                    </pic:cNvPicPr>
                  </pic:nvPicPr>
                  <pic:blipFill>
                    <a:blip r:embed="rId12"/>
                    <a:srcRect/>
                    <a:stretch>
                      <a:fillRect/>
                    </a:stretch>
                  </pic:blipFill>
                  <pic:spPr>
                    <a:xfrm>
                      <a:off x="0" y="0"/>
                      <a:ext cx="5552440" cy="2728595"/>
                    </a:xfrm>
                    <a:prstGeom prst="rect">
                      <a:avLst/>
                    </a:prstGeom>
                  </pic:spPr>
                </pic:pic>
              </a:graphicData>
            </a:graphic>
          </wp:inline>
        </w:drawing>
      </w:r>
    </w:p>
    <w:p>
      <w:pPr>
        <w:spacing w:line="480" w:lineRule="exact"/>
        <w:ind w:firstLine="241" w:firstLineChars="100"/>
        <w:rPr>
          <w:rFonts w:hint="eastAsia" w:ascii="仿宋_GB2312" w:hAnsi="仿宋" w:eastAsia="仿宋_GB2312" w:cs="新宋体-18030"/>
          <w:b/>
          <w:bCs/>
          <w:color w:val="000000" w:themeColor="text1"/>
          <w:sz w:val="24"/>
        </w:rPr>
      </w:pPr>
      <w:r>
        <w:rPr>
          <w:rFonts w:hint="eastAsia" w:ascii="仿宋_GB2312" w:hAnsi="仿宋" w:eastAsia="仿宋_GB2312" w:cs="新宋体-18030"/>
          <w:b/>
          <w:bCs/>
          <w:color w:val="000000" w:themeColor="text1"/>
          <w:sz w:val="24"/>
        </w:rPr>
        <w:t>（</w:t>
      </w:r>
      <w:r>
        <w:rPr>
          <w:rFonts w:hint="eastAsia" w:ascii="仿宋_GB2312" w:hAnsi="仿宋" w:eastAsia="仿宋_GB2312" w:cs="新宋体-18030"/>
          <w:b/>
          <w:bCs/>
          <w:color w:val="000000" w:themeColor="text1"/>
          <w:sz w:val="24"/>
          <w:lang w:val="en-US" w:eastAsia="zh-CN"/>
        </w:rPr>
        <w:t>四</w:t>
      </w:r>
      <w:r>
        <w:rPr>
          <w:rFonts w:hint="eastAsia" w:ascii="仿宋_GB2312" w:hAnsi="仿宋" w:eastAsia="仿宋_GB2312" w:cs="新宋体-18030"/>
          <w:b/>
          <w:bCs/>
          <w:color w:val="000000" w:themeColor="text1"/>
          <w:sz w:val="24"/>
        </w:rPr>
        <w:t>）</w:t>
      </w:r>
      <w:r>
        <w:rPr>
          <w:rFonts w:hint="eastAsia" w:ascii="仿宋_GB2312" w:hAnsi="仿宋" w:eastAsia="仿宋_GB2312" w:cs="新宋体-18030"/>
          <w:b/>
          <w:color w:val="000000" w:themeColor="text1"/>
          <w:sz w:val="24"/>
        </w:rPr>
        <w:t>估价对象实物状况</w:t>
      </w:r>
    </w:p>
    <w:p>
      <w:pPr>
        <w:keepNext w:val="0"/>
        <w:keepLines w:val="0"/>
        <w:pageBreakBefore w:val="0"/>
        <w:widowControl w:val="0"/>
        <w:tabs>
          <w:tab w:val="left" w:pos="2655"/>
        </w:tabs>
        <w:kinsoku/>
        <w:wordWrap/>
        <w:overflowPunct/>
        <w:topLinePunct w:val="0"/>
        <w:autoSpaceDE/>
        <w:autoSpaceDN/>
        <w:bidi w:val="0"/>
        <w:adjustRightInd/>
        <w:snapToGrid/>
        <w:spacing w:line="440" w:lineRule="exact"/>
        <w:ind w:firstLine="470" w:firstLineChars="196"/>
        <w:textAlignment w:val="auto"/>
        <w:rPr>
          <w:rFonts w:ascii="仿宋" w:hAnsi="仿宋" w:eastAsia="仿宋" w:cs="宋体"/>
          <w:kern w:val="0"/>
          <w:sz w:val="24"/>
        </w:rPr>
      </w:pPr>
      <w:r>
        <w:rPr>
          <w:rFonts w:hint="eastAsia" w:ascii="仿宋" w:hAnsi="仿宋" w:eastAsia="仿宋"/>
          <w:sz w:val="24"/>
        </w:rPr>
        <w:t>1、建筑物基本状况</w:t>
      </w:r>
    </w:p>
    <w:p>
      <w:pPr>
        <w:keepNext w:val="0"/>
        <w:keepLines w:val="0"/>
        <w:pageBreakBefore w:val="0"/>
        <w:widowControl w:val="0"/>
        <w:tabs>
          <w:tab w:val="left" w:pos="2655"/>
        </w:tabs>
        <w:kinsoku/>
        <w:wordWrap/>
        <w:overflowPunct/>
        <w:topLinePunct w:val="0"/>
        <w:autoSpaceDE/>
        <w:autoSpaceDN/>
        <w:bidi w:val="0"/>
        <w:adjustRightInd/>
        <w:snapToGrid/>
        <w:spacing w:line="440" w:lineRule="exact"/>
        <w:ind w:firstLine="470" w:firstLineChars="196"/>
        <w:textAlignment w:val="auto"/>
        <w:rPr>
          <w:rFonts w:hint="eastAsia" w:ascii="仿宋_GB2312" w:hAnsi="宋体" w:eastAsia="仿宋_GB2312" w:cs="仿宋_GB2312"/>
          <w:color w:val="000000" w:themeColor="text1"/>
          <w:kern w:val="0"/>
          <w:sz w:val="24"/>
        </w:rPr>
      </w:pPr>
      <w:r>
        <w:rPr>
          <w:rFonts w:hint="eastAsia" w:ascii="仿宋_GB2312" w:hAnsi="宋体" w:eastAsia="仿宋_GB2312" w:cs="仿宋_GB2312"/>
          <w:color w:val="000000" w:themeColor="text1"/>
          <w:kern w:val="0"/>
          <w:sz w:val="24"/>
          <w:szCs w:val="24"/>
        </w:rPr>
        <w:t>估价对象：为</w:t>
      </w:r>
      <w:r>
        <w:rPr>
          <w:rFonts w:hint="eastAsia" w:ascii="仿宋_GB2312" w:hAnsi="宋体" w:eastAsia="仿宋_GB2312" w:cs="仿宋_GB2312"/>
          <w:color w:val="000000" w:themeColor="text1"/>
          <w:kern w:val="0"/>
          <w:sz w:val="24"/>
          <w:lang w:val="en-US" w:eastAsia="zh-CN"/>
        </w:rPr>
        <w:t>住宅</w:t>
      </w:r>
      <w:r>
        <w:rPr>
          <w:rFonts w:hint="eastAsia" w:ascii="仿宋_GB2312" w:hAnsi="宋体" w:eastAsia="仿宋_GB2312" w:cs="仿宋_GB2312"/>
          <w:color w:val="000000" w:themeColor="text1"/>
          <w:kern w:val="0"/>
          <w:sz w:val="24"/>
        </w:rPr>
        <w:t>用房，</w:t>
      </w:r>
      <w:r>
        <w:rPr>
          <w:rFonts w:hint="eastAsia" w:ascii="仿宋" w:hAnsi="仿宋" w:eastAsia="仿宋" w:cs="宋体"/>
          <w:kern w:val="0"/>
          <w:sz w:val="24"/>
          <w:lang w:val="en-US" w:eastAsia="zh-CN"/>
        </w:rPr>
        <w:t>混合</w:t>
      </w:r>
      <w:r>
        <w:rPr>
          <w:rFonts w:hint="eastAsia" w:ascii="仿宋_GB2312" w:hAnsi="宋体" w:eastAsia="仿宋_GB2312" w:cs="仿宋_GB2312"/>
          <w:color w:val="000000" w:themeColor="text1"/>
          <w:kern w:val="0"/>
          <w:sz w:val="24"/>
        </w:rPr>
        <w:t>结构，房屋总层数为</w:t>
      </w:r>
      <w:r>
        <w:rPr>
          <w:rFonts w:hint="eastAsia" w:ascii="仿宋_GB2312" w:hAnsi="宋体" w:eastAsia="仿宋_GB2312" w:cs="仿宋_GB2312"/>
          <w:color w:val="000000" w:themeColor="text1"/>
          <w:kern w:val="0"/>
          <w:sz w:val="24"/>
          <w:lang w:val="en-US" w:eastAsia="zh-CN"/>
        </w:rPr>
        <w:t>6</w:t>
      </w:r>
      <w:r>
        <w:rPr>
          <w:rFonts w:hint="eastAsia" w:ascii="仿宋_GB2312" w:hAnsi="宋体" w:eastAsia="仿宋_GB2312" w:cs="仿宋_GB2312"/>
          <w:color w:val="000000" w:themeColor="text1"/>
          <w:kern w:val="0"/>
          <w:sz w:val="24"/>
        </w:rPr>
        <w:t>层，位于第</w:t>
      </w:r>
      <w:r>
        <w:rPr>
          <w:rFonts w:hint="eastAsia" w:ascii="仿宋_GB2312" w:hAnsi="宋体" w:eastAsia="仿宋_GB2312" w:cs="仿宋_GB2312"/>
          <w:color w:val="000000" w:themeColor="text1"/>
          <w:kern w:val="0"/>
          <w:sz w:val="24"/>
          <w:lang w:val="en-US" w:eastAsia="zh-CN"/>
        </w:rPr>
        <w:t>2</w:t>
      </w:r>
      <w:r>
        <w:rPr>
          <w:rFonts w:hint="eastAsia" w:ascii="仿宋_GB2312" w:hAnsi="宋体" w:eastAsia="仿宋_GB2312" w:cs="仿宋_GB2312"/>
          <w:color w:val="000000" w:themeColor="text1"/>
          <w:kern w:val="0"/>
          <w:sz w:val="24"/>
        </w:rPr>
        <w:t>层，建筑面积为</w:t>
      </w:r>
      <w:r>
        <w:rPr>
          <w:rFonts w:hint="eastAsia" w:ascii="仿宋_GB2312" w:hAnsi="宋体" w:eastAsia="仿宋_GB2312" w:cs="仿宋_GB2312"/>
          <w:color w:val="000000" w:themeColor="text1"/>
          <w:kern w:val="0"/>
          <w:sz w:val="24"/>
          <w:lang w:val="en-US" w:eastAsia="zh-CN"/>
        </w:rPr>
        <w:t>86.77</w:t>
      </w:r>
      <w:r>
        <w:rPr>
          <w:rFonts w:hint="eastAsia" w:ascii="仿宋_GB2312" w:hAnsi="宋体" w:eastAsia="仿宋_GB2312" w:cs="仿宋_GB2312"/>
          <w:color w:val="000000" w:themeColor="text1"/>
          <w:kern w:val="0"/>
          <w:sz w:val="24"/>
        </w:rPr>
        <w:t>平方米，于</w:t>
      </w:r>
      <w:r>
        <w:rPr>
          <w:rFonts w:hint="eastAsia" w:ascii="仿宋_GB2312" w:hAnsi="宋体" w:eastAsia="仿宋_GB2312" w:cs="仿宋_GB2312"/>
          <w:color w:val="000000" w:themeColor="text1"/>
          <w:kern w:val="0"/>
          <w:sz w:val="24"/>
          <w:lang w:val="en-US" w:eastAsia="zh-CN"/>
        </w:rPr>
        <w:t>2009</w:t>
      </w:r>
      <w:r>
        <w:rPr>
          <w:rFonts w:hint="eastAsia" w:ascii="仿宋_GB2312" w:hAnsi="宋体" w:eastAsia="仿宋_GB2312" w:cs="仿宋_GB2312"/>
          <w:color w:val="000000" w:themeColor="text1"/>
          <w:kern w:val="0"/>
          <w:sz w:val="24"/>
        </w:rPr>
        <w:t>年建成，层高约</w:t>
      </w:r>
      <w:r>
        <w:rPr>
          <w:rFonts w:hint="eastAsia" w:ascii="仿宋_GB2312" w:hAnsi="宋体" w:eastAsia="仿宋_GB2312" w:cs="仿宋_GB2312"/>
          <w:color w:val="000000" w:themeColor="text1"/>
          <w:kern w:val="0"/>
          <w:sz w:val="24"/>
          <w:lang w:val="en-US" w:eastAsia="zh-CN"/>
        </w:rPr>
        <w:t>2.76</w:t>
      </w:r>
      <w:r>
        <w:rPr>
          <w:rFonts w:hint="eastAsia" w:ascii="仿宋_GB2312" w:hAnsi="宋体" w:eastAsia="仿宋_GB2312" w:cs="仿宋_GB2312"/>
          <w:color w:val="000000" w:themeColor="text1"/>
          <w:kern w:val="0"/>
          <w:sz w:val="24"/>
        </w:rPr>
        <w:t>米，房屋规划用途为</w:t>
      </w:r>
      <w:r>
        <w:rPr>
          <w:rFonts w:hint="eastAsia" w:ascii="仿宋_GB2312" w:hAnsi="宋体" w:eastAsia="仿宋_GB2312" w:cs="仿宋_GB2312"/>
          <w:color w:val="000000" w:themeColor="text1"/>
          <w:kern w:val="0"/>
          <w:sz w:val="24"/>
          <w:lang w:val="en-US" w:eastAsia="zh-CN"/>
        </w:rPr>
        <w:t>住宅</w:t>
      </w:r>
      <w:r>
        <w:rPr>
          <w:rFonts w:hint="eastAsia" w:ascii="仿宋_GB2312" w:hAnsi="宋体" w:eastAsia="仿宋_GB2312" w:cs="仿宋_GB2312"/>
          <w:color w:val="000000" w:themeColor="text1"/>
          <w:kern w:val="0"/>
          <w:sz w:val="24"/>
        </w:rPr>
        <w:t>，实际用途为</w:t>
      </w:r>
      <w:r>
        <w:rPr>
          <w:rFonts w:hint="eastAsia" w:ascii="仿宋_GB2312" w:hAnsi="宋体" w:eastAsia="仿宋_GB2312" w:cs="仿宋_GB2312"/>
          <w:color w:val="000000" w:themeColor="text1"/>
          <w:kern w:val="0"/>
          <w:sz w:val="24"/>
          <w:lang w:val="en-US" w:eastAsia="zh-CN"/>
        </w:rPr>
        <w:t>住宅</w:t>
      </w:r>
      <w:r>
        <w:rPr>
          <w:rFonts w:hint="eastAsia" w:ascii="仿宋_GB2312" w:hAnsi="宋体" w:eastAsia="仿宋_GB2312" w:cs="仿宋_GB2312"/>
          <w:color w:val="000000" w:themeColor="text1"/>
          <w:kern w:val="0"/>
          <w:sz w:val="24"/>
        </w:rPr>
        <w:t>。</w:t>
      </w:r>
      <w:r>
        <w:rPr>
          <w:rFonts w:hint="eastAsia" w:ascii="仿宋" w:hAnsi="仿宋" w:eastAsia="仿宋"/>
          <w:sz w:val="24"/>
        </w:rPr>
        <w:t>外墙涂料，</w:t>
      </w:r>
      <w:r>
        <w:rPr>
          <w:rFonts w:hint="eastAsia" w:ascii="仿宋_GB2312" w:hAnsi="宋体" w:eastAsia="仿宋_GB2312" w:cs="仿宋_GB2312"/>
          <w:color w:val="000000" w:themeColor="text1"/>
          <w:kern w:val="0"/>
          <w:sz w:val="24"/>
        </w:rPr>
        <w:t>内墙</w:t>
      </w:r>
      <w:r>
        <w:rPr>
          <w:rFonts w:hint="eastAsia" w:ascii="仿宋_GB2312" w:hAnsi="宋体" w:eastAsia="仿宋_GB2312" w:cs="仿宋_GB2312"/>
          <w:color w:val="000000" w:themeColor="text1"/>
          <w:kern w:val="0"/>
          <w:sz w:val="24"/>
          <w:lang w:val="en-US" w:eastAsia="zh-CN"/>
        </w:rPr>
        <w:t>乳胶漆、面砖</w:t>
      </w:r>
      <w:r>
        <w:rPr>
          <w:rFonts w:hint="eastAsia" w:ascii="仿宋_GB2312" w:hAnsi="宋体" w:eastAsia="仿宋_GB2312" w:cs="仿宋_GB2312"/>
          <w:color w:val="000000" w:themeColor="text1"/>
          <w:kern w:val="0"/>
          <w:sz w:val="24"/>
        </w:rPr>
        <w:t>，</w:t>
      </w:r>
      <w:r>
        <w:rPr>
          <w:rFonts w:hint="eastAsia" w:ascii="仿宋" w:hAnsi="仿宋" w:eastAsia="仿宋"/>
          <w:sz w:val="24"/>
        </w:rPr>
        <w:t>顶部</w:t>
      </w:r>
      <w:r>
        <w:rPr>
          <w:rFonts w:hint="eastAsia" w:ascii="仿宋" w:hAnsi="仿宋" w:eastAsia="仿宋"/>
          <w:sz w:val="24"/>
          <w:lang w:val="en-US" w:eastAsia="zh-CN"/>
        </w:rPr>
        <w:t>乳胶漆</w:t>
      </w:r>
      <w:r>
        <w:rPr>
          <w:rFonts w:hint="eastAsia" w:ascii="仿宋" w:hAnsi="仿宋" w:eastAsia="仿宋"/>
          <w:sz w:val="24"/>
        </w:rPr>
        <w:t>，地面</w:t>
      </w:r>
      <w:r>
        <w:rPr>
          <w:rFonts w:hint="eastAsia" w:ascii="仿宋" w:hAnsi="仿宋" w:eastAsia="仿宋"/>
          <w:sz w:val="24"/>
          <w:lang w:val="en-US" w:eastAsia="zh-CN"/>
        </w:rPr>
        <w:t>地板砖</w:t>
      </w:r>
      <w:r>
        <w:rPr>
          <w:rFonts w:hint="eastAsia" w:ascii="仿宋_GB2312" w:hAnsi="宋体" w:eastAsia="仿宋_GB2312" w:cs="仿宋_GB2312"/>
          <w:color w:val="000000" w:themeColor="text1"/>
          <w:kern w:val="0"/>
          <w:sz w:val="24"/>
        </w:rPr>
        <w:t>，</w:t>
      </w:r>
      <w:r>
        <w:rPr>
          <w:rFonts w:hint="eastAsia" w:ascii="仿宋_GB2312" w:hAnsi="宋体" w:eastAsia="仿宋_GB2312" w:cs="仿宋_GB2312"/>
          <w:color w:val="000000" w:themeColor="text1"/>
          <w:kern w:val="0"/>
          <w:sz w:val="24"/>
          <w:lang w:val="en-US" w:eastAsia="zh-CN"/>
        </w:rPr>
        <w:t>防盗门</w:t>
      </w:r>
      <w:r>
        <w:rPr>
          <w:rFonts w:hint="eastAsia" w:ascii="仿宋_GB2312" w:hAnsi="宋体" w:eastAsia="仿宋_GB2312" w:cs="仿宋_GB2312"/>
          <w:color w:val="000000" w:themeColor="text1"/>
          <w:kern w:val="0"/>
          <w:sz w:val="24"/>
        </w:rPr>
        <w:t>，</w:t>
      </w:r>
      <w:r>
        <w:rPr>
          <w:rFonts w:hint="eastAsia" w:ascii="仿宋_GB2312" w:hAnsi="宋体" w:eastAsia="仿宋_GB2312" w:cs="仿宋_GB2312"/>
          <w:color w:val="000000" w:themeColor="text1"/>
          <w:kern w:val="0"/>
          <w:sz w:val="24"/>
          <w:lang w:val="en-US" w:eastAsia="zh-CN"/>
        </w:rPr>
        <w:t>防盗窗，</w:t>
      </w:r>
      <w:r>
        <w:rPr>
          <w:rFonts w:hint="eastAsia" w:ascii="仿宋_GB2312" w:hAnsi="宋体" w:eastAsia="仿宋_GB2312" w:cs="仿宋_GB2312"/>
          <w:color w:val="000000" w:themeColor="text1"/>
          <w:kern w:val="0"/>
          <w:sz w:val="24"/>
        </w:rPr>
        <w:t>水、电、</w:t>
      </w:r>
      <w:r>
        <w:rPr>
          <w:rFonts w:hint="eastAsia" w:ascii="仿宋_GB2312" w:hAnsi="宋体" w:eastAsia="仿宋_GB2312" w:cs="仿宋_GB2312"/>
          <w:color w:val="000000" w:themeColor="text1"/>
          <w:kern w:val="0"/>
          <w:sz w:val="24"/>
          <w:lang w:val="en-US" w:eastAsia="zh-CN"/>
        </w:rPr>
        <w:t>卫</w:t>
      </w:r>
      <w:r>
        <w:rPr>
          <w:rFonts w:hint="eastAsia" w:ascii="仿宋_GB2312" w:hAnsi="宋体" w:eastAsia="仿宋_GB2312" w:cs="仿宋_GB2312"/>
          <w:color w:val="000000" w:themeColor="text1"/>
          <w:kern w:val="0"/>
          <w:sz w:val="24"/>
        </w:rPr>
        <w:t>配套设施齐全。</w:t>
      </w:r>
    </w:p>
    <w:p>
      <w:pPr>
        <w:spacing w:line="480" w:lineRule="exact"/>
        <w:ind w:right="8" w:firstLine="480" w:firstLineChars="200"/>
        <w:rPr>
          <w:rFonts w:hint="eastAsia" w:ascii="仿宋_GB2312" w:hAnsi="宋体" w:eastAsia="仿宋_GB2312" w:cs="仿宋_GB2312"/>
          <w:color w:val="000000" w:themeColor="text1"/>
          <w:kern w:val="0"/>
          <w:sz w:val="24"/>
          <w:szCs w:val="24"/>
          <w:lang w:eastAsia="zh-CN"/>
        </w:rPr>
      </w:pPr>
      <w:r>
        <w:rPr>
          <w:rFonts w:hint="eastAsia" w:ascii="仿宋_GB2312" w:hAnsi="宋体" w:eastAsia="仿宋_GB2312" w:cs="仿宋_GB2312"/>
          <w:color w:val="000000" w:themeColor="text1"/>
          <w:kern w:val="0"/>
          <w:sz w:val="24"/>
          <w:szCs w:val="24"/>
        </w:rPr>
        <w:t>估价对象建筑物经实地查勘，维护保养状况较好，承重结构未见不均匀沉降，门窗保存完好，整体观感较好，为完好房，成新率为</w:t>
      </w:r>
      <w:r>
        <w:rPr>
          <w:rFonts w:hint="eastAsia" w:ascii="仿宋_GB2312" w:hAnsi="宋体" w:eastAsia="仿宋_GB2312" w:cs="仿宋_GB2312"/>
          <w:color w:val="000000" w:themeColor="text1"/>
          <w:kern w:val="0"/>
          <w:sz w:val="24"/>
          <w:szCs w:val="24"/>
          <w:lang w:val="en-US" w:eastAsia="zh-CN"/>
        </w:rPr>
        <w:t>七成新。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s="仿宋_GB2312"/>
          <w:color w:val="000000" w:themeColor="text1"/>
          <w:kern w:val="0"/>
          <w:sz w:val="24"/>
        </w:rPr>
      </w:pPr>
      <w:r>
        <w:rPr>
          <w:rFonts w:hint="eastAsia" w:ascii="仿宋_GB2312" w:hAnsi="宋体" w:eastAsia="仿宋_GB2312" w:cs="仿宋_GB2312"/>
          <w:color w:val="000000" w:themeColor="text1"/>
          <w:kern w:val="0"/>
          <w:sz w:val="24"/>
        </w:rPr>
        <w:t>2、土地基本情况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仿宋_GB2312" w:hAnsi="宋体" w:eastAsia="仿宋_GB2312" w:cs="仿宋_GB2312"/>
          <w:color w:val="00B050"/>
          <w:kern w:val="0"/>
          <w:sz w:val="24"/>
        </w:rPr>
      </w:pPr>
      <w:r>
        <w:rPr>
          <w:rFonts w:hint="eastAsia" w:ascii="仿宋_GB2312" w:hAnsi="宋体" w:eastAsia="仿宋_GB2312" w:cs="仿宋_GB2312"/>
          <w:color w:val="000000" w:themeColor="text1"/>
          <w:kern w:val="0"/>
          <w:sz w:val="24"/>
        </w:rPr>
        <w:t>估价对象</w:t>
      </w:r>
      <w:r>
        <w:rPr>
          <w:rFonts w:hint="eastAsia" w:ascii="仿宋_GB2312" w:hAnsi="宋体" w:eastAsia="仿宋_GB2312" w:cs="仿宋_GB2312"/>
          <w:color w:val="000000" w:themeColor="text1"/>
          <w:kern w:val="0"/>
          <w:sz w:val="24"/>
          <w:lang w:val="en-US" w:eastAsia="zh-CN"/>
        </w:rPr>
        <w:t>座</w:t>
      </w:r>
      <w:r>
        <w:rPr>
          <w:rFonts w:hint="eastAsia" w:ascii="仿宋_GB2312" w:hAnsi="宋体" w:eastAsia="仿宋_GB2312" w:cs="仿宋_GB2312"/>
          <w:color w:val="000000" w:themeColor="text1"/>
          <w:kern w:val="0"/>
          <w:sz w:val="24"/>
        </w:rPr>
        <w:t>落于</w:t>
      </w:r>
      <w:r>
        <w:rPr>
          <w:rFonts w:hint="eastAsia" w:ascii="仿宋" w:hAnsi="仿宋" w:eastAsia="仿宋" w:cs="宋体"/>
          <w:kern w:val="0"/>
          <w:sz w:val="24"/>
          <w:lang w:val="en-US" w:eastAsia="zh-CN"/>
        </w:rPr>
        <w:t>全椒县襄河镇港口路277号2幢2单元202室</w:t>
      </w:r>
      <w:r>
        <w:rPr>
          <w:rFonts w:hint="eastAsia" w:ascii="仿宋_GB2312" w:hAnsi="宋体" w:eastAsia="仿宋_GB2312" w:cs="仿宋_GB2312"/>
          <w:color w:val="000000" w:themeColor="text1"/>
          <w:kern w:val="0"/>
          <w:sz w:val="24"/>
        </w:rPr>
        <w:t>，</w:t>
      </w:r>
      <w:r>
        <w:rPr>
          <w:rFonts w:hint="eastAsia" w:ascii="仿宋_GB2312" w:hAnsi="宋体" w:eastAsia="仿宋_GB2312" w:cs="仿宋_GB2312"/>
          <w:color w:val="000000" w:themeColor="text1"/>
          <w:kern w:val="0"/>
          <w:sz w:val="24"/>
          <w:szCs w:val="24"/>
        </w:rPr>
        <w:t>其四至为：</w:t>
      </w:r>
      <w:r>
        <w:rPr>
          <w:rFonts w:hint="eastAsia" w:ascii="仿宋_GB2312" w:hAnsi="宋体" w:eastAsia="仿宋_GB2312" w:cs="仿宋_GB2312"/>
          <w:color w:val="000000" w:themeColor="text1"/>
          <w:kern w:val="0"/>
          <w:sz w:val="24"/>
          <w:szCs w:val="24"/>
          <w:lang w:eastAsia="zh-CN"/>
        </w:rPr>
        <w:t>东至襟襄东路，南至港口路，西至桃园路，北至襄水东路</w:t>
      </w:r>
      <w:r>
        <w:rPr>
          <w:rFonts w:hint="eastAsia" w:ascii="仿宋_GB2312" w:hAnsi="宋体" w:eastAsia="仿宋_GB2312" w:cs="仿宋_GB2312"/>
          <w:color w:val="000000" w:themeColor="text1"/>
          <w:kern w:val="0"/>
          <w:sz w:val="24"/>
          <w:szCs w:val="24"/>
        </w:rPr>
        <w:t>。</w:t>
      </w:r>
      <w:r>
        <w:rPr>
          <w:rFonts w:hint="eastAsia" w:ascii="仿宋_GB2312" w:hAnsi="宋体" w:eastAsia="仿宋_GB2312" w:cs="仿宋_GB2312"/>
          <w:color w:val="000000" w:themeColor="text1"/>
          <w:kern w:val="0"/>
          <w:sz w:val="24"/>
        </w:rPr>
        <w:t>土地形状规则，估价对象所占用土地为</w:t>
      </w:r>
      <w:r>
        <w:rPr>
          <w:rFonts w:hint="eastAsia" w:ascii="仿宋_GB2312" w:hAnsi="宋体" w:eastAsia="仿宋_GB2312" w:cs="仿宋_GB2312"/>
          <w:color w:val="000000" w:themeColor="text1"/>
          <w:kern w:val="0"/>
          <w:sz w:val="24"/>
          <w:lang w:val="en-US" w:eastAsia="zh-CN"/>
        </w:rPr>
        <w:t>住宅</w:t>
      </w:r>
      <w:r>
        <w:rPr>
          <w:rFonts w:hint="eastAsia" w:ascii="仿宋_GB2312" w:hAnsi="宋体" w:eastAsia="仿宋_GB2312" w:cs="仿宋_GB2312"/>
          <w:color w:val="000000" w:themeColor="text1"/>
          <w:kern w:val="0"/>
          <w:sz w:val="24"/>
        </w:rPr>
        <w:t>用地</w:t>
      </w:r>
      <w:r>
        <w:rPr>
          <w:rFonts w:hint="eastAsia" w:ascii="仿宋_GB2312" w:hAnsi="宋体" w:eastAsia="仿宋_GB2312" w:cs="仿宋_GB2312"/>
          <w:color w:val="000000" w:themeColor="text1"/>
          <w:kern w:val="0"/>
          <w:sz w:val="24"/>
          <w:lang w:val="en-US" w:eastAsia="zh-CN"/>
        </w:rPr>
        <w:t>，</w:t>
      </w:r>
      <w:r>
        <w:rPr>
          <w:rFonts w:hint="eastAsia" w:ascii="仿宋_GB2312" w:hAnsi="仿宋" w:eastAsia="仿宋_GB2312" w:cs="新宋体-18030"/>
          <w:bCs/>
          <w:color w:val="000000" w:themeColor="text1"/>
          <w:sz w:val="24"/>
        </w:rPr>
        <w:t>分摊土地面积</w:t>
      </w:r>
      <w:r>
        <w:rPr>
          <w:rFonts w:hint="eastAsia" w:ascii="仿宋_GB2312" w:hAnsi="仿宋" w:eastAsia="仿宋_GB2312" w:cs="新宋体-18030"/>
          <w:bCs/>
          <w:color w:val="000000" w:themeColor="text1"/>
          <w:sz w:val="24"/>
          <w:lang w:val="en-US" w:eastAsia="zh-CN"/>
        </w:rPr>
        <w:t>为34.78平方米，</w:t>
      </w:r>
      <w:r>
        <w:rPr>
          <w:rFonts w:hint="eastAsia" w:ascii="仿宋_GB2312" w:hAnsi="宋体" w:eastAsia="仿宋_GB2312" w:cs="仿宋_GB2312"/>
          <w:color w:val="000000" w:themeColor="text1"/>
          <w:kern w:val="0"/>
          <w:sz w:val="24"/>
          <w:lang w:val="en-US" w:eastAsia="zh-CN"/>
        </w:rPr>
        <w:t>土地性质为划拨</w:t>
      </w:r>
      <w:r>
        <w:rPr>
          <w:rFonts w:hint="eastAsia" w:ascii="仿宋_GB2312" w:hAnsi="宋体" w:eastAsia="仿宋_GB2312" w:cs="仿宋_GB2312"/>
          <w:color w:val="000000" w:themeColor="text1"/>
          <w:kern w:val="0"/>
          <w:sz w:val="24"/>
        </w:rPr>
        <w:t>。该宗土地</w:t>
      </w:r>
      <w:r>
        <w:rPr>
          <w:rFonts w:hint="eastAsia" w:ascii="仿宋" w:hAnsi="仿宋" w:eastAsia="仿宋" w:cs="仿宋"/>
          <w:color w:val="000000" w:themeColor="text1"/>
          <w:sz w:val="24"/>
        </w:rPr>
        <w:t>地形为平原地，</w:t>
      </w:r>
      <w:r>
        <w:rPr>
          <w:rFonts w:hint="eastAsia" w:ascii="仿宋_GB2312" w:hAnsi="宋体" w:eastAsia="仿宋_GB2312" w:cs="仿宋_GB2312"/>
          <w:color w:val="000000" w:themeColor="text1"/>
          <w:kern w:val="0"/>
          <w:sz w:val="24"/>
        </w:rPr>
        <w:t>地势平坦、</w:t>
      </w:r>
      <w:r>
        <w:rPr>
          <w:rFonts w:hint="eastAsia" w:ascii="仿宋" w:hAnsi="仿宋" w:eastAsia="仿宋" w:cs="仿宋"/>
          <w:color w:val="000000" w:themeColor="text1"/>
          <w:sz w:val="24"/>
        </w:rPr>
        <w:t>起伏＜2米，</w:t>
      </w:r>
      <w:r>
        <w:rPr>
          <w:rFonts w:hint="eastAsia" w:ascii="仿宋_GB2312" w:hAnsi="宋体" w:eastAsia="仿宋_GB2312" w:cs="仿宋_GB2312"/>
          <w:color w:val="000000" w:themeColor="text1"/>
          <w:kern w:val="0"/>
          <w:sz w:val="24"/>
        </w:rPr>
        <w:t>地基承载力强，土壤状况优，基础设施配套完备，已达“</w:t>
      </w:r>
      <w:r>
        <w:rPr>
          <w:rFonts w:hint="eastAsia" w:ascii="仿宋_GB2312" w:hAnsi="宋体" w:eastAsia="仿宋_GB2312" w:cs="仿宋_GB2312"/>
          <w:color w:val="000000" w:themeColor="text1"/>
          <w:kern w:val="0"/>
          <w:sz w:val="24"/>
          <w:lang w:val="en-US" w:eastAsia="zh-CN"/>
        </w:rPr>
        <w:t>六</w:t>
      </w:r>
      <w:r>
        <w:rPr>
          <w:rFonts w:hint="eastAsia" w:ascii="仿宋_GB2312" w:hAnsi="宋体" w:eastAsia="仿宋_GB2312" w:cs="仿宋_GB2312"/>
          <w:color w:val="000000" w:themeColor="text1"/>
          <w:kern w:val="0"/>
          <w:sz w:val="24"/>
        </w:rPr>
        <w:t>通一平”。</w:t>
      </w:r>
    </w:p>
    <w:p>
      <w:pPr>
        <w:spacing w:line="480" w:lineRule="exact"/>
        <w:ind w:firstLine="482" w:firstLineChars="200"/>
        <w:outlineLvl w:val="1"/>
        <w:rPr>
          <w:rFonts w:ascii="仿宋_GB2312" w:hAnsi="仿宋" w:eastAsia="仿宋_GB2312" w:cs="新宋体-18030"/>
          <w:b/>
          <w:bCs/>
          <w:color w:val="000000" w:themeColor="text1"/>
          <w:sz w:val="24"/>
        </w:rPr>
      </w:pPr>
      <w:bookmarkStart w:id="43" w:name="_Toc16196"/>
      <w:r>
        <w:rPr>
          <w:rFonts w:hint="eastAsia" w:ascii="仿宋_GB2312" w:hAnsi="仿宋" w:eastAsia="仿宋_GB2312" w:cs="新宋体-18030"/>
          <w:b/>
          <w:bCs/>
          <w:color w:val="000000" w:themeColor="text1"/>
          <w:sz w:val="24"/>
        </w:rPr>
        <w:t>五、价值时点</w:t>
      </w:r>
      <w:bookmarkEnd w:id="41"/>
      <w:bookmarkEnd w:id="42"/>
      <w:bookmarkEnd w:id="43"/>
    </w:p>
    <w:p>
      <w:pPr>
        <w:pStyle w:val="13"/>
        <w:spacing w:line="480" w:lineRule="exact"/>
        <w:ind w:firstLine="480" w:firstLineChars="200"/>
        <w:rPr>
          <w:rFonts w:ascii="仿宋_GB2312" w:hAnsi="仿宋" w:cs="新宋体-18030"/>
          <w:color w:val="000000" w:themeColor="text1"/>
          <w:sz w:val="24"/>
          <w:szCs w:val="24"/>
        </w:rPr>
      </w:pPr>
      <w:r>
        <w:rPr>
          <w:rFonts w:hint="eastAsia" w:ascii="仿宋_GB2312" w:hAnsi="仿宋" w:cs="新宋体-18030"/>
          <w:color w:val="000000" w:themeColor="text1"/>
          <w:sz w:val="24"/>
          <w:szCs w:val="24"/>
        </w:rPr>
        <w:t>注册房地产估价师实地查勘之日</w:t>
      </w:r>
      <w:r>
        <w:rPr>
          <w:rFonts w:hint="eastAsia" w:ascii="仿宋_GB2312" w:hAnsi="仿宋" w:cs="新宋体-18030"/>
          <w:color w:val="000000" w:themeColor="text1"/>
          <w:sz w:val="24"/>
          <w:szCs w:val="24"/>
          <w:lang w:eastAsia="zh-CN"/>
        </w:rPr>
        <w:t>2022年8月8日</w:t>
      </w:r>
      <w:r>
        <w:rPr>
          <w:rFonts w:hint="eastAsia" w:ascii="仿宋_GB2312" w:hAnsi="仿宋" w:cs="新宋体-18030"/>
          <w:color w:val="000000" w:themeColor="text1"/>
          <w:sz w:val="24"/>
          <w:szCs w:val="24"/>
        </w:rPr>
        <w:t>作为本次估价对象的价值时点。</w:t>
      </w:r>
    </w:p>
    <w:p>
      <w:pPr>
        <w:spacing w:line="480" w:lineRule="exact"/>
        <w:ind w:firstLine="482" w:firstLineChars="200"/>
        <w:outlineLvl w:val="1"/>
        <w:rPr>
          <w:rFonts w:ascii="仿宋_GB2312" w:hAnsi="仿宋" w:eastAsia="仿宋_GB2312" w:cs="新宋体-18030"/>
          <w:b/>
          <w:color w:val="000000" w:themeColor="text1"/>
          <w:sz w:val="24"/>
        </w:rPr>
      </w:pPr>
      <w:bookmarkStart w:id="44" w:name="_Toc530663976"/>
      <w:bookmarkStart w:id="45" w:name="_Toc433731395"/>
      <w:bookmarkStart w:id="46" w:name="_Toc10909"/>
      <w:r>
        <w:rPr>
          <w:rFonts w:hint="eastAsia" w:ascii="仿宋_GB2312" w:hAnsi="仿宋" w:eastAsia="仿宋_GB2312" w:cs="新宋体-18030"/>
          <w:b/>
          <w:color w:val="000000" w:themeColor="text1"/>
          <w:sz w:val="24"/>
        </w:rPr>
        <w:t>六、价值</w:t>
      </w:r>
      <w:bookmarkEnd w:id="44"/>
      <w:bookmarkEnd w:id="45"/>
      <w:r>
        <w:rPr>
          <w:rFonts w:hint="eastAsia" w:ascii="仿宋_GB2312" w:hAnsi="仿宋" w:eastAsia="仿宋_GB2312" w:cs="新宋体-18030"/>
          <w:b/>
          <w:color w:val="000000" w:themeColor="text1"/>
          <w:sz w:val="24"/>
        </w:rPr>
        <w:t>类型</w:t>
      </w:r>
      <w:bookmarkEnd w:id="46"/>
    </w:p>
    <w:p>
      <w:pPr>
        <w:adjustRightInd w:val="0"/>
        <w:snapToGrid w:val="0"/>
        <w:spacing w:line="480" w:lineRule="exact"/>
        <w:ind w:firstLine="480" w:firstLineChars="200"/>
        <w:rPr>
          <w:rFonts w:ascii="仿宋_GB2312" w:hAnsi="仿宋" w:eastAsia="仿宋_GB2312" w:cs="新宋体-18030"/>
          <w:color w:val="000000" w:themeColor="text1"/>
          <w:sz w:val="24"/>
        </w:rPr>
      </w:pPr>
      <w:bookmarkStart w:id="47" w:name="_Toc530663977"/>
      <w:bookmarkStart w:id="48" w:name="_Toc433731396"/>
      <w:r>
        <w:rPr>
          <w:rFonts w:hint="eastAsia" w:ascii="仿宋_GB2312" w:hAnsi="仿宋" w:eastAsia="仿宋_GB2312" w:cs="新宋体-18030"/>
          <w:color w:val="000000" w:themeColor="text1"/>
          <w:sz w:val="24"/>
        </w:rPr>
        <w:t>本报告的估价结果是指估价对象在规划用途并正常使用的条件下，于价值时点</w:t>
      </w:r>
      <w:r>
        <w:rPr>
          <w:rFonts w:hint="eastAsia" w:ascii="仿宋_GB2312" w:hAnsi="仿宋" w:eastAsia="仿宋_GB2312" w:cs="新宋体-18030"/>
          <w:color w:val="000000" w:themeColor="text1"/>
          <w:sz w:val="24"/>
          <w:lang w:eastAsia="zh-CN"/>
        </w:rPr>
        <w:t>2022年8月8日</w:t>
      </w:r>
      <w:r>
        <w:rPr>
          <w:rFonts w:hint="eastAsia" w:ascii="仿宋_GB2312" w:hAnsi="仿宋" w:eastAsia="仿宋_GB2312" w:cs="新宋体-18030"/>
          <w:color w:val="000000" w:themeColor="text1"/>
          <w:sz w:val="24"/>
        </w:rPr>
        <w:t>的住宅房地产市场价值。</w:t>
      </w:r>
    </w:p>
    <w:p>
      <w:pPr>
        <w:spacing w:line="480" w:lineRule="exact"/>
        <w:ind w:firstLine="482" w:firstLineChars="200"/>
        <w:outlineLvl w:val="1"/>
        <w:rPr>
          <w:rFonts w:ascii="仿宋_GB2312" w:hAnsi="仿宋" w:eastAsia="仿宋_GB2312" w:cs="新宋体-18030"/>
          <w:b/>
          <w:bCs/>
          <w:color w:val="000000" w:themeColor="text1"/>
          <w:sz w:val="24"/>
        </w:rPr>
      </w:pPr>
      <w:bookmarkStart w:id="49" w:name="_Toc21536"/>
      <w:r>
        <w:rPr>
          <w:rFonts w:hint="eastAsia" w:ascii="仿宋_GB2312" w:hAnsi="仿宋" w:eastAsia="仿宋_GB2312" w:cs="新宋体-18030"/>
          <w:b/>
          <w:bCs/>
          <w:color w:val="000000" w:themeColor="text1"/>
          <w:sz w:val="24"/>
        </w:rPr>
        <w:t>七、估价依据</w:t>
      </w:r>
      <w:bookmarkEnd w:id="47"/>
      <w:bookmarkEnd w:id="48"/>
      <w:bookmarkEnd w:id="49"/>
    </w:p>
    <w:p>
      <w:pPr>
        <w:pStyle w:val="21"/>
        <w:snapToGrid w:val="0"/>
        <w:spacing w:line="480" w:lineRule="exact"/>
        <w:ind w:firstLine="480"/>
        <w:rPr>
          <w:rFonts w:ascii="仿宋_GB2312" w:hAnsi="仿宋" w:cs="新宋体-18030"/>
          <w:color w:val="000000" w:themeColor="text1"/>
          <w:sz w:val="24"/>
        </w:rPr>
      </w:pPr>
      <w:r>
        <w:rPr>
          <w:rFonts w:hint="eastAsia" w:ascii="仿宋_GB2312" w:hAnsi="仿宋" w:cs="新宋体-18030"/>
          <w:color w:val="000000" w:themeColor="text1"/>
          <w:sz w:val="24"/>
        </w:rPr>
        <w:t>(一)法律、法规、规章、政策性文件</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新宋体-18030"/>
          <w:color w:val="000000"/>
          <w:sz w:val="24"/>
          <w:lang w:val="en-US" w:eastAsia="zh-CN"/>
        </w:rPr>
      </w:pPr>
      <w:r>
        <w:rPr>
          <w:rFonts w:hint="eastAsia" w:ascii="仿宋" w:hAnsi="仿宋" w:eastAsia="仿宋" w:cs="新宋体-18030"/>
          <w:color w:val="000000"/>
          <w:sz w:val="24"/>
          <w:lang w:val="en-US" w:eastAsia="zh-CN"/>
        </w:rPr>
        <w:t>1、</w:t>
      </w:r>
      <w:r>
        <w:rPr>
          <w:rFonts w:hint="eastAsia" w:ascii="仿宋" w:hAnsi="仿宋" w:eastAsia="仿宋" w:cs="新宋体-18030"/>
          <w:color w:val="000000"/>
          <w:sz w:val="24"/>
        </w:rPr>
        <w:t>《中华人民共和国</w:t>
      </w:r>
      <w:r>
        <w:rPr>
          <w:rFonts w:hint="eastAsia" w:ascii="仿宋" w:hAnsi="仿宋" w:eastAsia="仿宋" w:cs="新宋体-18030"/>
          <w:color w:val="000000"/>
          <w:sz w:val="24"/>
          <w:lang w:val="en-US" w:eastAsia="zh-CN"/>
        </w:rPr>
        <w:t>民法典</w:t>
      </w:r>
      <w:r>
        <w:rPr>
          <w:rFonts w:hint="eastAsia" w:ascii="仿宋" w:hAnsi="仿宋" w:eastAsia="仿宋" w:cs="新宋体-18030"/>
          <w:color w:val="000000"/>
          <w:sz w:val="24"/>
        </w:rPr>
        <w:t>》(主席令第</w:t>
      </w:r>
      <w:r>
        <w:rPr>
          <w:rFonts w:hint="eastAsia" w:ascii="仿宋" w:hAnsi="仿宋" w:eastAsia="仿宋" w:cs="新宋体-18030"/>
          <w:color w:val="000000"/>
          <w:sz w:val="24"/>
          <w:lang w:val="en-US" w:eastAsia="zh-CN"/>
        </w:rPr>
        <w:t>45</w:t>
      </w:r>
      <w:r>
        <w:rPr>
          <w:rFonts w:hint="eastAsia" w:ascii="仿宋" w:hAnsi="仿宋" w:eastAsia="仿宋" w:cs="新宋体-18030"/>
          <w:color w:val="000000"/>
          <w:sz w:val="24"/>
        </w:rPr>
        <w:t>号，2020年5月28日，十三届全国人大三次会议表决通过，自2021年1月1日起施行)；</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仿宋" w:hAnsi="仿宋" w:eastAsia="仿宋" w:cs="新宋体-18030"/>
          <w:color w:val="000000"/>
          <w:sz w:val="24"/>
        </w:rPr>
      </w:pPr>
      <w:r>
        <w:rPr>
          <w:rFonts w:hint="eastAsia" w:ascii="仿宋" w:hAnsi="仿宋" w:eastAsia="仿宋" w:cs="新宋体-18030"/>
          <w:color w:val="000000"/>
          <w:sz w:val="24"/>
          <w:lang w:val="en-US" w:eastAsia="zh-CN"/>
        </w:rPr>
        <w:t>2</w:t>
      </w:r>
      <w:r>
        <w:rPr>
          <w:rFonts w:hint="eastAsia" w:ascii="仿宋" w:hAnsi="仿宋" w:eastAsia="仿宋" w:cs="新宋体-18030"/>
          <w:color w:val="000000"/>
          <w:sz w:val="24"/>
        </w:rPr>
        <w:t>、《中华人民共和国城市房地产管理法》(主席令第72号，2019年8月26日第十三届全国人民代表大会常务委员会第十二次会议第三次修正，2020年1月1日起实施)；</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新宋体-18030"/>
          <w:color w:val="000000"/>
          <w:sz w:val="24"/>
        </w:rPr>
      </w:pPr>
      <w:r>
        <w:rPr>
          <w:rFonts w:hint="eastAsia" w:ascii="仿宋" w:hAnsi="仿宋" w:eastAsia="仿宋" w:cs="新宋体-18030"/>
          <w:color w:val="000000"/>
          <w:sz w:val="24"/>
          <w:lang w:val="en-US" w:eastAsia="zh-CN"/>
        </w:rPr>
        <w:t>3</w:t>
      </w:r>
      <w:r>
        <w:rPr>
          <w:rFonts w:hint="eastAsia" w:ascii="仿宋" w:hAnsi="仿宋" w:eastAsia="仿宋" w:cs="新宋体-18030"/>
          <w:color w:val="000000"/>
          <w:sz w:val="24"/>
        </w:rPr>
        <w:t>、《中华人民共和国土地管理法》(主席令第28号，2019年8月26日第十三届全国人民代表大会常务委员会第十二次会议第三次修正，2020年1月1日起实施)；</w:t>
      </w:r>
    </w:p>
    <w:p>
      <w:pPr>
        <w:pStyle w:val="21"/>
        <w:keepNext w:val="0"/>
        <w:keepLines w:val="0"/>
        <w:pageBreakBefore w:val="0"/>
        <w:widowControl w:val="0"/>
        <w:kinsoku/>
        <w:wordWrap/>
        <w:overflowPunct/>
        <w:autoSpaceDE/>
        <w:autoSpaceDN/>
        <w:bidi w:val="0"/>
        <w:snapToGrid w:val="0"/>
        <w:spacing w:line="460" w:lineRule="exact"/>
        <w:ind w:firstLine="480"/>
        <w:textAlignment w:val="auto"/>
        <w:rPr>
          <w:rFonts w:hint="eastAsia" w:ascii="仿宋" w:hAnsi="仿宋" w:eastAsia="仿宋" w:cs="新宋体-18030"/>
          <w:color w:val="000000"/>
          <w:sz w:val="24"/>
        </w:rPr>
      </w:pPr>
      <w:r>
        <w:rPr>
          <w:rFonts w:hint="eastAsia" w:ascii="仿宋_GB2312" w:hAnsi="仿宋" w:cs="新宋体-18030"/>
          <w:color w:val="000000" w:themeColor="text1"/>
          <w:sz w:val="24"/>
          <w:lang w:val="en-US" w:eastAsia="zh-CN"/>
        </w:rPr>
        <w:t>4</w:t>
      </w:r>
      <w:r>
        <w:rPr>
          <w:rFonts w:hint="eastAsia" w:ascii="仿宋_GB2312" w:hAnsi="仿宋" w:cs="新宋体-18030"/>
          <w:color w:val="000000" w:themeColor="text1"/>
          <w:sz w:val="24"/>
        </w:rPr>
        <w:t>、《中华人民共和国土地管理法实施条例》</w:t>
      </w:r>
      <w:r>
        <w:rPr>
          <w:rFonts w:hint="eastAsia" w:ascii="仿宋_GB2312" w:hAnsi="仿宋" w:cs="新宋体-18030"/>
          <w:color w:val="000000" w:themeColor="text1"/>
          <w:sz w:val="24"/>
          <w:lang w:val="en-US" w:eastAsia="zh-CN"/>
        </w:rPr>
        <w:t>(中华人民共和国国务院令第743号，自2021年9月1日起施行，2021年7月2日第三次修订)</w:t>
      </w:r>
      <w:r>
        <w:rPr>
          <w:rFonts w:hint="eastAsia" w:ascii="仿宋_GB2312" w:hAnsi="仿宋" w:cs="新宋体-18030"/>
          <w:color w:val="000000" w:themeColor="text1"/>
          <w:sz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仿宋" w:hAnsi="仿宋" w:eastAsia="仿宋" w:cs="新宋体-18030"/>
          <w:color w:val="000000"/>
          <w:sz w:val="24"/>
        </w:rPr>
      </w:pPr>
      <w:r>
        <w:rPr>
          <w:rFonts w:hint="eastAsia" w:ascii="仿宋" w:hAnsi="仿宋" w:eastAsia="仿宋" w:cs="新宋体-18030"/>
          <w:color w:val="000000"/>
          <w:sz w:val="24"/>
          <w:lang w:val="en-US" w:eastAsia="zh-CN"/>
        </w:rPr>
        <w:t>5</w:t>
      </w:r>
      <w:r>
        <w:rPr>
          <w:rFonts w:hint="eastAsia" w:ascii="仿宋" w:hAnsi="仿宋" w:eastAsia="仿宋" w:cs="新宋体-18030"/>
          <w:color w:val="000000"/>
          <w:sz w:val="24"/>
        </w:rPr>
        <w:t>、《中华人民共和国资产评估法》(</w:t>
      </w:r>
      <w:r>
        <w:rPr>
          <w:rFonts w:hint="eastAsia" w:ascii="仿宋_GB2312" w:hAnsi="仿宋" w:eastAsia="仿宋_GB2312" w:cs="新宋体-18030"/>
          <w:color w:val="000000" w:themeColor="text1"/>
          <w:kern w:val="2"/>
          <w:sz w:val="24"/>
          <w:szCs w:val="30"/>
          <w:lang w:val="en-US" w:eastAsia="zh-CN" w:bidi="ar-SA"/>
        </w:rPr>
        <w:t>主席令第46号，自2016年12月1日起施行</w:t>
      </w:r>
      <w:r>
        <w:rPr>
          <w:rFonts w:hint="eastAsia" w:ascii="仿宋" w:hAnsi="仿宋" w:eastAsia="仿宋" w:cs="新宋体-18030"/>
          <w:color w:val="000000"/>
          <w:sz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仿宋" w:hAnsi="仿宋" w:eastAsia="仿宋" w:cs="新宋体-18030"/>
          <w:color w:val="000000"/>
          <w:sz w:val="24"/>
        </w:rPr>
      </w:pPr>
      <w:r>
        <w:rPr>
          <w:rFonts w:hint="eastAsia" w:ascii="仿宋" w:hAnsi="仿宋" w:eastAsia="仿宋" w:cs="新宋体-18030"/>
          <w:color w:val="000000"/>
          <w:sz w:val="24"/>
          <w:lang w:val="en-US" w:eastAsia="zh-CN"/>
        </w:rPr>
        <w:t>6</w:t>
      </w:r>
      <w:r>
        <w:rPr>
          <w:rFonts w:hint="eastAsia" w:ascii="仿宋" w:hAnsi="仿宋" w:eastAsia="仿宋" w:cs="新宋体-18030"/>
          <w:color w:val="000000"/>
          <w:sz w:val="24"/>
        </w:rPr>
        <w:t>、《最高人民法院关于人民法院民事执行中拍卖、变卖财产的规定》（法释[2004]16号）；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仿宋" w:hAnsi="仿宋" w:eastAsia="仿宋" w:cs="新宋体-18030"/>
          <w:color w:val="000000"/>
          <w:sz w:val="24"/>
        </w:rPr>
      </w:pPr>
      <w:r>
        <w:rPr>
          <w:rFonts w:hint="eastAsia" w:ascii="仿宋" w:hAnsi="仿宋" w:eastAsia="仿宋" w:cs="新宋体-18030"/>
          <w:color w:val="000000"/>
          <w:sz w:val="24"/>
          <w:lang w:val="en-US" w:eastAsia="zh-CN"/>
        </w:rPr>
        <w:t>7</w:t>
      </w:r>
      <w:r>
        <w:rPr>
          <w:rFonts w:hint="eastAsia" w:ascii="仿宋" w:hAnsi="仿宋" w:eastAsia="仿宋" w:cs="新宋体-18030"/>
          <w:color w:val="000000"/>
          <w:sz w:val="24"/>
        </w:rPr>
        <w:t>、《最高人民法院对外委托鉴定、评估、拍卖等工作管理规定》（法办发[2007]5号）；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仿宋" w:hAnsi="仿宋" w:eastAsia="仿宋" w:cs="新宋体-18030"/>
          <w:color w:val="000000"/>
          <w:sz w:val="24"/>
        </w:rPr>
      </w:pPr>
      <w:r>
        <w:rPr>
          <w:rFonts w:hint="eastAsia" w:ascii="仿宋" w:hAnsi="仿宋" w:eastAsia="仿宋" w:cs="新宋体-18030"/>
          <w:color w:val="000000"/>
          <w:sz w:val="24"/>
          <w:lang w:val="en-US" w:eastAsia="zh-CN"/>
        </w:rPr>
        <w:t>8</w:t>
      </w:r>
      <w:r>
        <w:rPr>
          <w:rFonts w:hint="eastAsia" w:ascii="仿宋" w:hAnsi="仿宋" w:eastAsia="仿宋" w:cs="新宋体-18030"/>
          <w:color w:val="000000"/>
          <w:sz w:val="24"/>
        </w:rPr>
        <w:t>、《最高人民法院关于人民法院确定财产处置参考价若干问题的规定》（法释[2018]15号）；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 w:hAnsi="仿宋" w:eastAsia="仿宋" w:cs="新宋体-18030"/>
          <w:color w:val="000000"/>
          <w:sz w:val="24"/>
        </w:rPr>
      </w:pPr>
      <w:r>
        <w:rPr>
          <w:rFonts w:hint="eastAsia" w:ascii="仿宋" w:hAnsi="仿宋" w:eastAsia="仿宋" w:cs="新宋体-18030"/>
          <w:color w:val="000000"/>
          <w:sz w:val="24"/>
          <w:lang w:val="en-US" w:eastAsia="zh-CN"/>
        </w:rPr>
        <w:t>9</w:t>
      </w:r>
      <w:r>
        <w:rPr>
          <w:rFonts w:hint="eastAsia" w:ascii="仿宋" w:hAnsi="仿宋" w:eastAsia="仿宋" w:cs="新宋体-18030"/>
          <w:color w:val="000000"/>
          <w:sz w:val="24"/>
        </w:rPr>
        <w:t>、《司法鉴定程序通则》（司法部令第107号、132号）。</w:t>
      </w:r>
    </w:p>
    <w:p>
      <w:pPr>
        <w:pStyle w:val="21"/>
        <w:keepNext w:val="0"/>
        <w:keepLines w:val="0"/>
        <w:pageBreakBefore w:val="0"/>
        <w:widowControl w:val="0"/>
        <w:kinsoku/>
        <w:wordWrap/>
        <w:overflowPunct/>
        <w:autoSpaceDE/>
        <w:autoSpaceDN/>
        <w:bidi w:val="0"/>
        <w:snapToGrid w:val="0"/>
        <w:spacing w:line="480" w:lineRule="exact"/>
        <w:ind w:firstLine="480"/>
        <w:textAlignment w:val="auto"/>
        <w:rPr>
          <w:rFonts w:ascii="仿宋_GB2312" w:hAnsi="仿宋" w:cs="新宋体-18030"/>
          <w:color w:val="000000" w:themeColor="text1"/>
          <w:sz w:val="24"/>
        </w:rPr>
      </w:pPr>
      <w:r>
        <w:rPr>
          <w:rFonts w:hint="eastAsia" w:ascii="仿宋_GB2312" w:hAnsi="仿宋" w:cs="新宋体-18030"/>
          <w:color w:val="000000" w:themeColor="text1"/>
          <w:sz w:val="24"/>
        </w:rPr>
        <w:t xml:space="preserve"> (二)技术标准、规程、规范</w:t>
      </w:r>
    </w:p>
    <w:p>
      <w:pPr>
        <w:pStyle w:val="21"/>
        <w:keepNext w:val="0"/>
        <w:keepLines w:val="0"/>
        <w:pageBreakBefore w:val="0"/>
        <w:widowControl w:val="0"/>
        <w:kinsoku/>
        <w:wordWrap/>
        <w:overflowPunct/>
        <w:autoSpaceDE/>
        <w:autoSpaceDN/>
        <w:bidi w:val="0"/>
        <w:snapToGrid w:val="0"/>
        <w:spacing w:line="480" w:lineRule="exact"/>
        <w:ind w:firstLine="480"/>
        <w:textAlignment w:val="auto"/>
        <w:rPr>
          <w:rFonts w:ascii="华文仿宋" w:hAnsi="华文仿宋" w:eastAsia="华文仿宋" w:cs="新宋体-18030"/>
          <w:color w:val="000000" w:themeColor="text1"/>
          <w:sz w:val="24"/>
          <w:szCs w:val="24"/>
        </w:rPr>
      </w:pPr>
      <w:r>
        <w:rPr>
          <w:rFonts w:hint="eastAsia" w:ascii="华文仿宋" w:hAnsi="华文仿宋" w:eastAsia="华文仿宋" w:cs="新宋体-18030"/>
          <w:color w:val="000000" w:themeColor="text1"/>
          <w:sz w:val="24"/>
          <w:szCs w:val="24"/>
        </w:rPr>
        <w:t>1.《房地产估价规范》</w:t>
      </w:r>
      <w:r>
        <w:rPr>
          <w:rFonts w:hint="eastAsia" w:ascii="华文仿宋" w:hAnsi="华文仿宋" w:eastAsia="华文仿宋"/>
          <w:color w:val="000000"/>
          <w:sz w:val="24"/>
          <w:szCs w:val="24"/>
        </w:rPr>
        <w:t>（GB/T5</w:t>
      </w:r>
      <w:r>
        <w:rPr>
          <w:rFonts w:hint="eastAsia" w:ascii="华文仿宋" w:hAnsi="华文仿宋" w:eastAsia="华文仿宋"/>
          <w:color w:val="000000"/>
          <w:sz w:val="24"/>
          <w:szCs w:val="24"/>
          <w:lang w:eastAsia="zh-CN"/>
        </w:rPr>
        <w:t>0026</w:t>
      </w:r>
      <w:r>
        <w:rPr>
          <w:rFonts w:hint="eastAsia" w:ascii="华文仿宋" w:hAnsi="华文仿宋" w:eastAsia="华文仿宋"/>
          <w:color w:val="000000"/>
          <w:sz w:val="24"/>
          <w:szCs w:val="24"/>
        </w:rPr>
        <w:t>-2015、中华人民共和国住房和城乡建设部、中华人民共和国国家质量监督检验检疫总局联合发布、2015年4月8日发布、2015年12月1日实施）；</w:t>
      </w:r>
    </w:p>
    <w:p>
      <w:pPr>
        <w:pStyle w:val="68"/>
        <w:keepNext w:val="0"/>
        <w:keepLines w:val="0"/>
        <w:pageBreakBefore w:val="0"/>
        <w:widowControl w:val="0"/>
        <w:tabs>
          <w:tab w:val="left" w:pos="709"/>
        </w:tabs>
        <w:kinsoku/>
        <w:wordWrap/>
        <w:overflowPunct/>
        <w:topLinePunct/>
        <w:autoSpaceDE/>
        <w:autoSpaceDN/>
        <w:bidi w:val="0"/>
        <w:adjustRightInd w:val="0"/>
        <w:snapToGrid w:val="0"/>
        <w:spacing w:line="480" w:lineRule="exact"/>
        <w:ind w:firstLineChars="0"/>
        <w:textAlignment w:val="auto"/>
        <w:rPr>
          <w:rFonts w:ascii="华文仿宋" w:hAnsi="华文仿宋" w:eastAsia="华文仿宋" w:cs="微软雅黑"/>
          <w:sz w:val="24"/>
        </w:rPr>
      </w:pPr>
      <w:r>
        <w:rPr>
          <w:rFonts w:hint="eastAsia" w:ascii="华文仿宋" w:hAnsi="华文仿宋" w:eastAsia="华文仿宋" w:cs="新宋体-18030"/>
          <w:color w:val="000000" w:themeColor="text1"/>
          <w:sz w:val="24"/>
        </w:rPr>
        <w:t>2.</w:t>
      </w:r>
      <w:r>
        <w:rPr>
          <w:rFonts w:ascii="华文仿宋" w:hAnsi="华文仿宋" w:eastAsia="华文仿宋" w:cs="新宋体-18030"/>
          <w:color w:val="000000" w:themeColor="text1"/>
          <w:sz w:val="24"/>
        </w:rPr>
        <w:t>《房地产估价基本术语标准》</w:t>
      </w:r>
      <w:r>
        <w:rPr>
          <w:rFonts w:hint="eastAsia" w:ascii="华文仿宋" w:hAnsi="华文仿宋" w:eastAsia="华文仿宋"/>
          <w:color w:val="000000"/>
          <w:sz w:val="24"/>
        </w:rPr>
        <w:t>（GB/T50899-2013、中华人民共和国住房和城乡建设部、中华人民共和国国家质量监督检验检疫总局2013年6月26日联合发布、2014年2月1日实施）；</w:t>
      </w:r>
    </w:p>
    <w:p>
      <w:pPr>
        <w:pStyle w:val="21"/>
        <w:keepNext w:val="0"/>
        <w:keepLines w:val="0"/>
        <w:pageBreakBefore w:val="0"/>
        <w:widowControl w:val="0"/>
        <w:kinsoku/>
        <w:wordWrap/>
        <w:overflowPunct/>
        <w:topLinePunct w:val="0"/>
        <w:autoSpaceDE/>
        <w:autoSpaceDN/>
        <w:bidi w:val="0"/>
        <w:adjustRightInd/>
        <w:snapToGrid w:val="0"/>
        <w:spacing w:line="480" w:lineRule="exact"/>
        <w:ind w:firstLine="480"/>
        <w:textAlignment w:val="auto"/>
        <w:rPr>
          <w:rFonts w:ascii="华文仿宋" w:hAnsi="华文仿宋" w:eastAsia="华文仿宋" w:cs="新宋体-18030"/>
          <w:sz w:val="24"/>
          <w:szCs w:val="24"/>
        </w:rPr>
      </w:pPr>
      <w:r>
        <w:rPr>
          <w:rFonts w:hint="eastAsia" w:ascii="华文仿宋" w:hAnsi="华文仿宋" w:eastAsia="华文仿宋" w:cs="新宋体-18030"/>
          <w:sz w:val="24"/>
          <w:szCs w:val="24"/>
        </w:rPr>
        <w:t xml:space="preserve"> (三)估价委托人提供的有关资料</w:t>
      </w:r>
    </w:p>
    <w:p>
      <w:pPr>
        <w:pStyle w:val="21"/>
        <w:keepNext w:val="0"/>
        <w:keepLines w:val="0"/>
        <w:pageBreakBefore w:val="0"/>
        <w:widowControl w:val="0"/>
        <w:kinsoku/>
        <w:wordWrap/>
        <w:overflowPunct/>
        <w:topLinePunct w:val="0"/>
        <w:autoSpaceDE/>
        <w:autoSpaceDN/>
        <w:bidi w:val="0"/>
        <w:adjustRightInd/>
        <w:snapToGrid w:val="0"/>
        <w:spacing w:line="480" w:lineRule="exact"/>
        <w:ind w:firstLine="480"/>
        <w:textAlignment w:val="auto"/>
        <w:rPr>
          <w:rFonts w:ascii="华文仿宋" w:hAnsi="华文仿宋" w:eastAsia="华文仿宋" w:cs="微软雅黑"/>
          <w:sz w:val="24"/>
        </w:rPr>
      </w:pPr>
      <w:r>
        <w:rPr>
          <w:rFonts w:hint="eastAsia" w:ascii="华文仿宋" w:hAnsi="华文仿宋" w:eastAsia="华文仿宋" w:cs="新宋体-18030"/>
          <w:sz w:val="24"/>
        </w:rPr>
        <w:t>1.</w:t>
      </w:r>
      <w:r>
        <w:rPr>
          <w:rFonts w:hint="eastAsia" w:ascii="华文仿宋" w:hAnsi="华文仿宋" w:eastAsia="华文仿宋" w:cs="微软雅黑"/>
          <w:sz w:val="24"/>
        </w:rPr>
        <w:t>《</w:t>
      </w:r>
      <w:r>
        <w:rPr>
          <w:rFonts w:hint="eastAsia" w:ascii="华文仿宋" w:hAnsi="华文仿宋" w:eastAsia="华文仿宋"/>
          <w:sz w:val="24"/>
          <w:lang w:val="en-US" w:eastAsia="zh-CN"/>
        </w:rPr>
        <w:t>司法鉴定</w:t>
      </w:r>
      <w:r>
        <w:rPr>
          <w:rFonts w:hint="eastAsia" w:ascii="华文仿宋" w:hAnsi="华文仿宋" w:eastAsia="华文仿宋"/>
          <w:sz w:val="24"/>
        </w:rPr>
        <w:t>委托书</w:t>
      </w:r>
      <w:r>
        <w:rPr>
          <w:rFonts w:hint="eastAsia" w:ascii="华文仿宋" w:hAnsi="华文仿宋" w:eastAsia="华文仿宋" w:cs="微软雅黑"/>
          <w:sz w:val="24"/>
        </w:rPr>
        <w:t>》；</w:t>
      </w:r>
    </w:p>
    <w:p>
      <w:pPr>
        <w:pStyle w:val="21"/>
        <w:keepNext w:val="0"/>
        <w:keepLines w:val="0"/>
        <w:pageBreakBefore w:val="0"/>
        <w:widowControl w:val="0"/>
        <w:kinsoku/>
        <w:wordWrap/>
        <w:overflowPunct/>
        <w:topLinePunct w:val="0"/>
        <w:autoSpaceDE/>
        <w:autoSpaceDN/>
        <w:bidi w:val="0"/>
        <w:adjustRightInd/>
        <w:snapToGrid w:val="0"/>
        <w:spacing w:line="480" w:lineRule="exact"/>
        <w:ind w:firstLine="480"/>
        <w:textAlignment w:val="auto"/>
        <w:rPr>
          <w:rFonts w:hint="eastAsia" w:ascii="华文仿宋" w:hAnsi="华文仿宋" w:eastAsia="华文仿宋"/>
          <w:sz w:val="24"/>
        </w:rPr>
      </w:pPr>
      <w:r>
        <w:rPr>
          <w:rFonts w:hint="eastAsia" w:ascii="华文仿宋" w:hAnsi="华文仿宋" w:eastAsia="华文仿宋"/>
          <w:sz w:val="24"/>
        </w:rPr>
        <w:t>2.《</w:t>
      </w:r>
      <w:r>
        <w:rPr>
          <w:rFonts w:hint="eastAsia" w:ascii="华文仿宋" w:hAnsi="华文仿宋" w:eastAsia="华文仿宋"/>
          <w:sz w:val="24"/>
          <w:lang w:val="en-US" w:eastAsia="zh-CN"/>
        </w:rPr>
        <w:t>不动产登记信息</w:t>
      </w:r>
      <w:r>
        <w:rPr>
          <w:rFonts w:hint="eastAsia" w:ascii="华文仿宋" w:hAnsi="华文仿宋" w:eastAsia="华文仿宋"/>
          <w:sz w:val="24"/>
        </w:rPr>
        <w:t>》复印件；</w:t>
      </w:r>
    </w:p>
    <w:p>
      <w:pPr>
        <w:pStyle w:val="21"/>
        <w:keepNext w:val="0"/>
        <w:keepLines w:val="0"/>
        <w:pageBreakBefore w:val="0"/>
        <w:widowControl w:val="0"/>
        <w:kinsoku/>
        <w:wordWrap/>
        <w:overflowPunct/>
        <w:topLinePunct w:val="0"/>
        <w:autoSpaceDE/>
        <w:autoSpaceDN/>
        <w:bidi w:val="0"/>
        <w:adjustRightInd/>
        <w:snapToGrid w:val="0"/>
        <w:spacing w:line="480" w:lineRule="exact"/>
        <w:ind w:firstLine="480"/>
        <w:textAlignment w:val="auto"/>
        <w:rPr>
          <w:rFonts w:hint="default" w:ascii="华文仿宋" w:hAnsi="华文仿宋" w:eastAsia="华文仿宋"/>
          <w:sz w:val="24"/>
          <w:lang w:val="en-US" w:eastAsia="zh-CN"/>
        </w:rPr>
      </w:pPr>
      <w:r>
        <w:rPr>
          <w:rFonts w:hint="eastAsia" w:ascii="华文仿宋" w:hAnsi="华文仿宋" w:eastAsia="华文仿宋"/>
          <w:sz w:val="24"/>
          <w:lang w:val="en-US" w:eastAsia="zh-CN"/>
        </w:rPr>
        <w:t>3.《不动产权证》[皖（2018）全椒县不动产权第0001353号]</w:t>
      </w:r>
      <w:r>
        <w:rPr>
          <w:rFonts w:hint="eastAsia" w:ascii="华文仿宋" w:hAnsi="华文仿宋" w:eastAsia="华文仿宋"/>
          <w:sz w:val="24"/>
        </w:rPr>
        <w:t>复印件；</w:t>
      </w:r>
    </w:p>
    <w:p>
      <w:pPr>
        <w:pStyle w:val="21"/>
        <w:keepNext w:val="0"/>
        <w:keepLines w:val="0"/>
        <w:pageBreakBefore w:val="0"/>
        <w:widowControl w:val="0"/>
        <w:kinsoku/>
        <w:wordWrap/>
        <w:overflowPunct/>
        <w:topLinePunct w:val="0"/>
        <w:autoSpaceDE/>
        <w:autoSpaceDN/>
        <w:bidi w:val="0"/>
        <w:adjustRightInd/>
        <w:snapToGrid w:val="0"/>
        <w:spacing w:line="480" w:lineRule="exact"/>
        <w:ind w:firstLine="480"/>
        <w:textAlignment w:val="auto"/>
        <w:rPr>
          <w:rFonts w:ascii="华文仿宋" w:hAnsi="华文仿宋" w:eastAsia="华文仿宋" w:cs="微软雅黑"/>
          <w:sz w:val="24"/>
        </w:rPr>
      </w:pPr>
      <w:r>
        <w:rPr>
          <w:rFonts w:hint="eastAsia" w:ascii="华文仿宋" w:hAnsi="华文仿宋" w:eastAsia="华文仿宋"/>
          <w:color w:val="000000"/>
          <w:sz w:val="24"/>
          <w:lang w:val="en-US" w:eastAsia="zh-CN"/>
        </w:rPr>
        <w:t>4</w:t>
      </w:r>
      <w:r>
        <w:rPr>
          <w:rFonts w:hint="eastAsia" w:ascii="华文仿宋" w:hAnsi="华文仿宋" w:eastAsia="华文仿宋"/>
          <w:color w:val="000000"/>
          <w:sz w:val="24"/>
        </w:rPr>
        <w:t>.估价</w:t>
      </w:r>
      <w:r>
        <w:rPr>
          <w:rFonts w:hint="eastAsia" w:ascii="华文仿宋" w:hAnsi="华文仿宋" w:eastAsia="华文仿宋" w:cs="微软雅黑"/>
          <w:sz w:val="24"/>
        </w:rPr>
        <w:t>委托人</w:t>
      </w:r>
      <w:r>
        <w:rPr>
          <w:rFonts w:hint="eastAsia" w:ascii="华文仿宋" w:hAnsi="华文仿宋" w:eastAsia="华文仿宋"/>
          <w:color w:val="000000"/>
          <w:sz w:val="24"/>
        </w:rPr>
        <w:t>提供的其他有关资料；</w:t>
      </w:r>
    </w:p>
    <w:p>
      <w:pPr>
        <w:pStyle w:val="21"/>
        <w:snapToGrid w:val="0"/>
        <w:spacing w:line="480" w:lineRule="exact"/>
        <w:ind w:firstLine="480"/>
        <w:rPr>
          <w:rFonts w:ascii="仿宋_GB2312" w:hAnsi="仿宋" w:cs="新宋体-18030"/>
          <w:color w:val="000000" w:themeColor="text1"/>
          <w:sz w:val="24"/>
        </w:rPr>
      </w:pPr>
      <w:r>
        <w:rPr>
          <w:rFonts w:hint="eastAsia" w:ascii="仿宋_GB2312" w:hAnsi="仿宋" w:cs="新宋体-18030"/>
          <w:color w:val="000000" w:themeColor="text1"/>
          <w:sz w:val="24"/>
        </w:rPr>
        <w:t>(四)估价机构实地查勘的资料</w:t>
      </w:r>
    </w:p>
    <w:p>
      <w:pPr>
        <w:pStyle w:val="21"/>
        <w:snapToGrid w:val="0"/>
        <w:spacing w:line="480" w:lineRule="exact"/>
        <w:ind w:firstLine="480"/>
        <w:rPr>
          <w:rFonts w:ascii="仿宋_GB2312" w:hAnsi="仿宋" w:cs="新宋体-18030"/>
          <w:color w:val="000000" w:themeColor="text1"/>
          <w:sz w:val="24"/>
        </w:rPr>
      </w:pPr>
      <w:r>
        <w:rPr>
          <w:rFonts w:hint="eastAsia" w:ascii="仿宋_GB2312" w:hAnsi="仿宋" w:cs="新宋体-18030"/>
          <w:color w:val="000000" w:themeColor="text1"/>
          <w:sz w:val="24"/>
        </w:rPr>
        <w:t>实地查勘记录、实地查勘拍摄照片等。</w:t>
      </w:r>
    </w:p>
    <w:p>
      <w:pPr>
        <w:pStyle w:val="21"/>
        <w:snapToGrid w:val="0"/>
        <w:spacing w:line="480" w:lineRule="exact"/>
        <w:ind w:firstLine="480"/>
        <w:rPr>
          <w:rFonts w:ascii="华文仿宋" w:hAnsi="华文仿宋" w:eastAsia="华文仿宋" w:cs="新宋体-18030"/>
          <w:color w:val="000000" w:themeColor="text1"/>
          <w:sz w:val="24"/>
          <w:szCs w:val="24"/>
        </w:rPr>
      </w:pPr>
      <w:r>
        <w:rPr>
          <w:rFonts w:hint="eastAsia" w:ascii="华文仿宋" w:hAnsi="华文仿宋" w:eastAsia="华文仿宋" w:cs="新宋体-18030"/>
          <w:color w:val="000000" w:themeColor="text1"/>
          <w:sz w:val="24"/>
          <w:szCs w:val="24"/>
        </w:rPr>
        <w:t xml:space="preserve"> (五)估价机构和估价人员掌握和搜集的资料</w:t>
      </w:r>
    </w:p>
    <w:p>
      <w:pPr>
        <w:pStyle w:val="21"/>
        <w:snapToGrid w:val="0"/>
        <w:spacing w:line="480" w:lineRule="exact"/>
        <w:ind w:firstLine="480"/>
        <w:rPr>
          <w:rFonts w:ascii="华文仿宋" w:hAnsi="华文仿宋" w:eastAsia="华文仿宋" w:cs="新宋体-18030"/>
          <w:color w:val="000000" w:themeColor="text1"/>
          <w:sz w:val="24"/>
          <w:szCs w:val="24"/>
        </w:rPr>
      </w:pPr>
      <w:r>
        <w:rPr>
          <w:rFonts w:hint="eastAsia" w:ascii="华文仿宋" w:hAnsi="华文仿宋" w:eastAsia="华文仿宋" w:cs="新宋体-18030"/>
          <w:color w:val="000000" w:themeColor="text1"/>
          <w:sz w:val="24"/>
          <w:szCs w:val="24"/>
        </w:rPr>
        <w:t>1.可比实例市场交易资料；</w:t>
      </w:r>
    </w:p>
    <w:p>
      <w:pPr>
        <w:pStyle w:val="21"/>
        <w:snapToGrid w:val="0"/>
        <w:spacing w:line="480" w:lineRule="exact"/>
        <w:ind w:firstLine="480"/>
        <w:rPr>
          <w:rFonts w:ascii="华文仿宋" w:hAnsi="华文仿宋" w:eastAsia="华文仿宋" w:cs="新宋体-18030"/>
          <w:sz w:val="24"/>
          <w:szCs w:val="24"/>
        </w:rPr>
      </w:pPr>
      <w:r>
        <w:rPr>
          <w:rFonts w:hint="eastAsia" w:ascii="华文仿宋" w:hAnsi="华文仿宋" w:eastAsia="华文仿宋" w:cs="新宋体-18030"/>
          <w:sz w:val="24"/>
          <w:szCs w:val="24"/>
        </w:rPr>
        <w:t>2.</w:t>
      </w:r>
      <w:r>
        <w:rPr>
          <w:rFonts w:hint="eastAsia" w:ascii="华文仿宋" w:hAnsi="华文仿宋" w:eastAsia="华文仿宋" w:cs="新宋体-18030"/>
          <w:sz w:val="24"/>
          <w:szCs w:val="24"/>
          <w:lang w:val="en-US" w:eastAsia="zh-CN"/>
        </w:rPr>
        <w:t>全椒县</w:t>
      </w:r>
      <w:r>
        <w:rPr>
          <w:rFonts w:hint="eastAsia" w:ascii="华文仿宋" w:hAnsi="华文仿宋" w:eastAsia="华文仿宋" w:cs="新宋体-18030"/>
          <w:sz w:val="24"/>
          <w:szCs w:val="24"/>
        </w:rPr>
        <w:t>房地产市场信息；</w:t>
      </w:r>
    </w:p>
    <w:p>
      <w:pPr>
        <w:pStyle w:val="21"/>
        <w:snapToGrid w:val="0"/>
        <w:spacing w:line="480" w:lineRule="exact"/>
        <w:ind w:firstLine="480"/>
        <w:rPr>
          <w:rFonts w:ascii="华文仿宋" w:hAnsi="华文仿宋" w:eastAsia="华文仿宋" w:cs="新宋体-18030"/>
          <w:color w:val="000000" w:themeColor="text1"/>
          <w:sz w:val="24"/>
          <w:szCs w:val="24"/>
        </w:rPr>
      </w:pPr>
      <w:r>
        <w:rPr>
          <w:rFonts w:hint="eastAsia" w:ascii="华文仿宋" w:hAnsi="华文仿宋" w:eastAsia="华文仿宋" w:cs="新宋体-18030"/>
          <w:color w:val="000000" w:themeColor="text1"/>
          <w:sz w:val="24"/>
          <w:szCs w:val="24"/>
        </w:rPr>
        <w:t>3.估价机构及估价人员掌握的其他相关信息资料。</w:t>
      </w:r>
    </w:p>
    <w:p>
      <w:pPr>
        <w:spacing w:line="480" w:lineRule="exact"/>
        <w:ind w:firstLine="482" w:firstLineChars="200"/>
        <w:outlineLvl w:val="1"/>
        <w:rPr>
          <w:rFonts w:ascii="仿宋_GB2312" w:hAnsi="仿宋" w:eastAsia="仿宋_GB2312" w:cs="新宋体-18030"/>
          <w:b/>
          <w:bCs/>
          <w:color w:val="000000" w:themeColor="text1"/>
          <w:sz w:val="24"/>
        </w:rPr>
      </w:pPr>
      <w:bookmarkStart w:id="50" w:name="_Toc1631"/>
      <w:bookmarkStart w:id="51" w:name="_Toc530663978"/>
      <w:bookmarkStart w:id="52" w:name="_Toc433731397"/>
      <w:r>
        <w:rPr>
          <w:rFonts w:hint="eastAsia" w:ascii="仿宋_GB2312" w:hAnsi="仿宋" w:eastAsia="仿宋_GB2312" w:cs="新宋体-18030"/>
          <w:b/>
          <w:bCs/>
          <w:color w:val="000000" w:themeColor="text1"/>
          <w:sz w:val="24"/>
        </w:rPr>
        <w:t>八、估价原则</w:t>
      </w:r>
      <w:bookmarkEnd w:id="50"/>
      <w:bookmarkEnd w:id="51"/>
      <w:bookmarkEnd w:id="52"/>
    </w:p>
    <w:p>
      <w:pPr>
        <w:spacing w:line="480" w:lineRule="exact"/>
        <w:ind w:firstLine="480" w:firstLineChars="200"/>
        <w:rPr>
          <w:rFonts w:ascii="仿宋" w:hAnsi="仿宋" w:eastAsia="仿宋" w:cs="新宋体-18030"/>
          <w:sz w:val="24"/>
        </w:rPr>
      </w:pPr>
      <w:bookmarkStart w:id="53" w:name="_Toc433731398"/>
      <w:bookmarkStart w:id="54" w:name="_Toc530663979"/>
      <w:r>
        <w:rPr>
          <w:rFonts w:hint="eastAsia" w:ascii="仿宋" w:hAnsi="仿宋" w:eastAsia="仿宋" w:cs="新宋体-18030"/>
          <w:color w:val="000000" w:themeColor="text1"/>
          <w:sz w:val="24"/>
        </w:rPr>
        <w:t>根据估价委托，结合估价对象的有关情况，本次房地产估价遵循下列原则：独立、客观公正原则、合法原则、价值时点原则、替代原则、最高最佳利用原则。</w:t>
      </w:r>
    </w:p>
    <w:p>
      <w:pPr>
        <w:snapToGrid w:val="0"/>
        <w:spacing w:line="480" w:lineRule="exact"/>
        <w:ind w:firstLine="480" w:firstLineChars="200"/>
        <w:rPr>
          <w:rFonts w:ascii="仿宋_GB2312" w:hAnsi="仿宋" w:eastAsia="仿宋_GB2312" w:cs="新宋体-18030"/>
          <w:color w:val="000000" w:themeColor="text1"/>
          <w:sz w:val="24"/>
        </w:rPr>
      </w:pPr>
      <w:r>
        <w:rPr>
          <w:rFonts w:hint="eastAsia" w:ascii="仿宋" w:hAnsi="仿宋" w:eastAsia="仿宋" w:cs="新宋体-18030"/>
          <w:sz w:val="24"/>
        </w:rPr>
        <w:t>1</w:t>
      </w:r>
      <w:r>
        <w:rPr>
          <w:rFonts w:hint="eastAsia" w:ascii="仿宋" w:hAnsi="仿宋" w:eastAsia="仿宋" w:cs="新宋体-18030"/>
          <w:color w:val="000000" w:themeColor="text1"/>
          <w:sz w:val="24"/>
          <w:szCs w:val="24"/>
        </w:rPr>
        <w:t>、独立、客观、公正原则：</w:t>
      </w:r>
      <w:r>
        <w:rPr>
          <w:rFonts w:hint="eastAsia" w:ascii="仿宋_GB2312" w:hAnsi="仿宋" w:eastAsia="仿宋_GB2312" w:cs="新宋体-18030"/>
          <w:color w:val="000000" w:themeColor="text1"/>
          <w:sz w:val="24"/>
        </w:rPr>
        <w:t>指站在中立的立场上，实事求是、公平正直地评估出对各方估价利害关系人均是公平合理的价值或价格。估价机构和估价师与委托人及估价利害关系人没有利害关系，与估价对象没有利益关系，不带着自己的情感、好恶和偏见，按照事物的本来面目、实事求是地进行估价，估价师和估价机构在估价中不偏袒估价利害关系人中的任何一方，坚持原则、公平正直地进行估价。</w:t>
      </w:r>
    </w:p>
    <w:p>
      <w:pPr>
        <w:pStyle w:val="21"/>
        <w:snapToGrid w:val="0"/>
        <w:spacing w:line="480" w:lineRule="exact"/>
        <w:ind w:firstLine="480"/>
        <w:rPr>
          <w:rFonts w:ascii="仿宋" w:hAnsi="仿宋" w:eastAsia="仿宋" w:cs="新宋体-18030"/>
          <w:color w:val="000000" w:themeColor="text1"/>
          <w:sz w:val="24"/>
          <w:szCs w:val="24"/>
        </w:rPr>
      </w:pPr>
      <w:r>
        <w:rPr>
          <w:rFonts w:hint="eastAsia" w:ascii="仿宋_GB2312" w:hAnsi="仿宋" w:cs="新宋体-18030"/>
          <w:color w:val="000000" w:themeColor="text1"/>
          <w:sz w:val="24"/>
        </w:rPr>
        <w:t>本次估价坚守独立、客观、公正原则，估价机构建立了行之有效的内部审核制度，以保证评估过程规范有序，既不受其他单位和个人的非法干预和影响，也不因房地产估价师个人好恶或主观偏见影响其分析、判断的客观性。</w:t>
      </w:r>
    </w:p>
    <w:p>
      <w:pPr>
        <w:pStyle w:val="21"/>
        <w:snapToGrid w:val="0"/>
        <w:spacing w:line="480" w:lineRule="exact"/>
        <w:ind w:firstLine="480"/>
        <w:rPr>
          <w:rFonts w:ascii="仿宋" w:hAnsi="仿宋" w:eastAsia="仿宋" w:cs="新宋体-18030"/>
          <w:color w:val="000000" w:themeColor="text1"/>
          <w:sz w:val="24"/>
          <w:szCs w:val="24"/>
        </w:rPr>
      </w:pPr>
      <w:r>
        <w:rPr>
          <w:rFonts w:hint="eastAsia" w:ascii="仿宋" w:hAnsi="仿宋" w:eastAsia="仿宋" w:cs="新宋体-18030"/>
          <w:color w:val="000000" w:themeColor="text1"/>
          <w:sz w:val="24"/>
          <w:szCs w:val="24"/>
        </w:rPr>
        <w:t>2、合法原则：估价结果是在依法判定的估价对象状况下的价值或价格。依法判定的估价对象权益可分解为依法判定的权利类型及归属，以及使用、处分等权利。</w:t>
      </w:r>
    </w:p>
    <w:p>
      <w:pPr>
        <w:snapToGrid w:val="0"/>
        <w:spacing w:line="48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依法是指不仅要依据有关法律、行政法规、最高人民法院和最高人民检察院发布的有关司法解释，还要依据估价对象所在地的有关地方性法规，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snapToGrid w:val="0"/>
        <w:spacing w:line="48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遵循合法原则并不意味着只有合法的房地产才能成为估价对象，而是指依法判定估价对象是哪种状况的房地产，就应将其作为那种状况的房地产来估价。</w:t>
      </w:r>
    </w:p>
    <w:p>
      <w:pPr>
        <w:pStyle w:val="21"/>
        <w:snapToGrid w:val="0"/>
        <w:spacing w:line="480" w:lineRule="exact"/>
        <w:ind w:firstLine="480"/>
        <w:rPr>
          <w:rFonts w:ascii="仿宋" w:hAnsi="仿宋" w:eastAsia="仿宋" w:cs="新宋体-18030"/>
          <w:color w:val="000000" w:themeColor="text1"/>
          <w:sz w:val="24"/>
          <w:szCs w:val="24"/>
        </w:rPr>
      </w:pPr>
      <w:r>
        <w:rPr>
          <w:rFonts w:hint="eastAsia" w:ascii="仿宋_GB2312" w:hAnsi="仿宋" w:cs="新宋体-18030"/>
          <w:color w:val="000000" w:themeColor="text1"/>
          <w:sz w:val="24"/>
        </w:rPr>
        <w:t>本次估价以估价对象合法用途为前提，根据估价委托人提供的合法权属证明等资料进行评估。</w:t>
      </w:r>
    </w:p>
    <w:p>
      <w:pPr>
        <w:spacing w:line="480" w:lineRule="exact"/>
        <w:ind w:firstLine="480" w:firstLineChars="200"/>
        <w:rPr>
          <w:rFonts w:ascii="仿宋_GB2312" w:hAnsi="仿宋" w:eastAsia="仿宋_GB2312" w:cs="新宋体-18030"/>
          <w:color w:val="000000" w:themeColor="text1"/>
          <w:sz w:val="24"/>
        </w:rPr>
      </w:pPr>
      <w:r>
        <w:rPr>
          <w:rFonts w:hint="eastAsia" w:ascii="仿宋" w:hAnsi="仿宋" w:eastAsia="仿宋" w:cs="新宋体-18030"/>
          <w:color w:val="000000" w:themeColor="text1"/>
          <w:sz w:val="24"/>
          <w:szCs w:val="24"/>
        </w:rPr>
        <w:t>3、价值时点原则：</w:t>
      </w:r>
      <w:r>
        <w:rPr>
          <w:rFonts w:hint="eastAsia" w:ascii="仿宋_GB2312" w:hAnsi="仿宋" w:eastAsia="仿宋_GB2312" w:cs="新宋体-18030"/>
          <w:color w:val="000000" w:themeColor="text1"/>
          <w:sz w:val="24"/>
        </w:rPr>
        <w:t>指估价结果是在根据估价目的确定的某一特定时间的价值或价格。</w:t>
      </w:r>
    </w:p>
    <w:p>
      <w:pPr>
        <w:snapToGrid w:val="0"/>
        <w:spacing w:line="48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影响房地产价格的因素是不断变化的，房地产市场是不断变化的，同一估价对象在不同时点会具不同的市场价格。</w:t>
      </w:r>
    </w:p>
    <w:p>
      <w:pPr>
        <w:snapToGrid w:val="0"/>
        <w:spacing w:line="48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本次估价以价值时点原则为前提，根据价值时点原则确定政府有关房地产的法律、法规、税收政策、估价标准等的发布、变更、实施日期等估价依据。估价结果是根据估价目的确定的价值时点对应的市场价值。</w:t>
      </w:r>
      <w:r>
        <w:rPr>
          <w:rFonts w:hint="eastAsia" w:ascii="华文仿宋" w:hAnsi="华文仿宋" w:eastAsia="华文仿宋"/>
          <w:caps/>
          <w:color w:val="000000" w:themeColor="text1"/>
          <w:sz w:val="24"/>
          <w:szCs w:val="24"/>
        </w:rPr>
        <w:t>运用比较法时，对可比案例的期日修正体现了价值时点原则。</w:t>
      </w:r>
    </w:p>
    <w:p>
      <w:pPr>
        <w:spacing w:line="480" w:lineRule="exact"/>
        <w:ind w:firstLine="480" w:firstLineChars="200"/>
        <w:rPr>
          <w:rFonts w:ascii="仿宋_GB2312" w:hAnsi="仿宋" w:eastAsia="仿宋_GB2312" w:cs="新宋体-18030"/>
          <w:color w:val="000000" w:themeColor="text1"/>
          <w:sz w:val="24"/>
        </w:rPr>
      </w:pPr>
      <w:r>
        <w:rPr>
          <w:rFonts w:hint="eastAsia" w:ascii="仿宋" w:hAnsi="仿宋" w:eastAsia="仿宋" w:cs="新宋体-18030"/>
          <w:color w:val="000000" w:themeColor="text1"/>
          <w:sz w:val="24"/>
          <w:szCs w:val="24"/>
        </w:rPr>
        <w:t>4、替代原则：</w:t>
      </w:r>
      <w:r>
        <w:rPr>
          <w:rFonts w:hint="eastAsia" w:ascii="仿宋_GB2312" w:hAnsi="仿宋" w:eastAsia="仿宋_GB2312" w:cs="新宋体-18030"/>
          <w:color w:val="000000" w:themeColor="text1"/>
          <w:sz w:val="24"/>
        </w:rPr>
        <w:t>指估价结果与估价对象的类似房地产在同等条件下的价值或价格偏差在合理范围内。</w:t>
      </w:r>
    </w:p>
    <w:p>
      <w:pPr>
        <w:snapToGrid w:val="0"/>
        <w:spacing w:line="48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房地产具有独一无二的特性。虽然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本次评估中，比较法选取具有替代性的案例就遵循了替代原则。</w:t>
      </w:r>
    </w:p>
    <w:p>
      <w:pPr>
        <w:pStyle w:val="21"/>
        <w:snapToGrid w:val="0"/>
        <w:spacing w:line="440" w:lineRule="exact"/>
        <w:ind w:firstLine="480"/>
        <w:rPr>
          <w:rFonts w:ascii="仿宋" w:hAnsi="仿宋" w:eastAsia="仿宋" w:cs="新宋体-18030"/>
          <w:color w:val="000000" w:themeColor="text1"/>
          <w:sz w:val="24"/>
          <w:szCs w:val="24"/>
        </w:rPr>
      </w:pPr>
      <w:r>
        <w:rPr>
          <w:rFonts w:hint="eastAsia" w:ascii="仿宋" w:hAnsi="仿宋" w:eastAsia="仿宋" w:cs="新宋体-18030"/>
          <w:color w:val="000000" w:themeColor="text1"/>
          <w:sz w:val="24"/>
          <w:szCs w:val="24"/>
        </w:rPr>
        <w:t>5、最高最佳利用原则：估价是在估价对象最高最佳利用状况下的价值或价格。</w:t>
      </w:r>
    </w:p>
    <w:p>
      <w:pPr>
        <w:topLinePunct/>
        <w:adjustRightInd w:val="0"/>
        <w:snapToGrid w:val="0"/>
        <w:spacing w:line="44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（1）以维持现状、继续利用最为合理的，应选择该前提进行估价；</w:t>
      </w:r>
    </w:p>
    <w:p>
      <w:pPr>
        <w:topLinePunct/>
        <w:adjustRightInd w:val="0"/>
        <w:snapToGrid w:val="0"/>
        <w:spacing w:line="44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（2）以更新改造再予以利用最为合理的，应选择该前提进行估价；</w:t>
      </w:r>
    </w:p>
    <w:p>
      <w:pPr>
        <w:topLinePunct/>
        <w:adjustRightInd w:val="0"/>
        <w:snapToGrid w:val="0"/>
        <w:spacing w:line="44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（3）以改变用途再予以利用最为合理的，应选择该前提进行估价；</w:t>
      </w:r>
    </w:p>
    <w:p>
      <w:pPr>
        <w:topLinePunct/>
        <w:adjustRightInd w:val="0"/>
        <w:snapToGrid w:val="0"/>
        <w:spacing w:line="44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（4）以改变规模再予以利用最为合理的，应选择该前提进行估价；</w:t>
      </w:r>
    </w:p>
    <w:p>
      <w:pPr>
        <w:topLinePunct/>
        <w:adjustRightInd w:val="0"/>
        <w:snapToGrid w:val="0"/>
        <w:spacing w:line="44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（5）以重新开发再予以利用最为合理的，应选择该前提进行估价；</w:t>
      </w:r>
    </w:p>
    <w:p>
      <w:pPr>
        <w:topLinePunct/>
        <w:adjustRightInd w:val="0"/>
        <w:snapToGrid w:val="0"/>
        <w:spacing w:line="44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（6）其他情况，应采用上述前提的组合或其他特殊利用前提进行估价。</w:t>
      </w:r>
    </w:p>
    <w:p>
      <w:pPr>
        <w:topLinePunct/>
        <w:adjustRightInd w:val="0"/>
        <w:snapToGrid w:val="0"/>
        <w:spacing w:line="44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经研究分析，我们认为估价对象维持现状、继续利用为其最高最佳利用方式。这是因为：</w:t>
      </w:r>
    </w:p>
    <w:p>
      <w:pPr>
        <w:topLinePunct/>
        <w:adjustRightInd w:val="0"/>
        <w:snapToGrid w:val="0"/>
        <w:spacing w:line="44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（1）法律上允许。</w:t>
      </w:r>
      <w:r>
        <w:rPr>
          <w:rFonts w:hint="eastAsia" w:ascii="仿宋_GB2312" w:hAnsi="仿宋" w:eastAsia="仿宋_GB2312" w:cs="新宋体-18030"/>
          <w:color w:val="000000" w:themeColor="text1"/>
          <w:sz w:val="24"/>
          <w:lang w:val="en-US" w:eastAsia="zh-CN"/>
        </w:rPr>
        <w:t>根据委托方提供的</w:t>
      </w:r>
      <w:r>
        <w:rPr>
          <w:rFonts w:hint="eastAsia" w:ascii="仿宋_GB2312" w:hAnsi="仿宋" w:eastAsia="仿宋_GB2312" w:cs="新宋体-18030"/>
          <w:color w:val="000000" w:themeColor="text1"/>
          <w:sz w:val="24"/>
        </w:rPr>
        <w:t>《</w:t>
      </w:r>
      <w:r>
        <w:rPr>
          <w:rFonts w:hint="eastAsia" w:ascii="仿宋_GB2312" w:hAnsi="仿宋" w:eastAsia="仿宋_GB2312" w:cs="新宋体-18030"/>
          <w:color w:val="000000" w:themeColor="text1"/>
          <w:sz w:val="24"/>
          <w:lang w:val="en-US" w:eastAsia="zh-CN"/>
        </w:rPr>
        <w:t>不动产登记信息</w:t>
      </w:r>
      <w:r>
        <w:rPr>
          <w:rFonts w:hint="eastAsia" w:ascii="仿宋_GB2312" w:hAnsi="仿宋" w:eastAsia="仿宋_GB2312" w:cs="新宋体-18030"/>
          <w:color w:val="000000" w:themeColor="text1"/>
          <w:sz w:val="24"/>
        </w:rPr>
        <w:t>》</w:t>
      </w:r>
      <w:r>
        <w:rPr>
          <w:rFonts w:hint="eastAsia" w:ascii="仿宋_GB2312" w:hAnsi="仿宋" w:eastAsia="仿宋_GB2312" w:cs="新宋体-18030"/>
          <w:color w:val="000000" w:themeColor="text1"/>
          <w:sz w:val="24"/>
          <w:lang w:val="en-US" w:eastAsia="zh-CN"/>
        </w:rPr>
        <w:t>及</w:t>
      </w:r>
      <w:r>
        <w:rPr>
          <w:rFonts w:hint="eastAsia" w:ascii="华文仿宋" w:hAnsi="华文仿宋" w:eastAsia="华文仿宋"/>
          <w:sz w:val="24"/>
          <w:lang w:val="en-US" w:eastAsia="zh-CN"/>
        </w:rPr>
        <w:t>《不动产权证》[皖（2018）全椒县不动产权第0001353号]</w:t>
      </w:r>
      <w:r>
        <w:rPr>
          <w:rFonts w:hint="eastAsia" w:ascii="仿宋_GB2312" w:hAnsi="仿宋" w:eastAsia="仿宋_GB2312" w:cs="新宋体-18030"/>
          <w:color w:val="000000" w:themeColor="text1"/>
          <w:sz w:val="24"/>
        </w:rPr>
        <w:t>，证载用途为住宅，用途及建设规模已经确定；本次估价目的是</w:t>
      </w:r>
      <w:r>
        <w:rPr>
          <w:rFonts w:hint="eastAsia" w:ascii="仿宋_GB2312" w:hAnsi="仿宋" w:eastAsia="仿宋_GB2312" w:cs="新宋体-18030"/>
          <w:color w:val="000000" w:themeColor="text1"/>
          <w:sz w:val="24"/>
          <w:lang w:eastAsia="zh-CN"/>
        </w:rPr>
        <w:t>为人民法院确定财产处置参考价提供参考依据</w:t>
      </w:r>
      <w:r>
        <w:rPr>
          <w:rFonts w:hint="eastAsia" w:ascii="仿宋_GB2312" w:hAnsi="仿宋" w:eastAsia="仿宋_GB2312" w:cs="新宋体-18030"/>
          <w:color w:val="000000" w:themeColor="text1"/>
          <w:sz w:val="24"/>
        </w:rPr>
        <w:t>，应以合法原则及谨慎原则为基础，从现有权属资料上看，估价对象从法律上暂时不具备更新改造、改变用途、规模或者重新开发再利用的可能。故维持现状、持续使用在法律上是允许的，符合合法原则；</w:t>
      </w:r>
    </w:p>
    <w:p>
      <w:pPr>
        <w:topLinePunct/>
        <w:adjustRightInd w:val="0"/>
        <w:snapToGrid w:val="0"/>
        <w:spacing w:line="44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（2）技术上可能。估价对象规划用途为住宅，形状规则、建筑规模及层高合理、维护保养情况良好。从实地查勘的情况来看，估价对象维持现状利用在技术上是非常适宜和可行的；</w:t>
      </w:r>
    </w:p>
    <w:p>
      <w:pPr>
        <w:topLinePunct/>
        <w:adjustRightInd w:val="0"/>
        <w:snapToGrid w:val="0"/>
        <w:spacing w:line="44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（3）财务上可行。估价对象已经投入使用，其产生的收益能够支持项目的正常运营，因此，本次估价采用维持现状用途来实现估价对象最高最佳价值在经济上是可行的；</w:t>
      </w:r>
    </w:p>
    <w:p>
      <w:pPr>
        <w:topLinePunct/>
        <w:adjustRightInd w:val="0"/>
        <w:snapToGrid w:val="0"/>
        <w:spacing w:line="440" w:lineRule="exact"/>
        <w:ind w:firstLine="480" w:firstLineChars="200"/>
        <w:rPr>
          <w:rFonts w:ascii="仿宋_GB2312" w:hAnsi="仿宋" w:eastAsia="仿宋_GB2312" w:cs="新宋体-18030"/>
          <w:color w:val="000000" w:themeColor="text1"/>
          <w:sz w:val="24"/>
        </w:rPr>
      </w:pPr>
      <w:r>
        <w:rPr>
          <w:rFonts w:hint="eastAsia" w:ascii="仿宋_GB2312" w:hAnsi="仿宋" w:eastAsia="仿宋_GB2312" w:cs="新宋体-18030"/>
          <w:color w:val="000000" w:themeColor="text1"/>
          <w:sz w:val="24"/>
        </w:rPr>
        <w:t>（4）价值最大化。估价对象已取得相关权属资料，用途、规模已经确定，故维持现状、持续使用能在合法原则的前提下，使估价对象产生最高经济收益。</w:t>
      </w:r>
    </w:p>
    <w:p>
      <w:pPr>
        <w:pStyle w:val="21"/>
        <w:snapToGrid w:val="0"/>
        <w:spacing w:line="440" w:lineRule="exact"/>
        <w:ind w:firstLine="480"/>
        <w:rPr>
          <w:rFonts w:ascii="仿宋_GB2312" w:hAnsi="仿宋" w:cs="新宋体-18030"/>
          <w:color w:val="000000" w:themeColor="text1"/>
          <w:sz w:val="24"/>
          <w:szCs w:val="21"/>
        </w:rPr>
      </w:pPr>
      <w:r>
        <w:rPr>
          <w:rFonts w:hint="eastAsia" w:ascii="仿宋_GB2312" w:hAnsi="仿宋" w:cs="新宋体-18030"/>
          <w:color w:val="000000" w:themeColor="text1"/>
          <w:sz w:val="24"/>
          <w:szCs w:val="21"/>
        </w:rPr>
        <w:t>综合以上分析，估价对象按其合法用途——住宅，维持现状利用为其法律上允许、技术上可能、经济上可行、价值最大化的最高最佳用途。</w:t>
      </w:r>
    </w:p>
    <w:p>
      <w:pPr>
        <w:spacing w:line="480" w:lineRule="exact"/>
        <w:ind w:firstLine="482" w:firstLineChars="200"/>
        <w:outlineLvl w:val="1"/>
        <w:rPr>
          <w:rFonts w:ascii="仿宋_GB2312" w:hAnsi="仿宋" w:eastAsia="仿宋_GB2312" w:cs="新宋体-18030"/>
          <w:b/>
          <w:bCs/>
          <w:color w:val="000000" w:themeColor="text1"/>
          <w:sz w:val="24"/>
        </w:rPr>
      </w:pPr>
      <w:bookmarkStart w:id="55" w:name="_Toc21507"/>
      <w:r>
        <w:rPr>
          <w:rFonts w:hint="eastAsia" w:ascii="仿宋_GB2312" w:hAnsi="仿宋" w:eastAsia="仿宋_GB2312" w:cs="新宋体-18030"/>
          <w:b/>
          <w:bCs/>
          <w:color w:val="000000" w:themeColor="text1"/>
          <w:sz w:val="24"/>
        </w:rPr>
        <w:t>九、估价方法</w:t>
      </w:r>
      <w:bookmarkEnd w:id="53"/>
      <w:bookmarkEnd w:id="54"/>
      <w:bookmarkEnd w:id="55"/>
    </w:p>
    <w:p>
      <w:pPr>
        <w:spacing w:line="480" w:lineRule="exact"/>
        <w:ind w:firstLine="480" w:firstLineChars="200"/>
        <w:rPr>
          <w:rFonts w:hAnsi="宋体" w:eastAsia="仿宋_GB2312"/>
          <w:color w:val="000000" w:themeColor="text1"/>
          <w:sz w:val="24"/>
        </w:rPr>
      </w:pPr>
      <w:r>
        <w:rPr>
          <w:rFonts w:hint="eastAsia" w:hAnsi="宋体" w:eastAsia="仿宋_GB2312"/>
          <w:color w:val="000000" w:themeColor="text1"/>
          <w:sz w:val="24"/>
        </w:rPr>
        <w:t>根据《房地产估价规范》(GB/T 5</w:t>
      </w:r>
      <w:r>
        <w:rPr>
          <w:rFonts w:hint="eastAsia" w:hAnsi="宋体" w:eastAsia="仿宋_GB2312"/>
          <w:color w:val="000000" w:themeColor="text1"/>
          <w:sz w:val="24"/>
          <w:lang w:eastAsia="zh-CN"/>
        </w:rPr>
        <w:t>0026</w:t>
      </w:r>
      <w:r>
        <w:rPr>
          <w:rFonts w:hint="eastAsia" w:hAnsi="宋体" w:eastAsia="仿宋_GB2312"/>
          <w:color w:val="000000" w:themeColor="text1"/>
          <w:sz w:val="24"/>
        </w:rPr>
        <w:t>-2015)，通行的估价方法有比较法、收益法、成本法、假设开发法等。估价方法的选择应根据当地房地产市场发育情况并结合估价对象的具体特点及估价目的等，选择适当的估价方法。</w:t>
      </w:r>
    </w:p>
    <w:p>
      <w:pPr>
        <w:pStyle w:val="21"/>
        <w:snapToGrid w:val="0"/>
        <w:spacing w:line="480" w:lineRule="exact"/>
        <w:ind w:firstLine="480"/>
        <w:rPr>
          <w:rFonts w:hAnsi="宋体"/>
          <w:sz w:val="24"/>
        </w:rPr>
      </w:pPr>
      <w:r>
        <w:rPr>
          <w:rFonts w:hint="eastAsia" w:hAnsi="宋体"/>
          <w:color w:val="000000" w:themeColor="text1"/>
          <w:sz w:val="24"/>
        </w:rPr>
        <w:t>估价人员在认真分析所掌握的资料，并对估价对象进行了实地查勘以及对周边房地产市场进行调查后，根据《房地产估价规范》(GB/T 5</w:t>
      </w:r>
      <w:r>
        <w:rPr>
          <w:rFonts w:hint="eastAsia" w:hAnsi="宋体"/>
          <w:color w:val="000000" w:themeColor="text1"/>
          <w:sz w:val="24"/>
          <w:lang w:eastAsia="zh-CN"/>
        </w:rPr>
        <w:t>0026</w:t>
      </w:r>
      <w:r>
        <w:rPr>
          <w:rFonts w:hint="eastAsia" w:hAnsi="宋体"/>
          <w:color w:val="000000" w:themeColor="text1"/>
          <w:sz w:val="24"/>
        </w:rPr>
        <w:t>-2015)，遵照国家有关法律、法规、估价技术标准，经过反复研究，</w:t>
      </w:r>
      <w:r>
        <w:rPr>
          <w:rFonts w:hint="eastAsia" w:hAnsi="宋体"/>
          <w:sz w:val="24"/>
        </w:rPr>
        <w:t>最终选取比较法对估价对象房地产进行估价。</w:t>
      </w:r>
    </w:p>
    <w:p>
      <w:pPr>
        <w:pStyle w:val="21"/>
        <w:snapToGrid w:val="0"/>
        <w:spacing w:line="480" w:lineRule="exact"/>
        <w:ind w:firstLine="480"/>
        <w:rPr>
          <w:rFonts w:ascii="仿宋_GB2312" w:hAnsi="仿宋" w:cs="仿宋_GB2312"/>
          <w:color w:val="000000" w:themeColor="text1"/>
          <w:sz w:val="24"/>
          <w:szCs w:val="24"/>
        </w:rPr>
      </w:pPr>
      <w:r>
        <w:rPr>
          <w:rFonts w:hint="eastAsia" w:ascii="仿宋_GB2312" w:hAnsi="仿宋" w:cs="仿宋_GB2312"/>
          <w:color w:val="000000" w:themeColor="text1"/>
          <w:sz w:val="24"/>
          <w:szCs w:val="24"/>
        </w:rPr>
        <w:t>比较法是选取一定数量的可比实例，将它们与估价对象进行比较，根据其间的差异对可比实例成交价格进行处理后得到估价对象价值或价格的方法。</w:t>
      </w:r>
    </w:p>
    <w:p>
      <w:pPr>
        <w:pStyle w:val="2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39" w:firstLineChars="182"/>
        <w:textAlignment w:val="auto"/>
        <w:outlineLvl w:val="1"/>
        <w:rPr>
          <w:rFonts w:ascii="仿宋_GB2312" w:hAnsi="仿宋_GB2312" w:eastAsia="仿宋_GB2312" w:cs="仿宋_GB2312"/>
          <w:b/>
          <w:color w:val="000000" w:themeColor="text1"/>
          <w:kern w:val="2"/>
        </w:rPr>
      </w:pPr>
      <w:bookmarkStart w:id="56" w:name="_Toc530663980"/>
      <w:bookmarkStart w:id="57" w:name="_Toc433731399"/>
      <w:bookmarkStart w:id="58" w:name="_Toc29056"/>
      <w:r>
        <w:rPr>
          <w:rFonts w:hint="eastAsia" w:ascii="仿宋_GB2312" w:hAnsi="仿宋_GB2312" w:eastAsia="仿宋_GB2312" w:cs="仿宋_GB2312"/>
          <w:b/>
          <w:color w:val="000000" w:themeColor="text1"/>
          <w:kern w:val="2"/>
        </w:rPr>
        <w:t>十、估价结果</w:t>
      </w:r>
      <w:bookmarkEnd w:id="56"/>
      <w:bookmarkEnd w:id="57"/>
      <w:bookmarkEnd w:id="58"/>
    </w:p>
    <w:p>
      <w:pPr>
        <w:adjustRightInd w:val="0"/>
        <w:snapToGrid w:val="0"/>
        <w:spacing w:line="440" w:lineRule="exact"/>
        <w:ind w:firstLine="480" w:firstLineChars="200"/>
        <w:rPr>
          <w:rFonts w:ascii="仿宋_GB2312" w:hAnsi="仿宋" w:eastAsia="仿宋_GB2312"/>
          <w:sz w:val="24"/>
          <w:szCs w:val="24"/>
        </w:rPr>
      </w:pPr>
      <w:r>
        <w:rPr>
          <w:rFonts w:hint="eastAsia" w:ascii="仿宋_GB2312" w:hAnsi="仿宋" w:eastAsia="仿宋_GB2312"/>
          <w:sz w:val="24"/>
          <w:szCs w:val="24"/>
        </w:rPr>
        <w:t xml:space="preserve">估价对象房地产在满足本估价报告中“估价的假设和限制条件”下，在价值时点的房地产市场价值总价为: </w:t>
      </w:r>
      <w:r>
        <w:rPr>
          <w:rFonts w:ascii="宋体" w:hAnsi="宋体" w:eastAsia="宋体" w:cs="宋体"/>
          <w:color w:val="auto"/>
          <w:sz w:val="22"/>
          <w:szCs w:val="22"/>
          <w:highlight w:val="none"/>
        </w:rPr>
        <w:t>¥</w:t>
      </w:r>
      <w:r>
        <w:rPr>
          <w:rFonts w:hint="eastAsia" w:ascii="仿宋_GB2312" w:hAnsi="仿宋" w:eastAsia="仿宋_GB2312"/>
          <w:sz w:val="24"/>
          <w:szCs w:val="24"/>
          <w:lang w:val="en-US" w:eastAsia="zh-CN"/>
        </w:rPr>
        <w:t>34.60</w:t>
      </w:r>
      <w:r>
        <w:rPr>
          <w:rFonts w:hint="eastAsia" w:ascii="仿宋_GB2312" w:hAnsi="仿宋" w:eastAsia="仿宋_GB2312"/>
          <w:sz w:val="24"/>
          <w:szCs w:val="24"/>
        </w:rPr>
        <w:t>万元，大写金额：</w:t>
      </w:r>
      <w:r>
        <w:rPr>
          <w:rFonts w:hint="eastAsia" w:ascii="仿宋_GB2312" w:hAnsi="仿宋" w:eastAsia="仿宋_GB2312"/>
          <w:sz w:val="24"/>
          <w:szCs w:val="24"/>
          <w:lang w:val="en-US" w:eastAsia="zh-CN"/>
        </w:rPr>
        <w:t>人民币</w:t>
      </w:r>
      <w:r>
        <w:rPr>
          <w:rFonts w:hint="eastAsia" w:ascii="仿宋_GB2312" w:hAnsi="仿宋" w:eastAsia="仿宋_GB2312"/>
          <w:sz w:val="24"/>
          <w:szCs w:val="24"/>
          <w:lang w:eastAsia="zh-CN"/>
        </w:rPr>
        <w:t>叁拾肆万陆仟元整</w:t>
      </w:r>
      <w:r>
        <w:rPr>
          <w:rFonts w:hint="eastAsia" w:ascii="仿宋_GB2312" w:hAnsi="仿宋" w:eastAsia="仿宋_GB2312"/>
          <w:sz w:val="24"/>
          <w:szCs w:val="24"/>
        </w:rPr>
        <w:t>，评估单价：</w:t>
      </w:r>
      <w:r>
        <w:rPr>
          <w:rFonts w:hint="eastAsia" w:ascii="仿宋_GB2312" w:hAnsi="仿宋" w:eastAsia="仿宋_GB2312"/>
          <w:sz w:val="24"/>
          <w:szCs w:val="24"/>
          <w:lang w:val="en-US" w:eastAsia="zh-CN"/>
        </w:rPr>
        <w:t>3988</w:t>
      </w:r>
      <w:r>
        <w:rPr>
          <w:rFonts w:hint="eastAsia" w:ascii="仿宋_GB2312" w:hAnsi="仿宋" w:eastAsia="仿宋_GB2312"/>
          <w:sz w:val="24"/>
          <w:szCs w:val="24"/>
          <w:lang w:eastAsia="zh-CN"/>
        </w:rPr>
        <w:t>.00</w:t>
      </w:r>
      <w:r>
        <w:rPr>
          <w:rFonts w:hint="eastAsia" w:ascii="仿宋_GB2312" w:hAnsi="仿宋" w:eastAsia="仿宋_GB2312"/>
          <w:sz w:val="24"/>
          <w:szCs w:val="24"/>
        </w:rPr>
        <w:t>元/平方米。</w:t>
      </w:r>
    </w:p>
    <w:p>
      <w:pPr>
        <w:pStyle w:val="3"/>
        <w:ind w:firstLine="482"/>
        <w:rPr>
          <w:rFonts w:ascii="仿宋_GB2312" w:hAnsi="仿宋" w:cs="新宋体-18030"/>
          <w:color w:val="000000" w:themeColor="text1"/>
        </w:rPr>
      </w:pPr>
      <w:bookmarkStart w:id="59" w:name="_Toc433731400"/>
      <w:bookmarkStart w:id="60" w:name="_Toc30669"/>
      <w:bookmarkStart w:id="61" w:name="_Toc530663983"/>
      <w:bookmarkStart w:id="62" w:name="_Toc433731401"/>
      <w:bookmarkStart w:id="63" w:name="_Toc530663981"/>
      <w:r>
        <w:rPr>
          <w:rFonts w:hint="eastAsia" w:ascii="仿宋_GB2312" w:hAnsi="仿宋" w:cs="新宋体-18030"/>
          <w:color w:val="000000" w:themeColor="text1"/>
        </w:rPr>
        <w:t>十一、</w:t>
      </w:r>
      <w:bookmarkEnd w:id="59"/>
      <w:r>
        <w:rPr>
          <w:rFonts w:hint="eastAsia" w:ascii="仿宋_GB2312" w:hAnsi="仿宋" w:cs="新宋体-18030"/>
          <w:color w:val="000000" w:themeColor="text1"/>
        </w:rPr>
        <w:t>注册房地产估价师</w:t>
      </w:r>
      <w:bookmarkEnd w:id="60"/>
      <w:bookmarkEnd w:id="61"/>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1"/>
        <w:gridCol w:w="1798"/>
        <w:gridCol w:w="2268"/>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71" w:type="dxa"/>
            <w:shd w:val="clear" w:color="auto" w:fill="auto"/>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姓名</w:t>
            </w:r>
          </w:p>
        </w:tc>
        <w:tc>
          <w:tcPr>
            <w:tcW w:w="1798" w:type="dxa"/>
            <w:shd w:val="clear" w:color="auto" w:fill="auto"/>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注册号</w:t>
            </w:r>
          </w:p>
        </w:tc>
        <w:tc>
          <w:tcPr>
            <w:tcW w:w="2268" w:type="dxa"/>
            <w:shd w:val="clear" w:color="auto" w:fill="auto"/>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签名</w:t>
            </w:r>
          </w:p>
        </w:tc>
        <w:tc>
          <w:tcPr>
            <w:tcW w:w="2771" w:type="dxa"/>
            <w:shd w:val="clear" w:color="auto" w:fill="auto"/>
            <w:vAlign w:val="center"/>
          </w:tcPr>
          <w:p>
            <w:pPr>
              <w:spacing w:line="440" w:lineRule="exact"/>
              <w:jc w:val="center"/>
              <w:rPr>
                <w:rFonts w:ascii="仿宋" w:hAnsi="仿宋" w:eastAsia="仿宋"/>
                <w:b/>
                <w:color w:val="000000"/>
                <w:sz w:val="24"/>
                <w:szCs w:val="24"/>
              </w:rPr>
            </w:pPr>
            <w:r>
              <w:rPr>
                <w:rFonts w:hint="eastAsia" w:ascii="仿宋" w:hAnsi="仿宋" w:eastAsia="仿宋"/>
                <w:b/>
                <w:color w:val="000000"/>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2171" w:type="dxa"/>
            <w:shd w:val="clear" w:color="auto" w:fill="auto"/>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姬再娟</w:t>
            </w:r>
          </w:p>
        </w:tc>
        <w:tc>
          <w:tcPr>
            <w:tcW w:w="1798" w:type="dxa"/>
            <w:shd w:val="clear" w:color="auto" w:fill="auto"/>
            <w:vAlign w:val="center"/>
          </w:tcPr>
          <w:p>
            <w:pPr>
              <w:spacing w:line="440" w:lineRule="exact"/>
              <w:jc w:val="center"/>
              <w:rPr>
                <w:rFonts w:ascii="仿宋" w:hAnsi="仿宋" w:eastAsia="仿宋"/>
                <w:color w:val="000000"/>
                <w:sz w:val="24"/>
                <w:szCs w:val="24"/>
              </w:rPr>
            </w:pPr>
            <w:r>
              <w:rPr>
                <w:rFonts w:hint="eastAsia" w:ascii="仿宋" w:hAnsi="仿宋" w:eastAsia="仿宋"/>
                <w:color w:val="000000"/>
                <w:sz w:val="24"/>
                <w:szCs w:val="24"/>
              </w:rPr>
              <w:t>3420150050</w:t>
            </w:r>
          </w:p>
        </w:tc>
        <w:tc>
          <w:tcPr>
            <w:tcW w:w="2268" w:type="dxa"/>
            <w:shd w:val="clear" w:color="auto" w:fill="auto"/>
            <w:vAlign w:val="center"/>
          </w:tcPr>
          <w:p>
            <w:pPr>
              <w:spacing w:line="440" w:lineRule="exact"/>
              <w:ind w:firstLine="480" w:firstLineChars="200"/>
              <w:jc w:val="center"/>
              <w:rPr>
                <w:rFonts w:ascii="仿宋" w:hAnsi="仿宋" w:eastAsia="仿宋"/>
                <w:color w:val="000000"/>
                <w:sz w:val="24"/>
                <w:szCs w:val="24"/>
              </w:rPr>
            </w:pPr>
          </w:p>
        </w:tc>
        <w:tc>
          <w:tcPr>
            <w:tcW w:w="2771" w:type="dxa"/>
            <w:shd w:val="clear" w:color="auto" w:fill="auto"/>
            <w:vAlign w:val="center"/>
          </w:tcPr>
          <w:p>
            <w:pPr>
              <w:spacing w:line="440" w:lineRule="exact"/>
              <w:jc w:val="center"/>
              <w:rPr>
                <w:rFonts w:hint="eastAsia" w:ascii="仿宋" w:hAnsi="仿宋" w:eastAsia="仿宋"/>
                <w:color w:val="000000"/>
                <w:sz w:val="24"/>
                <w:szCs w:val="24"/>
                <w:lang w:eastAsia="zh-CN"/>
              </w:rPr>
            </w:pPr>
            <w:r>
              <w:rPr>
                <w:rFonts w:hint="eastAsia" w:ascii="仿宋" w:hAnsi="仿宋" w:eastAsia="仿宋" w:cs="新宋体-18030"/>
                <w:color w:val="000000"/>
                <w:spacing w:val="20"/>
                <w:sz w:val="24"/>
                <w:szCs w:val="24"/>
                <w:lang w:eastAsia="zh-CN"/>
              </w:rPr>
              <w:t>2022年8月29日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2171" w:type="dxa"/>
            <w:shd w:val="clear" w:color="auto" w:fill="auto"/>
            <w:vAlign w:val="center"/>
          </w:tcPr>
          <w:p>
            <w:pPr>
              <w:spacing w:line="44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金</w:t>
            </w: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lang w:eastAsia="zh-CN"/>
              </w:rPr>
              <w:t>涛</w:t>
            </w:r>
          </w:p>
        </w:tc>
        <w:tc>
          <w:tcPr>
            <w:tcW w:w="1798" w:type="dxa"/>
            <w:shd w:val="clear" w:color="auto" w:fill="auto"/>
            <w:vAlign w:val="center"/>
          </w:tcPr>
          <w:p>
            <w:pPr>
              <w:spacing w:line="440" w:lineRule="exact"/>
              <w:jc w:val="center"/>
              <w:rPr>
                <w:rFonts w:hint="eastAsia" w:ascii="仿宋" w:hAnsi="仿宋" w:eastAsia="仿宋"/>
                <w:color w:val="000000"/>
                <w:sz w:val="24"/>
                <w:szCs w:val="24"/>
                <w:lang w:eastAsia="zh-CN"/>
              </w:rPr>
            </w:pPr>
            <w:r>
              <w:rPr>
                <w:rFonts w:hint="eastAsia" w:ascii="仿宋" w:hAnsi="仿宋" w:eastAsia="仿宋"/>
                <w:color w:val="000000"/>
                <w:sz w:val="24"/>
                <w:szCs w:val="24"/>
                <w:lang w:eastAsia="zh-CN"/>
              </w:rPr>
              <w:t>3420190095</w:t>
            </w:r>
          </w:p>
        </w:tc>
        <w:tc>
          <w:tcPr>
            <w:tcW w:w="2268" w:type="dxa"/>
            <w:shd w:val="clear" w:color="auto" w:fill="auto"/>
            <w:vAlign w:val="center"/>
          </w:tcPr>
          <w:p>
            <w:pPr>
              <w:spacing w:line="440" w:lineRule="exact"/>
              <w:ind w:firstLine="480" w:firstLineChars="200"/>
              <w:jc w:val="center"/>
              <w:rPr>
                <w:rFonts w:ascii="仿宋" w:hAnsi="仿宋" w:eastAsia="仿宋"/>
                <w:color w:val="000000"/>
                <w:sz w:val="24"/>
                <w:szCs w:val="24"/>
              </w:rPr>
            </w:pPr>
          </w:p>
        </w:tc>
        <w:tc>
          <w:tcPr>
            <w:tcW w:w="2771" w:type="dxa"/>
            <w:shd w:val="clear" w:color="auto" w:fill="auto"/>
            <w:vAlign w:val="center"/>
          </w:tcPr>
          <w:p>
            <w:pPr>
              <w:spacing w:line="440" w:lineRule="exact"/>
              <w:jc w:val="center"/>
              <w:rPr>
                <w:rFonts w:hint="eastAsia" w:ascii="仿宋" w:hAnsi="仿宋" w:eastAsia="仿宋"/>
                <w:color w:val="000000"/>
                <w:sz w:val="24"/>
                <w:szCs w:val="24"/>
                <w:lang w:eastAsia="zh-CN"/>
              </w:rPr>
            </w:pPr>
            <w:r>
              <w:rPr>
                <w:rFonts w:hint="eastAsia" w:ascii="仿宋" w:hAnsi="仿宋" w:eastAsia="仿宋" w:cs="新宋体-18030"/>
                <w:color w:val="000000"/>
                <w:spacing w:val="20"/>
                <w:sz w:val="24"/>
                <w:szCs w:val="24"/>
                <w:lang w:eastAsia="zh-CN"/>
              </w:rPr>
              <w:t>2022年8月29日</w:t>
            </w:r>
          </w:p>
        </w:tc>
      </w:tr>
    </w:tbl>
    <w:p>
      <w:pPr>
        <w:spacing w:line="480" w:lineRule="exact"/>
        <w:ind w:firstLine="482" w:firstLineChars="200"/>
        <w:outlineLvl w:val="1"/>
        <w:rPr>
          <w:rFonts w:ascii="仿宋_GB2312" w:hAnsi="仿宋" w:eastAsia="仿宋_GB2312" w:cs="新宋体-18030"/>
          <w:b/>
          <w:bCs/>
          <w:color w:val="000000" w:themeColor="text1"/>
          <w:sz w:val="24"/>
        </w:rPr>
      </w:pPr>
      <w:bookmarkStart w:id="64" w:name="_Toc530663984"/>
      <w:bookmarkStart w:id="65" w:name="_Toc23367"/>
      <w:r>
        <w:rPr>
          <w:rFonts w:hint="eastAsia" w:ascii="仿宋_GB2312" w:hAnsi="仿宋" w:eastAsia="仿宋_GB2312" w:cs="新宋体-18030"/>
          <w:b/>
          <w:bCs/>
          <w:color w:val="000000" w:themeColor="text1"/>
          <w:sz w:val="24"/>
        </w:rPr>
        <w:t>十二、实地查勘期</w:t>
      </w:r>
      <w:bookmarkEnd w:id="64"/>
      <w:bookmarkEnd w:id="65"/>
    </w:p>
    <w:p>
      <w:pPr>
        <w:spacing w:line="480" w:lineRule="exact"/>
        <w:ind w:firstLine="560" w:firstLineChars="200"/>
        <w:rPr>
          <w:rFonts w:hint="eastAsia" w:ascii="仿宋_GB2312" w:hAnsi="仿宋" w:eastAsia="仿宋_GB2312" w:cs="新宋体-18030"/>
          <w:color w:val="000000" w:themeColor="text1"/>
          <w:spacing w:val="20"/>
          <w:sz w:val="24"/>
          <w:shd w:val="pct10" w:color="auto" w:fill="FFFFFF"/>
          <w:lang w:eastAsia="zh-CN"/>
        </w:rPr>
      </w:pPr>
      <w:r>
        <w:rPr>
          <w:rFonts w:hint="eastAsia" w:ascii="仿宋_GB2312" w:hAnsi="仿宋" w:eastAsia="仿宋_GB2312" w:cs="新宋体-18030"/>
          <w:color w:val="000000" w:themeColor="text1"/>
          <w:spacing w:val="20"/>
          <w:sz w:val="24"/>
          <w:lang w:eastAsia="zh-CN"/>
        </w:rPr>
        <w:t>2022年8月8日</w:t>
      </w:r>
    </w:p>
    <w:p>
      <w:pPr>
        <w:spacing w:line="480" w:lineRule="exact"/>
        <w:ind w:firstLine="482" w:firstLineChars="200"/>
        <w:outlineLvl w:val="1"/>
        <w:rPr>
          <w:rFonts w:ascii="仿宋_GB2312" w:hAnsi="仿宋" w:eastAsia="仿宋_GB2312" w:cs="新宋体-18030"/>
          <w:b/>
          <w:bCs/>
          <w:color w:val="000000" w:themeColor="text1"/>
          <w:sz w:val="24"/>
        </w:rPr>
      </w:pPr>
      <w:bookmarkStart w:id="66" w:name="_Toc530663985"/>
      <w:bookmarkStart w:id="67" w:name="_Toc21927"/>
      <w:r>
        <w:rPr>
          <w:rFonts w:hint="eastAsia" w:ascii="仿宋_GB2312" w:hAnsi="仿宋" w:eastAsia="仿宋_GB2312" w:cs="新宋体-18030"/>
          <w:b/>
          <w:bCs/>
          <w:color w:val="000000" w:themeColor="text1"/>
          <w:sz w:val="24"/>
        </w:rPr>
        <w:t>十三、估价作业日期</w:t>
      </w:r>
      <w:bookmarkEnd w:id="66"/>
      <w:bookmarkEnd w:id="67"/>
    </w:p>
    <w:p>
      <w:pPr>
        <w:pStyle w:val="68"/>
        <w:topLinePunct/>
        <w:adjustRightInd w:val="0"/>
        <w:snapToGrid w:val="0"/>
        <w:spacing w:line="276" w:lineRule="auto"/>
        <w:ind w:firstLine="560"/>
        <w:rPr>
          <w:rFonts w:hint="eastAsia" w:ascii="仿宋_GB2312" w:hAnsi="仿宋" w:eastAsia="仿宋_GB2312"/>
          <w:b/>
          <w:color w:val="000000" w:themeColor="text1"/>
          <w:sz w:val="24"/>
        </w:rPr>
      </w:pPr>
      <w:bookmarkStart w:id="68" w:name="_Toc433731404"/>
      <w:r>
        <w:rPr>
          <w:rFonts w:hint="eastAsia" w:ascii="仿宋_GB2312" w:hAnsi="仿宋" w:eastAsia="仿宋_GB2312" w:cs="新宋体-18030"/>
          <w:color w:val="000000" w:themeColor="text1"/>
          <w:spacing w:val="20"/>
          <w:sz w:val="24"/>
          <w:lang w:val="en-US" w:eastAsia="zh-CN"/>
        </w:rPr>
        <w:t>2022</w:t>
      </w:r>
      <w:r>
        <w:rPr>
          <w:rFonts w:hint="eastAsia" w:ascii="仿宋_GB2312" w:hAnsi="仿宋" w:eastAsia="仿宋_GB2312" w:cs="新宋体-18030"/>
          <w:color w:val="000000" w:themeColor="text1"/>
          <w:spacing w:val="20"/>
          <w:sz w:val="24"/>
          <w:lang w:eastAsia="zh-CN"/>
        </w:rPr>
        <w:t>年</w:t>
      </w:r>
      <w:r>
        <w:rPr>
          <w:rFonts w:hint="eastAsia" w:ascii="仿宋_GB2312" w:hAnsi="仿宋" w:eastAsia="仿宋_GB2312" w:cs="新宋体-18030"/>
          <w:color w:val="000000" w:themeColor="text1"/>
          <w:spacing w:val="20"/>
          <w:sz w:val="24"/>
          <w:lang w:val="en-US" w:eastAsia="zh-CN"/>
        </w:rPr>
        <w:t>7</w:t>
      </w:r>
      <w:r>
        <w:rPr>
          <w:rFonts w:hint="eastAsia" w:ascii="仿宋_GB2312" w:hAnsi="仿宋" w:eastAsia="仿宋_GB2312" w:cs="新宋体-18030"/>
          <w:color w:val="000000" w:themeColor="text1"/>
          <w:spacing w:val="20"/>
          <w:sz w:val="24"/>
          <w:lang w:eastAsia="zh-CN"/>
        </w:rPr>
        <w:t>月</w:t>
      </w:r>
      <w:r>
        <w:rPr>
          <w:rFonts w:hint="eastAsia" w:ascii="仿宋_GB2312" w:hAnsi="仿宋" w:eastAsia="仿宋_GB2312" w:cs="新宋体-18030"/>
          <w:color w:val="000000" w:themeColor="text1"/>
          <w:spacing w:val="20"/>
          <w:sz w:val="24"/>
          <w:lang w:val="en-US" w:eastAsia="zh-CN"/>
        </w:rPr>
        <w:t>19</w:t>
      </w:r>
      <w:r>
        <w:rPr>
          <w:rFonts w:hint="eastAsia" w:ascii="仿宋_GB2312" w:hAnsi="仿宋" w:eastAsia="仿宋_GB2312" w:cs="新宋体-18030"/>
          <w:color w:val="000000" w:themeColor="text1"/>
          <w:spacing w:val="20"/>
          <w:sz w:val="24"/>
          <w:lang w:eastAsia="zh-CN"/>
        </w:rPr>
        <w:t>日</w:t>
      </w:r>
      <w:r>
        <w:rPr>
          <w:rFonts w:hint="eastAsia" w:ascii="仿宋_GB2312" w:hAnsi="仿宋" w:eastAsia="仿宋_GB2312" w:cs="新宋体-18030"/>
          <w:color w:val="000000" w:themeColor="text1"/>
          <w:spacing w:val="20"/>
          <w:sz w:val="24"/>
        </w:rPr>
        <w:t>-</w:t>
      </w:r>
      <w:r>
        <w:rPr>
          <w:rFonts w:hint="eastAsia" w:ascii="仿宋_GB2312" w:hAnsi="仿宋" w:eastAsia="仿宋_GB2312" w:cs="新宋体-18030"/>
          <w:color w:val="000000" w:themeColor="text1"/>
          <w:spacing w:val="20"/>
          <w:sz w:val="24"/>
          <w:lang w:eastAsia="zh-CN"/>
        </w:rPr>
        <w:t>2022年8月29日</w:t>
      </w:r>
      <w:r>
        <w:rPr>
          <w:rFonts w:hint="eastAsia" w:ascii="微软雅黑" w:hAnsi="微软雅黑" w:eastAsia="微软雅黑" w:cs="微软雅黑"/>
          <w:szCs w:val="21"/>
        </w:rPr>
        <w:t>。</w:t>
      </w:r>
      <w:bookmarkEnd w:id="68"/>
    </w:p>
    <w:p>
      <w:pPr>
        <w:spacing w:line="400" w:lineRule="exact"/>
        <w:ind w:firstLine="3132" w:firstLineChars="1300"/>
        <w:rPr>
          <w:rFonts w:ascii="仿宋_GB2312" w:hAnsi="仿宋" w:eastAsia="仿宋_GB2312"/>
          <w:b/>
          <w:color w:val="000000" w:themeColor="text1"/>
          <w:sz w:val="24"/>
        </w:rPr>
      </w:pPr>
      <w:r>
        <w:rPr>
          <w:rFonts w:hint="eastAsia" w:ascii="仿宋_GB2312" w:hAnsi="仿宋" w:eastAsia="仿宋_GB2312"/>
          <w:b/>
          <w:color w:val="000000" w:themeColor="text1"/>
          <w:sz w:val="24"/>
        </w:rPr>
        <w:t>安徽中信房地产土地资产价格评估有限公司</w:t>
      </w:r>
    </w:p>
    <w:bookmarkEnd w:id="62"/>
    <w:bookmarkEnd w:id="63"/>
    <w:p>
      <w:pPr>
        <w:spacing w:line="400" w:lineRule="exact"/>
        <w:ind w:right="480" w:firstLine="4096" w:firstLineChars="1700"/>
        <w:rPr>
          <w:rFonts w:hint="eastAsia" w:ascii="仿宋_GB2312" w:hAnsi="仿宋" w:eastAsia="仿宋_GB2312"/>
          <w:b/>
          <w:color w:val="000000" w:themeColor="text1"/>
          <w:sz w:val="24"/>
          <w:lang w:eastAsia="zh-CN"/>
        </w:rPr>
      </w:pPr>
      <w:bookmarkStart w:id="69" w:name="_Toc530663987"/>
      <w:bookmarkStart w:id="70" w:name="_Toc32039"/>
      <w:r>
        <w:rPr>
          <w:rFonts w:hint="eastAsia" w:ascii="仿宋_GB2312" w:hAnsi="仿宋" w:eastAsia="仿宋_GB2312"/>
          <w:b/>
          <w:color w:val="000000" w:themeColor="text1"/>
          <w:sz w:val="24"/>
          <w:lang w:eastAsia="zh-CN"/>
        </w:rPr>
        <w:t>二零二二年八月二十九日</w:t>
      </w:r>
    </w:p>
    <w:bookmarkEnd w:id="2"/>
    <w:bookmarkEnd w:id="3"/>
    <w:bookmarkEnd w:id="69"/>
    <w:bookmarkEnd w:id="70"/>
    <w:p>
      <w:pPr>
        <w:widowControl/>
        <w:jc w:val="left"/>
        <w:rPr>
          <w:rFonts w:ascii="微软雅黑" w:hAnsi="微软雅黑" w:eastAsia="微软雅黑"/>
          <w:spacing w:val="20"/>
          <w:szCs w:val="32"/>
        </w:rPr>
      </w:pPr>
      <w:bookmarkStart w:id="71" w:name="_GoBack"/>
      <w:bookmarkEnd w:id="71"/>
    </w:p>
    <w:sectPr>
      <w:headerReference r:id="rId6" w:type="first"/>
      <w:footerReference r:id="rId8" w:type="first"/>
      <w:headerReference r:id="rId5" w:type="default"/>
      <w:footerReference r:id="rId7" w:type="default"/>
      <w:pgSz w:w="11906" w:h="16838"/>
      <w:pgMar w:top="1560" w:right="1418" w:bottom="1276" w:left="1588" w:header="709" w:footer="639"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方正姚体">
    <w:altName w:val="宋体"/>
    <w:panose1 w:val="02010601030101010101"/>
    <w:charset w:val="86"/>
    <w:family w:val="auto"/>
    <w:pitch w:val="default"/>
    <w:sig w:usb0="00000000" w:usb1="00000000" w:usb2="00000010" w:usb3="00000000" w:csb0="00040000" w:csb1="00000000"/>
  </w:font>
  <w:font w:name="新宋体-18030">
    <w:altName w:val="宋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hint="eastAsia" w:ascii="方正姚体" w:eastAsia="方正姚体"/>
        <w:snapToGrid w:val="0"/>
        <w:kern w:val="0"/>
        <w:sz w:val="21"/>
        <w:szCs w:val="21"/>
      </w:rPr>
      <w:t>序列号：202</w:t>
    </w:r>
    <w:r>
      <w:rPr>
        <w:rFonts w:hint="eastAsia" w:ascii="方正姚体" w:eastAsia="方正姚体"/>
        <w:snapToGrid w:val="0"/>
        <w:kern w:val="0"/>
        <w:sz w:val="21"/>
        <w:szCs w:val="21"/>
        <w:lang w:val="en-US" w:eastAsia="zh-CN"/>
      </w:rPr>
      <w:t>2</w:t>
    </w:r>
    <w:r>
      <w:rPr>
        <w:rFonts w:hint="eastAsia" w:ascii="方正姚体" w:eastAsia="方正姚体"/>
        <w:snapToGrid w:val="0"/>
        <w:kern w:val="0"/>
        <w:sz w:val="21"/>
        <w:szCs w:val="21"/>
        <w:lang w:eastAsia="zh-CN"/>
      </w:rPr>
      <w:t>M-0</w:t>
    </w:r>
    <w:r>
      <w:rPr>
        <w:rFonts w:hint="eastAsia" w:ascii="方正姚体" w:eastAsia="方正姚体"/>
        <w:snapToGrid w:val="0"/>
        <w:kern w:val="0"/>
        <w:sz w:val="21"/>
        <w:szCs w:val="21"/>
        <w:lang w:val="en-US" w:eastAsia="zh-CN"/>
      </w:rPr>
      <w:t>341</w:t>
    </w:r>
    <w:r>
      <w:rPr>
        <w:rFonts w:hint="eastAsia" w:ascii="方正姚体" w:eastAsia="方正姚体"/>
        <w:snapToGrid w:val="0"/>
        <w:kern w:val="0"/>
        <w:sz w:val="21"/>
        <w:szCs w:val="21"/>
      </w:rPr>
      <w:t xml:space="preserve">号      </w:t>
    </w:r>
    <w:r>
      <w:rPr>
        <w:rFonts w:hint="eastAsia" w:ascii="方正姚体" w:eastAsia="方正姚体"/>
        <w:snapToGrid w:val="0"/>
        <w:color w:val="FF0000"/>
        <w:kern w:val="0"/>
        <w:sz w:val="21"/>
        <w:szCs w:val="21"/>
      </w:rPr>
      <w:t xml:space="preserve">                            </w:t>
    </w:r>
    <w:r>
      <w:rPr>
        <w:rFonts w:hint="eastAsia" w:ascii="方正姚体" w:eastAsia="方正姚体"/>
        <w:snapToGrid w:val="0"/>
        <w:color w:val="FF0000"/>
        <w:kern w:val="0"/>
        <w:sz w:val="21"/>
        <w:szCs w:val="21"/>
        <w:lang w:val="en-US" w:eastAsia="zh-CN"/>
      </w:rPr>
      <w:t xml:space="preserve">  </w:t>
    </w:r>
    <w:r>
      <w:rPr>
        <w:rFonts w:hint="eastAsia" w:ascii="方正姚体" w:eastAsia="方正姚体"/>
        <w:snapToGrid w:val="0"/>
        <w:color w:val="FF0000"/>
        <w:kern w:val="0"/>
        <w:sz w:val="21"/>
        <w:szCs w:val="21"/>
      </w:rPr>
      <w:t xml:space="preserve">    </w:t>
    </w:r>
    <w:r>
      <w:rPr>
        <w:rFonts w:hint="eastAsia" w:ascii="方正姚体" w:eastAsia="方正姚体"/>
        <w:snapToGrid w:val="0"/>
        <w:kern w:val="0"/>
        <w:sz w:val="21"/>
        <w:szCs w:val="21"/>
      </w:rPr>
      <w:t>独立 客观 廉洁 高效</w: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Lines="50"/>
      <w:rPr>
        <w:snapToGrid w:val="0"/>
        <w:kern w:val="0"/>
        <w:sz w:val="21"/>
        <w:szCs w:val="21"/>
      </w:rPr>
    </w:pPr>
    <w:r>
      <w:pict>
        <v:shape id="_x0000_s3079" o:spid="_x0000_s3079" o:spt="202" type="#_x0000_t202" style="position:absolute;left:0pt;margin-left:205.85pt;margin-top:6.7pt;height:9.85pt;width:17.9pt;mso-position-horizontal-relative:margin;z-index:252312576;mso-width-relative:page;mso-height-relative:page;" filled="f" stroked="f" coordsize="21600,21600">
          <v:path/>
          <v:fill on="f" focussize="0,0"/>
          <v:stroke on="f" weight="0.5pt"/>
          <v:imagedata o:title=""/>
          <o:lock v:ext="edit" aspectratio="f"/>
          <v:textbox inset="0mm,0mm,0mm,0mm">
            <w:txbxContent>
              <w:p>
                <w:pPr>
                  <w:pStyle w:val="16"/>
                </w:pPr>
                <w:r>
                  <w:fldChar w:fldCharType="begin"/>
                </w:r>
                <w:r>
                  <w:instrText xml:space="preserve"> PAGE  \* MERGEFORMAT </w:instrText>
                </w:r>
                <w:r>
                  <w:fldChar w:fldCharType="separate"/>
                </w:r>
                <w:r>
                  <w:t>- 28 -</w:t>
                </w:r>
                <w:r>
                  <w:fldChar w:fldCharType="end"/>
                </w:r>
              </w:p>
            </w:txbxContent>
          </v:textbox>
        </v:shape>
      </w:pict>
    </w:r>
    <w:r>
      <w:rPr>
        <w:kern w:val="0"/>
      </w:rPr>
      <w:pict>
        <v:shape id="_x0000_s3078" o:spid="_x0000_s3078" o:spt="32" type="#_x0000_t32" style="position:absolute;left:0pt;flip:y;margin-left:-0.1pt;margin-top:2.3pt;height:0.1pt;width:441.4pt;z-index:252293120;mso-width-relative:page;mso-height-relative:page;" filled="f" stroked="t" coordsize="21600,21600">
          <v:path arrowok="t"/>
          <v:fill on="f" focussize="0,0"/>
          <v:stroke weight="0.25pt" color="#000000"/>
          <v:imagedata o:title=""/>
          <o:lock v:ext="edit" aspectratio="f"/>
        </v:shape>
      </w:pict>
    </w:r>
    <w:r>
      <w:rPr>
        <w:rFonts w:hint="eastAsia" w:ascii="方正姚体" w:eastAsia="方正姚体"/>
        <w:snapToGrid w:val="0"/>
        <w:kern w:val="0"/>
        <w:sz w:val="21"/>
        <w:szCs w:val="21"/>
      </w:rPr>
      <w:t>联系地址:滁州</w:t>
    </w:r>
    <w:r>
      <w:rPr>
        <w:rFonts w:hint="eastAsia" w:ascii="方正姚体" w:eastAsia="方正姚体"/>
        <w:snapToGrid w:val="0"/>
        <w:kern w:val="0"/>
        <w:sz w:val="21"/>
        <w:szCs w:val="21"/>
        <w:lang w:val="en-US" w:eastAsia="zh-CN"/>
      </w:rPr>
      <w:t>市皖东</w:t>
    </w:r>
    <w:r>
      <w:rPr>
        <w:rFonts w:hint="eastAsia" w:ascii="方正姚体" w:eastAsia="方正姚体"/>
        <w:snapToGrid w:val="0"/>
        <w:kern w:val="0"/>
        <w:sz w:val="21"/>
        <w:szCs w:val="21"/>
      </w:rPr>
      <w:t xml:space="preserve">国际车城A区                       </w:t>
    </w:r>
    <w:r>
      <w:rPr>
        <w:rFonts w:hint="eastAsia" w:ascii="方正姚体" w:eastAsia="方正姚体"/>
        <w:snapToGrid w:val="0"/>
        <w:kern w:val="0"/>
        <w:sz w:val="21"/>
        <w:szCs w:val="21"/>
        <w:lang w:val="en-US" w:eastAsia="zh-CN"/>
      </w:rPr>
      <w:t xml:space="preserve">    </w:t>
    </w:r>
    <w:r>
      <w:rPr>
        <w:rFonts w:hint="eastAsia" w:ascii="方正姚体" w:eastAsia="方正姚体"/>
        <w:snapToGrid w:val="0"/>
        <w:kern w:val="0"/>
        <w:sz w:val="21"/>
        <w:szCs w:val="21"/>
      </w:rPr>
      <w:t>项目联系电话：</w:t>
    </w:r>
    <w:r>
      <w:rPr>
        <w:rFonts w:hint="eastAsia"/>
        <w:snapToGrid w:val="0"/>
        <w:kern w:val="0"/>
        <w:sz w:val="21"/>
        <w:szCs w:val="21"/>
      </w:rPr>
      <w:t>0550-3057788</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Lines="50"/>
      <w:rPr>
        <w:snapToGrid w:val="0"/>
        <w:kern w:val="0"/>
        <w:sz w:val="21"/>
        <w:szCs w:val="21"/>
      </w:rPr>
    </w:pPr>
    <w:r>
      <w:rPr>
        <w:kern w:val="0"/>
      </w:rPr>
      <w:pict>
        <v:shape id="_x0000_s3076" o:spid="_x0000_s3076" o:spt="32" type="#_x0000_t32" style="position:absolute;left:0pt;margin-left:1.5pt;margin-top:2.4pt;height:0.55pt;width:439.5pt;z-index:251965440;mso-width-relative:page;mso-height-relative:page;" filled="f" stroked="t" coordsize="21600,21600">
          <v:path arrowok="t"/>
          <v:fill on="f" focussize="0,0"/>
          <v:stroke weight="0.25pt" color="#000000"/>
          <v:imagedata o:title=""/>
          <o:lock v:ext="edit" aspectratio="f"/>
        </v:shape>
      </w:pict>
    </w:r>
    <w:r>
      <w:pict>
        <v:shape id="_x0000_s3075" o:spid="_x0000_s3075" o:spt="202" type="#_x0000_t202" style="position:absolute;left:0pt;margin-left:199.55pt;margin-top:6.7pt;height:144pt;width:144pt;mso-position-horizontal-relative:margin;mso-wrap-style:none;z-index:251984896;mso-width-relative:page;mso-height-relative:page;" filled="f" stroked="f" coordsize="21600,21600" o:gfxdata="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NcAsD1gAAAAoBAAAPAAAAAAAAAAEA&#10;IAAAACIAAABkcnMvZG93bnJldi54bWxQSwECFAAUAAAACACHTuJAspcyjxECAAAJBAAADgAAAAAA&#10;AAABACAAAAAlAQAAZHJzL2Uyb0RvYy54bWxQSwUGAAAAAAYABgBZAQAAqAUAAAAA&#10;">
          <v:path/>
          <v:fill on="f" focussize="0,0"/>
          <v:stroke on="f" weight="0.5pt" joinstyle="miter"/>
          <v:imagedata o:title=""/>
          <o:lock v:ext="edit"/>
          <v:textbox inset="0mm,0mm,0mm,0mm" style="mso-fit-shape-to-text:t;">
            <w:txbxContent>
              <w:p>
                <w:pPr>
                  <w:pStyle w:val="16"/>
                </w:pPr>
                <w:r>
                  <w:fldChar w:fldCharType="begin"/>
                </w:r>
                <w:r>
                  <w:instrText xml:space="preserve"> PAGE  \* MERGEFORMAT </w:instrText>
                </w:r>
                <w:r>
                  <w:fldChar w:fldCharType="separate"/>
                </w:r>
                <w:r>
                  <w:t>- 2 -</w:t>
                </w:r>
                <w:r>
                  <w:fldChar w:fldCharType="end"/>
                </w:r>
              </w:p>
            </w:txbxContent>
          </v:textbox>
        </v:shape>
      </w:pict>
    </w:r>
    <w:r>
      <w:rPr>
        <w:rFonts w:hint="eastAsia" w:ascii="方正姚体" w:eastAsia="方正姚体"/>
        <w:snapToGrid w:val="0"/>
        <w:kern w:val="0"/>
        <w:sz w:val="21"/>
        <w:szCs w:val="21"/>
      </w:rPr>
      <w:t xml:space="preserve">联系地址:滁州车城国际A区                           </w:t>
    </w:r>
    <w:r>
      <w:rPr>
        <w:rFonts w:hint="eastAsia" w:ascii="方正姚体" w:eastAsia="方正姚体"/>
        <w:snapToGrid w:val="0"/>
        <w:kern w:val="0"/>
        <w:sz w:val="21"/>
        <w:szCs w:val="21"/>
        <w:lang w:val="en-US" w:eastAsia="zh-CN"/>
      </w:rPr>
      <w:t xml:space="preserve">    </w:t>
    </w:r>
    <w:r>
      <w:rPr>
        <w:rFonts w:hint="eastAsia" w:ascii="方正姚体" w:eastAsia="方正姚体"/>
        <w:snapToGrid w:val="0"/>
        <w:kern w:val="0"/>
        <w:sz w:val="21"/>
        <w:szCs w:val="21"/>
      </w:rPr>
      <w:t xml:space="preserve"> 项目联系电话：</w:t>
    </w:r>
    <w:r>
      <w:rPr>
        <w:rFonts w:hint="eastAsia"/>
        <w:snapToGrid w:val="0"/>
        <w:kern w:val="0"/>
        <w:sz w:val="21"/>
        <w:szCs w:val="21"/>
      </w:rPr>
      <w:t xml:space="preserve"> 0550-3057788</w: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3900"/>
        <w:tab w:val="clear" w:pos="4153"/>
        <w:tab w:val="clear" w:pos="8306"/>
      </w:tabs>
      <w:ind w:right="105"/>
      <w:jc w:val="right"/>
    </w:pPr>
    <w:r>
      <w:drawing>
        <wp:anchor distT="0" distB="0" distL="114300" distR="114300" simplePos="0" relativeHeight="251658240" behindDoc="1" locked="0" layoutInCell="1" allowOverlap="1">
          <wp:simplePos x="0" y="0"/>
          <wp:positionH relativeFrom="column">
            <wp:posOffset>5080</wp:posOffset>
          </wp:positionH>
          <wp:positionV relativeFrom="paragraph">
            <wp:posOffset>-24130</wp:posOffset>
          </wp:positionV>
          <wp:extent cx="1326515" cy="403225"/>
          <wp:effectExtent l="0" t="0" r="6985" b="0"/>
          <wp:wrapTight wrapText="bothSides">
            <wp:wrapPolygon>
              <wp:start x="0" y="0"/>
              <wp:lineTo x="0" y="20409"/>
              <wp:lineTo x="21404" y="20409"/>
              <wp:lineTo x="21404"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26515" cy="403225"/>
                  </a:xfrm>
                  <a:prstGeom prst="rect">
                    <a:avLst/>
                  </a:prstGeom>
                  <a:noFill/>
                </pic:spPr>
              </pic:pic>
            </a:graphicData>
          </a:graphic>
        </wp:anchor>
      </w:drawing>
    </w:r>
    <w:r>
      <w:pict>
        <v:shape id="_x0000_s3073" o:spid="_x0000_s3073" o:spt="136" type="#_x0000_t136" style="position:absolute;left:0pt;height:36pt;width:144pt;mso-position-horizontal:center;mso-position-horizontal-relative:margin;mso-position-vertical:center;mso-position-vertical-relative:margin;rotation:20643840f;z-index:-251646976;mso-width-relative:page;mso-height-relative:page;" fillcolor="#C0C0C0" filled="t" stroked="f" coordsize="21600,21600" o:allowincell="f">
          <v:path/>
          <v:fill on="t" opacity="32768f" focussize="0,0"/>
          <v:stroke on="f"/>
          <v:imagedata o:title=""/>
          <o:lock v:ext="edit"/>
          <v:textpath on="t" fitshape="t" fitpath="t" trim="t" xscale="f" string="中信评估" style="font-family:隶书;font-size:36pt;v-text-align:center;"/>
        </v:shape>
      </w:pict>
    </w:r>
    <w:r>
      <w:rPr>
        <w:b/>
        <w:bCs/>
      </w:rPr>
      <w:drawing>
        <wp:inline distT="0" distB="0" distL="0" distR="0">
          <wp:extent cx="708660" cy="426720"/>
          <wp:effectExtent l="0" t="0" r="0" b="0"/>
          <wp:docPr id="10" name="图片 17" descr="'b9綷'd6行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7" descr="'b9綷'd6行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08660" cy="426720"/>
                  </a:xfrm>
                  <a:prstGeom prst="rect">
                    <a:avLst/>
                  </a:prstGeom>
                  <a:noFill/>
                  <a:ln>
                    <a:noFill/>
                  </a:ln>
                </pic:spPr>
              </pic:pic>
            </a:graphicData>
          </a:graphic>
        </wp:inline>
      </w:drawing>
    </w:r>
    <w:r>
      <w:rPr>
        <w:rFonts w:hint="eastAsia" w:eastAsia="隶书" w:cs="隶书"/>
        <w:i/>
        <w:iCs/>
        <w:sz w:val="21"/>
        <w:szCs w:val="21"/>
      </w:rPr>
      <w:t>中信评估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6660" w:firstLineChars="3700"/>
      <w:jc w:val="both"/>
      <w:rPr>
        <w:rFonts w:eastAsia="隶书"/>
        <w:i/>
        <w:iCs/>
        <w:sz w:val="21"/>
        <w:szCs w:val="21"/>
      </w:rPr>
    </w:pPr>
    <w:r>
      <w:drawing>
        <wp:anchor distT="0" distB="0" distL="114300" distR="114300" simplePos="0" relativeHeight="251646976" behindDoc="1" locked="0" layoutInCell="1" allowOverlap="1">
          <wp:simplePos x="0" y="0"/>
          <wp:positionH relativeFrom="column">
            <wp:posOffset>-4445</wp:posOffset>
          </wp:positionH>
          <wp:positionV relativeFrom="paragraph">
            <wp:posOffset>42545</wp:posOffset>
          </wp:positionV>
          <wp:extent cx="1326515" cy="403225"/>
          <wp:effectExtent l="0" t="0" r="6985" b="0"/>
          <wp:wrapTight wrapText="bothSides">
            <wp:wrapPolygon>
              <wp:start x="0" y="0"/>
              <wp:lineTo x="0" y="20409"/>
              <wp:lineTo x="21404" y="20409"/>
              <wp:lineTo x="21404" y="0"/>
              <wp:lineTo x="0" y="0"/>
            </wp:wrapPolygon>
          </wp:wrapTight>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26515" cy="403225"/>
                  </a:xfrm>
                  <a:prstGeom prst="rect">
                    <a:avLst/>
                  </a:prstGeom>
                  <a:noFill/>
                </pic:spPr>
              </pic:pic>
            </a:graphicData>
          </a:graphic>
        </wp:anchor>
      </w:drawing>
    </w:r>
    <w:r>
      <w:pict>
        <v:shape id="PowerPlusWaterMarkObject19739448" o:spid="_x0000_s3077" o:spt="136" type="#_x0000_t136" style="position:absolute;left:0pt;height:36pt;width:144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t" xscale="f" string="中信评估" style="font-family:隶书;font-size:36pt;v-text-align:center;"/>
        </v:shape>
      </w:pict>
    </w:r>
    <w:r>
      <w:rPr>
        <w:b/>
        <w:bCs/>
      </w:rPr>
      <w:drawing>
        <wp:inline distT="0" distB="0" distL="0" distR="0">
          <wp:extent cx="708660" cy="426720"/>
          <wp:effectExtent l="0" t="0" r="0" b="0"/>
          <wp:docPr id="44" name="图片 1" descr="'b9綷'd6行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 descr="'b9綷'd6行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08660" cy="426720"/>
                  </a:xfrm>
                  <a:prstGeom prst="rect">
                    <a:avLst/>
                  </a:prstGeom>
                  <a:noFill/>
                  <a:ln>
                    <a:noFill/>
                  </a:ln>
                </pic:spPr>
              </pic:pic>
            </a:graphicData>
          </a:graphic>
        </wp:inline>
      </w:drawing>
    </w:r>
    <w:r>
      <w:rPr>
        <w:rFonts w:hint="eastAsia" w:eastAsia="隶书" w:cs="隶书"/>
        <w:i/>
        <w:iCs/>
        <w:sz w:val="21"/>
        <w:szCs w:val="21"/>
      </w:rPr>
      <w:t>中信评估</w:t>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left" w:pos="3900"/>
        <w:tab w:val="clear" w:pos="4153"/>
        <w:tab w:val="clear" w:pos="8306"/>
      </w:tabs>
      <w:jc w:val="right"/>
    </w:pPr>
    <w:r>
      <w:drawing>
        <wp:anchor distT="0" distB="0" distL="114300" distR="114300" simplePos="0" relativeHeight="251648000" behindDoc="1" locked="0" layoutInCell="1" allowOverlap="1">
          <wp:simplePos x="0" y="0"/>
          <wp:positionH relativeFrom="column">
            <wp:posOffset>5080</wp:posOffset>
          </wp:positionH>
          <wp:positionV relativeFrom="paragraph">
            <wp:posOffset>-24130</wp:posOffset>
          </wp:positionV>
          <wp:extent cx="1326515" cy="403225"/>
          <wp:effectExtent l="0" t="0" r="6985" b="0"/>
          <wp:wrapTight wrapText="bothSides">
            <wp:wrapPolygon>
              <wp:start x="0" y="0"/>
              <wp:lineTo x="0" y="20409"/>
              <wp:lineTo x="21404" y="20409"/>
              <wp:lineTo x="21404"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26515" cy="403225"/>
                  </a:xfrm>
                  <a:prstGeom prst="rect">
                    <a:avLst/>
                  </a:prstGeom>
                  <a:noFill/>
                </pic:spPr>
              </pic:pic>
            </a:graphicData>
          </a:graphic>
        </wp:anchor>
      </w:drawing>
    </w:r>
    <w:r>
      <w:pict>
        <v:shape id="PowerPlusWaterMarkObject19739446" o:spid="_x0000_s3074" o:spt="136" type="#_x0000_t136" style="position:absolute;left:0pt;height:36pt;width:144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t" xscale="f" string="中信评估" style="font-family:隶书;font-size:36pt;v-text-align:center;"/>
        </v:shape>
      </w:pict>
    </w:r>
    <w:r>
      <w:rPr>
        <w:b/>
        <w:bCs/>
      </w:rPr>
      <w:drawing>
        <wp:inline distT="0" distB="0" distL="0" distR="0">
          <wp:extent cx="708660" cy="426720"/>
          <wp:effectExtent l="0" t="0" r="0" b="0"/>
          <wp:docPr id="45" name="图片 17" descr="'b9綷'd6行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7" descr="'b9綷'd6行呕"/>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708660" cy="426720"/>
                  </a:xfrm>
                  <a:prstGeom prst="rect">
                    <a:avLst/>
                  </a:prstGeom>
                  <a:noFill/>
                  <a:ln>
                    <a:noFill/>
                  </a:ln>
                </pic:spPr>
              </pic:pic>
            </a:graphicData>
          </a:graphic>
        </wp:inline>
      </w:drawing>
    </w:r>
    <w:r>
      <w:rPr>
        <w:rFonts w:hint="eastAsia" w:eastAsia="隶书" w:cs="隶书"/>
        <w:i/>
        <w:iCs/>
        <w:sz w:val="21"/>
        <w:szCs w:val="21"/>
      </w:rPr>
      <w:t>中信评估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hideSpellingError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rules v:ext="edit">
        <o:r id="V:Rule1" type="connector" idref="#_x0000_s3076"/>
        <o:r id="V:Rule2" type="connector" idref="#_x0000_s3078"/>
      </o:rules>
    </o:shapelayout>
  </w:hdrShapeDefaults>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C8146D"/>
    <w:rsid w:val="00000B13"/>
    <w:rsid w:val="00000BFF"/>
    <w:rsid w:val="00001059"/>
    <w:rsid w:val="000014A4"/>
    <w:rsid w:val="0000157F"/>
    <w:rsid w:val="00001639"/>
    <w:rsid w:val="000016B6"/>
    <w:rsid w:val="00002623"/>
    <w:rsid w:val="00002897"/>
    <w:rsid w:val="00005DE7"/>
    <w:rsid w:val="000060A1"/>
    <w:rsid w:val="0000620F"/>
    <w:rsid w:val="00006C18"/>
    <w:rsid w:val="00006D2D"/>
    <w:rsid w:val="000077E1"/>
    <w:rsid w:val="0000782D"/>
    <w:rsid w:val="00007A54"/>
    <w:rsid w:val="00007CD8"/>
    <w:rsid w:val="00010A9A"/>
    <w:rsid w:val="00010DC7"/>
    <w:rsid w:val="00010EC9"/>
    <w:rsid w:val="000113BC"/>
    <w:rsid w:val="00011909"/>
    <w:rsid w:val="00011F68"/>
    <w:rsid w:val="000121B8"/>
    <w:rsid w:val="0001265F"/>
    <w:rsid w:val="000137F8"/>
    <w:rsid w:val="000138E5"/>
    <w:rsid w:val="00013937"/>
    <w:rsid w:val="00013B6D"/>
    <w:rsid w:val="00013B93"/>
    <w:rsid w:val="0001413E"/>
    <w:rsid w:val="00014A52"/>
    <w:rsid w:val="00014E48"/>
    <w:rsid w:val="0001659C"/>
    <w:rsid w:val="000166BB"/>
    <w:rsid w:val="000167CE"/>
    <w:rsid w:val="000167DE"/>
    <w:rsid w:val="00016E21"/>
    <w:rsid w:val="000177FD"/>
    <w:rsid w:val="00017975"/>
    <w:rsid w:val="00017B8A"/>
    <w:rsid w:val="000202D4"/>
    <w:rsid w:val="000205B2"/>
    <w:rsid w:val="0002186C"/>
    <w:rsid w:val="00022273"/>
    <w:rsid w:val="0002243B"/>
    <w:rsid w:val="0002248B"/>
    <w:rsid w:val="00023065"/>
    <w:rsid w:val="0002322C"/>
    <w:rsid w:val="0002396D"/>
    <w:rsid w:val="00024CC1"/>
    <w:rsid w:val="0002574B"/>
    <w:rsid w:val="0002695E"/>
    <w:rsid w:val="00026FC5"/>
    <w:rsid w:val="00027416"/>
    <w:rsid w:val="00027485"/>
    <w:rsid w:val="00027CD5"/>
    <w:rsid w:val="0003183C"/>
    <w:rsid w:val="00031AF4"/>
    <w:rsid w:val="000328D2"/>
    <w:rsid w:val="000332D5"/>
    <w:rsid w:val="00033451"/>
    <w:rsid w:val="000336A9"/>
    <w:rsid w:val="00034008"/>
    <w:rsid w:val="00034528"/>
    <w:rsid w:val="000347AD"/>
    <w:rsid w:val="00034846"/>
    <w:rsid w:val="00034AF7"/>
    <w:rsid w:val="0003538C"/>
    <w:rsid w:val="00035560"/>
    <w:rsid w:val="00035CA3"/>
    <w:rsid w:val="00035CEF"/>
    <w:rsid w:val="00035D48"/>
    <w:rsid w:val="00036536"/>
    <w:rsid w:val="00036B3E"/>
    <w:rsid w:val="00036CC5"/>
    <w:rsid w:val="000371E0"/>
    <w:rsid w:val="00037ECA"/>
    <w:rsid w:val="00037F5B"/>
    <w:rsid w:val="00040938"/>
    <w:rsid w:val="00040D10"/>
    <w:rsid w:val="00040D4E"/>
    <w:rsid w:val="0004227C"/>
    <w:rsid w:val="00042300"/>
    <w:rsid w:val="0004239A"/>
    <w:rsid w:val="0004243E"/>
    <w:rsid w:val="000428D3"/>
    <w:rsid w:val="00042DCF"/>
    <w:rsid w:val="00043FF2"/>
    <w:rsid w:val="0004439B"/>
    <w:rsid w:val="000444BD"/>
    <w:rsid w:val="00044771"/>
    <w:rsid w:val="00044E1F"/>
    <w:rsid w:val="00045F51"/>
    <w:rsid w:val="000465FE"/>
    <w:rsid w:val="00046743"/>
    <w:rsid w:val="000469CC"/>
    <w:rsid w:val="000472CB"/>
    <w:rsid w:val="00047961"/>
    <w:rsid w:val="000501E4"/>
    <w:rsid w:val="000509B3"/>
    <w:rsid w:val="00050E39"/>
    <w:rsid w:val="0005141D"/>
    <w:rsid w:val="00052B08"/>
    <w:rsid w:val="00052F54"/>
    <w:rsid w:val="0005302C"/>
    <w:rsid w:val="00053127"/>
    <w:rsid w:val="00053188"/>
    <w:rsid w:val="0005327C"/>
    <w:rsid w:val="00053EF5"/>
    <w:rsid w:val="000547D1"/>
    <w:rsid w:val="00054C90"/>
    <w:rsid w:val="0005676D"/>
    <w:rsid w:val="0005687F"/>
    <w:rsid w:val="00056BB0"/>
    <w:rsid w:val="000575F8"/>
    <w:rsid w:val="00060025"/>
    <w:rsid w:val="000602EF"/>
    <w:rsid w:val="00060BA4"/>
    <w:rsid w:val="00061603"/>
    <w:rsid w:val="000619B7"/>
    <w:rsid w:val="00063171"/>
    <w:rsid w:val="000637F3"/>
    <w:rsid w:val="000638E4"/>
    <w:rsid w:val="00063F74"/>
    <w:rsid w:val="000640BB"/>
    <w:rsid w:val="0006421F"/>
    <w:rsid w:val="0006423A"/>
    <w:rsid w:val="00065346"/>
    <w:rsid w:val="00065AF1"/>
    <w:rsid w:val="00066AE5"/>
    <w:rsid w:val="00066AFB"/>
    <w:rsid w:val="00067809"/>
    <w:rsid w:val="00067B63"/>
    <w:rsid w:val="0007088B"/>
    <w:rsid w:val="00071DCF"/>
    <w:rsid w:val="0007221B"/>
    <w:rsid w:val="00072671"/>
    <w:rsid w:val="000730DA"/>
    <w:rsid w:val="00073A03"/>
    <w:rsid w:val="00073F93"/>
    <w:rsid w:val="00074061"/>
    <w:rsid w:val="00074230"/>
    <w:rsid w:val="00074846"/>
    <w:rsid w:val="00074A3B"/>
    <w:rsid w:val="00075E02"/>
    <w:rsid w:val="00076CE5"/>
    <w:rsid w:val="00076D27"/>
    <w:rsid w:val="00076E84"/>
    <w:rsid w:val="00080579"/>
    <w:rsid w:val="00080D6E"/>
    <w:rsid w:val="000812BF"/>
    <w:rsid w:val="000812E4"/>
    <w:rsid w:val="00081372"/>
    <w:rsid w:val="0008162C"/>
    <w:rsid w:val="000816E5"/>
    <w:rsid w:val="000822AE"/>
    <w:rsid w:val="0008323B"/>
    <w:rsid w:val="00083B37"/>
    <w:rsid w:val="00083D17"/>
    <w:rsid w:val="000846DF"/>
    <w:rsid w:val="00084D30"/>
    <w:rsid w:val="00085B7F"/>
    <w:rsid w:val="00085CBF"/>
    <w:rsid w:val="0008620A"/>
    <w:rsid w:val="000865D9"/>
    <w:rsid w:val="0008732F"/>
    <w:rsid w:val="00087692"/>
    <w:rsid w:val="00087C4B"/>
    <w:rsid w:val="00087DE4"/>
    <w:rsid w:val="00090030"/>
    <w:rsid w:val="00090EDC"/>
    <w:rsid w:val="00091176"/>
    <w:rsid w:val="00091B14"/>
    <w:rsid w:val="00091C00"/>
    <w:rsid w:val="0009270A"/>
    <w:rsid w:val="00094547"/>
    <w:rsid w:val="00094734"/>
    <w:rsid w:val="00095398"/>
    <w:rsid w:val="00095795"/>
    <w:rsid w:val="0009612D"/>
    <w:rsid w:val="00096423"/>
    <w:rsid w:val="000A0037"/>
    <w:rsid w:val="000A01D4"/>
    <w:rsid w:val="000A083D"/>
    <w:rsid w:val="000A0840"/>
    <w:rsid w:val="000A11E8"/>
    <w:rsid w:val="000A1406"/>
    <w:rsid w:val="000A184A"/>
    <w:rsid w:val="000A1F2D"/>
    <w:rsid w:val="000A2521"/>
    <w:rsid w:val="000A2CC3"/>
    <w:rsid w:val="000A2F81"/>
    <w:rsid w:val="000A33A8"/>
    <w:rsid w:val="000A44EE"/>
    <w:rsid w:val="000A529B"/>
    <w:rsid w:val="000A7626"/>
    <w:rsid w:val="000B1127"/>
    <w:rsid w:val="000B182C"/>
    <w:rsid w:val="000B24C7"/>
    <w:rsid w:val="000B2FD5"/>
    <w:rsid w:val="000B3EEC"/>
    <w:rsid w:val="000B471F"/>
    <w:rsid w:val="000B479F"/>
    <w:rsid w:val="000B4A5E"/>
    <w:rsid w:val="000B4B57"/>
    <w:rsid w:val="000B4EF3"/>
    <w:rsid w:val="000B5B67"/>
    <w:rsid w:val="000B6513"/>
    <w:rsid w:val="000B72A8"/>
    <w:rsid w:val="000B7BD5"/>
    <w:rsid w:val="000B7CED"/>
    <w:rsid w:val="000C083B"/>
    <w:rsid w:val="000C08A1"/>
    <w:rsid w:val="000C103B"/>
    <w:rsid w:val="000C1214"/>
    <w:rsid w:val="000C1454"/>
    <w:rsid w:val="000C18DD"/>
    <w:rsid w:val="000C1CEA"/>
    <w:rsid w:val="000C2B94"/>
    <w:rsid w:val="000C3041"/>
    <w:rsid w:val="000C3D55"/>
    <w:rsid w:val="000C3E4C"/>
    <w:rsid w:val="000C4A15"/>
    <w:rsid w:val="000C4AD0"/>
    <w:rsid w:val="000C51AE"/>
    <w:rsid w:val="000C5AF2"/>
    <w:rsid w:val="000C6B15"/>
    <w:rsid w:val="000C6BBE"/>
    <w:rsid w:val="000C743C"/>
    <w:rsid w:val="000C780A"/>
    <w:rsid w:val="000C7DCF"/>
    <w:rsid w:val="000D0191"/>
    <w:rsid w:val="000D05BA"/>
    <w:rsid w:val="000D0CFA"/>
    <w:rsid w:val="000D0E18"/>
    <w:rsid w:val="000D153A"/>
    <w:rsid w:val="000D243C"/>
    <w:rsid w:val="000D294F"/>
    <w:rsid w:val="000D3511"/>
    <w:rsid w:val="000D37E2"/>
    <w:rsid w:val="000D4ACA"/>
    <w:rsid w:val="000D4E11"/>
    <w:rsid w:val="000D55EB"/>
    <w:rsid w:val="000D5C4E"/>
    <w:rsid w:val="000D69A0"/>
    <w:rsid w:val="000D69E2"/>
    <w:rsid w:val="000D6D2C"/>
    <w:rsid w:val="000D6D46"/>
    <w:rsid w:val="000D76F4"/>
    <w:rsid w:val="000D7F81"/>
    <w:rsid w:val="000E01C5"/>
    <w:rsid w:val="000E0EC9"/>
    <w:rsid w:val="000E13B5"/>
    <w:rsid w:val="000E1C0D"/>
    <w:rsid w:val="000E1D6B"/>
    <w:rsid w:val="000E2026"/>
    <w:rsid w:val="000E21CC"/>
    <w:rsid w:val="000E27C1"/>
    <w:rsid w:val="000E298A"/>
    <w:rsid w:val="000E3244"/>
    <w:rsid w:val="000E3468"/>
    <w:rsid w:val="000E39C2"/>
    <w:rsid w:val="000E39D6"/>
    <w:rsid w:val="000E4656"/>
    <w:rsid w:val="000E51C3"/>
    <w:rsid w:val="000E5427"/>
    <w:rsid w:val="000E58FE"/>
    <w:rsid w:val="000E5A7A"/>
    <w:rsid w:val="000E6094"/>
    <w:rsid w:val="000E60EC"/>
    <w:rsid w:val="000E6406"/>
    <w:rsid w:val="000E6A0D"/>
    <w:rsid w:val="000E6C0D"/>
    <w:rsid w:val="000E6D41"/>
    <w:rsid w:val="000E6DE8"/>
    <w:rsid w:val="000E7394"/>
    <w:rsid w:val="000E7786"/>
    <w:rsid w:val="000F0812"/>
    <w:rsid w:val="000F0BC5"/>
    <w:rsid w:val="000F1EBA"/>
    <w:rsid w:val="000F2BF9"/>
    <w:rsid w:val="000F3B1C"/>
    <w:rsid w:val="000F422F"/>
    <w:rsid w:val="000F43F3"/>
    <w:rsid w:val="000F47D2"/>
    <w:rsid w:val="000F5379"/>
    <w:rsid w:val="000F5BEE"/>
    <w:rsid w:val="000F749A"/>
    <w:rsid w:val="001002B5"/>
    <w:rsid w:val="001002E3"/>
    <w:rsid w:val="001004BF"/>
    <w:rsid w:val="00100889"/>
    <w:rsid w:val="00100E4E"/>
    <w:rsid w:val="00101225"/>
    <w:rsid w:val="00101D48"/>
    <w:rsid w:val="0010244D"/>
    <w:rsid w:val="00102E74"/>
    <w:rsid w:val="00103B1F"/>
    <w:rsid w:val="00103C85"/>
    <w:rsid w:val="00103E40"/>
    <w:rsid w:val="001040B9"/>
    <w:rsid w:val="001042CC"/>
    <w:rsid w:val="00104539"/>
    <w:rsid w:val="0010457F"/>
    <w:rsid w:val="0010554D"/>
    <w:rsid w:val="0010565B"/>
    <w:rsid w:val="00105CDF"/>
    <w:rsid w:val="00106B5D"/>
    <w:rsid w:val="00106B9B"/>
    <w:rsid w:val="00106F55"/>
    <w:rsid w:val="001075A8"/>
    <w:rsid w:val="00111FE5"/>
    <w:rsid w:val="00112BAA"/>
    <w:rsid w:val="00112E52"/>
    <w:rsid w:val="00112F07"/>
    <w:rsid w:val="00112F0A"/>
    <w:rsid w:val="00113FC2"/>
    <w:rsid w:val="001146F8"/>
    <w:rsid w:val="00114BF9"/>
    <w:rsid w:val="0011596D"/>
    <w:rsid w:val="00116FEA"/>
    <w:rsid w:val="001200E9"/>
    <w:rsid w:val="001208AD"/>
    <w:rsid w:val="001209AE"/>
    <w:rsid w:val="0012126A"/>
    <w:rsid w:val="00121545"/>
    <w:rsid w:val="0012178C"/>
    <w:rsid w:val="00121A1E"/>
    <w:rsid w:val="00121A6B"/>
    <w:rsid w:val="00121B27"/>
    <w:rsid w:val="00122520"/>
    <w:rsid w:val="00122BD0"/>
    <w:rsid w:val="00122EDC"/>
    <w:rsid w:val="0012322C"/>
    <w:rsid w:val="00123277"/>
    <w:rsid w:val="001233EA"/>
    <w:rsid w:val="00123AE6"/>
    <w:rsid w:val="00123BA7"/>
    <w:rsid w:val="001240BB"/>
    <w:rsid w:val="00124832"/>
    <w:rsid w:val="00124B95"/>
    <w:rsid w:val="001257EA"/>
    <w:rsid w:val="001265E4"/>
    <w:rsid w:val="00126EAA"/>
    <w:rsid w:val="00126FE9"/>
    <w:rsid w:val="00127982"/>
    <w:rsid w:val="00127A92"/>
    <w:rsid w:val="00127B6F"/>
    <w:rsid w:val="00130170"/>
    <w:rsid w:val="001312F2"/>
    <w:rsid w:val="00132688"/>
    <w:rsid w:val="0013351C"/>
    <w:rsid w:val="00133AC9"/>
    <w:rsid w:val="00134058"/>
    <w:rsid w:val="00134836"/>
    <w:rsid w:val="0013506E"/>
    <w:rsid w:val="00135BFD"/>
    <w:rsid w:val="00135DE7"/>
    <w:rsid w:val="001363C4"/>
    <w:rsid w:val="00137D7A"/>
    <w:rsid w:val="00140DCD"/>
    <w:rsid w:val="001413F4"/>
    <w:rsid w:val="00141591"/>
    <w:rsid w:val="00141D40"/>
    <w:rsid w:val="0014299F"/>
    <w:rsid w:val="00143690"/>
    <w:rsid w:val="00143CE0"/>
    <w:rsid w:val="00143DE1"/>
    <w:rsid w:val="00144552"/>
    <w:rsid w:val="00144576"/>
    <w:rsid w:val="00144C69"/>
    <w:rsid w:val="00144E1B"/>
    <w:rsid w:val="001452AC"/>
    <w:rsid w:val="001452BF"/>
    <w:rsid w:val="001453AF"/>
    <w:rsid w:val="00150563"/>
    <w:rsid w:val="00150DCA"/>
    <w:rsid w:val="00151482"/>
    <w:rsid w:val="00152B78"/>
    <w:rsid w:val="0015352C"/>
    <w:rsid w:val="00153797"/>
    <w:rsid w:val="00153990"/>
    <w:rsid w:val="00153D7F"/>
    <w:rsid w:val="00153EC0"/>
    <w:rsid w:val="00154BBB"/>
    <w:rsid w:val="00154F5B"/>
    <w:rsid w:val="001559E3"/>
    <w:rsid w:val="00155C83"/>
    <w:rsid w:val="00155D70"/>
    <w:rsid w:val="00156140"/>
    <w:rsid w:val="00157389"/>
    <w:rsid w:val="00157DE2"/>
    <w:rsid w:val="00160025"/>
    <w:rsid w:val="00160919"/>
    <w:rsid w:val="00161AA6"/>
    <w:rsid w:val="001621C8"/>
    <w:rsid w:val="00162460"/>
    <w:rsid w:val="0016266F"/>
    <w:rsid w:val="001628B0"/>
    <w:rsid w:val="00163161"/>
    <w:rsid w:val="00163306"/>
    <w:rsid w:val="00163375"/>
    <w:rsid w:val="001635EF"/>
    <w:rsid w:val="00163C58"/>
    <w:rsid w:val="001641A1"/>
    <w:rsid w:val="00164E94"/>
    <w:rsid w:val="00165225"/>
    <w:rsid w:val="0016669A"/>
    <w:rsid w:val="0016694C"/>
    <w:rsid w:val="001705AA"/>
    <w:rsid w:val="001710C3"/>
    <w:rsid w:val="00171903"/>
    <w:rsid w:val="001724DF"/>
    <w:rsid w:val="00172B62"/>
    <w:rsid w:val="001730AA"/>
    <w:rsid w:val="0017359A"/>
    <w:rsid w:val="001736EB"/>
    <w:rsid w:val="0017384A"/>
    <w:rsid w:val="001740B7"/>
    <w:rsid w:val="0017589B"/>
    <w:rsid w:val="001764C4"/>
    <w:rsid w:val="00176C7C"/>
    <w:rsid w:val="001775B6"/>
    <w:rsid w:val="00177CD7"/>
    <w:rsid w:val="00177EEF"/>
    <w:rsid w:val="0018151A"/>
    <w:rsid w:val="00181E4E"/>
    <w:rsid w:val="00182714"/>
    <w:rsid w:val="0018283C"/>
    <w:rsid w:val="001841C3"/>
    <w:rsid w:val="00184F1E"/>
    <w:rsid w:val="00185DCB"/>
    <w:rsid w:val="00187240"/>
    <w:rsid w:val="0018796C"/>
    <w:rsid w:val="00187C59"/>
    <w:rsid w:val="00187C8D"/>
    <w:rsid w:val="001900D5"/>
    <w:rsid w:val="0019019E"/>
    <w:rsid w:val="001908B4"/>
    <w:rsid w:val="001909DC"/>
    <w:rsid w:val="00191093"/>
    <w:rsid w:val="001918A9"/>
    <w:rsid w:val="00191EA7"/>
    <w:rsid w:val="00191F5C"/>
    <w:rsid w:val="00192067"/>
    <w:rsid w:val="001924BC"/>
    <w:rsid w:val="00193083"/>
    <w:rsid w:val="00193220"/>
    <w:rsid w:val="00193F5A"/>
    <w:rsid w:val="001946ED"/>
    <w:rsid w:val="00195504"/>
    <w:rsid w:val="001956F4"/>
    <w:rsid w:val="00195A28"/>
    <w:rsid w:val="001961DB"/>
    <w:rsid w:val="001961F4"/>
    <w:rsid w:val="0019633F"/>
    <w:rsid w:val="001965F5"/>
    <w:rsid w:val="0019692B"/>
    <w:rsid w:val="00196959"/>
    <w:rsid w:val="0019743C"/>
    <w:rsid w:val="001974F8"/>
    <w:rsid w:val="001976CB"/>
    <w:rsid w:val="00197E4A"/>
    <w:rsid w:val="001A0315"/>
    <w:rsid w:val="001A082E"/>
    <w:rsid w:val="001A0B33"/>
    <w:rsid w:val="001A0E52"/>
    <w:rsid w:val="001A16A9"/>
    <w:rsid w:val="001A1C67"/>
    <w:rsid w:val="001A2009"/>
    <w:rsid w:val="001A2748"/>
    <w:rsid w:val="001A3423"/>
    <w:rsid w:val="001A467B"/>
    <w:rsid w:val="001A4816"/>
    <w:rsid w:val="001A4FA5"/>
    <w:rsid w:val="001A502B"/>
    <w:rsid w:val="001A574A"/>
    <w:rsid w:val="001A6159"/>
    <w:rsid w:val="001A6371"/>
    <w:rsid w:val="001A6409"/>
    <w:rsid w:val="001A6CA0"/>
    <w:rsid w:val="001A6DC3"/>
    <w:rsid w:val="001A73A6"/>
    <w:rsid w:val="001A7D92"/>
    <w:rsid w:val="001B1179"/>
    <w:rsid w:val="001B1393"/>
    <w:rsid w:val="001B2150"/>
    <w:rsid w:val="001B21C1"/>
    <w:rsid w:val="001B2221"/>
    <w:rsid w:val="001B24D3"/>
    <w:rsid w:val="001B2B34"/>
    <w:rsid w:val="001B3AD8"/>
    <w:rsid w:val="001B3C4C"/>
    <w:rsid w:val="001B4DB3"/>
    <w:rsid w:val="001B5450"/>
    <w:rsid w:val="001B765A"/>
    <w:rsid w:val="001B7832"/>
    <w:rsid w:val="001B7991"/>
    <w:rsid w:val="001C02FF"/>
    <w:rsid w:val="001C0D12"/>
    <w:rsid w:val="001C1E71"/>
    <w:rsid w:val="001C20FE"/>
    <w:rsid w:val="001C2FCD"/>
    <w:rsid w:val="001C53EF"/>
    <w:rsid w:val="001C5A1A"/>
    <w:rsid w:val="001C659E"/>
    <w:rsid w:val="001C6720"/>
    <w:rsid w:val="001C6FDE"/>
    <w:rsid w:val="001C73CE"/>
    <w:rsid w:val="001C7692"/>
    <w:rsid w:val="001D03F9"/>
    <w:rsid w:val="001D0603"/>
    <w:rsid w:val="001D0859"/>
    <w:rsid w:val="001D0A75"/>
    <w:rsid w:val="001D14FC"/>
    <w:rsid w:val="001D22C4"/>
    <w:rsid w:val="001D23D2"/>
    <w:rsid w:val="001D2E76"/>
    <w:rsid w:val="001D3169"/>
    <w:rsid w:val="001D34B5"/>
    <w:rsid w:val="001D4942"/>
    <w:rsid w:val="001D4AD2"/>
    <w:rsid w:val="001D66F7"/>
    <w:rsid w:val="001D7640"/>
    <w:rsid w:val="001D76FB"/>
    <w:rsid w:val="001D7ADD"/>
    <w:rsid w:val="001E0485"/>
    <w:rsid w:val="001E0511"/>
    <w:rsid w:val="001E0C75"/>
    <w:rsid w:val="001E0D0D"/>
    <w:rsid w:val="001E0F41"/>
    <w:rsid w:val="001E17BF"/>
    <w:rsid w:val="001E1D97"/>
    <w:rsid w:val="001E1F6F"/>
    <w:rsid w:val="001E2062"/>
    <w:rsid w:val="001E27BE"/>
    <w:rsid w:val="001E3E5F"/>
    <w:rsid w:val="001E417A"/>
    <w:rsid w:val="001E4239"/>
    <w:rsid w:val="001E4815"/>
    <w:rsid w:val="001E485D"/>
    <w:rsid w:val="001E48A0"/>
    <w:rsid w:val="001F043F"/>
    <w:rsid w:val="001F0D7E"/>
    <w:rsid w:val="001F21CD"/>
    <w:rsid w:val="001F2493"/>
    <w:rsid w:val="001F3C3F"/>
    <w:rsid w:val="001F3D73"/>
    <w:rsid w:val="001F5170"/>
    <w:rsid w:val="001F5DF8"/>
    <w:rsid w:val="001F656A"/>
    <w:rsid w:val="001F7694"/>
    <w:rsid w:val="001F78E6"/>
    <w:rsid w:val="001F7914"/>
    <w:rsid w:val="00200181"/>
    <w:rsid w:val="002016E9"/>
    <w:rsid w:val="00201B66"/>
    <w:rsid w:val="00202C7B"/>
    <w:rsid w:val="0020303C"/>
    <w:rsid w:val="002033BC"/>
    <w:rsid w:val="002055AC"/>
    <w:rsid w:val="0020572F"/>
    <w:rsid w:val="00205AB1"/>
    <w:rsid w:val="00205DB9"/>
    <w:rsid w:val="00205DE6"/>
    <w:rsid w:val="00205DFF"/>
    <w:rsid w:val="0020600A"/>
    <w:rsid w:val="0020603A"/>
    <w:rsid w:val="0020622E"/>
    <w:rsid w:val="0020659E"/>
    <w:rsid w:val="002070BA"/>
    <w:rsid w:val="00207B2A"/>
    <w:rsid w:val="00207C3F"/>
    <w:rsid w:val="00211187"/>
    <w:rsid w:val="002113E9"/>
    <w:rsid w:val="00211888"/>
    <w:rsid w:val="00211AF8"/>
    <w:rsid w:val="00212690"/>
    <w:rsid w:val="002128AF"/>
    <w:rsid w:val="0021391B"/>
    <w:rsid w:val="00213D9B"/>
    <w:rsid w:val="00214DDC"/>
    <w:rsid w:val="00215372"/>
    <w:rsid w:val="002157D2"/>
    <w:rsid w:val="00216097"/>
    <w:rsid w:val="00216481"/>
    <w:rsid w:val="002176C7"/>
    <w:rsid w:val="00217CA2"/>
    <w:rsid w:val="00217E88"/>
    <w:rsid w:val="00220B68"/>
    <w:rsid w:val="00221779"/>
    <w:rsid w:val="00221868"/>
    <w:rsid w:val="00221B28"/>
    <w:rsid w:val="00221BEC"/>
    <w:rsid w:val="00221DBE"/>
    <w:rsid w:val="00221FD3"/>
    <w:rsid w:val="00222194"/>
    <w:rsid w:val="002225F6"/>
    <w:rsid w:val="00222C32"/>
    <w:rsid w:val="00222DDB"/>
    <w:rsid w:val="00222F7E"/>
    <w:rsid w:val="00223B78"/>
    <w:rsid w:val="002240B9"/>
    <w:rsid w:val="00224AE7"/>
    <w:rsid w:val="00224EAF"/>
    <w:rsid w:val="00225113"/>
    <w:rsid w:val="00225187"/>
    <w:rsid w:val="0022670D"/>
    <w:rsid w:val="00227464"/>
    <w:rsid w:val="002277C3"/>
    <w:rsid w:val="00227C6D"/>
    <w:rsid w:val="00230822"/>
    <w:rsid w:val="00231276"/>
    <w:rsid w:val="00231E30"/>
    <w:rsid w:val="00231E48"/>
    <w:rsid w:val="0023221F"/>
    <w:rsid w:val="0023245D"/>
    <w:rsid w:val="0023273B"/>
    <w:rsid w:val="00232A6F"/>
    <w:rsid w:val="00233403"/>
    <w:rsid w:val="00233611"/>
    <w:rsid w:val="00233E78"/>
    <w:rsid w:val="00234035"/>
    <w:rsid w:val="002343EC"/>
    <w:rsid w:val="0023465A"/>
    <w:rsid w:val="002355F9"/>
    <w:rsid w:val="002365D7"/>
    <w:rsid w:val="002366D8"/>
    <w:rsid w:val="00237B42"/>
    <w:rsid w:val="00237DDC"/>
    <w:rsid w:val="002401DB"/>
    <w:rsid w:val="00240E20"/>
    <w:rsid w:val="00240F56"/>
    <w:rsid w:val="0024195C"/>
    <w:rsid w:val="00242139"/>
    <w:rsid w:val="0024262C"/>
    <w:rsid w:val="0024291A"/>
    <w:rsid w:val="0024301A"/>
    <w:rsid w:val="002433C2"/>
    <w:rsid w:val="00246B04"/>
    <w:rsid w:val="00246D97"/>
    <w:rsid w:val="00247804"/>
    <w:rsid w:val="00247AA6"/>
    <w:rsid w:val="00247C5F"/>
    <w:rsid w:val="002502DA"/>
    <w:rsid w:val="002507FA"/>
    <w:rsid w:val="00250F4B"/>
    <w:rsid w:val="00251728"/>
    <w:rsid w:val="00251817"/>
    <w:rsid w:val="00252359"/>
    <w:rsid w:val="00252603"/>
    <w:rsid w:val="00252E2A"/>
    <w:rsid w:val="00252E2B"/>
    <w:rsid w:val="00252FA7"/>
    <w:rsid w:val="0025317F"/>
    <w:rsid w:val="00253641"/>
    <w:rsid w:val="00254E10"/>
    <w:rsid w:val="002550E0"/>
    <w:rsid w:val="0025525A"/>
    <w:rsid w:val="0025542E"/>
    <w:rsid w:val="00255A6E"/>
    <w:rsid w:val="00256090"/>
    <w:rsid w:val="0025635B"/>
    <w:rsid w:val="0025643C"/>
    <w:rsid w:val="00256AC4"/>
    <w:rsid w:val="00256C6A"/>
    <w:rsid w:val="00257207"/>
    <w:rsid w:val="002578C8"/>
    <w:rsid w:val="00260D51"/>
    <w:rsid w:val="002617FD"/>
    <w:rsid w:val="00261A23"/>
    <w:rsid w:val="00261FD9"/>
    <w:rsid w:val="0026354F"/>
    <w:rsid w:val="00263E95"/>
    <w:rsid w:val="002640A1"/>
    <w:rsid w:val="0026445A"/>
    <w:rsid w:val="002646B8"/>
    <w:rsid w:val="00265030"/>
    <w:rsid w:val="00266575"/>
    <w:rsid w:val="00266662"/>
    <w:rsid w:val="00266798"/>
    <w:rsid w:val="0026713F"/>
    <w:rsid w:val="00267279"/>
    <w:rsid w:val="002675F5"/>
    <w:rsid w:val="00267C2B"/>
    <w:rsid w:val="002701C6"/>
    <w:rsid w:val="002707BB"/>
    <w:rsid w:val="00271112"/>
    <w:rsid w:val="002725EA"/>
    <w:rsid w:val="00272EFB"/>
    <w:rsid w:val="002739A9"/>
    <w:rsid w:val="00275259"/>
    <w:rsid w:val="0027563F"/>
    <w:rsid w:val="00275C5E"/>
    <w:rsid w:val="00275ED0"/>
    <w:rsid w:val="002769B8"/>
    <w:rsid w:val="00276EBC"/>
    <w:rsid w:val="00277040"/>
    <w:rsid w:val="00277533"/>
    <w:rsid w:val="002804E8"/>
    <w:rsid w:val="00280520"/>
    <w:rsid w:val="0028061F"/>
    <w:rsid w:val="00280BA7"/>
    <w:rsid w:val="00281823"/>
    <w:rsid w:val="002820F1"/>
    <w:rsid w:val="0028229F"/>
    <w:rsid w:val="00282FF7"/>
    <w:rsid w:val="00283073"/>
    <w:rsid w:val="0028325D"/>
    <w:rsid w:val="0028326B"/>
    <w:rsid w:val="0028347A"/>
    <w:rsid w:val="0028415A"/>
    <w:rsid w:val="00284BF2"/>
    <w:rsid w:val="00284D79"/>
    <w:rsid w:val="002860F8"/>
    <w:rsid w:val="002864E3"/>
    <w:rsid w:val="00286661"/>
    <w:rsid w:val="00286841"/>
    <w:rsid w:val="00286A2E"/>
    <w:rsid w:val="00286A49"/>
    <w:rsid w:val="00286CF4"/>
    <w:rsid w:val="00286DE3"/>
    <w:rsid w:val="00287816"/>
    <w:rsid w:val="00287961"/>
    <w:rsid w:val="00291665"/>
    <w:rsid w:val="0029243B"/>
    <w:rsid w:val="002926C0"/>
    <w:rsid w:val="00292D4A"/>
    <w:rsid w:val="002930B1"/>
    <w:rsid w:val="00293AB9"/>
    <w:rsid w:val="00293DFD"/>
    <w:rsid w:val="002941CB"/>
    <w:rsid w:val="0029465E"/>
    <w:rsid w:val="0029558D"/>
    <w:rsid w:val="00295ABB"/>
    <w:rsid w:val="00296056"/>
    <w:rsid w:val="0029626B"/>
    <w:rsid w:val="0029683D"/>
    <w:rsid w:val="00296A9D"/>
    <w:rsid w:val="00296B44"/>
    <w:rsid w:val="00296E7B"/>
    <w:rsid w:val="0029708F"/>
    <w:rsid w:val="0029750D"/>
    <w:rsid w:val="00297DDE"/>
    <w:rsid w:val="002A032C"/>
    <w:rsid w:val="002A05B9"/>
    <w:rsid w:val="002A0608"/>
    <w:rsid w:val="002A0ACD"/>
    <w:rsid w:val="002A0FBE"/>
    <w:rsid w:val="002A1954"/>
    <w:rsid w:val="002A25F7"/>
    <w:rsid w:val="002A2CA7"/>
    <w:rsid w:val="002A2F6B"/>
    <w:rsid w:val="002A44DC"/>
    <w:rsid w:val="002A45E7"/>
    <w:rsid w:val="002A4DD1"/>
    <w:rsid w:val="002A67BC"/>
    <w:rsid w:val="002A68CB"/>
    <w:rsid w:val="002A7444"/>
    <w:rsid w:val="002A7708"/>
    <w:rsid w:val="002B002B"/>
    <w:rsid w:val="002B05C9"/>
    <w:rsid w:val="002B07DA"/>
    <w:rsid w:val="002B07F4"/>
    <w:rsid w:val="002B0C26"/>
    <w:rsid w:val="002B0D9D"/>
    <w:rsid w:val="002B0DFF"/>
    <w:rsid w:val="002B117C"/>
    <w:rsid w:val="002B1CD4"/>
    <w:rsid w:val="002B2075"/>
    <w:rsid w:val="002B2C4A"/>
    <w:rsid w:val="002B45BF"/>
    <w:rsid w:val="002B46BF"/>
    <w:rsid w:val="002B4D1D"/>
    <w:rsid w:val="002B689B"/>
    <w:rsid w:val="002B738F"/>
    <w:rsid w:val="002B7452"/>
    <w:rsid w:val="002B75FE"/>
    <w:rsid w:val="002C053B"/>
    <w:rsid w:val="002C1665"/>
    <w:rsid w:val="002C1A22"/>
    <w:rsid w:val="002C1E72"/>
    <w:rsid w:val="002C20C5"/>
    <w:rsid w:val="002C270F"/>
    <w:rsid w:val="002C2C45"/>
    <w:rsid w:val="002C3B23"/>
    <w:rsid w:val="002C3D83"/>
    <w:rsid w:val="002C3F71"/>
    <w:rsid w:val="002C3F80"/>
    <w:rsid w:val="002C412C"/>
    <w:rsid w:val="002C48F9"/>
    <w:rsid w:val="002C49B0"/>
    <w:rsid w:val="002C579A"/>
    <w:rsid w:val="002C5A5B"/>
    <w:rsid w:val="002C5C91"/>
    <w:rsid w:val="002C6396"/>
    <w:rsid w:val="002C6F08"/>
    <w:rsid w:val="002C6F24"/>
    <w:rsid w:val="002C7AE2"/>
    <w:rsid w:val="002D0B10"/>
    <w:rsid w:val="002D1228"/>
    <w:rsid w:val="002D1504"/>
    <w:rsid w:val="002D2BAE"/>
    <w:rsid w:val="002D3D70"/>
    <w:rsid w:val="002D45F1"/>
    <w:rsid w:val="002D4B54"/>
    <w:rsid w:val="002D4F70"/>
    <w:rsid w:val="002D54A3"/>
    <w:rsid w:val="002D5924"/>
    <w:rsid w:val="002D64F2"/>
    <w:rsid w:val="002D72E7"/>
    <w:rsid w:val="002D74B5"/>
    <w:rsid w:val="002D7613"/>
    <w:rsid w:val="002D7982"/>
    <w:rsid w:val="002E09AB"/>
    <w:rsid w:val="002E0C29"/>
    <w:rsid w:val="002E21AA"/>
    <w:rsid w:val="002E21D2"/>
    <w:rsid w:val="002E236D"/>
    <w:rsid w:val="002E239B"/>
    <w:rsid w:val="002E290C"/>
    <w:rsid w:val="002E29A1"/>
    <w:rsid w:val="002E3170"/>
    <w:rsid w:val="002E3656"/>
    <w:rsid w:val="002E3895"/>
    <w:rsid w:val="002E3A54"/>
    <w:rsid w:val="002E3B26"/>
    <w:rsid w:val="002E3CC8"/>
    <w:rsid w:val="002E463A"/>
    <w:rsid w:val="002E483D"/>
    <w:rsid w:val="002E4F25"/>
    <w:rsid w:val="002E51B6"/>
    <w:rsid w:val="002E5DD6"/>
    <w:rsid w:val="002E6696"/>
    <w:rsid w:val="002E68DD"/>
    <w:rsid w:val="002E7176"/>
    <w:rsid w:val="002E7494"/>
    <w:rsid w:val="002E7D93"/>
    <w:rsid w:val="002F004B"/>
    <w:rsid w:val="002F07A2"/>
    <w:rsid w:val="002F08D9"/>
    <w:rsid w:val="002F11C1"/>
    <w:rsid w:val="002F139A"/>
    <w:rsid w:val="002F179B"/>
    <w:rsid w:val="002F1FD3"/>
    <w:rsid w:val="002F2970"/>
    <w:rsid w:val="002F3088"/>
    <w:rsid w:val="002F32F3"/>
    <w:rsid w:val="002F40D1"/>
    <w:rsid w:val="002F4231"/>
    <w:rsid w:val="002F4276"/>
    <w:rsid w:val="002F4D7F"/>
    <w:rsid w:val="002F50DF"/>
    <w:rsid w:val="002F5959"/>
    <w:rsid w:val="002F69B8"/>
    <w:rsid w:val="002F7142"/>
    <w:rsid w:val="00300116"/>
    <w:rsid w:val="0030053B"/>
    <w:rsid w:val="0030076D"/>
    <w:rsid w:val="00301699"/>
    <w:rsid w:val="00301881"/>
    <w:rsid w:val="00302925"/>
    <w:rsid w:val="00302BDF"/>
    <w:rsid w:val="00302CB1"/>
    <w:rsid w:val="00303161"/>
    <w:rsid w:val="00303402"/>
    <w:rsid w:val="00303703"/>
    <w:rsid w:val="00303C9C"/>
    <w:rsid w:val="00303E46"/>
    <w:rsid w:val="003052A7"/>
    <w:rsid w:val="0030597A"/>
    <w:rsid w:val="00306323"/>
    <w:rsid w:val="003068E6"/>
    <w:rsid w:val="00306D74"/>
    <w:rsid w:val="00306EFC"/>
    <w:rsid w:val="00307089"/>
    <w:rsid w:val="00307201"/>
    <w:rsid w:val="0030742B"/>
    <w:rsid w:val="00307E50"/>
    <w:rsid w:val="00310057"/>
    <w:rsid w:val="00310771"/>
    <w:rsid w:val="00310CFD"/>
    <w:rsid w:val="00310E48"/>
    <w:rsid w:val="00311944"/>
    <w:rsid w:val="00311ACC"/>
    <w:rsid w:val="00311D85"/>
    <w:rsid w:val="00311E40"/>
    <w:rsid w:val="00312551"/>
    <w:rsid w:val="00312853"/>
    <w:rsid w:val="003137BB"/>
    <w:rsid w:val="00313D3C"/>
    <w:rsid w:val="00314624"/>
    <w:rsid w:val="00314693"/>
    <w:rsid w:val="003150AC"/>
    <w:rsid w:val="003154A3"/>
    <w:rsid w:val="00315644"/>
    <w:rsid w:val="00315E95"/>
    <w:rsid w:val="0031608F"/>
    <w:rsid w:val="003160E3"/>
    <w:rsid w:val="00316BC0"/>
    <w:rsid w:val="0031763B"/>
    <w:rsid w:val="00317EE8"/>
    <w:rsid w:val="00320B7F"/>
    <w:rsid w:val="00321221"/>
    <w:rsid w:val="0032149D"/>
    <w:rsid w:val="00321EE1"/>
    <w:rsid w:val="00321F53"/>
    <w:rsid w:val="003234CF"/>
    <w:rsid w:val="00323EF1"/>
    <w:rsid w:val="00324823"/>
    <w:rsid w:val="0032484A"/>
    <w:rsid w:val="00325EB3"/>
    <w:rsid w:val="003262F2"/>
    <w:rsid w:val="003269BD"/>
    <w:rsid w:val="00327A3D"/>
    <w:rsid w:val="00330BF5"/>
    <w:rsid w:val="00331447"/>
    <w:rsid w:val="00333430"/>
    <w:rsid w:val="00333898"/>
    <w:rsid w:val="00335FC7"/>
    <w:rsid w:val="00336185"/>
    <w:rsid w:val="00336495"/>
    <w:rsid w:val="00336BB7"/>
    <w:rsid w:val="00337595"/>
    <w:rsid w:val="00337682"/>
    <w:rsid w:val="00337761"/>
    <w:rsid w:val="00337D7E"/>
    <w:rsid w:val="00340422"/>
    <w:rsid w:val="003410DA"/>
    <w:rsid w:val="00341E3B"/>
    <w:rsid w:val="00341E81"/>
    <w:rsid w:val="00341E99"/>
    <w:rsid w:val="00342283"/>
    <w:rsid w:val="00342401"/>
    <w:rsid w:val="00342433"/>
    <w:rsid w:val="00342B13"/>
    <w:rsid w:val="00342EE4"/>
    <w:rsid w:val="00343A89"/>
    <w:rsid w:val="00343FF3"/>
    <w:rsid w:val="003440F9"/>
    <w:rsid w:val="003442DC"/>
    <w:rsid w:val="0034450B"/>
    <w:rsid w:val="00344690"/>
    <w:rsid w:val="003447E1"/>
    <w:rsid w:val="00344CDC"/>
    <w:rsid w:val="0034546E"/>
    <w:rsid w:val="00347720"/>
    <w:rsid w:val="00347BFC"/>
    <w:rsid w:val="0035047D"/>
    <w:rsid w:val="00350517"/>
    <w:rsid w:val="003509B8"/>
    <w:rsid w:val="00350B30"/>
    <w:rsid w:val="00350CEA"/>
    <w:rsid w:val="003513A9"/>
    <w:rsid w:val="00351958"/>
    <w:rsid w:val="00351E0E"/>
    <w:rsid w:val="00352A8D"/>
    <w:rsid w:val="00352ABA"/>
    <w:rsid w:val="00352CD5"/>
    <w:rsid w:val="00352CF4"/>
    <w:rsid w:val="00352F18"/>
    <w:rsid w:val="0035394B"/>
    <w:rsid w:val="00353C5C"/>
    <w:rsid w:val="00353CB9"/>
    <w:rsid w:val="0035408F"/>
    <w:rsid w:val="00354264"/>
    <w:rsid w:val="00354280"/>
    <w:rsid w:val="00354E1F"/>
    <w:rsid w:val="003550D9"/>
    <w:rsid w:val="00355F36"/>
    <w:rsid w:val="00356828"/>
    <w:rsid w:val="00356A72"/>
    <w:rsid w:val="00356C5A"/>
    <w:rsid w:val="003576C0"/>
    <w:rsid w:val="00360C44"/>
    <w:rsid w:val="00360FA3"/>
    <w:rsid w:val="0036212D"/>
    <w:rsid w:val="00362325"/>
    <w:rsid w:val="0036294B"/>
    <w:rsid w:val="0036299A"/>
    <w:rsid w:val="0036310D"/>
    <w:rsid w:val="003632F6"/>
    <w:rsid w:val="003633F5"/>
    <w:rsid w:val="00363A0D"/>
    <w:rsid w:val="00364894"/>
    <w:rsid w:val="00364D41"/>
    <w:rsid w:val="00365054"/>
    <w:rsid w:val="00365100"/>
    <w:rsid w:val="0036579D"/>
    <w:rsid w:val="003658BE"/>
    <w:rsid w:val="00366624"/>
    <w:rsid w:val="003668E7"/>
    <w:rsid w:val="00367505"/>
    <w:rsid w:val="00370BF3"/>
    <w:rsid w:val="003710E3"/>
    <w:rsid w:val="0037123A"/>
    <w:rsid w:val="0037156B"/>
    <w:rsid w:val="0037162A"/>
    <w:rsid w:val="0037162C"/>
    <w:rsid w:val="00372F80"/>
    <w:rsid w:val="00373303"/>
    <w:rsid w:val="003739F9"/>
    <w:rsid w:val="00373D2F"/>
    <w:rsid w:val="00374152"/>
    <w:rsid w:val="00374434"/>
    <w:rsid w:val="00374BF8"/>
    <w:rsid w:val="00374C56"/>
    <w:rsid w:val="00375B4B"/>
    <w:rsid w:val="003763EC"/>
    <w:rsid w:val="003767E1"/>
    <w:rsid w:val="003767F3"/>
    <w:rsid w:val="00376FDE"/>
    <w:rsid w:val="00377398"/>
    <w:rsid w:val="00377559"/>
    <w:rsid w:val="003777CF"/>
    <w:rsid w:val="00377D58"/>
    <w:rsid w:val="00381266"/>
    <w:rsid w:val="00381C05"/>
    <w:rsid w:val="0038200C"/>
    <w:rsid w:val="0038287F"/>
    <w:rsid w:val="00382B85"/>
    <w:rsid w:val="00382DA1"/>
    <w:rsid w:val="00382DBA"/>
    <w:rsid w:val="00382E8A"/>
    <w:rsid w:val="00384299"/>
    <w:rsid w:val="0038482A"/>
    <w:rsid w:val="003852E4"/>
    <w:rsid w:val="003861D8"/>
    <w:rsid w:val="0038642C"/>
    <w:rsid w:val="0038695D"/>
    <w:rsid w:val="00387DFF"/>
    <w:rsid w:val="003900DE"/>
    <w:rsid w:val="00390B47"/>
    <w:rsid w:val="00390CC6"/>
    <w:rsid w:val="0039150A"/>
    <w:rsid w:val="003920E6"/>
    <w:rsid w:val="00392906"/>
    <w:rsid w:val="0039314B"/>
    <w:rsid w:val="0039388A"/>
    <w:rsid w:val="00394A5B"/>
    <w:rsid w:val="00394AD1"/>
    <w:rsid w:val="00394E5B"/>
    <w:rsid w:val="00394ECF"/>
    <w:rsid w:val="003958C5"/>
    <w:rsid w:val="00396D07"/>
    <w:rsid w:val="00396F33"/>
    <w:rsid w:val="00397263"/>
    <w:rsid w:val="003A06BD"/>
    <w:rsid w:val="003A0C93"/>
    <w:rsid w:val="003A114E"/>
    <w:rsid w:val="003A22A0"/>
    <w:rsid w:val="003A2494"/>
    <w:rsid w:val="003A2DE0"/>
    <w:rsid w:val="003A32A0"/>
    <w:rsid w:val="003A330C"/>
    <w:rsid w:val="003A373C"/>
    <w:rsid w:val="003A4251"/>
    <w:rsid w:val="003A46D1"/>
    <w:rsid w:val="003A4DAC"/>
    <w:rsid w:val="003A5110"/>
    <w:rsid w:val="003A5811"/>
    <w:rsid w:val="003A5B47"/>
    <w:rsid w:val="003A5F83"/>
    <w:rsid w:val="003A6036"/>
    <w:rsid w:val="003A605F"/>
    <w:rsid w:val="003A6419"/>
    <w:rsid w:val="003A69B3"/>
    <w:rsid w:val="003B0A83"/>
    <w:rsid w:val="003B12FF"/>
    <w:rsid w:val="003B151B"/>
    <w:rsid w:val="003B407A"/>
    <w:rsid w:val="003B4282"/>
    <w:rsid w:val="003B4771"/>
    <w:rsid w:val="003B4A8D"/>
    <w:rsid w:val="003B5014"/>
    <w:rsid w:val="003B5C0D"/>
    <w:rsid w:val="003B5D03"/>
    <w:rsid w:val="003B5E81"/>
    <w:rsid w:val="003B5FBF"/>
    <w:rsid w:val="003B6079"/>
    <w:rsid w:val="003B6810"/>
    <w:rsid w:val="003B6C8F"/>
    <w:rsid w:val="003B7313"/>
    <w:rsid w:val="003B79D8"/>
    <w:rsid w:val="003B7D9B"/>
    <w:rsid w:val="003C05A8"/>
    <w:rsid w:val="003C1245"/>
    <w:rsid w:val="003C1564"/>
    <w:rsid w:val="003C1960"/>
    <w:rsid w:val="003C1A4D"/>
    <w:rsid w:val="003C2448"/>
    <w:rsid w:val="003C2EB3"/>
    <w:rsid w:val="003C3AFC"/>
    <w:rsid w:val="003C4053"/>
    <w:rsid w:val="003C4100"/>
    <w:rsid w:val="003C425B"/>
    <w:rsid w:val="003C4532"/>
    <w:rsid w:val="003C490E"/>
    <w:rsid w:val="003C4FC7"/>
    <w:rsid w:val="003C5A79"/>
    <w:rsid w:val="003C5F03"/>
    <w:rsid w:val="003C5FAF"/>
    <w:rsid w:val="003C6109"/>
    <w:rsid w:val="003C64BC"/>
    <w:rsid w:val="003C6792"/>
    <w:rsid w:val="003C7423"/>
    <w:rsid w:val="003C75A0"/>
    <w:rsid w:val="003C79B8"/>
    <w:rsid w:val="003C7D22"/>
    <w:rsid w:val="003C7DD1"/>
    <w:rsid w:val="003D01BD"/>
    <w:rsid w:val="003D130D"/>
    <w:rsid w:val="003D19CA"/>
    <w:rsid w:val="003D1C11"/>
    <w:rsid w:val="003D1EAD"/>
    <w:rsid w:val="003D25E5"/>
    <w:rsid w:val="003D2627"/>
    <w:rsid w:val="003D2F9F"/>
    <w:rsid w:val="003D310B"/>
    <w:rsid w:val="003D31F8"/>
    <w:rsid w:val="003D3CBE"/>
    <w:rsid w:val="003D40CC"/>
    <w:rsid w:val="003D6347"/>
    <w:rsid w:val="003D63CC"/>
    <w:rsid w:val="003D63D1"/>
    <w:rsid w:val="003D67A7"/>
    <w:rsid w:val="003D6BB5"/>
    <w:rsid w:val="003D792D"/>
    <w:rsid w:val="003D7FE7"/>
    <w:rsid w:val="003E0D14"/>
    <w:rsid w:val="003E0E56"/>
    <w:rsid w:val="003E0FB2"/>
    <w:rsid w:val="003E18D8"/>
    <w:rsid w:val="003E1D2E"/>
    <w:rsid w:val="003E20F4"/>
    <w:rsid w:val="003E29C2"/>
    <w:rsid w:val="003E2B69"/>
    <w:rsid w:val="003E2FF6"/>
    <w:rsid w:val="003E3376"/>
    <w:rsid w:val="003E3791"/>
    <w:rsid w:val="003E3C93"/>
    <w:rsid w:val="003E3CDC"/>
    <w:rsid w:val="003E3E30"/>
    <w:rsid w:val="003E4B0C"/>
    <w:rsid w:val="003E4F9B"/>
    <w:rsid w:val="003E61F9"/>
    <w:rsid w:val="003E69DD"/>
    <w:rsid w:val="003F0A59"/>
    <w:rsid w:val="003F0E2C"/>
    <w:rsid w:val="003F104E"/>
    <w:rsid w:val="003F120F"/>
    <w:rsid w:val="003F13DC"/>
    <w:rsid w:val="003F146D"/>
    <w:rsid w:val="003F1771"/>
    <w:rsid w:val="003F1855"/>
    <w:rsid w:val="003F221E"/>
    <w:rsid w:val="003F3553"/>
    <w:rsid w:val="003F38A8"/>
    <w:rsid w:val="003F3CD1"/>
    <w:rsid w:val="003F42AE"/>
    <w:rsid w:val="003F4E78"/>
    <w:rsid w:val="003F4FB7"/>
    <w:rsid w:val="003F5624"/>
    <w:rsid w:val="003F6CD6"/>
    <w:rsid w:val="003F74BE"/>
    <w:rsid w:val="003F7690"/>
    <w:rsid w:val="003F790D"/>
    <w:rsid w:val="003F7C87"/>
    <w:rsid w:val="0040079E"/>
    <w:rsid w:val="004008F3"/>
    <w:rsid w:val="004009C0"/>
    <w:rsid w:val="00401529"/>
    <w:rsid w:val="00401860"/>
    <w:rsid w:val="00401A21"/>
    <w:rsid w:val="00401DCA"/>
    <w:rsid w:val="0040235B"/>
    <w:rsid w:val="004024FF"/>
    <w:rsid w:val="004025EF"/>
    <w:rsid w:val="00402A91"/>
    <w:rsid w:val="00402C5B"/>
    <w:rsid w:val="0040397E"/>
    <w:rsid w:val="00403DFB"/>
    <w:rsid w:val="004041DC"/>
    <w:rsid w:val="004044BF"/>
    <w:rsid w:val="00404D57"/>
    <w:rsid w:val="00404FAE"/>
    <w:rsid w:val="0040524E"/>
    <w:rsid w:val="0040653D"/>
    <w:rsid w:val="004065B6"/>
    <w:rsid w:val="00406938"/>
    <w:rsid w:val="004074C7"/>
    <w:rsid w:val="00410B0B"/>
    <w:rsid w:val="00410D6B"/>
    <w:rsid w:val="00411BF4"/>
    <w:rsid w:val="00411C6C"/>
    <w:rsid w:val="004124AD"/>
    <w:rsid w:val="00412821"/>
    <w:rsid w:val="00412A39"/>
    <w:rsid w:val="00412D67"/>
    <w:rsid w:val="004130C9"/>
    <w:rsid w:val="004132B7"/>
    <w:rsid w:val="004134C3"/>
    <w:rsid w:val="00413610"/>
    <w:rsid w:val="004136D6"/>
    <w:rsid w:val="00413AD1"/>
    <w:rsid w:val="00413B78"/>
    <w:rsid w:val="00414E6F"/>
    <w:rsid w:val="00414FAF"/>
    <w:rsid w:val="0041521F"/>
    <w:rsid w:val="00415464"/>
    <w:rsid w:val="0041560F"/>
    <w:rsid w:val="00415B7E"/>
    <w:rsid w:val="00415E4B"/>
    <w:rsid w:val="00416A63"/>
    <w:rsid w:val="00416EB8"/>
    <w:rsid w:val="00416EF7"/>
    <w:rsid w:val="00416FD7"/>
    <w:rsid w:val="004175D1"/>
    <w:rsid w:val="00417F79"/>
    <w:rsid w:val="00420BF0"/>
    <w:rsid w:val="0042226A"/>
    <w:rsid w:val="004222B2"/>
    <w:rsid w:val="00423BC8"/>
    <w:rsid w:val="00423CA0"/>
    <w:rsid w:val="00423F9B"/>
    <w:rsid w:val="00424E12"/>
    <w:rsid w:val="00425803"/>
    <w:rsid w:val="004267BF"/>
    <w:rsid w:val="00426A5A"/>
    <w:rsid w:val="00426B66"/>
    <w:rsid w:val="00426B8B"/>
    <w:rsid w:val="0042705D"/>
    <w:rsid w:val="004271F4"/>
    <w:rsid w:val="00427663"/>
    <w:rsid w:val="00427796"/>
    <w:rsid w:val="00427AA5"/>
    <w:rsid w:val="00427B5E"/>
    <w:rsid w:val="0043004C"/>
    <w:rsid w:val="00430472"/>
    <w:rsid w:val="00430920"/>
    <w:rsid w:val="00430DC7"/>
    <w:rsid w:val="004329AA"/>
    <w:rsid w:val="00432CB3"/>
    <w:rsid w:val="00433504"/>
    <w:rsid w:val="00433AD0"/>
    <w:rsid w:val="004342DF"/>
    <w:rsid w:val="004344DF"/>
    <w:rsid w:val="00435976"/>
    <w:rsid w:val="0043599C"/>
    <w:rsid w:val="00435DCF"/>
    <w:rsid w:val="00435E83"/>
    <w:rsid w:val="004361CD"/>
    <w:rsid w:val="004362BD"/>
    <w:rsid w:val="0043635D"/>
    <w:rsid w:val="00436532"/>
    <w:rsid w:val="00437BF0"/>
    <w:rsid w:val="00440A00"/>
    <w:rsid w:val="00440B25"/>
    <w:rsid w:val="00440E0D"/>
    <w:rsid w:val="00440F1F"/>
    <w:rsid w:val="0044168E"/>
    <w:rsid w:val="00441997"/>
    <w:rsid w:val="00441FF2"/>
    <w:rsid w:val="004420C4"/>
    <w:rsid w:val="00442457"/>
    <w:rsid w:val="00442B5D"/>
    <w:rsid w:val="00443F46"/>
    <w:rsid w:val="004445D8"/>
    <w:rsid w:val="00444861"/>
    <w:rsid w:val="00445750"/>
    <w:rsid w:val="00445E07"/>
    <w:rsid w:val="00445F2D"/>
    <w:rsid w:val="004461A8"/>
    <w:rsid w:val="00446835"/>
    <w:rsid w:val="004468DA"/>
    <w:rsid w:val="004470C9"/>
    <w:rsid w:val="00447E8A"/>
    <w:rsid w:val="004505F2"/>
    <w:rsid w:val="00450CB6"/>
    <w:rsid w:val="0045279F"/>
    <w:rsid w:val="00452B1D"/>
    <w:rsid w:val="004535C5"/>
    <w:rsid w:val="00453C67"/>
    <w:rsid w:val="00454706"/>
    <w:rsid w:val="004547FC"/>
    <w:rsid w:val="00454DD3"/>
    <w:rsid w:val="00456374"/>
    <w:rsid w:val="004569F1"/>
    <w:rsid w:val="00457D65"/>
    <w:rsid w:val="00460BBC"/>
    <w:rsid w:val="00461326"/>
    <w:rsid w:val="00461B47"/>
    <w:rsid w:val="00461C75"/>
    <w:rsid w:val="00461F66"/>
    <w:rsid w:val="004622D4"/>
    <w:rsid w:val="004629EC"/>
    <w:rsid w:val="00464721"/>
    <w:rsid w:val="00464A24"/>
    <w:rsid w:val="00465B07"/>
    <w:rsid w:val="00466FBA"/>
    <w:rsid w:val="004674EC"/>
    <w:rsid w:val="00467C06"/>
    <w:rsid w:val="00470483"/>
    <w:rsid w:val="0047127D"/>
    <w:rsid w:val="00471443"/>
    <w:rsid w:val="00471FD0"/>
    <w:rsid w:val="00471FD1"/>
    <w:rsid w:val="00472B36"/>
    <w:rsid w:val="00472F4D"/>
    <w:rsid w:val="00473399"/>
    <w:rsid w:val="00473A39"/>
    <w:rsid w:val="00473E2E"/>
    <w:rsid w:val="00474547"/>
    <w:rsid w:val="0047526A"/>
    <w:rsid w:val="00476376"/>
    <w:rsid w:val="004763FD"/>
    <w:rsid w:val="00480A7C"/>
    <w:rsid w:val="00480E76"/>
    <w:rsid w:val="004816DC"/>
    <w:rsid w:val="004821FC"/>
    <w:rsid w:val="004823D5"/>
    <w:rsid w:val="00482503"/>
    <w:rsid w:val="004839AA"/>
    <w:rsid w:val="00483EF8"/>
    <w:rsid w:val="0048444C"/>
    <w:rsid w:val="004844D8"/>
    <w:rsid w:val="00484584"/>
    <w:rsid w:val="004850C7"/>
    <w:rsid w:val="0048536B"/>
    <w:rsid w:val="004854FA"/>
    <w:rsid w:val="00485892"/>
    <w:rsid w:val="00485B2F"/>
    <w:rsid w:val="00485D80"/>
    <w:rsid w:val="0048608D"/>
    <w:rsid w:val="00486DDE"/>
    <w:rsid w:val="00486EE9"/>
    <w:rsid w:val="00486FD8"/>
    <w:rsid w:val="00487241"/>
    <w:rsid w:val="004918C9"/>
    <w:rsid w:val="004929E0"/>
    <w:rsid w:val="00492B22"/>
    <w:rsid w:val="00492ED5"/>
    <w:rsid w:val="00493265"/>
    <w:rsid w:val="004932C7"/>
    <w:rsid w:val="004934C8"/>
    <w:rsid w:val="00493595"/>
    <w:rsid w:val="00493C5B"/>
    <w:rsid w:val="00494F60"/>
    <w:rsid w:val="004958B1"/>
    <w:rsid w:val="004960A3"/>
    <w:rsid w:val="0049659C"/>
    <w:rsid w:val="00496A4C"/>
    <w:rsid w:val="00496EDA"/>
    <w:rsid w:val="0049742E"/>
    <w:rsid w:val="0049780C"/>
    <w:rsid w:val="00497D48"/>
    <w:rsid w:val="00497FB8"/>
    <w:rsid w:val="004A06CB"/>
    <w:rsid w:val="004A0B1E"/>
    <w:rsid w:val="004A0BC1"/>
    <w:rsid w:val="004A21D2"/>
    <w:rsid w:val="004A25FE"/>
    <w:rsid w:val="004A3185"/>
    <w:rsid w:val="004A3D5E"/>
    <w:rsid w:val="004A3DD5"/>
    <w:rsid w:val="004A441B"/>
    <w:rsid w:val="004A499C"/>
    <w:rsid w:val="004A4B64"/>
    <w:rsid w:val="004A4C01"/>
    <w:rsid w:val="004A4C3D"/>
    <w:rsid w:val="004A5022"/>
    <w:rsid w:val="004A5A01"/>
    <w:rsid w:val="004A5E7B"/>
    <w:rsid w:val="004A6393"/>
    <w:rsid w:val="004A7324"/>
    <w:rsid w:val="004A7621"/>
    <w:rsid w:val="004A7B91"/>
    <w:rsid w:val="004A7CA7"/>
    <w:rsid w:val="004A7EC3"/>
    <w:rsid w:val="004B0918"/>
    <w:rsid w:val="004B0B67"/>
    <w:rsid w:val="004B0F24"/>
    <w:rsid w:val="004B1230"/>
    <w:rsid w:val="004B1F2C"/>
    <w:rsid w:val="004B24A2"/>
    <w:rsid w:val="004B2819"/>
    <w:rsid w:val="004B28F1"/>
    <w:rsid w:val="004B2A1E"/>
    <w:rsid w:val="004B3A5E"/>
    <w:rsid w:val="004B4577"/>
    <w:rsid w:val="004B5ECF"/>
    <w:rsid w:val="004B7097"/>
    <w:rsid w:val="004B7391"/>
    <w:rsid w:val="004C00C5"/>
    <w:rsid w:val="004C04F1"/>
    <w:rsid w:val="004C0794"/>
    <w:rsid w:val="004C08CE"/>
    <w:rsid w:val="004C0C03"/>
    <w:rsid w:val="004C0D26"/>
    <w:rsid w:val="004C11A7"/>
    <w:rsid w:val="004C197B"/>
    <w:rsid w:val="004C1BF2"/>
    <w:rsid w:val="004C2095"/>
    <w:rsid w:val="004C2E84"/>
    <w:rsid w:val="004C2FAC"/>
    <w:rsid w:val="004C3310"/>
    <w:rsid w:val="004C4DA3"/>
    <w:rsid w:val="004C4E4A"/>
    <w:rsid w:val="004C5AC1"/>
    <w:rsid w:val="004C5B5F"/>
    <w:rsid w:val="004C5DE5"/>
    <w:rsid w:val="004C5F98"/>
    <w:rsid w:val="004C6ECB"/>
    <w:rsid w:val="004C7504"/>
    <w:rsid w:val="004C7518"/>
    <w:rsid w:val="004C7952"/>
    <w:rsid w:val="004C7E78"/>
    <w:rsid w:val="004D04DB"/>
    <w:rsid w:val="004D0544"/>
    <w:rsid w:val="004D0975"/>
    <w:rsid w:val="004D0FDD"/>
    <w:rsid w:val="004D1B5D"/>
    <w:rsid w:val="004D1CFC"/>
    <w:rsid w:val="004D1E66"/>
    <w:rsid w:val="004D3047"/>
    <w:rsid w:val="004D34C6"/>
    <w:rsid w:val="004D4494"/>
    <w:rsid w:val="004D468F"/>
    <w:rsid w:val="004D58E4"/>
    <w:rsid w:val="004D6061"/>
    <w:rsid w:val="004D6BC4"/>
    <w:rsid w:val="004D7979"/>
    <w:rsid w:val="004D7AE9"/>
    <w:rsid w:val="004E0739"/>
    <w:rsid w:val="004E13B8"/>
    <w:rsid w:val="004E1900"/>
    <w:rsid w:val="004E1EC5"/>
    <w:rsid w:val="004E2261"/>
    <w:rsid w:val="004E2424"/>
    <w:rsid w:val="004E367B"/>
    <w:rsid w:val="004E4274"/>
    <w:rsid w:val="004E497B"/>
    <w:rsid w:val="004E5C02"/>
    <w:rsid w:val="004E5ECE"/>
    <w:rsid w:val="004E628D"/>
    <w:rsid w:val="004E6A8F"/>
    <w:rsid w:val="004E6B73"/>
    <w:rsid w:val="004E7496"/>
    <w:rsid w:val="004E7637"/>
    <w:rsid w:val="004E771D"/>
    <w:rsid w:val="004E7E52"/>
    <w:rsid w:val="004E7FF7"/>
    <w:rsid w:val="004F05AF"/>
    <w:rsid w:val="004F06F3"/>
    <w:rsid w:val="004F0733"/>
    <w:rsid w:val="004F17F5"/>
    <w:rsid w:val="004F3F84"/>
    <w:rsid w:val="004F4630"/>
    <w:rsid w:val="004F4A57"/>
    <w:rsid w:val="004F5DE0"/>
    <w:rsid w:val="004F6445"/>
    <w:rsid w:val="004F68F9"/>
    <w:rsid w:val="004F6F91"/>
    <w:rsid w:val="004F6FF6"/>
    <w:rsid w:val="004F710C"/>
    <w:rsid w:val="004F73E7"/>
    <w:rsid w:val="004F79C8"/>
    <w:rsid w:val="00500848"/>
    <w:rsid w:val="00500A51"/>
    <w:rsid w:val="00500AFE"/>
    <w:rsid w:val="00500BE2"/>
    <w:rsid w:val="00501A2A"/>
    <w:rsid w:val="005022B5"/>
    <w:rsid w:val="00502A9B"/>
    <w:rsid w:val="0050322F"/>
    <w:rsid w:val="005035AC"/>
    <w:rsid w:val="00503F8E"/>
    <w:rsid w:val="0050400A"/>
    <w:rsid w:val="00504613"/>
    <w:rsid w:val="00504E1A"/>
    <w:rsid w:val="00505228"/>
    <w:rsid w:val="0050523D"/>
    <w:rsid w:val="00505243"/>
    <w:rsid w:val="00505850"/>
    <w:rsid w:val="00505A5D"/>
    <w:rsid w:val="00507525"/>
    <w:rsid w:val="00507654"/>
    <w:rsid w:val="00510300"/>
    <w:rsid w:val="005113DB"/>
    <w:rsid w:val="00511CD8"/>
    <w:rsid w:val="00511D82"/>
    <w:rsid w:val="00512064"/>
    <w:rsid w:val="0051282B"/>
    <w:rsid w:val="005134CC"/>
    <w:rsid w:val="00513ABA"/>
    <w:rsid w:val="00513B46"/>
    <w:rsid w:val="00513DC3"/>
    <w:rsid w:val="00513F35"/>
    <w:rsid w:val="00514431"/>
    <w:rsid w:val="005160DA"/>
    <w:rsid w:val="0051618D"/>
    <w:rsid w:val="005162F2"/>
    <w:rsid w:val="00516A9D"/>
    <w:rsid w:val="00517FEE"/>
    <w:rsid w:val="00520321"/>
    <w:rsid w:val="00521C29"/>
    <w:rsid w:val="0052210C"/>
    <w:rsid w:val="00523C1A"/>
    <w:rsid w:val="00523F7C"/>
    <w:rsid w:val="005246DD"/>
    <w:rsid w:val="00525744"/>
    <w:rsid w:val="00525D0F"/>
    <w:rsid w:val="00526549"/>
    <w:rsid w:val="00526968"/>
    <w:rsid w:val="005300EC"/>
    <w:rsid w:val="0053034E"/>
    <w:rsid w:val="0053051C"/>
    <w:rsid w:val="005309E3"/>
    <w:rsid w:val="00530D87"/>
    <w:rsid w:val="00531286"/>
    <w:rsid w:val="0053288D"/>
    <w:rsid w:val="00533179"/>
    <w:rsid w:val="00533428"/>
    <w:rsid w:val="00534CED"/>
    <w:rsid w:val="0053644D"/>
    <w:rsid w:val="00536747"/>
    <w:rsid w:val="00536CFB"/>
    <w:rsid w:val="00536CFE"/>
    <w:rsid w:val="00537148"/>
    <w:rsid w:val="00537709"/>
    <w:rsid w:val="00537C43"/>
    <w:rsid w:val="00540B65"/>
    <w:rsid w:val="00540EB5"/>
    <w:rsid w:val="00541040"/>
    <w:rsid w:val="005414F7"/>
    <w:rsid w:val="005416A9"/>
    <w:rsid w:val="00541DED"/>
    <w:rsid w:val="00541E43"/>
    <w:rsid w:val="00542398"/>
    <w:rsid w:val="00542599"/>
    <w:rsid w:val="00543D0C"/>
    <w:rsid w:val="00544EF5"/>
    <w:rsid w:val="0054513D"/>
    <w:rsid w:val="00545742"/>
    <w:rsid w:val="00545925"/>
    <w:rsid w:val="00545958"/>
    <w:rsid w:val="00546683"/>
    <w:rsid w:val="00546775"/>
    <w:rsid w:val="00546C4E"/>
    <w:rsid w:val="00546C80"/>
    <w:rsid w:val="00547C33"/>
    <w:rsid w:val="00547F2E"/>
    <w:rsid w:val="005500C8"/>
    <w:rsid w:val="00550182"/>
    <w:rsid w:val="0055090A"/>
    <w:rsid w:val="00550A3F"/>
    <w:rsid w:val="00551562"/>
    <w:rsid w:val="005523EA"/>
    <w:rsid w:val="005523F6"/>
    <w:rsid w:val="005540B0"/>
    <w:rsid w:val="00554194"/>
    <w:rsid w:val="005547C5"/>
    <w:rsid w:val="00554A8F"/>
    <w:rsid w:val="00554E28"/>
    <w:rsid w:val="00555586"/>
    <w:rsid w:val="00555FD5"/>
    <w:rsid w:val="00556281"/>
    <w:rsid w:val="00556A32"/>
    <w:rsid w:val="00556BB9"/>
    <w:rsid w:val="00557885"/>
    <w:rsid w:val="005578D6"/>
    <w:rsid w:val="00557B66"/>
    <w:rsid w:val="00560376"/>
    <w:rsid w:val="00560778"/>
    <w:rsid w:val="00561995"/>
    <w:rsid w:val="00562ECC"/>
    <w:rsid w:val="00563764"/>
    <w:rsid w:val="005638D8"/>
    <w:rsid w:val="0056438C"/>
    <w:rsid w:val="005652C0"/>
    <w:rsid w:val="00565A8E"/>
    <w:rsid w:val="00565ADE"/>
    <w:rsid w:val="005672C0"/>
    <w:rsid w:val="00567623"/>
    <w:rsid w:val="00567B46"/>
    <w:rsid w:val="00570457"/>
    <w:rsid w:val="00571597"/>
    <w:rsid w:val="005717F2"/>
    <w:rsid w:val="00571A0E"/>
    <w:rsid w:val="00571C5D"/>
    <w:rsid w:val="00572460"/>
    <w:rsid w:val="0057280C"/>
    <w:rsid w:val="00573556"/>
    <w:rsid w:val="0057400B"/>
    <w:rsid w:val="00574387"/>
    <w:rsid w:val="005746C0"/>
    <w:rsid w:val="00575279"/>
    <w:rsid w:val="0057658B"/>
    <w:rsid w:val="0057675E"/>
    <w:rsid w:val="00576AAA"/>
    <w:rsid w:val="00580BCE"/>
    <w:rsid w:val="00581B15"/>
    <w:rsid w:val="00581C03"/>
    <w:rsid w:val="00581DD7"/>
    <w:rsid w:val="005823DF"/>
    <w:rsid w:val="00582E98"/>
    <w:rsid w:val="005848FA"/>
    <w:rsid w:val="00584DE7"/>
    <w:rsid w:val="00586052"/>
    <w:rsid w:val="0058653A"/>
    <w:rsid w:val="0058740C"/>
    <w:rsid w:val="005879A2"/>
    <w:rsid w:val="005879E7"/>
    <w:rsid w:val="00590DFC"/>
    <w:rsid w:val="005917DD"/>
    <w:rsid w:val="00591858"/>
    <w:rsid w:val="0059211D"/>
    <w:rsid w:val="00593039"/>
    <w:rsid w:val="005937DD"/>
    <w:rsid w:val="00594154"/>
    <w:rsid w:val="005945AE"/>
    <w:rsid w:val="0059499B"/>
    <w:rsid w:val="0059514E"/>
    <w:rsid w:val="0059515F"/>
    <w:rsid w:val="005956C8"/>
    <w:rsid w:val="005960E1"/>
    <w:rsid w:val="005964C0"/>
    <w:rsid w:val="00596540"/>
    <w:rsid w:val="00597086"/>
    <w:rsid w:val="005971CB"/>
    <w:rsid w:val="005A016C"/>
    <w:rsid w:val="005A06C2"/>
    <w:rsid w:val="005A08B2"/>
    <w:rsid w:val="005A0AD3"/>
    <w:rsid w:val="005A1109"/>
    <w:rsid w:val="005A1168"/>
    <w:rsid w:val="005A157D"/>
    <w:rsid w:val="005A1778"/>
    <w:rsid w:val="005A19B1"/>
    <w:rsid w:val="005A1E10"/>
    <w:rsid w:val="005A207C"/>
    <w:rsid w:val="005A2B33"/>
    <w:rsid w:val="005A31FA"/>
    <w:rsid w:val="005A36A7"/>
    <w:rsid w:val="005A3F69"/>
    <w:rsid w:val="005A40FD"/>
    <w:rsid w:val="005A41D2"/>
    <w:rsid w:val="005A4532"/>
    <w:rsid w:val="005A4C17"/>
    <w:rsid w:val="005A53F2"/>
    <w:rsid w:val="005A5B8B"/>
    <w:rsid w:val="005A606F"/>
    <w:rsid w:val="005A6D1E"/>
    <w:rsid w:val="005A6F56"/>
    <w:rsid w:val="005A71E2"/>
    <w:rsid w:val="005A723C"/>
    <w:rsid w:val="005B018F"/>
    <w:rsid w:val="005B0B9F"/>
    <w:rsid w:val="005B0D76"/>
    <w:rsid w:val="005B1228"/>
    <w:rsid w:val="005B14AB"/>
    <w:rsid w:val="005B14C7"/>
    <w:rsid w:val="005B22DF"/>
    <w:rsid w:val="005B238A"/>
    <w:rsid w:val="005B3870"/>
    <w:rsid w:val="005B432D"/>
    <w:rsid w:val="005B43B1"/>
    <w:rsid w:val="005B4503"/>
    <w:rsid w:val="005B4601"/>
    <w:rsid w:val="005B4751"/>
    <w:rsid w:val="005B5296"/>
    <w:rsid w:val="005B5461"/>
    <w:rsid w:val="005B5A90"/>
    <w:rsid w:val="005B5BA5"/>
    <w:rsid w:val="005B5CE7"/>
    <w:rsid w:val="005B5D72"/>
    <w:rsid w:val="005B6064"/>
    <w:rsid w:val="005B6BAE"/>
    <w:rsid w:val="005B7AC9"/>
    <w:rsid w:val="005C06E7"/>
    <w:rsid w:val="005C0B0B"/>
    <w:rsid w:val="005C10E7"/>
    <w:rsid w:val="005C1614"/>
    <w:rsid w:val="005C177F"/>
    <w:rsid w:val="005C4216"/>
    <w:rsid w:val="005C4397"/>
    <w:rsid w:val="005C4731"/>
    <w:rsid w:val="005C4DA7"/>
    <w:rsid w:val="005C5347"/>
    <w:rsid w:val="005C6A82"/>
    <w:rsid w:val="005C6C29"/>
    <w:rsid w:val="005C6D3E"/>
    <w:rsid w:val="005C745C"/>
    <w:rsid w:val="005C7C6F"/>
    <w:rsid w:val="005D0769"/>
    <w:rsid w:val="005D1D7F"/>
    <w:rsid w:val="005D1DD4"/>
    <w:rsid w:val="005D2CF3"/>
    <w:rsid w:val="005D39F1"/>
    <w:rsid w:val="005D3AD6"/>
    <w:rsid w:val="005D3DB3"/>
    <w:rsid w:val="005D40DA"/>
    <w:rsid w:val="005D5C6F"/>
    <w:rsid w:val="005D6090"/>
    <w:rsid w:val="005D6858"/>
    <w:rsid w:val="005D6F84"/>
    <w:rsid w:val="005D6FA7"/>
    <w:rsid w:val="005D742A"/>
    <w:rsid w:val="005E0B42"/>
    <w:rsid w:val="005E0CC0"/>
    <w:rsid w:val="005E11EF"/>
    <w:rsid w:val="005E188B"/>
    <w:rsid w:val="005E2332"/>
    <w:rsid w:val="005E23CA"/>
    <w:rsid w:val="005E2F39"/>
    <w:rsid w:val="005E342B"/>
    <w:rsid w:val="005E3B2B"/>
    <w:rsid w:val="005E4E6B"/>
    <w:rsid w:val="005E5770"/>
    <w:rsid w:val="005E5A74"/>
    <w:rsid w:val="005E620F"/>
    <w:rsid w:val="005E62D6"/>
    <w:rsid w:val="005E75ED"/>
    <w:rsid w:val="005E7928"/>
    <w:rsid w:val="005F029A"/>
    <w:rsid w:val="005F09F5"/>
    <w:rsid w:val="005F0D1F"/>
    <w:rsid w:val="005F1CFC"/>
    <w:rsid w:val="005F1F10"/>
    <w:rsid w:val="005F2274"/>
    <w:rsid w:val="005F3D22"/>
    <w:rsid w:val="005F3EF5"/>
    <w:rsid w:val="005F4AE5"/>
    <w:rsid w:val="005F5FD8"/>
    <w:rsid w:val="005F607E"/>
    <w:rsid w:val="005F6C0E"/>
    <w:rsid w:val="005F7DFA"/>
    <w:rsid w:val="00601670"/>
    <w:rsid w:val="006020B8"/>
    <w:rsid w:val="0060275C"/>
    <w:rsid w:val="00602962"/>
    <w:rsid w:val="00602C43"/>
    <w:rsid w:val="0060301A"/>
    <w:rsid w:val="00603764"/>
    <w:rsid w:val="006040E8"/>
    <w:rsid w:val="0060458F"/>
    <w:rsid w:val="00604AF1"/>
    <w:rsid w:val="00604BA0"/>
    <w:rsid w:val="00604F0F"/>
    <w:rsid w:val="00605FAC"/>
    <w:rsid w:val="00606861"/>
    <w:rsid w:val="00606ED9"/>
    <w:rsid w:val="00607082"/>
    <w:rsid w:val="00607235"/>
    <w:rsid w:val="00607315"/>
    <w:rsid w:val="006076E4"/>
    <w:rsid w:val="006079F7"/>
    <w:rsid w:val="00607C7F"/>
    <w:rsid w:val="00607FDF"/>
    <w:rsid w:val="00610003"/>
    <w:rsid w:val="00610156"/>
    <w:rsid w:val="00611957"/>
    <w:rsid w:val="00612237"/>
    <w:rsid w:val="00613205"/>
    <w:rsid w:val="006141F0"/>
    <w:rsid w:val="006146A9"/>
    <w:rsid w:val="00615459"/>
    <w:rsid w:val="0061657E"/>
    <w:rsid w:val="006168EE"/>
    <w:rsid w:val="00617EE6"/>
    <w:rsid w:val="00620526"/>
    <w:rsid w:val="0062089E"/>
    <w:rsid w:val="006209D6"/>
    <w:rsid w:val="00621617"/>
    <w:rsid w:val="006216AD"/>
    <w:rsid w:val="00622526"/>
    <w:rsid w:val="0062315A"/>
    <w:rsid w:val="00623CE9"/>
    <w:rsid w:val="00623D81"/>
    <w:rsid w:val="0062417C"/>
    <w:rsid w:val="00624F91"/>
    <w:rsid w:val="00625A3A"/>
    <w:rsid w:val="00625D36"/>
    <w:rsid w:val="0062650A"/>
    <w:rsid w:val="00626EF3"/>
    <w:rsid w:val="0062713A"/>
    <w:rsid w:val="006274A5"/>
    <w:rsid w:val="0062798C"/>
    <w:rsid w:val="00627DB3"/>
    <w:rsid w:val="00630139"/>
    <w:rsid w:val="0063056D"/>
    <w:rsid w:val="00630600"/>
    <w:rsid w:val="006309B3"/>
    <w:rsid w:val="00630AAE"/>
    <w:rsid w:val="00630CA8"/>
    <w:rsid w:val="00631AE1"/>
    <w:rsid w:val="00631D67"/>
    <w:rsid w:val="006323DF"/>
    <w:rsid w:val="0063274F"/>
    <w:rsid w:val="00632DA7"/>
    <w:rsid w:val="00632FC2"/>
    <w:rsid w:val="00633040"/>
    <w:rsid w:val="006334CC"/>
    <w:rsid w:val="006338B6"/>
    <w:rsid w:val="006344D4"/>
    <w:rsid w:val="00634562"/>
    <w:rsid w:val="00634BA5"/>
    <w:rsid w:val="006350E6"/>
    <w:rsid w:val="0063561C"/>
    <w:rsid w:val="00635F90"/>
    <w:rsid w:val="00636537"/>
    <w:rsid w:val="00636702"/>
    <w:rsid w:val="00636817"/>
    <w:rsid w:val="00636929"/>
    <w:rsid w:val="00637A34"/>
    <w:rsid w:val="00637B5D"/>
    <w:rsid w:val="00640518"/>
    <w:rsid w:val="006414F4"/>
    <w:rsid w:val="006419CC"/>
    <w:rsid w:val="00641BD6"/>
    <w:rsid w:val="00642207"/>
    <w:rsid w:val="006430C0"/>
    <w:rsid w:val="00644647"/>
    <w:rsid w:val="006447DC"/>
    <w:rsid w:val="00644982"/>
    <w:rsid w:val="00645049"/>
    <w:rsid w:val="006450B5"/>
    <w:rsid w:val="006451D6"/>
    <w:rsid w:val="006452B7"/>
    <w:rsid w:val="00645BDD"/>
    <w:rsid w:val="00645F81"/>
    <w:rsid w:val="00645FCA"/>
    <w:rsid w:val="006463FB"/>
    <w:rsid w:val="00646752"/>
    <w:rsid w:val="00646EA9"/>
    <w:rsid w:val="00647141"/>
    <w:rsid w:val="00647417"/>
    <w:rsid w:val="00647600"/>
    <w:rsid w:val="00647725"/>
    <w:rsid w:val="0064783D"/>
    <w:rsid w:val="00647923"/>
    <w:rsid w:val="00651219"/>
    <w:rsid w:val="00651286"/>
    <w:rsid w:val="00651E1C"/>
    <w:rsid w:val="00652941"/>
    <w:rsid w:val="00652A6A"/>
    <w:rsid w:val="00652BD2"/>
    <w:rsid w:val="00653078"/>
    <w:rsid w:val="006538C6"/>
    <w:rsid w:val="00653C43"/>
    <w:rsid w:val="00654BC4"/>
    <w:rsid w:val="006559AC"/>
    <w:rsid w:val="00656188"/>
    <w:rsid w:val="00656329"/>
    <w:rsid w:val="0065703B"/>
    <w:rsid w:val="006575B7"/>
    <w:rsid w:val="00660164"/>
    <w:rsid w:val="006606F1"/>
    <w:rsid w:val="00660EAC"/>
    <w:rsid w:val="00661554"/>
    <w:rsid w:val="00661AD7"/>
    <w:rsid w:val="0066222E"/>
    <w:rsid w:val="00662B4F"/>
    <w:rsid w:val="0066345D"/>
    <w:rsid w:val="0066355B"/>
    <w:rsid w:val="00663CD4"/>
    <w:rsid w:val="006643C2"/>
    <w:rsid w:val="006643DD"/>
    <w:rsid w:val="00665498"/>
    <w:rsid w:val="00665BDC"/>
    <w:rsid w:val="00665DB8"/>
    <w:rsid w:val="0066618E"/>
    <w:rsid w:val="00666672"/>
    <w:rsid w:val="00666E14"/>
    <w:rsid w:val="006675E8"/>
    <w:rsid w:val="00667B38"/>
    <w:rsid w:val="006711B8"/>
    <w:rsid w:val="006711C1"/>
    <w:rsid w:val="0067213B"/>
    <w:rsid w:val="00672ECF"/>
    <w:rsid w:val="00673092"/>
    <w:rsid w:val="00673A2E"/>
    <w:rsid w:val="00673D93"/>
    <w:rsid w:val="00674024"/>
    <w:rsid w:val="006740B9"/>
    <w:rsid w:val="00674138"/>
    <w:rsid w:val="00675266"/>
    <w:rsid w:val="006756D3"/>
    <w:rsid w:val="006775F1"/>
    <w:rsid w:val="0068188F"/>
    <w:rsid w:val="006818D6"/>
    <w:rsid w:val="0068227C"/>
    <w:rsid w:val="0068236C"/>
    <w:rsid w:val="00682C15"/>
    <w:rsid w:val="00682FC6"/>
    <w:rsid w:val="006844D2"/>
    <w:rsid w:val="006852D6"/>
    <w:rsid w:val="00685970"/>
    <w:rsid w:val="00686814"/>
    <w:rsid w:val="00686D09"/>
    <w:rsid w:val="006873AC"/>
    <w:rsid w:val="00687D33"/>
    <w:rsid w:val="006905A3"/>
    <w:rsid w:val="00690C1A"/>
    <w:rsid w:val="00690E1F"/>
    <w:rsid w:val="006910DA"/>
    <w:rsid w:val="006919FD"/>
    <w:rsid w:val="00691B95"/>
    <w:rsid w:val="00691FC6"/>
    <w:rsid w:val="0069290D"/>
    <w:rsid w:val="0069290F"/>
    <w:rsid w:val="00692A36"/>
    <w:rsid w:val="00692B86"/>
    <w:rsid w:val="00693980"/>
    <w:rsid w:val="00693A75"/>
    <w:rsid w:val="00693C0A"/>
    <w:rsid w:val="006948EF"/>
    <w:rsid w:val="00694FA8"/>
    <w:rsid w:val="00695061"/>
    <w:rsid w:val="00695787"/>
    <w:rsid w:val="00695ACE"/>
    <w:rsid w:val="006960AE"/>
    <w:rsid w:val="00697500"/>
    <w:rsid w:val="00697928"/>
    <w:rsid w:val="006A0E10"/>
    <w:rsid w:val="006A1259"/>
    <w:rsid w:val="006A1684"/>
    <w:rsid w:val="006A279F"/>
    <w:rsid w:val="006A2D35"/>
    <w:rsid w:val="006A43BE"/>
    <w:rsid w:val="006A46A2"/>
    <w:rsid w:val="006A5444"/>
    <w:rsid w:val="006A54CC"/>
    <w:rsid w:val="006A5BF3"/>
    <w:rsid w:val="006A5FF9"/>
    <w:rsid w:val="006A61CE"/>
    <w:rsid w:val="006A63A6"/>
    <w:rsid w:val="006A6B10"/>
    <w:rsid w:val="006A7708"/>
    <w:rsid w:val="006B0F84"/>
    <w:rsid w:val="006B2903"/>
    <w:rsid w:val="006B4C73"/>
    <w:rsid w:val="006B517A"/>
    <w:rsid w:val="006B5E5C"/>
    <w:rsid w:val="006B66ED"/>
    <w:rsid w:val="006B67CB"/>
    <w:rsid w:val="006B71A0"/>
    <w:rsid w:val="006B73C9"/>
    <w:rsid w:val="006C0921"/>
    <w:rsid w:val="006C21FE"/>
    <w:rsid w:val="006C224B"/>
    <w:rsid w:val="006C23ED"/>
    <w:rsid w:val="006C3011"/>
    <w:rsid w:val="006C3395"/>
    <w:rsid w:val="006C340B"/>
    <w:rsid w:val="006C3678"/>
    <w:rsid w:val="006C3731"/>
    <w:rsid w:val="006C37FD"/>
    <w:rsid w:val="006C3809"/>
    <w:rsid w:val="006C3D5E"/>
    <w:rsid w:val="006C3F51"/>
    <w:rsid w:val="006C4148"/>
    <w:rsid w:val="006C4690"/>
    <w:rsid w:val="006C4C93"/>
    <w:rsid w:val="006C585A"/>
    <w:rsid w:val="006C5CD4"/>
    <w:rsid w:val="006C5D5C"/>
    <w:rsid w:val="006C654C"/>
    <w:rsid w:val="006C65D7"/>
    <w:rsid w:val="006C6D0C"/>
    <w:rsid w:val="006C70E1"/>
    <w:rsid w:val="006C771D"/>
    <w:rsid w:val="006C78CF"/>
    <w:rsid w:val="006D1040"/>
    <w:rsid w:val="006D179F"/>
    <w:rsid w:val="006D3141"/>
    <w:rsid w:val="006D315D"/>
    <w:rsid w:val="006D3878"/>
    <w:rsid w:val="006D4061"/>
    <w:rsid w:val="006D442B"/>
    <w:rsid w:val="006D4A15"/>
    <w:rsid w:val="006D50CC"/>
    <w:rsid w:val="006D6547"/>
    <w:rsid w:val="006D783D"/>
    <w:rsid w:val="006D7BBF"/>
    <w:rsid w:val="006D7D0B"/>
    <w:rsid w:val="006D7D95"/>
    <w:rsid w:val="006D7DB4"/>
    <w:rsid w:val="006E02FD"/>
    <w:rsid w:val="006E0570"/>
    <w:rsid w:val="006E161E"/>
    <w:rsid w:val="006E226D"/>
    <w:rsid w:val="006E25C6"/>
    <w:rsid w:val="006E2C55"/>
    <w:rsid w:val="006E373C"/>
    <w:rsid w:val="006E4B68"/>
    <w:rsid w:val="006E5087"/>
    <w:rsid w:val="006E53F6"/>
    <w:rsid w:val="006E572D"/>
    <w:rsid w:val="006E5BC5"/>
    <w:rsid w:val="006E60B8"/>
    <w:rsid w:val="006E60EF"/>
    <w:rsid w:val="006E6C9C"/>
    <w:rsid w:val="006E6DC4"/>
    <w:rsid w:val="006E7228"/>
    <w:rsid w:val="006E74BA"/>
    <w:rsid w:val="006E753D"/>
    <w:rsid w:val="006E788A"/>
    <w:rsid w:val="006E7AEC"/>
    <w:rsid w:val="006E7F32"/>
    <w:rsid w:val="006F073B"/>
    <w:rsid w:val="006F13E2"/>
    <w:rsid w:val="006F1F2D"/>
    <w:rsid w:val="006F2124"/>
    <w:rsid w:val="006F284F"/>
    <w:rsid w:val="006F2F46"/>
    <w:rsid w:val="006F2FCB"/>
    <w:rsid w:val="006F3434"/>
    <w:rsid w:val="006F36D5"/>
    <w:rsid w:val="006F3EFF"/>
    <w:rsid w:val="006F3F7A"/>
    <w:rsid w:val="006F4937"/>
    <w:rsid w:val="006F5729"/>
    <w:rsid w:val="006F632C"/>
    <w:rsid w:val="006F6DA6"/>
    <w:rsid w:val="006F7693"/>
    <w:rsid w:val="006F79AA"/>
    <w:rsid w:val="006F7DA9"/>
    <w:rsid w:val="007000CE"/>
    <w:rsid w:val="00700203"/>
    <w:rsid w:val="007003A0"/>
    <w:rsid w:val="00700ACE"/>
    <w:rsid w:val="007010DB"/>
    <w:rsid w:val="0070122C"/>
    <w:rsid w:val="00702E3A"/>
    <w:rsid w:val="00703102"/>
    <w:rsid w:val="0070326F"/>
    <w:rsid w:val="007034BD"/>
    <w:rsid w:val="00703E0E"/>
    <w:rsid w:val="00704292"/>
    <w:rsid w:val="00704627"/>
    <w:rsid w:val="00704993"/>
    <w:rsid w:val="00704BD6"/>
    <w:rsid w:val="007056FC"/>
    <w:rsid w:val="00705814"/>
    <w:rsid w:val="00705B67"/>
    <w:rsid w:val="00705CA0"/>
    <w:rsid w:val="00707981"/>
    <w:rsid w:val="00707B5D"/>
    <w:rsid w:val="00707D9C"/>
    <w:rsid w:val="00710886"/>
    <w:rsid w:val="00710A46"/>
    <w:rsid w:val="00711952"/>
    <w:rsid w:val="0071211E"/>
    <w:rsid w:val="00712593"/>
    <w:rsid w:val="00712F6A"/>
    <w:rsid w:val="007137AA"/>
    <w:rsid w:val="007137E2"/>
    <w:rsid w:val="007142E2"/>
    <w:rsid w:val="00714499"/>
    <w:rsid w:val="00714CE0"/>
    <w:rsid w:val="0071521E"/>
    <w:rsid w:val="00715993"/>
    <w:rsid w:val="00715A4D"/>
    <w:rsid w:val="00715E37"/>
    <w:rsid w:val="00715E3C"/>
    <w:rsid w:val="00715F19"/>
    <w:rsid w:val="00717E49"/>
    <w:rsid w:val="00717F03"/>
    <w:rsid w:val="00720AF2"/>
    <w:rsid w:val="0072110A"/>
    <w:rsid w:val="007212EB"/>
    <w:rsid w:val="00721702"/>
    <w:rsid w:val="00721856"/>
    <w:rsid w:val="00721AFA"/>
    <w:rsid w:val="007231B5"/>
    <w:rsid w:val="0072320E"/>
    <w:rsid w:val="007238E9"/>
    <w:rsid w:val="007239CD"/>
    <w:rsid w:val="00723CBA"/>
    <w:rsid w:val="00724400"/>
    <w:rsid w:val="00724FB6"/>
    <w:rsid w:val="007250AC"/>
    <w:rsid w:val="007255F9"/>
    <w:rsid w:val="00725A78"/>
    <w:rsid w:val="00726428"/>
    <w:rsid w:val="0072745C"/>
    <w:rsid w:val="007274C3"/>
    <w:rsid w:val="00730084"/>
    <w:rsid w:val="00731A86"/>
    <w:rsid w:val="00731C41"/>
    <w:rsid w:val="007321E9"/>
    <w:rsid w:val="0073236E"/>
    <w:rsid w:val="00732C76"/>
    <w:rsid w:val="00733A93"/>
    <w:rsid w:val="00733B6D"/>
    <w:rsid w:val="00734173"/>
    <w:rsid w:val="00734233"/>
    <w:rsid w:val="00734C85"/>
    <w:rsid w:val="0073591F"/>
    <w:rsid w:val="00735BC1"/>
    <w:rsid w:val="007365F3"/>
    <w:rsid w:val="00736BDA"/>
    <w:rsid w:val="00737FA1"/>
    <w:rsid w:val="007400B2"/>
    <w:rsid w:val="00740906"/>
    <w:rsid w:val="00741000"/>
    <w:rsid w:val="0074103E"/>
    <w:rsid w:val="00741FFF"/>
    <w:rsid w:val="00742861"/>
    <w:rsid w:val="007428CB"/>
    <w:rsid w:val="007431AA"/>
    <w:rsid w:val="00743369"/>
    <w:rsid w:val="0074393D"/>
    <w:rsid w:val="007444D0"/>
    <w:rsid w:val="00746598"/>
    <w:rsid w:val="00747571"/>
    <w:rsid w:val="00747798"/>
    <w:rsid w:val="00747973"/>
    <w:rsid w:val="00747C5E"/>
    <w:rsid w:val="0075076C"/>
    <w:rsid w:val="007508B5"/>
    <w:rsid w:val="00751435"/>
    <w:rsid w:val="0075153D"/>
    <w:rsid w:val="00751545"/>
    <w:rsid w:val="00751E39"/>
    <w:rsid w:val="00752557"/>
    <w:rsid w:val="00752F9B"/>
    <w:rsid w:val="007530E2"/>
    <w:rsid w:val="0075363C"/>
    <w:rsid w:val="0075404D"/>
    <w:rsid w:val="0075426E"/>
    <w:rsid w:val="007543E8"/>
    <w:rsid w:val="007549DA"/>
    <w:rsid w:val="00754C65"/>
    <w:rsid w:val="00757A24"/>
    <w:rsid w:val="00760041"/>
    <w:rsid w:val="00760C6F"/>
    <w:rsid w:val="00761028"/>
    <w:rsid w:val="00761F83"/>
    <w:rsid w:val="00762064"/>
    <w:rsid w:val="00762439"/>
    <w:rsid w:val="00762676"/>
    <w:rsid w:val="0076375D"/>
    <w:rsid w:val="00763FDA"/>
    <w:rsid w:val="0076426F"/>
    <w:rsid w:val="007643DD"/>
    <w:rsid w:val="00764D1D"/>
    <w:rsid w:val="00765572"/>
    <w:rsid w:val="00765700"/>
    <w:rsid w:val="00765DE4"/>
    <w:rsid w:val="00765E1D"/>
    <w:rsid w:val="0076671C"/>
    <w:rsid w:val="00766AB3"/>
    <w:rsid w:val="00766D2B"/>
    <w:rsid w:val="00770175"/>
    <w:rsid w:val="007701B9"/>
    <w:rsid w:val="007701D4"/>
    <w:rsid w:val="00771875"/>
    <w:rsid w:val="00771B96"/>
    <w:rsid w:val="00771E51"/>
    <w:rsid w:val="00771E6B"/>
    <w:rsid w:val="0077221B"/>
    <w:rsid w:val="00772303"/>
    <w:rsid w:val="00772E1F"/>
    <w:rsid w:val="00773264"/>
    <w:rsid w:val="00773430"/>
    <w:rsid w:val="00773DB2"/>
    <w:rsid w:val="00774422"/>
    <w:rsid w:val="00774F05"/>
    <w:rsid w:val="00775335"/>
    <w:rsid w:val="00775CF3"/>
    <w:rsid w:val="00776434"/>
    <w:rsid w:val="00776DF1"/>
    <w:rsid w:val="007772CC"/>
    <w:rsid w:val="007773F8"/>
    <w:rsid w:val="00777A80"/>
    <w:rsid w:val="00780431"/>
    <w:rsid w:val="00780666"/>
    <w:rsid w:val="00780ABB"/>
    <w:rsid w:val="0078119E"/>
    <w:rsid w:val="0078125E"/>
    <w:rsid w:val="00781751"/>
    <w:rsid w:val="00782641"/>
    <w:rsid w:val="00782F11"/>
    <w:rsid w:val="0078478B"/>
    <w:rsid w:val="00784920"/>
    <w:rsid w:val="00785A31"/>
    <w:rsid w:val="00785AE6"/>
    <w:rsid w:val="0078635B"/>
    <w:rsid w:val="007868A1"/>
    <w:rsid w:val="00786A2F"/>
    <w:rsid w:val="0078720C"/>
    <w:rsid w:val="0079083C"/>
    <w:rsid w:val="00790E5C"/>
    <w:rsid w:val="00791868"/>
    <w:rsid w:val="00791B37"/>
    <w:rsid w:val="00792319"/>
    <w:rsid w:val="00792995"/>
    <w:rsid w:val="007931DA"/>
    <w:rsid w:val="00793295"/>
    <w:rsid w:val="00793CC9"/>
    <w:rsid w:val="00794F69"/>
    <w:rsid w:val="00795895"/>
    <w:rsid w:val="00795B26"/>
    <w:rsid w:val="00797006"/>
    <w:rsid w:val="00797340"/>
    <w:rsid w:val="00797C18"/>
    <w:rsid w:val="00797CFB"/>
    <w:rsid w:val="00797DFB"/>
    <w:rsid w:val="00797E31"/>
    <w:rsid w:val="007A0B3E"/>
    <w:rsid w:val="007A0D19"/>
    <w:rsid w:val="007A1526"/>
    <w:rsid w:val="007A1AD3"/>
    <w:rsid w:val="007A2D71"/>
    <w:rsid w:val="007A3864"/>
    <w:rsid w:val="007A3946"/>
    <w:rsid w:val="007A46A6"/>
    <w:rsid w:val="007A4CD1"/>
    <w:rsid w:val="007A4CDD"/>
    <w:rsid w:val="007A4F21"/>
    <w:rsid w:val="007A54B6"/>
    <w:rsid w:val="007A5BD0"/>
    <w:rsid w:val="007A5CA1"/>
    <w:rsid w:val="007A6555"/>
    <w:rsid w:val="007A6A23"/>
    <w:rsid w:val="007A6B12"/>
    <w:rsid w:val="007A6C56"/>
    <w:rsid w:val="007A6F70"/>
    <w:rsid w:val="007A7639"/>
    <w:rsid w:val="007A7E22"/>
    <w:rsid w:val="007B00BC"/>
    <w:rsid w:val="007B025D"/>
    <w:rsid w:val="007B04E3"/>
    <w:rsid w:val="007B053C"/>
    <w:rsid w:val="007B0E74"/>
    <w:rsid w:val="007B139D"/>
    <w:rsid w:val="007B1438"/>
    <w:rsid w:val="007B31EF"/>
    <w:rsid w:val="007B370A"/>
    <w:rsid w:val="007B43A7"/>
    <w:rsid w:val="007B4AC3"/>
    <w:rsid w:val="007B5467"/>
    <w:rsid w:val="007B5723"/>
    <w:rsid w:val="007B5DF4"/>
    <w:rsid w:val="007B6C5F"/>
    <w:rsid w:val="007B7490"/>
    <w:rsid w:val="007B7A95"/>
    <w:rsid w:val="007B7F5B"/>
    <w:rsid w:val="007C0279"/>
    <w:rsid w:val="007C0927"/>
    <w:rsid w:val="007C0DD5"/>
    <w:rsid w:val="007C149E"/>
    <w:rsid w:val="007C1879"/>
    <w:rsid w:val="007C18A0"/>
    <w:rsid w:val="007C1A62"/>
    <w:rsid w:val="007C21D1"/>
    <w:rsid w:val="007C38F3"/>
    <w:rsid w:val="007C3FEA"/>
    <w:rsid w:val="007C4565"/>
    <w:rsid w:val="007C47EB"/>
    <w:rsid w:val="007C4CCA"/>
    <w:rsid w:val="007C79E6"/>
    <w:rsid w:val="007C7A00"/>
    <w:rsid w:val="007C7A18"/>
    <w:rsid w:val="007C7F6C"/>
    <w:rsid w:val="007D01EA"/>
    <w:rsid w:val="007D12E8"/>
    <w:rsid w:val="007D1DBF"/>
    <w:rsid w:val="007D3355"/>
    <w:rsid w:val="007D5A27"/>
    <w:rsid w:val="007D5AD3"/>
    <w:rsid w:val="007D5AE3"/>
    <w:rsid w:val="007D5CF8"/>
    <w:rsid w:val="007D6F3A"/>
    <w:rsid w:val="007D70FC"/>
    <w:rsid w:val="007D7299"/>
    <w:rsid w:val="007D7F52"/>
    <w:rsid w:val="007E1534"/>
    <w:rsid w:val="007E271F"/>
    <w:rsid w:val="007E3224"/>
    <w:rsid w:val="007E3311"/>
    <w:rsid w:val="007E3692"/>
    <w:rsid w:val="007E3D25"/>
    <w:rsid w:val="007E40D4"/>
    <w:rsid w:val="007E4489"/>
    <w:rsid w:val="007E5286"/>
    <w:rsid w:val="007E5460"/>
    <w:rsid w:val="007E57E4"/>
    <w:rsid w:val="007E5B2E"/>
    <w:rsid w:val="007E5DA9"/>
    <w:rsid w:val="007E61B0"/>
    <w:rsid w:val="007E6330"/>
    <w:rsid w:val="007E664E"/>
    <w:rsid w:val="007E6678"/>
    <w:rsid w:val="007E6DA2"/>
    <w:rsid w:val="007F15D4"/>
    <w:rsid w:val="007F1935"/>
    <w:rsid w:val="007F1BE7"/>
    <w:rsid w:val="007F2E0B"/>
    <w:rsid w:val="007F31FE"/>
    <w:rsid w:val="007F3637"/>
    <w:rsid w:val="007F3780"/>
    <w:rsid w:val="007F3808"/>
    <w:rsid w:val="007F3DD6"/>
    <w:rsid w:val="007F4254"/>
    <w:rsid w:val="007F4286"/>
    <w:rsid w:val="007F521E"/>
    <w:rsid w:val="007F547D"/>
    <w:rsid w:val="007F5A74"/>
    <w:rsid w:val="007F6367"/>
    <w:rsid w:val="007F6E50"/>
    <w:rsid w:val="007F7029"/>
    <w:rsid w:val="007F7628"/>
    <w:rsid w:val="007F7854"/>
    <w:rsid w:val="007F7E21"/>
    <w:rsid w:val="00800B6A"/>
    <w:rsid w:val="00801581"/>
    <w:rsid w:val="00801C13"/>
    <w:rsid w:val="00802686"/>
    <w:rsid w:val="00802B54"/>
    <w:rsid w:val="008030F7"/>
    <w:rsid w:val="008053B3"/>
    <w:rsid w:val="00805ADB"/>
    <w:rsid w:val="008069DF"/>
    <w:rsid w:val="008102D0"/>
    <w:rsid w:val="0081136B"/>
    <w:rsid w:val="00811573"/>
    <w:rsid w:val="00811671"/>
    <w:rsid w:val="008118F3"/>
    <w:rsid w:val="008120FA"/>
    <w:rsid w:val="008124F0"/>
    <w:rsid w:val="008131EA"/>
    <w:rsid w:val="008134C3"/>
    <w:rsid w:val="0081373E"/>
    <w:rsid w:val="00813ABF"/>
    <w:rsid w:val="008146AE"/>
    <w:rsid w:val="00814860"/>
    <w:rsid w:val="008151A7"/>
    <w:rsid w:val="0081666E"/>
    <w:rsid w:val="008167AA"/>
    <w:rsid w:val="00816F4F"/>
    <w:rsid w:val="0081701C"/>
    <w:rsid w:val="008171C0"/>
    <w:rsid w:val="00817312"/>
    <w:rsid w:val="00817C9C"/>
    <w:rsid w:val="0082029F"/>
    <w:rsid w:val="00820C6C"/>
    <w:rsid w:val="0082109D"/>
    <w:rsid w:val="008210B2"/>
    <w:rsid w:val="008210C5"/>
    <w:rsid w:val="00821A79"/>
    <w:rsid w:val="00821AD2"/>
    <w:rsid w:val="00821C00"/>
    <w:rsid w:val="00822A92"/>
    <w:rsid w:val="00822BBB"/>
    <w:rsid w:val="00823671"/>
    <w:rsid w:val="008240EB"/>
    <w:rsid w:val="0082459F"/>
    <w:rsid w:val="008247CA"/>
    <w:rsid w:val="00824940"/>
    <w:rsid w:val="00824DFB"/>
    <w:rsid w:val="00825749"/>
    <w:rsid w:val="00825B33"/>
    <w:rsid w:val="00825D1E"/>
    <w:rsid w:val="00825E8D"/>
    <w:rsid w:val="00827265"/>
    <w:rsid w:val="008273D6"/>
    <w:rsid w:val="00827732"/>
    <w:rsid w:val="0083107E"/>
    <w:rsid w:val="008312FB"/>
    <w:rsid w:val="00831926"/>
    <w:rsid w:val="00832422"/>
    <w:rsid w:val="0083295C"/>
    <w:rsid w:val="00832AAE"/>
    <w:rsid w:val="00833290"/>
    <w:rsid w:val="00833C32"/>
    <w:rsid w:val="00833D0A"/>
    <w:rsid w:val="00834793"/>
    <w:rsid w:val="008358BF"/>
    <w:rsid w:val="00835FA1"/>
    <w:rsid w:val="00835FF6"/>
    <w:rsid w:val="00836D4E"/>
    <w:rsid w:val="008371D3"/>
    <w:rsid w:val="00837384"/>
    <w:rsid w:val="008379F1"/>
    <w:rsid w:val="00837E90"/>
    <w:rsid w:val="00840EB3"/>
    <w:rsid w:val="00841052"/>
    <w:rsid w:val="0084108E"/>
    <w:rsid w:val="008417E7"/>
    <w:rsid w:val="0084184B"/>
    <w:rsid w:val="0084194F"/>
    <w:rsid w:val="0084215F"/>
    <w:rsid w:val="008423AF"/>
    <w:rsid w:val="00842D7F"/>
    <w:rsid w:val="008435C9"/>
    <w:rsid w:val="00843BF4"/>
    <w:rsid w:val="008449F3"/>
    <w:rsid w:val="00845256"/>
    <w:rsid w:val="00845F87"/>
    <w:rsid w:val="0084612F"/>
    <w:rsid w:val="008461E3"/>
    <w:rsid w:val="008465D7"/>
    <w:rsid w:val="008466E2"/>
    <w:rsid w:val="00847229"/>
    <w:rsid w:val="00847C29"/>
    <w:rsid w:val="00847F02"/>
    <w:rsid w:val="0085015A"/>
    <w:rsid w:val="008501AD"/>
    <w:rsid w:val="00851117"/>
    <w:rsid w:val="008520D9"/>
    <w:rsid w:val="00852D42"/>
    <w:rsid w:val="00852F1B"/>
    <w:rsid w:val="008533E3"/>
    <w:rsid w:val="00853507"/>
    <w:rsid w:val="0085547E"/>
    <w:rsid w:val="00855B8F"/>
    <w:rsid w:val="00855D9E"/>
    <w:rsid w:val="0085642D"/>
    <w:rsid w:val="008569C2"/>
    <w:rsid w:val="00857489"/>
    <w:rsid w:val="00857529"/>
    <w:rsid w:val="00857CDB"/>
    <w:rsid w:val="008601D5"/>
    <w:rsid w:val="00860294"/>
    <w:rsid w:val="00860FCC"/>
    <w:rsid w:val="00861913"/>
    <w:rsid w:val="008619AE"/>
    <w:rsid w:val="00862541"/>
    <w:rsid w:val="00862D74"/>
    <w:rsid w:val="00862F6A"/>
    <w:rsid w:val="00863A12"/>
    <w:rsid w:val="008648E2"/>
    <w:rsid w:val="00865C94"/>
    <w:rsid w:val="0086696F"/>
    <w:rsid w:val="008707AD"/>
    <w:rsid w:val="00870BC6"/>
    <w:rsid w:val="00870C6C"/>
    <w:rsid w:val="0087108E"/>
    <w:rsid w:val="008716F9"/>
    <w:rsid w:val="008718AC"/>
    <w:rsid w:val="00872042"/>
    <w:rsid w:val="008720C9"/>
    <w:rsid w:val="00873007"/>
    <w:rsid w:val="008732CA"/>
    <w:rsid w:val="0087368F"/>
    <w:rsid w:val="00873782"/>
    <w:rsid w:val="00873F4B"/>
    <w:rsid w:val="0087433F"/>
    <w:rsid w:val="00874D0E"/>
    <w:rsid w:val="00874E0D"/>
    <w:rsid w:val="0087597A"/>
    <w:rsid w:val="008762D0"/>
    <w:rsid w:val="0087737B"/>
    <w:rsid w:val="008802BF"/>
    <w:rsid w:val="008819AB"/>
    <w:rsid w:val="008819D3"/>
    <w:rsid w:val="00881F65"/>
    <w:rsid w:val="00881FAD"/>
    <w:rsid w:val="008825AA"/>
    <w:rsid w:val="00882732"/>
    <w:rsid w:val="00882D34"/>
    <w:rsid w:val="00882D57"/>
    <w:rsid w:val="00882E8D"/>
    <w:rsid w:val="008831DC"/>
    <w:rsid w:val="0088332A"/>
    <w:rsid w:val="00883C9F"/>
    <w:rsid w:val="00884203"/>
    <w:rsid w:val="0088454E"/>
    <w:rsid w:val="008854DC"/>
    <w:rsid w:val="0088608A"/>
    <w:rsid w:val="00886A8C"/>
    <w:rsid w:val="00886E61"/>
    <w:rsid w:val="00886F2B"/>
    <w:rsid w:val="00887886"/>
    <w:rsid w:val="008878E5"/>
    <w:rsid w:val="00887C88"/>
    <w:rsid w:val="0089046E"/>
    <w:rsid w:val="00890DF3"/>
    <w:rsid w:val="008916A8"/>
    <w:rsid w:val="00891CAC"/>
    <w:rsid w:val="008924BC"/>
    <w:rsid w:val="0089263A"/>
    <w:rsid w:val="008936FB"/>
    <w:rsid w:val="00893CF4"/>
    <w:rsid w:val="0089411F"/>
    <w:rsid w:val="00894429"/>
    <w:rsid w:val="00894C20"/>
    <w:rsid w:val="00894E59"/>
    <w:rsid w:val="00895658"/>
    <w:rsid w:val="00895FD6"/>
    <w:rsid w:val="008A02BA"/>
    <w:rsid w:val="008A0719"/>
    <w:rsid w:val="008A092B"/>
    <w:rsid w:val="008A0A57"/>
    <w:rsid w:val="008A0AA1"/>
    <w:rsid w:val="008A0CBE"/>
    <w:rsid w:val="008A0E82"/>
    <w:rsid w:val="008A13C8"/>
    <w:rsid w:val="008A1457"/>
    <w:rsid w:val="008A14E0"/>
    <w:rsid w:val="008A174F"/>
    <w:rsid w:val="008A1AF7"/>
    <w:rsid w:val="008A1DC7"/>
    <w:rsid w:val="008A20A5"/>
    <w:rsid w:val="008A20FB"/>
    <w:rsid w:val="008A2173"/>
    <w:rsid w:val="008A2410"/>
    <w:rsid w:val="008A2D3E"/>
    <w:rsid w:val="008A3706"/>
    <w:rsid w:val="008A3BFA"/>
    <w:rsid w:val="008A3C3A"/>
    <w:rsid w:val="008A3C80"/>
    <w:rsid w:val="008A4D39"/>
    <w:rsid w:val="008A4E48"/>
    <w:rsid w:val="008A526E"/>
    <w:rsid w:val="008A52D3"/>
    <w:rsid w:val="008A5C49"/>
    <w:rsid w:val="008A5D4A"/>
    <w:rsid w:val="008A6100"/>
    <w:rsid w:val="008A6E12"/>
    <w:rsid w:val="008A7914"/>
    <w:rsid w:val="008A7B18"/>
    <w:rsid w:val="008B0267"/>
    <w:rsid w:val="008B09CA"/>
    <w:rsid w:val="008B0AC0"/>
    <w:rsid w:val="008B0CC7"/>
    <w:rsid w:val="008B117C"/>
    <w:rsid w:val="008B11CA"/>
    <w:rsid w:val="008B1842"/>
    <w:rsid w:val="008B1D70"/>
    <w:rsid w:val="008B1E31"/>
    <w:rsid w:val="008B1FA9"/>
    <w:rsid w:val="008B24D1"/>
    <w:rsid w:val="008B250D"/>
    <w:rsid w:val="008B26DC"/>
    <w:rsid w:val="008B2C1A"/>
    <w:rsid w:val="008B2EA6"/>
    <w:rsid w:val="008B3CFA"/>
    <w:rsid w:val="008B3D55"/>
    <w:rsid w:val="008B51DF"/>
    <w:rsid w:val="008B53F7"/>
    <w:rsid w:val="008B5A17"/>
    <w:rsid w:val="008B5A2B"/>
    <w:rsid w:val="008B5D90"/>
    <w:rsid w:val="008B6276"/>
    <w:rsid w:val="008B65A0"/>
    <w:rsid w:val="008B6B16"/>
    <w:rsid w:val="008B7070"/>
    <w:rsid w:val="008B71C1"/>
    <w:rsid w:val="008B7523"/>
    <w:rsid w:val="008B7A71"/>
    <w:rsid w:val="008B7DEF"/>
    <w:rsid w:val="008C0255"/>
    <w:rsid w:val="008C02A0"/>
    <w:rsid w:val="008C0C88"/>
    <w:rsid w:val="008C0E4B"/>
    <w:rsid w:val="008C1B82"/>
    <w:rsid w:val="008C3121"/>
    <w:rsid w:val="008C3308"/>
    <w:rsid w:val="008C34B0"/>
    <w:rsid w:val="008C386F"/>
    <w:rsid w:val="008C3F0B"/>
    <w:rsid w:val="008C45D7"/>
    <w:rsid w:val="008C4A81"/>
    <w:rsid w:val="008C7CF4"/>
    <w:rsid w:val="008C7DA1"/>
    <w:rsid w:val="008D0025"/>
    <w:rsid w:val="008D01BE"/>
    <w:rsid w:val="008D029F"/>
    <w:rsid w:val="008D10D2"/>
    <w:rsid w:val="008D1263"/>
    <w:rsid w:val="008D168F"/>
    <w:rsid w:val="008D1D9A"/>
    <w:rsid w:val="008D23D8"/>
    <w:rsid w:val="008D242C"/>
    <w:rsid w:val="008D2435"/>
    <w:rsid w:val="008D302A"/>
    <w:rsid w:val="008D313D"/>
    <w:rsid w:val="008D3285"/>
    <w:rsid w:val="008D33FC"/>
    <w:rsid w:val="008D34DC"/>
    <w:rsid w:val="008D357B"/>
    <w:rsid w:val="008D35DE"/>
    <w:rsid w:val="008D40FB"/>
    <w:rsid w:val="008D44C3"/>
    <w:rsid w:val="008D481A"/>
    <w:rsid w:val="008D49C5"/>
    <w:rsid w:val="008D4EE5"/>
    <w:rsid w:val="008D5FA5"/>
    <w:rsid w:val="008D6222"/>
    <w:rsid w:val="008D6D1B"/>
    <w:rsid w:val="008D7B01"/>
    <w:rsid w:val="008D7DC0"/>
    <w:rsid w:val="008E0A2C"/>
    <w:rsid w:val="008E13C8"/>
    <w:rsid w:val="008E1DF8"/>
    <w:rsid w:val="008E1E04"/>
    <w:rsid w:val="008E2B66"/>
    <w:rsid w:val="008E2C35"/>
    <w:rsid w:val="008E331A"/>
    <w:rsid w:val="008E350B"/>
    <w:rsid w:val="008E3879"/>
    <w:rsid w:val="008E3CB9"/>
    <w:rsid w:val="008E550A"/>
    <w:rsid w:val="008E581A"/>
    <w:rsid w:val="008E5912"/>
    <w:rsid w:val="008E5A5A"/>
    <w:rsid w:val="008E5F37"/>
    <w:rsid w:val="008E6526"/>
    <w:rsid w:val="008E674A"/>
    <w:rsid w:val="008E69A3"/>
    <w:rsid w:val="008E69DE"/>
    <w:rsid w:val="008E70BA"/>
    <w:rsid w:val="008E7658"/>
    <w:rsid w:val="008F13ED"/>
    <w:rsid w:val="008F1700"/>
    <w:rsid w:val="008F18E9"/>
    <w:rsid w:val="008F2866"/>
    <w:rsid w:val="008F2DAD"/>
    <w:rsid w:val="008F2E72"/>
    <w:rsid w:val="008F388D"/>
    <w:rsid w:val="008F3A3D"/>
    <w:rsid w:val="008F3E13"/>
    <w:rsid w:val="008F4227"/>
    <w:rsid w:val="008F4A1E"/>
    <w:rsid w:val="008F5771"/>
    <w:rsid w:val="008F58FC"/>
    <w:rsid w:val="008F5AF7"/>
    <w:rsid w:val="008F5D6B"/>
    <w:rsid w:val="008F5FEC"/>
    <w:rsid w:val="008F69C7"/>
    <w:rsid w:val="008F7385"/>
    <w:rsid w:val="008F770F"/>
    <w:rsid w:val="008F7E84"/>
    <w:rsid w:val="00900FD0"/>
    <w:rsid w:val="00902973"/>
    <w:rsid w:val="00902C7A"/>
    <w:rsid w:val="00902FD6"/>
    <w:rsid w:val="0090300C"/>
    <w:rsid w:val="009033DA"/>
    <w:rsid w:val="009034D6"/>
    <w:rsid w:val="009037B6"/>
    <w:rsid w:val="00904BD9"/>
    <w:rsid w:val="00905404"/>
    <w:rsid w:val="0090645F"/>
    <w:rsid w:val="009065DE"/>
    <w:rsid w:val="00906E43"/>
    <w:rsid w:val="00907B78"/>
    <w:rsid w:val="00907CFF"/>
    <w:rsid w:val="009101B8"/>
    <w:rsid w:val="00910563"/>
    <w:rsid w:val="00911581"/>
    <w:rsid w:val="009119D2"/>
    <w:rsid w:val="00912473"/>
    <w:rsid w:val="00912DB1"/>
    <w:rsid w:val="00912F40"/>
    <w:rsid w:val="0091316B"/>
    <w:rsid w:val="0091373C"/>
    <w:rsid w:val="00913981"/>
    <w:rsid w:val="00913B2F"/>
    <w:rsid w:val="009144D6"/>
    <w:rsid w:val="00915751"/>
    <w:rsid w:val="00916CF5"/>
    <w:rsid w:val="0091744E"/>
    <w:rsid w:val="00920C3B"/>
    <w:rsid w:val="00920C78"/>
    <w:rsid w:val="00920F50"/>
    <w:rsid w:val="00920F52"/>
    <w:rsid w:val="00920FA3"/>
    <w:rsid w:val="00921FD7"/>
    <w:rsid w:val="00922DD7"/>
    <w:rsid w:val="0092355B"/>
    <w:rsid w:val="00923845"/>
    <w:rsid w:val="00923889"/>
    <w:rsid w:val="00924248"/>
    <w:rsid w:val="00924923"/>
    <w:rsid w:val="00924DA9"/>
    <w:rsid w:val="00924EDE"/>
    <w:rsid w:val="00925201"/>
    <w:rsid w:val="00926AA2"/>
    <w:rsid w:val="00927270"/>
    <w:rsid w:val="00927383"/>
    <w:rsid w:val="0092766E"/>
    <w:rsid w:val="00927BAB"/>
    <w:rsid w:val="00927FE6"/>
    <w:rsid w:val="00930E6E"/>
    <w:rsid w:val="00931118"/>
    <w:rsid w:val="009322D7"/>
    <w:rsid w:val="009322F0"/>
    <w:rsid w:val="00933B55"/>
    <w:rsid w:val="009346A0"/>
    <w:rsid w:val="009348B6"/>
    <w:rsid w:val="009348DB"/>
    <w:rsid w:val="00934EB5"/>
    <w:rsid w:val="00935D67"/>
    <w:rsid w:val="00935EE3"/>
    <w:rsid w:val="009369CE"/>
    <w:rsid w:val="00937110"/>
    <w:rsid w:val="00937837"/>
    <w:rsid w:val="00937D86"/>
    <w:rsid w:val="00940013"/>
    <w:rsid w:val="009405CA"/>
    <w:rsid w:val="00940ADC"/>
    <w:rsid w:val="00940B01"/>
    <w:rsid w:val="00941512"/>
    <w:rsid w:val="009418CB"/>
    <w:rsid w:val="00941C05"/>
    <w:rsid w:val="00942628"/>
    <w:rsid w:val="00942744"/>
    <w:rsid w:val="00943B94"/>
    <w:rsid w:val="00944A24"/>
    <w:rsid w:val="00945245"/>
    <w:rsid w:val="009463D8"/>
    <w:rsid w:val="00947CEB"/>
    <w:rsid w:val="0095076C"/>
    <w:rsid w:val="009508E7"/>
    <w:rsid w:val="00950A99"/>
    <w:rsid w:val="00951283"/>
    <w:rsid w:val="00951404"/>
    <w:rsid w:val="00952B47"/>
    <w:rsid w:val="00952D77"/>
    <w:rsid w:val="00953523"/>
    <w:rsid w:val="00953620"/>
    <w:rsid w:val="00953A0D"/>
    <w:rsid w:val="00954597"/>
    <w:rsid w:val="009551A5"/>
    <w:rsid w:val="009552F9"/>
    <w:rsid w:val="00955530"/>
    <w:rsid w:val="00955663"/>
    <w:rsid w:val="00955791"/>
    <w:rsid w:val="009558D5"/>
    <w:rsid w:val="00955EBF"/>
    <w:rsid w:val="009563F9"/>
    <w:rsid w:val="00956BE1"/>
    <w:rsid w:val="0096047B"/>
    <w:rsid w:val="00960A07"/>
    <w:rsid w:val="00960C29"/>
    <w:rsid w:val="00960FD6"/>
    <w:rsid w:val="00961240"/>
    <w:rsid w:val="00961260"/>
    <w:rsid w:val="009613F1"/>
    <w:rsid w:val="0096194C"/>
    <w:rsid w:val="00961BAD"/>
    <w:rsid w:val="00962370"/>
    <w:rsid w:val="00962617"/>
    <w:rsid w:val="009626AC"/>
    <w:rsid w:val="00963009"/>
    <w:rsid w:val="00964A44"/>
    <w:rsid w:val="00964A69"/>
    <w:rsid w:val="00964BD7"/>
    <w:rsid w:val="00964C2F"/>
    <w:rsid w:val="00964F33"/>
    <w:rsid w:val="00965B7E"/>
    <w:rsid w:val="0096651B"/>
    <w:rsid w:val="00966D88"/>
    <w:rsid w:val="00967B25"/>
    <w:rsid w:val="009709A0"/>
    <w:rsid w:val="00971E39"/>
    <w:rsid w:val="00971F3A"/>
    <w:rsid w:val="00972097"/>
    <w:rsid w:val="009720E3"/>
    <w:rsid w:val="00972866"/>
    <w:rsid w:val="00972A20"/>
    <w:rsid w:val="009736E6"/>
    <w:rsid w:val="00973BEA"/>
    <w:rsid w:val="00974291"/>
    <w:rsid w:val="009749C6"/>
    <w:rsid w:val="00974A74"/>
    <w:rsid w:val="00974EDD"/>
    <w:rsid w:val="009752B8"/>
    <w:rsid w:val="009754E6"/>
    <w:rsid w:val="00976676"/>
    <w:rsid w:val="00976F9A"/>
    <w:rsid w:val="009770F7"/>
    <w:rsid w:val="00977769"/>
    <w:rsid w:val="00977A27"/>
    <w:rsid w:val="00977BA1"/>
    <w:rsid w:val="009807E9"/>
    <w:rsid w:val="0098190A"/>
    <w:rsid w:val="00981C43"/>
    <w:rsid w:val="00983A10"/>
    <w:rsid w:val="009844BD"/>
    <w:rsid w:val="00984A4A"/>
    <w:rsid w:val="0098519A"/>
    <w:rsid w:val="0098580A"/>
    <w:rsid w:val="00985985"/>
    <w:rsid w:val="00985B21"/>
    <w:rsid w:val="00986312"/>
    <w:rsid w:val="00987695"/>
    <w:rsid w:val="0099120E"/>
    <w:rsid w:val="0099123B"/>
    <w:rsid w:val="0099149C"/>
    <w:rsid w:val="009918E1"/>
    <w:rsid w:val="0099233E"/>
    <w:rsid w:val="0099237C"/>
    <w:rsid w:val="0099250D"/>
    <w:rsid w:val="00992704"/>
    <w:rsid w:val="00992BFD"/>
    <w:rsid w:val="00992F2E"/>
    <w:rsid w:val="009938B2"/>
    <w:rsid w:val="00993FC8"/>
    <w:rsid w:val="009940BC"/>
    <w:rsid w:val="00994F26"/>
    <w:rsid w:val="0099564B"/>
    <w:rsid w:val="009957AE"/>
    <w:rsid w:val="00995A68"/>
    <w:rsid w:val="0099638A"/>
    <w:rsid w:val="00996687"/>
    <w:rsid w:val="00996CE9"/>
    <w:rsid w:val="00997471"/>
    <w:rsid w:val="00997BF0"/>
    <w:rsid w:val="00997E2E"/>
    <w:rsid w:val="009A0007"/>
    <w:rsid w:val="009A040E"/>
    <w:rsid w:val="009A0496"/>
    <w:rsid w:val="009A07AE"/>
    <w:rsid w:val="009A17AC"/>
    <w:rsid w:val="009A1A11"/>
    <w:rsid w:val="009A313E"/>
    <w:rsid w:val="009A31AF"/>
    <w:rsid w:val="009A3AAF"/>
    <w:rsid w:val="009A3FCD"/>
    <w:rsid w:val="009A4180"/>
    <w:rsid w:val="009A443A"/>
    <w:rsid w:val="009A4548"/>
    <w:rsid w:val="009A4DC1"/>
    <w:rsid w:val="009A57BD"/>
    <w:rsid w:val="009A6B2F"/>
    <w:rsid w:val="009A6C12"/>
    <w:rsid w:val="009A6CB8"/>
    <w:rsid w:val="009A7524"/>
    <w:rsid w:val="009A7708"/>
    <w:rsid w:val="009B0190"/>
    <w:rsid w:val="009B0431"/>
    <w:rsid w:val="009B0894"/>
    <w:rsid w:val="009B0C8A"/>
    <w:rsid w:val="009B1885"/>
    <w:rsid w:val="009B22F6"/>
    <w:rsid w:val="009B24DA"/>
    <w:rsid w:val="009B2FEB"/>
    <w:rsid w:val="009B3B7A"/>
    <w:rsid w:val="009B3C98"/>
    <w:rsid w:val="009B5BC3"/>
    <w:rsid w:val="009B6FE8"/>
    <w:rsid w:val="009C0521"/>
    <w:rsid w:val="009C1EDD"/>
    <w:rsid w:val="009C2948"/>
    <w:rsid w:val="009C373A"/>
    <w:rsid w:val="009C4792"/>
    <w:rsid w:val="009C5422"/>
    <w:rsid w:val="009C571A"/>
    <w:rsid w:val="009C58D5"/>
    <w:rsid w:val="009C6794"/>
    <w:rsid w:val="009C699B"/>
    <w:rsid w:val="009C7013"/>
    <w:rsid w:val="009C78CE"/>
    <w:rsid w:val="009D04DC"/>
    <w:rsid w:val="009D095E"/>
    <w:rsid w:val="009D1172"/>
    <w:rsid w:val="009D1207"/>
    <w:rsid w:val="009D190D"/>
    <w:rsid w:val="009D25E8"/>
    <w:rsid w:val="009D2669"/>
    <w:rsid w:val="009D2FFE"/>
    <w:rsid w:val="009D3021"/>
    <w:rsid w:val="009D513E"/>
    <w:rsid w:val="009D59D5"/>
    <w:rsid w:val="009D5AAF"/>
    <w:rsid w:val="009D5B03"/>
    <w:rsid w:val="009D6498"/>
    <w:rsid w:val="009D65BD"/>
    <w:rsid w:val="009D6E19"/>
    <w:rsid w:val="009D6F51"/>
    <w:rsid w:val="009D7B55"/>
    <w:rsid w:val="009D7CE1"/>
    <w:rsid w:val="009E0367"/>
    <w:rsid w:val="009E03A9"/>
    <w:rsid w:val="009E0432"/>
    <w:rsid w:val="009E061F"/>
    <w:rsid w:val="009E06EF"/>
    <w:rsid w:val="009E0E58"/>
    <w:rsid w:val="009E0FBE"/>
    <w:rsid w:val="009E1196"/>
    <w:rsid w:val="009E1575"/>
    <w:rsid w:val="009E1675"/>
    <w:rsid w:val="009E2085"/>
    <w:rsid w:val="009E2237"/>
    <w:rsid w:val="009E2558"/>
    <w:rsid w:val="009E344A"/>
    <w:rsid w:val="009E50F3"/>
    <w:rsid w:val="009E55EE"/>
    <w:rsid w:val="009E70D5"/>
    <w:rsid w:val="009F04F8"/>
    <w:rsid w:val="009F05F7"/>
    <w:rsid w:val="009F0DF2"/>
    <w:rsid w:val="009F153C"/>
    <w:rsid w:val="009F15FA"/>
    <w:rsid w:val="009F19CC"/>
    <w:rsid w:val="009F2295"/>
    <w:rsid w:val="009F2390"/>
    <w:rsid w:val="009F2457"/>
    <w:rsid w:val="009F39F0"/>
    <w:rsid w:val="009F3CE4"/>
    <w:rsid w:val="009F4097"/>
    <w:rsid w:val="009F58A4"/>
    <w:rsid w:val="00A00357"/>
    <w:rsid w:val="00A01910"/>
    <w:rsid w:val="00A01929"/>
    <w:rsid w:val="00A02658"/>
    <w:rsid w:val="00A04079"/>
    <w:rsid w:val="00A047DA"/>
    <w:rsid w:val="00A04925"/>
    <w:rsid w:val="00A04E84"/>
    <w:rsid w:val="00A0519A"/>
    <w:rsid w:val="00A0540F"/>
    <w:rsid w:val="00A061DE"/>
    <w:rsid w:val="00A065DF"/>
    <w:rsid w:val="00A067C6"/>
    <w:rsid w:val="00A0715A"/>
    <w:rsid w:val="00A0763C"/>
    <w:rsid w:val="00A07F5A"/>
    <w:rsid w:val="00A1000F"/>
    <w:rsid w:val="00A10D3B"/>
    <w:rsid w:val="00A11DC2"/>
    <w:rsid w:val="00A120C4"/>
    <w:rsid w:val="00A12161"/>
    <w:rsid w:val="00A12229"/>
    <w:rsid w:val="00A1307C"/>
    <w:rsid w:val="00A132A7"/>
    <w:rsid w:val="00A13ADD"/>
    <w:rsid w:val="00A13E92"/>
    <w:rsid w:val="00A13FD2"/>
    <w:rsid w:val="00A155CA"/>
    <w:rsid w:val="00A15A6C"/>
    <w:rsid w:val="00A165A1"/>
    <w:rsid w:val="00A16886"/>
    <w:rsid w:val="00A176E9"/>
    <w:rsid w:val="00A177BF"/>
    <w:rsid w:val="00A208E3"/>
    <w:rsid w:val="00A20B33"/>
    <w:rsid w:val="00A21598"/>
    <w:rsid w:val="00A21EF1"/>
    <w:rsid w:val="00A229EE"/>
    <w:rsid w:val="00A23157"/>
    <w:rsid w:val="00A2330A"/>
    <w:rsid w:val="00A23435"/>
    <w:rsid w:val="00A23792"/>
    <w:rsid w:val="00A23BA8"/>
    <w:rsid w:val="00A26281"/>
    <w:rsid w:val="00A265E4"/>
    <w:rsid w:val="00A26DEC"/>
    <w:rsid w:val="00A2753C"/>
    <w:rsid w:val="00A27BB3"/>
    <w:rsid w:val="00A27BE7"/>
    <w:rsid w:val="00A30D76"/>
    <w:rsid w:val="00A31C95"/>
    <w:rsid w:val="00A324C9"/>
    <w:rsid w:val="00A329DE"/>
    <w:rsid w:val="00A33279"/>
    <w:rsid w:val="00A33682"/>
    <w:rsid w:val="00A336AB"/>
    <w:rsid w:val="00A338CE"/>
    <w:rsid w:val="00A340B1"/>
    <w:rsid w:val="00A34458"/>
    <w:rsid w:val="00A3549C"/>
    <w:rsid w:val="00A355C0"/>
    <w:rsid w:val="00A35D38"/>
    <w:rsid w:val="00A35DBC"/>
    <w:rsid w:val="00A36776"/>
    <w:rsid w:val="00A40E9A"/>
    <w:rsid w:val="00A411C9"/>
    <w:rsid w:val="00A41450"/>
    <w:rsid w:val="00A414E9"/>
    <w:rsid w:val="00A42318"/>
    <w:rsid w:val="00A44BBC"/>
    <w:rsid w:val="00A44C05"/>
    <w:rsid w:val="00A45F3D"/>
    <w:rsid w:val="00A46004"/>
    <w:rsid w:val="00A46532"/>
    <w:rsid w:val="00A46E54"/>
    <w:rsid w:val="00A474A9"/>
    <w:rsid w:val="00A476FE"/>
    <w:rsid w:val="00A47966"/>
    <w:rsid w:val="00A47EFF"/>
    <w:rsid w:val="00A47F5E"/>
    <w:rsid w:val="00A50B01"/>
    <w:rsid w:val="00A50E2B"/>
    <w:rsid w:val="00A50E78"/>
    <w:rsid w:val="00A50EF8"/>
    <w:rsid w:val="00A50FDE"/>
    <w:rsid w:val="00A51E40"/>
    <w:rsid w:val="00A51FF4"/>
    <w:rsid w:val="00A52839"/>
    <w:rsid w:val="00A52F34"/>
    <w:rsid w:val="00A53CCA"/>
    <w:rsid w:val="00A54A77"/>
    <w:rsid w:val="00A55CA0"/>
    <w:rsid w:val="00A55F92"/>
    <w:rsid w:val="00A56958"/>
    <w:rsid w:val="00A57378"/>
    <w:rsid w:val="00A57DB5"/>
    <w:rsid w:val="00A57DC2"/>
    <w:rsid w:val="00A6056F"/>
    <w:rsid w:val="00A60A8C"/>
    <w:rsid w:val="00A60C99"/>
    <w:rsid w:val="00A61DD1"/>
    <w:rsid w:val="00A62411"/>
    <w:rsid w:val="00A625C2"/>
    <w:rsid w:val="00A6357D"/>
    <w:rsid w:val="00A63821"/>
    <w:rsid w:val="00A638FE"/>
    <w:rsid w:val="00A64117"/>
    <w:rsid w:val="00A64364"/>
    <w:rsid w:val="00A64632"/>
    <w:rsid w:val="00A64F5F"/>
    <w:rsid w:val="00A65642"/>
    <w:rsid w:val="00A661A3"/>
    <w:rsid w:val="00A6652F"/>
    <w:rsid w:val="00A674E1"/>
    <w:rsid w:val="00A67781"/>
    <w:rsid w:val="00A67C7F"/>
    <w:rsid w:val="00A67D0B"/>
    <w:rsid w:val="00A67FB3"/>
    <w:rsid w:val="00A700FD"/>
    <w:rsid w:val="00A704BA"/>
    <w:rsid w:val="00A71970"/>
    <w:rsid w:val="00A73454"/>
    <w:rsid w:val="00A7382B"/>
    <w:rsid w:val="00A73E68"/>
    <w:rsid w:val="00A74492"/>
    <w:rsid w:val="00A74C71"/>
    <w:rsid w:val="00A75901"/>
    <w:rsid w:val="00A75C55"/>
    <w:rsid w:val="00A7664B"/>
    <w:rsid w:val="00A775CB"/>
    <w:rsid w:val="00A77B93"/>
    <w:rsid w:val="00A77D4E"/>
    <w:rsid w:val="00A82EE7"/>
    <w:rsid w:val="00A8372D"/>
    <w:rsid w:val="00A83854"/>
    <w:rsid w:val="00A83FFF"/>
    <w:rsid w:val="00A84297"/>
    <w:rsid w:val="00A84846"/>
    <w:rsid w:val="00A8504A"/>
    <w:rsid w:val="00A8551A"/>
    <w:rsid w:val="00A85CEE"/>
    <w:rsid w:val="00A85D25"/>
    <w:rsid w:val="00A86895"/>
    <w:rsid w:val="00A8767F"/>
    <w:rsid w:val="00A8775C"/>
    <w:rsid w:val="00A87949"/>
    <w:rsid w:val="00A90986"/>
    <w:rsid w:val="00A93A0C"/>
    <w:rsid w:val="00A94944"/>
    <w:rsid w:val="00A94B13"/>
    <w:rsid w:val="00A94C24"/>
    <w:rsid w:val="00A94DBA"/>
    <w:rsid w:val="00A94FDC"/>
    <w:rsid w:val="00A9569D"/>
    <w:rsid w:val="00A956C2"/>
    <w:rsid w:val="00A96076"/>
    <w:rsid w:val="00A961E1"/>
    <w:rsid w:val="00A96406"/>
    <w:rsid w:val="00A9655B"/>
    <w:rsid w:val="00A97CAB"/>
    <w:rsid w:val="00AA0C40"/>
    <w:rsid w:val="00AA100F"/>
    <w:rsid w:val="00AA10C3"/>
    <w:rsid w:val="00AA12C7"/>
    <w:rsid w:val="00AA1341"/>
    <w:rsid w:val="00AA320D"/>
    <w:rsid w:val="00AA3C07"/>
    <w:rsid w:val="00AA4387"/>
    <w:rsid w:val="00AA4FC0"/>
    <w:rsid w:val="00AA52E8"/>
    <w:rsid w:val="00AA585D"/>
    <w:rsid w:val="00AA5B82"/>
    <w:rsid w:val="00AA5C6F"/>
    <w:rsid w:val="00AA5DAF"/>
    <w:rsid w:val="00AA64F9"/>
    <w:rsid w:val="00AA6668"/>
    <w:rsid w:val="00AA6E4F"/>
    <w:rsid w:val="00AA710B"/>
    <w:rsid w:val="00AA75EF"/>
    <w:rsid w:val="00AA7E93"/>
    <w:rsid w:val="00AB0D03"/>
    <w:rsid w:val="00AB0EC0"/>
    <w:rsid w:val="00AB178C"/>
    <w:rsid w:val="00AB21C1"/>
    <w:rsid w:val="00AB23C6"/>
    <w:rsid w:val="00AB2834"/>
    <w:rsid w:val="00AB2A95"/>
    <w:rsid w:val="00AB3B77"/>
    <w:rsid w:val="00AB3D78"/>
    <w:rsid w:val="00AB49C9"/>
    <w:rsid w:val="00AB5085"/>
    <w:rsid w:val="00AB5CDF"/>
    <w:rsid w:val="00AB6A21"/>
    <w:rsid w:val="00AB723D"/>
    <w:rsid w:val="00AB7DC1"/>
    <w:rsid w:val="00AC06EF"/>
    <w:rsid w:val="00AC10ED"/>
    <w:rsid w:val="00AC1F78"/>
    <w:rsid w:val="00AC2441"/>
    <w:rsid w:val="00AC28B8"/>
    <w:rsid w:val="00AC296E"/>
    <w:rsid w:val="00AC2C48"/>
    <w:rsid w:val="00AC38B6"/>
    <w:rsid w:val="00AC3A12"/>
    <w:rsid w:val="00AC4324"/>
    <w:rsid w:val="00AC56AC"/>
    <w:rsid w:val="00AC5FB5"/>
    <w:rsid w:val="00AC6A6A"/>
    <w:rsid w:val="00AC6D52"/>
    <w:rsid w:val="00AC6E0A"/>
    <w:rsid w:val="00AC6E4F"/>
    <w:rsid w:val="00AC6F14"/>
    <w:rsid w:val="00AC7020"/>
    <w:rsid w:val="00AC7B6F"/>
    <w:rsid w:val="00AD02D8"/>
    <w:rsid w:val="00AD02E0"/>
    <w:rsid w:val="00AD0B24"/>
    <w:rsid w:val="00AD158C"/>
    <w:rsid w:val="00AD1707"/>
    <w:rsid w:val="00AD22F8"/>
    <w:rsid w:val="00AD2C70"/>
    <w:rsid w:val="00AD505F"/>
    <w:rsid w:val="00AD5280"/>
    <w:rsid w:val="00AD5B6B"/>
    <w:rsid w:val="00AD644F"/>
    <w:rsid w:val="00AD6DE6"/>
    <w:rsid w:val="00AD7025"/>
    <w:rsid w:val="00AD717F"/>
    <w:rsid w:val="00AE08C3"/>
    <w:rsid w:val="00AE08E5"/>
    <w:rsid w:val="00AE0ED9"/>
    <w:rsid w:val="00AE2877"/>
    <w:rsid w:val="00AE2896"/>
    <w:rsid w:val="00AE2ABD"/>
    <w:rsid w:val="00AE2CB7"/>
    <w:rsid w:val="00AE2D11"/>
    <w:rsid w:val="00AE3845"/>
    <w:rsid w:val="00AE3967"/>
    <w:rsid w:val="00AE5247"/>
    <w:rsid w:val="00AE6595"/>
    <w:rsid w:val="00AE69A3"/>
    <w:rsid w:val="00AF00F8"/>
    <w:rsid w:val="00AF0259"/>
    <w:rsid w:val="00AF0921"/>
    <w:rsid w:val="00AF0BE5"/>
    <w:rsid w:val="00AF23F4"/>
    <w:rsid w:val="00AF2760"/>
    <w:rsid w:val="00AF3363"/>
    <w:rsid w:val="00AF3C7F"/>
    <w:rsid w:val="00AF3CA7"/>
    <w:rsid w:val="00AF5408"/>
    <w:rsid w:val="00AF56EE"/>
    <w:rsid w:val="00AF5BEC"/>
    <w:rsid w:val="00AF5E1C"/>
    <w:rsid w:val="00AF679D"/>
    <w:rsid w:val="00AF6FA2"/>
    <w:rsid w:val="00AF6FBE"/>
    <w:rsid w:val="00AF74B8"/>
    <w:rsid w:val="00AF7C5E"/>
    <w:rsid w:val="00B00657"/>
    <w:rsid w:val="00B01E10"/>
    <w:rsid w:val="00B02475"/>
    <w:rsid w:val="00B0256B"/>
    <w:rsid w:val="00B03113"/>
    <w:rsid w:val="00B03B73"/>
    <w:rsid w:val="00B03E34"/>
    <w:rsid w:val="00B044D2"/>
    <w:rsid w:val="00B047EA"/>
    <w:rsid w:val="00B056C8"/>
    <w:rsid w:val="00B05A2E"/>
    <w:rsid w:val="00B065B9"/>
    <w:rsid w:val="00B065DC"/>
    <w:rsid w:val="00B06F00"/>
    <w:rsid w:val="00B07483"/>
    <w:rsid w:val="00B074B4"/>
    <w:rsid w:val="00B074CA"/>
    <w:rsid w:val="00B07B61"/>
    <w:rsid w:val="00B07B9D"/>
    <w:rsid w:val="00B07CC2"/>
    <w:rsid w:val="00B106C8"/>
    <w:rsid w:val="00B108E9"/>
    <w:rsid w:val="00B1145A"/>
    <w:rsid w:val="00B11D16"/>
    <w:rsid w:val="00B123F9"/>
    <w:rsid w:val="00B12A4D"/>
    <w:rsid w:val="00B13121"/>
    <w:rsid w:val="00B13253"/>
    <w:rsid w:val="00B13501"/>
    <w:rsid w:val="00B139EA"/>
    <w:rsid w:val="00B14144"/>
    <w:rsid w:val="00B146A6"/>
    <w:rsid w:val="00B14A6E"/>
    <w:rsid w:val="00B14B8F"/>
    <w:rsid w:val="00B15F04"/>
    <w:rsid w:val="00B17530"/>
    <w:rsid w:val="00B20DE7"/>
    <w:rsid w:val="00B21B1A"/>
    <w:rsid w:val="00B225BC"/>
    <w:rsid w:val="00B23496"/>
    <w:rsid w:val="00B23DBE"/>
    <w:rsid w:val="00B248C9"/>
    <w:rsid w:val="00B2495D"/>
    <w:rsid w:val="00B25006"/>
    <w:rsid w:val="00B25316"/>
    <w:rsid w:val="00B25B7C"/>
    <w:rsid w:val="00B261BE"/>
    <w:rsid w:val="00B26245"/>
    <w:rsid w:val="00B26601"/>
    <w:rsid w:val="00B2777C"/>
    <w:rsid w:val="00B27ABB"/>
    <w:rsid w:val="00B27AE2"/>
    <w:rsid w:val="00B3030F"/>
    <w:rsid w:val="00B309D1"/>
    <w:rsid w:val="00B31B8F"/>
    <w:rsid w:val="00B31DB2"/>
    <w:rsid w:val="00B33AB1"/>
    <w:rsid w:val="00B34403"/>
    <w:rsid w:val="00B3484E"/>
    <w:rsid w:val="00B353D1"/>
    <w:rsid w:val="00B35776"/>
    <w:rsid w:val="00B35873"/>
    <w:rsid w:val="00B35A0C"/>
    <w:rsid w:val="00B35A36"/>
    <w:rsid w:val="00B36169"/>
    <w:rsid w:val="00B36C30"/>
    <w:rsid w:val="00B36E16"/>
    <w:rsid w:val="00B37B0F"/>
    <w:rsid w:val="00B40757"/>
    <w:rsid w:val="00B41B11"/>
    <w:rsid w:val="00B42711"/>
    <w:rsid w:val="00B42904"/>
    <w:rsid w:val="00B42E16"/>
    <w:rsid w:val="00B4353B"/>
    <w:rsid w:val="00B44C7D"/>
    <w:rsid w:val="00B44FAE"/>
    <w:rsid w:val="00B45203"/>
    <w:rsid w:val="00B45ED3"/>
    <w:rsid w:val="00B45F49"/>
    <w:rsid w:val="00B45F93"/>
    <w:rsid w:val="00B473D3"/>
    <w:rsid w:val="00B474F3"/>
    <w:rsid w:val="00B477CE"/>
    <w:rsid w:val="00B505C2"/>
    <w:rsid w:val="00B50799"/>
    <w:rsid w:val="00B50AD3"/>
    <w:rsid w:val="00B51240"/>
    <w:rsid w:val="00B51D28"/>
    <w:rsid w:val="00B51EC7"/>
    <w:rsid w:val="00B51F55"/>
    <w:rsid w:val="00B5203B"/>
    <w:rsid w:val="00B521D5"/>
    <w:rsid w:val="00B522F2"/>
    <w:rsid w:val="00B524E5"/>
    <w:rsid w:val="00B53009"/>
    <w:rsid w:val="00B54071"/>
    <w:rsid w:val="00B5470D"/>
    <w:rsid w:val="00B5550D"/>
    <w:rsid w:val="00B555EF"/>
    <w:rsid w:val="00B556A9"/>
    <w:rsid w:val="00B556E8"/>
    <w:rsid w:val="00B55949"/>
    <w:rsid w:val="00B56501"/>
    <w:rsid w:val="00B56652"/>
    <w:rsid w:val="00B574A6"/>
    <w:rsid w:val="00B57C0F"/>
    <w:rsid w:val="00B613B1"/>
    <w:rsid w:val="00B61992"/>
    <w:rsid w:val="00B63064"/>
    <w:rsid w:val="00B63B5D"/>
    <w:rsid w:val="00B63E87"/>
    <w:rsid w:val="00B6535A"/>
    <w:rsid w:val="00B65D0C"/>
    <w:rsid w:val="00B66097"/>
    <w:rsid w:val="00B664AE"/>
    <w:rsid w:val="00B664B5"/>
    <w:rsid w:val="00B66551"/>
    <w:rsid w:val="00B67125"/>
    <w:rsid w:val="00B70110"/>
    <w:rsid w:val="00B70983"/>
    <w:rsid w:val="00B70A43"/>
    <w:rsid w:val="00B70BBA"/>
    <w:rsid w:val="00B71604"/>
    <w:rsid w:val="00B71DBF"/>
    <w:rsid w:val="00B71F5D"/>
    <w:rsid w:val="00B72A09"/>
    <w:rsid w:val="00B72ACA"/>
    <w:rsid w:val="00B73A48"/>
    <w:rsid w:val="00B756E4"/>
    <w:rsid w:val="00B76901"/>
    <w:rsid w:val="00B76D02"/>
    <w:rsid w:val="00B77834"/>
    <w:rsid w:val="00B80188"/>
    <w:rsid w:val="00B80890"/>
    <w:rsid w:val="00B817C4"/>
    <w:rsid w:val="00B81A95"/>
    <w:rsid w:val="00B81D2F"/>
    <w:rsid w:val="00B82051"/>
    <w:rsid w:val="00B820C1"/>
    <w:rsid w:val="00B8260C"/>
    <w:rsid w:val="00B833FD"/>
    <w:rsid w:val="00B83E77"/>
    <w:rsid w:val="00B842F3"/>
    <w:rsid w:val="00B85C8C"/>
    <w:rsid w:val="00B86AD8"/>
    <w:rsid w:val="00B87AEA"/>
    <w:rsid w:val="00B87B0A"/>
    <w:rsid w:val="00B87F1C"/>
    <w:rsid w:val="00B905F1"/>
    <w:rsid w:val="00B9132A"/>
    <w:rsid w:val="00B916DA"/>
    <w:rsid w:val="00B91D9E"/>
    <w:rsid w:val="00B92881"/>
    <w:rsid w:val="00B93476"/>
    <w:rsid w:val="00B936E7"/>
    <w:rsid w:val="00B9429A"/>
    <w:rsid w:val="00B95599"/>
    <w:rsid w:val="00B96033"/>
    <w:rsid w:val="00B963FA"/>
    <w:rsid w:val="00B97555"/>
    <w:rsid w:val="00B976D5"/>
    <w:rsid w:val="00B97A33"/>
    <w:rsid w:val="00BA0E79"/>
    <w:rsid w:val="00BA144C"/>
    <w:rsid w:val="00BA1751"/>
    <w:rsid w:val="00BA2BB9"/>
    <w:rsid w:val="00BA342B"/>
    <w:rsid w:val="00BA38DC"/>
    <w:rsid w:val="00BA3D51"/>
    <w:rsid w:val="00BA473B"/>
    <w:rsid w:val="00BA4968"/>
    <w:rsid w:val="00BA6070"/>
    <w:rsid w:val="00BA6832"/>
    <w:rsid w:val="00BA6A07"/>
    <w:rsid w:val="00BA6ED8"/>
    <w:rsid w:val="00BA7511"/>
    <w:rsid w:val="00BB0186"/>
    <w:rsid w:val="00BB078C"/>
    <w:rsid w:val="00BB2222"/>
    <w:rsid w:val="00BB3586"/>
    <w:rsid w:val="00BB4D1C"/>
    <w:rsid w:val="00BB4DD2"/>
    <w:rsid w:val="00BB5197"/>
    <w:rsid w:val="00BB5835"/>
    <w:rsid w:val="00BB735A"/>
    <w:rsid w:val="00BB7CD5"/>
    <w:rsid w:val="00BC0418"/>
    <w:rsid w:val="00BC0AAB"/>
    <w:rsid w:val="00BC0D33"/>
    <w:rsid w:val="00BC112A"/>
    <w:rsid w:val="00BC17C5"/>
    <w:rsid w:val="00BC1D24"/>
    <w:rsid w:val="00BC2011"/>
    <w:rsid w:val="00BC20E7"/>
    <w:rsid w:val="00BC2288"/>
    <w:rsid w:val="00BC2DEC"/>
    <w:rsid w:val="00BC3975"/>
    <w:rsid w:val="00BC3B27"/>
    <w:rsid w:val="00BC3CF9"/>
    <w:rsid w:val="00BC42E5"/>
    <w:rsid w:val="00BC4491"/>
    <w:rsid w:val="00BC4639"/>
    <w:rsid w:val="00BC4DE8"/>
    <w:rsid w:val="00BC5A4F"/>
    <w:rsid w:val="00BC5D25"/>
    <w:rsid w:val="00BC5E41"/>
    <w:rsid w:val="00BC61AC"/>
    <w:rsid w:val="00BC6B46"/>
    <w:rsid w:val="00BC7291"/>
    <w:rsid w:val="00BC7DC1"/>
    <w:rsid w:val="00BD08C6"/>
    <w:rsid w:val="00BD1BA4"/>
    <w:rsid w:val="00BD23EB"/>
    <w:rsid w:val="00BD2A99"/>
    <w:rsid w:val="00BD3888"/>
    <w:rsid w:val="00BD438D"/>
    <w:rsid w:val="00BD4418"/>
    <w:rsid w:val="00BD49D6"/>
    <w:rsid w:val="00BD5108"/>
    <w:rsid w:val="00BD5837"/>
    <w:rsid w:val="00BD6191"/>
    <w:rsid w:val="00BD6209"/>
    <w:rsid w:val="00BD6465"/>
    <w:rsid w:val="00BD659E"/>
    <w:rsid w:val="00BD6F00"/>
    <w:rsid w:val="00BD75D6"/>
    <w:rsid w:val="00BD7951"/>
    <w:rsid w:val="00BD7FF0"/>
    <w:rsid w:val="00BE083E"/>
    <w:rsid w:val="00BE0919"/>
    <w:rsid w:val="00BE0E49"/>
    <w:rsid w:val="00BE12E9"/>
    <w:rsid w:val="00BE174C"/>
    <w:rsid w:val="00BE2197"/>
    <w:rsid w:val="00BE24F7"/>
    <w:rsid w:val="00BE2C70"/>
    <w:rsid w:val="00BE2F15"/>
    <w:rsid w:val="00BE2FC9"/>
    <w:rsid w:val="00BE2FD4"/>
    <w:rsid w:val="00BE3219"/>
    <w:rsid w:val="00BE43BE"/>
    <w:rsid w:val="00BE4E07"/>
    <w:rsid w:val="00BE4E46"/>
    <w:rsid w:val="00BE52D0"/>
    <w:rsid w:val="00BE5718"/>
    <w:rsid w:val="00BE5B7B"/>
    <w:rsid w:val="00BE6358"/>
    <w:rsid w:val="00BE6B33"/>
    <w:rsid w:val="00BE6C01"/>
    <w:rsid w:val="00BE74D7"/>
    <w:rsid w:val="00BF04A8"/>
    <w:rsid w:val="00BF078F"/>
    <w:rsid w:val="00BF125E"/>
    <w:rsid w:val="00BF1717"/>
    <w:rsid w:val="00BF205E"/>
    <w:rsid w:val="00BF2405"/>
    <w:rsid w:val="00BF2428"/>
    <w:rsid w:val="00BF2495"/>
    <w:rsid w:val="00BF3046"/>
    <w:rsid w:val="00BF38AE"/>
    <w:rsid w:val="00BF38CB"/>
    <w:rsid w:val="00BF3E00"/>
    <w:rsid w:val="00BF503C"/>
    <w:rsid w:val="00BF5A08"/>
    <w:rsid w:val="00BF5C97"/>
    <w:rsid w:val="00BF5D32"/>
    <w:rsid w:val="00BF658F"/>
    <w:rsid w:val="00BF6767"/>
    <w:rsid w:val="00BF6F1F"/>
    <w:rsid w:val="00BF7120"/>
    <w:rsid w:val="00BF744E"/>
    <w:rsid w:val="00BF7864"/>
    <w:rsid w:val="00C00D73"/>
    <w:rsid w:val="00C00E4A"/>
    <w:rsid w:val="00C01608"/>
    <w:rsid w:val="00C0214D"/>
    <w:rsid w:val="00C02198"/>
    <w:rsid w:val="00C021EE"/>
    <w:rsid w:val="00C02A6D"/>
    <w:rsid w:val="00C03611"/>
    <w:rsid w:val="00C047B2"/>
    <w:rsid w:val="00C04BF4"/>
    <w:rsid w:val="00C05825"/>
    <w:rsid w:val="00C05DF4"/>
    <w:rsid w:val="00C06145"/>
    <w:rsid w:val="00C06328"/>
    <w:rsid w:val="00C06736"/>
    <w:rsid w:val="00C070AE"/>
    <w:rsid w:val="00C1076A"/>
    <w:rsid w:val="00C10CE1"/>
    <w:rsid w:val="00C12E1E"/>
    <w:rsid w:val="00C12FBF"/>
    <w:rsid w:val="00C133C6"/>
    <w:rsid w:val="00C13774"/>
    <w:rsid w:val="00C138FB"/>
    <w:rsid w:val="00C13C20"/>
    <w:rsid w:val="00C13C72"/>
    <w:rsid w:val="00C13D0E"/>
    <w:rsid w:val="00C14315"/>
    <w:rsid w:val="00C1487B"/>
    <w:rsid w:val="00C148D6"/>
    <w:rsid w:val="00C15D32"/>
    <w:rsid w:val="00C16385"/>
    <w:rsid w:val="00C16B13"/>
    <w:rsid w:val="00C16D80"/>
    <w:rsid w:val="00C17050"/>
    <w:rsid w:val="00C17611"/>
    <w:rsid w:val="00C20B9C"/>
    <w:rsid w:val="00C2276E"/>
    <w:rsid w:val="00C2314F"/>
    <w:rsid w:val="00C237B9"/>
    <w:rsid w:val="00C238B6"/>
    <w:rsid w:val="00C239CB"/>
    <w:rsid w:val="00C23C3B"/>
    <w:rsid w:val="00C244E1"/>
    <w:rsid w:val="00C250B8"/>
    <w:rsid w:val="00C252C6"/>
    <w:rsid w:val="00C258BF"/>
    <w:rsid w:val="00C25CF0"/>
    <w:rsid w:val="00C25D22"/>
    <w:rsid w:val="00C2728A"/>
    <w:rsid w:val="00C2738C"/>
    <w:rsid w:val="00C27635"/>
    <w:rsid w:val="00C27CB0"/>
    <w:rsid w:val="00C27FA0"/>
    <w:rsid w:val="00C30102"/>
    <w:rsid w:val="00C3133E"/>
    <w:rsid w:val="00C31861"/>
    <w:rsid w:val="00C32D26"/>
    <w:rsid w:val="00C3372B"/>
    <w:rsid w:val="00C344D1"/>
    <w:rsid w:val="00C34615"/>
    <w:rsid w:val="00C35392"/>
    <w:rsid w:val="00C358BB"/>
    <w:rsid w:val="00C368B2"/>
    <w:rsid w:val="00C36D3B"/>
    <w:rsid w:val="00C36FA3"/>
    <w:rsid w:val="00C36FF2"/>
    <w:rsid w:val="00C372B4"/>
    <w:rsid w:val="00C37324"/>
    <w:rsid w:val="00C37AE3"/>
    <w:rsid w:val="00C37F90"/>
    <w:rsid w:val="00C40665"/>
    <w:rsid w:val="00C406EC"/>
    <w:rsid w:val="00C409B3"/>
    <w:rsid w:val="00C41D5A"/>
    <w:rsid w:val="00C421FE"/>
    <w:rsid w:val="00C429E9"/>
    <w:rsid w:val="00C42F3D"/>
    <w:rsid w:val="00C4316F"/>
    <w:rsid w:val="00C4375C"/>
    <w:rsid w:val="00C43BCE"/>
    <w:rsid w:val="00C45033"/>
    <w:rsid w:val="00C45734"/>
    <w:rsid w:val="00C45D15"/>
    <w:rsid w:val="00C45E96"/>
    <w:rsid w:val="00C46961"/>
    <w:rsid w:val="00C470AA"/>
    <w:rsid w:val="00C475BE"/>
    <w:rsid w:val="00C503D7"/>
    <w:rsid w:val="00C51602"/>
    <w:rsid w:val="00C51F5C"/>
    <w:rsid w:val="00C52312"/>
    <w:rsid w:val="00C525D0"/>
    <w:rsid w:val="00C52CBD"/>
    <w:rsid w:val="00C530C2"/>
    <w:rsid w:val="00C53415"/>
    <w:rsid w:val="00C535AA"/>
    <w:rsid w:val="00C536E7"/>
    <w:rsid w:val="00C53750"/>
    <w:rsid w:val="00C53C58"/>
    <w:rsid w:val="00C541D2"/>
    <w:rsid w:val="00C54977"/>
    <w:rsid w:val="00C551D6"/>
    <w:rsid w:val="00C558BE"/>
    <w:rsid w:val="00C55D42"/>
    <w:rsid w:val="00C56123"/>
    <w:rsid w:val="00C5619A"/>
    <w:rsid w:val="00C5635B"/>
    <w:rsid w:val="00C564A2"/>
    <w:rsid w:val="00C575EA"/>
    <w:rsid w:val="00C577A3"/>
    <w:rsid w:val="00C577C4"/>
    <w:rsid w:val="00C57CBD"/>
    <w:rsid w:val="00C61650"/>
    <w:rsid w:val="00C61E2F"/>
    <w:rsid w:val="00C61F21"/>
    <w:rsid w:val="00C6219A"/>
    <w:rsid w:val="00C6275F"/>
    <w:rsid w:val="00C62AEC"/>
    <w:rsid w:val="00C62D29"/>
    <w:rsid w:val="00C639BE"/>
    <w:rsid w:val="00C6508D"/>
    <w:rsid w:val="00C655D4"/>
    <w:rsid w:val="00C65949"/>
    <w:rsid w:val="00C66ED5"/>
    <w:rsid w:val="00C678FE"/>
    <w:rsid w:val="00C702D0"/>
    <w:rsid w:val="00C705A4"/>
    <w:rsid w:val="00C72E2B"/>
    <w:rsid w:val="00C7387D"/>
    <w:rsid w:val="00C73A2E"/>
    <w:rsid w:val="00C73A4C"/>
    <w:rsid w:val="00C73C9B"/>
    <w:rsid w:val="00C73DD4"/>
    <w:rsid w:val="00C74C09"/>
    <w:rsid w:val="00C7524F"/>
    <w:rsid w:val="00C755D9"/>
    <w:rsid w:val="00C75ED8"/>
    <w:rsid w:val="00C766D6"/>
    <w:rsid w:val="00C80B52"/>
    <w:rsid w:val="00C80CAE"/>
    <w:rsid w:val="00C8146D"/>
    <w:rsid w:val="00C81E91"/>
    <w:rsid w:val="00C81FCF"/>
    <w:rsid w:val="00C826DF"/>
    <w:rsid w:val="00C83C15"/>
    <w:rsid w:val="00C840B8"/>
    <w:rsid w:val="00C846A1"/>
    <w:rsid w:val="00C850BC"/>
    <w:rsid w:val="00C85EE5"/>
    <w:rsid w:val="00C86ABC"/>
    <w:rsid w:val="00C8742B"/>
    <w:rsid w:val="00C874E7"/>
    <w:rsid w:val="00C877E9"/>
    <w:rsid w:val="00C87DD3"/>
    <w:rsid w:val="00C90078"/>
    <w:rsid w:val="00C913AB"/>
    <w:rsid w:val="00C91DC8"/>
    <w:rsid w:val="00C93AAE"/>
    <w:rsid w:val="00C93BF0"/>
    <w:rsid w:val="00C94227"/>
    <w:rsid w:val="00C94E3B"/>
    <w:rsid w:val="00C95607"/>
    <w:rsid w:val="00C966B6"/>
    <w:rsid w:val="00C9773F"/>
    <w:rsid w:val="00CA11FD"/>
    <w:rsid w:val="00CA16E0"/>
    <w:rsid w:val="00CA1B78"/>
    <w:rsid w:val="00CA267A"/>
    <w:rsid w:val="00CA3152"/>
    <w:rsid w:val="00CA449B"/>
    <w:rsid w:val="00CA4E8E"/>
    <w:rsid w:val="00CA62E1"/>
    <w:rsid w:val="00CA695A"/>
    <w:rsid w:val="00CA6A70"/>
    <w:rsid w:val="00CA6E72"/>
    <w:rsid w:val="00CB084C"/>
    <w:rsid w:val="00CB09D5"/>
    <w:rsid w:val="00CB0F81"/>
    <w:rsid w:val="00CB1213"/>
    <w:rsid w:val="00CB1223"/>
    <w:rsid w:val="00CB14C4"/>
    <w:rsid w:val="00CB1C16"/>
    <w:rsid w:val="00CB1D93"/>
    <w:rsid w:val="00CB1F8E"/>
    <w:rsid w:val="00CB2B6F"/>
    <w:rsid w:val="00CB3477"/>
    <w:rsid w:val="00CB36E6"/>
    <w:rsid w:val="00CB45A2"/>
    <w:rsid w:val="00CB53C0"/>
    <w:rsid w:val="00CB59C5"/>
    <w:rsid w:val="00CB6023"/>
    <w:rsid w:val="00CB607D"/>
    <w:rsid w:val="00CB6520"/>
    <w:rsid w:val="00CB6661"/>
    <w:rsid w:val="00CB6748"/>
    <w:rsid w:val="00CB6B97"/>
    <w:rsid w:val="00CB7905"/>
    <w:rsid w:val="00CB7A5D"/>
    <w:rsid w:val="00CB7C24"/>
    <w:rsid w:val="00CB7DA2"/>
    <w:rsid w:val="00CC0221"/>
    <w:rsid w:val="00CC043F"/>
    <w:rsid w:val="00CC0686"/>
    <w:rsid w:val="00CC20FD"/>
    <w:rsid w:val="00CC2CE7"/>
    <w:rsid w:val="00CC338D"/>
    <w:rsid w:val="00CC3A84"/>
    <w:rsid w:val="00CC4002"/>
    <w:rsid w:val="00CC4F3C"/>
    <w:rsid w:val="00CC5891"/>
    <w:rsid w:val="00CC5CA6"/>
    <w:rsid w:val="00CC738A"/>
    <w:rsid w:val="00CC763C"/>
    <w:rsid w:val="00CC7C86"/>
    <w:rsid w:val="00CD04D2"/>
    <w:rsid w:val="00CD19D0"/>
    <w:rsid w:val="00CD222C"/>
    <w:rsid w:val="00CD357F"/>
    <w:rsid w:val="00CD3A52"/>
    <w:rsid w:val="00CD3BA4"/>
    <w:rsid w:val="00CD3C6B"/>
    <w:rsid w:val="00CD505A"/>
    <w:rsid w:val="00CD5655"/>
    <w:rsid w:val="00CD56AC"/>
    <w:rsid w:val="00CD56E2"/>
    <w:rsid w:val="00CD5837"/>
    <w:rsid w:val="00CD5A52"/>
    <w:rsid w:val="00CD5EC6"/>
    <w:rsid w:val="00CD6198"/>
    <w:rsid w:val="00CD6C48"/>
    <w:rsid w:val="00CD7D47"/>
    <w:rsid w:val="00CD7D4A"/>
    <w:rsid w:val="00CE00E2"/>
    <w:rsid w:val="00CE0344"/>
    <w:rsid w:val="00CE197D"/>
    <w:rsid w:val="00CE2483"/>
    <w:rsid w:val="00CE2F86"/>
    <w:rsid w:val="00CE3311"/>
    <w:rsid w:val="00CE3403"/>
    <w:rsid w:val="00CE3418"/>
    <w:rsid w:val="00CE415D"/>
    <w:rsid w:val="00CE4441"/>
    <w:rsid w:val="00CE4A1B"/>
    <w:rsid w:val="00CE54CA"/>
    <w:rsid w:val="00CE580A"/>
    <w:rsid w:val="00CE5B2F"/>
    <w:rsid w:val="00CE5CEF"/>
    <w:rsid w:val="00CE6075"/>
    <w:rsid w:val="00CE62E8"/>
    <w:rsid w:val="00CE724F"/>
    <w:rsid w:val="00CE7CE6"/>
    <w:rsid w:val="00CF02B7"/>
    <w:rsid w:val="00CF16E7"/>
    <w:rsid w:val="00CF18E4"/>
    <w:rsid w:val="00CF1B99"/>
    <w:rsid w:val="00CF26E2"/>
    <w:rsid w:val="00CF3087"/>
    <w:rsid w:val="00CF3144"/>
    <w:rsid w:val="00CF31E7"/>
    <w:rsid w:val="00CF4225"/>
    <w:rsid w:val="00CF427C"/>
    <w:rsid w:val="00CF4356"/>
    <w:rsid w:val="00CF48B1"/>
    <w:rsid w:val="00CF48B5"/>
    <w:rsid w:val="00CF4E2C"/>
    <w:rsid w:val="00CF5294"/>
    <w:rsid w:val="00CF5909"/>
    <w:rsid w:val="00CF72EE"/>
    <w:rsid w:val="00D0066A"/>
    <w:rsid w:val="00D01622"/>
    <w:rsid w:val="00D01AB3"/>
    <w:rsid w:val="00D01C02"/>
    <w:rsid w:val="00D0291D"/>
    <w:rsid w:val="00D02A28"/>
    <w:rsid w:val="00D03024"/>
    <w:rsid w:val="00D03458"/>
    <w:rsid w:val="00D041D4"/>
    <w:rsid w:val="00D04D07"/>
    <w:rsid w:val="00D050C8"/>
    <w:rsid w:val="00D051BC"/>
    <w:rsid w:val="00D05CA5"/>
    <w:rsid w:val="00D061E5"/>
    <w:rsid w:val="00D06750"/>
    <w:rsid w:val="00D073D7"/>
    <w:rsid w:val="00D07F59"/>
    <w:rsid w:val="00D100CD"/>
    <w:rsid w:val="00D10170"/>
    <w:rsid w:val="00D117F0"/>
    <w:rsid w:val="00D144E8"/>
    <w:rsid w:val="00D1474C"/>
    <w:rsid w:val="00D148B5"/>
    <w:rsid w:val="00D14CA3"/>
    <w:rsid w:val="00D151F1"/>
    <w:rsid w:val="00D15267"/>
    <w:rsid w:val="00D15B11"/>
    <w:rsid w:val="00D15C84"/>
    <w:rsid w:val="00D1645F"/>
    <w:rsid w:val="00D165C3"/>
    <w:rsid w:val="00D167CA"/>
    <w:rsid w:val="00D1754E"/>
    <w:rsid w:val="00D17574"/>
    <w:rsid w:val="00D17907"/>
    <w:rsid w:val="00D17AC9"/>
    <w:rsid w:val="00D17BFB"/>
    <w:rsid w:val="00D206A4"/>
    <w:rsid w:val="00D20B9C"/>
    <w:rsid w:val="00D20EDB"/>
    <w:rsid w:val="00D2130C"/>
    <w:rsid w:val="00D21EAA"/>
    <w:rsid w:val="00D21F16"/>
    <w:rsid w:val="00D22091"/>
    <w:rsid w:val="00D22B95"/>
    <w:rsid w:val="00D23894"/>
    <w:rsid w:val="00D2404E"/>
    <w:rsid w:val="00D24FFE"/>
    <w:rsid w:val="00D25ACE"/>
    <w:rsid w:val="00D25EBA"/>
    <w:rsid w:val="00D26393"/>
    <w:rsid w:val="00D267AD"/>
    <w:rsid w:val="00D27593"/>
    <w:rsid w:val="00D30935"/>
    <w:rsid w:val="00D30C3C"/>
    <w:rsid w:val="00D311F3"/>
    <w:rsid w:val="00D321F1"/>
    <w:rsid w:val="00D3231D"/>
    <w:rsid w:val="00D32667"/>
    <w:rsid w:val="00D33DA6"/>
    <w:rsid w:val="00D3454D"/>
    <w:rsid w:val="00D345BF"/>
    <w:rsid w:val="00D3465B"/>
    <w:rsid w:val="00D35BAB"/>
    <w:rsid w:val="00D362B9"/>
    <w:rsid w:val="00D369CA"/>
    <w:rsid w:val="00D36FB8"/>
    <w:rsid w:val="00D36FD4"/>
    <w:rsid w:val="00D3752D"/>
    <w:rsid w:val="00D400E4"/>
    <w:rsid w:val="00D4010D"/>
    <w:rsid w:val="00D41642"/>
    <w:rsid w:val="00D41E3B"/>
    <w:rsid w:val="00D41F86"/>
    <w:rsid w:val="00D4253E"/>
    <w:rsid w:val="00D42D32"/>
    <w:rsid w:val="00D42E3D"/>
    <w:rsid w:val="00D43B09"/>
    <w:rsid w:val="00D43DE2"/>
    <w:rsid w:val="00D440CF"/>
    <w:rsid w:val="00D451AE"/>
    <w:rsid w:val="00D45D57"/>
    <w:rsid w:val="00D4646D"/>
    <w:rsid w:val="00D467BF"/>
    <w:rsid w:val="00D47ECF"/>
    <w:rsid w:val="00D50472"/>
    <w:rsid w:val="00D504D5"/>
    <w:rsid w:val="00D50670"/>
    <w:rsid w:val="00D50B7C"/>
    <w:rsid w:val="00D51002"/>
    <w:rsid w:val="00D52E61"/>
    <w:rsid w:val="00D5311C"/>
    <w:rsid w:val="00D53A21"/>
    <w:rsid w:val="00D53DDC"/>
    <w:rsid w:val="00D540FB"/>
    <w:rsid w:val="00D55429"/>
    <w:rsid w:val="00D55724"/>
    <w:rsid w:val="00D55739"/>
    <w:rsid w:val="00D55E20"/>
    <w:rsid w:val="00D55FBC"/>
    <w:rsid w:val="00D5656E"/>
    <w:rsid w:val="00D5725F"/>
    <w:rsid w:val="00D575BF"/>
    <w:rsid w:val="00D61178"/>
    <w:rsid w:val="00D61562"/>
    <w:rsid w:val="00D61957"/>
    <w:rsid w:val="00D62247"/>
    <w:rsid w:val="00D6346D"/>
    <w:rsid w:val="00D648C3"/>
    <w:rsid w:val="00D64B7C"/>
    <w:rsid w:val="00D6576C"/>
    <w:rsid w:val="00D659DB"/>
    <w:rsid w:val="00D65C99"/>
    <w:rsid w:val="00D66230"/>
    <w:rsid w:val="00D66254"/>
    <w:rsid w:val="00D66950"/>
    <w:rsid w:val="00D673F9"/>
    <w:rsid w:val="00D67ADE"/>
    <w:rsid w:val="00D67CDC"/>
    <w:rsid w:val="00D700C2"/>
    <w:rsid w:val="00D70DE6"/>
    <w:rsid w:val="00D70E56"/>
    <w:rsid w:val="00D717FE"/>
    <w:rsid w:val="00D71D72"/>
    <w:rsid w:val="00D727BF"/>
    <w:rsid w:val="00D72A48"/>
    <w:rsid w:val="00D732F7"/>
    <w:rsid w:val="00D74548"/>
    <w:rsid w:val="00D74C28"/>
    <w:rsid w:val="00D7583A"/>
    <w:rsid w:val="00D75FB9"/>
    <w:rsid w:val="00D81070"/>
    <w:rsid w:val="00D81EE9"/>
    <w:rsid w:val="00D8218E"/>
    <w:rsid w:val="00D839B3"/>
    <w:rsid w:val="00D83BF8"/>
    <w:rsid w:val="00D83CD4"/>
    <w:rsid w:val="00D84711"/>
    <w:rsid w:val="00D84D96"/>
    <w:rsid w:val="00D867B6"/>
    <w:rsid w:val="00D86E0A"/>
    <w:rsid w:val="00D874ED"/>
    <w:rsid w:val="00D87635"/>
    <w:rsid w:val="00D908B1"/>
    <w:rsid w:val="00D90AE7"/>
    <w:rsid w:val="00D91A24"/>
    <w:rsid w:val="00D91E8F"/>
    <w:rsid w:val="00D92A04"/>
    <w:rsid w:val="00D92ACF"/>
    <w:rsid w:val="00D93D83"/>
    <w:rsid w:val="00D947E9"/>
    <w:rsid w:val="00D94ADD"/>
    <w:rsid w:val="00D94D5B"/>
    <w:rsid w:val="00D95D6D"/>
    <w:rsid w:val="00D96194"/>
    <w:rsid w:val="00D96261"/>
    <w:rsid w:val="00D96739"/>
    <w:rsid w:val="00D96922"/>
    <w:rsid w:val="00D96DEC"/>
    <w:rsid w:val="00D96DFC"/>
    <w:rsid w:val="00D974B6"/>
    <w:rsid w:val="00D97DB7"/>
    <w:rsid w:val="00DA037F"/>
    <w:rsid w:val="00DA04B3"/>
    <w:rsid w:val="00DA0B94"/>
    <w:rsid w:val="00DA1A00"/>
    <w:rsid w:val="00DA1EFD"/>
    <w:rsid w:val="00DA1F5D"/>
    <w:rsid w:val="00DA2BCE"/>
    <w:rsid w:val="00DA381E"/>
    <w:rsid w:val="00DA42C5"/>
    <w:rsid w:val="00DA5C80"/>
    <w:rsid w:val="00DA5CA0"/>
    <w:rsid w:val="00DA6CA3"/>
    <w:rsid w:val="00DA6D9F"/>
    <w:rsid w:val="00DA7259"/>
    <w:rsid w:val="00DA7CFB"/>
    <w:rsid w:val="00DA7D7E"/>
    <w:rsid w:val="00DB049E"/>
    <w:rsid w:val="00DB0E06"/>
    <w:rsid w:val="00DB1C47"/>
    <w:rsid w:val="00DB2A40"/>
    <w:rsid w:val="00DB2CB9"/>
    <w:rsid w:val="00DB2E0D"/>
    <w:rsid w:val="00DB2E21"/>
    <w:rsid w:val="00DB3516"/>
    <w:rsid w:val="00DB44C2"/>
    <w:rsid w:val="00DB5A78"/>
    <w:rsid w:val="00DB5B85"/>
    <w:rsid w:val="00DB5CBA"/>
    <w:rsid w:val="00DB6B35"/>
    <w:rsid w:val="00DB6E70"/>
    <w:rsid w:val="00DB7D33"/>
    <w:rsid w:val="00DC09FB"/>
    <w:rsid w:val="00DC12DB"/>
    <w:rsid w:val="00DC13D7"/>
    <w:rsid w:val="00DC143C"/>
    <w:rsid w:val="00DC16B9"/>
    <w:rsid w:val="00DC1B05"/>
    <w:rsid w:val="00DC1E19"/>
    <w:rsid w:val="00DC28FF"/>
    <w:rsid w:val="00DC2E32"/>
    <w:rsid w:val="00DC3062"/>
    <w:rsid w:val="00DC4682"/>
    <w:rsid w:val="00DC4883"/>
    <w:rsid w:val="00DC5086"/>
    <w:rsid w:val="00DC58D8"/>
    <w:rsid w:val="00DC5A4F"/>
    <w:rsid w:val="00DC5D41"/>
    <w:rsid w:val="00DC5DB7"/>
    <w:rsid w:val="00DC5E64"/>
    <w:rsid w:val="00DC5FF5"/>
    <w:rsid w:val="00DC60B7"/>
    <w:rsid w:val="00DC6A83"/>
    <w:rsid w:val="00DC6BDB"/>
    <w:rsid w:val="00DC7856"/>
    <w:rsid w:val="00DC7C4B"/>
    <w:rsid w:val="00DC7EA3"/>
    <w:rsid w:val="00DD0EBA"/>
    <w:rsid w:val="00DD14FA"/>
    <w:rsid w:val="00DD2CBC"/>
    <w:rsid w:val="00DD338B"/>
    <w:rsid w:val="00DD3B63"/>
    <w:rsid w:val="00DD3FD3"/>
    <w:rsid w:val="00DD402C"/>
    <w:rsid w:val="00DD41B9"/>
    <w:rsid w:val="00DD4E1B"/>
    <w:rsid w:val="00DD6449"/>
    <w:rsid w:val="00DD651D"/>
    <w:rsid w:val="00DD6BC5"/>
    <w:rsid w:val="00DD6C7A"/>
    <w:rsid w:val="00DD6FFB"/>
    <w:rsid w:val="00DD7027"/>
    <w:rsid w:val="00DD7047"/>
    <w:rsid w:val="00DD7806"/>
    <w:rsid w:val="00DD7E22"/>
    <w:rsid w:val="00DE0CF8"/>
    <w:rsid w:val="00DE10D4"/>
    <w:rsid w:val="00DE168F"/>
    <w:rsid w:val="00DE17BC"/>
    <w:rsid w:val="00DE1815"/>
    <w:rsid w:val="00DE27CB"/>
    <w:rsid w:val="00DE3A5C"/>
    <w:rsid w:val="00DE3C68"/>
    <w:rsid w:val="00DE4285"/>
    <w:rsid w:val="00DE441D"/>
    <w:rsid w:val="00DE4870"/>
    <w:rsid w:val="00DE4B82"/>
    <w:rsid w:val="00DE541C"/>
    <w:rsid w:val="00DE5D21"/>
    <w:rsid w:val="00DE601A"/>
    <w:rsid w:val="00DE6127"/>
    <w:rsid w:val="00DE718B"/>
    <w:rsid w:val="00DF00ED"/>
    <w:rsid w:val="00DF02C3"/>
    <w:rsid w:val="00DF091D"/>
    <w:rsid w:val="00DF0A37"/>
    <w:rsid w:val="00DF105F"/>
    <w:rsid w:val="00DF1A88"/>
    <w:rsid w:val="00DF2067"/>
    <w:rsid w:val="00DF24CD"/>
    <w:rsid w:val="00DF2701"/>
    <w:rsid w:val="00DF2BDB"/>
    <w:rsid w:val="00DF2F19"/>
    <w:rsid w:val="00DF3814"/>
    <w:rsid w:val="00DF38C5"/>
    <w:rsid w:val="00DF43A0"/>
    <w:rsid w:val="00DF44F3"/>
    <w:rsid w:val="00DF4565"/>
    <w:rsid w:val="00DF4FEF"/>
    <w:rsid w:val="00DF60A6"/>
    <w:rsid w:val="00DF6443"/>
    <w:rsid w:val="00DF65C8"/>
    <w:rsid w:val="00DF6BF4"/>
    <w:rsid w:val="00DF73C5"/>
    <w:rsid w:val="00E00C45"/>
    <w:rsid w:val="00E00E59"/>
    <w:rsid w:val="00E01E6A"/>
    <w:rsid w:val="00E01EAA"/>
    <w:rsid w:val="00E021A9"/>
    <w:rsid w:val="00E02CB2"/>
    <w:rsid w:val="00E02EFB"/>
    <w:rsid w:val="00E032B1"/>
    <w:rsid w:val="00E03465"/>
    <w:rsid w:val="00E05F91"/>
    <w:rsid w:val="00E062FF"/>
    <w:rsid w:val="00E070C2"/>
    <w:rsid w:val="00E071D1"/>
    <w:rsid w:val="00E07405"/>
    <w:rsid w:val="00E079AB"/>
    <w:rsid w:val="00E07B3F"/>
    <w:rsid w:val="00E07BCE"/>
    <w:rsid w:val="00E1012B"/>
    <w:rsid w:val="00E10A04"/>
    <w:rsid w:val="00E10D07"/>
    <w:rsid w:val="00E111E0"/>
    <w:rsid w:val="00E119FB"/>
    <w:rsid w:val="00E11F71"/>
    <w:rsid w:val="00E122F1"/>
    <w:rsid w:val="00E12773"/>
    <w:rsid w:val="00E13184"/>
    <w:rsid w:val="00E1328D"/>
    <w:rsid w:val="00E14164"/>
    <w:rsid w:val="00E14200"/>
    <w:rsid w:val="00E142A1"/>
    <w:rsid w:val="00E14831"/>
    <w:rsid w:val="00E14A08"/>
    <w:rsid w:val="00E14EC3"/>
    <w:rsid w:val="00E1581D"/>
    <w:rsid w:val="00E160EF"/>
    <w:rsid w:val="00E168F7"/>
    <w:rsid w:val="00E16D47"/>
    <w:rsid w:val="00E1791D"/>
    <w:rsid w:val="00E17B91"/>
    <w:rsid w:val="00E2031E"/>
    <w:rsid w:val="00E205EE"/>
    <w:rsid w:val="00E207D6"/>
    <w:rsid w:val="00E20959"/>
    <w:rsid w:val="00E210CE"/>
    <w:rsid w:val="00E21309"/>
    <w:rsid w:val="00E2130D"/>
    <w:rsid w:val="00E21C67"/>
    <w:rsid w:val="00E21DFF"/>
    <w:rsid w:val="00E21F89"/>
    <w:rsid w:val="00E22090"/>
    <w:rsid w:val="00E221B0"/>
    <w:rsid w:val="00E23001"/>
    <w:rsid w:val="00E232F8"/>
    <w:rsid w:val="00E2376F"/>
    <w:rsid w:val="00E23F0C"/>
    <w:rsid w:val="00E241DD"/>
    <w:rsid w:val="00E24A71"/>
    <w:rsid w:val="00E253AF"/>
    <w:rsid w:val="00E2699C"/>
    <w:rsid w:val="00E27353"/>
    <w:rsid w:val="00E2761F"/>
    <w:rsid w:val="00E27FA0"/>
    <w:rsid w:val="00E30BEE"/>
    <w:rsid w:val="00E31146"/>
    <w:rsid w:val="00E31549"/>
    <w:rsid w:val="00E3187E"/>
    <w:rsid w:val="00E31A81"/>
    <w:rsid w:val="00E31DF8"/>
    <w:rsid w:val="00E3228E"/>
    <w:rsid w:val="00E32BAB"/>
    <w:rsid w:val="00E332B2"/>
    <w:rsid w:val="00E342BE"/>
    <w:rsid w:val="00E346CC"/>
    <w:rsid w:val="00E34F8D"/>
    <w:rsid w:val="00E351E2"/>
    <w:rsid w:val="00E35227"/>
    <w:rsid w:val="00E35643"/>
    <w:rsid w:val="00E35807"/>
    <w:rsid w:val="00E36171"/>
    <w:rsid w:val="00E3702A"/>
    <w:rsid w:val="00E377F4"/>
    <w:rsid w:val="00E37BDB"/>
    <w:rsid w:val="00E402FE"/>
    <w:rsid w:val="00E4091E"/>
    <w:rsid w:val="00E40947"/>
    <w:rsid w:val="00E40AA3"/>
    <w:rsid w:val="00E41093"/>
    <w:rsid w:val="00E4142D"/>
    <w:rsid w:val="00E41748"/>
    <w:rsid w:val="00E41BBC"/>
    <w:rsid w:val="00E41E3D"/>
    <w:rsid w:val="00E4312A"/>
    <w:rsid w:val="00E4362A"/>
    <w:rsid w:val="00E43D55"/>
    <w:rsid w:val="00E44526"/>
    <w:rsid w:val="00E450FF"/>
    <w:rsid w:val="00E45ADA"/>
    <w:rsid w:val="00E45FFD"/>
    <w:rsid w:val="00E46385"/>
    <w:rsid w:val="00E46433"/>
    <w:rsid w:val="00E46446"/>
    <w:rsid w:val="00E46614"/>
    <w:rsid w:val="00E4705B"/>
    <w:rsid w:val="00E50775"/>
    <w:rsid w:val="00E508FD"/>
    <w:rsid w:val="00E52BDB"/>
    <w:rsid w:val="00E535D1"/>
    <w:rsid w:val="00E54154"/>
    <w:rsid w:val="00E541C0"/>
    <w:rsid w:val="00E544F3"/>
    <w:rsid w:val="00E551DB"/>
    <w:rsid w:val="00E5523B"/>
    <w:rsid w:val="00E55CBA"/>
    <w:rsid w:val="00E55E92"/>
    <w:rsid w:val="00E55FCB"/>
    <w:rsid w:val="00E56F51"/>
    <w:rsid w:val="00E602A3"/>
    <w:rsid w:val="00E609DD"/>
    <w:rsid w:val="00E62762"/>
    <w:rsid w:val="00E62AC7"/>
    <w:rsid w:val="00E62F8A"/>
    <w:rsid w:val="00E63941"/>
    <w:rsid w:val="00E63B90"/>
    <w:rsid w:val="00E63FD1"/>
    <w:rsid w:val="00E64499"/>
    <w:rsid w:val="00E66687"/>
    <w:rsid w:val="00E66714"/>
    <w:rsid w:val="00E66747"/>
    <w:rsid w:val="00E66C21"/>
    <w:rsid w:val="00E671C5"/>
    <w:rsid w:val="00E6741E"/>
    <w:rsid w:val="00E67D59"/>
    <w:rsid w:val="00E7011F"/>
    <w:rsid w:val="00E70B07"/>
    <w:rsid w:val="00E70CDB"/>
    <w:rsid w:val="00E71420"/>
    <w:rsid w:val="00E72218"/>
    <w:rsid w:val="00E72646"/>
    <w:rsid w:val="00E7283D"/>
    <w:rsid w:val="00E72B3F"/>
    <w:rsid w:val="00E72FCB"/>
    <w:rsid w:val="00E7341A"/>
    <w:rsid w:val="00E73B76"/>
    <w:rsid w:val="00E73E19"/>
    <w:rsid w:val="00E74727"/>
    <w:rsid w:val="00E75027"/>
    <w:rsid w:val="00E7537C"/>
    <w:rsid w:val="00E75455"/>
    <w:rsid w:val="00E758CC"/>
    <w:rsid w:val="00E75EB3"/>
    <w:rsid w:val="00E76406"/>
    <w:rsid w:val="00E76477"/>
    <w:rsid w:val="00E7648B"/>
    <w:rsid w:val="00E76A1F"/>
    <w:rsid w:val="00E77C2F"/>
    <w:rsid w:val="00E77DA5"/>
    <w:rsid w:val="00E80A69"/>
    <w:rsid w:val="00E81060"/>
    <w:rsid w:val="00E82088"/>
    <w:rsid w:val="00E8220D"/>
    <w:rsid w:val="00E823A8"/>
    <w:rsid w:val="00E82402"/>
    <w:rsid w:val="00E8361E"/>
    <w:rsid w:val="00E83A30"/>
    <w:rsid w:val="00E84120"/>
    <w:rsid w:val="00E84125"/>
    <w:rsid w:val="00E84691"/>
    <w:rsid w:val="00E84E9D"/>
    <w:rsid w:val="00E850A2"/>
    <w:rsid w:val="00E8559B"/>
    <w:rsid w:val="00E8590D"/>
    <w:rsid w:val="00E8667D"/>
    <w:rsid w:val="00E869A4"/>
    <w:rsid w:val="00E874CC"/>
    <w:rsid w:val="00E877A4"/>
    <w:rsid w:val="00E87853"/>
    <w:rsid w:val="00E87BE9"/>
    <w:rsid w:val="00E900C2"/>
    <w:rsid w:val="00E909A2"/>
    <w:rsid w:val="00E90DF0"/>
    <w:rsid w:val="00E92079"/>
    <w:rsid w:val="00E92253"/>
    <w:rsid w:val="00E932AF"/>
    <w:rsid w:val="00E93467"/>
    <w:rsid w:val="00E9355B"/>
    <w:rsid w:val="00E9359C"/>
    <w:rsid w:val="00E93AF0"/>
    <w:rsid w:val="00E93DB8"/>
    <w:rsid w:val="00E94270"/>
    <w:rsid w:val="00E94CB3"/>
    <w:rsid w:val="00E95036"/>
    <w:rsid w:val="00E9666E"/>
    <w:rsid w:val="00E974A3"/>
    <w:rsid w:val="00E978F9"/>
    <w:rsid w:val="00E97995"/>
    <w:rsid w:val="00EA1328"/>
    <w:rsid w:val="00EA137F"/>
    <w:rsid w:val="00EA1B5A"/>
    <w:rsid w:val="00EA3815"/>
    <w:rsid w:val="00EA50D6"/>
    <w:rsid w:val="00EA71B0"/>
    <w:rsid w:val="00EA76FF"/>
    <w:rsid w:val="00EA7FFB"/>
    <w:rsid w:val="00EB0234"/>
    <w:rsid w:val="00EB092D"/>
    <w:rsid w:val="00EB0C1D"/>
    <w:rsid w:val="00EB0C91"/>
    <w:rsid w:val="00EB1A4A"/>
    <w:rsid w:val="00EB2ABE"/>
    <w:rsid w:val="00EB36CF"/>
    <w:rsid w:val="00EB37C5"/>
    <w:rsid w:val="00EB3CB6"/>
    <w:rsid w:val="00EB419D"/>
    <w:rsid w:val="00EB4A35"/>
    <w:rsid w:val="00EB6087"/>
    <w:rsid w:val="00EB615F"/>
    <w:rsid w:val="00EB67A6"/>
    <w:rsid w:val="00EC038B"/>
    <w:rsid w:val="00EC059E"/>
    <w:rsid w:val="00EC0942"/>
    <w:rsid w:val="00EC0A8A"/>
    <w:rsid w:val="00EC0ADE"/>
    <w:rsid w:val="00EC0E16"/>
    <w:rsid w:val="00EC13E0"/>
    <w:rsid w:val="00EC2451"/>
    <w:rsid w:val="00EC257A"/>
    <w:rsid w:val="00EC3042"/>
    <w:rsid w:val="00EC3394"/>
    <w:rsid w:val="00EC4230"/>
    <w:rsid w:val="00EC4758"/>
    <w:rsid w:val="00EC4FA0"/>
    <w:rsid w:val="00EC5C66"/>
    <w:rsid w:val="00EC5EAE"/>
    <w:rsid w:val="00EC6AD9"/>
    <w:rsid w:val="00EC7DC3"/>
    <w:rsid w:val="00ED0707"/>
    <w:rsid w:val="00ED09B5"/>
    <w:rsid w:val="00ED11BF"/>
    <w:rsid w:val="00ED15A3"/>
    <w:rsid w:val="00ED2A18"/>
    <w:rsid w:val="00ED2B80"/>
    <w:rsid w:val="00ED349F"/>
    <w:rsid w:val="00ED3744"/>
    <w:rsid w:val="00ED4C19"/>
    <w:rsid w:val="00ED707A"/>
    <w:rsid w:val="00ED7129"/>
    <w:rsid w:val="00ED76AB"/>
    <w:rsid w:val="00ED77C5"/>
    <w:rsid w:val="00ED78D4"/>
    <w:rsid w:val="00ED7D28"/>
    <w:rsid w:val="00ED7FED"/>
    <w:rsid w:val="00EE03D3"/>
    <w:rsid w:val="00EE0697"/>
    <w:rsid w:val="00EE0A18"/>
    <w:rsid w:val="00EE0D43"/>
    <w:rsid w:val="00EE1AA8"/>
    <w:rsid w:val="00EE1D6E"/>
    <w:rsid w:val="00EE21F0"/>
    <w:rsid w:val="00EE2640"/>
    <w:rsid w:val="00EE3C43"/>
    <w:rsid w:val="00EE3EE2"/>
    <w:rsid w:val="00EE4686"/>
    <w:rsid w:val="00EE4F9C"/>
    <w:rsid w:val="00EE5910"/>
    <w:rsid w:val="00EE65C6"/>
    <w:rsid w:val="00EE6685"/>
    <w:rsid w:val="00EE742C"/>
    <w:rsid w:val="00EF1CD1"/>
    <w:rsid w:val="00EF1D43"/>
    <w:rsid w:val="00EF1EF7"/>
    <w:rsid w:val="00EF316D"/>
    <w:rsid w:val="00EF3B7C"/>
    <w:rsid w:val="00EF469D"/>
    <w:rsid w:val="00EF4B89"/>
    <w:rsid w:val="00EF54F9"/>
    <w:rsid w:val="00EF5AEF"/>
    <w:rsid w:val="00EF5BB1"/>
    <w:rsid w:val="00EF6441"/>
    <w:rsid w:val="00EF7187"/>
    <w:rsid w:val="00EF7824"/>
    <w:rsid w:val="00EF7A92"/>
    <w:rsid w:val="00F0075A"/>
    <w:rsid w:val="00F01FE9"/>
    <w:rsid w:val="00F02D58"/>
    <w:rsid w:val="00F037E1"/>
    <w:rsid w:val="00F04634"/>
    <w:rsid w:val="00F046E3"/>
    <w:rsid w:val="00F0524E"/>
    <w:rsid w:val="00F059E1"/>
    <w:rsid w:val="00F06D8E"/>
    <w:rsid w:val="00F0730B"/>
    <w:rsid w:val="00F105B4"/>
    <w:rsid w:val="00F110DF"/>
    <w:rsid w:val="00F11998"/>
    <w:rsid w:val="00F11D43"/>
    <w:rsid w:val="00F121BD"/>
    <w:rsid w:val="00F12CBB"/>
    <w:rsid w:val="00F1317E"/>
    <w:rsid w:val="00F13258"/>
    <w:rsid w:val="00F1435C"/>
    <w:rsid w:val="00F153CE"/>
    <w:rsid w:val="00F172E4"/>
    <w:rsid w:val="00F17761"/>
    <w:rsid w:val="00F17AE3"/>
    <w:rsid w:val="00F204AB"/>
    <w:rsid w:val="00F20615"/>
    <w:rsid w:val="00F20838"/>
    <w:rsid w:val="00F2084A"/>
    <w:rsid w:val="00F21757"/>
    <w:rsid w:val="00F21AF5"/>
    <w:rsid w:val="00F2241D"/>
    <w:rsid w:val="00F22D4C"/>
    <w:rsid w:val="00F23E53"/>
    <w:rsid w:val="00F24055"/>
    <w:rsid w:val="00F24B8A"/>
    <w:rsid w:val="00F2569B"/>
    <w:rsid w:val="00F256B0"/>
    <w:rsid w:val="00F2651B"/>
    <w:rsid w:val="00F272C3"/>
    <w:rsid w:val="00F275F2"/>
    <w:rsid w:val="00F277D5"/>
    <w:rsid w:val="00F27897"/>
    <w:rsid w:val="00F27AF4"/>
    <w:rsid w:val="00F27B68"/>
    <w:rsid w:val="00F3227A"/>
    <w:rsid w:val="00F32FFE"/>
    <w:rsid w:val="00F3309E"/>
    <w:rsid w:val="00F343D9"/>
    <w:rsid w:val="00F34698"/>
    <w:rsid w:val="00F35E69"/>
    <w:rsid w:val="00F3621B"/>
    <w:rsid w:val="00F365E6"/>
    <w:rsid w:val="00F37164"/>
    <w:rsid w:val="00F3767A"/>
    <w:rsid w:val="00F37A8E"/>
    <w:rsid w:val="00F37CA3"/>
    <w:rsid w:val="00F401A7"/>
    <w:rsid w:val="00F40A4D"/>
    <w:rsid w:val="00F40CB6"/>
    <w:rsid w:val="00F40EDC"/>
    <w:rsid w:val="00F41BFE"/>
    <w:rsid w:val="00F41D29"/>
    <w:rsid w:val="00F42618"/>
    <w:rsid w:val="00F4333F"/>
    <w:rsid w:val="00F44104"/>
    <w:rsid w:val="00F4417A"/>
    <w:rsid w:val="00F44352"/>
    <w:rsid w:val="00F44A7C"/>
    <w:rsid w:val="00F44C17"/>
    <w:rsid w:val="00F45133"/>
    <w:rsid w:val="00F45C39"/>
    <w:rsid w:val="00F45F17"/>
    <w:rsid w:val="00F468BC"/>
    <w:rsid w:val="00F46B5F"/>
    <w:rsid w:val="00F46CF8"/>
    <w:rsid w:val="00F47DA8"/>
    <w:rsid w:val="00F50EEE"/>
    <w:rsid w:val="00F5153A"/>
    <w:rsid w:val="00F51CA8"/>
    <w:rsid w:val="00F51DBE"/>
    <w:rsid w:val="00F51E3F"/>
    <w:rsid w:val="00F52C04"/>
    <w:rsid w:val="00F533BE"/>
    <w:rsid w:val="00F53D41"/>
    <w:rsid w:val="00F54723"/>
    <w:rsid w:val="00F55260"/>
    <w:rsid w:val="00F555BB"/>
    <w:rsid w:val="00F556FB"/>
    <w:rsid w:val="00F55E2F"/>
    <w:rsid w:val="00F560C2"/>
    <w:rsid w:val="00F56D49"/>
    <w:rsid w:val="00F56E92"/>
    <w:rsid w:val="00F57617"/>
    <w:rsid w:val="00F5783B"/>
    <w:rsid w:val="00F5793B"/>
    <w:rsid w:val="00F60C7C"/>
    <w:rsid w:val="00F60C83"/>
    <w:rsid w:val="00F62041"/>
    <w:rsid w:val="00F62D4B"/>
    <w:rsid w:val="00F63058"/>
    <w:rsid w:val="00F636FD"/>
    <w:rsid w:val="00F63806"/>
    <w:rsid w:val="00F6385B"/>
    <w:rsid w:val="00F63BE3"/>
    <w:rsid w:val="00F6408E"/>
    <w:rsid w:val="00F64E4F"/>
    <w:rsid w:val="00F64F3D"/>
    <w:rsid w:val="00F65841"/>
    <w:rsid w:val="00F664AF"/>
    <w:rsid w:val="00F66AA5"/>
    <w:rsid w:val="00F67208"/>
    <w:rsid w:val="00F6771B"/>
    <w:rsid w:val="00F67AAF"/>
    <w:rsid w:val="00F67E05"/>
    <w:rsid w:val="00F7009F"/>
    <w:rsid w:val="00F70C8F"/>
    <w:rsid w:val="00F70CA5"/>
    <w:rsid w:val="00F713E6"/>
    <w:rsid w:val="00F718C0"/>
    <w:rsid w:val="00F71E5A"/>
    <w:rsid w:val="00F73962"/>
    <w:rsid w:val="00F74011"/>
    <w:rsid w:val="00F75106"/>
    <w:rsid w:val="00F765E2"/>
    <w:rsid w:val="00F7689C"/>
    <w:rsid w:val="00F771AC"/>
    <w:rsid w:val="00F803C0"/>
    <w:rsid w:val="00F81AF7"/>
    <w:rsid w:val="00F8230C"/>
    <w:rsid w:val="00F82679"/>
    <w:rsid w:val="00F8267C"/>
    <w:rsid w:val="00F83A17"/>
    <w:rsid w:val="00F841E2"/>
    <w:rsid w:val="00F842AE"/>
    <w:rsid w:val="00F84AED"/>
    <w:rsid w:val="00F8507D"/>
    <w:rsid w:val="00F85302"/>
    <w:rsid w:val="00F85B5B"/>
    <w:rsid w:val="00F87712"/>
    <w:rsid w:val="00F87CB2"/>
    <w:rsid w:val="00F87FF5"/>
    <w:rsid w:val="00F91D94"/>
    <w:rsid w:val="00F92729"/>
    <w:rsid w:val="00F92941"/>
    <w:rsid w:val="00F93311"/>
    <w:rsid w:val="00F93EF8"/>
    <w:rsid w:val="00F9409C"/>
    <w:rsid w:val="00F941B1"/>
    <w:rsid w:val="00F941E7"/>
    <w:rsid w:val="00F945FC"/>
    <w:rsid w:val="00F95260"/>
    <w:rsid w:val="00F95743"/>
    <w:rsid w:val="00F95D66"/>
    <w:rsid w:val="00F96587"/>
    <w:rsid w:val="00F970E1"/>
    <w:rsid w:val="00F972D1"/>
    <w:rsid w:val="00F9796E"/>
    <w:rsid w:val="00F979A7"/>
    <w:rsid w:val="00FA0933"/>
    <w:rsid w:val="00FA0A3B"/>
    <w:rsid w:val="00FA0B21"/>
    <w:rsid w:val="00FA0DE4"/>
    <w:rsid w:val="00FA12BC"/>
    <w:rsid w:val="00FA21E3"/>
    <w:rsid w:val="00FA2767"/>
    <w:rsid w:val="00FA2DE9"/>
    <w:rsid w:val="00FA3255"/>
    <w:rsid w:val="00FA37DC"/>
    <w:rsid w:val="00FA3B33"/>
    <w:rsid w:val="00FA3BB2"/>
    <w:rsid w:val="00FA426C"/>
    <w:rsid w:val="00FA4432"/>
    <w:rsid w:val="00FA4685"/>
    <w:rsid w:val="00FA49B1"/>
    <w:rsid w:val="00FA590A"/>
    <w:rsid w:val="00FA5D43"/>
    <w:rsid w:val="00FA6829"/>
    <w:rsid w:val="00FA71B5"/>
    <w:rsid w:val="00FA75CC"/>
    <w:rsid w:val="00FB0130"/>
    <w:rsid w:val="00FB0495"/>
    <w:rsid w:val="00FB0910"/>
    <w:rsid w:val="00FB0D72"/>
    <w:rsid w:val="00FB0E11"/>
    <w:rsid w:val="00FB139D"/>
    <w:rsid w:val="00FB146A"/>
    <w:rsid w:val="00FB1811"/>
    <w:rsid w:val="00FB1F93"/>
    <w:rsid w:val="00FB220B"/>
    <w:rsid w:val="00FB2A39"/>
    <w:rsid w:val="00FB2FA0"/>
    <w:rsid w:val="00FB2FAF"/>
    <w:rsid w:val="00FB360D"/>
    <w:rsid w:val="00FB39DA"/>
    <w:rsid w:val="00FB4B67"/>
    <w:rsid w:val="00FB5105"/>
    <w:rsid w:val="00FB557C"/>
    <w:rsid w:val="00FB5B78"/>
    <w:rsid w:val="00FB5F87"/>
    <w:rsid w:val="00FB650C"/>
    <w:rsid w:val="00FB67D6"/>
    <w:rsid w:val="00FB6D22"/>
    <w:rsid w:val="00FB6E66"/>
    <w:rsid w:val="00FC0C92"/>
    <w:rsid w:val="00FC1036"/>
    <w:rsid w:val="00FC1199"/>
    <w:rsid w:val="00FC1343"/>
    <w:rsid w:val="00FC2816"/>
    <w:rsid w:val="00FC3553"/>
    <w:rsid w:val="00FC3BA4"/>
    <w:rsid w:val="00FC462C"/>
    <w:rsid w:val="00FC4CCF"/>
    <w:rsid w:val="00FC56FD"/>
    <w:rsid w:val="00FC57DF"/>
    <w:rsid w:val="00FC583D"/>
    <w:rsid w:val="00FC5C00"/>
    <w:rsid w:val="00FC5FF9"/>
    <w:rsid w:val="00FC6350"/>
    <w:rsid w:val="00FC6B1C"/>
    <w:rsid w:val="00FC753C"/>
    <w:rsid w:val="00FC7755"/>
    <w:rsid w:val="00FD0226"/>
    <w:rsid w:val="00FD033B"/>
    <w:rsid w:val="00FD05BE"/>
    <w:rsid w:val="00FD05EA"/>
    <w:rsid w:val="00FD087E"/>
    <w:rsid w:val="00FD0934"/>
    <w:rsid w:val="00FD100E"/>
    <w:rsid w:val="00FD16A4"/>
    <w:rsid w:val="00FD29B0"/>
    <w:rsid w:val="00FD2D59"/>
    <w:rsid w:val="00FD30B8"/>
    <w:rsid w:val="00FD402F"/>
    <w:rsid w:val="00FD49CE"/>
    <w:rsid w:val="00FD5881"/>
    <w:rsid w:val="00FD7335"/>
    <w:rsid w:val="00FE0358"/>
    <w:rsid w:val="00FE035C"/>
    <w:rsid w:val="00FE1734"/>
    <w:rsid w:val="00FE20B2"/>
    <w:rsid w:val="00FE2B10"/>
    <w:rsid w:val="00FE2DC4"/>
    <w:rsid w:val="00FE448C"/>
    <w:rsid w:val="00FE5141"/>
    <w:rsid w:val="00FE519E"/>
    <w:rsid w:val="00FE61C1"/>
    <w:rsid w:val="00FE6CEF"/>
    <w:rsid w:val="00FE6F13"/>
    <w:rsid w:val="00FE77DC"/>
    <w:rsid w:val="00FE7E4F"/>
    <w:rsid w:val="00FF0086"/>
    <w:rsid w:val="00FF0CC9"/>
    <w:rsid w:val="00FF110B"/>
    <w:rsid w:val="00FF167B"/>
    <w:rsid w:val="00FF1D78"/>
    <w:rsid w:val="00FF1DA5"/>
    <w:rsid w:val="00FF2EA8"/>
    <w:rsid w:val="00FF325F"/>
    <w:rsid w:val="00FF3878"/>
    <w:rsid w:val="00FF3F9E"/>
    <w:rsid w:val="00FF46EC"/>
    <w:rsid w:val="00FF4885"/>
    <w:rsid w:val="00FF4972"/>
    <w:rsid w:val="00FF4AB0"/>
    <w:rsid w:val="00FF696C"/>
    <w:rsid w:val="00FF6A4C"/>
    <w:rsid w:val="00FF6F04"/>
    <w:rsid w:val="00FF6F30"/>
    <w:rsid w:val="00FF7826"/>
    <w:rsid w:val="00FF791A"/>
    <w:rsid w:val="00FF797F"/>
    <w:rsid w:val="01155348"/>
    <w:rsid w:val="014B3C99"/>
    <w:rsid w:val="017A4BDD"/>
    <w:rsid w:val="017D44ED"/>
    <w:rsid w:val="01895F26"/>
    <w:rsid w:val="01974E31"/>
    <w:rsid w:val="019976B6"/>
    <w:rsid w:val="01C31844"/>
    <w:rsid w:val="0214656E"/>
    <w:rsid w:val="0254783A"/>
    <w:rsid w:val="0278321A"/>
    <w:rsid w:val="02AA15DE"/>
    <w:rsid w:val="02FD1FEF"/>
    <w:rsid w:val="030331EC"/>
    <w:rsid w:val="03A94EDD"/>
    <w:rsid w:val="040F39F3"/>
    <w:rsid w:val="04437FA4"/>
    <w:rsid w:val="046700D6"/>
    <w:rsid w:val="047F629E"/>
    <w:rsid w:val="04E16EFC"/>
    <w:rsid w:val="04EC1318"/>
    <w:rsid w:val="052B148A"/>
    <w:rsid w:val="05521621"/>
    <w:rsid w:val="057B66F4"/>
    <w:rsid w:val="058B69D6"/>
    <w:rsid w:val="05AC1C91"/>
    <w:rsid w:val="05B41315"/>
    <w:rsid w:val="05DC1075"/>
    <w:rsid w:val="05FE7AE6"/>
    <w:rsid w:val="062E6BD1"/>
    <w:rsid w:val="063B14E0"/>
    <w:rsid w:val="063E7887"/>
    <w:rsid w:val="07482082"/>
    <w:rsid w:val="076E1C93"/>
    <w:rsid w:val="077542DE"/>
    <w:rsid w:val="077866DD"/>
    <w:rsid w:val="08074E94"/>
    <w:rsid w:val="08135A08"/>
    <w:rsid w:val="086D5296"/>
    <w:rsid w:val="088310DC"/>
    <w:rsid w:val="08896855"/>
    <w:rsid w:val="090D24C2"/>
    <w:rsid w:val="093740B9"/>
    <w:rsid w:val="094C04AD"/>
    <w:rsid w:val="09A26FE9"/>
    <w:rsid w:val="0A0A0B12"/>
    <w:rsid w:val="0A0B1863"/>
    <w:rsid w:val="0A404567"/>
    <w:rsid w:val="0A565702"/>
    <w:rsid w:val="0A7D4307"/>
    <w:rsid w:val="0B1026B1"/>
    <w:rsid w:val="0B5B0B00"/>
    <w:rsid w:val="0B6E4C6F"/>
    <w:rsid w:val="0C09272D"/>
    <w:rsid w:val="0C3F5A38"/>
    <w:rsid w:val="0CA40CD0"/>
    <w:rsid w:val="0CBE1483"/>
    <w:rsid w:val="0CDB6231"/>
    <w:rsid w:val="0CE569CE"/>
    <w:rsid w:val="0CFA4AC6"/>
    <w:rsid w:val="0D094667"/>
    <w:rsid w:val="0D2A2991"/>
    <w:rsid w:val="0D2E2463"/>
    <w:rsid w:val="0D985D79"/>
    <w:rsid w:val="0DDE13F8"/>
    <w:rsid w:val="0E03078F"/>
    <w:rsid w:val="0E411E52"/>
    <w:rsid w:val="0E94293A"/>
    <w:rsid w:val="0E9B47EF"/>
    <w:rsid w:val="0ECE5396"/>
    <w:rsid w:val="0ED71A2E"/>
    <w:rsid w:val="0EEA403C"/>
    <w:rsid w:val="0F1E68DC"/>
    <w:rsid w:val="0F347423"/>
    <w:rsid w:val="0F4A7AF4"/>
    <w:rsid w:val="0F9B1F87"/>
    <w:rsid w:val="104A5FBF"/>
    <w:rsid w:val="108D520E"/>
    <w:rsid w:val="11172C00"/>
    <w:rsid w:val="111C1306"/>
    <w:rsid w:val="111F2194"/>
    <w:rsid w:val="1147495F"/>
    <w:rsid w:val="114D7627"/>
    <w:rsid w:val="117C5B22"/>
    <w:rsid w:val="11BD0339"/>
    <w:rsid w:val="11D66AE7"/>
    <w:rsid w:val="11FD2697"/>
    <w:rsid w:val="122C40E9"/>
    <w:rsid w:val="126B5D0A"/>
    <w:rsid w:val="12A87F57"/>
    <w:rsid w:val="13372EF9"/>
    <w:rsid w:val="139A4D28"/>
    <w:rsid w:val="139B149A"/>
    <w:rsid w:val="13BA14D5"/>
    <w:rsid w:val="141325EF"/>
    <w:rsid w:val="148475A3"/>
    <w:rsid w:val="14BA1869"/>
    <w:rsid w:val="151D336F"/>
    <w:rsid w:val="15602E19"/>
    <w:rsid w:val="158400F2"/>
    <w:rsid w:val="15D5372F"/>
    <w:rsid w:val="164A67E3"/>
    <w:rsid w:val="16794379"/>
    <w:rsid w:val="16C71F9A"/>
    <w:rsid w:val="16E61B71"/>
    <w:rsid w:val="17091AAA"/>
    <w:rsid w:val="178D7238"/>
    <w:rsid w:val="17AA6924"/>
    <w:rsid w:val="17E044FE"/>
    <w:rsid w:val="18585C39"/>
    <w:rsid w:val="186327F8"/>
    <w:rsid w:val="18A41857"/>
    <w:rsid w:val="18D17B4A"/>
    <w:rsid w:val="18EA32B9"/>
    <w:rsid w:val="194D1112"/>
    <w:rsid w:val="19714112"/>
    <w:rsid w:val="19CB3BC3"/>
    <w:rsid w:val="19E66DD1"/>
    <w:rsid w:val="1A0B0F07"/>
    <w:rsid w:val="1A1B16A4"/>
    <w:rsid w:val="1A4E0F92"/>
    <w:rsid w:val="1A88543A"/>
    <w:rsid w:val="1A9B3134"/>
    <w:rsid w:val="1AB106A7"/>
    <w:rsid w:val="1B3E6D65"/>
    <w:rsid w:val="1B594B2A"/>
    <w:rsid w:val="1B5C22A3"/>
    <w:rsid w:val="1BEB2B08"/>
    <w:rsid w:val="1C494F1B"/>
    <w:rsid w:val="1C505751"/>
    <w:rsid w:val="1C530990"/>
    <w:rsid w:val="1C5F71E3"/>
    <w:rsid w:val="1C727A94"/>
    <w:rsid w:val="1C765179"/>
    <w:rsid w:val="1CAC72BB"/>
    <w:rsid w:val="1CB75643"/>
    <w:rsid w:val="1CCF14CB"/>
    <w:rsid w:val="1CD70394"/>
    <w:rsid w:val="1CE531F5"/>
    <w:rsid w:val="1D1F3EC5"/>
    <w:rsid w:val="1D926043"/>
    <w:rsid w:val="1DBD6547"/>
    <w:rsid w:val="1DF75145"/>
    <w:rsid w:val="1DF9580C"/>
    <w:rsid w:val="1E3864A8"/>
    <w:rsid w:val="1E6E1D80"/>
    <w:rsid w:val="1E973886"/>
    <w:rsid w:val="1EFC72D4"/>
    <w:rsid w:val="1F025E30"/>
    <w:rsid w:val="1F680D14"/>
    <w:rsid w:val="1F737B16"/>
    <w:rsid w:val="1FF928E0"/>
    <w:rsid w:val="201273B0"/>
    <w:rsid w:val="20802019"/>
    <w:rsid w:val="20813AFB"/>
    <w:rsid w:val="20A93005"/>
    <w:rsid w:val="21011E91"/>
    <w:rsid w:val="219175F2"/>
    <w:rsid w:val="21A943C5"/>
    <w:rsid w:val="21C102E1"/>
    <w:rsid w:val="21CA0FC5"/>
    <w:rsid w:val="21CB7A8D"/>
    <w:rsid w:val="222C5F0C"/>
    <w:rsid w:val="228947D3"/>
    <w:rsid w:val="228A7AB4"/>
    <w:rsid w:val="22A22CC2"/>
    <w:rsid w:val="22AC58FA"/>
    <w:rsid w:val="22C61955"/>
    <w:rsid w:val="2370479F"/>
    <w:rsid w:val="23822D90"/>
    <w:rsid w:val="23837A2D"/>
    <w:rsid w:val="23F83683"/>
    <w:rsid w:val="24136C8F"/>
    <w:rsid w:val="24E55539"/>
    <w:rsid w:val="24EE0C29"/>
    <w:rsid w:val="25AC5839"/>
    <w:rsid w:val="25E83E88"/>
    <w:rsid w:val="25F8280D"/>
    <w:rsid w:val="2636098C"/>
    <w:rsid w:val="266535E3"/>
    <w:rsid w:val="269D412F"/>
    <w:rsid w:val="26C4367E"/>
    <w:rsid w:val="26C53D2A"/>
    <w:rsid w:val="26D356BC"/>
    <w:rsid w:val="27712341"/>
    <w:rsid w:val="27A76424"/>
    <w:rsid w:val="27B269BB"/>
    <w:rsid w:val="28183041"/>
    <w:rsid w:val="28385D2A"/>
    <w:rsid w:val="28525107"/>
    <w:rsid w:val="2878298C"/>
    <w:rsid w:val="287E5A09"/>
    <w:rsid w:val="28DC1FDA"/>
    <w:rsid w:val="28F06F95"/>
    <w:rsid w:val="29803FAC"/>
    <w:rsid w:val="299C2454"/>
    <w:rsid w:val="29B7347D"/>
    <w:rsid w:val="2A5D3820"/>
    <w:rsid w:val="2A675F00"/>
    <w:rsid w:val="2A762DB5"/>
    <w:rsid w:val="2AD97480"/>
    <w:rsid w:val="2B3623DF"/>
    <w:rsid w:val="2BF31E0A"/>
    <w:rsid w:val="2BFB3928"/>
    <w:rsid w:val="2C567F97"/>
    <w:rsid w:val="2CB508DB"/>
    <w:rsid w:val="2CBD10D4"/>
    <w:rsid w:val="2CBE21DF"/>
    <w:rsid w:val="2CF263E7"/>
    <w:rsid w:val="2D8414CD"/>
    <w:rsid w:val="2D9A142E"/>
    <w:rsid w:val="2D9E586D"/>
    <w:rsid w:val="2DB02E51"/>
    <w:rsid w:val="2DB96302"/>
    <w:rsid w:val="2DD572DC"/>
    <w:rsid w:val="2E133583"/>
    <w:rsid w:val="2EA22960"/>
    <w:rsid w:val="2EA905B7"/>
    <w:rsid w:val="2F0467ED"/>
    <w:rsid w:val="2F966ECB"/>
    <w:rsid w:val="2FA45F9C"/>
    <w:rsid w:val="2FB90177"/>
    <w:rsid w:val="3039418B"/>
    <w:rsid w:val="3053118A"/>
    <w:rsid w:val="30A6740B"/>
    <w:rsid w:val="313C25AF"/>
    <w:rsid w:val="31BB41A9"/>
    <w:rsid w:val="31CE3CFE"/>
    <w:rsid w:val="320C0E1E"/>
    <w:rsid w:val="321D4A2C"/>
    <w:rsid w:val="323D51F1"/>
    <w:rsid w:val="325D4B52"/>
    <w:rsid w:val="331C1947"/>
    <w:rsid w:val="33622C84"/>
    <w:rsid w:val="33A6164F"/>
    <w:rsid w:val="341D2BA4"/>
    <w:rsid w:val="34C6590D"/>
    <w:rsid w:val="34D02188"/>
    <w:rsid w:val="34EA52CB"/>
    <w:rsid w:val="35913040"/>
    <w:rsid w:val="35AC50E1"/>
    <w:rsid w:val="36111D9D"/>
    <w:rsid w:val="364C410D"/>
    <w:rsid w:val="36C76613"/>
    <w:rsid w:val="37362E8A"/>
    <w:rsid w:val="37570993"/>
    <w:rsid w:val="37F73B3A"/>
    <w:rsid w:val="38232F84"/>
    <w:rsid w:val="3824288D"/>
    <w:rsid w:val="393C6B83"/>
    <w:rsid w:val="39D44CC7"/>
    <w:rsid w:val="3A1270A7"/>
    <w:rsid w:val="3A3F439C"/>
    <w:rsid w:val="3A590B56"/>
    <w:rsid w:val="3ACC331B"/>
    <w:rsid w:val="3B0C73DB"/>
    <w:rsid w:val="3BD8250B"/>
    <w:rsid w:val="3C384B25"/>
    <w:rsid w:val="3C52403C"/>
    <w:rsid w:val="3C620F8A"/>
    <w:rsid w:val="3C8817F9"/>
    <w:rsid w:val="3D7F2363"/>
    <w:rsid w:val="3D957D09"/>
    <w:rsid w:val="3DBF6E20"/>
    <w:rsid w:val="3E2E5899"/>
    <w:rsid w:val="3E376205"/>
    <w:rsid w:val="3E4A142D"/>
    <w:rsid w:val="3E4F6D08"/>
    <w:rsid w:val="3E6D64BB"/>
    <w:rsid w:val="3E832438"/>
    <w:rsid w:val="3E9E1BB6"/>
    <w:rsid w:val="3EF5551F"/>
    <w:rsid w:val="3F656F05"/>
    <w:rsid w:val="3FD46898"/>
    <w:rsid w:val="40183A24"/>
    <w:rsid w:val="40434A93"/>
    <w:rsid w:val="40474FE4"/>
    <w:rsid w:val="404C7F74"/>
    <w:rsid w:val="41963DC9"/>
    <w:rsid w:val="41E65E55"/>
    <w:rsid w:val="42265E2C"/>
    <w:rsid w:val="42393AA8"/>
    <w:rsid w:val="42774060"/>
    <w:rsid w:val="427F2E3D"/>
    <w:rsid w:val="42980C07"/>
    <w:rsid w:val="42E632A2"/>
    <w:rsid w:val="436377CC"/>
    <w:rsid w:val="43910CE7"/>
    <w:rsid w:val="43AE7DDA"/>
    <w:rsid w:val="43D64743"/>
    <w:rsid w:val="440971C7"/>
    <w:rsid w:val="442D3AB5"/>
    <w:rsid w:val="44942722"/>
    <w:rsid w:val="44C514DC"/>
    <w:rsid w:val="44D114B0"/>
    <w:rsid w:val="45457FC8"/>
    <w:rsid w:val="46B41E45"/>
    <w:rsid w:val="46F5486C"/>
    <w:rsid w:val="470B025B"/>
    <w:rsid w:val="47246AA6"/>
    <w:rsid w:val="4728277B"/>
    <w:rsid w:val="476F15B7"/>
    <w:rsid w:val="486148C2"/>
    <w:rsid w:val="48C679F2"/>
    <w:rsid w:val="49127E1E"/>
    <w:rsid w:val="493A71A3"/>
    <w:rsid w:val="494E511A"/>
    <w:rsid w:val="49A5101E"/>
    <w:rsid w:val="49D64FBE"/>
    <w:rsid w:val="4A095C7F"/>
    <w:rsid w:val="4A4578A8"/>
    <w:rsid w:val="4A514E96"/>
    <w:rsid w:val="4AAF6E00"/>
    <w:rsid w:val="4AB8556D"/>
    <w:rsid w:val="4B114133"/>
    <w:rsid w:val="4B2118C3"/>
    <w:rsid w:val="4B4C67BD"/>
    <w:rsid w:val="4B6D1EF0"/>
    <w:rsid w:val="4B933557"/>
    <w:rsid w:val="4BAF7C10"/>
    <w:rsid w:val="4BFA4068"/>
    <w:rsid w:val="4C041109"/>
    <w:rsid w:val="4C54010E"/>
    <w:rsid w:val="4C6018F1"/>
    <w:rsid w:val="4C6E379B"/>
    <w:rsid w:val="4C7E3321"/>
    <w:rsid w:val="4CAD4EE9"/>
    <w:rsid w:val="4CBB5CB1"/>
    <w:rsid w:val="4CF25AD7"/>
    <w:rsid w:val="4D3E5D6A"/>
    <w:rsid w:val="4D4D4D9D"/>
    <w:rsid w:val="4E07714F"/>
    <w:rsid w:val="4E484ABB"/>
    <w:rsid w:val="4E7A4BF1"/>
    <w:rsid w:val="4E867330"/>
    <w:rsid w:val="4E91383D"/>
    <w:rsid w:val="4F0E6C82"/>
    <w:rsid w:val="4F694416"/>
    <w:rsid w:val="4F7934A7"/>
    <w:rsid w:val="4F8D5546"/>
    <w:rsid w:val="4F9B378B"/>
    <w:rsid w:val="4FF81B4C"/>
    <w:rsid w:val="4FFA2ABB"/>
    <w:rsid w:val="504F6BEF"/>
    <w:rsid w:val="50B53E0C"/>
    <w:rsid w:val="50DB2EBD"/>
    <w:rsid w:val="50DF5B53"/>
    <w:rsid w:val="51706E54"/>
    <w:rsid w:val="51796D24"/>
    <w:rsid w:val="51BE4753"/>
    <w:rsid w:val="51D9504A"/>
    <w:rsid w:val="52181C74"/>
    <w:rsid w:val="526636E5"/>
    <w:rsid w:val="52A12A6D"/>
    <w:rsid w:val="53C105AE"/>
    <w:rsid w:val="546631EF"/>
    <w:rsid w:val="548C28CA"/>
    <w:rsid w:val="54A702C1"/>
    <w:rsid w:val="54CF6520"/>
    <w:rsid w:val="54E05B2D"/>
    <w:rsid w:val="5536453E"/>
    <w:rsid w:val="554C26B5"/>
    <w:rsid w:val="555100C4"/>
    <w:rsid w:val="55C30DCE"/>
    <w:rsid w:val="5607173E"/>
    <w:rsid w:val="565468E6"/>
    <w:rsid w:val="566930C5"/>
    <w:rsid w:val="56A47862"/>
    <w:rsid w:val="56B44B21"/>
    <w:rsid w:val="56BA5C28"/>
    <w:rsid w:val="56BF5839"/>
    <w:rsid w:val="57321BE3"/>
    <w:rsid w:val="575448AE"/>
    <w:rsid w:val="576D52D4"/>
    <w:rsid w:val="57826A63"/>
    <w:rsid w:val="58690003"/>
    <w:rsid w:val="59143830"/>
    <w:rsid w:val="592042EE"/>
    <w:rsid w:val="59706DB8"/>
    <w:rsid w:val="59B37E14"/>
    <w:rsid w:val="5A3D05B1"/>
    <w:rsid w:val="5AE05D29"/>
    <w:rsid w:val="5B1A08E1"/>
    <w:rsid w:val="5B6F655E"/>
    <w:rsid w:val="5B775172"/>
    <w:rsid w:val="5BB46081"/>
    <w:rsid w:val="5C5C0B90"/>
    <w:rsid w:val="5C886C36"/>
    <w:rsid w:val="5CF5740D"/>
    <w:rsid w:val="5D157204"/>
    <w:rsid w:val="5D3F1A18"/>
    <w:rsid w:val="5D455776"/>
    <w:rsid w:val="5DF81349"/>
    <w:rsid w:val="5E1A7141"/>
    <w:rsid w:val="5E480638"/>
    <w:rsid w:val="5EC843A2"/>
    <w:rsid w:val="5EE4684A"/>
    <w:rsid w:val="5F253292"/>
    <w:rsid w:val="5F264E44"/>
    <w:rsid w:val="5F5D2712"/>
    <w:rsid w:val="60A85AF4"/>
    <w:rsid w:val="60E90094"/>
    <w:rsid w:val="60F56F73"/>
    <w:rsid w:val="6123423B"/>
    <w:rsid w:val="613A1EE7"/>
    <w:rsid w:val="615A5095"/>
    <w:rsid w:val="615F4DCC"/>
    <w:rsid w:val="61712C6E"/>
    <w:rsid w:val="619E72BD"/>
    <w:rsid w:val="623E2BB4"/>
    <w:rsid w:val="62B57B44"/>
    <w:rsid w:val="62F20DD2"/>
    <w:rsid w:val="63140E02"/>
    <w:rsid w:val="6365634F"/>
    <w:rsid w:val="6415564E"/>
    <w:rsid w:val="647008AE"/>
    <w:rsid w:val="64793317"/>
    <w:rsid w:val="649F395D"/>
    <w:rsid w:val="64DF0295"/>
    <w:rsid w:val="64E17A5E"/>
    <w:rsid w:val="64F24DD6"/>
    <w:rsid w:val="651257C9"/>
    <w:rsid w:val="65AE4B5E"/>
    <w:rsid w:val="65CA1462"/>
    <w:rsid w:val="66054A8E"/>
    <w:rsid w:val="66104455"/>
    <w:rsid w:val="662B4C38"/>
    <w:rsid w:val="667C4E23"/>
    <w:rsid w:val="66DC5AC2"/>
    <w:rsid w:val="66EA3F39"/>
    <w:rsid w:val="67543487"/>
    <w:rsid w:val="67FA2719"/>
    <w:rsid w:val="68054C77"/>
    <w:rsid w:val="68115665"/>
    <w:rsid w:val="68A5792E"/>
    <w:rsid w:val="68B47B70"/>
    <w:rsid w:val="68D2509D"/>
    <w:rsid w:val="691D5BEC"/>
    <w:rsid w:val="693F0F67"/>
    <w:rsid w:val="69470EFB"/>
    <w:rsid w:val="694C3ED0"/>
    <w:rsid w:val="6AE121F3"/>
    <w:rsid w:val="6B167961"/>
    <w:rsid w:val="6B4920E9"/>
    <w:rsid w:val="6B4A25FC"/>
    <w:rsid w:val="6B997898"/>
    <w:rsid w:val="6BC17147"/>
    <w:rsid w:val="6BDC2542"/>
    <w:rsid w:val="6BDD28BF"/>
    <w:rsid w:val="6BF27CB5"/>
    <w:rsid w:val="6C456F8C"/>
    <w:rsid w:val="6C4E7E00"/>
    <w:rsid w:val="6C845BC4"/>
    <w:rsid w:val="6C8945BC"/>
    <w:rsid w:val="6CA55ED4"/>
    <w:rsid w:val="6D166D19"/>
    <w:rsid w:val="6D5952BE"/>
    <w:rsid w:val="6D5E113B"/>
    <w:rsid w:val="6D644D3E"/>
    <w:rsid w:val="6D8542FA"/>
    <w:rsid w:val="6DA42CEF"/>
    <w:rsid w:val="6DAD357E"/>
    <w:rsid w:val="6DAD5C9A"/>
    <w:rsid w:val="6DEE0D7C"/>
    <w:rsid w:val="6E6D399C"/>
    <w:rsid w:val="6E8275D2"/>
    <w:rsid w:val="6EB53813"/>
    <w:rsid w:val="6F3E5012"/>
    <w:rsid w:val="6F997E4A"/>
    <w:rsid w:val="6FCA2126"/>
    <w:rsid w:val="6FD8428D"/>
    <w:rsid w:val="705679BD"/>
    <w:rsid w:val="706D22C3"/>
    <w:rsid w:val="70845466"/>
    <w:rsid w:val="712B2D0D"/>
    <w:rsid w:val="716F270D"/>
    <w:rsid w:val="71FA600D"/>
    <w:rsid w:val="72442AD4"/>
    <w:rsid w:val="73452BFE"/>
    <w:rsid w:val="734852DC"/>
    <w:rsid w:val="739215A4"/>
    <w:rsid w:val="7429253F"/>
    <w:rsid w:val="74A458F6"/>
    <w:rsid w:val="74FE5F73"/>
    <w:rsid w:val="75B165DE"/>
    <w:rsid w:val="7692511F"/>
    <w:rsid w:val="76CB046F"/>
    <w:rsid w:val="76E03CAD"/>
    <w:rsid w:val="77086171"/>
    <w:rsid w:val="7724248A"/>
    <w:rsid w:val="774D5C29"/>
    <w:rsid w:val="777E0025"/>
    <w:rsid w:val="77AE061D"/>
    <w:rsid w:val="77EE367D"/>
    <w:rsid w:val="796F5689"/>
    <w:rsid w:val="79785121"/>
    <w:rsid w:val="79D67C53"/>
    <w:rsid w:val="79F54E35"/>
    <w:rsid w:val="7A36143C"/>
    <w:rsid w:val="7A467A64"/>
    <w:rsid w:val="7ACD1E65"/>
    <w:rsid w:val="7C3A6439"/>
    <w:rsid w:val="7C670900"/>
    <w:rsid w:val="7CD72AE7"/>
    <w:rsid w:val="7CF61806"/>
    <w:rsid w:val="7D092744"/>
    <w:rsid w:val="7D182D8C"/>
    <w:rsid w:val="7D43668E"/>
    <w:rsid w:val="7D6F1669"/>
    <w:rsid w:val="7DF71248"/>
    <w:rsid w:val="7DFF4E3E"/>
    <w:rsid w:val="7E1C355E"/>
    <w:rsid w:val="7E285A43"/>
    <w:rsid w:val="7EAD69BA"/>
    <w:rsid w:val="7F227268"/>
    <w:rsid w:val="7FD67C4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0"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qFormat="1" w:unhideWhenUsed="0" w:uiPriority="99" w:semiHidden="0" w:name="Closing"/>
    <w:lsdException w:uiPriority="99" w:name="Signature" w:locked="1"/>
    <w:lsdException w:qFormat="1" w:uiPriority="1" w:name="Default Paragraph Font"/>
    <w:lsdException w:uiPriority="99" w:name="Body Text" w:locked="1"/>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name="Body Text Indent 2"/>
    <w:lsdException w:qFormat="1" w:unhideWhenUsed="0" w:uiPriority="99" w:name="Body Text Indent 3"/>
    <w:lsdException w:uiPriority="99" w:name="Block Text" w:locked="1"/>
    <w:lsdException w:qFormat="1" w:unhideWhenUsed="0" w:uiPriority="99" w:semiHidden="0" w:name="Hyperlink"/>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uiPriority="99" w:name="Document Map" w:locked="1"/>
    <w:lsdException w:qFormat="1" w:unhideWhenUsed="0" w:uiPriority="99"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0" w:semiHidden="0" w:name="HTML Cite" w:locked="1"/>
    <w:lsdException w:uiPriority="99" w:name="HTML Code" w:locked="1"/>
    <w:lsdException w:qFormat="1" w:unhideWhenUsed="0" w:uiPriority="0" w:semiHidden="0"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0" w:semiHidden="0"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8"/>
    <w:qFormat/>
    <w:uiPriority w:val="99"/>
    <w:pPr>
      <w:keepNext/>
      <w:keepLines/>
      <w:spacing w:before="120" w:after="120" w:line="480" w:lineRule="exact"/>
      <w:jc w:val="center"/>
      <w:outlineLvl w:val="0"/>
    </w:pPr>
    <w:rPr>
      <w:rFonts w:eastAsia="仿宋_GB2312"/>
      <w:b/>
      <w:bCs/>
      <w:kern w:val="44"/>
      <w:sz w:val="32"/>
      <w:szCs w:val="32"/>
    </w:rPr>
  </w:style>
  <w:style w:type="paragraph" w:styleId="3">
    <w:name w:val="heading 2"/>
    <w:basedOn w:val="1"/>
    <w:next w:val="1"/>
    <w:link w:val="39"/>
    <w:qFormat/>
    <w:uiPriority w:val="99"/>
    <w:pPr>
      <w:keepNext/>
      <w:keepLines/>
      <w:spacing w:line="480" w:lineRule="exact"/>
      <w:ind w:firstLine="200" w:firstLineChars="200"/>
      <w:outlineLvl w:val="1"/>
    </w:pPr>
    <w:rPr>
      <w:rFonts w:eastAsia="仿宋_GB2312"/>
      <w:b/>
      <w:bCs/>
      <w:sz w:val="24"/>
      <w:szCs w:val="24"/>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semiHidden/>
    <w:qFormat/>
    <w:uiPriority w:val="99"/>
    <w:pPr>
      <w:ind w:left="1260"/>
      <w:jc w:val="left"/>
    </w:pPr>
    <w:rPr>
      <w:sz w:val="18"/>
      <w:szCs w:val="18"/>
    </w:rPr>
  </w:style>
  <w:style w:type="paragraph" w:styleId="5">
    <w:name w:val="annotation text"/>
    <w:basedOn w:val="1"/>
    <w:link w:val="43"/>
    <w:qFormat/>
    <w:uiPriority w:val="99"/>
    <w:pPr>
      <w:jc w:val="left"/>
    </w:pPr>
  </w:style>
  <w:style w:type="paragraph" w:styleId="6">
    <w:name w:val="Salutation"/>
    <w:basedOn w:val="1"/>
    <w:next w:val="1"/>
    <w:link w:val="44"/>
    <w:qFormat/>
    <w:uiPriority w:val="99"/>
    <w:rPr>
      <w:rFonts w:ascii="仿宋_GB2312" w:hAnsi="仿宋" w:eastAsia="仿宋_GB2312" w:cs="仿宋_GB2312"/>
      <w:b/>
      <w:bCs/>
      <w:sz w:val="24"/>
      <w:szCs w:val="24"/>
    </w:rPr>
  </w:style>
  <w:style w:type="paragraph" w:styleId="7">
    <w:name w:val="Closing"/>
    <w:basedOn w:val="1"/>
    <w:link w:val="41"/>
    <w:qFormat/>
    <w:uiPriority w:val="99"/>
    <w:pPr>
      <w:ind w:left="100" w:leftChars="2100"/>
    </w:pPr>
    <w:rPr>
      <w:rFonts w:ascii="仿宋_GB2312" w:hAnsi="仿宋" w:eastAsia="仿宋_GB2312" w:cs="仿宋_GB2312"/>
      <w:b/>
      <w:bCs/>
      <w:sz w:val="24"/>
      <w:szCs w:val="24"/>
    </w:rPr>
  </w:style>
  <w:style w:type="paragraph" w:styleId="8">
    <w:name w:val="Body Text Indent"/>
    <w:basedOn w:val="1"/>
    <w:link w:val="53"/>
    <w:semiHidden/>
    <w:qFormat/>
    <w:uiPriority w:val="99"/>
    <w:pPr>
      <w:spacing w:line="600" w:lineRule="exact"/>
      <w:ind w:firstLine="720"/>
    </w:pPr>
    <w:rPr>
      <w:rFonts w:ascii="仿宋_GB2312" w:eastAsia="仿宋_GB2312" w:cs="仿宋_GB2312"/>
      <w:spacing w:val="10"/>
      <w:sz w:val="32"/>
      <w:szCs w:val="32"/>
    </w:rPr>
  </w:style>
  <w:style w:type="paragraph" w:styleId="9">
    <w:name w:val="toc 5"/>
    <w:basedOn w:val="1"/>
    <w:next w:val="1"/>
    <w:semiHidden/>
    <w:qFormat/>
    <w:uiPriority w:val="99"/>
    <w:pPr>
      <w:ind w:left="840"/>
      <w:jc w:val="left"/>
    </w:pPr>
    <w:rPr>
      <w:sz w:val="18"/>
      <w:szCs w:val="18"/>
    </w:rPr>
  </w:style>
  <w:style w:type="paragraph" w:styleId="10">
    <w:name w:val="toc 3"/>
    <w:basedOn w:val="1"/>
    <w:next w:val="1"/>
    <w:semiHidden/>
    <w:qFormat/>
    <w:uiPriority w:val="99"/>
    <w:pPr>
      <w:ind w:left="420"/>
      <w:jc w:val="left"/>
    </w:pPr>
    <w:rPr>
      <w:i/>
      <w:iCs/>
      <w:sz w:val="20"/>
      <w:szCs w:val="20"/>
    </w:rPr>
  </w:style>
  <w:style w:type="paragraph" w:styleId="11">
    <w:name w:val="Plain Text"/>
    <w:basedOn w:val="1"/>
    <w:link w:val="54"/>
    <w:semiHidden/>
    <w:qFormat/>
    <w:uiPriority w:val="99"/>
    <w:pPr>
      <w:widowControl/>
      <w:spacing w:before="100" w:beforeAutospacing="1" w:after="100" w:afterAutospacing="1" w:line="300" w:lineRule="atLeast"/>
      <w:jc w:val="left"/>
    </w:pPr>
    <w:rPr>
      <w:rFonts w:ascii="宋体" w:hAnsi="宋体" w:cs="宋体"/>
      <w:color w:val="333333"/>
      <w:kern w:val="0"/>
      <w:sz w:val="18"/>
      <w:szCs w:val="18"/>
    </w:rPr>
  </w:style>
  <w:style w:type="paragraph" w:styleId="12">
    <w:name w:val="toc 8"/>
    <w:basedOn w:val="1"/>
    <w:next w:val="1"/>
    <w:semiHidden/>
    <w:qFormat/>
    <w:uiPriority w:val="99"/>
    <w:pPr>
      <w:ind w:left="1470"/>
      <w:jc w:val="left"/>
    </w:pPr>
    <w:rPr>
      <w:sz w:val="18"/>
      <w:szCs w:val="18"/>
    </w:rPr>
  </w:style>
  <w:style w:type="paragraph" w:styleId="13">
    <w:name w:val="Date"/>
    <w:basedOn w:val="1"/>
    <w:next w:val="1"/>
    <w:link w:val="48"/>
    <w:semiHidden/>
    <w:qFormat/>
    <w:uiPriority w:val="99"/>
    <w:rPr>
      <w:rFonts w:eastAsia="仿宋_GB2312"/>
      <w:sz w:val="28"/>
      <w:szCs w:val="28"/>
    </w:rPr>
  </w:style>
  <w:style w:type="paragraph" w:styleId="14">
    <w:name w:val="Body Text Indent 2"/>
    <w:basedOn w:val="1"/>
    <w:link w:val="51"/>
    <w:semiHidden/>
    <w:qFormat/>
    <w:uiPriority w:val="99"/>
    <w:pPr>
      <w:spacing w:line="500" w:lineRule="exact"/>
      <w:ind w:left="-49" w:firstLine="680" w:firstLineChars="200"/>
    </w:pPr>
    <w:rPr>
      <w:rFonts w:ascii="仿宋_GB2312" w:hAnsi="宋体" w:eastAsia="仿宋_GB2312" w:cs="仿宋_GB2312"/>
      <w:spacing w:val="20"/>
      <w:sz w:val="30"/>
      <w:szCs w:val="30"/>
    </w:rPr>
  </w:style>
  <w:style w:type="paragraph" w:styleId="15">
    <w:name w:val="Balloon Text"/>
    <w:basedOn w:val="1"/>
    <w:link w:val="58"/>
    <w:semiHidden/>
    <w:qFormat/>
    <w:uiPriority w:val="99"/>
    <w:rPr>
      <w:sz w:val="18"/>
      <w:szCs w:val="18"/>
    </w:rPr>
  </w:style>
  <w:style w:type="paragraph" w:styleId="16">
    <w:name w:val="footer"/>
    <w:basedOn w:val="1"/>
    <w:link w:val="49"/>
    <w:qFormat/>
    <w:uiPriority w:val="99"/>
    <w:pPr>
      <w:tabs>
        <w:tab w:val="center" w:pos="4153"/>
        <w:tab w:val="right" w:pos="8306"/>
      </w:tabs>
      <w:snapToGrid w:val="0"/>
      <w:jc w:val="left"/>
    </w:pPr>
    <w:rPr>
      <w:sz w:val="18"/>
      <w:szCs w:val="18"/>
    </w:rPr>
  </w:style>
  <w:style w:type="paragraph" w:styleId="17">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8890"/>
      </w:tabs>
      <w:spacing w:line="360" w:lineRule="exact"/>
      <w:jc w:val="left"/>
    </w:pPr>
    <w:rPr>
      <w:rFonts w:eastAsia="仿宋_GB2312"/>
      <w:b/>
      <w:bCs/>
      <w:caps/>
    </w:rPr>
  </w:style>
  <w:style w:type="paragraph" w:styleId="19">
    <w:name w:val="toc 4"/>
    <w:basedOn w:val="1"/>
    <w:next w:val="1"/>
    <w:semiHidden/>
    <w:qFormat/>
    <w:uiPriority w:val="0"/>
    <w:pPr>
      <w:ind w:left="630"/>
      <w:jc w:val="left"/>
    </w:pPr>
    <w:rPr>
      <w:sz w:val="18"/>
      <w:szCs w:val="18"/>
    </w:rPr>
  </w:style>
  <w:style w:type="paragraph" w:styleId="20">
    <w:name w:val="toc 6"/>
    <w:basedOn w:val="1"/>
    <w:next w:val="1"/>
    <w:semiHidden/>
    <w:qFormat/>
    <w:uiPriority w:val="99"/>
    <w:pPr>
      <w:ind w:left="1050"/>
      <w:jc w:val="left"/>
    </w:pPr>
    <w:rPr>
      <w:sz w:val="18"/>
      <w:szCs w:val="18"/>
    </w:rPr>
  </w:style>
  <w:style w:type="paragraph" w:styleId="21">
    <w:name w:val="Body Text Indent 3"/>
    <w:basedOn w:val="1"/>
    <w:link w:val="50"/>
    <w:semiHidden/>
    <w:qFormat/>
    <w:uiPriority w:val="99"/>
    <w:pPr>
      <w:spacing w:line="500" w:lineRule="exact"/>
      <w:ind w:firstLine="600" w:firstLineChars="200"/>
    </w:pPr>
    <w:rPr>
      <w:rFonts w:eastAsia="仿宋_GB2312"/>
      <w:sz w:val="30"/>
      <w:szCs w:val="30"/>
    </w:rPr>
  </w:style>
  <w:style w:type="paragraph" w:styleId="22">
    <w:name w:val="toc 2"/>
    <w:basedOn w:val="1"/>
    <w:next w:val="1"/>
    <w:qFormat/>
    <w:uiPriority w:val="39"/>
    <w:pPr>
      <w:tabs>
        <w:tab w:val="right" w:leader="dot" w:pos="8890"/>
      </w:tabs>
      <w:spacing w:line="360" w:lineRule="exact"/>
      <w:ind w:firstLine="210" w:firstLineChars="100"/>
      <w:jc w:val="left"/>
    </w:pPr>
    <w:rPr>
      <w:rFonts w:eastAsia="仿宋_GB2312"/>
      <w:b/>
      <w:bCs/>
      <w:smallCaps/>
    </w:rPr>
  </w:style>
  <w:style w:type="paragraph" w:styleId="23">
    <w:name w:val="toc 9"/>
    <w:basedOn w:val="1"/>
    <w:next w:val="1"/>
    <w:semiHidden/>
    <w:qFormat/>
    <w:uiPriority w:val="99"/>
    <w:pPr>
      <w:ind w:left="1680"/>
      <w:jc w:val="left"/>
    </w:pPr>
    <w:rPr>
      <w:sz w:val="18"/>
      <w:szCs w:val="18"/>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5">
    <w:name w:val="annotation subject"/>
    <w:basedOn w:val="5"/>
    <w:next w:val="5"/>
    <w:link w:val="42"/>
    <w:semiHidden/>
    <w:qFormat/>
    <w:uiPriority w:val="99"/>
    <w:rPr>
      <w:b/>
      <w:bCs/>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locked/>
    <w:uiPriority w:val="0"/>
  </w:style>
  <w:style w:type="character" w:styleId="30">
    <w:name w:val="page number"/>
    <w:basedOn w:val="28"/>
    <w:qFormat/>
    <w:uiPriority w:val="0"/>
  </w:style>
  <w:style w:type="character" w:styleId="31">
    <w:name w:val="FollowedHyperlink"/>
    <w:qFormat/>
    <w:locked/>
    <w:uiPriority w:val="0"/>
    <w:rPr>
      <w:color w:val="333333"/>
      <w:u w:val="none"/>
    </w:rPr>
  </w:style>
  <w:style w:type="character" w:styleId="32">
    <w:name w:val="Emphasis"/>
    <w:qFormat/>
    <w:locked/>
    <w:uiPriority w:val="0"/>
  </w:style>
  <w:style w:type="character" w:styleId="33">
    <w:name w:val="HTML Definition"/>
    <w:qFormat/>
    <w:locked/>
    <w:uiPriority w:val="0"/>
  </w:style>
  <w:style w:type="character" w:styleId="34">
    <w:name w:val="HTML Variable"/>
    <w:qFormat/>
    <w:locked/>
    <w:uiPriority w:val="0"/>
  </w:style>
  <w:style w:type="character" w:styleId="35">
    <w:name w:val="Hyperlink"/>
    <w:qFormat/>
    <w:uiPriority w:val="99"/>
    <w:rPr>
      <w:color w:val="0000FF"/>
      <w:u w:val="single"/>
    </w:rPr>
  </w:style>
  <w:style w:type="character" w:styleId="36">
    <w:name w:val="annotation reference"/>
    <w:semiHidden/>
    <w:qFormat/>
    <w:uiPriority w:val="99"/>
    <w:rPr>
      <w:sz w:val="21"/>
      <w:szCs w:val="21"/>
    </w:rPr>
  </w:style>
  <w:style w:type="character" w:styleId="37">
    <w:name w:val="HTML Cite"/>
    <w:qFormat/>
    <w:locked/>
    <w:uiPriority w:val="0"/>
  </w:style>
  <w:style w:type="character" w:customStyle="1" w:styleId="38">
    <w:name w:val="标题 1 Char"/>
    <w:link w:val="2"/>
    <w:qFormat/>
    <w:locked/>
    <w:uiPriority w:val="99"/>
    <w:rPr>
      <w:rFonts w:eastAsia="仿宋_GB2312"/>
      <w:b/>
      <w:bCs/>
      <w:kern w:val="44"/>
      <w:sz w:val="44"/>
      <w:szCs w:val="44"/>
    </w:rPr>
  </w:style>
  <w:style w:type="character" w:customStyle="1" w:styleId="39">
    <w:name w:val="标题 2 Char"/>
    <w:link w:val="3"/>
    <w:qFormat/>
    <w:locked/>
    <w:uiPriority w:val="99"/>
    <w:rPr>
      <w:rFonts w:eastAsia="仿宋_GB2312"/>
      <w:b/>
      <w:bCs/>
      <w:kern w:val="2"/>
      <w:sz w:val="32"/>
      <w:szCs w:val="32"/>
    </w:rPr>
  </w:style>
  <w:style w:type="character" w:customStyle="1" w:styleId="40">
    <w:name w:val="font11"/>
    <w:qFormat/>
    <w:uiPriority w:val="99"/>
    <w:rPr>
      <w:rFonts w:ascii="仿宋" w:hAnsi="仿宋" w:eastAsia="仿宋" w:cs="仿宋"/>
      <w:color w:val="000000"/>
      <w:sz w:val="21"/>
      <w:szCs w:val="21"/>
      <w:u w:val="none"/>
    </w:rPr>
  </w:style>
  <w:style w:type="character" w:customStyle="1" w:styleId="41">
    <w:name w:val="结束语 Char"/>
    <w:link w:val="7"/>
    <w:qFormat/>
    <w:locked/>
    <w:uiPriority w:val="99"/>
    <w:rPr>
      <w:rFonts w:ascii="仿宋_GB2312" w:hAnsi="仿宋" w:eastAsia="仿宋_GB2312" w:cs="仿宋_GB2312"/>
      <w:b/>
      <w:bCs/>
      <w:kern w:val="2"/>
      <w:sz w:val="24"/>
      <w:szCs w:val="24"/>
    </w:rPr>
  </w:style>
  <w:style w:type="character" w:customStyle="1" w:styleId="42">
    <w:name w:val="批注主题 Char"/>
    <w:link w:val="25"/>
    <w:semiHidden/>
    <w:qFormat/>
    <w:locked/>
    <w:uiPriority w:val="99"/>
    <w:rPr>
      <w:b/>
      <w:bCs/>
      <w:kern w:val="2"/>
      <w:sz w:val="24"/>
      <w:szCs w:val="24"/>
    </w:rPr>
  </w:style>
  <w:style w:type="character" w:customStyle="1" w:styleId="43">
    <w:name w:val="批注文字 Char"/>
    <w:link w:val="5"/>
    <w:qFormat/>
    <w:locked/>
    <w:uiPriority w:val="99"/>
    <w:rPr>
      <w:kern w:val="2"/>
      <w:sz w:val="24"/>
      <w:szCs w:val="24"/>
    </w:rPr>
  </w:style>
  <w:style w:type="character" w:customStyle="1" w:styleId="44">
    <w:name w:val="称呼 Char"/>
    <w:link w:val="6"/>
    <w:qFormat/>
    <w:locked/>
    <w:uiPriority w:val="99"/>
    <w:rPr>
      <w:rFonts w:ascii="仿宋_GB2312" w:hAnsi="仿宋" w:eastAsia="仿宋_GB2312" w:cs="仿宋_GB2312"/>
      <w:b/>
      <w:bCs/>
      <w:kern w:val="2"/>
      <w:sz w:val="24"/>
      <w:szCs w:val="24"/>
    </w:rPr>
  </w:style>
  <w:style w:type="character" w:customStyle="1" w:styleId="45">
    <w:name w:val="apple-style-span"/>
    <w:basedOn w:val="28"/>
    <w:qFormat/>
    <w:uiPriority w:val="99"/>
  </w:style>
  <w:style w:type="character" w:customStyle="1" w:styleId="46">
    <w:name w:val="content1"/>
    <w:qFormat/>
    <w:uiPriority w:val="99"/>
    <w:rPr>
      <w:color w:val="000000"/>
      <w:sz w:val="21"/>
      <w:szCs w:val="21"/>
    </w:rPr>
  </w:style>
  <w:style w:type="character" w:customStyle="1" w:styleId="47">
    <w:name w:val="页眉 Char"/>
    <w:link w:val="17"/>
    <w:qFormat/>
    <w:locked/>
    <w:uiPriority w:val="0"/>
    <w:rPr>
      <w:kern w:val="2"/>
      <w:sz w:val="18"/>
      <w:szCs w:val="18"/>
    </w:rPr>
  </w:style>
  <w:style w:type="character" w:customStyle="1" w:styleId="48">
    <w:name w:val="日期 Char"/>
    <w:link w:val="13"/>
    <w:semiHidden/>
    <w:qFormat/>
    <w:locked/>
    <w:uiPriority w:val="99"/>
    <w:rPr>
      <w:rFonts w:eastAsia="仿宋_GB2312"/>
      <w:kern w:val="2"/>
      <w:sz w:val="28"/>
      <w:szCs w:val="28"/>
    </w:rPr>
  </w:style>
  <w:style w:type="character" w:customStyle="1" w:styleId="49">
    <w:name w:val="页脚 Char"/>
    <w:link w:val="16"/>
    <w:qFormat/>
    <w:locked/>
    <w:uiPriority w:val="0"/>
    <w:rPr>
      <w:kern w:val="2"/>
      <w:sz w:val="18"/>
      <w:szCs w:val="18"/>
    </w:rPr>
  </w:style>
  <w:style w:type="character" w:customStyle="1" w:styleId="50">
    <w:name w:val="正文文本缩进 3 Char"/>
    <w:link w:val="21"/>
    <w:semiHidden/>
    <w:qFormat/>
    <w:uiPriority w:val="99"/>
    <w:rPr>
      <w:sz w:val="16"/>
      <w:szCs w:val="16"/>
    </w:rPr>
  </w:style>
  <w:style w:type="character" w:customStyle="1" w:styleId="51">
    <w:name w:val="正文文本缩进 2 Char"/>
    <w:link w:val="14"/>
    <w:semiHidden/>
    <w:qFormat/>
    <w:uiPriority w:val="99"/>
    <w:rPr>
      <w:szCs w:val="21"/>
    </w:rPr>
  </w:style>
  <w:style w:type="character" w:customStyle="1" w:styleId="52">
    <w:name w:val="Salutation Char1"/>
    <w:semiHidden/>
    <w:qFormat/>
    <w:uiPriority w:val="99"/>
    <w:rPr>
      <w:szCs w:val="21"/>
    </w:rPr>
  </w:style>
  <w:style w:type="character" w:customStyle="1" w:styleId="53">
    <w:name w:val="正文文本缩进 Char"/>
    <w:link w:val="8"/>
    <w:semiHidden/>
    <w:qFormat/>
    <w:uiPriority w:val="99"/>
    <w:rPr>
      <w:szCs w:val="21"/>
    </w:rPr>
  </w:style>
  <w:style w:type="character" w:customStyle="1" w:styleId="54">
    <w:name w:val="纯文本 Char"/>
    <w:link w:val="11"/>
    <w:semiHidden/>
    <w:qFormat/>
    <w:uiPriority w:val="99"/>
    <w:rPr>
      <w:rFonts w:ascii="宋体" w:hAnsi="Courier New" w:cs="Courier New"/>
      <w:szCs w:val="21"/>
    </w:rPr>
  </w:style>
  <w:style w:type="character" w:customStyle="1" w:styleId="55">
    <w:name w:val="Closing Char1"/>
    <w:semiHidden/>
    <w:qFormat/>
    <w:uiPriority w:val="99"/>
    <w:rPr>
      <w:szCs w:val="21"/>
    </w:rPr>
  </w:style>
  <w:style w:type="character" w:customStyle="1" w:styleId="56">
    <w:name w:val="Comment Text Char1"/>
    <w:semiHidden/>
    <w:qFormat/>
    <w:uiPriority w:val="99"/>
    <w:rPr>
      <w:szCs w:val="21"/>
    </w:rPr>
  </w:style>
  <w:style w:type="character" w:customStyle="1" w:styleId="57">
    <w:name w:val="Comment Subject Char1"/>
    <w:semiHidden/>
    <w:qFormat/>
    <w:uiPriority w:val="99"/>
    <w:rPr>
      <w:b/>
      <w:bCs/>
      <w:kern w:val="2"/>
      <w:sz w:val="24"/>
      <w:szCs w:val="21"/>
    </w:rPr>
  </w:style>
  <w:style w:type="character" w:customStyle="1" w:styleId="58">
    <w:name w:val="批注框文本 Char"/>
    <w:link w:val="15"/>
    <w:qFormat/>
    <w:uiPriority w:val="0"/>
    <w:rPr>
      <w:sz w:val="0"/>
      <w:szCs w:val="0"/>
    </w:rPr>
  </w:style>
  <w:style w:type="character" w:customStyle="1" w:styleId="59">
    <w:name w:val="Header Char1"/>
    <w:semiHidden/>
    <w:qFormat/>
    <w:uiPriority w:val="99"/>
    <w:rPr>
      <w:sz w:val="18"/>
      <w:szCs w:val="18"/>
    </w:rPr>
  </w:style>
  <w:style w:type="character" w:customStyle="1" w:styleId="60">
    <w:name w:val="Footer Char1"/>
    <w:semiHidden/>
    <w:qFormat/>
    <w:uiPriority w:val="99"/>
    <w:rPr>
      <w:sz w:val="18"/>
      <w:szCs w:val="18"/>
    </w:rPr>
  </w:style>
  <w:style w:type="character" w:customStyle="1" w:styleId="61">
    <w:name w:val="Date Char1"/>
    <w:semiHidden/>
    <w:qFormat/>
    <w:uiPriority w:val="99"/>
    <w:rPr>
      <w:szCs w:val="21"/>
    </w:rPr>
  </w:style>
  <w:style w:type="paragraph" w:customStyle="1" w:styleId="62">
    <w:name w:val="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63">
    <w:name w:val="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6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styleId="65">
    <w:name w:val="Placeholder Text"/>
    <w:basedOn w:val="28"/>
    <w:semiHidden/>
    <w:qFormat/>
    <w:uiPriority w:val="99"/>
    <w:rPr>
      <w:color w:val="808080"/>
    </w:rPr>
  </w:style>
  <w:style w:type="paragraph" w:styleId="66">
    <w:name w:val="List Paragraph"/>
    <w:basedOn w:val="1"/>
    <w:unhideWhenUsed/>
    <w:qFormat/>
    <w:uiPriority w:val="34"/>
    <w:pPr>
      <w:ind w:firstLine="420" w:firstLineChars="200"/>
    </w:pPr>
  </w:style>
  <w:style w:type="paragraph" w:customStyle="1" w:styleId="67">
    <w:name w:val="列出段落3"/>
    <w:basedOn w:val="1"/>
    <w:qFormat/>
    <w:uiPriority w:val="34"/>
    <w:pPr>
      <w:ind w:firstLine="420" w:firstLineChars="200"/>
    </w:pPr>
    <w:rPr>
      <w:szCs w:val="24"/>
    </w:rPr>
  </w:style>
  <w:style w:type="paragraph" w:customStyle="1" w:styleId="68">
    <w:name w:val="列出段落1"/>
    <w:basedOn w:val="1"/>
    <w:qFormat/>
    <w:uiPriority w:val="34"/>
    <w:pPr>
      <w:ind w:firstLine="420" w:firstLineChars="200"/>
    </w:pPr>
    <w:rPr>
      <w:rFonts w:asciiTheme="minorHAnsi" w:hAnsiTheme="minorHAnsi" w:eastAsiaTheme="minorEastAsia" w:cstheme="minorBidi"/>
      <w:szCs w:val="24"/>
    </w:rPr>
  </w:style>
  <w:style w:type="character" w:customStyle="1" w:styleId="69">
    <w:name w:val="title-name-bg"/>
    <w:basedOn w:val="28"/>
    <w:qFormat/>
    <w:uiPriority w:val="0"/>
  </w:style>
  <w:style w:type="character" w:customStyle="1" w:styleId="70">
    <w:name w:val="icon-sohu-b"/>
    <w:basedOn w:val="28"/>
    <w:qFormat/>
    <w:uiPriority w:val="0"/>
  </w:style>
  <w:style w:type="character" w:customStyle="1" w:styleId="71">
    <w:name w:val="btn-load-bf2"/>
    <w:basedOn w:val="28"/>
    <w:qFormat/>
    <w:uiPriority w:val="0"/>
  </w:style>
  <w:style w:type="character" w:customStyle="1" w:styleId="72">
    <w:name w:val="icon-renren-b"/>
    <w:basedOn w:val="28"/>
    <w:qFormat/>
    <w:uiPriority w:val="0"/>
  </w:style>
  <w:style w:type="character" w:customStyle="1" w:styleId="73">
    <w:name w:val="hover74"/>
    <w:qFormat/>
    <w:uiPriority w:val="0"/>
  </w:style>
  <w:style w:type="character" w:customStyle="1" w:styleId="74">
    <w:name w:val="current1"/>
    <w:qFormat/>
    <w:uiPriority w:val="0"/>
    <w:rPr>
      <w:color w:val="FFFFFF"/>
      <w:u w:val="none"/>
    </w:rPr>
  </w:style>
  <w:style w:type="character" w:customStyle="1" w:styleId="75">
    <w:name w:val="btn-fw"/>
    <w:basedOn w:val="28"/>
    <w:qFormat/>
    <w:uiPriority w:val="0"/>
  </w:style>
  <w:style w:type="character" w:customStyle="1" w:styleId="76">
    <w:name w:val="current"/>
    <w:qFormat/>
    <w:uiPriority w:val="0"/>
    <w:rPr>
      <w:color w:val="FFFFFF"/>
      <w:u w:val="none"/>
    </w:rPr>
  </w:style>
  <w:style w:type="character" w:customStyle="1" w:styleId="77">
    <w:name w:val="icon-sohu-b1"/>
    <w:basedOn w:val="28"/>
    <w:qFormat/>
    <w:uiPriority w:val="0"/>
  </w:style>
  <w:style w:type="character" w:customStyle="1" w:styleId="78">
    <w:name w:val="icon30-sina-b6"/>
    <w:basedOn w:val="28"/>
    <w:qFormat/>
    <w:uiPriority w:val="0"/>
  </w:style>
  <w:style w:type="character" w:customStyle="1" w:styleId="79">
    <w:name w:val="icon30-qq-b1"/>
    <w:basedOn w:val="28"/>
    <w:qFormat/>
    <w:uiPriority w:val="0"/>
  </w:style>
  <w:style w:type="character" w:customStyle="1" w:styleId="80">
    <w:name w:val="icon-sina-b2"/>
    <w:basedOn w:val="28"/>
    <w:qFormat/>
    <w:uiPriority w:val="0"/>
  </w:style>
  <w:style w:type="character" w:customStyle="1" w:styleId="81">
    <w:name w:val="user-floor-gw2"/>
    <w:qFormat/>
    <w:uiPriority w:val="0"/>
  </w:style>
  <w:style w:type="character" w:customStyle="1" w:styleId="82">
    <w:name w:val="icon30-renren-b2"/>
    <w:basedOn w:val="28"/>
    <w:qFormat/>
    <w:uiPriority w:val="0"/>
  </w:style>
  <w:style w:type="character" w:customStyle="1" w:styleId="83">
    <w:name w:val="icon30-sohu-b2"/>
    <w:basedOn w:val="28"/>
    <w:qFormat/>
    <w:uiPriority w:val="0"/>
  </w:style>
  <w:style w:type="character" w:customStyle="1" w:styleId="84">
    <w:name w:val="icon30-sohu-b6"/>
    <w:basedOn w:val="28"/>
    <w:qFormat/>
    <w:uiPriority w:val="0"/>
  </w:style>
  <w:style w:type="character" w:customStyle="1" w:styleId="85">
    <w:name w:val="icon30-visitor-b2"/>
    <w:basedOn w:val="28"/>
    <w:qFormat/>
    <w:uiPriority w:val="0"/>
  </w:style>
  <w:style w:type="character" w:customStyle="1" w:styleId="86">
    <w:name w:val="icon-sohu-cancel-b2"/>
    <w:basedOn w:val="28"/>
    <w:qFormat/>
    <w:uiPriority w:val="0"/>
  </w:style>
  <w:style w:type="character" w:customStyle="1" w:styleId="87">
    <w:name w:val="icon-sina-cancel-b2"/>
    <w:basedOn w:val="28"/>
    <w:qFormat/>
    <w:uiPriority w:val="0"/>
  </w:style>
  <w:style w:type="character" w:customStyle="1" w:styleId="88">
    <w:name w:val="btn-fw7"/>
    <w:basedOn w:val="28"/>
    <w:qFormat/>
    <w:uiPriority w:val="0"/>
  </w:style>
  <w:style w:type="character" w:customStyle="1" w:styleId="89">
    <w:name w:val="icon-qq-b"/>
    <w:basedOn w:val="28"/>
    <w:qFormat/>
    <w:uiPriority w:val="0"/>
  </w:style>
  <w:style w:type="character" w:customStyle="1" w:styleId="90">
    <w:name w:val="icon-qzone-b2"/>
    <w:basedOn w:val="28"/>
    <w:qFormat/>
    <w:uiPriority w:val="0"/>
  </w:style>
  <w:style w:type="character" w:customStyle="1" w:styleId="91">
    <w:name w:val="btn-fw6"/>
    <w:basedOn w:val="28"/>
    <w:qFormat/>
    <w:uiPriority w:val="0"/>
  </w:style>
  <w:style w:type="character" w:customStyle="1" w:styleId="92">
    <w:name w:val="wrap-join-b"/>
    <w:qFormat/>
    <w:uiPriority w:val="0"/>
    <w:rPr>
      <w:color w:val="333333"/>
    </w:rPr>
  </w:style>
  <w:style w:type="character" w:customStyle="1" w:styleId="93">
    <w:name w:val="title-word-gw2"/>
    <w:qFormat/>
    <w:uiPriority w:val="0"/>
  </w:style>
  <w:style w:type="character" w:customStyle="1" w:styleId="94">
    <w:name w:val="icon-sina-click-b"/>
    <w:basedOn w:val="28"/>
    <w:qFormat/>
    <w:uiPriority w:val="0"/>
  </w:style>
  <w:style w:type="character" w:customStyle="1" w:styleId="95">
    <w:name w:val="title-word-gw"/>
    <w:qFormat/>
    <w:uiPriority w:val="0"/>
  </w:style>
  <w:style w:type="character" w:customStyle="1" w:styleId="96">
    <w:name w:val="btn-load-bf3"/>
    <w:qFormat/>
    <w:uiPriority w:val="0"/>
  </w:style>
  <w:style w:type="character" w:customStyle="1" w:styleId="97">
    <w:name w:val="icon30-sina-b"/>
    <w:basedOn w:val="28"/>
    <w:qFormat/>
    <w:uiPriority w:val="0"/>
  </w:style>
  <w:style w:type="character" w:customStyle="1" w:styleId="98">
    <w:name w:val="current2"/>
    <w:qFormat/>
    <w:uiPriority w:val="0"/>
    <w:rPr>
      <w:color w:val="FFFFFF"/>
      <w:u w:val="none"/>
    </w:rPr>
  </w:style>
  <w:style w:type="character" w:customStyle="1" w:styleId="99">
    <w:name w:val="icon30-renren-b4"/>
    <w:basedOn w:val="28"/>
    <w:qFormat/>
    <w:uiPriority w:val="0"/>
  </w:style>
  <w:style w:type="character" w:customStyle="1" w:styleId="100">
    <w:name w:val="icon30-qq-b7"/>
    <w:basedOn w:val="28"/>
    <w:qFormat/>
    <w:uiPriority w:val="0"/>
  </w:style>
  <w:style w:type="character" w:customStyle="1" w:styleId="101">
    <w:name w:val="icon30-sina-b4"/>
    <w:basedOn w:val="28"/>
    <w:qFormat/>
    <w:uiPriority w:val="0"/>
  </w:style>
  <w:style w:type="character" w:customStyle="1" w:styleId="102">
    <w:name w:val="title-word-bg"/>
    <w:qFormat/>
    <w:uiPriority w:val="0"/>
    <w:rPr>
      <w:color w:val="FFDCD3"/>
    </w:rPr>
  </w:style>
  <w:style w:type="character" w:customStyle="1" w:styleId="103">
    <w:name w:val="icon30-qq-b6"/>
    <w:basedOn w:val="28"/>
    <w:qFormat/>
    <w:uiPriority w:val="0"/>
  </w:style>
  <w:style w:type="character" w:customStyle="1" w:styleId="104">
    <w:name w:val="title-word-bg2"/>
    <w:qFormat/>
    <w:uiPriority w:val="0"/>
    <w:rPr>
      <w:color w:val="FFDCD3"/>
    </w:rPr>
  </w:style>
  <w:style w:type="character" w:customStyle="1" w:styleId="105">
    <w:name w:val="icon-qzone-b1"/>
    <w:basedOn w:val="28"/>
    <w:qFormat/>
    <w:uiPriority w:val="0"/>
  </w:style>
  <w:style w:type="character" w:customStyle="1" w:styleId="106">
    <w:name w:val="icon30-renren-b"/>
    <w:basedOn w:val="28"/>
    <w:qFormat/>
    <w:uiPriority w:val="0"/>
  </w:style>
  <w:style w:type="character" w:customStyle="1" w:styleId="107">
    <w:name w:val="icon-sina-click-b1"/>
    <w:basedOn w:val="28"/>
    <w:qFormat/>
    <w:uiPriority w:val="0"/>
  </w:style>
  <w:style w:type="character" w:customStyle="1" w:styleId="108">
    <w:name w:val="icon-qq-click-b"/>
    <w:basedOn w:val="28"/>
    <w:qFormat/>
    <w:uiPriority w:val="0"/>
  </w:style>
  <w:style w:type="character" w:customStyle="1" w:styleId="109">
    <w:name w:val="comment-text-w1"/>
    <w:qFormat/>
    <w:uiPriority w:val="0"/>
    <w:rPr>
      <w:color w:val="333333"/>
    </w:rPr>
  </w:style>
  <w:style w:type="character" w:customStyle="1" w:styleId="110">
    <w:name w:val="icon-renren-cancel-b1"/>
    <w:basedOn w:val="28"/>
    <w:qFormat/>
    <w:uiPriority w:val="0"/>
  </w:style>
  <w:style w:type="character" w:customStyle="1" w:styleId="111">
    <w:name w:val="icon-sohu-click-b2"/>
    <w:basedOn w:val="28"/>
    <w:qFormat/>
    <w:uiPriority w:val="0"/>
  </w:style>
  <w:style w:type="character" w:customStyle="1" w:styleId="112">
    <w:name w:val="icon30-sina-b2"/>
    <w:basedOn w:val="28"/>
    <w:qFormat/>
    <w:uiPriority w:val="0"/>
  </w:style>
  <w:style w:type="character" w:customStyle="1" w:styleId="113">
    <w:name w:val="btn-load-bf1"/>
    <w:qFormat/>
    <w:uiPriority w:val="0"/>
  </w:style>
  <w:style w:type="character" w:customStyle="1" w:styleId="114">
    <w:name w:val="icon-renren-b1"/>
    <w:basedOn w:val="28"/>
    <w:qFormat/>
    <w:uiPriority w:val="0"/>
  </w:style>
  <w:style w:type="character" w:customStyle="1" w:styleId="115">
    <w:name w:val="icon-sina-click-b2"/>
    <w:basedOn w:val="28"/>
    <w:qFormat/>
    <w:uiPriority w:val="0"/>
  </w:style>
  <w:style w:type="character" w:customStyle="1" w:styleId="116">
    <w:name w:val="icon30-visitor-b"/>
    <w:basedOn w:val="28"/>
    <w:qFormat/>
    <w:uiPriority w:val="0"/>
  </w:style>
  <w:style w:type="character" w:customStyle="1" w:styleId="117">
    <w:name w:val="icon-sina-b1"/>
    <w:basedOn w:val="28"/>
    <w:qFormat/>
    <w:uiPriority w:val="0"/>
  </w:style>
  <w:style w:type="character" w:customStyle="1" w:styleId="118">
    <w:name w:val="icon30-qq-b"/>
    <w:basedOn w:val="28"/>
    <w:qFormat/>
    <w:uiPriority w:val="0"/>
  </w:style>
  <w:style w:type="character" w:customStyle="1" w:styleId="119">
    <w:name w:val="icon-sina-cancel-b"/>
    <w:basedOn w:val="28"/>
    <w:qFormat/>
    <w:uiPriority w:val="0"/>
  </w:style>
  <w:style w:type="character" w:customStyle="1" w:styleId="120">
    <w:name w:val="comment-text-w"/>
    <w:qFormat/>
    <w:uiPriority w:val="0"/>
    <w:rPr>
      <w:vanish/>
      <w:color w:val="5788AA"/>
    </w:rPr>
  </w:style>
  <w:style w:type="character" w:customStyle="1" w:styleId="121">
    <w:name w:val="icon-qq-click-b2"/>
    <w:basedOn w:val="28"/>
    <w:qFormat/>
    <w:uiPriority w:val="0"/>
  </w:style>
  <w:style w:type="character" w:customStyle="1" w:styleId="122">
    <w:name w:val="icon30-sohu-b7"/>
    <w:basedOn w:val="28"/>
    <w:qFormat/>
    <w:uiPriority w:val="0"/>
  </w:style>
  <w:style w:type="character" w:customStyle="1" w:styleId="123">
    <w:name w:val="hover77"/>
    <w:basedOn w:val="28"/>
    <w:qFormat/>
    <w:uiPriority w:val="0"/>
  </w:style>
  <w:style w:type="character" w:customStyle="1" w:styleId="124">
    <w:name w:val="icon30-renren-b1"/>
    <w:basedOn w:val="28"/>
    <w:qFormat/>
    <w:uiPriority w:val="0"/>
  </w:style>
  <w:style w:type="character" w:customStyle="1" w:styleId="125">
    <w:name w:val="prompt-empty-w"/>
    <w:qFormat/>
    <w:uiPriority w:val="0"/>
    <w:rPr>
      <w:color w:val="EE542A"/>
    </w:rPr>
  </w:style>
  <w:style w:type="character" w:customStyle="1" w:styleId="126">
    <w:name w:val="btn-load-bf5"/>
    <w:qFormat/>
    <w:uiPriority w:val="0"/>
  </w:style>
  <w:style w:type="character" w:customStyle="1" w:styleId="127">
    <w:name w:val="icon30-sohu-b1"/>
    <w:basedOn w:val="28"/>
    <w:qFormat/>
    <w:uiPriority w:val="0"/>
  </w:style>
  <w:style w:type="character" w:customStyle="1" w:styleId="128">
    <w:name w:val="icon-renren-click-b2"/>
    <w:basedOn w:val="28"/>
    <w:qFormat/>
    <w:uiPriority w:val="0"/>
  </w:style>
  <w:style w:type="character" w:customStyle="1" w:styleId="129">
    <w:name w:val="icon-qq-cancel-b2"/>
    <w:basedOn w:val="28"/>
    <w:qFormat/>
    <w:uiPriority w:val="0"/>
  </w:style>
  <w:style w:type="character" w:customStyle="1" w:styleId="130">
    <w:name w:val="prompt-succeed-w"/>
    <w:basedOn w:val="28"/>
    <w:qFormat/>
    <w:uiPriority w:val="0"/>
  </w:style>
  <w:style w:type="character" w:customStyle="1" w:styleId="131">
    <w:name w:val="icon-renren-click-b1"/>
    <w:basedOn w:val="28"/>
    <w:qFormat/>
    <w:uiPriority w:val="0"/>
  </w:style>
  <w:style w:type="character" w:customStyle="1" w:styleId="132">
    <w:name w:val="icon30-sohu-b8"/>
    <w:basedOn w:val="28"/>
    <w:qFormat/>
    <w:uiPriority w:val="0"/>
  </w:style>
  <w:style w:type="character" w:customStyle="1" w:styleId="133">
    <w:name w:val="icon-qq-b1"/>
    <w:basedOn w:val="28"/>
    <w:qFormat/>
    <w:uiPriority w:val="0"/>
  </w:style>
  <w:style w:type="character" w:customStyle="1" w:styleId="134">
    <w:name w:val="icon-sohu-cancel-b1"/>
    <w:basedOn w:val="28"/>
    <w:qFormat/>
    <w:uiPriority w:val="0"/>
  </w:style>
  <w:style w:type="character" w:customStyle="1" w:styleId="135">
    <w:name w:val="icon30-sina-b1"/>
    <w:basedOn w:val="28"/>
    <w:qFormat/>
    <w:uiPriority w:val="0"/>
  </w:style>
  <w:style w:type="character" w:customStyle="1" w:styleId="136">
    <w:name w:val="icon30-qq-b8"/>
    <w:basedOn w:val="28"/>
    <w:qFormat/>
    <w:uiPriority w:val="0"/>
  </w:style>
  <w:style w:type="character" w:customStyle="1" w:styleId="137">
    <w:name w:val="icon-renren-click-b"/>
    <w:basedOn w:val="28"/>
    <w:qFormat/>
    <w:uiPriority w:val="0"/>
  </w:style>
  <w:style w:type="character" w:customStyle="1" w:styleId="138">
    <w:name w:val="icon-sohu-b2"/>
    <w:basedOn w:val="28"/>
    <w:qFormat/>
    <w:uiPriority w:val="0"/>
  </w:style>
  <w:style w:type="character" w:customStyle="1" w:styleId="139">
    <w:name w:val="user-time-gw4"/>
    <w:qFormat/>
    <w:uiPriority w:val="0"/>
    <w:rPr>
      <w:vanish/>
    </w:rPr>
  </w:style>
  <w:style w:type="character" w:customStyle="1" w:styleId="140">
    <w:name w:val="icon30-sohu-b"/>
    <w:basedOn w:val="28"/>
    <w:qFormat/>
    <w:uiPriority w:val="0"/>
  </w:style>
  <w:style w:type="character" w:customStyle="1" w:styleId="141">
    <w:name w:val="current3"/>
    <w:qFormat/>
    <w:uiPriority w:val="0"/>
    <w:rPr>
      <w:color w:val="FFFFFF"/>
      <w:u w:val="none"/>
    </w:rPr>
  </w:style>
  <w:style w:type="character" w:customStyle="1" w:styleId="142">
    <w:name w:val="hover76"/>
    <w:qFormat/>
    <w:uiPriority w:val="0"/>
  </w:style>
  <w:style w:type="character" w:customStyle="1" w:styleId="143">
    <w:name w:val="icon-renren-cancel-b"/>
    <w:basedOn w:val="28"/>
    <w:qFormat/>
    <w:uiPriority w:val="0"/>
  </w:style>
  <w:style w:type="character" w:customStyle="1" w:styleId="144">
    <w:name w:val="title-name-gw2"/>
    <w:basedOn w:val="28"/>
    <w:qFormat/>
    <w:uiPriority w:val="0"/>
  </w:style>
  <w:style w:type="character" w:customStyle="1" w:styleId="145">
    <w:name w:val="icon-renren-cancel-b2"/>
    <w:basedOn w:val="28"/>
    <w:qFormat/>
    <w:uiPriority w:val="0"/>
  </w:style>
  <w:style w:type="character" w:customStyle="1" w:styleId="146">
    <w:name w:val="icon-qq-b2"/>
    <w:basedOn w:val="28"/>
    <w:qFormat/>
    <w:uiPriority w:val="0"/>
  </w:style>
  <w:style w:type="character" w:customStyle="1" w:styleId="147">
    <w:name w:val="hover75"/>
    <w:basedOn w:val="28"/>
    <w:qFormat/>
    <w:uiPriority w:val="0"/>
  </w:style>
  <w:style w:type="character" w:customStyle="1" w:styleId="148">
    <w:name w:val="icon-sina-b"/>
    <w:basedOn w:val="28"/>
    <w:qFormat/>
    <w:uiPriority w:val="0"/>
  </w:style>
  <w:style w:type="character" w:customStyle="1" w:styleId="149">
    <w:name w:val="btn-load-bf"/>
    <w:basedOn w:val="28"/>
    <w:qFormat/>
    <w:uiPriority w:val="0"/>
  </w:style>
  <w:style w:type="character" w:customStyle="1" w:styleId="150">
    <w:name w:val="icon-qq-cancel-b"/>
    <w:basedOn w:val="28"/>
    <w:qFormat/>
    <w:uiPriority w:val="0"/>
  </w:style>
  <w:style w:type="character" w:customStyle="1" w:styleId="151">
    <w:name w:val="icon30-renren-b3"/>
    <w:basedOn w:val="28"/>
    <w:qFormat/>
    <w:uiPriority w:val="0"/>
  </w:style>
  <w:style w:type="character" w:customStyle="1" w:styleId="152">
    <w:name w:val="icon30-sina-b5"/>
    <w:basedOn w:val="28"/>
    <w:qFormat/>
    <w:uiPriority w:val="0"/>
  </w:style>
  <w:style w:type="character" w:customStyle="1" w:styleId="153">
    <w:name w:val="icon-qq-cancel-b1"/>
    <w:basedOn w:val="28"/>
    <w:qFormat/>
    <w:uiPriority w:val="0"/>
  </w:style>
  <w:style w:type="character" w:customStyle="1" w:styleId="154">
    <w:name w:val="icon-sohu-click-b1"/>
    <w:basedOn w:val="28"/>
    <w:qFormat/>
    <w:uiPriority w:val="0"/>
  </w:style>
  <w:style w:type="character" w:customStyle="1" w:styleId="155">
    <w:name w:val="icon-sohu-click-b"/>
    <w:basedOn w:val="28"/>
    <w:qFormat/>
    <w:uiPriority w:val="0"/>
  </w:style>
  <w:style w:type="character" w:customStyle="1" w:styleId="156">
    <w:name w:val="icon30-qq-b2"/>
    <w:basedOn w:val="28"/>
    <w:qFormat/>
    <w:uiPriority w:val="0"/>
  </w:style>
  <w:style w:type="character" w:customStyle="1" w:styleId="157">
    <w:name w:val="icon-renren-b2"/>
    <w:basedOn w:val="28"/>
    <w:qFormat/>
    <w:uiPriority w:val="0"/>
  </w:style>
  <w:style w:type="character" w:customStyle="1" w:styleId="158">
    <w:name w:val="icon-qzone-b"/>
    <w:basedOn w:val="28"/>
    <w:qFormat/>
    <w:uiPriority w:val="0"/>
  </w:style>
  <w:style w:type="character" w:customStyle="1" w:styleId="159">
    <w:name w:val="user-top-gw2"/>
    <w:qFormat/>
    <w:uiPriority w:val="0"/>
    <w:rPr>
      <w:vanish/>
    </w:rPr>
  </w:style>
  <w:style w:type="character" w:customStyle="1" w:styleId="160">
    <w:name w:val="icon-qq-click-b1"/>
    <w:basedOn w:val="28"/>
    <w:qFormat/>
    <w:uiPriority w:val="0"/>
  </w:style>
  <w:style w:type="character" w:customStyle="1" w:styleId="161">
    <w:name w:val="icon-sohu-cancel-b"/>
    <w:basedOn w:val="28"/>
    <w:qFormat/>
    <w:uiPriority w:val="0"/>
  </w:style>
  <w:style w:type="character" w:customStyle="1" w:styleId="162">
    <w:name w:val="icon-sina-cancel-b1"/>
    <w:basedOn w:val="28"/>
    <w:qFormat/>
    <w:uiPriority w:val="0"/>
  </w:style>
  <w:style w:type="character" w:customStyle="1" w:styleId="163">
    <w:name w:val="btn-load-bf4"/>
    <w:qFormat/>
    <w:uiPriority w:val="0"/>
  </w:style>
  <w:style w:type="table" w:customStyle="1" w:styleId="164">
    <w:name w:val="网格型1"/>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5">
    <w:name w:val="页眉 Char1"/>
    <w:qFormat/>
    <w:uiPriority w:val="99"/>
    <w:rPr>
      <w:sz w:val="18"/>
      <w:szCs w:val="18"/>
    </w:rPr>
  </w:style>
  <w:style w:type="character" w:customStyle="1" w:styleId="166">
    <w:name w:val="页脚 Char1"/>
    <w:qFormat/>
    <w:uiPriority w:val="99"/>
    <w:rPr>
      <w:sz w:val="18"/>
      <w:szCs w:val="18"/>
    </w:rPr>
  </w:style>
  <w:style w:type="character" w:customStyle="1" w:styleId="167">
    <w:name w:val="font21"/>
    <w:basedOn w:val="28"/>
    <w:qFormat/>
    <w:uiPriority w:val="0"/>
    <w:rPr>
      <w:rFonts w:hint="eastAsia" w:ascii="宋体" w:hAnsi="宋体" w:eastAsia="宋体" w:cs="宋体"/>
      <w:color w:val="333333"/>
      <w:sz w:val="22"/>
      <w:szCs w:val="22"/>
      <w:u w:val="none"/>
    </w:rPr>
  </w:style>
  <w:style w:type="character" w:customStyle="1" w:styleId="168">
    <w:name w:val="font01"/>
    <w:basedOn w:val="28"/>
    <w:qFormat/>
    <w:uiPriority w:val="0"/>
    <w:rPr>
      <w:rFonts w:ascii="Helvetica" w:hAnsi="Helvetica" w:eastAsia="Helvetica" w:cs="Helvetica"/>
      <w:color w:val="333333"/>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bmp"/><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3077"/>
    <customShpInfo spid="_x0000_s3074"/>
    <customShpInfo spid="_x0000_s3079"/>
    <customShpInfo spid="_x0000_s3078"/>
    <customShpInfo spid="_x0000_s3076"/>
    <customShpInfo spid="_x0000_s307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72A166-206F-4009-A527-25398953C61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3355</Words>
  <Characters>19129</Characters>
  <Lines>159</Lines>
  <Paragraphs>44</Paragraphs>
  <TotalTime>2</TotalTime>
  <ScaleCrop>false</ScaleCrop>
  <LinksUpToDate>false</LinksUpToDate>
  <CharactersWithSpaces>22440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2020-09-15T07:22:00Z</dcterms:created>
  <dc:creator>job</dc:creator>
  <cp:lastModifiedBy>123</cp:lastModifiedBy>
  <cp:lastPrinted>2022-08-16T06:35:00Z</cp:lastPrinted>
  <dcterms:modified xsi:type="dcterms:W3CDTF">2022-09-13T00:51:49Z</dcterms:modified>
  <dc:title>房地产价格评估报告</dc:title>
  <cp:revision>380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