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spacing w:before="30" w:line="360" w:lineRule="auto"/>
        <w:ind w:left="0" w:right="84"/>
        <w:jc w:val="center"/>
        <w:rPr>
          <w:rFonts w:ascii="仿宋_GB2312" w:eastAsia="仿宋_GB2312"/>
          <w:b/>
          <w:sz w:val="44"/>
          <w:szCs w:val="44"/>
          <w:lang w:eastAsia="zh-CN"/>
        </w:rPr>
      </w:pPr>
      <w:r>
        <w:rPr>
          <w:rFonts w:hint="eastAsia" w:ascii="仿宋_GB2312" w:eastAsia="仿宋_GB2312"/>
          <w:b/>
          <w:color w:val="1C1C23"/>
          <w:sz w:val="44"/>
          <w:szCs w:val="44"/>
          <w:lang w:eastAsia="zh-CN"/>
        </w:rPr>
        <w:t>拟拍卖房地产询价报告书</w:t>
      </w:r>
    </w:p>
    <w:p>
      <w:pPr>
        <w:spacing w:before="70" w:line="360" w:lineRule="auto"/>
        <w:ind w:right="2568" w:firstLine="2058" w:firstLineChars="700"/>
        <w:jc w:val="center"/>
        <w:rPr>
          <w:rFonts w:ascii="仿宋_GB2312" w:eastAsia="仿宋_GB2312"/>
          <w:sz w:val="28"/>
          <w:szCs w:val="28"/>
          <w:lang w:eastAsia="zh-CN"/>
        </w:rPr>
      </w:pPr>
      <w:r>
        <w:rPr>
          <w:rFonts w:hint="eastAsia" w:ascii="仿宋_GB2312" w:eastAsia="仿宋_GB2312"/>
          <w:color w:val="1C1C23"/>
          <w:w w:val="105"/>
          <w:sz w:val="28"/>
          <w:szCs w:val="28"/>
          <w:lang w:eastAsia="zh-CN"/>
        </w:rPr>
        <w:t>正宇评估(2022)</w:t>
      </w:r>
      <w:r>
        <w:rPr>
          <w:rFonts w:hint="eastAsia" w:ascii="仿宋_GB2312" w:eastAsia="仿宋_GB2312"/>
          <w:color w:val="1C1C23"/>
          <w:w w:val="105"/>
          <w:sz w:val="28"/>
          <w:szCs w:val="28"/>
          <w:highlight w:val="none"/>
          <w:lang w:eastAsia="zh-CN"/>
        </w:rPr>
        <w:t>XJ0</w:t>
      </w:r>
      <w:r>
        <w:rPr>
          <w:rFonts w:hint="eastAsia" w:ascii="仿宋_GB2312" w:eastAsia="仿宋_GB2312"/>
          <w:w w:val="105"/>
          <w:sz w:val="28"/>
          <w:szCs w:val="28"/>
          <w:highlight w:val="none"/>
          <w:lang w:eastAsia="zh-CN"/>
        </w:rPr>
        <w:t>1</w:t>
      </w:r>
      <w:r>
        <w:rPr>
          <w:rFonts w:hint="eastAsia" w:ascii="仿宋_GB2312" w:eastAsia="仿宋_GB2312"/>
          <w:w w:val="105"/>
          <w:sz w:val="28"/>
          <w:szCs w:val="28"/>
          <w:highlight w:val="none"/>
          <w:lang w:val="en-US" w:eastAsia="zh-CN"/>
        </w:rPr>
        <w:t>9</w:t>
      </w:r>
      <w:r>
        <w:rPr>
          <w:rFonts w:hint="eastAsia" w:ascii="仿宋_GB2312" w:eastAsia="仿宋_GB2312"/>
          <w:color w:val="1C1C23"/>
          <w:w w:val="105"/>
          <w:sz w:val="28"/>
          <w:szCs w:val="28"/>
          <w:lang w:eastAsia="zh-CN"/>
        </w:rPr>
        <w:t>号</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eastAsia="仿宋_GB2312"/>
          <w:b/>
          <w:color w:val="1C1C23"/>
          <w:spacing w:val="8"/>
          <w:w w:val="105"/>
          <w:sz w:val="28"/>
          <w:szCs w:val="28"/>
          <w:lang w:eastAsia="zh-CN"/>
        </w:rPr>
        <w:t>一、委托方：</w:t>
      </w:r>
      <w:r>
        <w:rPr>
          <w:rFonts w:hint="eastAsia" w:ascii="仿宋_GB2312" w:hAnsi="仿宋" w:eastAsia="仿宋_GB2312" w:cs="Times New Roman"/>
          <w:kern w:val="2"/>
          <w:sz w:val="28"/>
          <w:szCs w:val="28"/>
          <w:lang w:eastAsia="zh-CN"/>
        </w:rPr>
        <w:t>山东海洋产权交易中心有限公司</w:t>
      </w:r>
    </w:p>
    <w:p>
      <w:pPr>
        <w:pStyle w:val="2"/>
        <w:spacing w:before="20" w:line="360" w:lineRule="auto"/>
        <w:ind w:firstLine="565"/>
        <w:rPr>
          <w:rFonts w:ascii="仿宋_GB2312" w:eastAsia="仿宋_GB2312"/>
          <w:color w:val="1C1C23"/>
          <w:spacing w:val="8"/>
          <w:w w:val="105"/>
          <w:sz w:val="28"/>
          <w:szCs w:val="28"/>
          <w:lang w:eastAsia="zh-CN"/>
        </w:rPr>
      </w:pPr>
      <w:r>
        <w:rPr>
          <w:rFonts w:hint="eastAsia" w:ascii="仿宋_GB2312" w:eastAsia="仿宋_GB2312"/>
          <w:b/>
          <w:color w:val="1C1C23"/>
          <w:spacing w:val="8"/>
          <w:w w:val="105"/>
          <w:sz w:val="28"/>
          <w:szCs w:val="28"/>
          <w:lang w:eastAsia="zh-CN"/>
        </w:rPr>
        <w:t>二、询价目的：</w:t>
      </w:r>
      <w:r>
        <w:rPr>
          <w:rFonts w:hint="eastAsia" w:ascii="仿宋_GB2312" w:hAnsi="仿宋" w:eastAsia="仿宋_GB2312" w:cs="Times New Roman"/>
          <w:kern w:val="2"/>
          <w:sz w:val="28"/>
          <w:szCs w:val="28"/>
          <w:lang w:eastAsia="zh-CN"/>
        </w:rPr>
        <w:t xml:space="preserve">为网络司法拍卖提供价值参考依据。 </w:t>
      </w:r>
    </w:p>
    <w:p>
      <w:pPr>
        <w:pStyle w:val="2"/>
        <w:spacing w:before="20" w:line="360" w:lineRule="auto"/>
        <w:ind w:firstLine="565"/>
        <w:rPr>
          <w:rFonts w:ascii="仿宋_GB2312" w:eastAsia="仿宋_GB2312"/>
          <w:color w:val="1C1C23"/>
          <w:spacing w:val="8"/>
          <w:w w:val="105"/>
          <w:sz w:val="28"/>
          <w:szCs w:val="28"/>
          <w:lang w:eastAsia="zh-CN"/>
        </w:rPr>
      </w:pPr>
      <w:r>
        <w:rPr>
          <w:rFonts w:hint="eastAsia" w:ascii="仿宋_GB2312" w:eastAsia="仿宋_GB2312"/>
          <w:b/>
          <w:color w:val="1C1C23"/>
          <w:spacing w:val="8"/>
          <w:w w:val="105"/>
          <w:sz w:val="28"/>
          <w:szCs w:val="28"/>
          <w:lang w:eastAsia="zh-CN"/>
        </w:rPr>
        <w:t>三、价值时点:</w:t>
      </w:r>
      <w:r>
        <w:rPr>
          <w:rFonts w:hint="eastAsia" w:ascii="仿宋_GB2312" w:hAnsi="仿宋" w:eastAsia="仿宋_GB2312" w:cs="Times New Roman"/>
          <w:kern w:val="2"/>
          <w:sz w:val="28"/>
          <w:szCs w:val="28"/>
          <w:lang w:eastAsia="zh-CN"/>
        </w:rPr>
        <w:t>2022年7月22日，以估价人员现场勘查之日确定。</w:t>
      </w:r>
    </w:p>
    <w:p>
      <w:pPr>
        <w:pStyle w:val="2"/>
        <w:spacing w:before="20" w:line="360" w:lineRule="auto"/>
        <w:ind w:firstLine="565"/>
        <w:rPr>
          <w:rFonts w:ascii="仿宋_GB2312" w:eastAsia="仿宋_GB2312"/>
          <w:b/>
          <w:color w:val="1C1C23"/>
          <w:spacing w:val="8"/>
          <w:w w:val="105"/>
          <w:sz w:val="28"/>
          <w:szCs w:val="28"/>
          <w:lang w:eastAsia="zh-CN"/>
        </w:rPr>
      </w:pPr>
      <w:r>
        <w:rPr>
          <w:rFonts w:hint="eastAsia" w:ascii="仿宋_GB2312" w:eastAsia="仿宋_GB2312"/>
          <w:b/>
          <w:color w:val="1C1C23"/>
          <w:spacing w:val="8"/>
          <w:w w:val="105"/>
          <w:sz w:val="28"/>
          <w:szCs w:val="28"/>
          <w:lang w:eastAsia="zh-CN"/>
        </w:rPr>
        <w:t>四、询价依据：</w:t>
      </w:r>
    </w:p>
    <w:p>
      <w:pPr>
        <w:pStyle w:val="2"/>
        <w:spacing w:line="600" w:lineRule="exact"/>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（一）《中华人民共和国房地产管理法》、《中华人民共和国土地管理法》、其他与评估相关的法律、法规和规章制度等</w:t>
      </w:r>
    </w:p>
    <w:p>
      <w:pPr>
        <w:pStyle w:val="2"/>
        <w:spacing w:line="600" w:lineRule="exact"/>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（二）《房地产估价规范》（GB/T50291-2015）、国家标准《房地产估价基本术语标准》（GB/T50899-2013）</w:t>
      </w:r>
    </w:p>
    <w:p>
      <w:pPr>
        <w:spacing w:line="360" w:lineRule="auto"/>
        <w:ind w:firstLine="560" w:firstLineChars="200"/>
        <w:rPr>
          <w:rFonts w:ascii="仿宋" w:hAnsi="仿宋" w:eastAsia="仿宋"/>
          <w:sz w:val="28"/>
          <w:szCs w:val="28"/>
          <w:lang w:eastAsia="zh-CN"/>
        </w:rPr>
      </w:pPr>
      <w:r>
        <w:rPr>
          <w:rFonts w:hint="eastAsia" w:ascii="仿宋_GB2312" w:hAnsi="仿宋" w:eastAsia="仿宋_GB2312" w:cs="Times New Roman"/>
          <w:kern w:val="2"/>
          <w:sz w:val="28"/>
          <w:szCs w:val="28"/>
          <w:lang w:eastAsia="zh-CN"/>
        </w:rPr>
        <w:t>（三）</w:t>
      </w:r>
      <w:r>
        <w:rPr>
          <w:rFonts w:ascii="仿宋" w:hAnsi="仿宋" w:eastAsia="仿宋"/>
          <w:sz w:val="28"/>
          <w:szCs w:val="28"/>
          <w:lang w:eastAsia="zh-CN"/>
        </w:rPr>
        <w:t>《涉执房地产处置司法评估指导意见（试行）》中房学</w:t>
      </w:r>
      <w:r>
        <w:rPr>
          <w:rFonts w:hint="eastAsia" w:ascii="仿宋" w:hAnsi="仿宋" w:eastAsia="仿宋"/>
          <w:sz w:val="28"/>
          <w:szCs w:val="28"/>
          <w:lang w:eastAsia="zh-CN"/>
        </w:rPr>
        <w:t>[2021]37号</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（四）委托人提供的询价对象房地产相关资料：</w:t>
      </w:r>
    </w:p>
    <w:p>
      <w:pPr>
        <w:pStyle w:val="2"/>
        <w:spacing w:before="20" w:line="360" w:lineRule="auto"/>
        <w:ind w:firstLine="1400" w:firstLineChars="500"/>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烟台市不动产登记信息查询结果复印件；</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（五）评估人员通过现场查勘及市场调查获取的资料。</w:t>
      </w:r>
    </w:p>
    <w:p>
      <w:pPr>
        <w:pStyle w:val="2"/>
        <w:spacing w:before="20" w:line="360" w:lineRule="auto"/>
        <w:ind w:firstLine="565"/>
        <w:rPr>
          <w:rFonts w:ascii="仿宋_GB2312" w:eastAsia="仿宋_GB2312"/>
          <w:color w:val="1C1C23"/>
          <w:spacing w:val="8"/>
          <w:w w:val="105"/>
          <w:sz w:val="28"/>
          <w:szCs w:val="28"/>
          <w:lang w:eastAsia="zh-CN"/>
        </w:rPr>
      </w:pPr>
      <w:r>
        <w:rPr>
          <w:rFonts w:hint="eastAsia" w:ascii="仿宋_GB2312" w:eastAsia="仿宋_GB2312"/>
          <w:b/>
          <w:color w:val="1C1C23"/>
          <w:spacing w:val="8"/>
          <w:w w:val="105"/>
          <w:sz w:val="28"/>
          <w:szCs w:val="28"/>
          <w:lang w:eastAsia="zh-CN"/>
        </w:rPr>
        <w:t>五、询价对象：</w:t>
      </w:r>
    </w:p>
    <w:p>
      <w:pPr>
        <w:pStyle w:val="2"/>
        <w:spacing w:before="20" w:line="360" w:lineRule="auto"/>
        <w:ind w:firstLine="565"/>
        <w:rPr>
          <w:rFonts w:ascii="仿宋_GB2312" w:hAnsi="仿宋" w:eastAsia="仿宋" w:cs="Times New Roman"/>
          <w:kern w:val="2"/>
          <w:sz w:val="28"/>
          <w:szCs w:val="28"/>
          <w:lang w:eastAsia="zh-CN"/>
        </w:rPr>
      </w:pPr>
      <w:r>
        <w:rPr>
          <w:rFonts w:hint="eastAsia" w:ascii="仿宋_GB2312" w:hAnsi="仿宋" w:eastAsia="仿宋_GB2312" w:cs="Times New Roman"/>
          <w:kern w:val="2"/>
          <w:sz w:val="28"/>
          <w:szCs w:val="28"/>
          <w:lang w:eastAsia="zh-CN"/>
        </w:rPr>
        <w:t>1、询价</w:t>
      </w:r>
      <w:r>
        <w:rPr>
          <w:rFonts w:ascii="仿宋_GB2312" w:hAnsi="仿宋" w:eastAsia="仿宋_GB2312" w:cs="Times New Roman"/>
          <w:kern w:val="2"/>
          <w:sz w:val="28"/>
          <w:szCs w:val="28"/>
          <w:lang w:eastAsia="zh-CN"/>
        </w:rPr>
        <w:t>对象</w:t>
      </w:r>
      <w:r>
        <w:rPr>
          <w:rFonts w:hint="eastAsia" w:ascii="仿宋_GB2312" w:hAnsi="仿宋" w:eastAsia="仿宋_GB2312" w:cs="Times New Roman"/>
          <w:kern w:val="2"/>
          <w:sz w:val="28"/>
          <w:szCs w:val="28"/>
          <w:lang w:eastAsia="zh-CN"/>
        </w:rPr>
        <w:t>的</w:t>
      </w:r>
      <w:r>
        <w:rPr>
          <w:rFonts w:ascii="仿宋_GB2312" w:hAnsi="仿宋" w:eastAsia="仿宋_GB2312" w:cs="Times New Roman"/>
          <w:kern w:val="2"/>
          <w:sz w:val="28"/>
          <w:szCs w:val="28"/>
          <w:lang w:eastAsia="zh-CN"/>
        </w:rPr>
        <w:t>界定</w:t>
      </w:r>
      <w:r>
        <w:rPr>
          <w:rFonts w:hint="eastAsia" w:ascii="仿宋_GB2312" w:hAnsi="仿宋" w:eastAsia="仿宋_GB2312" w:cs="Times New Roman"/>
          <w:kern w:val="2"/>
          <w:sz w:val="28"/>
          <w:szCs w:val="28"/>
          <w:lang w:eastAsia="zh-CN"/>
        </w:rPr>
        <w:t>：</w:t>
      </w:r>
      <w:r>
        <w:rPr>
          <w:rFonts w:hint="eastAsia" w:ascii="仿宋" w:hAnsi="仿宋" w:eastAsia="仿宋"/>
          <w:sz w:val="28"/>
          <w:szCs w:val="28"/>
          <w:lang w:eastAsia="zh-CN"/>
        </w:rPr>
        <w:t>由</w:t>
      </w:r>
      <w:r>
        <w:rPr>
          <w:rFonts w:hint="eastAsia" w:ascii="仿宋_GB2312" w:hAnsi="仿宋" w:eastAsia="仿宋_GB2312" w:cs="Times New Roman"/>
          <w:kern w:val="2"/>
          <w:sz w:val="28"/>
          <w:szCs w:val="28"/>
          <w:lang w:eastAsia="zh-CN"/>
        </w:rPr>
        <w:t>宫振军</w:t>
      </w:r>
      <w:r>
        <w:rPr>
          <w:rFonts w:hint="eastAsia" w:ascii="仿宋" w:hAnsi="仿宋" w:eastAsia="仿宋"/>
          <w:sz w:val="28"/>
          <w:szCs w:val="28"/>
          <w:lang w:eastAsia="zh-CN"/>
        </w:rPr>
        <w:t>拥有产权，坐落于</w:t>
      </w:r>
      <w:r>
        <w:rPr>
          <w:rFonts w:hint="eastAsia" w:ascii="仿宋_GB2312" w:hAnsi="仿宋" w:eastAsia="仿宋_GB2312"/>
          <w:sz w:val="28"/>
          <w:szCs w:val="28"/>
          <w:lang w:eastAsia="zh-CN"/>
        </w:rPr>
        <w:t>牟平区通海路601号18号楼1-1001号的</w:t>
      </w:r>
      <w:r>
        <w:rPr>
          <w:rFonts w:hint="eastAsia" w:ascii="仿宋" w:hAnsi="仿宋" w:eastAsia="仿宋"/>
          <w:sz w:val="28"/>
          <w:szCs w:val="28"/>
          <w:lang w:eastAsia="zh-CN"/>
        </w:rPr>
        <w:t>住宅房地产，</w:t>
      </w:r>
      <w:r>
        <w:rPr>
          <w:rFonts w:hint="eastAsia" w:ascii="仿宋" w:hAnsi="仿宋" w:eastAsia="仿宋" w:cs="仿宋"/>
          <w:sz w:val="28"/>
          <w:szCs w:val="28"/>
          <w:lang w:eastAsia="zh-CN"/>
        </w:rPr>
        <w:t>即建筑面积为197.65平方米的住宅</w:t>
      </w:r>
      <w:r>
        <w:rPr>
          <w:rFonts w:hint="eastAsia" w:ascii="仿宋" w:hAnsi="仿宋" w:eastAsia="仿宋"/>
          <w:sz w:val="28"/>
          <w:szCs w:val="28"/>
          <w:lang w:eastAsia="zh-CN"/>
        </w:rPr>
        <w:t>以及相应分摊的国有土地使用权。</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2、询价对象的权益、实物及区位状况（详见下页表格，</w:t>
      </w:r>
      <w:r>
        <w:rPr>
          <w:rFonts w:ascii="仿宋_GB2312" w:hAnsi="仿宋" w:eastAsia="仿宋_GB2312" w:cs="Times New Roman"/>
          <w:kern w:val="2"/>
          <w:sz w:val="28"/>
          <w:szCs w:val="28"/>
          <w:lang w:eastAsia="zh-CN"/>
        </w:rPr>
        <w:t>照片见附件</w:t>
      </w:r>
      <w:r>
        <w:rPr>
          <w:rFonts w:hint="eastAsia" w:ascii="仿宋_GB2312" w:hAnsi="仿宋" w:eastAsia="仿宋_GB2312" w:cs="Times New Roman"/>
          <w:kern w:val="2"/>
          <w:sz w:val="28"/>
          <w:szCs w:val="28"/>
          <w:lang w:eastAsia="zh-CN"/>
        </w:rPr>
        <w:t>）：</w:t>
      </w:r>
    </w:p>
    <w:p>
      <w:pPr>
        <w:pStyle w:val="2"/>
        <w:spacing w:before="20" w:line="360" w:lineRule="auto"/>
        <w:ind w:firstLine="565"/>
        <w:rPr>
          <w:rFonts w:ascii="仿宋_GB2312" w:hAnsi="仿宋" w:eastAsia="仿宋_GB2312" w:cs="Times New Roman"/>
          <w:kern w:val="2"/>
          <w:sz w:val="28"/>
          <w:szCs w:val="28"/>
          <w:lang w:eastAsia="zh-CN"/>
        </w:rPr>
      </w:pPr>
    </w:p>
    <w:p>
      <w:pPr>
        <w:widowControl/>
        <w:autoSpaceDE/>
        <w:autoSpaceDN/>
        <w:jc w:val="center"/>
        <w:rPr>
          <w:rFonts w:ascii="仿宋_GB2312" w:eastAsia="仿宋_GB2312"/>
          <w:color w:val="1C1C23"/>
          <w:w w:val="80"/>
          <w:sz w:val="28"/>
          <w:szCs w:val="28"/>
          <w:lang w:eastAsia="zh-CN"/>
        </w:rPr>
      </w:pPr>
      <w:r>
        <w:rPr>
          <w:rFonts w:hint="eastAsia" w:ascii="仿宋_GB2312" w:hAnsi="仿宋" w:eastAsia="仿宋_GB2312"/>
          <w:b/>
          <w:sz w:val="30"/>
          <w:szCs w:val="30"/>
          <w:lang w:eastAsia="zh-CN"/>
        </w:rPr>
        <w:t>询价对象权益、实物、区位状况一览表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2648"/>
        <w:gridCol w:w="1266"/>
        <w:gridCol w:w="1826"/>
        <w:gridCol w:w="2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9" w:type="pct"/>
            <w:noWrap/>
            <w:vAlign w:val="center"/>
          </w:tcPr>
          <w:p>
            <w:pPr>
              <w:jc w:val="center"/>
              <w:rPr>
                <w:rFonts w:ascii="仿宋_GB2312" w:hAnsi="仿宋" w:eastAsia="仿宋_GB2312"/>
                <w:szCs w:val="21"/>
              </w:rPr>
            </w:pPr>
            <w:r>
              <w:rPr>
                <w:rFonts w:hint="eastAsia" w:ascii="仿宋_GB2312" w:hAnsi="仿宋" w:eastAsia="仿宋_GB2312"/>
                <w:szCs w:val="21"/>
              </w:rPr>
              <w:t>项目</w:t>
            </w:r>
          </w:p>
        </w:tc>
        <w:tc>
          <w:tcPr>
            <w:tcW w:w="4670" w:type="pct"/>
            <w:gridSpan w:val="4"/>
            <w:noWrap/>
            <w:vAlign w:val="center"/>
          </w:tcPr>
          <w:p>
            <w:pPr>
              <w:jc w:val="center"/>
              <w:rPr>
                <w:rFonts w:ascii="仿宋_GB2312" w:hAnsi="仿宋" w:eastAsia="仿宋_GB2312"/>
                <w:szCs w:val="21"/>
              </w:rPr>
            </w:pPr>
            <w:r>
              <w:rPr>
                <w:rFonts w:hint="eastAsia" w:ascii="仿宋_GB2312" w:hAnsi="仿宋" w:eastAsia="仿宋_GB2312"/>
                <w:szCs w:val="21"/>
              </w:rPr>
              <w:t>详细状况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restart"/>
            <w:noWrap/>
            <w:vAlign w:val="center"/>
          </w:tcPr>
          <w:p>
            <w:pPr>
              <w:jc w:val="center"/>
              <w:rPr>
                <w:rFonts w:ascii="仿宋_GB2312" w:hAnsi="仿宋" w:eastAsia="仿宋_GB2312"/>
                <w:szCs w:val="21"/>
              </w:rPr>
            </w:pPr>
            <w:r>
              <w:rPr>
                <w:rFonts w:hint="eastAsia" w:ascii="仿宋_GB2312" w:hAnsi="仿宋" w:eastAsia="仿宋_GB2312"/>
                <w:szCs w:val="21"/>
                <w:lang w:val="en-US" w:eastAsia="zh-CN"/>
              </w:rPr>
              <w:t>权益</w:t>
            </w:r>
            <w:r>
              <w:rPr>
                <w:rFonts w:hint="eastAsia" w:ascii="仿宋_GB2312" w:hAnsi="仿宋" w:eastAsia="仿宋_GB2312"/>
                <w:szCs w:val="21"/>
              </w:rPr>
              <w:t>状</w:t>
            </w:r>
          </w:p>
          <w:p>
            <w:pPr>
              <w:jc w:val="center"/>
              <w:rPr>
                <w:rFonts w:ascii="仿宋_GB2312" w:hAnsi="仿宋" w:eastAsia="仿宋_GB2312"/>
                <w:szCs w:val="21"/>
                <w:lang w:eastAsia="zh-CN"/>
              </w:rPr>
            </w:pPr>
            <w:r>
              <w:rPr>
                <w:rFonts w:hint="eastAsia" w:ascii="仿宋_GB2312" w:hAnsi="仿宋" w:eastAsia="仿宋_GB2312"/>
                <w:szCs w:val="21"/>
              </w:rPr>
              <w:t>况</w:t>
            </w:r>
          </w:p>
        </w:tc>
        <w:tc>
          <w:tcPr>
            <w:tcW w:w="1553" w:type="pct"/>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产权证号：047999</w:t>
            </w:r>
          </w:p>
        </w:tc>
        <w:tc>
          <w:tcPr>
            <w:tcW w:w="1814" w:type="pct"/>
            <w:gridSpan w:val="2"/>
            <w:tcBorders>
              <w:bottom w:val="single" w:color="auto" w:sz="4" w:space="0"/>
            </w:tcBorders>
            <w:vAlign w:val="center"/>
          </w:tcPr>
          <w:p>
            <w:pPr>
              <w:rPr>
                <w:rFonts w:ascii="仿宋_GB2312" w:hAnsi="仿宋" w:eastAsia="仿宋_GB2312"/>
                <w:szCs w:val="21"/>
                <w:lang w:eastAsia="zh-CN"/>
              </w:rPr>
            </w:pPr>
            <w:r>
              <w:rPr>
                <w:rFonts w:hint="eastAsia" w:ascii="仿宋_GB2312" w:hAnsi="仿宋" w:eastAsia="仿宋_GB2312"/>
                <w:szCs w:val="21"/>
                <w:lang w:eastAsia="zh-CN"/>
              </w:rPr>
              <w:t>权利人名称：宫振军</w:t>
            </w:r>
          </w:p>
        </w:tc>
        <w:tc>
          <w:tcPr>
            <w:tcW w:w="1303" w:type="pct"/>
            <w:vAlign w:val="center"/>
          </w:tcPr>
          <w:p>
            <w:pPr>
              <w:rPr>
                <w:rFonts w:ascii="仿宋_GB2312" w:hAnsi="仿宋" w:eastAsia="仿宋_GB2312"/>
                <w:szCs w:val="21"/>
                <w:lang w:eastAsia="zh-CN"/>
              </w:rPr>
            </w:pPr>
            <w:r>
              <w:rPr>
                <w:rFonts w:hint="eastAsia" w:ascii="仿宋_GB2312" w:hAnsi="仿宋" w:eastAsia="仿宋_GB2312"/>
                <w:szCs w:val="21"/>
                <w:lang w:eastAsia="zh-CN"/>
              </w:rPr>
              <w:t>占有份额：单独所有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jc w:val="both"/>
              <w:rPr>
                <w:rFonts w:ascii="仿宋_GB2312" w:hAnsi="仿宋" w:eastAsia="仿宋_GB2312"/>
                <w:szCs w:val="21"/>
                <w:lang w:eastAsia="zh-CN"/>
              </w:rPr>
            </w:pPr>
            <w:r>
              <w:rPr>
                <w:rFonts w:hint="eastAsia" w:ascii="仿宋_GB2312" w:hAnsi="仿宋" w:eastAsia="仿宋_GB2312"/>
                <w:szCs w:val="21"/>
                <w:lang w:eastAsia="zh-CN"/>
              </w:rPr>
              <w:t>不动产单元号：370612002002GB00160F00070037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lang w:eastAsia="zh-CN"/>
              </w:rPr>
            </w:pPr>
          </w:p>
        </w:tc>
        <w:tc>
          <w:tcPr>
            <w:tcW w:w="1553" w:type="pct"/>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不动产类型：房屋</w:t>
            </w:r>
          </w:p>
        </w:tc>
        <w:tc>
          <w:tcPr>
            <w:tcW w:w="1814" w:type="pct"/>
            <w:gridSpan w:val="2"/>
            <w:tcBorders>
              <w:bottom w:val="nil"/>
            </w:tcBorders>
            <w:vAlign w:val="center"/>
          </w:tcPr>
          <w:p>
            <w:pPr>
              <w:rPr>
                <w:rFonts w:ascii="仿宋_GB2312" w:hAnsi="仿宋" w:eastAsia="仿宋_GB2312"/>
                <w:szCs w:val="21"/>
                <w:lang w:eastAsia="zh-CN"/>
              </w:rPr>
            </w:pPr>
            <w:r>
              <w:rPr>
                <w:rFonts w:hint="eastAsia" w:ascii="仿宋_GB2312" w:hAnsi="仿宋" w:eastAsia="仿宋_GB2312"/>
                <w:szCs w:val="21"/>
                <w:lang w:eastAsia="zh-CN"/>
              </w:rPr>
              <w:t>不动产性质：市场化商品房</w:t>
            </w:r>
          </w:p>
        </w:tc>
        <w:tc>
          <w:tcPr>
            <w:tcW w:w="1303" w:type="pct"/>
            <w:vAlign w:val="center"/>
          </w:tcPr>
          <w:p>
            <w:pPr>
              <w:rPr>
                <w:rFonts w:ascii="仿宋_GB2312" w:hAnsi="仿宋" w:eastAsia="仿宋_GB2312"/>
                <w:szCs w:val="21"/>
                <w:lang w:eastAsia="zh-CN"/>
              </w:rPr>
            </w:pPr>
            <w:r>
              <w:rPr>
                <w:rFonts w:hint="eastAsia" w:ascii="仿宋_GB2312" w:hAnsi="仿宋" w:eastAsia="仿宋_GB2312"/>
                <w:szCs w:val="21"/>
                <w:lang w:eastAsia="zh-CN"/>
              </w:rPr>
              <w:t>用途：住宅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rPr>
                <w:rFonts w:hint="eastAsia" w:ascii="仿宋_GB2312" w:hAnsi="仿宋" w:eastAsia="仿宋_GB2312"/>
                <w:szCs w:val="21"/>
                <w:lang w:val="en-US" w:eastAsia="zh-CN"/>
              </w:rPr>
            </w:pPr>
            <w:r>
              <w:rPr>
                <w:rFonts w:hint="eastAsia" w:ascii="仿宋_GB2312" w:hAnsi="仿宋" w:eastAsia="仿宋_GB2312"/>
                <w:szCs w:val="21"/>
                <w:lang w:val="en-US" w:eastAsia="zh-CN"/>
              </w:rPr>
              <w:t>抵押、查封信息：</w:t>
            </w:r>
          </w:p>
          <w:p>
            <w:pPr>
              <w:rPr>
                <w:rFonts w:hint="default" w:ascii="仿宋_GB2312" w:hAnsi="仿宋" w:eastAsia="仿宋_GB2312"/>
                <w:szCs w:val="21"/>
                <w:lang w:val="en-US" w:eastAsia="zh-CN"/>
              </w:rPr>
            </w:pPr>
            <w:r>
              <w:rPr>
                <w:rFonts w:hint="eastAsia" w:ascii="仿宋_GB2312" w:hAnsi="仿宋" w:eastAsia="仿宋_GB2312"/>
                <w:szCs w:val="21"/>
                <w:lang w:val="en-US" w:eastAsia="zh-CN"/>
              </w:rPr>
              <w:t>无抵押、预告信息。</w:t>
            </w:r>
          </w:p>
          <w:p>
            <w:pPr>
              <w:rPr>
                <w:rFonts w:hint="default" w:ascii="仿宋_GB2312" w:hAnsi="仿宋" w:eastAsia="仿宋_GB2312"/>
                <w:szCs w:val="21"/>
                <w:lang w:val="en-US" w:eastAsia="zh-CN"/>
              </w:rPr>
            </w:pPr>
            <w:r>
              <w:rPr>
                <w:rFonts w:hint="eastAsia" w:ascii="仿宋_GB2312" w:hAnsi="仿宋" w:eastAsia="仿宋_GB2312"/>
                <w:szCs w:val="21"/>
                <w:lang w:val="en-US" w:eastAsia="zh-CN"/>
              </w:rPr>
              <w:t>已查封，</w:t>
            </w:r>
            <w:r>
              <w:rPr>
                <w:rFonts w:hint="eastAsia" w:ascii="仿宋_GB2312" w:hAnsi="仿宋" w:eastAsia="仿宋_GB2312"/>
                <w:szCs w:val="21"/>
                <w:lang w:eastAsia="zh-CN"/>
              </w:rPr>
              <w:t>查封机构</w:t>
            </w:r>
            <w:r>
              <w:rPr>
                <w:rFonts w:hint="eastAsia" w:ascii="仿宋_GB2312" w:hAnsi="仿宋" w:eastAsia="仿宋_GB2312"/>
                <w:szCs w:val="21"/>
                <w:lang w:val="en-US" w:eastAsia="zh-CN"/>
              </w:rPr>
              <w:t>为</w:t>
            </w:r>
            <w:r>
              <w:rPr>
                <w:rFonts w:hint="eastAsia" w:ascii="仿宋_GB2312" w:hAnsi="仿宋" w:eastAsia="仿宋_GB2312"/>
                <w:szCs w:val="21"/>
                <w:lang w:eastAsia="zh-CN"/>
              </w:rPr>
              <w:t>山东省烟台市中级人民法院；查封期限</w:t>
            </w:r>
            <w:r>
              <w:rPr>
                <w:rFonts w:hint="eastAsia" w:ascii="仿宋_GB2312" w:hAnsi="仿宋" w:eastAsia="仿宋_GB2312"/>
                <w:szCs w:val="21"/>
                <w:lang w:val="en-US" w:eastAsia="zh-CN"/>
              </w:rPr>
              <w:t>为</w:t>
            </w:r>
            <w:r>
              <w:rPr>
                <w:rFonts w:hint="eastAsia" w:ascii="仿宋_GB2312" w:hAnsi="仿宋" w:eastAsia="仿宋_GB2312"/>
                <w:szCs w:val="21"/>
                <w:lang w:eastAsia="zh-CN"/>
              </w:rPr>
              <w:t>36</w:t>
            </w:r>
            <w:r>
              <w:rPr>
                <w:rFonts w:hint="eastAsia" w:ascii="仿宋_GB2312" w:hAnsi="仿宋" w:eastAsia="仿宋_GB2312"/>
                <w:szCs w:val="21"/>
                <w:lang w:val="en-US" w:eastAsia="zh-CN"/>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329" w:type="pct"/>
            <w:vMerge w:val="restart"/>
            <w:noWrap/>
            <w:vAlign w:val="center"/>
          </w:tcPr>
          <w:p>
            <w:pPr>
              <w:jc w:val="center"/>
              <w:rPr>
                <w:rFonts w:ascii="仿宋_GB2312" w:hAnsi="仿宋" w:eastAsia="仿宋_GB2312"/>
                <w:szCs w:val="21"/>
              </w:rPr>
            </w:pPr>
            <w:r>
              <w:rPr>
                <w:rFonts w:hint="eastAsia" w:ascii="仿宋_GB2312" w:hAnsi="仿宋" w:eastAsia="仿宋_GB2312"/>
                <w:szCs w:val="21"/>
              </w:rPr>
              <w:t>建</w:t>
            </w:r>
          </w:p>
          <w:p>
            <w:pPr>
              <w:jc w:val="center"/>
              <w:rPr>
                <w:rFonts w:ascii="仿宋_GB2312" w:hAnsi="仿宋" w:eastAsia="仿宋_GB2312"/>
                <w:szCs w:val="21"/>
              </w:rPr>
            </w:pPr>
            <w:r>
              <w:rPr>
                <w:rFonts w:hint="eastAsia" w:ascii="仿宋_GB2312" w:hAnsi="仿宋" w:eastAsia="仿宋_GB2312"/>
                <w:szCs w:val="21"/>
              </w:rPr>
              <w:t>筑</w:t>
            </w:r>
          </w:p>
          <w:p>
            <w:pPr>
              <w:jc w:val="center"/>
              <w:rPr>
                <w:rFonts w:ascii="仿宋_GB2312" w:hAnsi="仿宋" w:eastAsia="仿宋_GB2312"/>
                <w:szCs w:val="21"/>
              </w:rPr>
            </w:pPr>
            <w:r>
              <w:rPr>
                <w:rFonts w:hint="eastAsia" w:ascii="仿宋_GB2312" w:hAnsi="仿宋" w:eastAsia="仿宋_GB2312"/>
                <w:szCs w:val="21"/>
              </w:rPr>
              <w:t>物</w:t>
            </w:r>
          </w:p>
          <w:p>
            <w:pPr>
              <w:jc w:val="center"/>
              <w:rPr>
                <w:rFonts w:ascii="仿宋_GB2312" w:hAnsi="仿宋" w:eastAsia="仿宋_GB2312"/>
                <w:szCs w:val="21"/>
              </w:rPr>
            </w:pPr>
            <w:r>
              <w:rPr>
                <w:rFonts w:hint="eastAsia" w:ascii="仿宋_GB2312" w:hAnsi="仿宋" w:eastAsia="仿宋_GB2312"/>
                <w:szCs w:val="21"/>
              </w:rPr>
              <w:t>状</w:t>
            </w:r>
          </w:p>
          <w:p>
            <w:pPr>
              <w:jc w:val="center"/>
              <w:rPr>
                <w:rFonts w:ascii="仿宋_GB2312" w:hAnsi="仿宋" w:eastAsia="仿宋_GB2312"/>
                <w:szCs w:val="21"/>
              </w:rPr>
            </w:pPr>
            <w:r>
              <w:rPr>
                <w:rFonts w:hint="eastAsia" w:ascii="仿宋_GB2312" w:hAnsi="仿宋" w:eastAsia="仿宋_GB2312"/>
                <w:szCs w:val="21"/>
              </w:rPr>
              <w:t>况</w:t>
            </w: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房屋坐落：牟平区通海路601号18号楼1-1001号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lang w:eastAsia="zh-CN"/>
              </w:rPr>
            </w:pPr>
          </w:p>
        </w:tc>
        <w:tc>
          <w:tcPr>
            <w:tcW w:w="1553" w:type="pct"/>
            <w:noWrap/>
            <w:vAlign w:val="center"/>
          </w:tcPr>
          <w:p>
            <w:pPr>
              <w:rPr>
                <w:rFonts w:ascii="仿宋_GB2312" w:hAnsi="仿宋" w:eastAsia="仿宋_GB2312"/>
                <w:szCs w:val="21"/>
                <w:lang w:eastAsia="zh-CN"/>
              </w:rPr>
            </w:pPr>
            <w:r>
              <w:rPr>
                <w:rFonts w:hint="eastAsia" w:ascii="仿宋_GB2312" w:hAnsi="仿宋" w:eastAsia="仿宋_GB2312"/>
                <w:szCs w:val="21"/>
              </w:rPr>
              <w:t>建筑面积：</w:t>
            </w:r>
            <w:r>
              <w:rPr>
                <w:rFonts w:hint="eastAsia" w:ascii="仿宋_GB2312" w:hAnsi="仿宋" w:eastAsia="仿宋_GB2312"/>
                <w:szCs w:val="21"/>
                <w:lang w:eastAsia="zh-CN"/>
              </w:rPr>
              <w:t>197.65</w:t>
            </w:r>
            <w:r>
              <w:rPr>
                <w:rFonts w:hint="eastAsia" w:ascii="仿宋_GB2312" w:hAnsi="仿宋" w:eastAsia="仿宋_GB2312"/>
                <w:szCs w:val="21"/>
              </w:rPr>
              <w:t>㎡</w:t>
            </w:r>
          </w:p>
        </w:tc>
        <w:tc>
          <w:tcPr>
            <w:tcW w:w="1814" w:type="pct"/>
            <w:gridSpan w:val="2"/>
            <w:noWrap/>
            <w:vAlign w:val="center"/>
          </w:tcPr>
          <w:p>
            <w:pPr>
              <w:rPr>
                <w:rFonts w:hint="default" w:ascii="仿宋_GB2312" w:hAnsi="仿宋" w:eastAsia="仿宋_GB2312"/>
                <w:szCs w:val="21"/>
                <w:lang w:val="en-US" w:eastAsia="zh-CN"/>
              </w:rPr>
            </w:pPr>
            <w:r>
              <w:rPr>
                <w:rFonts w:hint="eastAsia" w:ascii="仿宋_GB2312" w:hAnsi="仿宋" w:eastAsia="仿宋_GB2312"/>
                <w:szCs w:val="21"/>
                <w:lang w:eastAsia="zh-CN"/>
              </w:rPr>
              <w:t>所在楼层：10层</w:t>
            </w:r>
            <w:r>
              <w:rPr>
                <w:rFonts w:hint="eastAsia" w:ascii="仿宋_GB2312" w:hAnsi="仿宋" w:eastAsia="仿宋_GB2312"/>
                <w:szCs w:val="21"/>
                <w:lang w:val="en-US" w:eastAsia="zh-CN"/>
              </w:rPr>
              <w:t>+阁楼</w:t>
            </w:r>
          </w:p>
        </w:tc>
        <w:tc>
          <w:tcPr>
            <w:tcW w:w="1303" w:type="pct"/>
            <w:noWrap/>
            <w:vAlign w:val="center"/>
          </w:tcPr>
          <w:p>
            <w:pPr>
              <w:rPr>
                <w:rFonts w:hint="default" w:ascii="仿宋_GB2312" w:hAnsi="仿宋" w:eastAsia="仿宋_GB2312"/>
                <w:szCs w:val="21"/>
                <w:lang w:val="en-US" w:eastAsia="zh-CN"/>
              </w:rPr>
            </w:pPr>
            <w:r>
              <w:rPr>
                <w:rFonts w:hint="eastAsia" w:ascii="仿宋_GB2312" w:hAnsi="仿宋" w:eastAsia="仿宋_GB2312"/>
                <w:szCs w:val="21"/>
                <w:lang w:eastAsia="zh-CN"/>
              </w:rPr>
              <w:t>共几层：</w:t>
            </w:r>
            <w:r>
              <w:rPr>
                <w:rFonts w:hint="eastAsia" w:ascii="仿宋_GB2312" w:hAnsi="仿宋" w:eastAsia="仿宋_GB2312"/>
                <w:szCs w:val="21"/>
                <w:lang w:val="en-US" w:eastAsia="zh-CN"/>
              </w:rPr>
              <w:t>10</w:t>
            </w:r>
            <w:r>
              <w:rPr>
                <w:rFonts w:hint="eastAsia" w:ascii="仿宋_GB2312" w:hAnsi="仿宋" w:eastAsia="仿宋_GB2312"/>
                <w:szCs w:val="21"/>
                <w:lang w:eastAsia="zh-CN"/>
              </w:rPr>
              <w:t>层</w:t>
            </w:r>
            <w:r>
              <w:rPr>
                <w:rFonts w:hint="eastAsia" w:ascii="仿宋_GB2312" w:hAnsi="仿宋" w:eastAsia="仿宋_GB2312"/>
                <w:szCs w:val="21"/>
                <w:lang w:val="en-US" w:eastAsia="zh-CN"/>
              </w:rPr>
              <w:t>+阁楼层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lang w:eastAsia="zh-CN"/>
              </w:rPr>
            </w:pPr>
          </w:p>
        </w:tc>
        <w:tc>
          <w:tcPr>
            <w:tcW w:w="1553" w:type="pct"/>
            <w:noWrap/>
            <w:vAlign w:val="center"/>
          </w:tcPr>
          <w:p>
            <w:pPr>
              <w:rPr>
                <w:rFonts w:hint="default" w:ascii="仿宋_GB2312" w:hAnsi="仿宋" w:eastAsia="仿宋_GB2312"/>
                <w:szCs w:val="21"/>
                <w:lang w:val="en-US" w:eastAsia="zh-CN"/>
              </w:rPr>
            </w:pPr>
            <w:r>
              <w:rPr>
                <w:rFonts w:hint="eastAsia" w:ascii="仿宋_GB2312" w:hAnsi="仿宋" w:eastAsia="仿宋_GB2312"/>
                <w:szCs w:val="21"/>
                <w:lang w:eastAsia="zh-CN"/>
              </w:rPr>
              <w:t>户数：一梯两户</w:t>
            </w:r>
          </w:p>
        </w:tc>
        <w:tc>
          <w:tcPr>
            <w:tcW w:w="1814" w:type="pct"/>
            <w:gridSpan w:val="2"/>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朝向：南北</w:t>
            </w:r>
          </w:p>
        </w:tc>
        <w:tc>
          <w:tcPr>
            <w:tcW w:w="1303" w:type="pct"/>
            <w:noWrap/>
            <w:vAlign w:val="center"/>
          </w:tcPr>
          <w:p>
            <w:pPr>
              <w:rPr>
                <w:rFonts w:ascii="仿宋_GB2312" w:hAnsi="仿宋" w:eastAsia="仿宋_GB2312"/>
                <w:szCs w:val="21"/>
                <w:lang w:eastAsia="zh-CN"/>
              </w:rPr>
            </w:pPr>
            <w:r>
              <w:rPr>
                <w:rFonts w:hint="eastAsia" w:ascii="仿宋" w:hAnsi="仿宋" w:eastAsia="仿宋" w:cs="仿宋"/>
                <w:szCs w:val="21"/>
              </w:rPr>
              <w:t>建筑类别：</w:t>
            </w:r>
            <w:r>
              <w:rPr>
                <w:rFonts w:hint="eastAsia" w:ascii="仿宋" w:hAnsi="仿宋" w:eastAsia="仿宋" w:cs="仿宋"/>
                <w:szCs w:val="21"/>
                <w:lang w:eastAsia="zh-CN"/>
              </w:rPr>
              <w:t>小高</w:t>
            </w:r>
            <w:r>
              <w:rPr>
                <w:rFonts w:hint="eastAsia" w:ascii="仿宋" w:hAnsi="仿宋" w:eastAsia="仿宋" w:cs="仿宋"/>
                <w:szCs w:val="21"/>
              </w:rPr>
              <w:t>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lang w:eastAsia="zh-CN"/>
              </w:rPr>
            </w:pPr>
          </w:p>
        </w:tc>
        <w:tc>
          <w:tcPr>
            <w:tcW w:w="2296" w:type="pct"/>
            <w:gridSpan w:val="2"/>
            <w:noWrap/>
            <w:vAlign w:val="center"/>
          </w:tcPr>
          <w:p>
            <w:pPr>
              <w:tabs>
                <w:tab w:val="left" w:pos="2285"/>
              </w:tabs>
              <w:rPr>
                <w:rFonts w:hint="eastAsia" w:ascii="仿宋" w:hAnsi="仿宋" w:eastAsia="仿宋" w:cs="仿宋"/>
                <w:szCs w:val="21"/>
              </w:rPr>
            </w:pPr>
            <w:r>
              <w:rPr>
                <w:rFonts w:hint="eastAsia" w:ascii="仿宋_GB2312" w:hAnsi="仿宋" w:eastAsia="仿宋_GB2312"/>
                <w:szCs w:val="21"/>
                <w:lang w:eastAsia="zh-CN"/>
              </w:rPr>
              <w:t>建成年代:2008年7月</w:t>
            </w:r>
          </w:p>
        </w:tc>
        <w:tc>
          <w:tcPr>
            <w:tcW w:w="2374" w:type="pct"/>
            <w:gridSpan w:val="2"/>
            <w:vAlign w:val="center"/>
          </w:tcPr>
          <w:p>
            <w:pPr>
              <w:rPr>
                <w:rFonts w:hint="default" w:ascii="仿宋" w:hAnsi="仿宋" w:eastAsia="仿宋" w:cs="仿宋"/>
                <w:szCs w:val="21"/>
                <w:lang w:val="en-US"/>
              </w:rPr>
            </w:pPr>
            <w:r>
              <w:rPr>
                <w:rFonts w:hint="eastAsia" w:ascii="仿宋" w:hAnsi="仿宋" w:eastAsia="仿宋" w:cs="仿宋"/>
                <w:szCs w:val="21"/>
                <w:lang w:eastAsia="zh-CN"/>
              </w:rPr>
              <w:t>结构:</w:t>
            </w:r>
            <w:r>
              <w:rPr>
                <w:rFonts w:hint="eastAsia" w:ascii="仿宋" w:hAnsi="仿宋" w:eastAsia="仿宋" w:cs="仿宋"/>
                <w:szCs w:val="21"/>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9" w:type="pct"/>
            <w:vMerge w:val="continue"/>
            <w:noWrap/>
            <w:vAlign w:val="center"/>
          </w:tcPr>
          <w:p>
            <w:pPr>
              <w:jc w:val="center"/>
              <w:rPr>
                <w:rFonts w:ascii="仿宋_GB2312" w:hAnsi="仿宋" w:eastAsia="仿宋_GB2312"/>
                <w:szCs w:val="21"/>
              </w:rPr>
            </w:pPr>
          </w:p>
        </w:tc>
        <w:tc>
          <w:tcPr>
            <w:tcW w:w="4670" w:type="pct"/>
            <w:gridSpan w:val="4"/>
            <w:noWrap/>
            <w:vAlign w:val="center"/>
          </w:tcPr>
          <w:p>
            <w:pPr>
              <w:ind w:right="-906" w:rightChars="-412"/>
              <w:rPr>
                <w:rFonts w:ascii="仿宋_GB2312" w:hAnsi="仿宋" w:eastAsia="仿宋_GB2312"/>
                <w:szCs w:val="21"/>
                <w:lang w:eastAsia="zh-CN"/>
              </w:rPr>
            </w:pPr>
            <w:r>
              <w:rPr>
                <w:rFonts w:hint="eastAsia" w:ascii="仿宋" w:hAnsi="仿宋" w:eastAsia="仿宋" w:cs="仿宋"/>
                <w:szCs w:val="21"/>
                <w:lang w:eastAsia="zh-CN"/>
              </w:rPr>
              <w:t>配套设施：水、电、暖、天然气、单元对讲门、电梯、</w:t>
            </w:r>
            <w:r>
              <w:rPr>
                <w:rFonts w:hint="eastAsia" w:ascii="仿宋" w:hAnsi="仿宋" w:eastAsia="仿宋" w:cs="仿宋"/>
                <w:szCs w:val="21"/>
                <w:lang w:val="en-US" w:eastAsia="zh-CN"/>
              </w:rPr>
              <w:t>消防设施</w:t>
            </w:r>
            <w:r>
              <w:rPr>
                <w:rFonts w:hint="eastAsia" w:ascii="仿宋" w:hAnsi="仿宋" w:eastAsia="仿宋" w:cs="仿宋"/>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exac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门窗及室内装修状况：入户防盗门、铝合金中空</w:t>
            </w:r>
            <w:r>
              <w:rPr>
                <w:rFonts w:hint="eastAsia" w:ascii="仿宋_GB2312" w:hAnsi="仿宋" w:eastAsia="仿宋_GB2312"/>
                <w:szCs w:val="21"/>
                <w:lang w:val="en-US" w:eastAsia="zh-CN"/>
              </w:rPr>
              <w:t>玻璃窗</w:t>
            </w:r>
            <w:r>
              <w:rPr>
                <w:rFonts w:hint="eastAsia" w:ascii="仿宋_GB2312" w:hAnsi="仿宋" w:eastAsia="仿宋_GB2312"/>
                <w:szCs w:val="21"/>
                <w:lang w:eastAsia="zh-CN"/>
              </w:rPr>
              <w:t>，石膏板吊顶,壁纸墙面,木地板;卫生间、厨房PVC</w:t>
            </w:r>
            <w:r>
              <w:rPr>
                <w:rFonts w:hint="eastAsia" w:ascii="仿宋_GB2312" w:hAnsi="仿宋" w:eastAsia="仿宋_GB2312"/>
                <w:szCs w:val="21"/>
                <w:lang w:val="en-US" w:eastAsia="zh-CN"/>
              </w:rPr>
              <w:t>扣板</w:t>
            </w:r>
            <w:r>
              <w:rPr>
                <w:rFonts w:hint="eastAsia" w:ascii="仿宋_GB2312" w:hAnsi="仿宋" w:eastAsia="仿宋_GB2312"/>
                <w:szCs w:val="21"/>
                <w:lang w:eastAsia="zh-CN"/>
              </w:rPr>
              <w:t>吊顶，墙地砖；室内木</w:t>
            </w:r>
            <w:r>
              <w:rPr>
                <w:rFonts w:hint="eastAsia" w:ascii="仿宋_GB2312" w:hAnsi="仿宋" w:eastAsia="仿宋_GB2312"/>
                <w:szCs w:val="21"/>
                <w:lang w:val="en-US" w:eastAsia="zh-CN"/>
              </w:rPr>
              <w:t>制</w:t>
            </w:r>
            <w:r>
              <w:rPr>
                <w:rFonts w:hint="eastAsia" w:ascii="仿宋_GB2312" w:hAnsi="仿宋" w:eastAsia="仿宋_GB2312"/>
                <w:szCs w:val="21"/>
                <w:lang w:eastAsia="zh-CN"/>
              </w:rPr>
              <w:t>楼梯，橱柜</w:t>
            </w:r>
            <w:r>
              <w:rPr>
                <w:rFonts w:hint="eastAsia" w:ascii="仿宋_GB2312" w:hAnsi="仿宋" w:eastAsia="仿宋_GB2312"/>
                <w:szCs w:val="21"/>
                <w:lang w:val="en-US" w:eastAsia="zh-CN"/>
              </w:rPr>
              <w:t>及</w:t>
            </w:r>
            <w:r>
              <w:rPr>
                <w:rFonts w:hint="eastAsia" w:ascii="仿宋_GB2312" w:hAnsi="仿宋" w:eastAsia="仿宋_GB2312"/>
                <w:szCs w:val="21"/>
                <w:lang w:eastAsia="zh-CN"/>
              </w:rPr>
              <w:t>卫生洁具齐全。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exac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外观及公共门厅、楼（电）梯间状况：外墙墙砖</w:t>
            </w:r>
            <w:r>
              <w:rPr>
                <w:rFonts w:hint="eastAsia" w:ascii="仿宋_GB2312" w:hAnsi="仿宋" w:eastAsia="仿宋_GB2312"/>
                <w:szCs w:val="21"/>
                <w:lang w:val="en-US" w:eastAsia="zh-CN"/>
              </w:rPr>
              <w:t>及</w:t>
            </w:r>
            <w:r>
              <w:rPr>
                <w:rFonts w:hint="eastAsia" w:ascii="仿宋_GB2312" w:hAnsi="仿宋" w:eastAsia="仿宋_GB2312"/>
                <w:szCs w:val="21"/>
                <w:lang w:eastAsia="zh-CN"/>
              </w:rPr>
              <w:t>真石漆饰面；公共门厅、楼梯理石地面，不锈钢扶手。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9" w:type="pct"/>
            <w:vMerge w:val="continue"/>
            <w:noWrap/>
            <w:vAlign w:val="center"/>
          </w:tcPr>
          <w:p>
            <w:pPr>
              <w:jc w:val="center"/>
              <w:rPr>
                <w:rFonts w:ascii="仿宋_GB2312" w:hAnsi="仿宋" w:eastAsia="仿宋_GB2312"/>
                <w:szCs w:val="21"/>
                <w:lang w:eastAsia="zh-CN"/>
              </w:rPr>
            </w:pPr>
          </w:p>
        </w:tc>
        <w:tc>
          <w:tcPr>
            <w:tcW w:w="2296" w:type="pct"/>
            <w:gridSpan w:val="2"/>
            <w:noWrap/>
            <w:vAlign w:val="center"/>
          </w:tcPr>
          <w:p>
            <w:pPr>
              <w:rPr>
                <w:rFonts w:ascii="仿宋" w:hAnsi="仿宋" w:eastAsia="仿宋" w:cs="仿宋"/>
                <w:szCs w:val="21"/>
              </w:rPr>
            </w:pPr>
            <w:r>
              <w:rPr>
                <w:rFonts w:hint="eastAsia" w:ascii="仿宋" w:hAnsi="仿宋" w:eastAsia="仿宋" w:cs="仿宋"/>
                <w:szCs w:val="21"/>
              </w:rPr>
              <w:t>户外景观：一般</w:t>
            </w:r>
          </w:p>
        </w:tc>
        <w:tc>
          <w:tcPr>
            <w:tcW w:w="2374" w:type="pct"/>
            <w:gridSpan w:val="2"/>
            <w:vAlign w:val="center"/>
          </w:tcPr>
          <w:p>
            <w:pPr>
              <w:rPr>
                <w:rFonts w:ascii="仿宋" w:hAnsi="仿宋" w:eastAsia="仿宋" w:cs="仿宋"/>
                <w:szCs w:val="21"/>
                <w:lang w:eastAsia="zh-CN"/>
              </w:rPr>
            </w:pPr>
            <w:r>
              <w:rPr>
                <w:rFonts w:hint="eastAsia" w:ascii="仿宋" w:hAnsi="仿宋" w:eastAsia="仿宋" w:cs="仿宋"/>
                <w:szCs w:val="21"/>
                <w:lang w:eastAsia="zh-CN"/>
              </w:rPr>
              <w:t>是否临街、噪音：不临街，噪音较小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9" w:type="pct"/>
            <w:vMerge w:val="restart"/>
            <w:noWrap/>
            <w:vAlign w:val="center"/>
          </w:tcPr>
          <w:p>
            <w:pPr>
              <w:jc w:val="center"/>
              <w:rPr>
                <w:rFonts w:ascii="仿宋_GB2312" w:hAnsi="仿宋" w:eastAsia="仿宋_GB2312"/>
                <w:szCs w:val="21"/>
                <w:lang w:eastAsia="zh-CN"/>
              </w:rPr>
            </w:pPr>
            <w:r>
              <w:rPr>
                <w:rFonts w:ascii="仿宋_GB2312" w:hAnsi="仿宋" w:eastAsia="仿宋_GB2312"/>
                <w:szCs w:val="21"/>
                <w:lang w:eastAsia="zh-CN"/>
              </w:rPr>
              <w:t>小区状况</w:t>
            </w:r>
          </w:p>
        </w:tc>
        <w:tc>
          <w:tcPr>
            <w:tcW w:w="2296" w:type="pct"/>
            <w:gridSpan w:val="2"/>
            <w:noWrap/>
            <w:vAlign w:val="center"/>
          </w:tcPr>
          <w:p>
            <w:pPr>
              <w:rPr>
                <w:rFonts w:ascii="仿宋" w:hAnsi="仿宋" w:eastAsia="仿宋" w:cs="仿宋"/>
                <w:szCs w:val="21"/>
                <w:lang w:eastAsia="zh-CN"/>
              </w:rPr>
            </w:pPr>
            <w:r>
              <w:rPr>
                <w:rFonts w:hint="eastAsia" w:ascii="仿宋" w:hAnsi="仿宋" w:eastAsia="仿宋" w:cs="仿宋"/>
                <w:szCs w:val="21"/>
                <w:lang w:eastAsia="zh-CN"/>
              </w:rPr>
              <w:t>小区楼宇构成：多层、小高层、高层</w:t>
            </w:r>
          </w:p>
        </w:tc>
        <w:tc>
          <w:tcPr>
            <w:tcW w:w="2374" w:type="pct"/>
            <w:gridSpan w:val="2"/>
            <w:vAlign w:val="center"/>
          </w:tcPr>
          <w:p>
            <w:pPr>
              <w:rPr>
                <w:rFonts w:ascii="仿宋" w:hAnsi="仿宋" w:eastAsia="仿宋" w:cs="仿宋"/>
                <w:szCs w:val="21"/>
                <w:lang w:eastAsia="zh-CN"/>
              </w:rPr>
            </w:pPr>
            <w:r>
              <w:rPr>
                <w:rFonts w:hint="eastAsia" w:ascii="仿宋" w:hAnsi="仿宋" w:eastAsia="仿宋" w:cs="仿宋"/>
                <w:szCs w:val="21"/>
                <w:lang w:eastAsia="zh-CN"/>
              </w:rPr>
              <w:t>小区景观及绿化：景观及绿化一般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9" w:type="pct"/>
            <w:vMerge w:val="continue"/>
            <w:noWrap/>
            <w:vAlign w:val="center"/>
          </w:tcPr>
          <w:p>
            <w:pPr>
              <w:jc w:val="center"/>
              <w:rPr>
                <w:rFonts w:ascii="仿宋_GB2312" w:hAnsi="仿宋" w:eastAsia="仿宋_GB2312"/>
                <w:szCs w:val="21"/>
                <w:lang w:eastAsia="zh-CN"/>
              </w:rPr>
            </w:pPr>
          </w:p>
        </w:tc>
        <w:tc>
          <w:tcPr>
            <w:tcW w:w="2296" w:type="pct"/>
            <w:gridSpan w:val="2"/>
            <w:noWrap/>
            <w:vAlign w:val="center"/>
          </w:tcPr>
          <w:p>
            <w:pPr>
              <w:rPr>
                <w:rFonts w:ascii="仿宋" w:hAnsi="仿宋" w:eastAsia="仿宋" w:cs="仿宋"/>
                <w:szCs w:val="21"/>
                <w:lang w:eastAsia="zh-CN"/>
              </w:rPr>
            </w:pPr>
            <w:r>
              <w:rPr>
                <w:rFonts w:hint="eastAsia" w:ascii="仿宋" w:hAnsi="仿宋" w:eastAsia="仿宋" w:cs="仿宋"/>
                <w:szCs w:val="21"/>
                <w:lang w:eastAsia="zh-CN"/>
              </w:rPr>
              <w:t>车位状况：地上及地下停车位，车库</w:t>
            </w:r>
          </w:p>
        </w:tc>
        <w:tc>
          <w:tcPr>
            <w:tcW w:w="2374" w:type="pct"/>
            <w:gridSpan w:val="2"/>
            <w:vAlign w:val="center"/>
          </w:tcPr>
          <w:p>
            <w:pPr>
              <w:rPr>
                <w:rFonts w:ascii="仿宋" w:hAnsi="仿宋" w:eastAsia="仿宋" w:cs="仿宋"/>
                <w:szCs w:val="21"/>
              </w:rPr>
            </w:pPr>
            <w:r>
              <w:rPr>
                <w:rFonts w:hint="eastAsia" w:ascii="仿宋" w:hAnsi="仿宋" w:eastAsia="仿宋" w:cs="仿宋"/>
                <w:szCs w:val="21"/>
              </w:rPr>
              <w:t>地形、地势：平坦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rPr>
                <w:rFonts w:ascii="仿宋" w:hAnsi="仿宋" w:eastAsia="仿宋" w:cs="仿宋"/>
                <w:szCs w:val="21"/>
                <w:lang w:eastAsia="zh-CN"/>
              </w:rPr>
            </w:pPr>
            <w:r>
              <w:rPr>
                <w:rFonts w:hint="eastAsia" w:ascii="仿宋" w:hAnsi="仿宋" w:eastAsia="仿宋" w:cs="仿宋"/>
                <w:szCs w:val="21"/>
                <w:lang w:eastAsia="zh-CN"/>
              </w:rPr>
              <w:t>物业管理：封闭式物业管理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329" w:type="pct"/>
            <w:vMerge w:val="restart"/>
            <w:noWrap/>
            <w:vAlign w:val="center"/>
          </w:tcPr>
          <w:p>
            <w:pPr>
              <w:jc w:val="center"/>
              <w:rPr>
                <w:rFonts w:ascii="仿宋_GB2312" w:hAnsi="仿宋" w:eastAsia="仿宋_GB2312"/>
                <w:szCs w:val="21"/>
              </w:rPr>
            </w:pPr>
            <w:r>
              <w:rPr>
                <w:rFonts w:hint="eastAsia" w:ascii="仿宋_GB2312" w:hAnsi="仿宋" w:eastAsia="仿宋_GB2312"/>
                <w:szCs w:val="21"/>
              </w:rPr>
              <w:t>区</w:t>
            </w:r>
          </w:p>
          <w:p>
            <w:pPr>
              <w:jc w:val="center"/>
              <w:rPr>
                <w:rFonts w:ascii="仿宋_GB2312" w:hAnsi="仿宋" w:eastAsia="仿宋_GB2312"/>
                <w:szCs w:val="21"/>
              </w:rPr>
            </w:pPr>
            <w:r>
              <w:rPr>
                <w:rFonts w:hint="eastAsia" w:ascii="仿宋_GB2312" w:hAnsi="仿宋" w:eastAsia="仿宋_GB2312"/>
                <w:szCs w:val="21"/>
              </w:rPr>
              <w:t>位</w:t>
            </w:r>
          </w:p>
          <w:p>
            <w:pPr>
              <w:jc w:val="center"/>
              <w:rPr>
                <w:rFonts w:ascii="仿宋_GB2312" w:hAnsi="仿宋" w:eastAsia="仿宋_GB2312"/>
                <w:szCs w:val="21"/>
              </w:rPr>
            </w:pPr>
            <w:r>
              <w:rPr>
                <w:rFonts w:hint="eastAsia" w:ascii="仿宋_GB2312" w:hAnsi="仿宋" w:eastAsia="仿宋_GB2312"/>
                <w:szCs w:val="21"/>
              </w:rPr>
              <w:t>状</w:t>
            </w:r>
          </w:p>
          <w:p>
            <w:pPr>
              <w:jc w:val="center"/>
              <w:rPr>
                <w:rFonts w:ascii="仿宋_GB2312" w:hAnsi="仿宋" w:eastAsia="仿宋_GB2312"/>
                <w:szCs w:val="21"/>
              </w:rPr>
            </w:pPr>
            <w:r>
              <w:rPr>
                <w:rFonts w:hint="eastAsia" w:ascii="仿宋_GB2312" w:hAnsi="仿宋" w:eastAsia="仿宋_GB2312"/>
                <w:szCs w:val="21"/>
              </w:rPr>
              <w:t>况</w:t>
            </w: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地理位置：</w:t>
            </w:r>
            <w:r>
              <w:rPr>
                <w:rFonts w:hint="eastAsia" w:ascii="仿宋_GB2312" w:hAnsi="仿宋" w:eastAsia="仿宋_GB2312"/>
                <w:szCs w:val="21"/>
                <w:lang w:val="en-US" w:eastAsia="zh-CN"/>
              </w:rPr>
              <w:t>估价对象所在的</w:t>
            </w:r>
            <w:r>
              <w:rPr>
                <w:rFonts w:hint="eastAsia" w:ascii="仿宋" w:hAnsi="仿宋" w:eastAsia="仿宋" w:cs="仿宋"/>
                <w:szCs w:val="21"/>
                <w:lang w:eastAsia="zh-CN"/>
              </w:rPr>
              <w:t>杰座欧洲城小区</w:t>
            </w:r>
            <w:r>
              <w:rPr>
                <w:rFonts w:ascii="仿宋" w:hAnsi="仿宋" w:eastAsia="仿宋" w:cs="仿宋"/>
                <w:szCs w:val="21"/>
                <w:lang w:eastAsia="zh-CN"/>
              </w:rPr>
              <w:t>位于</w:t>
            </w:r>
            <w:r>
              <w:rPr>
                <w:rFonts w:hint="eastAsia" w:ascii="仿宋" w:hAnsi="仿宋" w:eastAsia="仿宋" w:cs="仿宋"/>
                <w:szCs w:val="21"/>
                <w:lang w:eastAsia="zh-CN"/>
              </w:rPr>
              <w:t>牟平区南部，北邻工商大街，东临通海路，南临新建大街,附近有通海新城、电业小区、天成花苑等住宅小区，社区成熟度较高，小区品质</w:t>
            </w:r>
            <w:r>
              <w:rPr>
                <w:rFonts w:hint="eastAsia" w:ascii="仿宋" w:hAnsi="仿宋" w:eastAsia="仿宋" w:cs="仿宋"/>
                <w:szCs w:val="21"/>
                <w:lang w:val="en-US" w:eastAsia="zh-CN"/>
              </w:rPr>
              <w:t>较好</w:t>
            </w:r>
            <w:r>
              <w:rPr>
                <w:rFonts w:hint="eastAsia" w:ascii="仿宋" w:hAnsi="仿宋" w:eastAsia="仿宋" w:cs="仿宋"/>
                <w:szCs w:val="21"/>
                <w:lang w:eastAsia="zh-CN"/>
              </w:rPr>
              <w:t>，自然人文环境一般。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329" w:type="pct"/>
            <w:vMerge w:val="continue"/>
            <w:noWrap/>
            <w:vAlign w:val="center"/>
          </w:tcPr>
          <w:p>
            <w:pPr>
              <w:jc w:val="center"/>
              <w:rPr>
                <w:rFonts w:ascii="仿宋_GB2312" w:hAnsi="仿宋" w:eastAsia="仿宋_GB2312"/>
                <w:szCs w:val="21"/>
                <w:lang w:eastAsia="zh-CN"/>
              </w:rPr>
            </w:pP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生活、教育等公共配套设施：杰座欧洲城小区附近有牟平区新建街小学幼儿园、华鹰幼儿园、牟平一中；牟平区客运站；滨州医学院烟台附属医院南院等公共设施，配套较完善。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329" w:type="pct"/>
            <w:vMerge w:val="continue"/>
            <w:noWrap/>
          </w:tcPr>
          <w:p>
            <w:pPr>
              <w:jc w:val="center"/>
              <w:rPr>
                <w:rFonts w:ascii="仿宋_GB2312" w:hAnsi="仿宋" w:eastAsia="仿宋_GB2312"/>
                <w:szCs w:val="21"/>
                <w:lang w:eastAsia="zh-CN"/>
              </w:rPr>
            </w:pPr>
          </w:p>
        </w:tc>
        <w:tc>
          <w:tcPr>
            <w:tcW w:w="4670" w:type="pct"/>
            <w:gridSpan w:val="4"/>
            <w:noWrap/>
            <w:vAlign w:val="center"/>
          </w:tcPr>
          <w:p>
            <w:pPr>
              <w:rPr>
                <w:rFonts w:ascii="仿宋_GB2312" w:hAnsi="仿宋" w:eastAsia="仿宋_GB2312"/>
                <w:szCs w:val="21"/>
                <w:lang w:eastAsia="zh-CN"/>
              </w:rPr>
            </w:pPr>
            <w:r>
              <w:rPr>
                <w:rFonts w:hint="eastAsia" w:ascii="仿宋_GB2312" w:hAnsi="仿宋" w:eastAsia="仿宋_GB2312"/>
                <w:szCs w:val="21"/>
                <w:lang w:eastAsia="zh-CN"/>
              </w:rPr>
              <w:t>交通状况：杰座欧洲城小区周边有602路、604路、653路等</w:t>
            </w:r>
            <w:r>
              <w:rPr>
                <w:rFonts w:hint="eastAsia" w:ascii="仿宋_GB2312" w:hAnsi="仿宋" w:eastAsia="仿宋_GB2312"/>
                <w:szCs w:val="21"/>
                <w:lang w:val="en-US" w:eastAsia="zh-CN"/>
              </w:rPr>
              <w:t>多条</w:t>
            </w:r>
            <w:r>
              <w:rPr>
                <w:rFonts w:hint="eastAsia" w:ascii="仿宋_GB2312" w:hAnsi="仿宋" w:eastAsia="仿宋_GB2312"/>
                <w:szCs w:val="21"/>
                <w:lang w:eastAsia="zh-CN"/>
              </w:rPr>
              <w:t>公交线路，交通较便利。</w:t>
            </w:r>
          </w:p>
        </w:tc>
      </w:tr>
    </w:tbl>
    <w:p>
      <w:pPr>
        <w:pStyle w:val="2"/>
        <w:spacing w:before="20" w:line="360" w:lineRule="auto"/>
        <w:ind w:firstLine="622" w:firstLineChars="200"/>
        <w:rPr>
          <w:rFonts w:ascii="仿宋_GB2312" w:eastAsia="仿宋_GB2312"/>
          <w:color w:val="1C1C23"/>
          <w:spacing w:val="8"/>
          <w:w w:val="105"/>
          <w:sz w:val="28"/>
          <w:szCs w:val="28"/>
          <w:lang w:eastAsia="zh-CN"/>
        </w:rPr>
      </w:pPr>
      <w:r>
        <w:rPr>
          <w:rFonts w:hint="eastAsia" w:ascii="仿宋_GB2312" w:eastAsia="仿宋_GB2312"/>
          <w:b/>
          <w:color w:val="1C1C23"/>
          <w:spacing w:val="8"/>
          <w:w w:val="105"/>
          <w:sz w:val="28"/>
          <w:szCs w:val="28"/>
          <w:lang w:eastAsia="zh-CN"/>
        </w:rPr>
        <w:t>六、价值类型：</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公开市场价值，即估价对象在价值时点，完整权利状态及满足各项限制条件下的公开市场价值。不考虑房地产被查封及房地产上原有的担保物权和其他优先受偿权。</w:t>
      </w:r>
    </w:p>
    <w:p>
      <w:pPr>
        <w:pStyle w:val="2"/>
        <w:spacing w:before="20" w:line="360" w:lineRule="auto"/>
        <w:ind w:firstLine="622" w:firstLineChars="200"/>
        <w:rPr>
          <w:rFonts w:ascii="仿宋_GB2312" w:hAnsi="仿宋" w:eastAsia="仿宋_GB2312"/>
          <w:sz w:val="28"/>
          <w:szCs w:val="28"/>
          <w:lang w:eastAsia="zh-CN"/>
        </w:rPr>
      </w:pPr>
      <w:r>
        <w:rPr>
          <w:rFonts w:hint="eastAsia" w:ascii="仿宋_GB2312" w:eastAsia="仿宋_GB2312"/>
          <w:b/>
          <w:color w:val="1C1C23"/>
          <w:spacing w:val="8"/>
          <w:w w:val="105"/>
          <w:sz w:val="28"/>
          <w:szCs w:val="28"/>
          <w:lang w:eastAsia="zh-CN"/>
        </w:rPr>
        <w:t>七、询价方法：</w:t>
      </w:r>
      <w:r>
        <w:rPr>
          <w:rFonts w:hint="eastAsia" w:ascii="仿宋_GB2312" w:hAnsi="仿宋" w:eastAsia="仿宋_GB2312"/>
          <w:sz w:val="28"/>
          <w:szCs w:val="28"/>
          <w:lang w:eastAsia="zh-CN"/>
        </w:rPr>
        <w:t>比较法</w:t>
      </w:r>
    </w:p>
    <w:p>
      <w:pPr>
        <w:pStyle w:val="2"/>
        <w:spacing w:before="20" w:line="360" w:lineRule="auto"/>
        <w:ind w:firstLine="565"/>
        <w:rPr>
          <w:rFonts w:ascii="仿宋_GB2312" w:eastAsia="仿宋_GB2312"/>
          <w:color w:val="1C1C23"/>
          <w:spacing w:val="8"/>
          <w:w w:val="105"/>
          <w:sz w:val="28"/>
          <w:szCs w:val="28"/>
          <w:lang w:eastAsia="zh-CN"/>
        </w:rPr>
      </w:pPr>
      <w:r>
        <w:rPr>
          <w:rFonts w:hint="eastAsia" w:ascii="仿宋_GB2312" w:eastAsia="仿宋_GB2312"/>
          <w:b/>
          <w:color w:val="1C1C23"/>
          <w:spacing w:val="8"/>
          <w:w w:val="105"/>
          <w:sz w:val="28"/>
          <w:szCs w:val="28"/>
          <w:lang w:eastAsia="zh-CN"/>
        </w:rPr>
        <w:t>八、询价结果：</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 w:hAnsi="仿宋" w:eastAsia="仿宋"/>
          <w:sz w:val="28"/>
          <w:szCs w:val="28"/>
          <w:lang w:eastAsia="zh-CN"/>
        </w:rPr>
        <w:t>由</w:t>
      </w:r>
      <w:r>
        <w:rPr>
          <w:rFonts w:hint="eastAsia" w:ascii="仿宋_GB2312" w:hAnsi="仿宋" w:eastAsia="仿宋_GB2312" w:cs="Times New Roman"/>
          <w:kern w:val="2"/>
          <w:sz w:val="28"/>
          <w:szCs w:val="28"/>
          <w:lang w:eastAsia="zh-CN"/>
        </w:rPr>
        <w:t>宫振军</w:t>
      </w:r>
      <w:r>
        <w:rPr>
          <w:rFonts w:hint="eastAsia" w:ascii="仿宋" w:hAnsi="仿宋" w:eastAsia="仿宋"/>
          <w:sz w:val="28"/>
          <w:szCs w:val="28"/>
          <w:lang w:eastAsia="zh-CN"/>
        </w:rPr>
        <w:t>拥有产权，坐落于</w:t>
      </w:r>
      <w:r>
        <w:rPr>
          <w:rFonts w:hint="eastAsia" w:ascii="仿宋_GB2312" w:hAnsi="仿宋" w:eastAsia="仿宋_GB2312"/>
          <w:sz w:val="28"/>
          <w:szCs w:val="28"/>
          <w:lang w:eastAsia="zh-CN"/>
        </w:rPr>
        <w:t>牟平区通海路601号18号楼1-1001号的</w:t>
      </w:r>
      <w:r>
        <w:rPr>
          <w:rFonts w:hint="eastAsia" w:ascii="仿宋" w:hAnsi="仿宋" w:eastAsia="仿宋"/>
          <w:sz w:val="28"/>
          <w:szCs w:val="28"/>
          <w:lang w:eastAsia="zh-CN"/>
        </w:rPr>
        <w:t>住宅房地产，</w:t>
      </w:r>
      <w:r>
        <w:rPr>
          <w:rFonts w:hint="eastAsia" w:ascii="仿宋" w:hAnsi="仿宋" w:eastAsia="仿宋" w:cs="仿宋"/>
          <w:sz w:val="28"/>
          <w:szCs w:val="28"/>
          <w:lang w:eastAsia="zh-CN"/>
        </w:rPr>
        <w:t>即建筑面积为197.65平方米的住宅</w:t>
      </w:r>
      <w:r>
        <w:rPr>
          <w:rFonts w:hint="eastAsia" w:ascii="仿宋" w:hAnsi="仿宋" w:eastAsia="仿宋"/>
          <w:sz w:val="28"/>
          <w:szCs w:val="28"/>
          <w:lang w:eastAsia="zh-CN"/>
        </w:rPr>
        <w:t>以及相应分摊的国有土地使用权</w:t>
      </w:r>
      <w:r>
        <w:rPr>
          <w:rFonts w:hint="eastAsia" w:ascii="仿宋_GB2312" w:hAnsi="仿宋" w:eastAsia="仿宋_GB2312" w:cs="Times New Roman"/>
          <w:kern w:val="2"/>
          <w:sz w:val="28"/>
          <w:szCs w:val="28"/>
          <w:lang w:eastAsia="zh-CN"/>
        </w:rPr>
        <w:t>，于价值时点的评估结果为：</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评估总价：￥1,413,000.00元</w:t>
      </w:r>
    </w:p>
    <w:p>
      <w:pPr>
        <w:pStyle w:val="2"/>
        <w:spacing w:before="20" w:line="360" w:lineRule="auto"/>
        <w:ind w:firstLine="565"/>
        <w:rPr>
          <w:rFonts w:hint="eastAsia"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大写金额：（人民币）壹佰</w:t>
      </w:r>
      <w:r>
        <w:rPr>
          <w:rFonts w:hint="eastAsia" w:ascii="仿宋_GB2312" w:hAnsi="仿宋" w:eastAsia="仿宋_GB2312" w:cs="Times New Roman"/>
          <w:kern w:val="2"/>
          <w:sz w:val="28"/>
          <w:szCs w:val="28"/>
          <w:lang w:val="en-US" w:eastAsia="zh-CN"/>
        </w:rPr>
        <w:t>肆</w:t>
      </w:r>
      <w:r>
        <w:rPr>
          <w:rFonts w:hint="eastAsia" w:ascii="仿宋_GB2312" w:hAnsi="仿宋" w:eastAsia="仿宋_GB2312" w:cs="Times New Roman"/>
          <w:kern w:val="2"/>
          <w:sz w:val="28"/>
          <w:szCs w:val="28"/>
          <w:lang w:eastAsia="zh-CN"/>
        </w:rPr>
        <w:t>拾</w:t>
      </w:r>
      <w:r>
        <w:rPr>
          <w:rFonts w:hint="eastAsia" w:ascii="仿宋_GB2312" w:hAnsi="仿宋" w:eastAsia="仿宋_GB2312" w:cs="Times New Roman"/>
          <w:kern w:val="2"/>
          <w:sz w:val="28"/>
          <w:szCs w:val="28"/>
          <w:lang w:val="en-US" w:eastAsia="zh-CN"/>
        </w:rPr>
        <w:t>壹</w:t>
      </w:r>
      <w:r>
        <w:rPr>
          <w:rFonts w:hint="eastAsia" w:ascii="仿宋_GB2312" w:hAnsi="仿宋" w:eastAsia="仿宋_GB2312" w:cs="Times New Roman"/>
          <w:kern w:val="2"/>
          <w:sz w:val="28"/>
          <w:szCs w:val="28"/>
          <w:lang w:eastAsia="zh-CN"/>
        </w:rPr>
        <w:t>万</w:t>
      </w:r>
      <w:r>
        <w:rPr>
          <w:rFonts w:hint="eastAsia" w:ascii="仿宋_GB2312" w:hAnsi="仿宋" w:eastAsia="仿宋_GB2312" w:cs="Times New Roman"/>
          <w:kern w:val="2"/>
          <w:sz w:val="28"/>
          <w:szCs w:val="28"/>
          <w:lang w:val="en-US" w:eastAsia="zh-CN"/>
        </w:rPr>
        <w:t>叁</w:t>
      </w:r>
      <w:r>
        <w:rPr>
          <w:rFonts w:hint="eastAsia" w:ascii="仿宋_GB2312" w:hAnsi="仿宋" w:eastAsia="仿宋_GB2312" w:cs="Times New Roman"/>
          <w:kern w:val="2"/>
          <w:sz w:val="28"/>
          <w:szCs w:val="28"/>
          <w:lang w:eastAsia="zh-CN"/>
        </w:rPr>
        <w:t>仟元整</w:t>
      </w:r>
    </w:p>
    <w:p>
      <w:pPr>
        <w:ind w:firstLine="560" w:firstLineChars="200"/>
        <w:rPr>
          <w:rFonts w:hint="eastAsia" w:ascii="仿宋" w:hAnsi="仿宋" w:eastAsia="仿宋"/>
          <w:sz w:val="28"/>
          <w:szCs w:val="28"/>
        </w:rPr>
      </w:pPr>
      <w:r>
        <w:rPr>
          <w:rFonts w:hint="eastAsia" w:ascii="仿宋" w:hAnsi="仿宋" w:eastAsia="仿宋"/>
          <w:sz w:val="28"/>
          <w:szCs w:val="28"/>
        </w:rPr>
        <w:t>评估单价：￥7,149.00元/平方米</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eastAsia="仿宋_GB2312"/>
          <w:b/>
          <w:color w:val="1C1C23"/>
          <w:spacing w:val="8"/>
          <w:w w:val="105"/>
          <w:sz w:val="28"/>
          <w:szCs w:val="28"/>
          <w:lang w:eastAsia="zh-CN"/>
        </w:rPr>
        <w:t>九、报告有效期：</w:t>
      </w:r>
      <w:r>
        <w:rPr>
          <w:rFonts w:hint="eastAsia" w:ascii="仿宋_GB2312" w:hAnsi="仿宋" w:eastAsia="仿宋_GB2312" w:cs="Times New Roman"/>
          <w:kern w:val="2"/>
          <w:sz w:val="28"/>
          <w:szCs w:val="28"/>
          <w:lang w:eastAsia="zh-CN"/>
        </w:rPr>
        <w:t>有效期为12个月，自报告出具之日起开始计算。</w:t>
      </w:r>
    </w:p>
    <w:p>
      <w:pPr>
        <w:widowControl/>
        <w:autoSpaceDE/>
        <w:autoSpaceDN/>
        <w:ind w:firstLine="622" w:firstLineChars="200"/>
        <w:rPr>
          <w:rFonts w:ascii="仿宋_GB2312" w:eastAsia="仿宋_GB2312"/>
          <w:b/>
          <w:color w:val="1C1C23"/>
          <w:spacing w:val="8"/>
          <w:w w:val="105"/>
          <w:sz w:val="28"/>
          <w:szCs w:val="28"/>
          <w:lang w:eastAsia="zh-CN"/>
        </w:rPr>
      </w:pPr>
      <w:r>
        <w:rPr>
          <w:rFonts w:hint="eastAsia" w:ascii="仿宋_GB2312" w:eastAsia="仿宋_GB2312"/>
          <w:b/>
          <w:color w:val="1C1C23"/>
          <w:spacing w:val="8"/>
          <w:w w:val="105"/>
          <w:sz w:val="28"/>
          <w:szCs w:val="28"/>
          <w:lang w:eastAsia="zh-CN"/>
        </w:rPr>
        <w:t>十、重要说明：</w:t>
      </w:r>
    </w:p>
    <w:p>
      <w:pPr>
        <w:pStyle w:val="2"/>
        <w:spacing w:line="360" w:lineRule="auto"/>
        <w:ind w:firstLine="567"/>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l、询价对象位置由委托方及当事人现场指认确定。</w:t>
      </w:r>
    </w:p>
    <w:p>
      <w:pPr>
        <w:pStyle w:val="2"/>
        <w:spacing w:line="360" w:lineRule="auto"/>
        <w:ind w:firstLine="567"/>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2、本次询价结果是在询价对象不存在权利瑕疵、无租赁合同限制前提条件下的价值。</w:t>
      </w:r>
    </w:p>
    <w:p>
      <w:pPr>
        <w:pStyle w:val="2"/>
        <w:spacing w:line="360" w:lineRule="auto"/>
        <w:ind w:firstLine="567"/>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3、询价对象房屋建筑面积以委托方提供的烟台市不动产登记信息查询结果复印件所载房屋面积为依据。</w:t>
      </w:r>
    </w:p>
    <w:p>
      <w:pPr>
        <w:pStyle w:val="2"/>
        <w:spacing w:line="360" w:lineRule="auto"/>
        <w:ind w:firstLine="567"/>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4、询价结果为询价对象的现状市场价值，询价结果仅为司法拍卖提供价值参考依据，不具有法律强制性，也不代表询价对象最终能实现的成交价格。</w:t>
      </w:r>
      <w:bookmarkStart w:id="0" w:name="_Toc41052057"/>
    </w:p>
    <w:p>
      <w:pPr>
        <w:widowControl/>
        <w:autoSpaceDE/>
        <w:autoSpaceDN/>
        <w:ind w:firstLine="622" w:firstLineChars="200"/>
        <w:rPr>
          <w:rFonts w:ascii="仿宋_GB2312" w:eastAsia="仿宋_GB2312"/>
          <w:b/>
          <w:color w:val="1C1C23"/>
          <w:spacing w:val="8"/>
          <w:w w:val="105"/>
          <w:sz w:val="28"/>
          <w:szCs w:val="28"/>
          <w:lang w:eastAsia="zh-CN"/>
        </w:rPr>
      </w:pPr>
      <w:r>
        <w:rPr>
          <w:rFonts w:hint="eastAsia" w:ascii="仿宋_GB2312" w:eastAsia="仿宋_GB2312"/>
          <w:b/>
          <w:color w:val="1C1C23"/>
          <w:spacing w:val="8"/>
          <w:w w:val="105"/>
          <w:sz w:val="28"/>
          <w:szCs w:val="28"/>
          <w:lang w:eastAsia="zh-CN"/>
        </w:rPr>
        <w:t>十一.注册房地产估价师</w:t>
      </w:r>
      <w:bookmarkEnd w:id="0"/>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5"/>
        <w:gridCol w:w="1991"/>
        <w:gridCol w:w="2472"/>
        <w:gridCol w:w="2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085"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姓名</w:t>
            </w:r>
          </w:p>
        </w:tc>
        <w:tc>
          <w:tcPr>
            <w:tcW w:w="1991"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注册号</w:t>
            </w:r>
          </w:p>
        </w:tc>
        <w:tc>
          <w:tcPr>
            <w:tcW w:w="2472"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签名</w:t>
            </w:r>
          </w:p>
        </w:tc>
        <w:tc>
          <w:tcPr>
            <w:tcW w:w="2229"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085"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刘君侦</w:t>
            </w:r>
          </w:p>
        </w:tc>
        <w:tc>
          <w:tcPr>
            <w:tcW w:w="1991"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3720040233</w:t>
            </w:r>
          </w:p>
        </w:tc>
        <w:tc>
          <w:tcPr>
            <w:tcW w:w="2472" w:type="dxa"/>
            <w:vAlign w:val="center"/>
          </w:tcPr>
          <w:p>
            <w:pPr>
              <w:pStyle w:val="3"/>
              <w:adjustRightInd w:val="0"/>
              <w:snapToGrid w:val="0"/>
              <w:spacing w:line="360" w:lineRule="auto"/>
              <w:jc w:val="center"/>
              <w:rPr>
                <w:rFonts w:ascii="仿宋_GB2312" w:hAnsi="仿宋" w:eastAsia="仿宋_GB2312"/>
                <w:sz w:val="24"/>
                <w:szCs w:val="24"/>
              </w:rPr>
            </w:pPr>
          </w:p>
        </w:tc>
        <w:tc>
          <w:tcPr>
            <w:tcW w:w="2229"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85" w:type="dxa"/>
            <w:vAlign w:val="center"/>
          </w:tcPr>
          <w:p>
            <w:pPr>
              <w:pStyle w:val="3"/>
              <w:adjustRightInd w:val="0"/>
              <w:snapToGrid w:val="0"/>
              <w:spacing w:line="360" w:lineRule="auto"/>
              <w:jc w:val="center"/>
              <w:rPr>
                <w:rFonts w:ascii="仿宋_GB2312" w:hAnsi="仿宋" w:eastAsia="仿宋_GB2312"/>
                <w:sz w:val="24"/>
                <w:szCs w:val="24"/>
              </w:rPr>
            </w:pPr>
            <w:r>
              <w:rPr>
                <w:rFonts w:ascii="仿宋_GB2312" w:hAnsi="仿宋" w:eastAsia="仿宋_GB2312"/>
                <w:sz w:val="24"/>
                <w:szCs w:val="24"/>
              </w:rPr>
              <w:t>李兆伦</w:t>
            </w:r>
          </w:p>
        </w:tc>
        <w:tc>
          <w:tcPr>
            <w:tcW w:w="1991"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1320170129</w:t>
            </w:r>
          </w:p>
        </w:tc>
        <w:tc>
          <w:tcPr>
            <w:tcW w:w="2472" w:type="dxa"/>
            <w:vAlign w:val="center"/>
          </w:tcPr>
          <w:p>
            <w:pPr>
              <w:pStyle w:val="3"/>
              <w:adjustRightInd w:val="0"/>
              <w:snapToGrid w:val="0"/>
              <w:spacing w:line="360" w:lineRule="auto"/>
              <w:jc w:val="center"/>
              <w:rPr>
                <w:rFonts w:ascii="仿宋_GB2312" w:hAnsi="仿宋" w:eastAsia="仿宋_GB2312"/>
                <w:sz w:val="24"/>
                <w:szCs w:val="24"/>
              </w:rPr>
            </w:pPr>
          </w:p>
        </w:tc>
        <w:tc>
          <w:tcPr>
            <w:tcW w:w="2229" w:type="dxa"/>
            <w:vAlign w:val="center"/>
          </w:tcPr>
          <w:p>
            <w:pPr>
              <w:pStyle w:val="3"/>
              <w:adjustRightInd w:val="0"/>
              <w:snapToGrid w:val="0"/>
              <w:spacing w:line="360" w:lineRule="auto"/>
              <w:jc w:val="center"/>
              <w:rPr>
                <w:rFonts w:ascii="仿宋_GB2312" w:hAnsi="仿宋" w:eastAsia="仿宋_GB2312"/>
                <w:sz w:val="24"/>
                <w:szCs w:val="24"/>
              </w:rPr>
            </w:pPr>
            <w:r>
              <w:rPr>
                <w:rFonts w:hint="eastAsia" w:ascii="仿宋_GB2312" w:hAnsi="仿宋" w:eastAsia="仿宋_GB2312"/>
                <w:sz w:val="24"/>
                <w:szCs w:val="24"/>
              </w:rPr>
              <w:t>年  月  日</w:t>
            </w:r>
          </w:p>
        </w:tc>
      </w:tr>
    </w:tbl>
    <w:p>
      <w:pPr>
        <w:pStyle w:val="2"/>
        <w:spacing w:line="360" w:lineRule="auto"/>
        <w:ind w:firstLine="567"/>
        <w:jc w:val="right"/>
        <w:rPr>
          <w:rFonts w:ascii="仿宋_GB2312" w:hAnsi="仿宋" w:eastAsia="仿宋_GB2312" w:cs="Times New Roman"/>
          <w:kern w:val="2"/>
          <w:sz w:val="28"/>
          <w:szCs w:val="28"/>
          <w:lang w:eastAsia="zh-CN"/>
        </w:rPr>
      </w:pPr>
    </w:p>
    <w:p>
      <w:pPr>
        <w:pStyle w:val="2"/>
        <w:spacing w:line="360" w:lineRule="auto"/>
        <w:ind w:firstLine="567"/>
        <w:jc w:val="right"/>
        <w:rPr>
          <w:rFonts w:ascii="仿宋_GB2312" w:hAnsi="仿宋" w:eastAsia="仿宋_GB2312" w:cs="Times New Roman"/>
          <w:kern w:val="2"/>
          <w:sz w:val="28"/>
          <w:szCs w:val="28"/>
          <w:lang w:eastAsia="zh-CN"/>
        </w:rPr>
      </w:pPr>
    </w:p>
    <w:p>
      <w:pPr>
        <w:pStyle w:val="2"/>
        <w:spacing w:line="360" w:lineRule="auto"/>
        <w:ind w:firstLine="567"/>
        <w:jc w:val="right"/>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山东正宇土地房地产资产评估有限公司</w:t>
      </w:r>
    </w:p>
    <w:p>
      <w:pPr>
        <w:pStyle w:val="2"/>
        <w:spacing w:line="360" w:lineRule="auto"/>
        <w:ind w:firstLine="567"/>
        <w:jc w:val="right"/>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二○二二年</w:t>
      </w:r>
      <w:r>
        <w:rPr>
          <w:rFonts w:hint="eastAsia" w:ascii="仿宋_GB2312" w:hAnsi="仿宋" w:eastAsia="仿宋_GB2312" w:cs="Times New Roman"/>
          <w:kern w:val="2"/>
          <w:sz w:val="28"/>
          <w:szCs w:val="28"/>
          <w:lang w:val="en-US" w:eastAsia="zh-CN"/>
        </w:rPr>
        <w:t>八</w:t>
      </w:r>
      <w:r>
        <w:rPr>
          <w:rFonts w:hint="eastAsia" w:ascii="仿宋_GB2312" w:hAnsi="仿宋" w:eastAsia="仿宋_GB2312" w:cs="Times New Roman"/>
          <w:kern w:val="2"/>
          <w:sz w:val="28"/>
          <w:szCs w:val="28"/>
          <w:lang w:eastAsia="zh-CN"/>
        </w:rPr>
        <w:t>月</w:t>
      </w:r>
      <w:r>
        <w:rPr>
          <w:rFonts w:hint="eastAsia" w:ascii="仿宋_GB2312" w:hAnsi="仿宋" w:eastAsia="仿宋_GB2312" w:cs="Times New Roman"/>
          <w:kern w:val="2"/>
          <w:sz w:val="28"/>
          <w:szCs w:val="28"/>
          <w:lang w:val="en-US" w:eastAsia="zh-CN"/>
        </w:rPr>
        <w:t>三</w:t>
      </w:r>
      <w:bookmarkStart w:id="20" w:name="_GoBack"/>
      <w:bookmarkEnd w:id="20"/>
      <w:r>
        <w:rPr>
          <w:rFonts w:hint="eastAsia" w:ascii="仿宋_GB2312" w:hAnsi="仿宋" w:eastAsia="仿宋_GB2312" w:cs="Times New Roman"/>
          <w:kern w:val="2"/>
          <w:sz w:val="28"/>
          <w:szCs w:val="28"/>
          <w:lang w:eastAsia="zh-CN"/>
        </w:rPr>
        <w:t>日</w:t>
      </w:r>
    </w:p>
    <w:p>
      <w:pPr>
        <w:widowControl/>
        <w:autoSpaceDE/>
        <w:autoSpaceDN/>
        <w:rPr>
          <w:rFonts w:ascii="仿宋_GB2312" w:eastAsia="仿宋_GB2312"/>
          <w:b/>
          <w:color w:val="1C1C23"/>
          <w:spacing w:val="8"/>
          <w:w w:val="105"/>
          <w:sz w:val="28"/>
          <w:szCs w:val="28"/>
          <w:lang w:eastAsia="zh-CN"/>
        </w:rPr>
      </w:pPr>
      <w:r>
        <w:rPr>
          <w:rFonts w:ascii="仿宋_GB2312" w:eastAsia="仿宋_GB2312"/>
          <w:b/>
          <w:color w:val="1C1C23"/>
          <w:spacing w:val="8"/>
          <w:w w:val="105"/>
          <w:sz w:val="28"/>
          <w:szCs w:val="28"/>
          <w:lang w:eastAsia="zh-CN"/>
        </w:rPr>
        <w:br w:type="page"/>
      </w:r>
    </w:p>
    <w:p>
      <w:pPr>
        <w:pStyle w:val="2"/>
        <w:spacing w:before="20" w:line="360" w:lineRule="auto"/>
        <w:ind w:firstLine="565"/>
        <w:jc w:val="center"/>
        <w:rPr>
          <w:rFonts w:ascii="仿宋_GB2312" w:eastAsia="仿宋_GB2312"/>
          <w:b/>
          <w:color w:val="1C1C23"/>
          <w:spacing w:val="8"/>
          <w:w w:val="105"/>
          <w:sz w:val="28"/>
          <w:szCs w:val="28"/>
          <w:lang w:eastAsia="zh-CN"/>
        </w:rPr>
      </w:pPr>
      <w:r>
        <w:rPr>
          <w:rFonts w:ascii="仿宋_GB2312" w:eastAsia="仿宋_GB2312"/>
          <w:b/>
          <w:color w:val="1C1C23"/>
          <w:spacing w:val="8"/>
          <w:w w:val="105"/>
          <w:sz w:val="28"/>
          <w:szCs w:val="28"/>
          <w:lang w:eastAsia="zh-CN"/>
        </w:rPr>
        <w:t>附件</w:t>
      </w:r>
    </w:p>
    <w:p>
      <w:pPr>
        <w:pStyle w:val="2"/>
        <w:spacing w:before="20" w:line="360" w:lineRule="auto"/>
        <w:ind w:firstLine="565"/>
        <w:rPr>
          <w:rFonts w:ascii="仿宋_GB2312" w:hAnsi="仿宋" w:eastAsia="仿宋_GB2312" w:cs="Times New Roman"/>
          <w:kern w:val="2"/>
          <w:sz w:val="28"/>
          <w:szCs w:val="28"/>
          <w:lang w:eastAsia="zh-CN"/>
        </w:rPr>
      </w:pPr>
      <w:bookmarkStart w:id="1" w:name="_Toc523824420"/>
      <w:bookmarkStart w:id="2" w:name="_Toc471985556"/>
      <w:bookmarkStart w:id="3" w:name="_Toc471985698"/>
      <w:r>
        <w:rPr>
          <w:rFonts w:hint="eastAsia" w:ascii="仿宋_GB2312" w:hAnsi="仿宋" w:eastAsia="仿宋_GB2312" w:cs="Times New Roman"/>
          <w:kern w:val="2"/>
          <w:sz w:val="28"/>
          <w:szCs w:val="28"/>
          <w:lang w:eastAsia="zh-CN"/>
        </w:rPr>
        <w:t>1.烟台市不动产登记信息查询结果复印件</w:t>
      </w:r>
    </w:p>
    <w:p>
      <w:pPr>
        <w:pStyle w:val="2"/>
        <w:spacing w:before="20" w:line="360" w:lineRule="auto"/>
        <w:ind w:firstLine="565"/>
        <w:rPr>
          <w:rFonts w:ascii="仿宋_GB2312" w:hAnsi="仿宋" w:eastAsia="仿宋_GB2312" w:cs="Times New Roman"/>
          <w:kern w:val="2"/>
          <w:sz w:val="28"/>
          <w:szCs w:val="28"/>
          <w:lang w:eastAsia="zh-CN"/>
        </w:rPr>
      </w:pPr>
      <w:r>
        <w:rPr>
          <w:rFonts w:hint="eastAsia" w:ascii="仿宋_GB2312" w:hAnsi="仿宋" w:eastAsia="仿宋_GB2312" w:cs="Times New Roman"/>
          <w:kern w:val="2"/>
          <w:sz w:val="28"/>
          <w:szCs w:val="28"/>
          <w:lang w:eastAsia="zh-CN"/>
        </w:rPr>
        <w:t>2.询价对象位置示意图</w:t>
      </w:r>
      <w:bookmarkEnd w:id="1"/>
      <w:bookmarkEnd w:id="2"/>
      <w:bookmarkEnd w:id="3"/>
    </w:p>
    <w:p>
      <w:pPr>
        <w:pStyle w:val="2"/>
        <w:spacing w:before="20" w:line="360" w:lineRule="auto"/>
        <w:ind w:firstLine="565"/>
        <w:rPr>
          <w:rFonts w:ascii="仿宋_GB2312" w:hAnsi="仿宋" w:eastAsia="仿宋_GB2312" w:cs="Times New Roman"/>
          <w:kern w:val="2"/>
          <w:sz w:val="28"/>
          <w:szCs w:val="28"/>
          <w:lang w:eastAsia="zh-CN"/>
        </w:rPr>
      </w:pPr>
      <w:bookmarkStart w:id="4" w:name="_Toc471985557"/>
      <w:bookmarkStart w:id="5" w:name="_Toc523824421"/>
      <w:bookmarkStart w:id="6" w:name="_Toc471985699"/>
      <w:bookmarkStart w:id="7" w:name="_Toc246986861"/>
      <w:r>
        <w:rPr>
          <w:rFonts w:hint="eastAsia" w:ascii="仿宋_GB2312" w:hAnsi="仿宋" w:eastAsia="仿宋_GB2312" w:cs="Times New Roman"/>
          <w:kern w:val="2"/>
          <w:sz w:val="28"/>
          <w:szCs w:val="28"/>
          <w:lang w:eastAsia="zh-CN"/>
        </w:rPr>
        <w:t>3.询价对象照片</w:t>
      </w:r>
      <w:bookmarkEnd w:id="4"/>
      <w:bookmarkEnd w:id="5"/>
      <w:bookmarkEnd w:id="6"/>
      <w:bookmarkEnd w:id="7"/>
    </w:p>
    <w:p>
      <w:pPr>
        <w:pStyle w:val="2"/>
        <w:spacing w:before="20" w:line="360" w:lineRule="auto"/>
        <w:ind w:firstLine="565"/>
        <w:rPr>
          <w:rFonts w:ascii="仿宋_GB2312" w:hAnsi="仿宋" w:eastAsia="仿宋_GB2312" w:cs="Times New Roman"/>
          <w:kern w:val="2"/>
          <w:sz w:val="28"/>
          <w:szCs w:val="28"/>
          <w:lang w:eastAsia="zh-CN"/>
        </w:rPr>
      </w:pPr>
      <w:bookmarkStart w:id="8" w:name="_Toc471985703"/>
      <w:bookmarkStart w:id="9" w:name="_Toc523824423"/>
      <w:bookmarkStart w:id="10" w:name="_Toc471985561"/>
      <w:bookmarkStart w:id="11" w:name="_Toc246986864"/>
      <w:r>
        <w:rPr>
          <w:rFonts w:hint="eastAsia" w:ascii="仿宋_GB2312" w:hAnsi="仿宋" w:eastAsia="仿宋_GB2312" w:cs="Times New Roman"/>
          <w:kern w:val="2"/>
          <w:sz w:val="28"/>
          <w:szCs w:val="28"/>
          <w:lang w:eastAsia="zh-CN"/>
        </w:rPr>
        <w:t>4.评估机构营业执照复印件</w:t>
      </w:r>
      <w:bookmarkEnd w:id="8"/>
      <w:bookmarkEnd w:id="9"/>
      <w:bookmarkEnd w:id="10"/>
      <w:bookmarkEnd w:id="11"/>
    </w:p>
    <w:p>
      <w:pPr>
        <w:pStyle w:val="2"/>
        <w:spacing w:before="20" w:line="360" w:lineRule="auto"/>
        <w:ind w:firstLine="565"/>
        <w:rPr>
          <w:rFonts w:ascii="仿宋_GB2312" w:hAnsi="仿宋" w:eastAsia="仿宋_GB2312" w:cs="Times New Roman"/>
          <w:kern w:val="2"/>
          <w:sz w:val="28"/>
          <w:szCs w:val="28"/>
          <w:lang w:eastAsia="zh-CN"/>
        </w:rPr>
      </w:pPr>
      <w:bookmarkStart w:id="12" w:name="_Toc471985562"/>
      <w:bookmarkStart w:id="13" w:name="_Toc471985704"/>
      <w:bookmarkStart w:id="14" w:name="_Toc523824424"/>
      <w:bookmarkStart w:id="15" w:name="_Toc246986865"/>
      <w:r>
        <w:rPr>
          <w:rFonts w:hint="eastAsia" w:ascii="仿宋_GB2312" w:hAnsi="仿宋" w:eastAsia="仿宋_GB2312" w:cs="Times New Roman"/>
          <w:kern w:val="2"/>
          <w:sz w:val="28"/>
          <w:szCs w:val="28"/>
          <w:lang w:eastAsia="zh-CN"/>
        </w:rPr>
        <w:t>5.评估机构资质证书复印件</w:t>
      </w:r>
      <w:bookmarkEnd w:id="12"/>
      <w:bookmarkEnd w:id="13"/>
      <w:bookmarkEnd w:id="14"/>
      <w:bookmarkEnd w:id="15"/>
    </w:p>
    <w:p>
      <w:pPr>
        <w:pStyle w:val="2"/>
        <w:spacing w:before="20" w:line="360" w:lineRule="auto"/>
        <w:ind w:firstLine="565"/>
        <w:rPr>
          <w:rFonts w:ascii="仿宋_GB2312" w:hAnsi="仿宋" w:eastAsia="仿宋_GB2312" w:cs="Times New Roman"/>
          <w:kern w:val="2"/>
          <w:sz w:val="28"/>
          <w:szCs w:val="28"/>
          <w:lang w:eastAsia="zh-CN"/>
        </w:rPr>
      </w:pPr>
      <w:bookmarkStart w:id="16" w:name="_Toc523824425"/>
      <w:bookmarkStart w:id="17" w:name="_Toc471985705"/>
      <w:bookmarkStart w:id="18" w:name="_Toc471985563"/>
      <w:bookmarkStart w:id="19" w:name="_Toc246986866"/>
      <w:r>
        <w:rPr>
          <w:rFonts w:hint="eastAsia" w:ascii="仿宋_GB2312" w:hAnsi="仿宋" w:eastAsia="仿宋_GB2312" w:cs="Times New Roman"/>
          <w:kern w:val="2"/>
          <w:sz w:val="28"/>
          <w:szCs w:val="28"/>
          <w:lang w:eastAsia="zh-CN"/>
        </w:rPr>
        <w:t>6.估价师注册证书复印件</w:t>
      </w:r>
      <w:bookmarkEnd w:id="16"/>
      <w:bookmarkEnd w:id="17"/>
      <w:bookmarkEnd w:id="18"/>
      <w:bookmarkEnd w:id="19"/>
    </w:p>
    <w:p>
      <w:pPr>
        <w:pStyle w:val="2"/>
        <w:spacing w:before="20" w:line="360" w:lineRule="auto"/>
        <w:ind w:firstLine="565"/>
        <w:jc w:val="center"/>
        <w:rPr>
          <w:rFonts w:ascii="仿宋_GB2312" w:hAnsi="仿宋" w:eastAsia="仿宋_GB2312"/>
          <w:spacing w:val="20"/>
          <w:sz w:val="28"/>
          <w:szCs w:val="28"/>
          <w:lang w:eastAsia="zh-CN"/>
        </w:rPr>
      </w:pPr>
      <w:r>
        <w:rPr>
          <w:rFonts w:ascii="仿宋_GB2312" w:eastAsia="仿宋_GB2312"/>
          <w:color w:val="1C1C23"/>
          <w:spacing w:val="8"/>
          <w:w w:val="105"/>
          <w:sz w:val="28"/>
          <w:szCs w:val="28"/>
          <w:lang w:eastAsia="zh-CN"/>
        </w:rPr>
        <w:br w:type="page"/>
      </w:r>
    </w:p>
    <w:p>
      <w:pPr>
        <w:spacing w:line="360" w:lineRule="auto"/>
        <w:jc w:val="center"/>
        <w:rPr>
          <w:rFonts w:ascii="仿宋_GB2312" w:hAnsi="仿宋" w:eastAsia="仿宋_GB2312"/>
          <w:b/>
          <w:spacing w:val="20"/>
          <w:sz w:val="28"/>
          <w:szCs w:val="28"/>
          <w:lang w:eastAsia="zh-CN"/>
        </w:rPr>
      </w:pPr>
      <w:r>
        <w:rPr>
          <w:rFonts w:hint="eastAsia" w:ascii="仿宋_GB2312" w:hAnsi="仿宋" w:eastAsia="仿宋_GB2312"/>
          <w:b/>
          <w:sz w:val="28"/>
          <w:szCs w:val="28"/>
          <w:lang w:eastAsia="zh-CN"/>
        </w:rPr>
        <w:t>询价对象位置示意图</w:t>
      </w:r>
    </w:p>
    <w:p>
      <w:pPr>
        <w:spacing w:line="360" w:lineRule="auto"/>
        <w:jc w:val="center"/>
        <w:rPr>
          <w:rFonts w:ascii="仿宋_GB2312" w:hAnsi="仿宋" w:eastAsia="仿宋_GB2312"/>
          <w:b/>
          <w:spacing w:val="20"/>
          <w:sz w:val="28"/>
          <w:szCs w:val="28"/>
          <w:lang w:eastAsia="zh-CN"/>
        </w:rPr>
      </w:pPr>
      <w:r>
        <w:rPr>
          <w:rFonts w:ascii="仿宋_GB2312" w:eastAsia="仿宋_GB2312"/>
          <w:lang w:eastAsia="zh-CN"/>
        </w:rPr>
        <w:pict>
          <v:shape id="AutoShape 5" o:spid="_x0000_s1026" o:spt="62" type="#_x0000_t62" style="position:absolute;left:0pt;margin-left:122.45pt;margin-top:132.3pt;height:21.25pt;width:63.75pt;z-index:251659264;mso-width-relative:page;mso-height-relative:page;" coordsize="21600,21600" adj="28969,81978">
            <v:path/>
            <v:fill focussize="0,0"/>
            <v:stroke joinstyle="miter"/>
            <v:imagedata o:title=""/>
            <o:lock v:ext="edit"/>
            <v:textbox>
              <w:txbxContent>
                <w:p>
                  <w:r>
                    <w:rPr>
                      <w:rFonts w:hint="eastAsia"/>
                      <w:lang w:eastAsia="zh-CN"/>
                    </w:rPr>
                    <w:t>询</w:t>
                  </w:r>
                  <w:r>
                    <w:t>价对象</w:t>
                  </w:r>
                </w:p>
              </w:txbxContent>
            </v:textbox>
          </v:shape>
        </w:pict>
      </w:r>
      <w:r>
        <w:rPr>
          <w:lang w:eastAsia="zh-CN"/>
        </w:rPr>
        <w:drawing>
          <wp:inline distT="0" distB="0" distL="0" distR="0">
            <wp:extent cx="5267325" cy="3514725"/>
            <wp:effectExtent l="19050" t="0" r="9525" b="0"/>
            <wp:docPr id="16" name="图片 1" descr="C:\Users\ADMINI~1\AppData\Local\Temp\WeChat Files\45e9adca48534fcc4de1b19aee4db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ADMINI~1\AppData\Local\Temp\WeChat Files\45e9adca48534fcc4de1b19aee4dbfe.png"/>
                    <pic:cNvPicPr>
                      <a:picLocks noChangeAspect="1" noChangeArrowheads="1"/>
                    </pic:cNvPicPr>
                  </pic:nvPicPr>
                  <pic:blipFill>
                    <a:blip r:embed="rId4"/>
                    <a:srcRect/>
                    <a:stretch>
                      <a:fillRect/>
                    </a:stretch>
                  </pic:blipFill>
                  <pic:spPr>
                    <a:xfrm>
                      <a:off x="0" y="0"/>
                      <a:ext cx="5267325" cy="3514725"/>
                    </a:xfrm>
                    <a:prstGeom prst="rect">
                      <a:avLst/>
                    </a:prstGeom>
                    <a:noFill/>
                    <a:ln w="9525">
                      <a:noFill/>
                      <a:miter lim="800000"/>
                      <a:headEnd/>
                      <a:tailEnd/>
                    </a:ln>
                  </pic:spPr>
                </pic:pic>
              </a:graphicData>
            </a:graphic>
          </wp:inline>
        </w:drawing>
      </w:r>
    </w:p>
    <w:p>
      <w:pPr>
        <w:spacing w:line="360" w:lineRule="auto"/>
        <w:jc w:val="center"/>
        <w:rPr>
          <w:rFonts w:ascii="仿宋_GB2312" w:hAnsi="仿宋" w:eastAsia="仿宋_GB2312"/>
          <w:b/>
          <w:spacing w:val="20"/>
          <w:sz w:val="28"/>
          <w:szCs w:val="28"/>
          <w:lang w:eastAsia="zh-CN"/>
        </w:rPr>
      </w:pPr>
    </w:p>
    <w:p>
      <w:pPr>
        <w:spacing w:line="360" w:lineRule="auto"/>
        <w:jc w:val="center"/>
        <w:rPr>
          <w:rFonts w:ascii="仿宋_GB2312" w:hAnsi="仿宋" w:eastAsia="仿宋_GB2312"/>
          <w:b/>
          <w:spacing w:val="20"/>
          <w:sz w:val="28"/>
          <w:szCs w:val="28"/>
          <w:lang w:eastAsia="zh-CN"/>
        </w:rPr>
      </w:pPr>
      <w:r>
        <w:rPr>
          <w:rFonts w:ascii="仿宋_GB2312" w:hAnsi="仿宋" w:eastAsia="仿宋_GB2312"/>
          <w:sz w:val="28"/>
          <w:szCs w:val="30"/>
          <w:lang w:eastAsia="zh-CN"/>
        </w:rPr>
        <w:pict>
          <v:shape id="_x0000_s1029" o:spid="_x0000_s1029" o:spt="62" type="#_x0000_t62" style="position:absolute;left:0pt;margin-left:96.95pt;margin-top:142.5pt;height:24.75pt;width:67.5pt;z-index:251660288;mso-width-relative:page;mso-height-relative:page;" coordsize="21600,21600" adj="35440,52495">
            <v:path/>
            <v:fill focussize="0,0"/>
            <v:stroke joinstyle="miter"/>
            <v:imagedata o:title=""/>
            <o:lock v:ext="edit"/>
            <v:textbox>
              <w:txbxContent>
                <w:p>
                  <w:pPr>
                    <w:rPr>
                      <w:lang w:eastAsia="zh-CN"/>
                    </w:rPr>
                  </w:pPr>
                  <w:r>
                    <w:rPr>
                      <w:rFonts w:hint="eastAsia"/>
                      <w:lang w:eastAsia="zh-CN"/>
                    </w:rPr>
                    <w:t>询价对象</w:t>
                  </w:r>
                </w:p>
              </w:txbxContent>
            </v:textbox>
          </v:shape>
        </w:pict>
      </w:r>
      <w:r>
        <w:rPr>
          <w:lang w:eastAsia="zh-CN"/>
        </w:rPr>
        <w:drawing>
          <wp:inline distT="0" distB="0" distL="0" distR="0">
            <wp:extent cx="5276850" cy="3571875"/>
            <wp:effectExtent l="19050" t="0" r="0" b="0"/>
            <wp:docPr id="17" name="图片 2" descr="C:\Users\ADMINI~1\AppData\Local\Temp\WeChat Files\38d3c8c98787dd61a1d67638fdaa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C:\Users\ADMINI~1\AppData\Local\Temp\WeChat Files\38d3c8c98787dd61a1d67638fdaaa71.png"/>
                    <pic:cNvPicPr>
                      <a:picLocks noChangeAspect="1" noChangeArrowheads="1"/>
                    </pic:cNvPicPr>
                  </pic:nvPicPr>
                  <pic:blipFill>
                    <a:blip r:embed="rId5"/>
                    <a:srcRect/>
                    <a:stretch>
                      <a:fillRect/>
                    </a:stretch>
                  </pic:blipFill>
                  <pic:spPr>
                    <a:xfrm>
                      <a:off x="0" y="0"/>
                      <a:ext cx="5276850" cy="3571875"/>
                    </a:xfrm>
                    <a:prstGeom prst="rect">
                      <a:avLst/>
                    </a:prstGeom>
                    <a:noFill/>
                    <a:ln w="9525">
                      <a:noFill/>
                      <a:miter lim="800000"/>
                      <a:headEnd/>
                      <a:tailEnd/>
                    </a:ln>
                  </pic:spPr>
                </pic:pic>
              </a:graphicData>
            </a:graphic>
          </wp:inline>
        </w:drawing>
      </w:r>
    </w:p>
    <w:p>
      <w:pPr>
        <w:spacing w:line="360" w:lineRule="auto"/>
        <w:jc w:val="center"/>
        <w:rPr>
          <w:rFonts w:ascii="仿宋_GB2312" w:hAnsi="仿宋" w:eastAsia="仿宋_GB2312"/>
          <w:b/>
          <w:spacing w:val="20"/>
          <w:sz w:val="28"/>
          <w:szCs w:val="28"/>
          <w:lang w:eastAsia="zh-CN"/>
        </w:rPr>
      </w:pPr>
    </w:p>
    <w:p>
      <w:pPr>
        <w:spacing w:line="360" w:lineRule="auto"/>
        <w:jc w:val="center"/>
        <w:rPr>
          <w:rFonts w:ascii="仿宋_GB2312" w:hAnsi="仿宋" w:eastAsia="仿宋_GB2312"/>
          <w:b/>
          <w:spacing w:val="20"/>
          <w:sz w:val="28"/>
          <w:szCs w:val="28"/>
          <w:lang w:eastAsia="zh-CN"/>
        </w:rPr>
      </w:pPr>
    </w:p>
    <w:p>
      <w:pPr>
        <w:spacing w:line="360" w:lineRule="auto"/>
        <w:jc w:val="center"/>
        <w:rPr>
          <w:rFonts w:ascii="仿宋_GB2312" w:hAnsi="仿宋" w:eastAsia="仿宋_GB2312"/>
          <w:sz w:val="30"/>
          <w:szCs w:val="30"/>
          <w:lang w:eastAsia="zh-CN"/>
        </w:rPr>
      </w:pPr>
      <w:r>
        <w:rPr>
          <w:rFonts w:hint="eastAsia" w:ascii="仿宋_GB2312" w:hAnsi="仿宋" w:eastAsia="仿宋_GB2312"/>
          <w:b/>
          <w:spacing w:val="20"/>
          <w:sz w:val="28"/>
          <w:szCs w:val="28"/>
          <w:lang w:eastAsia="zh-CN"/>
        </w:rPr>
        <w:t>询价对象照片</w:t>
      </w:r>
    </w:p>
    <w:p>
      <w:pPr>
        <w:pStyle w:val="21"/>
        <w:numPr>
          <w:ilvl w:val="0"/>
          <w:numId w:val="1"/>
        </w:numPr>
        <w:spacing w:line="360" w:lineRule="auto"/>
        <w:ind w:left="495" w:firstLine="0" w:firstLineChars="0"/>
        <w:jc w:val="both"/>
        <w:rPr>
          <w:rFonts w:ascii="仿宋_GB2312" w:hAnsi="仿宋" w:eastAsia="仿宋_GB2312"/>
          <w:sz w:val="30"/>
          <w:szCs w:val="30"/>
          <w:lang w:eastAsia="zh-CN"/>
        </w:rPr>
      </w:pPr>
      <w:r>
        <w:rPr>
          <w:rFonts w:hint="eastAsia" w:ascii="仿宋_GB2312" w:hAnsi="仿宋" w:eastAsia="仿宋_GB2312"/>
          <w:sz w:val="30"/>
          <w:szCs w:val="30"/>
          <w:lang w:eastAsia="zh-CN"/>
        </w:rPr>
        <w:t>外观：</w:t>
      </w:r>
    </w:p>
    <w:p>
      <w:pPr>
        <w:spacing w:line="360" w:lineRule="auto"/>
        <w:ind w:firstLine="331" w:firstLineChars="150"/>
        <w:rPr>
          <w:rFonts w:ascii="仿宋_GB2312" w:hAnsi="仿宋" w:eastAsia="仿宋_GB2312"/>
          <w:spacing w:val="20"/>
          <w:sz w:val="28"/>
          <w:szCs w:val="28"/>
          <w:lang w:eastAsia="zh-CN"/>
        </w:rPr>
      </w:pPr>
      <w:r>
        <w:rPr>
          <w:b/>
          <w:lang w:eastAsia="zh-CN"/>
        </w:rPr>
        <w:drawing>
          <wp:inline distT="0" distB="0" distL="0" distR="0">
            <wp:extent cx="1619885" cy="2162175"/>
            <wp:effectExtent l="19050" t="0" r="0" b="0"/>
            <wp:docPr id="19" name="图片 3" descr="C:\Users\Administrator\Desktop\22年报告\牟平区通海路61号杰座欧洲城\9f3f9b0fd31455b8a8ee9816477f2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Users\Administrator\Desktop\22年报告\牟平区通海路61号杰座欧洲城\9f3f9b0fd31455b8a8ee9816477f25e.jpg"/>
                    <pic:cNvPicPr preferRelativeResize="0">
                      <a:picLocks noChangeAspect="1" noChangeArrowheads="1"/>
                    </pic:cNvPicPr>
                  </pic:nvPicPr>
                  <pic:blipFill>
                    <a:blip r:embed="rId6" cstate="print"/>
                    <a:srcRect/>
                    <a:stretch>
                      <a:fillRect/>
                    </a:stretch>
                  </pic:blipFill>
                  <pic:spPr>
                    <a:xfrm>
                      <a:off x="0" y="0"/>
                      <a:ext cx="1620000" cy="2162175"/>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lang w:eastAsia="zh-CN"/>
        </w:rPr>
        <w:drawing>
          <wp:inline distT="0" distB="0" distL="0" distR="0">
            <wp:extent cx="1619885" cy="2162175"/>
            <wp:effectExtent l="19050" t="0" r="0" b="0"/>
            <wp:docPr id="20" name="图片 4" descr="C:\Users\Administrator\Desktop\22年报告\牟平区通海路61号杰座欧洲城\561a42122e2663f4ef20b5b7057c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C:\Users\Administrator\Desktop\22年报告\牟平区通海路61号杰座欧洲城\561a42122e2663f4ef20b5b7057c163.jpg"/>
                    <pic:cNvPicPr preferRelativeResize="0">
                      <a:picLocks noChangeAspect="1" noChangeArrowheads="1"/>
                    </pic:cNvPicPr>
                  </pic:nvPicPr>
                  <pic:blipFill>
                    <a:blip r:embed="rId7" cstate="print"/>
                    <a:srcRect/>
                    <a:stretch>
                      <a:fillRect/>
                    </a:stretch>
                  </pic:blipFill>
                  <pic:spPr>
                    <a:xfrm>
                      <a:off x="0" y="0"/>
                      <a:ext cx="1620000" cy="2162175"/>
                    </a:xfrm>
                    <a:prstGeom prst="rect">
                      <a:avLst/>
                    </a:prstGeom>
                    <a:noFill/>
                    <a:ln w="9525">
                      <a:noFill/>
                      <a:miter lim="800000"/>
                      <a:headEnd/>
                      <a:tailEnd/>
                    </a:ln>
                  </pic:spPr>
                </pic:pic>
              </a:graphicData>
            </a:graphic>
          </wp:inline>
        </w:drawing>
      </w:r>
    </w:p>
    <w:p>
      <w:pPr>
        <w:pStyle w:val="21"/>
        <w:numPr>
          <w:ilvl w:val="0"/>
          <w:numId w:val="1"/>
        </w:numPr>
        <w:spacing w:line="360" w:lineRule="auto"/>
        <w:ind w:left="495" w:firstLine="0" w:firstLineChars="0"/>
        <w:jc w:val="both"/>
        <w:rPr>
          <w:rFonts w:ascii="仿宋_GB2312" w:hAnsi="仿宋" w:eastAsia="仿宋_GB2312"/>
          <w:spacing w:val="20"/>
          <w:sz w:val="28"/>
          <w:szCs w:val="28"/>
          <w:lang w:eastAsia="zh-CN"/>
        </w:rPr>
      </w:pPr>
      <w:r>
        <w:rPr>
          <w:rFonts w:hint="eastAsia" w:ascii="仿宋_GB2312" w:hAnsi="仿宋" w:eastAsia="仿宋_GB2312"/>
          <w:spacing w:val="20"/>
          <w:sz w:val="28"/>
          <w:szCs w:val="28"/>
          <w:lang w:eastAsia="zh-CN"/>
        </w:rPr>
        <w:t>单元门、电梯间及入户门：</w:t>
      </w:r>
    </w:p>
    <w:p>
      <w:pPr>
        <w:spacing w:line="360" w:lineRule="auto"/>
        <w:ind w:right="-341" w:rightChars="-155"/>
        <w:rPr>
          <w:rFonts w:ascii="仿宋_GB2312" w:hAnsi="仿宋" w:eastAsia="仿宋_GB2312"/>
          <w:b/>
          <w:spacing w:val="20"/>
          <w:sz w:val="28"/>
          <w:szCs w:val="28"/>
          <w:lang w:eastAsia="zh-CN"/>
        </w:rPr>
      </w:pPr>
      <w:r>
        <w:rPr>
          <w:rFonts w:hint="eastAsia"/>
          <w:lang w:eastAsia="zh-CN"/>
        </w:rPr>
        <w:drawing>
          <wp:inline distT="0" distB="0" distL="0" distR="0">
            <wp:extent cx="1619885" cy="2162175"/>
            <wp:effectExtent l="19050" t="0" r="0" b="0"/>
            <wp:docPr id="21" name="图片 5" descr="C:\Users\Administrator\Desktop\22年报告\牟平区通海路61号杰座欧洲城\2b129659a31caf4efd84d6cbc644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C:\Users\Administrator\Desktop\22年报告\牟平区通海路61号杰座欧洲城\2b129659a31caf4efd84d6cbc64436a.jpg"/>
                    <pic:cNvPicPr preferRelativeResize="0">
                      <a:picLocks noChangeAspect="1" noChangeArrowheads="1"/>
                    </pic:cNvPicPr>
                  </pic:nvPicPr>
                  <pic:blipFill>
                    <a:blip r:embed="rId8" cstate="print"/>
                    <a:srcRect/>
                    <a:stretch>
                      <a:fillRect/>
                    </a:stretch>
                  </pic:blipFill>
                  <pic:spPr>
                    <a:xfrm>
                      <a:off x="0" y="0"/>
                      <a:ext cx="1620000" cy="2162175"/>
                    </a:xfrm>
                    <a:prstGeom prst="rect">
                      <a:avLst/>
                    </a:prstGeom>
                    <a:noFill/>
                    <a:ln w="9525">
                      <a:noFill/>
                      <a:miter lim="800000"/>
                      <a:headEnd/>
                      <a:tailEnd/>
                    </a:ln>
                  </pic:spPr>
                </pic:pic>
              </a:graphicData>
            </a:graphic>
          </wp:inline>
        </w:drawing>
      </w:r>
      <w:r>
        <w:rPr>
          <w:rFonts w:hint="eastAsia" w:ascii="仿宋_GB2312" w:hAnsi="仿宋" w:eastAsia="仿宋_GB2312"/>
          <w:b/>
          <w:spacing w:val="20"/>
          <w:sz w:val="28"/>
          <w:szCs w:val="28"/>
          <w:lang w:eastAsia="zh-CN"/>
        </w:rPr>
        <w:t xml:space="preserve"> </w:t>
      </w:r>
      <w:r>
        <w:rPr>
          <w:lang w:eastAsia="zh-CN"/>
        </w:rPr>
        <w:drawing>
          <wp:inline distT="0" distB="0" distL="0" distR="0">
            <wp:extent cx="1619250" cy="2159635"/>
            <wp:effectExtent l="19050" t="0" r="0" b="0"/>
            <wp:docPr id="22" name="图片 6" descr="C:\Users\Administrator\Desktop\22年报告\牟平区通海路61号杰座欧洲城\32202c4a2fc48332a4dc08131ec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C:\Users\Administrator\Desktop\22年报告\牟平区通海路61号杰座欧洲城\32202c4a2fc48332a4dc08131ec3912.jpg"/>
                    <pic:cNvPicPr preferRelativeResize="0">
                      <a:picLocks noChangeAspect="1" noChangeArrowheads="1"/>
                    </pic:cNvPicPr>
                  </pic:nvPicPr>
                  <pic:blipFill>
                    <a:blip r:embed="rId9" cstate="print"/>
                    <a:srcRect/>
                    <a:stretch>
                      <a:fillRect/>
                    </a:stretch>
                  </pic:blipFill>
                  <pic:spPr>
                    <a:xfrm>
                      <a:off x="0" y="0"/>
                      <a:ext cx="1619250" cy="2160000"/>
                    </a:xfrm>
                    <a:prstGeom prst="rect">
                      <a:avLst/>
                    </a:prstGeom>
                    <a:noFill/>
                    <a:ln w="9525">
                      <a:noFill/>
                      <a:miter lim="800000"/>
                      <a:headEnd/>
                      <a:tailEnd/>
                    </a:ln>
                  </pic:spPr>
                </pic:pic>
              </a:graphicData>
            </a:graphic>
          </wp:inline>
        </w:drawing>
      </w:r>
      <w:r>
        <w:rPr>
          <w:rFonts w:hint="eastAsia" w:ascii="仿宋_GB2312" w:hAnsi="仿宋" w:eastAsia="仿宋_GB2312"/>
          <w:b/>
          <w:spacing w:val="20"/>
          <w:sz w:val="28"/>
          <w:szCs w:val="28"/>
          <w:lang w:eastAsia="zh-CN"/>
        </w:rPr>
        <w:t xml:space="preserve"> </w:t>
      </w:r>
      <w:r>
        <w:rPr>
          <w:lang w:eastAsia="zh-CN"/>
        </w:rPr>
        <w:drawing>
          <wp:inline distT="0" distB="0" distL="0" distR="0">
            <wp:extent cx="1619885" cy="2162175"/>
            <wp:effectExtent l="19050" t="0" r="0" b="0"/>
            <wp:docPr id="23" name="图片 7" descr="C:\Users\Administrator\Desktop\22年报告\牟平区通海路61号杰座欧洲城\0e8837d488cd8069eac9744626cb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C:\Users\Administrator\Desktop\22年报告\牟平区通海路61号杰座欧洲城\0e8837d488cd8069eac9744626cb9bb.jpg"/>
                    <pic:cNvPicPr>
                      <a:picLocks noChangeAspect="1" noChangeArrowheads="1"/>
                    </pic:cNvPicPr>
                  </pic:nvPicPr>
                  <pic:blipFill>
                    <a:blip r:embed="rId10" cstate="print"/>
                    <a:srcRect/>
                    <a:stretch>
                      <a:fillRect/>
                    </a:stretch>
                  </pic:blipFill>
                  <pic:spPr>
                    <a:xfrm>
                      <a:off x="0" y="0"/>
                      <a:ext cx="1620000" cy="2162175"/>
                    </a:xfrm>
                    <a:prstGeom prst="rect">
                      <a:avLst/>
                    </a:prstGeom>
                    <a:noFill/>
                    <a:ln w="9525">
                      <a:noFill/>
                      <a:miter lim="800000"/>
                      <a:headEnd/>
                      <a:tailEnd/>
                    </a:ln>
                  </pic:spPr>
                </pic:pic>
              </a:graphicData>
            </a:graphic>
          </wp:inline>
        </w:drawing>
      </w:r>
    </w:p>
    <w:p>
      <w:pPr>
        <w:pStyle w:val="21"/>
        <w:numPr>
          <w:ilvl w:val="0"/>
          <w:numId w:val="1"/>
        </w:numPr>
        <w:spacing w:line="360" w:lineRule="auto"/>
        <w:ind w:firstLineChars="0"/>
        <w:rPr>
          <w:rFonts w:ascii="仿宋_GB2312" w:hAnsi="仿宋" w:eastAsia="仿宋_GB2312"/>
          <w:spacing w:val="20"/>
          <w:sz w:val="28"/>
          <w:szCs w:val="28"/>
          <w:lang w:eastAsia="zh-CN"/>
        </w:rPr>
      </w:pPr>
      <w:r>
        <w:rPr>
          <w:rFonts w:hint="eastAsia" w:ascii="仿宋_GB2312" w:hAnsi="仿宋" w:eastAsia="仿宋_GB2312"/>
          <w:spacing w:val="20"/>
          <w:sz w:val="28"/>
          <w:szCs w:val="28"/>
          <w:lang w:eastAsia="zh-CN"/>
        </w:rPr>
        <w:t>室内：</w:t>
      </w:r>
    </w:p>
    <w:p>
      <w:pPr>
        <w:spacing w:line="360" w:lineRule="auto"/>
        <w:rPr>
          <w:rFonts w:ascii="仿宋_GB2312" w:hAnsi="仿宋" w:eastAsia="仿宋_GB2312"/>
          <w:spacing w:val="20"/>
          <w:sz w:val="28"/>
          <w:szCs w:val="28"/>
          <w:lang w:eastAsia="zh-CN"/>
        </w:rPr>
      </w:pPr>
      <w:r>
        <w:rPr>
          <w:rFonts w:hint="eastAsia"/>
          <w:lang w:eastAsia="zh-CN"/>
        </w:rPr>
        <w:drawing>
          <wp:inline distT="0" distB="0" distL="0" distR="0">
            <wp:extent cx="1620520" cy="2159635"/>
            <wp:effectExtent l="19050" t="0" r="0" b="0"/>
            <wp:docPr id="26" name="图片 10" descr="C:\Users\Administrator\Desktop\22年报告\牟平区通海路61号杰座欧洲城\9d2662289828476335f376cfb93c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C:\Users\Administrator\Desktop\22年报告\牟平区通海路61号杰座欧洲城\9d2662289828476335f376cfb93c8cb.jpg"/>
                    <pic:cNvPicPr preferRelativeResize="0">
                      <a:picLocks noChangeAspect="1" noChangeArrowheads="1"/>
                    </pic:cNvPicPr>
                  </pic:nvPicPr>
                  <pic:blipFill>
                    <a:blip r:embed="rId11"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ascii="仿宋_GB2312" w:hAnsi="仿宋" w:eastAsia="仿宋_GB2312"/>
          <w:spacing w:val="20"/>
          <w:sz w:val="28"/>
          <w:szCs w:val="28"/>
          <w:lang w:eastAsia="zh-CN"/>
        </w:rPr>
        <w:drawing>
          <wp:inline distT="0" distB="0" distL="0" distR="0">
            <wp:extent cx="1620520" cy="2159635"/>
            <wp:effectExtent l="19050" t="0" r="0" b="0"/>
            <wp:docPr id="24" name="图片 8" descr="C:\Users\Administrator\Desktop\22年报告\牟平区通海路61号杰座欧洲城\4fd617aba806d153cacc413d6cbd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descr="C:\Users\Administrator\Desktop\22年报告\牟平区通海路61号杰座欧洲城\4fd617aba806d153cacc413d6cbdc2c.jpg"/>
                    <pic:cNvPicPr preferRelativeResize="0">
                      <a:picLocks noChangeAspect="1" noChangeArrowheads="1"/>
                    </pic:cNvPicPr>
                  </pic:nvPicPr>
                  <pic:blipFill>
                    <a:blip r:embed="rId12"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25" name="图片 9" descr="C:\Users\Administrator\Desktop\22年报告\牟平区通海路61号杰座欧洲城\5e9622ac7922ddc50c400d9f15919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C:\Users\Administrator\Desktop\22年报告\牟平区通海路61号杰座欧洲城\5e9622ac7922ddc50c400d9f159191c.jpg"/>
                    <pic:cNvPicPr>
                      <a:picLocks noChangeAspect="1" noChangeArrowheads="1"/>
                    </pic:cNvPicPr>
                  </pic:nvPicPr>
                  <pic:blipFill>
                    <a:blip r:embed="rId13" cstate="print"/>
                    <a:srcRect/>
                    <a:stretch>
                      <a:fillRect/>
                    </a:stretch>
                  </pic:blipFill>
                  <pic:spPr>
                    <a:xfrm>
                      <a:off x="0" y="0"/>
                      <a:ext cx="1620733" cy="2160000"/>
                    </a:xfrm>
                    <a:prstGeom prst="rect">
                      <a:avLst/>
                    </a:prstGeom>
                    <a:noFill/>
                    <a:ln w="9525">
                      <a:noFill/>
                      <a:miter lim="800000"/>
                      <a:headEnd/>
                      <a:tailEnd/>
                    </a:ln>
                  </pic:spPr>
                </pic:pic>
              </a:graphicData>
            </a:graphic>
          </wp:inline>
        </w:drawing>
      </w:r>
    </w:p>
    <w:p>
      <w:pPr>
        <w:spacing w:line="360" w:lineRule="auto"/>
        <w:rPr>
          <w:rFonts w:ascii="仿宋_GB2312" w:hAnsi="仿宋" w:eastAsia="仿宋_GB2312"/>
          <w:spacing w:val="20"/>
          <w:sz w:val="28"/>
          <w:szCs w:val="28"/>
          <w:lang w:eastAsia="zh-CN"/>
        </w:rPr>
      </w:pPr>
      <w:r>
        <w:rPr>
          <w:rFonts w:ascii="仿宋_GB2312" w:hAnsi="仿宋" w:eastAsia="仿宋_GB2312"/>
          <w:spacing w:val="20"/>
          <w:sz w:val="28"/>
          <w:szCs w:val="28"/>
          <w:lang w:eastAsia="zh-CN"/>
        </w:rPr>
        <w:drawing>
          <wp:inline distT="0" distB="0" distL="0" distR="0">
            <wp:extent cx="1620520" cy="2159635"/>
            <wp:effectExtent l="19050" t="0" r="0" b="0"/>
            <wp:docPr id="27" name="图片 11" descr="C:\Users\Administrator\Desktop\22年报告\牟平区通海路61号杰座欧洲城\16febb0fc7fd6bd66abf8754601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C:\Users\Administrator\Desktop\22年报告\牟平区通海路61号杰座欧洲城\16febb0fc7fd6bd66abf87546012764.jpg"/>
                    <pic:cNvPicPr>
                      <a:picLocks noChangeAspect="1" noChangeArrowheads="1"/>
                    </pic:cNvPicPr>
                  </pic:nvPicPr>
                  <pic:blipFill>
                    <a:blip r:embed="rId14"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ascii="仿宋_GB2312" w:hAnsi="仿宋" w:eastAsia="仿宋_GB2312"/>
          <w:spacing w:val="20"/>
          <w:sz w:val="28"/>
          <w:szCs w:val="28"/>
          <w:lang w:eastAsia="zh-CN"/>
        </w:rPr>
        <w:drawing>
          <wp:inline distT="0" distB="0" distL="0" distR="0">
            <wp:extent cx="1620520" cy="2159635"/>
            <wp:effectExtent l="19050" t="0" r="0" b="0"/>
            <wp:docPr id="28" name="图片 12" descr="C:\Users\Administrator\Desktop\22年报告\牟平区通海路61号杰座欧洲城\64da65479170cbb29755890978cf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descr="C:\Users\Administrator\Desktop\22年报告\牟平区通海路61号杰座欧洲城\64da65479170cbb29755890978cf50f.jpg"/>
                    <pic:cNvPicPr>
                      <a:picLocks noChangeAspect="1" noChangeArrowheads="1"/>
                    </pic:cNvPicPr>
                  </pic:nvPicPr>
                  <pic:blipFill>
                    <a:blip r:embed="rId15"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29" name="图片 13" descr="C:\Users\Administrator\Desktop\22年报告\牟平区通海路61号杰座欧洲城\353e03523d1a14ee5a9033e3a784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C:\Users\Administrator\Desktop\22年报告\牟平区通海路61号杰座欧洲城\353e03523d1a14ee5a9033e3a784a51.jpg"/>
                    <pic:cNvPicPr>
                      <a:picLocks noChangeAspect="1" noChangeArrowheads="1"/>
                    </pic:cNvPicPr>
                  </pic:nvPicPr>
                  <pic:blipFill>
                    <a:blip r:embed="rId16" cstate="print"/>
                    <a:srcRect/>
                    <a:stretch>
                      <a:fillRect/>
                    </a:stretch>
                  </pic:blipFill>
                  <pic:spPr>
                    <a:xfrm>
                      <a:off x="0" y="0"/>
                      <a:ext cx="1620733" cy="2160000"/>
                    </a:xfrm>
                    <a:prstGeom prst="rect">
                      <a:avLst/>
                    </a:prstGeom>
                    <a:noFill/>
                    <a:ln w="9525">
                      <a:noFill/>
                      <a:miter lim="800000"/>
                      <a:headEnd/>
                      <a:tailEnd/>
                    </a:ln>
                  </pic:spPr>
                </pic:pic>
              </a:graphicData>
            </a:graphic>
          </wp:inline>
        </w:drawing>
      </w:r>
    </w:p>
    <w:p>
      <w:pPr>
        <w:spacing w:line="360" w:lineRule="auto"/>
        <w:rPr>
          <w:rFonts w:ascii="仿宋_GB2312" w:hAnsi="仿宋" w:eastAsia="仿宋_GB2312"/>
          <w:spacing w:val="20"/>
          <w:sz w:val="28"/>
          <w:szCs w:val="28"/>
          <w:lang w:eastAsia="zh-CN"/>
        </w:rPr>
      </w:pPr>
      <w:r>
        <w:rPr>
          <w:rFonts w:hint="eastAsia" w:ascii="仿宋_GB2312" w:hAnsi="仿宋" w:eastAsia="仿宋_GB2312"/>
          <w:spacing w:val="20"/>
          <w:sz w:val="28"/>
          <w:szCs w:val="28"/>
          <w:lang w:eastAsia="zh-CN"/>
        </w:rPr>
        <w:drawing>
          <wp:inline distT="0" distB="0" distL="0" distR="0">
            <wp:extent cx="1620520" cy="2159635"/>
            <wp:effectExtent l="19050" t="0" r="0" b="0"/>
            <wp:docPr id="30" name="图片 14" descr="C:\Users\Administrator\Desktop\22年报告\牟平区通海路61号杰座欧洲城\919d04650f09b4cceef960ecefd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C:\Users\Administrator\Desktop\22年报告\牟平区通海路61号杰座欧洲城\919d04650f09b4cceef960ecefd5102.jpg"/>
                    <pic:cNvPicPr>
                      <a:picLocks noChangeAspect="1" noChangeArrowheads="1"/>
                    </pic:cNvPicPr>
                  </pic:nvPicPr>
                  <pic:blipFill>
                    <a:blip r:embed="rId17"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31" name="图片 15" descr="C:\Users\Administrator\Desktop\22年报告\牟平区通海路61号杰座欧洲城\bb7564e1b3531f0302db0590c92e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C:\Users\Administrator\Desktop\22年报告\牟平区通海路61号杰座欧洲城\bb7564e1b3531f0302db0590c92e6af.jpg"/>
                    <pic:cNvPicPr>
                      <a:picLocks noChangeAspect="1" noChangeArrowheads="1"/>
                    </pic:cNvPicPr>
                  </pic:nvPicPr>
                  <pic:blipFill>
                    <a:blip r:embed="rId18"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32" name="图片 16" descr="C:\Users\Administrator\Desktop\22年报告\牟平区通海路61号杰座欧洲城\c700172f67fd279e56a8ca2eacf9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C:\Users\Administrator\Desktop\22年报告\牟平区通海路61号杰座欧洲城\c700172f67fd279e56a8ca2eacf925d.jpg"/>
                    <pic:cNvPicPr>
                      <a:picLocks noChangeAspect="1" noChangeArrowheads="1"/>
                    </pic:cNvPicPr>
                  </pic:nvPicPr>
                  <pic:blipFill>
                    <a:blip r:embed="rId19" cstate="print"/>
                    <a:srcRect/>
                    <a:stretch>
                      <a:fillRect/>
                    </a:stretch>
                  </pic:blipFill>
                  <pic:spPr>
                    <a:xfrm>
                      <a:off x="0" y="0"/>
                      <a:ext cx="1620733" cy="2160000"/>
                    </a:xfrm>
                    <a:prstGeom prst="rect">
                      <a:avLst/>
                    </a:prstGeom>
                    <a:noFill/>
                    <a:ln w="9525">
                      <a:noFill/>
                      <a:miter lim="800000"/>
                      <a:headEnd/>
                      <a:tailEnd/>
                    </a:ln>
                  </pic:spPr>
                </pic:pic>
              </a:graphicData>
            </a:graphic>
          </wp:inline>
        </w:drawing>
      </w:r>
    </w:p>
    <w:p>
      <w:pPr>
        <w:spacing w:line="360" w:lineRule="auto"/>
        <w:rPr>
          <w:rFonts w:ascii="仿宋_GB2312" w:hAnsi="仿宋" w:eastAsia="仿宋_GB2312"/>
          <w:spacing w:val="20"/>
          <w:sz w:val="28"/>
          <w:szCs w:val="28"/>
          <w:lang w:eastAsia="zh-CN"/>
        </w:rPr>
      </w:pPr>
      <w:r>
        <w:rPr>
          <w:rFonts w:hint="eastAsia" w:ascii="仿宋_GB2312" w:hAnsi="仿宋" w:eastAsia="仿宋_GB2312"/>
          <w:spacing w:val="20"/>
          <w:sz w:val="28"/>
          <w:szCs w:val="28"/>
          <w:lang w:eastAsia="zh-CN"/>
        </w:rPr>
        <w:drawing>
          <wp:inline distT="0" distB="0" distL="0" distR="0">
            <wp:extent cx="1620520" cy="2159635"/>
            <wp:effectExtent l="19050" t="0" r="0" b="0"/>
            <wp:docPr id="33" name="图片 17" descr="C:\Users\Administrator\Desktop\22年报告\牟平区通海路61号杰座欧洲城\cee6e70258467a65c03e1c18c82b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C:\Users\Administrator\Desktop\22年报告\牟平区通海路61号杰座欧洲城\cee6e70258467a65c03e1c18c82b07e.jpg"/>
                    <pic:cNvPicPr>
                      <a:picLocks noChangeAspect="1" noChangeArrowheads="1"/>
                    </pic:cNvPicPr>
                  </pic:nvPicPr>
                  <pic:blipFill>
                    <a:blip r:embed="rId20"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34" name="图片 18" descr="C:\Users\Administrator\Desktop\22年报告\牟平区通海路61号杰座欧洲城\d5c10b5874bd423b8f19b97a675d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C:\Users\Administrator\Desktop\22年报告\牟平区通海路61号杰座欧洲城\d5c10b5874bd423b8f19b97a675de4b.jpg"/>
                    <pic:cNvPicPr>
                      <a:picLocks noChangeAspect="1" noChangeArrowheads="1"/>
                    </pic:cNvPicPr>
                  </pic:nvPicPr>
                  <pic:blipFill>
                    <a:blip r:embed="rId21"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35" name="图片 19" descr="C:\Users\Administrator\Desktop\22年报告\牟平区通海路61号杰座欧洲城\f2a97072bb1e1bdf40e2fa292f73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C:\Users\Administrator\Desktop\22年报告\牟平区通海路61号杰座欧洲城\f2a97072bb1e1bdf40e2fa292f73bb1.jpg"/>
                    <pic:cNvPicPr>
                      <a:picLocks noChangeAspect="1" noChangeArrowheads="1"/>
                    </pic:cNvPicPr>
                  </pic:nvPicPr>
                  <pic:blipFill>
                    <a:blip r:embed="rId22" cstate="print"/>
                    <a:srcRect/>
                    <a:stretch>
                      <a:fillRect/>
                    </a:stretch>
                  </pic:blipFill>
                  <pic:spPr>
                    <a:xfrm>
                      <a:off x="0" y="0"/>
                      <a:ext cx="1620733" cy="2160000"/>
                    </a:xfrm>
                    <a:prstGeom prst="rect">
                      <a:avLst/>
                    </a:prstGeom>
                    <a:noFill/>
                    <a:ln w="9525">
                      <a:noFill/>
                      <a:miter lim="800000"/>
                      <a:headEnd/>
                      <a:tailEnd/>
                    </a:ln>
                  </pic:spPr>
                </pic:pic>
              </a:graphicData>
            </a:graphic>
          </wp:inline>
        </w:drawing>
      </w:r>
    </w:p>
    <w:p>
      <w:pPr>
        <w:spacing w:line="360" w:lineRule="auto"/>
        <w:ind w:firstLine="480" w:firstLineChars="150"/>
        <w:rPr>
          <w:rFonts w:ascii="仿宋_GB2312" w:hAnsi="仿宋" w:eastAsia="仿宋_GB2312"/>
          <w:spacing w:val="20"/>
          <w:sz w:val="28"/>
          <w:szCs w:val="28"/>
          <w:lang w:eastAsia="zh-CN"/>
        </w:rPr>
      </w:pPr>
      <w:r>
        <w:rPr>
          <w:rFonts w:hint="eastAsia" w:ascii="仿宋_GB2312" w:hAnsi="仿宋" w:eastAsia="仿宋_GB2312"/>
          <w:spacing w:val="20"/>
          <w:sz w:val="28"/>
          <w:szCs w:val="28"/>
          <w:lang w:eastAsia="zh-CN"/>
        </w:rPr>
        <w:drawing>
          <wp:inline distT="0" distB="0" distL="0" distR="0">
            <wp:extent cx="1620520" cy="2159635"/>
            <wp:effectExtent l="19050" t="0" r="0" b="0"/>
            <wp:docPr id="36" name="图片 20" descr="C:\Users\Administrator\Desktop\22年报告\牟平区通海路61号杰座欧洲城\f171538a995aa9d2d3e5d6962005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C:\Users\Administrator\Desktop\22年报告\牟平区通海路61号杰座欧洲城\f171538a995aa9d2d3e5d696200554f.jpg"/>
                    <pic:cNvPicPr>
                      <a:picLocks noChangeAspect="1" noChangeArrowheads="1"/>
                    </pic:cNvPicPr>
                  </pic:nvPicPr>
                  <pic:blipFill>
                    <a:blip r:embed="rId23" cstate="print"/>
                    <a:srcRect/>
                    <a:stretch>
                      <a:fillRect/>
                    </a:stretch>
                  </pic:blipFill>
                  <pic:spPr>
                    <a:xfrm>
                      <a:off x="0" y="0"/>
                      <a:ext cx="1620733" cy="2160000"/>
                    </a:xfrm>
                    <a:prstGeom prst="rect">
                      <a:avLst/>
                    </a:prstGeom>
                    <a:noFill/>
                    <a:ln w="9525">
                      <a:noFill/>
                      <a:miter lim="800000"/>
                      <a:headEnd/>
                      <a:tailEnd/>
                    </a:ln>
                  </pic:spPr>
                </pic:pic>
              </a:graphicData>
            </a:graphic>
          </wp:inline>
        </w:drawing>
      </w:r>
      <w:r>
        <w:rPr>
          <w:rFonts w:hint="eastAsia" w:ascii="仿宋_GB2312" w:hAnsi="仿宋" w:eastAsia="仿宋_GB2312"/>
          <w:spacing w:val="20"/>
          <w:sz w:val="28"/>
          <w:szCs w:val="28"/>
          <w:lang w:eastAsia="zh-CN"/>
        </w:rPr>
        <w:t xml:space="preserve">            </w:t>
      </w:r>
      <w:r>
        <w:rPr>
          <w:rFonts w:hint="eastAsia" w:ascii="仿宋_GB2312" w:hAnsi="仿宋" w:eastAsia="仿宋_GB2312"/>
          <w:spacing w:val="20"/>
          <w:sz w:val="28"/>
          <w:szCs w:val="28"/>
          <w:lang w:eastAsia="zh-CN"/>
        </w:rPr>
        <w:drawing>
          <wp:inline distT="0" distB="0" distL="0" distR="0">
            <wp:extent cx="1620520" cy="2159635"/>
            <wp:effectExtent l="19050" t="0" r="0" b="0"/>
            <wp:docPr id="37" name="图片 21" descr="C:\Users\Administrator\Desktop\22年报告\牟平区通海路61号杰座欧洲城\facbfa65ae6ca455275a2494120e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descr="C:\Users\Administrator\Desktop\22年报告\牟平区通海路61号杰座欧洲城\facbfa65ae6ca455275a2494120e31d.jpg"/>
                    <pic:cNvPicPr>
                      <a:picLocks noChangeAspect="1" noChangeArrowheads="1"/>
                    </pic:cNvPicPr>
                  </pic:nvPicPr>
                  <pic:blipFill>
                    <a:blip r:embed="rId24" cstate="print"/>
                    <a:srcRect/>
                    <a:stretch>
                      <a:fillRect/>
                    </a:stretch>
                  </pic:blipFill>
                  <pic:spPr>
                    <a:xfrm>
                      <a:off x="0" y="0"/>
                      <a:ext cx="1620733" cy="216000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FE952D"/>
    <w:multiLevelType w:val="singleLevel"/>
    <w:tmpl w:val="B5FE952D"/>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c0YWUwY2Q0YmZiOGZkOGUzM2FlZDY3NjFkMDRiZDUifQ=="/>
  </w:docVars>
  <w:rsids>
    <w:rsidRoot w:val="001E5195"/>
    <w:rsid w:val="00001FF9"/>
    <w:rsid w:val="000039B7"/>
    <w:rsid w:val="000112F4"/>
    <w:rsid w:val="00020290"/>
    <w:rsid w:val="000205A9"/>
    <w:rsid w:val="0002393D"/>
    <w:rsid w:val="00023A9C"/>
    <w:rsid w:val="00045FD3"/>
    <w:rsid w:val="0004772F"/>
    <w:rsid w:val="000621CA"/>
    <w:rsid w:val="00063503"/>
    <w:rsid w:val="00070D13"/>
    <w:rsid w:val="00072D94"/>
    <w:rsid w:val="000859B7"/>
    <w:rsid w:val="00095A19"/>
    <w:rsid w:val="000A3C9D"/>
    <w:rsid w:val="000A6884"/>
    <w:rsid w:val="000B1DE3"/>
    <w:rsid w:val="000C2CF4"/>
    <w:rsid w:val="000D2646"/>
    <w:rsid w:val="000E1ED3"/>
    <w:rsid w:val="000E22B4"/>
    <w:rsid w:val="000E2956"/>
    <w:rsid w:val="000E3B5A"/>
    <w:rsid w:val="000E5941"/>
    <w:rsid w:val="000E6FE1"/>
    <w:rsid w:val="00115DB8"/>
    <w:rsid w:val="001213A6"/>
    <w:rsid w:val="00145906"/>
    <w:rsid w:val="0015241C"/>
    <w:rsid w:val="00156C1E"/>
    <w:rsid w:val="0016630E"/>
    <w:rsid w:val="00174C98"/>
    <w:rsid w:val="001A08AF"/>
    <w:rsid w:val="001A0A0F"/>
    <w:rsid w:val="001A0B14"/>
    <w:rsid w:val="001A7D5F"/>
    <w:rsid w:val="001B12A3"/>
    <w:rsid w:val="001B7F82"/>
    <w:rsid w:val="001C04C1"/>
    <w:rsid w:val="001C2903"/>
    <w:rsid w:val="001C5EA1"/>
    <w:rsid w:val="001D0C12"/>
    <w:rsid w:val="001E2960"/>
    <w:rsid w:val="001E5195"/>
    <w:rsid w:val="001E69C7"/>
    <w:rsid w:val="001F0574"/>
    <w:rsid w:val="00204669"/>
    <w:rsid w:val="002046EC"/>
    <w:rsid w:val="002114AA"/>
    <w:rsid w:val="0021601B"/>
    <w:rsid w:val="00222D92"/>
    <w:rsid w:val="00254689"/>
    <w:rsid w:val="00261E22"/>
    <w:rsid w:val="00263F4E"/>
    <w:rsid w:val="002722C2"/>
    <w:rsid w:val="00273B14"/>
    <w:rsid w:val="00292519"/>
    <w:rsid w:val="002D6456"/>
    <w:rsid w:val="002D6834"/>
    <w:rsid w:val="002D7EBA"/>
    <w:rsid w:val="002F40BA"/>
    <w:rsid w:val="0030743D"/>
    <w:rsid w:val="003124E9"/>
    <w:rsid w:val="003125CE"/>
    <w:rsid w:val="0031467F"/>
    <w:rsid w:val="00317EF0"/>
    <w:rsid w:val="00320421"/>
    <w:rsid w:val="003246D1"/>
    <w:rsid w:val="00365CE5"/>
    <w:rsid w:val="0036790E"/>
    <w:rsid w:val="0038282C"/>
    <w:rsid w:val="003A67C5"/>
    <w:rsid w:val="003A7B6D"/>
    <w:rsid w:val="003C71F5"/>
    <w:rsid w:val="003D71B2"/>
    <w:rsid w:val="003D7655"/>
    <w:rsid w:val="003F07B0"/>
    <w:rsid w:val="003F2CD2"/>
    <w:rsid w:val="0041044B"/>
    <w:rsid w:val="00412350"/>
    <w:rsid w:val="00417496"/>
    <w:rsid w:val="00445381"/>
    <w:rsid w:val="00450D88"/>
    <w:rsid w:val="00450DAA"/>
    <w:rsid w:val="00454D8E"/>
    <w:rsid w:val="004657DB"/>
    <w:rsid w:val="00477E64"/>
    <w:rsid w:val="004824AE"/>
    <w:rsid w:val="0048782F"/>
    <w:rsid w:val="00496D2E"/>
    <w:rsid w:val="004A04F7"/>
    <w:rsid w:val="004A29BA"/>
    <w:rsid w:val="004A77C4"/>
    <w:rsid w:val="004C13F0"/>
    <w:rsid w:val="004C2C5F"/>
    <w:rsid w:val="004D0017"/>
    <w:rsid w:val="004D2019"/>
    <w:rsid w:val="004D4885"/>
    <w:rsid w:val="004E0F5C"/>
    <w:rsid w:val="004F1773"/>
    <w:rsid w:val="004F5B97"/>
    <w:rsid w:val="004F5BE6"/>
    <w:rsid w:val="00502918"/>
    <w:rsid w:val="00503C4B"/>
    <w:rsid w:val="00504C02"/>
    <w:rsid w:val="00507DD6"/>
    <w:rsid w:val="00523A4C"/>
    <w:rsid w:val="00525B92"/>
    <w:rsid w:val="00525CE6"/>
    <w:rsid w:val="00541F3A"/>
    <w:rsid w:val="00575084"/>
    <w:rsid w:val="00576BDD"/>
    <w:rsid w:val="00583A50"/>
    <w:rsid w:val="00587999"/>
    <w:rsid w:val="0059328E"/>
    <w:rsid w:val="00595330"/>
    <w:rsid w:val="005A0925"/>
    <w:rsid w:val="005A193E"/>
    <w:rsid w:val="005A52A2"/>
    <w:rsid w:val="005A66DA"/>
    <w:rsid w:val="005B2452"/>
    <w:rsid w:val="005B6086"/>
    <w:rsid w:val="005C5298"/>
    <w:rsid w:val="005D0D2C"/>
    <w:rsid w:val="005D35CF"/>
    <w:rsid w:val="005D6C93"/>
    <w:rsid w:val="005D71FD"/>
    <w:rsid w:val="005F0BFF"/>
    <w:rsid w:val="005F2D05"/>
    <w:rsid w:val="00620209"/>
    <w:rsid w:val="00626EA8"/>
    <w:rsid w:val="006343CC"/>
    <w:rsid w:val="00641481"/>
    <w:rsid w:val="00654B26"/>
    <w:rsid w:val="00655E85"/>
    <w:rsid w:val="0066212F"/>
    <w:rsid w:val="00693600"/>
    <w:rsid w:val="006C093D"/>
    <w:rsid w:val="006C7F7E"/>
    <w:rsid w:val="006D679B"/>
    <w:rsid w:val="006E2CAA"/>
    <w:rsid w:val="006F4988"/>
    <w:rsid w:val="00702CA0"/>
    <w:rsid w:val="007127E0"/>
    <w:rsid w:val="00722996"/>
    <w:rsid w:val="0072763D"/>
    <w:rsid w:val="007471B2"/>
    <w:rsid w:val="0075443B"/>
    <w:rsid w:val="007551F5"/>
    <w:rsid w:val="00763052"/>
    <w:rsid w:val="0077402E"/>
    <w:rsid w:val="0078612C"/>
    <w:rsid w:val="007A4A90"/>
    <w:rsid w:val="007A4DB2"/>
    <w:rsid w:val="007B5572"/>
    <w:rsid w:val="007C0B2D"/>
    <w:rsid w:val="007C0EF8"/>
    <w:rsid w:val="007D2EB7"/>
    <w:rsid w:val="007D307B"/>
    <w:rsid w:val="007E2A4B"/>
    <w:rsid w:val="007F2FD9"/>
    <w:rsid w:val="007F3868"/>
    <w:rsid w:val="00832B1F"/>
    <w:rsid w:val="00836C69"/>
    <w:rsid w:val="00840D3A"/>
    <w:rsid w:val="008424D7"/>
    <w:rsid w:val="0084725C"/>
    <w:rsid w:val="008532BD"/>
    <w:rsid w:val="00853AFC"/>
    <w:rsid w:val="008657E3"/>
    <w:rsid w:val="00874852"/>
    <w:rsid w:val="00875A4D"/>
    <w:rsid w:val="00881353"/>
    <w:rsid w:val="00891836"/>
    <w:rsid w:val="008A55A2"/>
    <w:rsid w:val="008B5B5C"/>
    <w:rsid w:val="008C1FC2"/>
    <w:rsid w:val="008C4DBF"/>
    <w:rsid w:val="008C7642"/>
    <w:rsid w:val="008D1B62"/>
    <w:rsid w:val="008D7069"/>
    <w:rsid w:val="008E7798"/>
    <w:rsid w:val="008F3A82"/>
    <w:rsid w:val="00912A51"/>
    <w:rsid w:val="009144D4"/>
    <w:rsid w:val="0093177B"/>
    <w:rsid w:val="0097476E"/>
    <w:rsid w:val="00983561"/>
    <w:rsid w:val="00984E01"/>
    <w:rsid w:val="0099756B"/>
    <w:rsid w:val="009A1235"/>
    <w:rsid w:val="009B5343"/>
    <w:rsid w:val="009B766B"/>
    <w:rsid w:val="009C4CD7"/>
    <w:rsid w:val="009E408B"/>
    <w:rsid w:val="009E41D8"/>
    <w:rsid w:val="009F1328"/>
    <w:rsid w:val="009F2D4F"/>
    <w:rsid w:val="009F36AB"/>
    <w:rsid w:val="009F4B3A"/>
    <w:rsid w:val="009F4E2E"/>
    <w:rsid w:val="009F553A"/>
    <w:rsid w:val="00A0495C"/>
    <w:rsid w:val="00A50379"/>
    <w:rsid w:val="00A572FC"/>
    <w:rsid w:val="00A6182A"/>
    <w:rsid w:val="00A622DC"/>
    <w:rsid w:val="00A7119B"/>
    <w:rsid w:val="00A745C8"/>
    <w:rsid w:val="00AB61E4"/>
    <w:rsid w:val="00AB7175"/>
    <w:rsid w:val="00AC580B"/>
    <w:rsid w:val="00AD144C"/>
    <w:rsid w:val="00AD3066"/>
    <w:rsid w:val="00AE78DE"/>
    <w:rsid w:val="00B032EB"/>
    <w:rsid w:val="00B15914"/>
    <w:rsid w:val="00B1672F"/>
    <w:rsid w:val="00B20BA0"/>
    <w:rsid w:val="00B31C1D"/>
    <w:rsid w:val="00B3650B"/>
    <w:rsid w:val="00B51B38"/>
    <w:rsid w:val="00B55F99"/>
    <w:rsid w:val="00B5669D"/>
    <w:rsid w:val="00B76041"/>
    <w:rsid w:val="00B83524"/>
    <w:rsid w:val="00B9344C"/>
    <w:rsid w:val="00BA0384"/>
    <w:rsid w:val="00BA0756"/>
    <w:rsid w:val="00BA5581"/>
    <w:rsid w:val="00BA7498"/>
    <w:rsid w:val="00BC046A"/>
    <w:rsid w:val="00BE140A"/>
    <w:rsid w:val="00BE4387"/>
    <w:rsid w:val="00BF417D"/>
    <w:rsid w:val="00C06AC9"/>
    <w:rsid w:val="00C20067"/>
    <w:rsid w:val="00C2459A"/>
    <w:rsid w:val="00C25E30"/>
    <w:rsid w:val="00C41554"/>
    <w:rsid w:val="00C42AE7"/>
    <w:rsid w:val="00C47E93"/>
    <w:rsid w:val="00C52D6D"/>
    <w:rsid w:val="00C608FE"/>
    <w:rsid w:val="00C63692"/>
    <w:rsid w:val="00C63B66"/>
    <w:rsid w:val="00C8088D"/>
    <w:rsid w:val="00C815E9"/>
    <w:rsid w:val="00C83AFD"/>
    <w:rsid w:val="00C87D02"/>
    <w:rsid w:val="00C92055"/>
    <w:rsid w:val="00C931BD"/>
    <w:rsid w:val="00CA3718"/>
    <w:rsid w:val="00CB27AC"/>
    <w:rsid w:val="00CB337A"/>
    <w:rsid w:val="00CD3E68"/>
    <w:rsid w:val="00CE6327"/>
    <w:rsid w:val="00CF0E35"/>
    <w:rsid w:val="00CF4D9B"/>
    <w:rsid w:val="00CF635A"/>
    <w:rsid w:val="00D06FC7"/>
    <w:rsid w:val="00D21CF1"/>
    <w:rsid w:val="00D466B9"/>
    <w:rsid w:val="00D50745"/>
    <w:rsid w:val="00D5528D"/>
    <w:rsid w:val="00D5686E"/>
    <w:rsid w:val="00D64AAD"/>
    <w:rsid w:val="00D701B3"/>
    <w:rsid w:val="00D72342"/>
    <w:rsid w:val="00D84E17"/>
    <w:rsid w:val="00D94C52"/>
    <w:rsid w:val="00D95F3D"/>
    <w:rsid w:val="00DA0192"/>
    <w:rsid w:val="00DA2163"/>
    <w:rsid w:val="00DA262A"/>
    <w:rsid w:val="00DC3A64"/>
    <w:rsid w:val="00DC3EEB"/>
    <w:rsid w:val="00DC5DF6"/>
    <w:rsid w:val="00DC6AEA"/>
    <w:rsid w:val="00DD13B0"/>
    <w:rsid w:val="00DD31D3"/>
    <w:rsid w:val="00DD64DE"/>
    <w:rsid w:val="00DE46A5"/>
    <w:rsid w:val="00DF169B"/>
    <w:rsid w:val="00DF70A7"/>
    <w:rsid w:val="00E01DB1"/>
    <w:rsid w:val="00E117D4"/>
    <w:rsid w:val="00E12DCB"/>
    <w:rsid w:val="00E20A33"/>
    <w:rsid w:val="00E20E7A"/>
    <w:rsid w:val="00E3150D"/>
    <w:rsid w:val="00E34F10"/>
    <w:rsid w:val="00E3587F"/>
    <w:rsid w:val="00E36BD7"/>
    <w:rsid w:val="00E42F54"/>
    <w:rsid w:val="00E5130F"/>
    <w:rsid w:val="00E54FF3"/>
    <w:rsid w:val="00E57AA7"/>
    <w:rsid w:val="00E66594"/>
    <w:rsid w:val="00E66E32"/>
    <w:rsid w:val="00E74630"/>
    <w:rsid w:val="00E7566E"/>
    <w:rsid w:val="00E82191"/>
    <w:rsid w:val="00E94E98"/>
    <w:rsid w:val="00EA08D5"/>
    <w:rsid w:val="00EA16B2"/>
    <w:rsid w:val="00EB1688"/>
    <w:rsid w:val="00ED0BF6"/>
    <w:rsid w:val="00ED41DC"/>
    <w:rsid w:val="00ED5E59"/>
    <w:rsid w:val="00F01C5E"/>
    <w:rsid w:val="00F10FF1"/>
    <w:rsid w:val="00F218A4"/>
    <w:rsid w:val="00F23D13"/>
    <w:rsid w:val="00F24EAC"/>
    <w:rsid w:val="00F26392"/>
    <w:rsid w:val="00F2643B"/>
    <w:rsid w:val="00F27086"/>
    <w:rsid w:val="00F31DE4"/>
    <w:rsid w:val="00F378CF"/>
    <w:rsid w:val="00F37AC4"/>
    <w:rsid w:val="00F45813"/>
    <w:rsid w:val="00F47E9B"/>
    <w:rsid w:val="00F65243"/>
    <w:rsid w:val="00F73632"/>
    <w:rsid w:val="00F770F2"/>
    <w:rsid w:val="00F861B0"/>
    <w:rsid w:val="00FA16F1"/>
    <w:rsid w:val="00FA3AA2"/>
    <w:rsid w:val="00FB07F4"/>
    <w:rsid w:val="00FB6C8B"/>
    <w:rsid w:val="00FC2190"/>
    <w:rsid w:val="00FC3C80"/>
    <w:rsid w:val="00FD61C1"/>
    <w:rsid w:val="046A0215"/>
    <w:rsid w:val="071C23FC"/>
    <w:rsid w:val="09316E52"/>
    <w:rsid w:val="0B0D4348"/>
    <w:rsid w:val="0D685900"/>
    <w:rsid w:val="0D992C0E"/>
    <w:rsid w:val="0F814098"/>
    <w:rsid w:val="0FB427D3"/>
    <w:rsid w:val="100B487E"/>
    <w:rsid w:val="10402A98"/>
    <w:rsid w:val="108B47C9"/>
    <w:rsid w:val="1120298F"/>
    <w:rsid w:val="12BE09DD"/>
    <w:rsid w:val="1752589D"/>
    <w:rsid w:val="175A2110"/>
    <w:rsid w:val="17A149DF"/>
    <w:rsid w:val="19FF21ED"/>
    <w:rsid w:val="1B720045"/>
    <w:rsid w:val="1B7C72C5"/>
    <w:rsid w:val="1CB62E12"/>
    <w:rsid w:val="1EBA1404"/>
    <w:rsid w:val="1EF46A21"/>
    <w:rsid w:val="201F4FFE"/>
    <w:rsid w:val="20681603"/>
    <w:rsid w:val="213928E9"/>
    <w:rsid w:val="22822358"/>
    <w:rsid w:val="24975A86"/>
    <w:rsid w:val="26B1777D"/>
    <w:rsid w:val="26FD6093"/>
    <w:rsid w:val="27A50EDC"/>
    <w:rsid w:val="29893BAC"/>
    <w:rsid w:val="2AA57709"/>
    <w:rsid w:val="2D035684"/>
    <w:rsid w:val="30093957"/>
    <w:rsid w:val="304F28CF"/>
    <w:rsid w:val="31016C3E"/>
    <w:rsid w:val="32534D77"/>
    <w:rsid w:val="33BB67DF"/>
    <w:rsid w:val="34C90DC3"/>
    <w:rsid w:val="34F62354"/>
    <w:rsid w:val="37226431"/>
    <w:rsid w:val="373311AC"/>
    <w:rsid w:val="374F4466"/>
    <w:rsid w:val="38BA461B"/>
    <w:rsid w:val="3C604719"/>
    <w:rsid w:val="3D2D3CA5"/>
    <w:rsid w:val="415E0462"/>
    <w:rsid w:val="4199417E"/>
    <w:rsid w:val="422973EA"/>
    <w:rsid w:val="4309464C"/>
    <w:rsid w:val="43FD7489"/>
    <w:rsid w:val="451E1C70"/>
    <w:rsid w:val="468938D1"/>
    <w:rsid w:val="469E29F3"/>
    <w:rsid w:val="47466BBC"/>
    <w:rsid w:val="48C25D7E"/>
    <w:rsid w:val="499A003E"/>
    <w:rsid w:val="4BE12095"/>
    <w:rsid w:val="4BEC1332"/>
    <w:rsid w:val="4D281C07"/>
    <w:rsid w:val="4ED944C2"/>
    <w:rsid w:val="4F024D5A"/>
    <w:rsid w:val="508F31DF"/>
    <w:rsid w:val="50BE605E"/>
    <w:rsid w:val="56415492"/>
    <w:rsid w:val="56B507B1"/>
    <w:rsid w:val="58574273"/>
    <w:rsid w:val="59A7461A"/>
    <w:rsid w:val="5AEA6B87"/>
    <w:rsid w:val="5D881DDA"/>
    <w:rsid w:val="5EC73CBE"/>
    <w:rsid w:val="5F6818A2"/>
    <w:rsid w:val="676B0BEE"/>
    <w:rsid w:val="69A71353"/>
    <w:rsid w:val="6A545B69"/>
    <w:rsid w:val="6ADC3871"/>
    <w:rsid w:val="6D256C7B"/>
    <w:rsid w:val="70005EAE"/>
    <w:rsid w:val="70457402"/>
    <w:rsid w:val="710A296A"/>
    <w:rsid w:val="72B20AC1"/>
    <w:rsid w:val="742F6871"/>
    <w:rsid w:val="744819B4"/>
    <w:rsid w:val="77642723"/>
    <w:rsid w:val="79605CAA"/>
    <w:rsid w:val="7BEF5189"/>
    <w:rsid w:val="7C0B370E"/>
    <w:rsid w:val="7C156C57"/>
    <w:rsid w:val="7DFE61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2"/>
    <w:qFormat/>
    <w:uiPriority w:val="1"/>
    <w:rPr>
      <w:sz w:val="26"/>
      <w:szCs w:val="26"/>
    </w:rPr>
  </w:style>
  <w:style w:type="paragraph" w:styleId="3">
    <w:name w:val="Plain Text"/>
    <w:basedOn w:val="1"/>
    <w:link w:val="20"/>
    <w:qFormat/>
    <w:uiPriority w:val="0"/>
    <w:pPr>
      <w:autoSpaceDE/>
      <w:autoSpaceDN/>
      <w:jc w:val="both"/>
    </w:pPr>
    <w:rPr>
      <w:rFonts w:hAnsi="Courier New" w:eastAsiaTheme="minorEastAsia" w:cstheme="minorBidi"/>
      <w:kern w:val="2"/>
      <w:sz w:val="28"/>
      <w:szCs w:val="20"/>
      <w:lang w:eastAsia="zh-CN"/>
    </w:rPr>
  </w:style>
  <w:style w:type="paragraph" w:styleId="4">
    <w:name w:val="Date"/>
    <w:basedOn w:val="1"/>
    <w:next w:val="1"/>
    <w:link w:val="18"/>
    <w:semiHidden/>
    <w:unhideWhenUsed/>
    <w:qFormat/>
    <w:uiPriority w:val="99"/>
    <w:pPr>
      <w:ind w:left="100" w:leftChars="2500"/>
    </w:pPr>
  </w:style>
  <w:style w:type="paragraph" w:styleId="5">
    <w:name w:val="Balloon Text"/>
    <w:basedOn w:val="1"/>
    <w:link w:val="17"/>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autoSpaceDE/>
      <w:autoSpaceDN/>
      <w:snapToGrid w:val="0"/>
    </w:pPr>
    <w:rPr>
      <w:rFonts w:asciiTheme="minorHAnsi" w:hAnsiTheme="minorHAnsi" w:eastAsiaTheme="minorEastAsia" w:cstheme="minorBidi"/>
      <w:kern w:val="2"/>
      <w:sz w:val="18"/>
      <w:szCs w:val="18"/>
      <w:lang w:eastAsia="zh-CN"/>
    </w:rPr>
  </w:style>
  <w:style w:type="paragraph" w:styleId="7">
    <w:name w:val="header"/>
    <w:basedOn w:val="1"/>
    <w:link w:val="10"/>
    <w:unhideWhenUsed/>
    <w:qFormat/>
    <w:uiPriority w:val="99"/>
    <w:pPr>
      <w:pBdr>
        <w:bottom w:val="single" w:color="auto" w:sz="6" w:space="1"/>
      </w:pBdr>
      <w:tabs>
        <w:tab w:val="center" w:pos="4153"/>
        <w:tab w:val="right" w:pos="8306"/>
      </w:tabs>
      <w:autoSpaceDE/>
      <w:autoSpaceDN/>
      <w:snapToGrid w:val="0"/>
      <w:jc w:val="center"/>
    </w:pPr>
    <w:rPr>
      <w:rFonts w:asciiTheme="minorHAnsi" w:hAnsiTheme="minorHAnsi" w:eastAsiaTheme="minorEastAsia" w:cstheme="minorBidi"/>
      <w:kern w:val="2"/>
      <w:sz w:val="18"/>
      <w:szCs w:val="18"/>
      <w:lang w:eastAsia="zh-CN"/>
    </w:rPr>
  </w:style>
  <w:style w:type="character" w:customStyle="1" w:styleId="10">
    <w:name w:val="页眉 Char"/>
    <w:basedOn w:val="9"/>
    <w:link w:val="7"/>
    <w:qFormat/>
    <w:uiPriority w:val="99"/>
    <w:rPr>
      <w:sz w:val="18"/>
      <w:szCs w:val="18"/>
    </w:rPr>
  </w:style>
  <w:style w:type="character" w:customStyle="1" w:styleId="11">
    <w:name w:val="页脚 Char"/>
    <w:basedOn w:val="9"/>
    <w:link w:val="6"/>
    <w:qFormat/>
    <w:uiPriority w:val="99"/>
    <w:rPr>
      <w:sz w:val="18"/>
      <w:szCs w:val="18"/>
    </w:rPr>
  </w:style>
  <w:style w:type="character" w:customStyle="1" w:styleId="12">
    <w:name w:val="正文文本 Char"/>
    <w:basedOn w:val="9"/>
    <w:link w:val="2"/>
    <w:qFormat/>
    <w:uiPriority w:val="1"/>
    <w:rPr>
      <w:rFonts w:ascii="宋体" w:hAnsi="宋体" w:eastAsia="宋体" w:cs="宋体"/>
      <w:kern w:val="0"/>
      <w:sz w:val="26"/>
      <w:szCs w:val="26"/>
      <w:lang w:eastAsia="en-US"/>
    </w:rPr>
  </w:style>
  <w:style w:type="paragraph" w:customStyle="1" w:styleId="13">
    <w:name w:val="标题 31"/>
    <w:basedOn w:val="1"/>
    <w:qFormat/>
    <w:uiPriority w:val="1"/>
    <w:pPr>
      <w:ind w:left="20"/>
      <w:outlineLvl w:val="3"/>
    </w:pPr>
    <w:rPr>
      <w:sz w:val="35"/>
      <w:szCs w:val="35"/>
    </w:rPr>
  </w:style>
  <w:style w:type="table" w:customStyle="1" w:styleId="14">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15">
    <w:name w:val="标题 71"/>
    <w:basedOn w:val="1"/>
    <w:qFormat/>
    <w:uiPriority w:val="1"/>
    <w:pPr>
      <w:ind w:left="20"/>
      <w:outlineLvl w:val="7"/>
    </w:pPr>
    <w:rPr>
      <w:sz w:val="27"/>
      <w:szCs w:val="27"/>
    </w:rPr>
  </w:style>
  <w:style w:type="paragraph" w:customStyle="1" w:styleId="16">
    <w:name w:val="Table Paragraph"/>
    <w:basedOn w:val="1"/>
    <w:qFormat/>
    <w:uiPriority w:val="1"/>
    <w:pPr>
      <w:jc w:val="center"/>
    </w:pPr>
  </w:style>
  <w:style w:type="character" w:customStyle="1" w:styleId="17">
    <w:name w:val="批注框文本 Char"/>
    <w:basedOn w:val="9"/>
    <w:link w:val="5"/>
    <w:semiHidden/>
    <w:qFormat/>
    <w:uiPriority w:val="99"/>
    <w:rPr>
      <w:rFonts w:ascii="宋体" w:hAnsi="宋体" w:eastAsia="宋体" w:cs="宋体"/>
      <w:kern w:val="0"/>
      <w:sz w:val="18"/>
      <w:szCs w:val="18"/>
      <w:lang w:eastAsia="en-US"/>
    </w:rPr>
  </w:style>
  <w:style w:type="character" w:customStyle="1" w:styleId="18">
    <w:name w:val="日期 Char"/>
    <w:basedOn w:val="9"/>
    <w:link w:val="4"/>
    <w:semiHidden/>
    <w:qFormat/>
    <w:uiPriority w:val="99"/>
    <w:rPr>
      <w:rFonts w:ascii="宋体" w:hAnsi="宋体" w:eastAsia="宋体" w:cs="宋体"/>
      <w:sz w:val="22"/>
      <w:szCs w:val="22"/>
      <w:lang w:eastAsia="en-US"/>
    </w:rPr>
  </w:style>
  <w:style w:type="character" w:customStyle="1" w:styleId="19">
    <w:name w:val="纯文本 Char"/>
    <w:qFormat/>
    <w:uiPriority w:val="0"/>
    <w:rPr>
      <w:rFonts w:ascii="宋体" w:hAnsi="Courier New"/>
      <w:kern w:val="2"/>
      <w:sz w:val="28"/>
    </w:rPr>
  </w:style>
  <w:style w:type="character" w:customStyle="1" w:styleId="20">
    <w:name w:val="纯文本 Char1"/>
    <w:basedOn w:val="9"/>
    <w:link w:val="3"/>
    <w:semiHidden/>
    <w:qFormat/>
    <w:uiPriority w:val="99"/>
    <w:rPr>
      <w:rFonts w:ascii="宋体" w:hAnsi="Courier New" w:eastAsia="宋体" w:cs="Courier New"/>
      <w:sz w:val="21"/>
      <w:szCs w:val="21"/>
      <w:lang w:eastAsia="en-US"/>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E60BC1-3CDC-4F1D-9CF5-CC6AD9DD70C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Pages>
  <Words>1656</Words>
  <Characters>1833</Characters>
  <Lines>14</Lines>
  <Paragraphs>4</Paragraphs>
  <TotalTime>19</TotalTime>
  <ScaleCrop>false</ScaleCrop>
  <LinksUpToDate>false</LinksUpToDate>
  <CharactersWithSpaces>1876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2022-07-25T08:57:00Z</dcterms:created>
  <dc:creator>x</dc:creator>
  <cp:lastModifiedBy>SC</cp:lastModifiedBy>
  <cp:lastPrinted>2022-02-09T01:57:00Z</cp:lastPrinted>
  <dcterms:modified xsi:type="dcterms:W3CDTF">2022-08-04T01:10:17Z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75FC68D4F453458283222E738EF1CF03</vt:lpwstr>
  </property>
</Properties>
</file>