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280" w:right="280"/>
        <w:jc w:val="center"/>
        <w:rPr>
          <w:rFonts w:hint="eastAsia" w:ascii="仿宋_GB2312"/>
          <w:color w:val="000000"/>
          <w:spacing w:val="28"/>
          <w:sz w:val="44"/>
          <w:szCs w:val="44"/>
        </w:rPr>
      </w:pPr>
    </w:p>
    <w:p>
      <w:pPr>
        <w:spacing w:line="520" w:lineRule="exact"/>
        <w:ind w:left="280" w:right="280"/>
        <w:jc w:val="center"/>
        <w:rPr>
          <w:rFonts w:hint="eastAsia" w:ascii="仿宋_GB2312"/>
          <w:b/>
          <w:bCs/>
          <w:color w:val="000000"/>
          <w:spacing w:val="28"/>
          <w:sz w:val="48"/>
          <w:szCs w:val="44"/>
        </w:rPr>
      </w:pPr>
    </w:p>
    <w:p>
      <w:pPr>
        <w:autoSpaceDE w:val="0"/>
        <w:autoSpaceDN w:val="0"/>
        <w:adjustRightInd w:val="0"/>
        <w:ind w:left="280" w:right="280"/>
        <w:jc w:val="center"/>
        <w:rPr>
          <w:rFonts w:hint="eastAsia" w:ascii="宋体" w:hAnsi="宋体" w:eastAsia="宋体" w:cs="方正黑体简体"/>
          <w:b/>
          <w:bCs/>
          <w:color w:val="000000"/>
          <w:kern w:val="0"/>
          <w:sz w:val="44"/>
          <w:szCs w:val="44"/>
        </w:rPr>
      </w:pPr>
      <w:r>
        <w:rPr>
          <w:rFonts w:hint="eastAsia" w:ascii="宋体" w:hAnsi="宋体" w:eastAsia="宋体" w:cs="方正黑体简体"/>
          <w:b/>
          <w:bCs/>
          <w:color w:val="000000"/>
          <w:kern w:val="0"/>
          <w:sz w:val="44"/>
          <w:szCs w:val="44"/>
        </w:rPr>
        <w:t>涉执房地产处置司法评估报告</w:t>
      </w:r>
    </w:p>
    <w:p>
      <w:pPr>
        <w:spacing w:before="120" w:after="120" w:line="260" w:lineRule="exact"/>
        <w:ind w:left="278" w:right="278"/>
        <w:rPr>
          <w:rFonts w:hint="eastAsia" w:ascii="仿宋_GB2312"/>
          <w:b/>
          <w:color w:val="000000"/>
        </w:rPr>
      </w:pPr>
      <w:r>
        <w:rPr>
          <w:rFonts w:hint="eastAsia" w:ascii="仿宋_GB2312"/>
          <w:color w:val="000000"/>
        </w:rPr>
        <w:drawing>
          <wp:anchor distT="0" distB="0" distL="114300" distR="114300" simplePos="0" relativeHeight="251659264" behindDoc="1" locked="0" layoutInCell="1" allowOverlap="1">
            <wp:simplePos x="0" y="0"/>
            <wp:positionH relativeFrom="column">
              <wp:posOffset>1609725</wp:posOffset>
            </wp:positionH>
            <wp:positionV relativeFrom="paragraph">
              <wp:posOffset>310515</wp:posOffset>
            </wp:positionV>
            <wp:extent cx="1950720" cy="2235835"/>
            <wp:effectExtent l="0" t="0" r="11430" b="12065"/>
            <wp:wrapNone/>
            <wp:docPr id="1" name="图片 111" descr="eec1eef7eb49f9f1553077d51d85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1" descr="eec1eef7eb49f9f1553077d51d85a3d"/>
                    <pic:cNvPicPr>
                      <a:picLocks noChangeAspect="1"/>
                    </pic:cNvPicPr>
                  </pic:nvPicPr>
                  <pic:blipFill>
                    <a:blip r:embed="rId9"/>
                    <a:stretch>
                      <a:fillRect/>
                    </a:stretch>
                  </pic:blipFill>
                  <pic:spPr>
                    <a:xfrm>
                      <a:off x="0" y="0"/>
                      <a:ext cx="1950720" cy="2235835"/>
                    </a:xfrm>
                    <a:prstGeom prst="rect">
                      <a:avLst/>
                    </a:prstGeom>
                    <a:noFill/>
                    <a:ln>
                      <a:noFill/>
                    </a:ln>
                  </pic:spPr>
                </pic:pic>
              </a:graphicData>
            </a:graphic>
          </wp:anchor>
        </w:drawing>
      </w:r>
    </w:p>
    <w:p>
      <w:pPr>
        <w:spacing w:line="260" w:lineRule="exact"/>
        <w:ind w:left="278" w:right="278"/>
        <w:rPr>
          <w:rFonts w:hint="eastAsia" w:ascii="仿宋_GB2312"/>
          <w:color w:val="000000"/>
        </w:rPr>
      </w:pPr>
    </w:p>
    <w:p>
      <w:pPr>
        <w:spacing w:before="120" w:after="120" w:line="520" w:lineRule="exact"/>
        <w:ind w:left="280" w:right="280"/>
        <w:rPr>
          <w:rFonts w:hint="eastAsia" w:ascii="仿宋_GB2312"/>
          <w:b/>
          <w:color w:val="000000"/>
        </w:rPr>
      </w:pPr>
    </w:p>
    <w:p>
      <w:pPr>
        <w:spacing w:before="120" w:after="120" w:line="520" w:lineRule="exact"/>
        <w:ind w:left="280" w:right="280"/>
        <w:rPr>
          <w:rFonts w:hint="eastAsia" w:ascii="仿宋_GB2312"/>
          <w:b/>
          <w:color w:val="000000"/>
        </w:rPr>
      </w:pPr>
    </w:p>
    <w:p>
      <w:pPr>
        <w:spacing w:before="120" w:after="120" w:line="520" w:lineRule="exact"/>
        <w:ind w:left="280" w:right="280"/>
        <w:rPr>
          <w:rFonts w:hint="eastAsia" w:ascii="仿宋_GB2312"/>
          <w:b/>
          <w:color w:val="000000"/>
        </w:rPr>
      </w:pPr>
    </w:p>
    <w:p>
      <w:pPr>
        <w:spacing w:before="120" w:after="120" w:line="520" w:lineRule="exact"/>
        <w:ind w:left="280" w:right="280"/>
        <w:rPr>
          <w:rFonts w:hint="eastAsia" w:ascii="仿宋_GB2312"/>
          <w:b/>
          <w:color w:val="000000"/>
        </w:rPr>
      </w:pPr>
    </w:p>
    <w:p>
      <w:pPr>
        <w:autoSpaceDE w:val="0"/>
        <w:autoSpaceDN w:val="0"/>
        <w:adjustRightInd w:val="0"/>
        <w:spacing w:line="680" w:lineRule="exact"/>
        <w:ind w:left="1382" w:leftChars="-1" w:right="113" w:hanging="1385" w:hangingChars="433"/>
        <w:rPr>
          <w:rFonts w:hint="eastAsia"/>
          <w:bCs/>
          <w:color w:val="000000"/>
          <w:kern w:val="0"/>
          <w:sz w:val="32"/>
          <w:szCs w:val="32"/>
        </w:rPr>
      </w:pPr>
    </w:p>
    <w:p>
      <w:pPr>
        <w:autoSpaceDE w:val="0"/>
        <w:autoSpaceDN w:val="0"/>
        <w:adjustRightInd w:val="0"/>
        <w:spacing w:line="680" w:lineRule="exact"/>
        <w:ind w:left="1382" w:leftChars="-1" w:right="113" w:hanging="1385" w:hangingChars="433"/>
        <w:rPr>
          <w:rFonts w:hint="eastAsia"/>
          <w:bCs/>
          <w:color w:val="000000"/>
          <w:kern w:val="0"/>
          <w:sz w:val="32"/>
          <w:szCs w:val="32"/>
        </w:rPr>
      </w:pPr>
    </w:p>
    <w:p>
      <w:pPr>
        <w:pStyle w:val="2"/>
        <w:rPr>
          <w:rFonts w:hint="eastAsia"/>
          <w:bCs/>
          <w:color w:val="000000"/>
          <w:kern w:val="0"/>
          <w:sz w:val="32"/>
          <w:szCs w:val="32"/>
        </w:rPr>
      </w:pPr>
    </w:p>
    <w:p>
      <w:pPr>
        <w:pStyle w:val="2"/>
        <w:rPr>
          <w:rFonts w:hint="eastAsia"/>
          <w:bCs/>
          <w:color w:val="000000"/>
          <w:kern w:val="0"/>
          <w:sz w:val="32"/>
          <w:szCs w:val="32"/>
        </w:rPr>
      </w:pPr>
    </w:p>
    <w:p>
      <w:pPr>
        <w:keepNext w:val="0"/>
        <w:keepLines w:val="0"/>
        <w:pageBreakBefore w:val="0"/>
        <w:widowControl w:val="0"/>
        <w:tabs>
          <w:tab w:val="left" w:pos="2520"/>
        </w:tabs>
        <w:kinsoku/>
        <w:wordWrap/>
        <w:overflowPunct/>
        <w:topLinePunct w:val="0"/>
        <w:autoSpaceDE w:val="0"/>
        <w:autoSpaceDN w:val="0"/>
        <w:bidi w:val="0"/>
        <w:adjustRightInd w:val="0"/>
        <w:snapToGrid/>
        <w:spacing w:line="460" w:lineRule="exact"/>
        <w:ind w:left="2252" w:leftChars="0" w:right="113" w:hanging="2252" w:hangingChars="701"/>
        <w:textAlignment w:val="auto"/>
        <w:rPr>
          <w:rFonts w:hint="eastAsia" w:ascii="楷体_GB2312" w:hAnsi="楷体" w:eastAsia="楷体_GB2312"/>
          <w:color w:val="000000"/>
          <w:kern w:val="0"/>
          <w:sz w:val="32"/>
          <w:szCs w:val="32"/>
        </w:rPr>
      </w:pPr>
      <w:r>
        <w:rPr>
          <w:rFonts w:hint="eastAsia" w:ascii="楷体_GB2312" w:hAnsi="楷体" w:eastAsia="楷体_GB2312"/>
          <w:b/>
          <w:color w:val="000000"/>
          <w:kern w:val="0"/>
          <w:sz w:val="32"/>
          <w:szCs w:val="32"/>
        </w:rPr>
        <w:t>评估项目名称：</w:t>
      </w:r>
      <w:r>
        <w:rPr>
          <w:rFonts w:hint="eastAsia" w:ascii="楷体_GB2312" w:hAnsi="楷体" w:eastAsia="楷体_GB2312" w:cs="Times New Roman"/>
          <w:color w:val="000000"/>
          <w:spacing w:val="-6"/>
          <w:kern w:val="0"/>
          <w:sz w:val="32"/>
          <w:szCs w:val="32"/>
          <w:lang w:val="en-US" w:eastAsia="zh-CN"/>
        </w:rPr>
        <w:t>贺兰县居安西路明珠花园14号楼3单元202室住宅用房</w:t>
      </w:r>
      <w:r>
        <w:rPr>
          <w:rFonts w:hint="eastAsia" w:ascii="楷体_GB2312" w:hAnsi="楷体" w:eastAsia="楷体_GB2312"/>
          <w:color w:val="000000"/>
          <w:kern w:val="0"/>
          <w:sz w:val="32"/>
          <w:szCs w:val="32"/>
        </w:rPr>
        <w:t>涉执房地产市场价格评估</w:t>
      </w:r>
    </w:p>
    <w:p>
      <w:pPr>
        <w:autoSpaceDE w:val="0"/>
        <w:autoSpaceDN w:val="0"/>
        <w:adjustRightInd w:val="0"/>
        <w:spacing w:line="460" w:lineRule="exact"/>
        <w:ind w:left="2352" w:leftChars="-1" w:right="113" w:hanging="2355" w:hangingChars="733"/>
        <w:rPr>
          <w:rFonts w:hint="eastAsia" w:ascii="楷体_GB2312" w:hAnsi="楷体" w:eastAsia="楷体_GB2312"/>
          <w:b/>
          <w:color w:val="000000"/>
          <w:kern w:val="0"/>
          <w:sz w:val="32"/>
          <w:szCs w:val="32"/>
        </w:rPr>
      </w:pPr>
    </w:p>
    <w:p>
      <w:pPr>
        <w:autoSpaceDE w:val="0"/>
        <w:autoSpaceDN w:val="0"/>
        <w:adjustRightInd w:val="0"/>
        <w:spacing w:line="460" w:lineRule="exact"/>
        <w:ind w:left="1388" w:leftChars="-1" w:right="113" w:hanging="1391" w:hangingChars="433"/>
        <w:rPr>
          <w:rFonts w:hint="eastAsia" w:ascii="楷体_GB2312" w:hAnsi="楷体" w:eastAsia="楷体_GB2312"/>
          <w:color w:val="000000"/>
          <w:kern w:val="0"/>
          <w:sz w:val="32"/>
          <w:szCs w:val="32"/>
        </w:rPr>
      </w:pPr>
      <w:r>
        <w:rPr>
          <w:rFonts w:hint="eastAsia" w:ascii="楷体_GB2312" w:hAnsi="楷体" w:eastAsia="楷体_GB2312"/>
          <w:b/>
          <w:color w:val="000000"/>
          <w:kern w:val="0"/>
          <w:sz w:val="32"/>
          <w:szCs w:val="32"/>
        </w:rPr>
        <w:t>评估委托人:</w:t>
      </w:r>
      <w:r>
        <w:rPr>
          <w:rFonts w:hint="eastAsia" w:ascii="楷体_GB2312" w:hAnsi="楷体" w:eastAsia="楷体_GB2312"/>
          <w:color w:val="000000"/>
          <w:kern w:val="0"/>
          <w:sz w:val="32"/>
          <w:szCs w:val="32"/>
        </w:rPr>
        <w:t>贺兰县人民法院</w:t>
      </w:r>
    </w:p>
    <w:p>
      <w:pPr>
        <w:autoSpaceDE w:val="0"/>
        <w:autoSpaceDN w:val="0"/>
        <w:adjustRightInd w:val="0"/>
        <w:spacing w:line="460" w:lineRule="exact"/>
        <w:ind w:left="1382" w:leftChars="-1" w:right="113" w:hanging="1385" w:hangingChars="433"/>
        <w:rPr>
          <w:rFonts w:hint="eastAsia" w:ascii="楷体_GB2312" w:hAnsi="楷体" w:eastAsia="楷体_GB2312"/>
          <w:color w:val="000000"/>
          <w:kern w:val="0"/>
          <w:sz w:val="32"/>
          <w:szCs w:val="32"/>
        </w:rPr>
      </w:pPr>
    </w:p>
    <w:p>
      <w:pPr>
        <w:autoSpaceDE w:val="0"/>
        <w:autoSpaceDN w:val="0"/>
        <w:adjustRightInd w:val="0"/>
        <w:spacing w:line="460" w:lineRule="exact"/>
        <w:ind w:left="1215" w:leftChars="-1" w:right="113" w:hanging="1218" w:hangingChars="433"/>
        <w:rPr>
          <w:rFonts w:hint="eastAsia" w:ascii="楷体_GB2312" w:hAnsi="楷体" w:eastAsia="楷体_GB2312"/>
          <w:color w:val="000000"/>
          <w:spacing w:val="-22"/>
          <w:kern w:val="0"/>
          <w:sz w:val="32"/>
          <w:szCs w:val="32"/>
        </w:rPr>
      </w:pPr>
      <w:r>
        <w:rPr>
          <w:rFonts w:hint="eastAsia" w:ascii="楷体_GB2312" w:hAnsi="楷体" w:eastAsia="楷体_GB2312"/>
          <w:b/>
          <w:color w:val="000000"/>
          <w:spacing w:val="-20"/>
          <w:kern w:val="0"/>
          <w:sz w:val="32"/>
          <w:szCs w:val="32"/>
        </w:rPr>
        <w:t>房地产估价机构</w:t>
      </w:r>
      <w:r>
        <w:rPr>
          <w:rFonts w:ascii="楷体_GB2312" w:hAnsi="楷体" w:eastAsia="楷体_GB2312"/>
          <w:b/>
          <w:color w:val="000000"/>
          <w:spacing w:val="-60"/>
          <w:kern w:val="0"/>
          <w:sz w:val="32"/>
          <w:szCs w:val="32"/>
        </w:rPr>
        <w:t>：</w:t>
      </w:r>
      <w:r>
        <w:rPr>
          <w:rFonts w:ascii="楷体_GB2312" w:hAnsi="楷体" w:eastAsia="楷体_GB2312"/>
          <w:color w:val="000000"/>
          <w:spacing w:val="-22"/>
          <w:kern w:val="0"/>
          <w:sz w:val="32"/>
          <w:szCs w:val="32"/>
        </w:rPr>
        <w:t>宁夏博源卓越土地房地产资产评估规划测绘有限公司</w:t>
      </w:r>
    </w:p>
    <w:p>
      <w:pPr>
        <w:autoSpaceDE w:val="0"/>
        <w:autoSpaceDN w:val="0"/>
        <w:adjustRightInd w:val="0"/>
        <w:spacing w:line="460" w:lineRule="exact"/>
        <w:ind w:left="1215" w:leftChars="-1" w:right="113" w:hanging="1218" w:hangingChars="433"/>
        <w:rPr>
          <w:rFonts w:hint="eastAsia" w:ascii="楷体_GB2312" w:hAnsi="楷体" w:eastAsia="楷体_GB2312"/>
          <w:b/>
          <w:color w:val="000000"/>
          <w:spacing w:val="-20"/>
          <w:kern w:val="0"/>
          <w:sz w:val="32"/>
          <w:szCs w:val="32"/>
        </w:rPr>
      </w:pPr>
    </w:p>
    <w:p>
      <w:pPr>
        <w:autoSpaceDE w:val="0"/>
        <w:autoSpaceDN w:val="0"/>
        <w:adjustRightInd w:val="0"/>
        <w:spacing w:line="460" w:lineRule="exact"/>
        <w:ind w:right="278"/>
        <w:jc w:val="left"/>
        <w:rPr>
          <w:rFonts w:hint="eastAsia" w:ascii="Times New Roman" w:hAnsi="Times New Roman" w:eastAsia="楷体_GB2312" w:cs="Times New Roman"/>
          <w:color w:val="auto"/>
          <w:kern w:val="0"/>
          <w:sz w:val="32"/>
          <w:szCs w:val="32"/>
          <w:lang w:val="en-US" w:eastAsia="zh-CN"/>
        </w:rPr>
      </w:pPr>
      <w:r>
        <w:rPr>
          <w:rFonts w:hint="eastAsia" w:ascii="楷体_GB2312" w:hAnsi="楷体" w:eastAsia="楷体_GB2312"/>
          <w:b/>
          <w:color w:val="000000"/>
          <w:kern w:val="0"/>
          <w:sz w:val="32"/>
          <w:szCs w:val="32"/>
        </w:rPr>
        <w:t>注册房地产估价师：</w:t>
      </w:r>
      <w:r>
        <w:rPr>
          <w:rFonts w:hint="eastAsia" w:ascii="Times New Roman" w:hAnsi="Times New Roman" w:eastAsia="楷体_GB2312" w:cs="Times New Roman"/>
          <w:color w:val="auto"/>
          <w:kern w:val="0"/>
          <w:sz w:val="32"/>
          <w:szCs w:val="32"/>
          <w:lang w:val="en-US" w:eastAsia="zh-CN"/>
        </w:rPr>
        <w:t>刘雪雁(注册号：</w:t>
      </w:r>
      <w:r>
        <w:rPr>
          <w:rFonts w:hint="eastAsia" w:ascii="楷体_GB2312" w:hAnsi="楷体" w:eastAsia="楷体_GB2312" w:cs="Times New Roman"/>
          <w:color w:val="000000"/>
          <w:spacing w:val="-6"/>
          <w:kern w:val="0"/>
          <w:sz w:val="32"/>
          <w:szCs w:val="32"/>
          <w:lang w:val="en-US" w:eastAsia="zh-CN"/>
        </w:rPr>
        <w:t>6420200002</w:t>
      </w:r>
      <w:r>
        <w:rPr>
          <w:rFonts w:hint="eastAsia" w:ascii="Times New Roman" w:hAnsi="Times New Roman" w:eastAsia="楷体_GB2312" w:cs="Times New Roman"/>
          <w:color w:val="auto"/>
          <w:kern w:val="0"/>
          <w:sz w:val="32"/>
          <w:szCs w:val="32"/>
          <w:lang w:val="en-US" w:eastAsia="zh-CN"/>
        </w:rPr>
        <w:t>)</w:t>
      </w:r>
    </w:p>
    <w:p>
      <w:pPr>
        <w:autoSpaceDE w:val="0"/>
        <w:autoSpaceDN w:val="0"/>
        <w:adjustRightInd w:val="0"/>
        <w:spacing w:line="460" w:lineRule="exact"/>
        <w:ind w:right="278" w:firstLine="2880" w:firstLineChars="900"/>
        <w:jc w:val="left"/>
        <w:rPr>
          <w:rFonts w:hint="eastAsia" w:ascii="楷体_GB2312" w:eastAsia="楷体_GB2312"/>
          <w:color w:val="auto"/>
          <w:kern w:val="0"/>
          <w:sz w:val="32"/>
          <w:szCs w:val="32"/>
        </w:rPr>
      </w:pPr>
      <w:r>
        <w:rPr>
          <w:rFonts w:hint="eastAsia" w:eastAsia="楷体_GB2312"/>
          <w:color w:val="auto"/>
          <w:kern w:val="0"/>
          <w:sz w:val="32"/>
          <w:szCs w:val="32"/>
        </w:rPr>
        <w:t>刘</w:t>
      </w:r>
      <w:r>
        <w:rPr>
          <w:rFonts w:hint="eastAsia" w:eastAsia="楷体_GB2312"/>
          <w:color w:val="auto"/>
          <w:kern w:val="0"/>
          <w:sz w:val="32"/>
          <w:szCs w:val="32"/>
          <w:lang w:val="en-US" w:eastAsia="zh-CN"/>
        </w:rPr>
        <w:t xml:space="preserve">  渊</w:t>
      </w:r>
      <w:r>
        <w:rPr>
          <w:rFonts w:eastAsia="楷体_GB2312"/>
          <w:color w:val="auto"/>
          <w:kern w:val="0"/>
          <w:sz w:val="32"/>
          <w:szCs w:val="32"/>
        </w:rPr>
        <w:t>(</w:t>
      </w:r>
      <w:r>
        <w:rPr>
          <w:rFonts w:hint="eastAsia" w:ascii="楷体_GB2312" w:eastAsia="楷体_GB2312"/>
          <w:color w:val="auto"/>
          <w:kern w:val="0"/>
          <w:sz w:val="32"/>
          <w:szCs w:val="32"/>
        </w:rPr>
        <w:t>注册号：</w:t>
      </w:r>
      <w:r>
        <w:rPr>
          <w:rFonts w:hint="eastAsia" w:ascii="楷体_GB2312" w:hAnsi="楷体" w:eastAsia="楷体_GB2312" w:cs="Times New Roman"/>
          <w:color w:val="000000"/>
          <w:spacing w:val="-6"/>
          <w:kern w:val="0"/>
          <w:sz w:val="32"/>
          <w:szCs w:val="32"/>
          <w:lang w:val="en-US" w:eastAsia="zh-CN"/>
        </w:rPr>
        <w:t>6420120002</w:t>
      </w:r>
      <w:r>
        <w:rPr>
          <w:rFonts w:hint="eastAsia" w:ascii="楷体_GB2312" w:eastAsia="楷体_GB2312"/>
          <w:color w:val="auto"/>
          <w:kern w:val="0"/>
          <w:sz w:val="32"/>
          <w:szCs w:val="32"/>
        </w:rPr>
        <w:t>)</w:t>
      </w:r>
    </w:p>
    <w:p>
      <w:pPr>
        <w:autoSpaceDE w:val="0"/>
        <w:autoSpaceDN w:val="0"/>
        <w:adjustRightInd w:val="0"/>
        <w:spacing w:line="460" w:lineRule="exact"/>
        <w:ind w:right="278" w:firstLine="2880" w:firstLineChars="900"/>
        <w:jc w:val="left"/>
        <w:rPr>
          <w:rFonts w:hint="eastAsia" w:ascii="Times New Roman" w:hAnsi="Times New Roman" w:eastAsia="楷体_GB2312" w:cs="Times New Roman"/>
          <w:color w:val="auto"/>
          <w:kern w:val="0"/>
          <w:sz w:val="32"/>
          <w:szCs w:val="32"/>
          <w:lang w:eastAsia="zh-CN"/>
        </w:rPr>
      </w:pPr>
    </w:p>
    <w:p>
      <w:pPr>
        <w:autoSpaceDE w:val="0"/>
        <w:autoSpaceDN w:val="0"/>
        <w:adjustRightInd w:val="0"/>
        <w:spacing w:line="460" w:lineRule="exact"/>
        <w:ind w:left="1388" w:leftChars="-1" w:right="113" w:hanging="1391" w:hangingChars="433"/>
        <w:rPr>
          <w:rFonts w:hint="eastAsia" w:ascii="楷体_GB2312" w:hAnsi="宋体" w:eastAsia="楷体_GB2312"/>
          <w:color w:val="auto"/>
          <w:kern w:val="0"/>
          <w:sz w:val="32"/>
          <w:szCs w:val="32"/>
          <w:lang w:eastAsia="zh-CN"/>
        </w:rPr>
      </w:pPr>
      <w:r>
        <w:rPr>
          <w:rFonts w:hint="eastAsia" w:eastAsia="楷体_GB2312"/>
          <w:b/>
          <w:color w:val="000000"/>
          <w:kern w:val="0"/>
          <w:sz w:val="32"/>
          <w:szCs w:val="32"/>
        </w:rPr>
        <w:t>评估</w:t>
      </w:r>
      <w:r>
        <w:rPr>
          <w:rFonts w:eastAsia="楷体_GB2312"/>
          <w:b/>
          <w:color w:val="000000"/>
          <w:kern w:val="0"/>
          <w:sz w:val="32"/>
          <w:szCs w:val="32"/>
        </w:rPr>
        <w:t>报告出具日期：</w:t>
      </w:r>
      <w:r>
        <w:rPr>
          <w:rFonts w:hint="eastAsia" w:ascii="楷体_GB2312" w:hAnsi="宋体" w:eastAsia="楷体_GB2312"/>
          <w:color w:val="auto"/>
          <w:kern w:val="0"/>
          <w:sz w:val="32"/>
          <w:szCs w:val="32"/>
          <w:lang w:eastAsia="zh-CN"/>
        </w:rPr>
        <w:t>2022年7月5日</w:t>
      </w:r>
    </w:p>
    <w:p>
      <w:pPr>
        <w:autoSpaceDE w:val="0"/>
        <w:autoSpaceDN w:val="0"/>
        <w:adjustRightInd w:val="0"/>
        <w:spacing w:line="460" w:lineRule="exact"/>
        <w:ind w:left="1388" w:leftChars="-1" w:right="113" w:hanging="1391" w:hangingChars="433"/>
        <w:rPr>
          <w:rFonts w:hint="eastAsia" w:ascii="楷体_GB2312" w:eastAsia="楷体_GB2312"/>
          <w:b/>
          <w:color w:val="000000"/>
          <w:kern w:val="0"/>
          <w:sz w:val="32"/>
          <w:szCs w:val="32"/>
        </w:rPr>
      </w:pPr>
    </w:p>
    <w:p>
      <w:pPr>
        <w:autoSpaceDE w:val="0"/>
        <w:autoSpaceDN w:val="0"/>
        <w:adjustRightInd w:val="0"/>
        <w:spacing w:line="460" w:lineRule="exact"/>
        <w:ind w:left="1388" w:leftChars="-1" w:right="113" w:hanging="1391" w:hangingChars="433"/>
        <w:rPr>
          <w:rFonts w:hint="eastAsia"/>
          <w:color w:val="000000"/>
          <w:sz w:val="32"/>
          <w:szCs w:val="32"/>
        </w:rPr>
      </w:pPr>
      <w:r>
        <w:rPr>
          <w:rFonts w:hint="eastAsia" w:eastAsia="楷体_GB2312"/>
          <w:b/>
          <w:color w:val="000000"/>
          <w:kern w:val="0"/>
          <w:sz w:val="32"/>
          <w:szCs w:val="32"/>
        </w:rPr>
        <w:t>评估</w:t>
      </w:r>
      <w:r>
        <w:rPr>
          <w:rFonts w:eastAsia="楷体_GB2312"/>
          <w:b/>
          <w:color w:val="000000"/>
          <w:kern w:val="0"/>
          <w:sz w:val="32"/>
          <w:szCs w:val="32"/>
        </w:rPr>
        <w:t>报告编号：</w:t>
      </w:r>
      <w:r>
        <w:rPr>
          <w:rFonts w:eastAsia="楷体_GB2312"/>
          <w:color w:val="000000"/>
          <w:kern w:val="0"/>
          <w:sz w:val="32"/>
          <w:szCs w:val="32"/>
        </w:rPr>
        <w:t>(宁夏)博源卓越</w:t>
      </w:r>
      <w:r>
        <w:rPr>
          <w:rFonts w:hint="eastAsia" w:ascii="楷体_GB2312" w:eastAsia="楷体_GB2312"/>
          <w:color w:val="000000"/>
          <w:kern w:val="0"/>
          <w:sz w:val="32"/>
          <w:szCs w:val="32"/>
        </w:rPr>
        <w:t>(202</w:t>
      </w:r>
      <w:r>
        <w:rPr>
          <w:rFonts w:hint="eastAsia" w:ascii="楷体_GB2312" w:eastAsia="楷体_GB2312"/>
          <w:color w:val="000000"/>
          <w:kern w:val="0"/>
          <w:sz w:val="32"/>
          <w:szCs w:val="32"/>
          <w:lang w:val="en-US" w:eastAsia="zh-CN"/>
        </w:rPr>
        <w:t>2</w:t>
      </w:r>
      <w:r>
        <w:rPr>
          <w:rFonts w:hint="eastAsia" w:ascii="楷体_GB2312" w:eastAsia="楷体_GB2312"/>
          <w:color w:val="000000"/>
          <w:kern w:val="0"/>
          <w:sz w:val="32"/>
          <w:szCs w:val="32"/>
        </w:rPr>
        <w:t>)(房估)字第</w:t>
      </w:r>
      <w:r>
        <w:rPr>
          <w:rFonts w:hint="eastAsia" w:ascii="楷体_GB2312" w:eastAsia="楷体_GB2312"/>
          <w:color w:val="000000"/>
          <w:kern w:val="0"/>
          <w:sz w:val="32"/>
          <w:szCs w:val="32"/>
          <w:lang w:val="en-US" w:eastAsia="zh-CN"/>
        </w:rPr>
        <w:t>098</w:t>
      </w:r>
      <w:r>
        <w:rPr>
          <w:rFonts w:hint="eastAsia" w:ascii="楷体_GB2312" w:eastAsia="楷体_GB2312"/>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b/>
          <w:color w:val="000000"/>
          <w:sz w:val="32"/>
          <w:szCs w:val="32"/>
        </w:rPr>
      </w:pPr>
      <w:bookmarkStart w:id="0" w:name="_Toc400524092"/>
      <w:r>
        <w:rPr>
          <w:rFonts w:hint="eastAsia" w:ascii="宋体" w:hAnsi="宋体" w:eastAsia="宋体"/>
          <w:b/>
          <w:color w:val="000000"/>
          <w:sz w:val="32"/>
          <w:szCs w:val="32"/>
        </w:rPr>
        <w:t>致评估委托人函</w:t>
      </w:r>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b/>
          <w:color w:val="000000"/>
          <w:szCs w:val="28"/>
        </w:rPr>
      </w:pPr>
      <w:r>
        <w:rPr>
          <w:rFonts w:hint="eastAsia" w:ascii="仿宋_GB2312" w:hAnsi="楷体"/>
          <w:b/>
          <w:color w:val="000000"/>
          <w:kern w:val="0"/>
          <w:szCs w:val="28"/>
        </w:rPr>
        <w:t>贺兰县人民法院</w:t>
      </w:r>
      <w:r>
        <w:rPr>
          <w:rFonts w:hint="eastAsia" w:ascii="仿宋_GB2312"/>
          <w:b/>
          <w:color w:val="000000"/>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color w:val="auto"/>
          <w:szCs w:val="28"/>
        </w:rPr>
      </w:pPr>
      <w:r>
        <w:rPr>
          <w:rFonts w:hint="eastAsia" w:ascii="仿宋_GB2312"/>
          <w:color w:val="000000"/>
          <w:szCs w:val="28"/>
        </w:rPr>
        <w:t>承蒙委托，我公</w:t>
      </w:r>
      <w:r>
        <w:rPr>
          <w:rFonts w:hint="eastAsia" w:ascii="仿宋_GB2312"/>
          <w:color w:val="auto"/>
          <w:szCs w:val="28"/>
        </w:rPr>
        <w:t>司于</w:t>
      </w:r>
      <w:r>
        <w:rPr>
          <w:rFonts w:hint="eastAsia" w:ascii="仿宋_GB2312"/>
          <w:color w:val="auto"/>
          <w:szCs w:val="28"/>
          <w:lang w:eastAsia="zh-CN"/>
        </w:rPr>
        <w:t>2022年6月7日</w:t>
      </w:r>
      <w:r>
        <w:rPr>
          <w:rFonts w:hint="eastAsia" w:ascii="仿宋_GB2312"/>
          <w:color w:val="auto"/>
          <w:szCs w:val="28"/>
        </w:rPr>
        <w:t>至</w:t>
      </w:r>
      <w:r>
        <w:rPr>
          <w:rFonts w:hint="eastAsia" w:ascii="仿宋_GB2312"/>
          <w:color w:val="auto"/>
          <w:szCs w:val="28"/>
          <w:lang w:eastAsia="zh-CN"/>
        </w:rPr>
        <w:t>2022年7月5日</w:t>
      </w:r>
      <w:r>
        <w:rPr>
          <w:rFonts w:hint="eastAsia" w:ascii="仿宋_GB2312"/>
          <w:color w:val="auto"/>
          <w:szCs w:val="28"/>
        </w:rPr>
        <w:t>对评估对象价值进行了评估，有关评估事项和评估结果如下：</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color w:val="auto"/>
          <w:szCs w:val="28"/>
        </w:rPr>
      </w:pPr>
      <w:r>
        <w:rPr>
          <w:rFonts w:hint="eastAsia" w:ascii="仿宋_GB2312"/>
          <w:b/>
          <w:color w:val="auto"/>
          <w:szCs w:val="28"/>
        </w:rPr>
        <w:t>评估目的：</w:t>
      </w:r>
      <w:r>
        <w:rPr>
          <w:rFonts w:hint="eastAsia" w:ascii="仿宋_GB2312"/>
          <w:color w:val="auto"/>
          <w:szCs w:val="28"/>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color w:val="auto"/>
          <w:szCs w:val="28"/>
        </w:rPr>
      </w:pPr>
      <w:r>
        <w:rPr>
          <w:rFonts w:hint="eastAsia" w:ascii="仿宋_GB2312"/>
          <w:b/>
          <w:color w:val="auto"/>
          <w:szCs w:val="28"/>
        </w:rPr>
        <w:t>评估对象：</w:t>
      </w:r>
      <w:r>
        <w:rPr>
          <w:rFonts w:hint="eastAsia" w:ascii="仿宋_GB2312"/>
          <w:color w:val="auto"/>
          <w:szCs w:val="28"/>
        </w:rPr>
        <w:t>房屋所有权人为</w:t>
      </w:r>
      <w:r>
        <w:rPr>
          <w:rFonts w:hint="eastAsia" w:ascii="仿宋_GB2312"/>
          <w:color w:val="auto"/>
          <w:szCs w:val="28"/>
          <w:lang w:eastAsia="zh-CN"/>
        </w:rPr>
        <w:t>丁华、张启菲</w:t>
      </w:r>
      <w:r>
        <w:rPr>
          <w:rFonts w:hint="eastAsia" w:ascii="仿宋_GB2312"/>
          <w:color w:val="auto"/>
          <w:szCs w:val="28"/>
        </w:rPr>
        <w:t>，位于</w:t>
      </w:r>
      <w:r>
        <w:rPr>
          <w:rFonts w:hint="eastAsia" w:ascii="仿宋_GB2312"/>
          <w:color w:val="auto"/>
          <w:szCs w:val="28"/>
          <w:lang w:eastAsia="zh-CN"/>
        </w:rPr>
        <w:t>贺兰县居安西路明珠花园14号楼3单元202室，</w:t>
      </w:r>
      <w:r>
        <w:rPr>
          <w:rFonts w:hint="eastAsia" w:ascii="仿宋_GB2312"/>
          <w:color w:val="auto"/>
          <w:szCs w:val="28"/>
        </w:rPr>
        <w:t>建筑面积为</w:t>
      </w:r>
      <w:r>
        <w:rPr>
          <w:rFonts w:hint="eastAsia" w:ascii="仿宋_GB2312"/>
          <w:color w:val="auto"/>
          <w:szCs w:val="28"/>
          <w:lang w:eastAsia="zh-CN"/>
        </w:rPr>
        <w:t>136.07平方米</w:t>
      </w:r>
      <w:r>
        <w:rPr>
          <w:rFonts w:hint="eastAsia" w:ascii="仿宋_GB2312"/>
          <w:color w:val="auto"/>
          <w:szCs w:val="28"/>
          <w:lang w:val="en-US" w:eastAsia="zh-CN"/>
        </w:rPr>
        <w:t>的</w:t>
      </w:r>
      <w:r>
        <w:rPr>
          <w:rFonts w:hint="eastAsia" w:ascii="仿宋_GB2312"/>
          <w:color w:val="auto"/>
          <w:szCs w:val="28"/>
          <w:lang w:eastAsia="zh-CN"/>
        </w:rPr>
        <w:t>住宅用房</w:t>
      </w:r>
      <w:r>
        <w:rPr>
          <w:rFonts w:hint="eastAsia" w:ascii="仿宋_GB2312"/>
          <w:color w:val="auto"/>
          <w:szCs w:val="28"/>
        </w:rPr>
        <w:t>房地产。</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color w:val="auto"/>
          <w:spacing w:val="2"/>
          <w:szCs w:val="28"/>
        </w:rPr>
      </w:pPr>
      <w:r>
        <w:rPr>
          <w:rFonts w:hint="eastAsia" w:ascii="仿宋_GB2312"/>
          <w:b/>
          <w:color w:val="auto"/>
          <w:szCs w:val="28"/>
        </w:rPr>
        <w:t>价值时点：</w:t>
      </w:r>
      <w:r>
        <w:rPr>
          <w:rFonts w:hint="eastAsia" w:ascii="仿宋_GB2312"/>
          <w:color w:val="auto"/>
          <w:spacing w:val="2"/>
          <w:szCs w:val="28"/>
          <w:lang w:eastAsia="zh-CN"/>
        </w:rPr>
        <w:t>2022年6月21日</w:t>
      </w:r>
      <w:r>
        <w:rPr>
          <w:rFonts w:hint="eastAsia" w:ascii="仿宋_GB2312"/>
          <w:color w:val="auto"/>
          <w:spacing w:val="2"/>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70" w:firstLineChars="200"/>
        <w:textAlignment w:val="auto"/>
        <w:rPr>
          <w:rFonts w:hint="eastAsia" w:ascii="仿宋_GB2312"/>
          <w:color w:val="auto"/>
          <w:spacing w:val="2"/>
          <w:szCs w:val="28"/>
        </w:rPr>
      </w:pPr>
      <w:r>
        <w:rPr>
          <w:rFonts w:hint="eastAsia" w:ascii="仿宋_GB2312"/>
          <w:b/>
          <w:color w:val="auto"/>
          <w:spacing w:val="2"/>
          <w:szCs w:val="28"/>
        </w:rPr>
        <w:t>价值类型：</w:t>
      </w:r>
      <w:r>
        <w:rPr>
          <w:rFonts w:hint="eastAsia" w:ascii="仿宋_GB2312"/>
          <w:color w:val="auto"/>
          <w:spacing w:val="2"/>
          <w:szCs w:val="28"/>
        </w:rPr>
        <w:t>市场价格。</w:t>
      </w:r>
    </w:p>
    <w:p>
      <w:pPr>
        <w:keepNext w:val="0"/>
        <w:keepLines w:val="0"/>
        <w:pageBreakBefore w:val="0"/>
        <w:widowControl w:val="0"/>
        <w:kinsoku/>
        <w:wordWrap/>
        <w:overflowPunct/>
        <w:topLinePunct w:val="0"/>
        <w:autoSpaceDE/>
        <w:autoSpaceDN/>
        <w:bidi w:val="0"/>
        <w:adjustRightInd/>
        <w:snapToGrid/>
        <w:spacing w:line="440" w:lineRule="exact"/>
        <w:ind w:firstLine="570" w:firstLineChars="200"/>
        <w:textAlignment w:val="auto"/>
        <w:rPr>
          <w:rFonts w:hint="eastAsia" w:ascii="仿宋_GB2312"/>
          <w:color w:val="auto"/>
          <w:szCs w:val="28"/>
        </w:rPr>
      </w:pPr>
      <w:r>
        <w:rPr>
          <w:rFonts w:hint="eastAsia" w:ascii="仿宋_GB2312"/>
          <w:b/>
          <w:color w:val="auto"/>
          <w:spacing w:val="2"/>
          <w:szCs w:val="28"/>
        </w:rPr>
        <w:t>评估方法：</w:t>
      </w:r>
      <w:r>
        <w:rPr>
          <w:rFonts w:hint="eastAsia" w:ascii="仿宋_GB2312"/>
          <w:color w:val="auto"/>
          <w:spacing w:val="2"/>
          <w:szCs w:val="28"/>
        </w:rPr>
        <w:t>比较法和收益法。</w:t>
      </w:r>
    </w:p>
    <w:p>
      <w:pPr>
        <w:keepNext w:val="0"/>
        <w:keepLines w:val="0"/>
        <w:pageBreakBefore w:val="0"/>
        <w:widowControl w:val="0"/>
        <w:kinsoku/>
        <w:wordWrap/>
        <w:overflowPunct/>
        <w:topLinePunct w:val="0"/>
        <w:autoSpaceDE/>
        <w:autoSpaceDN/>
        <w:bidi w:val="0"/>
        <w:adjustRightInd/>
        <w:snapToGrid/>
        <w:spacing w:line="440" w:lineRule="exact"/>
        <w:ind w:firstLine="570" w:firstLineChars="200"/>
        <w:textAlignment w:val="auto"/>
        <w:rPr>
          <w:rFonts w:hint="eastAsia" w:ascii="仿宋_GB2312" w:hAnsi="Times New Roman" w:cs="Times New Roman"/>
          <w:color w:val="auto"/>
          <w:spacing w:val="0"/>
          <w:sz w:val="28"/>
          <w:szCs w:val="28"/>
        </w:rPr>
      </w:pPr>
      <w:r>
        <w:rPr>
          <w:rFonts w:hint="eastAsia" w:ascii="仿宋_GB2312" w:hAnsi="Times New Roman" w:cs="Times New Roman"/>
          <w:b/>
          <w:color w:val="auto"/>
          <w:spacing w:val="2"/>
          <w:szCs w:val="28"/>
        </w:rPr>
        <w:t>评估结果：</w:t>
      </w:r>
      <w:r>
        <w:rPr>
          <w:rFonts w:hint="eastAsia" w:ascii="仿宋_GB2312" w:hAnsi="仿宋_GB2312" w:eastAsia="仿宋_GB2312" w:cs="仿宋_GB2312"/>
          <w:color w:val="auto"/>
          <w:spacing w:val="0"/>
          <w:sz w:val="28"/>
          <w:szCs w:val="28"/>
        </w:rPr>
        <w:t>注册房地产估价师经过实地查勘和市场调查，根据评估目的，按照</w:t>
      </w:r>
      <w:r>
        <w:rPr>
          <w:rFonts w:hint="eastAsia" w:ascii="仿宋_GB2312" w:hAnsi="仿宋_GB2312" w:cs="仿宋_GB2312"/>
          <w:color w:val="auto"/>
          <w:spacing w:val="0"/>
          <w:sz w:val="28"/>
          <w:szCs w:val="28"/>
          <w:lang w:val="en-US" w:eastAsia="zh-CN"/>
        </w:rPr>
        <w:t>评估</w:t>
      </w:r>
      <w:r>
        <w:rPr>
          <w:rFonts w:hint="eastAsia" w:ascii="仿宋_GB2312" w:hAnsi="仿宋_GB2312" w:eastAsia="仿宋_GB2312" w:cs="仿宋_GB2312"/>
          <w:color w:val="auto"/>
          <w:spacing w:val="0"/>
          <w:sz w:val="28"/>
          <w:szCs w:val="28"/>
        </w:rPr>
        <w:t>程序，遵照《中华人民共和国城市房地产管理法》（中华人民共和国主席令第32号）、《中华人民共和国资产评估法》（中华人民共和国主席令第46号）、《房地产估价规范》（GB/T 50291-2015）、《涉执房地产处置司法评估指导意见（试行）》（中房学﹝2021﹞37号）等法律法规和技术标准，遵循独立、客观、公正、合法的原则，在综合分析影响房地产价格因素的基础上，确定评估对象在满足假设和限制条件下</w:t>
      </w:r>
      <w:r>
        <w:rPr>
          <w:rFonts w:hint="eastAsia" w:ascii="仿宋_GB2312" w:hAnsi="仿宋_GB2312" w:cs="仿宋_GB2312"/>
          <w:color w:val="auto"/>
          <w:spacing w:val="0"/>
          <w:sz w:val="28"/>
          <w:szCs w:val="28"/>
          <w:lang w:eastAsia="zh-CN"/>
        </w:rPr>
        <w:t>，</w:t>
      </w:r>
      <w:r>
        <w:rPr>
          <w:rFonts w:hint="eastAsia" w:ascii="仿宋_GB2312" w:hAnsi="仿宋_GB2312" w:eastAsia="仿宋_GB2312" w:cs="仿宋_GB2312"/>
          <w:color w:val="auto"/>
          <w:spacing w:val="0"/>
          <w:sz w:val="28"/>
          <w:szCs w:val="28"/>
        </w:rPr>
        <w:t>于价值时点</w:t>
      </w:r>
      <w:r>
        <w:rPr>
          <w:rFonts w:hint="eastAsia" w:ascii="仿宋_GB2312" w:hAnsi="仿宋_GB2312" w:cs="仿宋_GB2312"/>
          <w:color w:val="auto"/>
          <w:spacing w:val="0"/>
          <w:sz w:val="28"/>
          <w:szCs w:val="28"/>
          <w:lang w:eastAsia="zh-CN"/>
        </w:rPr>
        <w:t>2022年6月21日</w:t>
      </w:r>
      <w:r>
        <w:rPr>
          <w:rFonts w:hint="eastAsia" w:ascii="仿宋_GB2312" w:hAnsi="仿宋_GB2312" w:eastAsia="仿宋_GB2312" w:cs="仿宋_GB2312"/>
          <w:color w:val="auto"/>
          <w:spacing w:val="0"/>
          <w:sz w:val="28"/>
          <w:szCs w:val="28"/>
        </w:rPr>
        <w:t>的市场价格见下表：</w:t>
      </w:r>
    </w:p>
    <w:p>
      <w:pPr>
        <w:keepNext w:val="0"/>
        <w:keepLines w:val="0"/>
        <w:pageBreakBefore w:val="0"/>
        <w:widowControl w:val="0"/>
        <w:kinsoku/>
        <w:wordWrap/>
        <w:overflowPunct/>
        <w:topLinePunct w:val="0"/>
        <w:autoSpaceDE/>
        <w:autoSpaceDN/>
        <w:bidi w:val="0"/>
        <w:adjustRightInd/>
        <w:snapToGrid/>
        <w:spacing w:line="440" w:lineRule="exact"/>
        <w:ind w:right="-311" w:rightChars="-111"/>
        <w:jc w:val="center"/>
        <w:textAlignment w:val="auto"/>
        <w:rPr>
          <w:rFonts w:hint="eastAsia" w:ascii="宋体" w:hAnsi="宋体" w:eastAsia="宋体" w:cs="仿宋_GB2312"/>
          <w:b/>
          <w:bCs/>
          <w:color w:val="auto"/>
          <w:kern w:val="0"/>
          <w:sz w:val="24"/>
          <w:szCs w:val="24"/>
        </w:rPr>
      </w:pPr>
      <w:r>
        <w:rPr>
          <w:rFonts w:hint="eastAsia" w:ascii="宋体" w:hAnsi="宋体" w:eastAsia="宋体" w:cs="仿宋_GB2312"/>
          <w:b/>
          <w:bCs/>
          <w:color w:val="auto"/>
          <w:kern w:val="0"/>
          <w:sz w:val="24"/>
          <w:szCs w:val="24"/>
        </w:rPr>
        <w:t>评估结果汇总表</w:t>
      </w:r>
    </w:p>
    <w:tbl>
      <w:tblPr>
        <w:tblStyle w:val="23"/>
        <w:tblW w:w="5011" w:type="pct"/>
        <w:jc w:val="center"/>
        <w:tblLayout w:type="autofit"/>
        <w:tblCellMar>
          <w:top w:w="0" w:type="dxa"/>
          <w:left w:w="108" w:type="dxa"/>
          <w:bottom w:w="0" w:type="dxa"/>
          <w:right w:w="108" w:type="dxa"/>
        </w:tblCellMar>
      </w:tblPr>
      <w:tblGrid>
        <w:gridCol w:w="1554"/>
        <w:gridCol w:w="839"/>
        <w:gridCol w:w="843"/>
        <w:gridCol w:w="598"/>
        <w:gridCol w:w="626"/>
        <w:gridCol w:w="626"/>
        <w:gridCol w:w="597"/>
        <w:gridCol w:w="756"/>
        <w:gridCol w:w="1058"/>
        <w:gridCol w:w="1300"/>
      </w:tblGrid>
      <w:tr>
        <w:trPr>
          <w:trHeight w:val="510" w:hRule="atLeast"/>
          <w:jc w:val="center"/>
        </w:trPr>
        <w:tc>
          <w:tcPr>
            <w:tcW w:w="883"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hint="eastAsia" w:ascii="宋体" w:hAnsi="宋体" w:eastAsia="宋体"/>
                <w:color w:val="auto"/>
                <w:szCs w:val="18"/>
              </w:rPr>
              <w:t>项目名称</w:t>
            </w:r>
          </w:p>
        </w:tc>
        <w:tc>
          <w:tcPr>
            <w:tcW w:w="47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hint="eastAsia" w:ascii="宋体" w:hAnsi="宋体" w:eastAsia="宋体"/>
                <w:color w:val="auto"/>
                <w:szCs w:val="18"/>
              </w:rPr>
              <w:t>房屋所有权人</w:t>
            </w:r>
          </w:p>
        </w:tc>
        <w:tc>
          <w:tcPr>
            <w:tcW w:w="47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rPr>
            </w:pPr>
            <w:r>
              <w:rPr>
                <w:rFonts w:ascii="宋体" w:hAnsi="宋体" w:eastAsia="宋体"/>
                <w:color w:val="auto"/>
                <w:szCs w:val="18"/>
              </w:rPr>
              <w:t>建成</w:t>
            </w:r>
          </w:p>
          <w:p>
            <w:pPr>
              <w:pStyle w:val="39"/>
              <w:spacing w:line="240" w:lineRule="exact"/>
              <w:rPr>
                <w:rFonts w:ascii="宋体" w:hAnsi="宋体" w:eastAsia="宋体"/>
                <w:color w:val="auto"/>
                <w:szCs w:val="18"/>
              </w:rPr>
            </w:pPr>
            <w:r>
              <w:rPr>
                <w:rFonts w:ascii="宋体" w:hAnsi="宋体" w:eastAsia="宋体"/>
                <w:color w:val="auto"/>
                <w:szCs w:val="18"/>
              </w:rPr>
              <w:t>年代</w:t>
            </w:r>
          </w:p>
        </w:tc>
        <w:tc>
          <w:tcPr>
            <w:tcW w:w="34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结构</w:t>
            </w:r>
          </w:p>
        </w:tc>
        <w:tc>
          <w:tcPr>
            <w:tcW w:w="356"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rPr>
            </w:pPr>
            <w:r>
              <w:rPr>
                <w:rFonts w:ascii="宋体" w:hAnsi="宋体" w:eastAsia="宋体"/>
                <w:color w:val="auto"/>
                <w:szCs w:val="18"/>
              </w:rPr>
              <w:t>设计</w:t>
            </w:r>
          </w:p>
          <w:p>
            <w:pPr>
              <w:pStyle w:val="39"/>
              <w:spacing w:line="240" w:lineRule="exact"/>
              <w:rPr>
                <w:rFonts w:ascii="宋体" w:hAnsi="宋体" w:eastAsia="宋体"/>
                <w:color w:val="auto"/>
                <w:szCs w:val="18"/>
              </w:rPr>
            </w:pPr>
            <w:r>
              <w:rPr>
                <w:rFonts w:ascii="宋体" w:hAnsi="宋体" w:eastAsia="宋体"/>
                <w:color w:val="auto"/>
                <w:szCs w:val="18"/>
              </w:rPr>
              <w:t>用途</w:t>
            </w:r>
          </w:p>
        </w:tc>
        <w:tc>
          <w:tcPr>
            <w:tcW w:w="35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总楼层</w:t>
            </w:r>
          </w:p>
        </w:tc>
        <w:tc>
          <w:tcPr>
            <w:tcW w:w="339"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所在楼层</w:t>
            </w:r>
          </w:p>
        </w:tc>
        <w:tc>
          <w:tcPr>
            <w:tcW w:w="42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建筑面积（㎡）</w:t>
            </w:r>
          </w:p>
        </w:tc>
        <w:tc>
          <w:tcPr>
            <w:tcW w:w="601"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评估单价</w:t>
            </w:r>
          </w:p>
          <w:p>
            <w:pPr>
              <w:pStyle w:val="39"/>
              <w:spacing w:line="240" w:lineRule="exact"/>
              <w:rPr>
                <w:rFonts w:ascii="宋体" w:hAnsi="宋体" w:eastAsia="宋体"/>
                <w:color w:val="auto"/>
                <w:szCs w:val="18"/>
              </w:rPr>
            </w:pPr>
            <w:r>
              <w:rPr>
                <w:rFonts w:ascii="宋体" w:hAnsi="宋体" w:eastAsia="宋体"/>
                <w:color w:val="auto"/>
                <w:szCs w:val="18"/>
              </w:rPr>
              <w:t>（元/㎡）</w:t>
            </w:r>
          </w:p>
        </w:tc>
        <w:tc>
          <w:tcPr>
            <w:tcW w:w="737"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ascii="宋体" w:hAnsi="宋体" w:eastAsia="宋体"/>
                <w:color w:val="auto"/>
                <w:szCs w:val="18"/>
              </w:rPr>
              <w:t>评估总价</w:t>
            </w:r>
          </w:p>
          <w:p>
            <w:pPr>
              <w:pStyle w:val="39"/>
              <w:spacing w:line="240" w:lineRule="exact"/>
              <w:rPr>
                <w:rFonts w:ascii="宋体" w:hAnsi="宋体" w:eastAsia="宋体"/>
                <w:color w:val="auto"/>
                <w:szCs w:val="18"/>
              </w:rPr>
            </w:pPr>
            <w:r>
              <w:rPr>
                <w:rFonts w:ascii="宋体" w:hAnsi="宋体" w:eastAsia="宋体"/>
                <w:color w:val="auto"/>
                <w:szCs w:val="18"/>
              </w:rPr>
              <w:t>（元）</w:t>
            </w:r>
          </w:p>
        </w:tc>
      </w:tr>
      <w:tr>
        <w:tblPrEx>
          <w:tblCellMar>
            <w:top w:w="0" w:type="dxa"/>
            <w:left w:w="108" w:type="dxa"/>
            <w:bottom w:w="0" w:type="dxa"/>
            <w:right w:w="108" w:type="dxa"/>
          </w:tblCellMar>
        </w:tblPrEx>
        <w:trPr>
          <w:trHeight w:val="906" w:hRule="atLeast"/>
          <w:jc w:val="center"/>
        </w:trPr>
        <w:tc>
          <w:tcPr>
            <w:tcW w:w="883"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val="en-US" w:eastAsia="zh-CN"/>
              </w:rPr>
              <w:t>贺兰县居安西路明珠花园14号楼3单元202室住宅用房</w:t>
            </w:r>
          </w:p>
        </w:tc>
        <w:tc>
          <w:tcPr>
            <w:tcW w:w="47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eastAsia="zh-CN"/>
              </w:rPr>
              <w:t>丁华</w:t>
            </w:r>
          </w:p>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eastAsia="zh-CN"/>
              </w:rPr>
              <w:t>张启菲</w:t>
            </w:r>
          </w:p>
        </w:tc>
        <w:tc>
          <w:tcPr>
            <w:tcW w:w="477"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hint="eastAsia" w:ascii="宋体" w:hAnsi="宋体" w:eastAsia="宋体"/>
                <w:color w:val="auto"/>
                <w:szCs w:val="18"/>
                <w:lang w:val="en-US" w:eastAsia="zh-CN"/>
              </w:rPr>
              <w:t>2008年</w:t>
            </w:r>
          </w:p>
        </w:tc>
        <w:tc>
          <w:tcPr>
            <w:tcW w:w="34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val="en-US" w:eastAsia="zh-CN"/>
              </w:rPr>
              <w:t>混合结构</w:t>
            </w:r>
          </w:p>
        </w:tc>
        <w:tc>
          <w:tcPr>
            <w:tcW w:w="356"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ascii="宋体" w:hAnsi="宋体" w:eastAsia="宋体"/>
                <w:color w:val="auto"/>
                <w:szCs w:val="18"/>
              </w:rPr>
            </w:pPr>
            <w:r>
              <w:rPr>
                <w:rFonts w:hint="eastAsia" w:ascii="宋体" w:hAnsi="宋体" w:eastAsia="宋体"/>
                <w:color w:val="auto"/>
                <w:szCs w:val="18"/>
              </w:rPr>
              <w:t>住宅</w:t>
            </w:r>
          </w:p>
        </w:tc>
        <w:tc>
          <w:tcPr>
            <w:tcW w:w="356"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val="en-US" w:eastAsia="zh-CN"/>
              </w:rPr>
              <w:t>5</w:t>
            </w:r>
          </w:p>
        </w:tc>
        <w:tc>
          <w:tcPr>
            <w:tcW w:w="339"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val="en-US" w:eastAsia="zh-CN"/>
              </w:rPr>
            </w:pPr>
            <w:r>
              <w:rPr>
                <w:rFonts w:hint="eastAsia" w:ascii="宋体" w:hAnsi="宋体" w:eastAsia="宋体"/>
                <w:color w:val="auto"/>
                <w:szCs w:val="18"/>
                <w:lang w:val="en-US" w:eastAsia="zh-CN"/>
              </w:rPr>
              <w:t>2</w:t>
            </w:r>
          </w:p>
        </w:tc>
        <w:tc>
          <w:tcPr>
            <w:tcW w:w="42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eastAsia="zh-CN"/>
              </w:rPr>
              <w:t>136.07</w:t>
            </w:r>
          </w:p>
        </w:tc>
        <w:tc>
          <w:tcPr>
            <w:tcW w:w="601"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lang w:eastAsia="zh-CN"/>
              </w:rPr>
            </w:pPr>
            <w:r>
              <w:rPr>
                <w:rFonts w:hint="eastAsia" w:ascii="宋体" w:hAnsi="宋体" w:eastAsia="宋体"/>
                <w:color w:val="auto"/>
                <w:szCs w:val="18"/>
                <w:lang w:eastAsia="zh-CN"/>
              </w:rPr>
              <w:t>4075</w:t>
            </w:r>
          </w:p>
        </w:tc>
        <w:tc>
          <w:tcPr>
            <w:tcW w:w="737" w:type="pct"/>
            <w:tcBorders>
              <w:top w:val="single" w:color="auto" w:sz="4" w:space="0"/>
              <w:left w:val="nil"/>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554,485</w:t>
            </w:r>
          </w:p>
        </w:tc>
      </w:tr>
      <w:tr>
        <w:tblPrEx>
          <w:tblCellMar>
            <w:top w:w="0" w:type="dxa"/>
            <w:left w:w="108" w:type="dxa"/>
            <w:bottom w:w="0" w:type="dxa"/>
            <w:right w:w="108" w:type="dxa"/>
          </w:tblCellMar>
        </w:tblPrEx>
        <w:trPr>
          <w:trHeight w:val="397" w:hRule="atLeast"/>
          <w:jc w:val="center"/>
        </w:trPr>
        <w:tc>
          <w:tcPr>
            <w:tcW w:w="1839" w:type="pct"/>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rPr>
                <w:rFonts w:hint="eastAsia" w:ascii="宋体" w:hAnsi="宋体" w:eastAsia="宋体"/>
                <w:color w:val="auto"/>
                <w:szCs w:val="18"/>
              </w:rPr>
            </w:pPr>
            <w:r>
              <w:rPr>
                <w:rFonts w:hint="eastAsia" w:ascii="宋体" w:hAnsi="宋体" w:eastAsia="宋体"/>
                <w:color w:val="auto"/>
                <w:szCs w:val="18"/>
              </w:rPr>
              <w:t>人民币大写金额</w:t>
            </w:r>
          </w:p>
        </w:tc>
        <w:tc>
          <w:tcPr>
            <w:tcW w:w="3160" w:type="pct"/>
            <w:gridSpan w:val="7"/>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spacing w:line="240" w:lineRule="exact"/>
              <w:jc w:val="left"/>
              <w:rPr>
                <w:rFonts w:hint="eastAsia" w:ascii="宋体" w:hAnsi="宋体" w:eastAsia="宋体"/>
                <w:color w:val="auto"/>
                <w:szCs w:val="18"/>
                <w:lang w:eastAsia="zh-CN"/>
              </w:rPr>
            </w:pPr>
            <w:r>
              <w:rPr>
                <w:rFonts w:hint="eastAsia" w:ascii="宋体" w:hAnsi="宋体" w:eastAsia="宋体"/>
                <w:color w:val="auto"/>
                <w:szCs w:val="18"/>
                <w:lang w:eastAsia="zh-CN"/>
              </w:rPr>
              <w:t>伍拾伍万肆仟肆佰捌拾伍元整</w:t>
            </w:r>
          </w:p>
        </w:tc>
      </w:tr>
    </w:tbl>
    <w:p>
      <w:pPr>
        <w:pStyle w:val="39"/>
        <w:keepNext w:val="0"/>
        <w:keepLines w:val="0"/>
        <w:pageBreakBefore w:val="0"/>
        <w:widowControl w:val="0"/>
        <w:kinsoku/>
        <w:wordWrap/>
        <w:overflowPunct/>
        <w:topLinePunct w:val="0"/>
        <w:autoSpaceDE/>
        <w:autoSpaceDN/>
        <w:bidi w:val="0"/>
        <w:adjustRightInd/>
        <w:snapToGrid/>
        <w:spacing w:line="380" w:lineRule="exact"/>
        <w:ind w:firstLine="562" w:firstLineChars="200"/>
        <w:jc w:val="left"/>
        <w:textAlignment w:val="auto"/>
        <w:rPr>
          <w:rFonts w:hint="eastAsia" w:ascii="仿宋_GB2312"/>
          <w:b/>
          <w:color w:val="auto"/>
          <w:sz w:val="28"/>
          <w:szCs w:val="28"/>
        </w:rPr>
      </w:pPr>
      <w:r>
        <w:rPr>
          <w:rFonts w:hint="eastAsia" w:ascii="仿宋_GB2312"/>
          <w:b/>
          <w:color w:val="auto"/>
          <w:sz w:val="28"/>
          <w:szCs w:val="28"/>
        </w:rPr>
        <w:t>特别提示：</w:t>
      </w:r>
    </w:p>
    <w:p>
      <w:pPr>
        <w:pStyle w:val="39"/>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color w:val="auto"/>
          <w:sz w:val="28"/>
          <w:szCs w:val="28"/>
        </w:rPr>
      </w:pPr>
      <w:r>
        <w:rPr>
          <w:rFonts w:hint="eastAsia" w:ascii="仿宋_GB2312"/>
          <w:color w:val="auto"/>
          <w:sz w:val="28"/>
          <w:szCs w:val="28"/>
        </w:rPr>
        <w:t>报告使用人在使用本报告之前须对报告全文，特别是“估价假设和限制条件”认真阅读，以免使用不当。评估对象的详细信息、估价过程及有关说明，请见《涉执房地产处置司法评估报告》。本报告有效期自评估报告出具之日起一年内有效，即</w:t>
      </w:r>
      <w:r>
        <w:rPr>
          <w:rFonts w:hint="eastAsia" w:ascii="仿宋_GB2312"/>
          <w:color w:val="auto"/>
          <w:sz w:val="28"/>
          <w:szCs w:val="28"/>
          <w:lang w:eastAsia="zh-CN"/>
        </w:rPr>
        <w:t>2022年7月5日</w:t>
      </w:r>
      <w:r>
        <w:rPr>
          <w:rFonts w:hint="eastAsia" w:ascii="仿宋_GB2312"/>
          <w:color w:val="auto"/>
          <w:sz w:val="28"/>
          <w:szCs w:val="28"/>
        </w:rPr>
        <w:t>至</w:t>
      </w:r>
      <w:r>
        <w:rPr>
          <w:rFonts w:hint="eastAsia" w:ascii="仿宋_GB2312"/>
          <w:color w:val="auto"/>
          <w:sz w:val="28"/>
          <w:szCs w:val="28"/>
          <w:lang w:eastAsia="zh-CN"/>
        </w:rPr>
        <w:t>2023年</w:t>
      </w:r>
      <w:r>
        <w:rPr>
          <w:rFonts w:hint="eastAsia" w:ascii="仿宋_GB2312"/>
          <w:color w:val="auto"/>
          <w:sz w:val="28"/>
          <w:szCs w:val="28"/>
          <w:lang w:val="en-US" w:eastAsia="zh-CN"/>
        </w:rPr>
        <w:t>7</w:t>
      </w:r>
      <w:r>
        <w:rPr>
          <w:rFonts w:hint="eastAsia" w:ascii="仿宋_GB2312"/>
          <w:color w:val="auto"/>
          <w:sz w:val="28"/>
          <w:szCs w:val="28"/>
          <w:lang w:eastAsia="zh-CN"/>
        </w:rPr>
        <w:t>月</w:t>
      </w:r>
      <w:r>
        <w:rPr>
          <w:rFonts w:hint="eastAsia" w:ascii="仿宋_GB2312"/>
          <w:color w:val="auto"/>
          <w:sz w:val="28"/>
          <w:szCs w:val="28"/>
          <w:lang w:val="en-US" w:eastAsia="zh-CN"/>
        </w:rPr>
        <w:t>4</w:t>
      </w:r>
      <w:r>
        <w:rPr>
          <w:rFonts w:hint="eastAsia" w:ascii="仿宋_GB2312"/>
          <w:color w:val="auto"/>
          <w:sz w:val="28"/>
          <w:szCs w:val="28"/>
          <w:lang w:eastAsia="zh-CN"/>
        </w:rPr>
        <w:t>日</w:t>
      </w:r>
      <w:r>
        <w:rPr>
          <w:rFonts w:hint="eastAsia" w:ascii="仿宋_GB2312"/>
          <w:color w:val="auto"/>
          <w:sz w:val="28"/>
          <w:szCs w:val="28"/>
        </w:rPr>
        <w:t>。</w:t>
      </w:r>
    </w:p>
    <w:p>
      <w:pPr>
        <w:autoSpaceDE w:val="0"/>
        <w:autoSpaceDN w:val="0"/>
        <w:adjustRightInd w:val="0"/>
        <w:spacing w:line="460" w:lineRule="exact"/>
        <w:jc w:val="right"/>
        <w:rPr>
          <w:rFonts w:hint="eastAsia"/>
          <w:b/>
          <w:color w:val="auto"/>
        </w:rPr>
      </w:pPr>
      <w:r>
        <w:rPr>
          <w:rFonts w:hint="eastAsia"/>
          <w:b/>
          <w:color w:val="auto"/>
        </w:rPr>
        <w:t xml:space="preserve">宁夏博源卓越土地房地产资产评估规划测绘有限公司                                                                </w:t>
      </w:r>
    </w:p>
    <w:p>
      <w:pPr>
        <w:autoSpaceDE w:val="0"/>
        <w:autoSpaceDN w:val="0"/>
        <w:adjustRightInd w:val="0"/>
        <w:spacing w:line="460" w:lineRule="exact"/>
        <w:ind w:firstLine="562" w:firstLineChars="200"/>
        <w:jc w:val="left"/>
        <w:rPr>
          <w:rFonts w:hint="eastAsia" w:ascii="仿宋_GB2312" w:eastAsia="仿宋_GB2312"/>
          <w:b/>
          <w:color w:val="auto"/>
          <w:lang w:eastAsia="zh-CN"/>
        </w:rPr>
      </w:pPr>
      <w:r>
        <w:rPr>
          <w:rFonts w:hint="eastAsia"/>
          <w:b/>
          <w:color w:val="auto"/>
        </w:rPr>
        <w:t xml:space="preserve">                            </w:t>
      </w:r>
      <w:r>
        <w:rPr>
          <w:rFonts w:hint="eastAsia" w:ascii="仿宋_GB2312"/>
          <w:b/>
          <w:color w:val="auto"/>
          <w:lang w:eastAsia="zh-CN"/>
        </w:rPr>
        <w:t>2022年7月5日</w:t>
      </w:r>
    </w:p>
    <w:p>
      <w:pPr>
        <w:autoSpaceDE w:val="0"/>
        <w:autoSpaceDN w:val="0"/>
        <w:adjustRightInd w:val="0"/>
        <w:spacing w:after="217" w:afterLines="50" w:line="580" w:lineRule="exact"/>
        <w:ind w:right="278" w:firstLine="3213" w:firstLineChars="1000"/>
        <w:rPr>
          <w:rFonts w:hint="eastAsia" w:ascii="仿宋_GB2312" w:hAnsi="宋体" w:cs="黑体"/>
          <w:b/>
          <w:color w:val="000000"/>
          <w:kern w:val="0"/>
          <w:sz w:val="32"/>
          <w:szCs w:val="32"/>
        </w:rPr>
      </w:pPr>
      <w:r>
        <w:rPr>
          <w:rFonts w:hint="eastAsia" w:ascii="仿宋_GB2312" w:hAnsi="宋体" w:cs="黑体"/>
          <w:b/>
          <w:color w:val="000000"/>
          <w:kern w:val="0"/>
          <w:sz w:val="32"/>
          <w:szCs w:val="32"/>
        </w:rPr>
        <w:t>目    录</w:t>
      </w:r>
    </w:p>
    <w:p>
      <w:pPr>
        <w:pStyle w:val="17"/>
        <w:keepNext w:val="0"/>
        <w:keepLines w:val="0"/>
        <w:pageBreakBefore w:val="0"/>
        <w:widowControl w:val="0"/>
        <w:wordWrap/>
        <w:topLinePunct w:val="0"/>
        <w:bidi w:val="0"/>
        <w:snapToGrid/>
        <w:spacing w:line="560" w:lineRule="exact"/>
        <w:textAlignment w:val="auto"/>
        <w:rPr>
          <w:rFonts w:hint="eastAsia" w:ascii="仿宋_GB2312" w:hAnsi="Calibri"/>
          <w:b w:val="0"/>
          <w:kern w:val="2"/>
          <w:sz w:val="21"/>
          <w:szCs w:val="22"/>
        </w:rPr>
      </w:pPr>
      <w:r>
        <w:rPr>
          <w:rFonts w:hint="eastAsia" w:ascii="仿宋_GB2312"/>
          <w:b w:val="0"/>
          <w:color w:val="000000"/>
          <w:szCs w:val="28"/>
        </w:rPr>
        <w:fldChar w:fldCharType="begin"/>
      </w:r>
      <w:r>
        <w:rPr>
          <w:rFonts w:hint="eastAsia" w:ascii="仿宋_GB2312"/>
          <w:b w:val="0"/>
          <w:color w:val="000000"/>
          <w:szCs w:val="28"/>
        </w:rPr>
        <w:instrText xml:space="preserve"> TOC \o "1-3" \h \z \u </w:instrText>
      </w:r>
      <w:r>
        <w:rPr>
          <w:rFonts w:hint="eastAsia" w:ascii="仿宋_GB2312"/>
          <w:b w:val="0"/>
          <w:color w:val="000000"/>
          <w:szCs w:val="28"/>
        </w:rPr>
        <w:fldChar w:fldCharType="separate"/>
      </w: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"_Toc92793183"</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hAnsi="宋体"/>
          <w:b w:val="0"/>
          <w:bCs/>
        </w:rPr>
        <w:t>估价师声明</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_Toc92793183 \h </w:instrText>
      </w:r>
      <w:r>
        <w:rPr>
          <w:rFonts w:hint="eastAsia" w:ascii="仿宋_GB2312"/>
          <w:b w:val="0"/>
        </w:rPr>
        <w:fldChar w:fldCharType="separate"/>
      </w:r>
      <w:r>
        <w:rPr>
          <w:rFonts w:hint="eastAsia" w:ascii="仿宋_GB2312"/>
          <w:b w:val="0"/>
        </w:rPr>
        <w:t>1</w:t>
      </w:r>
      <w:r>
        <w:rPr>
          <w:rFonts w:hint="eastAsia" w:ascii="仿宋_GB2312"/>
          <w:b w:val="0"/>
        </w:rPr>
        <w:fldChar w:fldCharType="end"/>
      </w:r>
      <w:r>
        <w:rPr>
          <w:rStyle w:val="28"/>
          <w:rFonts w:hint="eastAsia" w:ascii="仿宋_GB2312"/>
          <w:b w:val="0"/>
        </w:rPr>
        <w:fldChar w:fldCharType="end"/>
      </w:r>
    </w:p>
    <w:p>
      <w:pPr>
        <w:pStyle w:val="17"/>
        <w:keepNext w:val="0"/>
        <w:keepLines w:val="0"/>
        <w:pageBreakBefore w:val="0"/>
        <w:widowControl w:val="0"/>
        <w:wordWrap/>
        <w:topLinePunct w:val="0"/>
        <w:bidi w:val="0"/>
        <w:snapToGrid/>
        <w:spacing w:line="560" w:lineRule="exact"/>
        <w:textAlignment w:val="auto"/>
        <w:rPr>
          <w:rFonts w:hint="eastAsia" w:ascii="仿宋_GB2312" w:hAnsi="Calibri"/>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"_Toc92793184"</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hAnsi="宋体"/>
          <w:b w:val="0"/>
          <w:bCs/>
          <w:kern w:val="44"/>
        </w:rPr>
        <w:t>估价假设和限制条件</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_Toc92793184 \h </w:instrText>
      </w:r>
      <w:r>
        <w:rPr>
          <w:rFonts w:hint="eastAsia" w:ascii="仿宋_GB2312"/>
          <w:b w:val="0"/>
        </w:rPr>
        <w:fldChar w:fldCharType="separate"/>
      </w:r>
      <w:r>
        <w:rPr>
          <w:rFonts w:hint="eastAsia" w:ascii="仿宋_GB2312"/>
          <w:b w:val="0"/>
        </w:rPr>
        <w:t>2</w:t>
      </w:r>
      <w:r>
        <w:rPr>
          <w:rFonts w:hint="eastAsia" w:ascii="仿宋_GB2312"/>
          <w:b w:val="0"/>
        </w:rPr>
        <w:fldChar w:fldCharType="end"/>
      </w:r>
      <w:r>
        <w:rPr>
          <w:rStyle w:val="28"/>
          <w:rFonts w:hint="eastAsia" w:ascii="仿宋_GB2312"/>
          <w:b w:val="0"/>
        </w:rPr>
        <w:fldChar w:fldCharType="end"/>
      </w:r>
    </w:p>
    <w:p>
      <w:pPr>
        <w:pStyle w:val="17"/>
        <w:keepNext w:val="0"/>
        <w:keepLines w:val="0"/>
        <w:pageBreakBefore w:val="0"/>
        <w:widowControl w:val="0"/>
        <w:wordWrap/>
        <w:topLinePunct w:val="0"/>
        <w:bidi w:val="0"/>
        <w:snapToGrid/>
        <w:spacing w:line="560" w:lineRule="exact"/>
        <w:textAlignment w:val="auto"/>
        <w:rPr>
          <w:rFonts w:hint="eastAsia" w:ascii="仿宋_GB2312" w:hAnsi="Calibri"/>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"_Toc92793185"</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hAnsi="宋体"/>
          <w:b w:val="0"/>
          <w:bCs/>
        </w:rPr>
        <w:t>评估结果报告</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_Toc92793185 \h </w:instrText>
      </w:r>
      <w:r>
        <w:rPr>
          <w:rFonts w:hint="eastAsia" w:ascii="仿宋_GB2312"/>
          <w:b w:val="0"/>
        </w:rPr>
        <w:fldChar w:fldCharType="separate"/>
      </w:r>
      <w:r>
        <w:rPr>
          <w:rFonts w:hint="eastAsia" w:ascii="仿宋_GB2312"/>
          <w:b w:val="0"/>
        </w:rPr>
        <w:t>6</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"_Toc92793186"</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一、评估委托人</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_Toc92793186 \h </w:instrText>
      </w:r>
      <w:r>
        <w:rPr>
          <w:rFonts w:hint="eastAsia" w:ascii="仿宋_GB2312"/>
          <w:b w:val="0"/>
        </w:rPr>
        <w:fldChar w:fldCharType="separate"/>
      </w:r>
      <w:r>
        <w:rPr>
          <w:rFonts w:hint="eastAsia" w:ascii="仿宋_GB2312"/>
          <w:b w:val="0"/>
        </w:rPr>
        <w:t>6</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"_Toc92793187"</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二、房地产估价机构</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_Toc92793187 \h </w:instrText>
      </w:r>
      <w:r>
        <w:rPr>
          <w:rFonts w:hint="eastAsia" w:ascii="仿宋_GB2312"/>
          <w:b w:val="0"/>
        </w:rPr>
        <w:fldChar w:fldCharType="separate"/>
      </w:r>
      <w:r>
        <w:rPr>
          <w:rFonts w:hint="eastAsia" w:ascii="仿宋_GB2312"/>
          <w:b w:val="0"/>
        </w:rPr>
        <w:t>6</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"_Toc92793188"</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三、评估目的</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_Toc92793188 \h </w:instrText>
      </w:r>
      <w:r>
        <w:rPr>
          <w:rFonts w:hint="eastAsia" w:ascii="仿宋_GB2312"/>
          <w:b w:val="0"/>
        </w:rPr>
        <w:fldChar w:fldCharType="separate"/>
      </w:r>
      <w:r>
        <w:rPr>
          <w:rFonts w:hint="eastAsia" w:ascii="仿宋_GB2312"/>
          <w:b w:val="0"/>
        </w:rPr>
        <w:t>7</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"_Toc92793189"</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四、评估对象</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_Toc92793189 \h </w:instrText>
      </w:r>
      <w:r>
        <w:rPr>
          <w:rFonts w:hint="eastAsia" w:ascii="仿宋_GB2312"/>
          <w:b w:val="0"/>
        </w:rPr>
        <w:fldChar w:fldCharType="separate"/>
      </w:r>
      <w:r>
        <w:rPr>
          <w:rFonts w:hint="eastAsia" w:ascii="仿宋_GB2312"/>
          <w:b w:val="0"/>
        </w:rPr>
        <w:t>7</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"_Toc92793190"</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五、价值时点</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_Toc92793190 \h </w:instrText>
      </w:r>
      <w:r>
        <w:rPr>
          <w:rFonts w:hint="eastAsia" w:ascii="仿宋_GB2312"/>
          <w:b w:val="0"/>
        </w:rPr>
        <w:fldChar w:fldCharType="separate"/>
      </w:r>
      <w:r>
        <w:rPr>
          <w:rFonts w:hint="eastAsia" w:ascii="仿宋_GB2312"/>
          <w:b w:val="0"/>
        </w:rPr>
        <w:t>11</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"_Toc92793191"</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六、价值类型</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_Toc92793191 \h </w:instrText>
      </w:r>
      <w:r>
        <w:rPr>
          <w:rFonts w:hint="eastAsia" w:ascii="仿宋_GB2312"/>
          <w:b w:val="0"/>
        </w:rPr>
        <w:fldChar w:fldCharType="separate"/>
      </w:r>
      <w:r>
        <w:rPr>
          <w:rFonts w:hint="eastAsia" w:ascii="仿宋_GB2312"/>
          <w:b w:val="0"/>
        </w:rPr>
        <w:t>11</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"_Toc92793192"</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七、评估原则</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_Toc92793192 \h </w:instrText>
      </w:r>
      <w:r>
        <w:rPr>
          <w:rFonts w:hint="eastAsia" w:ascii="仿宋_GB2312"/>
          <w:b w:val="0"/>
        </w:rPr>
        <w:fldChar w:fldCharType="separate"/>
      </w:r>
      <w:r>
        <w:rPr>
          <w:rFonts w:hint="eastAsia" w:ascii="仿宋_GB2312"/>
          <w:b w:val="0"/>
        </w:rPr>
        <w:t>11</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"_Toc92793193"</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八、评估依据</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_Toc92793193 \h </w:instrText>
      </w:r>
      <w:r>
        <w:rPr>
          <w:rFonts w:hint="eastAsia" w:ascii="仿宋_GB2312"/>
          <w:b w:val="0"/>
        </w:rPr>
        <w:fldChar w:fldCharType="separate"/>
      </w:r>
      <w:r>
        <w:rPr>
          <w:rFonts w:hint="eastAsia" w:ascii="仿宋_GB2312"/>
          <w:b w:val="0"/>
        </w:rPr>
        <w:t>13</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"_Toc92793194"</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九、评估方法</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_Toc92793194 \h </w:instrText>
      </w:r>
      <w:r>
        <w:rPr>
          <w:rFonts w:hint="eastAsia" w:ascii="仿宋_GB2312"/>
          <w:b w:val="0"/>
        </w:rPr>
        <w:fldChar w:fldCharType="separate"/>
      </w:r>
      <w:r>
        <w:rPr>
          <w:rFonts w:hint="eastAsia" w:ascii="仿宋_GB2312"/>
          <w:b w:val="0"/>
        </w:rPr>
        <w:t>15</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"_Toc92793195"</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十、评估结果</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_Toc92793195 \h </w:instrText>
      </w:r>
      <w:r>
        <w:rPr>
          <w:rFonts w:hint="eastAsia" w:ascii="仿宋_GB2312"/>
          <w:b w:val="0"/>
        </w:rPr>
        <w:fldChar w:fldCharType="separate"/>
      </w:r>
      <w:r>
        <w:rPr>
          <w:rFonts w:hint="eastAsia" w:ascii="仿宋_GB2312"/>
          <w:b w:val="0"/>
        </w:rPr>
        <w:t>16</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"_Toc92793196"</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十一、注册房地产估价师</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_Toc92793196 \h </w:instrText>
      </w:r>
      <w:r>
        <w:rPr>
          <w:rFonts w:hint="eastAsia" w:ascii="仿宋_GB2312"/>
          <w:b w:val="0"/>
        </w:rPr>
        <w:fldChar w:fldCharType="separate"/>
      </w:r>
      <w:r>
        <w:rPr>
          <w:rFonts w:hint="eastAsia" w:ascii="仿宋_GB2312"/>
          <w:b w:val="0"/>
        </w:rPr>
        <w:t>17</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"_Toc92793197"</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十二、实地查勘期</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_Toc92793197 \h </w:instrText>
      </w:r>
      <w:r>
        <w:rPr>
          <w:rFonts w:hint="eastAsia" w:ascii="仿宋_GB2312"/>
          <w:b w:val="0"/>
        </w:rPr>
        <w:fldChar w:fldCharType="separate"/>
      </w:r>
      <w:r>
        <w:rPr>
          <w:rFonts w:hint="eastAsia" w:ascii="仿宋_GB2312"/>
          <w:b w:val="0"/>
        </w:rPr>
        <w:t>17</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"_Toc92793198"</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十三、评估作业期</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_Toc92793198 \h </w:instrText>
      </w:r>
      <w:r>
        <w:rPr>
          <w:rFonts w:hint="eastAsia" w:ascii="仿宋_GB2312"/>
          <w:b w:val="0"/>
        </w:rPr>
        <w:fldChar w:fldCharType="separate"/>
      </w:r>
      <w:r>
        <w:rPr>
          <w:rFonts w:hint="eastAsia" w:ascii="仿宋_GB2312"/>
          <w:b w:val="0"/>
        </w:rPr>
        <w:t>17</w:t>
      </w:r>
      <w:r>
        <w:rPr>
          <w:rFonts w:hint="eastAsia" w:ascii="仿宋_GB2312"/>
          <w:b w:val="0"/>
        </w:rPr>
        <w:fldChar w:fldCharType="end"/>
      </w:r>
      <w:r>
        <w:rPr>
          <w:rStyle w:val="28"/>
          <w:rFonts w:hint="eastAsia" w:ascii="仿宋_GB2312"/>
          <w:b w:val="0"/>
        </w:rPr>
        <w:fldChar w:fldCharType="end"/>
      </w:r>
    </w:p>
    <w:p>
      <w:pPr>
        <w:pStyle w:val="20"/>
        <w:keepNext w:val="0"/>
        <w:keepLines w:val="0"/>
        <w:pageBreakBefore w:val="0"/>
        <w:widowControl w:val="0"/>
        <w:wordWrap/>
        <w:topLinePunct w:val="0"/>
        <w:bidi w:val="0"/>
        <w:snapToGrid/>
        <w:spacing w:line="560" w:lineRule="exact"/>
        <w:textAlignment w:val="auto"/>
        <w:rPr>
          <w:rFonts w:hint="eastAsia" w:ascii="仿宋_GB2312" w:hAnsi="Calibri" w:cs="Times New Roman"/>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"_Toc92793199"</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b w:val="0"/>
        </w:rPr>
        <w:t>十四、评估报告应用的有效期</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_Toc92793199 \h </w:instrText>
      </w:r>
      <w:r>
        <w:rPr>
          <w:rFonts w:hint="eastAsia" w:ascii="仿宋_GB2312"/>
          <w:b w:val="0"/>
        </w:rPr>
        <w:fldChar w:fldCharType="separate"/>
      </w:r>
      <w:r>
        <w:rPr>
          <w:rFonts w:hint="eastAsia" w:ascii="仿宋_GB2312"/>
          <w:b w:val="0"/>
        </w:rPr>
        <w:t>17</w:t>
      </w:r>
      <w:r>
        <w:rPr>
          <w:rFonts w:hint="eastAsia" w:ascii="仿宋_GB2312"/>
          <w:b w:val="0"/>
        </w:rPr>
        <w:fldChar w:fldCharType="end"/>
      </w:r>
      <w:r>
        <w:rPr>
          <w:rStyle w:val="28"/>
          <w:rFonts w:hint="eastAsia" w:ascii="仿宋_GB2312"/>
          <w:b w:val="0"/>
        </w:rPr>
        <w:fldChar w:fldCharType="end"/>
      </w:r>
    </w:p>
    <w:p>
      <w:pPr>
        <w:pStyle w:val="17"/>
        <w:keepNext w:val="0"/>
        <w:keepLines w:val="0"/>
        <w:pageBreakBefore w:val="0"/>
        <w:widowControl w:val="0"/>
        <w:wordWrap/>
        <w:topLinePunct w:val="0"/>
        <w:bidi w:val="0"/>
        <w:snapToGrid/>
        <w:spacing w:line="560" w:lineRule="exact"/>
        <w:textAlignment w:val="auto"/>
        <w:rPr>
          <w:rFonts w:hint="eastAsia" w:ascii="仿宋_GB2312" w:hAnsi="Calibri"/>
          <w:b w:val="0"/>
          <w:kern w:val="2"/>
          <w:sz w:val="21"/>
          <w:szCs w:val="22"/>
        </w:rPr>
      </w:pPr>
      <w:r>
        <w:rPr>
          <w:rStyle w:val="28"/>
          <w:rFonts w:hint="eastAsia" w:ascii="仿宋_GB2312"/>
          <w:b w:val="0"/>
        </w:rPr>
        <w:fldChar w:fldCharType="begin"/>
      </w:r>
      <w:r>
        <w:rPr>
          <w:rStyle w:val="28"/>
          <w:rFonts w:hint="eastAsia" w:ascii="仿宋_GB2312"/>
          <w:b w:val="0"/>
        </w:rPr>
        <w:instrText xml:space="preserve"> </w:instrText>
      </w:r>
      <w:r>
        <w:rPr>
          <w:rFonts w:hint="eastAsia" w:ascii="仿宋_GB2312"/>
          <w:b w:val="0"/>
        </w:rPr>
        <w:instrText xml:space="preserve">HYPERLINK \l "_Toc92793207"</w:instrText>
      </w:r>
      <w:r>
        <w:rPr>
          <w:rStyle w:val="28"/>
          <w:rFonts w:hint="eastAsia" w:ascii="仿宋_GB2312"/>
          <w:b w:val="0"/>
        </w:rPr>
        <w:instrText xml:space="preserve"> </w:instrText>
      </w:r>
      <w:r>
        <w:rPr>
          <w:rStyle w:val="28"/>
          <w:rFonts w:hint="eastAsia" w:ascii="仿宋_GB2312"/>
          <w:b w:val="0"/>
        </w:rPr>
        <w:fldChar w:fldCharType="separate"/>
      </w:r>
      <w:r>
        <w:rPr>
          <w:rStyle w:val="28"/>
          <w:rFonts w:hint="eastAsia" w:ascii="仿宋_GB2312" w:hAnsi="宋体"/>
          <w:b w:val="0"/>
        </w:rPr>
        <w:t>附件</w:t>
      </w:r>
      <w:r>
        <w:rPr>
          <w:rFonts w:hint="eastAsia" w:ascii="仿宋_GB2312"/>
          <w:b w:val="0"/>
        </w:rPr>
        <w:tab/>
      </w:r>
      <w:r>
        <w:rPr>
          <w:rFonts w:hint="eastAsia" w:ascii="仿宋_GB2312"/>
          <w:b w:val="0"/>
        </w:rPr>
        <w:fldChar w:fldCharType="begin"/>
      </w:r>
      <w:r>
        <w:rPr>
          <w:rFonts w:hint="eastAsia" w:ascii="仿宋_GB2312"/>
          <w:b w:val="0"/>
        </w:rPr>
        <w:instrText xml:space="preserve"> PAGEREF _Toc92793207 \h </w:instrText>
      </w:r>
      <w:r>
        <w:rPr>
          <w:rFonts w:hint="eastAsia" w:ascii="仿宋_GB2312"/>
          <w:b w:val="0"/>
        </w:rPr>
        <w:fldChar w:fldCharType="separate"/>
      </w:r>
      <w:r>
        <w:rPr>
          <w:rFonts w:hint="eastAsia" w:ascii="仿宋_GB2312"/>
          <w:b w:val="0"/>
        </w:rPr>
        <w:t>18</w:t>
      </w:r>
      <w:r>
        <w:rPr>
          <w:rFonts w:hint="eastAsia" w:ascii="仿宋_GB2312"/>
          <w:b w:val="0"/>
        </w:rPr>
        <w:fldChar w:fldCharType="end"/>
      </w:r>
      <w:r>
        <w:rPr>
          <w:rStyle w:val="28"/>
          <w:rFonts w:hint="eastAsia" w:ascii="仿宋_GB2312"/>
          <w:b w:val="0"/>
        </w:rPr>
        <w:fldChar w:fldCharType="end"/>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left="0" w:right="278" w:firstLine="567"/>
        <w:jc w:val="left"/>
        <w:textAlignment w:val="auto"/>
        <w:rPr>
          <w:rFonts w:hint="eastAsia" w:ascii="仿宋_GB2312" w:hAnsi="仿宋" w:cs="仿宋_GB2312"/>
          <w:color w:val="000000"/>
          <w:kern w:val="0"/>
          <w:szCs w:val="28"/>
        </w:rPr>
      </w:pPr>
      <w:r>
        <w:rPr>
          <w:rFonts w:hint="eastAsia" w:ascii="仿宋_GB2312"/>
          <w:color w:val="000000"/>
          <w:kern w:val="0"/>
          <w:szCs w:val="28"/>
        </w:rPr>
        <w:fldChar w:fldCharType="end"/>
      </w:r>
      <w:r>
        <w:rPr>
          <w:rFonts w:hint="eastAsia" w:ascii="仿宋_GB2312" w:hAnsi="仿宋" w:cs="仿宋_GB2312"/>
          <w:color w:val="000000"/>
          <w:spacing w:val="-8"/>
          <w:kern w:val="0"/>
          <w:szCs w:val="28"/>
          <w:lang w:eastAsia="zh-CN"/>
        </w:rPr>
        <w:t>《贺兰县人民法院司法鉴定委托书》（编号：（2022）宁0122法鉴字</w:t>
      </w:r>
      <w:r>
        <w:rPr>
          <w:rFonts w:hint="eastAsia" w:ascii="仿宋_GB2312" w:hAnsi="仿宋" w:cs="仿宋_GB2312"/>
          <w:color w:val="000000"/>
          <w:spacing w:val="-8"/>
          <w:kern w:val="0"/>
          <w:szCs w:val="28"/>
          <w:lang w:val="en-US" w:eastAsia="zh-CN"/>
        </w:rPr>
        <w:t>165</w:t>
      </w:r>
      <w:r>
        <w:rPr>
          <w:rFonts w:hint="eastAsia" w:ascii="仿宋_GB2312" w:hAnsi="仿宋" w:cs="仿宋_GB2312"/>
          <w:color w:val="000000"/>
          <w:spacing w:val="-8"/>
          <w:kern w:val="0"/>
          <w:szCs w:val="28"/>
          <w:lang w:eastAsia="zh-CN"/>
        </w:rPr>
        <w:t>号）</w:t>
      </w:r>
      <w:r>
        <w:rPr>
          <w:rFonts w:hint="eastAsia" w:ascii="仿宋_GB2312" w:hAnsi="仿宋" w:cs="仿宋_GB2312"/>
          <w:color w:val="000000"/>
          <w:kern w:val="0"/>
          <w:szCs w:val="28"/>
        </w:rPr>
        <w:t>；</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left="0" w:right="278" w:firstLine="567"/>
        <w:jc w:val="left"/>
        <w:textAlignment w:val="auto"/>
        <w:rPr>
          <w:rFonts w:hint="eastAsia" w:ascii="仿宋_GB2312" w:hAnsi="仿宋" w:cs="仿宋_GB2312"/>
          <w:color w:val="000000"/>
          <w:spacing w:val="-8"/>
          <w:kern w:val="0"/>
          <w:szCs w:val="28"/>
          <w:lang w:val="en-US" w:eastAsia="zh-CN"/>
        </w:rPr>
      </w:pPr>
      <w:r>
        <w:rPr>
          <w:rFonts w:hint="eastAsia" w:ascii="仿宋_GB2312" w:hAnsi="仿宋" w:cs="仿宋_GB2312"/>
          <w:color w:val="000000"/>
          <w:spacing w:val="-8"/>
          <w:kern w:val="0"/>
          <w:szCs w:val="28"/>
          <w:lang w:val="en-US" w:eastAsia="zh-CN"/>
        </w:rPr>
        <w:t>《宁夏回族自治区贺兰县人民法院执行裁定书》（编号：（2022）宁0122执1892号之一）；</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eastAsia="仿宋_GB2312" w:cs="仿宋_GB2312"/>
          <w:color w:val="000000"/>
          <w:kern w:val="0"/>
          <w:szCs w:val="28"/>
          <w:lang w:eastAsia="zh-CN"/>
        </w:rPr>
      </w:pPr>
      <w:r>
        <w:rPr>
          <w:rFonts w:hint="eastAsia" w:ascii="仿宋_GB2312" w:hAnsi="仿宋" w:cs="仿宋_GB2312"/>
          <w:color w:val="000000"/>
          <w:kern w:val="0"/>
          <w:szCs w:val="28"/>
        </w:rPr>
        <w:t>评估对象位置示意图；</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pPr>
      <w:r>
        <w:rPr>
          <w:rFonts w:hint="eastAsia" w:ascii="仿宋_GB2312" w:hAnsi="仿宋" w:cs="仿宋_GB2312"/>
          <w:color w:val="000000"/>
          <w:kern w:val="0"/>
          <w:szCs w:val="28"/>
          <w:lang w:eastAsia="zh-CN"/>
        </w:rPr>
        <w:t>《住宅房地产实地查勘记录表》；</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pPr>
      <w:r>
        <w:rPr>
          <w:rFonts w:hint="eastAsia" w:ascii="仿宋_GB2312" w:hAnsi="仿宋" w:cs="仿宋_GB2312"/>
          <w:color w:val="000000"/>
          <w:kern w:val="0"/>
          <w:szCs w:val="28"/>
        </w:rPr>
        <w:t>评估对象内外部状况及环境照片；</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left="0" w:right="278" w:firstLine="567"/>
        <w:textAlignment w:val="auto"/>
        <w:rPr>
          <w:rFonts w:hint="eastAsia"/>
        </w:rPr>
      </w:pPr>
      <w:r>
        <w:rPr>
          <w:rFonts w:hint="eastAsia" w:ascii="仿宋_GB2312" w:hAnsi="仿宋" w:cs="仿宋_GB2312"/>
          <w:color w:val="000000"/>
          <w:kern w:val="0"/>
          <w:szCs w:val="28"/>
          <w:lang w:val="en-US" w:eastAsia="zh-CN"/>
        </w:rPr>
        <w:t>《贺兰县不动产登记信息查询单》</w:t>
      </w:r>
      <w:r>
        <w:rPr>
          <w:rFonts w:hint="eastAsia" w:ascii="仿宋_GB2312" w:hAnsi="Times New Roman" w:cs="Times New Roman"/>
          <w:color w:val="000000"/>
          <w:spacing w:val="0"/>
          <w:kern w:val="0"/>
          <w:sz w:val="28"/>
          <w:szCs w:val="28"/>
          <w:lang w:val="en-US" w:eastAsia="zh-CN" w:bidi="ar-SA"/>
        </w:rPr>
        <w:t>；</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pPr>
      <w:r>
        <w:rPr>
          <w:rFonts w:hint="eastAsia" w:ascii="仿宋_GB2312" w:hAnsi="仿宋" w:cs="仿宋_GB2312"/>
          <w:color w:val="000000"/>
          <w:kern w:val="0"/>
          <w:szCs w:val="28"/>
          <w:lang w:val="en-US" w:eastAsia="zh-CN"/>
        </w:rPr>
        <w:t>可比实例位置示意图及照片</w:t>
      </w:r>
      <w:r>
        <w:rPr>
          <w:rFonts w:hint="eastAsia" w:ascii="仿宋_GB2312" w:hAnsi="仿宋" w:cs="仿宋_GB2312"/>
          <w:color w:val="000000"/>
          <w:kern w:val="0"/>
          <w:szCs w:val="28"/>
        </w:rPr>
        <w:t>；</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pPr>
      <w:r>
        <w:rPr>
          <w:rFonts w:hint="eastAsia" w:ascii="仿宋_GB2312" w:hAnsi="仿宋" w:cs="仿宋_GB2312"/>
          <w:color w:val="000000"/>
          <w:kern w:val="0"/>
          <w:szCs w:val="28"/>
        </w:rPr>
        <w:t>房地产估价机构营业执照；</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pPr>
      <w:r>
        <w:rPr>
          <w:rFonts w:hint="eastAsia" w:ascii="仿宋_GB2312" w:hAnsi="仿宋" w:cs="仿宋_GB2312"/>
          <w:color w:val="000000"/>
          <w:kern w:val="0"/>
          <w:szCs w:val="28"/>
        </w:rPr>
        <w:t>房地产估价机构备案证书；</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60" w:lineRule="exact"/>
        <w:ind w:right="278"/>
        <w:jc w:val="left"/>
        <w:textAlignment w:val="auto"/>
        <w:rPr>
          <w:rFonts w:hint="eastAsia" w:ascii="仿宋_GB2312" w:hAnsi="仿宋" w:cs="仿宋_GB2312"/>
          <w:color w:val="000000"/>
          <w:kern w:val="0"/>
          <w:szCs w:val="28"/>
        </w:rPr>
        <w:sectPr>
          <w:footerReference r:id="rId5" w:type="even"/>
          <w:pgSz w:w="11907" w:h="16840"/>
          <w:pgMar w:top="1440" w:right="1588" w:bottom="1440" w:left="1644" w:header="1077" w:footer="1134" w:gutter="113"/>
          <w:pgBorders w:display="firstPage">
            <w:top w:val="twistedLines1" w:color="auto" w:sz="31" w:space="1"/>
            <w:left w:val="twistedLines1" w:color="auto" w:sz="31" w:space="4"/>
            <w:bottom w:val="twistedLines1" w:color="auto" w:sz="31" w:space="1"/>
            <w:right w:val="twistedLines1" w:color="auto" w:sz="31" w:space="4"/>
          </w:pgBorders>
          <w:pgNumType w:start="1"/>
          <w:cols w:space="720" w:num="1"/>
          <w:docGrid w:type="lines" w:linePitch="435" w:charSpace="0"/>
        </w:sectPr>
      </w:pPr>
      <w:r>
        <w:rPr>
          <w:rFonts w:hint="eastAsia" w:ascii="仿宋_GB2312" w:hAnsi="仿宋" w:cs="仿宋_GB2312"/>
          <w:color w:val="000000"/>
          <w:kern w:val="0"/>
          <w:szCs w:val="28"/>
        </w:rPr>
        <w:t>注册房地产估价师注册证书。</w:t>
      </w:r>
    </w:p>
    <w:p>
      <w:pPr>
        <w:spacing w:line="240" w:lineRule="exact"/>
        <w:rPr>
          <w:rFonts w:hint="eastAsia"/>
          <w:kern w:val="0"/>
        </w:rPr>
      </w:pPr>
      <w:bookmarkStart w:id="1" w:name="_Toc400524093"/>
    </w:p>
    <w:p>
      <w:pPr>
        <w:keepNext/>
        <w:keepLines/>
        <w:spacing w:after="217" w:afterLines="50" w:line="600" w:lineRule="exact"/>
        <w:jc w:val="center"/>
        <w:outlineLvl w:val="0"/>
        <w:rPr>
          <w:rFonts w:hint="eastAsia" w:ascii="宋体" w:hAnsi="宋体" w:eastAsia="宋体"/>
          <w:b/>
          <w:bCs/>
          <w:color w:val="000000"/>
          <w:kern w:val="0"/>
          <w:sz w:val="32"/>
          <w:szCs w:val="28"/>
        </w:rPr>
      </w:pPr>
      <w:bookmarkStart w:id="2" w:name="_Toc92793183"/>
      <w:r>
        <w:rPr>
          <w:rFonts w:hint="eastAsia" w:ascii="宋体" w:hAnsi="宋体" w:eastAsia="宋体"/>
          <w:b/>
          <w:bCs/>
          <w:color w:val="000000"/>
          <w:kern w:val="0"/>
          <w:sz w:val="32"/>
          <w:szCs w:val="44"/>
        </w:rPr>
        <w:t>估价师声明</w:t>
      </w:r>
      <w:bookmarkEnd w:id="1"/>
      <w:bookmarkEnd w:id="2"/>
    </w:p>
    <w:p>
      <w:pPr>
        <w:autoSpaceDE w:val="0"/>
        <w:autoSpaceDN w:val="0"/>
        <w:adjustRightInd w:val="0"/>
        <w:spacing w:line="600" w:lineRule="exact"/>
        <w:jc w:val="left"/>
        <w:rPr>
          <w:rFonts w:hint="eastAsia" w:ascii="仿宋_GB2312" w:hAnsi="仿宋_GB2312" w:eastAsia="仿宋_GB2312" w:cs="仿宋_GB2312"/>
          <w:color w:val="000000"/>
          <w:spacing w:val="0"/>
          <w:kern w:val="0"/>
          <w:sz w:val="28"/>
          <w:szCs w:val="28"/>
        </w:rPr>
      </w:pPr>
      <w:r>
        <w:rPr>
          <w:rFonts w:hint="eastAsia" w:ascii="仿宋_GB2312" w:hAnsi="仿宋_GB2312" w:eastAsia="仿宋_GB2312" w:cs="仿宋_GB2312"/>
          <w:color w:val="000000"/>
          <w:spacing w:val="0"/>
          <w:sz w:val="28"/>
        </w:rPr>
        <w:t>注册房地产估价师根据专业知识和职业道德，在此郑重声明：</w:t>
      </w:r>
    </w:p>
    <w:p>
      <w:pPr>
        <w:autoSpaceDE w:val="0"/>
        <w:autoSpaceDN w:val="0"/>
        <w:adjustRightInd w:val="0"/>
        <w:spacing w:line="600" w:lineRule="exact"/>
        <w:ind w:firstLine="600"/>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sz w:val="28"/>
        </w:rPr>
        <w:t>1.</w:t>
      </w:r>
      <w:r>
        <w:rPr>
          <w:rFonts w:hint="eastAsia" w:ascii="仿宋_GB2312" w:hAnsi="仿宋_GB2312" w:eastAsia="仿宋_GB2312" w:cs="仿宋_GB2312"/>
          <w:spacing w:val="0"/>
          <w:sz w:val="28"/>
          <w:szCs w:val="28"/>
        </w:rPr>
        <w:t>注册房地产估价师</w:t>
      </w:r>
      <w:r>
        <w:rPr>
          <w:rFonts w:hint="eastAsia" w:ascii="仿宋_GB2312" w:hAnsi="仿宋_GB2312" w:eastAsia="仿宋_GB2312" w:cs="仿宋_GB2312"/>
          <w:color w:val="000000"/>
          <w:spacing w:val="0"/>
          <w:kern w:val="0"/>
          <w:sz w:val="28"/>
        </w:rPr>
        <w:t>在本评估报告中陈述的事实是真实和准确的，没有虚假记载、误导性陈述和重大遗漏。</w:t>
      </w:r>
    </w:p>
    <w:p>
      <w:pPr>
        <w:autoSpaceDE w:val="0"/>
        <w:autoSpaceDN w:val="0"/>
        <w:adjustRightInd w:val="0"/>
        <w:spacing w:line="600" w:lineRule="exact"/>
        <w:ind w:firstLine="600"/>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kern w:val="0"/>
          <w:sz w:val="28"/>
        </w:rPr>
        <w:t>2</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color w:val="000000"/>
          <w:spacing w:val="0"/>
          <w:kern w:val="0"/>
          <w:sz w:val="28"/>
        </w:rPr>
        <w:t>本评估报告中的分析、意见和结论是注册房地产估价师独立、客观、公正的专业分析、意见和结论，但受到本评估报告中已说明的估价假设和限制条件的限制。</w:t>
      </w:r>
    </w:p>
    <w:p>
      <w:pPr>
        <w:autoSpaceDE w:val="0"/>
        <w:autoSpaceDN w:val="0"/>
        <w:adjustRightInd w:val="0"/>
        <w:spacing w:line="600" w:lineRule="exact"/>
        <w:ind w:firstLine="600"/>
        <w:rPr>
          <w:rFonts w:hint="eastAsia" w:ascii="仿宋_GB2312" w:hAnsi="仿宋_GB2312" w:eastAsia="仿宋_GB2312" w:cs="仿宋_GB2312"/>
          <w:color w:val="000000"/>
          <w:spacing w:val="0"/>
          <w:sz w:val="28"/>
        </w:rPr>
      </w:pPr>
      <w:r>
        <w:rPr>
          <w:rFonts w:hint="eastAsia" w:ascii="仿宋_GB2312" w:hAnsi="仿宋_GB2312" w:eastAsia="仿宋_GB2312" w:cs="仿宋_GB2312"/>
          <w:color w:val="000000"/>
          <w:spacing w:val="0"/>
          <w:kern w:val="0"/>
          <w:sz w:val="28"/>
        </w:rPr>
        <w:t>3</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color w:val="000000"/>
          <w:spacing w:val="0"/>
          <w:kern w:val="0"/>
          <w:sz w:val="28"/>
        </w:rPr>
        <w:t>注册房地产估价师与评估报告中的评估对象没有现实或潜在的利益，与评估委托人及评估利害关系人没有利害关系，</w:t>
      </w:r>
      <w:r>
        <w:rPr>
          <w:rFonts w:hint="eastAsia" w:ascii="仿宋_GB2312" w:hAnsi="仿宋_GB2312" w:eastAsia="仿宋_GB2312" w:cs="仿宋_GB2312"/>
          <w:color w:val="000000"/>
          <w:spacing w:val="0"/>
          <w:sz w:val="28"/>
        </w:rPr>
        <w:t>也对评估对象、评估委托人及评估利害关系人没有偏见。</w:t>
      </w:r>
    </w:p>
    <w:p>
      <w:pPr>
        <w:autoSpaceDE w:val="0"/>
        <w:autoSpaceDN w:val="0"/>
        <w:adjustRightInd w:val="0"/>
        <w:spacing w:line="600" w:lineRule="exact"/>
        <w:ind w:firstLine="600"/>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kern w:val="0"/>
          <w:sz w:val="28"/>
        </w:rPr>
        <w:t>4</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spacing w:val="0"/>
          <w:sz w:val="28"/>
          <w:szCs w:val="28"/>
        </w:rPr>
        <w:t>注册房地产估价师依照《房地产估价规范》（GB/T 50291-2015）、《涉执房地产处置司法评估指导意见（试行）》（中房学</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spacing w:val="0"/>
          <w:sz w:val="28"/>
          <w:szCs w:val="28"/>
        </w:rPr>
        <w:t>2021</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spacing w:val="0"/>
          <w:sz w:val="28"/>
          <w:szCs w:val="28"/>
        </w:rPr>
        <w:t>37号）进行分析，形成意见和结论，撰写房地产评估报告</w:t>
      </w:r>
      <w:r>
        <w:rPr>
          <w:rFonts w:hint="eastAsia" w:ascii="仿宋_GB2312" w:hAnsi="仿宋_GB2312" w:eastAsia="仿宋_GB2312" w:cs="仿宋_GB2312"/>
          <w:color w:val="000000"/>
          <w:spacing w:val="0"/>
          <w:kern w:val="0"/>
          <w:sz w:val="28"/>
        </w:rPr>
        <w:t>。</w:t>
      </w:r>
    </w:p>
    <w:p>
      <w:pPr>
        <w:autoSpaceDE w:val="0"/>
        <w:autoSpaceDN w:val="0"/>
        <w:adjustRightInd w:val="0"/>
        <w:spacing w:line="600" w:lineRule="exact"/>
        <w:ind w:right="278" w:firstLine="601"/>
        <w:jc w:val="left"/>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kern w:val="0"/>
          <w:sz w:val="28"/>
        </w:rPr>
        <w:t>5</w:t>
      </w:r>
      <w:r>
        <w:rPr>
          <w:rFonts w:hint="eastAsia" w:ascii="仿宋_GB2312" w:hAnsi="仿宋_GB2312" w:eastAsia="仿宋_GB2312" w:cs="仿宋_GB2312"/>
          <w:color w:val="000000"/>
          <w:spacing w:val="0"/>
          <w:sz w:val="28"/>
        </w:rPr>
        <w:t>.</w:t>
      </w:r>
      <w:r>
        <w:rPr>
          <w:rFonts w:hint="eastAsia" w:ascii="仿宋_GB2312" w:hAnsi="仿宋_GB2312" w:eastAsia="仿宋_GB2312" w:cs="仿宋_GB2312"/>
          <w:spacing w:val="0"/>
          <w:sz w:val="28"/>
        </w:rPr>
        <w:t>房地产估价机构和注册房地产估价师根据相关法律、法规和规范的规定，按照评估的科学规律和技术操作规范出具评估意见，不受任何个人或者组织的非法干预</w:t>
      </w:r>
      <w:r>
        <w:rPr>
          <w:rFonts w:hint="eastAsia" w:ascii="仿宋_GB2312" w:hAnsi="仿宋_GB2312" w:eastAsia="仿宋_GB2312" w:cs="仿宋_GB2312"/>
          <w:color w:val="000000"/>
          <w:spacing w:val="0"/>
          <w:kern w:val="0"/>
          <w:sz w:val="28"/>
        </w:rPr>
        <w:t>。</w:t>
      </w:r>
    </w:p>
    <w:p>
      <w:pPr>
        <w:autoSpaceDE w:val="0"/>
        <w:autoSpaceDN w:val="0"/>
        <w:adjustRightInd w:val="0"/>
        <w:spacing w:line="600" w:lineRule="exact"/>
        <w:ind w:firstLine="600"/>
        <w:jc w:val="left"/>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kern w:val="0"/>
          <w:sz w:val="28"/>
        </w:rPr>
        <w:t>6.</w:t>
      </w:r>
      <w:r>
        <w:rPr>
          <w:rFonts w:hint="eastAsia" w:ascii="仿宋_GB2312" w:hAnsi="仿宋_GB2312" w:eastAsia="仿宋_GB2312" w:cs="仿宋_GB2312"/>
          <w:spacing w:val="0"/>
          <w:sz w:val="28"/>
        </w:rPr>
        <w:t>评估意见属于注册房地产估价师的专业意见。房地产处置司法评估报告是否作为定案或者认定事实的根据，取决于办案机关的审查判断，房地产估价机构和注册房地产估价师无权干涉</w:t>
      </w:r>
      <w:r>
        <w:rPr>
          <w:rFonts w:hint="eastAsia" w:ascii="仿宋_GB2312" w:hAnsi="仿宋_GB2312" w:eastAsia="仿宋_GB2312" w:cs="仿宋_GB2312"/>
          <w:color w:val="000000"/>
          <w:spacing w:val="0"/>
          <w:kern w:val="0"/>
          <w:sz w:val="28"/>
        </w:rPr>
        <w:t>。</w:t>
      </w:r>
    </w:p>
    <w:p>
      <w:pPr>
        <w:autoSpaceDE w:val="0"/>
        <w:autoSpaceDN w:val="0"/>
        <w:adjustRightInd w:val="0"/>
        <w:spacing w:line="600" w:lineRule="exact"/>
        <w:ind w:firstLine="560" w:firstLineChars="200"/>
        <w:rPr>
          <w:rFonts w:hint="eastAsia" w:ascii="仿宋_GB2312" w:hAnsi="仿宋_GB2312" w:eastAsia="仿宋_GB2312" w:cs="仿宋_GB2312"/>
          <w:color w:val="000000"/>
          <w:spacing w:val="0"/>
          <w:kern w:val="0"/>
          <w:sz w:val="28"/>
        </w:rPr>
      </w:pPr>
      <w:r>
        <w:rPr>
          <w:rFonts w:hint="eastAsia" w:ascii="仿宋_GB2312" w:hAnsi="仿宋_GB2312" w:eastAsia="仿宋_GB2312" w:cs="仿宋_GB2312"/>
          <w:color w:val="000000"/>
          <w:spacing w:val="0"/>
          <w:kern w:val="0"/>
          <w:sz w:val="28"/>
        </w:rPr>
        <w:t>7.使用房地产处置司法评估报告，应当保持其完整性和严肃性。</w:t>
      </w:r>
    </w:p>
    <w:p>
      <w:pPr>
        <w:autoSpaceDE w:val="0"/>
        <w:autoSpaceDN w:val="0"/>
        <w:adjustRightInd w:val="0"/>
        <w:spacing w:line="580" w:lineRule="exact"/>
        <w:ind w:right="278"/>
        <w:jc w:val="left"/>
        <w:rPr>
          <w:rFonts w:hint="eastAsia"/>
          <w:color w:val="000000"/>
        </w:rPr>
      </w:pPr>
    </w:p>
    <w:p>
      <w:pPr>
        <w:spacing w:line="240" w:lineRule="exact"/>
        <w:rPr>
          <w:rFonts w:hint="eastAsia"/>
          <w:kern w:val="44"/>
        </w:rPr>
      </w:pPr>
      <w:bookmarkStart w:id="3" w:name="_Toc400524094"/>
    </w:p>
    <w:p>
      <w:pPr>
        <w:spacing w:line="240" w:lineRule="exact"/>
        <w:rPr>
          <w:rFonts w:hint="eastAsia"/>
          <w:kern w:val="44"/>
        </w:rPr>
      </w:pPr>
    </w:p>
    <w:p>
      <w:pPr>
        <w:spacing w:line="240" w:lineRule="exact"/>
        <w:rPr>
          <w:rFonts w:hint="eastAsia"/>
          <w:kern w:val="44"/>
        </w:rPr>
      </w:pPr>
    </w:p>
    <w:p>
      <w:pPr>
        <w:keepNext/>
        <w:keepLines/>
        <w:spacing w:after="217" w:afterLines="50" w:line="620" w:lineRule="exact"/>
        <w:jc w:val="center"/>
        <w:outlineLvl w:val="0"/>
        <w:rPr>
          <w:rFonts w:hint="eastAsia" w:ascii="宋体" w:hAnsi="宋体" w:eastAsia="宋体"/>
          <w:b/>
          <w:bCs/>
          <w:color w:val="000000"/>
          <w:kern w:val="44"/>
          <w:sz w:val="32"/>
          <w:szCs w:val="44"/>
        </w:rPr>
      </w:pPr>
      <w:bookmarkStart w:id="4" w:name="_Toc92793184"/>
      <w:r>
        <w:rPr>
          <w:rFonts w:hint="eastAsia" w:ascii="宋体" w:hAnsi="宋体" w:eastAsia="宋体"/>
          <w:b/>
          <w:bCs/>
          <w:color w:val="000000"/>
          <w:kern w:val="44"/>
          <w:sz w:val="32"/>
          <w:szCs w:val="44"/>
        </w:rPr>
        <w:t>估价假设和限制条件</w:t>
      </w:r>
      <w:bookmarkEnd w:id="3"/>
      <w:bookmarkEnd w:id="4"/>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b/>
          <w:kern w:val="44"/>
        </w:rPr>
      </w:pPr>
      <w:r>
        <w:rPr>
          <w:rFonts w:hint="eastAsia"/>
          <w:b/>
          <w:kern w:val="44"/>
        </w:rPr>
        <w:t>一、一般假设</w:t>
      </w:r>
    </w:p>
    <w:p>
      <w:pPr>
        <w:keepNext w:val="0"/>
        <w:keepLines w:val="0"/>
        <w:pageBreakBefore w:val="0"/>
        <w:widowControl w:val="0"/>
        <w:kinsoku/>
        <w:wordWrap/>
        <w:overflowPunct/>
        <w:topLinePunct w:val="0"/>
        <w:bidi w:val="0"/>
        <w:adjustRightInd w:val="0"/>
        <w:snapToGrid/>
        <w:spacing w:line="560" w:lineRule="exact"/>
        <w:ind w:firstLine="580"/>
        <w:textAlignment w:val="auto"/>
        <w:rPr>
          <w:rFonts w:hint="eastAsia" w:ascii="仿宋_GB2312"/>
          <w:color w:val="000000"/>
          <w:kern w:val="0"/>
          <w:szCs w:val="28"/>
        </w:rPr>
      </w:pPr>
      <w:bookmarkStart w:id="5" w:name="_Toc400524097"/>
      <w:r>
        <w:rPr>
          <w:rFonts w:hint="eastAsia" w:ascii="仿宋_GB2312"/>
          <w:color w:val="000000"/>
        </w:rPr>
        <w:t>1</w:t>
      </w:r>
      <w:r>
        <w:rPr>
          <w:rFonts w:hint="eastAsia" w:ascii="仿宋_GB2312" w:hAnsi="仿宋"/>
          <w:color w:val="000000"/>
        </w:rPr>
        <w:t>.</w:t>
      </w:r>
      <w:r>
        <w:rPr>
          <w:rFonts w:hint="eastAsia" w:ascii="仿宋_GB2312"/>
          <w:color w:val="000000"/>
          <w:kern w:val="0"/>
          <w:szCs w:val="28"/>
        </w:rPr>
        <w:t>评估对象产权明晰，手续齐全，在现状条件下，按照目前的用途及现状持续使用并可在公开市场自由交易。</w:t>
      </w:r>
    </w:p>
    <w:p>
      <w:pPr>
        <w:keepNext w:val="0"/>
        <w:keepLines w:val="0"/>
        <w:pageBreakBefore w:val="0"/>
        <w:widowControl w:val="0"/>
        <w:kinsoku/>
        <w:wordWrap/>
        <w:overflowPunct/>
        <w:topLinePunct w:val="0"/>
        <w:bidi w:val="0"/>
        <w:adjustRightInd w:val="0"/>
        <w:snapToGrid/>
        <w:spacing w:line="560" w:lineRule="exact"/>
        <w:ind w:firstLine="578"/>
        <w:textAlignment w:val="auto"/>
        <w:rPr>
          <w:rFonts w:hint="eastAsia" w:ascii="仿宋_GB2312"/>
          <w:color w:val="000000"/>
          <w:kern w:val="0"/>
          <w:szCs w:val="28"/>
        </w:rPr>
      </w:pPr>
      <w:r>
        <w:rPr>
          <w:rFonts w:hint="eastAsia" w:ascii="仿宋_GB2312"/>
          <w:color w:val="000000"/>
          <w:kern w:val="0"/>
          <w:szCs w:val="28"/>
        </w:rPr>
        <w:t>2.评估对象在价值时点的房地产市场为公开、平等、自愿的交易市场，且评估对象的运作方式和程序符合国家与地方的有关法律、法规。交易双方都具有完全市场信息，对交易对象具有必要的专业知识，不考虑特殊买家的附加出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olor w:val="000000"/>
          <w:kern w:val="0"/>
          <w:szCs w:val="28"/>
        </w:rPr>
      </w:pPr>
      <w:r>
        <w:rPr>
          <w:rFonts w:hint="eastAsia" w:ascii="仿宋_GB2312"/>
          <w:color w:val="000000"/>
          <w:kern w:val="0"/>
          <w:szCs w:val="28"/>
        </w:rPr>
        <w:t>3.市场供应关系、市场结构保持稳定、未发生重大变化或实质性改变。当地房地产供求状况在未来一年内不会发生大的变化。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olor w:val="auto"/>
          <w:kern w:val="0"/>
          <w:szCs w:val="28"/>
        </w:rPr>
      </w:pPr>
      <w:r>
        <w:rPr>
          <w:rFonts w:hint="eastAsia" w:ascii="仿宋_GB2312"/>
          <w:color w:val="000000"/>
          <w:kern w:val="0"/>
          <w:szCs w:val="28"/>
        </w:rPr>
        <w:t>4.根据评估委托人提供的相关资料，注册房地产估价师对权属、面积、用途等资料进行了审慎检查，并予以核对，无理由怀疑其合法性、真实性、准确性和完整性，故本报告认为评估委托人提供的所有评估资料是合法、真实、准确、完整的，并以此作为评估的重要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olor w:val="000000"/>
          <w:kern w:val="0"/>
          <w:szCs w:val="28"/>
        </w:rPr>
      </w:pPr>
      <w:bookmarkStart w:id="6" w:name="_Toc411349621"/>
      <w:bookmarkStart w:id="7" w:name="_Toc403487720"/>
      <w:bookmarkStart w:id="8" w:name="_Toc411503043"/>
      <w:r>
        <w:rPr>
          <w:rFonts w:hint="eastAsia" w:ascii="仿宋_GB2312"/>
          <w:color w:val="000000"/>
          <w:kern w:val="0"/>
          <w:szCs w:val="28"/>
        </w:rPr>
        <w:t>5.由于专业知识的局限性，注册房地产估价师仅对建筑物安全、环境污染等影响评估对象价值的重大因素作了一般性的查勘，并未对结构等内在质量进行专业测试，故不能确定其有无内在缺陷，无理由怀疑评估对象存在隐患且无相应的专业机构进行鉴定、检测，本</w:t>
      </w:r>
      <w:r>
        <w:rPr>
          <w:rFonts w:hint="eastAsia" w:ascii="仿宋_GB2312"/>
          <w:color w:val="000000"/>
          <w:kern w:val="0"/>
          <w:szCs w:val="28"/>
          <w:lang w:val="en-US" w:eastAsia="zh-CN"/>
        </w:rPr>
        <w:t>评估</w:t>
      </w:r>
      <w:r>
        <w:rPr>
          <w:rFonts w:hint="eastAsia" w:ascii="仿宋_GB2312"/>
          <w:color w:val="000000"/>
          <w:kern w:val="0"/>
          <w:szCs w:val="28"/>
        </w:rPr>
        <w:t>报告以评估对象工程质量符合国家有关标准为前提进行评估。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olor w:val="000000"/>
          <w:kern w:val="0"/>
          <w:szCs w:val="28"/>
        </w:rPr>
      </w:pPr>
      <w:r>
        <w:rPr>
          <w:rFonts w:hint="eastAsia" w:ascii="仿宋_GB2312"/>
          <w:color w:val="000000"/>
          <w:kern w:val="0"/>
          <w:szCs w:val="28"/>
        </w:rPr>
        <w:t>6.评估结果是为人民法院确定财产处置参考价提供参考依据，评估时没有考虑未来国家宏观经济政策发生变化、市场供应关系变化、市场结构转变、遇有自然力和其他不可抗力等因素对房地产价值的影响，也没有考虑评估对象将来可能承担违约责任的事宜，以及特殊交易方式下的特殊交易价格等对评估结果的影响。当上述条件发生变化时，评估结果一般也会发生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eastAsia="仿宋_GB2312"/>
          <w:color w:val="auto"/>
          <w:kern w:val="0"/>
          <w:szCs w:val="28"/>
          <w:lang w:eastAsia="zh-CN"/>
        </w:rPr>
      </w:pPr>
      <w:r>
        <w:rPr>
          <w:rFonts w:hint="eastAsia" w:ascii="仿宋_GB2312"/>
          <w:color w:val="auto"/>
          <w:kern w:val="0"/>
          <w:szCs w:val="28"/>
        </w:rPr>
        <w:t>7.</w:t>
      </w:r>
      <w:r>
        <w:rPr>
          <w:rFonts w:hint="eastAsia" w:ascii="仿宋_GB2312"/>
          <w:color w:val="auto"/>
          <w:kern w:val="0"/>
        </w:rPr>
        <w:t>在评估测算的过程中，涉及增值税计算时，由于现阶段难以准确计算出增值税进项税额，也就是可抵扣进项税基本无法准确测算或者客观反映，可操作性差。故本次评估中涉及增值税计算时参照小规模纳税人中的简易计税方式测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olor w:val="000000"/>
          <w:kern w:val="0"/>
          <w:szCs w:val="28"/>
        </w:rPr>
      </w:pPr>
      <w:r>
        <w:rPr>
          <w:rFonts w:hint="eastAsia" w:ascii="仿宋_GB2312"/>
          <w:color w:val="000000"/>
          <w:kern w:val="0"/>
          <w:szCs w:val="28"/>
        </w:rPr>
        <w:t>8.经注册房地产估价师</w:t>
      </w:r>
      <w:r>
        <w:rPr>
          <w:rFonts w:hint="eastAsia" w:ascii="仿宋_GB2312"/>
          <w:color w:val="000000"/>
          <w:kern w:val="0"/>
          <w:szCs w:val="28"/>
          <w:lang w:eastAsia="zh-CN"/>
        </w:rPr>
        <w:t>实地查勘</w:t>
      </w:r>
      <w:r>
        <w:rPr>
          <w:rFonts w:hint="eastAsia" w:ascii="仿宋_GB2312"/>
          <w:color w:val="000000"/>
          <w:kern w:val="0"/>
          <w:szCs w:val="28"/>
        </w:rPr>
        <w:t>，评估对象现</w:t>
      </w:r>
      <w:r>
        <w:rPr>
          <w:rFonts w:hint="eastAsia" w:ascii="仿宋_GB2312"/>
          <w:color w:val="000000"/>
          <w:kern w:val="0"/>
          <w:szCs w:val="28"/>
          <w:lang w:eastAsia="zh-CN"/>
        </w:rPr>
        <w:t>自用</w:t>
      </w:r>
      <w:r>
        <w:rPr>
          <w:rFonts w:hint="eastAsia" w:ascii="仿宋_GB2312"/>
          <w:color w:val="000000"/>
          <w:kern w:val="0"/>
          <w:szCs w:val="28"/>
        </w:rPr>
        <w:t>，</w:t>
      </w:r>
      <w:r>
        <w:rPr>
          <w:rFonts w:hint="eastAsia" w:ascii="仿宋_GB2312"/>
          <w:color w:val="000000"/>
          <w:kern w:val="0"/>
          <w:szCs w:val="28"/>
          <w:lang w:eastAsia="zh-CN"/>
        </w:rPr>
        <w:t>未</w:t>
      </w:r>
      <w:r>
        <w:rPr>
          <w:rFonts w:hint="eastAsia" w:ascii="仿宋_GB2312"/>
          <w:color w:val="000000"/>
          <w:kern w:val="0"/>
          <w:szCs w:val="28"/>
        </w:rPr>
        <w:t>发现评估对象存在租赁权、用益物权及占有使用情况。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b/>
          <w:bCs/>
          <w:color w:val="000000"/>
          <w:szCs w:val="28"/>
        </w:rPr>
      </w:pPr>
      <w:r>
        <w:rPr>
          <w:rFonts w:hint="eastAsia" w:ascii="仿宋_GB2312" w:hAnsi="Times New Roman" w:cs="Times New Roman"/>
          <w:color w:val="000000"/>
          <w:spacing w:val="0"/>
          <w:kern w:val="0"/>
          <w:sz w:val="28"/>
          <w:szCs w:val="28"/>
          <w:lang w:val="en-US" w:eastAsia="zh-CN" w:bidi="ar-SA"/>
        </w:rPr>
        <w:t>9</w:t>
      </w:r>
      <w:r>
        <w:rPr>
          <w:rFonts w:hint="eastAsia" w:ascii="仿宋_GB2312" w:hAnsi="Times New Roman" w:eastAsia="仿宋_GB2312" w:cs="Times New Roman"/>
          <w:color w:val="000000"/>
          <w:spacing w:val="0"/>
          <w:kern w:val="0"/>
          <w:sz w:val="28"/>
          <w:szCs w:val="28"/>
          <w:lang w:val="en-US" w:eastAsia="zh-CN" w:bidi="ar-SA"/>
        </w:rPr>
        <w:t>.</w:t>
      </w:r>
      <w:r>
        <w:rPr>
          <w:rFonts w:hint="eastAsia" w:ascii="仿宋_GB2312" w:hAnsi="Times New Roman" w:cs="Times New Roman"/>
          <w:color w:val="auto"/>
          <w:kern w:val="0"/>
          <w:szCs w:val="28"/>
        </w:rPr>
        <w:t>经注册房地产估价师</w:t>
      </w:r>
      <w:r>
        <w:rPr>
          <w:rFonts w:hint="eastAsia" w:ascii="仿宋_GB2312" w:hAnsi="Times New Roman" w:cs="Times New Roman"/>
          <w:color w:val="auto"/>
          <w:kern w:val="0"/>
          <w:szCs w:val="28"/>
          <w:lang w:eastAsia="zh-CN"/>
        </w:rPr>
        <w:t>实地查勘</w:t>
      </w:r>
      <w:r>
        <w:rPr>
          <w:rFonts w:hint="eastAsia" w:ascii="仿宋_GB2312" w:hAnsi="Times New Roman" w:cs="Times New Roman"/>
          <w:color w:val="auto"/>
          <w:kern w:val="0"/>
          <w:szCs w:val="28"/>
        </w:rPr>
        <w:t>，评估对象</w:t>
      </w:r>
      <w:r>
        <w:rPr>
          <w:rFonts w:hint="eastAsia" w:ascii="仿宋_GB2312" w:cs="Times New Roman"/>
          <w:color w:val="auto"/>
          <w:kern w:val="0"/>
          <w:szCs w:val="28"/>
          <w:lang w:eastAsia="zh-CN"/>
        </w:rPr>
        <w:t>不</w:t>
      </w:r>
      <w:r>
        <w:rPr>
          <w:rFonts w:hint="eastAsia" w:ascii="仿宋_GB2312" w:hAnsi="Times New Roman" w:cs="Times New Roman"/>
          <w:color w:val="auto"/>
          <w:kern w:val="0"/>
          <w:szCs w:val="28"/>
        </w:rPr>
        <w:t>存在欠缴</w:t>
      </w:r>
      <w:r>
        <w:rPr>
          <w:rFonts w:hint="eastAsia" w:ascii="仿宋_GB2312" w:cs="Times New Roman"/>
          <w:color w:val="auto"/>
          <w:kern w:val="0"/>
          <w:szCs w:val="28"/>
          <w:lang w:eastAsia="zh-CN"/>
        </w:rPr>
        <w:t>税金及相关费用</w:t>
      </w:r>
      <w:r>
        <w:rPr>
          <w:rFonts w:hint="eastAsia" w:ascii="仿宋_GB2312" w:hAnsi="Times New Roman" w:cs="Times New Roman"/>
          <w:color w:val="auto"/>
          <w:kern w:val="0"/>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b/>
          <w:color w:val="000000"/>
          <w:kern w:val="0"/>
          <w:szCs w:val="28"/>
        </w:rPr>
      </w:pPr>
      <w:r>
        <w:rPr>
          <w:rFonts w:hint="eastAsia" w:ascii="仿宋_GB2312"/>
          <w:b/>
          <w:bCs/>
          <w:color w:val="000000"/>
          <w:szCs w:val="28"/>
        </w:rPr>
        <w:t>二、</w:t>
      </w:r>
      <w:r>
        <w:rPr>
          <w:rFonts w:hint="eastAsia" w:ascii="仿宋_GB2312"/>
          <w:b/>
          <w:color w:val="000000"/>
          <w:kern w:val="0"/>
          <w:szCs w:val="28"/>
        </w:rPr>
        <w:t>未定事项假设</w:t>
      </w:r>
    </w:p>
    <w:p>
      <w:pPr>
        <w:keepNext w:val="0"/>
        <w:keepLines w:val="0"/>
        <w:pageBreakBefore w:val="0"/>
        <w:widowControl w:val="0"/>
        <w:kinsoku/>
        <w:wordWrap/>
        <w:overflowPunct/>
        <w:topLinePunct w:val="0"/>
        <w:bidi w:val="0"/>
        <w:adjustRightInd w:val="0"/>
        <w:snapToGrid/>
        <w:spacing w:line="560" w:lineRule="exact"/>
        <w:ind w:firstLine="560" w:firstLineChars="200"/>
        <w:textAlignment w:val="auto"/>
        <w:rPr>
          <w:rFonts w:hint="eastAsia" w:ascii="仿宋_GB2312" w:hAnsi="Times New Roman" w:eastAsia="仿宋_GB2312" w:cs="Times New Roman"/>
          <w:color w:val="000000"/>
          <w:spacing w:val="0"/>
          <w:kern w:val="0"/>
          <w:sz w:val="28"/>
          <w:szCs w:val="28"/>
          <w:lang w:val="en-US" w:eastAsia="zh-CN" w:bidi="ar-SA"/>
        </w:rPr>
      </w:pPr>
      <w:r>
        <w:rPr>
          <w:rFonts w:hint="eastAsia" w:ascii="仿宋_GB2312" w:hAnsi="Times New Roman" w:eastAsia="仿宋_GB2312" w:cs="Times New Roman"/>
          <w:color w:val="000000"/>
          <w:spacing w:val="0"/>
          <w:kern w:val="0"/>
          <w:sz w:val="28"/>
          <w:szCs w:val="28"/>
          <w:lang w:val="en-US" w:eastAsia="zh-CN" w:bidi="ar-SA"/>
        </w:rPr>
        <w:t>本次评估的评估对象状况之间不存在未定事项，故本次评估报告无未定事项假设。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b/>
          <w:color w:val="000000"/>
          <w:kern w:val="0"/>
          <w:szCs w:val="28"/>
        </w:rPr>
      </w:pPr>
      <w:r>
        <w:rPr>
          <w:rFonts w:hint="eastAsia" w:ascii="仿宋_GB2312"/>
          <w:b/>
          <w:color w:val="000000"/>
          <w:kern w:val="0"/>
          <w:szCs w:val="28"/>
          <w:lang w:val="en-US" w:eastAsia="zh-CN"/>
        </w:rPr>
        <w:t>三、</w:t>
      </w:r>
      <w:r>
        <w:rPr>
          <w:rFonts w:hint="eastAsia" w:ascii="仿宋_GB2312"/>
          <w:b/>
          <w:color w:val="000000"/>
          <w:kern w:val="0"/>
          <w:szCs w:val="28"/>
        </w:rPr>
        <w:t>背离事实假设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cs="Times New Roman"/>
          <w:color w:val="000000"/>
          <w:spacing w:val="0"/>
          <w:kern w:val="0"/>
          <w:sz w:val="28"/>
          <w:szCs w:val="28"/>
          <w:lang w:val="en-US" w:eastAsia="zh-CN" w:bidi="ar-SA"/>
        </w:rPr>
      </w:pPr>
      <w:r>
        <w:rPr>
          <w:rFonts w:hint="eastAsia" w:ascii="仿宋_GB2312"/>
          <w:color w:val="000000" w:themeColor="text1"/>
          <w14:textFill>
            <w14:solidFill>
              <w14:schemeClr w14:val="tx1"/>
            </w14:solidFill>
          </w14:textFill>
        </w:rPr>
        <w:t>根据评估委托人提供的《</w:t>
      </w:r>
      <w:r>
        <w:rPr>
          <w:rFonts w:hint="eastAsia" w:ascii="仿宋_GB2312" w:hAnsi="仿宋" w:cs="仿宋_GB2312"/>
          <w:color w:val="000000" w:themeColor="text1"/>
          <w:kern w:val="0"/>
          <w:szCs w:val="28"/>
          <w:lang w:eastAsia="zh-CN"/>
          <w14:textFill>
            <w14:solidFill>
              <w14:schemeClr w14:val="tx1"/>
            </w14:solidFill>
          </w14:textFill>
        </w:rPr>
        <w:t>贺兰县不动产登记信息查询单</w:t>
      </w:r>
      <w:r>
        <w:rPr>
          <w:rFonts w:hint="eastAsia" w:ascii="仿宋_GB2312"/>
          <w:color w:val="000000" w:themeColor="text1"/>
          <w14:textFill>
            <w14:solidFill>
              <w14:schemeClr w14:val="tx1"/>
            </w14:solidFill>
          </w14:textFill>
        </w:rPr>
        <w:t>》，至价值时点，评估对象已抵押，并已被查封。结合评估目的，</w:t>
      </w:r>
      <w:r>
        <w:rPr>
          <w:rFonts w:hint="eastAsia" w:ascii="仿宋_GB2312"/>
          <w:color w:val="000000" w:themeColor="text1"/>
          <w:kern w:val="0"/>
          <w14:textFill>
            <w14:solidFill>
              <w14:schemeClr w14:val="tx1"/>
            </w14:solidFill>
          </w14:textFill>
        </w:rPr>
        <w:t>本次评估不考虑抵押、查封等他项权利存在和法律纠纷对评估对象价格的影响</w:t>
      </w:r>
      <w:r>
        <w:rPr>
          <w:rFonts w:hint="eastAsia" w:ascii="仿宋_GB231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b/>
          <w:color w:val="000000"/>
          <w:kern w:val="0"/>
          <w:szCs w:val="28"/>
        </w:rPr>
      </w:pPr>
      <w:r>
        <w:rPr>
          <w:rFonts w:hint="eastAsia" w:ascii="仿宋_GB2312"/>
          <w:b/>
          <w:color w:val="000000"/>
          <w:kern w:val="0"/>
          <w:szCs w:val="28"/>
        </w:rPr>
        <w:t>四、不相一致假设</w:t>
      </w:r>
    </w:p>
    <w:p>
      <w:pPr>
        <w:keepNext w:val="0"/>
        <w:keepLines w:val="0"/>
        <w:pageBreakBefore w:val="0"/>
        <w:widowControl w:val="0"/>
        <w:kinsoku/>
        <w:wordWrap/>
        <w:overflowPunct/>
        <w:topLinePunct w:val="0"/>
        <w:bidi w:val="0"/>
        <w:adjustRightInd w:val="0"/>
        <w:snapToGrid/>
        <w:spacing w:line="560" w:lineRule="exact"/>
        <w:ind w:firstLine="555"/>
        <w:textAlignment w:val="auto"/>
        <w:rPr>
          <w:rFonts w:hint="default" w:ascii="Times New Roman" w:hAnsi="Times New Roman" w:eastAsia="仿宋_GB2312" w:cs="Times New Roman"/>
          <w:color w:val="000000"/>
          <w:kern w:val="0"/>
          <w:szCs w:val="28"/>
          <w:lang w:val="en-US" w:eastAsia="zh-CN"/>
        </w:rPr>
      </w:pPr>
      <w:r>
        <w:rPr>
          <w:rFonts w:hint="eastAsia" w:cs="Times New Roman"/>
          <w:color w:val="000000"/>
          <w:kern w:val="0"/>
          <w:szCs w:val="28"/>
          <w:lang w:val="en-US" w:eastAsia="zh-CN"/>
        </w:rPr>
        <w:t>本次评估的评估对象状况之间不存在不相一致事项，故本次评估报告无不相一致假设。</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b/>
          <w:bCs/>
          <w:color w:val="000000"/>
          <w:szCs w:val="28"/>
        </w:rPr>
      </w:pPr>
      <w:r>
        <w:rPr>
          <w:rFonts w:hint="eastAsia" w:ascii="仿宋_GB2312"/>
          <w:b/>
          <w:color w:val="000000"/>
          <w:kern w:val="0"/>
          <w:szCs w:val="28"/>
        </w:rPr>
        <w:t>依据不</w:t>
      </w:r>
      <w:r>
        <w:rPr>
          <w:rFonts w:hint="eastAsia" w:ascii="仿宋_GB2312"/>
          <w:b/>
          <w:bCs/>
          <w:color w:val="000000"/>
          <w:szCs w:val="28"/>
        </w:rPr>
        <w:t>足假设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default" w:ascii="仿宋_GB2312" w:hAnsi="Times New Roman" w:cs="Times New Roman"/>
          <w:color w:val="auto"/>
          <w:kern w:val="0"/>
          <w:szCs w:val="28"/>
          <w:lang w:val="en-US" w:eastAsia="zh-CN"/>
        </w:rPr>
      </w:pPr>
      <w:r>
        <w:rPr>
          <w:rFonts w:hint="eastAsia" w:ascii="仿宋_GB2312" w:cs="Times New Roman"/>
          <w:color w:val="auto"/>
          <w:kern w:val="0"/>
          <w:szCs w:val="28"/>
          <w:lang w:val="en-US" w:eastAsia="zh-CN"/>
        </w:rPr>
        <w:t>本次评估的评估对象状况之间不存在依据不足事项，故本次评估报告无依据不足假设。</w:t>
      </w:r>
    </w:p>
    <w:p>
      <w:pPr>
        <w:keepNext w:val="0"/>
        <w:keepLines w:val="0"/>
        <w:pageBreakBefore w:val="0"/>
        <w:widowControl w:val="0"/>
        <w:kinsoku/>
        <w:wordWrap/>
        <w:overflowPunct/>
        <w:topLinePunct w:val="0"/>
        <w:autoSpaceDE w:val="0"/>
        <w:autoSpaceDN w:val="0"/>
        <w:bidi w:val="0"/>
        <w:adjustRightInd w:val="0"/>
        <w:snapToGrid/>
        <w:spacing w:line="620" w:lineRule="exact"/>
        <w:ind w:firstLine="560" w:firstLineChars="200"/>
        <w:textAlignment w:val="auto"/>
        <w:rPr>
          <w:rFonts w:hint="eastAsia" w:ascii="仿宋_GB2312" w:hAnsi="楷体_GB2312"/>
          <w:b/>
          <w:bCs/>
          <w:color w:val="000000"/>
        </w:rPr>
      </w:pPr>
      <w:r>
        <w:rPr>
          <w:rFonts w:hint="eastAsia" w:ascii="仿宋_GB2312" w:hAnsi="楷体_GB2312"/>
          <w:b/>
          <w:bCs/>
          <w:color w:val="000000"/>
        </w:rPr>
        <w:t>六、评估报告使用的特别提示及使用限制</w:t>
      </w:r>
    </w:p>
    <w:p>
      <w:pPr>
        <w:keepNext w:val="0"/>
        <w:keepLines w:val="0"/>
        <w:pageBreakBefore w:val="0"/>
        <w:widowControl w:val="0"/>
        <w:kinsoku/>
        <w:wordWrap/>
        <w:overflowPunct/>
        <w:topLinePunct w:val="0"/>
        <w:bidi w:val="0"/>
        <w:adjustRightInd w:val="0"/>
        <w:snapToGrid/>
        <w:spacing w:line="620" w:lineRule="exact"/>
        <w:ind w:firstLine="560" w:firstLineChars="200"/>
        <w:textAlignment w:val="auto"/>
        <w:rPr>
          <w:rFonts w:hint="eastAsia" w:ascii="仿宋_GB2312"/>
          <w:color w:val="000000"/>
        </w:rPr>
      </w:pPr>
      <w:r>
        <w:rPr>
          <w:rFonts w:hint="eastAsia" w:ascii="仿宋_GB2312" w:hAnsi="楷体_GB2312"/>
          <w:b/>
          <w:bCs/>
          <w:color w:val="000000"/>
        </w:rPr>
        <w:t>(一)评估报告使用的特别提示</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hAnsi="Times New Roman" w:cs="Times New Roman"/>
          <w:color w:val="000000"/>
        </w:rPr>
      </w:pPr>
      <w:r>
        <w:rPr>
          <w:rFonts w:hint="eastAsia" w:ascii="仿宋_GB2312" w:hAnsi="Times New Roman" w:cs="Times New Roman"/>
          <w:color w:val="000000"/>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hAnsi="Times New Roman" w:cs="Times New Roman"/>
          <w:color w:val="000000"/>
          <w:spacing w:val="0"/>
          <w:sz w:val="28"/>
        </w:rPr>
      </w:pPr>
      <w:r>
        <w:rPr>
          <w:rFonts w:hint="eastAsia" w:ascii="仿宋_GB2312" w:hAnsi="Times New Roman" w:cs="Times New Roman"/>
          <w:color w:val="000000"/>
        </w:rPr>
        <w:t>2.评估结果仅为人民法院确定财产处置参考价服务，不是评估对象处置可</w:t>
      </w:r>
      <w:r>
        <w:rPr>
          <w:rFonts w:hint="eastAsia" w:ascii="仿宋_GB2312" w:hAnsi="Times New Roman" w:cs="Times New Roman"/>
          <w:color w:val="000000"/>
          <w:spacing w:val="0"/>
          <w:sz w:val="28"/>
        </w:rPr>
        <w:t>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color w:val="000000"/>
          <w:spacing w:val="0"/>
          <w:sz w:val="28"/>
        </w:rPr>
      </w:pPr>
      <w:r>
        <w:rPr>
          <w:rFonts w:hint="eastAsia" w:ascii="仿宋_GB2312" w:hAnsi="Times New Roman" w:cs="Times New Roman"/>
          <w:color w:val="000000"/>
          <w:spacing w:val="0"/>
          <w:sz w:val="28"/>
        </w:rPr>
        <w:t>3.财产拍卖或者变卖之日与价值时点不一致，可能导致评估结果对应的评估对象状况、房地产市场状况、欠缴税费状况等与财</w:t>
      </w:r>
      <w:r>
        <w:rPr>
          <w:rFonts w:hint="eastAsia" w:ascii="仿宋_GB2312"/>
          <w:color w:val="000000"/>
          <w:spacing w:val="0"/>
          <w:sz w:val="28"/>
        </w:rPr>
        <w:t>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color w:val="000000"/>
          <w:spacing w:val="0"/>
          <w:sz w:val="28"/>
        </w:rPr>
      </w:pPr>
      <w:r>
        <w:rPr>
          <w:rFonts w:hint="eastAsia" w:ascii="仿宋_GB2312"/>
          <w:color w:val="000000"/>
          <w:spacing w:val="0"/>
          <w:sz w:val="28"/>
        </w:rPr>
        <w:t>4.在评估报告使用期限或者评估结果有效期内，评估报告或者评估结果未使用之前，如果评估对象状况或者房地产市场状况发生明显变化的，评估结果应当进行相应调整后才可使用。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color w:val="000000"/>
          <w:spacing w:val="0"/>
          <w:sz w:val="28"/>
        </w:rPr>
      </w:pPr>
      <w:r>
        <w:rPr>
          <w:rFonts w:hint="eastAsia" w:ascii="仿宋_GB2312"/>
          <w:color w:val="000000"/>
          <w:spacing w:val="0"/>
          <w:sz w:val="28"/>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jc w:val="left"/>
        <w:textAlignment w:val="auto"/>
        <w:rPr>
          <w:rFonts w:hint="eastAsia" w:ascii="仿宋_GB2312"/>
          <w:color w:val="000000"/>
          <w:spacing w:val="0"/>
          <w:sz w:val="28"/>
        </w:rPr>
      </w:pPr>
      <w:r>
        <w:rPr>
          <w:rFonts w:hint="eastAsia" w:ascii="仿宋_GB2312"/>
          <w:color w:val="000000"/>
          <w:spacing w:val="0"/>
          <w:sz w:val="28"/>
        </w:rPr>
        <w:t>6.本次评估结果不考虑评估费、拍卖费、诉讼费、律师费等财产处置费用。</w:t>
      </w:r>
    </w:p>
    <w:p>
      <w:pPr>
        <w:keepNext w:val="0"/>
        <w:keepLines w:val="0"/>
        <w:pageBreakBefore w:val="0"/>
        <w:widowControl w:val="0"/>
        <w:kinsoku/>
        <w:wordWrap/>
        <w:overflowPunct/>
        <w:topLinePunct w:val="0"/>
        <w:autoSpaceDE w:val="0"/>
        <w:autoSpaceDN w:val="0"/>
        <w:bidi w:val="0"/>
        <w:adjustRightInd w:val="0"/>
        <w:snapToGrid/>
        <w:spacing w:line="620" w:lineRule="exact"/>
        <w:ind w:firstLine="560" w:firstLineChars="200"/>
        <w:textAlignment w:val="auto"/>
        <w:rPr>
          <w:rFonts w:hint="eastAsia" w:ascii="仿宋_GB2312" w:hAnsi="楷体_GB2312"/>
          <w:b/>
          <w:bCs/>
          <w:color w:val="000000"/>
        </w:rPr>
      </w:pPr>
      <w:r>
        <w:rPr>
          <w:rFonts w:hint="eastAsia" w:ascii="仿宋_GB2312" w:hAnsi="楷体_GB2312"/>
          <w:b/>
          <w:bCs/>
          <w:color w:val="000000"/>
        </w:rPr>
        <w:t>(二)评估报告使用限制</w:t>
      </w:r>
    </w:p>
    <w:bookmarkEnd w:id="6"/>
    <w:bookmarkEnd w:id="7"/>
    <w:bookmarkEnd w:id="8"/>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color w:val="000000"/>
          <w:kern w:val="0"/>
        </w:rPr>
      </w:pPr>
      <w:r>
        <w:rPr>
          <w:rFonts w:hint="eastAsia" w:ascii="仿宋_GB2312"/>
          <w:color w:val="000000"/>
          <w:kern w:val="0"/>
        </w:rPr>
        <w:t>1.本评估报告仅为实现本次评估目的服务，不作它用。若由</w:t>
      </w:r>
      <w:r>
        <w:rPr>
          <w:rFonts w:hint="eastAsia" w:ascii="仿宋_GB2312"/>
          <w:color w:val="000000"/>
          <w:kern w:val="0"/>
          <w:lang w:val="en-US" w:eastAsia="zh-CN"/>
        </w:rPr>
        <w:t>不当使用</w:t>
      </w:r>
      <w:r>
        <w:rPr>
          <w:rFonts w:hint="eastAsia" w:ascii="仿宋_GB2312"/>
          <w:color w:val="000000"/>
          <w:kern w:val="0"/>
        </w:rPr>
        <w:t>产生的不良结果，本房地产估价机构及注册房地产估价师不承担任何责任。</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color w:val="000000"/>
          <w:kern w:val="0"/>
        </w:rPr>
      </w:pPr>
      <w:r>
        <w:rPr>
          <w:rFonts w:hint="eastAsia" w:ascii="仿宋_GB2312"/>
          <w:color w:val="000000"/>
          <w:kern w:val="0"/>
        </w:rPr>
        <w:t>2.本报告有效期自评估报告出具之日起一年内有效。报告在有效期内使用时，评估结论应与报告一起完整使用；在价值时点后，在报告应用有效期内，若由于国家政策、经济环境及评估对象本身的物理状况等因素发生重大变化，对评估结论发生严重影响时，应及时申请房地产估价机构重新评估而不可直接使用。</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color w:val="000000"/>
          <w:kern w:val="0"/>
        </w:rPr>
      </w:pPr>
      <w:r>
        <w:rPr>
          <w:rFonts w:hint="eastAsia" w:ascii="仿宋_GB2312"/>
          <w:color w:val="000000"/>
          <w:kern w:val="0"/>
        </w:rPr>
        <w:t>3.本评估报告若出现文字或数字因打印、校对及其他原因发生误差时，请评估委托人及时通知本房地产估价机构更正，否则，误差部分无效。</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hAnsi="Times New Roman" w:eastAsia="仿宋_GB2312" w:cs="Times New Roman"/>
          <w:color w:val="000000"/>
          <w:spacing w:val="0"/>
          <w:kern w:val="0"/>
          <w:sz w:val="28"/>
          <w:lang w:val="en-US" w:eastAsia="zh-CN" w:bidi="ar-SA"/>
        </w:rPr>
      </w:pPr>
      <w:r>
        <w:rPr>
          <w:rFonts w:hint="eastAsia" w:ascii="仿宋_GB2312"/>
          <w:color w:val="000000"/>
          <w:kern w:val="0"/>
        </w:rPr>
        <w:t>4.本报告必须完整使用方为有效，对仅适用本报告中部分内容所导致的可能损失，本房地产估价机构及注册房地产估价师不承担任何责任。</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hAnsi="Times New Roman" w:eastAsia="仿宋_GB2312" w:cs="Times New Roman"/>
          <w:color w:val="000000"/>
          <w:spacing w:val="0"/>
          <w:kern w:val="0"/>
          <w:sz w:val="28"/>
          <w:lang w:val="en-US" w:eastAsia="zh-CN" w:bidi="ar-SA"/>
        </w:rPr>
      </w:pPr>
      <w:r>
        <w:rPr>
          <w:rFonts w:hint="eastAsia" w:ascii="仿宋_GB2312" w:hAnsi="Times New Roman" w:cs="Times New Roman"/>
          <w:color w:val="000000"/>
          <w:spacing w:val="0"/>
          <w:kern w:val="0"/>
          <w:sz w:val="28"/>
          <w:lang w:val="en-US" w:eastAsia="zh-CN" w:bidi="ar-SA"/>
        </w:rPr>
        <w:t>5</w:t>
      </w:r>
      <w:r>
        <w:rPr>
          <w:rFonts w:hint="eastAsia" w:ascii="仿宋_GB2312" w:hAnsi="Times New Roman" w:eastAsia="仿宋_GB2312" w:cs="Times New Roman"/>
          <w:color w:val="000000"/>
          <w:spacing w:val="0"/>
          <w:kern w:val="0"/>
          <w:sz w:val="28"/>
          <w:lang w:val="en-US" w:eastAsia="zh-CN" w:bidi="ar-SA"/>
        </w:rPr>
        <w:t>.本报告的评估结果，需经宁夏博源卓越土地房地产资产评估规划测绘有限公司盖章及注册房地产估价师签字、签章，房地产估价机构仅对本报告的原件承担责任，对任何形式的复制件概不认可且不承担责任。</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hAnsi="Times New Roman" w:eastAsia="仿宋_GB2312" w:cs="Times New Roman"/>
          <w:color w:val="000000"/>
          <w:spacing w:val="0"/>
          <w:kern w:val="0"/>
          <w:sz w:val="28"/>
          <w:lang w:val="en-US" w:eastAsia="zh-CN" w:bidi="ar-SA"/>
        </w:rPr>
      </w:pPr>
      <w:r>
        <w:rPr>
          <w:rFonts w:hint="eastAsia" w:ascii="仿宋_GB2312" w:hAnsi="Times New Roman" w:cs="Times New Roman"/>
          <w:color w:val="000000"/>
          <w:spacing w:val="0"/>
          <w:kern w:val="0"/>
          <w:sz w:val="28"/>
          <w:lang w:val="en-US" w:eastAsia="zh-CN" w:bidi="ar-SA"/>
        </w:rPr>
        <w:t>6</w:t>
      </w:r>
      <w:r>
        <w:rPr>
          <w:rFonts w:hint="eastAsia" w:ascii="仿宋_GB2312" w:hAnsi="Times New Roman" w:eastAsia="仿宋_GB2312" w:cs="Times New Roman"/>
          <w:color w:val="000000"/>
          <w:spacing w:val="0"/>
          <w:kern w:val="0"/>
          <w:sz w:val="28"/>
          <w:lang w:val="en-US" w:eastAsia="zh-CN" w:bidi="ar-SA"/>
        </w:rPr>
        <w:t>.本次提交给评估委托人房地产评估结果报告一式伍份，房地产评估技术报告留存房地产估价机构存档备案。</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仿宋_GB2312" w:hAnsi="Times New Roman" w:eastAsia="仿宋_GB2312" w:cs="Times New Roman"/>
          <w:color w:val="000000"/>
          <w:spacing w:val="0"/>
          <w:kern w:val="0"/>
          <w:sz w:val="28"/>
          <w:lang w:val="en-US" w:eastAsia="zh-CN" w:bidi="ar-SA"/>
        </w:rPr>
      </w:pPr>
      <w:r>
        <w:rPr>
          <w:rFonts w:hint="eastAsia" w:ascii="仿宋_GB2312" w:hAnsi="Times New Roman" w:cs="Times New Roman"/>
          <w:color w:val="000000"/>
          <w:spacing w:val="0"/>
          <w:kern w:val="0"/>
          <w:sz w:val="28"/>
          <w:lang w:val="en-US" w:eastAsia="zh-CN" w:bidi="ar-SA"/>
        </w:rPr>
        <w:t>7</w:t>
      </w:r>
      <w:r>
        <w:rPr>
          <w:rFonts w:hint="eastAsia" w:ascii="仿宋_GB2312" w:hAnsi="Times New Roman" w:eastAsia="仿宋_GB2312" w:cs="Times New Roman"/>
          <w:color w:val="000000"/>
          <w:spacing w:val="0"/>
          <w:kern w:val="0"/>
          <w:sz w:val="28"/>
          <w:lang w:val="en-US" w:eastAsia="zh-CN" w:bidi="ar-SA"/>
        </w:rPr>
        <w:t>.本报告由宁夏博源卓越土地房地产资产评估规划测绘有限公司拥有最终解释权。</w:t>
      </w: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pStyle w:val="2"/>
        <w:rPr>
          <w:rFonts w:hint="eastAsia" w:ascii="仿宋_GB2312" w:hAnsi="Times New Roman" w:eastAsia="仿宋_GB2312" w:cs="Times New Roman"/>
          <w:color w:val="000000"/>
          <w:spacing w:val="0"/>
          <w:kern w:val="0"/>
          <w:sz w:val="28"/>
          <w:lang w:val="en-US" w:eastAsia="zh-CN" w:bidi="ar-SA"/>
        </w:rPr>
      </w:pPr>
    </w:p>
    <w:p>
      <w:pPr>
        <w:keepNext/>
        <w:keepLines/>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宋体" w:hAnsi="宋体" w:eastAsia="宋体"/>
          <w:b/>
          <w:bCs/>
          <w:color w:val="000000"/>
          <w:kern w:val="0"/>
          <w:sz w:val="32"/>
          <w:szCs w:val="44"/>
        </w:rPr>
      </w:pPr>
      <w:bookmarkStart w:id="9" w:name="_Toc92793185"/>
    </w:p>
    <w:p>
      <w:pPr>
        <w:keepNext/>
        <w:keepLines/>
        <w:pageBreakBefore w:val="0"/>
        <w:widowControl w:val="0"/>
        <w:kinsoku/>
        <w:wordWrap/>
        <w:overflowPunct/>
        <w:topLinePunct w:val="0"/>
        <w:autoSpaceDE/>
        <w:autoSpaceDN/>
        <w:bidi w:val="0"/>
        <w:adjustRightInd/>
        <w:snapToGrid/>
        <w:spacing w:line="460" w:lineRule="exact"/>
        <w:jc w:val="center"/>
        <w:textAlignment w:val="auto"/>
        <w:outlineLvl w:val="0"/>
        <w:rPr>
          <w:rFonts w:hint="eastAsia" w:ascii="宋体" w:hAnsi="宋体" w:eastAsia="宋体" w:cs="仿宋_GB2312"/>
          <w:b/>
          <w:bCs/>
          <w:color w:val="000000"/>
          <w:kern w:val="0"/>
          <w:sz w:val="32"/>
          <w:szCs w:val="28"/>
        </w:rPr>
      </w:pPr>
      <w:r>
        <w:rPr>
          <w:rFonts w:hint="eastAsia" w:ascii="宋体" w:hAnsi="宋体" w:eastAsia="宋体"/>
          <w:b/>
          <w:bCs/>
          <w:color w:val="000000"/>
          <w:kern w:val="0"/>
          <w:sz w:val="32"/>
          <w:szCs w:val="44"/>
        </w:rPr>
        <w:t>评估结果报告</w:t>
      </w:r>
      <w:bookmarkEnd w:id="5"/>
      <w:bookmarkEnd w:id="9"/>
    </w:p>
    <w:p>
      <w:pPr>
        <w:pStyle w:val="4"/>
        <w:keepNext w:val="0"/>
        <w:keepLines w:val="0"/>
        <w:pageBreakBefore w:val="0"/>
        <w:widowControl w:val="0"/>
        <w:kinsoku/>
        <w:wordWrap/>
        <w:overflowPunct/>
        <w:topLinePunct w:val="0"/>
        <w:bidi w:val="0"/>
        <w:snapToGrid/>
        <w:spacing w:before="0" w:after="0" w:line="460" w:lineRule="exact"/>
        <w:ind w:left="0" w:right="278" w:firstLine="560" w:firstLineChars="200"/>
        <w:rPr>
          <w:rFonts w:hint="eastAsia" w:ascii="仿宋_GB2312"/>
          <w:color w:val="000000"/>
        </w:rPr>
      </w:pPr>
      <w:bookmarkStart w:id="10" w:name="_Toc400524098"/>
      <w:bookmarkStart w:id="11" w:name="_Toc92793186"/>
      <w:r>
        <w:rPr>
          <w:rFonts w:hint="eastAsia" w:ascii="仿宋_GB2312"/>
          <w:color w:val="000000"/>
        </w:rPr>
        <w:t>一、评估委托人</w:t>
      </w:r>
      <w:bookmarkEnd w:id="10"/>
      <w:bookmarkEnd w:id="11"/>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bCs/>
          <w:color w:val="000000"/>
          <w:szCs w:val="28"/>
        </w:rPr>
      </w:pPr>
      <w:r>
        <w:rPr>
          <w:rFonts w:hint="eastAsia" w:ascii="仿宋_GB2312"/>
          <w:color w:val="000000"/>
          <w:szCs w:val="28"/>
        </w:rPr>
        <w:t>名  称：贺兰县人民法院</w:t>
      </w:r>
    </w:p>
    <w:p>
      <w:pPr>
        <w:keepNext w:val="0"/>
        <w:keepLines w:val="0"/>
        <w:pageBreakBefore w:val="0"/>
        <w:widowControl w:val="0"/>
        <w:kinsoku/>
        <w:wordWrap/>
        <w:overflowPunct/>
        <w:topLinePunct w:val="0"/>
        <w:bidi w:val="0"/>
        <w:snapToGrid/>
        <w:spacing w:line="460" w:lineRule="exact"/>
        <w:ind w:firstLine="560" w:firstLineChars="200"/>
        <w:rPr>
          <w:rFonts w:hint="default" w:ascii="仿宋_GB2312" w:eastAsia="仿宋_GB2312"/>
          <w:color w:val="000000"/>
          <w:szCs w:val="28"/>
          <w:lang w:val="en-US" w:eastAsia="zh-CN"/>
        </w:rPr>
      </w:pPr>
      <w:r>
        <w:rPr>
          <w:rFonts w:hint="eastAsia" w:ascii="仿宋_GB2312"/>
          <w:color w:val="000000"/>
          <w:szCs w:val="28"/>
        </w:rPr>
        <w:t>住  所：宁夏银川市贺兰县创业东路</w:t>
      </w:r>
      <w:r>
        <w:rPr>
          <w:rFonts w:hint="eastAsia" w:ascii="仿宋_GB2312"/>
          <w:color w:val="000000"/>
          <w:szCs w:val="28"/>
          <w:lang w:val="en-US" w:eastAsia="zh-CN"/>
        </w:rPr>
        <w:t>5号</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color w:val="000000"/>
          <w:szCs w:val="28"/>
          <w:lang w:eastAsia="zh-CN"/>
        </w:rPr>
      </w:pPr>
      <w:r>
        <w:rPr>
          <w:rFonts w:hint="eastAsia" w:ascii="仿宋_GB2312"/>
          <w:color w:val="000000"/>
          <w:szCs w:val="28"/>
          <w:lang w:eastAsia="zh-CN"/>
        </w:rPr>
        <w:t>督办人：郝永春</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eastAsia="仿宋_GB2312"/>
          <w:color w:val="000000"/>
          <w:szCs w:val="28"/>
          <w:lang w:eastAsia="zh-CN"/>
        </w:rPr>
      </w:pPr>
      <w:r>
        <w:rPr>
          <w:rFonts w:hint="eastAsia" w:ascii="仿宋_GB2312"/>
          <w:color w:val="000000"/>
          <w:szCs w:val="28"/>
        </w:rPr>
        <w:t>联系人：</w:t>
      </w:r>
      <w:r>
        <w:rPr>
          <w:rFonts w:hint="eastAsia" w:ascii="仿宋_GB2312"/>
          <w:color w:val="000000"/>
          <w:szCs w:val="28"/>
          <w:lang w:val="en-US" w:eastAsia="zh-CN"/>
        </w:rPr>
        <w:t>孙飞</w:t>
      </w:r>
    </w:p>
    <w:p>
      <w:pPr>
        <w:keepNext w:val="0"/>
        <w:keepLines w:val="0"/>
        <w:pageBreakBefore w:val="0"/>
        <w:widowControl w:val="0"/>
        <w:kinsoku/>
        <w:wordWrap/>
        <w:overflowPunct/>
        <w:topLinePunct w:val="0"/>
        <w:bidi w:val="0"/>
        <w:snapToGrid/>
        <w:spacing w:line="460" w:lineRule="exact"/>
        <w:ind w:firstLine="560" w:firstLineChars="200"/>
        <w:rPr>
          <w:rFonts w:hint="default" w:ascii="仿宋_GB2312" w:eastAsia="仿宋_GB2312"/>
          <w:color w:val="000000"/>
          <w:szCs w:val="28"/>
          <w:lang w:val="en-US" w:eastAsia="zh-CN"/>
        </w:rPr>
      </w:pPr>
      <w:r>
        <w:rPr>
          <w:rFonts w:hint="eastAsia" w:ascii="仿宋_GB2312"/>
          <w:color w:val="000000"/>
          <w:szCs w:val="28"/>
        </w:rPr>
        <w:t>联系电话：</w:t>
      </w:r>
      <w:r>
        <w:rPr>
          <w:rFonts w:hint="eastAsia" w:ascii="仿宋_GB2312"/>
          <w:color w:val="000000"/>
          <w:szCs w:val="28"/>
          <w:lang w:val="en-US" w:eastAsia="zh-CN"/>
        </w:rPr>
        <w:t>18695265663</w:t>
      </w:r>
    </w:p>
    <w:p>
      <w:pPr>
        <w:pStyle w:val="4"/>
        <w:keepNext w:val="0"/>
        <w:keepLines w:val="0"/>
        <w:pageBreakBefore w:val="0"/>
        <w:widowControl w:val="0"/>
        <w:kinsoku/>
        <w:wordWrap/>
        <w:overflowPunct/>
        <w:topLinePunct w:val="0"/>
        <w:bidi w:val="0"/>
        <w:snapToGrid/>
        <w:spacing w:before="0" w:after="0" w:line="460" w:lineRule="exact"/>
        <w:ind w:left="0" w:right="278" w:firstLine="560" w:firstLineChars="200"/>
        <w:rPr>
          <w:rFonts w:hint="eastAsia" w:ascii="仿宋_GB2312"/>
          <w:color w:val="000000"/>
        </w:rPr>
      </w:pPr>
      <w:bookmarkStart w:id="12" w:name="_Toc92793187"/>
      <w:bookmarkStart w:id="13" w:name="_Toc400524099"/>
      <w:r>
        <w:rPr>
          <w:rFonts w:hint="eastAsia" w:ascii="仿宋_GB2312"/>
          <w:color w:val="000000"/>
        </w:rPr>
        <w:t>二、房地产估价机构</w:t>
      </w:r>
      <w:bookmarkEnd w:id="12"/>
      <w:bookmarkEnd w:id="13"/>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pacing w:val="-8"/>
          <w:szCs w:val="28"/>
        </w:rPr>
      </w:pPr>
      <w:bookmarkStart w:id="14" w:name="_Toc400524100"/>
      <w:r>
        <w:rPr>
          <w:rFonts w:hint="eastAsia" w:ascii="仿宋_GB2312" w:hAnsi="仿宋" w:cs="仿宋"/>
          <w:szCs w:val="28"/>
        </w:rPr>
        <w:t>估价机构名称：</w:t>
      </w:r>
      <w:r>
        <w:rPr>
          <w:rFonts w:hint="eastAsia" w:ascii="仿宋_GB2312" w:hAnsi="仿宋" w:cs="仿宋"/>
          <w:spacing w:val="-8"/>
          <w:szCs w:val="28"/>
        </w:rPr>
        <w:t>宁夏博源卓越土地房地产资产评估规划测绘有限公司</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统一社会信用代码：91640100227786327U</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法定代表人：祁晓轩</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机构类型：有限责任公司(自然人投资或控股)</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机构地址：宁夏银川市金凤区北京中路61号银川房地产大厦十楼</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注册资本：贰佰柒拾万圆整</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成立日期：2000年11月15日</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营业期限：/长期</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经营范围（许可项目）：国土空间规划编制；测绘服务(依法须经批准的项目，经相关部门批准后方可开展经营活动)一般项目：土地调查评估服务；房地产评估；资产评估；社会稳定风险评估；房地产经纪；房地产咨询；不动产登记代理服务；规划设计管理；土地整治服务；信息系统集成服务；社会调查(不含涉外调查)(除许可业务外，可自主依法经营法律法规非禁止或限制的项目)</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1.房地产估价机构备案情况</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备案等级：壹级</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证书编号：宁建房估证字〔2021〕第001号</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有效期限：2021年6月17日—2023年8月6日</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发证机关：宁夏回族自治区住房和城乡建设厅</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rPr>
        <w:t>发证日期：2021年6月17日</w:t>
      </w:r>
    </w:p>
    <w:p>
      <w:pPr>
        <w:pageBreakBefore w:val="0"/>
        <w:widowControl w:val="0"/>
        <w:kinsoku/>
        <w:wordWrap/>
        <w:overflowPunct/>
        <w:topLinePunct w:val="0"/>
        <w:bidi w:val="0"/>
        <w:spacing w:line="460" w:lineRule="exact"/>
        <w:ind w:firstLine="560" w:firstLineChars="200"/>
        <w:rPr>
          <w:rFonts w:hint="eastAsia"/>
          <w:lang w:val="en-US" w:eastAsia="zh-CN"/>
        </w:rPr>
      </w:pPr>
      <w:bookmarkStart w:id="15" w:name="_Toc92793188"/>
      <w:r>
        <w:rPr>
          <w:rFonts w:hint="eastAsia" w:ascii="仿宋_GB2312" w:hAnsi="仿宋" w:cs="仿宋"/>
          <w:szCs w:val="28"/>
          <w:lang w:val="en-US" w:eastAsia="zh-CN"/>
        </w:rPr>
        <w:t>2.土地估价</w:t>
      </w:r>
      <w:r>
        <w:rPr>
          <w:rFonts w:hint="eastAsia"/>
          <w:lang w:val="en-US" w:eastAsia="zh-CN"/>
        </w:rPr>
        <w:t>机构备案情况</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lang w:val="en-US" w:eastAsia="zh-CN"/>
        </w:rPr>
      </w:pPr>
      <w:r>
        <w:rPr>
          <w:rFonts w:hint="eastAsia" w:ascii="仿宋_GB2312" w:hAnsi="仿宋" w:cs="仿宋"/>
          <w:szCs w:val="28"/>
          <w:lang w:val="en-US" w:eastAsia="zh-CN"/>
        </w:rPr>
        <w:t>备案编号：2020640029</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lang w:val="en-US" w:eastAsia="zh-CN"/>
        </w:rPr>
      </w:pPr>
      <w:r>
        <w:rPr>
          <w:rFonts w:hint="eastAsia" w:ascii="仿宋_GB2312" w:hAnsi="仿宋" w:cs="仿宋"/>
          <w:szCs w:val="28"/>
          <w:lang w:val="en-US" w:eastAsia="zh-CN"/>
        </w:rPr>
        <w:t>文件编号：宁土估备字〔2022〕2号</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lang w:val="en-US" w:eastAsia="zh-CN"/>
        </w:rPr>
      </w:pPr>
      <w:r>
        <w:rPr>
          <w:rFonts w:hint="eastAsia" w:ascii="仿宋_GB2312" w:hAnsi="仿宋" w:cs="仿宋"/>
          <w:szCs w:val="28"/>
          <w:lang w:val="en-US" w:eastAsia="zh-CN"/>
        </w:rPr>
        <w:t>备案机关：宁夏回族自治区自然资源厅</w:t>
      </w:r>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r>
        <w:rPr>
          <w:rFonts w:hint="eastAsia" w:ascii="仿宋_GB2312" w:hAnsi="仿宋" w:cs="仿宋"/>
          <w:szCs w:val="28"/>
          <w:lang w:val="en-US" w:eastAsia="zh-CN"/>
        </w:rPr>
        <w:t>备案（变更）日期：2022年3月8日</w:t>
      </w:r>
    </w:p>
    <w:p>
      <w:pPr>
        <w:pStyle w:val="4"/>
        <w:keepNext w:val="0"/>
        <w:keepLines w:val="0"/>
        <w:pageBreakBefore w:val="0"/>
        <w:widowControl w:val="0"/>
        <w:kinsoku/>
        <w:wordWrap/>
        <w:overflowPunct/>
        <w:topLinePunct w:val="0"/>
        <w:bidi w:val="0"/>
        <w:snapToGrid/>
        <w:spacing w:before="0" w:after="0" w:line="460" w:lineRule="exact"/>
        <w:ind w:left="0" w:right="278" w:firstLine="560" w:firstLineChars="200"/>
        <w:rPr>
          <w:rFonts w:hint="eastAsia" w:ascii="仿宋_GB2312" w:hAnsi="华文仿宋" w:cs="仿宋_GB2312"/>
          <w:color w:val="000000"/>
          <w:kern w:val="0"/>
          <w:szCs w:val="28"/>
        </w:rPr>
      </w:pPr>
      <w:r>
        <w:rPr>
          <w:rFonts w:hint="eastAsia" w:ascii="仿宋_GB2312"/>
          <w:color w:val="000000"/>
        </w:rPr>
        <w:t>三、评估目的</w:t>
      </w:r>
      <w:bookmarkEnd w:id="14"/>
      <w:bookmarkEnd w:id="15"/>
    </w:p>
    <w:p>
      <w:pPr>
        <w:keepNext w:val="0"/>
        <w:keepLines w:val="0"/>
        <w:pageBreakBefore w:val="0"/>
        <w:widowControl w:val="0"/>
        <w:kinsoku/>
        <w:wordWrap/>
        <w:overflowPunct/>
        <w:topLinePunct w:val="0"/>
        <w:bidi w:val="0"/>
        <w:snapToGrid/>
        <w:spacing w:line="460" w:lineRule="exact"/>
        <w:ind w:firstLine="560" w:firstLineChars="200"/>
        <w:rPr>
          <w:rFonts w:hint="eastAsia" w:ascii="仿宋_GB2312" w:hAnsi="仿宋" w:cs="仿宋"/>
          <w:szCs w:val="28"/>
        </w:rPr>
      </w:pPr>
      <w:bookmarkStart w:id="16" w:name="_Toc401654652"/>
      <w:bookmarkStart w:id="17" w:name="_Toc401304208"/>
      <w:bookmarkStart w:id="18" w:name="_Toc400524101"/>
      <w:r>
        <w:rPr>
          <w:rFonts w:hint="eastAsia" w:ascii="仿宋_GB2312" w:hAnsi="仿宋" w:cs="仿宋"/>
          <w:szCs w:val="28"/>
        </w:rPr>
        <w:t>为人民法院确定财产处置参考价提供参考依据。</w:t>
      </w:r>
      <w:bookmarkEnd w:id="16"/>
      <w:bookmarkEnd w:id="17"/>
    </w:p>
    <w:p>
      <w:pPr>
        <w:pStyle w:val="4"/>
        <w:keepNext w:val="0"/>
        <w:keepLines w:val="0"/>
        <w:pageBreakBefore w:val="0"/>
        <w:widowControl w:val="0"/>
        <w:kinsoku/>
        <w:wordWrap/>
        <w:overflowPunct/>
        <w:topLinePunct w:val="0"/>
        <w:bidi w:val="0"/>
        <w:snapToGrid/>
        <w:spacing w:before="0" w:after="0" w:line="460" w:lineRule="exact"/>
        <w:ind w:left="0" w:right="278" w:firstLine="560" w:firstLineChars="200"/>
        <w:rPr>
          <w:rFonts w:hint="eastAsia" w:ascii="仿宋_GB2312"/>
          <w:color w:val="000000"/>
        </w:rPr>
      </w:pPr>
      <w:bookmarkStart w:id="19" w:name="_Toc92793189"/>
      <w:r>
        <w:rPr>
          <w:rFonts w:hint="eastAsia" w:ascii="仿宋_GB2312"/>
          <w:color w:val="000000"/>
        </w:rPr>
        <w:t>四、评估对象</w:t>
      </w:r>
      <w:bookmarkEnd w:id="18"/>
      <w:bookmarkEnd w:id="19"/>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rPr>
          <w:rFonts w:hint="eastAsia" w:ascii="仿宋_GB2312"/>
          <w:b/>
          <w:color w:val="000000"/>
        </w:rPr>
      </w:pPr>
      <w:r>
        <w:rPr>
          <w:rFonts w:hint="eastAsia" w:ascii="仿宋_GB2312"/>
          <w:b/>
          <w:color w:val="000000"/>
        </w:rPr>
        <w:t>(一)评估对象基本状况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rPr>
          <w:rFonts w:hint="eastAsia"/>
          <w:color w:val="000000"/>
          <w:kern w:val="0"/>
          <w:szCs w:val="28"/>
        </w:rPr>
      </w:pPr>
      <w:r>
        <w:rPr>
          <w:rFonts w:hint="eastAsia" w:ascii="仿宋_GB2312"/>
        </w:rPr>
        <w:t>1.</w:t>
      </w:r>
      <w:r>
        <w:rPr>
          <w:rFonts w:hint="eastAsia"/>
        </w:rPr>
        <w:t>财产范围：评估对象为</w:t>
      </w:r>
      <w:r>
        <w:rPr>
          <w:rFonts w:hint="eastAsia"/>
          <w:lang w:val="en-US" w:eastAsia="zh-CN"/>
        </w:rPr>
        <w:t>贺兰县居安西路明珠花园14号楼3单元202室</w:t>
      </w:r>
      <w:r>
        <w:rPr>
          <w:rFonts w:hint="eastAsia" w:ascii="仿宋_GB2312" w:hAnsi="仿宋_GB2312" w:eastAsia="仿宋_GB2312" w:cs="仿宋_GB2312"/>
          <w:lang w:val="en-US" w:eastAsia="zh-CN"/>
        </w:rPr>
        <w:t>住宅用房</w:t>
      </w:r>
      <w:r>
        <w:rPr>
          <w:rFonts w:hint="eastAsia" w:ascii="仿宋_GB2312" w:hAnsi="仿宋_GB2312" w:eastAsia="仿宋_GB2312" w:cs="仿宋_GB2312"/>
        </w:rPr>
        <w:t>，包含房屋及其所分摊的国有</w:t>
      </w:r>
      <w:r>
        <w:rPr>
          <w:rFonts w:hint="eastAsia" w:ascii="仿宋_GB2312" w:hAnsi="仿宋_GB2312" w:eastAsia="仿宋_GB2312" w:cs="仿宋_GB2312"/>
          <w:lang w:val="en-US" w:eastAsia="zh-CN"/>
        </w:rPr>
        <w:t>建设用地</w:t>
      </w:r>
      <w:r>
        <w:rPr>
          <w:rFonts w:hint="eastAsia" w:ascii="仿宋_GB2312" w:hAnsi="仿宋_GB2312" w:eastAsia="仿宋_GB2312" w:cs="仿宋_GB2312"/>
        </w:rPr>
        <w:t>使用权和属于该房地产不可分</w:t>
      </w:r>
      <w:r>
        <w:rPr>
          <w:rFonts w:hint="eastAsia"/>
        </w:rPr>
        <w:t>割的配套设施设备、装饰装修等</w:t>
      </w:r>
      <w:r>
        <w:rPr>
          <w:rFonts w:hint="eastAsia"/>
          <w:color w:val="000000"/>
          <w:kern w:val="0"/>
          <w:szCs w:val="28"/>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rPr>
          <w:rFonts w:hint="eastAsia" w:ascii="仿宋_GB2312" w:hAnsi="仿宋_GB2312" w:eastAsia="仿宋_GB2312" w:cs="仿宋_GB2312"/>
        </w:rPr>
      </w:pPr>
      <w:r>
        <w:rPr>
          <w:rFonts w:hint="eastAsia" w:ascii="仿宋_GB2312"/>
        </w:rPr>
        <w:t>2.</w:t>
      </w:r>
      <w:r>
        <w:rPr>
          <w:rFonts w:hint="eastAsia"/>
        </w:rPr>
        <w:t>名称：评估对象</w:t>
      </w:r>
      <w:r>
        <w:rPr>
          <w:rFonts w:hint="eastAsia" w:ascii="仿宋_GB2312" w:hAnsi="仿宋_GB2312" w:eastAsia="仿宋_GB2312" w:cs="仿宋_GB2312"/>
        </w:rPr>
        <w:t>为</w:t>
      </w:r>
      <w:r>
        <w:rPr>
          <w:rFonts w:hint="eastAsia" w:ascii="仿宋_GB2312" w:hAnsi="仿宋_GB2312" w:cs="仿宋_GB2312"/>
          <w:lang w:val="en-US" w:eastAsia="zh-CN"/>
        </w:rPr>
        <w:t>贺</w:t>
      </w:r>
      <w:bookmarkStart w:id="40" w:name="_GoBack"/>
      <w:bookmarkEnd w:id="40"/>
      <w:r>
        <w:rPr>
          <w:rFonts w:hint="eastAsia" w:ascii="仿宋_GB2312" w:hAnsi="仿宋_GB2312" w:cs="仿宋_GB2312"/>
          <w:lang w:val="en-US" w:eastAsia="zh-CN"/>
        </w:rPr>
        <w:t>兰县居安西路明珠花园14号楼3单元202室</w:t>
      </w:r>
      <w:r>
        <w:rPr>
          <w:rFonts w:hint="eastAsia" w:ascii="仿宋_GB2312" w:hAnsi="仿宋_GB2312" w:eastAsia="仿宋_GB2312" w:cs="仿宋_GB2312"/>
          <w:lang w:val="en-US" w:eastAsia="zh-CN"/>
        </w:rPr>
        <w:t>住宅用房</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rPr>
          <w:rFonts w:hint="eastAsia" w:ascii="仿宋_GB2312"/>
          <w:color w:val="000000"/>
        </w:rPr>
      </w:pPr>
      <w:r>
        <w:rPr>
          <w:rFonts w:hint="eastAsia" w:ascii="仿宋_GB2312" w:hAnsi="仿宋_GB2312" w:eastAsia="仿宋_GB2312" w:cs="仿宋_GB2312"/>
        </w:rPr>
        <w:t>3.坐落：评估对象</w:t>
      </w:r>
      <w:r>
        <w:rPr>
          <w:rFonts w:hint="eastAsia" w:ascii="仿宋_GB2312" w:hAnsi="仿宋_GB2312" w:eastAsia="仿宋_GB2312" w:cs="仿宋_GB2312"/>
          <w:color w:val="000000"/>
        </w:rPr>
        <w:t>位于</w:t>
      </w:r>
      <w:r>
        <w:rPr>
          <w:rFonts w:hint="eastAsia" w:ascii="仿宋_GB2312" w:hAnsi="仿宋_GB2312" w:eastAsia="仿宋_GB2312" w:cs="仿宋_GB2312"/>
          <w:color w:val="000000"/>
          <w:lang w:eastAsia="zh-CN"/>
        </w:rPr>
        <w:t>银川市</w:t>
      </w:r>
      <w:r>
        <w:rPr>
          <w:rFonts w:hint="eastAsia" w:ascii="仿宋_GB2312" w:hAnsi="仿宋_GB2312" w:cs="仿宋_GB2312"/>
          <w:color w:val="000000"/>
          <w:lang w:eastAsia="zh-CN"/>
        </w:rPr>
        <w:t>贺兰县居安西路明珠花园14号楼3单元202室</w:t>
      </w:r>
      <w:r>
        <w:rPr>
          <w:rFonts w:hint="eastAsia" w:ascii="仿宋_GB2312"/>
          <w:color w:val="000000"/>
        </w:rPr>
        <w:t>，</w:t>
      </w:r>
      <w:r>
        <w:rPr>
          <w:rFonts w:hint="eastAsia" w:ascii="仿宋_GB2312" w:hAnsi="华文仿宋" w:cs="仿宋_GB2312"/>
          <w:color w:val="000000"/>
          <w:kern w:val="0"/>
          <w:szCs w:val="28"/>
          <w:lang w:val="en-US" w:eastAsia="zh-CN"/>
        </w:rPr>
        <w:t>评估对象所在单元为步行梯，2</w:t>
      </w:r>
      <w:r>
        <w:rPr>
          <w:rFonts w:hint="eastAsia" w:ascii="仿宋_GB2312" w:hAnsi="华文仿宋" w:cs="仿宋_GB2312"/>
          <w:color w:val="000000"/>
          <w:kern w:val="0"/>
          <w:szCs w:val="28"/>
          <w:lang w:eastAsia="zh-CN"/>
        </w:rPr>
        <w:t>02室</w:t>
      </w:r>
      <w:r>
        <w:rPr>
          <w:rFonts w:hint="eastAsia" w:ascii="仿宋_GB2312" w:hAnsi="华文仿宋" w:cs="仿宋_GB2312"/>
          <w:color w:val="000000"/>
          <w:kern w:val="0"/>
          <w:szCs w:val="28"/>
          <w:lang w:val="en-US" w:eastAsia="zh-CN"/>
        </w:rPr>
        <w:t>位于西户。</w:t>
      </w:r>
      <w:r>
        <w:rPr>
          <w:rFonts w:hint="eastAsia" w:ascii="仿宋_GB2312"/>
          <w:color w:val="000000"/>
        </w:rPr>
        <w:t>评估对象所在小区四至为</w:t>
      </w:r>
      <w:r>
        <w:rPr>
          <w:rFonts w:hint="eastAsia" w:ascii="仿宋_GB2312"/>
          <w:color w:val="000000"/>
          <w:lang w:eastAsia="zh-CN"/>
        </w:rPr>
        <w:t>东至恒安南街，南至京藏高速，西至京藏高速，北至居安西路</w:t>
      </w:r>
      <w:r>
        <w:rPr>
          <w:rFonts w:hint="eastAsia" w:ascii="仿宋_GB2312"/>
          <w:color w:val="000000"/>
        </w:rPr>
        <w:t>。</w:t>
      </w:r>
    </w:p>
    <w:p>
      <w:pPr>
        <w:keepNext w:val="0"/>
        <w:keepLines w:val="0"/>
        <w:pageBreakBefore w:val="0"/>
        <w:widowControl w:val="0"/>
        <w:kinsoku/>
        <w:wordWrap/>
        <w:overflowPunct/>
        <w:topLinePunct w:val="0"/>
        <w:bidi w:val="0"/>
        <w:adjustRightInd w:val="0"/>
        <w:snapToGrid/>
        <w:spacing w:line="460" w:lineRule="exact"/>
        <w:ind w:firstLine="560" w:firstLineChars="200"/>
        <w:rPr>
          <w:rFonts w:hint="eastAsia" w:ascii="仿宋_GB2312" w:eastAsia="仿宋_GB2312"/>
          <w:color w:val="auto"/>
          <w:lang w:eastAsia="zh-CN"/>
        </w:rPr>
      </w:pPr>
      <w:r>
        <w:rPr>
          <w:rFonts w:hint="eastAsia" w:ascii="仿宋_GB2312"/>
          <w:color w:val="auto"/>
        </w:rPr>
        <w:t>4.规模：</w:t>
      </w:r>
      <w:r>
        <w:rPr>
          <w:rFonts w:hint="eastAsia" w:ascii="仿宋_GB2312"/>
          <w:color w:val="auto"/>
          <w:lang w:eastAsia="zh-CN"/>
        </w:rPr>
        <w:t>评估对象住宅建筑面积为136.07平方米，分摊土地面积为</w:t>
      </w:r>
      <w:r>
        <w:rPr>
          <w:rFonts w:hint="eastAsia" w:ascii="仿宋_GB2312"/>
          <w:color w:val="auto"/>
          <w:lang w:val="en-US" w:eastAsia="zh-CN"/>
        </w:rPr>
        <w:t>27.66平方米</w:t>
      </w:r>
      <w:r>
        <w:rPr>
          <w:rFonts w:hint="eastAsia" w:ascii="仿宋_GB2312"/>
          <w:color w:val="auto"/>
          <w:lang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rPr>
          <w:rFonts w:hint="eastAsia" w:ascii="仿宋_GB2312"/>
          <w:color w:val="000000"/>
        </w:rPr>
      </w:pPr>
      <w:r>
        <w:rPr>
          <w:rFonts w:hint="eastAsia" w:ascii="仿宋_GB2312"/>
          <w:color w:val="000000"/>
        </w:rPr>
        <w:t>5.用途：评估对象规划用途为住宅，实际用途为住宅。</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rPr>
          <w:rFonts w:hint="eastAsia" w:ascii="仿宋_GB2312"/>
          <w:color w:val="auto"/>
        </w:rPr>
      </w:pPr>
      <w:r>
        <w:rPr>
          <w:rFonts w:hint="eastAsia" w:ascii="仿宋_GB2312"/>
          <w:color w:val="000000"/>
        </w:rPr>
        <w:t>6.权属：</w:t>
      </w:r>
      <w:r>
        <w:rPr>
          <w:rFonts w:hint="eastAsia" w:ascii="仿宋_GB2312"/>
          <w:color w:val="auto"/>
        </w:rPr>
        <w:t>评估对象房屋所有权人为</w:t>
      </w:r>
      <w:r>
        <w:rPr>
          <w:rFonts w:hint="eastAsia" w:ascii="仿宋_GB2312"/>
          <w:color w:val="auto"/>
          <w:lang w:eastAsia="zh-CN"/>
        </w:rPr>
        <w:t>丁华、张启菲</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rPr>
          <w:rFonts w:hint="eastAsia" w:ascii="仿宋_GB2312"/>
          <w:b/>
          <w:color w:val="000000"/>
        </w:rPr>
      </w:pPr>
      <w:r>
        <w:rPr>
          <w:rFonts w:hint="eastAsia" w:ascii="仿宋_GB2312"/>
          <w:b/>
          <w:color w:val="000000"/>
        </w:rPr>
        <w:t>(二)评估对象区位状况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1.区域状况描述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eastAsia="仿宋_GB2312"/>
          <w:lang w:eastAsia="zh-CN"/>
        </w:rPr>
      </w:pPr>
      <w:r>
        <w:rPr>
          <w:rFonts w:hint="eastAsia" w:ascii="仿宋_GB2312" w:hAnsi="仿宋_GB2312" w:cs="仿宋_GB2312"/>
          <w:color w:val="auto"/>
          <w:szCs w:val="28"/>
          <w:shd w:val="clear" w:color="auto" w:fill="FFFFFF"/>
          <w:lang w:eastAsia="zh-CN"/>
        </w:rPr>
        <w:t>评估</w:t>
      </w:r>
      <w:r>
        <w:rPr>
          <w:rFonts w:hint="eastAsia" w:ascii="仿宋_GB2312" w:hAnsi="仿宋_GB2312" w:eastAsia="仿宋_GB2312" w:cs="仿宋_GB2312"/>
          <w:color w:val="auto"/>
          <w:szCs w:val="28"/>
          <w:shd w:val="clear" w:color="auto" w:fill="FFFFFF"/>
        </w:rPr>
        <w:t>对象位于银川市</w:t>
      </w:r>
      <w:r>
        <w:rPr>
          <w:rFonts w:hint="eastAsia" w:ascii="仿宋_GB2312" w:hAnsi="仿宋_GB2312" w:eastAsia="仿宋_GB2312" w:cs="仿宋_GB2312"/>
          <w:color w:val="auto"/>
          <w:szCs w:val="28"/>
          <w:shd w:val="clear" w:color="auto" w:fill="FFFFFF"/>
          <w:lang w:val="en-US" w:eastAsia="zh-CN"/>
        </w:rPr>
        <w:t>贺兰县</w:t>
      </w:r>
      <w:r>
        <w:rPr>
          <w:rFonts w:hint="eastAsia" w:ascii="仿宋_GB2312" w:hAnsi="仿宋_GB2312" w:eastAsia="仿宋_GB2312" w:cs="仿宋_GB2312"/>
          <w:color w:val="auto"/>
          <w:szCs w:val="28"/>
          <w:shd w:val="clear" w:color="auto" w:fill="FFFFFF"/>
        </w:rPr>
        <w:t>。</w:t>
      </w:r>
      <w:r>
        <w:rPr>
          <w:rFonts w:hint="eastAsia" w:ascii="仿宋_GB2312" w:hAnsi="仿宋_GB2312" w:eastAsia="仿宋_GB2312" w:cs="仿宋_GB2312"/>
          <w:color w:val="auto"/>
        </w:rPr>
        <w:t>贺兰县位于银川市北，南与银川市兴庆区毗邻，东临黄河与石嘴山市平罗县陶乐镇隔河相望，西倚贺兰山分水岭与内蒙古自治区阿拉善左旗接壤，北接石嘴山市平罗县，县城距银川市中心10千米。辖区总面积1204.71平方公里，总人口34.4万人，城镇人口22.7万人，农村人口11.7万人。共辖4镇1乡2个农牧场，66个行政村，1个街道办事处，15个社区居委会。近年来，贺兰县被评为西部百强县、中国最具区域带动力的中小城市百强县、全国县域经济科学发展先进县，荣获全国卫生县城、全国文化先进县、全国园林县城、自治区文明县城、全国平安建设先进县等21项“国字号”荣誉。</w:t>
      </w:r>
      <w:r>
        <w:rPr>
          <w:rFonts w:hint="eastAsia" w:ascii="仿宋_GB2312" w:hAnsi="Times New Roman" w:cs="Times New Roman"/>
          <w:color w:val="000000"/>
        </w:rPr>
        <w:t>2021年，全县实现地区生产总值158.5亿元</w:t>
      </w:r>
      <w:r>
        <w:rPr>
          <w:rFonts w:hint="eastAsia" w:ascii="仿宋_GB2312" w:cs="Times New Roman"/>
          <w:color w:val="000000"/>
          <w:lang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2.位置状况描述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hAnsi="华文仿宋" w:cs="仿宋_GB2312"/>
          <w:color w:val="000000"/>
          <w:kern w:val="0"/>
          <w:szCs w:val="28"/>
        </w:rPr>
        <w:t>(1)位置与坐落：评估对象为</w:t>
      </w:r>
      <w:r>
        <w:rPr>
          <w:rFonts w:hint="eastAsia" w:ascii="仿宋_GB2312" w:hAnsi="华文仿宋" w:cs="仿宋_GB2312"/>
          <w:color w:val="000000"/>
          <w:kern w:val="0"/>
          <w:szCs w:val="28"/>
          <w:lang w:eastAsia="zh-CN"/>
        </w:rPr>
        <w:t>银川市贺兰县居安西路明珠花园14号楼3单元202室</w:t>
      </w:r>
      <w:r>
        <w:rPr>
          <w:rFonts w:hint="eastAsia" w:ascii="仿宋_GB2312" w:hAnsi="华文仿宋" w:cs="仿宋_GB2312"/>
          <w:color w:val="000000"/>
          <w:kern w:val="0"/>
          <w:szCs w:val="28"/>
        </w:rPr>
        <w:t>住宅房地产，</w:t>
      </w:r>
      <w:r>
        <w:rPr>
          <w:rFonts w:hint="eastAsia" w:ascii="仿宋_GB2312" w:hAnsi="华文仿宋" w:cs="仿宋_GB2312"/>
          <w:color w:val="000000"/>
          <w:kern w:val="0"/>
          <w:szCs w:val="28"/>
          <w:lang w:val="en-US" w:eastAsia="zh-CN"/>
        </w:rPr>
        <w:t>评估对象所在单元为步行梯，2</w:t>
      </w:r>
      <w:r>
        <w:rPr>
          <w:rFonts w:hint="eastAsia" w:ascii="仿宋_GB2312" w:hAnsi="华文仿宋" w:cs="仿宋_GB2312"/>
          <w:color w:val="000000"/>
          <w:kern w:val="0"/>
          <w:szCs w:val="28"/>
          <w:lang w:eastAsia="zh-CN"/>
        </w:rPr>
        <w:t>02室</w:t>
      </w:r>
      <w:r>
        <w:rPr>
          <w:rFonts w:hint="eastAsia" w:ascii="仿宋_GB2312" w:hAnsi="华文仿宋" w:cs="仿宋_GB2312"/>
          <w:color w:val="000000"/>
          <w:kern w:val="0"/>
          <w:szCs w:val="28"/>
          <w:lang w:val="en-US" w:eastAsia="zh-CN"/>
        </w:rPr>
        <w:t>位于西户。</w:t>
      </w:r>
      <w:r>
        <w:rPr>
          <w:rFonts w:hint="eastAsia" w:ascii="仿宋_GB2312"/>
          <w:color w:val="000000"/>
        </w:rPr>
        <w:t>评估对象所在小区</w:t>
      </w:r>
      <w:r>
        <w:rPr>
          <w:rFonts w:hint="eastAsia" w:ascii="仿宋_GB2312"/>
          <w:color w:val="000000"/>
          <w:lang w:eastAsia="zh-CN"/>
        </w:rPr>
        <w:t>东至恒安南街，南至京藏高速，西至京藏高速，北至居安西路</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auto"/>
        </w:rPr>
      </w:pPr>
      <w:r>
        <w:rPr>
          <w:rFonts w:hint="eastAsia" w:ascii="仿宋_GB2312" w:hAnsi="华文仿宋" w:cs="仿宋_GB2312"/>
          <w:color w:val="000000"/>
          <w:kern w:val="0"/>
          <w:szCs w:val="28"/>
        </w:rPr>
        <w:t>(2)</w:t>
      </w:r>
      <w:r>
        <w:rPr>
          <w:rFonts w:hint="eastAsia" w:ascii="仿宋_GB2312"/>
          <w:color w:val="000000"/>
        </w:rPr>
        <w:t>与</w:t>
      </w:r>
      <w:r>
        <w:rPr>
          <w:rFonts w:hint="eastAsia" w:ascii="仿宋_GB2312"/>
          <w:color w:val="auto"/>
        </w:rPr>
        <w:t>相关场所的距离：评估对象</w:t>
      </w:r>
      <w:r>
        <w:rPr>
          <w:rFonts w:hint="eastAsia" w:ascii="仿宋_GB2312"/>
          <w:color w:val="auto"/>
          <w:lang w:eastAsia="zh-CN"/>
        </w:rPr>
        <w:t>距银川电商物流园约</w:t>
      </w:r>
      <w:r>
        <w:rPr>
          <w:rFonts w:hint="eastAsia" w:ascii="仿宋_GB2312"/>
          <w:color w:val="auto"/>
          <w:lang w:val="en-US" w:eastAsia="zh-CN"/>
        </w:rPr>
        <w:t>1400</w:t>
      </w:r>
      <w:r>
        <w:rPr>
          <w:rFonts w:hint="eastAsia" w:ascii="仿宋_GB2312"/>
          <w:color w:val="auto"/>
          <w:lang w:eastAsia="zh-CN"/>
        </w:rPr>
        <w:t>米</w:t>
      </w:r>
      <w:r>
        <w:rPr>
          <w:rFonts w:hint="eastAsia" w:ascii="仿宋_GB2312"/>
          <w:color w:val="auto"/>
        </w:rPr>
        <w:t>，</w:t>
      </w:r>
      <w:r>
        <w:rPr>
          <w:rFonts w:hint="eastAsia" w:ascii="仿宋_GB2312"/>
          <w:color w:val="auto"/>
          <w:lang w:eastAsia="zh-CN"/>
        </w:rPr>
        <w:t>距凯阳广场约</w:t>
      </w:r>
      <w:r>
        <w:rPr>
          <w:rFonts w:hint="eastAsia" w:ascii="仿宋_GB2312"/>
          <w:color w:val="auto"/>
          <w:lang w:val="en-US" w:eastAsia="zh-CN"/>
        </w:rPr>
        <w:t>100</w:t>
      </w:r>
      <w:r>
        <w:rPr>
          <w:rFonts w:hint="eastAsia" w:ascii="仿宋_GB2312"/>
          <w:color w:val="auto"/>
          <w:lang w:eastAsia="zh-CN"/>
        </w:rPr>
        <w:t>米</w:t>
      </w:r>
      <w:r>
        <w:rPr>
          <w:rFonts w:hint="eastAsia" w:ascii="仿宋_GB2312"/>
          <w:color w:val="auto"/>
        </w:rPr>
        <w:t>，</w:t>
      </w:r>
      <w:r>
        <w:rPr>
          <w:rFonts w:hint="eastAsia" w:ascii="仿宋_GB2312"/>
          <w:color w:val="auto"/>
          <w:lang w:eastAsia="zh-CN"/>
        </w:rPr>
        <w:t>距欣兰广场约</w:t>
      </w:r>
      <w:r>
        <w:rPr>
          <w:rFonts w:hint="eastAsia" w:ascii="仿宋_GB2312"/>
          <w:color w:val="auto"/>
          <w:lang w:val="en-US" w:eastAsia="zh-CN"/>
        </w:rPr>
        <w:t>1300</w:t>
      </w:r>
      <w:r>
        <w:rPr>
          <w:rFonts w:hint="eastAsia" w:ascii="仿宋_GB2312"/>
          <w:color w:val="auto"/>
          <w:lang w:eastAsia="zh-CN"/>
        </w:rPr>
        <w:t>米</w:t>
      </w:r>
      <w:r>
        <w:rPr>
          <w:rFonts w:hint="eastAsia" w:ascii="仿宋_GB2312"/>
          <w:color w:val="auto"/>
        </w:rPr>
        <w:t>，</w:t>
      </w:r>
      <w:r>
        <w:rPr>
          <w:rFonts w:hint="eastAsia" w:ascii="仿宋_GB2312"/>
          <w:color w:val="auto"/>
          <w:lang w:eastAsia="zh-CN"/>
        </w:rPr>
        <w:t>距</w:t>
      </w:r>
      <w:r>
        <w:rPr>
          <w:rFonts w:hint="eastAsia" w:ascii="仿宋_GB2312"/>
          <w:color w:val="auto"/>
          <w:lang w:val="en-US" w:eastAsia="zh-CN"/>
        </w:rPr>
        <w:t>中国石油加油站</w:t>
      </w:r>
      <w:r>
        <w:rPr>
          <w:rFonts w:hint="eastAsia" w:ascii="仿宋_GB2312"/>
          <w:color w:val="auto"/>
          <w:lang w:eastAsia="zh-CN"/>
        </w:rPr>
        <w:t>约</w:t>
      </w:r>
      <w:r>
        <w:rPr>
          <w:rFonts w:hint="eastAsia" w:ascii="仿宋_GB2312"/>
          <w:color w:val="auto"/>
          <w:lang w:val="en-US" w:eastAsia="zh-CN"/>
        </w:rPr>
        <w:t>500</w:t>
      </w:r>
      <w:r>
        <w:rPr>
          <w:rFonts w:hint="eastAsia" w:ascii="仿宋_GB2312"/>
          <w:color w:val="auto"/>
          <w:lang w:eastAsia="zh-CN"/>
        </w:rPr>
        <w:t>米，距贺兰县第三小学约</w:t>
      </w:r>
      <w:r>
        <w:rPr>
          <w:rFonts w:hint="eastAsia" w:ascii="仿宋_GB2312"/>
          <w:color w:val="auto"/>
          <w:lang w:val="en-US" w:eastAsia="zh-CN"/>
        </w:rPr>
        <w:t>1200</w:t>
      </w:r>
      <w:r>
        <w:rPr>
          <w:rFonts w:hint="eastAsia" w:ascii="仿宋_GB2312"/>
          <w:color w:val="auto"/>
          <w:lang w:eastAsia="zh-CN"/>
        </w:rPr>
        <w:t>米。</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hAnsi="华文仿宋" w:cs="仿宋_GB2312"/>
          <w:color w:val="000000"/>
          <w:kern w:val="0"/>
          <w:szCs w:val="28"/>
        </w:rPr>
        <w:t>(3)</w:t>
      </w:r>
      <w:r>
        <w:rPr>
          <w:rFonts w:hint="eastAsia" w:ascii="仿宋_GB2312"/>
          <w:color w:val="000000"/>
        </w:rPr>
        <w:t>朝向：评估对象所在建筑物坐</w:t>
      </w:r>
      <w:r>
        <w:rPr>
          <w:rFonts w:hint="eastAsia" w:ascii="仿宋_GB2312"/>
          <w:color w:val="000000"/>
          <w:lang w:eastAsia="zh-CN"/>
        </w:rPr>
        <w:t>北</w:t>
      </w:r>
      <w:r>
        <w:rPr>
          <w:rFonts w:hint="eastAsia" w:ascii="仿宋_GB2312"/>
          <w:color w:val="000000"/>
        </w:rPr>
        <w:t>朝</w:t>
      </w:r>
      <w:r>
        <w:rPr>
          <w:rFonts w:hint="eastAsia" w:ascii="仿宋_GB2312"/>
          <w:color w:val="000000"/>
          <w:lang w:eastAsia="zh-CN"/>
        </w:rPr>
        <w:t>南</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000000"/>
          <w:kern w:val="0"/>
          <w:szCs w:val="28"/>
        </w:rPr>
      </w:pPr>
      <w:r>
        <w:rPr>
          <w:rFonts w:hint="eastAsia" w:ascii="仿宋_GB2312" w:hAnsi="华文仿宋" w:cs="仿宋_GB2312"/>
          <w:color w:val="000000"/>
          <w:kern w:val="0"/>
          <w:szCs w:val="28"/>
        </w:rPr>
        <w:t>(4)</w:t>
      </w:r>
      <w:r>
        <w:rPr>
          <w:rFonts w:hint="eastAsia" w:ascii="仿宋_GB2312"/>
          <w:color w:val="000000"/>
        </w:rPr>
        <w:t>楼层：评估对象所处建筑物</w:t>
      </w:r>
      <w:r>
        <w:rPr>
          <w:rFonts w:hint="eastAsia" w:ascii="仿宋_GB2312"/>
          <w:color w:val="000000"/>
          <w:lang w:eastAsia="zh-CN"/>
        </w:rPr>
        <w:t>总层数为</w:t>
      </w:r>
      <w:r>
        <w:rPr>
          <w:rFonts w:hint="eastAsia" w:ascii="仿宋_GB2312"/>
          <w:color w:val="000000"/>
          <w:lang w:val="en-US" w:eastAsia="zh-CN"/>
        </w:rPr>
        <w:t>5</w:t>
      </w:r>
      <w:r>
        <w:rPr>
          <w:rFonts w:hint="eastAsia" w:ascii="仿宋_GB2312"/>
          <w:color w:val="000000"/>
          <w:lang w:eastAsia="zh-CN"/>
        </w:rPr>
        <w:t>层</w:t>
      </w:r>
      <w:r>
        <w:rPr>
          <w:rFonts w:hint="eastAsia" w:ascii="仿宋_GB2312"/>
          <w:color w:val="000000"/>
        </w:rPr>
        <w:t>，</w:t>
      </w:r>
      <w:r>
        <w:rPr>
          <w:rFonts w:hint="eastAsia" w:ascii="仿宋_GB2312"/>
          <w:color w:val="000000"/>
          <w:lang w:eastAsia="zh-CN"/>
        </w:rPr>
        <w:t>评估对象处于第</w:t>
      </w:r>
      <w:r>
        <w:rPr>
          <w:rFonts w:hint="eastAsia" w:ascii="仿宋_GB2312"/>
          <w:color w:val="000000"/>
          <w:lang w:val="en-US" w:eastAsia="zh-CN"/>
        </w:rPr>
        <w:t>2</w:t>
      </w:r>
      <w:r>
        <w:rPr>
          <w:rFonts w:hint="eastAsia" w:ascii="仿宋_GB2312"/>
          <w:color w:val="000000"/>
          <w:lang w:eastAsia="zh-CN"/>
        </w:rPr>
        <w:t>层西户</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000000"/>
          <w:kern w:val="0"/>
          <w:szCs w:val="28"/>
        </w:rPr>
      </w:pPr>
      <w:r>
        <w:rPr>
          <w:rFonts w:hint="eastAsia" w:ascii="仿宋_GB2312" w:hAnsi="华文仿宋" w:cs="仿宋_GB2312"/>
          <w:color w:val="000000"/>
          <w:kern w:val="0"/>
          <w:szCs w:val="28"/>
        </w:rPr>
        <w:t>3.交通状况描述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auto"/>
          <w:kern w:val="0"/>
          <w:szCs w:val="28"/>
        </w:rPr>
      </w:pPr>
      <w:r>
        <w:rPr>
          <w:rFonts w:hint="eastAsia" w:ascii="仿宋_GB2312" w:hAnsi="华文仿宋" w:cs="仿宋_GB2312"/>
          <w:color w:val="000000"/>
          <w:kern w:val="0"/>
          <w:szCs w:val="28"/>
        </w:rPr>
        <w:t>(1)</w:t>
      </w:r>
      <w:r>
        <w:rPr>
          <w:rFonts w:hint="eastAsia" w:ascii="仿宋_GB2312" w:hAnsi="华文仿宋" w:cs="仿宋_GB2312"/>
          <w:color w:val="000000"/>
          <w:spacing w:val="-6"/>
          <w:kern w:val="0"/>
          <w:sz w:val="28"/>
          <w:szCs w:val="28"/>
        </w:rPr>
        <w:t>道路状况</w:t>
      </w:r>
      <w:r>
        <w:rPr>
          <w:rFonts w:hint="eastAsia" w:ascii="仿宋_GB2312" w:hAnsi="华文仿宋" w:cs="仿宋_GB2312"/>
          <w:color w:val="auto"/>
          <w:spacing w:val="-6"/>
          <w:kern w:val="0"/>
          <w:sz w:val="28"/>
          <w:szCs w:val="28"/>
        </w:rPr>
        <w:t>：</w:t>
      </w:r>
      <w:r>
        <w:rPr>
          <w:rFonts w:hint="eastAsia"/>
          <w:color w:val="auto"/>
          <w:spacing w:val="-6"/>
          <w:sz w:val="28"/>
        </w:rPr>
        <w:t>评估对象</w:t>
      </w:r>
      <w:r>
        <w:rPr>
          <w:rFonts w:hint="eastAsia"/>
          <w:color w:val="auto"/>
          <w:spacing w:val="-6"/>
          <w:kern w:val="0"/>
          <w:sz w:val="28"/>
          <w:szCs w:val="28"/>
        </w:rPr>
        <w:t>邻</w:t>
      </w:r>
      <w:r>
        <w:rPr>
          <w:rFonts w:hint="eastAsia" w:ascii="仿宋_GB2312"/>
          <w:color w:val="auto"/>
          <w:spacing w:val="-6"/>
          <w:sz w:val="28"/>
        </w:rPr>
        <w:t>近</w:t>
      </w:r>
      <w:r>
        <w:rPr>
          <w:rFonts w:hint="eastAsia" w:ascii="仿宋_GB2312"/>
          <w:color w:val="auto"/>
          <w:spacing w:val="-6"/>
          <w:sz w:val="28"/>
          <w:lang w:eastAsia="zh-CN"/>
        </w:rPr>
        <w:t>恒安南街、居安西路</w:t>
      </w:r>
      <w:r>
        <w:rPr>
          <w:rFonts w:hint="eastAsia"/>
          <w:color w:val="auto"/>
          <w:spacing w:val="-6"/>
          <w:sz w:val="28"/>
        </w:rPr>
        <w:t>城市道路，</w:t>
      </w:r>
      <w:r>
        <w:rPr>
          <w:rFonts w:hint="eastAsia"/>
          <w:color w:val="auto"/>
          <w:spacing w:val="-6"/>
          <w:sz w:val="28"/>
          <w:lang w:val="en-US" w:eastAsia="zh-CN"/>
        </w:rPr>
        <w:t>并且邻近京藏高速路，</w:t>
      </w:r>
      <w:r>
        <w:rPr>
          <w:rFonts w:hint="eastAsia"/>
          <w:color w:val="auto"/>
          <w:spacing w:val="-6"/>
          <w:sz w:val="28"/>
        </w:rPr>
        <w:t>周边路网发达，通达性及可及性好，对内对外交通便捷</w:t>
      </w:r>
      <w:r>
        <w:rPr>
          <w:rFonts w:hint="eastAsia"/>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auto"/>
          <w:kern w:val="0"/>
          <w:szCs w:val="28"/>
        </w:rPr>
      </w:pPr>
      <w:r>
        <w:rPr>
          <w:rFonts w:hint="eastAsia" w:ascii="仿宋_GB2312" w:hAnsi="华文仿宋" w:cs="仿宋_GB2312"/>
          <w:color w:val="000000"/>
          <w:kern w:val="0"/>
          <w:szCs w:val="28"/>
        </w:rPr>
        <w:t>(2)出入可利用的交通工具</w:t>
      </w:r>
      <w:r>
        <w:rPr>
          <w:rFonts w:hint="eastAsia" w:ascii="仿宋_GB2312" w:hAnsi="华文仿宋" w:cs="仿宋_GB2312"/>
          <w:color w:val="auto"/>
          <w:kern w:val="0"/>
          <w:szCs w:val="28"/>
        </w:rPr>
        <w:t>：</w:t>
      </w:r>
      <w:r>
        <w:rPr>
          <w:rFonts w:hint="eastAsia" w:ascii="仿宋_GB2312" w:hAnsi="宋体"/>
          <w:color w:val="auto"/>
        </w:rPr>
        <w:t>评估对象周边通</w:t>
      </w:r>
      <w:r>
        <w:rPr>
          <w:rFonts w:hint="eastAsia" w:ascii="仿宋_GB2312" w:hAnsi="宋体"/>
          <w:color w:val="auto"/>
          <w:lang w:val="en-US" w:eastAsia="zh-CN"/>
        </w:rPr>
        <w:t>301路、313路、317路</w:t>
      </w:r>
      <w:r>
        <w:rPr>
          <w:rFonts w:hint="eastAsia" w:ascii="仿宋_GB2312" w:hAnsi="宋体"/>
          <w:color w:val="auto"/>
        </w:rPr>
        <w:t>等公交车</w:t>
      </w:r>
      <w:r>
        <w:rPr>
          <w:rFonts w:hint="eastAsia" w:ascii="仿宋_GB2312"/>
          <w:color w:val="auto"/>
        </w:rPr>
        <w:t>，公共交通便利度较好。</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000000"/>
          <w:kern w:val="0"/>
          <w:szCs w:val="28"/>
        </w:rPr>
      </w:pPr>
      <w:r>
        <w:rPr>
          <w:rFonts w:hint="eastAsia" w:ascii="仿宋_GB2312" w:hAnsi="华文仿宋" w:cs="仿宋_GB2312"/>
          <w:color w:val="000000"/>
          <w:kern w:val="0"/>
          <w:szCs w:val="28"/>
        </w:rPr>
        <w:t>(3)交通管制情况：无交通管制情况。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hAnsi="华文仿宋" w:cs="仿宋_GB2312"/>
          <w:color w:val="000000"/>
          <w:spacing w:val="-6"/>
          <w:kern w:val="0"/>
          <w:sz w:val="28"/>
          <w:szCs w:val="28"/>
        </w:rPr>
      </w:pPr>
      <w:r>
        <w:rPr>
          <w:rFonts w:hint="eastAsia" w:ascii="仿宋_GB2312" w:hAnsi="华文仿宋" w:cs="仿宋_GB2312"/>
          <w:color w:val="000000"/>
          <w:kern w:val="0"/>
          <w:szCs w:val="28"/>
        </w:rPr>
        <w:t>(4)</w:t>
      </w:r>
      <w:r>
        <w:rPr>
          <w:rFonts w:hint="eastAsia" w:ascii="仿宋_GB2312" w:hAnsi="华文仿宋" w:cs="仿宋_GB2312"/>
          <w:color w:val="000000"/>
          <w:spacing w:val="-6"/>
          <w:kern w:val="0"/>
          <w:sz w:val="28"/>
          <w:szCs w:val="28"/>
        </w:rPr>
        <w:t>停车方便程度：</w:t>
      </w:r>
      <w:r>
        <w:rPr>
          <w:rFonts w:hint="eastAsia" w:ascii="仿宋_GB2312"/>
          <w:color w:val="000000"/>
          <w:spacing w:val="-6"/>
          <w:sz w:val="28"/>
          <w:lang w:eastAsia="zh-CN"/>
        </w:rPr>
        <w:t>评估对象所在小区内有停车车位，停车便捷度较好</w:t>
      </w:r>
      <w:r>
        <w:rPr>
          <w:rFonts w:hint="eastAsia" w:ascii="仿宋_GB2312"/>
          <w:color w:val="000000"/>
          <w:spacing w:val="-6"/>
          <w:sz w:val="28"/>
        </w:rPr>
        <w:t>。</w:t>
      </w:r>
    </w:p>
    <w:p>
      <w:pPr>
        <w:keepNext w:val="0"/>
        <w:keepLines w:val="0"/>
        <w:pageBreakBefore w:val="0"/>
        <w:widowControl w:val="0"/>
        <w:tabs>
          <w:tab w:val="center" w:pos="4673"/>
        </w:tabs>
        <w:kinsoku/>
        <w:wordWrap/>
        <w:overflowPunct/>
        <w:topLinePunct w:val="0"/>
        <w:bidi w:val="0"/>
        <w:snapToGrid/>
        <w:spacing w:line="460" w:lineRule="exact"/>
        <w:ind w:firstLine="560" w:firstLineChars="200"/>
        <w:textAlignment w:val="auto"/>
        <w:rPr>
          <w:rFonts w:hint="eastAsia" w:ascii="仿宋_GB2312"/>
          <w:color w:val="000000"/>
        </w:rPr>
      </w:pPr>
      <w:r>
        <w:rPr>
          <w:rFonts w:hint="eastAsia" w:ascii="仿宋_GB2312"/>
          <w:color w:val="000000"/>
        </w:rPr>
        <w:t>4.外部配套设施状况描述</w:t>
      </w:r>
    </w:p>
    <w:p>
      <w:pPr>
        <w:keepNext w:val="0"/>
        <w:keepLines w:val="0"/>
        <w:pageBreakBefore w:val="0"/>
        <w:widowControl w:val="0"/>
        <w:tabs>
          <w:tab w:val="center" w:pos="4673"/>
        </w:tabs>
        <w:kinsoku/>
        <w:wordWrap/>
        <w:overflowPunct/>
        <w:topLinePunct w:val="0"/>
        <w:bidi w:val="0"/>
        <w:snapToGrid/>
        <w:spacing w:line="460" w:lineRule="exact"/>
        <w:ind w:firstLine="560" w:firstLineChars="200"/>
        <w:textAlignment w:val="auto"/>
        <w:rPr>
          <w:rFonts w:hint="eastAsia" w:ascii="仿宋_GB2312"/>
          <w:color w:val="000000"/>
        </w:rPr>
      </w:pPr>
      <w:r>
        <w:rPr>
          <w:rFonts w:hint="eastAsia" w:ascii="仿宋_GB2312" w:hAnsi="华文仿宋" w:cs="仿宋_GB2312"/>
          <w:color w:val="000000"/>
          <w:kern w:val="0"/>
          <w:szCs w:val="28"/>
        </w:rPr>
        <w:t>(1)</w:t>
      </w:r>
      <w:r>
        <w:rPr>
          <w:rFonts w:hint="eastAsia" w:ascii="仿宋_GB2312"/>
          <w:color w:val="000000"/>
        </w:rPr>
        <w:t>外部基础设施：评估对象宗地外“七通”（通路、通电、通讯、通上水、通下水、通暖、通气），基础设施完备。</w:t>
      </w:r>
    </w:p>
    <w:p>
      <w:pPr>
        <w:keepNext w:val="0"/>
        <w:keepLines w:val="0"/>
        <w:pageBreakBefore w:val="0"/>
        <w:widowControl w:val="0"/>
        <w:tabs>
          <w:tab w:val="center" w:pos="4673"/>
        </w:tabs>
        <w:kinsoku/>
        <w:wordWrap/>
        <w:overflowPunct/>
        <w:topLinePunct w:val="0"/>
        <w:bidi w:val="0"/>
        <w:snapToGrid/>
        <w:spacing w:line="460" w:lineRule="exact"/>
        <w:ind w:firstLine="560" w:firstLineChars="200"/>
        <w:jc w:val="left"/>
        <w:textAlignment w:val="auto"/>
        <w:rPr>
          <w:rFonts w:hint="eastAsia" w:ascii="仿宋_GB2312"/>
          <w:color w:val="auto"/>
        </w:rPr>
      </w:pPr>
      <w:r>
        <w:rPr>
          <w:rFonts w:hint="eastAsia" w:ascii="仿宋_GB2312" w:hAnsi="华文仿宋" w:cs="仿宋_GB2312"/>
          <w:color w:val="000000"/>
          <w:kern w:val="0"/>
          <w:szCs w:val="28"/>
        </w:rPr>
        <w:t>(2)</w:t>
      </w:r>
      <w:r>
        <w:rPr>
          <w:rFonts w:hint="eastAsia" w:ascii="仿宋_GB2312"/>
          <w:color w:val="000000"/>
        </w:rPr>
        <w:t>外部公共服务设施：</w:t>
      </w:r>
      <w:r>
        <w:rPr>
          <w:rFonts w:hint="eastAsia" w:ascii="仿宋_GB2312"/>
          <w:color w:val="auto"/>
        </w:rPr>
        <w:t>评估对象周边有</w:t>
      </w:r>
      <w:r>
        <w:rPr>
          <w:rFonts w:hint="eastAsia" w:ascii="仿宋_GB2312"/>
          <w:color w:val="auto"/>
          <w:lang w:eastAsia="zh-CN"/>
        </w:rPr>
        <w:t>银川电商物流园、凯阳广场、欣兰广场、中国石油加油站、贺兰县第三小学、贺兰县回民小学等，区域公共配套设施完备度优。</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5.周围环境状况描述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hAnsi="华文仿宋" w:cs="仿宋_GB2312"/>
          <w:color w:val="000000"/>
          <w:kern w:val="0"/>
          <w:szCs w:val="28"/>
        </w:rPr>
        <w:t>(1)</w:t>
      </w:r>
      <w:r>
        <w:rPr>
          <w:rFonts w:hint="eastAsia" w:ascii="仿宋_GB2312"/>
          <w:color w:val="000000"/>
        </w:rPr>
        <w:t>自然环境：评估对象所在区域以住宅</w:t>
      </w:r>
      <w:r>
        <w:rPr>
          <w:rFonts w:hint="eastAsia" w:ascii="仿宋_GB2312"/>
          <w:color w:val="000000"/>
          <w:lang w:val="en-US" w:eastAsia="zh-CN"/>
        </w:rPr>
        <w:t>和商业</w:t>
      </w:r>
      <w:r>
        <w:rPr>
          <w:rFonts w:hint="eastAsia" w:ascii="仿宋_GB2312"/>
          <w:color w:val="000000"/>
        </w:rPr>
        <w:t>为主，周边环境卫生状况较好，无明显空气污染，自然环境较好。</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hAnsi="华文仿宋" w:cs="仿宋_GB2312"/>
          <w:color w:val="000000"/>
          <w:kern w:val="0"/>
          <w:szCs w:val="28"/>
        </w:rPr>
        <w:t>(2)</w:t>
      </w:r>
      <w:r>
        <w:rPr>
          <w:rFonts w:hint="eastAsia" w:ascii="仿宋_GB2312"/>
          <w:color w:val="000000"/>
        </w:rPr>
        <w:t>人文环境：评估对象所在区域以</w:t>
      </w:r>
      <w:r>
        <w:rPr>
          <w:rFonts w:hint="eastAsia" w:ascii="仿宋_GB2312"/>
          <w:color w:val="000000"/>
          <w:lang w:eastAsia="zh-CN"/>
        </w:rPr>
        <w:t>住宅和商业为主</w:t>
      </w:r>
      <w:r>
        <w:rPr>
          <w:rFonts w:hint="eastAsia" w:ascii="仿宋_GB2312"/>
          <w:color w:val="000000"/>
        </w:rPr>
        <w:t>，治安状况较好，人文环境较好。</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FF0000"/>
        </w:rPr>
      </w:pPr>
      <w:r>
        <w:rPr>
          <w:rFonts w:hint="eastAsia" w:ascii="仿宋_GB2312" w:hAnsi="华文仿宋" w:cs="仿宋_GB2312"/>
          <w:color w:val="000000"/>
          <w:kern w:val="0"/>
          <w:szCs w:val="28"/>
        </w:rPr>
        <w:t>(3)</w:t>
      </w:r>
      <w:r>
        <w:rPr>
          <w:rFonts w:hint="eastAsia" w:ascii="仿宋_GB2312"/>
          <w:color w:val="000000"/>
        </w:rPr>
        <w:t>景观：</w:t>
      </w:r>
      <w:r>
        <w:rPr>
          <w:rFonts w:hint="eastAsia" w:ascii="仿宋_GB2312"/>
          <w:color w:val="auto"/>
        </w:rPr>
        <w:t>评估对象所在</w:t>
      </w:r>
      <w:r>
        <w:rPr>
          <w:rFonts w:hint="eastAsia" w:ascii="仿宋_GB2312"/>
          <w:color w:val="auto"/>
          <w:lang w:val="en-US" w:eastAsia="zh-CN"/>
        </w:rPr>
        <w:t>区域景观主要为小区景观</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hAnsi="华文仿宋" w:cs="仿宋_GB2312"/>
          <w:color w:val="000000"/>
          <w:kern w:val="0"/>
          <w:szCs w:val="28"/>
        </w:rPr>
        <w:t>(4)</w:t>
      </w:r>
      <w:r>
        <w:rPr>
          <w:rFonts w:hint="eastAsia" w:ascii="仿宋_GB2312"/>
          <w:color w:val="000000"/>
        </w:rPr>
        <w:t>噪音：评估对象所在区域无明显噪音</w:t>
      </w:r>
      <w:r>
        <w:rPr>
          <w:rFonts w:hint="eastAsia" w:ascii="仿宋_GB2312" w:hAnsi="华文仿宋" w:cs="仿宋_GB2312"/>
          <w:color w:val="000000"/>
          <w:kern w:val="0"/>
          <w:szCs w:val="28"/>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b/>
          <w:color w:val="000000"/>
        </w:rPr>
      </w:pPr>
      <w:r>
        <w:rPr>
          <w:rFonts w:hint="eastAsia" w:ascii="仿宋_GB2312"/>
          <w:b/>
          <w:color w:val="000000"/>
        </w:rPr>
        <w:t>(三)评估对象实物状况</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1</w:t>
      </w:r>
      <w:r>
        <w:rPr>
          <w:rFonts w:hint="eastAsia" w:ascii="仿宋_GB2312" w:hAnsi="仿宋"/>
          <w:color w:val="000000"/>
        </w:rPr>
        <w:t>.</w:t>
      </w:r>
      <w:r>
        <w:rPr>
          <w:rFonts w:hint="eastAsia" w:ascii="仿宋_GB2312"/>
          <w:color w:val="000000"/>
        </w:rPr>
        <w:t>土地实物状况描述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color w:val="000000"/>
        </w:rPr>
        <w:t>(1)名称：评估对象为</w:t>
      </w:r>
      <w:r>
        <w:rPr>
          <w:rFonts w:hint="eastAsia" w:ascii="仿宋_GB2312"/>
          <w:color w:val="000000"/>
          <w:lang w:val="en-US" w:eastAsia="zh-CN"/>
        </w:rPr>
        <w:t>贺兰县居安西路明珠花园14号楼3单元202室住宅用房</w:t>
      </w:r>
      <w:r>
        <w:rPr>
          <w:rFonts w:hint="eastAsia" w:ascii="仿宋_GB2312"/>
          <w:color w:val="000000"/>
        </w:rPr>
        <w:t>所分摊的土地。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FF0000"/>
        </w:rPr>
      </w:pPr>
      <w:r>
        <w:rPr>
          <w:rFonts w:hint="eastAsia" w:ascii="仿宋_GB2312"/>
          <w:color w:val="000000"/>
        </w:rPr>
        <w:t>(2)四至：</w:t>
      </w:r>
      <w:r>
        <w:rPr>
          <w:rFonts w:hint="eastAsia" w:ascii="仿宋_GB2312"/>
          <w:color w:val="auto"/>
        </w:rPr>
        <w:t>评估对象所占用的土地为分摊用地，评估委托人未提供评估对象所对应分摊土地的宗地图，故评估对象所分摊土地四至无法确定。</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FF0000"/>
        </w:rPr>
      </w:pPr>
      <w:r>
        <w:rPr>
          <w:rFonts w:hint="eastAsia" w:ascii="仿宋_GB2312"/>
          <w:color w:val="000000"/>
        </w:rPr>
        <w:t>(3)面积：评估对象分摊土地面积</w:t>
      </w:r>
      <w:r>
        <w:rPr>
          <w:rFonts w:hint="eastAsia" w:ascii="仿宋_GB2312"/>
          <w:color w:val="000000"/>
          <w:lang w:eastAsia="zh-CN"/>
        </w:rPr>
        <w:t>为</w:t>
      </w:r>
      <w:r>
        <w:rPr>
          <w:rFonts w:hint="eastAsia" w:ascii="仿宋_GB2312"/>
          <w:color w:val="000000"/>
          <w:lang w:val="en-US" w:eastAsia="zh-CN"/>
        </w:rPr>
        <w:t>27.66平方米</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color w:val="000000"/>
        </w:rPr>
        <w:t>(4)用途：评估对象所在土地用途为</w:t>
      </w:r>
      <w:r>
        <w:rPr>
          <w:rFonts w:hint="eastAsia" w:ascii="仿宋_GB2312"/>
          <w:color w:val="000000"/>
          <w:lang w:val="en-US" w:eastAsia="zh-CN"/>
        </w:rPr>
        <w:t>城镇住宅</w:t>
      </w:r>
      <w:r>
        <w:rPr>
          <w:rFonts w:hint="eastAsia" w:ascii="仿宋_GB2312"/>
          <w:color w:val="000000"/>
        </w:rPr>
        <w:t>用地。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color w:val="000000"/>
        </w:rPr>
        <w:t>(5)形状：评估对象是分摊的土地，故其形状无法确定。</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auto"/>
        </w:rPr>
      </w:pPr>
      <w:r>
        <w:rPr>
          <w:rFonts w:hint="eastAsia" w:ascii="仿宋_GB2312"/>
          <w:color w:val="000000"/>
        </w:rPr>
        <w:t>(6)土地使用期限：</w:t>
      </w:r>
      <w:r>
        <w:rPr>
          <w:rFonts w:hint="eastAsia" w:ascii="仿宋_GB2312"/>
          <w:color w:val="auto"/>
          <w:lang w:eastAsia="zh-CN"/>
        </w:rPr>
        <w:t>土地终止日期为20</w:t>
      </w:r>
      <w:r>
        <w:rPr>
          <w:rFonts w:hint="eastAsia" w:ascii="仿宋_GB2312"/>
          <w:color w:val="auto"/>
          <w:lang w:val="en-US" w:eastAsia="zh-CN"/>
        </w:rPr>
        <w:t>47</w:t>
      </w:r>
      <w:r>
        <w:rPr>
          <w:rFonts w:hint="eastAsia" w:ascii="仿宋_GB2312"/>
          <w:color w:val="auto"/>
          <w:lang w:eastAsia="zh-CN"/>
        </w:rPr>
        <w:t>年</w:t>
      </w:r>
      <w:r>
        <w:rPr>
          <w:rFonts w:hint="eastAsia" w:ascii="仿宋_GB2312"/>
          <w:color w:val="auto"/>
          <w:lang w:val="en-US" w:eastAsia="zh-CN"/>
        </w:rPr>
        <w:t>03</w:t>
      </w:r>
      <w:r>
        <w:rPr>
          <w:rFonts w:hint="eastAsia" w:ascii="仿宋_GB2312"/>
          <w:color w:val="auto"/>
          <w:lang w:eastAsia="zh-CN"/>
        </w:rPr>
        <w:t>月</w:t>
      </w:r>
      <w:r>
        <w:rPr>
          <w:rFonts w:hint="eastAsia" w:ascii="仿宋_GB2312"/>
          <w:color w:val="auto"/>
          <w:lang w:val="en-US" w:eastAsia="zh-CN"/>
        </w:rPr>
        <w:t>26</w:t>
      </w:r>
      <w:r>
        <w:rPr>
          <w:rFonts w:hint="eastAsia" w:ascii="仿宋_GB2312"/>
          <w:color w:val="auto"/>
          <w:lang w:eastAsia="zh-CN"/>
        </w:rPr>
        <w:t>日</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color w:val="000000"/>
        </w:rPr>
        <w:t>(7)地形地势：至价值时点，评估对象所在宗地地势平坦。</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b/>
          <w:color w:val="000000"/>
        </w:rPr>
      </w:pPr>
      <w:r>
        <w:rPr>
          <w:rFonts w:hint="eastAsia" w:ascii="仿宋_GB2312"/>
          <w:color w:val="000000"/>
        </w:rPr>
        <w:t>(8)开发程度：至价值时点，</w:t>
      </w:r>
      <w:r>
        <w:rPr>
          <w:rFonts w:ascii="仿宋_GB2312"/>
          <w:color w:val="000000"/>
        </w:rPr>
        <w:t>宗地外已达到</w:t>
      </w:r>
      <w:r>
        <w:rPr>
          <w:rFonts w:hint="eastAsia" w:ascii="仿宋_GB2312"/>
          <w:color w:val="000000"/>
        </w:rPr>
        <w:t>“</w:t>
      </w:r>
      <w:r>
        <w:rPr>
          <w:rFonts w:ascii="仿宋_GB2312"/>
          <w:color w:val="000000"/>
        </w:rPr>
        <w:t>七通</w:t>
      </w:r>
      <w:r>
        <w:rPr>
          <w:rFonts w:hint="eastAsia" w:ascii="仿宋_GB2312"/>
          <w:color w:val="000000"/>
        </w:rPr>
        <w:t>”（</w:t>
      </w:r>
      <w:r>
        <w:rPr>
          <w:rFonts w:ascii="仿宋_GB2312"/>
          <w:color w:val="000000"/>
        </w:rPr>
        <w:t>即通路、通电、通讯、</w:t>
      </w:r>
      <w:r>
        <w:rPr>
          <w:rFonts w:hint="eastAsia" w:ascii="仿宋_GB2312"/>
          <w:color w:val="000000"/>
        </w:rPr>
        <w:t>通</w:t>
      </w:r>
      <w:r>
        <w:rPr>
          <w:rFonts w:ascii="仿宋_GB2312"/>
          <w:color w:val="000000"/>
        </w:rPr>
        <w:t>上水、</w:t>
      </w:r>
      <w:r>
        <w:rPr>
          <w:rFonts w:hint="eastAsia" w:ascii="仿宋_GB2312"/>
          <w:color w:val="000000"/>
        </w:rPr>
        <w:t>通下水</w:t>
      </w:r>
      <w:r>
        <w:rPr>
          <w:rFonts w:ascii="仿宋_GB2312"/>
          <w:color w:val="000000"/>
        </w:rPr>
        <w:t>、通暖、通气</w:t>
      </w:r>
      <w:r>
        <w:rPr>
          <w:rFonts w:hint="eastAsia" w:ascii="仿宋_GB2312"/>
          <w:color w:val="000000"/>
        </w:rPr>
        <w:t>）</w:t>
      </w:r>
      <w:r>
        <w:rPr>
          <w:rFonts w:ascii="仿宋_GB2312"/>
          <w:color w:val="000000"/>
        </w:rPr>
        <w:t>的开发程度</w:t>
      </w:r>
      <w:r>
        <w:rPr>
          <w:rFonts w:hint="eastAsia" w:ascii="仿宋_GB2312"/>
          <w:color w:val="000000"/>
        </w:rPr>
        <w:t>，</w:t>
      </w:r>
      <w:r>
        <w:rPr>
          <w:rFonts w:ascii="仿宋_GB2312"/>
          <w:color w:val="000000"/>
        </w:rPr>
        <w:t>宗地内已达到</w:t>
      </w:r>
      <w:r>
        <w:rPr>
          <w:rFonts w:hint="eastAsia" w:ascii="仿宋_GB2312"/>
          <w:color w:val="000000"/>
        </w:rPr>
        <w:t>“七</w:t>
      </w:r>
      <w:r>
        <w:rPr>
          <w:rFonts w:ascii="仿宋_GB2312"/>
          <w:color w:val="000000"/>
        </w:rPr>
        <w:t>通一平</w:t>
      </w:r>
      <w:r>
        <w:rPr>
          <w:rFonts w:hint="eastAsia" w:ascii="仿宋_GB2312"/>
          <w:color w:val="000000"/>
        </w:rPr>
        <w:t>”（</w:t>
      </w:r>
      <w:r>
        <w:rPr>
          <w:rFonts w:ascii="仿宋_GB2312"/>
          <w:color w:val="000000"/>
        </w:rPr>
        <w:t>即通路、通电、通讯、通上水、</w:t>
      </w:r>
      <w:r>
        <w:rPr>
          <w:rFonts w:hint="eastAsia" w:ascii="仿宋_GB2312"/>
          <w:color w:val="000000"/>
        </w:rPr>
        <w:t>通下水</w:t>
      </w:r>
      <w:r>
        <w:rPr>
          <w:rFonts w:ascii="仿宋_GB2312"/>
          <w:color w:val="000000"/>
        </w:rPr>
        <w:t>、通暖、通气及场地平整</w:t>
      </w:r>
      <w:r>
        <w:rPr>
          <w:rFonts w:hint="eastAsia" w:ascii="仿宋_GB2312"/>
          <w:color w:val="000000"/>
        </w:rPr>
        <w:t>）</w:t>
      </w:r>
      <w:r>
        <w:rPr>
          <w:rFonts w:ascii="仿宋_GB2312"/>
          <w:color w:val="000000"/>
        </w:rPr>
        <w:t>的开发程度。</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2.建筑物实物状况描述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(1)名称：评估对象为</w:t>
      </w:r>
      <w:r>
        <w:rPr>
          <w:rFonts w:hint="eastAsia" w:ascii="仿宋_GB2312"/>
          <w:color w:val="000000"/>
          <w:lang w:val="en-US" w:eastAsia="zh-CN"/>
        </w:rPr>
        <w:t>贺兰县居安西路明珠花园14号楼3单元202室住宅用房</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(2)坐落：评估对象位于</w:t>
      </w:r>
      <w:r>
        <w:rPr>
          <w:rFonts w:hint="eastAsia" w:ascii="仿宋_GB2312"/>
          <w:color w:val="000000"/>
          <w:lang w:eastAsia="zh-CN"/>
        </w:rPr>
        <w:t>银川市贺兰县居安西路明珠花园14号楼3单元202室</w:t>
      </w:r>
      <w:r>
        <w:rPr>
          <w:rFonts w:hint="eastAsia" w:ascii="仿宋_GB2312"/>
          <w:color w:val="000000"/>
        </w:rPr>
        <w:t>，</w:t>
      </w:r>
      <w:r>
        <w:rPr>
          <w:rFonts w:hint="eastAsia" w:ascii="仿宋_GB2312" w:hAnsi="华文仿宋" w:cs="仿宋_GB2312"/>
          <w:color w:val="000000"/>
          <w:kern w:val="0"/>
          <w:szCs w:val="28"/>
          <w:lang w:val="en-US" w:eastAsia="zh-CN"/>
        </w:rPr>
        <w:t>评估对象所在单元为步行梯，20</w:t>
      </w:r>
      <w:r>
        <w:rPr>
          <w:rFonts w:hint="eastAsia" w:ascii="仿宋_GB2312" w:hAnsi="华文仿宋" w:cs="仿宋_GB2312"/>
          <w:color w:val="000000"/>
          <w:kern w:val="0"/>
          <w:szCs w:val="28"/>
          <w:lang w:eastAsia="zh-CN"/>
        </w:rPr>
        <w:t>2室</w:t>
      </w:r>
      <w:r>
        <w:rPr>
          <w:rFonts w:hint="eastAsia" w:ascii="仿宋_GB2312" w:hAnsi="华文仿宋" w:cs="仿宋_GB2312"/>
          <w:color w:val="000000"/>
          <w:kern w:val="0"/>
          <w:szCs w:val="28"/>
          <w:lang w:val="en-US" w:eastAsia="zh-CN"/>
        </w:rPr>
        <w:t>位于西户。</w:t>
      </w:r>
      <w:r>
        <w:rPr>
          <w:rFonts w:hint="eastAsia" w:ascii="仿宋_GB2312"/>
          <w:color w:val="000000"/>
        </w:rPr>
        <w:t>评估对象所在小区四至为</w:t>
      </w:r>
      <w:r>
        <w:rPr>
          <w:rFonts w:hint="eastAsia" w:ascii="仿宋_GB2312"/>
          <w:color w:val="000000"/>
          <w:lang w:eastAsia="zh-CN"/>
        </w:rPr>
        <w:t>东至恒安南街，南至京藏高速，西至京藏高速，北至居安西路</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auto"/>
        </w:rPr>
      </w:pPr>
      <w:r>
        <w:rPr>
          <w:rFonts w:hint="eastAsia" w:ascii="仿宋_GB2312"/>
          <w:color w:val="000000"/>
        </w:rPr>
        <w:t>(3)规模：</w:t>
      </w:r>
      <w:r>
        <w:rPr>
          <w:rFonts w:hint="eastAsia" w:ascii="仿宋_GB2312"/>
          <w:color w:val="auto"/>
        </w:rPr>
        <w:t>评估对象住宅建筑面积为</w:t>
      </w:r>
      <w:r>
        <w:rPr>
          <w:rFonts w:hint="eastAsia" w:ascii="仿宋_GB2312"/>
          <w:color w:val="auto"/>
          <w:lang w:eastAsia="zh-CN"/>
        </w:rPr>
        <w:t>136.07平方米</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(4)用途：评估对象规划用途为住宅，现</w:t>
      </w:r>
      <w:r>
        <w:rPr>
          <w:rFonts w:hint="eastAsia" w:ascii="仿宋_GB2312"/>
          <w:color w:val="000000"/>
          <w:lang w:eastAsia="zh-CN"/>
        </w:rPr>
        <w:t>自用</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(5)层数：评估对象所处建筑物</w:t>
      </w:r>
      <w:r>
        <w:rPr>
          <w:rFonts w:hint="eastAsia" w:ascii="仿宋_GB2312"/>
          <w:color w:val="000000"/>
          <w:lang w:eastAsia="zh-CN"/>
        </w:rPr>
        <w:t>总层数为</w:t>
      </w:r>
      <w:r>
        <w:rPr>
          <w:rFonts w:hint="eastAsia" w:ascii="仿宋_GB2312"/>
          <w:color w:val="000000"/>
          <w:lang w:val="en-US" w:eastAsia="zh-CN"/>
        </w:rPr>
        <w:t>5</w:t>
      </w:r>
      <w:r>
        <w:rPr>
          <w:rFonts w:hint="eastAsia" w:ascii="仿宋_GB2312"/>
          <w:color w:val="000000"/>
          <w:lang w:eastAsia="zh-CN"/>
        </w:rPr>
        <w:t>层</w:t>
      </w:r>
      <w:r>
        <w:rPr>
          <w:rFonts w:hint="eastAsia" w:ascii="仿宋_GB2312"/>
          <w:color w:val="000000"/>
        </w:rPr>
        <w:t>，</w:t>
      </w:r>
      <w:r>
        <w:rPr>
          <w:rFonts w:hint="eastAsia" w:ascii="仿宋_GB2312"/>
          <w:color w:val="000000"/>
          <w:lang w:eastAsia="zh-CN"/>
        </w:rPr>
        <w:t>评估对象处于第</w:t>
      </w:r>
      <w:r>
        <w:rPr>
          <w:rFonts w:hint="eastAsia" w:ascii="仿宋_GB2312"/>
          <w:color w:val="000000"/>
          <w:lang w:val="en-US" w:eastAsia="zh-CN"/>
        </w:rPr>
        <w:t>2</w:t>
      </w:r>
      <w:r>
        <w:rPr>
          <w:rFonts w:hint="eastAsia" w:ascii="仿宋_GB2312"/>
          <w:color w:val="000000"/>
          <w:lang w:eastAsia="zh-CN"/>
        </w:rPr>
        <w:t>层西户</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auto"/>
        </w:rPr>
      </w:pPr>
      <w:r>
        <w:rPr>
          <w:rFonts w:hint="eastAsia" w:ascii="仿宋_GB2312"/>
          <w:color w:val="000000"/>
        </w:rPr>
        <w:t>(6)建成时间</w:t>
      </w:r>
      <w:r>
        <w:rPr>
          <w:rFonts w:hint="eastAsia" w:ascii="仿宋_GB2312"/>
          <w:color w:val="auto"/>
        </w:rPr>
        <w:t>：评估对象</w:t>
      </w:r>
      <w:r>
        <w:rPr>
          <w:rFonts w:hint="eastAsia" w:ascii="仿宋_GB2312"/>
          <w:color w:val="auto"/>
          <w:lang w:val="en-US" w:eastAsia="zh-CN"/>
        </w:rPr>
        <w:t>2008</w:t>
      </w:r>
      <w:r>
        <w:rPr>
          <w:rFonts w:hint="eastAsia" w:ascii="仿宋_GB2312"/>
          <w:color w:val="auto"/>
          <w:lang w:eastAsia="zh-CN"/>
        </w:rPr>
        <w:t>年建成</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auto"/>
        </w:rPr>
      </w:pPr>
      <w:r>
        <w:rPr>
          <w:rFonts w:hint="eastAsia" w:ascii="仿宋_GB2312"/>
          <w:color w:val="auto"/>
        </w:rPr>
        <w:t>(7)建筑结构：评估对象为</w:t>
      </w:r>
      <w:r>
        <w:rPr>
          <w:rFonts w:hint="eastAsia" w:ascii="仿宋_GB2312"/>
          <w:color w:val="auto"/>
          <w:lang w:val="en-US" w:eastAsia="zh-CN"/>
        </w:rPr>
        <w:t>混合结构</w:t>
      </w:r>
      <w:r>
        <w:rPr>
          <w:rFonts w:hint="eastAsia" w:ascii="仿宋_GB2312"/>
          <w:color w:val="auto"/>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(8)设施设备：评估对象上水、下水、采暖、通讯、燃气、电等设施齐全。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000000"/>
        </w:rPr>
      </w:pPr>
      <w:r>
        <w:rPr>
          <w:rFonts w:hint="eastAsia" w:ascii="仿宋_GB2312"/>
          <w:color w:val="000000"/>
        </w:rPr>
        <w:t>(9)空间布局：评估对象</w:t>
      </w:r>
      <w:r>
        <w:rPr>
          <w:rFonts w:hint="eastAsia" w:ascii="仿宋_GB2312"/>
          <w:color w:val="000000"/>
          <w:lang w:val="en-US" w:eastAsia="zh-CN"/>
        </w:rPr>
        <w:t>现状</w:t>
      </w:r>
      <w:r>
        <w:rPr>
          <w:rFonts w:hint="eastAsia" w:ascii="仿宋_GB2312"/>
          <w:color w:val="000000"/>
        </w:rPr>
        <w:t>为</w:t>
      </w:r>
      <w:r>
        <w:rPr>
          <w:rFonts w:hint="eastAsia" w:ascii="仿宋_GB2312"/>
          <w:color w:val="000000"/>
          <w:lang w:val="en-US" w:eastAsia="zh-CN"/>
        </w:rPr>
        <w:t>三室两厅两卫一厨</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eastAsia="仿宋_GB2312"/>
          <w:color w:val="000000"/>
          <w:lang w:val="en-US" w:eastAsia="zh-CN"/>
        </w:rPr>
      </w:pPr>
      <w:r>
        <w:rPr>
          <w:rFonts w:hint="eastAsia" w:ascii="仿宋_GB2312"/>
          <w:color w:val="000000"/>
        </w:rPr>
        <w:t>(10)装饰装修：经注册房地产估价师</w:t>
      </w:r>
      <w:r>
        <w:rPr>
          <w:rFonts w:hint="eastAsia" w:ascii="仿宋_GB2312"/>
          <w:color w:val="000000"/>
          <w:lang w:eastAsia="zh-CN"/>
        </w:rPr>
        <w:t>实地查勘</w:t>
      </w:r>
      <w:r>
        <w:rPr>
          <w:rFonts w:hint="eastAsia" w:ascii="仿宋_GB2312"/>
          <w:color w:val="000000"/>
        </w:rPr>
        <w:t>，评估对象所处建筑物为一幢</w:t>
      </w:r>
      <w:r>
        <w:rPr>
          <w:rFonts w:hint="eastAsia" w:ascii="仿宋_GB2312"/>
          <w:color w:val="000000"/>
          <w:lang w:val="en-US" w:eastAsia="zh-CN"/>
        </w:rPr>
        <w:t>5</w:t>
      </w:r>
      <w:r>
        <w:rPr>
          <w:rFonts w:hint="eastAsia" w:ascii="仿宋_GB2312"/>
          <w:color w:val="000000"/>
        </w:rPr>
        <w:t>层住宅楼，</w:t>
      </w:r>
      <w:r>
        <w:rPr>
          <w:rFonts w:hint="eastAsia" w:ascii="仿宋_GB2312"/>
          <w:color w:val="000000"/>
          <w:lang w:val="en-US" w:eastAsia="zh-CN"/>
        </w:rPr>
        <w:t>室内空间布局合理，户型为三室两厅两卫一厨，朝向</w:t>
      </w:r>
      <w:r>
        <w:rPr>
          <w:rFonts w:hint="eastAsia" w:ascii="仿宋_GB2312"/>
          <w:color w:val="000000"/>
        </w:rPr>
        <w:t>坐</w:t>
      </w:r>
      <w:r>
        <w:rPr>
          <w:rFonts w:hint="eastAsia" w:ascii="仿宋_GB2312"/>
          <w:color w:val="000000"/>
          <w:lang w:eastAsia="zh-CN"/>
        </w:rPr>
        <w:t>北</w:t>
      </w:r>
      <w:r>
        <w:rPr>
          <w:rFonts w:hint="eastAsia" w:ascii="仿宋_GB2312"/>
          <w:color w:val="000000"/>
        </w:rPr>
        <w:t>朝</w:t>
      </w:r>
      <w:r>
        <w:rPr>
          <w:rFonts w:hint="eastAsia" w:ascii="仿宋_GB2312"/>
          <w:color w:val="000000"/>
          <w:lang w:eastAsia="zh-CN"/>
        </w:rPr>
        <w:t>南</w:t>
      </w:r>
      <w:r>
        <w:rPr>
          <w:rFonts w:hint="eastAsia" w:ascii="仿宋_GB2312"/>
          <w:color w:val="000000"/>
        </w:rPr>
        <w:t>。评估对象</w:t>
      </w:r>
      <w:r>
        <w:rPr>
          <w:rFonts w:hint="eastAsia" w:ascii="仿宋_GB2312"/>
          <w:color w:val="000000"/>
          <w:lang w:val="en-US" w:eastAsia="zh-CN"/>
        </w:rPr>
        <w:t>外墙贴防水面砖，</w:t>
      </w:r>
      <w:r>
        <w:rPr>
          <w:rFonts w:hint="eastAsia" w:ascii="仿宋_GB2312"/>
          <w:color w:val="000000"/>
        </w:rPr>
        <w:t>室内</w:t>
      </w:r>
      <w:r>
        <w:rPr>
          <w:rFonts w:hint="eastAsia" w:ascii="仿宋_GB2312"/>
          <w:color w:val="000000"/>
          <w:lang w:val="en-US" w:eastAsia="zh-CN"/>
        </w:rPr>
        <w:t>客厅地面铺瓷砖，</w:t>
      </w:r>
      <w:r>
        <w:rPr>
          <w:rFonts w:hint="eastAsia" w:ascii="仿宋_GB2312"/>
          <w:color w:val="000000"/>
        </w:rPr>
        <w:t>墙面贴壁</w:t>
      </w:r>
      <w:r>
        <w:rPr>
          <w:rFonts w:hint="eastAsia" w:ascii="仿宋_GB2312"/>
          <w:color w:val="000000"/>
          <w:lang w:val="en-US" w:eastAsia="zh-CN"/>
        </w:rPr>
        <w:t>纸，顶棚为石膏造型装饰吊顶；卧室地面铺瓷砖，墙面贴壁纸，顶棚刷乳胶漆；</w:t>
      </w:r>
      <w:r>
        <w:rPr>
          <w:rFonts w:hint="eastAsia" w:ascii="仿宋_GB2312"/>
          <w:color w:val="000000"/>
        </w:rPr>
        <w:t>厨房及卫生间地面铺地瓷砖，墙面贴瓷砖</w:t>
      </w:r>
      <w:r>
        <w:rPr>
          <w:rFonts w:hint="eastAsia" w:ascii="仿宋_GB2312"/>
          <w:color w:val="000000"/>
          <w:lang w:eastAsia="zh-CN"/>
        </w:rPr>
        <w:t>至顶</w:t>
      </w:r>
      <w:r>
        <w:rPr>
          <w:rFonts w:hint="eastAsia" w:ascii="仿宋_GB2312"/>
          <w:color w:val="000000"/>
        </w:rPr>
        <w:t>，</w:t>
      </w:r>
      <w:r>
        <w:rPr>
          <w:rFonts w:hint="eastAsia" w:ascii="仿宋_GB2312"/>
          <w:color w:val="000000"/>
          <w:lang w:eastAsia="zh-CN"/>
        </w:rPr>
        <w:t>顶棚</w:t>
      </w:r>
      <w:r>
        <w:rPr>
          <w:rFonts w:hint="eastAsia" w:ascii="仿宋_GB2312"/>
          <w:color w:val="000000"/>
        </w:rPr>
        <w:t>为集成吊顶</w:t>
      </w:r>
      <w:r>
        <w:rPr>
          <w:rFonts w:hint="eastAsia" w:ascii="仿宋_GB2312"/>
          <w:color w:val="000000"/>
          <w:lang w:eastAsia="zh-CN"/>
        </w:rPr>
        <w:t>，厨房安装有</w:t>
      </w:r>
      <w:r>
        <w:rPr>
          <w:rFonts w:hint="eastAsia" w:ascii="仿宋_GB2312"/>
          <w:color w:val="000000"/>
          <w:lang w:val="en-US" w:eastAsia="zh-CN"/>
        </w:rPr>
        <w:t>玻璃推拉门、</w:t>
      </w:r>
      <w:r>
        <w:rPr>
          <w:rFonts w:hint="eastAsia" w:ascii="仿宋_GB2312"/>
          <w:color w:val="000000"/>
        </w:rPr>
        <w:t>橱柜及灶台；入户门为防盗门，</w:t>
      </w:r>
      <w:r>
        <w:rPr>
          <w:rFonts w:hint="eastAsia" w:ascii="仿宋_GB2312"/>
          <w:color w:val="000000"/>
          <w:lang w:eastAsia="zh-CN"/>
        </w:rPr>
        <w:t>室内安装套装木门、塑钢窗</w:t>
      </w:r>
      <w:r>
        <w:rPr>
          <w:rFonts w:hint="eastAsia" w:ascii="仿宋_GB2312"/>
          <w:color w:val="000000"/>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color w:val="000000"/>
        </w:rPr>
      </w:pPr>
      <w:r>
        <w:rPr>
          <w:rFonts w:hint="eastAsia" w:ascii="仿宋_GB2312"/>
          <w:color w:val="000000"/>
        </w:rPr>
        <w:t>(11)使用及维护状况：</w:t>
      </w:r>
      <w:r>
        <w:rPr>
          <w:rFonts w:hint="eastAsia" w:ascii="仿宋_GB2312"/>
          <w:color w:val="auto"/>
        </w:rPr>
        <w:t>现</w:t>
      </w:r>
      <w:r>
        <w:rPr>
          <w:rFonts w:hint="eastAsia" w:ascii="仿宋_GB2312"/>
          <w:color w:val="auto"/>
          <w:lang w:eastAsia="zh-CN"/>
        </w:rPr>
        <w:t>自用</w:t>
      </w:r>
      <w:r>
        <w:rPr>
          <w:rFonts w:hint="eastAsia" w:ascii="仿宋_GB2312"/>
          <w:color w:val="auto"/>
        </w:rPr>
        <w:t>，</w:t>
      </w:r>
      <w:r>
        <w:rPr>
          <w:rFonts w:hint="eastAsia" w:ascii="仿宋_GB2312"/>
          <w:color w:val="000000"/>
        </w:rPr>
        <w:t>维护保养状况</w:t>
      </w:r>
      <w:r>
        <w:rPr>
          <w:rFonts w:hint="eastAsia" w:ascii="仿宋_GB2312"/>
          <w:color w:val="000000"/>
          <w:lang w:val="en-US" w:eastAsia="zh-CN"/>
        </w:rPr>
        <w:t>较好</w:t>
      </w:r>
      <w:r>
        <w:rPr>
          <w:rFonts w:hint="eastAsia" w:ascii="仿宋_GB2312"/>
          <w:color w:val="000000"/>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_GB2312"/>
          <w:b/>
          <w:color w:val="000000"/>
        </w:rPr>
      </w:pPr>
      <w:r>
        <w:rPr>
          <w:rFonts w:hint="eastAsia" w:ascii="仿宋_GB2312"/>
          <w:b/>
          <w:color w:val="000000"/>
        </w:rPr>
        <w:t>(四)评估对象权益状况</w:t>
      </w:r>
    </w:p>
    <w:p>
      <w:pPr>
        <w:keepNext w:val="0"/>
        <w:keepLines w:val="0"/>
        <w:pageBreakBefore w:val="0"/>
        <w:widowControl w:val="0"/>
        <w:tabs>
          <w:tab w:val="left" w:pos="851"/>
          <w:tab w:val="left" w:pos="1134"/>
          <w:tab w:val="left" w:pos="1560"/>
        </w:tabs>
        <w:kinsoku/>
        <w:wordWrap/>
        <w:overflowPunct/>
        <w:topLinePunct w:val="0"/>
        <w:bidi w:val="0"/>
        <w:adjustRightInd w:val="0"/>
        <w:snapToGrid w:val="0"/>
        <w:spacing w:line="460" w:lineRule="exact"/>
        <w:ind w:firstLine="560" w:firstLineChars="200"/>
        <w:rPr>
          <w:color w:val="auto"/>
          <w:kern w:val="0"/>
          <w:szCs w:val="28"/>
        </w:rPr>
      </w:pPr>
      <w:r>
        <w:rPr>
          <w:rFonts w:hint="eastAsia" w:ascii="仿宋_GB2312" w:hAnsi="仿宋"/>
          <w:color w:val="auto"/>
        </w:rPr>
        <w:t>根据</w:t>
      </w:r>
      <w:r>
        <w:rPr>
          <w:rFonts w:hint="eastAsia" w:ascii="仿宋_GB2312" w:hAnsi="仿宋"/>
          <w:color w:val="auto"/>
          <w:lang w:eastAsia="zh-CN"/>
        </w:rPr>
        <w:t>评估</w:t>
      </w:r>
      <w:r>
        <w:rPr>
          <w:rFonts w:hint="eastAsia" w:ascii="仿宋_GB2312" w:hAnsi="仿宋"/>
          <w:color w:val="auto"/>
        </w:rPr>
        <w:t>委托人提供的</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贺兰县不动产登记信息查询单</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w:t>
      </w:r>
      <w:r>
        <w:rPr>
          <w:rFonts w:hint="eastAsia" w:ascii="仿宋_GB2312" w:hAnsi="仿宋" w:cs="仿宋_GB2312"/>
          <w:color w:val="auto"/>
          <w:kern w:val="0"/>
          <w:szCs w:val="28"/>
          <w:lang w:val="en-US" w:eastAsia="zh-CN"/>
        </w:rPr>
        <w:t>查询编号：1539489424003018754）</w:t>
      </w:r>
      <w:r>
        <w:rPr>
          <w:rFonts w:hint="eastAsia" w:ascii="仿宋_GB2312" w:hAnsi="仿宋"/>
          <w:color w:val="auto"/>
        </w:rPr>
        <w:t>记载</w:t>
      </w:r>
      <w:r>
        <w:rPr>
          <w:rFonts w:hint="eastAsia"/>
          <w:color w:val="auto"/>
          <w:kern w:val="0"/>
          <w:szCs w:val="28"/>
        </w:rPr>
        <w:t>，确定</w:t>
      </w:r>
      <w:r>
        <w:rPr>
          <w:rFonts w:hint="eastAsia"/>
          <w:color w:val="auto"/>
          <w:kern w:val="0"/>
          <w:szCs w:val="28"/>
          <w:lang w:eastAsia="zh-CN"/>
        </w:rPr>
        <w:t>评估对象</w:t>
      </w:r>
      <w:r>
        <w:rPr>
          <w:rFonts w:hint="eastAsia"/>
          <w:color w:val="auto"/>
          <w:kern w:val="0"/>
          <w:szCs w:val="28"/>
        </w:rPr>
        <w:t>权益状况如下：</w:t>
      </w:r>
    </w:p>
    <w:p>
      <w:pPr>
        <w:keepNext w:val="0"/>
        <w:keepLines w:val="0"/>
        <w:pageBreakBefore w:val="0"/>
        <w:widowControl w:val="0"/>
        <w:tabs>
          <w:tab w:val="center" w:pos="4673"/>
        </w:tabs>
        <w:kinsoku/>
        <w:wordWrap/>
        <w:overflowPunct/>
        <w:topLinePunct w:val="0"/>
        <w:bidi w:val="0"/>
        <w:adjustRightInd w:val="0"/>
        <w:spacing w:line="460" w:lineRule="exact"/>
        <w:ind w:firstLine="560" w:firstLineChars="200"/>
        <w:rPr>
          <w:rFonts w:ascii="仿宋_GB2312" w:hAnsi="仿宋"/>
          <w:color w:val="auto"/>
          <w:szCs w:val="28"/>
        </w:rPr>
      </w:pPr>
      <w:r>
        <w:rPr>
          <w:rFonts w:hint="eastAsia" w:ascii="仿宋_GB2312" w:hAnsi="仿宋"/>
          <w:color w:val="auto"/>
          <w:szCs w:val="28"/>
        </w:rPr>
        <w:t>1.房屋所有权状况：</w:t>
      </w:r>
      <w:r>
        <w:rPr>
          <w:rFonts w:hint="eastAsia" w:ascii="仿宋_GB2312" w:hAnsi="仿宋"/>
          <w:color w:val="auto"/>
          <w:szCs w:val="28"/>
          <w:lang w:eastAsia="zh-CN"/>
        </w:rPr>
        <w:t>评估对象</w:t>
      </w:r>
      <w:r>
        <w:rPr>
          <w:rFonts w:hint="eastAsia" w:ascii="仿宋_GB2312" w:hAnsi="仿宋"/>
          <w:color w:val="auto"/>
          <w:szCs w:val="28"/>
        </w:rPr>
        <w:t>权利人为</w:t>
      </w:r>
      <w:r>
        <w:rPr>
          <w:rFonts w:hint="eastAsia" w:ascii="仿宋_GB2312"/>
          <w:color w:val="auto"/>
          <w:lang w:eastAsia="zh-CN"/>
        </w:rPr>
        <w:t>丁华、张启菲</w:t>
      </w:r>
      <w:r>
        <w:rPr>
          <w:rFonts w:hint="eastAsia" w:ascii="仿宋_GB2312" w:hAnsi="仿宋"/>
          <w:color w:val="auto"/>
          <w:szCs w:val="28"/>
        </w:rPr>
        <w:t>。</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rPr>
          <w:color w:val="auto"/>
          <w:kern w:val="0"/>
          <w:szCs w:val="28"/>
        </w:rPr>
      </w:pPr>
      <w:r>
        <w:rPr>
          <w:rFonts w:hint="eastAsia" w:ascii="仿宋_GB2312" w:hAnsi="仿宋"/>
          <w:color w:val="auto"/>
          <w:szCs w:val="28"/>
        </w:rPr>
        <w:t>2.规划</w:t>
      </w:r>
      <w:r>
        <w:rPr>
          <w:rFonts w:hint="eastAsia"/>
          <w:color w:val="auto"/>
          <w:kern w:val="0"/>
          <w:szCs w:val="28"/>
        </w:rPr>
        <w:t>用途：</w:t>
      </w:r>
      <w:r>
        <w:rPr>
          <w:rFonts w:hint="eastAsia" w:ascii="仿宋_GB2312"/>
          <w:color w:val="auto"/>
        </w:rPr>
        <w:t>住宅</w:t>
      </w:r>
      <w:r>
        <w:rPr>
          <w:rFonts w:hint="eastAsia"/>
          <w:color w:val="auto"/>
          <w:kern w:val="0"/>
          <w:szCs w:val="28"/>
        </w:rPr>
        <w:t>。</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rPr>
          <w:color w:val="auto"/>
          <w:kern w:val="0"/>
          <w:szCs w:val="28"/>
        </w:rPr>
      </w:pPr>
      <w:r>
        <w:rPr>
          <w:rFonts w:hint="eastAsia" w:ascii="仿宋_GB2312" w:hAnsi="仿宋"/>
          <w:color w:val="auto"/>
          <w:szCs w:val="28"/>
        </w:rPr>
        <w:t>3.实际</w:t>
      </w:r>
      <w:r>
        <w:rPr>
          <w:rFonts w:hint="eastAsia"/>
          <w:color w:val="auto"/>
          <w:kern w:val="0"/>
          <w:szCs w:val="28"/>
        </w:rPr>
        <w:t>用途：</w:t>
      </w:r>
      <w:r>
        <w:rPr>
          <w:rFonts w:hint="eastAsia"/>
          <w:color w:val="auto"/>
          <w:kern w:val="0"/>
          <w:szCs w:val="28"/>
          <w:lang w:eastAsia="zh-CN"/>
        </w:rPr>
        <w:t>住宅</w:t>
      </w:r>
      <w:r>
        <w:rPr>
          <w:rFonts w:hint="eastAsia"/>
          <w:color w:val="auto"/>
          <w:kern w:val="0"/>
          <w:szCs w:val="28"/>
        </w:rPr>
        <w:t>。</w:t>
      </w:r>
    </w:p>
    <w:p>
      <w:pPr>
        <w:keepNext w:val="0"/>
        <w:keepLines w:val="0"/>
        <w:pageBreakBefore w:val="0"/>
        <w:widowControl w:val="0"/>
        <w:tabs>
          <w:tab w:val="left" w:pos="851"/>
          <w:tab w:val="left" w:pos="1134"/>
          <w:tab w:val="left" w:pos="1560"/>
        </w:tabs>
        <w:kinsoku/>
        <w:wordWrap/>
        <w:overflowPunct/>
        <w:topLinePunct w:val="0"/>
        <w:bidi w:val="0"/>
        <w:adjustRightInd w:val="0"/>
        <w:snapToGrid w:val="0"/>
        <w:spacing w:line="460" w:lineRule="exact"/>
        <w:ind w:firstLine="560" w:firstLineChars="200"/>
        <w:rPr>
          <w:rFonts w:hint="eastAsia" w:ascii="仿宋_GB2312" w:hAnsi="仿宋" w:cs="仿宋_GB2312"/>
          <w:color w:val="auto"/>
          <w:kern w:val="0"/>
          <w:szCs w:val="28"/>
          <w:lang w:val="en-US" w:eastAsia="zh-CN"/>
        </w:rPr>
      </w:pPr>
      <w:r>
        <w:rPr>
          <w:rFonts w:hint="eastAsia" w:ascii="仿宋_GB2312" w:hAnsi="仿宋" w:cs="仿宋_GB2312"/>
          <w:color w:val="auto"/>
          <w:kern w:val="0"/>
          <w:szCs w:val="28"/>
          <w:lang w:val="en-US" w:eastAsia="zh-CN"/>
        </w:rPr>
        <w:t>4.土地使用权状况：根据评估委托人提供的</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贺兰县不动产登记信息查询单</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w:t>
      </w:r>
      <w:r>
        <w:rPr>
          <w:rFonts w:hint="eastAsia" w:ascii="仿宋_GB2312" w:hAnsi="仿宋" w:cs="仿宋_GB2312"/>
          <w:color w:val="auto"/>
          <w:kern w:val="0"/>
          <w:szCs w:val="28"/>
          <w:lang w:val="en-US" w:eastAsia="zh-CN"/>
        </w:rPr>
        <w:t>查询编号：1539489424003018754）记载，确定土地使用权人为丁华、张启菲。</w:t>
      </w:r>
    </w:p>
    <w:p>
      <w:pPr>
        <w:keepNext w:val="0"/>
        <w:keepLines w:val="0"/>
        <w:pageBreakBefore w:val="0"/>
        <w:widowControl w:val="0"/>
        <w:kinsoku/>
        <w:wordWrap/>
        <w:overflowPunct/>
        <w:topLinePunct w:val="0"/>
        <w:bidi w:val="0"/>
        <w:adjustRightInd w:val="0"/>
        <w:spacing w:line="460" w:lineRule="exact"/>
        <w:ind w:firstLine="560" w:firstLineChars="200"/>
        <w:rPr>
          <w:rFonts w:ascii="仿宋_GB2312" w:hAnsi="仿宋"/>
          <w:color w:val="auto"/>
          <w:szCs w:val="28"/>
        </w:rPr>
      </w:pPr>
      <w:r>
        <w:rPr>
          <w:rFonts w:hint="eastAsia" w:ascii="仿宋_GB2312" w:hAnsi="仿宋"/>
          <w:color w:val="auto"/>
          <w:szCs w:val="28"/>
        </w:rPr>
        <w:t>5.土地使用管制情况：根据评估委托人提供的</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贺兰县不动产登记信息查询单</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w:t>
      </w:r>
      <w:r>
        <w:rPr>
          <w:rFonts w:hint="eastAsia" w:ascii="仿宋_GB2312" w:hAnsi="仿宋" w:cs="仿宋_GB2312"/>
          <w:color w:val="auto"/>
          <w:kern w:val="0"/>
          <w:szCs w:val="28"/>
          <w:lang w:val="en-US" w:eastAsia="zh-CN"/>
        </w:rPr>
        <w:t>查询编号：1539489424003018754）</w:t>
      </w:r>
      <w:r>
        <w:rPr>
          <w:rFonts w:hint="eastAsia" w:ascii="仿宋_GB2312" w:hAnsi="仿宋"/>
          <w:color w:val="auto"/>
          <w:szCs w:val="28"/>
        </w:rPr>
        <w:t>记载，评估对象</w:t>
      </w:r>
      <w:r>
        <w:rPr>
          <w:rFonts w:hint="eastAsia" w:ascii="仿宋_GB2312" w:hAnsi="仿宋"/>
          <w:color w:val="auto"/>
          <w:szCs w:val="28"/>
          <w:lang w:val="en-US" w:eastAsia="zh-CN"/>
        </w:rPr>
        <w:t>占用的土地使用权类型为国有建设用地使用权/房屋所有权,地类（</w:t>
      </w:r>
      <w:r>
        <w:rPr>
          <w:rFonts w:hint="eastAsia" w:ascii="仿宋_GB2312" w:hAnsi="仿宋"/>
          <w:color w:val="auto"/>
          <w:szCs w:val="28"/>
        </w:rPr>
        <w:t>用途</w:t>
      </w:r>
      <w:r>
        <w:rPr>
          <w:rFonts w:hint="eastAsia" w:ascii="仿宋_GB2312" w:hAnsi="仿宋"/>
          <w:color w:val="auto"/>
          <w:szCs w:val="28"/>
          <w:lang w:eastAsia="zh-CN"/>
        </w:rPr>
        <w:t>）</w:t>
      </w:r>
      <w:r>
        <w:rPr>
          <w:rFonts w:hint="eastAsia" w:ascii="仿宋_GB2312" w:hAnsi="仿宋"/>
          <w:color w:val="auto"/>
          <w:szCs w:val="28"/>
        </w:rPr>
        <w:t>为</w:t>
      </w:r>
      <w:r>
        <w:rPr>
          <w:rFonts w:hint="eastAsia" w:ascii="仿宋_GB2312" w:hAnsi="仿宋"/>
          <w:color w:val="auto"/>
          <w:szCs w:val="28"/>
          <w:lang w:val="en-US" w:eastAsia="zh-CN"/>
        </w:rPr>
        <w:t>城镇住宅</w:t>
      </w:r>
      <w:r>
        <w:rPr>
          <w:rFonts w:hint="eastAsia" w:ascii="仿宋_GB2312" w:hAnsi="仿宋"/>
          <w:color w:val="auto"/>
          <w:szCs w:val="28"/>
        </w:rPr>
        <w:t>用地</w:t>
      </w:r>
      <w:r>
        <w:rPr>
          <w:rFonts w:hint="eastAsia" w:ascii="仿宋_GB2312" w:hAnsi="仿宋"/>
          <w:color w:val="auto"/>
          <w:szCs w:val="28"/>
          <w:lang w:eastAsia="zh-CN"/>
        </w:rPr>
        <w:t>，</w:t>
      </w:r>
      <w:r>
        <w:rPr>
          <w:rFonts w:hint="eastAsia" w:ascii="仿宋_GB2312" w:hAnsi="仿宋"/>
          <w:color w:val="auto"/>
          <w:szCs w:val="28"/>
          <w:lang w:val="en-US" w:eastAsia="zh-CN"/>
        </w:rPr>
        <w:t>土地性质为出让，</w:t>
      </w:r>
      <w:r>
        <w:rPr>
          <w:rFonts w:hint="eastAsia" w:ascii="仿宋_GB2312" w:hAnsi="仿宋"/>
          <w:color w:val="auto"/>
          <w:szCs w:val="28"/>
          <w:lang w:eastAsia="zh-CN"/>
        </w:rPr>
        <w:t>土地</w:t>
      </w:r>
      <w:r>
        <w:rPr>
          <w:rFonts w:hint="eastAsia" w:ascii="仿宋_GB2312" w:hAnsi="仿宋"/>
          <w:color w:val="auto"/>
          <w:szCs w:val="28"/>
        </w:rPr>
        <w:t>终止日期为</w:t>
      </w:r>
      <w:r>
        <w:rPr>
          <w:rFonts w:hint="eastAsia" w:ascii="仿宋_GB2312" w:hAnsi="仿宋"/>
          <w:color w:val="auto"/>
          <w:szCs w:val="28"/>
          <w:lang w:eastAsia="zh-CN"/>
        </w:rPr>
        <w:t>20</w:t>
      </w:r>
      <w:r>
        <w:rPr>
          <w:rFonts w:hint="eastAsia" w:ascii="仿宋_GB2312" w:hAnsi="仿宋"/>
          <w:color w:val="auto"/>
          <w:szCs w:val="28"/>
          <w:lang w:val="en-US" w:eastAsia="zh-CN"/>
        </w:rPr>
        <w:t>47</w:t>
      </w:r>
      <w:r>
        <w:rPr>
          <w:rFonts w:hint="eastAsia" w:ascii="仿宋_GB2312" w:hAnsi="仿宋"/>
          <w:color w:val="auto"/>
          <w:szCs w:val="28"/>
          <w:lang w:eastAsia="zh-CN"/>
        </w:rPr>
        <w:t>年</w:t>
      </w:r>
      <w:r>
        <w:rPr>
          <w:rFonts w:hint="eastAsia" w:ascii="仿宋_GB2312" w:hAnsi="仿宋"/>
          <w:color w:val="auto"/>
          <w:szCs w:val="28"/>
          <w:lang w:val="en-US" w:eastAsia="zh-CN"/>
        </w:rPr>
        <w:t>03</w:t>
      </w:r>
      <w:r>
        <w:rPr>
          <w:rFonts w:hint="eastAsia" w:ascii="仿宋_GB2312" w:hAnsi="仿宋"/>
          <w:color w:val="auto"/>
          <w:szCs w:val="28"/>
          <w:lang w:eastAsia="zh-CN"/>
        </w:rPr>
        <w:t>月</w:t>
      </w:r>
      <w:r>
        <w:rPr>
          <w:rFonts w:hint="eastAsia" w:ascii="仿宋_GB2312" w:hAnsi="仿宋"/>
          <w:color w:val="auto"/>
          <w:szCs w:val="28"/>
          <w:lang w:val="en-US" w:eastAsia="zh-CN"/>
        </w:rPr>
        <w:t>26</w:t>
      </w:r>
      <w:r>
        <w:rPr>
          <w:rFonts w:hint="eastAsia" w:ascii="仿宋_GB2312" w:hAnsi="仿宋"/>
          <w:color w:val="auto"/>
          <w:szCs w:val="28"/>
          <w:lang w:eastAsia="zh-CN"/>
        </w:rPr>
        <w:t>日</w:t>
      </w:r>
      <w:r>
        <w:rPr>
          <w:rFonts w:hint="eastAsia" w:ascii="仿宋_GB2312" w:hAnsi="仿宋"/>
          <w:color w:val="auto"/>
          <w:szCs w:val="28"/>
        </w:rPr>
        <w:t>。</w:t>
      </w:r>
    </w:p>
    <w:p>
      <w:pPr>
        <w:keepNext w:val="0"/>
        <w:keepLines w:val="0"/>
        <w:pageBreakBefore w:val="0"/>
        <w:widowControl w:val="0"/>
        <w:tabs>
          <w:tab w:val="center" w:pos="4673"/>
        </w:tabs>
        <w:kinsoku/>
        <w:wordWrap/>
        <w:overflowPunct/>
        <w:topLinePunct w:val="0"/>
        <w:bidi w:val="0"/>
        <w:adjustRightInd w:val="0"/>
        <w:spacing w:line="460" w:lineRule="exact"/>
        <w:ind w:firstLine="560" w:firstLineChars="200"/>
        <w:rPr>
          <w:rFonts w:ascii="仿宋_GB2312" w:hAnsi="仿宋"/>
          <w:color w:val="auto"/>
          <w:szCs w:val="28"/>
        </w:rPr>
      </w:pPr>
      <w:r>
        <w:rPr>
          <w:rFonts w:hint="eastAsia" w:ascii="仿宋_GB2312" w:hAnsi="仿宋"/>
          <w:color w:val="auto"/>
          <w:szCs w:val="28"/>
        </w:rPr>
        <w:t>6.共有情况：</w:t>
      </w:r>
      <w:r>
        <w:rPr>
          <w:rFonts w:hint="eastAsia" w:ascii="仿宋_GB2312" w:hAnsi="仿宋"/>
          <w:color w:val="auto"/>
          <w:szCs w:val="28"/>
          <w:lang w:eastAsia="zh-CN"/>
        </w:rPr>
        <w:t>根据《贺兰县不动产登记信息查询单》记载共有情况为单独所有，但同证记载产权人为丁华、张启菲。故提请报告使用人关注。</w:t>
      </w:r>
    </w:p>
    <w:p>
      <w:pPr>
        <w:keepNext w:val="0"/>
        <w:keepLines w:val="0"/>
        <w:pageBreakBefore w:val="0"/>
        <w:widowControl w:val="0"/>
        <w:tabs>
          <w:tab w:val="center" w:pos="4673"/>
        </w:tabs>
        <w:kinsoku/>
        <w:wordWrap/>
        <w:overflowPunct/>
        <w:topLinePunct w:val="0"/>
        <w:bidi w:val="0"/>
        <w:adjustRightInd w:val="0"/>
        <w:spacing w:line="460" w:lineRule="exact"/>
        <w:ind w:firstLine="560" w:firstLineChars="200"/>
        <w:rPr>
          <w:rFonts w:ascii="仿宋_GB2312" w:hAnsi="仿宋"/>
          <w:color w:val="auto"/>
          <w:szCs w:val="28"/>
        </w:rPr>
      </w:pPr>
      <w:r>
        <w:rPr>
          <w:rFonts w:hint="eastAsia" w:ascii="仿宋_GB2312" w:hAnsi="仿宋"/>
          <w:color w:val="auto"/>
          <w:szCs w:val="28"/>
        </w:rPr>
        <w:t>7.用益物权设立情况：</w:t>
      </w:r>
      <w:r>
        <w:rPr>
          <w:rFonts w:hint="eastAsia" w:ascii="仿宋_GB2312"/>
          <w:color w:val="auto"/>
          <w:lang w:eastAsia="zh-CN"/>
        </w:rPr>
        <w:t>评估对象</w:t>
      </w:r>
      <w:r>
        <w:rPr>
          <w:rFonts w:hint="eastAsia" w:ascii="仿宋_GB2312"/>
          <w:color w:val="auto"/>
          <w:kern w:val="0"/>
        </w:rPr>
        <w:t>不存在用益物权。</w:t>
      </w:r>
    </w:p>
    <w:p>
      <w:pPr>
        <w:keepNext w:val="0"/>
        <w:keepLines w:val="0"/>
        <w:pageBreakBefore w:val="0"/>
        <w:widowControl w:val="0"/>
        <w:tabs>
          <w:tab w:val="center" w:pos="4673"/>
        </w:tabs>
        <w:kinsoku/>
        <w:wordWrap/>
        <w:overflowPunct/>
        <w:topLinePunct w:val="0"/>
        <w:bidi w:val="0"/>
        <w:adjustRightInd w:val="0"/>
        <w:spacing w:line="460" w:lineRule="exact"/>
        <w:ind w:firstLine="560" w:firstLineChars="200"/>
        <w:rPr>
          <w:rFonts w:hint="eastAsia" w:ascii="仿宋_GB2312" w:hAnsi="仿宋"/>
          <w:color w:val="auto"/>
          <w:lang w:eastAsia="zh-CN"/>
        </w:rPr>
      </w:pPr>
      <w:r>
        <w:rPr>
          <w:rFonts w:hint="eastAsia" w:ascii="仿宋_GB2312"/>
          <w:color w:val="auto"/>
          <w:kern w:val="0"/>
          <w:szCs w:val="28"/>
        </w:rPr>
        <w:t>8.担保物权设立情况：</w:t>
      </w:r>
      <w:r>
        <w:rPr>
          <w:rFonts w:hint="eastAsia" w:ascii="仿宋_GB2312"/>
          <w:color w:val="auto"/>
        </w:rPr>
        <w:t>根据评估委托人提供的</w:t>
      </w:r>
      <w:r>
        <w:rPr>
          <w:rFonts w:hint="eastAsia" w:ascii="仿宋_GB2312" w:hAnsi="仿宋" w:cs="仿宋_GB2312"/>
          <w:color w:val="auto"/>
          <w:kern w:val="0"/>
          <w:szCs w:val="28"/>
        </w:rPr>
        <w:t>《</w:t>
      </w:r>
      <w:r>
        <w:rPr>
          <w:rFonts w:hint="eastAsia" w:ascii="仿宋_GB2312" w:hAnsi="仿宋" w:cs="仿宋_GB2312"/>
          <w:color w:val="auto"/>
          <w:kern w:val="0"/>
          <w:szCs w:val="28"/>
          <w:lang w:eastAsia="zh-CN"/>
        </w:rPr>
        <w:t>贺兰县不动产登记信息查询单</w:t>
      </w:r>
      <w:r>
        <w:rPr>
          <w:rFonts w:hint="eastAsia" w:ascii="仿宋_GB2312" w:hAnsi="仿宋" w:cs="仿宋_GB2312"/>
          <w:color w:val="auto"/>
          <w:kern w:val="0"/>
          <w:szCs w:val="28"/>
        </w:rPr>
        <w:t>》</w:t>
      </w:r>
      <w:r>
        <w:rPr>
          <w:rFonts w:hint="eastAsia" w:ascii="仿宋_GB2312"/>
          <w:color w:val="auto"/>
        </w:rPr>
        <w:t>记载</w:t>
      </w:r>
      <w:r>
        <w:rPr>
          <w:rFonts w:hint="eastAsia" w:ascii="仿宋_GB2312"/>
          <w:color w:val="auto"/>
          <w:lang w:eastAsia="zh-CN"/>
        </w:rPr>
        <w:t>，</w:t>
      </w:r>
      <w:r>
        <w:rPr>
          <w:rFonts w:hint="eastAsia" w:ascii="仿宋_GB2312"/>
          <w:color w:val="auto"/>
        </w:rPr>
        <w:t>至价值时点，</w:t>
      </w:r>
      <w:r>
        <w:rPr>
          <w:rFonts w:hint="eastAsia" w:ascii="仿宋_GB2312" w:hAnsi="仿宋"/>
          <w:color w:val="auto"/>
        </w:rPr>
        <w:t>评估对象已抵押</w:t>
      </w:r>
      <w:r>
        <w:rPr>
          <w:rFonts w:hint="eastAsia" w:ascii="仿宋_GB2312" w:hAnsi="仿宋"/>
          <w:color w:val="auto"/>
          <w:lang w:eastAsia="zh-CN"/>
        </w:rPr>
        <w:t>，抵押情况如下：</w:t>
      </w:r>
    </w:p>
    <w:tbl>
      <w:tblPr>
        <w:tblStyle w:val="23"/>
        <w:tblW w:w="5353" w:type="pct"/>
        <w:tblInd w:w="-403" w:type="dxa"/>
        <w:shd w:val="clear" w:color="auto" w:fill="auto"/>
        <w:tblLayout w:type="fixed"/>
        <w:tblCellMar>
          <w:top w:w="0" w:type="dxa"/>
          <w:left w:w="108" w:type="dxa"/>
          <w:bottom w:w="0" w:type="dxa"/>
          <w:right w:w="108" w:type="dxa"/>
        </w:tblCellMar>
      </w:tblPr>
      <w:tblGrid>
        <w:gridCol w:w="1137"/>
        <w:gridCol w:w="1676"/>
        <w:gridCol w:w="802"/>
        <w:gridCol w:w="690"/>
        <w:gridCol w:w="1945"/>
        <w:gridCol w:w="1302"/>
        <w:gridCol w:w="1000"/>
        <w:gridCol w:w="1271"/>
      </w:tblGrid>
      <w:tr>
        <w:tblPrEx>
          <w:shd w:val="clear" w:color="auto" w:fill="auto"/>
          <w:tblCellMar>
            <w:top w:w="0" w:type="dxa"/>
            <w:left w:w="108" w:type="dxa"/>
            <w:bottom w:w="0" w:type="dxa"/>
            <w:right w:w="108" w:type="dxa"/>
          </w:tblCellMar>
        </w:tblPrEx>
        <w:trPr>
          <w:trHeight w:val="285" w:hRule="atLeast"/>
        </w:trPr>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业务号</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抵押权人</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抵押人</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抵押方式</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债务履行期限（债权确定期间)</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最高债权确定事实和数额</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不动产登记证明号</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登记时间</w:t>
            </w:r>
          </w:p>
        </w:tc>
      </w:tr>
      <w:tr>
        <w:tblPrEx>
          <w:tblCellMar>
            <w:top w:w="0" w:type="dxa"/>
            <w:left w:w="108" w:type="dxa"/>
            <w:bottom w:w="0" w:type="dxa"/>
            <w:right w:w="108" w:type="dxa"/>
          </w:tblCellMar>
        </w:tblPrEx>
        <w:trPr>
          <w:trHeight w:val="285" w:hRule="atLeast"/>
        </w:trPr>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M000020150126025001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中国工商银行股份有限公司贺兰支行</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丁华</w:t>
            </w:r>
          </w:p>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张启菲</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一般抵押</w:t>
            </w:r>
          </w:p>
        </w:tc>
        <w:tc>
          <w:tcPr>
            <w:tcW w:w="99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2015年01月29日起2030年01月29日止</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37</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36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20150624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s="Times New Roman"/>
                <w:color w:val="auto"/>
                <w:szCs w:val="18"/>
                <w:lang w:val="en-US" w:eastAsia="zh-CN"/>
              </w:rPr>
            </w:pPr>
            <w:r>
              <w:rPr>
                <w:rFonts w:hint="eastAsia" w:ascii="宋体" w:hAnsi="宋体" w:eastAsia="宋体" w:cs="Times New Roman"/>
                <w:color w:val="auto"/>
                <w:szCs w:val="18"/>
                <w:lang w:val="en-US" w:eastAsia="zh-CN"/>
              </w:rPr>
              <w:t>2016年9月17日</w:t>
            </w:r>
          </w:p>
        </w:tc>
      </w:tr>
    </w:tbl>
    <w:p>
      <w:pPr>
        <w:keepNext w:val="0"/>
        <w:keepLines w:val="0"/>
        <w:pageBreakBefore w:val="0"/>
        <w:widowControl w:val="0"/>
        <w:tabs>
          <w:tab w:val="center" w:pos="4673"/>
        </w:tabs>
        <w:kinsoku/>
        <w:wordWrap/>
        <w:overflowPunct/>
        <w:topLinePunct w:val="0"/>
        <w:bidi w:val="0"/>
        <w:adjustRightInd w:val="0"/>
        <w:snapToGrid/>
        <w:spacing w:line="460" w:lineRule="exact"/>
        <w:ind w:firstLine="560" w:firstLineChars="200"/>
        <w:textAlignment w:val="auto"/>
        <w:rPr>
          <w:rFonts w:ascii="仿宋_GB2312" w:hAnsi="仿宋"/>
          <w:color w:val="auto"/>
        </w:rPr>
      </w:pPr>
      <w:r>
        <w:rPr>
          <w:rFonts w:hint="eastAsia" w:ascii="仿宋_GB2312" w:hAnsi="仿宋"/>
          <w:color w:val="auto"/>
          <w:szCs w:val="28"/>
        </w:rPr>
        <w:t>9</w:t>
      </w:r>
      <w:r>
        <w:rPr>
          <w:rFonts w:hint="eastAsia" w:ascii="仿宋_GB2312"/>
          <w:color w:val="auto"/>
          <w:kern w:val="0"/>
          <w:szCs w:val="28"/>
        </w:rPr>
        <w:t>.</w:t>
      </w:r>
      <w:r>
        <w:rPr>
          <w:rFonts w:hint="eastAsia" w:ascii="仿宋_GB2312" w:hAnsi="仿宋"/>
          <w:color w:val="auto"/>
          <w:szCs w:val="28"/>
        </w:rPr>
        <w:t>租赁或占有情况：根据注册房地产估价师实地查勘</w:t>
      </w:r>
      <w:r>
        <w:rPr>
          <w:rFonts w:hint="eastAsia" w:ascii="仿宋_GB2312" w:hAnsi="仿宋"/>
          <w:color w:val="auto"/>
          <w:szCs w:val="28"/>
          <w:lang w:val="en-US" w:eastAsia="zh-CN"/>
        </w:rPr>
        <w:t>及调查了解，</w:t>
      </w:r>
      <w:r>
        <w:rPr>
          <w:rFonts w:hint="eastAsia" w:ascii="仿宋_GB2312"/>
          <w:color w:val="auto"/>
        </w:rPr>
        <w:t>至价值时点，评估对象不存在租赁及占有使用情况</w:t>
      </w:r>
      <w:r>
        <w:rPr>
          <w:rFonts w:hint="eastAsia" w:ascii="仿宋_GB2312" w:hAnsi="仿宋"/>
          <w:color w:val="auto"/>
        </w:rPr>
        <w:t>。</w:t>
      </w:r>
    </w:p>
    <w:p>
      <w:pPr>
        <w:keepNext w:val="0"/>
        <w:keepLines w:val="0"/>
        <w:pageBreakBefore w:val="0"/>
        <w:widowControl w:val="0"/>
        <w:tabs>
          <w:tab w:val="center" w:pos="4673"/>
        </w:tabs>
        <w:kinsoku/>
        <w:wordWrap/>
        <w:overflowPunct/>
        <w:topLinePunct w:val="0"/>
        <w:bidi w:val="0"/>
        <w:adjustRightInd w:val="0"/>
        <w:snapToGrid/>
        <w:spacing w:line="460" w:lineRule="exact"/>
        <w:ind w:firstLine="560" w:firstLineChars="200"/>
        <w:textAlignment w:val="auto"/>
        <w:rPr>
          <w:rFonts w:ascii="仿宋_GB2312" w:hAnsi="仿宋"/>
          <w:color w:val="auto"/>
        </w:rPr>
      </w:pPr>
      <w:r>
        <w:rPr>
          <w:rFonts w:hint="eastAsia" w:ascii="仿宋_GB2312" w:hAnsi="仿宋"/>
          <w:color w:val="auto"/>
          <w:szCs w:val="28"/>
        </w:rPr>
        <w:t>10.</w:t>
      </w:r>
      <w:r>
        <w:rPr>
          <w:rFonts w:hint="eastAsia" w:ascii="仿宋_GB2312"/>
          <w:color w:val="auto"/>
        </w:rPr>
        <w:t>欠缴税金及相关费用</w:t>
      </w:r>
      <w:r>
        <w:rPr>
          <w:rFonts w:hint="eastAsia" w:ascii="仿宋_GB2312" w:hAnsi="仿宋"/>
          <w:color w:val="auto"/>
          <w:szCs w:val="28"/>
        </w:rPr>
        <w:t>：根据注册房地产估价师实地查勘</w:t>
      </w:r>
      <w:r>
        <w:rPr>
          <w:rFonts w:hint="eastAsia" w:ascii="仿宋_GB2312" w:hAnsi="仿宋"/>
          <w:color w:val="auto"/>
          <w:szCs w:val="28"/>
          <w:lang w:val="en-US" w:eastAsia="zh-CN"/>
        </w:rPr>
        <w:t>及调查了解，</w:t>
      </w:r>
      <w:r>
        <w:rPr>
          <w:rFonts w:hint="eastAsia" w:ascii="仿宋_GB2312"/>
          <w:color w:val="auto"/>
        </w:rPr>
        <w:t>至价值时点，评估对象</w:t>
      </w:r>
      <w:r>
        <w:rPr>
          <w:rFonts w:hint="eastAsia" w:ascii="仿宋_GB2312"/>
          <w:color w:val="auto"/>
          <w:lang w:eastAsia="zh-CN"/>
        </w:rPr>
        <w:t>不</w:t>
      </w:r>
      <w:r>
        <w:rPr>
          <w:rFonts w:hint="eastAsia" w:ascii="仿宋_GB2312"/>
          <w:color w:val="auto"/>
        </w:rPr>
        <w:t>存在欠缴</w:t>
      </w:r>
      <w:r>
        <w:rPr>
          <w:rFonts w:hint="eastAsia" w:ascii="仿宋_GB2312"/>
          <w:color w:val="auto"/>
          <w:lang w:eastAsia="zh-CN"/>
        </w:rPr>
        <w:t>税金及相关费用</w:t>
      </w:r>
      <w:r>
        <w:rPr>
          <w:rFonts w:hint="eastAsia" w:ascii="仿宋_GB2312" w:hAnsi="仿宋"/>
          <w:color w:val="auto"/>
          <w:szCs w:val="28"/>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textAlignment w:val="auto"/>
        <w:rPr>
          <w:rFonts w:hint="eastAsia" w:ascii="仿宋_GB2312"/>
          <w:color w:val="auto"/>
          <w:kern w:val="0"/>
          <w:szCs w:val="28"/>
          <w:lang w:val="en-US" w:eastAsia="zh-CN"/>
        </w:rPr>
      </w:pPr>
      <w:r>
        <w:rPr>
          <w:rFonts w:hint="eastAsia" w:ascii="仿宋_GB2312" w:hAnsi="仿宋"/>
          <w:color w:val="auto"/>
          <w:szCs w:val="28"/>
        </w:rPr>
        <w:t>11.查封情况：</w:t>
      </w:r>
      <w:r>
        <w:rPr>
          <w:rFonts w:hint="eastAsia" w:ascii="仿宋_GB2312"/>
          <w:color w:val="auto"/>
        </w:rPr>
        <w:t>根据评估委托人提供的《</w:t>
      </w:r>
      <w:r>
        <w:rPr>
          <w:rFonts w:hint="eastAsia" w:ascii="仿宋_GB2312"/>
          <w:color w:val="auto"/>
          <w:lang w:eastAsia="zh-CN"/>
        </w:rPr>
        <w:t>贺兰县不动产登记信息查询单</w:t>
      </w:r>
      <w:r>
        <w:rPr>
          <w:rFonts w:hint="eastAsia" w:ascii="仿宋_GB2312"/>
          <w:color w:val="auto"/>
        </w:rPr>
        <w:t>》记载，</w:t>
      </w:r>
      <w:r>
        <w:rPr>
          <w:rFonts w:hint="eastAsia" w:ascii="仿宋_GB2312"/>
          <w:color w:val="auto"/>
          <w:lang w:eastAsia="zh-CN"/>
        </w:rPr>
        <w:t>至价值时点，</w:t>
      </w:r>
      <w:r>
        <w:rPr>
          <w:rFonts w:hint="eastAsia" w:ascii="仿宋_GB2312"/>
          <w:color w:val="auto"/>
          <w:kern w:val="0"/>
          <w:szCs w:val="28"/>
          <w:lang w:eastAsia="zh-CN"/>
        </w:rPr>
        <w:t>评估对象已查封，</w:t>
      </w:r>
      <w:r>
        <w:rPr>
          <w:rFonts w:hint="eastAsia" w:ascii="仿宋_GB2312"/>
          <w:color w:val="auto"/>
          <w:kern w:val="0"/>
          <w:szCs w:val="28"/>
          <w:lang w:val="en-US" w:eastAsia="zh-CN"/>
        </w:rPr>
        <w:t>查封信息如下：</w:t>
      </w:r>
    </w:p>
    <w:tbl>
      <w:tblPr>
        <w:tblStyle w:val="23"/>
        <w:tblW w:w="5353" w:type="pct"/>
        <w:tblInd w:w="-392" w:type="dxa"/>
        <w:shd w:val="clear" w:color="auto" w:fill="auto"/>
        <w:tblLayout w:type="fixed"/>
        <w:tblCellMar>
          <w:top w:w="0" w:type="dxa"/>
          <w:left w:w="108" w:type="dxa"/>
          <w:bottom w:w="0" w:type="dxa"/>
          <w:right w:w="108" w:type="dxa"/>
        </w:tblCellMar>
      </w:tblPr>
      <w:tblGrid>
        <w:gridCol w:w="968"/>
        <w:gridCol w:w="944"/>
        <w:gridCol w:w="1282"/>
        <w:gridCol w:w="1383"/>
        <w:gridCol w:w="1948"/>
        <w:gridCol w:w="2110"/>
        <w:gridCol w:w="1188"/>
      </w:tblGrid>
      <w:tr>
        <w:tblPrEx>
          <w:tblCellMar>
            <w:top w:w="0" w:type="dxa"/>
            <w:left w:w="108" w:type="dxa"/>
            <w:bottom w:w="0" w:type="dxa"/>
            <w:right w:w="108" w:type="dxa"/>
          </w:tblCellMar>
        </w:tblPrEx>
        <w:trPr>
          <w:trHeight w:val="285"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业务号</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查封机关</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查封文件</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查封文号</w:t>
            </w: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查封期限</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查封范围</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登记时间</w:t>
            </w:r>
          </w:p>
        </w:tc>
      </w:tr>
      <w:tr>
        <w:tblPrEx>
          <w:tblCellMar>
            <w:top w:w="0" w:type="dxa"/>
            <w:left w:w="108" w:type="dxa"/>
            <w:bottom w:w="0" w:type="dxa"/>
            <w:right w:w="108" w:type="dxa"/>
          </w:tblCellMar>
        </w:tblPrEx>
        <w:trPr>
          <w:trHeight w:val="285" w:hRule="atLeast"/>
        </w:trPr>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HL20220111020701</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贺兰县人民法院</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（2022）宁0122财保4号</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（2022）宁0122执保11号</w:t>
            </w:r>
          </w:p>
        </w:tc>
        <w:tc>
          <w:tcPr>
            <w:tcW w:w="99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2022年01月11日起2025年01月10日止</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贺兰县居安西路明珠花园14号楼3单元202室</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39"/>
              <w:spacing w:line="240" w:lineRule="auto"/>
              <w:rPr>
                <w:rFonts w:hint="eastAsia" w:ascii="宋体" w:hAnsi="宋体" w:eastAsia="宋体"/>
                <w:color w:val="auto"/>
                <w:szCs w:val="18"/>
              </w:rPr>
            </w:pPr>
            <w:r>
              <w:rPr>
                <w:rFonts w:hint="eastAsia" w:ascii="宋体" w:hAnsi="宋体" w:eastAsia="宋体"/>
                <w:color w:val="auto"/>
                <w:szCs w:val="18"/>
                <w:lang w:val="en-US" w:eastAsia="zh-CN"/>
              </w:rPr>
              <w:t>2022年1月11日</w:t>
            </w:r>
          </w:p>
        </w:tc>
      </w:tr>
    </w:tbl>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color w:val="auto"/>
          <w:kern w:val="0"/>
          <w:szCs w:val="28"/>
        </w:rPr>
      </w:pPr>
      <w:r>
        <w:rPr>
          <w:rFonts w:hint="eastAsia" w:ascii="仿宋_GB2312"/>
          <w:color w:val="auto"/>
          <w:kern w:val="0"/>
          <w:szCs w:val="28"/>
        </w:rPr>
        <w:t>12.</w:t>
      </w:r>
      <w:r>
        <w:rPr>
          <w:rFonts w:hint="eastAsia"/>
          <w:color w:val="auto"/>
          <w:kern w:val="0"/>
          <w:szCs w:val="28"/>
        </w:rPr>
        <w:t>其他限制权利情况：根据</w:t>
      </w:r>
      <w:r>
        <w:rPr>
          <w:rFonts w:hint="eastAsia"/>
          <w:color w:val="auto"/>
          <w:kern w:val="0"/>
          <w:szCs w:val="28"/>
          <w:lang w:eastAsia="zh-CN"/>
        </w:rPr>
        <w:t>评估委托人提供的《贺兰县不动产登记信息查询单》记载</w:t>
      </w:r>
      <w:r>
        <w:rPr>
          <w:rFonts w:hint="eastAsia" w:ascii="仿宋_GB2312"/>
          <w:color w:val="auto"/>
          <w:lang w:eastAsia="zh-CN"/>
        </w:rPr>
        <w:t>，</w:t>
      </w:r>
      <w:r>
        <w:rPr>
          <w:rFonts w:hint="eastAsia" w:ascii="仿宋_GB2312" w:hAnsi="仿宋"/>
          <w:color w:val="auto"/>
        </w:rPr>
        <w:t>至价值时点，评估对象无异议、无冻结</w:t>
      </w:r>
      <w:r>
        <w:rPr>
          <w:rFonts w:hint="eastAsia" w:ascii="仿宋_GB2312" w:hAnsi="仿宋"/>
          <w:color w:val="auto"/>
          <w:lang w:eastAsia="zh-CN"/>
        </w:rPr>
        <w:t>等他项权利</w:t>
      </w:r>
      <w:r>
        <w:rPr>
          <w:rFonts w:hint="eastAsia"/>
          <w:color w:val="auto"/>
          <w:kern w:val="0"/>
          <w:szCs w:val="28"/>
        </w:rPr>
        <w:t>。</w:t>
      </w:r>
    </w:p>
    <w:p>
      <w:pPr>
        <w:pStyle w:val="4"/>
        <w:keepNext w:val="0"/>
        <w:keepLines w:val="0"/>
        <w:pageBreakBefore w:val="0"/>
        <w:widowControl w:val="0"/>
        <w:kinsoku/>
        <w:wordWrap/>
        <w:overflowPunct/>
        <w:topLinePunct w:val="0"/>
        <w:autoSpaceDE w:val="0"/>
        <w:autoSpaceDN w:val="0"/>
        <w:bidi w:val="0"/>
        <w:adjustRightInd w:val="0"/>
        <w:snapToGrid/>
        <w:spacing w:before="0" w:after="0" w:line="480" w:lineRule="exact"/>
        <w:ind w:leftChars="100" w:firstLine="280" w:firstLineChars="100"/>
        <w:rPr>
          <w:rFonts w:hint="eastAsia"/>
        </w:rPr>
      </w:pPr>
      <w:bookmarkStart w:id="20" w:name="_Toc92793190"/>
      <w:r>
        <w:rPr>
          <w:rFonts w:hint="eastAsia"/>
        </w:rPr>
        <w:t>五、价值时点</w:t>
      </w:r>
      <w:bookmarkEnd w:id="20"/>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color w:val="000000"/>
        </w:rPr>
      </w:pPr>
      <w:bookmarkStart w:id="21" w:name="_Toc400524102"/>
      <w:r>
        <w:rPr>
          <w:rFonts w:hint="eastAsia" w:ascii="仿宋_GB2312"/>
          <w:color w:val="000000"/>
        </w:rPr>
        <w:t>本次评估的价值时点根据《涉执房地产处置司法评估指导意见（试行）》（中房学﹝2021﹞37号）的规定，结合本次评估目的，以评估对象实地查勘完成之日（</w:t>
      </w:r>
      <w:r>
        <w:rPr>
          <w:rFonts w:hint="eastAsia" w:ascii="仿宋_GB2312"/>
          <w:color w:val="000000"/>
          <w:lang w:eastAsia="zh-CN"/>
        </w:rPr>
        <w:t>2022年6月21日</w:t>
      </w:r>
      <w:r>
        <w:rPr>
          <w:rFonts w:hint="eastAsia" w:ascii="仿宋_GB2312"/>
          <w:color w:val="000000"/>
        </w:rPr>
        <w:t>）作为本次评估对象的价值时点。</w:t>
      </w:r>
    </w:p>
    <w:p>
      <w:pPr>
        <w:pStyle w:val="4"/>
        <w:keepNext w:val="0"/>
        <w:keepLines w:val="0"/>
        <w:pageBreakBefore w:val="0"/>
        <w:widowControl w:val="0"/>
        <w:kinsoku/>
        <w:wordWrap/>
        <w:overflowPunct/>
        <w:topLinePunct w:val="0"/>
        <w:autoSpaceDE w:val="0"/>
        <w:autoSpaceDN w:val="0"/>
        <w:bidi w:val="0"/>
        <w:adjustRightInd w:val="0"/>
        <w:snapToGrid/>
        <w:spacing w:before="0" w:after="0" w:line="480" w:lineRule="exact"/>
        <w:ind w:leftChars="100" w:right="0" w:firstLine="280" w:firstLineChars="100"/>
        <w:rPr>
          <w:rFonts w:hint="eastAsia" w:ascii="仿宋_GB2312"/>
          <w:color w:val="000000"/>
        </w:rPr>
      </w:pPr>
      <w:bookmarkStart w:id="22" w:name="_Toc92793191"/>
      <w:r>
        <w:rPr>
          <w:rFonts w:hint="eastAsia" w:ascii="仿宋_GB2312"/>
          <w:color w:val="000000"/>
        </w:rPr>
        <w:t>六、价值类型</w:t>
      </w:r>
      <w:bookmarkEnd w:id="21"/>
      <w:bookmarkEnd w:id="22"/>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color w:val="000000"/>
        </w:rPr>
      </w:pPr>
      <w:r>
        <w:rPr>
          <w:rFonts w:hint="eastAsia"/>
          <w:color w:val="000000"/>
        </w:rPr>
        <w:t>本评估报告所示价值为市场价格，为评估对象在价值时点的现实房地产市场状况下，满足估价的假设与限制条件，保持规划用途正常使用市场上的平均交易价格。</w:t>
      </w:r>
    </w:p>
    <w:p>
      <w:pPr>
        <w:pStyle w:val="4"/>
        <w:keepNext w:val="0"/>
        <w:keepLines w:val="0"/>
        <w:pageBreakBefore w:val="0"/>
        <w:widowControl w:val="0"/>
        <w:kinsoku/>
        <w:wordWrap/>
        <w:overflowPunct/>
        <w:topLinePunct w:val="0"/>
        <w:autoSpaceDE w:val="0"/>
        <w:autoSpaceDN w:val="0"/>
        <w:bidi w:val="0"/>
        <w:adjustRightInd w:val="0"/>
        <w:snapToGrid/>
        <w:spacing w:before="0" w:after="0" w:line="480" w:lineRule="exact"/>
        <w:ind w:left="0" w:right="0" w:firstLine="560" w:firstLineChars="200"/>
        <w:rPr>
          <w:rFonts w:hint="eastAsia" w:ascii="仿宋_GB2312"/>
          <w:color w:val="000000"/>
        </w:rPr>
      </w:pPr>
      <w:bookmarkStart w:id="23" w:name="_Toc400524104"/>
      <w:bookmarkStart w:id="24" w:name="_Toc92793192"/>
      <w:r>
        <w:rPr>
          <w:rFonts w:hint="eastAsia" w:ascii="仿宋_GB2312"/>
          <w:color w:val="000000"/>
        </w:rPr>
        <w:t>七、</w:t>
      </w:r>
      <w:bookmarkEnd w:id="23"/>
      <w:r>
        <w:rPr>
          <w:rFonts w:hint="eastAsia" w:ascii="仿宋_GB2312"/>
          <w:color w:val="000000"/>
        </w:rPr>
        <w:t>评估原则</w:t>
      </w:r>
      <w:bookmarkEnd w:id="24"/>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color w:val="000000"/>
        </w:rPr>
      </w:pPr>
      <w:r>
        <w:rPr>
          <w:rFonts w:hint="eastAsia"/>
          <w:color w:val="000000"/>
        </w:rPr>
        <w:t>本次评估遵守独立、客观、公正、合法的原则及最高最佳利用原则、价值时点原则、替代原则等房地产评估原则。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color w:val="000000"/>
        </w:rPr>
      </w:pPr>
      <w:r>
        <w:rPr>
          <w:rFonts w:hint="eastAsia" w:ascii="仿宋_GB2312"/>
          <w:b/>
          <w:color w:val="000000"/>
        </w:rPr>
        <w:t>(一)独立、客观、公正原则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color w:val="000000"/>
        </w:rPr>
      </w:pPr>
      <w:r>
        <w:rPr>
          <w:rFonts w:hint="eastAsia"/>
          <w:color w:val="000000"/>
        </w:rPr>
        <w:t>要求房地产估价机构和注册房地产估价师站在中立的立场上，实事求是、公平正直地评估出对各方当事人来说都是公平合理的价值。所谓“独立”，是要求房地产估价机构和注册房地产估价师与评估委托人及评估利害关系人没有利害关系，在评估中不应受包括评估委托人在内的任何单位和个人的影响，应当凭借评估专业知识、经验和应有的职业道德进行评估。所谓“客观”，是要求房地产估价机构和注册房地产估价师在评估中不应带着自己的情感、好恶和偏见，应当按照事物的本来面目、实事求是地进行评估。所谓“公正”，是要求房地产估价机构和注册房地产估价师在评估中不应偏袒评估利害关系人中的任何一方，应当坚持原则、公平正直地进行评估。</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color w:val="000000"/>
        </w:rPr>
      </w:pPr>
      <w:r>
        <w:rPr>
          <w:rFonts w:hint="eastAsia" w:ascii="仿宋_GB2312"/>
          <w:b/>
          <w:color w:val="000000"/>
        </w:rPr>
        <w:t>(二)合法原则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所谓合法，是指符合国家的法律、法规和当地政府的有关规定，即必须经评估对象的合法使用，合法交易或合法处分为前提进行。一是要求价值时点必须确认评估对象具有合法的产权，在无法确认评估对象产权的合法性的情况下必须在评估报告中说明评估过程和结论是在假定评估具有合法产权的情况下才是有效的；二是要求在评估时所涉及的评估对象的用途必须是合法的；三是要求在评估中如果涉及评估对象的交易的处分方式时，该交易或处分方式必须是合法的。</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color w:val="000000"/>
        </w:rPr>
      </w:pPr>
      <w:r>
        <w:rPr>
          <w:rFonts w:hint="eastAsia" w:ascii="仿宋_GB2312"/>
          <w:b/>
          <w:color w:val="000000"/>
        </w:rPr>
        <w:t>(三)最高最佳利用原则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hAnsi="Times New Roman" w:cs="Times New Roman"/>
          <w:color w:val="auto"/>
        </w:rPr>
        <w:t>要求评估结果是在评估对象最高最佳利用状况下的价值或价格。所谓最高最佳利用是指法律上允许，技术上可能，财务上可行并使价值最大的合理、可能的利用。经过充分合理的论证并能给评估对象带来最高价值的使用，它的具体表现是以能使评估对象获利最多的用途和开发强度来衡量，也就是说评估价格应是在合法利用方式下各种可能的利用方式中，能获得最大收益的利用方式的评估结果。这是因为在房地产市场中每位房地产拥有者在主观上都试图充分发挥房地产的潜力，采用最高最佳的利用方式，取得最大的收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color w:val="000000"/>
        </w:rPr>
      </w:pPr>
      <w:r>
        <w:rPr>
          <w:rFonts w:hint="eastAsia" w:ascii="仿宋_GB2312"/>
          <w:b/>
          <w:color w:val="000000"/>
        </w:rPr>
        <w:t>(四)价值时点原则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要求评估结果是在根据评估目的确定的某一特定时间的价值或价格。价值时点原则强调的是评估结论具有很强的时间相关性和时效性，评估结论首先具有很强的时间相关性，主要考虑到资金的时间价值，在不同的时间点上发生的现金流量对其价值影响是不同的。所以，在房地产评估时统一规定：如果一些款项的发生时点与价值时点不一致，应当折算为价值时点的现值。评估结论同时具有很强的时效性，因为影响房地产价格的因素是不断变化的，房地产市场是不断变化的，评估对象随着时间的流逝也可能发生变化，从而房地产价格和价值是不断变化的。所以强调：评估结果是评估对象在价值时点的价格，不能将该评估结果作为评估对象在其他时点的价格。</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color w:val="000000"/>
        </w:rPr>
      </w:pPr>
      <w:r>
        <w:rPr>
          <w:rFonts w:hint="eastAsia" w:ascii="仿宋_GB2312"/>
          <w:b/>
          <w:color w:val="000000"/>
        </w:rPr>
        <w:t>(五)替代原则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color w:val="000000"/>
        </w:rPr>
      </w:pPr>
      <w:r>
        <w:rPr>
          <w:rFonts w:hint="eastAsia" w:ascii="仿宋_GB2312"/>
          <w:color w:val="000000"/>
        </w:rPr>
        <w:t>替代原则要求评估结果与评估对象的类似房地产在同等条件下的价值或价格偏差在合理范围内。替代原则的理论依据是同一市场上相同物品具有相同市场价格的经济学原理。它是保证房地产评估能够通过选用市场资料进行和完成的重要理论前提，只有承认同一市场上相同物品具有相同的市场价格，才有可能根据市场资料对评估对象进行评估。替代原则是要说明，受其它具有相同使用价值的房地产，即同类型具有替代可能的房地产价格所牵制，换言之，具有相同使用价值、替代可能的房地产之间，会相互影响和竞争，使价格相互牵制而趋于一致。</w:t>
      </w:r>
    </w:p>
    <w:p>
      <w:pPr>
        <w:pStyle w:val="4"/>
        <w:keepNext w:val="0"/>
        <w:keepLines w:val="0"/>
        <w:pageBreakBefore w:val="0"/>
        <w:widowControl w:val="0"/>
        <w:kinsoku/>
        <w:wordWrap/>
        <w:overflowPunct/>
        <w:topLinePunct w:val="0"/>
        <w:autoSpaceDE w:val="0"/>
        <w:autoSpaceDN w:val="0"/>
        <w:bidi w:val="0"/>
        <w:adjustRightInd w:val="0"/>
        <w:snapToGrid/>
        <w:spacing w:before="0" w:after="0" w:line="480" w:lineRule="exact"/>
        <w:ind w:left="0" w:right="0" w:firstLine="560" w:firstLineChars="200"/>
        <w:rPr>
          <w:rFonts w:hint="eastAsia" w:ascii="仿宋_GB2312"/>
          <w:color w:val="000000"/>
        </w:rPr>
      </w:pPr>
      <w:bookmarkStart w:id="25" w:name="_Toc400524103"/>
      <w:bookmarkStart w:id="26" w:name="_Toc92793193"/>
      <w:r>
        <w:rPr>
          <w:rFonts w:hint="eastAsia" w:ascii="仿宋_GB2312"/>
          <w:color w:val="000000"/>
        </w:rPr>
        <w:t>八、</w:t>
      </w:r>
      <w:bookmarkEnd w:id="25"/>
      <w:r>
        <w:rPr>
          <w:rFonts w:hint="eastAsia" w:ascii="仿宋_GB2312"/>
          <w:color w:val="000000"/>
        </w:rPr>
        <w:t>评估依据</w:t>
      </w:r>
      <w:bookmarkEnd w:id="26"/>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ascii="仿宋_GB2312"/>
          <w:b/>
          <w:color w:val="000000"/>
        </w:rPr>
      </w:pPr>
      <w:r>
        <w:rPr>
          <w:rFonts w:hint="eastAsia" w:ascii="仿宋_GB2312"/>
          <w:b/>
          <w:color w:val="000000"/>
        </w:rPr>
        <w:t>(一)法律、法规和政策性文件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1.《全国人民代表大会常务委员会关于司法鉴定管理问题的决定》(中华人民共和国主席令第25号,2015年4月24日公布，自2015年4月24日起施行)；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2.《中华人民共和国资产评估法》（中华人民共和国主席令第46号，2016年7月2日公布，自2016年12月1日起施行）；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3.《中华人民共和国民事诉讼法》（中华人民共和国主席令第71号，2017年6月27日公布，自2017年7月1日起施行）；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4.《中华人民共和国城市房地产管理法》（中华人民共和国主席令第32号，2019年8月26日公布，自2020年1月1日起施行）；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5.《中华人民共和国土地管理法》（中华人民共和国主席令第32号，2019年8月26日公布，自2020年1月1日起施行）；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6.《中华人民共和国民法典》（中华人民共和国主席令第45号，2020年5月28日公布，自2021年1月1日起施行）；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7.《中华人民共和国土地管理法实施条例》(中华人民共和国国务院令第743号,2021年7月2日公布，自2021年9月1日起施行)；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36" w:firstLineChars="200"/>
        <w:textAlignment w:val="auto"/>
        <w:rPr>
          <w:rFonts w:ascii="仿宋_GB2312"/>
          <w:color w:val="000000"/>
          <w:spacing w:val="-6"/>
          <w:sz w:val="28"/>
        </w:rPr>
      </w:pPr>
      <w:r>
        <w:rPr>
          <w:rFonts w:hint="eastAsia" w:ascii="仿宋_GB2312"/>
          <w:color w:val="000000"/>
          <w:spacing w:val="-6"/>
          <w:sz w:val="28"/>
        </w:rPr>
        <w:t>8.《最高人民法院关于人民法院民事执行中查封、扣押、冻结财产的规定》（法释〔2004〕15号,2004年11月4日公布，自2005年１月１日起施行)；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9.《最高人民法院关于人民法院民事执行中拍卖、变卖财产的规定》（法释〔2004〕16号,2004年11月15日公布，自2005年１月１日起施行）；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10.《最高人民法院对外委托鉴定、评估、拍卖等工作管理规定》（法办发[2007]5号，2007年8月23日发布，自2007年9月1日起施行）；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11.《最高人民法院关于人民法院委托评估、拍卖和变卖工作的若干规定》 (法释［2009］16号，2009年11月12日公布，自2009年11月20日起施行）；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12.《最高人民法院关于人民法院委托评估、拍卖工作的若干规定》（法释〔2011〕21号，2011年9月7日公布，自2012年1月1日起施行）；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13.《最高人民法院关于人民法院网络司法拍卖若干问题的规定》（法释〔2016〕18号，2016年8月2日发布，自2017年1月1日起施行）；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14.《最高人民法院关于人民法院确定财产处置参考价若干问题的规定》（法释〔2018〕15号，2018年8月28日公布，自2018年9月1日起施行）；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15.《司法鉴定程序通则》（中华人民共和国司法部令第132号，2016年3月2日发布，自2016年5月1日起施行）；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16.《关于印发人民法院委托评估工作规范的通知》（法办〔2018〕273号，2018年12月10日公布，自2018年12月10日起施行）；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17.国务院、住建部、自然资源部、宁夏回族自治区颁布</w:t>
      </w:r>
      <w:r>
        <w:rPr>
          <w:rFonts w:hint="eastAsia" w:ascii="仿宋_GB2312"/>
          <w:color w:val="000000"/>
          <w:lang w:val="en-US" w:eastAsia="zh-CN"/>
        </w:rPr>
        <w:t>的</w:t>
      </w:r>
      <w:r>
        <w:rPr>
          <w:rFonts w:hint="eastAsia" w:ascii="仿宋_GB2312"/>
          <w:color w:val="000000"/>
        </w:rPr>
        <w:t>其他</w:t>
      </w:r>
      <w:r>
        <w:rPr>
          <w:rFonts w:hint="eastAsia" w:ascii="仿宋_GB2312"/>
          <w:color w:val="000000"/>
          <w:lang w:val="en-US" w:eastAsia="zh-CN"/>
        </w:rPr>
        <w:t>相关</w:t>
      </w:r>
      <w:r>
        <w:rPr>
          <w:rFonts w:hint="eastAsia" w:ascii="仿宋_GB2312"/>
          <w:color w:val="000000"/>
        </w:rPr>
        <w:t>法规政策文件。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b/>
          <w:color w:val="000000"/>
        </w:rPr>
      </w:pPr>
      <w:r>
        <w:rPr>
          <w:rFonts w:hint="eastAsia" w:ascii="仿宋_GB2312"/>
          <w:b/>
          <w:color w:val="000000"/>
        </w:rPr>
        <w:t>(二)技术标准、规程、规范</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1.中华人民共和国国家标准《房地产估价规范》（GB/T 50291-2015，自2015年12月1日实施）；</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2.《司法鉴定文书格式》（司发通〔2016〕112号）；</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_GB2312"/>
          <w:color w:val="000000"/>
        </w:rPr>
      </w:pPr>
      <w:r>
        <w:rPr>
          <w:rFonts w:hint="eastAsia" w:ascii="仿宋_GB2312"/>
          <w:color w:val="000000"/>
        </w:rPr>
        <w:t>3.《人民法院委托评估工作规范》（法办〔2018〕273号）；</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4.《涉执房地产处置司法评估指导意见（试行）</w:t>
      </w:r>
      <w:r>
        <w:rPr>
          <w:rFonts w:hint="eastAsia" w:ascii="仿宋_GB2312"/>
          <w:color w:val="000000"/>
          <w:lang w:eastAsia="zh-CN"/>
        </w:rPr>
        <w:t>》</w:t>
      </w:r>
      <w:r>
        <w:rPr>
          <w:rFonts w:hint="eastAsia" w:ascii="仿宋_GB2312"/>
          <w:color w:val="000000"/>
          <w:lang w:val="en-US" w:eastAsia="zh-CN"/>
        </w:rPr>
        <w:t>(</w:t>
      </w:r>
      <w:r>
        <w:rPr>
          <w:rFonts w:hint="eastAsia" w:ascii="仿宋_GB2312"/>
          <w:color w:val="000000"/>
        </w:rPr>
        <w:t>中房学〔2021〕37号。</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b/>
          <w:szCs w:val="28"/>
        </w:rPr>
      </w:pPr>
      <w:r>
        <w:rPr>
          <w:rFonts w:hint="eastAsia" w:ascii="仿宋_GB2312"/>
          <w:b/>
          <w:szCs w:val="28"/>
        </w:rPr>
        <w:t>(三)评估委托人提供的相关资料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hAnsi="宋体"/>
          <w:color w:val="000000"/>
          <w:spacing w:val="0"/>
          <w:sz w:val="28"/>
        </w:rPr>
      </w:pPr>
      <w:r>
        <w:rPr>
          <w:rFonts w:hint="eastAsia" w:ascii="仿宋_GB2312"/>
          <w:color w:val="000000"/>
          <w:spacing w:val="0"/>
          <w:sz w:val="28"/>
        </w:rPr>
        <w:t>1.</w:t>
      </w:r>
      <w:r>
        <w:rPr>
          <w:rFonts w:hint="eastAsia" w:ascii="仿宋_GB2312" w:hAnsi="宋体"/>
          <w:color w:val="000000"/>
          <w:spacing w:val="0"/>
          <w:sz w:val="28"/>
          <w:lang w:eastAsia="zh-CN"/>
        </w:rPr>
        <w:t>《贺兰县人民法院司法鉴定委托书》（编号：（2022）宁0122法鉴字</w:t>
      </w:r>
      <w:r>
        <w:rPr>
          <w:rFonts w:hint="eastAsia" w:ascii="仿宋_GB2312" w:hAnsi="宋体"/>
          <w:color w:val="000000"/>
          <w:spacing w:val="0"/>
          <w:sz w:val="28"/>
          <w:lang w:val="en-US" w:eastAsia="zh-CN"/>
        </w:rPr>
        <w:t>165</w:t>
      </w:r>
      <w:r>
        <w:rPr>
          <w:rFonts w:hint="eastAsia" w:ascii="仿宋_GB2312" w:hAnsi="宋体"/>
          <w:color w:val="000000"/>
          <w:spacing w:val="0"/>
          <w:sz w:val="28"/>
          <w:lang w:eastAsia="zh-CN"/>
        </w:rPr>
        <w:t>号）</w:t>
      </w:r>
      <w:r>
        <w:rPr>
          <w:rFonts w:hint="eastAsia" w:ascii="仿宋_GB2312" w:hAnsi="宋体"/>
          <w:color w:val="000000"/>
          <w:spacing w:val="0"/>
          <w:sz w:val="28"/>
        </w:rPr>
        <w:t>原件；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spacing w:val="0"/>
          <w:sz w:val="28"/>
        </w:rPr>
      </w:pPr>
      <w:r>
        <w:rPr>
          <w:rFonts w:hint="eastAsia" w:ascii="仿宋_GB2312"/>
          <w:color w:val="000000"/>
          <w:spacing w:val="0"/>
          <w:sz w:val="28"/>
          <w:lang w:val="en-US" w:eastAsia="zh-CN"/>
        </w:rPr>
        <w:t>2.</w:t>
      </w:r>
      <w:r>
        <w:rPr>
          <w:rFonts w:hint="eastAsia" w:ascii="仿宋_GB2312"/>
          <w:color w:val="000000"/>
          <w:spacing w:val="0"/>
          <w:sz w:val="28"/>
          <w:lang w:eastAsia="zh-CN"/>
        </w:rPr>
        <w:t>《</w:t>
      </w:r>
      <w:r>
        <w:rPr>
          <w:rFonts w:hint="eastAsia" w:ascii="仿宋_GB2312"/>
          <w:color w:val="000000"/>
          <w:spacing w:val="0"/>
          <w:sz w:val="28"/>
          <w:lang w:val="en-US" w:eastAsia="zh-CN"/>
        </w:rPr>
        <w:t>宁夏回族自治区贺兰县人民法院执行裁定书</w:t>
      </w:r>
      <w:r>
        <w:rPr>
          <w:rFonts w:hint="eastAsia" w:ascii="仿宋_GB2312"/>
          <w:color w:val="000000"/>
          <w:spacing w:val="0"/>
          <w:sz w:val="28"/>
          <w:lang w:eastAsia="zh-CN"/>
        </w:rPr>
        <w:t>》（编号：（</w:t>
      </w:r>
      <w:r>
        <w:rPr>
          <w:rFonts w:hint="eastAsia" w:ascii="仿宋_GB2312"/>
          <w:color w:val="000000"/>
          <w:spacing w:val="0"/>
          <w:sz w:val="28"/>
          <w:lang w:val="en-US" w:eastAsia="zh-CN"/>
        </w:rPr>
        <w:t>2022</w:t>
      </w:r>
      <w:r>
        <w:rPr>
          <w:rFonts w:hint="eastAsia" w:ascii="仿宋_GB2312"/>
          <w:color w:val="000000"/>
          <w:spacing w:val="0"/>
          <w:sz w:val="28"/>
          <w:lang w:eastAsia="zh-CN"/>
        </w:rPr>
        <w:t>）宁0122</w:t>
      </w:r>
      <w:r>
        <w:rPr>
          <w:rFonts w:hint="eastAsia" w:ascii="仿宋_GB2312"/>
          <w:color w:val="000000"/>
          <w:spacing w:val="0"/>
          <w:sz w:val="28"/>
          <w:lang w:val="en-US" w:eastAsia="zh-CN"/>
        </w:rPr>
        <w:t>执1892</w:t>
      </w:r>
      <w:r>
        <w:rPr>
          <w:rFonts w:hint="eastAsia" w:ascii="仿宋_GB2312"/>
          <w:color w:val="000000"/>
          <w:spacing w:val="0"/>
          <w:sz w:val="28"/>
          <w:lang w:eastAsia="zh-CN"/>
        </w:rPr>
        <w:t>号</w:t>
      </w:r>
      <w:r>
        <w:rPr>
          <w:rFonts w:hint="eastAsia" w:ascii="仿宋_GB2312"/>
          <w:color w:val="000000"/>
          <w:spacing w:val="0"/>
          <w:sz w:val="28"/>
          <w:lang w:val="en-US" w:eastAsia="zh-CN"/>
        </w:rPr>
        <w:t>之一</w:t>
      </w:r>
      <w:r>
        <w:rPr>
          <w:rFonts w:hint="eastAsia" w:ascii="仿宋_GB2312"/>
          <w:color w:val="000000"/>
          <w:spacing w:val="0"/>
          <w:sz w:val="28"/>
          <w:lang w:eastAsia="zh-CN"/>
        </w:rPr>
        <w:t>）</w:t>
      </w:r>
      <w:r>
        <w:rPr>
          <w:rFonts w:hint="eastAsia" w:ascii="仿宋_GB2312"/>
          <w:color w:val="000000"/>
          <w:spacing w:val="0"/>
          <w:sz w:val="28"/>
          <w:lang w:val="en-US" w:eastAsia="zh-CN"/>
        </w:rPr>
        <w:t>复印件；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16" w:firstLineChars="200"/>
        <w:textAlignment w:val="auto"/>
        <w:rPr>
          <w:rFonts w:hint="eastAsia" w:ascii="仿宋_GB2312" w:eastAsia="仿宋_GB2312"/>
          <w:color w:val="000000"/>
          <w:spacing w:val="-11"/>
          <w:sz w:val="28"/>
          <w:lang w:val="en-US" w:eastAsia="zh-CN"/>
        </w:rPr>
      </w:pPr>
      <w:r>
        <w:rPr>
          <w:rFonts w:hint="eastAsia" w:ascii="仿宋_GB2312"/>
          <w:color w:val="000000"/>
          <w:spacing w:val="-11"/>
          <w:sz w:val="28"/>
          <w:lang w:val="en-US" w:eastAsia="zh-CN"/>
        </w:rPr>
        <w:t>3.《</w:t>
      </w:r>
      <w:r>
        <w:rPr>
          <w:rFonts w:hint="eastAsia" w:ascii="仿宋_GB2312"/>
          <w:color w:val="000000"/>
          <w:spacing w:val="-11"/>
          <w:sz w:val="28"/>
          <w:lang w:eastAsia="zh-CN"/>
        </w:rPr>
        <w:t>贺兰县不动产登记信息查询单》</w:t>
      </w:r>
      <w:r>
        <w:rPr>
          <w:rFonts w:hint="eastAsia" w:ascii="仿宋_GB2312"/>
          <w:color w:val="000000"/>
          <w:spacing w:val="-11"/>
          <w:sz w:val="28"/>
          <w:lang w:val="en-US" w:eastAsia="zh-CN"/>
        </w:rPr>
        <w:t>（查询编号：1539489424003018754）复印件。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hAnsi="仿宋" w:cs="仿宋_GB2312"/>
          <w:b/>
          <w:color w:val="000000"/>
          <w:kern w:val="0"/>
          <w:szCs w:val="28"/>
        </w:rPr>
      </w:pPr>
      <w:r>
        <w:rPr>
          <w:rFonts w:hint="eastAsia" w:ascii="仿宋_GB2312" w:hAnsi="仿宋" w:cs="仿宋_GB2312"/>
          <w:b/>
          <w:color w:val="000000"/>
          <w:kern w:val="0"/>
          <w:szCs w:val="28"/>
        </w:rPr>
        <w:t>(四)注册房地产估价师调查收集的相关资料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1.注册房地产估价师</w:t>
      </w:r>
      <w:r>
        <w:rPr>
          <w:rFonts w:hint="eastAsia" w:ascii="仿宋_GB2312"/>
          <w:color w:val="000000"/>
          <w:lang w:eastAsia="zh-CN"/>
        </w:rPr>
        <w:t>实地查勘</w:t>
      </w:r>
      <w:r>
        <w:rPr>
          <w:rFonts w:hint="eastAsia" w:ascii="仿宋_GB2312"/>
          <w:color w:val="000000"/>
        </w:rPr>
        <w:t>和房地产估价机构掌握的其他相关资料；</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hAnsi="宋体"/>
          <w:color w:val="000000"/>
        </w:rPr>
      </w:pPr>
      <w:r>
        <w:rPr>
          <w:rFonts w:hint="eastAsia" w:ascii="仿宋_GB2312"/>
          <w:color w:val="000000"/>
        </w:rPr>
        <w:t>2.评估对象所在区域的房地产市场状况、同类房地产市场交易等数据资料</w:t>
      </w:r>
      <w:r>
        <w:rPr>
          <w:rFonts w:hint="eastAsia" w:hAnsi="宋体"/>
          <w:color w:val="000000"/>
        </w:rPr>
        <w:t>。</w:t>
      </w:r>
    </w:p>
    <w:p>
      <w:pPr>
        <w:pStyle w:val="4"/>
        <w:keepNext w:val="0"/>
        <w:keepLines w:val="0"/>
        <w:pageBreakBefore w:val="0"/>
        <w:widowControl w:val="0"/>
        <w:kinsoku/>
        <w:wordWrap/>
        <w:overflowPunct/>
        <w:topLinePunct w:val="0"/>
        <w:autoSpaceDE w:val="0"/>
        <w:autoSpaceDN w:val="0"/>
        <w:bidi w:val="0"/>
        <w:adjustRightInd w:val="0"/>
        <w:snapToGrid/>
        <w:spacing w:before="0" w:after="0" w:line="480" w:lineRule="exact"/>
        <w:ind w:left="0" w:right="0" w:firstLine="560" w:firstLineChars="200"/>
        <w:rPr>
          <w:rFonts w:hint="eastAsia" w:ascii="仿宋_GB2312"/>
          <w:color w:val="000000"/>
        </w:rPr>
      </w:pPr>
      <w:bookmarkStart w:id="27" w:name="_Toc400524105"/>
      <w:bookmarkStart w:id="28" w:name="_Toc92793194"/>
      <w:r>
        <w:rPr>
          <w:rFonts w:hint="eastAsia" w:ascii="仿宋_GB2312"/>
          <w:color w:val="000000"/>
        </w:rPr>
        <w:t>九、评估方法</w:t>
      </w:r>
      <w:bookmarkEnd w:id="27"/>
      <w:bookmarkEnd w:id="28"/>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color w:val="000000"/>
        </w:rPr>
      </w:pPr>
      <w:r>
        <w:rPr>
          <w:rFonts w:hint="eastAsia" w:ascii="仿宋_GB2312"/>
          <w:color w:val="000000"/>
        </w:rPr>
        <w:t>根据中华人民共和国国家标准《房地产估价规范》（GB/T 50291—2015）的规定，当评估对象仅适用一种评估方法进行评估时，可只选用一种评估方法进行评估。当评估对象适用两种或两种以上评估方法进行评估时，宜同时选用所有适用的评估方法进行评估。评估对象的同类房地产有较多交易的，应选用比较法；评估对象或同类房地产通常有租金等经济收入的，应选用收益法；评估对象可假定为独立的开发建设项目进行重新开发建设的，宜选用成本法；当评估对象的同类房地产没有交易或交易很少，且评估对象或其同类房地产没有租金等经济收入时，应选用成本法；评估对象具有开发或再开发潜力且开发完成后的价值可采用除成本法以外的方法测算的，应选用假设开发法。</w:t>
      </w:r>
    </w:p>
    <w:p>
      <w:pPr>
        <w:keepNext w:val="0"/>
        <w:keepLines w:val="0"/>
        <w:pageBreakBefore w:val="0"/>
        <w:widowControl w:val="0"/>
        <w:kinsoku/>
        <w:wordWrap/>
        <w:overflowPunct/>
        <w:topLinePunct w:val="0"/>
        <w:bidi w:val="0"/>
        <w:adjustRightInd w:val="0"/>
        <w:snapToGrid/>
        <w:spacing w:line="480" w:lineRule="exact"/>
        <w:ind w:firstLine="560" w:firstLineChars="200"/>
        <w:rPr>
          <w:rFonts w:hint="eastAsia" w:ascii="仿宋_GB2312"/>
          <w:b/>
          <w:color w:val="000000"/>
          <w:kern w:val="0"/>
          <w:szCs w:val="28"/>
        </w:rPr>
      </w:pPr>
      <w:r>
        <w:rPr>
          <w:rFonts w:hint="eastAsia" w:ascii="仿宋_GB2312"/>
          <w:b/>
          <w:color w:val="000000"/>
          <w:kern w:val="0"/>
          <w:szCs w:val="28"/>
        </w:rPr>
        <w:t>(一)评估方法的选择</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hAnsi="Times New Roman" w:cs="Times New Roman"/>
          <w:color w:val="000000"/>
        </w:rPr>
      </w:pPr>
      <w:r>
        <w:rPr>
          <w:rFonts w:hint="eastAsia" w:ascii="仿宋_GB2312" w:hAnsi="Times New Roman" w:cs="Times New Roman"/>
          <w:color w:val="000000"/>
        </w:rPr>
        <w:t>评估对象为</w:t>
      </w:r>
      <w:r>
        <w:rPr>
          <w:rFonts w:hint="eastAsia" w:ascii="仿宋_GB2312" w:cs="Times New Roman"/>
          <w:color w:val="000000"/>
          <w:lang w:val="en-US" w:eastAsia="zh-CN"/>
        </w:rPr>
        <w:t>贺兰县居安西路明珠花园14号楼3单元202室</w:t>
      </w:r>
      <w:r>
        <w:rPr>
          <w:rFonts w:hint="eastAsia" w:ascii="仿宋_GB2312" w:hAnsi="Times New Roman" w:cs="Times New Roman"/>
          <w:color w:val="000000"/>
          <w:lang w:val="en-US" w:eastAsia="zh-CN"/>
        </w:rPr>
        <w:t>住宅用房</w:t>
      </w:r>
      <w:r>
        <w:rPr>
          <w:rFonts w:hint="eastAsia" w:ascii="仿宋_GB2312" w:hAnsi="Times New Roman" w:cs="Times New Roman"/>
          <w:color w:val="000000"/>
        </w:rPr>
        <w:t>，按照此用途以及该区域内房地产市场中与评估对象类似的房地产交易、出租实例较多，</w:t>
      </w:r>
      <w:r>
        <w:rPr>
          <w:rFonts w:hint="eastAsia" w:ascii="仿宋_GB2312" w:hAnsi="Times New Roman" w:cs="Times New Roman"/>
          <w:color w:val="000000"/>
          <w:lang w:val="en-US" w:eastAsia="zh-CN"/>
        </w:rPr>
        <w:t>故</w:t>
      </w:r>
      <w:r>
        <w:rPr>
          <w:rFonts w:hint="eastAsia" w:ascii="仿宋_GB2312" w:hAnsi="Times New Roman" w:cs="Times New Roman"/>
          <w:color w:val="000000"/>
        </w:rPr>
        <w:t>本次评估采用比较法、收益法为评估方法。具体分析如下：</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rPr>
      </w:pPr>
      <w:r>
        <w:rPr>
          <w:rFonts w:hint="eastAsia" w:ascii="仿宋_GB2312"/>
        </w:rPr>
        <w:t>1.与评估对象处于同一供求范围内的类似房地产交易实例较多，较易找到有效的可比实例，故可采用比较法进行评估。</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rPr>
      </w:pPr>
      <w:r>
        <w:rPr>
          <w:rFonts w:hint="eastAsia" w:ascii="仿宋_GB2312"/>
        </w:rPr>
        <w:t>2.与评估对象处于同一供求范围内的类似房地产出租实例较多，客观租金较易取得，故可采用收益法进行评估。</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rPr>
      </w:pPr>
      <w:r>
        <w:rPr>
          <w:rFonts w:hint="eastAsia" w:ascii="仿宋_GB2312"/>
        </w:rPr>
        <w:t>3.成本法以成本累加为途径，未充分考虑供求关系等市场因素对房地产价值的影响，采用成本法测算得出的评估结果将偏离其正常市场价格，故本次评估也不宜采用成本法。</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_GB2312"/>
        </w:rPr>
      </w:pPr>
      <w:r>
        <w:rPr>
          <w:rFonts w:hint="eastAsia" w:ascii="仿宋_GB2312"/>
        </w:rPr>
        <w:t>4.评估对象规划用途为住宅，评估人员通过</w:t>
      </w:r>
      <w:r>
        <w:rPr>
          <w:rFonts w:hint="eastAsia" w:ascii="仿宋_GB2312"/>
          <w:lang w:val="en-US" w:eastAsia="zh-CN"/>
        </w:rPr>
        <w:t>实地查勘</w:t>
      </w:r>
      <w:r>
        <w:rPr>
          <w:rFonts w:hint="eastAsia" w:ascii="仿宋_GB2312"/>
        </w:rPr>
        <w:t>和对周边的房地产进行调查分析，按照规划用途使用已为最高最佳利用，故不宜采用假设开发法进行评估。</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rPr>
          <w:rFonts w:hint="eastAsia" w:ascii="仿宋_GB2312"/>
          <w:b/>
        </w:rPr>
      </w:pPr>
      <w:r>
        <w:rPr>
          <w:rFonts w:hint="eastAsia" w:ascii="仿宋_GB2312"/>
          <w:b/>
        </w:rPr>
        <w:t>(二)选择方法的定义</w:t>
      </w:r>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1"/>
        <w:jc w:val="left"/>
        <w:textAlignment w:val="auto"/>
        <w:rPr>
          <w:rFonts w:hint="eastAsia" w:ascii="仿宋_GB2312" w:hAnsi="仿宋"/>
        </w:rPr>
      </w:pPr>
      <w:r>
        <w:rPr>
          <w:rFonts w:hint="eastAsia" w:ascii="仿宋_GB2312" w:hAnsi="仿宋"/>
        </w:rPr>
        <w:t>1.比较法:是选取一定数量、符合一定条件、发生过交易的类似房地产，然后将它们与评估对象进行比较，对它们的实际成交价格进行适当处理来求取评估对象价值的方法。</w:t>
      </w:r>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1"/>
        <w:jc w:val="left"/>
        <w:textAlignment w:val="auto"/>
        <w:rPr>
          <w:rFonts w:hint="eastAsia" w:ascii="仿宋_GB2312" w:hAnsi="仿宋"/>
        </w:rPr>
      </w:pPr>
      <w:r>
        <w:rPr>
          <w:rFonts w:hint="eastAsia" w:ascii="仿宋_GB2312" w:hAnsi="仿宋"/>
        </w:rPr>
        <w:t>2.收益法:又称收益资本化法、收益还原法，是预测评估对象的未来收益，然后利用报酬率或资本化率将其转换为价值来求取评估对象价值的方法。</w:t>
      </w:r>
    </w:p>
    <w:p>
      <w:pPr>
        <w:pStyle w:val="4"/>
        <w:keepNext w:val="0"/>
        <w:keepLines w:val="0"/>
        <w:pageBreakBefore w:val="0"/>
        <w:widowControl w:val="0"/>
        <w:kinsoku/>
        <w:wordWrap/>
        <w:overflowPunct/>
        <w:topLinePunct w:val="0"/>
        <w:bidi w:val="0"/>
        <w:adjustRightInd w:val="0"/>
        <w:snapToGrid/>
        <w:spacing w:before="0" w:after="0" w:line="480" w:lineRule="exact"/>
        <w:ind w:left="0" w:right="0" w:firstLine="560" w:firstLineChars="200"/>
        <w:rPr>
          <w:rFonts w:hint="eastAsia" w:ascii="仿宋_GB2312"/>
          <w:color w:val="000000"/>
        </w:rPr>
      </w:pPr>
      <w:bookmarkStart w:id="29" w:name="_Toc400524106"/>
      <w:bookmarkStart w:id="30" w:name="_Toc92793195"/>
      <w:r>
        <w:rPr>
          <w:rFonts w:hint="eastAsia" w:ascii="仿宋_GB2312"/>
          <w:color w:val="000000"/>
        </w:rPr>
        <w:t>十、评估结果</w:t>
      </w:r>
      <w:bookmarkEnd w:id="29"/>
      <w:bookmarkEnd w:id="30"/>
      <w:r>
        <w:rPr>
          <w:rFonts w:hint="eastAsia" w:ascii="仿宋_GB2312"/>
          <w:color w:val="000000"/>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1"/>
        <w:jc w:val="left"/>
        <w:textAlignment w:val="auto"/>
        <w:rPr>
          <w:rFonts w:hint="eastAsia" w:ascii="仿宋_GB2312" w:hAnsi="仿宋" w:eastAsia="仿宋_GB2312"/>
          <w:lang w:eastAsia="zh-CN"/>
        </w:rPr>
      </w:pPr>
      <w:r>
        <w:rPr>
          <w:rFonts w:hint="eastAsia" w:ascii="仿宋_GB2312" w:hAnsi="仿宋"/>
        </w:rPr>
        <w:t>注册房地产估价师经过实地查勘和市场调查，根据评估目的，按照估价程序，遵照《中华人民共和国城市房地产管理法》（中华人民共和国主席令第32号）、《中华人民共和国资产评估法》（中华人民共和国主席令第46号）、《房地产估价规范》（GB/T 50291-2015）、《涉执房地产处置司法评估指导意见（试行）》（中房学﹝2021﹞37号）等法律法规和技术标准，遵循独立、客观、公正、合法的原则，在综合分析影响房地产价格因素的基础上，确定评估对象在满足假设和限制条件下于价值时点的市场价格见下表：</w:t>
      </w:r>
    </w:p>
    <w:p>
      <w:pPr>
        <w:keepNext w:val="0"/>
        <w:keepLines w:val="0"/>
        <w:pageBreakBefore w:val="0"/>
        <w:kinsoku/>
        <w:wordWrap/>
        <w:overflowPunct/>
        <w:topLinePunct w:val="0"/>
        <w:bidi w:val="0"/>
        <w:snapToGrid/>
        <w:spacing w:line="520" w:lineRule="exact"/>
        <w:ind w:right="-310" w:rightChars="-111"/>
        <w:jc w:val="center"/>
        <w:rPr>
          <w:rFonts w:hint="eastAsia" w:ascii="宋体" w:hAnsi="宋体" w:eastAsia="宋体" w:cs="仿宋_GB2312"/>
          <w:b/>
          <w:bCs/>
          <w:color w:val="000000"/>
          <w:kern w:val="0"/>
          <w:sz w:val="24"/>
          <w:szCs w:val="24"/>
        </w:rPr>
      </w:pPr>
      <w:r>
        <w:rPr>
          <w:rFonts w:hint="eastAsia" w:ascii="宋体" w:hAnsi="宋体" w:eastAsia="宋体" w:cs="仿宋_GB2312"/>
          <w:b/>
          <w:bCs/>
          <w:color w:val="000000"/>
          <w:kern w:val="0"/>
          <w:sz w:val="24"/>
          <w:szCs w:val="24"/>
        </w:rPr>
        <w:t>评估结果汇总表</w:t>
      </w:r>
    </w:p>
    <w:tbl>
      <w:tblPr>
        <w:tblStyle w:val="23"/>
        <w:tblW w:w="5000" w:type="pct"/>
        <w:jc w:val="center"/>
        <w:tblLayout w:type="autofit"/>
        <w:tblCellMar>
          <w:top w:w="0" w:type="dxa"/>
          <w:left w:w="108" w:type="dxa"/>
          <w:bottom w:w="0" w:type="dxa"/>
          <w:right w:w="108" w:type="dxa"/>
        </w:tblCellMar>
      </w:tblPr>
      <w:tblGrid>
        <w:gridCol w:w="1688"/>
        <w:gridCol w:w="986"/>
        <w:gridCol w:w="738"/>
        <w:gridCol w:w="650"/>
        <w:gridCol w:w="637"/>
        <w:gridCol w:w="694"/>
        <w:gridCol w:w="641"/>
        <w:gridCol w:w="997"/>
        <w:gridCol w:w="1015"/>
        <w:gridCol w:w="1129"/>
      </w:tblGrid>
      <w:tr>
        <w:tblPrEx>
          <w:tblCellMar>
            <w:top w:w="0" w:type="dxa"/>
            <w:left w:w="108" w:type="dxa"/>
            <w:bottom w:w="0" w:type="dxa"/>
            <w:right w:w="108" w:type="dxa"/>
          </w:tblCellMar>
        </w:tblPrEx>
        <w:trPr>
          <w:trHeight w:val="616" w:hRule="atLeast"/>
          <w:jc w:val="center"/>
        </w:trPr>
        <w:tc>
          <w:tcPr>
            <w:tcW w:w="9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hint="eastAsia" w:ascii="宋体" w:hAnsi="宋体" w:eastAsia="宋体"/>
                <w:szCs w:val="18"/>
              </w:rPr>
              <w:t>项目名称</w:t>
            </w:r>
          </w:p>
        </w:tc>
        <w:tc>
          <w:tcPr>
            <w:tcW w:w="53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hint="eastAsia" w:ascii="宋体" w:hAnsi="宋体" w:eastAsia="宋体"/>
                <w:szCs w:val="18"/>
              </w:rPr>
              <w:t>房屋所有权人</w:t>
            </w:r>
          </w:p>
        </w:tc>
        <w:tc>
          <w:tcPr>
            <w:tcW w:w="40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rPr>
            </w:pPr>
            <w:r>
              <w:rPr>
                <w:rFonts w:ascii="宋体" w:hAnsi="宋体" w:eastAsia="宋体"/>
                <w:szCs w:val="18"/>
              </w:rPr>
              <w:t>建成</w:t>
            </w:r>
          </w:p>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年代</w:t>
            </w:r>
          </w:p>
        </w:tc>
        <w:tc>
          <w:tcPr>
            <w:tcW w:w="35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结构</w:t>
            </w:r>
          </w:p>
        </w:tc>
        <w:tc>
          <w:tcPr>
            <w:tcW w:w="347"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rPr>
            </w:pPr>
            <w:r>
              <w:rPr>
                <w:rFonts w:ascii="宋体" w:hAnsi="宋体" w:eastAsia="宋体"/>
                <w:szCs w:val="18"/>
              </w:rPr>
              <w:t>设计</w:t>
            </w:r>
          </w:p>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用途</w:t>
            </w:r>
          </w:p>
        </w:tc>
        <w:tc>
          <w:tcPr>
            <w:tcW w:w="37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总楼层</w:t>
            </w:r>
          </w:p>
        </w:tc>
        <w:tc>
          <w:tcPr>
            <w:tcW w:w="349"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所在楼层</w:t>
            </w:r>
          </w:p>
        </w:tc>
        <w:tc>
          <w:tcPr>
            <w:tcW w:w="543"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建筑面积（㎡）</w:t>
            </w:r>
          </w:p>
        </w:tc>
        <w:tc>
          <w:tcPr>
            <w:tcW w:w="553"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评估单价</w:t>
            </w:r>
          </w:p>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（元/㎡）</w:t>
            </w:r>
          </w:p>
        </w:tc>
        <w:tc>
          <w:tcPr>
            <w:tcW w:w="614"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评估总价</w:t>
            </w:r>
          </w:p>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ascii="宋体" w:hAnsi="宋体" w:eastAsia="宋体"/>
                <w:szCs w:val="18"/>
              </w:rPr>
              <w:t>（元）</w:t>
            </w:r>
          </w:p>
        </w:tc>
      </w:tr>
      <w:tr>
        <w:tblPrEx>
          <w:tblCellMar>
            <w:top w:w="0" w:type="dxa"/>
            <w:left w:w="108" w:type="dxa"/>
            <w:bottom w:w="0" w:type="dxa"/>
            <w:right w:w="108" w:type="dxa"/>
          </w:tblCellMar>
        </w:tblPrEx>
        <w:trPr>
          <w:trHeight w:val="906" w:hRule="atLeast"/>
          <w:jc w:val="center"/>
        </w:trPr>
        <w:tc>
          <w:tcPr>
            <w:tcW w:w="92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val="en-US" w:eastAsia="zh-CN"/>
              </w:rPr>
              <w:t>贺兰县居安西路明珠花园14号楼3单元202室住宅用房</w:t>
            </w:r>
          </w:p>
        </w:tc>
        <w:tc>
          <w:tcPr>
            <w:tcW w:w="53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eastAsia="zh-CN"/>
              </w:rPr>
              <w:t>丁华</w:t>
            </w:r>
          </w:p>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eastAsia="zh-CN"/>
              </w:rPr>
              <w:t>张启菲</w:t>
            </w:r>
          </w:p>
        </w:tc>
        <w:tc>
          <w:tcPr>
            <w:tcW w:w="40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szCs w:val="18"/>
                <w:lang w:val="en-US" w:eastAsia="zh-CN"/>
              </w:rPr>
            </w:pPr>
            <w:r>
              <w:rPr>
                <w:rFonts w:hint="eastAsia" w:ascii="宋体" w:hAnsi="宋体" w:eastAsia="宋体"/>
                <w:szCs w:val="18"/>
                <w:lang w:val="en-US" w:eastAsia="zh-CN"/>
              </w:rPr>
              <w:t>2008年</w:t>
            </w:r>
          </w:p>
        </w:tc>
        <w:tc>
          <w:tcPr>
            <w:tcW w:w="354"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val="en-US" w:eastAsia="zh-CN"/>
              </w:rPr>
              <w:t>混合结构</w:t>
            </w:r>
          </w:p>
        </w:tc>
        <w:tc>
          <w:tcPr>
            <w:tcW w:w="347"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Cs w:val="18"/>
              </w:rPr>
            </w:pPr>
            <w:r>
              <w:rPr>
                <w:rFonts w:hint="eastAsia" w:ascii="宋体" w:hAnsi="宋体" w:eastAsia="宋体"/>
                <w:szCs w:val="18"/>
              </w:rPr>
              <w:t>住宅</w:t>
            </w:r>
          </w:p>
        </w:tc>
        <w:tc>
          <w:tcPr>
            <w:tcW w:w="378"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val="en-US" w:eastAsia="zh-CN"/>
              </w:rPr>
              <w:t>5</w:t>
            </w:r>
          </w:p>
        </w:tc>
        <w:tc>
          <w:tcPr>
            <w:tcW w:w="349"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val="en-US" w:eastAsia="zh-CN"/>
              </w:rPr>
              <w:t>2</w:t>
            </w:r>
          </w:p>
        </w:tc>
        <w:tc>
          <w:tcPr>
            <w:tcW w:w="543"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eastAsia="zh-CN"/>
              </w:rPr>
              <w:t>136.07</w:t>
            </w:r>
          </w:p>
        </w:tc>
        <w:tc>
          <w:tcPr>
            <w:tcW w:w="553"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szCs w:val="18"/>
                <w:lang w:eastAsia="zh-CN"/>
              </w:rPr>
              <w:t>4075</w:t>
            </w:r>
          </w:p>
        </w:tc>
        <w:tc>
          <w:tcPr>
            <w:tcW w:w="614" w:type="pct"/>
            <w:tcBorders>
              <w:top w:val="single" w:color="auto" w:sz="4" w:space="0"/>
              <w:left w:val="nil"/>
              <w:bottom w:val="single" w:color="auto" w:sz="4" w:space="0"/>
              <w:right w:val="single" w:color="auto" w:sz="4" w:space="0"/>
            </w:tcBorders>
            <w:shd w:val="clear" w:color="000000" w:fill="FFFFFF"/>
            <w:noWrap w:val="0"/>
            <w:vAlign w:val="center"/>
          </w:tcPr>
          <w:p>
            <w:pPr>
              <w:pStyle w:val="3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szCs w:val="18"/>
                <w:lang w:eastAsia="zh-CN"/>
              </w:rPr>
            </w:pPr>
            <w:r>
              <w:rPr>
                <w:rFonts w:hint="eastAsia" w:ascii="宋体" w:hAnsi="宋体" w:eastAsia="宋体" w:cs="Times New Roman"/>
                <w:szCs w:val="18"/>
                <w:lang w:val="en-US" w:eastAsia="zh-CN"/>
              </w:rPr>
              <w:t>554,485</w:t>
            </w:r>
          </w:p>
        </w:tc>
      </w:tr>
      <w:tr>
        <w:tblPrEx>
          <w:tblCellMar>
            <w:top w:w="0" w:type="dxa"/>
            <w:left w:w="108" w:type="dxa"/>
            <w:bottom w:w="0" w:type="dxa"/>
            <w:right w:w="108" w:type="dxa"/>
          </w:tblCellMar>
        </w:tblPrEx>
        <w:trPr>
          <w:trHeight w:val="679" w:hRule="atLeast"/>
          <w:jc w:val="center"/>
        </w:trPr>
        <w:tc>
          <w:tcPr>
            <w:tcW w:w="1860" w:type="pct"/>
            <w:gridSpan w:val="3"/>
            <w:tcBorders>
              <w:top w:val="single" w:color="auto" w:sz="4" w:space="0"/>
              <w:left w:val="single" w:color="auto" w:sz="4" w:space="0"/>
              <w:bottom w:val="single" w:color="auto" w:sz="4" w:space="0"/>
              <w:right w:val="single" w:color="auto" w:sz="4" w:space="0"/>
            </w:tcBorders>
            <w:shd w:val="clear" w:color="000000" w:fill="FFFFFF"/>
            <w:noWrap w:val="0"/>
            <w:vAlign w:val="top"/>
          </w:tcPr>
          <w:p>
            <w:pPr>
              <w:pStyle w:val="39"/>
              <w:keepNext w:val="0"/>
              <w:keepLines w:val="0"/>
              <w:pageBreakBefore w:val="0"/>
              <w:kinsoku/>
              <w:wordWrap/>
              <w:overflowPunct/>
              <w:topLinePunct w:val="0"/>
              <w:bidi w:val="0"/>
              <w:snapToGrid/>
              <w:spacing w:line="520" w:lineRule="exact"/>
              <w:rPr>
                <w:rFonts w:hint="eastAsia" w:ascii="宋体" w:hAnsi="宋体" w:eastAsia="宋体"/>
                <w:szCs w:val="18"/>
              </w:rPr>
            </w:pPr>
            <w:r>
              <w:rPr>
                <w:rFonts w:hint="eastAsia" w:ascii="宋体" w:hAnsi="宋体" w:eastAsia="宋体"/>
                <w:szCs w:val="18"/>
              </w:rPr>
              <w:t>人民币大写金额</w:t>
            </w:r>
          </w:p>
        </w:tc>
        <w:tc>
          <w:tcPr>
            <w:tcW w:w="3139" w:type="pct"/>
            <w:gridSpan w:val="7"/>
            <w:tcBorders>
              <w:top w:val="single" w:color="auto" w:sz="4" w:space="0"/>
              <w:left w:val="single" w:color="auto" w:sz="4" w:space="0"/>
              <w:bottom w:val="single" w:color="auto" w:sz="4" w:space="0"/>
              <w:right w:val="single" w:color="auto" w:sz="4" w:space="0"/>
            </w:tcBorders>
            <w:shd w:val="clear" w:color="000000" w:fill="FFFFFF"/>
            <w:noWrap w:val="0"/>
            <w:vAlign w:val="top"/>
          </w:tcPr>
          <w:p>
            <w:pPr>
              <w:pStyle w:val="39"/>
              <w:keepNext w:val="0"/>
              <w:keepLines w:val="0"/>
              <w:pageBreakBefore w:val="0"/>
              <w:kinsoku/>
              <w:wordWrap/>
              <w:overflowPunct/>
              <w:topLinePunct w:val="0"/>
              <w:bidi w:val="0"/>
              <w:snapToGrid/>
              <w:spacing w:line="520" w:lineRule="exact"/>
              <w:jc w:val="left"/>
              <w:rPr>
                <w:rFonts w:hint="eastAsia" w:ascii="宋体" w:hAnsi="宋体" w:eastAsia="宋体"/>
                <w:szCs w:val="18"/>
                <w:lang w:eastAsia="zh-CN"/>
              </w:rPr>
            </w:pPr>
            <w:r>
              <w:rPr>
                <w:rFonts w:hint="eastAsia" w:ascii="宋体" w:hAnsi="宋体" w:eastAsia="宋体"/>
                <w:szCs w:val="18"/>
                <w:lang w:eastAsia="zh-CN"/>
              </w:rPr>
              <w:t>伍拾伍万肆仟肆佰捌拾伍元整</w:t>
            </w:r>
          </w:p>
        </w:tc>
      </w:tr>
    </w:tbl>
    <w:p>
      <w:pPr>
        <w:pStyle w:val="4"/>
        <w:keepNext w:val="0"/>
        <w:keepLines w:val="0"/>
        <w:pageBreakBefore w:val="0"/>
        <w:kinsoku/>
        <w:wordWrap/>
        <w:overflowPunct/>
        <w:topLinePunct w:val="0"/>
        <w:bidi w:val="0"/>
        <w:snapToGrid/>
        <w:spacing w:before="100" w:beforeAutospacing="1" w:after="0" w:line="520" w:lineRule="exact"/>
        <w:ind w:left="0" w:right="0" w:firstLine="560" w:firstLineChars="200"/>
        <w:rPr>
          <w:rFonts w:hint="eastAsia"/>
          <w:color w:val="000000"/>
          <w:kern w:val="0"/>
        </w:rPr>
      </w:pPr>
      <w:bookmarkStart w:id="31" w:name="_Toc92793196"/>
      <w:r>
        <w:rPr>
          <w:rFonts w:hint="eastAsia"/>
          <w:color w:val="000000"/>
        </w:rPr>
        <w:t>十一、</w:t>
      </w:r>
      <w:r>
        <w:rPr>
          <w:rFonts w:hint="eastAsia"/>
          <w:color w:val="000000"/>
          <w:kern w:val="0"/>
        </w:rPr>
        <w:t>注册房地产估价师</w:t>
      </w:r>
      <w:bookmarkEnd w:id="31"/>
    </w:p>
    <w:p>
      <w:pPr>
        <w:keepNext w:val="0"/>
        <w:keepLines w:val="0"/>
        <w:pageBreakBefore w:val="0"/>
        <w:kinsoku/>
        <w:wordWrap/>
        <w:overflowPunct/>
        <w:topLinePunct w:val="0"/>
        <w:autoSpaceDE w:val="0"/>
        <w:autoSpaceDN w:val="0"/>
        <w:bidi w:val="0"/>
        <w:adjustRightInd w:val="0"/>
        <w:snapToGrid/>
        <w:spacing w:line="520" w:lineRule="exact"/>
        <w:jc w:val="center"/>
        <w:rPr>
          <w:rFonts w:hint="eastAsia" w:ascii="宋体" w:hAnsi="宋体" w:eastAsia="宋体" w:cs="仿宋_GB2312"/>
          <w:b/>
          <w:color w:val="000000"/>
          <w:kern w:val="0"/>
          <w:sz w:val="24"/>
          <w:szCs w:val="24"/>
        </w:rPr>
      </w:pPr>
      <w:r>
        <w:rPr>
          <w:rFonts w:hint="eastAsia" w:ascii="宋体" w:hAnsi="宋体" w:eastAsia="宋体" w:cs="仿宋_GB2312"/>
          <w:b/>
          <w:color w:val="000000"/>
          <w:kern w:val="0"/>
          <w:sz w:val="24"/>
          <w:szCs w:val="24"/>
        </w:rPr>
        <w:t>参加估价的注册房地产估价师</w:t>
      </w:r>
    </w:p>
    <w:tbl>
      <w:tblPr>
        <w:tblStyle w:val="23"/>
        <w:tblW w:w="9187" w:type="dxa"/>
        <w:jc w:val="center"/>
        <w:tblLayout w:type="autofit"/>
        <w:tblCellMar>
          <w:top w:w="0" w:type="dxa"/>
          <w:left w:w="108" w:type="dxa"/>
          <w:bottom w:w="0" w:type="dxa"/>
          <w:right w:w="108" w:type="dxa"/>
        </w:tblCellMar>
      </w:tblPr>
      <w:tblGrid>
        <w:gridCol w:w="1920"/>
        <w:gridCol w:w="1876"/>
        <w:gridCol w:w="2911"/>
        <w:gridCol w:w="2480"/>
      </w:tblGrid>
      <w:tr>
        <w:tblPrEx>
          <w:tblCellMar>
            <w:top w:w="0" w:type="dxa"/>
            <w:left w:w="108" w:type="dxa"/>
            <w:bottom w:w="0" w:type="dxa"/>
            <w:right w:w="108" w:type="dxa"/>
          </w:tblCellMar>
        </w:tblPrEx>
        <w:trPr>
          <w:trHeight w:val="473" w:hRule="atLeast"/>
          <w:jc w:val="center"/>
        </w:trPr>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c>
          <w:tcPr>
            <w:tcW w:w="187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bidi w:val="0"/>
              <w:snapToGrid/>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 册 号</w:t>
            </w:r>
          </w:p>
        </w:tc>
        <w:tc>
          <w:tcPr>
            <w:tcW w:w="29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签名及签章</w:t>
            </w:r>
          </w:p>
        </w:tc>
        <w:tc>
          <w:tcPr>
            <w:tcW w:w="2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签名日期</w:t>
            </w:r>
          </w:p>
        </w:tc>
      </w:tr>
      <w:tr>
        <w:tblPrEx>
          <w:tblCellMar>
            <w:top w:w="0" w:type="dxa"/>
            <w:left w:w="108" w:type="dxa"/>
            <w:bottom w:w="0" w:type="dxa"/>
            <w:right w:w="108" w:type="dxa"/>
          </w:tblCellMar>
        </w:tblPrEx>
        <w:trPr>
          <w:trHeight w:val="1361" w:hRule="atLeast"/>
          <w:jc w:val="center"/>
        </w:trPr>
        <w:tc>
          <w:tcPr>
            <w:tcW w:w="192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olor w:val="000000"/>
                <w:sz w:val="24"/>
                <w:szCs w:val="24"/>
              </w:rPr>
            </w:pPr>
            <w:r>
              <w:rPr>
                <w:rFonts w:hint="eastAsia" w:ascii="宋体" w:hAnsi="宋体" w:eastAsia="宋体" w:cs="宋体"/>
                <w:color w:val="auto"/>
                <w:sz w:val="24"/>
                <w:szCs w:val="24"/>
              </w:rPr>
              <w:t>刘雪雁</w:t>
            </w:r>
          </w:p>
        </w:tc>
        <w:tc>
          <w:tcPr>
            <w:tcW w:w="1876" w:type="dxa"/>
            <w:tcBorders>
              <w:top w:val="nil"/>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olor w:val="000000"/>
                <w:sz w:val="24"/>
                <w:szCs w:val="24"/>
              </w:rPr>
            </w:pPr>
            <w:r>
              <w:rPr>
                <w:rFonts w:hint="eastAsia" w:ascii="宋体" w:hAnsi="宋体" w:eastAsia="宋体" w:cs="宋体"/>
                <w:color w:val="auto"/>
                <w:sz w:val="24"/>
                <w:szCs w:val="24"/>
              </w:rPr>
              <w:t>6420200002</w:t>
            </w:r>
          </w:p>
        </w:tc>
        <w:tc>
          <w:tcPr>
            <w:tcW w:w="291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000000"/>
                <w:sz w:val="24"/>
                <w:szCs w:val="24"/>
              </w:rPr>
            </w:pPr>
          </w:p>
        </w:tc>
        <w:tc>
          <w:tcPr>
            <w:tcW w:w="2480" w:type="dxa"/>
            <w:tcBorders>
              <w:top w:val="nil"/>
              <w:left w:val="nil"/>
              <w:bottom w:val="single" w:color="auto" w:sz="4" w:space="0"/>
              <w:right w:val="single" w:color="auto" w:sz="4" w:space="0"/>
            </w:tcBorders>
            <w:noWrap w:val="0"/>
            <w:vAlign w:val="center"/>
          </w:tcPr>
          <w:p>
            <w:pPr>
              <w:widowControl/>
              <w:spacing w:line="240" w:lineRule="auto"/>
              <w:ind w:firstLine="600" w:firstLineChars="250"/>
              <w:jc w:val="right"/>
              <w:rPr>
                <w:rFonts w:hint="eastAsia" w:ascii="宋体" w:hAnsi="宋体" w:eastAsia="宋体"/>
                <w:color w:val="000000"/>
                <w:sz w:val="24"/>
                <w:szCs w:val="24"/>
              </w:rPr>
            </w:pPr>
            <w:r>
              <w:rPr>
                <w:rFonts w:hint="eastAsia" w:ascii="宋体" w:hAnsi="宋体" w:eastAsia="宋体" w:cs="宋体"/>
                <w:color w:val="auto"/>
                <w:sz w:val="24"/>
                <w:szCs w:val="24"/>
              </w:rPr>
              <w:t>年   月   日</w:t>
            </w:r>
          </w:p>
        </w:tc>
      </w:tr>
      <w:tr>
        <w:tblPrEx>
          <w:tblCellMar>
            <w:top w:w="0" w:type="dxa"/>
            <w:left w:w="108" w:type="dxa"/>
            <w:bottom w:w="0" w:type="dxa"/>
            <w:right w:w="108" w:type="dxa"/>
          </w:tblCellMar>
        </w:tblPrEx>
        <w:trPr>
          <w:trHeight w:val="1361" w:hRule="atLeast"/>
          <w:jc w:val="center"/>
        </w:trPr>
        <w:tc>
          <w:tcPr>
            <w:tcW w:w="192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olor w:val="000000"/>
                <w:sz w:val="24"/>
                <w:szCs w:val="24"/>
                <w:lang w:eastAsia="zh-CN"/>
              </w:rPr>
            </w:pPr>
            <w:r>
              <w:rPr>
                <w:rFonts w:hint="eastAsia" w:ascii="宋体" w:hAnsi="宋体" w:eastAsia="宋体" w:cs="宋体"/>
                <w:color w:val="auto"/>
                <w:sz w:val="24"/>
                <w:szCs w:val="24"/>
              </w:rPr>
              <w:t>刘  渊</w:t>
            </w:r>
          </w:p>
        </w:tc>
        <w:tc>
          <w:tcPr>
            <w:tcW w:w="1876" w:type="dxa"/>
            <w:tcBorders>
              <w:top w:val="nil"/>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olor w:val="000000"/>
                <w:sz w:val="24"/>
                <w:szCs w:val="24"/>
                <w:lang w:eastAsia="zh-CN"/>
              </w:rPr>
            </w:pPr>
            <w:r>
              <w:rPr>
                <w:rFonts w:hint="eastAsia" w:ascii="宋体" w:hAnsi="宋体" w:eastAsia="宋体" w:cs="宋体"/>
                <w:color w:val="auto"/>
                <w:sz w:val="24"/>
                <w:szCs w:val="24"/>
              </w:rPr>
              <w:t>6420120002</w:t>
            </w:r>
          </w:p>
        </w:tc>
        <w:tc>
          <w:tcPr>
            <w:tcW w:w="2911" w:type="dxa"/>
            <w:tcBorders>
              <w:top w:val="nil"/>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olor w:val="000000"/>
                <w:sz w:val="24"/>
                <w:szCs w:val="24"/>
              </w:rPr>
            </w:pPr>
          </w:p>
        </w:tc>
        <w:tc>
          <w:tcPr>
            <w:tcW w:w="2480" w:type="dxa"/>
            <w:tcBorders>
              <w:top w:val="nil"/>
              <w:left w:val="nil"/>
              <w:bottom w:val="single" w:color="auto" w:sz="4" w:space="0"/>
              <w:right w:val="single" w:color="auto" w:sz="4" w:space="0"/>
            </w:tcBorders>
            <w:noWrap w:val="0"/>
            <w:vAlign w:val="center"/>
          </w:tcPr>
          <w:p>
            <w:pPr>
              <w:widowControl/>
              <w:spacing w:line="240" w:lineRule="auto"/>
              <w:ind w:firstLine="600" w:firstLineChars="250"/>
              <w:jc w:val="right"/>
              <w:rPr>
                <w:rFonts w:hint="eastAsia" w:ascii="宋体" w:hAnsi="宋体" w:eastAsia="宋体"/>
                <w:color w:val="000000"/>
                <w:sz w:val="24"/>
                <w:szCs w:val="24"/>
              </w:rPr>
            </w:pPr>
            <w:r>
              <w:rPr>
                <w:rFonts w:hint="eastAsia" w:ascii="宋体" w:hAnsi="宋体" w:eastAsia="宋体" w:cs="宋体"/>
                <w:color w:val="auto"/>
                <w:sz w:val="24"/>
                <w:szCs w:val="24"/>
              </w:rPr>
              <w:t>年   月   日</w:t>
            </w:r>
          </w:p>
        </w:tc>
      </w:tr>
    </w:tbl>
    <w:p>
      <w:pPr>
        <w:pStyle w:val="4"/>
        <w:keepNext w:val="0"/>
        <w:keepLines w:val="0"/>
        <w:pageBreakBefore w:val="0"/>
        <w:widowControl w:val="0"/>
        <w:kinsoku/>
        <w:wordWrap/>
        <w:overflowPunct/>
        <w:topLinePunct w:val="0"/>
        <w:autoSpaceDE w:val="0"/>
        <w:autoSpaceDN w:val="0"/>
        <w:bidi w:val="0"/>
        <w:adjustRightInd w:val="0"/>
        <w:snapToGrid/>
        <w:spacing w:before="100" w:beforeAutospacing="1" w:after="0" w:line="480" w:lineRule="exact"/>
        <w:ind w:left="0" w:right="0" w:firstLine="560" w:firstLineChars="200"/>
        <w:rPr>
          <w:rFonts w:hint="eastAsia" w:ascii="Times New Roman" w:hAnsi="Times New Roman" w:cs="Times New Roman"/>
          <w:b/>
          <w:color w:val="000000"/>
          <w:kern w:val="0"/>
        </w:rPr>
      </w:pPr>
      <w:bookmarkStart w:id="32" w:name="_Toc400524108"/>
      <w:bookmarkStart w:id="33" w:name="_Toc92793197"/>
      <w:bookmarkStart w:id="34" w:name="_Toc400524107"/>
      <w:r>
        <w:rPr>
          <w:rFonts w:hint="eastAsia" w:ascii="Times New Roman" w:hAnsi="Times New Roman" w:cs="Times New Roman"/>
          <w:b/>
          <w:color w:val="000000"/>
          <w:kern w:val="0"/>
        </w:rPr>
        <w:t>十二</w:t>
      </w:r>
      <w:bookmarkEnd w:id="32"/>
      <w:r>
        <w:rPr>
          <w:rFonts w:hint="eastAsia" w:ascii="Times New Roman" w:hAnsi="Times New Roman" w:cs="Times New Roman"/>
          <w:b/>
          <w:color w:val="000000"/>
          <w:kern w:val="0"/>
        </w:rPr>
        <w:t>、实地查勘期</w:t>
      </w:r>
      <w:bookmarkEnd w:id="33"/>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0"/>
        <w:jc w:val="left"/>
        <w:rPr>
          <w:rFonts w:hint="eastAsia" w:ascii="仿宋_GB2312" w:hAnsi="仿宋" w:cs="Times New Roman"/>
        </w:rPr>
      </w:pPr>
      <w:r>
        <w:rPr>
          <w:rFonts w:hint="eastAsia" w:ascii="仿宋_GB2312" w:hAnsi="仿宋" w:cs="Times New Roman"/>
          <w:lang w:eastAsia="zh-CN"/>
        </w:rPr>
        <w:t>2022年6月21日</w:t>
      </w:r>
      <w:r>
        <w:rPr>
          <w:rFonts w:hint="eastAsia" w:ascii="仿宋_GB2312" w:hAnsi="仿宋" w:cs="Times New Roman"/>
        </w:rPr>
        <w:t>至</w:t>
      </w:r>
      <w:r>
        <w:rPr>
          <w:rFonts w:hint="eastAsia" w:ascii="仿宋_GB2312" w:hAnsi="仿宋" w:cs="Times New Roman"/>
          <w:lang w:eastAsia="zh-CN"/>
        </w:rPr>
        <w:t>2022年6月21日</w:t>
      </w:r>
      <w:r>
        <w:rPr>
          <w:rFonts w:hint="eastAsia" w:ascii="仿宋_GB2312" w:hAnsi="仿宋" w:cs="Times New Roman"/>
        </w:rPr>
        <w:t>。</w:t>
      </w:r>
    </w:p>
    <w:p>
      <w:pPr>
        <w:pStyle w:val="4"/>
        <w:keepNext w:val="0"/>
        <w:keepLines w:val="0"/>
        <w:pageBreakBefore w:val="0"/>
        <w:widowControl w:val="0"/>
        <w:kinsoku/>
        <w:wordWrap/>
        <w:overflowPunct/>
        <w:topLinePunct w:val="0"/>
        <w:autoSpaceDE w:val="0"/>
        <w:autoSpaceDN w:val="0"/>
        <w:bidi w:val="0"/>
        <w:adjustRightInd w:val="0"/>
        <w:snapToGrid/>
        <w:spacing w:before="100" w:beforeAutospacing="1" w:after="0" w:line="480" w:lineRule="exact"/>
        <w:ind w:left="0" w:right="0" w:firstLine="560" w:firstLineChars="200"/>
        <w:rPr>
          <w:rFonts w:hint="eastAsia" w:ascii="Times New Roman" w:hAnsi="Times New Roman" w:cs="Times New Roman"/>
          <w:b/>
          <w:color w:val="000000"/>
          <w:kern w:val="0"/>
        </w:rPr>
      </w:pPr>
      <w:bookmarkStart w:id="35" w:name="_Toc92793198"/>
      <w:r>
        <w:rPr>
          <w:rFonts w:hint="eastAsia" w:ascii="Times New Roman" w:hAnsi="Times New Roman" w:cs="Times New Roman"/>
          <w:b/>
          <w:color w:val="000000"/>
          <w:kern w:val="0"/>
        </w:rPr>
        <w:t>十三</w:t>
      </w:r>
      <w:bookmarkEnd w:id="34"/>
      <w:r>
        <w:rPr>
          <w:rFonts w:hint="eastAsia" w:ascii="Times New Roman" w:hAnsi="Times New Roman" w:cs="Times New Roman"/>
          <w:b/>
          <w:color w:val="000000"/>
          <w:kern w:val="0"/>
        </w:rPr>
        <w:t>、评估作业期</w:t>
      </w:r>
      <w:bookmarkEnd w:id="35"/>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0"/>
        <w:jc w:val="left"/>
        <w:rPr>
          <w:rFonts w:hint="eastAsia" w:ascii="仿宋_GB2312" w:hAnsi="仿宋" w:cs="Times New Roman"/>
          <w:color w:val="auto"/>
        </w:rPr>
      </w:pPr>
      <w:r>
        <w:rPr>
          <w:rFonts w:hint="eastAsia" w:ascii="仿宋_GB2312" w:hAnsi="仿宋" w:cs="Times New Roman"/>
          <w:lang w:eastAsia="zh-CN"/>
        </w:rPr>
        <w:t>2022年6月7日</w:t>
      </w:r>
      <w:r>
        <w:rPr>
          <w:rFonts w:hint="eastAsia" w:ascii="仿宋_GB2312" w:hAnsi="仿宋" w:cs="Times New Roman"/>
          <w:color w:val="auto"/>
        </w:rPr>
        <w:t>至</w:t>
      </w:r>
      <w:bookmarkStart w:id="36" w:name="_Toc400524109"/>
      <w:r>
        <w:rPr>
          <w:rFonts w:hint="eastAsia" w:ascii="仿宋_GB2312" w:hAnsi="仿宋" w:cs="Times New Roman"/>
          <w:color w:val="auto"/>
          <w:lang w:eastAsia="zh-CN"/>
        </w:rPr>
        <w:t>2022年7月5日</w:t>
      </w:r>
      <w:r>
        <w:rPr>
          <w:rFonts w:hint="eastAsia" w:ascii="仿宋_GB2312" w:hAnsi="仿宋" w:cs="Times New Roman"/>
          <w:color w:val="auto"/>
        </w:rPr>
        <w:t>。</w:t>
      </w:r>
    </w:p>
    <w:p>
      <w:pPr>
        <w:pStyle w:val="4"/>
        <w:keepNext w:val="0"/>
        <w:keepLines w:val="0"/>
        <w:pageBreakBefore w:val="0"/>
        <w:widowControl w:val="0"/>
        <w:kinsoku/>
        <w:wordWrap/>
        <w:overflowPunct/>
        <w:topLinePunct w:val="0"/>
        <w:autoSpaceDE w:val="0"/>
        <w:autoSpaceDN w:val="0"/>
        <w:bidi w:val="0"/>
        <w:adjustRightInd w:val="0"/>
        <w:snapToGrid/>
        <w:spacing w:before="100" w:beforeAutospacing="1" w:after="0" w:line="480" w:lineRule="exact"/>
        <w:ind w:left="0" w:right="0" w:firstLine="560" w:firstLineChars="200"/>
        <w:rPr>
          <w:rFonts w:hint="eastAsia" w:ascii="Times New Roman" w:hAnsi="Times New Roman" w:cs="Times New Roman"/>
          <w:b/>
          <w:color w:val="000000"/>
          <w:kern w:val="0"/>
        </w:rPr>
      </w:pPr>
      <w:bookmarkStart w:id="37" w:name="_Toc92793199"/>
      <w:r>
        <w:rPr>
          <w:rFonts w:hint="eastAsia" w:ascii="Times New Roman" w:hAnsi="Times New Roman" w:cs="Times New Roman"/>
          <w:b/>
          <w:color w:val="000000"/>
          <w:kern w:val="0"/>
        </w:rPr>
        <w:t>十四、评估报告应用的有效期</w:t>
      </w:r>
      <w:bookmarkEnd w:id="37"/>
    </w:p>
    <w:p>
      <w:pPr>
        <w:keepNext w:val="0"/>
        <w:keepLines w:val="0"/>
        <w:pageBreakBefore w:val="0"/>
        <w:widowControl w:val="0"/>
        <w:kinsoku/>
        <w:wordWrap/>
        <w:overflowPunct/>
        <w:topLinePunct w:val="0"/>
        <w:autoSpaceDE w:val="0"/>
        <w:autoSpaceDN w:val="0"/>
        <w:bidi w:val="0"/>
        <w:adjustRightInd w:val="0"/>
        <w:snapToGrid/>
        <w:spacing w:line="480" w:lineRule="exact"/>
        <w:ind w:right="278" w:firstLine="560"/>
        <w:jc w:val="left"/>
        <w:rPr>
          <w:rFonts w:hint="eastAsia" w:ascii="仿宋_GB2312" w:hAnsi="仿宋" w:cs="Times New Roman"/>
          <w:color w:val="auto"/>
        </w:rPr>
      </w:pPr>
      <w:r>
        <w:rPr>
          <w:rFonts w:hint="eastAsia" w:ascii="仿宋_GB2312" w:hAnsi="仿宋" w:cs="Times New Roman"/>
          <w:color w:val="auto"/>
        </w:rPr>
        <w:t>本报告有效期自评估报告出具之日起一年内有效，即</w:t>
      </w:r>
      <w:r>
        <w:rPr>
          <w:rFonts w:hint="eastAsia" w:ascii="仿宋_GB2312" w:hAnsi="仿宋" w:cs="Times New Roman"/>
          <w:color w:val="auto"/>
          <w:lang w:eastAsia="zh-CN"/>
        </w:rPr>
        <w:t>2022年7月5日</w:t>
      </w:r>
      <w:r>
        <w:rPr>
          <w:rFonts w:hint="eastAsia" w:ascii="仿宋_GB2312" w:hAnsi="仿宋" w:cs="Times New Roman"/>
          <w:color w:val="auto"/>
        </w:rPr>
        <w:t>至</w:t>
      </w:r>
      <w:r>
        <w:rPr>
          <w:rFonts w:hint="eastAsia" w:ascii="仿宋_GB2312" w:hAnsi="仿宋" w:cs="Times New Roman"/>
          <w:color w:val="auto"/>
          <w:lang w:eastAsia="zh-CN"/>
        </w:rPr>
        <w:t>2023年</w:t>
      </w:r>
      <w:r>
        <w:rPr>
          <w:rFonts w:hint="eastAsia" w:ascii="仿宋_GB2312" w:hAnsi="仿宋" w:cs="Times New Roman"/>
          <w:color w:val="auto"/>
          <w:lang w:val="en-US" w:eastAsia="zh-CN"/>
        </w:rPr>
        <w:t>7</w:t>
      </w:r>
      <w:r>
        <w:rPr>
          <w:rFonts w:hint="eastAsia" w:ascii="仿宋_GB2312" w:hAnsi="仿宋" w:cs="Times New Roman"/>
          <w:color w:val="auto"/>
          <w:lang w:eastAsia="zh-CN"/>
        </w:rPr>
        <w:t>月</w:t>
      </w:r>
      <w:r>
        <w:rPr>
          <w:rFonts w:hint="eastAsia" w:ascii="仿宋_GB2312" w:hAnsi="仿宋" w:cs="Times New Roman"/>
          <w:color w:val="auto"/>
          <w:lang w:val="en-US" w:eastAsia="zh-CN"/>
        </w:rPr>
        <w:t>4</w:t>
      </w:r>
      <w:r>
        <w:rPr>
          <w:rFonts w:hint="eastAsia" w:ascii="仿宋_GB2312" w:hAnsi="仿宋" w:cs="Times New Roman"/>
          <w:color w:val="auto"/>
          <w:lang w:eastAsia="zh-CN"/>
        </w:rPr>
        <w:t>日</w:t>
      </w:r>
      <w:r>
        <w:rPr>
          <w:rFonts w:hint="eastAsia" w:ascii="仿宋_GB2312" w:hAnsi="仿宋" w:cs="Times New Roman"/>
          <w:color w:val="auto"/>
        </w:rPr>
        <w:t>。</w:t>
      </w:r>
    </w:p>
    <w:bookmarkEnd w:id="36"/>
    <w:p>
      <w:pPr>
        <w:spacing w:line="240" w:lineRule="exact"/>
        <w:ind w:right="561"/>
        <w:rPr>
          <w:rFonts w:hint="eastAsia" w:ascii="仿宋_GB2312"/>
          <w:b/>
          <w:kern w:val="0"/>
        </w:rPr>
      </w:pPr>
      <w:bookmarkStart w:id="38" w:name="_Toc400524116"/>
    </w:p>
    <w:p>
      <w:pPr>
        <w:pStyle w:val="3"/>
        <w:keepNext/>
        <w:keepLines/>
        <w:pageBreakBefore w:val="0"/>
        <w:widowControl w:val="0"/>
        <w:kinsoku/>
        <w:wordWrap/>
        <w:overflowPunct/>
        <w:topLinePunct w:val="0"/>
        <w:autoSpaceDE/>
        <w:autoSpaceDN/>
        <w:bidi w:val="0"/>
        <w:adjustRightInd/>
        <w:snapToGrid/>
        <w:spacing w:after="217" w:afterLines="50" w:line="500" w:lineRule="exact"/>
        <w:textAlignment w:val="auto"/>
        <w:rPr>
          <w:rFonts w:hint="eastAsia" w:ascii="宋体" w:hAnsi="宋体" w:eastAsia="宋体"/>
          <w:color w:val="000000"/>
          <w:kern w:val="0"/>
        </w:rPr>
      </w:pPr>
      <w:bookmarkStart w:id="39" w:name="_Toc92793207"/>
      <w:r>
        <w:rPr>
          <w:rFonts w:hint="eastAsia" w:ascii="宋体" w:hAnsi="宋体" w:eastAsia="宋体"/>
          <w:color w:val="000000"/>
          <w:kern w:val="0"/>
        </w:rPr>
        <w:t>附件</w:t>
      </w:r>
      <w:bookmarkEnd w:id="39"/>
    </w:p>
    <w:bookmarkEnd w:id="38"/>
    <w:p>
      <w:pPr>
        <w:numPr>
          <w:ilvl w:val="0"/>
          <w:numId w:val="3"/>
        </w:numPr>
        <w:tabs>
          <w:tab w:val="left" w:pos="0"/>
          <w:tab w:val="left" w:pos="709"/>
        </w:tabs>
        <w:kinsoku w:val="0"/>
        <w:overflowPunct w:val="0"/>
        <w:autoSpaceDE w:val="0"/>
        <w:autoSpaceDN w:val="0"/>
        <w:adjustRightInd w:val="0"/>
        <w:spacing w:line="620" w:lineRule="exact"/>
        <w:ind w:left="140" w:leftChars="50" w:right="278" w:firstLine="459"/>
        <w:jc w:val="left"/>
        <w:rPr>
          <w:rFonts w:hint="eastAsia" w:ascii="仿宋_GB2312" w:hAnsi="仿宋"/>
          <w:spacing w:val="0"/>
          <w:sz w:val="28"/>
          <w:szCs w:val="28"/>
        </w:rPr>
      </w:pPr>
      <w:r>
        <w:rPr>
          <w:rFonts w:hint="eastAsia" w:ascii="仿宋_GB2312" w:hAnsi="仿宋" w:cs="仿宋_GB2312"/>
          <w:color w:val="000000"/>
          <w:spacing w:val="0"/>
          <w:kern w:val="0"/>
          <w:sz w:val="28"/>
          <w:szCs w:val="28"/>
          <w:lang w:eastAsia="zh-CN"/>
        </w:rPr>
        <w:t>《贺兰县人民法院司法鉴定委托书》（编号：（2022）宁0122法鉴字</w:t>
      </w:r>
      <w:r>
        <w:rPr>
          <w:rFonts w:hint="eastAsia" w:ascii="仿宋_GB2312" w:hAnsi="仿宋" w:cs="仿宋_GB2312"/>
          <w:color w:val="000000"/>
          <w:spacing w:val="0"/>
          <w:kern w:val="0"/>
          <w:sz w:val="28"/>
          <w:szCs w:val="28"/>
          <w:lang w:val="en-US" w:eastAsia="zh-CN"/>
        </w:rPr>
        <w:t>165</w:t>
      </w:r>
      <w:r>
        <w:rPr>
          <w:rFonts w:hint="eastAsia" w:ascii="仿宋_GB2312" w:hAnsi="仿宋" w:cs="仿宋_GB2312"/>
          <w:color w:val="000000"/>
          <w:spacing w:val="0"/>
          <w:kern w:val="0"/>
          <w:sz w:val="28"/>
          <w:szCs w:val="28"/>
          <w:lang w:eastAsia="zh-CN"/>
        </w:rPr>
        <w:t>）</w:t>
      </w:r>
      <w:r>
        <w:rPr>
          <w:rFonts w:hint="eastAsia" w:ascii="仿宋_GB2312" w:hAnsi="仿宋"/>
          <w:spacing w:val="0"/>
          <w:sz w:val="28"/>
          <w:szCs w:val="28"/>
        </w:rPr>
        <w:t>；</w:t>
      </w:r>
    </w:p>
    <w:p>
      <w:pPr>
        <w:numPr>
          <w:ilvl w:val="0"/>
          <w:numId w:val="3"/>
        </w:numPr>
        <w:tabs>
          <w:tab w:val="left" w:pos="0"/>
          <w:tab w:val="left" w:pos="709"/>
        </w:tabs>
        <w:kinsoku w:val="0"/>
        <w:overflowPunct w:val="0"/>
        <w:autoSpaceDE w:val="0"/>
        <w:autoSpaceDN w:val="0"/>
        <w:adjustRightInd w:val="0"/>
        <w:spacing w:line="620" w:lineRule="exact"/>
        <w:ind w:left="140" w:leftChars="50" w:right="278" w:firstLine="459"/>
        <w:jc w:val="left"/>
        <w:rPr>
          <w:rFonts w:hint="eastAsia"/>
        </w:rPr>
      </w:pPr>
      <w:r>
        <w:rPr>
          <w:rFonts w:hint="eastAsia" w:ascii="仿宋_GB2312" w:hAnsi="仿宋" w:cs="仿宋_GB2312"/>
          <w:color w:val="000000"/>
          <w:spacing w:val="0"/>
          <w:kern w:val="0"/>
          <w:sz w:val="28"/>
          <w:szCs w:val="28"/>
          <w:lang w:eastAsia="zh-CN"/>
        </w:rPr>
        <w:t>《</w:t>
      </w:r>
      <w:r>
        <w:rPr>
          <w:rFonts w:hint="eastAsia" w:ascii="仿宋_GB2312" w:hAnsi="仿宋" w:cs="仿宋_GB2312"/>
          <w:color w:val="000000"/>
          <w:spacing w:val="0"/>
          <w:kern w:val="0"/>
          <w:sz w:val="28"/>
          <w:szCs w:val="28"/>
          <w:lang w:val="en-US" w:eastAsia="zh-CN"/>
        </w:rPr>
        <w:t>宁夏回族自治区贺兰县人民法院执行裁定书</w:t>
      </w:r>
      <w:r>
        <w:rPr>
          <w:rFonts w:hint="eastAsia" w:ascii="仿宋_GB2312" w:hAnsi="仿宋" w:cs="仿宋_GB2312"/>
          <w:color w:val="000000"/>
          <w:spacing w:val="0"/>
          <w:kern w:val="0"/>
          <w:sz w:val="28"/>
          <w:szCs w:val="28"/>
          <w:lang w:eastAsia="zh-CN"/>
        </w:rPr>
        <w:t>》（编号：（</w:t>
      </w:r>
      <w:r>
        <w:rPr>
          <w:rFonts w:hint="eastAsia" w:ascii="仿宋_GB2312" w:hAnsi="仿宋" w:cs="仿宋_GB2312"/>
          <w:color w:val="000000"/>
          <w:spacing w:val="0"/>
          <w:kern w:val="0"/>
          <w:sz w:val="28"/>
          <w:szCs w:val="28"/>
          <w:lang w:val="en-US" w:eastAsia="zh-CN"/>
        </w:rPr>
        <w:t>2022</w:t>
      </w:r>
      <w:r>
        <w:rPr>
          <w:rFonts w:hint="eastAsia" w:ascii="仿宋_GB2312" w:hAnsi="仿宋" w:cs="仿宋_GB2312"/>
          <w:color w:val="000000"/>
          <w:spacing w:val="0"/>
          <w:kern w:val="0"/>
          <w:sz w:val="28"/>
          <w:szCs w:val="28"/>
          <w:lang w:eastAsia="zh-CN"/>
        </w:rPr>
        <w:t>）宁0122</w:t>
      </w:r>
      <w:r>
        <w:rPr>
          <w:rFonts w:hint="eastAsia" w:ascii="仿宋_GB2312" w:hAnsi="仿宋" w:cs="仿宋_GB2312"/>
          <w:color w:val="000000"/>
          <w:spacing w:val="0"/>
          <w:kern w:val="0"/>
          <w:sz w:val="28"/>
          <w:szCs w:val="28"/>
          <w:lang w:val="en-US" w:eastAsia="zh-CN"/>
        </w:rPr>
        <w:t>执1892</w:t>
      </w:r>
      <w:r>
        <w:rPr>
          <w:rFonts w:hint="eastAsia" w:ascii="仿宋_GB2312" w:hAnsi="仿宋" w:cs="仿宋_GB2312"/>
          <w:color w:val="000000"/>
          <w:spacing w:val="0"/>
          <w:kern w:val="0"/>
          <w:sz w:val="28"/>
          <w:szCs w:val="28"/>
          <w:lang w:eastAsia="zh-CN"/>
        </w:rPr>
        <w:t>号</w:t>
      </w:r>
      <w:r>
        <w:rPr>
          <w:rFonts w:hint="eastAsia" w:ascii="仿宋_GB2312" w:hAnsi="仿宋" w:cs="仿宋_GB2312"/>
          <w:color w:val="000000"/>
          <w:spacing w:val="0"/>
          <w:kern w:val="0"/>
          <w:sz w:val="28"/>
          <w:szCs w:val="28"/>
          <w:lang w:val="en-US" w:eastAsia="zh-CN"/>
        </w:rPr>
        <w:t>之一</w:t>
      </w:r>
      <w:r>
        <w:rPr>
          <w:rFonts w:hint="eastAsia" w:ascii="仿宋_GB2312" w:hAnsi="仿宋" w:cs="仿宋_GB2312"/>
          <w:color w:val="000000"/>
          <w:spacing w:val="0"/>
          <w:kern w:val="0"/>
          <w:sz w:val="28"/>
          <w:szCs w:val="28"/>
          <w:lang w:eastAsia="zh-CN"/>
        </w:rPr>
        <w:t>）；</w:t>
      </w:r>
    </w:p>
    <w:p>
      <w:pPr>
        <w:numPr>
          <w:ilvl w:val="0"/>
          <w:numId w:val="3"/>
        </w:numPr>
        <w:kinsoku w:val="0"/>
        <w:overflowPunct w:val="0"/>
        <w:autoSpaceDE w:val="0"/>
        <w:autoSpaceDN w:val="0"/>
        <w:adjustRightInd w:val="0"/>
        <w:spacing w:line="620" w:lineRule="exact"/>
        <w:ind w:right="278"/>
        <w:jc w:val="left"/>
        <w:rPr>
          <w:rFonts w:hint="eastAsia" w:ascii="仿宋_GB2312" w:hAnsi="华文仿宋" w:cs="仿宋_GB2312"/>
          <w:color w:val="000000"/>
          <w:spacing w:val="0"/>
          <w:kern w:val="0"/>
          <w:sz w:val="28"/>
          <w:szCs w:val="28"/>
        </w:rPr>
      </w:pPr>
      <w:r>
        <w:rPr>
          <w:rFonts w:hint="eastAsia" w:ascii="仿宋_GB2312" w:hAnsi="仿宋" w:cs="仿宋_GB2312"/>
          <w:color w:val="000000"/>
          <w:spacing w:val="0"/>
          <w:kern w:val="0"/>
          <w:sz w:val="28"/>
          <w:szCs w:val="28"/>
        </w:rPr>
        <w:t>评估对象位置示意图；</w:t>
      </w:r>
    </w:p>
    <w:p>
      <w:pPr>
        <w:numPr>
          <w:ilvl w:val="0"/>
          <w:numId w:val="3"/>
        </w:numPr>
        <w:kinsoku w:val="0"/>
        <w:overflowPunct w:val="0"/>
        <w:autoSpaceDE w:val="0"/>
        <w:autoSpaceDN w:val="0"/>
        <w:adjustRightInd w:val="0"/>
        <w:spacing w:line="620" w:lineRule="exact"/>
        <w:ind w:right="278"/>
        <w:jc w:val="left"/>
        <w:rPr>
          <w:rFonts w:hint="eastAsia" w:ascii="仿宋_GB2312" w:hAnsi="华文仿宋" w:cs="仿宋_GB2312"/>
          <w:color w:val="000000"/>
          <w:kern w:val="0"/>
          <w:sz w:val="28"/>
          <w:szCs w:val="28"/>
        </w:rPr>
      </w:pPr>
      <w:r>
        <w:rPr>
          <w:rFonts w:hint="eastAsia" w:ascii="仿宋_GB2312" w:hAnsi="华文仿宋" w:cs="仿宋_GB2312"/>
          <w:color w:val="000000"/>
          <w:kern w:val="0"/>
          <w:sz w:val="28"/>
          <w:szCs w:val="28"/>
          <w:lang w:eastAsia="zh-CN"/>
        </w:rPr>
        <w:t>《住宅房地产实地查勘记录表》；</w:t>
      </w:r>
    </w:p>
    <w:p>
      <w:pPr>
        <w:numPr>
          <w:ilvl w:val="0"/>
          <w:numId w:val="3"/>
        </w:numPr>
        <w:kinsoku w:val="0"/>
        <w:overflowPunct w:val="0"/>
        <w:autoSpaceDE w:val="0"/>
        <w:autoSpaceDN w:val="0"/>
        <w:adjustRightInd w:val="0"/>
        <w:spacing w:line="620" w:lineRule="exact"/>
        <w:ind w:right="278"/>
        <w:jc w:val="left"/>
        <w:rPr>
          <w:rFonts w:hint="eastAsia" w:ascii="仿宋_GB2312" w:hAnsi="华文仿宋" w:cs="仿宋_GB2312"/>
          <w:color w:val="000000"/>
          <w:kern w:val="0"/>
          <w:sz w:val="28"/>
          <w:szCs w:val="28"/>
        </w:rPr>
      </w:pPr>
      <w:r>
        <w:rPr>
          <w:rFonts w:hint="eastAsia" w:ascii="仿宋_GB2312" w:hAnsi="仿宋" w:cs="仿宋_GB2312"/>
          <w:color w:val="000000"/>
          <w:kern w:val="0"/>
          <w:sz w:val="28"/>
          <w:szCs w:val="28"/>
        </w:rPr>
        <w:t>评估对象内外部状况及环境照片；</w:t>
      </w:r>
    </w:p>
    <w:p>
      <w:pPr>
        <w:numPr>
          <w:ilvl w:val="0"/>
          <w:numId w:val="3"/>
        </w:numPr>
        <w:kinsoku w:val="0"/>
        <w:overflowPunct w:val="0"/>
        <w:autoSpaceDE w:val="0"/>
        <w:autoSpaceDN w:val="0"/>
        <w:adjustRightInd w:val="0"/>
        <w:spacing w:line="520" w:lineRule="exact"/>
        <w:ind w:left="142" w:right="278" w:firstLine="426"/>
        <w:rPr>
          <w:rFonts w:hint="eastAsia"/>
          <w:sz w:val="28"/>
        </w:rPr>
      </w:pPr>
      <w:r>
        <w:rPr>
          <w:rFonts w:hint="eastAsia" w:ascii="仿宋_GB2312" w:hAnsi="仿宋" w:cs="仿宋_GB2312"/>
          <w:color w:val="000000"/>
          <w:kern w:val="0"/>
          <w:sz w:val="28"/>
          <w:szCs w:val="28"/>
          <w:lang w:val="en-US" w:eastAsia="zh-CN"/>
        </w:rPr>
        <w:t>《贺兰县不动产登记信息查询单》（查询编号：1539489424003018754</w:t>
      </w:r>
      <w:r>
        <w:rPr>
          <w:rFonts w:hint="eastAsia"/>
          <w:sz w:val="28"/>
          <w:lang w:val="en-US" w:eastAsia="zh-CN"/>
        </w:rPr>
        <w:t>）；</w:t>
      </w:r>
    </w:p>
    <w:p>
      <w:pPr>
        <w:numPr>
          <w:ilvl w:val="0"/>
          <w:numId w:val="3"/>
        </w:numPr>
        <w:kinsoku w:val="0"/>
        <w:overflowPunct w:val="0"/>
        <w:autoSpaceDE w:val="0"/>
        <w:autoSpaceDN w:val="0"/>
        <w:adjustRightInd w:val="0"/>
        <w:spacing w:line="520" w:lineRule="exact"/>
        <w:ind w:left="142" w:right="278" w:firstLine="426"/>
        <w:rPr>
          <w:rFonts w:hint="eastAsia" w:ascii="仿宋_GB2312" w:hAnsi="仿宋" w:cs="仿宋_GB2312"/>
          <w:color w:val="000000"/>
          <w:kern w:val="0"/>
          <w:sz w:val="28"/>
          <w:szCs w:val="28"/>
        </w:rPr>
      </w:pPr>
      <w:r>
        <w:rPr>
          <w:rFonts w:hint="eastAsia" w:ascii="仿宋_GB2312" w:hAnsi="仿宋" w:cs="仿宋_GB2312"/>
          <w:color w:val="000000"/>
          <w:kern w:val="0"/>
          <w:sz w:val="28"/>
          <w:szCs w:val="28"/>
          <w:lang w:val="en-US" w:eastAsia="zh-CN"/>
        </w:rPr>
        <w:t>可比实例位置示意图和照片；</w:t>
      </w:r>
    </w:p>
    <w:p>
      <w:pPr>
        <w:numPr>
          <w:ilvl w:val="0"/>
          <w:numId w:val="3"/>
        </w:numPr>
        <w:kinsoku w:val="0"/>
        <w:overflowPunct w:val="0"/>
        <w:autoSpaceDE w:val="0"/>
        <w:autoSpaceDN w:val="0"/>
        <w:adjustRightInd w:val="0"/>
        <w:spacing w:line="620" w:lineRule="exact"/>
        <w:ind w:right="278"/>
        <w:jc w:val="left"/>
        <w:rPr>
          <w:rFonts w:hint="eastAsia" w:ascii="仿宋_GB2312" w:hAnsi="华文仿宋" w:cs="仿宋_GB2312"/>
          <w:color w:val="000000"/>
          <w:kern w:val="0"/>
          <w:sz w:val="28"/>
          <w:szCs w:val="28"/>
        </w:rPr>
      </w:pPr>
      <w:r>
        <w:rPr>
          <w:rFonts w:hint="eastAsia" w:ascii="仿宋_GB2312" w:hAnsi="仿宋" w:cs="仿宋_GB2312"/>
          <w:color w:val="000000"/>
          <w:kern w:val="0"/>
          <w:sz w:val="28"/>
          <w:szCs w:val="28"/>
        </w:rPr>
        <w:t>房地产估价机构营业执照；</w:t>
      </w:r>
    </w:p>
    <w:p>
      <w:pPr>
        <w:numPr>
          <w:ilvl w:val="0"/>
          <w:numId w:val="3"/>
        </w:numPr>
        <w:kinsoku w:val="0"/>
        <w:overflowPunct w:val="0"/>
        <w:autoSpaceDE w:val="0"/>
        <w:autoSpaceDN w:val="0"/>
        <w:adjustRightInd w:val="0"/>
        <w:spacing w:line="620" w:lineRule="exact"/>
        <w:ind w:right="278"/>
        <w:jc w:val="left"/>
        <w:rPr>
          <w:rFonts w:hint="eastAsia" w:ascii="仿宋_GB2312" w:hAnsi="华文仿宋" w:cs="仿宋_GB2312"/>
          <w:color w:val="000000"/>
          <w:kern w:val="0"/>
          <w:sz w:val="28"/>
          <w:szCs w:val="28"/>
        </w:rPr>
      </w:pPr>
      <w:r>
        <w:rPr>
          <w:rFonts w:hint="eastAsia" w:ascii="仿宋_GB2312" w:hAnsi="仿宋" w:cs="仿宋_GB2312"/>
          <w:color w:val="000000"/>
          <w:kern w:val="0"/>
          <w:sz w:val="28"/>
          <w:szCs w:val="28"/>
        </w:rPr>
        <w:t>房地产估价机构备案证书；</w:t>
      </w:r>
    </w:p>
    <w:p>
      <w:pPr>
        <w:numPr>
          <w:ilvl w:val="0"/>
          <w:numId w:val="3"/>
        </w:numPr>
        <w:kinsoku w:val="0"/>
        <w:overflowPunct w:val="0"/>
        <w:autoSpaceDE w:val="0"/>
        <w:autoSpaceDN w:val="0"/>
        <w:adjustRightInd w:val="0"/>
        <w:spacing w:line="620" w:lineRule="exact"/>
        <w:ind w:right="278"/>
        <w:jc w:val="left"/>
        <w:rPr>
          <w:rFonts w:ascii="仿宋_GB2312" w:hAnsi="华文仿宋" w:cs="仿宋_GB2312"/>
          <w:color w:val="000000"/>
          <w:kern w:val="0"/>
          <w:sz w:val="28"/>
          <w:szCs w:val="28"/>
        </w:rPr>
      </w:pPr>
      <w:r>
        <w:rPr>
          <w:rFonts w:hint="eastAsia" w:ascii="仿宋_GB2312" w:hAnsi="仿宋" w:cs="仿宋_GB2312"/>
          <w:color w:val="000000"/>
          <w:kern w:val="0"/>
          <w:sz w:val="28"/>
          <w:szCs w:val="28"/>
        </w:rPr>
        <w:t>注册房地产估价师注册证书。</w:t>
      </w:r>
    </w:p>
    <w:p>
      <w:pPr>
        <w:autoSpaceDE w:val="0"/>
        <w:autoSpaceDN w:val="0"/>
        <w:adjustRightInd w:val="0"/>
        <w:spacing w:line="620" w:lineRule="exact"/>
        <w:ind w:right="280" w:firstLine="560" w:firstLineChars="200"/>
        <w:jc w:val="left"/>
        <w:rPr>
          <w:rFonts w:hint="eastAsia" w:ascii="仿宋_GB2312" w:hAnsi="仿宋" w:cs="仿宋_GB2312"/>
          <w:color w:val="000000"/>
          <w:kern w:val="0"/>
          <w:szCs w:val="28"/>
        </w:rPr>
      </w:pPr>
    </w:p>
    <w:p>
      <w:pPr>
        <w:autoSpaceDE w:val="0"/>
        <w:autoSpaceDN w:val="0"/>
        <w:adjustRightInd w:val="0"/>
        <w:ind w:right="280"/>
        <w:jc w:val="left"/>
        <w:rPr>
          <w:rFonts w:hint="eastAsia" w:ascii="仿宋_GB2312" w:hAnsi="仿宋" w:cs="仿宋_GB2312"/>
          <w:color w:val="000000"/>
          <w:kern w:val="0"/>
          <w:szCs w:val="28"/>
        </w:rPr>
      </w:pPr>
    </w:p>
    <w:sectPr>
      <w:headerReference r:id="rId6" w:type="default"/>
      <w:footerReference r:id="rId7" w:type="default"/>
      <w:pgSz w:w="11907" w:h="16840"/>
      <w:pgMar w:top="1418" w:right="1134" w:bottom="1418" w:left="1701" w:header="1077" w:footer="893" w:gutter="113"/>
      <w:pgNumType w:start="1"/>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黑体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right="280"/>
      <w:rPr>
        <w:rStyle w:val="27"/>
      </w:rPr>
    </w:pPr>
    <w:r>
      <w:rPr>
        <w:rStyle w:val="27"/>
      </w:rPr>
      <w:fldChar w:fldCharType="begin"/>
    </w:r>
    <w:r>
      <w:rPr>
        <w:rStyle w:val="27"/>
      </w:rPr>
      <w:instrText xml:space="preserve">PAGE  </w:instrText>
    </w:r>
    <w:r>
      <w:rPr>
        <w:rStyle w:val="27"/>
      </w:rPr>
      <w:fldChar w:fldCharType="end"/>
    </w:r>
  </w:p>
  <w:p>
    <w:pPr>
      <w:pStyle w:val="15"/>
      <w:ind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60" w:lineRule="exact"/>
      <w:ind w:right="278"/>
      <w:rPr>
        <w:rFonts w:hint="eastAsia" w:ascii="宋体" w:hAnsi="宋体" w:eastAsia="宋体" w:cs="Times New Roman"/>
        <w:spacing w:val="-10"/>
        <w:szCs w:val="18"/>
      </w:rPr>
    </w:pPr>
    <w:r>
      <w:rPr>
        <w:rFonts w:hint="eastAsia" w:eastAsia="楷体_GB2312"/>
        <w:bCs/>
        <w:kern w:val="0"/>
        <w:u w:val="single"/>
      </w:rPr>
      <w:t xml:space="preserve">                                                                                                           </w:t>
    </w:r>
    <w:r>
      <w:rPr>
        <w:rFonts w:hint="eastAsia" w:eastAsia="楷体_GB2312"/>
        <w:bCs/>
        <w:kern w:val="0"/>
      </w:rPr>
      <w:t xml:space="preserve">     </w:t>
    </w:r>
    <w:r>
      <w:rPr>
        <w:rFonts w:hint="eastAsia" w:ascii="宋体" w:hAnsi="宋体" w:eastAsia="宋体"/>
        <w:spacing w:val="0"/>
        <w:sz w:val="18"/>
        <w:szCs w:val="18"/>
      </w:rPr>
      <w:t>单位地址：</w:t>
    </w:r>
    <w:r>
      <w:rPr>
        <w:rFonts w:hint="eastAsia" w:ascii="宋体" w:hAnsi="宋体" w:eastAsia="宋体" w:cs="Times New Roman"/>
        <w:spacing w:val="0"/>
        <w:sz w:val="18"/>
        <w:szCs w:val="18"/>
        <w:lang w:eastAsia="zh-CN"/>
      </w:rPr>
      <w:t>宁夏</w:t>
    </w:r>
    <w:r>
      <w:rPr>
        <w:rFonts w:hint="eastAsia" w:ascii="宋体" w:hAnsi="宋体" w:eastAsia="宋体" w:cs="Times New Roman"/>
        <w:spacing w:val="0"/>
        <w:sz w:val="18"/>
        <w:szCs w:val="18"/>
      </w:rPr>
      <w:t>银川市金凤区北京中路61号银川房地产大厦</w:t>
    </w:r>
    <w:r>
      <w:rPr>
        <w:rFonts w:hint="eastAsia" w:ascii="宋体" w:hAnsi="宋体" w:eastAsia="宋体" w:cs="Times New Roman"/>
        <w:spacing w:val="0"/>
        <w:sz w:val="18"/>
        <w:szCs w:val="18"/>
        <w:lang w:eastAsia="zh-CN"/>
      </w:rPr>
      <w:t>十</w:t>
    </w:r>
    <w:r>
      <w:rPr>
        <w:rFonts w:hint="eastAsia" w:ascii="宋体" w:hAnsi="宋体" w:eastAsia="宋体" w:cs="Times New Roman"/>
        <w:spacing w:val="0"/>
        <w:sz w:val="18"/>
        <w:szCs w:val="18"/>
      </w:rPr>
      <w:t xml:space="preserve">楼     </w:t>
    </w:r>
    <w:r>
      <w:rPr>
        <w:rFonts w:hint="eastAsia" w:ascii="宋体" w:hAnsi="宋体" w:eastAsia="宋体" w:cs="Times New Roman"/>
        <w:spacing w:val="0"/>
        <w:sz w:val="18"/>
        <w:szCs w:val="18"/>
        <w:lang w:val="en-US" w:eastAsia="zh-CN"/>
      </w:rPr>
      <w:t xml:space="preserve">    </w:t>
    </w:r>
    <w:r>
      <w:rPr>
        <w:rFonts w:hint="eastAsia" w:ascii="宋体" w:hAnsi="宋体" w:eastAsia="宋体" w:cs="Times New Roman"/>
        <w:spacing w:val="0"/>
        <w:sz w:val="18"/>
        <w:szCs w:val="18"/>
      </w:rPr>
      <w:t>联系电话：（0951）</w:t>
    </w:r>
    <w:r>
      <w:rPr>
        <w:rFonts w:hint="eastAsia" w:ascii="宋体" w:hAnsi="宋体" w:eastAsia="宋体" w:cs="Times New Roman"/>
        <w:spacing w:val="0"/>
        <w:sz w:val="18"/>
        <w:szCs w:val="18"/>
        <w:lang w:val="en-US" w:eastAsia="zh-CN"/>
      </w:rPr>
      <w:t>5606777</w:t>
    </w:r>
    <w:r>
      <w:rPr>
        <w:rFonts w:hint="eastAsia" w:ascii="宋体" w:hAnsi="宋体" w:eastAsia="宋体" w:cs="Times New Roman"/>
        <w:spacing w:val="0"/>
        <w:sz w:val="18"/>
        <w:szCs w:val="18"/>
      </w:rPr>
      <w:t xml:space="preserve">  6899</w:t>
    </w:r>
    <w:r>
      <w:rPr>
        <w:rFonts w:hint="eastAsia" w:ascii="宋体" w:hAnsi="宋体" w:eastAsia="宋体" w:cs="Times New Roman"/>
        <w:spacing w:val="0"/>
        <w:sz w:val="18"/>
        <w:szCs w:val="18"/>
        <w:lang w:val="en-US" w:eastAsia="zh-CN"/>
      </w:rPr>
      <w:t>722</w:t>
    </w:r>
  </w:p>
  <w:p>
    <w:pPr>
      <w:pStyle w:val="15"/>
      <w:spacing w:line="260" w:lineRule="exact"/>
      <w:ind w:right="278"/>
      <w:jc w:val="center"/>
      <w:rPr>
        <w:rFonts w:hint="eastAsia" w:ascii="仿宋" w:hAnsi="仿宋" w:eastAsia="仿宋"/>
        <w:bCs/>
        <w:kern w:val="0"/>
      </w:rPr>
    </w:pPr>
    <w:r>
      <w:rPr>
        <w:rFonts w:hint="eastAsia" w:ascii="仿宋" w:hAnsi="仿宋" w:eastAsia="仿宋"/>
        <w:i/>
        <w:sz w:val="21"/>
        <w:szCs w:val="21"/>
      </w:rPr>
      <w:t xml:space="preserve">- </w:t>
    </w:r>
    <w:r>
      <w:rPr>
        <w:rFonts w:hint="eastAsia" w:ascii="仿宋" w:hAnsi="仿宋" w:eastAsia="仿宋"/>
        <w:i/>
        <w:sz w:val="21"/>
        <w:szCs w:val="21"/>
      </w:rPr>
      <w:fldChar w:fldCharType="begin"/>
    </w:r>
    <w:r>
      <w:rPr>
        <w:rFonts w:hint="eastAsia" w:ascii="仿宋" w:hAnsi="仿宋" w:eastAsia="仿宋"/>
        <w:i/>
        <w:sz w:val="21"/>
        <w:szCs w:val="21"/>
      </w:rPr>
      <w:instrText xml:space="preserve"> PAGE </w:instrText>
    </w:r>
    <w:r>
      <w:rPr>
        <w:rFonts w:hint="eastAsia" w:ascii="仿宋" w:hAnsi="仿宋" w:eastAsia="仿宋"/>
        <w:i/>
        <w:sz w:val="21"/>
        <w:szCs w:val="21"/>
      </w:rPr>
      <w:fldChar w:fldCharType="separate"/>
    </w:r>
    <w:r>
      <w:rPr>
        <w:rFonts w:ascii="仿宋" w:hAnsi="仿宋" w:eastAsia="仿宋"/>
        <w:i/>
        <w:sz w:val="21"/>
        <w:szCs w:val="21"/>
      </w:rPr>
      <w:t>6</w:t>
    </w:r>
    <w:r>
      <w:rPr>
        <w:rFonts w:hint="eastAsia" w:ascii="仿宋" w:hAnsi="仿宋" w:eastAsia="仿宋"/>
        <w:i/>
        <w:sz w:val="21"/>
        <w:szCs w:val="21"/>
      </w:rPr>
      <w:fldChar w:fldCharType="end"/>
    </w:r>
    <w:r>
      <w:rPr>
        <w:rFonts w:hint="eastAsia" w:ascii="仿宋" w:hAnsi="仿宋" w:eastAsia="仿宋"/>
        <w:i/>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260" w:lineRule="exact"/>
      <w:ind w:left="278" w:right="278"/>
      <w:jc w:val="both"/>
      <w:rPr>
        <w:rFonts w:hint="eastAsia" w:ascii="宋体" w:hAnsi="宋体" w:eastAsia="宋体"/>
        <w:i/>
        <w:szCs w:val="18"/>
      </w:rPr>
    </w:pPr>
    <w:r>
      <w:rPr>
        <w:rFonts w:hint="eastAsia" w:ascii="宋体" w:hAnsi="宋体" w:eastAsia="宋体"/>
        <w:spacing w:val="0"/>
        <w:sz w:val="18"/>
        <w:szCs w:val="18"/>
      </w:rPr>
      <w:drawing>
        <wp:anchor distT="0" distB="0" distL="114300" distR="114300" simplePos="0" relativeHeight="251659264" behindDoc="1" locked="0" layoutInCell="1" allowOverlap="1">
          <wp:simplePos x="0" y="0"/>
          <wp:positionH relativeFrom="column">
            <wp:posOffset>-208915</wp:posOffset>
          </wp:positionH>
          <wp:positionV relativeFrom="paragraph">
            <wp:posOffset>-121920</wp:posOffset>
          </wp:positionV>
          <wp:extent cx="302895" cy="346710"/>
          <wp:effectExtent l="0" t="0" r="1905" b="15240"/>
          <wp:wrapNone/>
          <wp:docPr id="12" name="图片 8" descr="eec1eef7eb49f9f1553077d51d85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eec1eef7eb49f9f1553077d51d85a3d"/>
                  <pic:cNvPicPr>
                    <a:picLocks noChangeAspect="1"/>
                  </pic:cNvPicPr>
                </pic:nvPicPr>
                <pic:blipFill>
                  <a:blip r:embed="rId1"/>
                  <a:stretch>
                    <a:fillRect/>
                  </a:stretch>
                </pic:blipFill>
                <pic:spPr>
                  <a:xfrm>
                    <a:off x="0" y="0"/>
                    <a:ext cx="302895" cy="346710"/>
                  </a:xfrm>
                  <a:prstGeom prst="rect">
                    <a:avLst/>
                  </a:prstGeom>
                  <a:noFill/>
                  <a:ln>
                    <a:noFill/>
                  </a:ln>
                </pic:spPr>
              </pic:pic>
            </a:graphicData>
          </a:graphic>
        </wp:anchor>
      </w:drawing>
    </w:r>
    <w:r>
      <w:rPr>
        <w:rFonts w:hint="eastAsia" w:ascii="宋体" w:hAnsi="宋体" w:eastAsia="宋体"/>
        <w:spacing w:val="0"/>
        <w:sz w:val="18"/>
        <w:szCs w:val="18"/>
      </w:rPr>
      <w:t>宁夏博源卓越土地房地产资产评估规划测绘有限公司           (宁夏)博源卓越(20</w:t>
    </w:r>
    <w:r>
      <w:rPr>
        <w:rFonts w:hint="eastAsia" w:ascii="宋体" w:hAnsi="宋体" w:eastAsia="宋体"/>
        <w:spacing w:val="0"/>
        <w:sz w:val="18"/>
        <w:szCs w:val="18"/>
        <w:lang w:val="en-US" w:eastAsia="zh-CN"/>
      </w:rPr>
      <w:t>22</w:t>
    </w:r>
    <w:r>
      <w:rPr>
        <w:rFonts w:hint="eastAsia" w:ascii="宋体" w:hAnsi="宋体" w:eastAsia="宋体"/>
        <w:spacing w:val="0"/>
        <w:sz w:val="18"/>
        <w:szCs w:val="18"/>
      </w:rPr>
      <w:t>)(房估)字第</w:t>
    </w:r>
    <w:r>
      <w:rPr>
        <w:rFonts w:hint="eastAsia" w:ascii="宋体" w:hAnsi="宋体" w:eastAsia="宋体"/>
        <w:spacing w:val="0"/>
        <w:sz w:val="18"/>
        <w:szCs w:val="18"/>
        <w:lang w:val="en-US" w:eastAsia="zh-CN"/>
      </w:rPr>
      <w:t>098</w:t>
    </w:r>
    <w:r>
      <w:rPr>
        <w:rFonts w:hint="eastAsia" w:ascii="宋体" w:hAnsi="宋体" w:eastAsia="宋体"/>
        <w:spacing w:val="0"/>
        <w:sz w:val="18"/>
        <w:szCs w:val="18"/>
      </w:rPr>
      <w:t>号</w:t>
    </w:r>
    <w:r>
      <w:rPr>
        <w:rFonts w:hint="eastAsia" w:ascii="宋体" w:hAnsi="宋体" w:eastAsia="宋体"/>
        <w:i/>
        <w:spacing w:val="0"/>
        <w:sz w:val="18"/>
        <w:szCs w:val="18"/>
      </w:rPr>
      <w:t xml:space="preserve"> </w:t>
    </w:r>
    <w:r>
      <w:rPr>
        <w:rFonts w:hint="eastAsia" w:ascii="宋体" w:hAnsi="宋体" w:eastAsia="宋体"/>
        <w:i/>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953F7"/>
    <w:multiLevelType w:val="multilevel"/>
    <w:tmpl w:val="073953F7"/>
    <w:lvl w:ilvl="0" w:tentative="0">
      <w:start w:val="1"/>
      <w:numFmt w:val="chineseCountingThousand"/>
      <w:suff w:val="nothing"/>
      <w:lvlText w:val="%1、"/>
      <w:lvlJc w:val="left"/>
      <w:pPr>
        <w:ind w:left="250" w:firstLine="318"/>
      </w:pPr>
      <w:rPr>
        <w:rFonts w:hint="eastAsia"/>
      </w:rPr>
    </w:lvl>
    <w:lvl w:ilvl="1" w:tentative="0">
      <w:start w:val="1"/>
      <w:numFmt w:val="lowerLetter"/>
      <w:lvlText w:val="%2)"/>
      <w:lvlJc w:val="left"/>
      <w:pPr>
        <w:ind w:left="1398" w:hanging="420"/>
      </w:pPr>
    </w:lvl>
    <w:lvl w:ilvl="2" w:tentative="0">
      <w:start w:val="1"/>
      <w:numFmt w:val="lowerRoman"/>
      <w:lvlText w:val="%3."/>
      <w:lvlJc w:val="right"/>
      <w:pPr>
        <w:ind w:left="1818" w:hanging="420"/>
      </w:pPr>
    </w:lvl>
    <w:lvl w:ilvl="3" w:tentative="0">
      <w:start w:val="1"/>
      <w:numFmt w:val="decimal"/>
      <w:lvlText w:val="%4."/>
      <w:lvlJc w:val="left"/>
      <w:pPr>
        <w:ind w:left="2238" w:hanging="420"/>
      </w:pPr>
    </w:lvl>
    <w:lvl w:ilvl="4" w:tentative="0">
      <w:start w:val="1"/>
      <w:numFmt w:val="lowerLetter"/>
      <w:lvlText w:val="%5)"/>
      <w:lvlJc w:val="left"/>
      <w:pPr>
        <w:ind w:left="2658" w:hanging="420"/>
      </w:pPr>
    </w:lvl>
    <w:lvl w:ilvl="5" w:tentative="0">
      <w:start w:val="1"/>
      <w:numFmt w:val="lowerRoman"/>
      <w:lvlText w:val="%6."/>
      <w:lvlJc w:val="right"/>
      <w:pPr>
        <w:ind w:left="3078" w:hanging="420"/>
      </w:pPr>
    </w:lvl>
    <w:lvl w:ilvl="6" w:tentative="0">
      <w:start w:val="1"/>
      <w:numFmt w:val="decimal"/>
      <w:lvlText w:val="%7."/>
      <w:lvlJc w:val="left"/>
      <w:pPr>
        <w:ind w:left="3498" w:hanging="420"/>
      </w:pPr>
    </w:lvl>
    <w:lvl w:ilvl="7" w:tentative="0">
      <w:start w:val="1"/>
      <w:numFmt w:val="lowerLetter"/>
      <w:lvlText w:val="%8)"/>
      <w:lvlJc w:val="left"/>
      <w:pPr>
        <w:ind w:left="3918" w:hanging="420"/>
      </w:pPr>
    </w:lvl>
    <w:lvl w:ilvl="8" w:tentative="0">
      <w:start w:val="1"/>
      <w:numFmt w:val="lowerRoman"/>
      <w:lvlText w:val="%9."/>
      <w:lvlJc w:val="right"/>
      <w:pPr>
        <w:ind w:left="4338" w:hanging="420"/>
      </w:pPr>
    </w:lvl>
  </w:abstractNum>
  <w:abstractNum w:abstractNumId="1">
    <w:nsid w:val="37C365D8"/>
    <w:multiLevelType w:val="multilevel"/>
    <w:tmpl w:val="37C365D8"/>
    <w:lvl w:ilvl="0" w:tentative="0">
      <w:start w:val="1"/>
      <w:numFmt w:val="chineseCountingThousand"/>
      <w:suff w:val="nothing"/>
      <w:lvlText w:val="%1、"/>
      <w:lvlJc w:val="left"/>
      <w:pPr>
        <w:ind w:left="250" w:firstLine="318"/>
      </w:pPr>
      <w:rPr>
        <w:rFonts w:hint="eastAsia"/>
      </w:rPr>
    </w:lvl>
    <w:lvl w:ilvl="1" w:tentative="0">
      <w:start w:val="1"/>
      <w:numFmt w:val="lowerLetter"/>
      <w:lvlText w:val="%2)"/>
      <w:lvlJc w:val="left"/>
      <w:pPr>
        <w:ind w:left="1148" w:hanging="420"/>
      </w:pPr>
    </w:lvl>
    <w:lvl w:ilvl="2" w:tentative="0">
      <w:start w:val="1"/>
      <w:numFmt w:val="lowerRoman"/>
      <w:lvlText w:val="%3."/>
      <w:lvlJc w:val="right"/>
      <w:pPr>
        <w:ind w:left="1568" w:hanging="420"/>
      </w:pPr>
    </w:lvl>
    <w:lvl w:ilvl="3" w:tentative="0">
      <w:start w:val="1"/>
      <w:numFmt w:val="decimal"/>
      <w:lvlText w:val="%4."/>
      <w:lvlJc w:val="left"/>
      <w:pPr>
        <w:ind w:left="1988" w:hanging="420"/>
      </w:pPr>
    </w:lvl>
    <w:lvl w:ilvl="4" w:tentative="0">
      <w:start w:val="1"/>
      <w:numFmt w:val="lowerLetter"/>
      <w:lvlText w:val="%5)"/>
      <w:lvlJc w:val="left"/>
      <w:pPr>
        <w:ind w:left="2408" w:hanging="420"/>
      </w:pPr>
    </w:lvl>
    <w:lvl w:ilvl="5" w:tentative="0">
      <w:start w:val="1"/>
      <w:numFmt w:val="lowerRoman"/>
      <w:lvlText w:val="%6."/>
      <w:lvlJc w:val="right"/>
      <w:pPr>
        <w:ind w:left="2828" w:hanging="420"/>
      </w:pPr>
    </w:lvl>
    <w:lvl w:ilvl="6" w:tentative="0">
      <w:start w:val="1"/>
      <w:numFmt w:val="decimal"/>
      <w:lvlText w:val="%7."/>
      <w:lvlJc w:val="left"/>
      <w:pPr>
        <w:ind w:left="3248" w:hanging="420"/>
      </w:pPr>
    </w:lvl>
    <w:lvl w:ilvl="7" w:tentative="0">
      <w:start w:val="1"/>
      <w:numFmt w:val="lowerLetter"/>
      <w:lvlText w:val="%8)"/>
      <w:lvlJc w:val="left"/>
      <w:pPr>
        <w:ind w:left="3668" w:hanging="420"/>
      </w:pPr>
    </w:lvl>
    <w:lvl w:ilvl="8" w:tentative="0">
      <w:start w:val="1"/>
      <w:numFmt w:val="lowerRoman"/>
      <w:lvlText w:val="%9."/>
      <w:lvlJc w:val="right"/>
      <w:pPr>
        <w:ind w:left="4088" w:hanging="420"/>
      </w:pPr>
    </w:lvl>
  </w:abstractNum>
  <w:abstractNum w:abstractNumId="2">
    <w:nsid w:val="5D1EF926"/>
    <w:multiLevelType w:val="singleLevel"/>
    <w:tmpl w:val="5D1EF926"/>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1TZIexMZvZDUI1SZcwMU4sJqT8Y=" w:salt="hbm3jNzrAFD1OQWrN/ha8Q=="/>
  <w:defaultTabStop w:val="50"/>
  <w:hyphenationZone w:val="360"/>
  <w:drawingGridHorizontalSpacing w:val="140"/>
  <w:drawingGridVerticalSpacing w:val="435"/>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NGU0ZWRmOGM5MzFhODFhYmJkOGU0MWZjN2I0ZjkifQ=="/>
  </w:docVars>
  <w:rsids>
    <w:rsidRoot w:val="007112DC"/>
    <w:rsid w:val="0000044F"/>
    <w:rsid w:val="00000C71"/>
    <w:rsid w:val="00000E8F"/>
    <w:rsid w:val="00001338"/>
    <w:rsid w:val="000013F2"/>
    <w:rsid w:val="00001452"/>
    <w:rsid w:val="000015B3"/>
    <w:rsid w:val="00001637"/>
    <w:rsid w:val="00001663"/>
    <w:rsid w:val="00001B04"/>
    <w:rsid w:val="00001BB6"/>
    <w:rsid w:val="00002E1D"/>
    <w:rsid w:val="00003D41"/>
    <w:rsid w:val="000041CC"/>
    <w:rsid w:val="00004905"/>
    <w:rsid w:val="00005442"/>
    <w:rsid w:val="00006221"/>
    <w:rsid w:val="000063AE"/>
    <w:rsid w:val="00006532"/>
    <w:rsid w:val="00006755"/>
    <w:rsid w:val="000071DF"/>
    <w:rsid w:val="00007412"/>
    <w:rsid w:val="00007F20"/>
    <w:rsid w:val="00010155"/>
    <w:rsid w:val="000109CB"/>
    <w:rsid w:val="00010E67"/>
    <w:rsid w:val="000111C2"/>
    <w:rsid w:val="00011B66"/>
    <w:rsid w:val="00011EDC"/>
    <w:rsid w:val="00011EF6"/>
    <w:rsid w:val="00012FF7"/>
    <w:rsid w:val="000134C2"/>
    <w:rsid w:val="00013FB1"/>
    <w:rsid w:val="00014633"/>
    <w:rsid w:val="00014F41"/>
    <w:rsid w:val="000153C9"/>
    <w:rsid w:val="000159EE"/>
    <w:rsid w:val="00016907"/>
    <w:rsid w:val="00016AC3"/>
    <w:rsid w:val="00016D3B"/>
    <w:rsid w:val="00016EFD"/>
    <w:rsid w:val="00017F98"/>
    <w:rsid w:val="000208D9"/>
    <w:rsid w:val="000216BF"/>
    <w:rsid w:val="00021A29"/>
    <w:rsid w:val="00021A64"/>
    <w:rsid w:val="00022155"/>
    <w:rsid w:val="00022925"/>
    <w:rsid w:val="0002307D"/>
    <w:rsid w:val="000234B3"/>
    <w:rsid w:val="00023A5C"/>
    <w:rsid w:val="0002440C"/>
    <w:rsid w:val="000248C5"/>
    <w:rsid w:val="00024B18"/>
    <w:rsid w:val="00024C0C"/>
    <w:rsid w:val="00024C62"/>
    <w:rsid w:val="00024D3D"/>
    <w:rsid w:val="00024ED1"/>
    <w:rsid w:val="00024F42"/>
    <w:rsid w:val="00025AF0"/>
    <w:rsid w:val="00025D3C"/>
    <w:rsid w:val="00026BC6"/>
    <w:rsid w:val="0002717A"/>
    <w:rsid w:val="00027971"/>
    <w:rsid w:val="0003008D"/>
    <w:rsid w:val="000300DD"/>
    <w:rsid w:val="000302F0"/>
    <w:rsid w:val="0003046A"/>
    <w:rsid w:val="00031C96"/>
    <w:rsid w:val="00032078"/>
    <w:rsid w:val="00033531"/>
    <w:rsid w:val="00033B83"/>
    <w:rsid w:val="00034424"/>
    <w:rsid w:val="0003506E"/>
    <w:rsid w:val="0003519A"/>
    <w:rsid w:val="000353D6"/>
    <w:rsid w:val="000354AB"/>
    <w:rsid w:val="000358B1"/>
    <w:rsid w:val="00036057"/>
    <w:rsid w:val="0003616B"/>
    <w:rsid w:val="000372D7"/>
    <w:rsid w:val="000373C6"/>
    <w:rsid w:val="00037478"/>
    <w:rsid w:val="00037918"/>
    <w:rsid w:val="000403C2"/>
    <w:rsid w:val="00040C64"/>
    <w:rsid w:val="00040EBA"/>
    <w:rsid w:val="000414C4"/>
    <w:rsid w:val="00041D9B"/>
    <w:rsid w:val="000421A0"/>
    <w:rsid w:val="000432D1"/>
    <w:rsid w:val="00043FB0"/>
    <w:rsid w:val="000447D6"/>
    <w:rsid w:val="00045AF4"/>
    <w:rsid w:val="00045C4F"/>
    <w:rsid w:val="00045DD7"/>
    <w:rsid w:val="00045FC1"/>
    <w:rsid w:val="0004618B"/>
    <w:rsid w:val="00046544"/>
    <w:rsid w:val="00046EC7"/>
    <w:rsid w:val="0004772D"/>
    <w:rsid w:val="00050B4D"/>
    <w:rsid w:val="00051752"/>
    <w:rsid w:val="00051BE9"/>
    <w:rsid w:val="000521B9"/>
    <w:rsid w:val="00052567"/>
    <w:rsid w:val="000527A8"/>
    <w:rsid w:val="000529E0"/>
    <w:rsid w:val="000533C3"/>
    <w:rsid w:val="000534E8"/>
    <w:rsid w:val="00053736"/>
    <w:rsid w:val="00053D17"/>
    <w:rsid w:val="0005429C"/>
    <w:rsid w:val="000542C8"/>
    <w:rsid w:val="00054399"/>
    <w:rsid w:val="00054C73"/>
    <w:rsid w:val="000552B2"/>
    <w:rsid w:val="00055489"/>
    <w:rsid w:val="00055743"/>
    <w:rsid w:val="00055CC1"/>
    <w:rsid w:val="00055FE5"/>
    <w:rsid w:val="000561D0"/>
    <w:rsid w:val="00056279"/>
    <w:rsid w:val="0005676F"/>
    <w:rsid w:val="0005683B"/>
    <w:rsid w:val="000568AD"/>
    <w:rsid w:val="00056984"/>
    <w:rsid w:val="00056E5B"/>
    <w:rsid w:val="00057002"/>
    <w:rsid w:val="0005750A"/>
    <w:rsid w:val="000603CB"/>
    <w:rsid w:val="0006049E"/>
    <w:rsid w:val="0006066B"/>
    <w:rsid w:val="0006092D"/>
    <w:rsid w:val="00061D2D"/>
    <w:rsid w:val="00062149"/>
    <w:rsid w:val="000624BB"/>
    <w:rsid w:val="00062759"/>
    <w:rsid w:val="00062988"/>
    <w:rsid w:val="00063956"/>
    <w:rsid w:val="00063981"/>
    <w:rsid w:val="000644E0"/>
    <w:rsid w:val="00064F5A"/>
    <w:rsid w:val="000656D7"/>
    <w:rsid w:val="00065A27"/>
    <w:rsid w:val="00065F04"/>
    <w:rsid w:val="00066230"/>
    <w:rsid w:val="00066418"/>
    <w:rsid w:val="00067294"/>
    <w:rsid w:val="0006745F"/>
    <w:rsid w:val="000675E3"/>
    <w:rsid w:val="00067B43"/>
    <w:rsid w:val="00070523"/>
    <w:rsid w:val="0007093E"/>
    <w:rsid w:val="00070BE9"/>
    <w:rsid w:val="00070D63"/>
    <w:rsid w:val="00070F2B"/>
    <w:rsid w:val="00071AB2"/>
    <w:rsid w:val="00073F58"/>
    <w:rsid w:val="000743D9"/>
    <w:rsid w:val="00074E2D"/>
    <w:rsid w:val="00075BFB"/>
    <w:rsid w:val="00075E1C"/>
    <w:rsid w:val="00076270"/>
    <w:rsid w:val="000768C0"/>
    <w:rsid w:val="00077192"/>
    <w:rsid w:val="00077467"/>
    <w:rsid w:val="00077D56"/>
    <w:rsid w:val="000811CA"/>
    <w:rsid w:val="0008146E"/>
    <w:rsid w:val="000814B9"/>
    <w:rsid w:val="00081BC8"/>
    <w:rsid w:val="00082209"/>
    <w:rsid w:val="00083065"/>
    <w:rsid w:val="00083F9E"/>
    <w:rsid w:val="0008405D"/>
    <w:rsid w:val="00084350"/>
    <w:rsid w:val="00085629"/>
    <w:rsid w:val="000857AE"/>
    <w:rsid w:val="00085940"/>
    <w:rsid w:val="000864AA"/>
    <w:rsid w:val="00086766"/>
    <w:rsid w:val="00086F8F"/>
    <w:rsid w:val="00087126"/>
    <w:rsid w:val="00087B17"/>
    <w:rsid w:val="000910E6"/>
    <w:rsid w:val="00091673"/>
    <w:rsid w:val="0009171B"/>
    <w:rsid w:val="00091BC0"/>
    <w:rsid w:val="00092896"/>
    <w:rsid w:val="00092B52"/>
    <w:rsid w:val="0009366B"/>
    <w:rsid w:val="00093BBE"/>
    <w:rsid w:val="00093E1D"/>
    <w:rsid w:val="00093F5F"/>
    <w:rsid w:val="00095A52"/>
    <w:rsid w:val="00096971"/>
    <w:rsid w:val="00096BF1"/>
    <w:rsid w:val="00097463"/>
    <w:rsid w:val="0009762E"/>
    <w:rsid w:val="000A01D8"/>
    <w:rsid w:val="000A0A76"/>
    <w:rsid w:val="000A0A94"/>
    <w:rsid w:val="000A0CCB"/>
    <w:rsid w:val="000A0E83"/>
    <w:rsid w:val="000A1711"/>
    <w:rsid w:val="000A1EEE"/>
    <w:rsid w:val="000A2E63"/>
    <w:rsid w:val="000A2FE5"/>
    <w:rsid w:val="000A3821"/>
    <w:rsid w:val="000A3B48"/>
    <w:rsid w:val="000A3F2B"/>
    <w:rsid w:val="000A40A0"/>
    <w:rsid w:val="000A5304"/>
    <w:rsid w:val="000A5C12"/>
    <w:rsid w:val="000A5D5D"/>
    <w:rsid w:val="000A617C"/>
    <w:rsid w:val="000A6AEE"/>
    <w:rsid w:val="000A6FAC"/>
    <w:rsid w:val="000A73AA"/>
    <w:rsid w:val="000B0AE3"/>
    <w:rsid w:val="000B0CFA"/>
    <w:rsid w:val="000B1DAB"/>
    <w:rsid w:val="000B1E7F"/>
    <w:rsid w:val="000B42DF"/>
    <w:rsid w:val="000B4637"/>
    <w:rsid w:val="000B4D20"/>
    <w:rsid w:val="000B4E53"/>
    <w:rsid w:val="000B5980"/>
    <w:rsid w:val="000B5D7E"/>
    <w:rsid w:val="000B5F7F"/>
    <w:rsid w:val="000B6325"/>
    <w:rsid w:val="000B6486"/>
    <w:rsid w:val="000B668D"/>
    <w:rsid w:val="000B69A8"/>
    <w:rsid w:val="000B7616"/>
    <w:rsid w:val="000C0100"/>
    <w:rsid w:val="000C011F"/>
    <w:rsid w:val="000C1B00"/>
    <w:rsid w:val="000C21F5"/>
    <w:rsid w:val="000C2610"/>
    <w:rsid w:val="000C27C0"/>
    <w:rsid w:val="000C2DE1"/>
    <w:rsid w:val="000C32DA"/>
    <w:rsid w:val="000C3CC1"/>
    <w:rsid w:val="000C3D44"/>
    <w:rsid w:val="000C4092"/>
    <w:rsid w:val="000C5B4C"/>
    <w:rsid w:val="000C63B3"/>
    <w:rsid w:val="000C6527"/>
    <w:rsid w:val="000C65BA"/>
    <w:rsid w:val="000C6708"/>
    <w:rsid w:val="000C67A9"/>
    <w:rsid w:val="000C6DBD"/>
    <w:rsid w:val="000C6FBB"/>
    <w:rsid w:val="000C7411"/>
    <w:rsid w:val="000C74B5"/>
    <w:rsid w:val="000C74C9"/>
    <w:rsid w:val="000C74F0"/>
    <w:rsid w:val="000C7854"/>
    <w:rsid w:val="000C7BB5"/>
    <w:rsid w:val="000D0DC8"/>
    <w:rsid w:val="000D18B1"/>
    <w:rsid w:val="000D1C3C"/>
    <w:rsid w:val="000D2A21"/>
    <w:rsid w:val="000D2BE9"/>
    <w:rsid w:val="000D3149"/>
    <w:rsid w:val="000D322A"/>
    <w:rsid w:val="000D356E"/>
    <w:rsid w:val="000D3BF0"/>
    <w:rsid w:val="000D3CA7"/>
    <w:rsid w:val="000D4B67"/>
    <w:rsid w:val="000D4DCA"/>
    <w:rsid w:val="000D4F70"/>
    <w:rsid w:val="000D5698"/>
    <w:rsid w:val="000D569A"/>
    <w:rsid w:val="000D5B56"/>
    <w:rsid w:val="000D62DD"/>
    <w:rsid w:val="000D6399"/>
    <w:rsid w:val="000D7023"/>
    <w:rsid w:val="000D7190"/>
    <w:rsid w:val="000D7D39"/>
    <w:rsid w:val="000D7F53"/>
    <w:rsid w:val="000E03A3"/>
    <w:rsid w:val="000E041E"/>
    <w:rsid w:val="000E070D"/>
    <w:rsid w:val="000E0F7C"/>
    <w:rsid w:val="000E101D"/>
    <w:rsid w:val="000E1733"/>
    <w:rsid w:val="000E19AA"/>
    <w:rsid w:val="000E2CCC"/>
    <w:rsid w:val="000E2CEE"/>
    <w:rsid w:val="000E2E9E"/>
    <w:rsid w:val="000E3551"/>
    <w:rsid w:val="000E356A"/>
    <w:rsid w:val="000E3A0A"/>
    <w:rsid w:val="000E3CDD"/>
    <w:rsid w:val="000E3F97"/>
    <w:rsid w:val="000E40D3"/>
    <w:rsid w:val="000E4576"/>
    <w:rsid w:val="000E4602"/>
    <w:rsid w:val="000E4707"/>
    <w:rsid w:val="000E4C5A"/>
    <w:rsid w:val="000E713D"/>
    <w:rsid w:val="000E7642"/>
    <w:rsid w:val="000F0946"/>
    <w:rsid w:val="000F0B43"/>
    <w:rsid w:val="000F1AED"/>
    <w:rsid w:val="000F205F"/>
    <w:rsid w:val="000F20D0"/>
    <w:rsid w:val="000F2B6A"/>
    <w:rsid w:val="000F2C00"/>
    <w:rsid w:val="000F30E2"/>
    <w:rsid w:val="000F387C"/>
    <w:rsid w:val="000F38D4"/>
    <w:rsid w:val="000F3CAB"/>
    <w:rsid w:val="000F4776"/>
    <w:rsid w:val="000F4C56"/>
    <w:rsid w:val="000F53A7"/>
    <w:rsid w:val="000F5526"/>
    <w:rsid w:val="000F5642"/>
    <w:rsid w:val="000F5B7F"/>
    <w:rsid w:val="000F5EB8"/>
    <w:rsid w:val="000F676A"/>
    <w:rsid w:val="000F7798"/>
    <w:rsid w:val="00100224"/>
    <w:rsid w:val="00100FBB"/>
    <w:rsid w:val="0010118E"/>
    <w:rsid w:val="001016B8"/>
    <w:rsid w:val="001017D1"/>
    <w:rsid w:val="0010234D"/>
    <w:rsid w:val="001028D4"/>
    <w:rsid w:val="0010298F"/>
    <w:rsid w:val="00102A15"/>
    <w:rsid w:val="00102D91"/>
    <w:rsid w:val="001030DB"/>
    <w:rsid w:val="0010324A"/>
    <w:rsid w:val="00104111"/>
    <w:rsid w:val="00104521"/>
    <w:rsid w:val="001049A8"/>
    <w:rsid w:val="00104CD8"/>
    <w:rsid w:val="00104E5E"/>
    <w:rsid w:val="001051D7"/>
    <w:rsid w:val="00105783"/>
    <w:rsid w:val="00105785"/>
    <w:rsid w:val="00105C7C"/>
    <w:rsid w:val="00106C3D"/>
    <w:rsid w:val="001070B5"/>
    <w:rsid w:val="00107102"/>
    <w:rsid w:val="001076D3"/>
    <w:rsid w:val="00111760"/>
    <w:rsid w:val="001119B6"/>
    <w:rsid w:val="00111C4F"/>
    <w:rsid w:val="00111E64"/>
    <w:rsid w:val="00112448"/>
    <w:rsid w:val="00112657"/>
    <w:rsid w:val="00113CC7"/>
    <w:rsid w:val="00113EC8"/>
    <w:rsid w:val="001140B7"/>
    <w:rsid w:val="001146D6"/>
    <w:rsid w:val="00114B3C"/>
    <w:rsid w:val="00114E71"/>
    <w:rsid w:val="00116AAF"/>
    <w:rsid w:val="00116C46"/>
    <w:rsid w:val="00116CC6"/>
    <w:rsid w:val="00117193"/>
    <w:rsid w:val="00117518"/>
    <w:rsid w:val="00117803"/>
    <w:rsid w:val="00117863"/>
    <w:rsid w:val="00117993"/>
    <w:rsid w:val="0012037D"/>
    <w:rsid w:val="001204AC"/>
    <w:rsid w:val="001208C1"/>
    <w:rsid w:val="00121291"/>
    <w:rsid w:val="00121566"/>
    <w:rsid w:val="00121695"/>
    <w:rsid w:val="00121817"/>
    <w:rsid w:val="00121BF2"/>
    <w:rsid w:val="00121C1D"/>
    <w:rsid w:val="00121CB9"/>
    <w:rsid w:val="0012236F"/>
    <w:rsid w:val="0012241F"/>
    <w:rsid w:val="00123A22"/>
    <w:rsid w:val="00123D1A"/>
    <w:rsid w:val="00124C39"/>
    <w:rsid w:val="00124E9A"/>
    <w:rsid w:val="00124EB1"/>
    <w:rsid w:val="00124F4D"/>
    <w:rsid w:val="00125628"/>
    <w:rsid w:val="00125BC7"/>
    <w:rsid w:val="001262D7"/>
    <w:rsid w:val="0012709B"/>
    <w:rsid w:val="001270E8"/>
    <w:rsid w:val="001278E5"/>
    <w:rsid w:val="00127D26"/>
    <w:rsid w:val="001301BE"/>
    <w:rsid w:val="001306E0"/>
    <w:rsid w:val="0013089D"/>
    <w:rsid w:val="00130F61"/>
    <w:rsid w:val="0013173B"/>
    <w:rsid w:val="001318B6"/>
    <w:rsid w:val="0013190D"/>
    <w:rsid w:val="00131A16"/>
    <w:rsid w:val="00131EF9"/>
    <w:rsid w:val="00132825"/>
    <w:rsid w:val="00132A12"/>
    <w:rsid w:val="00132B6F"/>
    <w:rsid w:val="00132DB2"/>
    <w:rsid w:val="0013320F"/>
    <w:rsid w:val="00133648"/>
    <w:rsid w:val="00133809"/>
    <w:rsid w:val="00134269"/>
    <w:rsid w:val="0013576B"/>
    <w:rsid w:val="001358C1"/>
    <w:rsid w:val="00135C95"/>
    <w:rsid w:val="0013639C"/>
    <w:rsid w:val="001366B8"/>
    <w:rsid w:val="00136C56"/>
    <w:rsid w:val="001372EE"/>
    <w:rsid w:val="00137C1E"/>
    <w:rsid w:val="00140009"/>
    <w:rsid w:val="001402F6"/>
    <w:rsid w:val="00140641"/>
    <w:rsid w:val="00140E1E"/>
    <w:rsid w:val="00140F30"/>
    <w:rsid w:val="001413D1"/>
    <w:rsid w:val="0014250B"/>
    <w:rsid w:val="00143481"/>
    <w:rsid w:val="0014365C"/>
    <w:rsid w:val="001439B6"/>
    <w:rsid w:val="00143D17"/>
    <w:rsid w:val="00145563"/>
    <w:rsid w:val="00145EA0"/>
    <w:rsid w:val="00146204"/>
    <w:rsid w:val="00146A32"/>
    <w:rsid w:val="00146AC2"/>
    <w:rsid w:val="00146B24"/>
    <w:rsid w:val="00146C1E"/>
    <w:rsid w:val="001475B9"/>
    <w:rsid w:val="001503D6"/>
    <w:rsid w:val="00150D0A"/>
    <w:rsid w:val="001515B2"/>
    <w:rsid w:val="0015178B"/>
    <w:rsid w:val="00151FDD"/>
    <w:rsid w:val="001523FD"/>
    <w:rsid w:val="00152748"/>
    <w:rsid w:val="00152B62"/>
    <w:rsid w:val="00153792"/>
    <w:rsid w:val="001540B5"/>
    <w:rsid w:val="00154167"/>
    <w:rsid w:val="00154184"/>
    <w:rsid w:val="0015471E"/>
    <w:rsid w:val="00154AD2"/>
    <w:rsid w:val="00154B03"/>
    <w:rsid w:val="00154C28"/>
    <w:rsid w:val="00154D57"/>
    <w:rsid w:val="00154ECE"/>
    <w:rsid w:val="0015538D"/>
    <w:rsid w:val="0015564A"/>
    <w:rsid w:val="0015578E"/>
    <w:rsid w:val="00156976"/>
    <w:rsid w:val="00156AE1"/>
    <w:rsid w:val="00157906"/>
    <w:rsid w:val="00157928"/>
    <w:rsid w:val="00157938"/>
    <w:rsid w:val="0015794B"/>
    <w:rsid w:val="00157C73"/>
    <w:rsid w:val="00157EA6"/>
    <w:rsid w:val="00157FC6"/>
    <w:rsid w:val="0016080D"/>
    <w:rsid w:val="00161867"/>
    <w:rsid w:val="00161CFD"/>
    <w:rsid w:val="00162971"/>
    <w:rsid w:val="00162C9B"/>
    <w:rsid w:val="00162CC3"/>
    <w:rsid w:val="00163E31"/>
    <w:rsid w:val="00164E8B"/>
    <w:rsid w:val="00165752"/>
    <w:rsid w:val="00165903"/>
    <w:rsid w:val="00165FA1"/>
    <w:rsid w:val="00166002"/>
    <w:rsid w:val="001668A0"/>
    <w:rsid w:val="00166932"/>
    <w:rsid w:val="00166984"/>
    <w:rsid w:val="00166B0B"/>
    <w:rsid w:val="0016704E"/>
    <w:rsid w:val="0017130B"/>
    <w:rsid w:val="0017149F"/>
    <w:rsid w:val="00171554"/>
    <w:rsid w:val="001724CD"/>
    <w:rsid w:val="00172529"/>
    <w:rsid w:val="0017291A"/>
    <w:rsid w:val="00172AF9"/>
    <w:rsid w:val="00172E1F"/>
    <w:rsid w:val="00172E97"/>
    <w:rsid w:val="00173513"/>
    <w:rsid w:val="001738B8"/>
    <w:rsid w:val="00173E53"/>
    <w:rsid w:val="00173EF0"/>
    <w:rsid w:val="00173EF9"/>
    <w:rsid w:val="00174399"/>
    <w:rsid w:val="0017439E"/>
    <w:rsid w:val="00174457"/>
    <w:rsid w:val="0017501F"/>
    <w:rsid w:val="00175C1E"/>
    <w:rsid w:val="00175F1E"/>
    <w:rsid w:val="00176035"/>
    <w:rsid w:val="001763C1"/>
    <w:rsid w:val="0017715D"/>
    <w:rsid w:val="00177670"/>
    <w:rsid w:val="00177998"/>
    <w:rsid w:val="0018034B"/>
    <w:rsid w:val="00180A95"/>
    <w:rsid w:val="00180B5C"/>
    <w:rsid w:val="00180F4D"/>
    <w:rsid w:val="00181776"/>
    <w:rsid w:val="001819D6"/>
    <w:rsid w:val="00182349"/>
    <w:rsid w:val="0018291C"/>
    <w:rsid w:val="00183531"/>
    <w:rsid w:val="00183BEE"/>
    <w:rsid w:val="001843C0"/>
    <w:rsid w:val="00184C03"/>
    <w:rsid w:val="0018580A"/>
    <w:rsid w:val="001859C3"/>
    <w:rsid w:val="00185B1E"/>
    <w:rsid w:val="00185CE1"/>
    <w:rsid w:val="00186310"/>
    <w:rsid w:val="0018761F"/>
    <w:rsid w:val="0018777F"/>
    <w:rsid w:val="00187899"/>
    <w:rsid w:val="00187FAD"/>
    <w:rsid w:val="00190864"/>
    <w:rsid w:val="0019090B"/>
    <w:rsid w:val="00190EDA"/>
    <w:rsid w:val="00194C77"/>
    <w:rsid w:val="00194D56"/>
    <w:rsid w:val="00194F01"/>
    <w:rsid w:val="001952A8"/>
    <w:rsid w:val="0019561E"/>
    <w:rsid w:val="00195F29"/>
    <w:rsid w:val="001968E7"/>
    <w:rsid w:val="00196EF7"/>
    <w:rsid w:val="00197721"/>
    <w:rsid w:val="001A0DA5"/>
    <w:rsid w:val="001A0EAA"/>
    <w:rsid w:val="001A19C3"/>
    <w:rsid w:val="001A1E5C"/>
    <w:rsid w:val="001A21C3"/>
    <w:rsid w:val="001A27ED"/>
    <w:rsid w:val="001A2874"/>
    <w:rsid w:val="001A287B"/>
    <w:rsid w:val="001A2D4E"/>
    <w:rsid w:val="001A34C0"/>
    <w:rsid w:val="001A3B82"/>
    <w:rsid w:val="001A3D58"/>
    <w:rsid w:val="001A4342"/>
    <w:rsid w:val="001A4377"/>
    <w:rsid w:val="001A5334"/>
    <w:rsid w:val="001A5342"/>
    <w:rsid w:val="001A5A51"/>
    <w:rsid w:val="001A5CBE"/>
    <w:rsid w:val="001A6097"/>
    <w:rsid w:val="001A61C4"/>
    <w:rsid w:val="001A6FD5"/>
    <w:rsid w:val="001A751F"/>
    <w:rsid w:val="001A7B84"/>
    <w:rsid w:val="001B06D3"/>
    <w:rsid w:val="001B0A5D"/>
    <w:rsid w:val="001B0F0D"/>
    <w:rsid w:val="001B1716"/>
    <w:rsid w:val="001B1C1E"/>
    <w:rsid w:val="001B2117"/>
    <w:rsid w:val="001B2304"/>
    <w:rsid w:val="001B24A3"/>
    <w:rsid w:val="001B24FE"/>
    <w:rsid w:val="001B272A"/>
    <w:rsid w:val="001B27AF"/>
    <w:rsid w:val="001B2CAE"/>
    <w:rsid w:val="001B2E69"/>
    <w:rsid w:val="001B30EF"/>
    <w:rsid w:val="001B334D"/>
    <w:rsid w:val="001B3644"/>
    <w:rsid w:val="001B466B"/>
    <w:rsid w:val="001B4705"/>
    <w:rsid w:val="001B49F0"/>
    <w:rsid w:val="001B4CD5"/>
    <w:rsid w:val="001B4FB7"/>
    <w:rsid w:val="001B54FF"/>
    <w:rsid w:val="001B6720"/>
    <w:rsid w:val="001B672F"/>
    <w:rsid w:val="001B6804"/>
    <w:rsid w:val="001B6C42"/>
    <w:rsid w:val="001B6EAF"/>
    <w:rsid w:val="001B7099"/>
    <w:rsid w:val="001B7899"/>
    <w:rsid w:val="001C090A"/>
    <w:rsid w:val="001C096C"/>
    <w:rsid w:val="001C0D6C"/>
    <w:rsid w:val="001C0F25"/>
    <w:rsid w:val="001C130F"/>
    <w:rsid w:val="001C17C1"/>
    <w:rsid w:val="001C291C"/>
    <w:rsid w:val="001C2945"/>
    <w:rsid w:val="001C30DB"/>
    <w:rsid w:val="001C3154"/>
    <w:rsid w:val="001C3393"/>
    <w:rsid w:val="001C3FD4"/>
    <w:rsid w:val="001C498F"/>
    <w:rsid w:val="001C50C9"/>
    <w:rsid w:val="001C538A"/>
    <w:rsid w:val="001C571E"/>
    <w:rsid w:val="001C5D55"/>
    <w:rsid w:val="001C612B"/>
    <w:rsid w:val="001C62C1"/>
    <w:rsid w:val="001C6A33"/>
    <w:rsid w:val="001C71CF"/>
    <w:rsid w:val="001C7877"/>
    <w:rsid w:val="001C7C75"/>
    <w:rsid w:val="001D0226"/>
    <w:rsid w:val="001D04F8"/>
    <w:rsid w:val="001D0842"/>
    <w:rsid w:val="001D0868"/>
    <w:rsid w:val="001D09F0"/>
    <w:rsid w:val="001D0D03"/>
    <w:rsid w:val="001D25B8"/>
    <w:rsid w:val="001D2B64"/>
    <w:rsid w:val="001D2DBC"/>
    <w:rsid w:val="001D4587"/>
    <w:rsid w:val="001D48A6"/>
    <w:rsid w:val="001D48B2"/>
    <w:rsid w:val="001D4AB4"/>
    <w:rsid w:val="001D5252"/>
    <w:rsid w:val="001D53CB"/>
    <w:rsid w:val="001D568D"/>
    <w:rsid w:val="001D58B1"/>
    <w:rsid w:val="001D5A3F"/>
    <w:rsid w:val="001D5FB4"/>
    <w:rsid w:val="001D604E"/>
    <w:rsid w:val="001D67AC"/>
    <w:rsid w:val="001D6E35"/>
    <w:rsid w:val="001D6F48"/>
    <w:rsid w:val="001D708D"/>
    <w:rsid w:val="001D7302"/>
    <w:rsid w:val="001E01FD"/>
    <w:rsid w:val="001E10B8"/>
    <w:rsid w:val="001E12BF"/>
    <w:rsid w:val="001E159C"/>
    <w:rsid w:val="001E29ED"/>
    <w:rsid w:val="001E2A84"/>
    <w:rsid w:val="001E2AF4"/>
    <w:rsid w:val="001E3191"/>
    <w:rsid w:val="001E3A02"/>
    <w:rsid w:val="001E3E52"/>
    <w:rsid w:val="001E3F4A"/>
    <w:rsid w:val="001E458E"/>
    <w:rsid w:val="001E4EF5"/>
    <w:rsid w:val="001E5066"/>
    <w:rsid w:val="001E52C9"/>
    <w:rsid w:val="001E63FD"/>
    <w:rsid w:val="001E67A3"/>
    <w:rsid w:val="001E7069"/>
    <w:rsid w:val="001E72F7"/>
    <w:rsid w:val="001E77ED"/>
    <w:rsid w:val="001E7B5F"/>
    <w:rsid w:val="001E7B94"/>
    <w:rsid w:val="001F0188"/>
    <w:rsid w:val="001F075C"/>
    <w:rsid w:val="001F0B06"/>
    <w:rsid w:val="001F251C"/>
    <w:rsid w:val="001F2623"/>
    <w:rsid w:val="001F262F"/>
    <w:rsid w:val="001F26CD"/>
    <w:rsid w:val="001F2D25"/>
    <w:rsid w:val="001F2D5B"/>
    <w:rsid w:val="001F37E6"/>
    <w:rsid w:val="001F390D"/>
    <w:rsid w:val="001F4702"/>
    <w:rsid w:val="001F4F6E"/>
    <w:rsid w:val="001F5D35"/>
    <w:rsid w:val="001F62C0"/>
    <w:rsid w:val="001F6F30"/>
    <w:rsid w:val="001F74BD"/>
    <w:rsid w:val="001F7AA3"/>
    <w:rsid w:val="00200373"/>
    <w:rsid w:val="00200E6C"/>
    <w:rsid w:val="002014A0"/>
    <w:rsid w:val="00201584"/>
    <w:rsid w:val="0020174F"/>
    <w:rsid w:val="00201C53"/>
    <w:rsid w:val="00202473"/>
    <w:rsid w:val="002026A2"/>
    <w:rsid w:val="00202901"/>
    <w:rsid w:val="002033E1"/>
    <w:rsid w:val="00203553"/>
    <w:rsid w:val="00205387"/>
    <w:rsid w:val="00205413"/>
    <w:rsid w:val="002061EB"/>
    <w:rsid w:val="002076DD"/>
    <w:rsid w:val="00207876"/>
    <w:rsid w:val="00207ACE"/>
    <w:rsid w:val="00207E6D"/>
    <w:rsid w:val="00207F14"/>
    <w:rsid w:val="002106BF"/>
    <w:rsid w:val="00210734"/>
    <w:rsid w:val="002107E2"/>
    <w:rsid w:val="00210FAE"/>
    <w:rsid w:val="0021114A"/>
    <w:rsid w:val="00211B09"/>
    <w:rsid w:val="00211D25"/>
    <w:rsid w:val="00211D89"/>
    <w:rsid w:val="002126D3"/>
    <w:rsid w:val="002134A1"/>
    <w:rsid w:val="00213771"/>
    <w:rsid w:val="002145A7"/>
    <w:rsid w:val="00214DCB"/>
    <w:rsid w:val="00215197"/>
    <w:rsid w:val="00216542"/>
    <w:rsid w:val="0021661D"/>
    <w:rsid w:val="0021694C"/>
    <w:rsid w:val="00216EE6"/>
    <w:rsid w:val="0021768A"/>
    <w:rsid w:val="00217968"/>
    <w:rsid w:val="0022012E"/>
    <w:rsid w:val="0022035A"/>
    <w:rsid w:val="0022063A"/>
    <w:rsid w:val="002211F1"/>
    <w:rsid w:val="00221DCB"/>
    <w:rsid w:val="002227DA"/>
    <w:rsid w:val="00222CF4"/>
    <w:rsid w:val="0022352F"/>
    <w:rsid w:val="0022377C"/>
    <w:rsid w:val="0022385A"/>
    <w:rsid w:val="0022388A"/>
    <w:rsid w:val="00223F70"/>
    <w:rsid w:val="002242EB"/>
    <w:rsid w:val="00224A26"/>
    <w:rsid w:val="00224EB6"/>
    <w:rsid w:val="002253B7"/>
    <w:rsid w:val="00225665"/>
    <w:rsid w:val="00225D47"/>
    <w:rsid w:val="00226084"/>
    <w:rsid w:val="00226E05"/>
    <w:rsid w:val="0022703F"/>
    <w:rsid w:val="00227FE3"/>
    <w:rsid w:val="00230407"/>
    <w:rsid w:val="00230504"/>
    <w:rsid w:val="00230C27"/>
    <w:rsid w:val="00230C3D"/>
    <w:rsid w:val="00230EF9"/>
    <w:rsid w:val="00231A8A"/>
    <w:rsid w:val="00231CF2"/>
    <w:rsid w:val="00231FC8"/>
    <w:rsid w:val="00232191"/>
    <w:rsid w:val="002323AA"/>
    <w:rsid w:val="00232CC6"/>
    <w:rsid w:val="00232E7A"/>
    <w:rsid w:val="00232F26"/>
    <w:rsid w:val="00233010"/>
    <w:rsid w:val="0023361E"/>
    <w:rsid w:val="00233D1F"/>
    <w:rsid w:val="0023452F"/>
    <w:rsid w:val="00235692"/>
    <w:rsid w:val="00235A88"/>
    <w:rsid w:val="0023684D"/>
    <w:rsid w:val="002375D4"/>
    <w:rsid w:val="00237A06"/>
    <w:rsid w:val="002400A5"/>
    <w:rsid w:val="00240BFA"/>
    <w:rsid w:val="002410F1"/>
    <w:rsid w:val="0024152A"/>
    <w:rsid w:val="002417D7"/>
    <w:rsid w:val="00243007"/>
    <w:rsid w:val="002442BD"/>
    <w:rsid w:val="002452D2"/>
    <w:rsid w:val="00245571"/>
    <w:rsid w:val="00247200"/>
    <w:rsid w:val="0024785C"/>
    <w:rsid w:val="00247A68"/>
    <w:rsid w:val="00247D09"/>
    <w:rsid w:val="00250A27"/>
    <w:rsid w:val="00250BC0"/>
    <w:rsid w:val="00251170"/>
    <w:rsid w:val="002511CC"/>
    <w:rsid w:val="0025206A"/>
    <w:rsid w:val="0025218A"/>
    <w:rsid w:val="00252A53"/>
    <w:rsid w:val="00252B2C"/>
    <w:rsid w:val="00253BA5"/>
    <w:rsid w:val="00253E49"/>
    <w:rsid w:val="002547D9"/>
    <w:rsid w:val="00255770"/>
    <w:rsid w:val="002557B7"/>
    <w:rsid w:val="00255C83"/>
    <w:rsid w:val="00255D25"/>
    <w:rsid w:val="002560F8"/>
    <w:rsid w:val="002561D5"/>
    <w:rsid w:val="00256283"/>
    <w:rsid w:val="00256571"/>
    <w:rsid w:val="0025688A"/>
    <w:rsid w:val="0025712A"/>
    <w:rsid w:val="002577E7"/>
    <w:rsid w:val="00257B99"/>
    <w:rsid w:val="00257CED"/>
    <w:rsid w:val="0026053B"/>
    <w:rsid w:val="00260694"/>
    <w:rsid w:val="00260935"/>
    <w:rsid w:val="00260BB2"/>
    <w:rsid w:val="00260FE7"/>
    <w:rsid w:val="002638D5"/>
    <w:rsid w:val="00263905"/>
    <w:rsid w:val="00263A1F"/>
    <w:rsid w:val="00263AE3"/>
    <w:rsid w:val="00265169"/>
    <w:rsid w:val="00265181"/>
    <w:rsid w:val="00265E26"/>
    <w:rsid w:val="002661B0"/>
    <w:rsid w:val="002666B0"/>
    <w:rsid w:val="00270EED"/>
    <w:rsid w:val="00270F99"/>
    <w:rsid w:val="002718F7"/>
    <w:rsid w:val="0027218D"/>
    <w:rsid w:val="00272433"/>
    <w:rsid w:val="002726FC"/>
    <w:rsid w:val="00272D79"/>
    <w:rsid w:val="0027388C"/>
    <w:rsid w:val="00273BBE"/>
    <w:rsid w:val="00274006"/>
    <w:rsid w:val="00274574"/>
    <w:rsid w:val="00274829"/>
    <w:rsid w:val="00274852"/>
    <w:rsid w:val="002749EF"/>
    <w:rsid w:val="00274CE0"/>
    <w:rsid w:val="00275115"/>
    <w:rsid w:val="00275DDB"/>
    <w:rsid w:val="00276096"/>
    <w:rsid w:val="0027654C"/>
    <w:rsid w:val="002765B3"/>
    <w:rsid w:val="002768ED"/>
    <w:rsid w:val="00276DF4"/>
    <w:rsid w:val="00277725"/>
    <w:rsid w:val="00277A7A"/>
    <w:rsid w:val="00277AA8"/>
    <w:rsid w:val="00280655"/>
    <w:rsid w:val="00280BF3"/>
    <w:rsid w:val="00280C4C"/>
    <w:rsid w:val="00280CFC"/>
    <w:rsid w:val="0028169D"/>
    <w:rsid w:val="00282517"/>
    <w:rsid w:val="0028253E"/>
    <w:rsid w:val="002826CC"/>
    <w:rsid w:val="002829ED"/>
    <w:rsid w:val="002834FE"/>
    <w:rsid w:val="0028360E"/>
    <w:rsid w:val="0028393C"/>
    <w:rsid w:val="00283DD7"/>
    <w:rsid w:val="00284569"/>
    <w:rsid w:val="00284717"/>
    <w:rsid w:val="00285756"/>
    <w:rsid w:val="0028657E"/>
    <w:rsid w:val="002865DE"/>
    <w:rsid w:val="00286D61"/>
    <w:rsid w:val="0028752D"/>
    <w:rsid w:val="002876C4"/>
    <w:rsid w:val="002906E9"/>
    <w:rsid w:val="00290CAD"/>
    <w:rsid w:val="0029163B"/>
    <w:rsid w:val="00291F13"/>
    <w:rsid w:val="0029212B"/>
    <w:rsid w:val="00292D6D"/>
    <w:rsid w:val="002932FF"/>
    <w:rsid w:val="0029421F"/>
    <w:rsid w:val="002942A0"/>
    <w:rsid w:val="00294545"/>
    <w:rsid w:val="0029469F"/>
    <w:rsid w:val="002946E3"/>
    <w:rsid w:val="0029490C"/>
    <w:rsid w:val="0029513A"/>
    <w:rsid w:val="0029518B"/>
    <w:rsid w:val="0029656C"/>
    <w:rsid w:val="00296EF0"/>
    <w:rsid w:val="00297533"/>
    <w:rsid w:val="00297B23"/>
    <w:rsid w:val="00297E40"/>
    <w:rsid w:val="002A02FB"/>
    <w:rsid w:val="002A043C"/>
    <w:rsid w:val="002A06B7"/>
    <w:rsid w:val="002A0EF0"/>
    <w:rsid w:val="002A0F2F"/>
    <w:rsid w:val="002A127B"/>
    <w:rsid w:val="002A1434"/>
    <w:rsid w:val="002A14FC"/>
    <w:rsid w:val="002A1774"/>
    <w:rsid w:val="002A2969"/>
    <w:rsid w:val="002A316D"/>
    <w:rsid w:val="002A39CF"/>
    <w:rsid w:val="002A59E3"/>
    <w:rsid w:val="002A5B22"/>
    <w:rsid w:val="002A67BA"/>
    <w:rsid w:val="002A6D70"/>
    <w:rsid w:val="002A7226"/>
    <w:rsid w:val="002A76C2"/>
    <w:rsid w:val="002A77DE"/>
    <w:rsid w:val="002A7ED3"/>
    <w:rsid w:val="002B029A"/>
    <w:rsid w:val="002B040C"/>
    <w:rsid w:val="002B0B85"/>
    <w:rsid w:val="002B0D14"/>
    <w:rsid w:val="002B0FF0"/>
    <w:rsid w:val="002B10BC"/>
    <w:rsid w:val="002B10E5"/>
    <w:rsid w:val="002B11B8"/>
    <w:rsid w:val="002B1580"/>
    <w:rsid w:val="002B167E"/>
    <w:rsid w:val="002B1A2C"/>
    <w:rsid w:val="002B1AC8"/>
    <w:rsid w:val="002B1E05"/>
    <w:rsid w:val="002B2069"/>
    <w:rsid w:val="002B29D8"/>
    <w:rsid w:val="002B2CA1"/>
    <w:rsid w:val="002B2E07"/>
    <w:rsid w:val="002B314B"/>
    <w:rsid w:val="002B4026"/>
    <w:rsid w:val="002B4812"/>
    <w:rsid w:val="002B4ACF"/>
    <w:rsid w:val="002B54EC"/>
    <w:rsid w:val="002B5C2E"/>
    <w:rsid w:val="002B6134"/>
    <w:rsid w:val="002B63A2"/>
    <w:rsid w:val="002B76AC"/>
    <w:rsid w:val="002B79AA"/>
    <w:rsid w:val="002B7F4B"/>
    <w:rsid w:val="002C069C"/>
    <w:rsid w:val="002C161C"/>
    <w:rsid w:val="002C2131"/>
    <w:rsid w:val="002C21FF"/>
    <w:rsid w:val="002C2956"/>
    <w:rsid w:val="002C29E7"/>
    <w:rsid w:val="002C3004"/>
    <w:rsid w:val="002C30F6"/>
    <w:rsid w:val="002C35D5"/>
    <w:rsid w:val="002C36B1"/>
    <w:rsid w:val="002C3CB7"/>
    <w:rsid w:val="002C3FBD"/>
    <w:rsid w:val="002C492C"/>
    <w:rsid w:val="002C4FDD"/>
    <w:rsid w:val="002C5092"/>
    <w:rsid w:val="002C5A76"/>
    <w:rsid w:val="002C5B60"/>
    <w:rsid w:val="002C5CBD"/>
    <w:rsid w:val="002C5EB6"/>
    <w:rsid w:val="002C6A43"/>
    <w:rsid w:val="002C6DDC"/>
    <w:rsid w:val="002C7D37"/>
    <w:rsid w:val="002D02DE"/>
    <w:rsid w:val="002D03E4"/>
    <w:rsid w:val="002D12C3"/>
    <w:rsid w:val="002D1A1A"/>
    <w:rsid w:val="002D20F4"/>
    <w:rsid w:val="002D2506"/>
    <w:rsid w:val="002D2C5D"/>
    <w:rsid w:val="002D2EAA"/>
    <w:rsid w:val="002D3CE1"/>
    <w:rsid w:val="002D420E"/>
    <w:rsid w:val="002D4379"/>
    <w:rsid w:val="002D4754"/>
    <w:rsid w:val="002D4FCC"/>
    <w:rsid w:val="002D524D"/>
    <w:rsid w:val="002D5744"/>
    <w:rsid w:val="002D5BAC"/>
    <w:rsid w:val="002D70D4"/>
    <w:rsid w:val="002D77F3"/>
    <w:rsid w:val="002D7821"/>
    <w:rsid w:val="002E1147"/>
    <w:rsid w:val="002E1509"/>
    <w:rsid w:val="002E1846"/>
    <w:rsid w:val="002E1B46"/>
    <w:rsid w:val="002E1C12"/>
    <w:rsid w:val="002E2366"/>
    <w:rsid w:val="002E2B40"/>
    <w:rsid w:val="002E2BBF"/>
    <w:rsid w:val="002E3B96"/>
    <w:rsid w:val="002E3E40"/>
    <w:rsid w:val="002E5F59"/>
    <w:rsid w:val="002E6E06"/>
    <w:rsid w:val="002E7010"/>
    <w:rsid w:val="002E7406"/>
    <w:rsid w:val="002E75AE"/>
    <w:rsid w:val="002F0910"/>
    <w:rsid w:val="002F0922"/>
    <w:rsid w:val="002F0FB9"/>
    <w:rsid w:val="002F1119"/>
    <w:rsid w:val="002F111D"/>
    <w:rsid w:val="002F11AC"/>
    <w:rsid w:val="002F1451"/>
    <w:rsid w:val="002F17BF"/>
    <w:rsid w:val="002F1813"/>
    <w:rsid w:val="002F1ACF"/>
    <w:rsid w:val="002F1B74"/>
    <w:rsid w:val="002F1CE4"/>
    <w:rsid w:val="002F2127"/>
    <w:rsid w:val="002F3A30"/>
    <w:rsid w:val="002F3F18"/>
    <w:rsid w:val="002F43C8"/>
    <w:rsid w:val="002F459F"/>
    <w:rsid w:val="002F4B40"/>
    <w:rsid w:val="002F4C85"/>
    <w:rsid w:val="002F4CC2"/>
    <w:rsid w:val="002F5747"/>
    <w:rsid w:val="002F726B"/>
    <w:rsid w:val="002F73DC"/>
    <w:rsid w:val="00300387"/>
    <w:rsid w:val="0030047B"/>
    <w:rsid w:val="00300870"/>
    <w:rsid w:val="00300DEA"/>
    <w:rsid w:val="00301972"/>
    <w:rsid w:val="00301C5D"/>
    <w:rsid w:val="00302659"/>
    <w:rsid w:val="00302BF6"/>
    <w:rsid w:val="00302BFC"/>
    <w:rsid w:val="00302F63"/>
    <w:rsid w:val="00303861"/>
    <w:rsid w:val="00303DEA"/>
    <w:rsid w:val="00304D00"/>
    <w:rsid w:val="00304F9C"/>
    <w:rsid w:val="003052D5"/>
    <w:rsid w:val="00305FBD"/>
    <w:rsid w:val="00306722"/>
    <w:rsid w:val="00306C9A"/>
    <w:rsid w:val="00307471"/>
    <w:rsid w:val="00307625"/>
    <w:rsid w:val="00307952"/>
    <w:rsid w:val="00307F63"/>
    <w:rsid w:val="00310E3D"/>
    <w:rsid w:val="00310E89"/>
    <w:rsid w:val="003114D7"/>
    <w:rsid w:val="003119A1"/>
    <w:rsid w:val="003126D8"/>
    <w:rsid w:val="0031289E"/>
    <w:rsid w:val="00312BE7"/>
    <w:rsid w:val="00312C8A"/>
    <w:rsid w:val="00313C27"/>
    <w:rsid w:val="00314101"/>
    <w:rsid w:val="0031462F"/>
    <w:rsid w:val="00315410"/>
    <w:rsid w:val="00315526"/>
    <w:rsid w:val="00315943"/>
    <w:rsid w:val="00315A43"/>
    <w:rsid w:val="00315D59"/>
    <w:rsid w:val="00315EBF"/>
    <w:rsid w:val="003160D6"/>
    <w:rsid w:val="003160DE"/>
    <w:rsid w:val="00316B3D"/>
    <w:rsid w:val="00316CBA"/>
    <w:rsid w:val="00316EDC"/>
    <w:rsid w:val="00317AB4"/>
    <w:rsid w:val="00317C4D"/>
    <w:rsid w:val="00317DA6"/>
    <w:rsid w:val="003200EF"/>
    <w:rsid w:val="00320320"/>
    <w:rsid w:val="00320376"/>
    <w:rsid w:val="003203B3"/>
    <w:rsid w:val="00320A9F"/>
    <w:rsid w:val="00321052"/>
    <w:rsid w:val="00321290"/>
    <w:rsid w:val="00321925"/>
    <w:rsid w:val="00322040"/>
    <w:rsid w:val="00322548"/>
    <w:rsid w:val="00322986"/>
    <w:rsid w:val="003229E0"/>
    <w:rsid w:val="00323926"/>
    <w:rsid w:val="00323ABA"/>
    <w:rsid w:val="00323AE2"/>
    <w:rsid w:val="00323C23"/>
    <w:rsid w:val="00323E18"/>
    <w:rsid w:val="00324176"/>
    <w:rsid w:val="003241A6"/>
    <w:rsid w:val="00324307"/>
    <w:rsid w:val="00324522"/>
    <w:rsid w:val="003260DD"/>
    <w:rsid w:val="0032696C"/>
    <w:rsid w:val="0032713E"/>
    <w:rsid w:val="00327189"/>
    <w:rsid w:val="00327550"/>
    <w:rsid w:val="0033028A"/>
    <w:rsid w:val="003314B3"/>
    <w:rsid w:val="0033174D"/>
    <w:rsid w:val="00332A71"/>
    <w:rsid w:val="00332D6E"/>
    <w:rsid w:val="00333F77"/>
    <w:rsid w:val="00334115"/>
    <w:rsid w:val="0033416C"/>
    <w:rsid w:val="003343A3"/>
    <w:rsid w:val="003344AD"/>
    <w:rsid w:val="00334D44"/>
    <w:rsid w:val="00335B9A"/>
    <w:rsid w:val="00335E75"/>
    <w:rsid w:val="00335F08"/>
    <w:rsid w:val="00336012"/>
    <w:rsid w:val="00336DE1"/>
    <w:rsid w:val="00336E35"/>
    <w:rsid w:val="00337C43"/>
    <w:rsid w:val="0034033D"/>
    <w:rsid w:val="0034080B"/>
    <w:rsid w:val="00341952"/>
    <w:rsid w:val="00342B7E"/>
    <w:rsid w:val="00342BD4"/>
    <w:rsid w:val="0034350C"/>
    <w:rsid w:val="00343522"/>
    <w:rsid w:val="00343C4D"/>
    <w:rsid w:val="00343E05"/>
    <w:rsid w:val="00343E62"/>
    <w:rsid w:val="0034457D"/>
    <w:rsid w:val="00345C3C"/>
    <w:rsid w:val="00345F1C"/>
    <w:rsid w:val="003460D5"/>
    <w:rsid w:val="00346509"/>
    <w:rsid w:val="00346A31"/>
    <w:rsid w:val="00346D4F"/>
    <w:rsid w:val="00347C19"/>
    <w:rsid w:val="00350FA3"/>
    <w:rsid w:val="003521A7"/>
    <w:rsid w:val="0035266C"/>
    <w:rsid w:val="00352D68"/>
    <w:rsid w:val="00352DAF"/>
    <w:rsid w:val="003534E2"/>
    <w:rsid w:val="00353614"/>
    <w:rsid w:val="0035390A"/>
    <w:rsid w:val="00354606"/>
    <w:rsid w:val="00354A2A"/>
    <w:rsid w:val="003554D1"/>
    <w:rsid w:val="00355F4D"/>
    <w:rsid w:val="00356588"/>
    <w:rsid w:val="00356AE5"/>
    <w:rsid w:val="00356F06"/>
    <w:rsid w:val="00356F26"/>
    <w:rsid w:val="00357048"/>
    <w:rsid w:val="0035752B"/>
    <w:rsid w:val="00360003"/>
    <w:rsid w:val="0036043B"/>
    <w:rsid w:val="00360470"/>
    <w:rsid w:val="00360B08"/>
    <w:rsid w:val="0036136B"/>
    <w:rsid w:val="003614F2"/>
    <w:rsid w:val="00361794"/>
    <w:rsid w:val="00361E6D"/>
    <w:rsid w:val="00362850"/>
    <w:rsid w:val="00362AB8"/>
    <w:rsid w:val="00362DD2"/>
    <w:rsid w:val="00363129"/>
    <w:rsid w:val="003639F8"/>
    <w:rsid w:val="00363B35"/>
    <w:rsid w:val="00363E32"/>
    <w:rsid w:val="003642F3"/>
    <w:rsid w:val="00364455"/>
    <w:rsid w:val="00364BB4"/>
    <w:rsid w:val="00364E7C"/>
    <w:rsid w:val="00365508"/>
    <w:rsid w:val="00365D51"/>
    <w:rsid w:val="00366387"/>
    <w:rsid w:val="00367C9B"/>
    <w:rsid w:val="003706BB"/>
    <w:rsid w:val="00370926"/>
    <w:rsid w:val="00370F3C"/>
    <w:rsid w:val="003718F8"/>
    <w:rsid w:val="00371A75"/>
    <w:rsid w:val="00372896"/>
    <w:rsid w:val="00372CF0"/>
    <w:rsid w:val="00373CDA"/>
    <w:rsid w:val="0037499F"/>
    <w:rsid w:val="00374C84"/>
    <w:rsid w:val="00374D88"/>
    <w:rsid w:val="003750E5"/>
    <w:rsid w:val="00375E5D"/>
    <w:rsid w:val="0037633C"/>
    <w:rsid w:val="00376834"/>
    <w:rsid w:val="00376F0A"/>
    <w:rsid w:val="00377503"/>
    <w:rsid w:val="0037796D"/>
    <w:rsid w:val="0037798B"/>
    <w:rsid w:val="00380045"/>
    <w:rsid w:val="0038023D"/>
    <w:rsid w:val="0038033F"/>
    <w:rsid w:val="003807D6"/>
    <w:rsid w:val="003808FE"/>
    <w:rsid w:val="00381707"/>
    <w:rsid w:val="00382C2A"/>
    <w:rsid w:val="00383297"/>
    <w:rsid w:val="0038366B"/>
    <w:rsid w:val="00383D5B"/>
    <w:rsid w:val="00383F4C"/>
    <w:rsid w:val="00384213"/>
    <w:rsid w:val="00384B9C"/>
    <w:rsid w:val="00384DC3"/>
    <w:rsid w:val="00384EFA"/>
    <w:rsid w:val="00384F78"/>
    <w:rsid w:val="003852CF"/>
    <w:rsid w:val="00385350"/>
    <w:rsid w:val="00385A5D"/>
    <w:rsid w:val="00386499"/>
    <w:rsid w:val="00386779"/>
    <w:rsid w:val="00386F36"/>
    <w:rsid w:val="00387337"/>
    <w:rsid w:val="003876AD"/>
    <w:rsid w:val="003879E7"/>
    <w:rsid w:val="00387C3D"/>
    <w:rsid w:val="00387ED7"/>
    <w:rsid w:val="00390042"/>
    <w:rsid w:val="00391278"/>
    <w:rsid w:val="0039184C"/>
    <w:rsid w:val="0039294B"/>
    <w:rsid w:val="00392C21"/>
    <w:rsid w:val="00392F4E"/>
    <w:rsid w:val="00393352"/>
    <w:rsid w:val="00393AB4"/>
    <w:rsid w:val="0039429E"/>
    <w:rsid w:val="003944B5"/>
    <w:rsid w:val="003949A6"/>
    <w:rsid w:val="003949E4"/>
    <w:rsid w:val="00394AEC"/>
    <w:rsid w:val="00395661"/>
    <w:rsid w:val="003962CD"/>
    <w:rsid w:val="00396955"/>
    <w:rsid w:val="003975E0"/>
    <w:rsid w:val="003977E8"/>
    <w:rsid w:val="00397B71"/>
    <w:rsid w:val="00397BB2"/>
    <w:rsid w:val="003A0110"/>
    <w:rsid w:val="003A0207"/>
    <w:rsid w:val="003A05F8"/>
    <w:rsid w:val="003A060D"/>
    <w:rsid w:val="003A1D07"/>
    <w:rsid w:val="003A1EC6"/>
    <w:rsid w:val="003A285A"/>
    <w:rsid w:val="003A565A"/>
    <w:rsid w:val="003A5D58"/>
    <w:rsid w:val="003A6266"/>
    <w:rsid w:val="003A62D0"/>
    <w:rsid w:val="003A6337"/>
    <w:rsid w:val="003A658A"/>
    <w:rsid w:val="003A7267"/>
    <w:rsid w:val="003A787F"/>
    <w:rsid w:val="003A7BFA"/>
    <w:rsid w:val="003A7CB1"/>
    <w:rsid w:val="003B02C1"/>
    <w:rsid w:val="003B1983"/>
    <w:rsid w:val="003B239A"/>
    <w:rsid w:val="003B2484"/>
    <w:rsid w:val="003B2689"/>
    <w:rsid w:val="003B29DF"/>
    <w:rsid w:val="003B2D49"/>
    <w:rsid w:val="003B2EF2"/>
    <w:rsid w:val="003B35DE"/>
    <w:rsid w:val="003B40D8"/>
    <w:rsid w:val="003B43DB"/>
    <w:rsid w:val="003B4FDD"/>
    <w:rsid w:val="003B5285"/>
    <w:rsid w:val="003B596D"/>
    <w:rsid w:val="003B5DB7"/>
    <w:rsid w:val="003B6637"/>
    <w:rsid w:val="003B6A9F"/>
    <w:rsid w:val="003B718D"/>
    <w:rsid w:val="003B7FC3"/>
    <w:rsid w:val="003C0262"/>
    <w:rsid w:val="003C058A"/>
    <w:rsid w:val="003C11F0"/>
    <w:rsid w:val="003C146E"/>
    <w:rsid w:val="003C1793"/>
    <w:rsid w:val="003C18CA"/>
    <w:rsid w:val="003C1BAD"/>
    <w:rsid w:val="003C200F"/>
    <w:rsid w:val="003C2131"/>
    <w:rsid w:val="003C2171"/>
    <w:rsid w:val="003C2323"/>
    <w:rsid w:val="003C23C8"/>
    <w:rsid w:val="003C2435"/>
    <w:rsid w:val="003C24E7"/>
    <w:rsid w:val="003C26C7"/>
    <w:rsid w:val="003C26DA"/>
    <w:rsid w:val="003C45D3"/>
    <w:rsid w:val="003C46D9"/>
    <w:rsid w:val="003C48C5"/>
    <w:rsid w:val="003C491C"/>
    <w:rsid w:val="003C4BA4"/>
    <w:rsid w:val="003C4CA0"/>
    <w:rsid w:val="003C5556"/>
    <w:rsid w:val="003C65AC"/>
    <w:rsid w:val="003C7182"/>
    <w:rsid w:val="003C7264"/>
    <w:rsid w:val="003C7E29"/>
    <w:rsid w:val="003D072E"/>
    <w:rsid w:val="003D081B"/>
    <w:rsid w:val="003D0FB4"/>
    <w:rsid w:val="003D1A52"/>
    <w:rsid w:val="003D1C00"/>
    <w:rsid w:val="003D21EF"/>
    <w:rsid w:val="003D29E7"/>
    <w:rsid w:val="003D2AC8"/>
    <w:rsid w:val="003D2D84"/>
    <w:rsid w:val="003D3044"/>
    <w:rsid w:val="003D39EC"/>
    <w:rsid w:val="003D4A07"/>
    <w:rsid w:val="003D4AF4"/>
    <w:rsid w:val="003D631D"/>
    <w:rsid w:val="003D6B5D"/>
    <w:rsid w:val="003D6BAE"/>
    <w:rsid w:val="003D6F23"/>
    <w:rsid w:val="003D7D0B"/>
    <w:rsid w:val="003D7F9F"/>
    <w:rsid w:val="003E058E"/>
    <w:rsid w:val="003E1ABB"/>
    <w:rsid w:val="003E3703"/>
    <w:rsid w:val="003E381A"/>
    <w:rsid w:val="003E3924"/>
    <w:rsid w:val="003E4015"/>
    <w:rsid w:val="003E511B"/>
    <w:rsid w:val="003E54D5"/>
    <w:rsid w:val="003E6064"/>
    <w:rsid w:val="003E6809"/>
    <w:rsid w:val="003E68BF"/>
    <w:rsid w:val="003E68E3"/>
    <w:rsid w:val="003E7283"/>
    <w:rsid w:val="003E745E"/>
    <w:rsid w:val="003E79B2"/>
    <w:rsid w:val="003F1630"/>
    <w:rsid w:val="003F1A4C"/>
    <w:rsid w:val="003F1EBF"/>
    <w:rsid w:val="003F20B2"/>
    <w:rsid w:val="003F20C1"/>
    <w:rsid w:val="003F221D"/>
    <w:rsid w:val="003F2B73"/>
    <w:rsid w:val="003F2C8E"/>
    <w:rsid w:val="003F2DC9"/>
    <w:rsid w:val="003F3812"/>
    <w:rsid w:val="003F42F0"/>
    <w:rsid w:val="003F445F"/>
    <w:rsid w:val="003F4B01"/>
    <w:rsid w:val="003F4CB6"/>
    <w:rsid w:val="003F4FF0"/>
    <w:rsid w:val="003F55BE"/>
    <w:rsid w:val="003F5B14"/>
    <w:rsid w:val="003F5E00"/>
    <w:rsid w:val="003F6790"/>
    <w:rsid w:val="003F6FF9"/>
    <w:rsid w:val="003F73A9"/>
    <w:rsid w:val="003F7BC2"/>
    <w:rsid w:val="003F7D25"/>
    <w:rsid w:val="004000F2"/>
    <w:rsid w:val="0040042F"/>
    <w:rsid w:val="00400685"/>
    <w:rsid w:val="00400A33"/>
    <w:rsid w:val="00401B8B"/>
    <w:rsid w:val="00401CE7"/>
    <w:rsid w:val="00402852"/>
    <w:rsid w:val="0040459C"/>
    <w:rsid w:val="0040462A"/>
    <w:rsid w:val="00404884"/>
    <w:rsid w:val="00404949"/>
    <w:rsid w:val="00405079"/>
    <w:rsid w:val="0040534A"/>
    <w:rsid w:val="004053DE"/>
    <w:rsid w:val="004054E5"/>
    <w:rsid w:val="0040679A"/>
    <w:rsid w:val="00406AA4"/>
    <w:rsid w:val="00406AC3"/>
    <w:rsid w:val="00406FDF"/>
    <w:rsid w:val="00406FE0"/>
    <w:rsid w:val="004077A1"/>
    <w:rsid w:val="00407994"/>
    <w:rsid w:val="004079E5"/>
    <w:rsid w:val="00407F12"/>
    <w:rsid w:val="0041019F"/>
    <w:rsid w:val="004105C8"/>
    <w:rsid w:val="004115B2"/>
    <w:rsid w:val="00411D87"/>
    <w:rsid w:val="00412F02"/>
    <w:rsid w:val="004139FA"/>
    <w:rsid w:val="00413E01"/>
    <w:rsid w:val="004146AB"/>
    <w:rsid w:val="00414BDB"/>
    <w:rsid w:val="00414ED5"/>
    <w:rsid w:val="004150D6"/>
    <w:rsid w:val="00415664"/>
    <w:rsid w:val="004156DB"/>
    <w:rsid w:val="00415D9A"/>
    <w:rsid w:val="0041640B"/>
    <w:rsid w:val="004165EF"/>
    <w:rsid w:val="00416723"/>
    <w:rsid w:val="00416AE8"/>
    <w:rsid w:val="00416F07"/>
    <w:rsid w:val="004170E6"/>
    <w:rsid w:val="0041761F"/>
    <w:rsid w:val="00417746"/>
    <w:rsid w:val="00417FD0"/>
    <w:rsid w:val="00420EC1"/>
    <w:rsid w:val="00421535"/>
    <w:rsid w:val="00421FC7"/>
    <w:rsid w:val="004231E6"/>
    <w:rsid w:val="00423543"/>
    <w:rsid w:val="00423F5A"/>
    <w:rsid w:val="0042410E"/>
    <w:rsid w:val="0042479F"/>
    <w:rsid w:val="00424ED6"/>
    <w:rsid w:val="00425383"/>
    <w:rsid w:val="0042558A"/>
    <w:rsid w:val="00425761"/>
    <w:rsid w:val="00425D23"/>
    <w:rsid w:val="00425D57"/>
    <w:rsid w:val="00426044"/>
    <w:rsid w:val="00426E69"/>
    <w:rsid w:val="00426F3B"/>
    <w:rsid w:val="00427752"/>
    <w:rsid w:val="00427F15"/>
    <w:rsid w:val="00431572"/>
    <w:rsid w:val="00431EDB"/>
    <w:rsid w:val="00432247"/>
    <w:rsid w:val="0043261D"/>
    <w:rsid w:val="00433216"/>
    <w:rsid w:val="0043338B"/>
    <w:rsid w:val="0043343E"/>
    <w:rsid w:val="00433684"/>
    <w:rsid w:val="004340C0"/>
    <w:rsid w:val="004342C1"/>
    <w:rsid w:val="00434760"/>
    <w:rsid w:val="004355AC"/>
    <w:rsid w:val="00435C15"/>
    <w:rsid w:val="00436495"/>
    <w:rsid w:val="0043656A"/>
    <w:rsid w:val="00436B24"/>
    <w:rsid w:val="0044004D"/>
    <w:rsid w:val="004407D8"/>
    <w:rsid w:val="00441822"/>
    <w:rsid w:val="004422B1"/>
    <w:rsid w:val="00442876"/>
    <w:rsid w:val="00443297"/>
    <w:rsid w:val="00443509"/>
    <w:rsid w:val="00443BE7"/>
    <w:rsid w:val="0044548C"/>
    <w:rsid w:val="0044617C"/>
    <w:rsid w:val="0044632D"/>
    <w:rsid w:val="00446334"/>
    <w:rsid w:val="00446475"/>
    <w:rsid w:val="00446524"/>
    <w:rsid w:val="004465F5"/>
    <w:rsid w:val="0044709E"/>
    <w:rsid w:val="00450260"/>
    <w:rsid w:val="004509FC"/>
    <w:rsid w:val="00450DE5"/>
    <w:rsid w:val="004513C1"/>
    <w:rsid w:val="004514A6"/>
    <w:rsid w:val="00451CEE"/>
    <w:rsid w:val="004522BA"/>
    <w:rsid w:val="00452789"/>
    <w:rsid w:val="00452CF9"/>
    <w:rsid w:val="00452DE8"/>
    <w:rsid w:val="004534C7"/>
    <w:rsid w:val="00453C1B"/>
    <w:rsid w:val="00453E14"/>
    <w:rsid w:val="00454101"/>
    <w:rsid w:val="00455133"/>
    <w:rsid w:val="004556F0"/>
    <w:rsid w:val="00455B40"/>
    <w:rsid w:val="00455BA7"/>
    <w:rsid w:val="0045620C"/>
    <w:rsid w:val="00457217"/>
    <w:rsid w:val="004578AD"/>
    <w:rsid w:val="00457BFC"/>
    <w:rsid w:val="0046050D"/>
    <w:rsid w:val="00461CF2"/>
    <w:rsid w:val="00461DCA"/>
    <w:rsid w:val="00462609"/>
    <w:rsid w:val="00462BA4"/>
    <w:rsid w:val="004632B2"/>
    <w:rsid w:val="004642E2"/>
    <w:rsid w:val="00464B27"/>
    <w:rsid w:val="00465075"/>
    <w:rsid w:val="00465761"/>
    <w:rsid w:val="00465DA9"/>
    <w:rsid w:val="00466237"/>
    <w:rsid w:val="004667AD"/>
    <w:rsid w:val="00466B33"/>
    <w:rsid w:val="00466CDE"/>
    <w:rsid w:val="004674C5"/>
    <w:rsid w:val="00467F5A"/>
    <w:rsid w:val="004701E9"/>
    <w:rsid w:val="00470832"/>
    <w:rsid w:val="00470D58"/>
    <w:rsid w:val="00470EE5"/>
    <w:rsid w:val="00471D87"/>
    <w:rsid w:val="00471FB7"/>
    <w:rsid w:val="004729D2"/>
    <w:rsid w:val="00472CCF"/>
    <w:rsid w:val="00472E43"/>
    <w:rsid w:val="00473121"/>
    <w:rsid w:val="004731C1"/>
    <w:rsid w:val="00473295"/>
    <w:rsid w:val="0047332B"/>
    <w:rsid w:val="00473380"/>
    <w:rsid w:val="00473679"/>
    <w:rsid w:val="00474188"/>
    <w:rsid w:val="0047422F"/>
    <w:rsid w:val="00474AA9"/>
    <w:rsid w:val="00474DB7"/>
    <w:rsid w:val="004758E7"/>
    <w:rsid w:val="00475918"/>
    <w:rsid w:val="00476253"/>
    <w:rsid w:val="00476713"/>
    <w:rsid w:val="00476DFE"/>
    <w:rsid w:val="004772C0"/>
    <w:rsid w:val="00477425"/>
    <w:rsid w:val="00480061"/>
    <w:rsid w:val="00480606"/>
    <w:rsid w:val="00481AFC"/>
    <w:rsid w:val="00481BB4"/>
    <w:rsid w:val="00481C2B"/>
    <w:rsid w:val="00481CBA"/>
    <w:rsid w:val="004822B5"/>
    <w:rsid w:val="0048233E"/>
    <w:rsid w:val="00482BCD"/>
    <w:rsid w:val="00482E4A"/>
    <w:rsid w:val="00482E52"/>
    <w:rsid w:val="00483A28"/>
    <w:rsid w:val="00483E35"/>
    <w:rsid w:val="00484F9B"/>
    <w:rsid w:val="00485864"/>
    <w:rsid w:val="004864FB"/>
    <w:rsid w:val="00486901"/>
    <w:rsid w:val="00486D23"/>
    <w:rsid w:val="00487433"/>
    <w:rsid w:val="00487BD3"/>
    <w:rsid w:val="00487E96"/>
    <w:rsid w:val="004902F1"/>
    <w:rsid w:val="004903E0"/>
    <w:rsid w:val="00490401"/>
    <w:rsid w:val="00490837"/>
    <w:rsid w:val="00490D1B"/>
    <w:rsid w:val="0049110B"/>
    <w:rsid w:val="004911F9"/>
    <w:rsid w:val="00491A52"/>
    <w:rsid w:val="00491D83"/>
    <w:rsid w:val="00492A78"/>
    <w:rsid w:val="00492D6F"/>
    <w:rsid w:val="00492FD6"/>
    <w:rsid w:val="00493264"/>
    <w:rsid w:val="004936C3"/>
    <w:rsid w:val="004937CA"/>
    <w:rsid w:val="00493FF5"/>
    <w:rsid w:val="0049468C"/>
    <w:rsid w:val="00494A29"/>
    <w:rsid w:val="00495101"/>
    <w:rsid w:val="00495410"/>
    <w:rsid w:val="00495BC4"/>
    <w:rsid w:val="004963E0"/>
    <w:rsid w:val="00496683"/>
    <w:rsid w:val="0049682C"/>
    <w:rsid w:val="0049690F"/>
    <w:rsid w:val="00496CC9"/>
    <w:rsid w:val="00497102"/>
    <w:rsid w:val="0049723A"/>
    <w:rsid w:val="0049738C"/>
    <w:rsid w:val="00497468"/>
    <w:rsid w:val="0049775E"/>
    <w:rsid w:val="00497871"/>
    <w:rsid w:val="00497897"/>
    <w:rsid w:val="004A09DE"/>
    <w:rsid w:val="004A0AB7"/>
    <w:rsid w:val="004A12CC"/>
    <w:rsid w:val="004A14CE"/>
    <w:rsid w:val="004A22B0"/>
    <w:rsid w:val="004A2559"/>
    <w:rsid w:val="004A3DB8"/>
    <w:rsid w:val="004A42CB"/>
    <w:rsid w:val="004A446B"/>
    <w:rsid w:val="004A46C9"/>
    <w:rsid w:val="004A4AC9"/>
    <w:rsid w:val="004A4B99"/>
    <w:rsid w:val="004A4F96"/>
    <w:rsid w:val="004A51E8"/>
    <w:rsid w:val="004A5262"/>
    <w:rsid w:val="004A54E4"/>
    <w:rsid w:val="004A5F00"/>
    <w:rsid w:val="004A5F68"/>
    <w:rsid w:val="004A5FB0"/>
    <w:rsid w:val="004A61CE"/>
    <w:rsid w:val="004A62C9"/>
    <w:rsid w:val="004A6529"/>
    <w:rsid w:val="004A65AD"/>
    <w:rsid w:val="004A6B19"/>
    <w:rsid w:val="004A6B5F"/>
    <w:rsid w:val="004B0602"/>
    <w:rsid w:val="004B107B"/>
    <w:rsid w:val="004B150A"/>
    <w:rsid w:val="004B1CFB"/>
    <w:rsid w:val="004B1EA8"/>
    <w:rsid w:val="004B2AB7"/>
    <w:rsid w:val="004B36AF"/>
    <w:rsid w:val="004B3A6A"/>
    <w:rsid w:val="004B48DF"/>
    <w:rsid w:val="004B4B85"/>
    <w:rsid w:val="004B50C1"/>
    <w:rsid w:val="004B53B4"/>
    <w:rsid w:val="004B6653"/>
    <w:rsid w:val="004B6958"/>
    <w:rsid w:val="004B6B73"/>
    <w:rsid w:val="004B6B79"/>
    <w:rsid w:val="004B6DCA"/>
    <w:rsid w:val="004B6EFE"/>
    <w:rsid w:val="004B749F"/>
    <w:rsid w:val="004B7A03"/>
    <w:rsid w:val="004C0288"/>
    <w:rsid w:val="004C06B2"/>
    <w:rsid w:val="004C0934"/>
    <w:rsid w:val="004C0DFF"/>
    <w:rsid w:val="004C1130"/>
    <w:rsid w:val="004C142F"/>
    <w:rsid w:val="004C2050"/>
    <w:rsid w:val="004C2BE8"/>
    <w:rsid w:val="004C34C4"/>
    <w:rsid w:val="004C3618"/>
    <w:rsid w:val="004C3907"/>
    <w:rsid w:val="004C3A3F"/>
    <w:rsid w:val="004C3A4B"/>
    <w:rsid w:val="004C3BEA"/>
    <w:rsid w:val="004C3E30"/>
    <w:rsid w:val="004C3F40"/>
    <w:rsid w:val="004C4337"/>
    <w:rsid w:val="004C438E"/>
    <w:rsid w:val="004C4465"/>
    <w:rsid w:val="004C48BD"/>
    <w:rsid w:val="004C4A40"/>
    <w:rsid w:val="004C4B3E"/>
    <w:rsid w:val="004C4CAC"/>
    <w:rsid w:val="004C4D3E"/>
    <w:rsid w:val="004C5588"/>
    <w:rsid w:val="004C59F1"/>
    <w:rsid w:val="004C59FD"/>
    <w:rsid w:val="004C6468"/>
    <w:rsid w:val="004C6C71"/>
    <w:rsid w:val="004C78B4"/>
    <w:rsid w:val="004C79C7"/>
    <w:rsid w:val="004C7A8F"/>
    <w:rsid w:val="004D0DD6"/>
    <w:rsid w:val="004D2368"/>
    <w:rsid w:val="004D2582"/>
    <w:rsid w:val="004D262A"/>
    <w:rsid w:val="004D340C"/>
    <w:rsid w:val="004D3A67"/>
    <w:rsid w:val="004D3C47"/>
    <w:rsid w:val="004D3F1C"/>
    <w:rsid w:val="004D40C9"/>
    <w:rsid w:val="004D41C1"/>
    <w:rsid w:val="004D4B35"/>
    <w:rsid w:val="004D4D3D"/>
    <w:rsid w:val="004D4F85"/>
    <w:rsid w:val="004D555C"/>
    <w:rsid w:val="004D5792"/>
    <w:rsid w:val="004D587B"/>
    <w:rsid w:val="004D6425"/>
    <w:rsid w:val="004D65E9"/>
    <w:rsid w:val="004D666B"/>
    <w:rsid w:val="004E0A1F"/>
    <w:rsid w:val="004E1467"/>
    <w:rsid w:val="004E1B6B"/>
    <w:rsid w:val="004E218A"/>
    <w:rsid w:val="004E29C8"/>
    <w:rsid w:val="004E2C5D"/>
    <w:rsid w:val="004E2D7A"/>
    <w:rsid w:val="004E3238"/>
    <w:rsid w:val="004E4418"/>
    <w:rsid w:val="004E47BA"/>
    <w:rsid w:val="004E48F5"/>
    <w:rsid w:val="004E4A44"/>
    <w:rsid w:val="004E5A04"/>
    <w:rsid w:val="004E5EF2"/>
    <w:rsid w:val="004E5FA3"/>
    <w:rsid w:val="004E62C8"/>
    <w:rsid w:val="004E69AC"/>
    <w:rsid w:val="004E7504"/>
    <w:rsid w:val="004E7655"/>
    <w:rsid w:val="004E782D"/>
    <w:rsid w:val="004E7F3F"/>
    <w:rsid w:val="004F056D"/>
    <w:rsid w:val="004F114B"/>
    <w:rsid w:val="004F1C78"/>
    <w:rsid w:val="004F1F11"/>
    <w:rsid w:val="004F21AF"/>
    <w:rsid w:val="004F24AB"/>
    <w:rsid w:val="004F2CDC"/>
    <w:rsid w:val="004F31ED"/>
    <w:rsid w:val="004F3840"/>
    <w:rsid w:val="004F4632"/>
    <w:rsid w:val="004F4748"/>
    <w:rsid w:val="004F49DF"/>
    <w:rsid w:val="004F4C74"/>
    <w:rsid w:val="004F5374"/>
    <w:rsid w:val="004F5AFE"/>
    <w:rsid w:val="004F5B2D"/>
    <w:rsid w:val="004F6119"/>
    <w:rsid w:val="004F62FE"/>
    <w:rsid w:val="004F63C8"/>
    <w:rsid w:val="004F655E"/>
    <w:rsid w:val="004F6F1A"/>
    <w:rsid w:val="004F71B5"/>
    <w:rsid w:val="005002FB"/>
    <w:rsid w:val="00500E33"/>
    <w:rsid w:val="00500F0D"/>
    <w:rsid w:val="00501117"/>
    <w:rsid w:val="00502947"/>
    <w:rsid w:val="00502D5C"/>
    <w:rsid w:val="00502F64"/>
    <w:rsid w:val="00503411"/>
    <w:rsid w:val="005036B7"/>
    <w:rsid w:val="00503AAE"/>
    <w:rsid w:val="00503AC2"/>
    <w:rsid w:val="00503C8F"/>
    <w:rsid w:val="0050441A"/>
    <w:rsid w:val="00505279"/>
    <w:rsid w:val="00505299"/>
    <w:rsid w:val="005052EE"/>
    <w:rsid w:val="005053E3"/>
    <w:rsid w:val="00506405"/>
    <w:rsid w:val="00506B34"/>
    <w:rsid w:val="00506B68"/>
    <w:rsid w:val="0050708D"/>
    <w:rsid w:val="00507AD4"/>
    <w:rsid w:val="00507FE2"/>
    <w:rsid w:val="00510649"/>
    <w:rsid w:val="00510D5A"/>
    <w:rsid w:val="00510E8E"/>
    <w:rsid w:val="00511146"/>
    <w:rsid w:val="00511377"/>
    <w:rsid w:val="00511E46"/>
    <w:rsid w:val="005121BE"/>
    <w:rsid w:val="00512278"/>
    <w:rsid w:val="005143EC"/>
    <w:rsid w:val="00514FA2"/>
    <w:rsid w:val="00515687"/>
    <w:rsid w:val="00516642"/>
    <w:rsid w:val="00517D04"/>
    <w:rsid w:val="00517FAB"/>
    <w:rsid w:val="00517FFA"/>
    <w:rsid w:val="00520161"/>
    <w:rsid w:val="0052069D"/>
    <w:rsid w:val="005212C7"/>
    <w:rsid w:val="0052167E"/>
    <w:rsid w:val="00521D69"/>
    <w:rsid w:val="00522095"/>
    <w:rsid w:val="0052217B"/>
    <w:rsid w:val="00522853"/>
    <w:rsid w:val="0052295F"/>
    <w:rsid w:val="0052372E"/>
    <w:rsid w:val="00523F97"/>
    <w:rsid w:val="00524AA6"/>
    <w:rsid w:val="005256ED"/>
    <w:rsid w:val="0052573A"/>
    <w:rsid w:val="00525801"/>
    <w:rsid w:val="005258F1"/>
    <w:rsid w:val="005266C4"/>
    <w:rsid w:val="00526B9E"/>
    <w:rsid w:val="00527654"/>
    <w:rsid w:val="005320E4"/>
    <w:rsid w:val="0053238D"/>
    <w:rsid w:val="00532436"/>
    <w:rsid w:val="00532724"/>
    <w:rsid w:val="00532F2E"/>
    <w:rsid w:val="00533193"/>
    <w:rsid w:val="00533403"/>
    <w:rsid w:val="00533719"/>
    <w:rsid w:val="00535D8A"/>
    <w:rsid w:val="0053679E"/>
    <w:rsid w:val="00536819"/>
    <w:rsid w:val="00536E30"/>
    <w:rsid w:val="005408A8"/>
    <w:rsid w:val="0054097A"/>
    <w:rsid w:val="00541012"/>
    <w:rsid w:val="005411CF"/>
    <w:rsid w:val="00542274"/>
    <w:rsid w:val="00542D66"/>
    <w:rsid w:val="00542ECA"/>
    <w:rsid w:val="005447F3"/>
    <w:rsid w:val="00544EFB"/>
    <w:rsid w:val="005467D6"/>
    <w:rsid w:val="005468B0"/>
    <w:rsid w:val="00546919"/>
    <w:rsid w:val="005476EB"/>
    <w:rsid w:val="00547ADE"/>
    <w:rsid w:val="00547DDA"/>
    <w:rsid w:val="005500C4"/>
    <w:rsid w:val="005506AE"/>
    <w:rsid w:val="00550B29"/>
    <w:rsid w:val="0055165E"/>
    <w:rsid w:val="005516E1"/>
    <w:rsid w:val="00552B24"/>
    <w:rsid w:val="0055319F"/>
    <w:rsid w:val="00553AC7"/>
    <w:rsid w:val="005541BE"/>
    <w:rsid w:val="005542F3"/>
    <w:rsid w:val="00554913"/>
    <w:rsid w:val="0055491F"/>
    <w:rsid w:val="00554A67"/>
    <w:rsid w:val="00554DD8"/>
    <w:rsid w:val="00555663"/>
    <w:rsid w:val="005556BB"/>
    <w:rsid w:val="00555823"/>
    <w:rsid w:val="00555AC2"/>
    <w:rsid w:val="00555B00"/>
    <w:rsid w:val="00557F0E"/>
    <w:rsid w:val="005608B4"/>
    <w:rsid w:val="00560D09"/>
    <w:rsid w:val="00560EA1"/>
    <w:rsid w:val="00561203"/>
    <w:rsid w:val="005615DD"/>
    <w:rsid w:val="005616D6"/>
    <w:rsid w:val="00561869"/>
    <w:rsid w:val="00561F9F"/>
    <w:rsid w:val="00562B4D"/>
    <w:rsid w:val="00563E0B"/>
    <w:rsid w:val="005641A3"/>
    <w:rsid w:val="00564873"/>
    <w:rsid w:val="00564B87"/>
    <w:rsid w:val="00564CDE"/>
    <w:rsid w:val="005656DB"/>
    <w:rsid w:val="00566403"/>
    <w:rsid w:val="00566426"/>
    <w:rsid w:val="00566819"/>
    <w:rsid w:val="00566B6D"/>
    <w:rsid w:val="00566BB1"/>
    <w:rsid w:val="00566EB3"/>
    <w:rsid w:val="00566F48"/>
    <w:rsid w:val="00567A22"/>
    <w:rsid w:val="005706B9"/>
    <w:rsid w:val="005711BF"/>
    <w:rsid w:val="00571503"/>
    <w:rsid w:val="005716DE"/>
    <w:rsid w:val="005719C4"/>
    <w:rsid w:val="00571B35"/>
    <w:rsid w:val="00571B6F"/>
    <w:rsid w:val="00571F4F"/>
    <w:rsid w:val="005722D3"/>
    <w:rsid w:val="00572677"/>
    <w:rsid w:val="00572C87"/>
    <w:rsid w:val="00572CCF"/>
    <w:rsid w:val="005737B4"/>
    <w:rsid w:val="0057393B"/>
    <w:rsid w:val="0057435B"/>
    <w:rsid w:val="00574BD2"/>
    <w:rsid w:val="00575689"/>
    <w:rsid w:val="00575773"/>
    <w:rsid w:val="0057646E"/>
    <w:rsid w:val="0057667B"/>
    <w:rsid w:val="00577641"/>
    <w:rsid w:val="00577E8D"/>
    <w:rsid w:val="005802A2"/>
    <w:rsid w:val="005802FD"/>
    <w:rsid w:val="005807F2"/>
    <w:rsid w:val="00580816"/>
    <w:rsid w:val="0058102D"/>
    <w:rsid w:val="005819D7"/>
    <w:rsid w:val="00581A0D"/>
    <w:rsid w:val="00581A5D"/>
    <w:rsid w:val="00581DE4"/>
    <w:rsid w:val="00582224"/>
    <w:rsid w:val="00582576"/>
    <w:rsid w:val="00582BBA"/>
    <w:rsid w:val="005831A4"/>
    <w:rsid w:val="00583264"/>
    <w:rsid w:val="005838EF"/>
    <w:rsid w:val="00584034"/>
    <w:rsid w:val="005841E9"/>
    <w:rsid w:val="00584FAD"/>
    <w:rsid w:val="005854D3"/>
    <w:rsid w:val="00585C58"/>
    <w:rsid w:val="00586662"/>
    <w:rsid w:val="0058668D"/>
    <w:rsid w:val="0058672B"/>
    <w:rsid w:val="00586D0B"/>
    <w:rsid w:val="00586EAF"/>
    <w:rsid w:val="00586FEC"/>
    <w:rsid w:val="0058788E"/>
    <w:rsid w:val="00590084"/>
    <w:rsid w:val="00590087"/>
    <w:rsid w:val="0059056C"/>
    <w:rsid w:val="005908F7"/>
    <w:rsid w:val="00590926"/>
    <w:rsid w:val="00590BB3"/>
    <w:rsid w:val="00590F73"/>
    <w:rsid w:val="0059145F"/>
    <w:rsid w:val="0059168E"/>
    <w:rsid w:val="00591977"/>
    <w:rsid w:val="00591F20"/>
    <w:rsid w:val="0059248E"/>
    <w:rsid w:val="0059253E"/>
    <w:rsid w:val="0059322B"/>
    <w:rsid w:val="00593F3B"/>
    <w:rsid w:val="00594E23"/>
    <w:rsid w:val="00595C15"/>
    <w:rsid w:val="00595C8D"/>
    <w:rsid w:val="00595E4D"/>
    <w:rsid w:val="00596AC3"/>
    <w:rsid w:val="00596F39"/>
    <w:rsid w:val="0059738F"/>
    <w:rsid w:val="0059739C"/>
    <w:rsid w:val="005A083B"/>
    <w:rsid w:val="005A094A"/>
    <w:rsid w:val="005A0EF9"/>
    <w:rsid w:val="005A10FC"/>
    <w:rsid w:val="005A148E"/>
    <w:rsid w:val="005A1701"/>
    <w:rsid w:val="005A2404"/>
    <w:rsid w:val="005A2599"/>
    <w:rsid w:val="005A2665"/>
    <w:rsid w:val="005A3576"/>
    <w:rsid w:val="005A3A39"/>
    <w:rsid w:val="005A40EC"/>
    <w:rsid w:val="005A4AC5"/>
    <w:rsid w:val="005A4AEE"/>
    <w:rsid w:val="005A4ED8"/>
    <w:rsid w:val="005A58B8"/>
    <w:rsid w:val="005A5DA3"/>
    <w:rsid w:val="005A6366"/>
    <w:rsid w:val="005A6782"/>
    <w:rsid w:val="005A7853"/>
    <w:rsid w:val="005B047C"/>
    <w:rsid w:val="005B1279"/>
    <w:rsid w:val="005B12E6"/>
    <w:rsid w:val="005B1326"/>
    <w:rsid w:val="005B1A25"/>
    <w:rsid w:val="005B1AC2"/>
    <w:rsid w:val="005B1EBC"/>
    <w:rsid w:val="005B1FC1"/>
    <w:rsid w:val="005B2A4D"/>
    <w:rsid w:val="005B2B21"/>
    <w:rsid w:val="005B2BE0"/>
    <w:rsid w:val="005B343B"/>
    <w:rsid w:val="005B3884"/>
    <w:rsid w:val="005B3B9C"/>
    <w:rsid w:val="005B3C6E"/>
    <w:rsid w:val="005B42A5"/>
    <w:rsid w:val="005B4760"/>
    <w:rsid w:val="005B51EE"/>
    <w:rsid w:val="005B57AF"/>
    <w:rsid w:val="005B65FA"/>
    <w:rsid w:val="005B6659"/>
    <w:rsid w:val="005B6CB6"/>
    <w:rsid w:val="005C09D8"/>
    <w:rsid w:val="005C0AEE"/>
    <w:rsid w:val="005C11AD"/>
    <w:rsid w:val="005C143B"/>
    <w:rsid w:val="005C196A"/>
    <w:rsid w:val="005C19D5"/>
    <w:rsid w:val="005C1DA9"/>
    <w:rsid w:val="005C331E"/>
    <w:rsid w:val="005C36E3"/>
    <w:rsid w:val="005C37F2"/>
    <w:rsid w:val="005C40F2"/>
    <w:rsid w:val="005C4A04"/>
    <w:rsid w:val="005C4C33"/>
    <w:rsid w:val="005C547F"/>
    <w:rsid w:val="005C569F"/>
    <w:rsid w:val="005C57F3"/>
    <w:rsid w:val="005C5B57"/>
    <w:rsid w:val="005C5C4A"/>
    <w:rsid w:val="005C5C82"/>
    <w:rsid w:val="005C5D25"/>
    <w:rsid w:val="005C5DAC"/>
    <w:rsid w:val="005C6412"/>
    <w:rsid w:val="005C7094"/>
    <w:rsid w:val="005C7226"/>
    <w:rsid w:val="005C7318"/>
    <w:rsid w:val="005C746C"/>
    <w:rsid w:val="005C75B3"/>
    <w:rsid w:val="005D00BF"/>
    <w:rsid w:val="005D0D9E"/>
    <w:rsid w:val="005D1417"/>
    <w:rsid w:val="005D22C5"/>
    <w:rsid w:val="005D24C5"/>
    <w:rsid w:val="005D2E29"/>
    <w:rsid w:val="005D3750"/>
    <w:rsid w:val="005D3B06"/>
    <w:rsid w:val="005D3FB7"/>
    <w:rsid w:val="005D488D"/>
    <w:rsid w:val="005D52FE"/>
    <w:rsid w:val="005D54DC"/>
    <w:rsid w:val="005D581B"/>
    <w:rsid w:val="005D5E0C"/>
    <w:rsid w:val="005D5F91"/>
    <w:rsid w:val="005D67DF"/>
    <w:rsid w:val="005D6C2A"/>
    <w:rsid w:val="005D7A39"/>
    <w:rsid w:val="005D7D2A"/>
    <w:rsid w:val="005E0722"/>
    <w:rsid w:val="005E135C"/>
    <w:rsid w:val="005E152C"/>
    <w:rsid w:val="005E1590"/>
    <w:rsid w:val="005E1C5B"/>
    <w:rsid w:val="005E1D48"/>
    <w:rsid w:val="005E1F54"/>
    <w:rsid w:val="005E2835"/>
    <w:rsid w:val="005E2DE6"/>
    <w:rsid w:val="005E2E05"/>
    <w:rsid w:val="005E2ED9"/>
    <w:rsid w:val="005E334A"/>
    <w:rsid w:val="005E344D"/>
    <w:rsid w:val="005E3A4C"/>
    <w:rsid w:val="005E3E7E"/>
    <w:rsid w:val="005E6588"/>
    <w:rsid w:val="005E66B9"/>
    <w:rsid w:val="005E6E9F"/>
    <w:rsid w:val="005E7970"/>
    <w:rsid w:val="005E7CB7"/>
    <w:rsid w:val="005F1731"/>
    <w:rsid w:val="005F1A6C"/>
    <w:rsid w:val="005F1E8A"/>
    <w:rsid w:val="005F27D8"/>
    <w:rsid w:val="005F28DA"/>
    <w:rsid w:val="005F2E95"/>
    <w:rsid w:val="005F36C2"/>
    <w:rsid w:val="005F44A3"/>
    <w:rsid w:val="005F480C"/>
    <w:rsid w:val="005F49EB"/>
    <w:rsid w:val="005F4B6E"/>
    <w:rsid w:val="005F5966"/>
    <w:rsid w:val="005F5DDE"/>
    <w:rsid w:val="005F5FAD"/>
    <w:rsid w:val="005F688F"/>
    <w:rsid w:val="005F6920"/>
    <w:rsid w:val="005F78B3"/>
    <w:rsid w:val="005F7912"/>
    <w:rsid w:val="00600178"/>
    <w:rsid w:val="00600CFE"/>
    <w:rsid w:val="00600EBD"/>
    <w:rsid w:val="0060123B"/>
    <w:rsid w:val="00601DE6"/>
    <w:rsid w:val="00602721"/>
    <w:rsid w:val="00602829"/>
    <w:rsid w:val="00602DC6"/>
    <w:rsid w:val="00603335"/>
    <w:rsid w:val="0060371E"/>
    <w:rsid w:val="00604039"/>
    <w:rsid w:val="00604385"/>
    <w:rsid w:val="006046A9"/>
    <w:rsid w:val="00604BA7"/>
    <w:rsid w:val="00604F95"/>
    <w:rsid w:val="00605F11"/>
    <w:rsid w:val="00606054"/>
    <w:rsid w:val="006060A1"/>
    <w:rsid w:val="006063C0"/>
    <w:rsid w:val="00606DA4"/>
    <w:rsid w:val="00607F8A"/>
    <w:rsid w:val="006100EE"/>
    <w:rsid w:val="006107AD"/>
    <w:rsid w:val="006107B1"/>
    <w:rsid w:val="00610D28"/>
    <w:rsid w:val="006121F2"/>
    <w:rsid w:val="00612980"/>
    <w:rsid w:val="00612AAE"/>
    <w:rsid w:val="00613A96"/>
    <w:rsid w:val="00613ADC"/>
    <w:rsid w:val="006145FC"/>
    <w:rsid w:val="00614764"/>
    <w:rsid w:val="00614878"/>
    <w:rsid w:val="006153B3"/>
    <w:rsid w:val="00615692"/>
    <w:rsid w:val="00615C20"/>
    <w:rsid w:val="0061623A"/>
    <w:rsid w:val="0061642B"/>
    <w:rsid w:val="00616EF2"/>
    <w:rsid w:val="0061798E"/>
    <w:rsid w:val="00617A92"/>
    <w:rsid w:val="00617E0F"/>
    <w:rsid w:val="00620049"/>
    <w:rsid w:val="00620286"/>
    <w:rsid w:val="00620559"/>
    <w:rsid w:val="00620D05"/>
    <w:rsid w:val="00621D4E"/>
    <w:rsid w:val="0062257A"/>
    <w:rsid w:val="00622B03"/>
    <w:rsid w:val="00622FF5"/>
    <w:rsid w:val="00623433"/>
    <w:rsid w:val="00625420"/>
    <w:rsid w:val="0062572E"/>
    <w:rsid w:val="00625753"/>
    <w:rsid w:val="00625A98"/>
    <w:rsid w:val="00625CF0"/>
    <w:rsid w:val="00625EFF"/>
    <w:rsid w:val="00626138"/>
    <w:rsid w:val="00627289"/>
    <w:rsid w:val="00630466"/>
    <w:rsid w:val="0063064D"/>
    <w:rsid w:val="006308BB"/>
    <w:rsid w:val="00630BB1"/>
    <w:rsid w:val="00631010"/>
    <w:rsid w:val="00631C1D"/>
    <w:rsid w:val="00631EFF"/>
    <w:rsid w:val="0063232A"/>
    <w:rsid w:val="006327C9"/>
    <w:rsid w:val="00632FAF"/>
    <w:rsid w:val="00633244"/>
    <w:rsid w:val="0063350D"/>
    <w:rsid w:val="00633536"/>
    <w:rsid w:val="006337CE"/>
    <w:rsid w:val="006342CC"/>
    <w:rsid w:val="00634331"/>
    <w:rsid w:val="006343DE"/>
    <w:rsid w:val="006349DE"/>
    <w:rsid w:val="00634A1E"/>
    <w:rsid w:val="0063573C"/>
    <w:rsid w:val="00635802"/>
    <w:rsid w:val="00635C32"/>
    <w:rsid w:val="00636283"/>
    <w:rsid w:val="006366BF"/>
    <w:rsid w:val="00636B4A"/>
    <w:rsid w:val="00636FCA"/>
    <w:rsid w:val="00637454"/>
    <w:rsid w:val="006376E0"/>
    <w:rsid w:val="00637A7A"/>
    <w:rsid w:val="00637C50"/>
    <w:rsid w:val="00640125"/>
    <w:rsid w:val="006401BA"/>
    <w:rsid w:val="006404BD"/>
    <w:rsid w:val="00640602"/>
    <w:rsid w:val="00640719"/>
    <w:rsid w:val="006407AE"/>
    <w:rsid w:val="00640949"/>
    <w:rsid w:val="00641311"/>
    <w:rsid w:val="00642075"/>
    <w:rsid w:val="006426D2"/>
    <w:rsid w:val="00642C38"/>
    <w:rsid w:val="00642D81"/>
    <w:rsid w:val="00642EBF"/>
    <w:rsid w:val="00643089"/>
    <w:rsid w:val="00644516"/>
    <w:rsid w:val="00644792"/>
    <w:rsid w:val="00644833"/>
    <w:rsid w:val="00644BB1"/>
    <w:rsid w:val="00645521"/>
    <w:rsid w:val="0064552E"/>
    <w:rsid w:val="0064568E"/>
    <w:rsid w:val="0064582E"/>
    <w:rsid w:val="00646209"/>
    <w:rsid w:val="00646DF4"/>
    <w:rsid w:val="00647327"/>
    <w:rsid w:val="00647598"/>
    <w:rsid w:val="006476A1"/>
    <w:rsid w:val="006479B5"/>
    <w:rsid w:val="00647A3F"/>
    <w:rsid w:val="0065086A"/>
    <w:rsid w:val="00650FC9"/>
    <w:rsid w:val="006510E8"/>
    <w:rsid w:val="006512CD"/>
    <w:rsid w:val="00651502"/>
    <w:rsid w:val="00651A13"/>
    <w:rsid w:val="00651C27"/>
    <w:rsid w:val="006535EC"/>
    <w:rsid w:val="00653C38"/>
    <w:rsid w:val="00654A63"/>
    <w:rsid w:val="00654D64"/>
    <w:rsid w:val="00655B77"/>
    <w:rsid w:val="006562E0"/>
    <w:rsid w:val="00657AFD"/>
    <w:rsid w:val="00657C6B"/>
    <w:rsid w:val="00657E92"/>
    <w:rsid w:val="006601EA"/>
    <w:rsid w:val="00661A7D"/>
    <w:rsid w:val="006622C0"/>
    <w:rsid w:val="00663ADA"/>
    <w:rsid w:val="006648D6"/>
    <w:rsid w:val="00664B52"/>
    <w:rsid w:val="00664F50"/>
    <w:rsid w:val="006650B5"/>
    <w:rsid w:val="00666501"/>
    <w:rsid w:val="00666D47"/>
    <w:rsid w:val="00667273"/>
    <w:rsid w:val="006673DE"/>
    <w:rsid w:val="0067052D"/>
    <w:rsid w:val="00670657"/>
    <w:rsid w:val="00671E1E"/>
    <w:rsid w:val="00671FCB"/>
    <w:rsid w:val="006726B0"/>
    <w:rsid w:val="0067354A"/>
    <w:rsid w:val="006739C8"/>
    <w:rsid w:val="00673E9B"/>
    <w:rsid w:val="00673F23"/>
    <w:rsid w:val="006745B3"/>
    <w:rsid w:val="00675870"/>
    <w:rsid w:val="006759FA"/>
    <w:rsid w:val="006766AE"/>
    <w:rsid w:val="006768CF"/>
    <w:rsid w:val="00676973"/>
    <w:rsid w:val="00676BED"/>
    <w:rsid w:val="00676E89"/>
    <w:rsid w:val="0067797D"/>
    <w:rsid w:val="00677C9B"/>
    <w:rsid w:val="00680170"/>
    <w:rsid w:val="006802F4"/>
    <w:rsid w:val="00680316"/>
    <w:rsid w:val="0068105F"/>
    <w:rsid w:val="00681522"/>
    <w:rsid w:val="00681CE9"/>
    <w:rsid w:val="00681EEB"/>
    <w:rsid w:val="00682028"/>
    <w:rsid w:val="00682215"/>
    <w:rsid w:val="00683DE5"/>
    <w:rsid w:val="00684075"/>
    <w:rsid w:val="00684728"/>
    <w:rsid w:val="00684967"/>
    <w:rsid w:val="006853E6"/>
    <w:rsid w:val="00685810"/>
    <w:rsid w:val="00685838"/>
    <w:rsid w:val="00686AA7"/>
    <w:rsid w:val="006875F6"/>
    <w:rsid w:val="00687D5F"/>
    <w:rsid w:val="00687F13"/>
    <w:rsid w:val="00690036"/>
    <w:rsid w:val="006901E4"/>
    <w:rsid w:val="006911B8"/>
    <w:rsid w:val="006911E3"/>
    <w:rsid w:val="0069222E"/>
    <w:rsid w:val="006922B7"/>
    <w:rsid w:val="00692638"/>
    <w:rsid w:val="00692FBE"/>
    <w:rsid w:val="00693399"/>
    <w:rsid w:val="006933A8"/>
    <w:rsid w:val="006936C1"/>
    <w:rsid w:val="00694544"/>
    <w:rsid w:val="006945F9"/>
    <w:rsid w:val="00694ECC"/>
    <w:rsid w:val="0069511E"/>
    <w:rsid w:val="00695300"/>
    <w:rsid w:val="00695E3D"/>
    <w:rsid w:val="00696262"/>
    <w:rsid w:val="00696C58"/>
    <w:rsid w:val="0069707B"/>
    <w:rsid w:val="0069717B"/>
    <w:rsid w:val="006974D2"/>
    <w:rsid w:val="006A0424"/>
    <w:rsid w:val="006A0E35"/>
    <w:rsid w:val="006A0FA5"/>
    <w:rsid w:val="006A1034"/>
    <w:rsid w:val="006A1109"/>
    <w:rsid w:val="006A1FF4"/>
    <w:rsid w:val="006A2665"/>
    <w:rsid w:val="006A28F4"/>
    <w:rsid w:val="006A2BDE"/>
    <w:rsid w:val="006A2D6E"/>
    <w:rsid w:val="006A324A"/>
    <w:rsid w:val="006A3503"/>
    <w:rsid w:val="006A3C4B"/>
    <w:rsid w:val="006A3E2B"/>
    <w:rsid w:val="006A5221"/>
    <w:rsid w:val="006A5356"/>
    <w:rsid w:val="006A5803"/>
    <w:rsid w:val="006A7FD5"/>
    <w:rsid w:val="006B109D"/>
    <w:rsid w:val="006B110B"/>
    <w:rsid w:val="006B2234"/>
    <w:rsid w:val="006B2656"/>
    <w:rsid w:val="006B2E70"/>
    <w:rsid w:val="006B32AB"/>
    <w:rsid w:val="006B3527"/>
    <w:rsid w:val="006B3AA5"/>
    <w:rsid w:val="006B4A06"/>
    <w:rsid w:val="006B4F15"/>
    <w:rsid w:val="006B53D4"/>
    <w:rsid w:val="006B5415"/>
    <w:rsid w:val="006B59B2"/>
    <w:rsid w:val="006B67DD"/>
    <w:rsid w:val="006B6940"/>
    <w:rsid w:val="006B6CAB"/>
    <w:rsid w:val="006B7388"/>
    <w:rsid w:val="006B7528"/>
    <w:rsid w:val="006C03E7"/>
    <w:rsid w:val="006C0492"/>
    <w:rsid w:val="006C0B98"/>
    <w:rsid w:val="006C11F5"/>
    <w:rsid w:val="006C12E3"/>
    <w:rsid w:val="006C1A46"/>
    <w:rsid w:val="006C214D"/>
    <w:rsid w:val="006C2A07"/>
    <w:rsid w:val="006C2AFB"/>
    <w:rsid w:val="006C2B47"/>
    <w:rsid w:val="006C3910"/>
    <w:rsid w:val="006C3B31"/>
    <w:rsid w:val="006C3BC1"/>
    <w:rsid w:val="006C4FBE"/>
    <w:rsid w:val="006C5376"/>
    <w:rsid w:val="006C6347"/>
    <w:rsid w:val="006C728C"/>
    <w:rsid w:val="006D0282"/>
    <w:rsid w:val="006D0E10"/>
    <w:rsid w:val="006D10BB"/>
    <w:rsid w:val="006D129A"/>
    <w:rsid w:val="006D2169"/>
    <w:rsid w:val="006D2432"/>
    <w:rsid w:val="006D2E2E"/>
    <w:rsid w:val="006D381C"/>
    <w:rsid w:val="006D4ED4"/>
    <w:rsid w:val="006D4F7A"/>
    <w:rsid w:val="006D4FA2"/>
    <w:rsid w:val="006D637A"/>
    <w:rsid w:val="006D6DFF"/>
    <w:rsid w:val="006D7A4B"/>
    <w:rsid w:val="006D7BB1"/>
    <w:rsid w:val="006E0145"/>
    <w:rsid w:val="006E02F6"/>
    <w:rsid w:val="006E0584"/>
    <w:rsid w:val="006E0B59"/>
    <w:rsid w:val="006E1507"/>
    <w:rsid w:val="006E1D9B"/>
    <w:rsid w:val="006E2465"/>
    <w:rsid w:val="006E31A8"/>
    <w:rsid w:val="006E3D3E"/>
    <w:rsid w:val="006E3D64"/>
    <w:rsid w:val="006E3FB1"/>
    <w:rsid w:val="006E44B7"/>
    <w:rsid w:val="006E489D"/>
    <w:rsid w:val="006E493A"/>
    <w:rsid w:val="006E4BF6"/>
    <w:rsid w:val="006E579E"/>
    <w:rsid w:val="006E5C92"/>
    <w:rsid w:val="006E5D17"/>
    <w:rsid w:val="006E5D6A"/>
    <w:rsid w:val="006E5E78"/>
    <w:rsid w:val="006E678D"/>
    <w:rsid w:val="006E6BCF"/>
    <w:rsid w:val="006E714B"/>
    <w:rsid w:val="006E7479"/>
    <w:rsid w:val="006F1031"/>
    <w:rsid w:val="006F1C5A"/>
    <w:rsid w:val="006F202F"/>
    <w:rsid w:val="006F2313"/>
    <w:rsid w:val="006F27A9"/>
    <w:rsid w:val="006F2A8E"/>
    <w:rsid w:val="006F2F24"/>
    <w:rsid w:val="006F356C"/>
    <w:rsid w:val="006F39DF"/>
    <w:rsid w:val="006F4664"/>
    <w:rsid w:val="006F485E"/>
    <w:rsid w:val="006F50A9"/>
    <w:rsid w:val="006F572B"/>
    <w:rsid w:val="006F58A0"/>
    <w:rsid w:val="006F6138"/>
    <w:rsid w:val="006F6EC9"/>
    <w:rsid w:val="006F6FBB"/>
    <w:rsid w:val="006F7DC0"/>
    <w:rsid w:val="006F7E3A"/>
    <w:rsid w:val="006F7E48"/>
    <w:rsid w:val="006F7FDF"/>
    <w:rsid w:val="00700018"/>
    <w:rsid w:val="00700DB8"/>
    <w:rsid w:val="00701470"/>
    <w:rsid w:val="0070158D"/>
    <w:rsid w:val="007016D5"/>
    <w:rsid w:val="00701919"/>
    <w:rsid w:val="00701ABE"/>
    <w:rsid w:val="00701CA2"/>
    <w:rsid w:val="007029CC"/>
    <w:rsid w:val="00702A91"/>
    <w:rsid w:val="007033C5"/>
    <w:rsid w:val="007038DE"/>
    <w:rsid w:val="00703B28"/>
    <w:rsid w:val="00703E49"/>
    <w:rsid w:val="00703E5C"/>
    <w:rsid w:val="0070473B"/>
    <w:rsid w:val="007048DF"/>
    <w:rsid w:val="00705068"/>
    <w:rsid w:val="00705450"/>
    <w:rsid w:val="007055AD"/>
    <w:rsid w:val="00705F34"/>
    <w:rsid w:val="00705F7D"/>
    <w:rsid w:val="00706579"/>
    <w:rsid w:val="0070678E"/>
    <w:rsid w:val="00707B8E"/>
    <w:rsid w:val="00707C05"/>
    <w:rsid w:val="00707C81"/>
    <w:rsid w:val="00707D3E"/>
    <w:rsid w:val="007103A5"/>
    <w:rsid w:val="00710A17"/>
    <w:rsid w:val="00711025"/>
    <w:rsid w:val="007112DC"/>
    <w:rsid w:val="00711A95"/>
    <w:rsid w:val="00712263"/>
    <w:rsid w:val="00713750"/>
    <w:rsid w:val="007147BD"/>
    <w:rsid w:val="00714DD6"/>
    <w:rsid w:val="00715509"/>
    <w:rsid w:val="00715774"/>
    <w:rsid w:val="00715DB9"/>
    <w:rsid w:val="007164AC"/>
    <w:rsid w:val="00716B2E"/>
    <w:rsid w:val="00716BE9"/>
    <w:rsid w:val="00716E0D"/>
    <w:rsid w:val="007173BF"/>
    <w:rsid w:val="0071761D"/>
    <w:rsid w:val="00717AD6"/>
    <w:rsid w:val="00717B17"/>
    <w:rsid w:val="00720E37"/>
    <w:rsid w:val="00720F7D"/>
    <w:rsid w:val="007215DB"/>
    <w:rsid w:val="00721C55"/>
    <w:rsid w:val="00722470"/>
    <w:rsid w:val="00722568"/>
    <w:rsid w:val="007234E1"/>
    <w:rsid w:val="00724203"/>
    <w:rsid w:val="00724AA7"/>
    <w:rsid w:val="00724CB7"/>
    <w:rsid w:val="007252BB"/>
    <w:rsid w:val="007255F5"/>
    <w:rsid w:val="00725636"/>
    <w:rsid w:val="00725E1C"/>
    <w:rsid w:val="00725EA5"/>
    <w:rsid w:val="00725ED2"/>
    <w:rsid w:val="00725F8B"/>
    <w:rsid w:val="00725F9C"/>
    <w:rsid w:val="0072604F"/>
    <w:rsid w:val="007270AD"/>
    <w:rsid w:val="00727EC6"/>
    <w:rsid w:val="0073048F"/>
    <w:rsid w:val="00730BF8"/>
    <w:rsid w:val="00731236"/>
    <w:rsid w:val="00731670"/>
    <w:rsid w:val="007316D1"/>
    <w:rsid w:val="00732472"/>
    <w:rsid w:val="007332D3"/>
    <w:rsid w:val="00733BE8"/>
    <w:rsid w:val="00733D1B"/>
    <w:rsid w:val="0073435F"/>
    <w:rsid w:val="00734947"/>
    <w:rsid w:val="007351FA"/>
    <w:rsid w:val="00735DD0"/>
    <w:rsid w:val="00736186"/>
    <w:rsid w:val="007368C0"/>
    <w:rsid w:val="0073756D"/>
    <w:rsid w:val="00737850"/>
    <w:rsid w:val="00737FA8"/>
    <w:rsid w:val="0074038C"/>
    <w:rsid w:val="00740C0C"/>
    <w:rsid w:val="00741A1C"/>
    <w:rsid w:val="00741E48"/>
    <w:rsid w:val="007421D2"/>
    <w:rsid w:val="0074365E"/>
    <w:rsid w:val="00743A57"/>
    <w:rsid w:val="00743E2C"/>
    <w:rsid w:val="00743E97"/>
    <w:rsid w:val="00744E7B"/>
    <w:rsid w:val="00745994"/>
    <w:rsid w:val="0074635D"/>
    <w:rsid w:val="007463F9"/>
    <w:rsid w:val="00746488"/>
    <w:rsid w:val="007468D6"/>
    <w:rsid w:val="007476F3"/>
    <w:rsid w:val="0074787B"/>
    <w:rsid w:val="007479F0"/>
    <w:rsid w:val="00750F0A"/>
    <w:rsid w:val="0075114F"/>
    <w:rsid w:val="00751585"/>
    <w:rsid w:val="0075187A"/>
    <w:rsid w:val="0075293F"/>
    <w:rsid w:val="0075297C"/>
    <w:rsid w:val="007535E0"/>
    <w:rsid w:val="007543C5"/>
    <w:rsid w:val="00754935"/>
    <w:rsid w:val="007567DB"/>
    <w:rsid w:val="00756FA2"/>
    <w:rsid w:val="0075736A"/>
    <w:rsid w:val="00757B4B"/>
    <w:rsid w:val="007614A3"/>
    <w:rsid w:val="00761C69"/>
    <w:rsid w:val="00763DA4"/>
    <w:rsid w:val="00763EA2"/>
    <w:rsid w:val="00763FEA"/>
    <w:rsid w:val="00765474"/>
    <w:rsid w:val="00765874"/>
    <w:rsid w:val="00765C32"/>
    <w:rsid w:val="00765F48"/>
    <w:rsid w:val="00766708"/>
    <w:rsid w:val="007668A3"/>
    <w:rsid w:val="00766948"/>
    <w:rsid w:val="007669C8"/>
    <w:rsid w:val="00766FF2"/>
    <w:rsid w:val="00767259"/>
    <w:rsid w:val="00767746"/>
    <w:rsid w:val="00767945"/>
    <w:rsid w:val="00767B9B"/>
    <w:rsid w:val="0077026F"/>
    <w:rsid w:val="007703C6"/>
    <w:rsid w:val="0077078F"/>
    <w:rsid w:val="00770819"/>
    <w:rsid w:val="00770D29"/>
    <w:rsid w:val="00770F93"/>
    <w:rsid w:val="00771205"/>
    <w:rsid w:val="00771304"/>
    <w:rsid w:val="00771450"/>
    <w:rsid w:val="00771891"/>
    <w:rsid w:val="00772B37"/>
    <w:rsid w:val="00772F0D"/>
    <w:rsid w:val="0077316C"/>
    <w:rsid w:val="00773735"/>
    <w:rsid w:val="00773833"/>
    <w:rsid w:val="007743C5"/>
    <w:rsid w:val="00774774"/>
    <w:rsid w:val="0077477B"/>
    <w:rsid w:val="007747CA"/>
    <w:rsid w:val="00774985"/>
    <w:rsid w:val="00774B12"/>
    <w:rsid w:val="00774E23"/>
    <w:rsid w:val="00776159"/>
    <w:rsid w:val="00776621"/>
    <w:rsid w:val="00777054"/>
    <w:rsid w:val="007770CA"/>
    <w:rsid w:val="00777602"/>
    <w:rsid w:val="0077764A"/>
    <w:rsid w:val="00777E55"/>
    <w:rsid w:val="00780479"/>
    <w:rsid w:val="00780F4C"/>
    <w:rsid w:val="00782129"/>
    <w:rsid w:val="007823DF"/>
    <w:rsid w:val="007827E6"/>
    <w:rsid w:val="00782910"/>
    <w:rsid w:val="00782C25"/>
    <w:rsid w:val="00782D86"/>
    <w:rsid w:val="00783B9C"/>
    <w:rsid w:val="00783E1E"/>
    <w:rsid w:val="007846D9"/>
    <w:rsid w:val="0078486C"/>
    <w:rsid w:val="00784978"/>
    <w:rsid w:val="00784F1D"/>
    <w:rsid w:val="0078593B"/>
    <w:rsid w:val="007865B6"/>
    <w:rsid w:val="00786A9E"/>
    <w:rsid w:val="00786E9D"/>
    <w:rsid w:val="007874DD"/>
    <w:rsid w:val="00787CB1"/>
    <w:rsid w:val="00787D3B"/>
    <w:rsid w:val="0079019D"/>
    <w:rsid w:val="00790622"/>
    <w:rsid w:val="0079082F"/>
    <w:rsid w:val="00790D98"/>
    <w:rsid w:val="00790DAD"/>
    <w:rsid w:val="00791547"/>
    <w:rsid w:val="0079187C"/>
    <w:rsid w:val="00791B84"/>
    <w:rsid w:val="007924E4"/>
    <w:rsid w:val="007928A1"/>
    <w:rsid w:val="00793944"/>
    <w:rsid w:val="00794063"/>
    <w:rsid w:val="00794D3D"/>
    <w:rsid w:val="00795A73"/>
    <w:rsid w:val="007963F3"/>
    <w:rsid w:val="00796600"/>
    <w:rsid w:val="0079682D"/>
    <w:rsid w:val="00796C35"/>
    <w:rsid w:val="00797050"/>
    <w:rsid w:val="007974E0"/>
    <w:rsid w:val="007978B7"/>
    <w:rsid w:val="007A0069"/>
    <w:rsid w:val="007A0421"/>
    <w:rsid w:val="007A0D46"/>
    <w:rsid w:val="007A12CA"/>
    <w:rsid w:val="007A1A99"/>
    <w:rsid w:val="007A1BAA"/>
    <w:rsid w:val="007A1EC1"/>
    <w:rsid w:val="007A2389"/>
    <w:rsid w:val="007A2869"/>
    <w:rsid w:val="007A291F"/>
    <w:rsid w:val="007A2F9B"/>
    <w:rsid w:val="007A3F2D"/>
    <w:rsid w:val="007A44AC"/>
    <w:rsid w:val="007A45B8"/>
    <w:rsid w:val="007A4BB1"/>
    <w:rsid w:val="007A4DB1"/>
    <w:rsid w:val="007A5260"/>
    <w:rsid w:val="007A5ED3"/>
    <w:rsid w:val="007A6441"/>
    <w:rsid w:val="007A64FF"/>
    <w:rsid w:val="007A7429"/>
    <w:rsid w:val="007A7758"/>
    <w:rsid w:val="007B02C5"/>
    <w:rsid w:val="007B0337"/>
    <w:rsid w:val="007B0AD5"/>
    <w:rsid w:val="007B0B1A"/>
    <w:rsid w:val="007B0B94"/>
    <w:rsid w:val="007B1049"/>
    <w:rsid w:val="007B228C"/>
    <w:rsid w:val="007B22FB"/>
    <w:rsid w:val="007B34AE"/>
    <w:rsid w:val="007B3EFB"/>
    <w:rsid w:val="007B4C09"/>
    <w:rsid w:val="007B4CE4"/>
    <w:rsid w:val="007B54CF"/>
    <w:rsid w:val="007B58D7"/>
    <w:rsid w:val="007B5D78"/>
    <w:rsid w:val="007B6167"/>
    <w:rsid w:val="007C00E6"/>
    <w:rsid w:val="007C04DD"/>
    <w:rsid w:val="007C0C4F"/>
    <w:rsid w:val="007C0F39"/>
    <w:rsid w:val="007C1E75"/>
    <w:rsid w:val="007C211F"/>
    <w:rsid w:val="007C2E60"/>
    <w:rsid w:val="007C319F"/>
    <w:rsid w:val="007C357D"/>
    <w:rsid w:val="007C414D"/>
    <w:rsid w:val="007C473E"/>
    <w:rsid w:val="007C4B2A"/>
    <w:rsid w:val="007C4BB8"/>
    <w:rsid w:val="007C4CA1"/>
    <w:rsid w:val="007C4CBB"/>
    <w:rsid w:val="007C5190"/>
    <w:rsid w:val="007C53B0"/>
    <w:rsid w:val="007C56FD"/>
    <w:rsid w:val="007C5768"/>
    <w:rsid w:val="007C587F"/>
    <w:rsid w:val="007C5B8A"/>
    <w:rsid w:val="007C63B4"/>
    <w:rsid w:val="007C69EF"/>
    <w:rsid w:val="007C78F4"/>
    <w:rsid w:val="007D0C4F"/>
    <w:rsid w:val="007D0C9D"/>
    <w:rsid w:val="007D1366"/>
    <w:rsid w:val="007D13AB"/>
    <w:rsid w:val="007D1427"/>
    <w:rsid w:val="007D1AE0"/>
    <w:rsid w:val="007D20EF"/>
    <w:rsid w:val="007D26E0"/>
    <w:rsid w:val="007D2CD1"/>
    <w:rsid w:val="007D3E1E"/>
    <w:rsid w:val="007D3F22"/>
    <w:rsid w:val="007D486F"/>
    <w:rsid w:val="007D4D77"/>
    <w:rsid w:val="007D4F5A"/>
    <w:rsid w:val="007D5091"/>
    <w:rsid w:val="007D54D7"/>
    <w:rsid w:val="007D59CA"/>
    <w:rsid w:val="007D6AC3"/>
    <w:rsid w:val="007D6C93"/>
    <w:rsid w:val="007D756E"/>
    <w:rsid w:val="007D7C52"/>
    <w:rsid w:val="007E0052"/>
    <w:rsid w:val="007E010E"/>
    <w:rsid w:val="007E041F"/>
    <w:rsid w:val="007E067E"/>
    <w:rsid w:val="007E098A"/>
    <w:rsid w:val="007E0C56"/>
    <w:rsid w:val="007E0E55"/>
    <w:rsid w:val="007E11CF"/>
    <w:rsid w:val="007E12E3"/>
    <w:rsid w:val="007E1BC5"/>
    <w:rsid w:val="007E2046"/>
    <w:rsid w:val="007E2442"/>
    <w:rsid w:val="007E300A"/>
    <w:rsid w:val="007E3315"/>
    <w:rsid w:val="007E3726"/>
    <w:rsid w:val="007E4117"/>
    <w:rsid w:val="007E424E"/>
    <w:rsid w:val="007E4BD2"/>
    <w:rsid w:val="007E4E73"/>
    <w:rsid w:val="007E4ECB"/>
    <w:rsid w:val="007E5078"/>
    <w:rsid w:val="007E524C"/>
    <w:rsid w:val="007E5A3E"/>
    <w:rsid w:val="007E64D0"/>
    <w:rsid w:val="007E66F6"/>
    <w:rsid w:val="007E7A0F"/>
    <w:rsid w:val="007F0019"/>
    <w:rsid w:val="007F0A63"/>
    <w:rsid w:val="007F1274"/>
    <w:rsid w:val="007F15BF"/>
    <w:rsid w:val="007F2078"/>
    <w:rsid w:val="007F2949"/>
    <w:rsid w:val="007F2BAC"/>
    <w:rsid w:val="007F305C"/>
    <w:rsid w:val="007F3921"/>
    <w:rsid w:val="007F5DE4"/>
    <w:rsid w:val="007F5FE9"/>
    <w:rsid w:val="007F7363"/>
    <w:rsid w:val="0080025D"/>
    <w:rsid w:val="008002C7"/>
    <w:rsid w:val="0080078F"/>
    <w:rsid w:val="00800A3E"/>
    <w:rsid w:val="00800FD8"/>
    <w:rsid w:val="0080114B"/>
    <w:rsid w:val="008023F7"/>
    <w:rsid w:val="00802FC7"/>
    <w:rsid w:val="00803027"/>
    <w:rsid w:val="008036D0"/>
    <w:rsid w:val="00803B5E"/>
    <w:rsid w:val="00803D72"/>
    <w:rsid w:val="0080418F"/>
    <w:rsid w:val="00804437"/>
    <w:rsid w:val="008044CA"/>
    <w:rsid w:val="00804A5B"/>
    <w:rsid w:val="00804A8B"/>
    <w:rsid w:val="00804DC0"/>
    <w:rsid w:val="008059A3"/>
    <w:rsid w:val="00805A2F"/>
    <w:rsid w:val="00805DA4"/>
    <w:rsid w:val="00805FFF"/>
    <w:rsid w:val="00806291"/>
    <w:rsid w:val="00806441"/>
    <w:rsid w:val="008064E5"/>
    <w:rsid w:val="0080671A"/>
    <w:rsid w:val="00806EFA"/>
    <w:rsid w:val="00810A23"/>
    <w:rsid w:val="00810A54"/>
    <w:rsid w:val="00811334"/>
    <w:rsid w:val="00811512"/>
    <w:rsid w:val="00811E82"/>
    <w:rsid w:val="008122C9"/>
    <w:rsid w:val="008123A4"/>
    <w:rsid w:val="0081280E"/>
    <w:rsid w:val="00812A7F"/>
    <w:rsid w:val="008142B5"/>
    <w:rsid w:val="0081439C"/>
    <w:rsid w:val="008145FB"/>
    <w:rsid w:val="00815556"/>
    <w:rsid w:val="00815BF3"/>
    <w:rsid w:val="00815D8B"/>
    <w:rsid w:val="008169F9"/>
    <w:rsid w:val="00817E3F"/>
    <w:rsid w:val="00820783"/>
    <w:rsid w:val="008207A7"/>
    <w:rsid w:val="008207BE"/>
    <w:rsid w:val="00820810"/>
    <w:rsid w:val="00820F7C"/>
    <w:rsid w:val="0082113E"/>
    <w:rsid w:val="0082161D"/>
    <w:rsid w:val="008218BB"/>
    <w:rsid w:val="00821F90"/>
    <w:rsid w:val="00822A3A"/>
    <w:rsid w:val="008233EE"/>
    <w:rsid w:val="0082343C"/>
    <w:rsid w:val="008245F7"/>
    <w:rsid w:val="00824A39"/>
    <w:rsid w:val="00825653"/>
    <w:rsid w:val="008260AB"/>
    <w:rsid w:val="00826BCF"/>
    <w:rsid w:val="00826F87"/>
    <w:rsid w:val="008273F9"/>
    <w:rsid w:val="008278E8"/>
    <w:rsid w:val="00827CCF"/>
    <w:rsid w:val="00830B2B"/>
    <w:rsid w:val="00830BC6"/>
    <w:rsid w:val="008311D1"/>
    <w:rsid w:val="008311D6"/>
    <w:rsid w:val="0083138F"/>
    <w:rsid w:val="00831D53"/>
    <w:rsid w:val="008322CF"/>
    <w:rsid w:val="0083233C"/>
    <w:rsid w:val="00832849"/>
    <w:rsid w:val="0083299A"/>
    <w:rsid w:val="00832D7A"/>
    <w:rsid w:val="0083318E"/>
    <w:rsid w:val="0083405F"/>
    <w:rsid w:val="00834688"/>
    <w:rsid w:val="00834697"/>
    <w:rsid w:val="00834A00"/>
    <w:rsid w:val="00834F26"/>
    <w:rsid w:val="00835801"/>
    <w:rsid w:val="008359CB"/>
    <w:rsid w:val="00835E25"/>
    <w:rsid w:val="00836284"/>
    <w:rsid w:val="00836B91"/>
    <w:rsid w:val="00837C34"/>
    <w:rsid w:val="00840276"/>
    <w:rsid w:val="00840953"/>
    <w:rsid w:val="008409E1"/>
    <w:rsid w:val="00840D90"/>
    <w:rsid w:val="00841012"/>
    <w:rsid w:val="008410F0"/>
    <w:rsid w:val="008418B2"/>
    <w:rsid w:val="00841EC2"/>
    <w:rsid w:val="0084285A"/>
    <w:rsid w:val="008444CE"/>
    <w:rsid w:val="00844C3C"/>
    <w:rsid w:val="00845AA9"/>
    <w:rsid w:val="00845BD0"/>
    <w:rsid w:val="00845C8F"/>
    <w:rsid w:val="00845F0F"/>
    <w:rsid w:val="008461B0"/>
    <w:rsid w:val="008463E1"/>
    <w:rsid w:val="00846868"/>
    <w:rsid w:val="008468FC"/>
    <w:rsid w:val="00846B30"/>
    <w:rsid w:val="00846E96"/>
    <w:rsid w:val="00847329"/>
    <w:rsid w:val="00847C5A"/>
    <w:rsid w:val="00851330"/>
    <w:rsid w:val="0085142C"/>
    <w:rsid w:val="00851691"/>
    <w:rsid w:val="008516CE"/>
    <w:rsid w:val="00851730"/>
    <w:rsid w:val="0085173F"/>
    <w:rsid w:val="0085277D"/>
    <w:rsid w:val="00853148"/>
    <w:rsid w:val="00853948"/>
    <w:rsid w:val="00853B69"/>
    <w:rsid w:val="0085499F"/>
    <w:rsid w:val="00854A4E"/>
    <w:rsid w:val="00854D45"/>
    <w:rsid w:val="00855238"/>
    <w:rsid w:val="00855778"/>
    <w:rsid w:val="00855B0C"/>
    <w:rsid w:val="00855D03"/>
    <w:rsid w:val="0085611B"/>
    <w:rsid w:val="0085619A"/>
    <w:rsid w:val="00857670"/>
    <w:rsid w:val="0085784E"/>
    <w:rsid w:val="00860274"/>
    <w:rsid w:val="00860302"/>
    <w:rsid w:val="00860D0B"/>
    <w:rsid w:val="00860D4C"/>
    <w:rsid w:val="00861331"/>
    <w:rsid w:val="00861A51"/>
    <w:rsid w:val="00861A66"/>
    <w:rsid w:val="008624FD"/>
    <w:rsid w:val="00862D6E"/>
    <w:rsid w:val="00862D9C"/>
    <w:rsid w:val="008630E2"/>
    <w:rsid w:val="008632DC"/>
    <w:rsid w:val="00863547"/>
    <w:rsid w:val="00863C41"/>
    <w:rsid w:val="00863E7B"/>
    <w:rsid w:val="008646C1"/>
    <w:rsid w:val="00865184"/>
    <w:rsid w:val="00865853"/>
    <w:rsid w:val="008658D2"/>
    <w:rsid w:val="00866742"/>
    <w:rsid w:val="0086689C"/>
    <w:rsid w:val="008668B1"/>
    <w:rsid w:val="0086793C"/>
    <w:rsid w:val="00867E16"/>
    <w:rsid w:val="00870037"/>
    <w:rsid w:val="0087010A"/>
    <w:rsid w:val="00870397"/>
    <w:rsid w:val="0087167F"/>
    <w:rsid w:val="0087173B"/>
    <w:rsid w:val="00871952"/>
    <w:rsid w:val="00871A5A"/>
    <w:rsid w:val="00872343"/>
    <w:rsid w:val="00872969"/>
    <w:rsid w:val="00872C99"/>
    <w:rsid w:val="00872EA9"/>
    <w:rsid w:val="00872ED6"/>
    <w:rsid w:val="00872F3C"/>
    <w:rsid w:val="0087331D"/>
    <w:rsid w:val="00873BFB"/>
    <w:rsid w:val="00873FCF"/>
    <w:rsid w:val="00874274"/>
    <w:rsid w:val="0087477A"/>
    <w:rsid w:val="00874A1D"/>
    <w:rsid w:val="008759F8"/>
    <w:rsid w:val="008760FD"/>
    <w:rsid w:val="008766E7"/>
    <w:rsid w:val="00876CF3"/>
    <w:rsid w:val="0087717F"/>
    <w:rsid w:val="008771BD"/>
    <w:rsid w:val="0087733E"/>
    <w:rsid w:val="00877402"/>
    <w:rsid w:val="00877BFE"/>
    <w:rsid w:val="00880C0A"/>
    <w:rsid w:val="00880E0E"/>
    <w:rsid w:val="00881198"/>
    <w:rsid w:val="008812FC"/>
    <w:rsid w:val="00881685"/>
    <w:rsid w:val="00881F81"/>
    <w:rsid w:val="00882B27"/>
    <w:rsid w:val="0088302E"/>
    <w:rsid w:val="00883773"/>
    <w:rsid w:val="0088392D"/>
    <w:rsid w:val="00883DA5"/>
    <w:rsid w:val="0088414C"/>
    <w:rsid w:val="008841B6"/>
    <w:rsid w:val="008842D0"/>
    <w:rsid w:val="0088439D"/>
    <w:rsid w:val="008846CB"/>
    <w:rsid w:val="00885106"/>
    <w:rsid w:val="00885290"/>
    <w:rsid w:val="00885571"/>
    <w:rsid w:val="00886201"/>
    <w:rsid w:val="008862AE"/>
    <w:rsid w:val="00886461"/>
    <w:rsid w:val="00887181"/>
    <w:rsid w:val="00887B55"/>
    <w:rsid w:val="00887EC2"/>
    <w:rsid w:val="00890D46"/>
    <w:rsid w:val="00890E54"/>
    <w:rsid w:val="008916AD"/>
    <w:rsid w:val="008917BC"/>
    <w:rsid w:val="008920A9"/>
    <w:rsid w:val="00892507"/>
    <w:rsid w:val="008931BF"/>
    <w:rsid w:val="008934D5"/>
    <w:rsid w:val="008935D3"/>
    <w:rsid w:val="0089373B"/>
    <w:rsid w:val="00893D6A"/>
    <w:rsid w:val="00894978"/>
    <w:rsid w:val="00894B3E"/>
    <w:rsid w:val="0089537A"/>
    <w:rsid w:val="008967E4"/>
    <w:rsid w:val="00896944"/>
    <w:rsid w:val="00896A86"/>
    <w:rsid w:val="008973FE"/>
    <w:rsid w:val="00897D4C"/>
    <w:rsid w:val="00897E95"/>
    <w:rsid w:val="008A0516"/>
    <w:rsid w:val="008A0A6E"/>
    <w:rsid w:val="008A111E"/>
    <w:rsid w:val="008A15CE"/>
    <w:rsid w:val="008A21EC"/>
    <w:rsid w:val="008A322E"/>
    <w:rsid w:val="008A3B13"/>
    <w:rsid w:val="008A3F9F"/>
    <w:rsid w:val="008A4669"/>
    <w:rsid w:val="008A4F6C"/>
    <w:rsid w:val="008A5019"/>
    <w:rsid w:val="008A586A"/>
    <w:rsid w:val="008A58BE"/>
    <w:rsid w:val="008A5E96"/>
    <w:rsid w:val="008A677D"/>
    <w:rsid w:val="008A6CEA"/>
    <w:rsid w:val="008A74BA"/>
    <w:rsid w:val="008B00FA"/>
    <w:rsid w:val="008B0299"/>
    <w:rsid w:val="008B0438"/>
    <w:rsid w:val="008B06BE"/>
    <w:rsid w:val="008B0763"/>
    <w:rsid w:val="008B1076"/>
    <w:rsid w:val="008B1A29"/>
    <w:rsid w:val="008B1DC0"/>
    <w:rsid w:val="008B21BC"/>
    <w:rsid w:val="008B2285"/>
    <w:rsid w:val="008B22B9"/>
    <w:rsid w:val="008B23BD"/>
    <w:rsid w:val="008B2640"/>
    <w:rsid w:val="008B2721"/>
    <w:rsid w:val="008B2724"/>
    <w:rsid w:val="008B2D7B"/>
    <w:rsid w:val="008B2F51"/>
    <w:rsid w:val="008B33E3"/>
    <w:rsid w:val="008B361A"/>
    <w:rsid w:val="008B37F2"/>
    <w:rsid w:val="008B3D9D"/>
    <w:rsid w:val="008B491B"/>
    <w:rsid w:val="008B50E3"/>
    <w:rsid w:val="008B5860"/>
    <w:rsid w:val="008B5FE2"/>
    <w:rsid w:val="008B625E"/>
    <w:rsid w:val="008B6285"/>
    <w:rsid w:val="008B6652"/>
    <w:rsid w:val="008B6B67"/>
    <w:rsid w:val="008B6EE8"/>
    <w:rsid w:val="008B6F10"/>
    <w:rsid w:val="008B6F92"/>
    <w:rsid w:val="008B7357"/>
    <w:rsid w:val="008B739D"/>
    <w:rsid w:val="008B76EE"/>
    <w:rsid w:val="008C0B57"/>
    <w:rsid w:val="008C1161"/>
    <w:rsid w:val="008C13C2"/>
    <w:rsid w:val="008C15F8"/>
    <w:rsid w:val="008C1D1B"/>
    <w:rsid w:val="008C2B42"/>
    <w:rsid w:val="008C3391"/>
    <w:rsid w:val="008C3C6F"/>
    <w:rsid w:val="008C428F"/>
    <w:rsid w:val="008C4320"/>
    <w:rsid w:val="008C4877"/>
    <w:rsid w:val="008C550A"/>
    <w:rsid w:val="008C5740"/>
    <w:rsid w:val="008C5766"/>
    <w:rsid w:val="008C5B78"/>
    <w:rsid w:val="008C5DBE"/>
    <w:rsid w:val="008C60D0"/>
    <w:rsid w:val="008C648A"/>
    <w:rsid w:val="008C70F6"/>
    <w:rsid w:val="008C7152"/>
    <w:rsid w:val="008C7306"/>
    <w:rsid w:val="008C79D9"/>
    <w:rsid w:val="008C7A02"/>
    <w:rsid w:val="008C7A55"/>
    <w:rsid w:val="008C7C7F"/>
    <w:rsid w:val="008C7DEB"/>
    <w:rsid w:val="008C7E5C"/>
    <w:rsid w:val="008D0503"/>
    <w:rsid w:val="008D0923"/>
    <w:rsid w:val="008D11A9"/>
    <w:rsid w:val="008D138C"/>
    <w:rsid w:val="008D199C"/>
    <w:rsid w:val="008D1A84"/>
    <w:rsid w:val="008D1EF4"/>
    <w:rsid w:val="008D270F"/>
    <w:rsid w:val="008D2C1B"/>
    <w:rsid w:val="008D2EB8"/>
    <w:rsid w:val="008D382B"/>
    <w:rsid w:val="008D3B52"/>
    <w:rsid w:val="008D3E64"/>
    <w:rsid w:val="008D4080"/>
    <w:rsid w:val="008D408B"/>
    <w:rsid w:val="008D43A2"/>
    <w:rsid w:val="008D4520"/>
    <w:rsid w:val="008D49DC"/>
    <w:rsid w:val="008D52CB"/>
    <w:rsid w:val="008D6681"/>
    <w:rsid w:val="008D746A"/>
    <w:rsid w:val="008D7AAB"/>
    <w:rsid w:val="008E03F8"/>
    <w:rsid w:val="008E0A11"/>
    <w:rsid w:val="008E105B"/>
    <w:rsid w:val="008E1590"/>
    <w:rsid w:val="008E1DA4"/>
    <w:rsid w:val="008E1F1D"/>
    <w:rsid w:val="008E3177"/>
    <w:rsid w:val="008E38F2"/>
    <w:rsid w:val="008E3B76"/>
    <w:rsid w:val="008E3DDD"/>
    <w:rsid w:val="008E3E01"/>
    <w:rsid w:val="008E42B7"/>
    <w:rsid w:val="008E4409"/>
    <w:rsid w:val="008E5271"/>
    <w:rsid w:val="008E5331"/>
    <w:rsid w:val="008E5830"/>
    <w:rsid w:val="008E5AC8"/>
    <w:rsid w:val="008E659F"/>
    <w:rsid w:val="008E6689"/>
    <w:rsid w:val="008E6729"/>
    <w:rsid w:val="008E68EB"/>
    <w:rsid w:val="008E6934"/>
    <w:rsid w:val="008E6D0C"/>
    <w:rsid w:val="008E707C"/>
    <w:rsid w:val="008E70E0"/>
    <w:rsid w:val="008E738F"/>
    <w:rsid w:val="008E74CB"/>
    <w:rsid w:val="008E78D7"/>
    <w:rsid w:val="008E7935"/>
    <w:rsid w:val="008E7AB3"/>
    <w:rsid w:val="008E7B2B"/>
    <w:rsid w:val="008F0088"/>
    <w:rsid w:val="008F052B"/>
    <w:rsid w:val="008F05CE"/>
    <w:rsid w:val="008F0751"/>
    <w:rsid w:val="008F07EE"/>
    <w:rsid w:val="008F1041"/>
    <w:rsid w:val="008F137E"/>
    <w:rsid w:val="008F1492"/>
    <w:rsid w:val="008F1983"/>
    <w:rsid w:val="008F34E9"/>
    <w:rsid w:val="008F41D5"/>
    <w:rsid w:val="008F4296"/>
    <w:rsid w:val="008F4844"/>
    <w:rsid w:val="008F4870"/>
    <w:rsid w:val="008F50A7"/>
    <w:rsid w:val="008F5E09"/>
    <w:rsid w:val="008F64F6"/>
    <w:rsid w:val="008F6F94"/>
    <w:rsid w:val="008F70B2"/>
    <w:rsid w:val="008F76E1"/>
    <w:rsid w:val="008F79FC"/>
    <w:rsid w:val="00900783"/>
    <w:rsid w:val="00900A03"/>
    <w:rsid w:val="009017EE"/>
    <w:rsid w:val="00901E68"/>
    <w:rsid w:val="009023A4"/>
    <w:rsid w:val="009033C7"/>
    <w:rsid w:val="009036C1"/>
    <w:rsid w:val="00903771"/>
    <w:rsid w:val="00903857"/>
    <w:rsid w:val="0090436B"/>
    <w:rsid w:val="009049D3"/>
    <w:rsid w:val="00904B84"/>
    <w:rsid w:val="00904EE1"/>
    <w:rsid w:val="00904F00"/>
    <w:rsid w:val="009055F3"/>
    <w:rsid w:val="009056BD"/>
    <w:rsid w:val="009061F5"/>
    <w:rsid w:val="00906349"/>
    <w:rsid w:val="00906AEA"/>
    <w:rsid w:val="00907850"/>
    <w:rsid w:val="00907A70"/>
    <w:rsid w:val="00907E3A"/>
    <w:rsid w:val="0091066A"/>
    <w:rsid w:val="009113A3"/>
    <w:rsid w:val="00911986"/>
    <w:rsid w:val="00911E8A"/>
    <w:rsid w:val="00911FCF"/>
    <w:rsid w:val="0091201D"/>
    <w:rsid w:val="00912059"/>
    <w:rsid w:val="00912D37"/>
    <w:rsid w:val="00912E08"/>
    <w:rsid w:val="00912F8B"/>
    <w:rsid w:val="00913D4F"/>
    <w:rsid w:val="00914787"/>
    <w:rsid w:val="00915E9C"/>
    <w:rsid w:val="009168EC"/>
    <w:rsid w:val="00916B24"/>
    <w:rsid w:val="00916CDB"/>
    <w:rsid w:val="00916FE7"/>
    <w:rsid w:val="00917543"/>
    <w:rsid w:val="0092012B"/>
    <w:rsid w:val="009209E8"/>
    <w:rsid w:val="00920A09"/>
    <w:rsid w:val="00920BBA"/>
    <w:rsid w:val="00920EC1"/>
    <w:rsid w:val="00921DD2"/>
    <w:rsid w:val="00921F2C"/>
    <w:rsid w:val="00922414"/>
    <w:rsid w:val="00922B89"/>
    <w:rsid w:val="00922ED6"/>
    <w:rsid w:val="009234D0"/>
    <w:rsid w:val="00923AEA"/>
    <w:rsid w:val="00924303"/>
    <w:rsid w:val="00924A8E"/>
    <w:rsid w:val="00924B1D"/>
    <w:rsid w:val="00924B89"/>
    <w:rsid w:val="00924F08"/>
    <w:rsid w:val="00926498"/>
    <w:rsid w:val="00926A2B"/>
    <w:rsid w:val="00926C4D"/>
    <w:rsid w:val="00926D4E"/>
    <w:rsid w:val="009270B0"/>
    <w:rsid w:val="00927273"/>
    <w:rsid w:val="00927345"/>
    <w:rsid w:val="0092744F"/>
    <w:rsid w:val="009300C0"/>
    <w:rsid w:val="00930553"/>
    <w:rsid w:val="0093279E"/>
    <w:rsid w:val="009328E0"/>
    <w:rsid w:val="00932F95"/>
    <w:rsid w:val="009331FB"/>
    <w:rsid w:val="0093348A"/>
    <w:rsid w:val="009334A3"/>
    <w:rsid w:val="0093354B"/>
    <w:rsid w:val="00933C37"/>
    <w:rsid w:val="0093403C"/>
    <w:rsid w:val="0093423F"/>
    <w:rsid w:val="0093471E"/>
    <w:rsid w:val="009355AA"/>
    <w:rsid w:val="00936FA2"/>
    <w:rsid w:val="0093703B"/>
    <w:rsid w:val="009370E4"/>
    <w:rsid w:val="009379AC"/>
    <w:rsid w:val="0094015B"/>
    <w:rsid w:val="00940606"/>
    <w:rsid w:val="00940AE2"/>
    <w:rsid w:val="00941587"/>
    <w:rsid w:val="00941B4C"/>
    <w:rsid w:val="00941E71"/>
    <w:rsid w:val="00942402"/>
    <w:rsid w:val="0094243B"/>
    <w:rsid w:val="009427FC"/>
    <w:rsid w:val="009437C8"/>
    <w:rsid w:val="009456E2"/>
    <w:rsid w:val="00945FC2"/>
    <w:rsid w:val="009460DD"/>
    <w:rsid w:val="00946E02"/>
    <w:rsid w:val="00946F13"/>
    <w:rsid w:val="00947167"/>
    <w:rsid w:val="009472CB"/>
    <w:rsid w:val="00947426"/>
    <w:rsid w:val="00950134"/>
    <w:rsid w:val="0095019A"/>
    <w:rsid w:val="00951560"/>
    <w:rsid w:val="00951CC9"/>
    <w:rsid w:val="00952A90"/>
    <w:rsid w:val="00952AEF"/>
    <w:rsid w:val="00952E69"/>
    <w:rsid w:val="0095378E"/>
    <w:rsid w:val="00953CE4"/>
    <w:rsid w:val="00954D5C"/>
    <w:rsid w:val="00955752"/>
    <w:rsid w:val="00955BC8"/>
    <w:rsid w:val="00956174"/>
    <w:rsid w:val="009565A8"/>
    <w:rsid w:val="00956A94"/>
    <w:rsid w:val="00956CAA"/>
    <w:rsid w:val="00956DCD"/>
    <w:rsid w:val="00956F77"/>
    <w:rsid w:val="00957386"/>
    <w:rsid w:val="009575E3"/>
    <w:rsid w:val="00960153"/>
    <w:rsid w:val="00960FD5"/>
    <w:rsid w:val="0096122A"/>
    <w:rsid w:val="0096145B"/>
    <w:rsid w:val="00961817"/>
    <w:rsid w:val="00961C9F"/>
    <w:rsid w:val="00961CE6"/>
    <w:rsid w:val="009623D3"/>
    <w:rsid w:val="009629B1"/>
    <w:rsid w:val="00962AE4"/>
    <w:rsid w:val="00962C16"/>
    <w:rsid w:val="00962EBE"/>
    <w:rsid w:val="0096302B"/>
    <w:rsid w:val="009631F4"/>
    <w:rsid w:val="00963321"/>
    <w:rsid w:val="00963822"/>
    <w:rsid w:val="009642DF"/>
    <w:rsid w:val="0096447A"/>
    <w:rsid w:val="00964A23"/>
    <w:rsid w:val="00965E43"/>
    <w:rsid w:val="009662D3"/>
    <w:rsid w:val="00966482"/>
    <w:rsid w:val="009667E9"/>
    <w:rsid w:val="00966870"/>
    <w:rsid w:val="00966D00"/>
    <w:rsid w:val="00967351"/>
    <w:rsid w:val="0096749F"/>
    <w:rsid w:val="009675C3"/>
    <w:rsid w:val="00967A64"/>
    <w:rsid w:val="00967D14"/>
    <w:rsid w:val="009702FA"/>
    <w:rsid w:val="00970771"/>
    <w:rsid w:val="00970785"/>
    <w:rsid w:val="00970A67"/>
    <w:rsid w:val="00970E29"/>
    <w:rsid w:val="00971895"/>
    <w:rsid w:val="00971EA3"/>
    <w:rsid w:val="00971F1A"/>
    <w:rsid w:val="009727C6"/>
    <w:rsid w:val="00972DAC"/>
    <w:rsid w:val="00974751"/>
    <w:rsid w:val="00974862"/>
    <w:rsid w:val="009753A8"/>
    <w:rsid w:val="009754BE"/>
    <w:rsid w:val="00975CFD"/>
    <w:rsid w:val="0097684E"/>
    <w:rsid w:val="00976A58"/>
    <w:rsid w:val="00976B60"/>
    <w:rsid w:val="00976FEA"/>
    <w:rsid w:val="009773DE"/>
    <w:rsid w:val="009775AF"/>
    <w:rsid w:val="00977C7A"/>
    <w:rsid w:val="00977F3D"/>
    <w:rsid w:val="009813CA"/>
    <w:rsid w:val="00982817"/>
    <w:rsid w:val="00983315"/>
    <w:rsid w:val="00983AB2"/>
    <w:rsid w:val="00983E0D"/>
    <w:rsid w:val="009841F2"/>
    <w:rsid w:val="00984CEA"/>
    <w:rsid w:val="0098575B"/>
    <w:rsid w:val="00985F21"/>
    <w:rsid w:val="009862D5"/>
    <w:rsid w:val="00987022"/>
    <w:rsid w:val="00987915"/>
    <w:rsid w:val="00987E70"/>
    <w:rsid w:val="009901C8"/>
    <w:rsid w:val="00990697"/>
    <w:rsid w:val="009910EC"/>
    <w:rsid w:val="00991160"/>
    <w:rsid w:val="009911FC"/>
    <w:rsid w:val="009912E5"/>
    <w:rsid w:val="00991335"/>
    <w:rsid w:val="009914CF"/>
    <w:rsid w:val="00992551"/>
    <w:rsid w:val="009930F7"/>
    <w:rsid w:val="00993D79"/>
    <w:rsid w:val="0099427E"/>
    <w:rsid w:val="00994385"/>
    <w:rsid w:val="009947CA"/>
    <w:rsid w:val="009949FF"/>
    <w:rsid w:val="00994C3E"/>
    <w:rsid w:val="009953FF"/>
    <w:rsid w:val="009955C3"/>
    <w:rsid w:val="00995677"/>
    <w:rsid w:val="00995798"/>
    <w:rsid w:val="00995CAA"/>
    <w:rsid w:val="00996781"/>
    <w:rsid w:val="009969BD"/>
    <w:rsid w:val="00996CCD"/>
    <w:rsid w:val="00997578"/>
    <w:rsid w:val="009A01F0"/>
    <w:rsid w:val="009A02D6"/>
    <w:rsid w:val="009A06CA"/>
    <w:rsid w:val="009A08D5"/>
    <w:rsid w:val="009A1BAF"/>
    <w:rsid w:val="009A228C"/>
    <w:rsid w:val="009A2884"/>
    <w:rsid w:val="009A29B8"/>
    <w:rsid w:val="009A29F1"/>
    <w:rsid w:val="009A2AE1"/>
    <w:rsid w:val="009A2E9A"/>
    <w:rsid w:val="009A2F67"/>
    <w:rsid w:val="009A3A4F"/>
    <w:rsid w:val="009A43E1"/>
    <w:rsid w:val="009A5828"/>
    <w:rsid w:val="009A5903"/>
    <w:rsid w:val="009A5A16"/>
    <w:rsid w:val="009A68F9"/>
    <w:rsid w:val="009A6A15"/>
    <w:rsid w:val="009A6A7D"/>
    <w:rsid w:val="009A6FE7"/>
    <w:rsid w:val="009A783C"/>
    <w:rsid w:val="009A7F29"/>
    <w:rsid w:val="009B0A3C"/>
    <w:rsid w:val="009B0AB4"/>
    <w:rsid w:val="009B1C60"/>
    <w:rsid w:val="009B260A"/>
    <w:rsid w:val="009B2650"/>
    <w:rsid w:val="009B328B"/>
    <w:rsid w:val="009B47FB"/>
    <w:rsid w:val="009B4C1D"/>
    <w:rsid w:val="009B4D0E"/>
    <w:rsid w:val="009B4E00"/>
    <w:rsid w:val="009B4EFA"/>
    <w:rsid w:val="009B5075"/>
    <w:rsid w:val="009B5200"/>
    <w:rsid w:val="009B56C7"/>
    <w:rsid w:val="009B5886"/>
    <w:rsid w:val="009B5907"/>
    <w:rsid w:val="009B5E2B"/>
    <w:rsid w:val="009B6367"/>
    <w:rsid w:val="009B63E7"/>
    <w:rsid w:val="009B6422"/>
    <w:rsid w:val="009B7625"/>
    <w:rsid w:val="009B7BF1"/>
    <w:rsid w:val="009B7DCF"/>
    <w:rsid w:val="009C0361"/>
    <w:rsid w:val="009C0D0B"/>
    <w:rsid w:val="009C1991"/>
    <w:rsid w:val="009C1D1C"/>
    <w:rsid w:val="009C218A"/>
    <w:rsid w:val="009C2E8A"/>
    <w:rsid w:val="009C390E"/>
    <w:rsid w:val="009C39B3"/>
    <w:rsid w:val="009C3D61"/>
    <w:rsid w:val="009C3D6E"/>
    <w:rsid w:val="009C464D"/>
    <w:rsid w:val="009C4AA0"/>
    <w:rsid w:val="009C4EA6"/>
    <w:rsid w:val="009C50A1"/>
    <w:rsid w:val="009C52C4"/>
    <w:rsid w:val="009C55FD"/>
    <w:rsid w:val="009C5B64"/>
    <w:rsid w:val="009C60EA"/>
    <w:rsid w:val="009C6954"/>
    <w:rsid w:val="009C6A34"/>
    <w:rsid w:val="009C6D38"/>
    <w:rsid w:val="009C6D93"/>
    <w:rsid w:val="009C6EBD"/>
    <w:rsid w:val="009C702D"/>
    <w:rsid w:val="009C71D8"/>
    <w:rsid w:val="009C739F"/>
    <w:rsid w:val="009C7509"/>
    <w:rsid w:val="009C7658"/>
    <w:rsid w:val="009D0BC0"/>
    <w:rsid w:val="009D1E8B"/>
    <w:rsid w:val="009D2107"/>
    <w:rsid w:val="009D227C"/>
    <w:rsid w:val="009D29E8"/>
    <w:rsid w:val="009D2C2F"/>
    <w:rsid w:val="009D2E61"/>
    <w:rsid w:val="009D3DE7"/>
    <w:rsid w:val="009D3F1E"/>
    <w:rsid w:val="009D4367"/>
    <w:rsid w:val="009D4C98"/>
    <w:rsid w:val="009D5B44"/>
    <w:rsid w:val="009D5DF1"/>
    <w:rsid w:val="009D6183"/>
    <w:rsid w:val="009D68D6"/>
    <w:rsid w:val="009D6F2E"/>
    <w:rsid w:val="009D6F7C"/>
    <w:rsid w:val="009D71C0"/>
    <w:rsid w:val="009D7481"/>
    <w:rsid w:val="009D7F4C"/>
    <w:rsid w:val="009E0436"/>
    <w:rsid w:val="009E08BE"/>
    <w:rsid w:val="009E0C6E"/>
    <w:rsid w:val="009E1216"/>
    <w:rsid w:val="009E1539"/>
    <w:rsid w:val="009E1AC8"/>
    <w:rsid w:val="009E2086"/>
    <w:rsid w:val="009E2492"/>
    <w:rsid w:val="009E2542"/>
    <w:rsid w:val="009E2C98"/>
    <w:rsid w:val="009E2C9E"/>
    <w:rsid w:val="009E2CB5"/>
    <w:rsid w:val="009E311B"/>
    <w:rsid w:val="009E3DBA"/>
    <w:rsid w:val="009E4191"/>
    <w:rsid w:val="009E429A"/>
    <w:rsid w:val="009E479B"/>
    <w:rsid w:val="009E5773"/>
    <w:rsid w:val="009E5B92"/>
    <w:rsid w:val="009E5B9F"/>
    <w:rsid w:val="009E64AF"/>
    <w:rsid w:val="009E6572"/>
    <w:rsid w:val="009E6610"/>
    <w:rsid w:val="009E66AB"/>
    <w:rsid w:val="009E6CDC"/>
    <w:rsid w:val="009E6CF0"/>
    <w:rsid w:val="009E6DE4"/>
    <w:rsid w:val="009E70F6"/>
    <w:rsid w:val="009E753A"/>
    <w:rsid w:val="009E7A26"/>
    <w:rsid w:val="009F04E1"/>
    <w:rsid w:val="009F078D"/>
    <w:rsid w:val="009F1BF2"/>
    <w:rsid w:val="009F2609"/>
    <w:rsid w:val="009F3E25"/>
    <w:rsid w:val="009F4058"/>
    <w:rsid w:val="009F4CBC"/>
    <w:rsid w:val="009F50B1"/>
    <w:rsid w:val="009F51EA"/>
    <w:rsid w:val="009F5813"/>
    <w:rsid w:val="009F6524"/>
    <w:rsid w:val="009F7369"/>
    <w:rsid w:val="009F7820"/>
    <w:rsid w:val="009F7857"/>
    <w:rsid w:val="00A003C8"/>
    <w:rsid w:val="00A00C04"/>
    <w:rsid w:val="00A00E03"/>
    <w:rsid w:val="00A00E28"/>
    <w:rsid w:val="00A02134"/>
    <w:rsid w:val="00A026A1"/>
    <w:rsid w:val="00A02BB6"/>
    <w:rsid w:val="00A02C5B"/>
    <w:rsid w:val="00A02FEE"/>
    <w:rsid w:val="00A0300A"/>
    <w:rsid w:val="00A0383B"/>
    <w:rsid w:val="00A04020"/>
    <w:rsid w:val="00A04738"/>
    <w:rsid w:val="00A04942"/>
    <w:rsid w:val="00A04B0D"/>
    <w:rsid w:val="00A04B37"/>
    <w:rsid w:val="00A057B5"/>
    <w:rsid w:val="00A05A58"/>
    <w:rsid w:val="00A05DC3"/>
    <w:rsid w:val="00A05EE7"/>
    <w:rsid w:val="00A05FAA"/>
    <w:rsid w:val="00A06952"/>
    <w:rsid w:val="00A0697B"/>
    <w:rsid w:val="00A06CE9"/>
    <w:rsid w:val="00A06E50"/>
    <w:rsid w:val="00A07A07"/>
    <w:rsid w:val="00A10495"/>
    <w:rsid w:val="00A10EEF"/>
    <w:rsid w:val="00A11351"/>
    <w:rsid w:val="00A11677"/>
    <w:rsid w:val="00A12312"/>
    <w:rsid w:val="00A1250E"/>
    <w:rsid w:val="00A1273A"/>
    <w:rsid w:val="00A13B7D"/>
    <w:rsid w:val="00A13FFE"/>
    <w:rsid w:val="00A14291"/>
    <w:rsid w:val="00A142A5"/>
    <w:rsid w:val="00A14636"/>
    <w:rsid w:val="00A14AB1"/>
    <w:rsid w:val="00A151B7"/>
    <w:rsid w:val="00A15B57"/>
    <w:rsid w:val="00A16768"/>
    <w:rsid w:val="00A16A70"/>
    <w:rsid w:val="00A1790D"/>
    <w:rsid w:val="00A17D5D"/>
    <w:rsid w:val="00A205B0"/>
    <w:rsid w:val="00A2071F"/>
    <w:rsid w:val="00A20860"/>
    <w:rsid w:val="00A20C03"/>
    <w:rsid w:val="00A20D48"/>
    <w:rsid w:val="00A2111B"/>
    <w:rsid w:val="00A222DA"/>
    <w:rsid w:val="00A2240C"/>
    <w:rsid w:val="00A22B6C"/>
    <w:rsid w:val="00A23107"/>
    <w:rsid w:val="00A23305"/>
    <w:rsid w:val="00A23551"/>
    <w:rsid w:val="00A238D3"/>
    <w:rsid w:val="00A24BB7"/>
    <w:rsid w:val="00A24F87"/>
    <w:rsid w:val="00A2560B"/>
    <w:rsid w:val="00A25E19"/>
    <w:rsid w:val="00A2628F"/>
    <w:rsid w:val="00A270BC"/>
    <w:rsid w:val="00A2767A"/>
    <w:rsid w:val="00A27910"/>
    <w:rsid w:val="00A27B98"/>
    <w:rsid w:val="00A30730"/>
    <w:rsid w:val="00A30F8B"/>
    <w:rsid w:val="00A31C1F"/>
    <w:rsid w:val="00A3219A"/>
    <w:rsid w:val="00A32732"/>
    <w:rsid w:val="00A327AC"/>
    <w:rsid w:val="00A344D8"/>
    <w:rsid w:val="00A347D6"/>
    <w:rsid w:val="00A349B9"/>
    <w:rsid w:val="00A34C44"/>
    <w:rsid w:val="00A34C55"/>
    <w:rsid w:val="00A34DDC"/>
    <w:rsid w:val="00A34E3E"/>
    <w:rsid w:val="00A35143"/>
    <w:rsid w:val="00A35185"/>
    <w:rsid w:val="00A35A7A"/>
    <w:rsid w:val="00A361A9"/>
    <w:rsid w:val="00A3641B"/>
    <w:rsid w:val="00A367D2"/>
    <w:rsid w:val="00A37455"/>
    <w:rsid w:val="00A37B68"/>
    <w:rsid w:val="00A37D9E"/>
    <w:rsid w:val="00A37F78"/>
    <w:rsid w:val="00A41F54"/>
    <w:rsid w:val="00A42285"/>
    <w:rsid w:val="00A422D2"/>
    <w:rsid w:val="00A430E5"/>
    <w:rsid w:val="00A4350F"/>
    <w:rsid w:val="00A43D07"/>
    <w:rsid w:val="00A43E97"/>
    <w:rsid w:val="00A4413D"/>
    <w:rsid w:val="00A44702"/>
    <w:rsid w:val="00A450C7"/>
    <w:rsid w:val="00A453F2"/>
    <w:rsid w:val="00A45639"/>
    <w:rsid w:val="00A457F8"/>
    <w:rsid w:val="00A45DF0"/>
    <w:rsid w:val="00A46410"/>
    <w:rsid w:val="00A46730"/>
    <w:rsid w:val="00A46920"/>
    <w:rsid w:val="00A46D17"/>
    <w:rsid w:val="00A46EA2"/>
    <w:rsid w:val="00A47442"/>
    <w:rsid w:val="00A47530"/>
    <w:rsid w:val="00A47C3C"/>
    <w:rsid w:val="00A47FC0"/>
    <w:rsid w:val="00A50190"/>
    <w:rsid w:val="00A501B4"/>
    <w:rsid w:val="00A50603"/>
    <w:rsid w:val="00A5088B"/>
    <w:rsid w:val="00A50D9F"/>
    <w:rsid w:val="00A50EA2"/>
    <w:rsid w:val="00A5117E"/>
    <w:rsid w:val="00A51825"/>
    <w:rsid w:val="00A518F5"/>
    <w:rsid w:val="00A51A6A"/>
    <w:rsid w:val="00A51A9A"/>
    <w:rsid w:val="00A51BB5"/>
    <w:rsid w:val="00A51BDA"/>
    <w:rsid w:val="00A51D9D"/>
    <w:rsid w:val="00A520E6"/>
    <w:rsid w:val="00A52B82"/>
    <w:rsid w:val="00A52C40"/>
    <w:rsid w:val="00A52D48"/>
    <w:rsid w:val="00A530B1"/>
    <w:rsid w:val="00A56392"/>
    <w:rsid w:val="00A5643F"/>
    <w:rsid w:val="00A56626"/>
    <w:rsid w:val="00A56DA5"/>
    <w:rsid w:val="00A56DED"/>
    <w:rsid w:val="00A57329"/>
    <w:rsid w:val="00A576EC"/>
    <w:rsid w:val="00A57D6D"/>
    <w:rsid w:val="00A601EE"/>
    <w:rsid w:val="00A6045C"/>
    <w:rsid w:val="00A61B8F"/>
    <w:rsid w:val="00A64294"/>
    <w:rsid w:val="00A64397"/>
    <w:rsid w:val="00A64844"/>
    <w:rsid w:val="00A65C0A"/>
    <w:rsid w:val="00A65C8D"/>
    <w:rsid w:val="00A65D8F"/>
    <w:rsid w:val="00A66E18"/>
    <w:rsid w:val="00A66EB7"/>
    <w:rsid w:val="00A670EB"/>
    <w:rsid w:val="00A6780B"/>
    <w:rsid w:val="00A700E1"/>
    <w:rsid w:val="00A70399"/>
    <w:rsid w:val="00A7055A"/>
    <w:rsid w:val="00A70BD3"/>
    <w:rsid w:val="00A72132"/>
    <w:rsid w:val="00A727EE"/>
    <w:rsid w:val="00A72934"/>
    <w:rsid w:val="00A72936"/>
    <w:rsid w:val="00A72B97"/>
    <w:rsid w:val="00A72BC2"/>
    <w:rsid w:val="00A73D91"/>
    <w:rsid w:val="00A73E75"/>
    <w:rsid w:val="00A73EAA"/>
    <w:rsid w:val="00A750E6"/>
    <w:rsid w:val="00A7528D"/>
    <w:rsid w:val="00A75782"/>
    <w:rsid w:val="00A75C30"/>
    <w:rsid w:val="00A76144"/>
    <w:rsid w:val="00A7660B"/>
    <w:rsid w:val="00A77397"/>
    <w:rsid w:val="00A77494"/>
    <w:rsid w:val="00A7782D"/>
    <w:rsid w:val="00A80489"/>
    <w:rsid w:val="00A80639"/>
    <w:rsid w:val="00A80874"/>
    <w:rsid w:val="00A819D4"/>
    <w:rsid w:val="00A8257C"/>
    <w:rsid w:val="00A827E9"/>
    <w:rsid w:val="00A82C1D"/>
    <w:rsid w:val="00A82DFC"/>
    <w:rsid w:val="00A83483"/>
    <w:rsid w:val="00A838FD"/>
    <w:rsid w:val="00A83A23"/>
    <w:rsid w:val="00A83A35"/>
    <w:rsid w:val="00A83C3E"/>
    <w:rsid w:val="00A83DDA"/>
    <w:rsid w:val="00A83FFB"/>
    <w:rsid w:val="00A84171"/>
    <w:rsid w:val="00A844AB"/>
    <w:rsid w:val="00A8473C"/>
    <w:rsid w:val="00A84748"/>
    <w:rsid w:val="00A84A5F"/>
    <w:rsid w:val="00A84C29"/>
    <w:rsid w:val="00A857EC"/>
    <w:rsid w:val="00A865F6"/>
    <w:rsid w:val="00A867ED"/>
    <w:rsid w:val="00A87996"/>
    <w:rsid w:val="00A907CA"/>
    <w:rsid w:val="00A90AF6"/>
    <w:rsid w:val="00A90B39"/>
    <w:rsid w:val="00A9188E"/>
    <w:rsid w:val="00A91E64"/>
    <w:rsid w:val="00A92687"/>
    <w:rsid w:val="00A928F0"/>
    <w:rsid w:val="00A936A9"/>
    <w:rsid w:val="00A93934"/>
    <w:rsid w:val="00A94689"/>
    <w:rsid w:val="00A94835"/>
    <w:rsid w:val="00A94B24"/>
    <w:rsid w:val="00A94C0D"/>
    <w:rsid w:val="00A94EEE"/>
    <w:rsid w:val="00A95CF7"/>
    <w:rsid w:val="00A95E8C"/>
    <w:rsid w:val="00A95FD9"/>
    <w:rsid w:val="00A961AA"/>
    <w:rsid w:val="00A964F4"/>
    <w:rsid w:val="00A96770"/>
    <w:rsid w:val="00A96945"/>
    <w:rsid w:val="00A9795C"/>
    <w:rsid w:val="00A97AD3"/>
    <w:rsid w:val="00AA0451"/>
    <w:rsid w:val="00AA049F"/>
    <w:rsid w:val="00AA0954"/>
    <w:rsid w:val="00AA14F8"/>
    <w:rsid w:val="00AA190C"/>
    <w:rsid w:val="00AA1F3C"/>
    <w:rsid w:val="00AA2160"/>
    <w:rsid w:val="00AA2632"/>
    <w:rsid w:val="00AA2650"/>
    <w:rsid w:val="00AA2DC4"/>
    <w:rsid w:val="00AA39B2"/>
    <w:rsid w:val="00AA43D6"/>
    <w:rsid w:val="00AA45C1"/>
    <w:rsid w:val="00AA46F4"/>
    <w:rsid w:val="00AA4EFA"/>
    <w:rsid w:val="00AA4F2A"/>
    <w:rsid w:val="00AA593C"/>
    <w:rsid w:val="00AA5C76"/>
    <w:rsid w:val="00AA5FED"/>
    <w:rsid w:val="00AA624A"/>
    <w:rsid w:val="00AA62A5"/>
    <w:rsid w:val="00AA6438"/>
    <w:rsid w:val="00AA66BF"/>
    <w:rsid w:val="00AA6BAA"/>
    <w:rsid w:val="00AA6E98"/>
    <w:rsid w:val="00AA6F6B"/>
    <w:rsid w:val="00AA70A5"/>
    <w:rsid w:val="00AA71CF"/>
    <w:rsid w:val="00AA75CF"/>
    <w:rsid w:val="00AA7FFE"/>
    <w:rsid w:val="00AB051D"/>
    <w:rsid w:val="00AB0D6E"/>
    <w:rsid w:val="00AB0F84"/>
    <w:rsid w:val="00AB154A"/>
    <w:rsid w:val="00AB22DE"/>
    <w:rsid w:val="00AB2684"/>
    <w:rsid w:val="00AB2951"/>
    <w:rsid w:val="00AB2DB4"/>
    <w:rsid w:val="00AB37C9"/>
    <w:rsid w:val="00AB3CF1"/>
    <w:rsid w:val="00AB4102"/>
    <w:rsid w:val="00AB4200"/>
    <w:rsid w:val="00AB46FD"/>
    <w:rsid w:val="00AB49AA"/>
    <w:rsid w:val="00AB4B9B"/>
    <w:rsid w:val="00AB633A"/>
    <w:rsid w:val="00AB70CF"/>
    <w:rsid w:val="00AB7778"/>
    <w:rsid w:val="00AC07A5"/>
    <w:rsid w:val="00AC1273"/>
    <w:rsid w:val="00AC1B11"/>
    <w:rsid w:val="00AC209E"/>
    <w:rsid w:val="00AC2861"/>
    <w:rsid w:val="00AC2C12"/>
    <w:rsid w:val="00AC3E40"/>
    <w:rsid w:val="00AC405C"/>
    <w:rsid w:val="00AC4DA1"/>
    <w:rsid w:val="00AC52CA"/>
    <w:rsid w:val="00AC62CB"/>
    <w:rsid w:val="00AC63F4"/>
    <w:rsid w:val="00AC70CD"/>
    <w:rsid w:val="00AC75CB"/>
    <w:rsid w:val="00AC79FF"/>
    <w:rsid w:val="00AC7B07"/>
    <w:rsid w:val="00AC7CFD"/>
    <w:rsid w:val="00AD0DE5"/>
    <w:rsid w:val="00AD120D"/>
    <w:rsid w:val="00AD1231"/>
    <w:rsid w:val="00AD1377"/>
    <w:rsid w:val="00AD141A"/>
    <w:rsid w:val="00AD1E49"/>
    <w:rsid w:val="00AD23B3"/>
    <w:rsid w:val="00AD25E8"/>
    <w:rsid w:val="00AD26CE"/>
    <w:rsid w:val="00AD2F90"/>
    <w:rsid w:val="00AD3AF3"/>
    <w:rsid w:val="00AD4006"/>
    <w:rsid w:val="00AD4525"/>
    <w:rsid w:val="00AD461B"/>
    <w:rsid w:val="00AD4682"/>
    <w:rsid w:val="00AD4B4B"/>
    <w:rsid w:val="00AD4C8B"/>
    <w:rsid w:val="00AD6478"/>
    <w:rsid w:val="00AD711F"/>
    <w:rsid w:val="00AE04C2"/>
    <w:rsid w:val="00AE0F65"/>
    <w:rsid w:val="00AE0FE2"/>
    <w:rsid w:val="00AE1BD9"/>
    <w:rsid w:val="00AE209A"/>
    <w:rsid w:val="00AE2F8E"/>
    <w:rsid w:val="00AE34DA"/>
    <w:rsid w:val="00AE34DF"/>
    <w:rsid w:val="00AE3E34"/>
    <w:rsid w:val="00AE3F33"/>
    <w:rsid w:val="00AE463E"/>
    <w:rsid w:val="00AE4714"/>
    <w:rsid w:val="00AE6255"/>
    <w:rsid w:val="00AE6AFF"/>
    <w:rsid w:val="00AE6EF2"/>
    <w:rsid w:val="00AE737D"/>
    <w:rsid w:val="00AE7A01"/>
    <w:rsid w:val="00AE7A41"/>
    <w:rsid w:val="00AE7D25"/>
    <w:rsid w:val="00AF075F"/>
    <w:rsid w:val="00AF0F44"/>
    <w:rsid w:val="00AF1CEC"/>
    <w:rsid w:val="00AF3FCE"/>
    <w:rsid w:val="00AF457E"/>
    <w:rsid w:val="00AF4AAD"/>
    <w:rsid w:val="00AF4ED9"/>
    <w:rsid w:val="00AF5448"/>
    <w:rsid w:val="00AF5834"/>
    <w:rsid w:val="00AF635D"/>
    <w:rsid w:val="00AF64D4"/>
    <w:rsid w:val="00AF7A9E"/>
    <w:rsid w:val="00B007C6"/>
    <w:rsid w:val="00B01291"/>
    <w:rsid w:val="00B01A17"/>
    <w:rsid w:val="00B025DC"/>
    <w:rsid w:val="00B02772"/>
    <w:rsid w:val="00B02828"/>
    <w:rsid w:val="00B03A77"/>
    <w:rsid w:val="00B047C1"/>
    <w:rsid w:val="00B05114"/>
    <w:rsid w:val="00B051B9"/>
    <w:rsid w:val="00B054B1"/>
    <w:rsid w:val="00B063E7"/>
    <w:rsid w:val="00B06EC6"/>
    <w:rsid w:val="00B0714A"/>
    <w:rsid w:val="00B074F2"/>
    <w:rsid w:val="00B075F1"/>
    <w:rsid w:val="00B076A0"/>
    <w:rsid w:val="00B10049"/>
    <w:rsid w:val="00B102CC"/>
    <w:rsid w:val="00B10AEE"/>
    <w:rsid w:val="00B119DF"/>
    <w:rsid w:val="00B11F49"/>
    <w:rsid w:val="00B129FC"/>
    <w:rsid w:val="00B1329A"/>
    <w:rsid w:val="00B1360E"/>
    <w:rsid w:val="00B13BE3"/>
    <w:rsid w:val="00B13C96"/>
    <w:rsid w:val="00B13D9F"/>
    <w:rsid w:val="00B1499D"/>
    <w:rsid w:val="00B14F45"/>
    <w:rsid w:val="00B15D95"/>
    <w:rsid w:val="00B16C48"/>
    <w:rsid w:val="00B1790F"/>
    <w:rsid w:val="00B17FB6"/>
    <w:rsid w:val="00B2003F"/>
    <w:rsid w:val="00B20D92"/>
    <w:rsid w:val="00B20E24"/>
    <w:rsid w:val="00B21300"/>
    <w:rsid w:val="00B2156A"/>
    <w:rsid w:val="00B216A0"/>
    <w:rsid w:val="00B2299A"/>
    <w:rsid w:val="00B235F8"/>
    <w:rsid w:val="00B24066"/>
    <w:rsid w:val="00B24AB8"/>
    <w:rsid w:val="00B24B21"/>
    <w:rsid w:val="00B24F19"/>
    <w:rsid w:val="00B2505B"/>
    <w:rsid w:val="00B25B44"/>
    <w:rsid w:val="00B26268"/>
    <w:rsid w:val="00B26398"/>
    <w:rsid w:val="00B265AF"/>
    <w:rsid w:val="00B26B85"/>
    <w:rsid w:val="00B303B0"/>
    <w:rsid w:val="00B31589"/>
    <w:rsid w:val="00B31910"/>
    <w:rsid w:val="00B31A9D"/>
    <w:rsid w:val="00B32994"/>
    <w:rsid w:val="00B32EAA"/>
    <w:rsid w:val="00B333C2"/>
    <w:rsid w:val="00B338C6"/>
    <w:rsid w:val="00B33D5D"/>
    <w:rsid w:val="00B3417F"/>
    <w:rsid w:val="00B34612"/>
    <w:rsid w:val="00B34BFF"/>
    <w:rsid w:val="00B35431"/>
    <w:rsid w:val="00B356EA"/>
    <w:rsid w:val="00B3627F"/>
    <w:rsid w:val="00B365C9"/>
    <w:rsid w:val="00B36CBE"/>
    <w:rsid w:val="00B373AC"/>
    <w:rsid w:val="00B373FB"/>
    <w:rsid w:val="00B37C1C"/>
    <w:rsid w:val="00B37D64"/>
    <w:rsid w:val="00B40010"/>
    <w:rsid w:val="00B40346"/>
    <w:rsid w:val="00B4042C"/>
    <w:rsid w:val="00B41C1D"/>
    <w:rsid w:val="00B41F46"/>
    <w:rsid w:val="00B42795"/>
    <w:rsid w:val="00B4297A"/>
    <w:rsid w:val="00B438F7"/>
    <w:rsid w:val="00B43932"/>
    <w:rsid w:val="00B43AE9"/>
    <w:rsid w:val="00B43CED"/>
    <w:rsid w:val="00B4419E"/>
    <w:rsid w:val="00B44CC6"/>
    <w:rsid w:val="00B461EE"/>
    <w:rsid w:val="00B464D0"/>
    <w:rsid w:val="00B46EF3"/>
    <w:rsid w:val="00B4725C"/>
    <w:rsid w:val="00B474EA"/>
    <w:rsid w:val="00B47680"/>
    <w:rsid w:val="00B47907"/>
    <w:rsid w:val="00B50DFC"/>
    <w:rsid w:val="00B51990"/>
    <w:rsid w:val="00B51E5B"/>
    <w:rsid w:val="00B52610"/>
    <w:rsid w:val="00B540CE"/>
    <w:rsid w:val="00B5413D"/>
    <w:rsid w:val="00B54513"/>
    <w:rsid w:val="00B54849"/>
    <w:rsid w:val="00B553BE"/>
    <w:rsid w:val="00B55563"/>
    <w:rsid w:val="00B5657B"/>
    <w:rsid w:val="00B56D0C"/>
    <w:rsid w:val="00B56D3E"/>
    <w:rsid w:val="00B56FE0"/>
    <w:rsid w:val="00B5748E"/>
    <w:rsid w:val="00B5769F"/>
    <w:rsid w:val="00B57C37"/>
    <w:rsid w:val="00B60099"/>
    <w:rsid w:val="00B617D7"/>
    <w:rsid w:val="00B61984"/>
    <w:rsid w:val="00B61EF5"/>
    <w:rsid w:val="00B620BD"/>
    <w:rsid w:val="00B62259"/>
    <w:rsid w:val="00B62AE2"/>
    <w:rsid w:val="00B633ED"/>
    <w:rsid w:val="00B63516"/>
    <w:rsid w:val="00B63E1B"/>
    <w:rsid w:val="00B63E37"/>
    <w:rsid w:val="00B641E4"/>
    <w:rsid w:val="00B651CE"/>
    <w:rsid w:val="00B659C9"/>
    <w:rsid w:val="00B65BC1"/>
    <w:rsid w:val="00B66697"/>
    <w:rsid w:val="00B66E51"/>
    <w:rsid w:val="00B67AB4"/>
    <w:rsid w:val="00B67F13"/>
    <w:rsid w:val="00B71214"/>
    <w:rsid w:val="00B71E04"/>
    <w:rsid w:val="00B72757"/>
    <w:rsid w:val="00B72F0B"/>
    <w:rsid w:val="00B73689"/>
    <w:rsid w:val="00B73C55"/>
    <w:rsid w:val="00B73E59"/>
    <w:rsid w:val="00B73EA0"/>
    <w:rsid w:val="00B74034"/>
    <w:rsid w:val="00B74184"/>
    <w:rsid w:val="00B76A61"/>
    <w:rsid w:val="00B76AD6"/>
    <w:rsid w:val="00B7713C"/>
    <w:rsid w:val="00B77B78"/>
    <w:rsid w:val="00B77E7D"/>
    <w:rsid w:val="00B80050"/>
    <w:rsid w:val="00B802A4"/>
    <w:rsid w:val="00B804DF"/>
    <w:rsid w:val="00B80502"/>
    <w:rsid w:val="00B80C16"/>
    <w:rsid w:val="00B8194B"/>
    <w:rsid w:val="00B81C13"/>
    <w:rsid w:val="00B81D16"/>
    <w:rsid w:val="00B81D5F"/>
    <w:rsid w:val="00B81E81"/>
    <w:rsid w:val="00B820C3"/>
    <w:rsid w:val="00B82246"/>
    <w:rsid w:val="00B82318"/>
    <w:rsid w:val="00B83991"/>
    <w:rsid w:val="00B83BB2"/>
    <w:rsid w:val="00B84B1B"/>
    <w:rsid w:val="00B84B8C"/>
    <w:rsid w:val="00B84C33"/>
    <w:rsid w:val="00B85180"/>
    <w:rsid w:val="00B85480"/>
    <w:rsid w:val="00B854C4"/>
    <w:rsid w:val="00B854E4"/>
    <w:rsid w:val="00B85720"/>
    <w:rsid w:val="00B85875"/>
    <w:rsid w:val="00B85DDF"/>
    <w:rsid w:val="00B8661D"/>
    <w:rsid w:val="00B866B5"/>
    <w:rsid w:val="00B86A97"/>
    <w:rsid w:val="00B86AE3"/>
    <w:rsid w:val="00B86E19"/>
    <w:rsid w:val="00B873BD"/>
    <w:rsid w:val="00B877BC"/>
    <w:rsid w:val="00B87CBE"/>
    <w:rsid w:val="00B9076A"/>
    <w:rsid w:val="00B9086C"/>
    <w:rsid w:val="00B909F7"/>
    <w:rsid w:val="00B90C93"/>
    <w:rsid w:val="00B90D2D"/>
    <w:rsid w:val="00B90D62"/>
    <w:rsid w:val="00B910CD"/>
    <w:rsid w:val="00B912AC"/>
    <w:rsid w:val="00B91951"/>
    <w:rsid w:val="00B9228F"/>
    <w:rsid w:val="00B922C6"/>
    <w:rsid w:val="00B9231C"/>
    <w:rsid w:val="00B92642"/>
    <w:rsid w:val="00B9286D"/>
    <w:rsid w:val="00B92B6F"/>
    <w:rsid w:val="00B92CF4"/>
    <w:rsid w:val="00B92D8A"/>
    <w:rsid w:val="00B930DA"/>
    <w:rsid w:val="00B93337"/>
    <w:rsid w:val="00B93516"/>
    <w:rsid w:val="00B935D2"/>
    <w:rsid w:val="00B93608"/>
    <w:rsid w:val="00B93A8C"/>
    <w:rsid w:val="00B93AAB"/>
    <w:rsid w:val="00B96D9E"/>
    <w:rsid w:val="00B97FE2"/>
    <w:rsid w:val="00BA0418"/>
    <w:rsid w:val="00BA06BC"/>
    <w:rsid w:val="00BA06E5"/>
    <w:rsid w:val="00BA0798"/>
    <w:rsid w:val="00BA090F"/>
    <w:rsid w:val="00BA0D2E"/>
    <w:rsid w:val="00BA0F39"/>
    <w:rsid w:val="00BA11C8"/>
    <w:rsid w:val="00BA1B2D"/>
    <w:rsid w:val="00BA1BDA"/>
    <w:rsid w:val="00BA2590"/>
    <w:rsid w:val="00BA2A05"/>
    <w:rsid w:val="00BA2EFD"/>
    <w:rsid w:val="00BA312D"/>
    <w:rsid w:val="00BA36E0"/>
    <w:rsid w:val="00BA3BFC"/>
    <w:rsid w:val="00BA3EF3"/>
    <w:rsid w:val="00BA3F76"/>
    <w:rsid w:val="00BA4BB2"/>
    <w:rsid w:val="00BA542D"/>
    <w:rsid w:val="00BA55DD"/>
    <w:rsid w:val="00BA5943"/>
    <w:rsid w:val="00BA5CEE"/>
    <w:rsid w:val="00BA5E29"/>
    <w:rsid w:val="00BA6D0F"/>
    <w:rsid w:val="00BA6F7A"/>
    <w:rsid w:val="00BA72A2"/>
    <w:rsid w:val="00BA7407"/>
    <w:rsid w:val="00BA76AB"/>
    <w:rsid w:val="00BA7F9C"/>
    <w:rsid w:val="00BB0392"/>
    <w:rsid w:val="00BB0CDE"/>
    <w:rsid w:val="00BB0F50"/>
    <w:rsid w:val="00BB1404"/>
    <w:rsid w:val="00BB1406"/>
    <w:rsid w:val="00BB170B"/>
    <w:rsid w:val="00BB1E87"/>
    <w:rsid w:val="00BB28CF"/>
    <w:rsid w:val="00BB2FDD"/>
    <w:rsid w:val="00BB2FEA"/>
    <w:rsid w:val="00BB2FEE"/>
    <w:rsid w:val="00BB3037"/>
    <w:rsid w:val="00BB33D5"/>
    <w:rsid w:val="00BB35D2"/>
    <w:rsid w:val="00BB35DA"/>
    <w:rsid w:val="00BB438E"/>
    <w:rsid w:val="00BB4E10"/>
    <w:rsid w:val="00BB5514"/>
    <w:rsid w:val="00BB551F"/>
    <w:rsid w:val="00BB6057"/>
    <w:rsid w:val="00BB61E4"/>
    <w:rsid w:val="00BB62DE"/>
    <w:rsid w:val="00BB64B0"/>
    <w:rsid w:val="00BB68FA"/>
    <w:rsid w:val="00BB6A5C"/>
    <w:rsid w:val="00BB6A75"/>
    <w:rsid w:val="00BB70DC"/>
    <w:rsid w:val="00BB71D6"/>
    <w:rsid w:val="00BB76B6"/>
    <w:rsid w:val="00BB76F3"/>
    <w:rsid w:val="00BC0525"/>
    <w:rsid w:val="00BC1214"/>
    <w:rsid w:val="00BC14FD"/>
    <w:rsid w:val="00BC21F4"/>
    <w:rsid w:val="00BC239C"/>
    <w:rsid w:val="00BC2E63"/>
    <w:rsid w:val="00BC343D"/>
    <w:rsid w:val="00BC372C"/>
    <w:rsid w:val="00BC38E9"/>
    <w:rsid w:val="00BC4499"/>
    <w:rsid w:val="00BC4C2E"/>
    <w:rsid w:val="00BC4F5B"/>
    <w:rsid w:val="00BC5625"/>
    <w:rsid w:val="00BC5CFA"/>
    <w:rsid w:val="00BC5F33"/>
    <w:rsid w:val="00BC610F"/>
    <w:rsid w:val="00BC62DC"/>
    <w:rsid w:val="00BC6C71"/>
    <w:rsid w:val="00BC6C98"/>
    <w:rsid w:val="00BC6D04"/>
    <w:rsid w:val="00BC7512"/>
    <w:rsid w:val="00BC757B"/>
    <w:rsid w:val="00BC7594"/>
    <w:rsid w:val="00BD166F"/>
    <w:rsid w:val="00BD1C8A"/>
    <w:rsid w:val="00BD2391"/>
    <w:rsid w:val="00BD24E3"/>
    <w:rsid w:val="00BD2659"/>
    <w:rsid w:val="00BD27CC"/>
    <w:rsid w:val="00BD2B15"/>
    <w:rsid w:val="00BD2BF8"/>
    <w:rsid w:val="00BD3147"/>
    <w:rsid w:val="00BD315C"/>
    <w:rsid w:val="00BD3C76"/>
    <w:rsid w:val="00BD3EC7"/>
    <w:rsid w:val="00BD3FA7"/>
    <w:rsid w:val="00BD4EA0"/>
    <w:rsid w:val="00BD5B3E"/>
    <w:rsid w:val="00BD5D75"/>
    <w:rsid w:val="00BD5E12"/>
    <w:rsid w:val="00BD5F99"/>
    <w:rsid w:val="00BD6589"/>
    <w:rsid w:val="00BD72A4"/>
    <w:rsid w:val="00BD7713"/>
    <w:rsid w:val="00BD7920"/>
    <w:rsid w:val="00BD7BAB"/>
    <w:rsid w:val="00BE005D"/>
    <w:rsid w:val="00BE0AF1"/>
    <w:rsid w:val="00BE0B8C"/>
    <w:rsid w:val="00BE0BAF"/>
    <w:rsid w:val="00BE27D6"/>
    <w:rsid w:val="00BE29D4"/>
    <w:rsid w:val="00BE3113"/>
    <w:rsid w:val="00BE4A06"/>
    <w:rsid w:val="00BE4C4F"/>
    <w:rsid w:val="00BE566D"/>
    <w:rsid w:val="00BE5C31"/>
    <w:rsid w:val="00BE6827"/>
    <w:rsid w:val="00BE6F92"/>
    <w:rsid w:val="00BE7216"/>
    <w:rsid w:val="00BE7873"/>
    <w:rsid w:val="00BF04C1"/>
    <w:rsid w:val="00BF2CCA"/>
    <w:rsid w:val="00BF2E09"/>
    <w:rsid w:val="00BF3039"/>
    <w:rsid w:val="00BF3598"/>
    <w:rsid w:val="00BF39F5"/>
    <w:rsid w:val="00BF4CA7"/>
    <w:rsid w:val="00BF4E04"/>
    <w:rsid w:val="00BF50E6"/>
    <w:rsid w:val="00BF52BD"/>
    <w:rsid w:val="00BF5574"/>
    <w:rsid w:val="00BF6042"/>
    <w:rsid w:val="00BF6081"/>
    <w:rsid w:val="00BF64AD"/>
    <w:rsid w:val="00BF683D"/>
    <w:rsid w:val="00BF6CA9"/>
    <w:rsid w:val="00BF7A43"/>
    <w:rsid w:val="00BF7B85"/>
    <w:rsid w:val="00BF7C4D"/>
    <w:rsid w:val="00BF7C72"/>
    <w:rsid w:val="00C00FE5"/>
    <w:rsid w:val="00C0165E"/>
    <w:rsid w:val="00C027BA"/>
    <w:rsid w:val="00C02DB8"/>
    <w:rsid w:val="00C03B5E"/>
    <w:rsid w:val="00C03DEF"/>
    <w:rsid w:val="00C03DFC"/>
    <w:rsid w:val="00C03E55"/>
    <w:rsid w:val="00C043DB"/>
    <w:rsid w:val="00C04618"/>
    <w:rsid w:val="00C04D51"/>
    <w:rsid w:val="00C052C5"/>
    <w:rsid w:val="00C053DC"/>
    <w:rsid w:val="00C0561B"/>
    <w:rsid w:val="00C067D5"/>
    <w:rsid w:val="00C068F7"/>
    <w:rsid w:val="00C06B03"/>
    <w:rsid w:val="00C075B6"/>
    <w:rsid w:val="00C077A1"/>
    <w:rsid w:val="00C07A34"/>
    <w:rsid w:val="00C07ABA"/>
    <w:rsid w:val="00C07C79"/>
    <w:rsid w:val="00C10A48"/>
    <w:rsid w:val="00C10B38"/>
    <w:rsid w:val="00C10D21"/>
    <w:rsid w:val="00C1315B"/>
    <w:rsid w:val="00C13DF7"/>
    <w:rsid w:val="00C14234"/>
    <w:rsid w:val="00C14567"/>
    <w:rsid w:val="00C146FD"/>
    <w:rsid w:val="00C14EEF"/>
    <w:rsid w:val="00C1511B"/>
    <w:rsid w:val="00C152CC"/>
    <w:rsid w:val="00C153D9"/>
    <w:rsid w:val="00C15676"/>
    <w:rsid w:val="00C15765"/>
    <w:rsid w:val="00C15C3F"/>
    <w:rsid w:val="00C15C90"/>
    <w:rsid w:val="00C15C99"/>
    <w:rsid w:val="00C1611A"/>
    <w:rsid w:val="00C161BA"/>
    <w:rsid w:val="00C16941"/>
    <w:rsid w:val="00C17373"/>
    <w:rsid w:val="00C17A80"/>
    <w:rsid w:val="00C2037B"/>
    <w:rsid w:val="00C20BAC"/>
    <w:rsid w:val="00C219B4"/>
    <w:rsid w:val="00C21B1F"/>
    <w:rsid w:val="00C21D4A"/>
    <w:rsid w:val="00C21F32"/>
    <w:rsid w:val="00C21FBB"/>
    <w:rsid w:val="00C22B9A"/>
    <w:rsid w:val="00C22F73"/>
    <w:rsid w:val="00C22FA4"/>
    <w:rsid w:val="00C23465"/>
    <w:rsid w:val="00C23564"/>
    <w:rsid w:val="00C23A0E"/>
    <w:rsid w:val="00C23C81"/>
    <w:rsid w:val="00C24F03"/>
    <w:rsid w:val="00C25340"/>
    <w:rsid w:val="00C2583D"/>
    <w:rsid w:val="00C25B85"/>
    <w:rsid w:val="00C2671A"/>
    <w:rsid w:val="00C279A3"/>
    <w:rsid w:val="00C30044"/>
    <w:rsid w:val="00C31607"/>
    <w:rsid w:val="00C3234E"/>
    <w:rsid w:val="00C32B84"/>
    <w:rsid w:val="00C32CA9"/>
    <w:rsid w:val="00C32E25"/>
    <w:rsid w:val="00C330E2"/>
    <w:rsid w:val="00C33DC2"/>
    <w:rsid w:val="00C3461D"/>
    <w:rsid w:val="00C34C6D"/>
    <w:rsid w:val="00C35130"/>
    <w:rsid w:val="00C3518E"/>
    <w:rsid w:val="00C35323"/>
    <w:rsid w:val="00C35C71"/>
    <w:rsid w:val="00C362EB"/>
    <w:rsid w:val="00C36483"/>
    <w:rsid w:val="00C366D5"/>
    <w:rsid w:val="00C368D3"/>
    <w:rsid w:val="00C36D5F"/>
    <w:rsid w:val="00C3735B"/>
    <w:rsid w:val="00C37790"/>
    <w:rsid w:val="00C37D58"/>
    <w:rsid w:val="00C37E9F"/>
    <w:rsid w:val="00C4028C"/>
    <w:rsid w:val="00C41815"/>
    <w:rsid w:val="00C41B7B"/>
    <w:rsid w:val="00C4369C"/>
    <w:rsid w:val="00C43A45"/>
    <w:rsid w:val="00C43EEE"/>
    <w:rsid w:val="00C449A9"/>
    <w:rsid w:val="00C45CA7"/>
    <w:rsid w:val="00C45F6D"/>
    <w:rsid w:val="00C460F0"/>
    <w:rsid w:val="00C465BB"/>
    <w:rsid w:val="00C465C5"/>
    <w:rsid w:val="00C46903"/>
    <w:rsid w:val="00C46D7F"/>
    <w:rsid w:val="00C46E5C"/>
    <w:rsid w:val="00C5090D"/>
    <w:rsid w:val="00C51D00"/>
    <w:rsid w:val="00C522D8"/>
    <w:rsid w:val="00C532FE"/>
    <w:rsid w:val="00C53BCF"/>
    <w:rsid w:val="00C54144"/>
    <w:rsid w:val="00C542F7"/>
    <w:rsid w:val="00C5435F"/>
    <w:rsid w:val="00C54444"/>
    <w:rsid w:val="00C5498A"/>
    <w:rsid w:val="00C55FEB"/>
    <w:rsid w:val="00C56153"/>
    <w:rsid w:val="00C56342"/>
    <w:rsid w:val="00C56D74"/>
    <w:rsid w:val="00C57731"/>
    <w:rsid w:val="00C5785E"/>
    <w:rsid w:val="00C57874"/>
    <w:rsid w:val="00C607A1"/>
    <w:rsid w:val="00C60CD3"/>
    <w:rsid w:val="00C61673"/>
    <w:rsid w:val="00C61834"/>
    <w:rsid w:val="00C61E54"/>
    <w:rsid w:val="00C61EC0"/>
    <w:rsid w:val="00C635A5"/>
    <w:rsid w:val="00C6448B"/>
    <w:rsid w:val="00C64F84"/>
    <w:rsid w:val="00C650B8"/>
    <w:rsid w:val="00C65C99"/>
    <w:rsid w:val="00C66BEF"/>
    <w:rsid w:val="00C676F9"/>
    <w:rsid w:val="00C70C6C"/>
    <w:rsid w:val="00C71DA1"/>
    <w:rsid w:val="00C7227D"/>
    <w:rsid w:val="00C7231A"/>
    <w:rsid w:val="00C725EE"/>
    <w:rsid w:val="00C725FC"/>
    <w:rsid w:val="00C72EA3"/>
    <w:rsid w:val="00C72F6D"/>
    <w:rsid w:val="00C73832"/>
    <w:rsid w:val="00C74208"/>
    <w:rsid w:val="00C74801"/>
    <w:rsid w:val="00C75853"/>
    <w:rsid w:val="00C75AB8"/>
    <w:rsid w:val="00C75FB9"/>
    <w:rsid w:val="00C76DD3"/>
    <w:rsid w:val="00C774DD"/>
    <w:rsid w:val="00C77860"/>
    <w:rsid w:val="00C77946"/>
    <w:rsid w:val="00C77DD4"/>
    <w:rsid w:val="00C803BD"/>
    <w:rsid w:val="00C809FA"/>
    <w:rsid w:val="00C81027"/>
    <w:rsid w:val="00C82378"/>
    <w:rsid w:val="00C824F0"/>
    <w:rsid w:val="00C82E6E"/>
    <w:rsid w:val="00C832DF"/>
    <w:rsid w:val="00C835BA"/>
    <w:rsid w:val="00C83DB2"/>
    <w:rsid w:val="00C83F1A"/>
    <w:rsid w:val="00C8463E"/>
    <w:rsid w:val="00C847D9"/>
    <w:rsid w:val="00C84CE3"/>
    <w:rsid w:val="00C850CB"/>
    <w:rsid w:val="00C8587F"/>
    <w:rsid w:val="00C85905"/>
    <w:rsid w:val="00C85BFD"/>
    <w:rsid w:val="00C85F05"/>
    <w:rsid w:val="00C85FF5"/>
    <w:rsid w:val="00C8672F"/>
    <w:rsid w:val="00C86CCB"/>
    <w:rsid w:val="00C86F3F"/>
    <w:rsid w:val="00C87D21"/>
    <w:rsid w:val="00C90A60"/>
    <w:rsid w:val="00C9192C"/>
    <w:rsid w:val="00C91ECB"/>
    <w:rsid w:val="00C924C0"/>
    <w:rsid w:val="00C925D0"/>
    <w:rsid w:val="00C92665"/>
    <w:rsid w:val="00C935A5"/>
    <w:rsid w:val="00C935BD"/>
    <w:rsid w:val="00C93607"/>
    <w:rsid w:val="00C93A94"/>
    <w:rsid w:val="00C93B78"/>
    <w:rsid w:val="00C93D12"/>
    <w:rsid w:val="00C93DD6"/>
    <w:rsid w:val="00C944D9"/>
    <w:rsid w:val="00C9488B"/>
    <w:rsid w:val="00C948D7"/>
    <w:rsid w:val="00C95BDD"/>
    <w:rsid w:val="00C9663C"/>
    <w:rsid w:val="00C9669C"/>
    <w:rsid w:val="00C96AEC"/>
    <w:rsid w:val="00C96ED4"/>
    <w:rsid w:val="00C96F97"/>
    <w:rsid w:val="00C97715"/>
    <w:rsid w:val="00C97857"/>
    <w:rsid w:val="00CA0276"/>
    <w:rsid w:val="00CA05AE"/>
    <w:rsid w:val="00CA08C3"/>
    <w:rsid w:val="00CA0DCF"/>
    <w:rsid w:val="00CA0E1B"/>
    <w:rsid w:val="00CA132C"/>
    <w:rsid w:val="00CA1611"/>
    <w:rsid w:val="00CA1A85"/>
    <w:rsid w:val="00CA1B13"/>
    <w:rsid w:val="00CA1EE1"/>
    <w:rsid w:val="00CA22BD"/>
    <w:rsid w:val="00CA242D"/>
    <w:rsid w:val="00CA2764"/>
    <w:rsid w:val="00CA2B91"/>
    <w:rsid w:val="00CA2D74"/>
    <w:rsid w:val="00CA2E45"/>
    <w:rsid w:val="00CA3900"/>
    <w:rsid w:val="00CA3F68"/>
    <w:rsid w:val="00CA4A31"/>
    <w:rsid w:val="00CA5665"/>
    <w:rsid w:val="00CA5CAA"/>
    <w:rsid w:val="00CA5F2D"/>
    <w:rsid w:val="00CA6352"/>
    <w:rsid w:val="00CA766E"/>
    <w:rsid w:val="00CA78C4"/>
    <w:rsid w:val="00CA7BCC"/>
    <w:rsid w:val="00CB0BEF"/>
    <w:rsid w:val="00CB1405"/>
    <w:rsid w:val="00CB1B39"/>
    <w:rsid w:val="00CB3231"/>
    <w:rsid w:val="00CB39E1"/>
    <w:rsid w:val="00CB41EB"/>
    <w:rsid w:val="00CB45DC"/>
    <w:rsid w:val="00CB49C7"/>
    <w:rsid w:val="00CB514B"/>
    <w:rsid w:val="00CB566D"/>
    <w:rsid w:val="00CB5DCE"/>
    <w:rsid w:val="00CB5EE1"/>
    <w:rsid w:val="00CB606D"/>
    <w:rsid w:val="00CB6664"/>
    <w:rsid w:val="00CB6851"/>
    <w:rsid w:val="00CB717D"/>
    <w:rsid w:val="00CB76E3"/>
    <w:rsid w:val="00CB7D60"/>
    <w:rsid w:val="00CC0108"/>
    <w:rsid w:val="00CC014C"/>
    <w:rsid w:val="00CC056A"/>
    <w:rsid w:val="00CC0776"/>
    <w:rsid w:val="00CC0CD6"/>
    <w:rsid w:val="00CC1BDB"/>
    <w:rsid w:val="00CC1FEF"/>
    <w:rsid w:val="00CC2128"/>
    <w:rsid w:val="00CC248A"/>
    <w:rsid w:val="00CC334D"/>
    <w:rsid w:val="00CC342E"/>
    <w:rsid w:val="00CC39B7"/>
    <w:rsid w:val="00CC3F25"/>
    <w:rsid w:val="00CC424D"/>
    <w:rsid w:val="00CC48D9"/>
    <w:rsid w:val="00CC4E87"/>
    <w:rsid w:val="00CC564B"/>
    <w:rsid w:val="00CC5779"/>
    <w:rsid w:val="00CC5B9E"/>
    <w:rsid w:val="00CC5D62"/>
    <w:rsid w:val="00CC62E3"/>
    <w:rsid w:val="00CC664E"/>
    <w:rsid w:val="00CC68D7"/>
    <w:rsid w:val="00CC6F49"/>
    <w:rsid w:val="00CC7AA4"/>
    <w:rsid w:val="00CD0042"/>
    <w:rsid w:val="00CD0A7B"/>
    <w:rsid w:val="00CD10BE"/>
    <w:rsid w:val="00CD1788"/>
    <w:rsid w:val="00CD29D3"/>
    <w:rsid w:val="00CD3136"/>
    <w:rsid w:val="00CD3986"/>
    <w:rsid w:val="00CD48F1"/>
    <w:rsid w:val="00CD4A36"/>
    <w:rsid w:val="00CD4A59"/>
    <w:rsid w:val="00CD56B0"/>
    <w:rsid w:val="00CD5922"/>
    <w:rsid w:val="00CD67DC"/>
    <w:rsid w:val="00CD6B55"/>
    <w:rsid w:val="00CD6DB5"/>
    <w:rsid w:val="00CD7F43"/>
    <w:rsid w:val="00CD7F9F"/>
    <w:rsid w:val="00CE04B3"/>
    <w:rsid w:val="00CE0566"/>
    <w:rsid w:val="00CE156B"/>
    <w:rsid w:val="00CE1E0A"/>
    <w:rsid w:val="00CE212F"/>
    <w:rsid w:val="00CE2295"/>
    <w:rsid w:val="00CE24CF"/>
    <w:rsid w:val="00CE3507"/>
    <w:rsid w:val="00CE35FA"/>
    <w:rsid w:val="00CE45DA"/>
    <w:rsid w:val="00CE4B29"/>
    <w:rsid w:val="00CE5056"/>
    <w:rsid w:val="00CE54D9"/>
    <w:rsid w:val="00CE580A"/>
    <w:rsid w:val="00CE5AD8"/>
    <w:rsid w:val="00CE694F"/>
    <w:rsid w:val="00CE6CB8"/>
    <w:rsid w:val="00CE794F"/>
    <w:rsid w:val="00CE796A"/>
    <w:rsid w:val="00CE7AF8"/>
    <w:rsid w:val="00CF0DE9"/>
    <w:rsid w:val="00CF33C6"/>
    <w:rsid w:val="00CF377B"/>
    <w:rsid w:val="00CF43B4"/>
    <w:rsid w:val="00CF4EFE"/>
    <w:rsid w:val="00CF58D3"/>
    <w:rsid w:val="00CF6299"/>
    <w:rsid w:val="00CF640E"/>
    <w:rsid w:val="00CF6708"/>
    <w:rsid w:val="00CF68DC"/>
    <w:rsid w:val="00CF6F54"/>
    <w:rsid w:val="00CF7A35"/>
    <w:rsid w:val="00D0105A"/>
    <w:rsid w:val="00D01A6A"/>
    <w:rsid w:val="00D024D7"/>
    <w:rsid w:val="00D0279E"/>
    <w:rsid w:val="00D02C99"/>
    <w:rsid w:val="00D031EA"/>
    <w:rsid w:val="00D032DD"/>
    <w:rsid w:val="00D0383F"/>
    <w:rsid w:val="00D038FF"/>
    <w:rsid w:val="00D03C66"/>
    <w:rsid w:val="00D0400A"/>
    <w:rsid w:val="00D04280"/>
    <w:rsid w:val="00D04FD5"/>
    <w:rsid w:val="00D06023"/>
    <w:rsid w:val="00D06A03"/>
    <w:rsid w:val="00D072AE"/>
    <w:rsid w:val="00D1097C"/>
    <w:rsid w:val="00D10E5D"/>
    <w:rsid w:val="00D110A7"/>
    <w:rsid w:val="00D11160"/>
    <w:rsid w:val="00D11DA9"/>
    <w:rsid w:val="00D11DD5"/>
    <w:rsid w:val="00D129D8"/>
    <w:rsid w:val="00D135FE"/>
    <w:rsid w:val="00D13944"/>
    <w:rsid w:val="00D15393"/>
    <w:rsid w:val="00D156B6"/>
    <w:rsid w:val="00D15864"/>
    <w:rsid w:val="00D15D81"/>
    <w:rsid w:val="00D166AB"/>
    <w:rsid w:val="00D16752"/>
    <w:rsid w:val="00D168AE"/>
    <w:rsid w:val="00D17418"/>
    <w:rsid w:val="00D177F6"/>
    <w:rsid w:val="00D17D6E"/>
    <w:rsid w:val="00D2055A"/>
    <w:rsid w:val="00D2164E"/>
    <w:rsid w:val="00D21827"/>
    <w:rsid w:val="00D21DF8"/>
    <w:rsid w:val="00D221DA"/>
    <w:rsid w:val="00D2298A"/>
    <w:rsid w:val="00D2299E"/>
    <w:rsid w:val="00D22D5F"/>
    <w:rsid w:val="00D23B3F"/>
    <w:rsid w:val="00D240AE"/>
    <w:rsid w:val="00D249A7"/>
    <w:rsid w:val="00D25759"/>
    <w:rsid w:val="00D25CC3"/>
    <w:rsid w:val="00D25E7A"/>
    <w:rsid w:val="00D2647E"/>
    <w:rsid w:val="00D2674A"/>
    <w:rsid w:val="00D26F16"/>
    <w:rsid w:val="00D27178"/>
    <w:rsid w:val="00D276BD"/>
    <w:rsid w:val="00D27A40"/>
    <w:rsid w:val="00D27E3B"/>
    <w:rsid w:val="00D30589"/>
    <w:rsid w:val="00D306CF"/>
    <w:rsid w:val="00D306E0"/>
    <w:rsid w:val="00D30A0F"/>
    <w:rsid w:val="00D30D70"/>
    <w:rsid w:val="00D31806"/>
    <w:rsid w:val="00D31A22"/>
    <w:rsid w:val="00D31D62"/>
    <w:rsid w:val="00D32EC2"/>
    <w:rsid w:val="00D32F33"/>
    <w:rsid w:val="00D336C0"/>
    <w:rsid w:val="00D33900"/>
    <w:rsid w:val="00D33A68"/>
    <w:rsid w:val="00D34660"/>
    <w:rsid w:val="00D34B71"/>
    <w:rsid w:val="00D354C9"/>
    <w:rsid w:val="00D357F4"/>
    <w:rsid w:val="00D365FB"/>
    <w:rsid w:val="00D377C8"/>
    <w:rsid w:val="00D3792F"/>
    <w:rsid w:val="00D37ED4"/>
    <w:rsid w:val="00D40148"/>
    <w:rsid w:val="00D408DC"/>
    <w:rsid w:val="00D40F18"/>
    <w:rsid w:val="00D41491"/>
    <w:rsid w:val="00D417DF"/>
    <w:rsid w:val="00D42214"/>
    <w:rsid w:val="00D42776"/>
    <w:rsid w:val="00D4292E"/>
    <w:rsid w:val="00D43699"/>
    <w:rsid w:val="00D43D87"/>
    <w:rsid w:val="00D44E9A"/>
    <w:rsid w:val="00D45070"/>
    <w:rsid w:val="00D45AFB"/>
    <w:rsid w:val="00D460C4"/>
    <w:rsid w:val="00D461F3"/>
    <w:rsid w:val="00D46780"/>
    <w:rsid w:val="00D467E1"/>
    <w:rsid w:val="00D46C13"/>
    <w:rsid w:val="00D470EC"/>
    <w:rsid w:val="00D47357"/>
    <w:rsid w:val="00D476A7"/>
    <w:rsid w:val="00D4775E"/>
    <w:rsid w:val="00D50202"/>
    <w:rsid w:val="00D504BB"/>
    <w:rsid w:val="00D50625"/>
    <w:rsid w:val="00D510D0"/>
    <w:rsid w:val="00D523ED"/>
    <w:rsid w:val="00D525BF"/>
    <w:rsid w:val="00D52BC4"/>
    <w:rsid w:val="00D53625"/>
    <w:rsid w:val="00D540A7"/>
    <w:rsid w:val="00D5443F"/>
    <w:rsid w:val="00D54992"/>
    <w:rsid w:val="00D54EC1"/>
    <w:rsid w:val="00D55203"/>
    <w:rsid w:val="00D5542F"/>
    <w:rsid w:val="00D5693F"/>
    <w:rsid w:val="00D56E67"/>
    <w:rsid w:val="00D57A5D"/>
    <w:rsid w:val="00D57E27"/>
    <w:rsid w:val="00D601B2"/>
    <w:rsid w:val="00D608C1"/>
    <w:rsid w:val="00D613BE"/>
    <w:rsid w:val="00D613CE"/>
    <w:rsid w:val="00D62DDD"/>
    <w:rsid w:val="00D63DB8"/>
    <w:rsid w:val="00D64C00"/>
    <w:rsid w:val="00D64F24"/>
    <w:rsid w:val="00D64F52"/>
    <w:rsid w:val="00D65008"/>
    <w:rsid w:val="00D654A2"/>
    <w:rsid w:val="00D65CC1"/>
    <w:rsid w:val="00D65E7D"/>
    <w:rsid w:val="00D66AA9"/>
    <w:rsid w:val="00D66D59"/>
    <w:rsid w:val="00D679DE"/>
    <w:rsid w:val="00D70613"/>
    <w:rsid w:val="00D708C3"/>
    <w:rsid w:val="00D71512"/>
    <w:rsid w:val="00D71807"/>
    <w:rsid w:val="00D71845"/>
    <w:rsid w:val="00D72210"/>
    <w:rsid w:val="00D7240C"/>
    <w:rsid w:val="00D72778"/>
    <w:rsid w:val="00D72911"/>
    <w:rsid w:val="00D7293E"/>
    <w:rsid w:val="00D72B1F"/>
    <w:rsid w:val="00D72C3E"/>
    <w:rsid w:val="00D72FF2"/>
    <w:rsid w:val="00D7384C"/>
    <w:rsid w:val="00D73AD0"/>
    <w:rsid w:val="00D73B9B"/>
    <w:rsid w:val="00D74547"/>
    <w:rsid w:val="00D74A5F"/>
    <w:rsid w:val="00D75109"/>
    <w:rsid w:val="00D75114"/>
    <w:rsid w:val="00D752B7"/>
    <w:rsid w:val="00D75308"/>
    <w:rsid w:val="00D76EC4"/>
    <w:rsid w:val="00D77322"/>
    <w:rsid w:val="00D77678"/>
    <w:rsid w:val="00D7780E"/>
    <w:rsid w:val="00D77C0F"/>
    <w:rsid w:val="00D77E2D"/>
    <w:rsid w:val="00D80F33"/>
    <w:rsid w:val="00D81300"/>
    <w:rsid w:val="00D81EDB"/>
    <w:rsid w:val="00D82876"/>
    <w:rsid w:val="00D82CB2"/>
    <w:rsid w:val="00D82CB5"/>
    <w:rsid w:val="00D82EA3"/>
    <w:rsid w:val="00D845D9"/>
    <w:rsid w:val="00D84AAA"/>
    <w:rsid w:val="00D84DE1"/>
    <w:rsid w:val="00D85013"/>
    <w:rsid w:val="00D851A2"/>
    <w:rsid w:val="00D853A2"/>
    <w:rsid w:val="00D85481"/>
    <w:rsid w:val="00D859E2"/>
    <w:rsid w:val="00D8614F"/>
    <w:rsid w:val="00D862F0"/>
    <w:rsid w:val="00D866C1"/>
    <w:rsid w:val="00D8697D"/>
    <w:rsid w:val="00D86A2C"/>
    <w:rsid w:val="00D86C86"/>
    <w:rsid w:val="00D86ECB"/>
    <w:rsid w:val="00D870DB"/>
    <w:rsid w:val="00D8729B"/>
    <w:rsid w:val="00D87946"/>
    <w:rsid w:val="00D91154"/>
    <w:rsid w:val="00D91643"/>
    <w:rsid w:val="00D91A84"/>
    <w:rsid w:val="00D927ED"/>
    <w:rsid w:val="00D92CB0"/>
    <w:rsid w:val="00D93614"/>
    <w:rsid w:val="00D93E7E"/>
    <w:rsid w:val="00D94054"/>
    <w:rsid w:val="00D94881"/>
    <w:rsid w:val="00D953B0"/>
    <w:rsid w:val="00D95813"/>
    <w:rsid w:val="00D958BF"/>
    <w:rsid w:val="00D95B05"/>
    <w:rsid w:val="00D969C6"/>
    <w:rsid w:val="00D96A79"/>
    <w:rsid w:val="00D9720C"/>
    <w:rsid w:val="00D97586"/>
    <w:rsid w:val="00DA0382"/>
    <w:rsid w:val="00DA0568"/>
    <w:rsid w:val="00DA0699"/>
    <w:rsid w:val="00DA09FC"/>
    <w:rsid w:val="00DA1673"/>
    <w:rsid w:val="00DA1DA3"/>
    <w:rsid w:val="00DA2558"/>
    <w:rsid w:val="00DA2654"/>
    <w:rsid w:val="00DA3481"/>
    <w:rsid w:val="00DA3B04"/>
    <w:rsid w:val="00DA3C09"/>
    <w:rsid w:val="00DA3FBD"/>
    <w:rsid w:val="00DA4DB8"/>
    <w:rsid w:val="00DA5196"/>
    <w:rsid w:val="00DA5BCC"/>
    <w:rsid w:val="00DA69F8"/>
    <w:rsid w:val="00DA6FAF"/>
    <w:rsid w:val="00DA75F0"/>
    <w:rsid w:val="00DA76A5"/>
    <w:rsid w:val="00DA7A73"/>
    <w:rsid w:val="00DB06D7"/>
    <w:rsid w:val="00DB0DCB"/>
    <w:rsid w:val="00DB13A9"/>
    <w:rsid w:val="00DB1516"/>
    <w:rsid w:val="00DB1874"/>
    <w:rsid w:val="00DB2474"/>
    <w:rsid w:val="00DB24BB"/>
    <w:rsid w:val="00DB29C0"/>
    <w:rsid w:val="00DB2A44"/>
    <w:rsid w:val="00DB2F09"/>
    <w:rsid w:val="00DB2FD3"/>
    <w:rsid w:val="00DB3040"/>
    <w:rsid w:val="00DB34FE"/>
    <w:rsid w:val="00DB3B7B"/>
    <w:rsid w:val="00DB4244"/>
    <w:rsid w:val="00DB4CA8"/>
    <w:rsid w:val="00DB4F87"/>
    <w:rsid w:val="00DB5C1B"/>
    <w:rsid w:val="00DB6AFE"/>
    <w:rsid w:val="00DB6BAE"/>
    <w:rsid w:val="00DB7580"/>
    <w:rsid w:val="00DC0288"/>
    <w:rsid w:val="00DC0D24"/>
    <w:rsid w:val="00DC0F48"/>
    <w:rsid w:val="00DC1410"/>
    <w:rsid w:val="00DC16F0"/>
    <w:rsid w:val="00DC19C7"/>
    <w:rsid w:val="00DC1EAB"/>
    <w:rsid w:val="00DC3731"/>
    <w:rsid w:val="00DC3908"/>
    <w:rsid w:val="00DC3E77"/>
    <w:rsid w:val="00DC421A"/>
    <w:rsid w:val="00DC451F"/>
    <w:rsid w:val="00DC4A0E"/>
    <w:rsid w:val="00DC4BFC"/>
    <w:rsid w:val="00DC5330"/>
    <w:rsid w:val="00DC59BA"/>
    <w:rsid w:val="00DC6A74"/>
    <w:rsid w:val="00DC6FB3"/>
    <w:rsid w:val="00DC73D3"/>
    <w:rsid w:val="00DC73E0"/>
    <w:rsid w:val="00DC7F21"/>
    <w:rsid w:val="00DD155F"/>
    <w:rsid w:val="00DD17AF"/>
    <w:rsid w:val="00DD2B54"/>
    <w:rsid w:val="00DD2C9F"/>
    <w:rsid w:val="00DD2D68"/>
    <w:rsid w:val="00DD3066"/>
    <w:rsid w:val="00DD311C"/>
    <w:rsid w:val="00DD3413"/>
    <w:rsid w:val="00DD3EF4"/>
    <w:rsid w:val="00DD43D7"/>
    <w:rsid w:val="00DD5049"/>
    <w:rsid w:val="00DD605A"/>
    <w:rsid w:val="00DD6496"/>
    <w:rsid w:val="00DD6C32"/>
    <w:rsid w:val="00DD7300"/>
    <w:rsid w:val="00DD7382"/>
    <w:rsid w:val="00DD74A7"/>
    <w:rsid w:val="00DE106A"/>
    <w:rsid w:val="00DE1138"/>
    <w:rsid w:val="00DE15B0"/>
    <w:rsid w:val="00DE170A"/>
    <w:rsid w:val="00DE17D3"/>
    <w:rsid w:val="00DE22B5"/>
    <w:rsid w:val="00DE2D1A"/>
    <w:rsid w:val="00DE371B"/>
    <w:rsid w:val="00DE3846"/>
    <w:rsid w:val="00DE3893"/>
    <w:rsid w:val="00DE4644"/>
    <w:rsid w:val="00DE5284"/>
    <w:rsid w:val="00DE59C9"/>
    <w:rsid w:val="00DE6CA8"/>
    <w:rsid w:val="00DF0080"/>
    <w:rsid w:val="00DF0081"/>
    <w:rsid w:val="00DF051C"/>
    <w:rsid w:val="00DF0702"/>
    <w:rsid w:val="00DF0985"/>
    <w:rsid w:val="00DF1317"/>
    <w:rsid w:val="00DF14AB"/>
    <w:rsid w:val="00DF167A"/>
    <w:rsid w:val="00DF25EA"/>
    <w:rsid w:val="00DF276D"/>
    <w:rsid w:val="00DF2C20"/>
    <w:rsid w:val="00DF32EC"/>
    <w:rsid w:val="00DF389C"/>
    <w:rsid w:val="00DF3CC7"/>
    <w:rsid w:val="00DF495A"/>
    <w:rsid w:val="00DF4EC2"/>
    <w:rsid w:val="00DF5304"/>
    <w:rsid w:val="00DF5367"/>
    <w:rsid w:val="00DF574C"/>
    <w:rsid w:val="00DF5775"/>
    <w:rsid w:val="00DF5DDD"/>
    <w:rsid w:val="00DF5EF1"/>
    <w:rsid w:val="00DF639F"/>
    <w:rsid w:val="00DF6ABC"/>
    <w:rsid w:val="00DF6EB1"/>
    <w:rsid w:val="00DF737E"/>
    <w:rsid w:val="00DF7443"/>
    <w:rsid w:val="00DF74B6"/>
    <w:rsid w:val="00DF7538"/>
    <w:rsid w:val="00E0000F"/>
    <w:rsid w:val="00E0064E"/>
    <w:rsid w:val="00E00691"/>
    <w:rsid w:val="00E00779"/>
    <w:rsid w:val="00E00FAA"/>
    <w:rsid w:val="00E01162"/>
    <w:rsid w:val="00E0248C"/>
    <w:rsid w:val="00E03A24"/>
    <w:rsid w:val="00E03E72"/>
    <w:rsid w:val="00E04953"/>
    <w:rsid w:val="00E052C6"/>
    <w:rsid w:val="00E05AE5"/>
    <w:rsid w:val="00E06110"/>
    <w:rsid w:val="00E06411"/>
    <w:rsid w:val="00E065A4"/>
    <w:rsid w:val="00E0668D"/>
    <w:rsid w:val="00E06C2E"/>
    <w:rsid w:val="00E0711A"/>
    <w:rsid w:val="00E07344"/>
    <w:rsid w:val="00E0737E"/>
    <w:rsid w:val="00E078F7"/>
    <w:rsid w:val="00E07B21"/>
    <w:rsid w:val="00E07EDB"/>
    <w:rsid w:val="00E07FE9"/>
    <w:rsid w:val="00E10829"/>
    <w:rsid w:val="00E1094B"/>
    <w:rsid w:val="00E109F2"/>
    <w:rsid w:val="00E10ACE"/>
    <w:rsid w:val="00E117F4"/>
    <w:rsid w:val="00E118BC"/>
    <w:rsid w:val="00E1269C"/>
    <w:rsid w:val="00E141FB"/>
    <w:rsid w:val="00E148D2"/>
    <w:rsid w:val="00E14E61"/>
    <w:rsid w:val="00E152C4"/>
    <w:rsid w:val="00E15365"/>
    <w:rsid w:val="00E15D18"/>
    <w:rsid w:val="00E15F3F"/>
    <w:rsid w:val="00E16537"/>
    <w:rsid w:val="00E16610"/>
    <w:rsid w:val="00E1668F"/>
    <w:rsid w:val="00E1676E"/>
    <w:rsid w:val="00E168BC"/>
    <w:rsid w:val="00E16C40"/>
    <w:rsid w:val="00E16C80"/>
    <w:rsid w:val="00E173EA"/>
    <w:rsid w:val="00E17847"/>
    <w:rsid w:val="00E17C86"/>
    <w:rsid w:val="00E20114"/>
    <w:rsid w:val="00E20157"/>
    <w:rsid w:val="00E20358"/>
    <w:rsid w:val="00E2035E"/>
    <w:rsid w:val="00E20A77"/>
    <w:rsid w:val="00E20E3F"/>
    <w:rsid w:val="00E2101D"/>
    <w:rsid w:val="00E21CBA"/>
    <w:rsid w:val="00E21F8C"/>
    <w:rsid w:val="00E223F9"/>
    <w:rsid w:val="00E22647"/>
    <w:rsid w:val="00E22AB0"/>
    <w:rsid w:val="00E22E79"/>
    <w:rsid w:val="00E230D4"/>
    <w:rsid w:val="00E2346F"/>
    <w:rsid w:val="00E241C0"/>
    <w:rsid w:val="00E24737"/>
    <w:rsid w:val="00E24982"/>
    <w:rsid w:val="00E24B28"/>
    <w:rsid w:val="00E24FBB"/>
    <w:rsid w:val="00E25729"/>
    <w:rsid w:val="00E25800"/>
    <w:rsid w:val="00E25810"/>
    <w:rsid w:val="00E25A0D"/>
    <w:rsid w:val="00E26857"/>
    <w:rsid w:val="00E2693A"/>
    <w:rsid w:val="00E26B04"/>
    <w:rsid w:val="00E26D10"/>
    <w:rsid w:val="00E26E4B"/>
    <w:rsid w:val="00E271D6"/>
    <w:rsid w:val="00E27226"/>
    <w:rsid w:val="00E2726F"/>
    <w:rsid w:val="00E27623"/>
    <w:rsid w:val="00E27B1A"/>
    <w:rsid w:val="00E3052C"/>
    <w:rsid w:val="00E30730"/>
    <w:rsid w:val="00E30E59"/>
    <w:rsid w:val="00E30E5F"/>
    <w:rsid w:val="00E30ED3"/>
    <w:rsid w:val="00E310C0"/>
    <w:rsid w:val="00E31CBB"/>
    <w:rsid w:val="00E31D22"/>
    <w:rsid w:val="00E31F10"/>
    <w:rsid w:val="00E31F64"/>
    <w:rsid w:val="00E31FF5"/>
    <w:rsid w:val="00E32DFE"/>
    <w:rsid w:val="00E338FD"/>
    <w:rsid w:val="00E33DAE"/>
    <w:rsid w:val="00E34B73"/>
    <w:rsid w:val="00E34EFC"/>
    <w:rsid w:val="00E34F60"/>
    <w:rsid w:val="00E3546E"/>
    <w:rsid w:val="00E355A9"/>
    <w:rsid w:val="00E401FB"/>
    <w:rsid w:val="00E402FA"/>
    <w:rsid w:val="00E40910"/>
    <w:rsid w:val="00E409D1"/>
    <w:rsid w:val="00E40C23"/>
    <w:rsid w:val="00E40CF6"/>
    <w:rsid w:val="00E41008"/>
    <w:rsid w:val="00E41912"/>
    <w:rsid w:val="00E4237A"/>
    <w:rsid w:val="00E42391"/>
    <w:rsid w:val="00E42AED"/>
    <w:rsid w:val="00E42BC1"/>
    <w:rsid w:val="00E43803"/>
    <w:rsid w:val="00E438BE"/>
    <w:rsid w:val="00E43C9E"/>
    <w:rsid w:val="00E449E4"/>
    <w:rsid w:val="00E455B0"/>
    <w:rsid w:val="00E456DB"/>
    <w:rsid w:val="00E45A3B"/>
    <w:rsid w:val="00E460AE"/>
    <w:rsid w:val="00E462B7"/>
    <w:rsid w:val="00E465BD"/>
    <w:rsid w:val="00E465EA"/>
    <w:rsid w:val="00E47021"/>
    <w:rsid w:val="00E4721D"/>
    <w:rsid w:val="00E47D60"/>
    <w:rsid w:val="00E503AF"/>
    <w:rsid w:val="00E50DC7"/>
    <w:rsid w:val="00E51136"/>
    <w:rsid w:val="00E5122B"/>
    <w:rsid w:val="00E5126F"/>
    <w:rsid w:val="00E51277"/>
    <w:rsid w:val="00E51F50"/>
    <w:rsid w:val="00E52033"/>
    <w:rsid w:val="00E5236B"/>
    <w:rsid w:val="00E5266C"/>
    <w:rsid w:val="00E526E1"/>
    <w:rsid w:val="00E52BCA"/>
    <w:rsid w:val="00E52C00"/>
    <w:rsid w:val="00E52C91"/>
    <w:rsid w:val="00E53C66"/>
    <w:rsid w:val="00E5416A"/>
    <w:rsid w:val="00E54F0D"/>
    <w:rsid w:val="00E55C5F"/>
    <w:rsid w:val="00E55EBB"/>
    <w:rsid w:val="00E56261"/>
    <w:rsid w:val="00E56D5D"/>
    <w:rsid w:val="00E570E7"/>
    <w:rsid w:val="00E571EC"/>
    <w:rsid w:val="00E5755C"/>
    <w:rsid w:val="00E57EF9"/>
    <w:rsid w:val="00E6016E"/>
    <w:rsid w:val="00E60751"/>
    <w:rsid w:val="00E60879"/>
    <w:rsid w:val="00E6097E"/>
    <w:rsid w:val="00E60FBB"/>
    <w:rsid w:val="00E640ED"/>
    <w:rsid w:val="00E646C4"/>
    <w:rsid w:val="00E64D78"/>
    <w:rsid w:val="00E652F0"/>
    <w:rsid w:val="00E653C8"/>
    <w:rsid w:val="00E653DD"/>
    <w:rsid w:val="00E65E1B"/>
    <w:rsid w:val="00E662A5"/>
    <w:rsid w:val="00E66CB2"/>
    <w:rsid w:val="00E66EB6"/>
    <w:rsid w:val="00E675A2"/>
    <w:rsid w:val="00E67876"/>
    <w:rsid w:val="00E67C17"/>
    <w:rsid w:val="00E7056C"/>
    <w:rsid w:val="00E70573"/>
    <w:rsid w:val="00E71273"/>
    <w:rsid w:val="00E72F6F"/>
    <w:rsid w:val="00E7312A"/>
    <w:rsid w:val="00E734C8"/>
    <w:rsid w:val="00E74FC4"/>
    <w:rsid w:val="00E7559A"/>
    <w:rsid w:val="00E75915"/>
    <w:rsid w:val="00E76D2A"/>
    <w:rsid w:val="00E773F0"/>
    <w:rsid w:val="00E77649"/>
    <w:rsid w:val="00E77E3B"/>
    <w:rsid w:val="00E77E3F"/>
    <w:rsid w:val="00E803A1"/>
    <w:rsid w:val="00E807F1"/>
    <w:rsid w:val="00E80B00"/>
    <w:rsid w:val="00E80DCF"/>
    <w:rsid w:val="00E81030"/>
    <w:rsid w:val="00E81189"/>
    <w:rsid w:val="00E8192C"/>
    <w:rsid w:val="00E819F3"/>
    <w:rsid w:val="00E826FF"/>
    <w:rsid w:val="00E83334"/>
    <w:rsid w:val="00E83461"/>
    <w:rsid w:val="00E836EF"/>
    <w:rsid w:val="00E8393F"/>
    <w:rsid w:val="00E83FFC"/>
    <w:rsid w:val="00E84720"/>
    <w:rsid w:val="00E848D5"/>
    <w:rsid w:val="00E856AE"/>
    <w:rsid w:val="00E85859"/>
    <w:rsid w:val="00E85EFA"/>
    <w:rsid w:val="00E86EDE"/>
    <w:rsid w:val="00E87A41"/>
    <w:rsid w:val="00E87D75"/>
    <w:rsid w:val="00E9055D"/>
    <w:rsid w:val="00E90621"/>
    <w:rsid w:val="00E9078D"/>
    <w:rsid w:val="00E907FB"/>
    <w:rsid w:val="00E908DB"/>
    <w:rsid w:val="00E90E9F"/>
    <w:rsid w:val="00E90F11"/>
    <w:rsid w:val="00E911C8"/>
    <w:rsid w:val="00E926F8"/>
    <w:rsid w:val="00E927DE"/>
    <w:rsid w:val="00E92CC8"/>
    <w:rsid w:val="00E931D1"/>
    <w:rsid w:val="00E9323D"/>
    <w:rsid w:val="00E933D3"/>
    <w:rsid w:val="00E934D3"/>
    <w:rsid w:val="00E936CB"/>
    <w:rsid w:val="00E936E5"/>
    <w:rsid w:val="00E9418E"/>
    <w:rsid w:val="00E948B7"/>
    <w:rsid w:val="00E95770"/>
    <w:rsid w:val="00E95BDB"/>
    <w:rsid w:val="00E96DBB"/>
    <w:rsid w:val="00E971C3"/>
    <w:rsid w:val="00E9758A"/>
    <w:rsid w:val="00EA04E7"/>
    <w:rsid w:val="00EA076F"/>
    <w:rsid w:val="00EA07DE"/>
    <w:rsid w:val="00EA13CC"/>
    <w:rsid w:val="00EA1A1E"/>
    <w:rsid w:val="00EA1B2B"/>
    <w:rsid w:val="00EA2AC8"/>
    <w:rsid w:val="00EA3C08"/>
    <w:rsid w:val="00EA45E6"/>
    <w:rsid w:val="00EA4837"/>
    <w:rsid w:val="00EA4AB4"/>
    <w:rsid w:val="00EA4FDB"/>
    <w:rsid w:val="00EA50EA"/>
    <w:rsid w:val="00EA561A"/>
    <w:rsid w:val="00EA56D8"/>
    <w:rsid w:val="00EA590C"/>
    <w:rsid w:val="00EA5DB8"/>
    <w:rsid w:val="00EA669C"/>
    <w:rsid w:val="00EB0C49"/>
    <w:rsid w:val="00EB0DA2"/>
    <w:rsid w:val="00EB1002"/>
    <w:rsid w:val="00EB12E5"/>
    <w:rsid w:val="00EB16D9"/>
    <w:rsid w:val="00EB17B7"/>
    <w:rsid w:val="00EB19A6"/>
    <w:rsid w:val="00EB1B2D"/>
    <w:rsid w:val="00EB29F9"/>
    <w:rsid w:val="00EB3439"/>
    <w:rsid w:val="00EB35E1"/>
    <w:rsid w:val="00EB3659"/>
    <w:rsid w:val="00EB372D"/>
    <w:rsid w:val="00EB393F"/>
    <w:rsid w:val="00EB4388"/>
    <w:rsid w:val="00EB4A24"/>
    <w:rsid w:val="00EB4B7F"/>
    <w:rsid w:val="00EB4D5D"/>
    <w:rsid w:val="00EB5A3D"/>
    <w:rsid w:val="00EB5F52"/>
    <w:rsid w:val="00EB643B"/>
    <w:rsid w:val="00EB6A6F"/>
    <w:rsid w:val="00EB6C25"/>
    <w:rsid w:val="00EB7C37"/>
    <w:rsid w:val="00EC0346"/>
    <w:rsid w:val="00EC0373"/>
    <w:rsid w:val="00EC051E"/>
    <w:rsid w:val="00EC0A23"/>
    <w:rsid w:val="00EC0B4E"/>
    <w:rsid w:val="00EC0CDB"/>
    <w:rsid w:val="00EC10AE"/>
    <w:rsid w:val="00EC16FD"/>
    <w:rsid w:val="00EC1A7B"/>
    <w:rsid w:val="00EC2EAF"/>
    <w:rsid w:val="00EC3874"/>
    <w:rsid w:val="00EC3974"/>
    <w:rsid w:val="00EC3B59"/>
    <w:rsid w:val="00EC481E"/>
    <w:rsid w:val="00EC54A9"/>
    <w:rsid w:val="00EC58D9"/>
    <w:rsid w:val="00EC695D"/>
    <w:rsid w:val="00ED11F0"/>
    <w:rsid w:val="00ED1538"/>
    <w:rsid w:val="00ED18B4"/>
    <w:rsid w:val="00ED2E71"/>
    <w:rsid w:val="00ED3780"/>
    <w:rsid w:val="00ED5143"/>
    <w:rsid w:val="00ED5977"/>
    <w:rsid w:val="00ED5B99"/>
    <w:rsid w:val="00ED5E62"/>
    <w:rsid w:val="00ED64E5"/>
    <w:rsid w:val="00ED6722"/>
    <w:rsid w:val="00ED78DD"/>
    <w:rsid w:val="00ED7CC9"/>
    <w:rsid w:val="00EE13ED"/>
    <w:rsid w:val="00EE181B"/>
    <w:rsid w:val="00EE1D72"/>
    <w:rsid w:val="00EE24D6"/>
    <w:rsid w:val="00EE273A"/>
    <w:rsid w:val="00EE2DCD"/>
    <w:rsid w:val="00EE2E02"/>
    <w:rsid w:val="00EE2F75"/>
    <w:rsid w:val="00EE34ED"/>
    <w:rsid w:val="00EE367F"/>
    <w:rsid w:val="00EE3A88"/>
    <w:rsid w:val="00EE4D00"/>
    <w:rsid w:val="00EE5553"/>
    <w:rsid w:val="00EE5BAD"/>
    <w:rsid w:val="00EE6730"/>
    <w:rsid w:val="00EE6BF4"/>
    <w:rsid w:val="00EE6C7A"/>
    <w:rsid w:val="00EE6E6F"/>
    <w:rsid w:val="00EF032A"/>
    <w:rsid w:val="00EF0A7A"/>
    <w:rsid w:val="00EF0B92"/>
    <w:rsid w:val="00EF103B"/>
    <w:rsid w:val="00EF11CE"/>
    <w:rsid w:val="00EF1630"/>
    <w:rsid w:val="00EF1E43"/>
    <w:rsid w:val="00EF2B11"/>
    <w:rsid w:val="00EF365B"/>
    <w:rsid w:val="00EF3785"/>
    <w:rsid w:val="00EF39B8"/>
    <w:rsid w:val="00EF3B20"/>
    <w:rsid w:val="00EF3F73"/>
    <w:rsid w:val="00EF440D"/>
    <w:rsid w:val="00EF5529"/>
    <w:rsid w:val="00EF5E6F"/>
    <w:rsid w:val="00EF705E"/>
    <w:rsid w:val="00EF768C"/>
    <w:rsid w:val="00EF787B"/>
    <w:rsid w:val="00EF7F15"/>
    <w:rsid w:val="00F000D8"/>
    <w:rsid w:val="00F0016B"/>
    <w:rsid w:val="00F00F6C"/>
    <w:rsid w:val="00F012D8"/>
    <w:rsid w:val="00F01464"/>
    <w:rsid w:val="00F0153E"/>
    <w:rsid w:val="00F01662"/>
    <w:rsid w:val="00F02A58"/>
    <w:rsid w:val="00F03221"/>
    <w:rsid w:val="00F036EA"/>
    <w:rsid w:val="00F03827"/>
    <w:rsid w:val="00F03852"/>
    <w:rsid w:val="00F03D2D"/>
    <w:rsid w:val="00F044D5"/>
    <w:rsid w:val="00F047E9"/>
    <w:rsid w:val="00F048D1"/>
    <w:rsid w:val="00F061C1"/>
    <w:rsid w:val="00F066E4"/>
    <w:rsid w:val="00F0702A"/>
    <w:rsid w:val="00F077DD"/>
    <w:rsid w:val="00F07802"/>
    <w:rsid w:val="00F104A6"/>
    <w:rsid w:val="00F10B3C"/>
    <w:rsid w:val="00F10FE8"/>
    <w:rsid w:val="00F112AA"/>
    <w:rsid w:val="00F11441"/>
    <w:rsid w:val="00F11758"/>
    <w:rsid w:val="00F11807"/>
    <w:rsid w:val="00F12960"/>
    <w:rsid w:val="00F1398E"/>
    <w:rsid w:val="00F139AE"/>
    <w:rsid w:val="00F144EF"/>
    <w:rsid w:val="00F1453C"/>
    <w:rsid w:val="00F14631"/>
    <w:rsid w:val="00F146DB"/>
    <w:rsid w:val="00F15443"/>
    <w:rsid w:val="00F15CAA"/>
    <w:rsid w:val="00F166F7"/>
    <w:rsid w:val="00F16C1C"/>
    <w:rsid w:val="00F17066"/>
    <w:rsid w:val="00F20034"/>
    <w:rsid w:val="00F20414"/>
    <w:rsid w:val="00F20B10"/>
    <w:rsid w:val="00F20D9D"/>
    <w:rsid w:val="00F21080"/>
    <w:rsid w:val="00F21232"/>
    <w:rsid w:val="00F21A0D"/>
    <w:rsid w:val="00F21C76"/>
    <w:rsid w:val="00F21CEF"/>
    <w:rsid w:val="00F22571"/>
    <w:rsid w:val="00F22B85"/>
    <w:rsid w:val="00F23B6A"/>
    <w:rsid w:val="00F23BB3"/>
    <w:rsid w:val="00F23C7B"/>
    <w:rsid w:val="00F2434E"/>
    <w:rsid w:val="00F251FC"/>
    <w:rsid w:val="00F25FED"/>
    <w:rsid w:val="00F2618D"/>
    <w:rsid w:val="00F262DD"/>
    <w:rsid w:val="00F26619"/>
    <w:rsid w:val="00F26D81"/>
    <w:rsid w:val="00F272F9"/>
    <w:rsid w:val="00F301AE"/>
    <w:rsid w:val="00F30957"/>
    <w:rsid w:val="00F30C6F"/>
    <w:rsid w:val="00F30EA5"/>
    <w:rsid w:val="00F31367"/>
    <w:rsid w:val="00F316A2"/>
    <w:rsid w:val="00F31BAB"/>
    <w:rsid w:val="00F34226"/>
    <w:rsid w:val="00F34236"/>
    <w:rsid w:val="00F34883"/>
    <w:rsid w:val="00F349BD"/>
    <w:rsid w:val="00F34FCA"/>
    <w:rsid w:val="00F350F5"/>
    <w:rsid w:val="00F358CF"/>
    <w:rsid w:val="00F35B3C"/>
    <w:rsid w:val="00F35D2C"/>
    <w:rsid w:val="00F3658D"/>
    <w:rsid w:val="00F36771"/>
    <w:rsid w:val="00F36BC5"/>
    <w:rsid w:val="00F36CE2"/>
    <w:rsid w:val="00F36E66"/>
    <w:rsid w:val="00F36F4D"/>
    <w:rsid w:val="00F40D86"/>
    <w:rsid w:val="00F41A3F"/>
    <w:rsid w:val="00F41EAF"/>
    <w:rsid w:val="00F42CE4"/>
    <w:rsid w:val="00F42D2C"/>
    <w:rsid w:val="00F43458"/>
    <w:rsid w:val="00F43471"/>
    <w:rsid w:val="00F437FC"/>
    <w:rsid w:val="00F44069"/>
    <w:rsid w:val="00F4550A"/>
    <w:rsid w:val="00F462A7"/>
    <w:rsid w:val="00F47008"/>
    <w:rsid w:val="00F472EF"/>
    <w:rsid w:val="00F479BF"/>
    <w:rsid w:val="00F47C08"/>
    <w:rsid w:val="00F5027E"/>
    <w:rsid w:val="00F50453"/>
    <w:rsid w:val="00F508C1"/>
    <w:rsid w:val="00F50EE5"/>
    <w:rsid w:val="00F515C8"/>
    <w:rsid w:val="00F515DE"/>
    <w:rsid w:val="00F5235D"/>
    <w:rsid w:val="00F52678"/>
    <w:rsid w:val="00F52CD0"/>
    <w:rsid w:val="00F53145"/>
    <w:rsid w:val="00F542A5"/>
    <w:rsid w:val="00F54CA0"/>
    <w:rsid w:val="00F55111"/>
    <w:rsid w:val="00F56036"/>
    <w:rsid w:val="00F570A9"/>
    <w:rsid w:val="00F5718F"/>
    <w:rsid w:val="00F573F8"/>
    <w:rsid w:val="00F5767C"/>
    <w:rsid w:val="00F60448"/>
    <w:rsid w:val="00F6070E"/>
    <w:rsid w:val="00F60A47"/>
    <w:rsid w:val="00F60E47"/>
    <w:rsid w:val="00F611ED"/>
    <w:rsid w:val="00F61545"/>
    <w:rsid w:val="00F6160A"/>
    <w:rsid w:val="00F61871"/>
    <w:rsid w:val="00F61DFA"/>
    <w:rsid w:val="00F61EC5"/>
    <w:rsid w:val="00F61F18"/>
    <w:rsid w:val="00F6201A"/>
    <w:rsid w:val="00F6423D"/>
    <w:rsid w:val="00F64412"/>
    <w:rsid w:val="00F644FD"/>
    <w:rsid w:val="00F648F3"/>
    <w:rsid w:val="00F64A55"/>
    <w:rsid w:val="00F65B5B"/>
    <w:rsid w:val="00F66108"/>
    <w:rsid w:val="00F66279"/>
    <w:rsid w:val="00F668BB"/>
    <w:rsid w:val="00F678BA"/>
    <w:rsid w:val="00F67919"/>
    <w:rsid w:val="00F67BAE"/>
    <w:rsid w:val="00F67F67"/>
    <w:rsid w:val="00F70191"/>
    <w:rsid w:val="00F701BA"/>
    <w:rsid w:val="00F7048C"/>
    <w:rsid w:val="00F706A6"/>
    <w:rsid w:val="00F70997"/>
    <w:rsid w:val="00F71394"/>
    <w:rsid w:val="00F7149C"/>
    <w:rsid w:val="00F71605"/>
    <w:rsid w:val="00F7173B"/>
    <w:rsid w:val="00F71D1F"/>
    <w:rsid w:val="00F724FA"/>
    <w:rsid w:val="00F725F1"/>
    <w:rsid w:val="00F72C9F"/>
    <w:rsid w:val="00F73783"/>
    <w:rsid w:val="00F73F57"/>
    <w:rsid w:val="00F741BA"/>
    <w:rsid w:val="00F743E7"/>
    <w:rsid w:val="00F74796"/>
    <w:rsid w:val="00F74EE6"/>
    <w:rsid w:val="00F74FE0"/>
    <w:rsid w:val="00F75B08"/>
    <w:rsid w:val="00F76248"/>
    <w:rsid w:val="00F76264"/>
    <w:rsid w:val="00F764C0"/>
    <w:rsid w:val="00F767AC"/>
    <w:rsid w:val="00F76DD1"/>
    <w:rsid w:val="00F7730A"/>
    <w:rsid w:val="00F777E7"/>
    <w:rsid w:val="00F77DD2"/>
    <w:rsid w:val="00F77F1A"/>
    <w:rsid w:val="00F77FE9"/>
    <w:rsid w:val="00F801BF"/>
    <w:rsid w:val="00F80687"/>
    <w:rsid w:val="00F8083F"/>
    <w:rsid w:val="00F80F2B"/>
    <w:rsid w:val="00F81889"/>
    <w:rsid w:val="00F81BE7"/>
    <w:rsid w:val="00F81C4E"/>
    <w:rsid w:val="00F8215B"/>
    <w:rsid w:val="00F82745"/>
    <w:rsid w:val="00F83211"/>
    <w:rsid w:val="00F83F3D"/>
    <w:rsid w:val="00F843EB"/>
    <w:rsid w:val="00F849B1"/>
    <w:rsid w:val="00F84AAC"/>
    <w:rsid w:val="00F85B88"/>
    <w:rsid w:val="00F85BCB"/>
    <w:rsid w:val="00F85DDE"/>
    <w:rsid w:val="00F8627B"/>
    <w:rsid w:val="00F86551"/>
    <w:rsid w:val="00F86901"/>
    <w:rsid w:val="00F874CB"/>
    <w:rsid w:val="00F90162"/>
    <w:rsid w:val="00F90466"/>
    <w:rsid w:val="00F90495"/>
    <w:rsid w:val="00F90E33"/>
    <w:rsid w:val="00F9129A"/>
    <w:rsid w:val="00F91F93"/>
    <w:rsid w:val="00F922A3"/>
    <w:rsid w:val="00F92A92"/>
    <w:rsid w:val="00F92AB1"/>
    <w:rsid w:val="00F94014"/>
    <w:rsid w:val="00F941F7"/>
    <w:rsid w:val="00F94D54"/>
    <w:rsid w:val="00F961F4"/>
    <w:rsid w:val="00F966D3"/>
    <w:rsid w:val="00F96D98"/>
    <w:rsid w:val="00F97342"/>
    <w:rsid w:val="00F97388"/>
    <w:rsid w:val="00F97C58"/>
    <w:rsid w:val="00FA00F8"/>
    <w:rsid w:val="00FA1984"/>
    <w:rsid w:val="00FA2180"/>
    <w:rsid w:val="00FA33E1"/>
    <w:rsid w:val="00FA34DC"/>
    <w:rsid w:val="00FA3C98"/>
    <w:rsid w:val="00FA41A0"/>
    <w:rsid w:val="00FA41B7"/>
    <w:rsid w:val="00FA4E9A"/>
    <w:rsid w:val="00FA5116"/>
    <w:rsid w:val="00FA6DA8"/>
    <w:rsid w:val="00FA6E00"/>
    <w:rsid w:val="00FA77BC"/>
    <w:rsid w:val="00FB0174"/>
    <w:rsid w:val="00FB04BC"/>
    <w:rsid w:val="00FB050C"/>
    <w:rsid w:val="00FB112F"/>
    <w:rsid w:val="00FB18B3"/>
    <w:rsid w:val="00FB1B4A"/>
    <w:rsid w:val="00FB1F0C"/>
    <w:rsid w:val="00FB21CD"/>
    <w:rsid w:val="00FB297C"/>
    <w:rsid w:val="00FB2C92"/>
    <w:rsid w:val="00FB315E"/>
    <w:rsid w:val="00FB31DA"/>
    <w:rsid w:val="00FB32F2"/>
    <w:rsid w:val="00FB487F"/>
    <w:rsid w:val="00FB597B"/>
    <w:rsid w:val="00FB59D6"/>
    <w:rsid w:val="00FB5DFE"/>
    <w:rsid w:val="00FB6228"/>
    <w:rsid w:val="00FB64AB"/>
    <w:rsid w:val="00FB6C51"/>
    <w:rsid w:val="00FB6E80"/>
    <w:rsid w:val="00FB73FE"/>
    <w:rsid w:val="00FB76E5"/>
    <w:rsid w:val="00FB7925"/>
    <w:rsid w:val="00FB7E0A"/>
    <w:rsid w:val="00FC14E5"/>
    <w:rsid w:val="00FC1A2C"/>
    <w:rsid w:val="00FC23D9"/>
    <w:rsid w:val="00FC2678"/>
    <w:rsid w:val="00FC26B0"/>
    <w:rsid w:val="00FC27B3"/>
    <w:rsid w:val="00FC3A29"/>
    <w:rsid w:val="00FC3ABD"/>
    <w:rsid w:val="00FC4041"/>
    <w:rsid w:val="00FC4724"/>
    <w:rsid w:val="00FC4CB1"/>
    <w:rsid w:val="00FC4D62"/>
    <w:rsid w:val="00FC5714"/>
    <w:rsid w:val="00FC5AB9"/>
    <w:rsid w:val="00FC6961"/>
    <w:rsid w:val="00FC6D8C"/>
    <w:rsid w:val="00FC7BE1"/>
    <w:rsid w:val="00FD074F"/>
    <w:rsid w:val="00FD0B1F"/>
    <w:rsid w:val="00FD0C05"/>
    <w:rsid w:val="00FD0E63"/>
    <w:rsid w:val="00FD1A3A"/>
    <w:rsid w:val="00FD1D8C"/>
    <w:rsid w:val="00FD1F1A"/>
    <w:rsid w:val="00FD27E7"/>
    <w:rsid w:val="00FD2CDA"/>
    <w:rsid w:val="00FD3175"/>
    <w:rsid w:val="00FD3331"/>
    <w:rsid w:val="00FD335C"/>
    <w:rsid w:val="00FD3391"/>
    <w:rsid w:val="00FD34BA"/>
    <w:rsid w:val="00FD3DBD"/>
    <w:rsid w:val="00FD3F66"/>
    <w:rsid w:val="00FD4307"/>
    <w:rsid w:val="00FD47E6"/>
    <w:rsid w:val="00FD5A9E"/>
    <w:rsid w:val="00FD62AF"/>
    <w:rsid w:val="00FD6301"/>
    <w:rsid w:val="00FD6968"/>
    <w:rsid w:val="00FD6D84"/>
    <w:rsid w:val="00FD7236"/>
    <w:rsid w:val="00FD7B2F"/>
    <w:rsid w:val="00FE0CE7"/>
    <w:rsid w:val="00FE0EDC"/>
    <w:rsid w:val="00FE1653"/>
    <w:rsid w:val="00FE1717"/>
    <w:rsid w:val="00FE222E"/>
    <w:rsid w:val="00FE27AE"/>
    <w:rsid w:val="00FE2871"/>
    <w:rsid w:val="00FE29A3"/>
    <w:rsid w:val="00FE2E77"/>
    <w:rsid w:val="00FE3361"/>
    <w:rsid w:val="00FE3765"/>
    <w:rsid w:val="00FE37B0"/>
    <w:rsid w:val="00FE40C3"/>
    <w:rsid w:val="00FE445B"/>
    <w:rsid w:val="00FE4F6D"/>
    <w:rsid w:val="00FE5ACB"/>
    <w:rsid w:val="00FE6460"/>
    <w:rsid w:val="00FE698B"/>
    <w:rsid w:val="00FE7E18"/>
    <w:rsid w:val="00FF1018"/>
    <w:rsid w:val="00FF103A"/>
    <w:rsid w:val="00FF1C38"/>
    <w:rsid w:val="00FF341E"/>
    <w:rsid w:val="00FF371A"/>
    <w:rsid w:val="00FF3BE1"/>
    <w:rsid w:val="00FF3F5D"/>
    <w:rsid w:val="00FF42E5"/>
    <w:rsid w:val="00FF4509"/>
    <w:rsid w:val="00FF47CD"/>
    <w:rsid w:val="00FF5263"/>
    <w:rsid w:val="00FF56AA"/>
    <w:rsid w:val="00FF59A0"/>
    <w:rsid w:val="00FF5F45"/>
    <w:rsid w:val="00FF664C"/>
    <w:rsid w:val="00FF6D66"/>
    <w:rsid w:val="00FF6F35"/>
    <w:rsid w:val="00FF72E8"/>
    <w:rsid w:val="00FF7843"/>
    <w:rsid w:val="00FF7859"/>
    <w:rsid w:val="00FF7C59"/>
    <w:rsid w:val="00FF7EA6"/>
    <w:rsid w:val="00FF7F76"/>
    <w:rsid w:val="00FF7FA5"/>
    <w:rsid w:val="00FF7FE5"/>
    <w:rsid w:val="0106298A"/>
    <w:rsid w:val="01107837"/>
    <w:rsid w:val="012515C4"/>
    <w:rsid w:val="012C503B"/>
    <w:rsid w:val="01543C57"/>
    <w:rsid w:val="015772A4"/>
    <w:rsid w:val="0168325F"/>
    <w:rsid w:val="01695955"/>
    <w:rsid w:val="016D4FC7"/>
    <w:rsid w:val="0176597C"/>
    <w:rsid w:val="01826A17"/>
    <w:rsid w:val="01852063"/>
    <w:rsid w:val="01865A96"/>
    <w:rsid w:val="019404F8"/>
    <w:rsid w:val="019F76B3"/>
    <w:rsid w:val="01BD7A4F"/>
    <w:rsid w:val="01CC5EE4"/>
    <w:rsid w:val="01D136D5"/>
    <w:rsid w:val="01E4583D"/>
    <w:rsid w:val="0204567E"/>
    <w:rsid w:val="02094A42"/>
    <w:rsid w:val="02182ED7"/>
    <w:rsid w:val="021F5D11"/>
    <w:rsid w:val="0227180C"/>
    <w:rsid w:val="022E6257"/>
    <w:rsid w:val="023B1653"/>
    <w:rsid w:val="025657AD"/>
    <w:rsid w:val="02627F17"/>
    <w:rsid w:val="026D664E"/>
    <w:rsid w:val="02880665"/>
    <w:rsid w:val="029B032D"/>
    <w:rsid w:val="02C866AB"/>
    <w:rsid w:val="02D52B76"/>
    <w:rsid w:val="02E26B72"/>
    <w:rsid w:val="02EB239A"/>
    <w:rsid w:val="03043687"/>
    <w:rsid w:val="03362358"/>
    <w:rsid w:val="035435C1"/>
    <w:rsid w:val="0365214C"/>
    <w:rsid w:val="03661A20"/>
    <w:rsid w:val="0375005C"/>
    <w:rsid w:val="038A13C4"/>
    <w:rsid w:val="0390541F"/>
    <w:rsid w:val="03AE3AF3"/>
    <w:rsid w:val="03B84141"/>
    <w:rsid w:val="03D2624F"/>
    <w:rsid w:val="03EC09D5"/>
    <w:rsid w:val="03FA55FA"/>
    <w:rsid w:val="03FD4132"/>
    <w:rsid w:val="040F20B8"/>
    <w:rsid w:val="04180F6C"/>
    <w:rsid w:val="041C01CD"/>
    <w:rsid w:val="04323D41"/>
    <w:rsid w:val="04425C74"/>
    <w:rsid w:val="04523856"/>
    <w:rsid w:val="04523E0F"/>
    <w:rsid w:val="04684391"/>
    <w:rsid w:val="046F5A2C"/>
    <w:rsid w:val="04A10F62"/>
    <w:rsid w:val="04AE0691"/>
    <w:rsid w:val="04B14F1D"/>
    <w:rsid w:val="04BB7034"/>
    <w:rsid w:val="04C65F9C"/>
    <w:rsid w:val="04C902E7"/>
    <w:rsid w:val="05015EA4"/>
    <w:rsid w:val="051554AC"/>
    <w:rsid w:val="05171224"/>
    <w:rsid w:val="0534627A"/>
    <w:rsid w:val="053A4F12"/>
    <w:rsid w:val="05453FE3"/>
    <w:rsid w:val="0559183C"/>
    <w:rsid w:val="05776166"/>
    <w:rsid w:val="05777F14"/>
    <w:rsid w:val="05785C8A"/>
    <w:rsid w:val="05790857"/>
    <w:rsid w:val="058F1551"/>
    <w:rsid w:val="05AC4062"/>
    <w:rsid w:val="05C0008F"/>
    <w:rsid w:val="05C018BB"/>
    <w:rsid w:val="05DE7F94"/>
    <w:rsid w:val="06085010"/>
    <w:rsid w:val="061B2F96"/>
    <w:rsid w:val="06321CDD"/>
    <w:rsid w:val="063D4CBA"/>
    <w:rsid w:val="064047AA"/>
    <w:rsid w:val="0661309E"/>
    <w:rsid w:val="06996F25"/>
    <w:rsid w:val="06C07699"/>
    <w:rsid w:val="06DA075B"/>
    <w:rsid w:val="06DF5D71"/>
    <w:rsid w:val="06F7130D"/>
    <w:rsid w:val="0710142E"/>
    <w:rsid w:val="0716002A"/>
    <w:rsid w:val="071640F5"/>
    <w:rsid w:val="072365A6"/>
    <w:rsid w:val="074E16E1"/>
    <w:rsid w:val="07506C6F"/>
    <w:rsid w:val="075C5614"/>
    <w:rsid w:val="076A5F83"/>
    <w:rsid w:val="07710901"/>
    <w:rsid w:val="07886409"/>
    <w:rsid w:val="07A83089"/>
    <w:rsid w:val="07C40842"/>
    <w:rsid w:val="07D551ED"/>
    <w:rsid w:val="07DC4C8B"/>
    <w:rsid w:val="0808754A"/>
    <w:rsid w:val="08207BA5"/>
    <w:rsid w:val="082779D0"/>
    <w:rsid w:val="08297BEC"/>
    <w:rsid w:val="082D4719"/>
    <w:rsid w:val="084F33CB"/>
    <w:rsid w:val="086152EC"/>
    <w:rsid w:val="088E7481"/>
    <w:rsid w:val="08907C6B"/>
    <w:rsid w:val="089349B1"/>
    <w:rsid w:val="08AE00F1"/>
    <w:rsid w:val="08B35707"/>
    <w:rsid w:val="08BF731C"/>
    <w:rsid w:val="08D538D0"/>
    <w:rsid w:val="08DB720E"/>
    <w:rsid w:val="0905137B"/>
    <w:rsid w:val="090C4E18"/>
    <w:rsid w:val="091A7535"/>
    <w:rsid w:val="091C14FF"/>
    <w:rsid w:val="091E7F81"/>
    <w:rsid w:val="091F0FEF"/>
    <w:rsid w:val="092930B1"/>
    <w:rsid w:val="092B63E5"/>
    <w:rsid w:val="092F5422"/>
    <w:rsid w:val="09303A4E"/>
    <w:rsid w:val="09414AC1"/>
    <w:rsid w:val="09497E1A"/>
    <w:rsid w:val="09547AF8"/>
    <w:rsid w:val="096D1D5A"/>
    <w:rsid w:val="096F07A6"/>
    <w:rsid w:val="0972111F"/>
    <w:rsid w:val="09774987"/>
    <w:rsid w:val="0978425B"/>
    <w:rsid w:val="09E92A76"/>
    <w:rsid w:val="09EC6325"/>
    <w:rsid w:val="0A0124A3"/>
    <w:rsid w:val="0A1B7A08"/>
    <w:rsid w:val="0A2955D0"/>
    <w:rsid w:val="0A2F3356"/>
    <w:rsid w:val="0A305DD2"/>
    <w:rsid w:val="0A426D43"/>
    <w:rsid w:val="0A455F29"/>
    <w:rsid w:val="0A495769"/>
    <w:rsid w:val="0A5627EE"/>
    <w:rsid w:val="0A5F5B47"/>
    <w:rsid w:val="0A625F14"/>
    <w:rsid w:val="0A656ED5"/>
    <w:rsid w:val="0A805ABD"/>
    <w:rsid w:val="0A851326"/>
    <w:rsid w:val="0A8752B0"/>
    <w:rsid w:val="0A946F2F"/>
    <w:rsid w:val="0AA2019A"/>
    <w:rsid w:val="0AAE43D8"/>
    <w:rsid w:val="0AAF3E7A"/>
    <w:rsid w:val="0ACA6D38"/>
    <w:rsid w:val="0AE0655C"/>
    <w:rsid w:val="0AEF3838"/>
    <w:rsid w:val="0AF50259"/>
    <w:rsid w:val="0AFB3396"/>
    <w:rsid w:val="0AFF2E86"/>
    <w:rsid w:val="0B0F14CD"/>
    <w:rsid w:val="0B106E41"/>
    <w:rsid w:val="0B2576EE"/>
    <w:rsid w:val="0B297F03"/>
    <w:rsid w:val="0B397A0F"/>
    <w:rsid w:val="0B3A6A2B"/>
    <w:rsid w:val="0B882E7B"/>
    <w:rsid w:val="0BA457DB"/>
    <w:rsid w:val="0BC0709D"/>
    <w:rsid w:val="0BD25EA5"/>
    <w:rsid w:val="0BD4425A"/>
    <w:rsid w:val="0BDD0D11"/>
    <w:rsid w:val="0BE43E2A"/>
    <w:rsid w:val="0BFC73C5"/>
    <w:rsid w:val="0C126BE9"/>
    <w:rsid w:val="0C3B0A5E"/>
    <w:rsid w:val="0C48260B"/>
    <w:rsid w:val="0C5121AD"/>
    <w:rsid w:val="0C590374"/>
    <w:rsid w:val="0C5A2C81"/>
    <w:rsid w:val="0C6102F1"/>
    <w:rsid w:val="0C715BFD"/>
    <w:rsid w:val="0C760F26"/>
    <w:rsid w:val="0CCD0C4F"/>
    <w:rsid w:val="0CD345CA"/>
    <w:rsid w:val="0CD45BE1"/>
    <w:rsid w:val="0CD81BE1"/>
    <w:rsid w:val="0CEC6747"/>
    <w:rsid w:val="0CF87B8D"/>
    <w:rsid w:val="0CFA7023"/>
    <w:rsid w:val="0CFF53BF"/>
    <w:rsid w:val="0D1F336B"/>
    <w:rsid w:val="0D5319A1"/>
    <w:rsid w:val="0D5D1C65"/>
    <w:rsid w:val="0D5D5C42"/>
    <w:rsid w:val="0D63609A"/>
    <w:rsid w:val="0D671DC3"/>
    <w:rsid w:val="0DAD17DE"/>
    <w:rsid w:val="0DB066B9"/>
    <w:rsid w:val="0DC54EF5"/>
    <w:rsid w:val="0DDF2AFB"/>
    <w:rsid w:val="0DE5574F"/>
    <w:rsid w:val="0DF465A6"/>
    <w:rsid w:val="0E01348B"/>
    <w:rsid w:val="0E4017EB"/>
    <w:rsid w:val="0E462B7A"/>
    <w:rsid w:val="0E680D42"/>
    <w:rsid w:val="0E6F20D1"/>
    <w:rsid w:val="0E727D64"/>
    <w:rsid w:val="0E850D8A"/>
    <w:rsid w:val="0EA16EDC"/>
    <w:rsid w:val="0EA174D9"/>
    <w:rsid w:val="0EBE4E06"/>
    <w:rsid w:val="0ED308B1"/>
    <w:rsid w:val="0EFB1BB6"/>
    <w:rsid w:val="0F000F7B"/>
    <w:rsid w:val="0F0720BC"/>
    <w:rsid w:val="0F1B5DB5"/>
    <w:rsid w:val="0F1E7653"/>
    <w:rsid w:val="0F3167B9"/>
    <w:rsid w:val="0F476BAA"/>
    <w:rsid w:val="0F616E9E"/>
    <w:rsid w:val="0FA45DAA"/>
    <w:rsid w:val="0FD03043"/>
    <w:rsid w:val="0FE03C31"/>
    <w:rsid w:val="10450330"/>
    <w:rsid w:val="10501686"/>
    <w:rsid w:val="10527E93"/>
    <w:rsid w:val="107A6B0B"/>
    <w:rsid w:val="107C0AD5"/>
    <w:rsid w:val="107D6D99"/>
    <w:rsid w:val="10875725"/>
    <w:rsid w:val="109238BE"/>
    <w:rsid w:val="109E4EEF"/>
    <w:rsid w:val="10B23E66"/>
    <w:rsid w:val="10B97633"/>
    <w:rsid w:val="10D34B99"/>
    <w:rsid w:val="10D9395E"/>
    <w:rsid w:val="10E54F01"/>
    <w:rsid w:val="10FC4CE6"/>
    <w:rsid w:val="10FD39C4"/>
    <w:rsid w:val="11014C37"/>
    <w:rsid w:val="1122167C"/>
    <w:rsid w:val="112C5158"/>
    <w:rsid w:val="115630D4"/>
    <w:rsid w:val="115832F0"/>
    <w:rsid w:val="1161737E"/>
    <w:rsid w:val="11717F0E"/>
    <w:rsid w:val="118934A9"/>
    <w:rsid w:val="11A1462E"/>
    <w:rsid w:val="11A8690B"/>
    <w:rsid w:val="11B44616"/>
    <w:rsid w:val="11C42C3E"/>
    <w:rsid w:val="11C646FD"/>
    <w:rsid w:val="11C6477B"/>
    <w:rsid w:val="11E73060"/>
    <w:rsid w:val="11E8145E"/>
    <w:rsid w:val="11FE3E97"/>
    <w:rsid w:val="12065FB6"/>
    <w:rsid w:val="12102F4D"/>
    <w:rsid w:val="12413D84"/>
    <w:rsid w:val="12643F0E"/>
    <w:rsid w:val="12A04982"/>
    <w:rsid w:val="12A54B95"/>
    <w:rsid w:val="12AC0A51"/>
    <w:rsid w:val="12B5207C"/>
    <w:rsid w:val="12C329EB"/>
    <w:rsid w:val="12C81DAF"/>
    <w:rsid w:val="12D07AA4"/>
    <w:rsid w:val="12E36BE9"/>
    <w:rsid w:val="12F7730F"/>
    <w:rsid w:val="132536A6"/>
    <w:rsid w:val="1331204B"/>
    <w:rsid w:val="133E22FE"/>
    <w:rsid w:val="134244C3"/>
    <w:rsid w:val="13491142"/>
    <w:rsid w:val="13637D2A"/>
    <w:rsid w:val="13647667"/>
    <w:rsid w:val="13C92283"/>
    <w:rsid w:val="13CB5FFB"/>
    <w:rsid w:val="13CC3B21"/>
    <w:rsid w:val="13D1738A"/>
    <w:rsid w:val="13FB07AD"/>
    <w:rsid w:val="1403636D"/>
    <w:rsid w:val="14157276"/>
    <w:rsid w:val="14237BE5"/>
    <w:rsid w:val="14321BD6"/>
    <w:rsid w:val="1437543F"/>
    <w:rsid w:val="144F6270"/>
    <w:rsid w:val="14586033"/>
    <w:rsid w:val="149F4D92"/>
    <w:rsid w:val="14B720DC"/>
    <w:rsid w:val="14C03686"/>
    <w:rsid w:val="14C9548E"/>
    <w:rsid w:val="14C96581"/>
    <w:rsid w:val="14D25167"/>
    <w:rsid w:val="14EE0469"/>
    <w:rsid w:val="150317C5"/>
    <w:rsid w:val="15037C91"/>
    <w:rsid w:val="150E2D97"/>
    <w:rsid w:val="150F0169"/>
    <w:rsid w:val="15271495"/>
    <w:rsid w:val="152C2AC9"/>
    <w:rsid w:val="15342107"/>
    <w:rsid w:val="15347BD0"/>
    <w:rsid w:val="15477903"/>
    <w:rsid w:val="15681628"/>
    <w:rsid w:val="156D4E90"/>
    <w:rsid w:val="15765E51"/>
    <w:rsid w:val="157F52EF"/>
    <w:rsid w:val="15836462"/>
    <w:rsid w:val="158A5A42"/>
    <w:rsid w:val="158E59FE"/>
    <w:rsid w:val="159266A5"/>
    <w:rsid w:val="159A399A"/>
    <w:rsid w:val="15A5462A"/>
    <w:rsid w:val="15CE3B81"/>
    <w:rsid w:val="15DB004C"/>
    <w:rsid w:val="15DF47CB"/>
    <w:rsid w:val="15F5110D"/>
    <w:rsid w:val="16007AB2"/>
    <w:rsid w:val="161A6DC6"/>
    <w:rsid w:val="16233A5E"/>
    <w:rsid w:val="16481B85"/>
    <w:rsid w:val="165B2F3A"/>
    <w:rsid w:val="165E100C"/>
    <w:rsid w:val="16705A04"/>
    <w:rsid w:val="1672275E"/>
    <w:rsid w:val="167D1103"/>
    <w:rsid w:val="16832BBD"/>
    <w:rsid w:val="16847DAF"/>
    <w:rsid w:val="169A7F07"/>
    <w:rsid w:val="16A62408"/>
    <w:rsid w:val="16B1047F"/>
    <w:rsid w:val="16BF796D"/>
    <w:rsid w:val="16D058CD"/>
    <w:rsid w:val="16D94DE9"/>
    <w:rsid w:val="16F94C2D"/>
    <w:rsid w:val="17180EB0"/>
    <w:rsid w:val="17204C57"/>
    <w:rsid w:val="17263548"/>
    <w:rsid w:val="173619DD"/>
    <w:rsid w:val="17377504"/>
    <w:rsid w:val="173E0892"/>
    <w:rsid w:val="17430EB3"/>
    <w:rsid w:val="17542220"/>
    <w:rsid w:val="17800EAB"/>
    <w:rsid w:val="17994FD6"/>
    <w:rsid w:val="179A676F"/>
    <w:rsid w:val="17AC6144"/>
    <w:rsid w:val="17AD5A18"/>
    <w:rsid w:val="17B754EB"/>
    <w:rsid w:val="17CC7A8D"/>
    <w:rsid w:val="17D47448"/>
    <w:rsid w:val="17ED161D"/>
    <w:rsid w:val="17EF7DDE"/>
    <w:rsid w:val="18252F5E"/>
    <w:rsid w:val="182E4DAB"/>
    <w:rsid w:val="18437AC7"/>
    <w:rsid w:val="184E3463"/>
    <w:rsid w:val="18654320"/>
    <w:rsid w:val="186662F2"/>
    <w:rsid w:val="18770500"/>
    <w:rsid w:val="187E5DF3"/>
    <w:rsid w:val="188D332C"/>
    <w:rsid w:val="18952734"/>
    <w:rsid w:val="18A43147"/>
    <w:rsid w:val="18A94DED"/>
    <w:rsid w:val="18B16BD1"/>
    <w:rsid w:val="18B84674"/>
    <w:rsid w:val="18C33745"/>
    <w:rsid w:val="18F2402A"/>
    <w:rsid w:val="18FA6A3B"/>
    <w:rsid w:val="1917583F"/>
    <w:rsid w:val="19212219"/>
    <w:rsid w:val="195A6AFA"/>
    <w:rsid w:val="198C2728"/>
    <w:rsid w:val="199B021E"/>
    <w:rsid w:val="19A03A86"/>
    <w:rsid w:val="19B33992"/>
    <w:rsid w:val="19B65058"/>
    <w:rsid w:val="19E34030"/>
    <w:rsid w:val="19E80F89"/>
    <w:rsid w:val="19FE07AD"/>
    <w:rsid w:val="1A195710"/>
    <w:rsid w:val="1A1E3FF0"/>
    <w:rsid w:val="1A2A62F1"/>
    <w:rsid w:val="1A2E3AA5"/>
    <w:rsid w:val="1A2E4BEE"/>
    <w:rsid w:val="1A336D55"/>
    <w:rsid w:val="1A432F8A"/>
    <w:rsid w:val="1A436BB0"/>
    <w:rsid w:val="1A671E2B"/>
    <w:rsid w:val="1A6920CA"/>
    <w:rsid w:val="1A6F4A81"/>
    <w:rsid w:val="1A8E1B30"/>
    <w:rsid w:val="1AB160C7"/>
    <w:rsid w:val="1ABF1CEA"/>
    <w:rsid w:val="1AD86ED4"/>
    <w:rsid w:val="1ADA4D76"/>
    <w:rsid w:val="1ADF2596"/>
    <w:rsid w:val="1AE259D8"/>
    <w:rsid w:val="1B027E29"/>
    <w:rsid w:val="1B0B7D7F"/>
    <w:rsid w:val="1B0E0D63"/>
    <w:rsid w:val="1B161B83"/>
    <w:rsid w:val="1B1C0EEA"/>
    <w:rsid w:val="1B2F1FB1"/>
    <w:rsid w:val="1B4D5548"/>
    <w:rsid w:val="1B974A15"/>
    <w:rsid w:val="1BAB04C0"/>
    <w:rsid w:val="1BB30356"/>
    <w:rsid w:val="1BE30BF5"/>
    <w:rsid w:val="1BE94049"/>
    <w:rsid w:val="1BF51C89"/>
    <w:rsid w:val="1BF709F4"/>
    <w:rsid w:val="1C00080C"/>
    <w:rsid w:val="1C093B64"/>
    <w:rsid w:val="1C140065"/>
    <w:rsid w:val="1C1442B7"/>
    <w:rsid w:val="1C146065"/>
    <w:rsid w:val="1C166281"/>
    <w:rsid w:val="1C273FEB"/>
    <w:rsid w:val="1C3A57A4"/>
    <w:rsid w:val="1C4C1CA3"/>
    <w:rsid w:val="1C580648"/>
    <w:rsid w:val="1C6E57EE"/>
    <w:rsid w:val="1C8E27E9"/>
    <w:rsid w:val="1C9F2730"/>
    <w:rsid w:val="1CC47A8B"/>
    <w:rsid w:val="1CD06430"/>
    <w:rsid w:val="1CE819CC"/>
    <w:rsid w:val="1CE912A0"/>
    <w:rsid w:val="1CFF3FD0"/>
    <w:rsid w:val="1D2610E3"/>
    <w:rsid w:val="1D267FCD"/>
    <w:rsid w:val="1D532BBD"/>
    <w:rsid w:val="1D583075"/>
    <w:rsid w:val="1D597891"/>
    <w:rsid w:val="1D69418F"/>
    <w:rsid w:val="1D703F17"/>
    <w:rsid w:val="1DAA0909"/>
    <w:rsid w:val="1DC928BA"/>
    <w:rsid w:val="1DD65CC8"/>
    <w:rsid w:val="1DE008F5"/>
    <w:rsid w:val="1DEF0B38"/>
    <w:rsid w:val="1DF20628"/>
    <w:rsid w:val="1DFD14A7"/>
    <w:rsid w:val="1E0C3498"/>
    <w:rsid w:val="1E2365C4"/>
    <w:rsid w:val="1E262080"/>
    <w:rsid w:val="1E2A6014"/>
    <w:rsid w:val="1E2C7FF6"/>
    <w:rsid w:val="1E3E09ED"/>
    <w:rsid w:val="1E415C46"/>
    <w:rsid w:val="1E5B7F7C"/>
    <w:rsid w:val="1E6F681E"/>
    <w:rsid w:val="1E81298D"/>
    <w:rsid w:val="1E966749"/>
    <w:rsid w:val="1EDC467D"/>
    <w:rsid w:val="1F0D5E82"/>
    <w:rsid w:val="1F26058A"/>
    <w:rsid w:val="1F503858"/>
    <w:rsid w:val="1F505606"/>
    <w:rsid w:val="1F576995"/>
    <w:rsid w:val="1F617814"/>
    <w:rsid w:val="1F63358C"/>
    <w:rsid w:val="1F705CA9"/>
    <w:rsid w:val="1F841754"/>
    <w:rsid w:val="1F882FF2"/>
    <w:rsid w:val="1F9D6372"/>
    <w:rsid w:val="1FA72037"/>
    <w:rsid w:val="1FAA11BB"/>
    <w:rsid w:val="1FAD0CAB"/>
    <w:rsid w:val="1FAE057F"/>
    <w:rsid w:val="1FBE07C2"/>
    <w:rsid w:val="1FC87893"/>
    <w:rsid w:val="1FE33C30"/>
    <w:rsid w:val="1FFC753C"/>
    <w:rsid w:val="20226353"/>
    <w:rsid w:val="2057184C"/>
    <w:rsid w:val="20605D1D"/>
    <w:rsid w:val="20623843"/>
    <w:rsid w:val="20947775"/>
    <w:rsid w:val="2096173F"/>
    <w:rsid w:val="209E23A2"/>
    <w:rsid w:val="20B816B5"/>
    <w:rsid w:val="20C252F0"/>
    <w:rsid w:val="20CC33B3"/>
    <w:rsid w:val="20DB7708"/>
    <w:rsid w:val="20E00C0C"/>
    <w:rsid w:val="20E22BD6"/>
    <w:rsid w:val="20FE1351"/>
    <w:rsid w:val="211F1734"/>
    <w:rsid w:val="21244F9D"/>
    <w:rsid w:val="212E3725"/>
    <w:rsid w:val="213276BA"/>
    <w:rsid w:val="213B4067"/>
    <w:rsid w:val="21470C8B"/>
    <w:rsid w:val="21922417"/>
    <w:rsid w:val="21A94798"/>
    <w:rsid w:val="21AC3BB0"/>
    <w:rsid w:val="21B856E5"/>
    <w:rsid w:val="21DB189F"/>
    <w:rsid w:val="21FE57EE"/>
    <w:rsid w:val="220228A2"/>
    <w:rsid w:val="220C3968"/>
    <w:rsid w:val="221A4255"/>
    <w:rsid w:val="22300EFE"/>
    <w:rsid w:val="22342FBD"/>
    <w:rsid w:val="224E7AB9"/>
    <w:rsid w:val="22561186"/>
    <w:rsid w:val="227E248B"/>
    <w:rsid w:val="227F4154"/>
    <w:rsid w:val="229A14CD"/>
    <w:rsid w:val="22B20386"/>
    <w:rsid w:val="22B91715"/>
    <w:rsid w:val="22BD1205"/>
    <w:rsid w:val="22DE14CA"/>
    <w:rsid w:val="22DE4CC3"/>
    <w:rsid w:val="22E06CA1"/>
    <w:rsid w:val="23154EDB"/>
    <w:rsid w:val="233D2346"/>
    <w:rsid w:val="234B0B13"/>
    <w:rsid w:val="235A4CA6"/>
    <w:rsid w:val="23627FFE"/>
    <w:rsid w:val="23641680"/>
    <w:rsid w:val="23757C0A"/>
    <w:rsid w:val="2398713A"/>
    <w:rsid w:val="239E30F8"/>
    <w:rsid w:val="239E62EA"/>
    <w:rsid w:val="23B855B4"/>
    <w:rsid w:val="23BF0200"/>
    <w:rsid w:val="23D04F68"/>
    <w:rsid w:val="23D22A8E"/>
    <w:rsid w:val="23D42CAA"/>
    <w:rsid w:val="23DE7685"/>
    <w:rsid w:val="23E40A13"/>
    <w:rsid w:val="23E66539"/>
    <w:rsid w:val="24062738"/>
    <w:rsid w:val="24066BDB"/>
    <w:rsid w:val="241C1F5B"/>
    <w:rsid w:val="248F4E23"/>
    <w:rsid w:val="24A87A4A"/>
    <w:rsid w:val="24B11426"/>
    <w:rsid w:val="24C245EB"/>
    <w:rsid w:val="24CA0C49"/>
    <w:rsid w:val="24D63273"/>
    <w:rsid w:val="24DC2879"/>
    <w:rsid w:val="24F627AC"/>
    <w:rsid w:val="250A08B4"/>
    <w:rsid w:val="250B78F2"/>
    <w:rsid w:val="251C6F11"/>
    <w:rsid w:val="251D242F"/>
    <w:rsid w:val="2527505B"/>
    <w:rsid w:val="253F4E90"/>
    <w:rsid w:val="25413B39"/>
    <w:rsid w:val="25473008"/>
    <w:rsid w:val="255B604F"/>
    <w:rsid w:val="2572277A"/>
    <w:rsid w:val="25F0544D"/>
    <w:rsid w:val="25F50CB6"/>
    <w:rsid w:val="2602040D"/>
    <w:rsid w:val="260C3D8B"/>
    <w:rsid w:val="26143832"/>
    <w:rsid w:val="26442195"/>
    <w:rsid w:val="266F0A68"/>
    <w:rsid w:val="26A93D63"/>
    <w:rsid w:val="26B60D3C"/>
    <w:rsid w:val="26C07516"/>
    <w:rsid w:val="27037402"/>
    <w:rsid w:val="27315D1D"/>
    <w:rsid w:val="2734580E"/>
    <w:rsid w:val="27392E24"/>
    <w:rsid w:val="27412505"/>
    <w:rsid w:val="27566984"/>
    <w:rsid w:val="275E4DF0"/>
    <w:rsid w:val="279467AC"/>
    <w:rsid w:val="279B763B"/>
    <w:rsid w:val="279D33B3"/>
    <w:rsid w:val="27AB3D22"/>
    <w:rsid w:val="27DF39CB"/>
    <w:rsid w:val="27EE30F1"/>
    <w:rsid w:val="28181A77"/>
    <w:rsid w:val="28194402"/>
    <w:rsid w:val="28445F24"/>
    <w:rsid w:val="284460E4"/>
    <w:rsid w:val="285E6062"/>
    <w:rsid w:val="2897334D"/>
    <w:rsid w:val="28AF15F0"/>
    <w:rsid w:val="28BA0CDD"/>
    <w:rsid w:val="28DE0127"/>
    <w:rsid w:val="28DF1E0D"/>
    <w:rsid w:val="28E374EB"/>
    <w:rsid w:val="28E514B5"/>
    <w:rsid w:val="28E77059"/>
    <w:rsid w:val="28F214DC"/>
    <w:rsid w:val="28F6721F"/>
    <w:rsid w:val="290C4C94"/>
    <w:rsid w:val="292B546A"/>
    <w:rsid w:val="293B7327"/>
    <w:rsid w:val="299D1255"/>
    <w:rsid w:val="29A50C45"/>
    <w:rsid w:val="29C42E79"/>
    <w:rsid w:val="2A063491"/>
    <w:rsid w:val="2A110088"/>
    <w:rsid w:val="2A13749B"/>
    <w:rsid w:val="2A3C5105"/>
    <w:rsid w:val="2A3F6D4F"/>
    <w:rsid w:val="2A4763EA"/>
    <w:rsid w:val="2AA63DE5"/>
    <w:rsid w:val="2AB253C7"/>
    <w:rsid w:val="2ABF4973"/>
    <w:rsid w:val="2AD74E2E"/>
    <w:rsid w:val="2ADB2B70"/>
    <w:rsid w:val="2AE05406"/>
    <w:rsid w:val="2AF34038"/>
    <w:rsid w:val="2AF83194"/>
    <w:rsid w:val="2B035C23"/>
    <w:rsid w:val="2B090784"/>
    <w:rsid w:val="2B4324C3"/>
    <w:rsid w:val="2B4663C7"/>
    <w:rsid w:val="2B520958"/>
    <w:rsid w:val="2B612949"/>
    <w:rsid w:val="2B626DED"/>
    <w:rsid w:val="2B656116"/>
    <w:rsid w:val="2B7E34FB"/>
    <w:rsid w:val="2BB14243"/>
    <w:rsid w:val="2BB3460A"/>
    <w:rsid w:val="2BB73576"/>
    <w:rsid w:val="2BE27F2E"/>
    <w:rsid w:val="2BEE0681"/>
    <w:rsid w:val="2C02237E"/>
    <w:rsid w:val="2C0C4FAB"/>
    <w:rsid w:val="2C1520B2"/>
    <w:rsid w:val="2C3B13EC"/>
    <w:rsid w:val="2C646B95"/>
    <w:rsid w:val="2C666469"/>
    <w:rsid w:val="2CDC672B"/>
    <w:rsid w:val="2CF0139F"/>
    <w:rsid w:val="2D04452F"/>
    <w:rsid w:val="2D085772"/>
    <w:rsid w:val="2D0A0497"/>
    <w:rsid w:val="2D1B3643"/>
    <w:rsid w:val="2D287BC3"/>
    <w:rsid w:val="2D2E4EB4"/>
    <w:rsid w:val="2D34403D"/>
    <w:rsid w:val="2D506084"/>
    <w:rsid w:val="2D5E35E4"/>
    <w:rsid w:val="2D681D47"/>
    <w:rsid w:val="2D6A1F89"/>
    <w:rsid w:val="2D6E0D2A"/>
    <w:rsid w:val="2D7D7B76"/>
    <w:rsid w:val="2D8B477A"/>
    <w:rsid w:val="2D937732"/>
    <w:rsid w:val="2DB33930"/>
    <w:rsid w:val="2DBB4593"/>
    <w:rsid w:val="2DDD3070"/>
    <w:rsid w:val="2DEC6E42"/>
    <w:rsid w:val="2E312AA7"/>
    <w:rsid w:val="2E5961C1"/>
    <w:rsid w:val="2E80280D"/>
    <w:rsid w:val="2EB86D24"/>
    <w:rsid w:val="2EC97183"/>
    <w:rsid w:val="2ECB4CA9"/>
    <w:rsid w:val="2ECD0A22"/>
    <w:rsid w:val="2ED95618"/>
    <w:rsid w:val="2EF761EA"/>
    <w:rsid w:val="2F09555E"/>
    <w:rsid w:val="2F1403FE"/>
    <w:rsid w:val="2F146650"/>
    <w:rsid w:val="2F1523C9"/>
    <w:rsid w:val="2F2E056B"/>
    <w:rsid w:val="2F324D29"/>
    <w:rsid w:val="2F4C0CFF"/>
    <w:rsid w:val="2F5922B5"/>
    <w:rsid w:val="2F7013AD"/>
    <w:rsid w:val="2F7B047E"/>
    <w:rsid w:val="2F9257C7"/>
    <w:rsid w:val="2F9528EB"/>
    <w:rsid w:val="2FC02334"/>
    <w:rsid w:val="2FC040E2"/>
    <w:rsid w:val="2FC55B9D"/>
    <w:rsid w:val="2FDB0F1C"/>
    <w:rsid w:val="2FE36FA0"/>
    <w:rsid w:val="2FF8469F"/>
    <w:rsid w:val="301D7787"/>
    <w:rsid w:val="301E705B"/>
    <w:rsid w:val="30202DD3"/>
    <w:rsid w:val="304C5976"/>
    <w:rsid w:val="305925DE"/>
    <w:rsid w:val="306950D4"/>
    <w:rsid w:val="3097003D"/>
    <w:rsid w:val="30A9726C"/>
    <w:rsid w:val="30B11C7D"/>
    <w:rsid w:val="30C45E54"/>
    <w:rsid w:val="30DA4364"/>
    <w:rsid w:val="30E43E01"/>
    <w:rsid w:val="30FF4043"/>
    <w:rsid w:val="31102E48"/>
    <w:rsid w:val="31165D7A"/>
    <w:rsid w:val="31245784"/>
    <w:rsid w:val="312F554A"/>
    <w:rsid w:val="3141401B"/>
    <w:rsid w:val="316244E8"/>
    <w:rsid w:val="316B2774"/>
    <w:rsid w:val="31903F88"/>
    <w:rsid w:val="31927D00"/>
    <w:rsid w:val="319A0963"/>
    <w:rsid w:val="319A7C9F"/>
    <w:rsid w:val="31A0241D"/>
    <w:rsid w:val="31CD2AE7"/>
    <w:rsid w:val="321C5CF3"/>
    <w:rsid w:val="324C7EAF"/>
    <w:rsid w:val="324F28A9"/>
    <w:rsid w:val="325113BA"/>
    <w:rsid w:val="32572468"/>
    <w:rsid w:val="326E7E26"/>
    <w:rsid w:val="328A54F4"/>
    <w:rsid w:val="328B4E7C"/>
    <w:rsid w:val="32907D08"/>
    <w:rsid w:val="32A93554"/>
    <w:rsid w:val="32D14858"/>
    <w:rsid w:val="32E53E60"/>
    <w:rsid w:val="32E93329"/>
    <w:rsid w:val="33574D5E"/>
    <w:rsid w:val="3371304C"/>
    <w:rsid w:val="33B91574"/>
    <w:rsid w:val="33BE7B38"/>
    <w:rsid w:val="33CE63A4"/>
    <w:rsid w:val="33E365F1"/>
    <w:rsid w:val="33F93B30"/>
    <w:rsid w:val="3424656E"/>
    <w:rsid w:val="343679BB"/>
    <w:rsid w:val="343C3874"/>
    <w:rsid w:val="346B4ACC"/>
    <w:rsid w:val="346F257B"/>
    <w:rsid w:val="348002E4"/>
    <w:rsid w:val="34825E0A"/>
    <w:rsid w:val="34833930"/>
    <w:rsid w:val="34876CEA"/>
    <w:rsid w:val="34932FAD"/>
    <w:rsid w:val="349C377A"/>
    <w:rsid w:val="34B34216"/>
    <w:rsid w:val="34BA6E6C"/>
    <w:rsid w:val="34C208FD"/>
    <w:rsid w:val="34C77CC1"/>
    <w:rsid w:val="350D06A0"/>
    <w:rsid w:val="351C5CD1"/>
    <w:rsid w:val="351C752D"/>
    <w:rsid w:val="351D5B33"/>
    <w:rsid w:val="352A3BB0"/>
    <w:rsid w:val="352C3FC8"/>
    <w:rsid w:val="35597E28"/>
    <w:rsid w:val="356065BD"/>
    <w:rsid w:val="356E45E1"/>
    <w:rsid w:val="35837AF2"/>
    <w:rsid w:val="359C55DA"/>
    <w:rsid w:val="359C73A0"/>
    <w:rsid w:val="359D4169"/>
    <w:rsid w:val="359F7DBD"/>
    <w:rsid w:val="35E777DB"/>
    <w:rsid w:val="35F44AE6"/>
    <w:rsid w:val="360B791F"/>
    <w:rsid w:val="3619279E"/>
    <w:rsid w:val="36266C69"/>
    <w:rsid w:val="3632560E"/>
    <w:rsid w:val="36421D88"/>
    <w:rsid w:val="36547FA4"/>
    <w:rsid w:val="365522C8"/>
    <w:rsid w:val="36657792"/>
    <w:rsid w:val="3667350A"/>
    <w:rsid w:val="366E6085"/>
    <w:rsid w:val="36717188"/>
    <w:rsid w:val="36805A4B"/>
    <w:rsid w:val="369B301F"/>
    <w:rsid w:val="369D33CF"/>
    <w:rsid w:val="36D05553"/>
    <w:rsid w:val="36D272A3"/>
    <w:rsid w:val="36F161C9"/>
    <w:rsid w:val="370553D6"/>
    <w:rsid w:val="370B6A72"/>
    <w:rsid w:val="37321D6A"/>
    <w:rsid w:val="3738680E"/>
    <w:rsid w:val="374A492C"/>
    <w:rsid w:val="37517D16"/>
    <w:rsid w:val="375C0B95"/>
    <w:rsid w:val="377D0B0B"/>
    <w:rsid w:val="37936580"/>
    <w:rsid w:val="37B564F7"/>
    <w:rsid w:val="37BA789F"/>
    <w:rsid w:val="37C47EB0"/>
    <w:rsid w:val="38367533"/>
    <w:rsid w:val="38402264"/>
    <w:rsid w:val="38403317"/>
    <w:rsid w:val="38477753"/>
    <w:rsid w:val="384E281C"/>
    <w:rsid w:val="385A322E"/>
    <w:rsid w:val="386121DB"/>
    <w:rsid w:val="38675A43"/>
    <w:rsid w:val="38722BF1"/>
    <w:rsid w:val="387737AC"/>
    <w:rsid w:val="387C4A90"/>
    <w:rsid w:val="387C7014"/>
    <w:rsid w:val="389F024F"/>
    <w:rsid w:val="38A345A1"/>
    <w:rsid w:val="38CD7870"/>
    <w:rsid w:val="38D658A4"/>
    <w:rsid w:val="38D806EF"/>
    <w:rsid w:val="38DB4C48"/>
    <w:rsid w:val="38DD5F0B"/>
    <w:rsid w:val="38EC7CF6"/>
    <w:rsid w:val="38ED109F"/>
    <w:rsid w:val="38EF77E6"/>
    <w:rsid w:val="3905525C"/>
    <w:rsid w:val="3915264A"/>
    <w:rsid w:val="39370FCC"/>
    <w:rsid w:val="39423DBA"/>
    <w:rsid w:val="39730417"/>
    <w:rsid w:val="397D4DF2"/>
    <w:rsid w:val="398B296A"/>
    <w:rsid w:val="39A01C75"/>
    <w:rsid w:val="39A22AAB"/>
    <w:rsid w:val="39AB7756"/>
    <w:rsid w:val="39B822CE"/>
    <w:rsid w:val="39C645C3"/>
    <w:rsid w:val="39F14CFF"/>
    <w:rsid w:val="3A0606B4"/>
    <w:rsid w:val="3A260235"/>
    <w:rsid w:val="3A26548A"/>
    <w:rsid w:val="3A3F654C"/>
    <w:rsid w:val="3A5244D1"/>
    <w:rsid w:val="3A560CB2"/>
    <w:rsid w:val="3A7B1DAF"/>
    <w:rsid w:val="3A895F1A"/>
    <w:rsid w:val="3AED5FA8"/>
    <w:rsid w:val="3AEF1D20"/>
    <w:rsid w:val="3AF24BAE"/>
    <w:rsid w:val="3AF47336"/>
    <w:rsid w:val="3B2E4FD7"/>
    <w:rsid w:val="3B3879B2"/>
    <w:rsid w:val="3B40095D"/>
    <w:rsid w:val="3B40257B"/>
    <w:rsid w:val="3B8701AA"/>
    <w:rsid w:val="3B8B471B"/>
    <w:rsid w:val="3B9D177C"/>
    <w:rsid w:val="3BAA2C3A"/>
    <w:rsid w:val="3BBF35D2"/>
    <w:rsid w:val="3BC60CD2"/>
    <w:rsid w:val="3C1A55FB"/>
    <w:rsid w:val="3C6E32C0"/>
    <w:rsid w:val="3C720E5A"/>
    <w:rsid w:val="3C926E07"/>
    <w:rsid w:val="3C991F43"/>
    <w:rsid w:val="3CB56530"/>
    <w:rsid w:val="3CE21B3C"/>
    <w:rsid w:val="3CEE2633"/>
    <w:rsid w:val="3CFE7520"/>
    <w:rsid w:val="3D2C1009"/>
    <w:rsid w:val="3D3A313D"/>
    <w:rsid w:val="3D6F7148"/>
    <w:rsid w:val="3D833444"/>
    <w:rsid w:val="3D991F23"/>
    <w:rsid w:val="3D9E6172"/>
    <w:rsid w:val="3DA768E2"/>
    <w:rsid w:val="3DB54043"/>
    <w:rsid w:val="3DBF59D9"/>
    <w:rsid w:val="3DCC00F6"/>
    <w:rsid w:val="3DCD61EA"/>
    <w:rsid w:val="3DD27E48"/>
    <w:rsid w:val="3DE23DBE"/>
    <w:rsid w:val="3E0755D2"/>
    <w:rsid w:val="3E1F3308"/>
    <w:rsid w:val="3E24222C"/>
    <w:rsid w:val="3E5C3280"/>
    <w:rsid w:val="3E611186"/>
    <w:rsid w:val="3E6447D3"/>
    <w:rsid w:val="3E6E530D"/>
    <w:rsid w:val="3E710CF3"/>
    <w:rsid w:val="3E7E5894"/>
    <w:rsid w:val="3EA01CAF"/>
    <w:rsid w:val="3EA67461"/>
    <w:rsid w:val="3EAB2402"/>
    <w:rsid w:val="3EDE6D9C"/>
    <w:rsid w:val="3EE07759"/>
    <w:rsid w:val="3F0E1DC9"/>
    <w:rsid w:val="3F29232C"/>
    <w:rsid w:val="3F340649"/>
    <w:rsid w:val="3F446FDD"/>
    <w:rsid w:val="3F554719"/>
    <w:rsid w:val="3F6532BD"/>
    <w:rsid w:val="3F740A45"/>
    <w:rsid w:val="3F7E18C4"/>
    <w:rsid w:val="3F9410E8"/>
    <w:rsid w:val="3FAA4A0B"/>
    <w:rsid w:val="3FC80C47"/>
    <w:rsid w:val="3FCA4B09"/>
    <w:rsid w:val="3FD37E62"/>
    <w:rsid w:val="40085A8B"/>
    <w:rsid w:val="40110D1A"/>
    <w:rsid w:val="40175FA1"/>
    <w:rsid w:val="402B55A8"/>
    <w:rsid w:val="405C12A3"/>
    <w:rsid w:val="405E0BE9"/>
    <w:rsid w:val="40676A96"/>
    <w:rsid w:val="407E7DCE"/>
    <w:rsid w:val="40952783"/>
    <w:rsid w:val="409718F2"/>
    <w:rsid w:val="40A20EFE"/>
    <w:rsid w:val="40BE48FA"/>
    <w:rsid w:val="40CF5B6F"/>
    <w:rsid w:val="41062CDB"/>
    <w:rsid w:val="41081E05"/>
    <w:rsid w:val="412D35A2"/>
    <w:rsid w:val="412F5917"/>
    <w:rsid w:val="412F731A"/>
    <w:rsid w:val="41343828"/>
    <w:rsid w:val="413761CE"/>
    <w:rsid w:val="414803DC"/>
    <w:rsid w:val="416A36E3"/>
    <w:rsid w:val="41717932"/>
    <w:rsid w:val="418D4040"/>
    <w:rsid w:val="419158DF"/>
    <w:rsid w:val="419929E5"/>
    <w:rsid w:val="41C55588"/>
    <w:rsid w:val="41D61BA7"/>
    <w:rsid w:val="420036DD"/>
    <w:rsid w:val="421D7172"/>
    <w:rsid w:val="422E75D1"/>
    <w:rsid w:val="42481CF7"/>
    <w:rsid w:val="42487232"/>
    <w:rsid w:val="425860D3"/>
    <w:rsid w:val="42673BE0"/>
    <w:rsid w:val="42674891"/>
    <w:rsid w:val="42925DB2"/>
    <w:rsid w:val="42A15FF5"/>
    <w:rsid w:val="42A5553A"/>
    <w:rsid w:val="42C910A8"/>
    <w:rsid w:val="42CB1A99"/>
    <w:rsid w:val="42CB3072"/>
    <w:rsid w:val="42D77C69"/>
    <w:rsid w:val="42E31E8A"/>
    <w:rsid w:val="42F75C15"/>
    <w:rsid w:val="4320516C"/>
    <w:rsid w:val="43335634"/>
    <w:rsid w:val="4347194E"/>
    <w:rsid w:val="43473F7B"/>
    <w:rsid w:val="43592C75"/>
    <w:rsid w:val="43695360"/>
    <w:rsid w:val="437E6DA0"/>
    <w:rsid w:val="438020AF"/>
    <w:rsid w:val="438A5FC1"/>
    <w:rsid w:val="438C0A54"/>
    <w:rsid w:val="43A11C8B"/>
    <w:rsid w:val="43C84F50"/>
    <w:rsid w:val="43DE2113"/>
    <w:rsid w:val="43E066A9"/>
    <w:rsid w:val="43E731C5"/>
    <w:rsid w:val="43F839F3"/>
    <w:rsid w:val="43FB7987"/>
    <w:rsid w:val="44000AFA"/>
    <w:rsid w:val="44045764"/>
    <w:rsid w:val="44077DD6"/>
    <w:rsid w:val="442F13DF"/>
    <w:rsid w:val="443402BB"/>
    <w:rsid w:val="445157F9"/>
    <w:rsid w:val="447A08AC"/>
    <w:rsid w:val="44883190"/>
    <w:rsid w:val="44AC3634"/>
    <w:rsid w:val="44C267FC"/>
    <w:rsid w:val="44CE7028"/>
    <w:rsid w:val="44D60A1B"/>
    <w:rsid w:val="44E24A29"/>
    <w:rsid w:val="45010FCD"/>
    <w:rsid w:val="450E7246"/>
    <w:rsid w:val="45196317"/>
    <w:rsid w:val="452E5204"/>
    <w:rsid w:val="45352F55"/>
    <w:rsid w:val="45655655"/>
    <w:rsid w:val="456C562E"/>
    <w:rsid w:val="45795B83"/>
    <w:rsid w:val="458A2D71"/>
    <w:rsid w:val="45CA5569"/>
    <w:rsid w:val="45DE4E6B"/>
    <w:rsid w:val="45EA380F"/>
    <w:rsid w:val="45F32F9D"/>
    <w:rsid w:val="461F5BAF"/>
    <w:rsid w:val="462705C0"/>
    <w:rsid w:val="463B050F"/>
    <w:rsid w:val="46454EEA"/>
    <w:rsid w:val="46517D32"/>
    <w:rsid w:val="46670E5A"/>
    <w:rsid w:val="466E2692"/>
    <w:rsid w:val="467852BF"/>
    <w:rsid w:val="46827EEC"/>
    <w:rsid w:val="46845A12"/>
    <w:rsid w:val="4685165A"/>
    <w:rsid w:val="46883EC9"/>
    <w:rsid w:val="46A2233C"/>
    <w:rsid w:val="46C6427C"/>
    <w:rsid w:val="46D62523"/>
    <w:rsid w:val="47121270"/>
    <w:rsid w:val="472371D0"/>
    <w:rsid w:val="472D6F9A"/>
    <w:rsid w:val="474653BD"/>
    <w:rsid w:val="47534C38"/>
    <w:rsid w:val="475A6773"/>
    <w:rsid w:val="47631E5E"/>
    <w:rsid w:val="47657EC6"/>
    <w:rsid w:val="47744132"/>
    <w:rsid w:val="477A0BC3"/>
    <w:rsid w:val="478D08F6"/>
    <w:rsid w:val="47AC3472"/>
    <w:rsid w:val="47DB5B06"/>
    <w:rsid w:val="47DB78B4"/>
    <w:rsid w:val="47E14A86"/>
    <w:rsid w:val="47F11F45"/>
    <w:rsid w:val="48001A27"/>
    <w:rsid w:val="480C2835"/>
    <w:rsid w:val="48166B3E"/>
    <w:rsid w:val="48372EF6"/>
    <w:rsid w:val="4838254D"/>
    <w:rsid w:val="483C5908"/>
    <w:rsid w:val="48425B85"/>
    <w:rsid w:val="486024AF"/>
    <w:rsid w:val="487A1E2A"/>
    <w:rsid w:val="4880581D"/>
    <w:rsid w:val="48952158"/>
    <w:rsid w:val="48B2033C"/>
    <w:rsid w:val="48B819A3"/>
    <w:rsid w:val="48C1423C"/>
    <w:rsid w:val="48C14CFA"/>
    <w:rsid w:val="48D03190"/>
    <w:rsid w:val="48DB1B35"/>
    <w:rsid w:val="490948F4"/>
    <w:rsid w:val="49155047"/>
    <w:rsid w:val="492E7EB7"/>
    <w:rsid w:val="492F3958"/>
    <w:rsid w:val="49326269"/>
    <w:rsid w:val="49423962"/>
    <w:rsid w:val="495A502F"/>
    <w:rsid w:val="498E1D28"/>
    <w:rsid w:val="49975A5C"/>
    <w:rsid w:val="49CF169A"/>
    <w:rsid w:val="49D722FD"/>
    <w:rsid w:val="49F00709"/>
    <w:rsid w:val="4A106AA2"/>
    <w:rsid w:val="4A3F2AC7"/>
    <w:rsid w:val="4A562C30"/>
    <w:rsid w:val="4A7E09CA"/>
    <w:rsid w:val="4A914BA1"/>
    <w:rsid w:val="4A985F30"/>
    <w:rsid w:val="4A9B47A6"/>
    <w:rsid w:val="4ABB1C1E"/>
    <w:rsid w:val="4AD142C5"/>
    <w:rsid w:val="4AEC1A87"/>
    <w:rsid w:val="4B0E6036"/>
    <w:rsid w:val="4B322B2B"/>
    <w:rsid w:val="4B337A07"/>
    <w:rsid w:val="4B383A94"/>
    <w:rsid w:val="4B5A4F93"/>
    <w:rsid w:val="4B5F3934"/>
    <w:rsid w:val="4B9E122E"/>
    <w:rsid w:val="4BB34E6B"/>
    <w:rsid w:val="4BBA1ED6"/>
    <w:rsid w:val="4BC749E2"/>
    <w:rsid w:val="4BD95820"/>
    <w:rsid w:val="4BEA4569"/>
    <w:rsid w:val="4BEF1B80"/>
    <w:rsid w:val="4BF929FE"/>
    <w:rsid w:val="4C0F3FD0"/>
    <w:rsid w:val="4C4D2D4A"/>
    <w:rsid w:val="4C560F4B"/>
    <w:rsid w:val="4C650094"/>
    <w:rsid w:val="4C891FD4"/>
    <w:rsid w:val="4CA87F80"/>
    <w:rsid w:val="4CAC181F"/>
    <w:rsid w:val="4CB91F68"/>
    <w:rsid w:val="4CEA2347"/>
    <w:rsid w:val="4D01600E"/>
    <w:rsid w:val="4D3A4B4A"/>
    <w:rsid w:val="4D446779"/>
    <w:rsid w:val="4D6A235C"/>
    <w:rsid w:val="4DBE3EFF"/>
    <w:rsid w:val="4DBE44FA"/>
    <w:rsid w:val="4DC4703C"/>
    <w:rsid w:val="4DEF2FD6"/>
    <w:rsid w:val="4DFF1E22"/>
    <w:rsid w:val="4E4F4B57"/>
    <w:rsid w:val="4E685C19"/>
    <w:rsid w:val="4E6D3230"/>
    <w:rsid w:val="4E802F63"/>
    <w:rsid w:val="4E8A5B90"/>
    <w:rsid w:val="4E920EE8"/>
    <w:rsid w:val="4EAD065D"/>
    <w:rsid w:val="4EAD187E"/>
    <w:rsid w:val="4EB37C3D"/>
    <w:rsid w:val="4EB90223"/>
    <w:rsid w:val="4EBC54CC"/>
    <w:rsid w:val="4ED908C5"/>
    <w:rsid w:val="4EDA3A06"/>
    <w:rsid w:val="4EDA57BA"/>
    <w:rsid w:val="4F22226C"/>
    <w:rsid w:val="4F58577C"/>
    <w:rsid w:val="4F734295"/>
    <w:rsid w:val="4F787AD0"/>
    <w:rsid w:val="4FD95020"/>
    <w:rsid w:val="4FE71345"/>
    <w:rsid w:val="4FF57980"/>
    <w:rsid w:val="4FF84D7B"/>
    <w:rsid w:val="4FFF435B"/>
    <w:rsid w:val="502B33A2"/>
    <w:rsid w:val="50811214"/>
    <w:rsid w:val="509713E0"/>
    <w:rsid w:val="50994855"/>
    <w:rsid w:val="50B52C6C"/>
    <w:rsid w:val="50C916CE"/>
    <w:rsid w:val="50D07B06"/>
    <w:rsid w:val="50D43E40"/>
    <w:rsid w:val="50D457E8"/>
    <w:rsid w:val="50D47596"/>
    <w:rsid w:val="50D70E34"/>
    <w:rsid w:val="50DB26D2"/>
    <w:rsid w:val="50EC48E0"/>
    <w:rsid w:val="51074E73"/>
    <w:rsid w:val="512E4EF8"/>
    <w:rsid w:val="51501312"/>
    <w:rsid w:val="515A6091"/>
    <w:rsid w:val="51640350"/>
    <w:rsid w:val="517A57B4"/>
    <w:rsid w:val="5180327A"/>
    <w:rsid w:val="51894824"/>
    <w:rsid w:val="51A65517"/>
    <w:rsid w:val="51A74CAA"/>
    <w:rsid w:val="51B01DB1"/>
    <w:rsid w:val="51BF7984"/>
    <w:rsid w:val="51C770FB"/>
    <w:rsid w:val="51C77A8F"/>
    <w:rsid w:val="51C92E73"/>
    <w:rsid w:val="51D626D8"/>
    <w:rsid w:val="51D81009"/>
    <w:rsid w:val="52140592"/>
    <w:rsid w:val="521F0CE5"/>
    <w:rsid w:val="522856E5"/>
    <w:rsid w:val="525E66FC"/>
    <w:rsid w:val="52614E59"/>
    <w:rsid w:val="526B217C"/>
    <w:rsid w:val="526F3A1A"/>
    <w:rsid w:val="52756B57"/>
    <w:rsid w:val="529A65BD"/>
    <w:rsid w:val="52A1794C"/>
    <w:rsid w:val="52A804D6"/>
    <w:rsid w:val="52BC64E4"/>
    <w:rsid w:val="52BE405A"/>
    <w:rsid w:val="5322283B"/>
    <w:rsid w:val="53491D61"/>
    <w:rsid w:val="53650979"/>
    <w:rsid w:val="537828D3"/>
    <w:rsid w:val="537E6C2E"/>
    <w:rsid w:val="537F7C8D"/>
    <w:rsid w:val="53A4730B"/>
    <w:rsid w:val="53AA2830"/>
    <w:rsid w:val="53AA4ED2"/>
    <w:rsid w:val="53B4545D"/>
    <w:rsid w:val="53C33221"/>
    <w:rsid w:val="53E2021C"/>
    <w:rsid w:val="5404530E"/>
    <w:rsid w:val="54164956"/>
    <w:rsid w:val="541C64BE"/>
    <w:rsid w:val="54420CBA"/>
    <w:rsid w:val="54436F0C"/>
    <w:rsid w:val="54464F59"/>
    <w:rsid w:val="54693BC3"/>
    <w:rsid w:val="548C2213"/>
    <w:rsid w:val="549F7EBB"/>
    <w:rsid w:val="54A0435F"/>
    <w:rsid w:val="54C2380D"/>
    <w:rsid w:val="54D31991"/>
    <w:rsid w:val="54D3720D"/>
    <w:rsid w:val="54E339DF"/>
    <w:rsid w:val="55050666"/>
    <w:rsid w:val="550600C1"/>
    <w:rsid w:val="5511700B"/>
    <w:rsid w:val="55192D16"/>
    <w:rsid w:val="552D1164"/>
    <w:rsid w:val="552F7491"/>
    <w:rsid w:val="553920BD"/>
    <w:rsid w:val="553E1482"/>
    <w:rsid w:val="556B7A96"/>
    <w:rsid w:val="55717AA9"/>
    <w:rsid w:val="557B4484"/>
    <w:rsid w:val="559460CF"/>
    <w:rsid w:val="55967510"/>
    <w:rsid w:val="55992438"/>
    <w:rsid w:val="55A1105C"/>
    <w:rsid w:val="55B94FAC"/>
    <w:rsid w:val="55C776C9"/>
    <w:rsid w:val="55C864BD"/>
    <w:rsid w:val="55D43B94"/>
    <w:rsid w:val="55E6075F"/>
    <w:rsid w:val="56244B1C"/>
    <w:rsid w:val="56682C5A"/>
    <w:rsid w:val="567710EF"/>
    <w:rsid w:val="5697353F"/>
    <w:rsid w:val="56BD3761"/>
    <w:rsid w:val="56C2677F"/>
    <w:rsid w:val="56C67981"/>
    <w:rsid w:val="56DC71A4"/>
    <w:rsid w:val="56DE2F1C"/>
    <w:rsid w:val="56F73FDE"/>
    <w:rsid w:val="570109B9"/>
    <w:rsid w:val="57014E5D"/>
    <w:rsid w:val="571C3A45"/>
    <w:rsid w:val="574F1A25"/>
    <w:rsid w:val="57827D4C"/>
    <w:rsid w:val="57877110"/>
    <w:rsid w:val="57996E43"/>
    <w:rsid w:val="579D2DD8"/>
    <w:rsid w:val="579F097F"/>
    <w:rsid w:val="57A90DF0"/>
    <w:rsid w:val="57B41ECF"/>
    <w:rsid w:val="57CB7BB9"/>
    <w:rsid w:val="57F81019"/>
    <w:rsid w:val="57F86260"/>
    <w:rsid w:val="5800211A"/>
    <w:rsid w:val="58006EC2"/>
    <w:rsid w:val="580544D9"/>
    <w:rsid w:val="58112E7E"/>
    <w:rsid w:val="581D7A74"/>
    <w:rsid w:val="58500EFD"/>
    <w:rsid w:val="58533496"/>
    <w:rsid w:val="585711D8"/>
    <w:rsid w:val="585B234B"/>
    <w:rsid w:val="585D4315"/>
    <w:rsid w:val="5898359F"/>
    <w:rsid w:val="58A21858"/>
    <w:rsid w:val="58BD4DB3"/>
    <w:rsid w:val="58D04A17"/>
    <w:rsid w:val="58DE01FD"/>
    <w:rsid w:val="59221F49"/>
    <w:rsid w:val="59350DEE"/>
    <w:rsid w:val="59694D38"/>
    <w:rsid w:val="596E7167"/>
    <w:rsid w:val="59896373"/>
    <w:rsid w:val="59944921"/>
    <w:rsid w:val="59C24D38"/>
    <w:rsid w:val="59E52371"/>
    <w:rsid w:val="5A0031AA"/>
    <w:rsid w:val="5A032C9A"/>
    <w:rsid w:val="5A267BAB"/>
    <w:rsid w:val="5A4128BF"/>
    <w:rsid w:val="5A6C083F"/>
    <w:rsid w:val="5A70032F"/>
    <w:rsid w:val="5A9C3BE5"/>
    <w:rsid w:val="5AA47FD9"/>
    <w:rsid w:val="5AA63D51"/>
    <w:rsid w:val="5AB973DB"/>
    <w:rsid w:val="5ABD2B5A"/>
    <w:rsid w:val="5AEE6F76"/>
    <w:rsid w:val="5AF531CA"/>
    <w:rsid w:val="5AF56A87"/>
    <w:rsid w:val="5B0902CE"/>
    <w:rsid w:val="5B155F9D"/>
    <w:rsid w:val="5B24736C"/>
    <w:rsid w:val="5B2630E4"/>
    <w:rsid w:val="5B384ED4"/>
    <w:rsid w:val="5B50416A"/>
    <w:rsid w:val="5B726329"/>
    <w:rsid w:val="5B7C71A8"/>
    <w:rsid w:val="5B8027F4"/>
    <w:rsid w:val="5B834092"/>
    <w:rsid w:val="5B8E14FD"/>
    <w:rsid w:val="5BA069F2"/>
    <w:rsid w:val="5BAF2C4A"/>
    <w:rsid w:val="5BCD0E49"/>
    <w:rsid w:val="5BCE7A03"/>
    <w:rsid w:val="5BE4111B"/>
    <w:rsid w:val="5BEC60DC"/>
    <w:rsid w:val="5BF40AEC"/>
    <w:rsid w:val="5C263384"/>
    <w:rsid w:val="5C3D4752"/>
    <w:rsid w:val="5C553C81"/>
    <w:rsid w:val="5C597AB2"/>
    <w:rsid w:val="5C6F4148"/>
    <w:rsid w:val="5C7F2662"/>
    <w:rsid w:val="5C926A40"/>
    <w:rsid w:val="5C9A78E6"/>
    <w:rsid w:val="5D080CF3"/>
    <w:rsid w:val="5D105DFA"/>
    <w:rsid w:val="5D1C3F10"/>
    <w:rsid w:val="5D1D4073"/>
    <w:rsid w:val="5D2A2A61"/>
    <w:rsid w:val="5D6D5B77"/>
    <w:rsid w:val="5D8876CE"/>
    <w:rsid w:val="5D8A795A"/>
    <w:rsid w:val="5D94694A"/>
    <w:rsid w:val="5D96694F"/>
    <w:rsid w:val="5DDC5CDC"/>
    <w:rsid w:val="5DF27EF8"/>
    <w:rsid w:val="5E086AD1"/>
    <w:rsid w:val="5E280F21"/>
    <w:rsid w:val="5E3D49CC"/>
    <w:rsid w:val="5E4E6BDA"/>
    <w:rsid w:val="5E550A70"/>
    <w:rsid w:val="5E602469"/>
    <w:rsid w:val="5E722421"/>
    <w:rsid w:val="5E783C56"/>
    <w:rsid w:val="5E8C14B0"/>
    <w:rsid w:val="5E987E55"/>
    <w:rsid w:val="5E9B2FD6"/>
    <w:rsid w:val="5EB87044"/>
    <w:rsid w:val="5EBB7FE7"/>
    <w:rsid w:val="5EC65D8B"/>
    <w:rsid w:val="5EC734AA"/>
    <w:rsid w:val="5EC73876"/>
    <w:rsid w:val="5ED0644A"/>
    <w:rsid w:val="5ED13367"/>
    <w:rsid w:val="5ED82947"/>
    <w:rsid w:val="5F074FDA"/>
    <w:rsid w:val="5F100333"/>
    <w:rsid w:val="5F111265"/>
    <w:rsid w:val="5F4C0C3F"/>
    <w:rsid w:val="5F6917F1"/>
    <w:rsid w:val="5F7F7267"/>
    <w:rsid w:val="5F81024E"/>
    <w:rsid w:val="5F881C77"/>
    <w:rsid w:val="5F942D12"/>
    <w:rsid w:val="5F9E593F"/>
    <w:rsid w:val="5FA171DD"/>
    <w:rsid w:val="5FA92BCE"/>
    <w:rsid w:val="5FD64512"/>
    <w:rsid w:val="5FE729F9"/>
    <w:rsid w:val="5FF45E5E"/>
    <w:rsid w:val="5FFB057B"/>
    <w:rsid w:val="600C0AFA"/>
    <w:rsid w:val="603B0E28"/>
    <w:rsid w:val="604D2EC1"/>
    <w:rsid w:val="604D4C6F"/>
    <w:rsid w:val="605F6E50"/>
    <w:rsid w:val="608508AD"/>
    <w:rsid w:val="60BB39F0"/>
    <w:rsid w:val="60C05441"/>
    <w:rsid w:val="60D96503"/>
    <w:rsid w:val="60EB5146"/>
    <w:rsid w:val="60F021CA"/>
    <w:rsid w:val="611A0FF5"/>
    <w:rsid w:val="613C64A2"/>
    <w:rsid w:val="61500EBB"/>
    <w:rsid w:val="61581B1D"/>
    <w:rsid w:val="617550BB"/>
    <w:rsid w:val="618121E3"/>
    <w:rsid w:val="618446C0"/>
    <w:rsid w:val="619C1A0A"/>
    <w:rsid w:val="619D39D4"/>
    <w:rsid w:val="619F3038"/>
    <w:rsid w:val="61F950AE"/>
    <w:rsid w:val="6200643D"/>
    <w:rsid w:val="620F6680"/>
    <w:rsid w:val="6212791F"/>
    <w:rsid w:val="621C2B4B"/>
    <w:rsid w:val="623E1855"/>
    <w:rsid w:val="624772E2"/>
    <w:rsid w:val="624A6263"/>
    <w:rsid w:val="625978FB"/>
    <w:rsid w:val="62597D8F"/>
    <w:rsid w:val="628129F0"/>
    <w:rsid w:val="62886432"/>
    <w:rsid w:val="62AF7E63"/>
    <w:rsid w:val="62B17737"/>
    <w:rsid w:val="62D5610E"/>
    <w:rsid w:val="63120B67"/>
    <w:rsid w:val="63133F4E"/>
    <w:rsid w:val="63220635"/>
    <w:rsid w:val="63224191"/>
    <w:rsid w:val="63241437"/>
    <w:rsid w:val="6329551F"/>
    <w:rsid w:val="633F11E7"/>
    <w:rsid w:val="63506F50"/>
    <w:rsid w:val="637C3828"/>
    <w:rsid w:val="637D586B"/>
    <w:rsid w:val="639037F0"/>
    <w:rsid w:val="639F1C85"/>
    <w:rsid w:val="63AE1EC8"/>
    <w:rsid w:val="63C947F3"/>
    <w:rsid w:val="63CC234F"/>
    <w:rsid w:val="63D3192F"/>
    <w:rsid w:val="63D404D6"/>
    <w:rsid w:val="63DB4B97"/>
    <w:rsid w:val="63DE27AE"/>
    <w:rsid w:val="63E47698"/>
    <w:rsid w:val="63ED29F1"/>
    <w:rsid w:val="63EF561B"/>
    <w:rsid w:val="642108EC"/>
    <w:rsid w:val="642A4D34"/>
    <w:rsid w:val="642A59F3"/>
    <w:rsid w:val="643F0D73"/>
    <w:rsid w:val="64790728"/>
    <w:rsid w:val="64812B37"/>
    <w:rsid w:val="64A357A5"/>
    <w:rsid w:val="64A810B8"/>
    <w:rsid w:val="64AF414A"/>
    <w:rsid w:val="64D771FD"/>
    <w:rsid w:val="64E831B8"/>
    <w:rsid w:val="64F102BF"/>
    <w:rsid w:val="64F8164D"/>
    <w:rsid w:val="652E32C1"/>
    <w:rsid w:val="653603C7"/>
    <w:rsid w:val="65497C58"/>
    <w:rsid w:val="65690D6D"/>
    <w:rsid w:val="65711400"/>
    <w:rsid w:val="6590373C"/>
    <w:rsid w:val="659A0956"/>
    <w:rsid w:val="65A6554D"/>
    <w:rsid w:val="65B16DEC"/>
    <w:rsid w:val="65B337C6"/>
    <w:rsid w:val="65DD6A95"/>
    <w:rsid w:val="6610052D"/>
    <w:rsid w:val="66122A83"/>
    <w:rsid w:val="66134265"/>
    <w:rsid w:val="661C4C76"/>
    <w:rsid w:val="66393956"/>
    <w:rsid w:val="663C1A0D"/>
    <w:rsid w:val="66401BC0"/>
    <w:rsid w:val="66756CCD"/>
    <w:rsid w:val="66866EF8"/>
    <w:rsid w:val="66A31A8D"/>
    <w:rsid w:val="66C336DD"/>
    <w:rsid w:val="66E62482"/>
    <w:rsid w:val="66E6601E"/>
    <w:rsid w:val="66E8749F"/>
    <w:rsid w:val="66E9770B"/>
    <w:rsid w:val="66F16BB2"/>
    <w:rsid w:val="66F347C2"/>
    <w:rsid w:val="66F37B43"/>
    <w:rsid w:val="66F61BBC"/>
    <w:rsid w:val="67144738"/>
    <w:rsid w:val="672C7CD4"/>
    <w:rsid w:val="67421633"/>
    <w:rsid w:val="67784753"/>
    <w:rsid w:val="678968B7"/>
    <w:rsid w:val="67BC1058"/>
    <w:rsid w:val="67CB4318"/>
    <w:rsid w:val="67CC7CC3"/>
    <w:rsid w:val="67D82D01"/>
    <w:rsid w:val="67DD4B2A"/>
    <w:rsid w:val="67ED4333"/>
    <w:rsid w:val="67FC4B74"/>
    <w:rsid w:val="68064081"/>
    <w:rsid w:val="68082E6F"/>
    <w:rsid w:val="681F5ACC"/>
    <w:rsid w:val="683F7593"/>
    <w:rsid w:val="68550B65"/>
    <w:rsid w:val="68605206"/>
    <w:rsid w:val="68694610"/>
    <w:rsid w:val="68881EFE"/>
    <w:rsid w:val="688D6550"/>
    <w:rsid w:val="68D20407"/>
    <w:rsid w:val="68D318EE"/>
    <w:rsid w:val="68DB5085"/>
    <w:rsid w:val="68DB550E"/>
    <w:rsid w:val="68DE0466"/>
    <w:rsid w:val="68E63EB3"/>
    <w:rsid w:val="692D1AE1"/>
    <w:rsid w:val="69461DC8"/>
    <w:rsid w:val="69652A6D"/>
    <w:rsid w:val="696E7CC0"/>
    <w:rsid w:val="698A0CE2"/>
    <w:rsid w:val="699F29DF"/>
    <w:rsid w:val="69AA3132"/>
    <w:rsid w:val="69C266CE"/>
    <w:rsid w:val="69C60B52"/>
    <w:rsid w:val="69E14DA6"/>
    <w:rsid w:val="69EE306B"/>
    <w:rsid w:val="69F22593"/>
    <w:rsid w:val="69FB7423"/>
    <w:rsid w:val="6A0A1677"/>
    <w:rsid w:val="6A0D631B"/>
    <w:rsid w:val="6A2D31DC"/>
    <w:rsid w:val="6A4E432F"/>
    <w:rsid w:val="6A505A87"/>
    <w:rsid w:val="6A544A86"/>
    <w:rsid w:val="6A6908F7"/>
    <w:rsid w:val="6A767704"/>
    <w:rsid w:val="6A84604D"/>
    <w:rsid w:val="6A866B6D"/>
    <w:rsid w:val="6A876FCF"/>
    <w:rsid w:val="6A94006A"/>
    <w:rsid w:val="6A9D0312"/>
    <w:rsid w:val="6AE63F17"/>
    <w:rsid w:val="6AF5038C"/>
    <w:rsid w:val="6AF64881"/>
    <w:rsid w:val="6B106AAB"/>
    <w:rsid w:val="6B25455C"/>
    <w:rsid w:val="6B3B5ABD"/>
    <w:rsid w:val="6B40645F"/>
    <w:rsid w:val="6B47294E"/>
    <w:rsid w:val="6B517D09"/>
    <w:rsid w:val="6B6637C4"/>
    <w:rsid w:val="6B8845FA"/>
    <w:rsid w:val="6BD12BF8"/>
    <w:rsid w:val="6BE4292B"/>
    <w:rsid w:val="6BEA3CBA"/>
    <w:rsid w:val="6BF6695C"/>
    <w:rsid w:val="6C0D200D"/>
    <w:rsid w:val="6C35368D"/>
    <w:rsid w:val="6C5C6966"/>
    <w:rsid w:val="6C823EF2"/>
    <w:rsid w:val="6C8A4184"/>
    <w:rsid w:val="6C9360FF"/>
    <w:rsid w:val="6C9F326B"/>
    <w:rsid w:val="6CA16A6E"/>
    <w:rsid w:val="6CB93AD4"/>
    <w:rsid w:val="6CC8224D"/>
    <w:rsid w:val="6CD860FF"/>
    <w:rsid w:val="6CFC2945"/>
    <w:rsid w:val="6D073968"/>
    <w:rsid w:val="6D1014FE"/>
    <w:rsid w:val="6D1F1022"/>
    <w:rsid w:val="6D30394E"/>
    <w:rsid w:val="6D3D3CD6"/>
    <w:rsid w:val="6D756A71"/>
    <w:rsid w:val="6D7B106D"/>
    <w:rsid w:val="6D7E46BA"/>
    <w:rsid w:val="6D920165"/>
    <w:rsid w:val="6D947E99"/>
    <w:rsid w:val="6D9E4D5C"/>
    <w:rsid w:val="6D9E545D"/>
    <w:rsid w:val="6DB30195"/>
    <w:rsid w:val="6DD97B3A"/>
    <w:rsid w:val="6DE24C48"/>
    <w:rsid w:val="6E0E0133"/>
    <w:rsid w:val="6E10335D"/>
    <w:rsid w:val="6E192634"/>
    <w:rsid w:val="6E22598D"/>
    <w:rsid w:val="6E2A4841"/>
    <w:rsid w:val="6E4823C9"/>
    <w:rsid w:val="6E657628"/>
    <w:rsid w:val="6E661D1D"/>
    <w:rsid w:val="6E6B6B9B"/>
    <w:rsid w:val="6E7C7AE4"/>
    <w:rsid w:val="6E855E02"/>
    <w:rsid w:val="6E956538"/>
    <w:rsid w:val="6E9D5013"/>
    <w:rsid w:val="6EA91C0A"/>
    <w:rsid w:val="6EC407F2"/>
    <w:rsid w:val="6F1057E5"/>
    <w:rsid w:val="6F15637A"/>
    <w:rsid w:val="6F2319BD"/>
    <w:rsid w:val="6F280D81"/>
    <w:rsid w:val="6F2B261F"/>
    <w:rsid w:val="6F63625D"/>
    <w:rsid w:val="6F7A7103"/>
    <w:rsid w:val="6F997ED1"/>
    <w:rsid w:val="6FA05268"/>
    <w:rsid w:val="6FA128E1"/>
    <w:rsid w:val="6FC45463"/>
    <w:rsid w:val="6FE32EFA"/>
    <w:rsid w:val="70223A22"/>
    <w:rsid w:val="703B0F88"/>
    <w:rsid w:val="70585696"/>
    <w:rsid w:val="705B6F34"/>
    <w:rsid w:val="705C2D71"/>
    <w:rsid w:val="7060279C"/>
    <w:rsid w:val="706978A3"/>
    <w:rsid w:val="706C2EEF"/>
    <w:rsid w:val="707324D0"/>
    <w:rsid w:val="70761FC0"/>
    <w:rsid w:val="708730BC"/>
    <w:rsid w:val="70961305"/>
    <w:rsid w:val="709E3A43"/>
    <w:rsid w:val="70A259DE"/>
    <w:rsid w:val="70BA00FF"/>
    <w:rsid w:val="70CD7E32"/>
    <w:rsid w:val="70D320B2"/>
    <w:rsid w:val="70EC5DDE"/>
    <w:rsid w:val="70F133F4"/>
    <w:rsid w:val="70F33611"/>
    <w:rsid w:val="70F51FFE"/>
    <w:rsid w:val="70F74EAF"/>
    <w:rsid w:val="71107D1F"/>
    <w:rsid w:val="712B2DAA"/>
    <w:rsid w:val="714E0847"/>
    <w:rsid w:val="71632544"/>
    <w:rsid w:val="716A5681"/>
    <w:rsid w:val="71796B73"/>
    <w:rsid w:val="717B5AE0"/>
    <w:rsid w:val="717C3606"/>
    <w:rsid w:val="717E112C"/>
    <w:rsid w:val="718801FD"/>
    <w:rsid w:val="719646C8"/>
    <w:rsid w:val="719721EE"/>
    <w:rsid w:val="71AF5789"/>
    <w:rsid w:val="71B132B0"/>
    <w:rsid w:val="71DE31AB"/>
    <w:rsid w:val="72035AD5"/>
    <w:rsid w:val="72181581"/>
    <w:rsid w:val="72283289"/>
    <w:rsid w:val="725A12AF"/>
    <w:rsid w:val="72620A4E"/>
    <w:rsid w:val="726E73F3"/>
    <w:rsid w:val="7273205A"/>
    <w:rsid w:val="727D3192"/>
    <w:rsid w:val="72E94CCB"/>
    <w:rsid w:val="72F378F8"/>
    <w:rsid w:val="730337E1"/>
    <w:rsid w:val="734E29EF"/>
    <w:rsid w:val="73644846"/>
    <w:rsid w:val="738E18EA"/>
    <w:rsid w:val="739B4217"/>
    <w:rsid w:val="73A33911"/>
    <w:rsid w:val="73B452D9"/>
    <w:rsid w:val="73CC5362"/>
    <w:rsid w:val="73DE5EB2"/>
    <w:rsid w:val="73E6120B"/>
    <w:rsid w:val="743E4BA3"/>
    <w:rsid w:val="74404DBF"/>
    <w:rsid w:val="744D2B0C"/>
    <w:rsid w:val="74501B20"/>
    <w:rsid w:val="746204FC"/>
    <w:rsid w:val="7487654A"/>
    <w:rsid w:val="748A603A"/>
    <w:rsid w:val="74A1611F"/>
    <w:rsid w:val="74AA048A"/>
    <w:rsid w:val="74AF5AA0"/>
    <w:rsid w:val="74B530B7"/>
    <w:rsid w:val="74D177C5"/>
    <w:rsid w:val="74EB6AD9"/>
    <w:rsid w:val="7519703E"/>
    <w:rsid w:val="751E6BE6"/>
    <w:rsid w:val="756E14B8"/>
    <w:rsid w:val="75742F72"/>
    <w:rsid w:val="75A1188D"/>
    <w:rsid w:val="75A44ED9"/>
    <w:rsid w:val="75A8507A"/>
    <w:rsid w:val="75AA6461"/>
    <w:rsid w:val="75BA294F"/>
    <w:rsid w:val="75D73501"/>
    <w:rsid w:val="75E63744"/>
    <w:rsid w:val="75E8550C"/>
    <w:rsid w:val="75F13125"/>
    <w:rsid w:val="76117735"/>
    <w:rsid w:val="76120095"/>
    <w:rsid w:val="762C55FB"/>
    <w:rsid w:val="76371FAF"/>
    <w:rsid w:val="76685F07"/>
    <w:rsid w:val="7687797E"/>
    <w:rsid w:val="76AD7ADF"/>
    <w:rsid w:val="76BD6253"/>
    <w:rsid w:val="76D31F1A"/>
    <w:rsid w:val="76E01F41"/>
    <w:rsid w:val="76E71522"/>
    <w:rsid w:val="76FB1FC8"/>
    <w:rsid w:val="771515CD"/>
    <w:rsid w:val="772067E2"/>
    <w:rsid w:val="773A3BF2"/>
    <w:rsid w:val="7759307A"/>
    <w:rsid w:val="775E6589"/>
    <w:rsid w:val="776112D4"/>
    <w:rsid w:val="77642B72"/>
    <w:rsid w:val="77690189"/>
    <w:rsid w:val="777A4227"/>
    <w:rsid w:val="77813C6B"/>
    <w:rsid w:val="77866F8C"/>
    <w:rsid w:val="779E42D6"/>
    <w:rsid w:val="77C300B1"/>
    <w:rsid w:val="77D970E1"/>
    <w:rsid w:val="77DF6B01"/>
    <w:rsid w:val="77E43CB3"/>
    <w:rsid w:val="77ED2B68"/>
    <w:rsid w:val="782B3690"/>
    <w:rsid w:val="782F43B2"/>
    <w:rsid w:val="78372035"/>
    <w:rsid w:val="78395DAD"/>
    <w:rsid w:val="78713799"/>
    <w:rsid w:val="7878302D"/>
    <w:rsid w:val="78811502"/>
    <w:rsid w:val="789F5F89"/>
    <w:rsid w:val="78A903BA"/>
    <w:rsid w:val="78A91184"/>
    <w:rsid w:val="78E81581"/>
    <w:rsid w:val="790E548B"/>
    <w:rsid w:val="79183CF7"/>
    <w:rsid w:val="792F30BD"/>
    <w:rsid w:val="7935659F"/>
    <w:rsid w:val="793622EC"/>
    <w:rsid w:val="794964C4"/>
    <w:rsid w:val="798D258C"/>
    <w:rsid w:val="79BA4CCB"/>
    <w:rsid w:val="79C8563A"/>
    <w:rsid w:val="79FD0C2C"/>
    <w:rsid w:val="7A106FE1"/>
    <w:rsid w:val="7A37631C"/>
    <w:rsid w:val="7A4204C1"/>
    <w:rsid w:val="7A444A03"/>
    <w:rsid w:val="7A4A42A1"/>
    <w:rsid w:val="7A542E9E"/>
    <w:rsid w:val="7A5B5C0C"/>
    <w:rsid w:val="7A613411"/>
    <w:rsid w:val="7A6E1F06"/>
    <w:rsid w:val="7A804167"/>
    <w:rsid w:val="7AA240DD"/>
    <w:rsid w:val="7AC81AA0"/>
    <w:rsid w:val="7AE244DA"/>
    <w:rsid w:val="7AE97353"/>
    <w:rsid w:val="7B05003E"/>
    <w:rsid w:val="7B116B6D"/>
    <w:rsid w:val="7B230A08"/>
    <w:rsid w:val="7B29035B"/>
    <w:rsid w:val="7B30793B"/>
    <w:rsid w:val="7B3E5169"/>
    <w:rsid w:val="7B4927AB"/>
    <w:rsid w:val="7B513611"/>
    <w:rsid w:val="7B5B428C"/>
    <w:rsid w:val="7B62561B"/>
    <w:rsid w:val="7B66335D"/>
    <w:rsid w:val="7B6A44CF"/>
    <w:rsid w:val="7B771F4A"/>
    <w:rsid w:val="7B786BEC"/>
    <w:rsid w:val="7B833D31"/>
    <w:rsid w:val="7B9955B1"/>
    <w:rsid w:val="7BA06143"/>
    <w:rsid w:val="7BB97FB0"/>
    <w:rsid w:val="7BBA6EFE"/>
    <w:rsid w:val="7BE40725"/>
    <w:rsid w:val="7BEF0B53"/>
    <w:rsid w:val="7BFD797B"/>
    <w:rsid w:val="7C0D1A2A"/>
    <w:rsid w:val="7C29438A"/>
    <w:rsid w:val="7C2E19A1"/>
    <w:rsid w:val="7C417926"/>
    <w:rsid w:val="7C466CEA"/>
    <w:rsid w:val="7C4B60AF"/>
    <w:rsid w:val="7C6453C2"/>
    <w:rsid w:val="7C654F18"/>
    <w:rsid w:val="7C683105"/>
    <w:rsid w:val="7C7A4BE6"/>
    <w:rsid w:val="7C8957A9"/>
    <w:rsid w:val="7C8C5589"/>
    <w:rsid w:val="7C9061B7"/>
    <w:rsid w:val="7C961A20"/>
    <w:rsid w:val="7CAD2A9A"/>
    <w:rsid w:val="7CAF4890"/>
    <w:rsid w:val="7CD7680B"/>
    <w:rsid w:val="7CDB0441"/>
    <w:rsid w:val="7CE16A13"/>
    <w:rsid w:val="7CE226B4"/>
    <w:rsid w:val="7CEC7892"/>
    <w:rsid w:val="7CF229CE"/>
    <w:rsid w:val="7D1F5016"/>
    <w:rsid w:val="7D225061"/>
    <w:rsid w:val="7D2D089C"/>
    <w:rsid w:val="7D382AD7"/>
    <w:rsid w:val="7DBF6ADE"/>
    <w:rsid w:val="7DC13213"/>
    <w:rsid w:val="7DC40A55"/>
    <w:rsid w:val="7DC855C1"/>
    <w:rsid w:val="7DE20C95"/>
    <w:rsid w:val="7DEE3196"/>
    <w:rsid w:val="7DF10ED8"/>
    <w:rsid w:val="7E1A3B85"/>
    <w:rsid w:val="7E1C5F55"/>
    <w:rsid w:val="7E265025"/>
    <w:rsid w:val="7E2D0162"/>
    <w:rsid w:val="7E3D60B4"/>
    <w:rsid w:val="7E3F60E7"/>
    <w:rsid w:val="7E57377B"/>
    <w:rsid w:val="7E5751DF"/>
    <w:rsid w:val="7E7B36FD"/>
    <w:rsid w:val="7E945707"/>
    <w:rsid w:val="7EC31B26"/>
    <w:rsid w:val="7EC74BCE"/>
    <w:rsid w:val="7EDB7BBE"/>
    <w:rsid w:val="7EEF7DBC"/>
    <w:rsid w:val="7EF7251E"/>
    <w:rsid w:val="7EFF46DC"/>
    <w:rsid w:val="7F71407E"/>
    <w:rsid w:val="7F7F453B"/>
    <w:rsid w:val="7F854560"/>
    <w:rsid w:val="7FEA5BDF"/>
    <w:rsid w:val="7FF16F6D"/>
    <w:rsid w:val="7FFC1D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imes New Roman"/>
      <w:kern w:val="2"/>
      <w:sz w:val="28"/>
      <w:lang w:val="en-US" w:eastAsia="zh-CN" w:bidi="ar-SA"/>
    </w:rPr>
  </w:style>
  <w:style w:type="paragraph" w:styleId="3">
    <w:name w:val="heading 1"/>
    <w:basedOn w:val="1"/>
    <w:next w:val="1"/>
    <w:link w:val="29"/>
    <w:qFormat/>
    <w:uiPriority w:val="0"/>
    <w:pPr>
      <w:keepNext/>
      <w:keepLines/>
      <w:spacing w:line="240" w:lineRule="auto"/>
      <w:jc w:val="center"/>
      <w:outlineLvl w:val="0"/>
    </w:pPr>
    <w:rPr>
      <w:b/>
      <w:bCs/>
      <w:kern w:val="44"/>
      <w:sz w:val="32"/>
      <w:szCs w:val="44"/>
    </w:rPr>
  </w:style>
  <w:style w:type="paragraph" w:styleId="4">
    <w:name w:val="heading 2"/>
    <w:basedOn w:val="1"/>
    <w:next w:val="1"/>
    <w:link w:val="30"/>
    <w:qFormat/>
    <w:uiPriority w:val="0"/>
    <w:pPr>
      <w:autoSpaceDE w:val="0"/>
      <w:autoSpaceDN w:val="0"/>
      <w:adjustRightInd w:val="0"/>
      <w:spacing w:before="120" w:after="120" w:line="240" w:lineRule="auto"/>
      <w:ind w:left="280" w:right="280"/>
      <w:textAlignment w:val="center"/>
      <w:outlineLvl w:val="1"/>
    </w:pPr>
    <w:rPr>
      <w:rFonts w:eastAsia="仿宋_GB2312"/>
      <w:b/>
      <w:sz w:val="28"/>
    </w:rPr>
  </w:style>
  <w:style w:type="paragraph" w:styleId="5">
    <w:name w:val="heading 3"/>
    <w:basedOn w:val="1"/>
    <w:next w:val="1"/>
    <w:qFormat/>
    <w:uiPriority w:val="0"/>
    <w:pPr>
      <w:tabs>
        <w:tab w:val="left" w:pos="720"/>
      </w:tabs>
      <w:autoSpaceDE w:val="0"/>
      <w:autoSpaceDN w:val="0"/>
      <w:adjustRightInd w:val="0"/>
      <w:spacing w:before="120"/>
      <w:textAlignment w:val="baseline"/>
      <w:outlineLvl w:val="2"/>
    </w:pPr>
    <w:rPr>
      <w:rFonts w:ascii="宋体" w:hAnsi="Tms Rmn"/>
      <w:b/>
      <w:kern w:val="0"/>
      <w:sz w:val="24"/>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spacing w:val="10"/>
    </w:rPr>
  </w:style>
  <w:style w:type="paragraph" w:styleId="6">
    <w:name w:val="Normal Indent"/>
    <w:basedOn w:val="1"/>
    <w:qFormat/>
    <w:uiPriority w:val="0"/>
    <w:pPr>
      <w:adjustRightInd w:val="0"/>
      <w:spacing w:line="360" w:lineRule="atLeast"/>
      <w:ind w:firstLine="420"/>
      <w:jc w:val="left"/>
      <w:textAlignment w:val="baseline"/>
    </w:pPr>
    <w:rPr>
      <w:rFonts w:eastAsia="宋体"/>
      <w:kern w:val="0"/>
      <w:sz w:val="24"/>
    </w:rPr>
  </w:style>
  <w:style w:type="paragraph" w:styleId="7">
    <w:name w:val="Document Map"/>
    <w:basedOn w:val="1"/>
    <w:link w:val="31"/>
    <w:qFormat/>
    <w:uiPriority w:val="0"/>
    <w:rPr>
      <w:rFonts w:ascii="宋体"/>
      <w:sz w:val="18"/>
      <w:szCs w:val="18"/>
    </w:rPr>
  </w:style>
  <w:style w:type="paragraph" w:styleId="8">
    <w:name w:val="annotation text"/>
    <w:basedOn w:val="1"/>
    <w:qFormat/>
    <w:uiPriority w:val="0"/>
    <w:pPr>
      <w:jc w:val="left"/>
    </w:pPr>
  </w:style>
  <w:style w:type="paragraph" w:styleId="9">
    <w:name w:val="Body Text Indent"/>
    <w:basedOn w:val="1"/>
    <w:qFormat/>
    <w:uiPriority w:val="0"/>
    <w:pPr>
      <w:spacing w:line="620" w:lineRule="exact"/>
      <w:ind w:firstLine="527"/>
    </w:pPr>
    <w:rPr>
      <w:b/>
      <w:spacing w:val="26"/>
      <w:sz w:val="28"/>
    </w:rPr>
  </w:style>
  <w:style w:type="paragraph" w:styleId="10">
    <w:name w:val="toc 3"/>
    <w:basedOn w:val="1"/>
    <w:next w:val="1"/>
    <w:qFormat/>
    <w:uiPriority w:val="0"/>
    <w:pPr>
      <w:ind w:left="840" w:leftChars="400"/>
    </w:pPr>
    <w:rPr>
      <w:rFonts w:eastAsia="仿宋_GB2312"/>
      <w:sz w:val="28"/>
    </w:rPr>
  </w:style>
  <w:style w:type="paragraph" w:styleId="11">
    <w:name w:val="Plain Text"/>
    <w:basedOn w:val="1"/>
    <w:link w:val="32"/>
    <w:qFormat/>
    <w:uiPriority w:val="0"/>
    <w:pPr>
      <w:spacing w:line="240" w:lineRule="auto"/>
    </w:pPr>
    <w:rPr>
      <w:rFonts w:ascii="宋体" w:hAnsi="Courier New" w:eastAsia="宋体"/>
      <w:sz w:val="21"/>
    </w:rPr>
  </w:style>
  <w:style w:type="paragraph" w:styleId="12">
    <w:name w:val="Date"/>
    <w:basedOn w:val="1"/>
    <w:next w:val="1"/>
    <w:link w:val="33"/>
    <w:qFormat/>
    <w:uiPriority w:val="0"/>
    <w:rPr>
      <w:rFonts w:ascii="宋体"/>
      <w:b/>
      <w:spacing w:val="20"/>
    </w:rPr>
  </w:style>
  <w:style w:type="paragraph" w:styleId="13">
    <w:name w:val="Body Text Indent 2"/>
    <w:basedOn w:val="1"/>
    <w:link w:val="34"/>
    <w:qFormat/>
    <w:uiPriority w:val="0"/>
    <w:pPr>
      <w:tabs>
        <w:tab w:val="left" w:pos="5920"/>
        <w:tab w:val="left" w:pos="6240"/>
      </w:tabs>
      <w:spacing w:line="620" w:lineRule="exact"/>
      <w:ind w:firstLine="641"/>
    </w:pPr>
    <w:rPr>
      <w:rFonts w:ascii="楷体_GB2312" w:eastAsia="楷体_GB2312"/>
      <w:sz w:val="28"/>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link w:val="35"/>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8184"/>
      </w:tabs>
    </w:pPr>
    <w:rPr>
      <w:b/>
      <w:kern w:val="0"/>
    </w:rPr>
  </w:style>
  <w:style w:type="paragraph" w:styleId="18">
    <w:name w:val="List"/>
    <w:basedOn w:val="1"/>
    <w:qFormat/>
    <w:uiPriority w:val="0"/>
    <w:pPr>
      <w:widowControl/>
      <w:jc w:val="center"/>
    </w:pPr>
    <w:rPr>
      <w:color w:val="000000"/>
      <w:sz w:val="18"/>
    </w:rPr>
  </w:style>
  <w:style w:type="paragraph" w:styleId="19">
    <w:name w:val="Body Text Indent 3"/>
    <w:basedOn w:val="1"/>
    <w:link w:val="36"/>
    <w:qFormat/>
    <w:uiPriority w:val="0"/>
    <w:pPr>
      <w:spacing w:before="240" w:line="520" w:lineRule="exact"/>
      <w:ind w:firstLine="560" w:firstLineChars="200"/>
    </w:pPr>
    <w:rPr>
      <w:rFonts w:ascii="仿宋_GB2312" w:eastAsia="仿宋_GB2312"/>
      <w:sz w:val="28"/>
      <w:szCs w:val="28"/>
    </w:rPr>
  </w:style>
  <w:style w:type="paragraph" w:styleId="20">
    <w:name w:val="toc 2"/>
    <w:basedOn w:val="1"/>
    <w:next w:val="1"/>
    <w:qFormat/>
    <w:uiPriority w:val="39"/>
    <w:pPr>
      <w:tabs>
        <w:tab w:val="right" w:leader="dot" w:pos="8184"/>
      </w:tabs>
      <w:ind w:left="280" w:leftChars="100" w:right="280" w:rightChars="100"/>
    </w:pPr>
    <w:rPr>
      <w:rFonts w:cs="仿宋_GB2312"/>
      <w:b/>
      <w:kern w:val="0"/>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37"/>
    <w:qFormat/>
    <w:uiPriority w:val="0"/>
    <w:pPr>
      <w:spacing w:before="240" w:after="60" w:line="240" w:lineRule="auto"/>
      <w:jc w:val="center"/>
      <w:outlineLvl w:val="0"/>
    </w:pPr>
    <w:rPr>
      <w:rFonts w:ascii="Cambria" w:hAnsi="Cambria" w:eastAsia="宋体"/>
      <w:b/>
      <w:bCs/>
      <w:sz w:val="32"/>
      <w:szCs w:val="32"/>
    </w:rPr>
  </w:style>
  <w:style w:type="table" w:styleId="24">
    <w:name w:val="Table Grid"/>
    <w:basedOn w:val="2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qFormat/>
    <w:uiPriority w:val="22"/>
    <w:rPr>
      <w:b/>
      <w:bCs/>
    </w:rPr>
  </w:style>
  <w:style w:type="character" w:styleId="27">
    <w:name w:val="page number"/>
    <w:basedOn w:val="25"/>
    <w:qFormat/>
    <w:uiPriority w:val="0"/>
  </w:style>
  <w:style w:type="character" w:styleId="28">
    <w:name w:val="Hyperlink"/>
    <w:unhideWhenUsed/>
    <w:qFormat/>
    <w:uiPriority w:val="99"/>
    <w:rPr>
      <w:color w:val="0000FF"/>
      <w:u w:val="single"/>
    </w:rPr>
  </w:style>
  <w:style w:type="character" w:customStyle="1" w:styleId="29">
    <w:name w:val="标题 1 Char"/>
    <w:link w:val="3"/>
    <w:qFormat/>
    <w:uiPriority w:val="0"/>
    <w:rPr>
      <w:rFonts w:eastAsia="仿宋_GB2312"/>
      <w:b/>
      <w:bCs/>
      <w:kern w:val="44"/>
      <w:sz w:val="32"/>
      <w:szCs w:val="44"/>
    </w:rPr>
  </w:style>
  <w:style w:type="character" w:customStyle="1" w:styleId="30">
    <w:name w:val="标题 2 Char"/>
    <w:link w:val="4"/>
    <w:qFormat/>
    <w:uiPriority w:val="0"/>
    <w:rPr>
      <w:rFonts w:eastAsia="仿宋_GB2312"/>
      <w:b/>
      <w:kern w:val="2"/>
      <w:sz w:val="28"/>
    </w:rPr>
  </w:style>
  <w:style w:type="character" w:customStyle="1" w:styleId="31">
    <w:name w:val="文档结构图 Char"/>
    <w:link w:val="7"/>
    <w:qFormat/>
    <w:uiPriority w:val="0"/>
    <w:rPr>
      <w:rFonts w:ascii="宋体"/>
      <w:kern w:val="2"/>
      <w:sz w:val="18"/>
      <w:szCs w:val="18"/>
    </w:rPr>
  </w:style>
  <w:style w:type="character" w:customStyle="1" w:styleId="32">
    <w:name w:val="纯文本 Char"/>
    <w:link w:val="11"/>
    <w:qFormat/>
    <w:uiPriority w:val="0"/>
    <w:rPr>
      <w:rFonts w:ascii="宋体" w:hAnsi="Courier New"/>
      <w:kern w:val="2"/>
      <w:sz w:val="21"/>
    </w:rPr>
  </w:style>
  <w:style w:type="character" w:customStyle="1" w:styleId="33">
    <w:name w:val="日期 Char"/>
    <w:link w:val="12"/>
    <w:qFormat/>
    <w:uiPriority w:val="0"/>
    <w:rPr>
      <w:rFonts w:ascii="宋体" w:eastAsia="仿宋_GB2312"/>
      <w:b/>
      <w:spacing w:val="20"/>
      <w:kern w:val="2"/>
      <w:sz w:val="28"/>
    </w:rPr>
  </w:style>
  <w:style w:type="character" w:customStyle="1" w:styleId="34">
    <w:name w:val="正文文本缩进 2 Char"/>
    <w:link w:val="13"/>
    <w:qFormat/>
    <w:uiPriority w:val="0"/>
    <w:rPr>
      <w:rFonts w:ascii="楷体_GB2312" w:eastAsia="楷体_GB2312"/>
      <w:kern w:val="2"/>
      <w:sz w:val="28"/>
    </w:rPr>
  </w:style>
  <w:style w:type="character" w:customStyle="1" w:styleId="35">
    <w:name w:val="页眉 Char"/>
    <w:link w:val="16"/>
    <w:qFormat/>
    <w:uiPriority w:val="0"/>
    <w:rPr>
      <w:kern w:val="2"/>
      <w:sz w:val="18"/>
    </w:rPr>
  </w:style>
  <w:style w:type="character" w:customStyle="1" w:styleId="36">
    <w:name w:val="正文文本缩进 3 Char"/>
    <w:link w:val="19"/>
    <w:qFormat/>
    <w:uiPriority w:val="0"/>
    <w:rPr>
      <w:rFonts w:ascii="仿宋_GB2312" w:eastAsia="仿宋_GB2312"/>
      <w:kern w:val="2"/>
      <w:sz w:val="28"/>
      <w:szCs w:val="28"/>
    </w:rPr>
  </w:style>
  <w:style w:type="character" w:customStyle="1" w:styleId="37">
    <w:name w:val="标题 Char"/>
    <w:link w:val="22"/>
    <w:qFormat/>
    <w:uiPriority w:val="0"/>
    <w:rPr>
      <w:rFonts w:ascii="Cambria" w:hAnsi="Cambria"/>
      <w:b/>
      <w:bCs/>
      <w:kern w:val="2"/>
      <w:sz w:val="32"/>
      <w:szCs w:val="32"/>
    </w:rPr>
  </w:style>
  <w:style w:type="paragraph" w:styleId="38">
    <w:name w:val="List Paragraph"/>
    <w:basedOn w:val="1"/>
    <w:qFormat/>
    <w:uiPriority w:val="34"/>
    <w:pPr>
      <w:ind w:firstLine="420" w:firstLineChars="200"/>
    </w:pPr>
    <w:rPr>
      <w:rFonts w:ascii="Calibri" w:hAnsi="Calibri" w:eastAsia="宋体" w:cs="Times New Roman"/>
      <w:sz w:val="21"/>
      <w:szCs w:val="22"/>
    </w:rPr>
  </w:style>
  <w:style w:type="paragraph" w:styleId="39">
    <w:name w:val="No Spacing"/>
    <w:link w:val="40"/>
    <w:qFormat/>
    <w:uiPriority w:val="1"/>
    <w:pPr>
      <w:widowControl w:val="0"/>
      <w:jc w:val="center"/>
    </w:pPr>
    <w:rPr>
      <w:rFonts w:ascii="Times New Roman" w:hAnsi="Times New Roman" w:eastAsia="仿宋_GB2312" w:cs="Times New Roman"/>
      <w:kern w:val="2"/>
      <w:sz w:val="18"/>
      <w:lang w:val="en-US" w:eastAsia="zh-CN" w:bidi="ar-SA"/>
    </w:rPr>
  </w:style>
  <w:style w:type="character" w:customStyle="1" w:styleId="40">
    <w:name w:val="无间隔 Char"/>
    <w:link w:val="39"/>
    <w:qFormat/>
    <w:uiPriority w:val="1"/>
    <w:rPr>
      <w:rFonts w:eastAsia="仿宋_GB2312"/>
      <w:kern w:val="2"/>
      <w:sz w:val="18"/>
      <w:lang w:bidi="ar-SA"/>
    </w:rPr>
  </w:style>
  <w:style w:type="paragraph" w:customStyle="1" w:styleId="41">
    <w:name w:val="默认段落字体 Para Char Char Char Char Char Char Char"/>
    <w:basedOn w:val="1"/>
    <w:qFormat/>
    <w:uiPriority w:val="0"/>
    <w:pPr>
      <w:spacing w:line="240" w:lineRule="auto"/>
    </w:pPr>
    <w:rPr>
      <w:rFonts w:eastAsia="宋体"/>
      <w:sz w:val="21"/>
    </w:rPr>
  </w:style>
  <w:style w:type="character" w:customStyle="1" w:styleId="42">
    <w:name w:val="apple-converted-space"/>
    <w:basedOn w:val="25"/>
    <w:qFormat/>
    <w:uiPriority w:val="0"/>
  </w:style>
  <w:style w:type="paragraph" w:customStyle="1" w:styleId="43">
    <w:name w:val="p0"/>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44">
    <w:name w:val="p"/>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45">
    <w:name w:val="vsbcontent_end"/>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46">
    <w:name w:val="font71"/>
    <w:qFormat/>
    <w:uiPriority w:val="0"/>
    <w:rPr>
      <w:rFonts w:hint="eastAsia" w:ascii="宋体" w:hAnsi="宋体" w:eastAsia="宋体" w:cs="宋体"/>
      <w:color w:val="000000"/>
      <w:sz w:val="21"/>
      <w:szCs w:val="21"/>
      <w:u w:val="none"/>
    </w:rPr>
  </w:style>
  <w:style w:type="paragraph" w:customStyle="1" w:styleId="47">
    <w:name w:val="vsbcontent_start"/>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4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Unicode MS" w:hAnsi="Arial Unicode MS" w:eastAsia="Arial Unicode MS" w:cs="Arial Unicode MS"/>
      <w:kern w:val="0"/>
      <w:sz w:val="24"/>
      <w:szCs w:val="24"/>
    </w:rPr>
  </w:style>
  <w:style w:type="paragraph" w:customStyle="1" w:styleId="49">
    <w:name w:val="_Style 48"/>
    <w:basedOn w:val="3"/>
    <w:next w:val="1"/>
    <w:unhideWhenUsed/>
    <w:qFormat/>
    <w:uiPriority w:val="39"/>
    <w:pPr>
      <w:widowControl/>
      <w:spacing w:before="480" w:line="276" w:lineRule="auto"/>
      <w:jc w:val="left"/>
      <w:outlineLvl w:val="9"/>
    </w:pPr>
    <w:rPr>
      <w:rFonts w:ascii="Cambria" w:hAnsi="Cambria" w:eastAsia="宋体" w:cs="Times New Roman"/>
      <w:color w:val="365F91"/>
      <w:kern w:val="0"/>
      <w:sz w:val="28"/>
      <w:szCs w:val="28"/>
    </w:rPr>
  </w:style>
  <w:style w:type="character" w:customStyle="1" w:styleId="50">
    <w:name w:val="font61"/>
    <w:qFormat/>
    <w:uiPriority w:val="0"/>
    <w:rPr>
      <w:rFonts w:hint="eastAsia" w:ascii="宋体" w:hAnsi="宋体" w:eastAsia="宋体" w:cs="宋体"/>
      <w:color w:val="000000"/>
      <w:sz w:val="16"/>
      <w:szCs w:val="16"/>
      <w:u w:val="none"/>
    </w:rPr>
  </w:style>
  <w:style w:type="character" w:customStyle="1" w:styleId="51">
    <w:name w:val="font112"/>
    <w:qFormat/>
    <w:uiPriority w:val="0"/>
    <w:rPr>
      <w:rFonts w:hint="default" w:ascii="Times New Roman" w:hAnsi="Times New Roman" w:cs="Times New Roman"/>
      <w:color w:val="000000"/>
      <w:sz w:val="16"/>
      <w:szCs w:val="16"/>
      <w:u w:val="none"/>
    </w:rPr>
  </w:style>
  <w:style w:type="character" w:customStyle="1" w:styleId="52">
    <w:name w:val="font81"/>
    <w:qFormat/>
    <w:uiPriority w:val="0"/>
    <w:rPr>
      <w:rFonts w:hint="eastAsia" w:ascii="宋体" w:hAnsi="宋体" w:eastAsia="宋体" w:cs="宋体"/>
      <w:color w:val="000000"/>
      <w:sz w:val="16"/>
      <w:szCs w:val="16"/>
      <w:u w:val="none"/>
    </w:rPr>
  </w:style>
  <w:style w:type="character" w:customStyle="1" w:styleId="53">
    <w:name w:val="font01"/>
    <w:basedOn w:val="25"/>
    <w:qFormat/>
    <w:uiPriority w:val="0"/>
    <w:rPr>
      <w:rFonts w:hint="default" w:ascii="Arial" w:hAnsi="Arial" w:cs="Arial"/>
      <w:color w:val="000000"/>
      <w:sz w:val="15"/>
      <w:szCs w:val="15"/>
      <w:u w:val="none"/>
    </w:rPr>
  </w:style>
  <w:style w:type="character" w:customStyle="1" w:styleId="54">
    <w:name w:val="font21"/>
    <w:basedOn w:val="25"/>
    <w:qFormat/>
    <w:uiPriority w:val="0"/>
    <w:rPr>
      <w:rFonts w:hint="eastAsia" w:ascii="宋体" w:hAnsi="宋体" w:eastAsia="宋体" w:cs="宋体"/>
      <w:color w:val="000000"/>
      <w:sz w:val="15"/>
      <w:szCs w:val="15"/>
      <w:u w:val="none"/>
    </w:rPr>
  </w:style>
  <w:style w:type="character" w:customStyle="1" w:styleId="55">
    <w:name w:val="font41"/>
    <w:basedOn w:val="25"/>
    <w:qFormat/>
    <w:uiPriority w:val="0"/>
    <w:rPr>
      <w:rFonts w:hint="eastAsia" w:ascii="宋体" w:hAnsi="宋体" w:eastAsia="宋体" w:cs="宋体"/>
      <w:color w:val="000000"/>
      <w:sz w:val="15"/>
      <w:szCs w:val="15"/>
      <w:u w:val="none"/>
      <w:vertAlign w:val="superscript"/>
    </w:rPr>
  </w:style>
  <w:style w:type="character" w:customStyle="1" w:styleId="56">
    <w:name w:val="font51"/>
    <w:basedOn w:val="25"/>
    <w:qFormat/>
    <w:uiPriority w:val="0"/>
    <w:rPr>
      <w:rFonts w:hint="eastAsia" w:ascii="宋体" w:hAnsi="宋体" w:eastAsia="宋体" w:cs="宋体"/>
      <w:color w:val="000000"/>
      <w:sz w:val="15"/>
      <w:szCs w:val="15"/>
      <w:u w:val="none"/>
    </w:rPr>
  </w:style>
  <w:style w:type="character" w:customStyle="1" w:styleId="57">
    <w:name w:val="font31"/>
    <w:basedOn w:val="25"/>
    <w:qFormat/>
    <w:uiPriority w:val="0"/>
    <w:rPr>
      <w:rFonts w:hint="default" w:ascii="Times New Roman" w:hAnsi="Times New Roman" w:cs="Times New Roman"/>
      <w:color w:val="000000"/>
      <w:sz w:val="15"/>
      <w:szCs w:val="15"/>
      <w:u w:val="none"/>
    </w:rPr>
  </w:style>
  <w:style w:type="character" w:customStyle="1" w:styleId="58">
    <w:name w:val="font91"/>
    <w:basedOn w:val="25"/>
    <w:qFormat/>
    <w:uiPriority w:val="0"/>
    <w:rPr>
      <w:rFonts w:hint="default" w:ascii="Times New Roman" w:hAnsi="Times New Roman" w:cs="Times New Roman"/>
      <w:color w:val="000000"/>
      <w:sz w:val="16"/>
      <w:szCs w:val="16"/>
      <w:u w:val="none"/>
    </w:rPr>
  </w:style>
  <w:style w:type="character" w:customStyle="1" w:styleId="59">
    <w:name w:val="font11"/>
    <w:basedOn w:val="25"/>
    <w:qFormat/>
    <w:uiPriority w:val="0"/>
    <w:rPr>
      <w:rFonts w:hint="default" w:ascii="Arial" w:hAnsi="Arial" w:cs="Arial"/>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xtxt</Company>
  <Pages>66</Pages>
  <Words>36014</Words>
  <Characters>40806</Characters>
  <Lines>268</Lines>
  <Paragraphs>75</Paragraphs>
  <TotalTime>167</TotalTime>
  <ScaleCrop>false</ScaleCrop>
  <LinksUpToDate>false</LinksUpToDate>
  <CharactersWithSpaces>41138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2021-10-26T01:55:00Z</dcterms:created>
  <dc:creator>DELL</dc:creator>
  <cp:lastModifiedBy>Administrator</cp:lastModifiedBy>
  <cp:lastPrinted>2022-06-28T08:17:00Z</cp:lastPrinted>
  <dcterms:modified xsi:type="dcterms:W3CDTF">2022-07-08T09:35:57Z</dcterms:modified>
  <dc:title>致委托估价方函</dc:title>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28C3F22AC9B24FB3B2929217EE667368</vt:lpwstr>
  </property>
</Properties>
</file>