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napToGrid w:val="0"/>
        <w:ind w:right="-1"/>
        <w:jc w:val="center"/>
        <w:textAlignment w:val="bottom"/>
        <w:rPr>
          <w:rFonts w:ascii="Arial Narrow" w:hAnsi="Arial Narrow" w:cs="Arial"/>
          <w:sz w:val="24"/>
        </w:rPr>
      </w:pPr>
      <w:r>
        <w:rPr>
          <w:rFonts w:hint="eastAsia" w:ascii="Arial Narrow" w:hAnsi="Arial Narrow" w:cs="Arial"/>
          <w:sz w:val="24"/>
        </w:rPr>
        <w:t xml:space="preserve"> </w:t>
      </w:r>
    </w:p>
    <w:p>
      <w:pPr>
        <w:autoSpaceDE w:val="0"/>
        <w:autoSpaceDN w:val="0"/>
        <w:snapToGrid w:val="0"/>
        <w:ind w:right="-1"/>
        <w:jc w:val="center"/>
        <w:textAlignment w:val="bottom"/>
        <w:rPr>
          <w:rFonts w:ascii="Arial Narrow" w:hAnsi="Arial Narrow" w:cs="Arial"/>
          <w:sz w:val="24"/>
        </w:rPr>
      </w:pPr>
    </w:p>
    <w:p>
      <w:pPr>
        <w:autoSpaceDE w:val="0"/>
        <w:autoSpaceDN w:val="0"/>
        <w:snapToGrid w:val="0"/>
        <w:ind w:right="-1"/>
        <w:jc w:val="center"/>
        <w:textAlignment w:val="bottom"/>
        <w:rPr>
          <w:rFonts w:ascii="Arial Narrow" w:hAnsi="Arial Narrow" w:cs="Arial"/>
          <w:sz w:val="24"/>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spacing w:line="360" w:lineRule="auto"/>
        <w:jc w:val="center"/>
        <w:rPr>
          <w:rFonts w:ascii="Arial Narrow" w:hAnsi="Arial Narrow" w:cs="Arial"/>
          <w:b/>
          <w:sz w:val="44"/>
          <w:szCs w:val="36"/>
        </w:rPr>
      </w:pPr>
    </w:p>
    <w:p>
      <w:pPr>
        <w:jc w:val="center"/>
        <w:rPr>
          <w:rFonts w:ascii="Arial Narrow" w:hAnsi="Arial Narrow" w:cs="Arial"/>
          <w:b/>
          <w:sz w:val="44"/>
          <w:szCs w:val="36"/>
        </w:rPr>
      </w:pPr>
    </w:p>
    <w:p>
      <w:pPr>
        <w:spacing w:line="480" w:lineRule="auto"/>
        <w:ind w:left="-8" w:leftChars="-136" w:hanging="278" w:hangingChars="63"/>
        <w:jc w:val="center"/>
        <w:rPr>
          <w:rFonts w:ascii="黑体" w:hAnsi="黑体" w:eastAsia="黑体"/>
          <w:b/>
          <w:sz w:val="44"/>
          <w:szCs w:val="44"/>
        </w:rPr>
      </w:pPr>
      <w:r>
        <w:rPr>
          <w:rStyle w:val="33"/>
          <w:rFonts w:hint="eastAsia" w:ascii="黑体" w:hAnsi="黑体" w:eastAsia="黑体"/>
          <w:b/>
          <w:sz w:val="44"/>
          <w:szCs w:val="44"/>
        </w:rPr>
        <w:t xml:space="preserve">     涉执房地产处置司法评估报告</w:t>
      </w:r>
    </w:p>
    <w:p>
      <w:pPr>
        <w:spacing w:line="480" w:lineRule="auto"/>
        <w:ind w:left="-6" w:leftChars="-70" w:hanging="141" w:hangingChars="59"/>
        <w:jc w:val="center"/>
        <w:rPr>
          <w:rFonts w:ascii="Arial Narrow" w:hAnsi="Arial Narrow" w:cs="Arial"/>
          <w:b/>
          <w:sz w:val="36"/>
          <w:szCs w:val="36"/>
        </w:rPr>
      </w:pPr>
      <w:r>
        <w:rPr>
          <w:rFonts w:hint="eastAsia" w:ascii="Arial Narrow" w:hAnsi="Arial Narrow"/>
          <w:sz w:val="24"/>
        </w:rPr>
        <w:t xml:space="preserve">     </w:t>
      </w:r>
      <w:r>
        <w:rPr>
          <w:rFonts w:ascii="Arial Narrow" w:hAnsi="Arial Narrow"/>
          <w:sz w:val="24"/>
        </w:rPr>
        <w:t>正业通房司</w:t>
      </w:r>
      <w:r>
        <w:rPr>
          <w:rFonts w:hint="eastAsia" w:ascii="Arial Narrow" w:hAnsi="Arial Narrow"/>
          <w:sz w:val="24"/>
        </w:rPr>
        <w:t>评</w:t>
      </w:r>
      <w:r>
        <w:rPr>
          <w:rFonts w:ascii="Arial Narrow" w:hAnsi="Arial Narrow"/>
          <w:sz w:val="24"/>
        </w:rPr>
        <w:t>报（</w:t>
      </w:r>
      <w:r>
        <w:rPr>
          <w:rFonts w:hint="eastAsia" w:ascii="Arial Narrow" w:hAnsi="Arial Narrow"/>
          <w:sz w:val="24"/>
        </w:rPr>
        <w:t>2022</w:t>
      </w:r>
      <w:r>
        <w:rPr>
          <w:rFonts w:ascii="Arial Narrow" w:hAnsi="Arial Narrow"/>
          <w:sz w:val="24"/>
        </w:rPr>
        <w:t>）第</w:t>
      </w:r>
      <w:r>
        <w:rPr>
          <w:rFonts w:hint="eastAsia" w:ascii="Arial Narrow" w:hAnsi="Arial Narrow"/>
          <w:sz w:val="24"/>
          <w:lang w:val="en-US" w:eastAsia="zh-CN"/>
        </w:rPr>
        <w:t>085</w:t>
      </w:r>
      <w:r>
        <w:rPr>
          <w:rFonts w:ascii="Arial Narrow" w:hAnsi="Arial Narrow"/>
          <w:sz w:val="24"/>
        </w:rPr>
        <w:t>号</w:t>
      </w: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p>
    <w:p>
      <w:pPr>
        <w:spacing w:line="360" w:lineRule="auto"/>
        <w:rPr>
          <w:rFonts w:ascii="Arial Narrow" w:hAnsi="Arial Narrow" w:cs="Arial"/>
          <w:b/>
          <w:sz w:val="36"/>
          <w:szCs w:val="36"/>
        </w:rPr>
      </w:pPr>
      <w:r>
        <w:rPr>
          <w:rFonts w:ascii="Arial Narrow" w:hAnsi="Arial Narrow" w:cs="Arial"/>
          <w:sz w:val="28"/>
          <w:szCs w:val="28"/>
        </w:rPr>
        <w:pict>
          <v:shape id="Picture 2" o:spid="_x0000_s1038" o:spt="75" type="#_x0000_t75" style="position:absolute;left:0pt;margin-left:18.65pt;margin-top:14.05pt;height:47.75pt;width:51.15pt;z-index:-251652096;mso-width-relative:page;mso-height-relative:page;" o:ole="t" filled="f" o:preferrelative="t" stroked="f" coordsize="21600,21600">
            <v:path/>
            <v:fill on="f" focussize="0,0"/>
            <v:stroke on="f" joinstyle="miter"/>
            <v:imagedata r:id="rId16" o:title=""/>
            <o:lock v:ext="edit" aspectratio="t"/>
          </v:shape>
          <o:OLEObject Type="Embed" ProgID="PBrush" ShapeID="Picture 2" DrawAspect="Content" ObjectID="_1468075725" r:id="rId15">
            <o:LockedField>false</o:LockedField>
          </o:OLEObject>
        </w:pict>
      </w:r>
    </w:p>
    <w:p>
      <w:pPr>
        <w:tabs>
          <w:tab w:val="left" w:pos="6195"/>
        </w:tabs>
        <w:spacing w:line="360" w:lineRule="auto"/>
        <w:jc w:val="center"/>
        <w:rPr>
          <w:rFonts w:ascii="Arial Narrow" w:hAnsi="Arial Narrow" w:cs="Arial"/>
          <w:b/>
          <w:sz w:val="32"/>
          <w:szCs w:val="32"/>
        </w:rPr>
        <w:sectPr>
          <w:footerReference r:id="rId5" w:type="first"/>
          <w:headerReference r:id="rId3" w:type="default"/>
          <w:footerReference r:id="rId4" w:type="default"/>
          <w:pgSz w:w="11906" w:h="16838"/>
          <w:pgMar w:top="1701" w:right="1418" w:bottom="1701" w:left="1418" w:header="1247" w:footer="1247" w:gutter="0"/>
          <w:pgNumType w:start="0"/>
          <w:cols w:space="0" w:num="1"/>
          <w:titlePg/>
          <w:docGrid w:linePitch="312" w:charSpace="0"/>
        </w:sectPr>
      </w:pPr>
      <w:r>
        <w:rPr>
          <w:rFonts w:hint="eastAsia" w:ascii="Arial Narrow" w:hAnsi="Arial Narrow" w:cs="Arial"/>
          <w:b/>
          <w:sz w:val="32"/>
          <w:szCs w:val="32"/>
        </w:rPr>
        <w:t xml:space="preserve">    </w:t>
      </w:r>
      <w:r>
        <w:rPr>
          <w:rFonts w:ascii="Arial Narrow" w:hAnsi="Arial Narrow" w:cs="Arial"/>
          <w:b/>
          <w:sz w:val="32"/>
          <w:szCs w:val="32"/>
        </w:rPr>
        <w:t xml:space="preserve">宁夏正业通房地产土地资产评估有限公司 </w:t>
      </w:r>
    </w:p>
    <w:p>
      <w:pPr>
        <w:tabs>
          <w:tab w:val="left" w:pos="6195"/>
        </w:tabs>
        <w:spacing w:line="360" w:lineRule="auto"/>
        <w:rPr>
          <w:rStyle w:val="33"/>
          <w:rFonts w:ascii="Arial Narrow" w:hAnsi="Arial Narrow"/>
          <w:b/>
          <w:sz w:val="32"/>
          <w:szCs w:val="32"/>
        </w:rPr>
      </w:pPr>
      <w:r>
        <w:rPr>
          <w:rFonts w:ascii="Arial Narrow" w:hAnsi="Arial Narrow"/>
        </w:rPr>
        <w:pict>
          <v:shape id="Quad Arrow 2" o:spid="_x0000_s1034" o:spt="202" type="#_x0000_t202" style="position:absolute;left:0pt;margin-left:26.7pt;margin-top:1.7pt;height:99pt;width:394.5pt;z-index:251662336;mso-width-relative:page;mso-height-relative:page;" filled="t" stroked="f" coordsize="21600,21600">
            <v:path/>
            <v:fill type="gradient" on="t" color2="fill lighten(0)" focus="100%" focussize="0f,0f" method="linear sigma"/>
            <v:stroke on="f" joinstyle="miter"/>
            <v:imagedata o:title=""/>
            <o:lock v:ext="edit"/>
            <v:textbox>
              <w:txbxContent>
                <w:p>
                  <w:pPr>
                    <w:tabs>
                      <w:tab w:val="left" w:pos="6195"/>
                    </w:tabs>
                    <w:spacing w:after="240" w:afterLines="100" w:line="360" w:lineRule="auto"/>
                    <w:jc w:val="center"/>
                    <w:rPr>
                      <w:rFonts w:ascii="Arial Narrow" w:hAnsi="Arial Narrow" w:cs="Arial Narrow"/>
                      <w:b/>
                      <w:bCs/>
                      <w:sz w:val="32"/>
                      <w:szCs w:val="32"/>
                    </w:rPr>
                  </w:pPr>
                </w:p>
                <w:p>
                  <w:pPr>
                    <w:tabs>
                      <w:tab w:val="left" w:pos="6195"/>
                    </w:tabs>
                    <w:spacing w:after="240" w:afterLines="100" w:line="360" w:lineRule="auto"/>
                    <w:jc w:val="center"/>
                    <w:rPr>
                      <w:rFonts w:ascii="Arial Narrow" w:hAnsi="Arial Narrow"/>
                      <w:b/>
                      <w:color w:val="000000"/>
                      <w:sz w:val="32"/>
                      <w:szCs w:val="32"/>
                    </w:rPr>
                  </w:pPr>
                  <w:r>
                    <w:rPr>
                      <w:rFonts w:hint="eastAsia" w:ascii="Arial Narrow" w:hAnsi="Arial Narrow" w:cs="Arial Narrow"/>
                      <w:b/>
                      <w:bCs/>
                      <w:sz w:val="32"/>
                      <w:szCs w:val="32"/>
                    </w:rPr>
                    <w:t>涉执房地产处置司法评估报告</w:t>
                  </w:r>
                </w:p>
              </w:txbxContent>
            </v:textbox>
          </v:shape>
        </w:pict>
      </w:r>
    </w:p>
    <w:p>
      <w:pPr>
        <w:tabs>
          <w:tab w:val="left" w:pos="6195"/>
        </w:tabs>
        <w:spacing w:line="360" w:lineRule="auto"/>
        <w:jc w:val="center"/>
        <w:rPr>
          <w:rStyle w:val="33"/>
          <w:rFonts w:ascii="Arial Narrow" w:hAnsi="Arial Narrow"/>
          <w:b/>
          <w:sz w:val="32"/>
          <w:szCs w:val="32"/>
        </w:rPr>
      </w:pPr>
    </w:p>
    <w:p>
      <w:pPr>
        <w:tabs>
          <w:tab w:val="left" w:pos="6195"/>
        </w:tabs>
        <w:spacing w:line="360" w:lineRule="auto"/>
        <w:jc w:val="center"/>
        <w:rPr>
          <w:rFonts w:ascii="Arial Narrow" w:hAnsi="Arial Narrow" w:cs="Arial Narrow"/>
          <w:b/>
          <w:bCs/>
          <w:sz w:val="44"/>
          <w:szCs w:val="44"/>
        </w:rPr>
      </w:pPr>
      <w:r>
        <w:rPr>
          <w:rStyle w:val="33"/>
          <w:rFonts w:ascii="Arial Narrow" w:hAnsi="Arial Narrow"/>
          <w:b/>
          <w:sz w:val="32"/>
          <w:szCs w:val="32"/>
        </w:rPr>
        <w:t xml:space="preserve">   </w:t>
      </w:r>
    </w:p>
    <w:p>
      <w:pPr>
        <w:rPr>
          <w:rFonts w:ascii="Arial Narrow" w:hAnsi="Arial Narrow" w:cs="Arial Narrow"/>
          <w:i/>
          <w:szCs w:val="21"/>
        </w:rPr>
      </w:pPr>
    </w:p>
    <w:p>
      <w:pPr>
        <w:rPr>
          <w:rFonts w:ascii="Arial Narrow" w:hAnsi="Arial Narrow" w:cs="Arial Narrow"/>
          <w:i/>
          <w:szCs w:val="21"/>
        </w:rPr>
      </w:pPr>
    </w:p>
    <w:p>
      <w:pPr>
        <w:jc w:val="center"/>
        <w:rPr>
          <w:rFonts w:ascii="Arial Narrow" w:hAnsi="Arial Narrow" w:cs="Arial Narrow"/>
          <w:i/>
          <w:szCs w:val="21"/>
        </w:rPr>
      </w:pPr>
    </w:p>
    <w:p>
      <w:pPr>
        <w:spacing w:line="360" w:lineRule="auto"/>
        <w:ind w:left="2120" w:leftChars="202" w:hanging="1696" w:hangingChars="704"/>
        <w:rPr>
          <w:rFonts w:ascii="Arial Narrow" w:hAnsi="Arial Narrow" w:cs="Arial Narrow"/>
          <w:b/>
          <w:bCs/>
          <w:sz w:val="24"/>
        </w:rPr>
      </w:pPr>
      <w:r>
        <w:rPr>
          <w:rFonts w:ascii="Arial Narrow" w:hAnsi="Arial Narrow" w:cs="Arial Narrow"/>
          <w:b/>
          <w:bCs/>
          <w:sz w:val="24"/>
        </w:rPr>
        <w:t>报告编号 ：</w:t>
      </w:r>
      <w:r>
        <w:rPr>
          <w:rFonts w:ascii="Arial Narrow" w:hAnsi="Arial Narrow" w:cs="宋体"/>
          <w:sz w:val="24"/>
        </w:rPr>
        <w:t>正业通房司评报（</w:t>
      </w:r>
      <w:r>
        <w:rPr>
          <w:rFonts w:hint="eastAsia" w:ascii="Arial Narrow" w:hAnsi="Arial Narrow" w:cs="宋体"/>
          <w:sz w:val="24"/>
        </w:rPr>
        <w:t>2022</w:t>
      </w:r>
      <w:r>
        <w:rPr>
          <w:rFonts w:ascii="Arial Narrow" w:hAnsi="Arial Narrow" w:cs="宋体"/>
          <w:sz w:val="24"/>
        </w:rPr>
        <w:t>）第</w:t>
      </w:r>
      <w:r>
        <w:rPr>
          <w:rFonts w:hint="eastAsia" w:ascii="Arial Narrow" w:hAnsi="Arial Narrow" w:cs="宋体"/>
          <w:sz w:val="24"/>
        </w:rPr>
        <w:t>0</w:t>
      </w:r>
      <w:r>
        <w:rPr>
          <w:rFonts w:hint="eastAsia" w:ascii="Arial Narrow" w:hAnsi="Arial Narrow" w:cs="宋体"/>
          <w:sz w:val="24"/>
          <w:lang w:val="en-US" w:eastAsia="zh-CN"/>
        </w:rPr>
        <w:t>85</w:t>
      </w:r>
      <w:r>
        <w:rPr>
          <w:rFonts w:ascii="Arial Narrow" w:hAnsi="Arial Narrow" w:cs="宋体"/>
          <w:sz w:val="24"/>
        </w:rPr>
        <w:t>号</w:t>
      </w:r>
    </w:p>
    <w:p>
      <w:pPr>
        <w:rPr>
          <w:rFonts w:ascii="Arial Narrow" w:hAnsi="Arial Narrow" w:cs="Arial Narrow"/>
          <w:i/>
          <w:sz w:val="24"/>
        </w:rPr>
      </w:pPr>
    </w:p>
    <w:p>
      <w:pPr>
        <w:rPr>
          <w:rFonts w:ascii="Arial Narrow" w:hAnsi="Arial Narrow" w:cs="Arial Narrow"/>
          <w:i/>
          <w:sz w:val="19"/>
          <w:szCs w:val="21"/>
        </w:rPr>
      </w:pPr>
    </w:p>
    <w:p>
      <w:pPr>
        <w:adjustRightInd w:val="0"/>
        <w:snapToGrid w:val="0"/>
        <w:spacing w:before="60" w:after="60" w:line="360" w:lineRule="auto"/>
        <w:ind w:left="1982" w:leftChars="199" w:hanging="1564" w:hangingChars="649"/>
        <w:rPr>
          <w:rFonts w:ascii="Arial Narrow" w:hAnsi="Arial Narrow"/>
          <w:sz w:val="24"/>
        </w:rPr>
      </w:pPr>
      <w:r>
        <w:rPr>
          <w:rFonts w:ascii="Arial Narrow" w:hAnsi="Arial Narrow" w:cs="Arial Narrow"/>
          <w:b/>
          <w:bCs/>
          <w:sz w:val="24"/>
        </w:rPr>
        <w:t>估价项目名称</w:t>
      </w:r>
      <w:r>
        <w:rPr>
          <w:rFonts w:ascii="Arial Narrow" w:hAnsi="Arial Narrow" w:cs="Arial Narrow"/>
          <w:sz w:val="24"/>
        </w:rPr>
        <w:t>：</w:t>
      </w:r>
      <w:r>
        <w:rPr>
          <w:rFonts w:hint="eastAsia" w:ascii="Arial Narrow" w:hAnsi="Arial Narrow"/>
          <w:sz w:val="24"/>
          <w:lang w:eastAsia="zh-CN"/>
        </w:rPr>
        <w:t>银川市兴庆区人民法院</w:t>
      </w:r>
      <w:r>
        <w:rPr>
          <w:rFonts w:hint="eastAsia" w:ascii="Arial Narrow" w:hAnsi="Arial Narrow"/>
          <w:sz w:val="24"/>
        </w:rPr>
        <w:t>拟财产处置涉及的</w:t>
      </w:r>
      <w:r>
        <w:rPr>
          <w:rFonts w:hint="eastAsia" w:ascii="Arial Narrow" w:hAnsi="Arial Narrow"/>
          <w:sz w:val="24"/>
          <w:lang w:eastAsia="zh-CN"/>
        </w:rPr>
        <w:t>吴忠市利通区明珠路北侧阳光骄子A区一号楼1132室</w:t>
      </w:r>
      <w:r>
        <w:rPr>
          <w:rFonts w:hint="eastAsia" w:ascii="Arial Narrow" w:hAnsi="Arial Narrow"/>
          <w:sz w:val="24"/>
        </w:rPr>
        <w:t>住宅房地产价值估价</w:t>
      </w:r>
    </w:p>
    <w:p>
      <w:pPr>
        <w:spacing w:line="360" w:lineRule="auto"/>
        <w:ind w:left="2075" w:leftChars="201" w:hanging="1653" w:hangingChars="784"/>
        <w:rPr>
          <w:rFonts w:ascii="Arial Narrow" w:hAnsi="Arial Narrow" w:cs="Arial Narrow"/>
          <w:b/>
          <w:bCs/>
          <w:i/>
          <w:szCs w:val="21"/>
          <w:u w:val="single"/>
        </w:rPr>
      </w:pPr>
    </w:p>
    <w:p>
      <w:pPr>
        <w:spacing w:line="360" w:lineRule="auto"/>
        <w:ind w:firstLine="426" w:firstLineChars="177"/>
        <w:rPr>
          <w:rFonts w:hint="eastAsia" w:ascii="Arial Narrow" w:hAnsi="Arial Narrow" w:eastAsia="宋体" w:cs="Arial Narrow"/>
          <w:b/>
          <w:bCs/>
          <w:sz w:val="24"/>
          <w:u w:val="single"/>
          <w:lang w:eastAsia="zh-CN"/>
        </w:rPr>
      </w:pPr>
      <w:r>
        <w:rPr>
          <w:rFonts w:ascii="Arial Narrow" w:hAnsi="Arial Narrow" w:cs="Arial Narrow"/>
          <w:b/>
          <w:bCs/>
          <w:sz w:val="24"/>
        </w:rPr>
        <w:t>估价委托人</w:t>
      </w:r>
      <w:r>
        <w:rPr>
          <w:rFonts w:ascii="Arial Narrow" w:hAnsi="Arial Narrow" w:cs="Arial Narrow"/>
          <w:sz w:val="24"/>
        </w:rPr>
        <w:t>：</w:t>
      </w:r>
      <w:r>
        <w:rPr>
          <w:rFonts w:hint="eastAsia" w:ascii="Arial Narrow" w:hAnsi="Arial Narrow"/>
          <w:sz w:val="24"/>
          <w:lang w:eastAsia="zh-CN"/>
        </w:rPr>
        <w:t>银川市兴庆区人民法院</w:t>
      </w:r>
    </w:p>
    <w:p>
      <w:pPr>
        <w:spacing w:line="360" w:lineRule="auto"/>
        <w:ind w:firstLine="426" w:firstLineChars="177"/>
        <w:rPr>
          <w:rFonts w:ascii="Arial Narrow" w:hAnsi="Arial Narrow" w:cs="Arial Narrow"/>
          <w:b/>
          <w:bCs/>
          <w:sz w:val="24"/>
        </w:rPr>
      </w:pPr>
    </w:p>
    <w:p>
      <w:pPr>
        <w:spacing w:line="360" w:lineRule="auto"/>
        <w:ind w:firstLine="426" w:firstLineChars="177"/>
        <w:rPr>
          <w:rFonts w:ascii="Arial Narrow" w:hAnsi="Arial Narrow" w:cs="Arial Narrow"/>
          <w:sz w:val="24"/>
        </w:rPr>
      </w:pPr>
      <w:r>
        <w:rPr>
          <w:rFonts w:ascii="Arial Narrow" w:hAnsi="Arial Narrow" w:cs="Arial Narrow"/>
          <w:b/>
          <w:bCs/>
          <w:sz w:val="24"/>
        </w:rPr>
        <w:t>房地产估价机构</w:t>
      </w:r>
      <w:r>
        <w:rPr>
          <w:rFonts w:ascii="Arial Narrow" w:hAnsi="Arial Narrow" w:cs="Arial Narrow"/>
          <w:sz w:val="24"/>
        </w:rPr>
        <w:t xml:space="preserve">：宁夏正业通房地产土地资产评估有限公司 </w:t>
      </w:r>
    </w:p>
    <w:p>
      <w:pPr>
        <w:spacing w:line="360" w:lineRule="auto"/>
        <w:ind w:firstLine="424" w:firstLineChars="177"/>
        <w:rPr>
          <w:rFonts w:ascii="Arial Narrow" w:hAnsi="Arial Narrow" w:cs="Arial Narrow"/>
          <w:sz w:val="24"/>
        </w:rPr>
      </w:pPr>
    </w:p>
    <w:p>
      <w:pPr>
        <w:spacing w:line="360" w:lineRule="auto"/>
        <w:ind w:firstLine="426" w:firstLineChars="177"/>
        <w:rPr>
          <w:rFonts w:ascii="Arial Narrow" w:hAnsi="Arial Narrow" w:cs="Arial Narrow"/>
          <w:sz w:val="24"/>
        </w:rPr>
      </w:pPr>
      <w:r>
        <w:rPr>
          <w:rFonts w:ascii="Arial Narrow" w:hAnsi="Arial Narrow" w:cs="Arial Narrow"/>
          <w:b/>
          <w:bCs/>
          <w:sz w:val="24"/>
        </w:rPr>
        <w:t>地  址：</w:t>
      </w:r>
      <w:r>
        <w:rPr>
          <w:rFonts w:ascii="Arial Narrow" w:hAnsi="Arial Narrow" w:cs="Arial Narrow"/>
          <w:sz w:val="24"/>
        </w:rPr>
        <w:t>银川市金凤区宁安大街490号银川IBI育成中心九号楼</w:t>
      </w:r>
    </w:p>
    <w:p>
      <w:pPr>
        <w:spacing w:line="360" w:lineRule="auto"/>
        <w:ind w:firstLine="424" w:firstLineChars="177"/>
        <w:rPr>
          <w:rFonts w:ascii="Arial Narrow" w:hAnsi="Arial Narrow" w:cs="Arial"/>
          <w:sz w:val="24"/>
        </w:rPr>
      </w:pPr>
    </w:p>
    <w:p>
      <w:pPr>
        <w:spacing w:line="360" w:lineRule="auto"/>
        <w:ind w:firstLine="426" w:firstLineChars="177"/>
        <w:rPr>
          <w:rFonts w:ascii="Arial Narrow" w:hAnsi="Arial Narrow" w:cs="Arial"/>
          <w:b/>
          <w:sz w:val="24"/>
        </w:rPr>
      </w:pPr>
      <w:r>
        <w:rPr>
          <w:rFonts w:ascii="Arial Narrow" w:hAnsi="Arial Narrow" w:cs="Arial"/>
          <w:b/>
          <w:sz w:val="24"/>
        </w:rPr>
        <w:t>电  话</w:t>
      </w:r>
      <w:r>
        <w:rPr>
          <w:rFonts w:ascii="Arial Narrow" w:hAnsi="Arial Narrow" w:cs="Arial Narrow"/>
          <w:sz w:val="24"/>
        </w:rPr>
        <w:t>：</w:t>
      </w:r>
      <w:r>
        <w:rPr>
          <w:rFonts w:ascii="Arial Narrow" w:hAnsi="Arial Narrow" w:cs="Arial"/>
          <w:sz w:val="24"/>
        </w:rPr>
        <w:t xml:space="preserve">(0951)4120892 </w:t>
      </w:r>
      <w:r>
        <w:rPr>
          <w:rFonts w:ascii="Arial Narrow" w:hAnsi="Arial Narrow" w:cs="Arial"/>
          <w:b/>
          <w:sz w:val="24"/>
        </w:rPr>
        <w:t xml:space="preserve">    </w:t>
      </w:r>
    </w:p>
    <w:p>
      <w:pPr>
        <w:spacing w:line="360" w:lineRule="auto"/>
        <w:ind w:firstLine="426" w:firstLineChars="177"/>
        <w:rPr>
          <w:rFonts w:ascii="Arial Narrow" w:hAnsi="Arial Narrow" w:cs="Arial"/>
          <w:b/>
          <w:sz w:val="24"/>
        </w:rPr>
      </w:pPr>
    </w:p>
    <w:p>
      <w:pPr>
        <w:spacing w:line="360" w:lineRule="auto"/>
        <w:ind w:firstLine="426" w:firstLineChars="177"/>
        <w:rPr>
          <w:rFonts w:ascii="Arial Narrow" w:hAnsi="Arial Narrow" w:cs="Arial"/>
          <w:b/>
          <w:sz w:val="24"/>
        </w:rPr>
      </w:pPr>
      <w:r>
        <w:rPr>
          <w:rFonts w:ascii="Arial Narrow" w:hAnsi="Arial Narrow" w:cs="Arial"/>
          <w:b/>
          <w:sz w:val="24"/>
        </w:rPr>
        <w:t>传  真</w:t>
      </w:r>
      <w:r>
        <w:rPr>
          <w:rFonts w:ascii="Arial Narrow" w:hAnsi="Arial Narrow" w:cs="Arial Narrow"/>
          <w:sz w:val="24"/>
        </w:rPr>
        <w:t>：</w:t>
      </w:r>
      <w:r>
        <w:rPr>
          <w:rFonts w:ascii="Arial Narrow" w:hAnsi="Arial Narrow" w:cs="Arial"/>
          <w:sz w:val="24"/>
        </w:rPr>
        <w:t>(0951)4120538</w:t>
      </w:r>
    </w:p>
    <w:p>
      <w:pPr>
        <w:spacing w:line="360" w:lineRule="auto"/>
        <w:ind w:firstLine="426" w:firstLineChars="177"/>
        <w:rPr>
          <w:rFonts w:ascii="Arial Narrow" w:hAnsi="Arial Narrow" w:cs="Arial Narrow"/>
          <w:b/>
          <w:bCs/>
          <w:sz w:val="24"/>
          <w:u w:val="single"/>
        </w:rPr>
      </w:pPr>
    </w:p>
    <w:p>
      <w:pPr>
        <w:spacing w:line="360" w:lineRule="auto"/>
        <w:ind w:firstLine="426" w:firstLineChars="177"/>
        <w:rPr>
          <w:rFonts w:ascii="Arial Narrow" w:hAnsi="Arial Narrow"/>
          <w:sz w:val="24"/>
        </w:rPr>
      </w:pPr>
      <w:r>
        <w:rPr>
          <w:rFonts w:ascii="Arial Narrow" w:hAnsi="Arial Narrow" w:cs="Arial Narrow"/>
          <w:b/>
          <w:bCs/>
          <w:sz w:val="24"/>
        </w:rPr>
        <w:t>注册房地产估价师及注册号</w:t>
      </w:r>
      <w:r>
        <w:rPr>
          <w:rFonts w:hint="eastAsia" w:ascii="Arial Narrow" w:hAnsi="Arial Narrow" w:cs="Arial Narrow"/>
          <w:sz w:val="24"/>
        </w:rPr>
        <w:t xml:space="preserve">：葛  畅    </w:t>
      </w:r>
      <w:r>
        <w:rPr>
          <w:rFonts w:ascii="Arial Narrow" w:hAnsi="Arial Narrow" w:cs="Arial Narrow"/>
          <w:sz w:val="24"/>
        </w:rPr>
        <w:t>6420040025</w:t>
      </w:r>
    </w:p>
    <w:p>
      <w:pPr>
        <w:spacing w:line="360" w:lineRule="auto"/>
        <w:ind w:firstLine="424" w:firstLineChars="177"/>
        <w:rPr>
          <w:rFonts w:ascii="Arial Narrow" w:hAnsi="Arial Narrow" w:cs="Arial Narrow"/>
          <w:sz w:val="24"/>
        </w:rPr>
      </w:pPr>
    </w:p>
    <w:p>
      <w:pPr>
        <w:spacing w:line="360" w:lineRule="auto"/>
        <w:ind w:firstLine="426" w:firstLineChars="177"/>
        <w:rPr>
          <w:rFonts w:ascii="Arial Narrow" w:hAnsi="Arial Narrow"/>
          <w:sz w:val="24"/>
        </w:rPr>
      </w:pPr>
      <w:r>
        <w:rPr>
          <w:rFonts w:ascii="Arial Narrow" w:hAnsi="Arial Narrow" w:cs="Arial Narrow"/>
          <w:b/>
          <w:bCs/>
          <w:sz w:val="24"/>
        </w:rPr>
        <w:t>注册房地产估价师及注册号</w:t>
      </w:r>
      <w:r>
        <w:rPr>
          <w:rFonts w:ascii="Arial Narrow" w:hAnsi="Arial Narrow" w:cs="Arial Narrow"/>
          <w:sz w:val="24"/>
        </w:rPr>
        <w:t>：</w:t>
      </w:r>
      <w:r>
        <w:rPr>
          <w:rFonts w:hint="eastAsia" w:ascii="Arial Narrow" w:hAnsi="Arial Narrow" w:cs="Arial Narrow"/>
          <w:sz w:val="24"/>
        </w:rPr>
        <w:t xml:space="preserve">罗尚吉    </w:t>
      </w:r>
      <w:r>
        <w:rPr>
          <w:rFonts w:ascii="Arial Narrow" w:hAnsi="Arial Narrow" w:cs="Arial Narrow"/>
          <w:sz w:val="24"/>
        </w:rPr>
        <w:t>6420</w:t>
      </w:r>
      <w:r>
        <w:rPr>
          <w:rFonts w:hint="eastAsia" w:ascii="Arial Narrow" w:hAnsi="Arial Narrow" w:cs="Arial Narrow"/>
          <w:sz w:val="24"/>
        </w:rPr>
        <w:t>15</w:t>
      </w:r>
      <w:r>
        <w:rPr>
          <w:rFonts w:ascii="Arial Narrow" w:hAnsi="Arial Narrow" w:cs="Arial Narrow"/>
          <w:sz w:val="24"/>
        </w:rPr>
        <w:t>00</w:t>
      </w:r>
      <w:r>
        <w:rPr>
          <w:rFonts w:hint="eastAsia" w:ascii="Arial Narrow" w:hAnsi="Arial Narrow" w:cs="Arial Narrow"/>
          <w:sz w:val="24"/>
        </w:rPr>
        <w:t>03</w:t>
      </w:r>
    </w:p>
    <w:p>
      <w:pPr>
        <w:spacing w:line="360" w:lineRule="auto"/>
        <w:rPr>
          <w:rFonts w:ascii="Arial Narrow" w:hAnsi="Arial Narrow" w:cs="Arial Narrow"/>
          <w:sz w:val="24"/>
        </w:rPr>
      </w:pPr>
    </w:p>
    <w:p>
      <w:pPr>
        <w:spacing w:line="360" w:lineRule="auto"/>
        <w:ind w:firstLine="426" w:firstLineChars="177"/>
        <w:rPr>
          <w:rFonts w:ascii="Arial Narrow" w:hAnsi="Arial Narrow" w:cs="Arial Narrow"/>
          <w:b/>
          <w:bCs/>
          <w:sz w:val="24"/>
          <w:u w:val="single"/>
        </w:rPr>
      </w:pPr>
      <w:r>
        <w:rPr>
          <w:rFonts w:ascii="Arial Narrow" w:hAnsi="Arial Narrow" w:cs="Arial Narrow"/>
          <w:b/>
          <w:bCs/>
          <w:sz w:val="24"/>
        </w:rPr>
        <w:t>报告出具日期：</w:t>
      </w:r>
      <w:r>
        <w:rPr>
          <w:rFonts w:hint="eastAsia" w:ascii="Arial Narrow" w:hAnsi="Arial Narrow" w:cs="Arial Narrow"/>
          <w:sz w:val="24"/>
        </w:rPr>
        <w:t>2022年</w:t>
      </w:r>
      <w:r>
        <w:rPr>
          <w:rFonts w:hint="eastAsia" w:ascii="Arial Narrow" w:hAnsi="Arial Narrow" w:cs="Arial Narrow"/>
          <w:sz w:val="24"/>
          <w:lang w:val="en-US" w:eastAsia="zh-CN"/>
        </w:rPr>
        <w:t>7</w:t>
      </w:r>
      <w:r>
        <w:rPr>
          <w:rFonts w:hint="eastAsia" w:ascii="Arial Narrow" w:hAnsi="Arial Narrow" w:cs="Arial Narrow"/>
          <w:sz w:val="24"/>
        </w:rPr>
        <w:t>月</w:t>
      </w:r>
      <w:r>
        <w:rPr>
          <w:rFonts w:hint="eastAsia" w:ascii="Arial Narrow" w:hAnsi="Arial Narrow" w:cs="Arial Narrow"/>
          <w:sz w:val="24"/>
          <w:lang w:val="en-US" w:eastAsia="zh-CN"/>
        </w:rPr>
        <w:t>4</w:t>
      </w:r>
      <w:r>
        <w:rPr>
          <w:rFonts w:hint="eastAsia" w:ascii="Arial Narrow" w:hAnsi="Arial Narrow" w:cs="Arial Narrow"/>
          <w:sz w:val="24"/>
        </w:rPr>
        <w:t>日</w:t>
      </w: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line="440" w:lineRule="exact"/>
        <w:rPr>
          <w:rFonts w:ascii="Arial Narrow" w:hAnsi="Arial Narrow"/>
          <w:b/>
          <w:sz w:val="32"/>
          <w:szCs w:val="32"/>
        </w:rPr>
      </w:pPr>
    </w:p>
    <w:p>
      <w:pPr>
        <w:spacing w:before="240" w:beforeLines="100" w:after="240" w:afterLines="100" w:line="440" w:lineRule="exact"/>
        <w:jc w:val="center"/>
        <w:rPr>
          <w:rFonts w:ascii="Arial Narrow" w:hAnsi="Arial Narrow"/>
          <w:b/>
          <w:sz w:val="32"/>
          <w:szCs w:val="32"/>
        </w:rPr>
      </w:pPr>
      <w:r>
        <w:rPr>
          <w:rFonts w:ascii="Arial Narrow" w:hAnsi="Arial Narrow"/>
          <w:b/>
          <w:sz w:val="32"/>
          <w:szCs w:val="32"/>
        </w:rPr>
        <w:t>致估价委托人函</w:t>
      </w:r>
    </w:p>
    <w:p>
      <w:pPr>
        <w:spacing w:line="500" w:lineRule="exact"/>
        <w:rPr>
          <w:rFonts w:ascii="Arial Narrow" w:hAnsi="Arial Narrow" w:cs="Arial Narrow"/>
          <w:sz w:val="24"/>
        </w:rPr>
      </w:pPr>
      <w:r>
        <w:rPr>
          <w:rFonts w:hint="eastAsia" w:ascii="Arial Narrow" w:hAnsi="Arial Narrow" w:cs="Arial Narrow"/>
          <w:sz w:val="24"/>
          <w:lang w:eastAsia="zh-CN"/>
        </w:rPr>
        <w:t>银川市兴庆区人民法院</w:t>
      </w:r>
      <w:r>
        <w:rPr>
          <w:rFonts w:ascii="Arial Narrow" w:hAnsi="Arial Narrow" w:cs="Arial Narrow"/>
          <w:sz w:val="24"/>
        </w:rPr>
        <w:t>：</w:t>
      </w:r>
    </w:p>
    <w:p>
      <w:pPr>
        <w:spacing w:line="500" w:lineRule="exact"/>
        <w:ind w:firstLine="480" w:firstLineChars="200"/>
        <w:rPr>
          <w:rFonts w:ascii="Arial Narrow" w:hAnsi="Arial Narrow" w:cs="Arial Narrow"/>
          <w:sz w:val="24"/>
        </w:rPr>
      </w:pPr>
      <w:r>
        <w:rPr>
          <w:rFonts w:ascii="Arial Narrow" w:hAnsi="Arial Narrow" w:cs="Arial Narrow"/>
          <w:sz w:val="24"/>
        </w:rPr>
        <w:t>我们接受</w:t>
      </w:r>
      <w:r>
        <w:rPr>
          <w:rFonts w:hint="eastAsia" w:ascii="Arial Narrow" w:hAnsi="Arial Narrow" w:cs="Arial Narrow"/>
          <w:sz w:val="24"/>
        </w:rPr>
        <w:t>贵院</w:t>
      </w:r>
      <w:r>
        <w:rPr>
          <w:rFonts w:ascii="Arial Narrow" w:hAnsi="Arial Narrow" w:cs="Arial Narrow"/>
          <w:sz w:val="24"/>
        </w:rPr>
        <w:t>的委托，对</w:t>
      </w:r>
      <w:r>
        <w:rPr>
          <w:rFonts w:hint="eastAsia" w:ascii="Arial Narrow" w:hAnsi="Arial Narrow" w:cs="Arial Narrow"/>
          <w:sz w:val="24"/>
          <w:lang w:eastAsia="zh-CN"/>
        </w:rPr>
        <w:t>孙军</w:t>
      </w:r>
      <w:r>
        <w:rPr>
          <w:rFonts w:hint="eastAsia" w:ascii="Arial Narrow" w:hAnsi="Arial Narrow" w:cs="Arial Narrow"/>
          <w:sz w:val="24"/>
        </w:rPr>
        <w:t>名下位于</w:t>
      </w:r>
      <w:r>
        <w:rPr>
          <w:rFonts w:hint="eastAsia" w:ascii="Arial Narrow" w:hAnsi="Arial Narrow" w:cs="Arial Narrow"/>
          <w:sz w:val="24"/>
          <w:lang w:eastAsia="zh-CN"/>
        </w:rPr>
        <w:t>吴忠市利通区明珠路北侧阳光骄子A区一号楼1132室</w:t>
      </w:r>
      <w:r>
        <w:rPr>
          <w:rFonts w:hint="eastAsia" w:ascii="Arial Narrow" w:hAnsi="Arial Narrow" w:cs="Arial Narrow"/>
          <w:sz w:val="24"/>
        </w:rPr>
        <w:t>住宅</w:t>
      </w:r>
      <w:r>
        <w:rPr>
          <w:rFonts w:ascii="Arial Narrow" w:hAnsi="Arial Narrow" w:cs="Arial Narrow"/>
          <w:sz w:val="24"/>
        </w:rPr>
        <w:t>的现行市场价值进行了估价。估价对象</w:t>
      </w:r>
      <w:r>
        <w:rPr>
          <w:rFonts w:hint="eastAsia" w:ascii="Arial Narrow" w:hAnsi="Arial Narrow" w:cs="Arial Narrow"/>
          <w:sz w:val="24"/>
        </w:rPr>
        <w:t>建筑面积为</w:t>
      </w:r>
      <w:r>
        <w:rPr>
          <w:rFonts w:hint="eastAsia" w:ascii="Arial Narrow" w:hAnsi="Arial Narrow" w:cs="Arial Narrow"/>
          <w:sz w:val="24"/>
          <w:lang w:eastAsia="zh-CN"/>
        </w:rPr>
        <w:t>126.83平方米</w:t>
      </w:r>
      <w:r>
        <w:rPr>
          <w:rFonts w:hint="eastAsia" w:ascii="Arial Narrow" w:hAnsi="Arial Narrow" w:cs="Arial Narrow"/>
          <w:sz w:val="24"/>
        </w:rPr>
        <w:t>，</w:t>
      </w:r>
      <w:r>
        <w:rPr>
          <w:rFonts w:hint="eastAsia" w:ascii="Arial Narrow" w:hAnsi="Arial Narrow" w:cs="Arial Narrow"/>
          <w:sz w:val="24"/>
          <w:lang w:eastAsia="zh-CN"/>
        </w:rPr>
        <w:t>钢混结构</w:t>
      </w:r>
      <w:r>
        <w:rPr>
          <w:rFonts w:hint="eastAsia" w:ascii="Arial Narrow" w:hAnsi="Arial Narrow" w:cs="Arial Narrow"/>
          <w:sz w:val="24"/>
        </w:rPr>
        <w:t>，</w:t>
      </w:r>
      <w:r>
        <w:rPr>
          <w:rFonts w:hint="eastAsia" w:ascii="Arial Narrow" w:hAnsi="Arial Narrow" w:cs="Arial Narrow"/>
          <w:sz w:val="24"/>
          <w:lang w:eastAsia="zh-CN"/>
        </w:rPr>
        <w:t>价值时点为2022年6月23日</w:t>
      </w:r>
      <w:r>
        <w:rPr>
          <w:rFonts w:ascii="Arial Narrow" w:hAnsi="Arial Narrow" w:cs="Arial Narrow"/>
          <w:sz w:val="24"/>
        </w:rPr>
        <w:t>，估价方法为比较法、收益法，估价目的是</w:t>
      </w:r>
      <w:r>
        <w:rPr>
          <w:rFonts w:hint="eastAsia" w:ascii="Arial Narrow" w:hAnsi="Arial Narrow" w:cs="宋体"/>
          <w:sz w:val="24"/>
        </w:rPr>
        <w:t>为人民法院确定财产处置参考价提供参考依据。</w:t>
      </w:r>
    </w:p>
    <w:p>
      <w:pPr>
        <w:spacing w:line="500" w:lineRule="exact"/>
        <w:ind w:firstLine="480" w:firstLineChars="200"/>
        <w:rPr>
          <w:rFonts w:ascii="Arial Narrow" w:hAnsi="Arial Narrow" w:cs="Arial Narrow"/>
          <w:sz w:val="24"/>
        </w:rPr>
      </w:pPr>
      <w:r>
        <w:rPr>
          <w:rFonts w:ascii="Arial Narrow" w:hAnsi="Arial Narrow" w:cs="Arial Narrow"/>
          <w:sz w:val="24"/>
        </w:rPr>
        <w:t>依据估价委托人提供的有关资料，经本机构估价人员实地查勘，根据估价目的，遵循估价原则，按照估价程序，选用适宜的估价方法，经过周密审慎的测算，并结合估价经验及对影响房地产价值的因素综合分析后，确定于价值时点、在本报告设定的假设和限制条件下，</w:t>
      </w:r>
      <w:r>
        <w:rPr>
          <w:rFonts w:hint="eastAsia" w:ascii="Arial Narrow" w:hAnsi="Arial Narrow" w:cs="Arial Narrow"/>
          <w:sz w:val="24"/>
        </w:rPr>
        <w:t>估价对象房地合一市场价值为：</w:t>
      </w:r>
      <w:r>
        <w:rPr>
          <w:rFonts w:hint="eastAsia" w:ascii="Arial Narrow" w:hAnsi="Arial Narrow" w:cs="宋体"/>
          <w:color w:val="000000"/>
          <w:sz w:val="24"/>
        </w:rPr>
        <w:t>人民币</w:t>
      </w:r>
      <w:r>
        <w:rPr>
          <w:rFonts w:hint="eastAsia" w:ascii="Arial Narrow" w:hAnsi="Arial Narrow" w:cs="宋体"/>
          <w:color w:val="000000"/>
          <w:sz w:val="24"/>
          <w:lang w:val="en-US" w:eastAsia="zh-CN"/>
        </w:rPr>
        <w:t>捌拾肆万肆仟陆佰</w:t>
      </w:r>
      <w:r>
        <w:rPr>
          <w:rFonts w:hint="eastAsia" w:ascii="Arial Narrow" w:hAnsi="Arial Narrow" w:cs="宋体"/>
          <w:color w:val="000000"/>
          <w:sz w:val="24"/>
        </w:rPr>
        <w:t>元整（¥</w:t>
      </w:r>
      <w:r>
        <w:rPr>
          <w:rFonts w:hint="eastAsia" w:ascii="Arial Narrow" w:hAnsi="Arial Narrow" w:cs="宋体"/>
          <w:color w:val="000000"/>
          <w:sz w:val="24"/>
          <w:lang w:val="en-US" w:eastAsia="zh-CN"/>
        </w:rPr>
        <w:t>844</w:t>
      </w:r>
      <w:r>
        <w:rPr>
          <w:rFonts w:hint="eastAsia" w:ascii="Arial Narrow" w:hAnsi="Arial Narrow" w:cs="宋体"/>
          <w:color w:val="000000"/>
          <w:sz w:val="24"/>
        </w:rPr>
        <w:t>,</w:t>
      </w:r>
      <w:r>
        <w:rPr>
          <w:rFonts w:hint="eastAsia" w:ascii="Arial Narrow" w:hAnsi="Arial Narrow" w:cs="宋体"/>
          <w:color w:val="000000"/>
          <w:sz w:val="24"/>
          <w:lang w:val="en-US" w:eastAsia="zh-CN"/>
        </w:rPr>
        <w:t>6</w:t>
      </w:r>
      <w:r>
        <w:rPr>
          <w:rFonts w:hint="eastAsia" w:ascii="Arial Narrow" w:hAnsi="Arial Narrow" w:cs="宋体"/>
          <w:color w:val="000000"/>
          <w:sz w:val="24"/>
        </w:rPr>
        <w:t>00.00</w:t>
      </w:r>
      <w:r>
        <w:rPr>
          <w:rFonts w:hint="eastAsia" w:ascii="Arial Narrow" w:hAnsi="Arial Narrow" w:cs="Arial Narrow"/>
          <w:sz w:val="24"/>
        </w:rPr>
        <w:t>），单价</w:t>
      </w:r>
      <w:r>
        <w:rPr>
          <w:rFonts w:hint="eastAsia" w:ascii="Arial Narrow" w:hAnsi="Arial Narrow" w:cs="Arial Narrow"/>
          <w:sz w:val="24"/>
          <w:lang w:val="en-US" w:eastAsia="zh-CN"/>
        </w:rPr>
        <w:t>6</w:t>
      </w:r>
      <w:r>
        <w:rPr>
          <w:rFonts w:hint="eastAsia" w:ascii="Arial Narrow" w:hAnsi="Arial Narrow" w:cs="Arial Narrow"/>
          <w:sz w:val="24"/>
        </w:rPr>
        <w:t>,</w:t>
      </w:r>
      <w:r>
        <w:rPr>
          <w:rFonts w:hint="eastAsia" w:ascii="Arial Narrow" w:hAnsi="Arial Narrow" w:cs="Arial Narrow"/>
          <w:sz w:val="24"/>
          <w:lang w:val="en-US" w:eastAsia="zh-CN"/>
        </w:rPr>
        <w:t>659</w:t>
      </w:r>
      <w:r>
        <w:rPr>
          <w:rFonts w:hint="eastAsia" w:ascii="Arial Narrow" w:hAnsi="Arial Narrow" w:cs="Arial Narrow"/>
          <w:sz w:val="24"/>
        </w:rPr>
        <w:t>.00</w:t>
      </w:r>
      <w:r>
        <w:rPr>
          <w:rFonts w:hint="eastAsia" w:ascii="Arial Narrow" w:hAnsi="Arial Narrow" w:cs="宋体"/>
          <w:color w:val="000000"/>
          <w:sz w:val="24"/>
        </w:rPr>
        <w:t>元/平方米</w:t>
      </w:r>
      <w:r>
        <w:rPr>
          <w:rFonts w:hint="eastAsia" w:ascii="Arial Narrow" w:hAnsi="Arial Narrow" w:cs="Arial Narrow"/>
          <w:sz w:val="24"/>
        </w:rPr>
        <w:t>，</w:t>
      </w:r>
      <w:r>
        <w:rPr>
          <w:rFonts w:ascii="Arial Narrow" w:hAnsi="Arial Narrow" w:cs="Arial Narrow"/>
          <w:sz w:val="24"/>
        </w:rPr>
        <w:t>详</w:t>
      </w:r>
      <w:r>
        <w:rPr>
          <w:rFonts w:hint="eastAsia" w:ascii="Arial Narrow" w:hAnsi="Arial Narrow" w:cs="Arial Narrow"/>
          <w:sz w:val="24"/>
        </w:rPr>
        <w:t>见后附房地产</w:t>
      </w:r>
      <w:r>
        <w:rPr>
          <w:rFonts w:ascii="Arial Narrow" w:hAnsi="Arial Narrow" w:cs="Arial Narrow"/>
          <w:sz w:val="24"/>
        </w:rPr>
        <w:t>估价结果明细表。</w:t>
      </w:r>
    </w:p>
    <w:p>
      <w:pPr>
        <w:spacing w:line="500" w:lineRule="exact"/>
        <w:ind w:firstLine="480" w:firstLineChars="200"/>
        <w:rPr>
          <w:rFonts w:ascii="Arial Narrow" w:hAnsi="Arial Narrow" w:cs="Arial Narrow"/>
          <w:sz w:val="24"/>
        </w:rPr>
      </w:pPr>
      <w:r>
        <w:rPr>
          <w:rFonts w:ascii="Arial Narrow" w:hAnsi="Arial Narrow" w:cs="Arial Narrow"/>
          <w:sz w:val="24"/>
        </w:rPr>
        <w:t>特别提示：</w:t>
      </w:r>
    </w:p>
    <w:p>
      <w:pPr>
        <w:spacing w:line="500" w:lineRule="exact"/>
        <w:ind w:firstLine="480" w:firstLineChars="200"/>
        <w:rPr>
          <w:rFonts w:ascii="Arial Narrow" w:hAnsi="Arial Narrow" w:cs="Arial Narrow"/>
          <w:sz w:val="24"/>
        </w:rPr>
      </w:pPr>
      <w:r>
        <w:rPr>
          <w:rFonts w:hint="eastAsia" w:ascii="Arial Narrow" w:hAnsi="Arial Narrow" w:cs="Arial Narrow"/>
          <w:sz w:val="24"/>
        </w:rPr>
        <w:t>1、应当按照法律规定和评估报告载明的用途、使用人、使用期限等使用范围使用评估报告。否则，房地产估价机构和注册房地产估价师依法不承担责任；</w:t>
      </w:r>
    </w:p>
    <w:p>
      <w:pPr>
        <w:spacing w:line="500" w:lineRule="exact"/>
        <w:ind w:firstLine="480" w:firstLineChars="200"/>
        <w:rPr>
          <w:rFonts w:ascii="Arial Narrow" w:hAnsi="Arial Narrow" w:cs="Arial Narrow"/>
          <w:sz w:val="24"/>
        </w:rPr>
      </w:pPr>
      <w:r>
        <w:rPr>
          <w:rFonts w:hint="eastAsia" w:ascii="Arial Narrow" w:hAnsi="Arial Narrow" w:cs="Arial Narrow"/>
          <w:sz w:val="24"/>
        </w:rPr>
        <w:t>2、评估结果仅为人民法院确定财产处置参考价服务，不是评估对象处置可实现的成交价格，也不应当被视为对评估对象处置成交价格的保证；</w:t>
      </w:r>
    </w:p>
    <w:p>
      <w:pPr>
        <w:spacing w:line="500" w:lineRule="exact"/>
        <w:ind w:firstLine="480" w:firstLineChars="200"/>
        <w:rPr>
          <w:rFonts w:ascii="Arial Narrow" w:hAnsi="Arial Narrow" w:cs="Arial Narrow"/>
          <w:sz w:val="24"/>
        </w:rPr>
      </w:pPr>
      <w:r>
        <w:rPr>
          <w:rFonts w:hint="eastAsia" w:ascii="Arial Narrow" w:hAnsi="Arial Narrow" w:cs="Arial Narrow"/>
          <w:sz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500" w:lineRule="exact"/>
        <w:ind w:firstLine="480" w:firstLineChars="200"/>
        <w:rPr>
          <w:rFonts w:ascii="Arial Narrow" w:hAnsi="Arial Narrow" w:cs="Arial Narrow"/>
          <w:sz w:val="24"/>
        </w:rPr>
      </w:pPr>
      <w:r>
        <w:rPr>
          <w:rFonts w:hint="eastAsia" w:ascii="Arial Narrow" w:hAnsi="Arial Narrow" w:cs="Arial Narrow"/>
          <w:sz w:val="24"/>
        </w:rPr>
        <w:t>4、在评估报告使用期限或者评估结果有效期内，评估报告或者评估结果未使用之前，如果评估对象状况或者房地产市场状况发生明显变化的，评估结果应当进行相应调整后才可使用；</w:t>
      </w:r>
    </w:p>
    <w:p>
      <w:pPr>
        <w:spacing w:line="500" w:lineRule="exact"/>
        <w:ind w:firstLine="480" w:firstLineChars="200"/>
        <w:rPr>
          <w:rFonts w:ascii="Arial Narrow" w:hAnsi="Arial Narrow" w:cs="Arial Narrow"/>
          <w:sz w:val="24"/>
        </w:rPr>
      </w:pPr>
      <w:r>
        <w:rPr>
          <w:rFonts w:hint="eastAsia" w:ascii="Arial Narrow" w:hAnsi="Arial Narrow" w:cs="Arial Narrow"/>
          <w:sz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500" w:lineRule="exact"/>
        <w:ind w:firstLine="480" w:firstLineChars="200"/>
        <w:rPr>
          <w:rFonts w:ascii="Arial Narrow" w:hAnsi="Arial Narrow" w:cs="Arial Narrow"/>
          <w:sz w:val="24"/>
        </w:rPr>
      </w:pPr>
      <w:r>
        <w:rPr>
          <w:rFonts w:hint="eastAsia" w:ascii="Arial Narrow" w:hAnsi="Arial Narrow" w:cs="Arial Narrow"/>
          <w:sz w:val="24"/>
        </w:rPr>
        <w:t>6、本报告估价对象市场价值为含增值税价值。</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7、截止价值时点，估价委托人提供了估价对象的</w:t>
      </w:r>
      <w:r>
        <w:rPr>
          <w:rFonts w:hint="eastAsia" w:ascii="Arial Narrow" w:hAnsi="Arial Narrow" w:cs="Arial Narrow"/>
          <w:sz w:val="24"/>
          <w:lang w:eastAsia="zh-CN"/>
        </w:rPr>
        <w:t>《利通区不动产登记信息查询单》</w:t>
      </w:r>
      <w:r>
        <w:rPr>
          <w:rFonts w:hint="eastAsia" w:ascii="Arial Narrow" w:hAnsi="Arial Narrow" w:cs="宋体"/>
          <w:sz w:val="24"/>
        </w:rPr>
        <w:t>复印件，本次估价中估价对象所有人、坐落、总层数、所在层、建筑面积、规划用途、地类（用途）、使用权类型、使用权面积等以估价委托人提供的</w:t>
      </w:r>
      <w:r>
        <w:rPr>
          <w:rFonts w:hint="eastAsia" w:ascii="Arial Narrow" w:hAnsi="Arial Narrow" w:cs="宋体"/>
          <w:sz w:val="24"/>
          <w:lang w:eastAsia="zh-CN"/>
        </w:rPr>
        <w:t>《利通区不动产登记</w:t>
      </w:r>
      <w:r>
        <w:rPr>
          <w:rFonts w:hint="eastAsia" w:ascii="Arial Narrow" w:hAnsi="Arial Narrow" w:cs="Arial Narrow"/>
          <w:sz w:val="24"/>
          <w:lang w:eastAsia="zh-CN"/>
        </w:rPr>
        <w:t>信息查询单》</w:t>
      </w:r>
      <w:r>
        <w:rPr>
          <w:rFonts w:hint="eastAsia" w:ascii="Arial Narrow" w:hAnsi="Arial Narrow" w:cs="Arial Narrow"/>
          <w:sz w:val="24"/>
        </w:rPr>
        <w:t>复印件记载的数据为准。</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8、估价未考虑的因素</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1 \* GB3 \* MERGEFORMAT </w:instrText>
      </w:r>
      <w:r>
        <w:rPr>
          <w:rFonts w:hint="eastAsia" w:ascii="Arial Narrow" w:hAnsi="Arial Narrow" w:cs="Arial Narrow"/>
          <w:sz w:val="24"/>
        </w:rPr>
        <w:fldChar w:fldCharType="separate"/>
      </w:r>
      <w:r>
        <w:rPr>
          <w:rFonts w:hint="eastAsia" w:ascii="Arial Narrow" w:hAnsi="Arial Narrow" w:cs="Arial Narrow"/>
          <w:sz w:val="24"/>
        </w:rPr>
        <w:t>①</w:t>
      </w:r>
      <w:r>
        <w:rPr>
          <w:rFonts w:hint="eastAsia" w:ascii="Arial Narrow" w:hAnsi="Arial Narrow" w:cs="Arial Narrow"/>
          <w:sz w:val="24"/>
        </w:rPr>
        <w:fldChar w:fldCharType="end"/>
      </w:r>
      <w:r>
        <w:rPr>
          <w:rFonts w:hint="eastAsia" w:ascii="Arial Narrow" w:hAnsi="Arial Narrow" w:cs="Arial Narrow"/>
          <w:sz w:val="24"/>
        </w:rPr>
        <w:t>本报告未考虑国家宏观经济政策发生重大变化以及遇有自然力和其他不可抗力对估价结论的影响。</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2 \* GB3 \* MERGEFORMAT </w:instrText>
      </w:r>
      <w:r>
        <w:rPr>
          <w:rFonts w:hint="eastAsia" w:ascii="Arial Narrow" w:hAnsi="Arial Narrow" w:cs="Arial Narrow"/>
          <w:sz w:val="24"/>
        </w:rPr>
        <w:fldChar w:fldCharType="separate"/>
      </w:r>
      <w:r>
        <w:rPr>
          <w:rFonts w:hint="eastAsia" w:ascii="Arial Narrow" w:hAnsi="Arial Narrow" w:cs="Arial Narrow"/>
          <w:sz w:val="24"/>
        </w:rPr>
        <w:t>②</w:t>
      </w:r>
      <w:r>
        <w:rPr>
          <w:rFonts w:hint="eastAsia" w:ascii="Arial Narrow" w:hAnsi="Arial Narrow" w:cs="Arial Narrow"/>
          <w:sz w:val="24"/>
        </w:rPr>
        <w:fldChar w:fldCharType="end"/>
      </w:r>
      <w:r>
        <w:rPr>
          <w:rFonts w:hint="eastAsia" w:ascii="Arial Narrow" w:hAnsi="Arial Narrow" w:cs="Arial Narrow"/>
          <w:sz w:val="24"/>
        </w:rPr>
        <w:t>本次估价以价值时点估价对象的实际状况和规划用途进行估价，没有考虑价值时点后估价对象被改造、装修、改变用途等因素对估价对象价值的影响。</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3 \* GB3 \* MERGEFORMAT </w:instrText>
      </w:r>
      <w:r>
        <w:rPr>
          <w:rFonts w:hint="eastAsia" w:ascii="Arial Narrow" w:hAnsi="Arial Narrow" w:cs="Arial Narrow"/>
          <w:sz w:val="24"/>
        </w:rPr>
        <w:fldChar w:fldCharType="separate"/>
      </w:r>
      <w:r>
        <w:rPr>
          <w:rFonts w:hint="eastAsia" w:ascii="Arial Narrow" w:hAnsi="Arial Narrow" w:cs="Arial Narrow"/>
          <w:sz w:val="24"/>
        </w:rPr>
        <w:t>③</w:t>
      </w:r>
      <w:r>
        <w:rPr>
          <w:rFonts w:hint="eastAsia" w:ascii="Arial Narrow" w:hAnsi="Arial Narrow" w:cs="Arial Narrow"/>
          <w:sz w:val="24"/>
        </w:rPr>
        <w:fldChar w:fldCharType="end"/>
      </w:r>
      <w:r>
        <w:rPr>
          <w:rFonts w:hint="eastAsia" w:ascii="Arial Narrow" w:hAnsi="Arial Narrow" w:cs="Arial Narrow"/>
          <w:sz w:val="24"/>
        </w:rPr>
        <w:t>本报告评估结果不考虑涉执房地产处置时所发生的评估费、拍卖费、诉讼费、律师费等财产处置费用。</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④根据委托估价目的，本次估价没有考虑房屋租赁、查封、设定抵押及其他未决法律事项等因素对估价结论可能产生的影响。</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⑤根据委托估价目的，本次估价应当并恰当考虑评估对象被迫转让及处置后被执行人不自愿配合交付因素对评估结果的不利影响。</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9、其他说明事项</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fldChar w:fldCharType="begin"/>
      </w:r>
      <w:r>
        <w:rPr>
          <w:rFonts w:hint="eastAsia" w:ascii="Arial Narrow" w:hAnsi="Arial Narrow" w:cs="Arial Narrow"/>
          <w:sz w:val="24"/>
        </w:rPr>
        <w:instrText xml:space="preserve"> = 1 \* GB3 \* MERGEFORMAT </w:instrText>
      </w:r>
      <w:r>
        <w:rPr>
          <w:rFonts w:hint="eastAsia" w:ascii="Arial Narrow" w:hAnsi="Arial Narrow" w:cs="Arial Narrow"/>
          <w:sz w:val="24"/>
        </w:rPr>
        <w:fldChar w:fldCharType="separate"/>
      </w:r>
      <w:r>
        <w:rPr>
          <w:rFonts w:hint="eastAsia" w:ascii="Arial Narrow" w:hAnsi="Arial Narrow" w:cs="Arial Narrow"/>
          <w:sz w:val="24"/>
        </w:rPr>
        <w:t>①</w:t>
      </w:r>
      <w:r>
        <w:rPr>
          <w:rFonts w:hint="eastAsia" w:ascii="Arial Narrow" w:hAnsi="Arial Narrow" w:cs="Arial Narrow"/>
          <w:sz w:val="24"/>
        </w:rPr>
        <w:fldChar w:fldCharType="end"/>
      </w:r>
      <w:r>
        <w:rPr>
          <w:rFonts w:hint="eastAsia" w:ascii="Arial Narrow" w:hAnsi="Arial Narrow" w:cs="Arial Narrow"/>
          <w:sz w:val="24"/>
        </w:rPr>
        <w:t>本次估价，估价对象（拟拍卖或者变卖财产）以价值时点的现状为准。日后进入司法拍卖程序若买受人决定竞买，则视为对拍卖财产（包括建筑年代、建筑结构、建筑面积、坐落位置、房间布局、</w:t>
      </w:r>
      <w:r>
        <w:rPr>
          <w:rFonts w:hint="eastAsia" w:ascii="Arial Narrow" w:hAnsi="Arial Narrow" w:cs="Arial Narrow"/>
          <w:sz w:val="24"/>
          <w:lang w:val="en-US" w:eastAsia="zh-CN"/>
        </w:rPr>
        <w:t>装修状况、</w:t>
      </w:r>
      <w:r>
        <w:rPr>
          <w:rFonts w:hint="eastAsia" w:ascii="Arial Narrow" w:hAnsi="Arial Narrow" w:cs="Arial Narrow"/>
          <w:sz w:val="24"/>
        </w:rPr>
        <w:t xml:space="preserve">土地性质、地类用途等）完全了解，并接受该拍卖财产的一切已知或未知瑕疵。未实地勘察的竞买人视为对本标的物的实物现状、瑕疵状况的确认，并自行承担相应的法律后果。 </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②根据人民法院意见结合涉执房地产处置工作实际，对本次评估结果对应的估价对象交易税费由转让人和买受人按照法律法规规定各自负担。</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③本评估报告一式六份，估价委托人五份，房地产估价机构一份作为存档。</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④本评估报告由正文和附件两部分共同构成，应作为一个整体使用。评估报告经注册房地产估价师签字、盖章并加盖本评估机构公章后方为有效。</w:t>
      </w:r>
    </w:p>
    <w:p>
      <w:pPr>
        <w:spacing w:line="500" w:lineRule="exact"/>
        <w:ind w:firstLine="480" w:firstLineChars="200"/>
        <w:rPr>
          <w:rFonts w:hint="eastAsia" w:ascii="Arial Narrow" w:hAnsi="Arial Narrow" w:cs="Arial Narrow"/>
          <w:sz w:val="24"/>
        </w:rPr>
      </w:pPr>
      <w:r>
        <w:rPr>
          <w:rFonts w:hint="eastAsia" w:ascii="Arial Narrow" w:hAnsi="Arial Narrow" w:cs="Arial Narrow"/>
          <w:sz w:val="24"/>
        </w:rPr>
        <w:t>⑤本评估报告由宁夏正业通房地产土地资产评估有限公司负责解释。</w:t>
      </w:r>
    </w:p>
    <w:p>
      <w:pPr>
        <w:spacing w:line="500" w:lineRule="exact"/>
        <w:ind w:firstLine="480" w:firstLineChars="200"/>
        <w:rPr>
          <w:rFonts w:hint="eastAsia" w:ascii="Arial Narrow" w:hAnsi="Arial Narrow" w:eastAsia="宋体" w:cs="Arial Narrow"/>
          <w:sz w:val="24"/>
          <w:lang w:eastAsia="zh-CN"/>
        </w:rPr>
      </w:pPr>
      <w:r>
        <w:rPr>
          <w:rFonts w:hint="eastAsia" w:ascii="Arial Narrow" w:hAnsi="Arial Narrow" w:cs="Arial Narrow"/>
          <w:sz w:val="24"/>
          <w:lang w:eastAsia="zh-CN"/>
        </w:rPr>
        <w:t>（</w:t>
      </w:r>
      <w:r>
        <w:rPr>
          <w:rFonts w:hint="eastAsia" w:ascii="Arial Narrow" w:hAnsi="Arial Narrow" w:cs="Arial Narrow"/>
          <w:sz w:val="24"/>
          <w:lang w:val="en-US" w:eastAsia="zh-CN"/>
        </w:rPr>
        <w:t>此页无正文</w:t>
      </w:r>
      <w:r>
        <w:rPr>
          <w:rFonts w:hint="eastAsia" w:ascii="Arial Narrow" w:hAnsi="Arial Narrow" w:cs="Arial Narrow"/>
          <w:sz w:val="24"/>
          <w:lang w:eastAsia="zh-CN"/>
        </w:rPr>
        <w:t>）</w:t>
      </w:r>
    </w:p>
    <w:p>
      <w:pPr>
        <w:spacing w:line="500" w:lineRule="exact"/>
        <w:ind w:firstLine="480" w:firstLineChars="200"/>
        <w:rPr>
          <w:rFonts w:hint="eastAsia" w:ascii="Arial Narrow" w:hAnsi="Arial Narrow" w:cs="Arial Narrow"/>
          <w:sz w:val="24"/>
        </w:rPr>
      </w:pP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ascii="Arial Narrow" w:hAnsi="Arial Narrow" w:cs="Arial Narrow"/>
          <w:sz w:val="24"/>
        </w:rPr>
      </w:pP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ascii="Arial Narrow" w:hAnsi="Arial Narrow" w:cs="Arial Narrow"/>
          <w:sz w:val="24"/>
        </w:rPr>
      </w:pP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ascii="Arial Narrow" w:hAnsi="Arial Narrow" w:cs="Arial Narrow"/>
          <w:sz w:val="24"/>
        </w:rPr>
      </w:pPr>
      <w:r>
        <w:rPr>
          <w:rFonts w:ascii="Arial Narrow" w:hAnsi="Arial Narrow" w:cs="Arial Narrow"/>
          <w:sz w:val="24"/>
        </w:rPr>
        <w:t xml:space="preserve">宁夏正业通房地产土地资产评估有限公司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Narrow" w:hAnsi="Arial Narrow" w:cs="Arial Narrow"/>
          <w:sz w:val="24"/>
        </w:rPr>
      </w:pPr>
      <w:r>
        <w:rPr>
          <w:rFonts w:ascii="Arial Narrow" w:hAnsi="Arial Narrow" w:cs="Arial Narrow"/>
          <w:sz w:val="24"/>
        </w:rPr>
        <w:t xml:space="preserve"> </w:t>
      </w:r>
      <w:r>
        <w:rPr>
          <w:rFonts w:hint="eastAsia" w:ascii="Arial Narrow" w:hAnsi="Arial Narrow" w:cs="Arial Narrow"/>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textAlignment w:val="auto"/>
        <w:rPr>
          <w:rFonts w:ascii="Arial Narrow" w:hAnsi="Arial Narrow" w:cs="Arial Narrow"/>
          <w:sz w:val="24"/>
        </w:rPr>
      </w:pPr>
      <w:r>
        <w:rPr>
          <w:rFonts w:ascii="Arial Narrow" w:hAnsi="Arial Narrow" w:cs="Arial Narrow"/>
          <w:sz w:val="24"/>
        </w:rPr>
        <w:t xml:space="preserve"> 法定代表人：</w:t>
      </w:r>
      <w:r>
        <w:rPr>
          <w:rFonts w:hint="eastAsia" w:ascii="Arial Narrow" w:hAnsi="Arial Narrow" w:cs="Arial Narrow"/>
          <w:sz w:val="24"/>
        </w:rPr>
        <w:t>刘旖旎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ascii="Arial Narrow" w:hAnsi="Arial Narrow" w:cs="Arial Narrow"/>
          <w:sz w:val="24"/>
        </w:rPr>
      </w:pPr>
      <w:r>
        <w:rPr>
          <w:rFonts w:ascii="Arial Narrow" w:hAnsi="Arial Narrow" w:cs="Arial Narrow"/>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Arial Narrow" w:hAnsi="Arial Narrow" w:cs="Arial Narrow"/>
          <w:sz w:val="24"/>
          <w:lang w:eastAsia="zh-CN"/>
        </w:rPr>
      </w:pPr>
      <w:r>
        <w:rPr>
          <w:rFonts w:hint="eastAsia" w:ascii="Arial Narrow" w:hAnsi="Arial Narrow" w:cs="Arial Narrow"/>
          <w:sz w:val="24"/>
        </w:rPr>
        <w:t xml:space="preserve">                </w:t>
      </w:r>
      <w:r>
        <w:rPr>
          <w:rFonts w:ascii="Arial Narrow" w:hAnsi="Arial Narrow" w:cs="Arial Narrow"/>
          <w:sz w:val="24"/>
        </w:rPr>
        <w:t xml:space="preserve"> </w:t>
      </w:r>
      <w:r>
        <w:rPr>
          <w:rFonts w:hint="eastAsia" w:ascii="Arial Narrow" w:hAnsi="Arial Narrow" w:cs="Arial Narrow"/>
          <w:sz w:val="24"/>
        </w:rPr>
        <w:t xml:space="preserve">  </w:t>
      </w:r>
      <w:r>
        <w:rPr>
          <w:rFonts w:hint="eastAsia" w:ascii="Arial Narrow" w:hAnsi="Arial Narrow" w:cs="Arial Narrow"/>
          <w:sz w:val="24"/>
          <w:lang w:eastAsia="zh-CN"/>
        </w:rPr>
        <w:t xml:space="preserve"> 二〇二二年七月四日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Arial Narrow" w:hAnsi="Arial Narrow" w:cs="Arial Narrow"/>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sz w:val="24"/>
        </w:rPr>
        <w:sectPr>
          <w:headerReference r:id="rId7" w:type="first"/>
          <w:footerReference r:id="rId9" w:type="first"/>
          <w:headerReference r:id="rId6" w:type="default"/>
          <w:footerReference r:id="rId8" w:type="default"/>
          <w:pgSz w:w="11906" w:h="16838"/>
          <w:pgMar w:top="1588" w:right="1474" w:bottom="1588" w:left="1474" w:header="1134" w:footer="1134" w:gutter="0"/>
          <w:pgNumType w:start="0"/>
          <w:cols w:space="0" w:num="1"/>
          <w:titlePg/>
          <w:docGrid w:linePitch="312" w:charSpace="0"/>
        </w:sectPr>
      </w:pPr>
    </w:p>
    <w:p>
      <w:pPr>
        <w:tabs>
          <w:tab w:val="left" w:pos="6195"/>
        </w:tabs>
        <w:spacing w:after="240" w:afterLines="100" w:line="276" w:lineRule="auto"/>
        <w:jc w:val="center"/>
        <w:rPr>
          <w:rFonts w:ascii="Arial Narrow" w:hAnsi="Arial Narrow"/>
          <w:b/>
          <w:sz w:val="32"/>
          <w:szCs w:val="32"/>
        </w:rPr>
      </w:pPr>
      <w:r>
        <w:rPr>
          <w:rFonts w:hint="eastAsia" w:ascii="Arial Narrow" w:hAnsi="Arial Narrow" w:cs="Arial Narrow"/>
          <w:bCs/>
          <w:sz w:val="32"/>
          <w:szCs w:val="32"/>
        </w:rPr>
        <w:t xml:space="preserve">   </w:t>
      </w:r>
      <w:r>
        <w:rPr>
          <w:rFonts w:hint="eastAsia" w:ascii="Arial Narrow" w:hAnsi="Arial Narrow" w:cs="Arial Narrow"/>
          <w:b/>
          <w:bCs/>
          <w:sz w:val="32"/>
          <w:szCs w:val="32"/>
        </w:rPr>
        <w:t>涉执房地产处置司法评估报告</w:t>
      </w:r>
    </w:p>
    <w:p>
      <w:pPr>
        <w:shd w:val="clear" w:color="auto" w:fill="FFFFFF"/>
        <w:spacing w:line="276" w:lineRule="auto"/>
        <w:ind w:firstLine="3534" w:firstLineChars="1100"/>
        <w:jc w:val="left"/>
        <w:rPr>
          <w:rFonts w:ascii="Arial Narrow" w:hAnsi="Arial Narrow" w:cs="Arial"/>
          <w:b/>
          <w:i/>
          <w:kern w:val="0"/>
          <w:szCs w:val="21"/>
        </w:rPr>
      </w:pPr>
      <w:r>
        <w:rPr>
          <w:rFonts w:ascii="Arial Narrow" w:hAnsi="Arial Narrow"/>
          <w:b/>
          <w:sz w:val="32"/>
          <w:szCs w:val="32"/>
        </w:rPr>
        <w:t>目</w:t>
      </w:r>
      <w:r>
        <w:rPr>
          <w:rFonts w:hint="eastAsia" w:ascii="Arial Narrow" w:hAnsi="Arial Narrow"/>
          <w:b/>
          <w:sz w:val="32"/>
          <w:szCs w:val="32"/>
        </w:rPr>
        <w:t xml:space="preserve">       </w:t>
      </w:r>
      <w:r>
        <w:rPr>
          <w:rFonts w:ascii="Arial Narrow" w:hAnsi="Arial Narrow"/>
          <w:b/>
          <w:sz w:val="32"/>
          <w:szCs w:val="32"/>
        </w:rPr>
        <w:t>录</w:t>
      </w:r>
    </w:p>
    <w:p>
      <w:pPr>
        <w:pStyle w:val="12"/>
        <w:spacing w:line="480" w:lineRule="exact"/>
        <w:ind w:firstLine="0" w:firstLineChars="0"/>
        <w:rPr>
          <w:rFonts w:ascii="Arial Narrow" w:hAnsi="Arial Narrow" w:eastAsia="宋体"/>
          <w:b/>
          <w:szCs w:val="24"/>
        </w:rPr>
      </w:pPr>
      <w:r>
        <w:rPr>
          <w:rFonts w:ascii="Arial Narrow" w:hAnsi="Arial Narrow"/>
          <w:b/>
        </w:rPr>
        <w:fldChar w:fldCharType="begin"/>
      </w:r>
      <w:r>
        <w:rPr>
          <w:rFonts w:ascii="Arial Narrow" w:hAnsi="Arial Narrow"/>
          <w:b/>
        </w:rPr>
        <w:instrText xml:space="preserve"> TOC \o </w:instrText>
      </w:r>
      <w:r>
        <w:rPr>
          <w:rFonts w:ascii="Arial Narrow" w:hAnsi="Arial Narrow"/>
          <w:b/>
        </w:rPr>
        <w:fldChar w:fldCharType="separate"/>
      </w:r>
      <w:r>
        <w:rPr>
          <w:rFonts w:hint="eastAsia" w:ascii="Arial Narrow" w:hAnsi="Arial Narrow" w:eastAsia="宋体"/>
          <w:b/>
          <w:szCs w:val="24"/>
        </w:rPr>
        <w:t>注册房地产估价师声明</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_Toc535140644 \h </w:instrText>
      </w:r>
      <w:r>
        <w:rPr>
          <w:rFonts w:ascii="Arial Narrow" w:hAnsi="Arial Narrow" w:eastAsia="宋体"/>
          <w:szCs w:val="24"/>
        </w:rPr>
        <w:fldChar w:fldCharType="separate"/>
      </w:r>
      <w:r>
        <w:rPr>
          <w:rFonts w:ascii="Arial Narrow" w:hAnsi="Arial Narrow" w:eastAsia="宋体"/>
          <w:szCs w:val="24"/>
        </w:rPr>
        <w:t>1</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估价假设和限制条件</w:t>
      </w:r>
      <w:r>
        <w:rPr>
          <w:rFonts w:ascii="Arial Narrow" w:hAnsi="Arial Narrow" w:eastAsia="宋体"/>
          <w:szCs w:val="24"/>
        </w:rPr>
        <w:tab/>
      </w:r>
      <w:r>
        <w:rPr>
          <w:rFonts w:hint="eastAsia" w:ascii="Arial Narrow" w:hAnsi="Arial Narrow" w:eastAsia="宋体"/>
          <w:szCs w:val="24"/>
        </w:rPr>
        <w:t>2</w:t>
      </w:r>
    </w:p>
    <w:p>
      <w:pPr>
        <w:pStyle w:val="12"/>
        <w:spacing w:line="480" w:lineRule="exact"/>
        <w:ind w:firstLine="0" w:firstLineChars="0"/>
        <w:rPr>
          <w:rFonts w:ascii="Arial Narrow" w:hAnsi="Arial Narrow" w:eastAsia="宋体"/>
          <w:b/>
          <w:szCs w:val="24"/>
        </w:rPr>
      </w:pPr>
      <w:r>
        <w:rPr>
          <w:rFonts w:hint="eastAsia" w:ascii="Arial Narrow" w:hAnsi="Arial Narrow" w:eastAsia="宋体"/>
          <w:b/>
          <w:szCs w:val="24"/>
        </w:rPr>
        <w:t>涉执房地产处置司法评估报告正文</w:t>
      </w:r>
      <w:r>
        <w:rPr>
          <w:rFonts w:ascii="Arial Narrow" w:hAnsi="Arial Narrow" w:eastAsia="宋体"/>
          <w:szCs w:val="24"/>
        </w:rPr>
        <w:tab/>
      </w:r>
      <w:r>
        <w:rPr>
          <w:rFonts w:hint="eastAsia" w:ascii="Arial Narrow" w:hAnsi="Arial Narrow" w:eastAsia="宋体"/>
          <w:szCs w:val="24"/>
        </w:rPr>
        <w:t>5</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一、估价委托人和项目基本情况</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_Toc535140646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二、房地产估价机构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_Toc535140647 \h </w:instrText>
      </w:r>
      <w:r>
        <w:rPr>
          <w:rFonts w:ascii="Arial Narrow" w:hAnsi="Arial Narrow" w:eastAsia="宋体"/>
          <w:szCs w:val="24"/>
        </w:rPr>
        <w:fldChar w:fldCharType="separate"/>
      </w:r>
      <w:r>
        <w:rPr>
          <w:rFonts w:ascii="Arial Narrow" w:hAnsi="Arial Narrow" w:eastAsia="宋体"/>
          <w:szCs w:val="24"/>
        </w:rPr>
        <w:t>5</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三、估价目的</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_Toc535140648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四、估价对象</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_Toc535140649 \h </w:instrText>
      </w:r>
      <w:r>
        <w:rPr>
          <w:rFonts w:ascii="Arial Narrow" w:hAnsi="Arial Narrow" w:eastAsia="宋体"/>
          <w:szCs w:val="24"/>
        </w:rPr>
        <w:fldChar w:fldCharType="separate"/>
      </w:r>
      <w:r>
        <w:rPr>
          <w:rFonts w:ascii="Arial Narrow" w:hAnsi="Arial Narrow" w:eastAsia="宋体"/>
          <w:szCs w:val="24"/>
        </w:rPr>
        <w:t>6</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五、价值时点</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_Toc535140650 \h </w:instrText>
      </w:r>
      <w:r>
        <w:rPr>
          <w:rFonts w:ascii="Arial Narrow" w:hAnsi="Arial Narrow" w:eastAsia="宋体"/>
          <w:szCs w:val="24"/>
        </w:rPr>
        <w:fldChar w:fldCharType="separate"/>
      </w:r>
      <w:r>
        <w:rPr>
          <w:rFonts w:ascii="Arial Narrow" w:hAnsi="Arial Narrow" w:eastAsia="宋体"/>
          <w:szCs w:val="24"/>
        </w:rPr>
        <w:t>7</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六、价值类型</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_Toc535140651 \h </w:instrText>
      </w:r>
      <w:r>
        <w:rPr>
          <w:rFonts w:ascii="Arial Narrow" w:hAnsi="Arial Narrow" w:eastAsia="宋体"/>
          <w:szCs w:val="24"/>
        </w:rPr>
        <w:fldChar w:fldCharType="separate"/>
      </w:r>
      <w:r>
        <w:rPr>
          <w:rFonts w:ascii="Arial Narrow" w:hAnsi="Arial Narrow" w:eastAsia="宋体"/>
          <w:szCs w:val="24"/>
        </w:rPr>
        <w:t>8</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七、估价原则</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_Toc535140652 \h </w:instrText>
      </w:r>
      <w:r>
        <w:rPr>
          <w:rFonts w:ascii="Arial Narrow" w:hAnsi="Arial Narrow" w:eastAsia="宋体"/>
          <w:szCs w:val="24"/>
        </w:rPr>
        <w:fldChar w:fldCharType="separate"/>
      </w:r>
      <w:r>
        <w:rPr>
          <w:rFonts w:ascii="Arial Narrow" w:hAnsi="Arial Narrow" w:eastAsia="宋体"/>
          <w:szCs w:val="24"/>
        </w:rPr>
        <w:t>9</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八、估价依据</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_Toc535140653 \h </w:instrText>
      </w:r>
      <w:r>
        <w:rPr>
          <w:rFonts w:ascii="Arial Narrow" w:hAnsi="Arial Narrow" w:eastAsia="宋体"/>
          <w:szCs w:val="24"/>
        </w:rPr>
        <w:fldChar w:fldCharType="separate"/>
      </w:r>
      <w:r>
        <w:rPr>
          <w:rFonts w:ascii="Arial Narrow" w:hAnsi="Arial Narrow" w:eastAsia="宋体"/>
          <w:szCs w:val="24"/>
        </w:rPr>
        <w:t>10</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九、估价方法</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_Toc535140654 \h </w:instrText>
      </w:r>
      <w:r>
        <w:rPr>
          <w:rFonts w:ascii="Arial Narrow" w:hAnsi="Arial Narrow" w:eastAsia="宋体"/>
          <w:szCs w:val="24"/>
        </w:rPr>
        <w:fldChar w:fldCharType="separate"/>
      </w:r>
      <w:r>
        <w:rPr>
          <w:rFonts w:ascii="Arial Narrow" w:hAnsi="Arial Narrow" w:eastAsia="宋体"/>
          <w:szCs w:val="24"/>
        </w:rPr>
        <w:t>11</w:t>
      </w:r>
      <w:r>
        <w:rPr>
          <w:rFonts w:ascii="Arial Narrow" w:hAnsi="Arial Narrow" w:eastAsia="宋体"/>
          <w:szCs w:val="24"/>
        </w:rPr>
        <w:fldChar w:fldCharType="end"/>
      </w:r>
    </w:p>
    <w:p>
      <w:pPr>
        <w:pStyle w:val="12"/>
        <w:spacing w:line="480" w:lineRule="exact"/>
        <w:ind w:firstLine="0" w:firstLineChars="0"/>
        <w:rPr>
          <w:rFonts w:hint="eastAsia" w:ascii="Arial Narrow" w:hAnsi="Arial Narrow" w:eastAsia="宋体"/>
          <w:szCs w:val="24"/>
          <w:lang w:val="en-US" w:eastAsia="zh-CN"/>
        </w:rPr>
      </w:pPr>
      <w:r>
        <w:rPr>
          <w:rFonts w:hint="eastAsia" w:ascii="Arial Narrow" w:hAnsi="Arial Narrow" w:eastAsia="宋体"/>
          <w:szCs w:val="24"/>
        </w:rPr>
        <w:t>十、估价结果</w:t>
      </w:r>
      <w:r>
        <w:rPr>
          <w:rFonts w:ascii="Arial Narrow" w:hAnsi="Arial Narrow" w:eastAsia="宋体"/>
          <w:szCs w:val="24"/>
        </w:rPr>
        <w:tab/>
      </w:r>
      <w:r>
        <w:rPr>
          <w:rFonts w:hint="eastAsia" w:ascii="Arial Narrow" w:hAnsi="Arial Narrow" w:eastAsia="宋体"/>
          <w:szCs w:val="24"/>
        </w:rPr>
        <w:t>1</w:t>
      </w:r>
      <w:r>
        <w:rPr>
          <w:rFonts w:hint="eastAsia" w:ascii="Arial Narrow" w:hAnsi="Arial Narrow" w:eastAsia="宋体"/>
          <w:szCs w:val="24"/>
          <w:lang w:val="en-US" w:eastAsia="zh-CN"/>
        </w:rPr>
        <w:t>2</w:t>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十一、估价人员</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_Toc535140656 \h </w:instrText>
      </w:r>
      <w:r>
        <w:rPr>
          <w:rFonts w:ascii="Arial Narrow" w:hAnsi="Arial Narrow" w:eastAsia="宋体"/>
          <w:szCs w:val="24"/>
        </w:rPr>
        <w:fldChar w:fldCharType="separate"/>
      </w:r>
      <w:r>
        <w:rPr>
          <w:rFonts w:ascii="Arial Narrow" w:hAnsi="Arial Narrow" w:eastAsia="宋体"/>
          <w:szCs w:val="24"/>
        </w:rPr>
        <w:t>13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十二、实地查勘期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_Toc535140657 \h </w:instrText>
      </w:r>
      <w:r>
        <w:rPr>
          <w:rFonts w:ascii="Arial Narrow" w:hAnsi="Arial Narrow" w:eastAsia="宋体"/>
          <w:szCs w:val="24"/>
        </w:rPr>
        <w:fldChar w:fldCharType="separate"/>
      </w:r>
      <w:r>
        <w:rPr>
          <w:rFonts w:ascii="Arial Narrow" w:hAnsi="Arial Narrow" w:eastAsia="宋体"/>
          <w:szCs w:val="24"/>
        </w:rPr>
        <w:t>13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szCs w:val="24"/>
        </w:rPr>
        <w:t>十三、估价作业期</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_Toc535140658 \h </w:instrText>
      </w:r>
      <w:r>
        <w:rPr>
          <w:rFonts w:ascii="Arial Narrow" w:hAnsi="Arial Narrow" w:eastAsia="宋体"/>
          <w:szCs w:val="24"/>
        </w:rPr>
        <w:fldChar w:fldCharType="separate"/>
      </w:r>
      <w:r>
        <w:rPr>
          <w:rFonts w:ascii="Arial Narrow" w:hAnsi="Arial Narrow" w:eastAsia="宋体"/>
          <w:szCs w:val="24"/>
        </w:rPr>
        <w:t>1</w:t>
      </w:r>
      <w:r>
        <w:rPr>
          <w:rFonts w:hint="eastAsia" w:ascii="Arial Narrow" w:hAnsi="Arial Narrow" w:eastAsia="宋体"/>
          <w:szCs w:val="24"/>
          <w:lang w:val="en-US" w:eastAsia="zh-CN"/>
        </w:rPr>
        <w:t>3</w:t>
      </w:r>
      <w:r>
        <w:rPr>
          <w:rFonts w:ascii="Arial Narrow" w:hAnsi="Arial Narrow" w:eastAsia="宋体"/>
          <w:szCs w:val="24"/>
        </w:rPr>
        <w:fldChar w:fldCharType="end"/>
      </w:r>
    </w:p>
    <w:p>
      <w:pPr>
        <w:pStyle w:val="12"/>
        <w:spacing w:line="480" w:lineRule="exact"/>
        <w:ind w:firstLine="0" w:firstLineChars="0"/>
        <w:rPr>
          <w:rFonts w:ascii="Arial Narrow" w:hAnsi="Arial Narrow" w:eastAsia="宋体"/>
          <w:szCs w:val="24"/>
        </w:rPr>
      </w:pPr>
      <w:r>
        <w:rPr>
          <w:rFonts w:hint="eastAsia" w:ascii="Arial Narrow" w:hAnsi="Arial Narrow" w:eastAsia="宋体"/>
          <w:b/>
          <w:szCs w:val="24"/>
        </w:rPr>
        <w:t>涉执房地产处置司法评估报告附件</w:t>
      </w:r>
      <w:r>
        <w:rPr>
          <w:rFonts w:ascii="Arial Narrow" w:hAnsi="Arial Narrow" w:eastAsia="宋体"/>
          <w:szCs w:val="24"/>
        </w:rPr>
        <w:tab/>
      </w:r>
      <w:r>
        <w:rPr>
          <w:rFonts w:ascii="Arial Narrow" w:hAnsi="Arial Narrow" w:eastAsia="宋体"/>
          <w:szCs w:val="24"/>
        </w:rPr>
        <w:fldChar w:fldCharType="begin"/>
      </w:r>
      <w:r>
        <w:rPr>
          <w:rFonts w:ascii="Arial Narrow" w:hAnsi="Arial Narrow" w:eastAsia="宋体"/>
          <w:szCs w:val="24"/>
        </w:rPr>
        <w:instrText xml:space="preserve"> PAGEREF _Toc535140659 \h </w:instrText>
      </w:r>
      <w:r>
        <w:rPr>
          <w:rFonts w:ascii="Arial Narrow" w:hAnsi="Arial Narrow" w:eastAsia="宋体"/>
          <w:szCs w:val="24"/>
        </w:rPr>
        <w:fldChar w:fldCharType="separate"/>
      </w:r>
      <w:r>
        <w:rPr>
          <w:rFonts w:ascii="Arial Narrow" w:hAnsi="Arial Narrow" w:eastAsia="宋体"/>
          <w:szCs w:val="24"/>
        </w:rPr>
        <w:t>1</w:t>
      </w:r>
      <w:r>
        <w:rPr>
          <w:rFonts w:hint="eastAsia" w:ascii="Arial Narrow" w:hAnsi="Arial Narrow" w:eastAsia="宋体"/>
          <w:szCs w:val="24"/>
          <w:lang w:val="en-US" w:eastAsia="zh-CN"/>
        </w:rPr>
        <w:t>4</w:t>
      </w:r>
      <w:r>
        <w:rPr>
          <w:rFonts w:ascii="Arial Narrow" w:hAnsi="Arial Narrow" w:eastAsia="宋体"/>
          <w:szCs w:val="24"/>
        </w:rPr>
        <w:fldChar w:fldCharType="end"/>
      </w:r>
    </w:p>
    <w:p>
      <w:pPr>
        <w:pStyle w:val="12"/>
        <w:tabs>
          <w:tab w:val="right" w:leader="dot" w:pos="8504"/>
          <w:tab w:val="clear" w:pos="8302"/>
        </w:tabs>
        <w:spacing w:line="480" w:lineRule="exact"/>
        <w:ind w:firstLine="0" w:firstLineChars="0"/>
        <w:rPr>
          <w:rFonts w:ascii="Arial Narrow" w:hAnsi="Arial Narrow" w:eastAsia="宋体"/>
          <w:szCs w:val="24"/>
        </w:rPr>
      </w:pPr>
      <w:r>
        <w:rPr>
          <w:rFonts w:ascii="Arial Narrow" w:hAnsi="Arial Narrow"/>
        </w:rPr>
        <w:fldChar w:fldCharType="end"/>
      </w:r>
      <w:r>
        <w:rPr>
          <w:rFonts w:ascii="Arial Narrow" w:hAnsi="Arial Narrow" w:eastAsia="宋体"/>
          <w:szCs w:val="24"/>
        </w:rPr>
        <w:t>1、</w:t>
      </w:r>
      <w:r>
        <w:rPr>
          <w:rFonts w:hint="eastAsia" w:ascii="Arial Narrow" w:hAnsi="Arial Narrow" w:eastAsia="宋体"/>
          <w:szCs w:val="24"/>
          <w:lang w:eastAsia="zh-CN"/>
        </w:rPr>
        <w:t>银川市兴庆区人民法院</w:t>
      </w:r>
      <w:r>
        <w:rPr>
          <w:rFonts w:hint="eastAsia" w:ascii="Arial Narrow" w:hAnsi="Arial Narrow" w:eastAsia="宋体"/>
          <w:szCs w:val="24"/>
        </w:rPr>
        <w:t>评估委托书</w:t>
      </w:r>
    </w:p>
    <w:p>
      <w:pPr>
        <w:pStyle w:val="12"/>
        <w:tabs>
          <w:tab w:val="right" w:leader="dot" w:pos="8504"/>
          <w:tab w:val="clear" w:pos="8302"/>
        </w:tabs>
        <w:spacing w:line="480" w:lineRule="exact"/>
        <w:ind w:left="240" w:hanging="240" w:hangingChars="100"/>
        <w:rPr>
          <w:rFonts w:hint="default" w:ascii="Arial Narrow" w:hAnsi="Arial Narrow" w:eastAsia="宋体"/>
          <w:szCs w:val="24"/>
          <w:lang w:val="en-US" w:eastAsia="zh-CN"/>
        </w:rPr>
      </w:pPr>
      <w:r>
        <w:rPr>
          <w:rFonts w:hint="eastAsia" w:ascii="Arial Narrow" w:hAnsi="Arial Narrow" w:eastAsia="宋体"/>
          <w:szCs w:val="24"/>
        </w:rPr>
        <w:t>2</w:t>
      </w:r>
      <w:r>
        <w:rPr>
          <w:rFonts w:ascii="Arial Narrow" w:hAnsi="Arial Narrow" w:eastAsia="宋体"/>
          <w:szCs w:val="24"/>
        </w:rPr>
        <w:t>、</w:t>
      </w:r>
      <w:r>
        <w:rPr>
          <w:rFonts w:hint="eastAsia" w:ascii="Arial Narrow" w:hAnsi="Arial Narrow" w:eastAsia="宋体"/>
          <w:szCs w:val="24"/>
        </w:rPr>
        <w:t>估价对象</w:t>
      </w:r>
      <w:r>
        <w:rPr>
          <w:rFonts w:hint="eastAsia" w:ascii="Arial Narrow" w:hAnsi="Arial Narrow" w:eastAsia="宋体"/>
          <w:szCs w:val="24"/>
          <w:lang w:eastAsia="zh-CN"/>
        </w:rPr>
        <w:t>《利通区不动产登记信息查询单》</w:t>
      </w:r>
      <w:r>
        <w:rPr>
          <w:rFonts w:hint="eastAsia" w:ascii="Arial Narrow" w:hAnsi="Arial Narrow" w:eastAsia="宋体"/>
          <w:szCs w:val="24"/>
          <w:lang w:val="en-US" w:eastAsia="zh-CN"/>
        </w:rPr>
        <w:t>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lang w:val="en-US" w:eastAsia="zh-CN"/>
        </w:rPr>
        <w:t>3</w:t>
      </w:r>
      <w:r>
        <w:rPr>
          <w:rFonts w:ascii="Arial Narrow" w:hAnsi="Arial Narrow" w:eastAsia="宋体"/>
          <w:szCs w:val="24"/>
        </w:rPr>
        <w:t>、估价对象位置图</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lang w:val="en-US" w:eastAsia="zh-CN"/>
        </w:rPr>
        <w:t>4</w:t>
      </w:r>
      <w:r>
        <w:rPr>
          <w:rFonts w:ascii="Arial Narrow" w:hAnsi="Arial Narrow" w:eastAsia="宋体"/>
          <w:szCs w:val="24"/>
        </w:rPr>
        <w:t>、估价对象实地查勘现场照片</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lang w:val="en-US" w:eastAsia="zh-CN"/>
        </w:rPr>
        <w:t>5</w:t>
      </w:r>
      <w:r>
        <w:rPr>
          <w:rFonts w:hint="eastAsia" w:ascii="Arial Narrow" w:hAnsi="Arial Narrow" w:eastAsia="宋体"/>
          <w:szCs w:val="24"/>
        </w:rPr>
        <w:t>、</w:t>
      </w:r>
      <w:r>
        <w:rPr>
          <w:rFonts w:ascii="Arial Narrow" w:hAnsi="Arial Narrow" w:eastAsia="宋体"/>
          <w:szCs w:val="24"/>
        </w:rPr>
        <w:t>宁夏正业通房地产土地资产评估有限公司企业法人营业执照复印件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lang w:val="en-US" w:eastAsia="zh-CN"/>
        </w:rPr>
        <w:t>6</w:t>
      </w:r>
      <w:r>
        <w:rPr>
          <w:rFonts w:ascii="Arial Narrow" w:hAnsi="Arial Narrow" w:eastAsia="宋体"/>
          <w:szCs w:val="24"/>
        </w:rPr>
        <w:t>、宁夏正业通房地产土地资产评估有限公司资质证书复印件</w:t>
      </w:r>
    </w:p>
    <w:p>
      <w:pPr>
        <w:pStyle w:val="12"/>
        <w:tabs>
          <w:tab w:val="right" w:leader="dot" w:pos="8504"/>
          <w:tab w:val="clear" w:pos="8302"/>
        </w:tabs>
        <w:spacing w:line="480" w:lineRule="exact"/>
        <w:ind w:firstLine="0" w:firstLineChars="0"/>
        <w:rPr>
          <w:rFonts w:ascii="Arial Narrow" w:hAnsi="Arial Narrow" w:eastAsia="宋体"/>
          <w:szCs w:val="24"/>
        </w:rPr>
      </w:pPr>
      <w:r>
        <w:rPr>
          <w:rFonts w:hint="eastAsia" w:ascii="Arial Narrow" w:hAnsi="Arial Narrow" w:eastAsia="宋体"/>
          <w:szCs w:val="24"/>
          <w:lang w:val="en-US" w:eastAsia="zh-CN"/>
        </w:rPr>
        <w:t>7</w:t>
      </w:r>
      <w:r>
        <w:rPr>
          <w:rFonts w:hint="eastAsia" w:ascii="Arial Narrow" w:hAnsi="Arial Narrow" w:eastAsia="宋体"/>
          <w:szCs w:val="24"/>
        </w:rPr>
        <w:t>、</w:t>
      </w:r>
      <w:r>
        <w:rPr>
          <w:rFonts w:ascii="Arial Narrow" w:hAnsi="Arial Narrow" w:eastAsia="宋体"/>
          <w:szCs w:val="24"/>
        </w:rPr>
        <w:t>注册房地产估价师资格证书</w:t>
      </w:r>
      <w:r>
        <w:rPr>
          <w:rFonts w:hint="eastAsia" w:ascii="Arial Narrow" w:hAnsi="Arial Narrow" w:eastAsia="宋体"/>
          <w:szCs w:val="24"/>
        </w:rPr>
        <w:t>复印件</w:t>
      </w:r>
    </w:p>
    <w:p>
      <w:pPr>
        <w:sectPr>
          <w:headerReference r:id="rId10" w:type="first"/>
          <w:footerReference r:id="rId12" w:type="first"/>
          <w:footerReference r:id="rId11" w:type="default"/>
          <w:pgSz w:w="11906" w:h="16838"/>
          <w:pgMar w:top="1758" w:right="1644" w:bottom="1531" w:left="1644" w:header="1106" w:footer="1106" w:gutter="0"/>
          <w:cols w:space="720" w:num="1"/>
          <w:titlePg/>
          <w:docGrid w:linePitch="312" w:charSpace="0"/>
        </w:sectPr>
      </w:pPr>
    </w:p>
    <w:p>
      <w:pPr>
        <w:pStyle w:val="2"/>
        <w:keepNext w:val="0"/>
        <w:keepLines w:val="0"/>
        <w:rPr>
          <w:rFonts w:ascii="Arial Narrow" w:hAnsi="Arial Narrow"/>
        </w:rPr>
      </w:pPr>
      <w:bookmarkStart w:id="0" w:name="_Toc29832"/>
      <w:bookmarkStart w:id="1" w:name="_Toc535140644"/>
      <w:r>
        <w:rPr>
          <w:rFonts w:ascii="Arial Narrow" w:hAnsi="Arial Narrow"/>
        </w:rPr>
        <w:t>注册房地产估价师声明</w:t>
      </w:r>
      <w:bookmarkEnd w:id="0"/>
      <w:bookmarkEnd w:id="1"/>
    </w:p>
    <w:p>
      <w:pPr>
        <w:rPr>
          <w:rFonts w:ascii="Arial Narrow" w:hAnsi="Arial Narrow"/>
        </w:rPr>
      </w:pPr>
    </w:p>
    <w:p>
      <w:pPr>
        <w:spacing w:line="360" w:lineRule="auto"/>
        <w:ind w:firstLine="480" w:firstLineChars="200"/>
        <w:rPr>
          <w:rFonts w:ascii="Arial Narrow" w:hAnsi="Arial Narrow"/>
          <w:sz w:val="24"/>
        </w:rPr>
      </w:pPr>
      <w:r>
        <w:rPr>
          <w:rFonts w:ascii="Arial Narrow" w:hAnsi="Arial Narrow"/>
          <w:sz w:val="24"/>
        </w:rPr>
        <w:t>一、注册房地产估价师在</w:t>
      </w:r>
      <w:r>
        <w:rPr>
          <w:rFonts w:hint="eastAsia" w:ascii="Arial Narrow" w:hAnsi="Arial Narrow"/>
          <w:sz w:val="24"/>
        </w:rPr>
        <w:t>评估</w:t>
      </w:r>
      <w:r>
        <w:rPr>
          <w:rFonts w:ascii="Arial Narrow" w:hAnsi="Arial Narrow"/>
          <w:sz w:val="24"/>
        </w:rPr>
        <w:t>报告中对事实的说明是真实和准确的，没有虚假记载、误导性陈述和重大遗漏</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二、</w:t>
      </w:r>
      <w:r>
        <w:rPr>
          <w:rFonts w:hint="eastAsia" w:ascii="Arial Narrow" w:hAnsi="Arial Narrow"/>
          <w:sz w:val="24"/>
        </w:rPr>
        <w:t>评估</w:t>
      </w:r>
      <w:r>
        <w:rPr>
          <w:rFonts w:ascii="Arial Narrow" w:hAnsi="Arial Narrow"/>
          <w:sz w:val="24"/>
        </w:rPr>
        <w:t>报告中的分析、意见和结论是注册房地产估价师独立、客观、公正的专业分析、意见和结论，但受到</w:t>
      </w:r>
      <w:r>
        <w:rPr>
          <w:rFonts w:hint="eastAsia" w:ascii="Arial Narrow" w:hAnsi="Arial Narrow"/>
          <w:sz w:val="24"/>
        </w:rPr>
        <w:t>评估</w:t>
      </w:r>
      <w:r>
        <w:rPr>
          <w:rFonts w:ascii="Arial Narrow" w:hAnsi="Arial Narrow"/>
          <w:sz w:val="24"/>
        </w:rPr>
        <w:t>报告中已说明的估价假设和限制条件的限制</w:t>
      </w:r>
      <w:r>
        <w:rPr>
          <w:rFonts w:hint="eastAsia"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三、注册房地产估价师与</w:t>
      </w:r>
      <w:r>
        <w:rPr>
          <w:rFonts w:hint="eastAsia" w:ascii="Arial Narrow" w:hAnsi="Arial Narrow"/>
          <w:sz w:val="24"/>
        </w:rPr>
        <w:t>评估</w:t>
      </w:r>
      <w:r>
        <w:rPr>
          <w:rFonts w:ascii="Arial Narrow" w:hAnsi="Arial Narrow"/>
          <w:sz w:val="24"/>
        </w:rPr>
        <w:t>报告中的估价对象没有现实或潜在的利益，与估价委托人及估价利害关系人没有利害关系，也对估价对象、估价委托人及估价利害关系人没有偏见</w:t>
      </w:r>
      <w:r>
        <w:rPr>
          <w:rFonts w:hint="eastAsia" w:ascii="Arial Narrow" w:hAnsi="Arial Narrow"/>
          <w:sz w:val="24"/>
        </w:rPr>
        <w:t>。</w:t>
      </w:r>
    </w:p>
    <w:p>
      <w:pPr>
        <w:spacing w:line="360" w:lineRule="auto"/>
        <w:ind w:firstLine="480"/>
        <w:rPr>
          <w:rFonts w:ascii="Arial Narrow" w:hAnsi="Arial Narrow"/>
          <w:sz w:val="24"/>
        </w:rPr>
      </w:pPr>
      <w:r>
        <w:rPr>
          <w:rFonts w:ascii="Arial Narrow" w:hAnsi="Arial Narrow"/>
          <w:sz w:val="24"/>
        </w:rPr>
        <w:t>四、注册房地产估价师是按照有关房地产估价标准的规定进行估价工作，撰写评估报告</w:t>
      </w:r>
      <w:bookmarkStart w:id="2" w:name="_Toc535140645"/>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五、本评估报告是根据现有、限定资料出具，任何依据同一标的房地产的其他资料或者信息可能得出与本报告不一致的评估结果。</w:t>
      </w:r>
    </w:p>
    <w:p>
      <w:pPr>
        <w:spacing w:line="360" w:lineRule="auto"/>
        <w:ind w:firstLine="480" w:firstLineChars="200"/>
        <w:rPr>
          <w:rFonts w:ascii="Arial Narrow" w:hAnsi="Arial Narrow"/>
          <w:sz w:val="24"/>
        </w:rPr>
      </w:pPr>
      <w:r>
        <w:rPr>
          <w:rFonts w:hint="eastAsia" w:ascii="Arial Narrow" w:hAnsi="Arial Narrow"/>
          <w:sz w:val="24"/>
        </w:rPr>
        <w:t>六、估价</w:t>
      </w:r>
      <w:r>
        <w:rPr>
          <w:rFonts w:ascii="Arial Narrow" w:hAnsi="Arial Narrow"/>
          <w:sz w:val="24"/>
        </w:rPr>
        <w:t>对象涉及的评估材料由估价委托</w:t>
      </w:r>
      <w:r>
        <w:rPr>
          <w:rFonts w:hint="eastAsia" w:ascii="Arial Narrow" w:hAnsi="Arial Narrow"/>
          <w:sz w:val="24"/>
        </w:rPr>
        <w:t>人提供，</w:t>
      </w:r>
      <w:r>
        <w:rPr>
          <w:rFonts w:ascii="Arial Narrow" w:hAnsi="Arial Narrow"/>
          <w:sz w:val="24"/>
        </w:rPr>
        <w:t>所提供资料的真实性、合法性、完整性由</w:t>
      </w:r>
      <w:r>
        <w:rPr>
          <w:rFonts w:hint="eastAsia" w:ascii="Arial Narrow" w:hAnsi="Arial Narrow"/>
          <w:sz w:val="24"/>
          <w:lang w:val="en-US" w:eastAsia="zh-CN"/>
        </w:rPr>
        <w:t>估价</w:t>
      </w:r>
      <w:r>
        <w:rPr>
          <w:rFonts w:ascii="Arial Narrow" w:hAnsi="Arial Narrow"/>
          <w:sz w:val="24"/>
        </w:rPr>
        <w:t>委托人负责，恰当使用</w:t>
      </w:r>
      <w:r>
        <w:rPr>
          <w:rFonts w:hint="eastAsia" w:ascii="Arial Narrow" w:hAnsi="Arial Narrow"/>
          <w:sz w:val="24"/>
        </w:rPr>
        <w:t>本</w:t>
      </w:r>
      <w:r>
        <w:rPr>
          <w:rFonts w:ascii="Arial Narrow" w:hAnsi="Arial Narrow"/>
          <w:sz w:val="24"/>
        </w:rPr>
        <w:t>报告是估价委托</w:t>
      </w:r>
      <w:r>
        <w:rPr>
          <w:rFonts w:hint="eastAsia" w:ascii="Arial Narrow" w:hAnsi="Arial Narrow"/>
          <w:sz w:val="24"/>
        </w:rPr>
        <w:t>人</w:t>
      </w:r>
      <w:r>
        <w:rPr>
          <w:rFonts w:ascii="Arial Narrow" w:hAnsi="Arial Narrow"/>
          <w:sz w:val="24"/>
        </w:rPr>
        <w:t>的责任</w:t>
      </w:r>
      <w:r>
        <w:rPr>
          <w:rFonts w:hint="eastAsia" w:ascii="Arial Narrow" w:hAnsi="Arial Narrow"/>
          <w:sz w:val="24"/>
        </w:rPr>
        <w:t>。</w:t>
      </w:r>
    </w:p>
    <w:p>
      <w:pPr>
        <w:spacing w:line="360" w:lineRule="auto"/>
        <w:ind w:firstLine="480" w:firstLineChars="200"/>
        <w:rPr>
          <w:rFonts w:ascii="Arial Narrow" w:hAnsi="Arial Narrow"/>
          <w:sz w:val="24"/>
        </w:rPr>
      </w:pPr>
      <w:r>
        <w:rPr>
          <w:rFonts w:hint="eastAsia" w:ascii="Arial Narrow" w:hAnsi="Arial Narrow"/>
          <w:sz w:val="24"/>
        </w:rPr>
        <w:t>七、</w:t>
      </w:r>
      <w:r>
        <w:rPr>
          <w:rFonts w:ascii="Arial Narrow" w:hAnsi="Arial Narrow"/>
          <w:sz w:val="24"/>
        </w:rPr>
        <w:t>注册房地产估价师</w:t>
      </w:r>
      <w:r>
        <w:rPr>
          <w:rFonts w:hint="eastAsia" w:ascii="Arial Narrow" w:hAnsi="Arial Narrow"/>
          <w:sz w:val="24"/>
        </w:rPr>
        <w:t>已经对报告中的估价对象及其所涉及房地产进行现场调查；对估价对象及其所涉及房地产的法律权属资料进行了查验，对已经发现的问题进行了如实披露，并且已提请估价委托人及其他相关当事人完善产权以满足出具报告的要求。</w:t>
      </w:r>
    </w:p>
    <w:p>
      <w:pPr>
        <w:spacing w:line="360" w:lineRule="auto"/>
        <w:ind w:firstLine="480" w:firstLineChars="200"/>
        <w:rPr>
          <w:rFonts w:ascii="Arial Narrow" w:hAnsi="Arial Narrow"/>
          <w:sz w:val="24"/>
        </w:rPr>
      </w:pPr>
      <w:r>
        <w:rPr>
          <w:rFonts w:hint="eastAsia" w:ascii="Arial Narrow" w:hAnsi="Arial Narrow"/>
          <w:sz w:val="24"/>
        </w:rPr>
        <w:t>八、报告使用人应当关注评估报告中载明的估价假设和限制条件及其对估价结论的影响。</w:t>
      </w:r>
    </w:p>
    <w:p>
      <w:pPr>
        <w:spacing w:line="360" w:lineRule="auto"/>
        <w:ind w:firstLine="480" w:firstLineChars="200"/>
        <w:rPr>
          <w:rFonts w:ascii="Arial Narrow" w:hAnsi="Arial Narrow"/>
          <w:sz w:val="24"/>
        </w:rPr>
      </w:pPr>
      <w:r>
        <w:rPr>
          <w:rFonts w:hint="eastAsia" w:ascii="Arial Narrow" w:hAnsi="Arial Narrow"/>
          <w:sz w:val="24"/>
        </w:rPr>
        <w:t>九、本评估报告是否作为定案或者认定事实的根据，取决于办案机关的审查判断，房地产估价机构和</w:t>
      </w:r>
      <w:r>
        <w:rPr>
          <w:rFonts w:ascii="Arial Narrow" w:hAnsi="Arial Narrow"/>
          <w:sz w:val="24"/>
        </w:rPr>
        <w:t>注册房地产估价师</w:t>
      </w:r>
      <w:r>
        <w:rPr>
          <w:rFonts w:hint="eastAsia" w:ascii="Arial Narrow" w:hAnsi="Arial Narrow"/>
          <w:sz w:val="24"/>
        </w:rPr>
        <w:t>无权干涉。</w:t>
      </w:r>
    </w:p>
    <w:p>
      <w:pPr>
        <w:spacing w:line="360" w:lineRule="auto"/>
        <w:ind w:firstLine="480"/>
        <w:rPr>
          <w:rFonts w:ascii="Arial Narrow" w:hAnsi="Arial Narrow"/>
          <w:sz w:val="24"/>
        </w:rPr>
      </w:pPr>
    </w:p>
    <w:p>
      <w:pPr>
        <w:pStyle w:val="2"/>
        <w:keepNext w:val="0"/>
        <w:keepLines w:val="0"/>
        <w:spacing w:line="360" w:lineRule="auto"/>
        <w:rPr>
          <w:rFonts w:ascii="Arial Narrow" w:hAnsi="Arial Narrow"/>
        </w:rPr>
      </w:pPr>
      <w:r>
        <w:rPr>
          <w:rFonts w:ascii="Arial Narrow" w:hAnsi="Arial Narrow"/>
          <w:sz w:val="24"/>
        </w:rPr>
        <w:br w:type="page"/>
      </w:r>
      <w:r>
        <w:rPr>
          <w:rFonts w:ascii="Arial Narrow" w:hAnsi="Arial Narrow"/>
        </w:rPr>
        <w:t>估价假设和限制条件</w:t>
      </w:r>
      <w:bookmarkEnd w:id="2"/>
    </w:p>
    <w:p>
      <w:pPr>
        <w:pStyle w:val="13"/>
        <w:widowControl w:val="0"/>
        <w:shd w:val="clear" w:color="auto" w:fill="FFFFFF"/>
        <w:spacing w:before="0" w:beforeAutospacing="0" w:after="0" w:afterAutospacing="0" w:line="360" w:lineRule="auto"/>
        <w:ind w:right="150" w:firstLine="480"/>
        <w:rPr>
          <w:rFonts w:ascii="Arial Narrow" w:hAnsi="Arial Narrow" w:cs="Times New Roman"/>
          <w:b/>
          <w:kern w:val="2"/>
        </w:rPr>
      </w:pPr>
      <w:r>
        <w:rPr>
          <w:rFonts w:ascii="Arial Narrow" w:hAnsi="Arial Narrow" w:cs="Times New Roman"/>
          <w:b/>
          <w:kern w:val="2"/>
        </w:rPr>
        <w:t>一、估价</w:t>
      </w:r>
      <w:r>
        <w:rPr>
          <w:rFonts w:hint="eastAsia" w:ascii="Arial Narrow" w:hAnsi="Arial Narrow" w:cs="Times New Roman"/>
          <w:b/>
          <w:kern w:val="2"/>
        </w:rPr>
        <w:t>假设</w:t>
      </w:r>
      <w:r>
        <w:rPr>
          <w:rFonts w:ascii="Arial Narrow" w:hAnsi="Arial Narrow" w:cs="Times New Roman"/>
          <w:b/>
          <w:kern w:val="2"/>
        </w:rPr>
        <w:t>条件</w:t>
      </w:r>
    </w:p>
    <w:p>
      <w:pPr>
        <w:pStyle w:val="11"/>
        <w:spacing w:line="360" w:lineRule="auto"/>
        <w:ind w:left="0" w:firstLine="523" w:firstLineChars="218"/>
        <w:rPr>
          <w:rFonts w:ascii="Arial Narrow" w:hAnsi="Arial Narrow"/>
          <w:kern w:val="2"/>
          <w:sz w:val="24"/>
        </w:rPr>
      </w:pPr>
      <w:r>
        <w:rPr>
          <w:rFonts w:hint="eastAsia" w:ascii="Arial Narrow" w:hAnsi="Arial Narrow"/>
          <w:kern w:val="2"/>
          <w:sz w:val="24"/>
        </w:rPr>
        <w:t>本次司法评估采用以下假设前提：</w:t>
      </w:r>
    </w:p>
    <w:p>
      <w:pPr>
        <w:shd w:val="clear" w:color="auto" w:fill="FFFFFF"/>
        <w:spacing w:line="360" w:lineRule="auto"/>
        <w:ind w:left="525" w:leftChars="250"/>
        <w:jc w:val="left"/>
        <w:rPr>
          <w:rFonts w:ascii="Arial Narrow" w:hAnsi="Arial Narrow"/>
          <w:sz w:val="24"/>
        </w:rPr>
      </w:pPr>
      <w:r>
        <w:rPr>
          <w:rFonts w:hint="eastAsia" w:ascii="Arial Narrow" w:hAnsi="Arial Narrow"/>
          <w:sz w:val="24"/>
        </w:rPr>
        <w:t xml:space="preserve"> （一）一般假设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（1）交易假设。假定估价对象已经处在交易过程中，司法估价人根据估价对象的交易条件等模拟市场进行价值估价。交易假设是房地产估价得以进行的一个最基本的前提假设。</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（2）继续使用假设。假设估价对象按规划用途继续使用。</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（3）公开市场假设。假设在市场上进行房地产交易的双方彼此地位平等，都有获得足够市场信息的机会和时间，以便对房地产的功能、用途及其交易价格等做出理智的判断。</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（4）宏观经济环境稳定的假设。在可预见的将来，假设国家宏观经济政策和所在地区社会经济环境平稳，经营业务所涉及的税收、信贷利率、物价等基本稳定，行业政策、管理制度及相关规定无重大变化。</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（5）估价对象的假设。假设估价对象合法取得《房屋所有权证》，可在公开市场上自由转让。同时假设估价对象建筑结构无重大缺陷和安全隐患。</w:t>
      </w:r>
    </w:p>
    <w:p>
      <w:pPr>
        <w:pStyle w:val="13"/>
        <w:widowControl w:val="0"/>
        <w:shd w:val="clear" w:color="auto" w:fill="FFFFFF"/>
        <w:spacing w:before="0" w:beforeAutospacing="0" w:after="0" w:afterAutospacing="0" w:line="360" w:lineRule="auto"/>
        <w:ind w:right="150" w:firstLine="480"/>
        <w:rPr>
          <w:rFonts w:ascii="Arial Narrow" w:hAnsi="Arial Narrow" w:cs="Times New Roman"/>
          <w:kern w:val="2"/>
        </w:rPr>
      </w:pPr>
      <w:r>
        <w:rPr>
          <w:rFonts w:hint="eastAsia" w:ascii="Arial Narrow" w:hAnsi="Arial Narrow" w:cs="Times New Roman"/>
        </w:rPr>
        <w:t>（6）</w:t>
      </w:r>
      <w:r>
        <w:rPr>
          <w:rFonts w:ascii="Arial Narrow" w:hAnsi="Arial Narrow" w:cs="Times New Roman"/>
          <w:kern w:val="2"/>
        </w:rPr>
        <w:t>估价资料的假设。估价委托人提供了估价对象的</w:t>
      </w:r>
      <w:r>
        <w:rPr>
          <w:rFonts w:hint="eastAsia" w:ascii="Arial Narrow" w:hAnsi="Arial Narrow"/>
          <w:lang w:eastAsia="zh-CN"/>
        </w:rPr>
        <w:t>《利通区不动产登记信息查询单》</w:t>
      </w:r>
      <w:r>
        <w:rPr>
          <w:rFonts w:hint="eastAsia" w:ascii="Arial Narrow" w:hAnsi="Arial Narrow"/>
        </w:rPr>
        <w:t>复印件</w:t>
      </w:r>
      <w:r>
        <w:rPr>
          <w:rFonts w:ascii="Arial Narrow" w:hAnsi="Arial Narrow" w:cs="Times New Roman"/>
          <w:kern w:val="2"/>
        </w:rPr>
        <w:t>，我们未向政府有关部门进行核实，在无理由怀疑其合法性、真实性、准确性和完整性的情况下，假定估价委托人提供的资料合法、真实、准确、完整。</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（7）假设估价对象在形成过程中不存在相关的债权、债务问题。</w:t>
      </w:r>
    </w:p>
    <w:p>
      <w:pPr>
        <w:shd w:val="clear" w:color="auto" w:fill="FFFFFF"/>
        <w:spacing w:line="360" w:lineRule="auto"/>
        <w:ind w:firstLine="480" w:firstLineChars="200"/>
        <w:jc w:val="left"/>
        <w:rPr>
          <w:rFonts w:ascii="Arial Narrow" w:hAnsi="Arial Narrow"/>
          <w:sz w:val="24"/>
        </w:rPr>
      </w:pPr>
      <w:r>
        <w:rPr>
          <w:rFonts w:hint="eastAsia" w:ascii="Arial Narrow" w:hAnsi="Arial Narrow"/>
          <w:sz w:val="24"/>
        </w:rPr>
        <w:t>（8）假设人民法院拍卖（或者变卖）财产之日的估价对象状况和房地产市场状况与实地查勘完成之日的状况相同。</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9）注册房地产估价师已对房屋安全、环境污染等影响估价对象价值的重大因素给予了关注，在无理由怀疑估价对象存在安全隐患且无相应的专业机构进行鉴定、检测的情况下，假定估价对象符合国家相关技术规范。</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Arial Narrow" w:hAnsi="Arial Narrow"/>
          <w:sz w:val="24"/>
        </w:rPr>
      </w:pPr>
      <w:r>
        <w:rPr>
          <w:rFonts w:hint="eastAsia" w:ascii="Arial Narrow" w:hAnsi="Arial Narrow"/>
          <w:sz w:val="24"/>
        </w:rPr>
        <w:t>（10）注册房地产估价师未对房屋建筑面积进行专业测量，经现场查勘观察，估价对象房屋建筑面积与估价委托人提供的</w:t>
      </w:r>
      <w:r>
        <w:rPr>
          <w:rFonts w:hint="eastAsia" w:ascii="Arial Narrow" w:hAnsi="Arial Narrow"/>
          <w:sz w:val="24"/>
          <w:lang w:eastAsia="zh-CN"/>
        </w:rPr>
        <w:t>《利通区不动产登记信息查询单》</w:t>
      </w:r>
      <w:r>
        <w:rPr>
          <w:rFonts w:hint="eastAsia" w:ascii="Arial Narrow" w:hAnsi="Arial Narrow"/>
          <w:sz w:val="24"/>
        </w:rPr>
        <w:t>复印件记载建筑面积大体相当。</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Arial Narrow" w:hAnsi="Arial Narrow"/>
          <w:sz w:val="24"/>
        </w:rPr>
      </w:pPr>
      <w:r>
        <w:rPr>
          <w:rFonts w:hint="eastAsia" w:ascii="Arial Narrow" w:hAnsi="Arial Narrow"/>
          <w:sz w:val="24"/>
        </w:rPr>
        <w:t>（11）因人民法院未提供估价对象欠缴税费（物业费、供暖费等）情况，评估人员也未掌握相关情况，本次估价设定涉执房地产处置司法评估不考虑估价对象欠缴税费对评估结果的影响。</w:t>
      </w:r>
    </w:p>
    <w:p>
      <w:pPr>
        <w:pStyle w:val="11"/>
        <w:keepNext w:val="0"/>
        <w:keepLines w:val="0"/>
        <w:pageBreakBefore w:val="0"/>
        <w:widowControl w:val="0"/>
        <w:kinsoku/>
        <w:wordWrap/>
        <w:overflowPunct/>
        <w:topLinePunct w:val="0"/>
        <w:bidi w:val="0"/>
        <w:snapToGrid/>
        <w:spacing w:line="360" w:lineRule="auto"/>
        <w:ind w:left="0" w:firstLine="523" w:firstLineChars="218"/>
        <w:rPr>
          <w:rFonts w:ascii="Arial Narrow" w:hAnsi="Arial Narrow"/>
          <w:kern w:val="2"/>
          <w:sz w:val="24"/>
        </w:rPr>
      </w:pPr>
      <w:r>
        <w:rPr>
          <w:rFonts w:hint="eastAsia" w:ascii="Arial Narrow" w:hAnsi="Arial Narrow"/>
          <w:kern w:val="2"/>
          <w:sz w:val="24"/>
        </w:rPr>
        <w:t>（二）特殊类假设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1、背离事实假设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根据估价委托人提供的估价对象</w:t>
      </w:r>
      <w:r>
        <w:rPr>
          <w:rFonts w:hint="eastAsia" w:ascii="Arial Narrow" w:hAnsi="Arial Narrow"/>
          <w:sz w:val="24"/>
          <w:lang w:eastAsia="zh-CN"/>
        </w:rPr>
        <w:t>《利通区不动产登记信息查询单》</w:t>
      </w:r>
      <w:r>
        <w:rPr>
          <w:rFonts w:hint="eastAsia" w:ascii="Arial Narrow" w:hAnsi="Arial Narrow"/>
          <w:sz w:val="24"/>
        </w:rPr>
        <w:t>复印件，估价对象已抵押、查封，基于涉执房地产处置司法评估目的，不考虑估价对象存在被抵押、被查封情况，视为没有抵押、查封的财产进行评估。</w:t>
      </w:r>
    </w:p>
    <w:p>
      <w:pPr>
        <w:keepNext w:val="0"/>
        <w:keepLines w:val="0"/>
        <w:pageBreakBefore w:val="0"/>
        <w:widowControl w:val="0"/>
        <w:shd w:val="clear" w:color="auto" w:fill="FFFFFF"/>
        <w:kinsoku/>
        <w:wordWrap/>
        <w:overflowPunct/>
        <w:topLinePunct w:val="0"/>
        <w:bidi w:val="0"/>
        <w:snapToGrid/>
        <w:spacing w:line="360" w:lineRule="auto"/>
        <w:ind w:left="420"/>
        <w:jc w:val="left"/>
        <w:rPr>
          <w:rFonts w:ascii="Arial Narrow" w:hAnsi="Arial Narrow"/>
          <w:sz w:val="24"/>
        </w:rPr>
      </w:pPr>
      <w:r>
        <w:rPr>
          <w:rFonts w:hint="eastAsia" w:ascii="Arial Narrow" w:hAnsi="Arial Narrow"/>
          <w:sz w:val="24"/>
        </w:rPr>
        <w:t xml:space="preserve"> 2、依据不足假设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本次估价中，估价委托人未提供估价对象</w:t>
      </w:r>
      <w:r>
        <w:rPr>
          <w:rFonts w:hint="eastAsia" w:ascii="Arial Narrow" w:hAnsi="Arial Narrow"/>
          <w:sz w:val="24"/>
          <w:lang w:eastAsia="zh-CN"/>
        </w:rPr>
        <w:t>《</w:t>
      </w:r>
      <w:r>
        <w:rPr>
          <w:rFonts w:hint="eastAsia" w:ascii="Arial Narrow" w:hAnsi="Arial Narrow"/>
          <w:sz w:val="24"/>
          <w:lang w:val="en-US" w:eastAsia="zh-CN"/>
        </w:rPr>
        <w:t>不动产权证书</w:t>
      </w:r>
      <w:r>
        <w:rPr>
          <w:rFonts w:hint="eastAsia" w:ascii="Arial Narrow" w:hAnsi="Arial Narrow"/>
          <w:sz w:val="24"/>
          <w:lang w:eastAsia="zh-CN"/>
        </w:rPr>
        <w:t>》《利通区不动产登记信息查询单》</w:t>
      </w:r>
      <w:r>
        <w:rPr>
          <w:rFonts w:hint="eastAsia" w:ascii="Arial Narrow" w:hAnsi="Arial Narrow"/>
          <w:sz w:val="24"/>
        </w:rPr>
        <w:t>原件等资料供估价人员核查，在无理由怀疑其合法性、真实性、准确性和完整性的情况下，本次估价假设估价委托人提供的估价对象</w:t>
      </w:r>
      <w:r>
        <w:rPr>
          <w:rFonts w:hint="eastAsia" w:ascii="Arial Narrow" w:hAnsi="Arial Narrow"/>
          <w:sz w:val="24"/>
          <w:lang w:eastAsia="zh-CN"/>
        </w:rPr>
        <w:t>《利通区不动产登记信息查询单》</w:t>
      </w:r>
      <w:r>
        <w:rPr>
          <w:rFonts w:hint="eastAsia" w:ascii="Arial Narrow" w:hAnsi="Arial Narrow"/>
          <w:sz w:val="24"/>
        </w:rPr>
        <w:t>复印件与原件一致。</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3、未定事项假设</w:t>
      </w:r>
    </w:p>
    <w:p>
      <w:pPr>
        <w:spacing w:line="360" w:lineRule="auto"/>
        <w:ind w:firstLine="480" w:firstLineChars="200"/>
        <w:rPr>
          <w:rFonts w:ascii="Arial Narrow" w:hAnsi="Arial Narrow"/>
          <w:sz w:val="24"/>
        </w:rPr>
      </w:pPr>
      <w:r>
        <w:rPr>
          <w:rFonts w:hint="eastAsia" w:ascii="Arial Narrow" w:hAnsi="Arial Narrow"/>
          <w:sz w:val="24"/>
        </w:rPr>
        <w:t>截止价值时点，估价委托人提供了《中卫市不动产登记信息查询单》复印件，未记载估价对象建成年代，经估价人员现场调查估价对象建成年代为200</w:t>
      </w:r>
      <w:r>
        <w:rPr>
          <w:rFonts w:hint="eastAsia" w:ascii="Arial Narrow" w:hAnsi="Arial Narrow"/>
          <w:sz w:val="24"/>
          <w:lang w:val="en-US" w:eastAsia="zh-CN"/>
        </w:rPr>
        <w:t>6</w:t>
      </w:r>
      <w:r>
        <w:rPr>
          <w:rFonts w:hint="eastAsia" w:ascii="Arial Narrow" w:hAnsi="Arial Narrow"/>
          <w:sz w:val="24"/>
        </w:rPr>
        <w:t>年。本次估价时对估价对象的建成年代</w:t>
      </w:r>
      <w:r>
        <w:rPr>
          <w:rFonts w:hint="eastAsia" w:ascii="Arial Narrow" w:hAnsi="Arial Narrow"/>
          <w:sz w:val="24"/>
          <w:lang w:val="en-US" w:eastAsia="zh-CN"/>
        </w:rPr>
        <w:t>以</w:t>
      </w:r>
      <w:r>
        <w:rPr>
          <w:rFonts w:hint="eastAsia" w:ascii="Arial Narrow" w:hAnsi="Arial Narrow"/>
          <w:sz w:val="24"/>
        </w:rPr>
        <w:t>估价人员现场调查200</w:t>
      </w:r>
      <w:r>
        <w:rPr>
          <w:rFonts w:hint="eastAsia" w:ascii="Arial Narrow" w:hAnsi="Arial Narrow"/>
          <w:sz w:val="24"/>
          <w:lang w:val="en-US" w:eastAsia="zh-CN"/>
        </w:rPr>
        <w:t>6</w:t>
      </w:r>
      <w:r>
        <w:rPr>
          <w:rFonts w:hint="eastAsia" w:ascii="Arial Narrow" w:hAnsi="Arial Narrow"/>
          <w:sz w:val="24"/>
        </w:rPr>
        <w:t>年为准，仅在本报告中使用，不作其他任何用途使用。</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ascii="Arial Narrow" w:hAnsi="Arial Narrow"/>
          <w:sz w:val="24"/>
        </w:rPr>
      </w:pPr>
      <w:r>
        <w:rPr>
          <w:rFonts w:hint="eastAsia" w:ascii="Arial Narrow" w:hAnsi="Arial Narrow"/>
          <w:sz w:val="24"/>
        </w:rPr>
        <w:t>4、不相一致假设</w:t>
      </w:r>
    </w:p>
    <w:p>
      <w:pPr>
        <w:keepNext w:val="0"/>
        <w:keepLines w:val="0"/>
        <w:pageBreakBefore w:val="0"/>
        <w:widowControl w:val="0"/>
        <w:shd w:val="clear" w:color="auto" w:fill="FFFFFF"/>
        <w:kinsoku/>
        <w:wordWrap/>
        <w:overflowPunct/>
        <w:topLinePunct w:val="0"/>
        <w:bidi w:val="0"/>
        <w:snapToGrid/>
        <w:spacing w:line="360" w:lineRule="auto"/>
        <w:ind w:firstLine="480" w:firstLineChars="200"/>
        <w:jc w:val="left"/>
        <w:rPr>
          <w:rFonts w:hint="eastAsia" w:ascii="Arial Narrow" w:hAnsi="Arial Narrow" w:eastAsia="宋体"/>
          <w:sz w:val="24"/>
          <w:lang w:eastAsia="zh-CN"/>
        </w:rPr>
      </w:pPr>
      <w:r>
        <w:rPr>
          <w:rFonts w:hint="eastAsia" w:ascii="Arial Narrow" w:hAnsi="Arial Narrow"/>
          <w:sz w:val="24"/>
          <w:lang w:val="en-US" w:eastAsia="zh-CN"/>
        </w:rPr>
        <w:t>本项目无</w:t>
      </w:r>
      <w:r>
        <w:rPr>
          <w:rFonts w:hint="eastAsia" w:ascii="Arial Narrow" w:hAnsi="Arial Narrow"/>
          <w:sz w:val="24"/>
        </w:rPr>
        <w:t>不相一致假设</w:t>
      </w:r>
      <w:r>
        <w:rPr>
          <w:rFonts w:hint="eastAsia" w:ascii="Arial Narrow" w:hAnsi="Arial Narrow"/>
          <w:sz w:val="24"/>
          <w:lang w:eastAsia="zh-CN"/>
        </w:rPr>
        <w:t>。</w:t>
      </w:r>
    </w:p>
    <w:p>
      <w:pPr>
        <w:keepNext w:val="0"/>
        <w:keepLines w:val="0"/>
        <w:pageBreakBefore w:val="0"/>
        <w:widowControl w:val="0"/>
        <w:kinsoku/>
        <w:wordWrap/>
        <w:overflowPunct/>
        <w:topLinePunct w:val="0"/>
        <w:bidi w:val="0"/>
        <w:snapToGrid/>
        <w:spacing w:line="360" w:lineRule="auto"/>
        <w:ind w:firstLine="480" w:firstLineChars="200"/>
        <w:rPr>
          <w:rFonts w:ascii="Arial Narrow" w:hAnsi="Arial Narrow"/>
          <w:sz w:val="24"/>
        </w:rPr>
      </w:pPr>
      <w:r>
        <w:rPr>
          <w:rFonts w:hint="eastAsia" w:ascii="Arial Narrow" w:hAnsi="Arial Narrow"/>
          <w:sz w:val="24"/>
        </w:rPr>
        <w:t>估价人员认为这些前提条件在价值时点时成立，如上述假设条件在未来发生较大变化时，将会对估价结论产生直接影响。</w:t>
      </w:r>
    </w:p>
    <w:p>
      <w:pPr>
        <w:pStyle w:val="11"/>
        <w:keepNext w:val="0"/>
        <w:keepLines w:val="0"/>
        <w:pageBreakBefore w:val="0"/>
        <w:widowControl w:val="0"/>
        <w:kinsoku/>
        <w:wordWrap/>
        <w:overflowPunct/>
        <w:topLinePunct w:val="0"/>
        <w:bidi w:val="0"/>
        <w:snapToGrid/>
        <w:spacing w:line="360" w:lineRule="auto"/>
        <w:ind w:left="0" w:firstLine="525" w:firstLineChars="218"/>
        <w:rPr>
          <w:rFonts w:ascii="Arial Narrow" w:hAnsi="Arial Narrow"/>
          <w:b/>
          <w:kern w:val="2"/>
          <w:sz w:val="24"/>
        </w:rPr>
      </w:pPr>
      <w:r>
        <w:rPr>
          <w:rFonts w:ascii="Arial Narrow" w:hAnsi="Arial Narrow"/>
          <w:b/>
          <w:kern w:val="2"/>
          <w:sz w:val="24"/>
        </w:rPr>
        <w:t>二、估价限制条件</w:t>
      </w:r>
    </w:p>
    <w:p>
      <w:pPr>
        <w:keepNext w:val="0"/>
        <w:keepLines w:val="0"/>
        <w:pageBreakBefore w:val="0"/>
        <w:widowControl w:val="0"/>
        <w:kinsoku/>
        <w:wordWrap/>
        <w:overflowPunct/>
        <w:topLinePunct w:val="0"/>
        <w:bidi w:val="0"/>
        <w:snapToGrid/>
        <w:spacing w:line="360" w:lineRule="auto"/>
        <w:ind w:firstLine="568"/>
        <w:rPr>
          <w:rFonts w:ascii="Arial Narrow" w:hAnsi="Arial Narrow"/>
          <w:sz w:val="24"/>
        </w:rPr>
      </w:pPr>
      <w:r>
        <w:rPr>
          <w:rFonts w:ascii="Arial Narrow" w:hAnsi="Arial Narrow"/>
          <w:sz w:val="24"/>
        </w:rPr>
        <w:t>1、</w:t>
      </w:r>
      <w:r>
        <w:rPr>
          <w:rFonts w:hint="eastAsia" w:ascii="Arial Narrow" w:hAnsi="Arial Narrow"/>
          <w:sz w:val="24"/>
        </w:rPr>
        <w:t>本次估价中，估价委托人提供了估价对象的</w:t>
      </w:r>
      <w:r>
        <w:rPr>
          <w:rFonts w:hint="eastAsia" w:ascii="Arial Narrow" w:hAnsi="Arial Narrow"/>
          <w:sz w:val="24"/>
          <w:lang w:eastAsia="zh-CN"/>
        </w:rPr>
        <w:t>《利通区不动产登记信息查询单》</w:t>
      </w:r>
      <w:r>
        <w:rPr>
          <w:rFonts w:hint="eastAsia" w:ascii="Arial Narrow" w:hAnsi="Arial Narrow"/>
          <w:sz w:val="24"/>
        </w:rPr>
        <w:t>复印件，估价对象的</w:t>
      </w:r>
      <w:r>
        <w:rPr>
          <w:rFonts w:ascii="Arial Narrow" w:hAnsi="Arial Narrow"/>
          <w:sz w:val="24"/>
        </w:rPr>
        <w:t>估价对象的建筑面积、</w:t>
      </w:r>
      <w:r>
        <w:rPr>
          <w:rFonts w:hint="eastAsia" w:ascii="Arial Narrow" w:hAnsi="Arial Narrow"/>
          <w:sz w:val="24"/>
        </w:rPr>
        <w:t>坐落位置、房屋</w:t>
      </w:r>
      <w:r>
        <w:rPr>
          <w:rFonts w:ascii="Arial Narrow" w:hAnsi="Arial Narrow"/>
          <w:sz w:val="24"/>
        </w:rPr>
        <w:t>用途</w:t>
      </w:r>
      <w:r>
        <w:rPr>
          <w:rFonts w:hint="eastAsia" w:ascii="Arial Narrow" w:hAnsi="Arial Narrow"/>
          <w:sz w:val="24"/>
        </w:rPr>
        <w:t>、建筑结构、层数、等均以上述文件记载信息为准。</w:t>
      </w:r>
    </w:p>
    <w:p>
      <w:pPr>
        <w:keepNext w:val="0"/>
        <w:keepLines w:val="0"/>
        <w:pageBreakBefore w:val="0"/>
        <w:widowControl w:val="0"/>
        <w:kinsoku/>
        <w:wordWrap/>
        <w:overflowPunct/>
        <w:topLinePunct w:val="0"/>
        <w:bidi w:val="0"/>
        <w:snapToGrid/>
        <w:spacing w:line="360" w:lineRule="auto"/>
        <w:ind w:firstLine="568"/>
        <w:rPr>
          <w:rFonts w:ascii="Arial Narrow" w:hAnsi="Arial Narrow"/>
          <w:sz w:val="24"/>
        </w:rPr>
      </w:pPr>
      <w:r>
        <w:rPr>
          <w:rFonts w:ascii="Arial Narrow" w:hAnsi="Arial Narrow"/>
          <w:sz w:val="24"/>
        </w:rPr>
        <w:t>2、本报告以</w:t>
      </w:r>
      <w:r>
        <w:rPr>
          <w:rFonts w:hint="eastAsia" w:ascii="Arial Narrow" w:hAnsi="Arial Narrow"/>
          <w:sz w:val="24"/>
        </w:rPr>
        <w:t>估价委托人</w:t>
      </w:r>
      <w:r>
        <w:rPr>
          <w:rFonts w:ascii="Arial Narrow" w:hAnsi="Arial Narrow"/>
          <w:sz w:val="24"/>
        </w:rPr>
        <w:t>确定的范围为前提进行估价。估价人员在</w:t>
      </w:r>
      <w:r>
        <w:rPr>
          <w:rFonts w:hint="eastAsia" w:ascii="Arial Narrow" w:hAnsi="Arial Narrow"/>
          <w:sz w:val="24"/>
        </w:rPr>
        <w:t>估价委托人</w:t>
      </w:r>
      <w:r>
        <w:rPr>
          <w:rFonts w:ascii="Arial Narrow" w:hAnsi="Arial Narrow"/>
          <w:sz w:val="24"/>
        </w:rPr>
        <w:t>相关人员配合下对估价对象进行现场调查并由其确认，如果相关指认有误，应对本报告评估结果作相应调整或重新评估。</w:t>
      </w:r>
    </w:p>
    <w:p>
      <w:pPr>
        <w:spacing w:line="360" w:lineRule="auto"/>
        <w:ind w:firstLine="567"/>
        <w:rPr>
          <w:rFonts w:ascii="Arial Narrow" w:hAnsi="Arial Narrow"/>
          <w:sz w:val="24"/>
        </w:rPr>
      </w:pPr>
      <w:r>
        <w:rPr>
          <w:rFonts w:hint="eastAsia" w:ascii="Arial Narrow" w:hAnsi="Arial Narrow"/>
          <w:sz w:val="24"/>
        </w:rPr>
        <w:t>3、本次估价时，根据《中华人民共和国民法典》第三百五十九条规定“住宅建设用地使用权期限届满的，自动续期”，本次估价对象尚可使用年限按照房屋建筑物剩余使用年限确定。</w:t>
      </w:r>
    </w:p>
    <w:p>
      <w:pPr>
        <w:spacing w:line="360" w:lineRule="auto"/>
        <w:ind w:firstLine="568"/>
        <w:rPr>
          <w:rFonts w:ascii="Arial Narrow" w:hAnsi="Arial Narrow"/>
          <w:sz w:val="24"/>
        </w:rPr>
      </w:pPr>
      <w:r>
        <w:rPr>
          <w:rFonts w:hint="eastAsia" w:ascii="Arial Narrow" w:hAnsi="Arial Narrow"/>
          <w:sz w:val="24"/>
        </w:rPr>
        <w:t>4、截止价值时点，估价委托人未提供其他相关资料，本次估价以上述资料为依据进行评估测算。若报告出具之日后相关当事方（申请人或被申请人）提供其他房地产估价相关资料，应重新委托评估。</w:t>
      </w:r>
    </w:p>
    <w:p>
      <w:pPr>
        <w:spacing w:line="360" w:lineRule="auto"/>
        <w:ind w:firstLine="567"/>
        <w:rPr>
          <w:rFonts w:ascii="Arial Narrow" w:hAnsi="Arial Narrow"/>
          <w:sz w:val="24"/>
        </w:rPr>
      </w:pPr>
      <w:r>
        <w:rPr>
          <w:rFonts w:hint="eastAsia" w:ascii="Arial Narrow" w:hAnsi="Arial Narrow"/>
          <w:sz w:val="24"/>
        </w:rPr>
        <w:t>5、评估</w:t>
      </w:r>
      <w:r>
        <w:rPr>
          <w:rFonts w:ascii="Arial Narrow" w:hAnsi="Arial Narrow"/>
          <w:sz w:val="24"/>
        </w:rPr>
        <w:t>报告使用限制</w:t>
      </w:r>
    </w:p>
    <w:p>
      <w:pPr>
        <w:spacing w:line="360" w:lineRule="auto"/>
        <w:ind w:firstLine="480" w:firstLineChars="200"/>
        <w:rPr>
          <w:rFonts w:ascii="Arial Narrow" w:hAnsi="Arial Narrow"/>
          <w:sz w:val="24"/>
        </w:rPr>
      </w:pPr>
      <w:r>
        <w:rPr>
          <w:rFonts w:ascii="Arial Narrow" w:hAnsi="Arial Narrow"/>
          <w:sz w:val="24"/>
        </w:rPr>
        <w:t>（1）报告使用期限限制。估价结果为报告载明的价值时点的价值，估价结果的有效期自评估报告出具之日起一年内有效，即</w:t>
      </w:r>
      <w:r>
        <w:rPr>
          <w:rFonts w:hint="eastAsia" w:ascii="Arial Narrow" w:hAnsi="Arial Narrow"/>
          <w:sz w:val="24"/>
        </w:rPr>
        <w:t>：</w:t>
      </w:r>
      <w:r>
        <w:rPr>
          <w:rFonts w:ascii="Arial Narrow" w:hAnsi="Arial Narrow"/>
          <w:sz w:val="24"/>
        </w:rPr>
        <w:t>有效期为</w:t>
      </w:r>
      <w:r>
        <w:rPr>
          <w:rFonts w:hint="eastAsia" w:ascii="Arial Narrow" w:hAnsi="Arial Narrow"/>
          <w:sz w:val="24"/>
        </w:rPr>
        <w:t>2022年</w:t>
      </w:r>
      <w:r>
        <w:rPr>
          <w:rFonts w:hint="eastAsia" w:ascii="Arial Narrow" w:hAnsi="Arial Narrow"/>
          <w:sz w:val="24"/>
          <w:lang w:val="en-US" w:eastAsia="zh-CN"/>
        </w:rPr>
        <w:t>7</w:t>
      </w:r>
      <w:r>
        <w:rPr>
          <w:rFonts w:hint="eastAsia" w:ascii="Arial Narrow" w:hAnsi="Arial Narrow"/>
          <w:sz w:val="24"/>
        </w:rPr>
        <w:t>月</w:t>
      </w:r>
      <w:r>
        <w:rPr>
          <w:rFonts w:hint="eastAsia" w:ascii="Arial Narrow" w:hAnsi="Arial Narrow"/>
          <w:sz w:val="24"/>
          <w:lang w:val="en-US" w:eastAsia="zh-CN"/>
        </w:rPr>
        <w:t>4</w:t>
      </w:r>
      <w:r>
        <w:rPr>
          <w:rFonts w:hint="eastAsia" w:ascii="Arial Narrow" w:hAnsi="Arial Narrow"/>
          <w:sz w:val="24"/>
        </w:rPr>
        <w:t>日</w:t>
      </w:r>
      <w:r>
        <w:rPr>
          <w:rFonts w:ascii="Arial Narrow" w:hAnsi="Arial Narrow"/>
          <w:sz w:val="24"/>
        </w:rPr>
        <w:t>至</w:t>
      </w:r>
      <w:r>
        <w:rPr>
          <w:rFonts w:hint="eastAsia" w:ascii="Arial Narrow" w:hAnsi="Arial Narrow"/>
          <w:sz w:val="24"/>
        </w:rPr>
        <w:t>2023年</w:t>
      </w:r>
      <w:r>
        <w:rPr>
          <w:rFonts w:hint="eastAsia" w:ascii="Arial Narrow" w:hAnsi="Arial Narrow"/>
          <w:sz w:val="24"/>
          <w:lang w:val="en-US" w:eastAsia="zh-CN"/>
        </w:rPr>
        <w:t>7</w:t>
      </w:r>
      <w:r>
        <w:rPr>
          <w:rFonts w:hint="eastAsia" w:ascii="Arial Narrow" w:hAnsi="Arial Narrow"/>
          <w:sz w:val="24"/>
        </w:rPr>
        <w:t>月</w:t>
      </w:r>
      <w:r>
        <w:rPr>
          <w:rFonts w:hint="eastAsia" w:ascii="Arial Narrow" w:hAnsi="Arial Narrow"/>
          <w:sz w:val="24"/>
          <w:lang w:val="en-US" w:eastAsia="zh-CN"/>
        </w:rPr>
        <w:t>3</w:t>
      </w:r>
      <w:r>
        <w:rPr>
          <w:rFonts w:hint="eastAsia" w:ascii="Arial Narrow" w:hAnsi="Arial Narrow"/>
          <w:sz w:val="24"/>
        </w:rPr>
        <w:t>日</w:t>
      </w:r>
      <w:r>
        <w:rPr>
          <w:rFonts w:ascii="Arial Narrow" w:hAnsi="Arial Narrow"/>
          <w:sz w:val="24"/>
        </w:rPr>
        <w:t>。</w:t>
      </w:r>
    </w:p>
    <w:p>
      <w:pPr>
        <w:spacing w:line="360" w:lineRule="auto"/>
        <w:ind w:firstLine="480" w:firstLineChars="200"/>
        <w:rPr>
          <w:rFonts w:ascii="Arial Narrow" w:hAnsi="Arial Narrow"/>
          <w:sz w:val="24"/>
        </w:rPr>
      </w:pPr>
      <w:r>
        <w:rPr>
          <w:rFonts w:ascii="Arial Narrow" w:hAnsi="Arial Narrow"/>
          <w:sz w:val="24"/>
        </w:rPr>
        <w:t>（2）价值类型限制。估价结果为房地产市场价值，未考虑快速变现等处分方式带来的影响。</w:t>
      </w:r>
    </w:p>
    <w:p>
      <w:pPr>
        <w:spacing w:line="360" w:lineRule="auto"/>
        <w:ind w:firstLine="480" w:firstLineChars="200"/>
        <w:rPr>
          <w:rFonts w:ascii="Arial Narrow" w:hAnsi="Arial Narrow"/>
          <w:sz w:val="24"/>
        </w:rPr>
      </w:pPr>
      <w:r>
        <w:rPr>
          <w:rFonts w:ascii="Arial Narrow" w:hAnsi="Arial Narrow"/>
          <w:sz w:val="24"/>
        </w:rPr>
        <w:t>（3）报告用途限制。</w:t>
      </w:r>
      <w:r>
        <w:rPr>
          <w:rFonts w:hint="eastAsia" w:ascii="Arial Narrow" w:hAnsi="Arial Narrow"/>
          <w:sz w:val="24"/>
        </w:rPr>
        <w:t>本评估报告仅用于</w:t>
      </w:r>
      <w:r>
        <w:rPr>
          <w:rFonts w:hint="eastAsia" w:ascii="Arial Narrow" w:hAnsi="Arial Narrow" w:cs="宋体"/>
          <w:sz w:val="24"/>
        </w:rPr>
        <w:t>人民法院确定财产处置参考价提供参考依据</w:t>
      </w:r>
      <w:r>
        <w:rPr>
          <w:rFonts w:hint="eastAsia" w:ascii="Arial Narrow" w:hAnsi="Arial Narrow"/>
          <w:sz w:val="24"/>
        </w:rPr>
        <w:t>，其他用途无效。</w:t>
      </w:r>
    </w:p>
    <w:p>
      <w:pPr>
        <w:spacing w:line="360" w:lineRule="auto"/>
        <w:ind w:firstLine="480" w:firstLineChars="200"/>
        <w:rPr>
          <w:rFonts w:ascii="Arial Narrow" w:hAnsi="Arial Narrow"/>
          <w:sz w:val="24"/>
        </w:rPr>
      </w:pPr>
      <w:r>
        <w:rPr>
          <w:rFonts w:ascii="Arial Narrow" w:hAnsi="Arial Narrow"/>
          <w:sz w:val="24"/>
        </w:rPr>
        <w:t>（</w:t>
      </w:r>
      <w:r>
        <w:rPr>
          <w:rFonts w:hint="eastAsia" w:ascii="Arial Narrow" w:hAnsi="Arial Narrow"/>
          <w:sz w:val="24"/>
        </w:rPr>
        <w:t>4</w:t>
      </w:r>
      <w:r>
        <w:rPr>
          <w:rFonts w:ascii="Arial Narrow" w:hAnsi="Arial Narrow"/>
          <w:sz w:val="24"/>
        </w:rPr>
        <w:t>）报告内容</w:t>
      </w:r>
      <w:r>
        <w:rPr>
          <w:rFonts w:hint="eastAsia" w:ascii="Arial Narrow" w:hAnsi="Arial Narrow"/>
          <w:sz w:val="24"/>
        </w:rPr>
        <w:t>引</w:t>
      </w:r>
      <w:r>
        <w:rPr>
          <w:rFonts w:ascii="Arial Narrow" w:hAnsi="Arial Narrow"/>
          <w:sz w:val="24"/>
        </w:rPr>
        <w:t>用限制。除法律、法规规定以及相关当事方另有约定外，未征得本估价机构书面同意，本估价报告的全部或部分及任何参考资料均不允许在任何公开发表的文件、通告或声明中引用，亦不得以其他任何方式公开发表。</w:t>
      </w:r>
    </w:p>
    <w:p>
      <w:pPr>
        <w:widowControl/>
        <w:spacing w:line="360" w:lineRule="auto"/>
        <w:jc w:val="center"/>
        <w:rPr>
          <w:rFonts w:ascii="Arial Narrow" w:hAnsi="Arial Narrow"/>
          <w:sz w:val="24"/>
        </w:rPr>
      </w:pPr>
      <w:r>
        <w:rPr>
          <w:rFonts w:ascii="Arial Narrow" w:hAnsi="Arial Narrow"/>
          <w:sz w:val="24"/>
        </w:rPr>
        <w:br w:type="page"/>
      </w:r>
      <w:r>
        <w:rPr>
          <w:rFonts w:hint="eastAsia" w:ascii="黑体" w:hAnsi="黑体" w:eastAsia="黑体" w:cs="Arial"/>
          <w:b/>
          <w:spacing w:val="5"/>
          <w:sz w:val="32"/>
          <w:szCs w:val="32"/>
        </w:rPr>
        <w:t>涉执房地产处置司法评估报告</w:t>
      </w:r>
    </w:p>
    <w:p>
      <w:pPr>
        <w:widowControl/>
        <w:spacing w:line="360" w:lineRule="auto"/>
        <w:jc w:val="center"/>
        <w:rPr>
          <w:rFonts w:ascii="Arial Narrow" w:hAnsi="Arial Narrow"/>
        </w:rPr>
      </w:pPr>
      <w:r>
        <w:rPr>
          <w:rFonts w:ascii="Arial Narrow" w:hAnsi="Arial Narrow"/>
        </w:rPr>
        <w:t>正业通房司评报</w:t>
      </w:r>
      <w:r>
        <w:rPr>
          <w:rFonts w:hint="eastAsia" w:ascii="Arial Narrow" w:hAnsi="Arial Narrow"/>
        </w:rPr>
        <w:t>(</w:t>
      </w:r>
      <w:r>
        <w:rPr>
          <w:rFonts w:ascii="Arial Narrow" w:hAnsi="Arial Narrow"/>
        </w:rPr>
        <w:t>20</w:t>
      </w:r>
      <w:r>
        <w:rPr>
          <w:rFonts w:hint="eastAsia" w:ascii="Arial Narrow" w:hAnsi="Arial Narrow"/>
        </w:rPr>
        <w:t>22)</w:t>
      </w:r>
      <w:r>
        <w:rPr>
          <w:rFonts w:ascii="Arial Narrow" w:hAnsi="Arial Narrow"/>
        </w:rPr>
        <w:t>第</w:t>
      </w:r>
      <w:r>
        <w:rPr>
          <w:rFonts w:hint="eastAsia" w:ascii="Arial Narrow" w:hAnsi="Arial Narrow"/>
        </w:rPr>
        <w:t>0</w:t>
      </w:r>
      <w:r>
        <w:rPr>
          <w:rFonts w:hint="eastAsia" w:ascii="Arial Narrow" w:hAnsi="Arial Narrow"/>
          <w:lang w:val="en-US" w:eastAsia="zh-CN"/>
        </w:rPr>
        <w:t>85</w:t>
      </w:r>
      <w:bookmarkStart w:id="24" w:name="_GoBack"/>
      <w:bookmarkEnd w:id="24"/>
      <w:r>
        <w:rPr>
          <w:rFonts w:ascii="Arial Narrow" w:hAnsi="Arial Narrow"/>
        </w:rPr>
        <w:t>号</w:t>
      </w:r>
    </w:p>
    <w:p>
      <w:pPr>
        <w:pStyle w:val="2"/>
        <w:keepNext w:val="0"/>
        <w:keepLines w:val="0"/>
        <w:widowControl/>
        <w:numPr>
          <w:ilvl w:val="0"/>
          <w:numId w:val="1"/>
        </w:numPr>
        <w:spacing w:line="360" w:lineRule="auto"/>
        <w:jc w:val="left"/>
        <w:rPr>
          <w:rFonts w:ascii="Arial Narrow" w:hAnsi="Arial Narrow"/>
          <w:sz w:val="24"/>
        </w:rPr>
      </w:pPr>
      <w:bookmarkStart w:id="3" w:name="_Toc535140646"/>
      <w:r>
        <w:rPr>
          <w:rFonts w:ascii="Arial Narrow" w:hAnsi="Arial Narrow"/>
          <w:sz w:val="24"/>
        </w:rPr>
        <w:t>估价委托人</w:t>
      </w:r>
      <w:bookmarkEnd w:id="3"/>
      <w:r>
        <w:rPr>
          <w:rFonts w:ascii="Arial Narrow" w:hAnsi="Arial Narrow"/>
          <w:sz w:val="24"/>
        </w:rPr>
        <w:t>及</w:t>
      </w:r>
      <w:r>
        <w:rPr>
          <w:rFonts w:hint="eastAsia" w:ascii="Arial Narrow" w:hAnsi="Arial Narrow"/>
          <w:sz w:val="24"/>
        </w:rPr>
        <w:t>项目</w:t>
      </w:r>
      <w:r>
        <w:rPr>
          <w:rFonts w:ascii="Arial Narrow" w:hAnsi="Arial Narrow"/>
          <w:sz w:val="24"/>
        </w:rPr>
        <w:t>基本</w:t>
      </w:r>
      <w:r>
        <w:rPr>
          <w:rFonts w:hint="eastAsia" w:ascii="Arial Narrow" w:hAnsi="Arial Narrow"/>
          <w:sz w:val="24"/>
        </w:rPr>
        <w:t>情况</w:t>
      </w:r>
    </w:p>
    <w:p>
      <w:pPr>
        <w:widowControl/>
        <w:spacing w:line="360" w:lineRule="auto"/>
      </w:pPr>
      <w:r>
        <w:rPr>
          <w:rFonts w:hint="eastAsia"/>
        </w:rPr>
        <w:t xml:space="preserve">     （一）</w:t>
      </w:r>
      <w:r>
        <w:rPr>
          <w:rFonts w:ascii="Arial Narrow" w:hAnsi="Arial Narrow"/>
          <w:sz w:val="24"/>
        </w:rPr>
        <w:t>估价委托人</w:t>
      </w:r>
    </w:p>
    <w:p>
      <w:pPr>
        <w:widowControl/>
        <w:spacing w:line="360" w:lineRule="auto"/>
        <w:ind w:firstLine="480" w:firstLineChars="200"/>
        <w:rPr>
          <w:rFonts w:hint="eastAsia" w:ascii="Arial Narrow" w:hAnsi="Arial Narrow" w:eastAsia="宋体"/>
          <w:sz w:val="24"/>
          <w:lang w:eastAsia="zh-CN"/>
        </w:rPr>
      </w:pPr>
      <w:r>
        <w:rPr>
          <w:rFonts w:hint="eastAsia" w:ascii="Arial Narrow" w:hAnsi="Arial Narrow"/>
          <w:sz w:val="24"/>
        </w:rPr>
        <w:t>名称：</w:t>
      </w:r>
      <w:r>
        <w:rPr>
          <w:rFonts w:hint="eastAsia" w:ascii="Arial Narrow" w:hAnsi="Arial Narrow"/>
          <w:sz w:val="24"/>
          <w:lang w:eastAsia="zh-CN"/>
        </w:rPr>
        <w:t>银川市兴庆区人民法院</w:t>
      </w:r>
    </w:p>
    <w:p>
      <w:pPr>
        <w:widowControl/>
        <w:spacing w:line="360" w:lineRule="auto"/>
        <w:ind w:firstLine="480" w:firstLineChars="200"/>
        <w:rPr>
          <w:rFonts w:hint="default" w:ascii="Arial Narrow" w:hAnsi="Arial Narrow" w:eastAsia="宋体"/>
          <w:sz w:val="24"/>
          <w:lang w:val="en-US" w:eastAsia="zh-CN"/>
        </w:rPr>
      </w:pPr>
      <w:r>
        <w:rPr>
          <w:rFonts w:hint="eastAsia" w:ascii="Arial Narrow" w:hAnsi="Arial Narrow"/>
          <w:sz w:val="24"/>
        </w:rPr>
        <w:t>联系人：</w:t>
      </w:r>
      <w:r>
        <w:rPr>
          <w:rFonts w:hint="eastAsia" w:ascii="Arial Narrow" w:hAnsi="Arial Narrow"/>
          <w:sz w:val="24"/>
          <w:lang w:val="en-US" w:eastAsia="zh-CN"/>
        </w:rPr>
        <w:t>戴岩松</w:t>
      </w:r>
    </w:p>
    <w:p>
      <w:pPr>
        <w:widowControl/>
        <w:spacing w:line="360" w:lineRule="auto"/>
        <w:ind w:firstLine="480" w:firstLineChars="200"/>
        <w:rPr>
          <w:rFonts w:hint="default" w:ascii="Arial Narrow" w:hAnsi="Arial Narrow" w:eastAsia="宋体"/>
          <w:sz w:val="24"/>
          <w:lang w:val="en-US" w:eastAsia="zh-CN"/>
        </w:rPr>
      </w:pPr>
      <w:r>
        <w:rPr>
          <w:rFonts w:hint="eastAsia" w:ascii="Arial Narrow" w:hAnsi="Arial Narrow"/>
          <w:sz w:val="24"/>
        </w:rPr>
        <w:t>联系电话：</w:t>
      </w:r>
      <w:r>
        <w:rPr>
          <w:rFonts w:hint="eastAsia" w:ascii="Arial Narrow" w:hAnsi="Arial Narrow"/>
          <w:sz w:val="24"/>
          <w:lang w:val="en-US" w:eastAsia="zh-CN"/>
        </w:rPr>
        <w:t>17795086812</w:t>
      </w:r>
    </w:p>
    <w:p>
      <w:pPr>
        <w:widowControl/>
        <w:numPr>
          <w:ilvl w:val="0"/>
          <w:numId w:val="2"/>
        </w:numPr>
        <w:shd w:val="clear" w:color="auto" w:fill="FFFFFF"/>
        <w:spacing w:line="360" w:lineRule="auto"/>
        <w:jc w:val="left"/>
        <w:rPr>
          <w:rFonts w:ascii="宋体" w:hAnsi="宋体" w:cs="宋体"/>
          <w:kern w:val="0"/>
          <w:sz w:val="24"/>
        </w:rPr>
      </w:pPr>
      <w:r>
        <w:rPr>
          <w:rFonts w:hint="eastAsia" w:ascii="宋体" w:hAnsi="宋体" w:cs="宋体"/>
          <w:kern w:val="0"/>
          <w:sz w:val="24"/>
        </w:rPr>
        <w:t>受理日期</w:t>
      </w:r>
    </w:p>
    <w:p>
      <w:pPr>
        <w:widowControl/>
        <w:spacing w:line="360" w:lineRule="auto"/>
        <w:ind w:firstLine="480" w:firstLineChars="200"/>
        <w:rPr>
          <w:rFonts w:ascii="Arial Narrow" w:hAnsi="Arial Narrow"/>
          <w:sz w:val="24"/>
        </w:rPr>
      </w:pPr>
      <w:r>
        <w:rPr>
          <w:rFonts w:hint="eastAsia" w:ascii="Arial Narrow" w:hAnsi="Arial Narrow"/>
          <w:sz w:val="24"/>
        </w:rPr>
        <w:t>2022年</w:t>
      </w:r>
      <w:r>
        <w:rPr>
          <w:rFonts w:hint="eastAsia" w:ascii="Arial Narrow" w:hAnsi="Arial Narrow"/>
          <w:sz w:val="24"/>
          <w:lang w:val="en-US" w:eastAsia="zh-CN"/>
        </w:rPr>
        <w:t>6</w:t>
      </w:r>
      <w:r>
        <w:rPr>
          <w:rFonts w:hint="eastAsia" w:ascii="Arial Narrow" w:hAnsi="Arial Narrow"/>
          <w:sz w:val="24"/>
        </w:rPr>
        <w:t>月</w:t>
      </w:r>
      <w:r>
        <w:rPr>
          <w:rFonts w:hint="eastAsia" w:ascii="Arial Narrow" w:hAnsi="Arial Narrow"/>
          <w:sz w:val="24"/>
          <w:lang w:val="en-US" w:eastAsia="zh-CN"/>
        </w:rPr>
        <w:t>15</w:t>
      </w:r>
      <w:r>
        <w:rPr>
          <w:rFonts w:hint="eastAsia" w:ascii="Arial Narrow" w:hAnsi="Arial Narrow"/>
          <w:sz w:val="24"/>
        </w:rPr>
        <w:t>日。</w:t>
      </w:r>
    </w:p>
    <w:p>
      <w:pPr>
        <w:widowControl/>
        <w:numPr>
          <w:ilvl w:val="0"/>
          <w:numId w:val="2"/>
        </w:numPr>
        <w:shd w:val="clear" w:color="auto" w:fill="FFFFFF"/>
        <w:spacing w:line="360" w:lineRule="auto"/>
        <w:jc w:val="left"/>
        <w:rPr>
          <w:rFonts w:ascii="宋体" w:hAnsi="宋体" w:cs="宋体"/>
          <w:kern w:val="0"/>
          <w:sz w:val="24"/>
        </w:rPr>
      </w:pPr>
      <w:bookmarkStart w:id="4" w:name="_Toc489862756"/>
      <w:bookmarkStart w:id="5" w:name="_Toc4097"/>
      <w:r>
        <w:rPr>
          <w:rFonts w:hint="eastAsia" w:ascii="宋体" w:hAnsi="宋体" w:cs="宋体"/>
          <w:kern w:val="0"/>
          <w:sz w:val="24"/>
        </w:rPr>
        <w:t>检案摘要</w:t>
      </w:r>
      <w:bookmarkEnd w:id="4"/>
      <w:bookmarkEnd w:id="5"/>
    </w:p>
    <w:p>
      <w:pPr>
        <w:widowControl/>
        <w:spacing w:line="360" w:lineRule="auto"/>
        <w:ind w:firstLine="568"/>
        <w:rPr>
          <w:rFonts w:ascii="Arial Narrow" w:hAnsi="Arial Narrow"/>
          <w:sz w:val="24"/>
        </w:rPr>
      </w:pPr>
      <w:r>
        <w:rPr>
          <w:rFonts w:hint="eastAsia" w:ascii="Arial Narrow" w:hAnsi="Arial Narrow"/>
          <w:sz w:val="24"/>
          <w:lang w:val="en-US" w:eastAsia="zh-CN"/>
        </w:rPr>
        <w:t>李淑莲</w:t>
      </w:r>
      <w:r>
        <w:rPr>
          <w:rFonts w:hint="eastAsia" w:ascii="Arial Narrow" w:hAnsi="Arial Narrow"/>
          <w:sz w:val="24"/>
        </w:rPr>
        <w:t>与</w:t>
      </w:r>
      <w:r>
        <w:rPr>
          <w:rFonts w:hint="eastAsia" w:ascii="Arial Narrow" w:hAnsi="Arial Narrow"/>
          <w:sz w:val="24"/>
          <w:lang w:val="en-US" w:eastAsia="zh-CN"/>
        </w:rPr>
        <w:t>孙军、朱冬梅</w:t>
      </w:r>
      <w:r>
        <w:rPr>
          <w:rFonts w:hint="eastAsia" w:ascii="Arial Narrow" w:hAnsi="Arial Narrow"/>
          <w:sz w:val="24"/>
        </w:rPr>
        <w:t>金融借款合同纠纷案。</w:t>
      </w:r>
    </w:p>
    <w:p>
      <w:pPr>
        <w:widowControl/>
        <w:numPr>
          <w:ilvl w:val="0"/>
          <w:numId w:val="2"/>
        </w:numPr>
        <w:shd w:val="clear" w:color="auto" w:fill="FFFFFF"/>
        <w:spacing w:line="360" w:lineRule="auto"/>
        <w:jc w:val="left"/>
        <w:rPr>
          <w:rFonts w:ascii="宋体" w:hAnsi="宋体" w:cs="宋体"/>
          <w:kern w:val="0"/>
          <w:sz w:val="24"/>
        </w:rPr>
      </w:pPr>
      <w:r>
        <w:rPr>
          <w:rFonts w:ascii="Arial Narrow" w:hAnsi="Arial Narrow"/>
          <w:sz w:val="24"/>
        </w:rPr>
        <w:t>估价</w:t>
      </w:r>
      <w:r>
        <w:rPr>
          <w:rFonts w:hint="eastAsia" w:ascii="宋体" w:hAnsi="宋体" w:cs="宋体"/>
          <w:kern w:val="0"/>
          <w:sz w:val="24"/>
        </w:rPr>
        <w:t xml:space="preserve">委托人提供的评估材料 </w:t>
      </w:r>
    </w:p>
    <w:p>
      <w:pPr>
        <w:widowControl/>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hint="eastAsia" w:ascii="Arial Narrow" w:hAnsi="Arial Narrow" w:cs="宋体"/>
          <w:sz w:val="24"/>
        </w:rPr>
        <w:t>1、</w:t>
      </w:r>
      <w:r>
        <w:rPr>
          <w:rFonts w:hint="eastAsia" w:ascii="Arial Narrow" w:hAnsi="Arial Narrow"/>
          <w:sz w:val="24"/>
          <w:lang w:eastAsia="zh-CN"/>
        </w:rPr>
        <w:t>《银川市兴庆区人民法院委托书》（</w:t>
      </w:r>
      <w:r>
        <w:rPr>
          <w:rFonts w:hint="eastAsia" w:ascii="Arial Narrow" w:hAnsi="Arial Narrow" w:cs="宋体"/>
          <w:sz w:val="24"/>
          <w:lang w:eastAsia="zh-CN"/>
        </w:rPr>
        <w:t>2022）宁0104执2894号</w:t>
      </w:r>
      <w:r>
        <w:rPr>
          <w:rFonts w:hint="eastAsia" w:ascii="Arial Narrow" w:hAnsi="Arial Narrow" w:cs="宋体"/>
          <w:sz w:val="24"/>
        </w:rPr>
        <w:t>；</w:t>
      </w:r>
    </w:p>
    <w:p>
      <w:pPr>
        <w:widowControl/>
        <w:tabs>
          <w:tab w:val="left" w:pos="0"/>
          <w:tab w:val="left" w:pos="993"/>
        </w:tabs>
        <w:autoSpaceDE w:val="0"/>
        <w:autoSpaceDN w:val="0"/>
        <w:snapToGrid w:val="0"/>
        <w:spacing w:line="360" w:lineRule="auto"/>
        <w:ind w:left="480"/>
        <w:textAlignment w:val="bottom"/>
        <w:rPr>
          <w:rFonts w:hint="eastAsia" w:ascii="Arial Narrow" w:hAnsi="Arial Narrow" w:eastAsia="宋体" w:cs="宋体"/>
          <w:sz w:val="24"/>
          <w:lang w:eastAsia="zh-CN"/>
        </w:rPr>
      </w:pPr>
      <w:r>
        <w:rPr>
          <w:rFonts w:hint="eastAsia" w:ascii="Arial Narrow" w:hAnsi="Arial Narrow" w:cs="宋体"/>
          <w:sz w:val="24"/>
          <w:lang w:val="en-US" w:eastAsia="zh-CN"/>
        </w:rPr>
        <w:t>2</w:t>
      </w:r>
      <w:r>
        <w:rPr>
          <w:rFonts w:hint="eastAsia" w:ascii="Arial Narrow" w:hAnsi="Arial Narrow" w:cs="宋体"/>
          <w:sz w:val="24"/>
        </w:rPr>
        <w:t>、估价对象</w:t>
      </w:r>
      <w:r>
        <w:rPr>
          <w:rFonts w:hint="eastAsia" w:ascii="Arial Narrow" w:hAnsi="Arial Narrow"/>
          <w:sz w:val="24"/>
          <w:lang w:eastAsia="zh-CN"/>
        </w:rPr>
        <w:t>《利通区不动产登记信息查询单》</w:t>
      </w:r>
      <w:r>
        <w:rPr>
          <w:rFonts w:hint="eastAsia" w:ascii="Arial Narrow" w:hAnsi="Arial Narrow"/>
          <w:sz w:val="24"/>
          <w:lang w:val="en-US" w:eastAsia="zh-CN"/>
        </w:rPr>
        <w:t>复印件</w:t>
      </w:r>
      <w:r>
        <w:rPr>
          <w:rFonts w:hint="eastAsia" w:ascii="Arial Narrow" w:hAnsi="Arial Narrow" w:cs="宋体"/>
          <w:sz w:val="24"/>
          <w:lang w:eastAsia="zh-CN"/>
        </w:rPr>
        <w:t>。</w:t>
      </w:r>
    </w:p>
    <w:p>
      <w:pPr>
        <w:widowControl/>
        <w:shd w:val="clear" w:color="auto" w:fill="FFFFFF"/>
        <w:spacing w:line="360" w:lineRule="auto"/>
        <w:ind w:firstLine="424" w:firstLineChars="177"/>
        <w:jc w:val="left"/>
        <w:rPr>
          <w:rFonts w:ascii="宋体" w:hAnsi="宋体" w:cs="宋体"/>
          <w:kern w:val="0"/>
          <w:sz w:val="24"/>
        </w:rPr>
      </w:pPr>
      <w:r>
        <w:rPr>
          <w:rFonts w:hint="eastAsia" w:ascii="宋体" w:hAnsi="宋体" w:cs="宋体"/>
          <w:kern w:val="0"/>
          <w:sz w:val="24"/>
        </w:rPr>
        <w:t>（五）评估现场</w:t>
      </w:r>
    </w:p>
    <w:p>
      <w:pPr>
        <w:widowControl/>
        <w:shd w:val="clear" w:color="auto" w:fill="FFFFFF"/>
        <w:spacing w:line="360" w:lineRule="auto"/>
        <w:ind w:firstLine="424" w:firstLineChars="177"/>
        <w:jc w:val="left"/>
        <w:rPr>
          <w:rFonts w:ascii="Arial" w:hAnsi="Arial" w:cs="Arial"/>
          <w:sz w:val="24"/>
        </w:rPr>
      </w:pPr>
      <w:r>
        <w:rPr>
          <w:rFonts w:hint="eastAsia" w:ascii="宋体" w:hAnsi="宋体" w:cs="宋体"/>
          <w:sz w:val="24"/>
        </w:rPr>
        <w:t>位于</w:t>
      </w:r>
      <w:r>
        <w:rPr>
          <w:rFonts w:hint="eastAsia" w:ascii="宋体" w:hAnsi="宋体" w:cs="宋体"/>
          <w:sz w:val="24"/>
          <w:lang w:eastAsia="zh-CN"/>
        </w:rPr>
        <w:t>吴忠市利通区明珠路北侧阳光骄子A区一号楼1132室</w:t>
      </w:r>
      <w:r>
        <w:rPr>
          <w:rFonts w:hint="eastAsia" w:ascii="宋体" w:hAnsi="宋体" w:cs="宋体"/>
          <w:sz w:val="24"/>
        </w:rPr>
        <w:t>。</w:t>
      </w:r>
    </w:p>
    <w:p>
      <w:pPr>
        <w:widowControl/>
        <w:shd w:val="clear" w:color="auto" w:fill="FFFFFF"/>
        <w:spacing w:line="360" w:lineRule="auto"/>
        <w:ind w:firstLine="424" w:firstLineChars="177"/>
        <w:jc w:val="left"/>
        <w:rPr>
          <w:rFonts w:ascii="宋体" w:hAnsi="宋体" w:cs="宋体"/>
          <w:kern w:val="0"/>
          <w:sz w:val="24"/>
        </w:rPr>
      </w:pPr>
      <w:r>
        <w:rPr>
          <w:rFonts w:hint="eastAsia" w:ascii="宋体" w:hAnsi="宋体" w:cs="宋体"/>
          <w:kern w:val="0"/>
          <w:sz w:val="24"/>
        </w:rPr>
        <w:t>（六）在场人员</w:t>
      </w:r>
    </w:p>
    <w:p>
      <w:pPr>
        <w:widowControl/>
        <w:shd w:val="clear" w:color="auto" w:fill="FFFFFF"/>
        <w:spacing w:line="360" w:lineRule="auto"/>
        <w:ind w:firstLine="424" w:firstLineChars="177"/>
        <w:jc w:val="left"/>
        <w:rPr>
          <w:rFonts w:ascii="宋体" w:hAnsi="宋体" w:cs="宋体"/>
          <w:sz w:val="24"/>
        </w:rPr>
      </w:pPr>
      <w:r>
        <w:rPr>
          <w:rFonts w:hint="eastAsia" w:ascii="宋体" w:hAnsi="宋体" w:cs="宋体"/>
          <w:sz w:val="24"/>
        </w:rPr>
        <w:t>委托人代表：</w:t>
      </w:r>
      <w:r>
        <w:rPr>
          <w:rFonts w:hint="eastAsia" w:ascii="宋体" w:hAnsi="宋体" w:cs="宋体"/>
          <w:sz w:val="24"/>
          <w:lang w:eastAsia="zh-CN"/>
        </w:rPr>
        <w:t>银川市兴庆区人民法院</w:t>
      </w:r>
      <w:r>
        <w:rPr>
          <w:rFonts w:hint="eastAsia" w:ascii="Arial Narrow" w:hAnsi="Arial Narrow"/>
          <w:sz w:val="24"/>
          <w:lang w:val="en-US" w:eastAsia="zh-CN"/>
        </w:rPr>
        <w:t>戴岩松</w:t>
      </w:r>
      <w:r>
        <w:rPr>
          <w:rFonts w:hint="eastAsia" w:ascii="宋体" w:hAnsi="宋体" w:cs="宋体"/>
          <w:sz w:val="24"/>
        </w:rPr>
        <w:t>法官；</w:t>
      </w:r>
    </w:p>
    <w:p>
      <w:pPr>
        <w:widowControl/>
        <w:shd w:val="clear" w:color="auto" w:fill="FFFFFF"/>
        <w:spacing w:line="360" w:lineRule="auto"/>
        <w:ind w:firstLine="424" w:firstLineChars="177"/>
        <w:jc w:val="left"/>
        <w:rPr>
          <w:rFonts w:ascii="宋体" w:hAnsi="宋体" w:cs="宋体"/>
          <w:sz w:val="24"/>
        </w:rPr>
      </w:pPr>
      <w:r>
        <w:rPr>
          <w:rFonts w:hint="eastAsia" w:ascii="宋体" w:hAnsi="宋体" w:cs="宋体"/>
          <w:sz w:val="24"/>
        </w:rPr>
        <w:t>案件申请方代表：</w:t>
      </w:r>
      <w:r>
        <w:rPr>
          <w:rFonts w:hint="eastAsia" w:ascii="Arial Narrow" w:hAnsi="Arial Narrow"/>
          <w:sz w:val="24"/>
          <w:lang w:val="en-US" w:eastAsia="zh-CN"/>
        </w:rPr>
        <w:t>未到场</w:t>
      </w:r>
      <w:r>
        <w:rPr>
          <w:rFonts w:hint="eastAsia" w:ascii="宋体" w:hAnsi="宋体" w:cs="宋体"/>
          <w:sz w:val="24"/>
        </w:rPr>
        <w:t>；</w:t>
      </w:r>
    </w:p>
    <w:p>
      <w:pPr>
        <w:widowControl/>
        <w:spacing w:line="360" w:lineRule="auto"/>
        <w:ind w:firstLine="426"/>
        <w:rPr>
          <w:rFonts w:ascii="Arial Narrow" w:hAnsi="Arial Narrow"/>
          <w:sz w:val="24"/>
        </w:rPr>
      </w:pPr>
      <w:r>
        <w:rPr>
          <w:rFonts w:hint="eastAsia" w:ascii="Arial Narrow" w:hAnsi="Arial Narrow"/>
          <w:sz w:val="24"/>
        </w:rPr>
        <w:t>案件被执行方代表：</w:t>
      </w:r>
      <w:r>
        <w:rPr>
          <w:rFonts w:hint="eastAsia" w:ascii="Arial Narrow" w:hAnsi="Arial Narrow"/>
          <w:sz w:val="24"/>
          <w:lang w:val="en-US" w:eastAsia="zh-CN"/>
        </w:rPr>
        <w:t>孙鹏龙</w:t>
      </w:r>
      <w:r>
        <w:rPr>
          <w:rFonts w:hint="eastAsia" w:ascii="宋体" w:hAnsi="宋体" w:cs="宋体"/>
          <w:sz w:val="24"/>
        </w:rPr>
        <w:t>；</w:t>
      </w:r>
    </w:p>
    <w:p>
      <w:pPr>
        <w:widowControl/>
        <w:spacing w:line="360" w:lineRule="auto"/>
        <w:ind w:firstLine="426"/>
        <w:rPr>
          <w:rFonts w:ascii="Arial Narrow" w:hAnsi="Arial Narrow"/>
          <w:sz w:val="24"/>
        </w:rPr>
      </w:pPr>
      <w:r>
        <w:rPr>
          <w:rFonts w:hint="eastAsia" w:ascii="Arial Narrow" w:hAnsi="Arial Narrow"/>
          <w:sz w:val="24"/>
        </w:rPr>
        <w:t>评估机构代表：注册房地产估价师</w:t>
      </w:r>
      <w:r>
        <w:rPr>
          <w:rFonts w:hint="eastAsia" w:ascii="Arial Narrow" w:hAnsi="Arial Narrow"/>
          <w:sz w:val="24"/>
          <w:lang w:val="en-US" w:eastAsia="zh-CN"/>
        </w:rPr>
        <w:t>罗尚吉、</w:t>
      </w:r>
      <w:r>
        <w:rPr>
          <w:rFonts w:hint="eastAsia" w:ascii="Arial Narrow" w:hAnsi="Arial Narrow"/>
          <w:sz w:val="24"/>
        </w:rPr>
        <w:t>葛畅。</w:t>
      </w:r>
    </w:p>
    <w:p>
      <w:pPr>
        <w:pStyle w:val="3"/>
        <w:keepNext w:val="0"/>
        <w:keepLines w:val="0"/>
        <w:spacing w:before="0" w:after="0" w:line="360" w:lineRule="auto"/>
        <w:ind w:firstLine="566" w:firstLineChars="235"/>
        <w:rPr>
          <w:rFonts w:ascii="Arial Narrow" w:hAnsi="Arial Narrow"/>
        </w:rPr>
      </w:pPr>
      <w:bookmarkStart w:id="6" w:name="_Toc535140647"/>
      <w:r>
        <w:rPr>
          <w:rFonts w:ascii="Arial Narrow" w:hAnsi="Arial Narrow"/>
        </w:rPr>
        <w:t>二、房地产估价机构</w:t>
      </w:r>
      <w:bookmarkEnd w:id="6"/>
    </w:p>
    <w:p>
      <w:pPr>
        <w:spacing w:line="360" w:lineRule="auto"/>
        <w:ind w:firstLine="568"/>
        <w:rPr>
          <w:rFonts w:ascii="Arial Narrow" w:hAnsi="Arial Narrow"/>
          <w:sz w:val="24"/>
        </w:rPr>
      </w:pPr>
      <w:r>
        <w:rPr>
          <w:rFonts w:hint="eastAsia" w:ascii="Arial Narrow" w:hAnsi="Arial Narrow"/>
          <w:sz w:val="24"/>
        </w:rPr>
        <w:t>名称：宁夏正业通房地产土地资产评估有限公司</w:t>
      </w:r>
    </w:p>
    <w:p>
      <w:pPr>
        <w:spacing w:line="360" w:lineRule="auto"/>
        <w:ind w:firstLine="568"/>
        <w:rPr>
          <w:rFonts w:ascii="Arial Narrow" w:hAnsi="Arial Narrow"/>
          <w:sz w:val="24"/>
        </w:rPr>
      </w:pPr>
      <w:r>
        <w:rPr>
          <w:rFonts w:hint="eastAsia" w:ascii="Arial Narrow" w:hAnsi="Arial Narrow"/>
          <w:sz w:val="24"/>
        </w:rPr>
        <w:t>住所：银川市金凤区宁安大街490号银川IBI育成中心九号楼</w:t>
      </w:r>
    </w:p>
    <w:p>
      <w:pPr>
        <w:spacing w:line="360" w:lineRule="auto"/>
        <w:ind w:firstLine="568"/>
        <w:rPr>
          <w:rFonts w:ascii="Arial Narrow" w:hAnsi="Arial Narrow" w:cs="Arial Narrow"/>
          <w:sz w:val="24"/>
        </w:rPr>
      </w:pPr>
      <w:r>
        <w:rPr>
          <w:rFonts w:hint="eastAsia" w:ascii="Arial Narrow" w:hAnsi="Arial Narrow" w:cs="Arial Narrow"/>
          <w:sz w:val="24"/>
        </w:rPr>
        <w:t>法定代表人：刘旖旎</w:t>
      </w:r>
    </w:p>
    <w:p>
      <w:pPr>
        <w:spacing w:line="360" w:lineRule="auto"/>
        <w:ind w:firstLine="568"/>
        <w:rPr>
          <w:rFonts w:ascii="Arial Narrow" w:hAnsi="Arial Narrow" w:cs="Arial Narrow"/>
          <w:sz w:val="24"/>
        </w:rPr>
      </w:pPr>
      <w:r>
        <w:rPr>
          <w:rFonts w:hint="eastAsia" w:ascii="Arial Narrow" w:hAnsi="Arial Narrow" w:cs="Arial Narrow"/>
          <w:sz w:val="24"/>
        </w:rPr>
        <w:t>统一社会信用代码：916411007359529694</w:t>
      </w:r>
    </w:p>
    <w:p>
      <w:pPr>
        <w:spacing w:line="360" w:lineRule="auto"/>
        <w:ind w:firstLine="568"/>
        <w:rPr>
          <w:rFonts w:ascii="Arial Narrow" w:hAnsi="Arial Narrow" w:cs="Arial Narrow"/>
          <w:sz w:val="24"/>
        </w:rPr>
      </w:pPr>
      <w:r>
        <w:rPr>
          <w:rFonts w:hint="eastAsia" w:ascii="Arial Narrow" w:hAnsi="Arial Narrow" w:cs="Arial Narrow"/>
          <w:sz w:val="24"/>
        </w:rPr>
        <w:t>估价</w:t>
      </w:r>
      <w:r>
        <w:rPr>
          <w:rFonts w:hint="eastAsia" w:ascii="Arial Narrow" w:hAnsi="Arial Narrow" w:cs="Arial Narrow"/>
          <w:sz w:val="24"/>
          <w:lang w:val="en-US" w:eastAsia="zh-CN"/>
        </w:rPr>
        <w:t>机构备案</w:t>
      </w:r>
      <w:r>
        <w:rPr>
          <w:rFonts w:hint="eastAsia" w:ascii="Arial Narrow" w:hAnsi="Arial Narrow" w:cs="Arial Narrow"/>
          <w:sz w:val="24"/>
        </w:rPr>
        <w:t>等级：壹级</w:t>
      </w:r>
    </w:p>
    <w:p>
      <w:pPr>
        <w:spacing w:line="360" w:lineRule="auto"/>
        <w:ind w:firstLine="568"/>
        <w:rPr>
          <w:rFonts w:ascii="Arial Narrow" w:hAnsi="Arial Narrow" w:cs="Arial Narrow"/>
          <w:sz w:val="24"/>
        </w:rPr>
      </w:pPr>
      <w:r>
        <w:rPr>
          <w:rFonts w:hint="eastAsia" w:ascii="Arial Narrow" w:hAnsi="Arial Narrow" w:cs="Arial Narrow"/>
          <w:sz w:val="24"/>
        </w:rPr>
        <w:t>估价</w:t>
      </w:r>
      <w:r>
        <w:rPr>
          <w:rFonts w:hint="eastAsia" w:ascii="Arial Narrow" w:hAnsi="Arial Narrow" w:cs="Arial Narrow"/>
          <w:sz w:val="24"/>
          <w:lang w:val="en-US" w:eastAsia="zh-CN"/>
        </w:rPr>
        <w:t>机构备案</w:t>
      </w:r>
      <w:r>
        <w:rPr>
          <w:rFonts w:hint="eastAsia" w:ascii="Arial Narrow" w:hAnsi="Arial Narrow" w:cs="Arial Narrow"/>
          <w:sz w:val="24"/>
        </w:rPr>
        <w:t>证书编号：宁建房估证字（2007）第020号</w:t>
      </w:r>
    </w:p>
    <w:p>
      <w:pPr>
        <w:widowControl/>
        <w:spacing w:line="360" w:lineRule="auto"/>
        <w:ind w:firstLine="568"/>
        <w:rPr>
          <w:rFonts w:ascii="Arial Narrow" w:hAnsi="Arial Narrow" w:cs="Arial Narrow"/>
          <w:sz w:val="24"/>
        </w:rPr>
      </w:pPr>
      <w:r>
        <w:rPr>
          <w:rFonts w:hint="eastAsia" w:ascii="Arial Narrow" w:hAnsi="Arial Narrow" w:cs="Arial Narrow"/>
          <w:sz w:val="24"/>
        </w:rPr>
        <w:t>有效期限：2020年8月31日至2023年8月30日</w:t>
      </w:r>
    </w:p>
    <w:p>
      <w:pPr>
        <w:widowControl/>
        <w:spacing w:line="360" w:lineRule="auto"/>
        <w:ind w:firstLine="568"/>
        <w:rPr>
          <w:rFonts w:hint="eastAsia" w:ascii="Arial Narrow" w:hAnsi="Arial Narrow"/>
          <w:sz w:val="24"/>
          <w:lang w:val="en-US" w:eastAsia="zh-CN"/>
        </w:rPr>
      </w:pPr>
      <w:r>
        <w:rPr>
          <w:rFonts w:hint="eastAsia" w:ascii="Arial Narrow" w:hAnsi="Arial Narrow"/>
          <w:sz w:val="24"/>
        </w:rPr>
        <w:t>联系人：</w:t>
      </w:r>
      <w:r>
        <w:rPr>
          <w:rFonts w:hint="eastAsia" w:ascii="Arial Narrow" w:hAnsi="Arial Narrow"/>
          <w:sz w:val="24"/>
          <w:lang w:val="en-US" w:eastAsia="zh-CN"/>
        </w:rPr>
        <w:t>罗尚吉</w:t>
      </w:r>
    </w:p>
    <w:p>
      <w:pPr>
        <w:widowControl/>
        <w:spacing w:line="360" w:lineRule="auto"/>
        <w:ind w:firstLine="568"/>
        <w:rPr>
          <w:rFonts w:hint="default" w:ascii="Arial Narrow" w:hAnsi="Arial Narrow" w:eastAsia="宋体"/>
          <w:sz w:val="24"/>
          <w:shd w:val="clear" w:color="auto" w:fill="FFFFFF" w:themeFill="background1"/>
          <w:lang w:val="en-US" w:eastAsia="zh-CN"/>
        </w:rPr>
      </w:pPr>
      <w:r>
        <w:rPr>
          <w:rFonts w:hint="eastAsia" w:ascii="Arial Narrow" w:hAnsi="Arial Narrow"/>
          <w:sz w:val="24"/>
        </w:rPr>
        <w:t xml:space="preserve">联系电话：0951—4120892    </w:t>
      </w:r>
      <w:r>
        <w:rPr>
          <w:rFonts w:hint="eastAsia" w:ascii="Arial Narrow" w:hAnsi="Arial Narrow"/>
          <w:sz w:val="24"/>
          <w:lang w:val="en-US" w:eastAsia="zh-CN"/>
        </w:rPr>
        <w:t>18152515453</w:t>
      </w:r>
    </w:p>
    <w:p>
      <w:pPr>
        <w:pStyle w:val="3"/>
        <w:keepNext w:val="0"/>
        <w:keepLines w:val="0"/>
        <w:widowControl/>
        <w:spacing w:before="0" w:after="0" w:line="360" w:lineRule="auto"/>
        <w:ind w:firstLine="566" w:firstLineChars="235"/>
        <w:rPr>
          <w:rFonts w:ascii="Arial Narrow" w:hAnsi="Arial Narrow"/>
        </w:rPr>
      </w:pPr>
      <w:bookmarkStart w:id="7" w:name="_Toc535140648"/>
      <w:r>
        <w:rPr>
          <w:rFonts w:ascii="Arial Narrow" w:hAnsi="Arial Narrow"/>
        </w:rPr>
        <w:t>三、估价目的</w:t>
      </w:r>
      <w:bookmarkEnd w:id="7"/>
    </w:p>
    <w:p>
      <w:pPr>
        <w:widowControl/>
        <w:spacing w:line="360" w:lineRule="auto"/>
        <w:ind w:firstLine="568"/>
        <w:rPr>
          <w:rFonts w:ascii="Arial Narrow" w:hAnsi="Arial Narrow" w:cs="宋体"/>
          <w:sz w:val="24"/>
        </w:rPr>
      </w:pPr>
      <w:r>
        <w:rPr>
          <w:rFonts w:hint="eastAsia" w:ascii="Arial Narrow" w:hAnsi="Arial Narrow" w:cs="宋体"/>
          <w:sz w:val="24"/>
        </w:rPr>
        <w:t>为人民法院确定财产处置参考价提供参考依据。</w:t>
      </w:r>
    </w:p>
    <w:p>
      <w:pPr>
        <w:pStyle w:val="3"/>
        <w:keepNext w:val="0"/>
        <w:keepLines w:val="0"/>
        <w:widowControl/>
        <w:spacing w:before="0" w:after="0" w:line="360" w:lineRule="auto"/>
        <w:ind w:firstLine="566" w:firstLineChars="235"/>
        <w:rPr>
          <w:rFonts w:ascii="Arial Narrow" w:hAnsi="Arial Narrow"/>
        </w:rPr>
      </w:pPr>
      <w:bookmarkStart w:id="8" w:name="_Toc535140649"/>
      <w:r>
        <w:rPr>
          <w:rFonts w:ascii="Arial Narrow" w:hAnsi="Arial Narrow"/>
        </w:rPr>
        <w:t>四、估价对象</w:t>
      </w:r>
      <w:bookmarkEnd w:id="8"/>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根据</w:t>
      </w:r>
      <w:r>
        <w:rPr>
          <w:rFonts w:hint="eastAsia" w:ascii="Arial Narrow" w:hAnsi="Arial Narrow"/>
          <w:sz w:val="24"/>
          <w:lang w:eastAsia="zh-CN"/>
        </w:rPr>
        <w:t>《银川市兴庆区人民法院委托书》</w:t>
      </w:r>
      <w:r>
        <w:rPr>
          <w:rFonts w:hint="eastAsia" w:ascii="Arial Narrow" w:hAnsi="Arial Narrow" w:cs="宋体"/>
          <w:sz w:val="24"/>
          <w:lang w:eastAsia="zh-CN"/>
        </w:rPr>
        <w:t>（2022）宁0104执2894号</w:t>
      </w:r>
      <w:r>
        <w:rPr>
          <w:rFonts w:hint="eastAsia" w:ascii="Arial Narrow" w:hAnsi="Arial Narrow" w:cs="宋体"/>
          <w:kern w:val="2"/>
          <w:sz w:val="24"/>
        </w:rPr>
        <w:t>，本评估报告的估价对象为</w:t>
      </w:r>
      <w:r>
        <w:rPr>
          <w:rFonts w:hint="eastAsia" w:ascii="Arial Narrow" w:hAnsi="Arial Narrow" w:cs="宋体"/>
          <w:kern w:val="2"/>
          <w:sz w:val="24"/>
          <w:lang w:eastAsia="zh-CN"/>
        </w:rPr>
        <w:t>孙军</w:t>
      </w:r>
      <w:r>
        <w:rPr>
          <w:rFonts w:hint="eastAsia" w:ascii="Arial Narrow" w:hAnsi="Arial Narrow" w:cs="宋体"/>
          <w:kern w:val="2"/>
          <w:sz w:val="24"/>
        </w:rPr>
        <w:t>位于</w:t>
      </w:r>
      <w:r>
        <w:rPr>
          <w:rFonts w:hint="eastAsia" w:ascii="Arial Narrow" w:hAnsi="Arial Narrow" w:cs="宋体"/>
          <w:kern w:val="2"/>
          <w:sz w:val="24"/>
          <w:lang w:eastAsia="zh-CN"/>
        </w:rPr>
        <w:t>吴忠市利通区明珠路北侧阳光骄子A区一号楼1132室</w:t>
      </w:r>
      <w:r>
        <w:rPr>
          <w:rFonts w:hint="eastAsia" w:ascii="Arial Narrow" w:hAnsi="Arial Narrow"/>
          <w:sz w:val="24"/>
        </w:rPr>
        <w:t>的房地产</w:t>
      </w:r>
      <w:r>
        <w:rPr>
          <w:rFonts w:hint="eastAsia" w:ascii="Arial Narrow" w:hAnsi="Arial Narrow" w:cs="宋体"/>
          <w:kern w:val="2"/>
          <w:sz w:val="24"/>
        </w:rPr>
        <w:t>，估价范围为建筑面积</w:t>
      </w:r>
      <w:r>
        <w:rPr>
          <w:rFonts w:hint="eastAsia" w:ascii="Arial Narrow" w:hAnsi="Arial Narrow" w:cs="宋体"/>
          <w:kern w:val="2"/>
          <w:sz w:val="24"/>
          <w:lang w:eastAsia="zh-CN"/>
        </w:rPr>
        <w:t>126.83平方米</w:t>
      </w:r>
      <w:r>
        <w:rPr>
          <w:rFonts w:hint="eastAsia" w:ascii="Arial Narrow" w:hAnsi="Arial Narrow" w:cs="宋体"/>
          <w:kern w:val="2"/>
          <w:sz w:val="24"/>
        </w:rPr>
        <w:t>，总层数为</w:t>
      </w:r>
      <w:r>
        <w:rPr>
          <w:rFonts w:hint="eastAsia" w:ascii="Arial Narrow" w:hAnsi="Arial Narrow" w:cs="宋体"/>
          <w:kern w:val="2"/>
          <w:sz w:val="24"/>
          <w:lang w:val="en-US" w:eastAsia="zh-CN"/>
        </w:rPr>
        <w:t>7</w:t>
      </w:r>
      <w:r>
        <w:rPr>
          <w:rFonts w:hint="eastAsia" w:ascii="Arial Narrow" w:hAnsi="Arial Narrow" w:cs="宋体"/>
          <w:kern w:val="2"/>
          <w:sz w:val="24"/>
        </w:rPr>
        <w:t>层，所在层为</w:t>
      </w:r>
      <w:r>
        <w:rPr>
          <w:rFonts w:hint="eastAsia" w:ascii="Arial Narrow" w:hAnsi="Arial Narrow" w:cs="宋体"/>
          <w:kern w:val="2"/>
          <w:sz w:val="24"/>
          <w:lang w:val="en-US" w:eastAsia="zh-CN"/>
        </w:rPr>
        <w:t>3</w:t>
      </w:r>
      <w:r>
        <w:rPr>
          <w:rFonts w:hint="eastAsia" w:ascii="Arial Narrow" w:hAnsi="Arial Narrow" w:cs="宋体"/>
          <w:kern w:val="2"/>
          <w:sz w:val="24"/>
        </w:rPr>
        <w:t>层</w:t>
      </w:r>
      <w:r>
        <w:rPr>
          <w:rFonts w:hint="eastAsia" w:ascii="Arial Narrow" w:hAnsi="Arial Narrow" w:cs="宋体"/>
          <w:kern w:val="2"/>
          <w:sz w:val="24"/>
          <w:lang w:eastAsia="zh-CN"/>
        </w:rPr>
        <w:t>钢混结构</w:t>
      </w:r>
      <w:r>
        <w:rPr>
          <w:rFonts w:hint="eastAsia" w:ascii="Arial Narrow" w:hAnsi="Arial Narrow" w:cs="宋体"/>
          <w:kern w:val="2"/>
          <w:sz w:val="24"/>
        </w:rPr>
        <w:t>的住宅房及其分摊的国有建设用地使用权。具体如下：</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1、估价对象区位状况</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（1）位置状况：估价对象坐落于</w:t>
      </w:r>
      <w:r>
        <w:rPr>
          <w:rFonts w:hint="eastAsia" w:ascii="Arial Narrow" w:hAnsi="Arial Narrow" w:cs="宋体"/>
          <w:kern w:val="2"/>
          <w:sz w:val="24"/>
          <w:lang w:eastAsia="zh-CN"/>
        </w:rPr>
        <w:t>吴忠市利通区明珠路北侧阳光骄子A区一号楼1132室</w:t>
      </w:r>
      <w:r>
        <w:rPr>
          <w:rFonts w:hint="eastAsia" w:ascii="Arial Narrow" w:hAnsi="Arial Narrow" w:cs="宋体"/>
          <w:kern w:val="2"/>
          <w:sz w:val="24"/>
        </w:rPr>
        <w:t>，</w:t>
      </w:r>
      <w:r>
        <w:rPr>
          <w:rFonts w:hint="eastAsia" w:ascii="Arial Narrow" w:hAnsi="Arial Narrow" w:cs="宋体"/>
          <w:kern w:val="2"/>
          <w:sz w:val="24"/>
          <w:lang w:eastAsia="zh-CN"/>
        </w:rPr>
        <w:t>阳光骄子A区</w:t>
      </w:r>
      <w:r>
        <w:rPr>
          <w:rFonts w:hint="eastAsia" w:ascii="Arial Narrow" w:hAnsi="Arial Narrow" w:cs="宋体"/>
          <w:kern w:val="2"/>
          <w:sz w:val="24"/>
        </w:rPr>
        <w:t>四至为：东临</w:t>
      </w:r>
      <w:r>
        <w:rPr>
          <w:rFonts w:hint="eastAsia" w:ascii="Arial Narrow" w:hAnsi="Arial Narrow" w:cs="宋体"/>
          <w:kern w:val="2"/>
          <w:sz w:val="24"/>
          <w:lang w:val="en-US" w:eastAsia="zh-CN"/>
        </w:rPr>
        <w:t>利宁北街</w:t>
      </w:r>
      <w:r>
        <w:rPr>
          <w:rFonts w:hint="eastAsia" w:ascii="Arial Narrow" w:hAnsi="Arial Narrow" w:cs="宋体"/>
          <w:kern w:val="2"/>
          <w:sz w:val="24"/>
        </w:rPr>
        <w:t>，南至</w:t>
      </w:r>
      <w:r>
        <w:rPr>
          <w:rFonts w:hint="eastAsia" w:ascii="Arial Narrow" w:hAnsi="Arial Narrow" w:cs="宋体"/>
          <w:kern w:val="2"/>
          <w:sz w:val="24"/>
          <w:lang w:val="en-US" w:eastAsia="zh-CN"/>
        </w:rPr>
        <w:t>明珠西</w:t>
      </w:r>
      <w:r>
        <w:rPr>
          <w:rFonts w:hint="eastAsia" w:ascii="Arial Narrow" w:hAnsi="Arial Narrow" w:cs="宋体"/>
          <w:kern w:val="2"/>
          <w:sz w:val="24"/>
        </w:rPr>
        <w:t>路，西临</w:t>
      </w:r>
      <w:r>
        <w:rPr>
          <w:rFonts w:hint="eastAsia" w:ascii="Arial Narrow" w:hAnsi="Arial Narrow" w:cs="宋体"/>
          <w:kern w:val="2"/>
          <w:sz w:val="24"/>
          <w:lang w:eastAsia="zh-CN"/>
        </w:rPr>
        <w:t>阳光骄子</w:t>
      </w:r>
      <w:r>
        <w:rPr>
          <w:rFonts w:hint="eastAsia" w:ascii="Arial Narrow" w:hAnsi="Arial Narrow" w:cs="宋体"/>
          <w:kern w:val="2"/>
          <w:sz w:val="24"/>
          <w:lang w:val="en-US" w:eastAsia="zh-CN"/>
        </w:rPr>
        <w:t>B</w:t>
      </w:r>
      <w:r>
        <w:rPr>
          <w:rFonts w:hint="eastAsia" w:ascii="Arial Narrow" w:hAnsi="Arial Narrow" w:cs="宋体"/>
          <w:kern w:val="2"/>
          <w:sz w:val="24"/>
          <w:lang w:eastAsia="zh-CN"/>
        </w:rPr>
        <w:t>区</w:t>
      </w:r>
      <w:r>
        <w:rPr>
          <w:rFonts w:hint="eastAsia" w:ascii="Arial Narrow" w:hAnsi="Arial Narrow" w:cs="宋体"/>
          <w:kern w:val="2"/>
          <w:sz w:val="24"/>
        </w:rPr>
        <w:t>，北至</w:t>
      </w:r>
      <w:r>
        <w:rPr>
          <w:rFonts w:hint="eastAsia" w:ascii="Arial Narrow" w:hAnsi="Arial Narrow" w:cs="宋体"/>
          <w:kern w:val="2"/>
          <w:sz w:val="24"/>
          <w:lang w:val="en-US" w:eastAsia="zh-CN"/>
        </w:rPr>
        <w:t>吴忠中学</w:t>
      </w:r>
      <w:r>
        <w:rPr>
          <w:rFonts w:hint="eastAsia" w:ascii="Arial Narrow" w:hAnsi="Arial Narrow" w:cs="宋体"/>
          <w:kern w:val="2"/>
          <w:sz w:val="24"/>
        </w:rPr>
        <w:t>，距离</w:t>
      </w:r>
      <w:r>
        <w:rPr>
          <w:rFonts w:hint="eastAsia" w:ascii="Arial Narrow" w:hAnsi="Arial Narrow" w:cs="宋体"/>
          <w:kern w:val="2"/>
          <w:sz w:val="24"/>
          <w:lang w:val="en-US" w:eastAsia="zh-CN"/>
        </w:rPr>
        <w:t>区</w:t>
      </w:r>
      <w:r>
        <w:rPr>
          <w:rFonts w:hint="eastAsia" w:ascii="Arial Narrow" w:hAnsi="Arial Narrow" w:cs="宋体"/>
          <w:kern w:val="2"/>
          <w:sz w:val="24"/>
        </w:rPr>
        <w:t>级商业中心距离（</w:t>
      </w:r>
      <w:r>
        <w:rPr>
          <w:rFonts w:hint="eastAsia" w:ascii="Arial Narrow" w:hAnsi="Arial Narrow" w:cs="宋体"/>
          <w:kern w:val="2"/>
          <w:sz w:val="24"/>
          <w:lang w:val="en-US" w:eastAsia="zh-CN"/>
        </w:rPr>
        <w:t>吴忠万达广场</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千米。</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（2）交通状况：估价对象所在区域内交通路网密集，主要分布有</w:t>
      </w:r>
      <w:r>
        <w:rPr>
          <w:rFonts w:hint="eastAsia" w:ascii="Arial Narrow" w:hAnsi="Arial Narrow" w:cs="宋体"/>
          <w:kern w:val="2"/>
          <w:sz w:val="24"/>
          <w:lang w:val="en-US" w:eastAsia="zh-CN"/>
        </w:rPr>
        <w:t>利宁北街</w:t>
      </w:r>
      <w:r>
        <w:rPr>
          <w:rFonts w:hint="eastAsia" w:ascii="Arial Narrow" w:hAnsi="Arial Narrow" w:cs="宋体"/>
          <w:kern w:val="2"/>
          <w:sz w:val="24"/>
        </w:rPr>
        <w:t>、</w:t>
      </w:r>
      <w:r>
        <w:rPr>
          <w:rFonts w:hint="eastAsia" w:ascii="Arial Narrow" w:hAnsi="Arial Narrow" w:cs="宋体"/>
          <w:kern w:val="2"/>
          <w:sz w:val="24"/>
          <w:lang w:val="en-US" w:eastAsia="zh-CN"/>
        </w:rPr>
        <w:t>明珠西</w:t>
      </w:r>
      <w:r>
        <w:rPr>
          <w:rFonts w:hint="eastAsia" w:ascii="Arial Narrow" w:hAnsi="Arial Narrow" w:cs="宋体"/>
          <w:kern w:val="2"/>
          <w:sz w:val="24"/>
        </w:rPr>
        <w:t>路等交通干道，附近通行</w:t>
      </w:r>
      <w:r>
        <w:rPr>
          <w:rFonts w:hint="eastAsia" w:ascii="Arial Narrow" w:hAnsi="Arial Narrow" w:cs="宋体"/>
          <w:kern w:val="2"/>
          <w:sz w:val="24"/>
          <w:lang w:val="en-US" w:eastAsia="zh-CN"/>
        </w:rPr>
        <w:t>8</w:t>
      </w:r>
      <w:r>
        <w:rPr>
          <w:rFonts w:hint="eastAsia" w:ascii="Arial Narrow" w:hAnsi="Arial Narrow" w:cs="宋体"/>
          <w:kern w:val="2"/>
          <w:sz w:val="24"/>
        </w:rPr>
        <w:t>路、</w:t>
      </w:r>
      <w:r>
        <w:rPr>
          <w:rFonts w:hint="eastAsia" w:ascii="Arial Narrow" w:hAnsi="Arial Narrow" w:cs="宋体"/>
          <w:kern w:val="2"/>
          <w:sz w:val="24"/>
          <w:lang w:val="en-US" w:eastAsia="zh-CN"/>
        </w:rPr>
        <w:t>29</w:t>
      </w:r>
      <w:r>
        <w:rPr>
          <w:rFonts w:hint="eastAsia" w:ascii="Arial Narrow" w:hAnsi="Arial Narrow" w:cs="宋体"/>
          <w:kern w:val="2"/>
          <w:sz w:val="24"/>
        </w:rPr>
        <w:t>路</w:t>
      </w:r>
      <w:r>
        <w:rPr>
          <w:rFonts w:hint="eastAsia" w:ascii="Arial Narrow" w:hAnsi="Arial Narrow" w:cs="宋体"/>
          <w:kern w:val="2"/>
          <w:sz w:val="24"/>
          <w:lang w:val="en-US" w:eastAsia="zh-CN"/>
        </w:rPr>
        <w:t>、31</w:t>
      </w:r>
      <w:r>
        <w:rPr>
          <w:rFonts w:hint="eastAsia" w:ascii="Arial Narrow" w:hAnsi="Arial Narrow" w:cs="宋体"/>
          <w:kern w:val="2"/>
          <w:sz w:val="24"/>
        </w:rPr>
        <w:t>路</w:t>
      </w:r>
      <w:r>
        <w:rPr>
          <w:rFonts w:hint="eastAsia" w:ascii="Arial Narrow" w:hAnsi="Arial Narrow" w:cs="宋体"/>
          <w:kern w:val="2"/>
          <w:sz w:val="24"/>
          <w:lang w:val="en-US" w:eastAsia="zh-CN"/>
        </w:rPr>
        <w:t>、37</w:t>
      </w:r>
      <w:r>
        <w:rPr>
          <w:rFonts w:hint="eastAsia" w:ascii="Arial Narrow" w:hAnsi="Arial Narrow" w:cs="宋体"/>
          <w:kern w:val="2"/>
          <w:sz w:val="24"/>
        </w:rPr>
        <w:t>路</w:t>
      </w:r>
      <w:r>
        <w:rPr>
          <w:rFonts w:hint="eastAsia" w:ascii="Arial Narrow" w:hAnsi="Arial Narrow" w:cs="宋体"/>
          <w:kern w:val="2"/>
          <w:sz w:val="24"/>
          <w:lang w:val="en-US" w:eastAsia="zh-CN"/>
        </w:rPr>
        <w:t>、102</w:t>
      </w:r>
      <w:r>
        <w:rPr>
          <w:rFonts w:hint="eastAsia" w:ascii="Arial Narrow" w:hAnsi="Arial Narrow" w:cs="宋体"/>
          <w:kern w:val="2"/>
          <w:sz w:val="24"/>
        </w:rPr>
        <w:t>路等公交汽车，距离</w:t>
      </w:r>
      <w:r>
        <w:rPr>
          <w:rFonts w:hint="eastAsia" w:ascii="Arial Narrow" w:hAnsi="Arial Narrow" w:cs="宋体"/>
          <w:kern w:val="2"/>
          <w:sz w:val="24"/>
          <w:lang w:val="en-US" w:eastAsia="zh-CN"/>
        </w:rPr>
        <w:t>吴忠</w:t>
      </w:r>
      <w:r>
        <w:rPr>
          <w:rFonts w:hint="eastAsia" w:ascii="Arial Narrow" w:hAnsi="Arial Narrow" w:cs="宋体"/>
          <w:kern w:val="2"/>
          <w:sz w:val="24"/>
        </w:rPr>
        <w:t>市客运站约</w:t>
      </w:r>
      <w:r>
        <w:rPr>
          <w:rFonts w:hint="eastAsia" w:ascii="Arial Narrow" w:hAnsi="Arial Narrow" w:cs="宋体"/>
          <w:kern w:val="2"/>
          <w:sz w:val="24"/>
          <w:lang w:val="en-US" w:eastAsia="zh-CN"/>
        </w:rPr>
        <w:t>0</w:t>
      </w:r>
      <w:r>
        <w:rPr>
          <w:rFonts w:hint="eastAsia" w:ascii="Arial Narrow" w:hAnsi="Arial Narrow" w:cs="宋体"/>
          <w:kern w:val="2"/>
          <w:sz w:val="24"/>
        </w:rPr>
        <w:t>.</w:t>
      </w:r>
      <w:r>
        <w:rPr>
          <w:rFonts w:hint="eastAsia" w:ascii="Arial Narrow" w:hAnsi="Arial Narrow" w:cs="宋体"/>
          <w:kern w:val="2"/>
          <w:sz w:val="24"/>
          <w:lang w:val="en-US" w:eastAsia="zh-CN"/>
        </w:rPr>
        <w:t>7</w:t>
      </w:r>
      <w:r>
        <w:rPr>
          <w:rFonts w:hint="eastAsia" w:ascii="Arial Narrow" w:hAnsi="Arial Narrow" w:cs="宋体"/>
          <w:kern w:val="2"/>
          <w:sz w:val="24"/>
        </w:rPr>
        <w:t>千米，距离</w:t>
      </w:r>
      <w:r>
        <w:rPr>
          <w:rFonts w:hint="eastAsia" w:ascii="Arial Narrow" w:hAnsi="Arial Narrow" w:cs="宋体"/>
          <w:kern w:val="2"/>
          <w:sz w:val="24"/>
          <w:lang w:val="en-US" w:eastAsia="zh-CN"/>
        </w:rPr>
        <w:t>吴忠市</w:t>
      </w:r>
      <w:r>
        <w:rPr>
          <w:rFonts w:hint="eastAsia" w:ascii="Arial Narrow" w:hAnsi="Arial Narrow" w:cs="宋体"/>
          <w:kern w:val="2"/>
          <w:sz w:val="24"/>
        </w:rPr>
        <w:t>火车站约</w:t>
      </w:r>
      <w:r>
        <w:rPr>
          <w:rFonts w:hint="eastAsia" w:ascii="Arial Narrow" w:hAnsi="Arial Narrow" w:cs="宋体"/>
          <w:kern w:val="2"/>
          <w:sz w:val="24"/>
          <w:lang w:val="en-US" w:eastAsia="zh-CN"/>
        </w:rPr>
        <w:t>8</w:t>
      </w:r>
      <w:r>
        <w:rPr>
          <w:rFonts w:hint="eastAsia" w:ascii="Arial Narrow" w:hAnsi="Arial Narrow" w:cs="宋体"/>
          <w:kern w:val="2"/>
          <w:sz w:val="24"/>
        </w:rPr>
        <w:t>.</w:t>
      </w:r>
      <w:r>
        <w:rPr>
          <w:rFonts w:hint="eastAsia" w:ascii="Arial Narrow" w:hAnsi="Arial Narrow" w:cs="宋体"/>
          <w:kern w:val="2"/>
          <w:sz w:val="24"/>
          <w:lang w:val="en-US" w:eastAsia="zh-CN"/>
        </w:rPr>
        <w:t>2</w:t>
      </w:r>
      <w:r>
        <w:rPr>
          <w:rFonts w:hint="eastAsia" w:ascii="Arial Narrow" w:hAnsi="Arial Narrow" w:cs="宋体"/>
          <w:kern w:val="2"/>
          <w:sz w:val="24"/>
        </w:rPr>
        <w:t>千米，距离</w:t>
      </w:r>
      <w:r>
        <w:rPr>
          <w:rFonts w:hint="eastAsia" w:ascii="Arial Narrow" w:hAnsi="Arial Narrow" w:cs="宋体"/>
          <w:kern w:val="2"/>
          <w:sz w:val="24"/>
          <w:lang w:val="en-US" w:eastAsia="zh-CN"/>
        </w:rPr>
        <w:t>吴忠高铁站</w:t>
      </w:r>
      <w:r>
        <w:rPr>
          <w:rFonts w:hint="eastAsia" w:ascii="Arial Narrow" w:hAnsi="Arial Narrow" w:cs="宋体"/>
          <w:kern w:val="2"/>
          <w:sz w:val="24"/>
        </w:rPr>
        <w:t>约</w:t>
      </w:r>
      <w:r>
        <w:rPr>
          <w:rFonts w:hint="eastAsia" w:ascii="Arial Narrow" w:hAnsi="Arial Narrow" w:cs="宋体"/>
          <w:kern w:val="2"/>
          <w:sz w:val="24"/>
          <w:lang w:val="en-US" w:eastAsia="zh-CN"/>
        </w:rPr>
        <w:t>8</w:t>
      </w:r>
      <w:r>
        <w:rPr>
          <w:rFonts w:hint="eastAsia" w:ascii="Arial Narrow" w:hAnsi="Arial Narrow" w:cs="宋体"/>
          <w:kern w:val="2"/>
          <w:sz w:val="24"/>
        </w:rPr>
        <w:t>.</w:t>
      </w:r>
      <w:r>
        <w:rPr>
          <w:rFonts w:hint="eastAsia" w:ascii="Arial Narrow" w:hAnsi="Arial Narrow" w:cs="宋体"/>
          <w:kern w:val="2"/>
          <w:sz w:val="24"/>
          <w:lang w:val="en-US" w:eastAsia="zh-CN"/>
        </w:rPr>
        <w:t>2</w:t>
      </w:r>
      <w:r>
        <w:rPr>
          <w:rFonts w:hint="eastAsia" w:ascii="Arial Narrow" w:hAnsi="Arial Narrow" w:cs="宋体"/>
          <w:kern w:val="2"/>
          <w:sz w:val="24"/>
        </w:rPr>
        <w:t>千米</w:t>
      </w:r>
      <w:r>
        <w:rPr>
          <w:rFonts w:hint="eastAsia" w:ascii="Arial Narrow" w:hAnsi="Arial Narrow" w:cs="宋体"/>
          <w:kern w:val="2"/>
          <w:sz w:val="24"/>
          <w:lang w:eastAsia="zh-CN"/>
        </w:rPr>
        <w:t>，</w:t>
      </w:r>
      <w:r>
        <w:rPr>
          <w:rFonts w:hint="eastAsia" w:ascii="Arial Narrow" w:hAnsi="Arial Narrow" w:cs="宋体"/>
          <w:kern w:val="2"/>
          <w:sz w:val="24"/>
        </w:rPr>
        <w:t>距离</w:t>
      </w:r>
      <w:r>
        <w:rPr>
          <w:rFonts w:hint="eastAsia" w:ascii="Arial Narrow" w:hAnsi="Arial Narrow" w:cs="宋体"/>
          <w:kern w:val="2"/>
          <w:sz w:val="24"/>
          <w:lang w:val="en-US" w:eastAsia="zh-CN"/>
        </w:rPr>
        <w:t>河东</w:t>
      </w:r>
      <w:r>
        <w:rPr>
          <w:rFonts w:hint="eastAsia" w:ascii="Arial Narrow" w:hAnsi="Arial Narrow" w:cs="宋体"/>
          <w:kern w:val="2"/>
          <w:sz w:val="24"/>
        </w:rPr>
        <w:t>飞机场约</w:t>
      </w:r>
      <w:r>
        <w:rPr>
          <w:rFonts w:hint="eastAsia" w:ascii="Arial Narrow" w:hAnsi="Arial Narrow" w:cs="宋体"/>
          <w:kern w:val="2"/>
          <w:sz w:val="24"/>
          <w:lang w:val="en-US" w:eastAsia="zh-CN"/>
        </w:rPr>
        <w:t>45</w:t>
      </w:r>
      <w:r>
        <w:rPr>
          <w:rFonts w:hint="eastAsia" w:ascii="Arial Narrow" w:hAnsi="Arial Narrow" w:cs="宋体"/>
          <w:kern w:val="2"/>
          <w:sz w:val="24"/>
        </w:rPr>
        <w:t>.</w:t>
      </w:r>
      <w:r>
        <w:rPr>
          <w:rFonts w:hint="eastAsia" w:ascii="Arial Narrow" w:hAnsi="Arial Narrow" w:cs="宋体"/>
          <w:kern w:val="2"/>
          <w:sz w:val="24"/>
          <w:lang w:val="en-US" w:eastAsia="zh-CN"/>
        </w:rPr>
        <w:t>1</w:t>
      </w:r>
      <w:r>
        <w:rPr>
          <w:rFonts w:hint="eastAsia" w:ascii="Arial Narrow" w:hAnsi="Arial Narrow" w:cs="宋体"/>
          <w:kern w:val="2"/>
          <w:sz w:val="24"/>
        </w:rPr>
        <w:t>千米，交通便利、通达度好。</w:t>
      </w:r>
    </w:p>
    <w:p>
      <w:pPr>
        <w:pStyle w:val="4"/>
        <w:widowControl/>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（3）外部公共基础设施：估价对象所在区域内基础设施开发程度为七通即“通路、通电、通讯、供水、排水、通暖、通气”，公共基础设施完善。</w:t>
      </w:r>
    </w:p>
    <w:p>
      <w:pPr>
        <w:pStyle w:val="4"/>
        <w:keepNext w:val="0"/>
        <w:keepLines w:val="0"/>
        <w:pageBreakBefore w:val="0"/>
        <w:widowControl w:val="0"/>
        <w:kinsoku/>
        <w:wordWrap/>
        <w:overflowPunct/>
        <w:topLinePunct w:val="0"/>
        <w:autoSpaceDE/>
        <w:autoSpaceDN/>
        <w:bidi w:val="0"/>
        <w:adjustRightInd/>
        <w:snapToGrid/>
        <w:spacing w:line="360" w:lineRule="auto"/>
        <w:ind w:left="19" w:leftChars="9" w:firstLine="458" w:firstLineChars="191"/>
        <w:textAlignment w:val="auto"/>
        <w:rPr>
          <w:rFonts w:ascii="Arial Narrow" w:hAnsi="Arial Narrow" w:cs="宋体"/>
          <w:kern w:val="2"/>
          <w:sz w:val="24"/>
        </w:rPr>
      </w:pPr>
      <w:r>
        <w:rPr>
          <w:rFonts w:hint="eastAsia" w:ascii="Arial Narrow" w:hAnsi="Arial Narrow" w:cs="宋体"/>
          <w:kern w:val="2"/>
          <w:sz w:val="24"/>
        </w:rPr>
        <w:t>（4）外部公共配套设施：估价对象所在区域内有</w:t>
      </w:r>
      <w:r>
        <w:rPr>
          <w:rFonts w:hint="eastAsia" w:ascii="Arial Narrow" w:hAnsi="Arial Narrow" w:cs="宋体"/>
          <w:kern w:val="2"/>
          <w:sz w:val="24"/>
          <w:lang w:val="en-US" w:eastAsia="zh-CN"/>
        </w:rPr>
        <w:t>石嘴山银行24小时自助银行</w:t>
      </w:r>
      <w:r>
        <w:rPr>
          <w:rFonts w:hint="eastAsia" w:ascii="Arial Narrow" w:hAnsi="Arial Narrow" w:cs="宋体"/>
          <w:kern w:val="2"/>
          <w:sz w:val="24"/>
        </w:rPr>
        <w:t>、</w:t>
      </w:r>
      <w:r>
        <w:rPr>
          <w:rFonts w:hint="eastAsia" w:ascii="Arial Narrow" w:hAnsi="Arial Narrow" w:cs="宋体"/>
          <w:kern w:val="2"/>
          <w:sz w:val="24"/>
          <w:lang w:val="en-US" w:eastAsia="zh-CN"/>
        </w:rPr>
        <w:t>中国工商</w:t>
      </w:r>
      <w:r>
        <w:rPr>
          <w:rFonts w:hint="eastAsia" w:ascii="Arial Narrow" w:hAnsi="Arial Narrow" w:cs="宋体"/>
          <w:kern w:val="2"/>
          <w:sz w:val="24"/>
        </w:rPr>
        <w:t>银行</w:t>
      </w:r>
      <w:r>
        <w:rPr>
          <w:rFonts w:hint="eastAsia" w:ascii="Arial Narrow" w:hAnsi="Arial Narrow" w:cs="宋体"/>
          <w:kern w:val="2"/>
          <w:sz w:val="24"/>
          <w:lang w:val="en-US" w:eastAsia="zh-CN"/>
        </w:rPr>
        <w:t>吴忠明珠支行、邮政储蓄银行ATM</w:t>
      </w:r>
      <w:r>
        <w:rPr>
          <w:rFonts w:hint="eastAsia" w:ascii="Arial Narrow" w:hAnsi="Arial Narrow" w:cs="宋体"/>
          <w:kern w:val="2"/>
          <w:sz w:val="24"/>
        </w:rPr>
        <w:t>；</w:t>
      </w:r>
      <w:r>
        <w:rPr>
          <w:rFonts w:hint="eastAsia" w:ascii="Arial Narrow" w:hAnsi="Arial Narrow" w:cs="宋体"/>
          <w:kern w:val="2"/>
          <w:sz w:val="24"/>
          <w:lang w:val="en-US" w:eastAsia="zh-CN"/>
        </w:rPr>
        <w:t>吴忠中学</w:t>
      </w:r>
      <w:r>
        <w:rPr>
          <w:rFonts w:hint="eastAsia" w:ascii="Arial Narrow" w:hAnsi="Arial Narrow" w:cs="宋体"/>
          <w:kern w:val="2"/>
          <w:sz w:val="24"/>
        </w:rPr>
        <w:t>、</w:t>
      </w:r>
      <w:r>
        <w:rPr>
          <w:rFonts w:hint="eastAsia" w:ascii="Arial Narrow" w:hAnsi="Arial Narrow" w:cs="宋体"/>
          <w:kern w:val="2"/>
          <w:sz w:val="24"/>
          <w:lang w:val="en-US" w:eastAsia="zh-CN"/>
        </w:rPr>
        <w:t>吴忠市第五中学、阳光骄子幼儿园、吴忠市技工学校</w:t>
      </w:r>
      <w:r>
        <w:rPr>
          <w:rFonts w:hint="eastAsia" w:ascii="Arial Narrow" w:hAnsi="Arial Narrow" w:cs="宋体"/>
          <w:kern w:val="2"/>
          <w:sz w:val="24"/>
        </w:rPr>
        <w:t>；</w:t>
      </w:r>
      <w:r>
        <w:rPr>
          <w:rFonts w:hint="eastAsia" w:ascii="Arial Narrow" w:hAnsi="Arial Narrow" w:cs="宋体"/>
          <w:kern w:val="2"/>
          <w:sz w:val="24"/>
          <w:lang w:val="en-US" w:eastAsia="zh-CN"/>
        </w:rPr>
        <w:t>吴忠市妇幼保健院、姚学荣口腔诊所</w:t>
      </w:r>
      <w:r>
        <w:rPr>
          <w:rFonts w:hint="eastAsia" w:ascii="Arial Narrow" w:hAnsi="Arial Narrow" w:cs="宋体"/>
          <w:kern w:val="2"/>
          <w:sz w:val="24"/>
        </w:rPr>
        <w:t>等，区域内公共配套设施</w:t>
      </w:r>
      <w:r>
        <w:rPr>
          <w:rFonts w:hint="eastAsia" w:ascii="Arial Narrow" w:hAnsi="Arial Narrow" w:cs="宋体"/>
          <w:kern w:val="2"/>
          <w:sz w:val="24"/>
          <w:lang w:val="en-US" w:eastAsia="zh-CN"/>
        </w:rPr>
        <w:t>较</w:t>
      </w:r>
      <w:r>
        <w:rPr>
          <w:rFonts w:hint="eastAsia" w:ascii="Arial Narrow" w:hAnsi="Arial Narrow" w:cs="宋体"/>
          <w:kern w:val="2"/>
          <w:sz w:val="24"/>
        </w:rPr>
        <w:t>完善。</w:t>
      </w:r>
    </w:p>
    <w:p>
      <w:pPr>
        <w:pStyle w:val="4"/>
        <w:keepNext w:val="0"/>
        <w:keepLines w:val="0"/>
        <w:pageBreakBefore w:val="0"/>
        <w:widowControl w:val="0"/>
        <w:kinsoku/>
        <w:wordWrap/>
        <w:overflowPunct/>
        <w:topLinePunct w:val="0"/>
        <w:autoSpaceDE/>
        <w:autoSpaceDN/>
        <w:bidi w:val="0"/>
        <w:adjustRightInd/>
        <w:snapToGrid/>
        <w:spacing w:line="360" w:lineRule="auto"/>
        <w:ind w:left="19" w:leftChars="9" w:firstLine="458" w:firstLineChars="191"/>
        <w:textAlignment w:val="auto"/>
        <w:rPr>
          <w:rFonts w:ascii="Arial Narrow" w:hAnsi="Arial Narrow" w:cs="宋体"/>
          <w:kern w:val="2"/>
          <w:sz w:val="24"/>
        </w:rPr>
      </w:pPr>
      <w:r>
        <w:rPr>
          <w:rFonts w:hint="eastAsia" w:ascii="Arial Narrow" w:hAnsi="Arial Narrow" w:cs="宋体"/>
          <w:kern w:val="2"/>
          <w:sz w:val="24"/>
        </w:rPr>
        <w:t>（5）居住环境：估价对象位于</w:t>
      </w:r>
      <w:r>
        <w:rPr>
          <w:rFonts w:hint="eastAsia" w:ascii="Arial Narrow" w:hAnsi="Arial Narrow" w:cs="宋体"/>
          <w:kern w:val="2"/>
          <w:sz w:val="24"/>
          <w:lang w:val="en-US" w:eastAsia="zh-CN"/>
        </w:rPr>
        <w:t>黎明北街东</w:t>
      </w:r>
      <w:r>
        <w:rPr>
          <w:rFonts w:hint="eastAsia" w:ascii="Arial Narrow" w:hAnsi="Arial Narrow" w:cs="宋体"/>
          <w:kern w:val="2"/>
          <w:sz w:val="24"/>
        </w:rPr>
        <w:t>侧，周围住宅较多，</w:t>
      </w:r>
      <w:r>
        <w:rPr>
          <w:rFonts w:hint="eastAsia" w:ascii="Arial Narrow" w:hAnsi="Arial Narrow" w:cs="宋体"/>
          <w:kern w:val="2"/>
          <w:sz w:val="24"/>
          <w:lang w:val="en-US" w:eastAsia="zh-CN"/>
        </w:rPr>
        <w:t>阳光骄子B区、红宝家园</w:t>
      </w:r>
      <w:r>
        <w:rPr>
          <w:rFonts w:hint="eastAsia" w:ascii="Arial Narrow" w:hAnsi="Arial Narrow" w:cs="宋体"/>
          <w:kern w:val="2"/>
          <w:sz w:val="24"/>
        </w:rPr>
        <w:t>、</w:t>
      </w:r>
      <w:r>
        <w:rPr>
          <w:rFonts w:hint="eastAsia" w:ascii="Arial Narrow" w:hAnsi="Arial Narrow" w:cs="宋体"/>
          <w:kern w:val="2"/>
          <w:sz w:val="24"/>
          <w:lang w:val="en-US" w:eastAsia="zh-CN"/>
        </w:rPr>
        <w:t>宏远塞上江南</w:t>
      </w:r>
      <w:r>
        <w:rPr>
          <w:rFonts w:hint="eastAsia" w:ascii="Arial Narrow" w:hAnsi="Arial Narrow" w:cs="宋体"/>
          <w:kern w:val="2"/>
          <w:sz w:val="24"/>
        </w:rPr>
        <w:t>、</w:t>
      </w:r>
      <w:r>
        <w:rPr>
          <w:rFonts w:hint="eastAsia" w:ascii="Arial Narrow" w:hAnsi="Arial Narrow" w:cs="宋体"/>
          <w:kern w:val="2"/>
          <w:sz w:val="24"/>
          <w:lang w:val="en-US" w:eastAsia="zh-CN"/>
        </w:rPr>
        <w:t>雅园、书香苑</w:t>
      </w:r>
      <w:r>
        <w:rPr>
          <w:rFonts w:hint="eastAsia" w:ascii="Arial Narrow" w:hAnsi="Arial Narrow" w:cs="宋体"/>
          <w:kern w:val="2"/>
          <w:sz w:val="24"/>
        </w:rPr>
        <w:t>等住宅小区，小区人口较密集，小区人口较密集，区域内居住环境较好。</w:t>
      </w:r>
    </w:p>
    <w:p>
      <w:pPr>
        <w:pStyle w:val="4"/>
        <w:spacing w:line="360" w:lineRule="auto"/>
        <w:ind w:left="19" w:leftChars="9" w:firstLine="458" w:firstLineChars="191"/>
        <w:rPr>
          <w:rFonts w:ascii="Arial Narrow" w:hAnsi="Arial Narrow" w:cs="宋体"/>
          <w:kern w:val="2"/>
          <w:sz w:val="24"/>
        </w:rPr>
      </w:pPr>
      <w:r>
        <w:rPr>
          <w:rFonts w:hint="eastAsia" w:ascii="Arial Narrow" w:hAnsi="Arial Narrow" w:cs="宋体"/>
          <w:kern w:val="2"/>
          <w:sz w:val="24"/>
        </w:rPr>
        <w:t>（6）周围环境：估价对象所在区域自然环境和人文环境较好，无明显的空气、水、噪声及土壤等污染。</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t>2、估价对象实物状况</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t>（1）建筑物状况</w:t>
      </w:r>
    </w:p>
    <w:p>
      <w:pPr>
        <w:pStyle w:val="4"/>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1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①</w:t>
      </w:r>
      <w:r>
        <w:rPr>
          <w:rFonts w:hint="eastAsia" w:ascii="Arial Narrow" w:hAnsi="Arial Narrow" w:cs="宋体"/>
          <w:kern w:val="2"/>
          <w:sz w:val="24"/>
        </w:rPr>
        <w:fldChar w:fldCharType="end"/>
      </w:r>
      <w:r>
        <w:rPr>
          <w:rFonts w:hint="eastAsia" w:ascii="Arial Narrow" w:hAnsi="Arial Narrow" w:cs="宋体"/>
          <w:kern w:val="2"/>
          <w:sz w:val="24"/>
        </w:rPr>
        <w:t>基本状况：估价对象坐落于</w:t>
      </w:r>
      <w:r>
        <w:rPr>
          <w:rFonts w:hint="eastAsia" w:ascii="Arial Narrow" w:hAnsi="Arial Narrow" w:cs="宋体"/>
          <w:kern w:val="2"/>
          <w:sz w:val="24"/>
          <w:lang w:eastAsia="zh-CN"/>
        </w:rPr>
        <w:t>吴忠市利通区明珠路北侧阳光骄子A区一号楼1132室</w:t>
      </w:r>
      <w:r>
        <w:rPr>
          <w:rFonts w:hint="eastAsia" w:ascii="Arial Narrow" w:hAnsi="Arial Narrow" w:cs="宋体"/>
          <w:kern w:val="2"/>
          <w:sz w:val="24"/>
        </w:rPr>
        <w:t>，南北朝向，所在栋楼共</w:t>
      </w:r>
      <w:r>
        <w:rPr>
          <w:rFonts w:hint="eastAsia" w:ascii="Arial Narrow" w:hAnsi="Arial Narrow" w:cs="宋体"/>
          <w:kern w:val="2"/>
          <w:sz w:val="24"/>
          <w:lang w:val="en-US" w:eastAsia="zh-CN"/>
        </w:rPr>
        <w:t>7</w:t>
      </w:r>
      <w:r>
        <w:rPr>
          <w:rFonts w:hint="eastAsia" w:ascii="Arial Narrow" w:hAnsi="Arial Narrow" w:cs="宋体"/>
          <w:kern w:val="2"/>
          <w:sz w:val="24"/>
        </w:rPr>
        <w:t>层，</w:t>
      </w:r>
      <w:r>
        <w:rPr>
          <w:rFonts w:hint="eastAsia" w:ascii="Arial Narrow" w:hAnsi="Arial Narrow" w:cs="宋体"/>
          <w:kern w:val="2"/>
          <w:sz w:val="24"/>
          <w:lang w:val="en-US" w:eastAsia="zh-CN"/>
        </w:rPr>
        <w:t>估价对象位于第3层，</w:t>
      </w:r>
      <w:r>
        <w:rPr>
          <w:rFonts w:hint="eastAsia" w:ascii="Arial Narrow" w:hAnsi="Arial Narrow" w:cs="宋体"/>
          <w:kern w:val="2"/>
          <w:sz w:val="24"/>
        </w:rPr>
        <w:t>栋楼20</w:t>
      </w:r>
      <w:r>
        <w:rPr>
          <w:rFonts w:hint="eastAsia" w:ascii="Arial Narrow" w:hAnsi="Arial Narrow" w:cs="宋体"/>
          <w:kern w:val="2"/>
          <w:sz w:val="24"/>
          <w:lang w:val="en-US" w:eastAsia="zh-CN"/>
        </w:rPr>
        <w:t>06</w:t>
      </w:r>
      <w:r>
        <w:rPr>
          <w:rFonts w:hint="eastAsia" w:ascii="Arial Narrow" w:hAnsi="Arial Narrow" w:cs="宋体"/>
          <w:kern w:val="2"/>
          <w:sz w:val="24"/>
        </w:rPr>
        <w:t>年建成，</w:t>
      </w:r>
      <w:r>
        <w:rPr>
          <w:rFonts w:hint="eastAsia" w:ascii="Arial Narrow" w:hAnsi="Arial Narrow" w:cs="宋体"/>
          <w:kern w:val="2"/>
          <w:sz w:val="24"/>
          <w:lang w:eastAsia="zh-CN"/>
        </w:rPr>
        <w:t>钢混结构</w:t>
      </w:r>
      <w:r>
        <w:rPr>
          <w:rFonts w:hint="eastAsia" w:ascii="Arial Narrow" w:hAnsi="Arial Narrow" w:cs="宋体"/>
          <w:kern w:val="2"/>
          <w:sz w:val="24"/>
        </w:rPr>
        <w:t>，建筑面积为</w:t>
      </w:r>
      <w:r>
        <w:rPr>
          <w:rFonts w:hint="eastAsia" w:ascii="Arial Narrow" w:hAnsi="Arial Narrow" w:cs="宋体"/>
          <w:kern w:val="2"/>
          <w:sz w:val="24"/>
          <w:lang w:eastAsia="zh-CN"/>
        </w:rPr>
        <w:t>126.83平方米</w:t>
      </w:r>
      <w:r>
        <w:rPr>
          <w:rFonts w:hint="eastAsia" w:ascii="Arial Narrow" w:hAnsi="Arial Narrow" w:cs="宋体"/>
          <w:kern w:val="2"/>
          <w:sz w:val="24"/>
        </w:rPr>
        <w:t>，房屋用途为住宅。</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2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②</w:t>
      </w:r>
      <w:r>
        <w:rPr>
          <w:rFonts w:hint="eastAsia" w:ascii="Arial Narrow" w:hAnsi="Arial Narrow" w:cs="宋体"/>
          <w:kern w:val="2"/>
          <w:sz w:val="24"/>
        </w:rPr>
        <w:fldChar w:fldCharType="end"/>
      </w:r>
      <w:r>
        <w:rPr>
          <w:rFonts w:hint="eastAsia" w:ascii="Arial Narrow" w:hAnsi="Arial Narrow" w:cs="宋体"/>
          <w:kern w:val="2"/>
          <w:sz w:val="24"/>
        </w:rPr>
        <w:t>装修装饰状况： 估价对象所在栋楼外墙贴条形砖，单元门为防盗门，入户门为防盗门和成品木门，客厅地面铺800mm×800mm地砖，墙面刷乳胶漆，塑钢窗，</w:t>
      </w:r>
      <w:r>
        <w:rPr>
          <w:rFonts w:hint="eastAsia" w:ascii="Arial Narrow" w:hAnsi="Arial Narrow" w:cs="宋体"/>
          <w:kern w:val="2"/>
          <w:sz w:val="24"/>
          <w:lang w:val="en-US" w:eastAsia="zh-CN"/>
        </w:rPr>
        <w:t>顶棚</w:t>
      </w:r>
      <w:r>
        <w:rPr>
          <w:rFonts w:hint="eastAsia" w:ascii="Arial Narrow" w:hAnsi="Arial Narrow" w:cs="宋体"/>
          <w:kern w:val="2"/>
          <w:sz w:val="24"/>
        </w:rPr>
        <w:t>刷乳胶漆</w:t>
      </w:r>
      <w:r>
        <w:rPr>
          <w:rFonts w:hint="eastAsia" w:ascii="Arial Narrow" w:hAnsi="Arial Narrow" w:cs="宋体"/>
          <w:kern w:val="2"/>
          <w:sz w:val="24"/>
          <w:lang w:val="en-US" w:eastAsia="zh-CN"/>
        </w:rPr>
        <w:t>阴角</w:t>
      </w:r>
      <w:r>
        <w:rPr>
          <w:rFonts w:hint="eastAsia" w:ascii="Arial Narrow" w:hAnsi="Arial Narrow" w:cs="宋体"/>
          <w:kern w:val="2"/>
          <w:sz w:val="24"/>
        </w:rPr>
        <w:t>石膏板线</w:t>
      </w:r>
      <w:r>
        <w:rPr>
          <w:rFonts w:hint="eastAsia" w:ascii="Arial Narrow" w:hAnsi="Arial Narrow" w:cs="宋体"/>
          <w:kern w:val="2"/>
          <w:sz w:val="24"/>
          <w:lang w:val="en-US" w:eastAsia="zh-CN"/>
        </w:rPr>
        <w:t>条</w:t>
      </w:r>
      <w:r>
        <w:rPr>
          <w:rFonts w:hint="eastAsia" w:ascii="Arial Narrow" w:hAnsi="Arial Narrow" w:cs="宋体"/>
          <w:kern w:val="2"/>
          <w:sz w:val="24"/>
        </w:rPr>
        <w:t>；卧室地面铺800mm×800mm地砖，墙面刷乳胶漆，成品木门</w:t>
      </w:r>
      <w:r>
        <w:rPr>
          <w:rFonts w:hint="eastAsia" w:ascii="Arial Narrow" w:hAnsi="Arial Narrow" w:cs="宋体"/>
          <w:kern w:val="2"/>
          <w:sz w:val="24"/>
          <w:lang w:eastAsia="zh-CN"/>
        </w:rPr>
        <w:t>，</w:t>
      </w:r>
      <w:r>
        <w:rPr>
          <w:rFonts w:hint="eastAsia" w:ascii="Arial Narrow" w:hAnsi="Arial Narrow" w:cs="宋体"/>
          <w:kern w:val="2"/>
          <w:sz w:val="24"/>
        </w:rPr>
        <w:t>塑钢窗，</w:t>
      </w:r>
      <w:r>
        <w:rPr>
          <w:rFonts w:hint="eastAsia" w:ascii="Arial Narrow" w:hAnsi="Arial Narrow" w:cs="宋体"/>
          <w:kern w:val="2"/>
          <w:sz w:val="24"/>
          <w:lang w:val="en-US" w:eastAsia="zh-CN"/>
        </w:rPr>
        <w:t>顶棚</w:t>
      </w:r>
      <w:r>
        <w:rPr>
          <w:rFonts w:hint="eastAsia" w:ascii="Arial Narrow" w:hAnsi="Arial Narrow" w:cs="宋体"/>
          <w:kern w:val="2"/>
          <w:sz w:val="24"/>
        </w:rPr>
        <w:t>刷乳胶漆</w:t>
      </w:r>
      <w:r>
        <w:rPr>
          <w:rFonts w:hint="eastAsia" w:ascii="Arial Narrow" w:hAnsi="Arial Narrow" w:cs="宋体"/>
          <w:kern w:val="2"/>
          <w:sz w:val="24"/>
          <w:lang w:val="en-US" w:eastAsia="zh-CN"/>
        </w:rPr>
        <w:t>阴角</w:t>
      </w:r>
      <w:r>
        <w:rPr>
          <w:rFonts w:hint="eastAsia" w:ascii="Arial Narrow" w:hAnsi="Arial Narrow" w:cs="宋体"/>
          <w:kern w:val="2"/>
          <w:sz w:val="24"/>
        </w:rPr>
        <w:t>石膏板线</w:t>
      </w:r>
      <w:r>
        <w:rPr>
          <w:rFonts w:hint="eastAsia" w:ascii="Arial Narrow" w:hAnsi="Arial Narrow" w:cs="宋体"/>
          <w:kern w:val="2"/>
          <w:sz w:val="24"/>
          <w:lang w:val="en-US" w:eastAsia="zh-CN"/>
        </w:rPr>
        <w:t>条</w:t>
      </w:r>
      <w:r>
        <w:rPr>
          <w:rFonts w:hint="eastAsia" w:ascii="Arial Narrow" w:hAnsi="Arial Narrow" w:cs="宋体"/>
          <w:kern w:val="2"/>
          <w:sz w:val="24"/>
        </w:rPr>
        <w:t>；厨房地面铺</w:t>
      </w:r>
      <w:r>
        <w:rPr>
          <w:rFonts w:hint="eastAsia" w:ascii="Arial Narrow" w:hAnsi="Arial Narrow" w:cs="宋体"/>
          <w:kern w:val="2"/>
          <w:sz w:val="24"/>
          <w:lang w:val="en-US" w:eastAsia="zh-CN"/>
        </w:rPr>
        <w:t>8</w:t>
      </w:r>
      <w:r>
        <w:rPr>
          <w:rFonts w:hint="eastAsia" w:ascii="Arial Narrow" w:hAnsi="Arial Narrow" w:cs="宋体"/>
          <w:kern w:val="2"/>
          <w:sz w:val="24"/>
        </w:rPr>
        <w:t>00mm×</w:t>
      </w:r>
      <w:r>
        <w:rPr>
          <w:rFonts w:hint="eastAsia" w:ascii="Arial Narrow" w:hAnsi="Arial Narrow" w:cs="宋体"/>
          <w:kern w:val="2"/>
          <w:sz w:val="24"/>
          <w:lang w:val="en-US" w:eastAsia="zh-CN"/>
        </w:rPr>
        <w:t>8</w:t>
      </w:r>
      <w:r>
        <w:rPr>
          <w:rFonts w:hint="eastAsia" w:ascii="Arial Narrow" w:hAnsi="Arial Narrow" w:cs="宋体"/>
          <w:kern w:val="2"/>
          <w:sz w:val="24"/>
        </w:rPr>
        <w:t>00mm地砖，墙面贴</w:t>
      </w:r>
      <w:r>
        <w:rPr>
          <w:rFonts w:hint="eastAsia" w:ascii="Arial Narrow" w:hAnsi="Arial Narrow" w:cs="宋体"/>
          <w:kern w:val="2"/>
          <w:sz w:val="24"/>
          <w:lang w:val="en-US" w:eastAsia="zh-CN"/>
        </w:rPr>
        <w:t>33</w:t>
      </w:r>
      <w:r>
        <w:rPr>
          <w:rFonts w:hint="eastAsia" w:ascii="Arial Narrow" w:hAnsi="Arial Narrow" w:cs="宋体"/>
          <w:kern w:val="2"/>
          <w:sz w:val="24"/>
        </w:rPr>
        <w:t>0mm×</w:t>
      </w:r>
      <w:r>
        <w:rPr>
          <w:rFonts w:hint="eastAsia" w:ascii="Arial Narrow" w:hAnsi="Arial Narrow" w:cs="宋体"/>
          <w:kern w:val="2"/>
          <w:sz w:val="24"/>
          <w:lang w:val="en-US" w:eastAsia="zh-CN"/>
        </w:rPr>
        <w:t>45</w:t>
      </w:r>
      <w:r>
        <w:rPr>
          <w:rFonts w:hint="eastAsia" w:ascii="Arial Narrow" w:hAnsi="Arial Narrow" w:cs="宋体"/>
          <w:kern w:val="2"/>
          <w:sz w:val="24"/>
        </w:rPr>
        <w:t>0mm面砖，</w:t>
      </w:r>
      <w:r>
        <w:rPr>
          <w:rFonts w:hint="eastAsia" w:ascii="Arial Narrow" w:hAnsi="Arial Narrow" w:cs="宋体"/>
          <w:kern w:val="2"/>
          <w:sz w:val="24"/>
          <w:lang w:val="en-US" w:eastAsia="zh-CN"/>
        </w:rPr>
        <w:t>PVC</w:t>
      </w:r>
      <w:r>
        <w:rPr>
          <w:rFonts w:hint="eastAsia" w:ascii="Arial Narrow" w:hAnsi="Arial Narrow" w:cs="宋体"/>
          <w:kern w:val="2"/>
          <w:sz w:val="24"/>
        </w:rPr>
        <w:t>吊顶</w:t>
      </w:r>
      <w:r>
        <w:rPr>
          <w:rFonts w:hint="eastAsia" w:ascii="Arial Narrow" w:hAnsi="Arial Narrow" w:cs="宋体"/>
          <w:kern w:val="2"/>
          <w:sz w:val="24"/>
          <w:lang w:eastAsia="zh-CN"/>
        </w:rPr>
        <w:t>，</w:t>
      </w:r>
      <w:r>
        <w:rPr>
          <w:rFonts w:hint="eastAsia" w:ascii="Arial Narrow" w:hAnsi="Arial Narrow" w:cs="宋体"/>
          <w:kern w:val="2"/>
          <w:sz w:val="24"/>
          <w:lang w:val="en-US" w:eastAsia="zh-CN"/>
        </w:rPr>
        <w:t>塑钢玻璃门</w:t>
      </w:r>
      <w:r>
        <w:rPr>
          <w:rFonts w:hint="eastAsia" w:ascii="Arial Narrow" w:hAnsi="Arial Narrow" w:cs="宋体"/>
          <w:kern w:val="2"/>
          <w:sz w:val="24"/>
        </w:rPr>
        <w:t>；卫生间地面铺300mm×</w:t>
      </w:r>
      <w:r>
        <w:rPr>
          <w:rFonts w:hint="eastAsia" w:ascii="Arial Narrow" w:hAnsi="Arial Narrow" w:cs="宋体"/>
          <w:kern w:val="2"/>
          <w:sz w:val="24"/>
          <w:lang w:val="en-US" w:eastAsia="zh-CN"/>
        </w:rPr>
        <w:t>3</w:t>
      </w:r>
      <w:r>
        <w:rPr>
          <w:rFonts w:hint="eastAsia" w:ascii="Arial Narrow" w:hAnsi="Arial Narrow" w:cs="宋体"/>
          <w:kern w:val="2"/>
          <w:sz w:val="24"/>
        </w:rPr>
        <w:t>00mm地砖，墙面贴</w:t>
      </w:r>
      <w:r>
        <w:rPr>
          <w:rFonts w:hint="eastAsia" w:ascii="Arial Narrow" w:hAnsi="Arial Narrow" w:cs="宋体"/>
          <w:kern w:val="2"/>
          <w:sz w:val="24"/>
          <w:lang w:val="en-US" w:eastAsia="zh-CN"/>
        </w:rPr>
        <w:t>33</w:t>
      </w:r>
      <w:r>
        <w:rPr>
          <w:rFonts w:hint="eastAsia" w:ascii="Arial Narrow" w:hAnsi="Arial Narrow" w:cs="宋体"/>
          <w:kern w:val="2"/>
          <w:sz w:val="24"/>
        </w:rPr>
        <w:t>0mm×</w:t>
      </w:r>
      <w:r>
        <w:rPr>
          <w:rFonts w:hint="eastAsia" w:ascii="Arial Narrow" w:hAnsi="Arial Narrow" w:cs="宋体"/>
          <w:kern w:val="2"/>
          <w:sz w:val="24"/>
          <w:lang w:val="en-US" w:eastAsia="zh-CN"/>
        </w:rPr>
        <w:t>45</w:t>
      </w:r>
      <w:r>
        <w:rPr>
          <w:rFonts w:hint="eastAsia" w:ascii="Arial Narrow" w:hAnsi="Arial Narrow" w:cs="宋体"/>
          <w:kern w:val="2"/>
          <w:sz w:val="24"/>
        </w:rPr>
        <w:t>0mm面砖，</w:t>
      </w:r>
      <w:r>
        <w:rPr>
          <w:rFonts w:hint="eastAsia" w:ascii="Arial Narrow" w:hAnsi="Arial Narrow" w:cs="宋体"/>
          <w:kern w:val="2"/>
          <w:sz w:val="24"/>
          <w:lang w:val="en-US" w:eastAsia="zh-CN"/>
        </w:rPr>
        <w:t>成品木</w:t>
      </w:r>
      <w:r>
        <w:rPr>
          <w:rFonts w:hint="eastAsia" w:ascii="Arial Narrow" w:hAnsi="Arial Narrow" w:cs="宋体"/>
          <w:kern w:val="2"/>
          <w:sz w:val="24"/>
        </w:rPr>
        <w:t>门，</w:t>
      </w:r>
      <w:r>
        <w:rPr>
          <w:rFonts w:hint="eastAsia" w:ascii="Arial Narrow" w:hAnsi="Arial Narrow" w:cs="宋体"/>
          <w:kern w:val="2"/>
          <w:sz w:val="24"/>
          <w:lang w:val="en-US" w:eastAsia="zh-CN"/>
        </w:rPr>
        <w:t>PVC</w:t>
      </w:r>
      <w:r>
        <w:rPr>
          <w:rFonts w:hint="eastAsia" w:ascii="Arial Narrow" w:hAnsi="Arial Narrow" w:cs="宋体"/>
          <w:kern w:val="2"/>
          <w:sz w:val="24"/>
        </w:rPr>
        <w:t>吊顶；层高2.</w:t>
      </w:r>
      <w:r>
        <w:rPr>
          <w:rFonts w:hint="eastAsia" w:ascii="Arial Narrow" w:hAnsi="Arial Narrow" w:cs="宋体"/>
          <w:kern w:val="2"/>
          <w:sz w:val="24"/>
          <w:lang w:val="en-US" w:eastAsia="zh-CN"/>
        </w:rPr>
        <w:t>7</w:t>
      </w:r>
      <w:r>
        <w:rPr>
          <w:rFonts w:hint="eastAsia" w:ascii="Arial Narrow" w:hAnsi="Arial Narrow" w:cs="宋体"/>
          <w:kern w:val="2"/>
          <w:sz w:val="24"/>
        </w:rPr>
        <w:t>米。</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fldChar w:fldCharType="begin"/>
      </w:r>
      <w:r>
        <w:rPr>
          <w:rFonts w:hint="eastAsia" w:ascii="Arial Narrow" w:hAnsi="Arial Narrow" w:cs="宋体"/>
          <w:kern w:val="2"/>
          <w:sz w:val="24"/>
        </w:rPr>
        <w:instrText xml:space="preserve"> = 3 \* GB3 \* MERGEFORMAT </w:instrText>
      </w:r>
      <w:r>
        <w:rPr>
          <w:rFonts w:hint="eastAsia" w:ascii="Arial Narrow" w:hAnsi="Arial Narrow" w:cs="宋体"/>
          <w:kern w:val="2"/>
          <w:sz w:val="24"/>
        </w:rPr>
        <w:fldChar w:fldCharType="separate"/>
      </w:r>
      <w:r>
        <w:rPr>
          <w:rFonts w:hint="eastAsia" w:ascii="Arial Narrow" w:hAnsi="Arial Narrow" w:cs="宋体"/>
          <w:kern w:val="2"/>
          <w:sz w:val="24"/>
        </w:rPr>
        <w:t>③</w:t>
      </w:r>
      <w:r>
        <w:rPr>
          <w:rFonts w:hint="eastAsia" w:ascii="Arial Narrow" w:hAnsi="Arial Narrow" w:cs="宋体"/>
          <w:kern w:val="2"/>
          <w:sz w:val="24"/>
        </w:rPr>
        <w:fldChar w:fldCharType="end"/>
      </w:r>
      <w:r>
        <w:rPr>
          <w:rFonts w:hint="eastAsia" w:ascii="Arial Narrow" w:hAnsi="Arial Narrow" w:cs="宋体"/>
          <w:kern w:val="2"/>
          <w:sz w:val="24"/>
        </w:rPr>
        <w:t>设施设备状况：估价对象所在栋楼</w:t>
      </w:r>
      <w:r>
        <w:rPr>
          <w:rFonts w:hint="eastAsia" w:ascii="Arial Narrow" w:hAnsi="Arial Narrow" w:cs="宋体"/>
          <w:kern w:val="2"/>
          <w:sz w:val="24"/>
          <w:lang w:val="en-US" w:eastAsia="zh-CN"/>
        </w:rPr>
        <w:t>水、暖、</w:t>
      </w:r>
      <w:r>
        <w:rPr>
          <w:rFonts w:hint="eastAsia" w:ascii="Arial Narrow" w:hAnsi="Arial Narrow" w:cs="宋体"/>
          <w:kern w:val="2"/>
          <w:sz w:val="24"/>
        </w:rPr>
        <w:t>电、天然气等设施完备齐全，单元设有步梯1</w:t>
      </w:r>
      <w:r>
        <w:rPr>
          <w:rFonts w:hint="eastAsia" w:ascii="Arial Narrow" w:hAnsi="Arial Narrow" w:cs="宋体"/>
          <w:kern w:val="2"/>
          <w:sz w:val="24"/>
          <w:lang w:val="en-US" w:eastAsia="zh-CN"/>
        </w:rPr>
        <w:t>部</w:t>
      </w:r>
      <w:r>
        <w:rPr>
          <w:rFonts w:hint="eastAsia" w:ascii="Arial Narrow" w:hAnsi="Arial Narrow" w:cs="宋体"/>
          <w:kern w:val="2"/>
          <w:sz w:val="24"/>
        </w:rPr>
        <w:t>（</w:t>
      </w:r>
      <w:r>
        <w:rPr>
          <w:rFonts w:hint="eastAsia" w:ascii="Arial Narrow" w:hAnsi="Arial Narrow" w:cs="宋体"/>
          <w:kern w:val="2"/>
          <w:sz w:val="24"/>
          <w:lang w:val="en-US" w:eastAsia="zh-CN"/>
        </w:rPr>
        <w:t>花岗岩</w:t>
      </w:r>
      <w:r>
        <w:rPr>
          <w:rFonts w:hint="eastAsia" w:ascii="Arial Narrow" w:hAnsi="Arial Narrow" w:cs="宋体"/>
          <w:kern w:val="2"/>
          <w:sz w:val="24"/>
        </w:rPr>
        <w:t>踏步，不锈钢护栏</w:t>
      </w:r>
      <w:r>
        <w:rPr>
          <w:rFonts w:hint="eastAsia" w:ascii="Arial Narrow" w:hAnsi="Arial Narrow" w:cs="宋体"/>
          <w:kern w:val="2"/>
          <w:sz w:val="24"/>
          <w:lang w:val="en-US" w:eastAsia="zh-CN"/>
        </w:rPr>
        <w:t>及扶手</w:t>
      </w:r>
      <w:r>
        <w:rPr>
          <w:rFonts w:hint="eastAsia" w:ascii="Arial Narrow" w:hAnsi="Arial Narrow" w:cs="宋体"/>
          <w:kern w:val="2"/>
          <w:sz w:val="24"/>
        </w:rPr>
        <w:t>）。</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经估价人员实地查勘，估价对象结构稳定，主体无明显沉降现象，室内设施设备无破损现象。维护及使用状况良好，能够满足使用要求。</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（2）土地使用权状况</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估价人员实地查勘实际用途为住宅用地，土地形状为矩形，土地现状开发程度为宗地外七通即“通路、通电、供水、排水、通暖、通讯、通气”，宗地内“土地平整”。</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（3）利用状况</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截止价值时点，经主办法官及估价人员实地现场查勘，估价对象</w:t>
      </w:r>
      <w:r>
        <w:rPr>
          <w:rFonts w:hint="eastAsia" w:ascii="Arial Narrow" w:hAnsi="Arial Narrow" w:cs="宋体"/>
          <w:kern w:val="2"/>
          <w:sz w:val="24"/>
          <w:lang w:val="en-US" w:eastAsia="zh-CN"/>
        </w:rPr>
        <w:t>现出租</w:t>
      </w:r>
      <w:r>
        <w:rPr>
          <w:rFonts w:hint="eastAsia" w:ascii="Arial Narrow" w:hAnsi="Arial Narrow" w:cs="宋体"/>
          <w:kern w:val="2"/>
          <w:sz w:val="24"/>
        </w:rPr>
        <w:t>。</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3、估价对象权益状况</w:t>
      </w:r>
    </w:p>
    <w:p>
      <w:pPr>
        <w:pStyle w:val="4"/>
        <w:widowControl/>
        <w:spacing w:line="360" w:lineRule="auto"/>
        <w:ind w:firstLine="480" w:firstLineChars="200"/>
        <w:rPr>
          <w:rFonts w:hint="eastAsia" w:ascii="Arial Narrow" w:hAnsi="Arial Narrow" w:cs="宋体"/>
          <w:kern w:val="2"/>
          <w:sz w:val="24"/>
        </w:rPr>
      </w:pPr>
      <w:bookmarkStart w:id="9" w:name="_Toc535140650"/>
      <w:bookmarkStart w:id="10" w:name="_Toc444619165"/>
      <w:r>
        <w:rPr>
          <w:rFonts w:hint="eastAsia" w:ascii="Arial Narrow" w:hAnsi="Arial Narrow" w:cs="宋体"/>
          <w:kern w:val="2"/>
          <w:sz w:val="24"/>
        </w:rPr>
        <w:t>（1）房屋权益状况</w:t>
      </w:r>
    </w:p>
    <w:p>
      <w:pPr>
        <w:pStyle w:val="4"/>
        <w:widowControl/>
        <w:spacing w:line="360" w:lineRule="auto"/>
        <w:ind w:firstLine="480" w:firstLineChars="200"/>
        <w:rPr>
          <w:rFonts w:hint="eastAsia" w:ascii="Arial Narrow" w:hAnsi="Arial Narrow" w:cs="宋体"/>
          <w:kern w:val="2"/>
          <w:sz w:val="24"/>
        </w:rPr>
      </w:pPr>
      <w:r>
        <w:rPr>
          <w:rFonts w:hint="eastAsia" w:ascii="Arial Narrow" w:hAnsi="Arial Narrow" w:cs="宋体"/>
          <w:kern w:val="2"/>
          <w:sz w:val="24"/>
        </w:rPr>
        <w:t>估价委托人提供估价对象的</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rPr>
        <w:t>复印件</w:t>
      </w:r>
      <w:r>
        <w:rPr>
          <w:rFonts w:hint="eastAsia" w:ascii="Arial Narrow" w:hAnsi="Arial Narrow" w:cs="宋体"/>
          <w:kern w:val="2"/>
          <w:sz w:val="24"/>
          <w:lang w:eastAsia="zh-CN"/>
        </w:rPr>
        <w:t>，</w:t>
      </w:r>
      <w:r>
        <w:rPr>
          <w:rFonts w:hint="eastAsia" w:ascii="Arial Narrow" w:hAnsi="Arial Narrow" w:cs="宋体"/>
          <w:kern w:val="2"/>
          <w:sz w:val="24"/>
        </w:rPr>
        <w:t>记载：</w:t>
      </w:r>
      <w:r>
        <w:rPr>
          <w:rFonts w:hint="eastAsia" w:ascii="Arial Narrow" w:hAnsi="Arial Narrow" w:cs="宋体"/>
          <w:kern w:val="2"/>
          <w:sz w:val="24"/>
          <w:lang w:val="en-US" w:eastAsia="zh-CN"/>
        </w:rPr>
        <w:t>产权</w:t>
      </w:r>
      <w:r>
        <w:rPr>
          <w:rFonts w:hint="eastAsia" w:ascii="Arial Narrow" w:hAnsi="Arial Narrow" w:cs="宋体"/>
          <w:kern w:val="2"/>
          <w:sz w:val="24"/>
        </w:rPr>
        <w:t>证号为</w:t>
      </w:r>
      <w:r>
        <w:rPr>
          <w:rFonts w:hint="eastAsia" w:ascii="Arial Narrow" w:hAnsi="Arial Narrow" w:cs="宋体"/>
          <w:kern w:val="2"/>
          <w:sz w:val="24"/>
          <w:lang w:val="en-US" w:eastAsia="zh-CN"/>
        </w:rPr>
        <w:t>宁（2019）利通区不动产权第W0007893号</w:t>
      </w:r>
      <w:r>
        <w:rPr>
          <w:rFonts w:hint="eastAsia" w:ascii="Arial Narrow" w:hAnsi="Arial Narrow" w:cs="宋体"/>
          <w:kern w:val="2"/>
          <w:sz w:val="24"/>
        </w:rPr>
        <w:t>，房屋</w:t>
      </w:r>
      <w:r>
        <w:rPr>
          <w:rFonts w:hint="eastAsia" w:ascii="Arial Narrow" w:hAnsi="Arial Narrow" w:cs="宋体"/>
          <w:kern w:val="2"/>
          <w:sz w:val="24"/>
          <w:lang w:val="en-US" w:eastAsia="zh-CN"/>
        </w:rPr>
        <w:t>产权</w:t>
      </w:r>
      <w:r>
        <w:rPr>
          <w:rFonts w:hint="eastAsia" w:ascii="Arial Narrow" w:hAnsi="Arial Narrow" w:cs="宋体"/>
          <w:kern w:val="2"/>
          <w:sz w:val="24"/>
        </w:rPr>
        <w:t>人为</w:t>
      </w:r>
      <w:r>
        <w:rPr>
          <w:rFonts w:hint="eastAsia" w:ascii="Arial Narrow" w:hAnsi="Arial Narrow" w:cs="宋体"/>
          <w:kern w:val="2"/>
          <w:sz w:val="24"/>
          <w:lang w:val="en-US" w:eastAsia="zh-CN"/>
        </w:rPr>
        <w:t>孙军</w:t>
      </w:r>
      <w:r>
        <w:rPr>
          <w:rFonts w:hint="eastAsia" w:ascii="Arial Narrow" w:hAnsi="Arial Narrow" w:cs="宋体"/>
          <w:kern w:val="2"/>
          <w:sz w:val="24"/>
          <w:lang w:eastAsia="zh-CN"/>
        </w:rPr>
        <w:t>，</w:t>
      </w:r>
      <w:r>
        <w:rPr>
          <w:rFonts w:hint="eastAsia" w:ascii="Arial Narrow" w:hAnsi="Arial Narrow" w:cs="宋体"/>
          <w:kern w:val="2"/>
          <w:sz w:val="24"/>
        </w:rPr>
        <w:t>共有情况为</w:t>
      </w:r>
      <w:r>
        <w:rPr>
          <w:rFonts w:hint="eastAsia" w:ascii="Arial Narrow" w:hAnsi="Arial Narrow" w:cs="宋体"/>
          <w:kern w:val="2"/>
          <w:sz w:val="24"/>
          <w:lang w:val="en-US" w:eastAsia="zh-CN"/>
        </w:rPr>
        <w:t>单独</w:t>
      </w:r>
      <w:r>
        <w:rPr>
          <w:rFonts w:hint="eastAsia" w:ascii="Arial Narrow" w:hAnsi="Arial Narrow" w:cs="宋体"/>
          <w:kern w:val="2"/>
          <w:sz w:val="24"/>
        </w:rPr>
        <w:t>共有，房屋坐落于</w:t>
      </w:r>
      <w:r>
        <w:rPr>
          <w:rFonts w:hint="eastAsia" w:ascii="Arial Narrow" w:hAnsi="Arial Narrow" w:cs="宋体"/>
          <w:kern w:val="2"/>
          <w:sz w:val="24"/>
          <w:lang w:eastAsia="zh-CN"/>
        </w:rPr>
        <w:t>吴忠市利通区明珠路北侧阳光骄子A区一号楼1132室</w:t>
      </w:r>
      <w:r>
        <w:rPr>
          <w:rFonts w:hint="eastAsia" w:ascii="Arial Narrow" w:hAnsi="Arial Narrow" w:cs="宋体"/>
          <w:kern w:val="2"/>
          <w:sz w:val="24"/>
        </w:rPr>
        <w:t>，</w:t>
      </w:r>
      <w:r>
        <w:rPr>
          <w:rFonts w:hint="eastAsia" w:ascii="Arial Narrow" w:hAnsi="Arial Narrow" w:cs="宋体"/>
          <w:kern w:val="2"/>
          <w:sz w:val="24"/>
          <w:lang w:val="en-US" w:eastAsia="zh-CN"/>
        </w:rPr>
        <w:t>房屋</w:t>
      </w:r>
      <w:r>
        <w:rPr>
          <w:rFonts w:hint="eastAsia" w:ascii="Arial Narrow" w:hAnsi="Arial Narrow" w:cs="宋体"/>
          <w:kern w:val="2"/>
          <w:sz w:val="24"/>
        </w:rPr>
        <w:t>用途为</w:t>
      </w:r>
      <w:r>
        <w:rPr>
          <w:rFonts w:hint="eastAsia" w:ascii="Arial Narrow" w:hAnsi="Arial Narrow" w:cs="宋体"/>
          <w:kern w:val="2"/>
          <w:sz w:val="24"/>
          <w:lang w:val="en-US" w:eastAsia="zh-CN"/>
        </w:rPr>
        <w:t>成套</w:t>
      </w:r>
      <w:r>
        <w:rPr>
          <w:rFonts w:hint="eastAsia" w:ascii="Arial Narrow" w:hAnsi="Arial Narrow" w:cs="宋体"/>
          <w:kern w:val="2"/>
          <w:sz w:val="24"/>
        </w:rPr>
        <w:t>住宅，总层数</w:t>
      </w:r>
      <w:r>
        <w:rPr>
          <w:rFonts w:hint="eastAsia" w:ascii="Arial Narrow" w:hAnsi="Arial Narrow" w:cs="宋体"/>
          <w:kern w:val="2"/>
          <w:sz w:val="24"/>
          <w:lang w:val="en-US" w:eastAsia="zh-CN"/>
        </w:rPr>
        <w:t>7</w:t>
      </w:r>
      <w:r>
        <w:rPr>
          <w:rFonts w:hint="eastAsia" w:ascii="Arial Narrow" w:hAnsi="Arial Narrow" w:cs="宋体"/>
          <w:kern w:val="2"/>
          <w:sz w:val="24"/>
        </w:rPr>
        <w:t>层，所在层数</w:t>
      </w:r>
      <w:r>
        <w:rPr>
          <w:rFonts w:hint="eastAsia" w:ascii="Arial Narrow" w:hAnsi="Arial Narrow" w:cs="宋体"/>
          <w:kern w:val="2"/>
          <w:sz w:val="24"/>
          <w:lang w:val="en-US" w:eastAsia="zh-CN"/>
        </w:rPr>
        <w:t>3</w:t>
      </w:r>
      <w:r>
        <w:rPr>
          <w:rFonts w:hint="eastAsia" w:ascii="Arial Narrow" w:hAnsi="Arial Narrow" w:cs="宋体"/>
          <w:kern w:val="2"/>
          <w:sz w:val="24"/>
        </w:rPr>
        <w:t>层，</w:t>
      </w:r>
      <w:r>
        <w:rPr>
          <w:rFonts w:hint="eastAsia" w:ascii="Arial Narrow" w:hAnsi="Arial Narrow" w:cs="宋体"/>
          <w:kern w:val="2"/>
          <w:sz w:val="24"/>
          <w:lang w:eastAsia="zh-CN"/>
        </w:rPr>
        <w:t>建筑面积</w:t>
      </w:r>
      <w:r>
        <w:rPr>
          <w:rFonts w:hint="eastAsia" w:ascii="Arial Narrow" w:hAnsi="Arial Narrow" w:cs="宋体"/>
          <w:kern w:val="2"/>
          <w:sz w:val="24"/>
          <w:lang w:val="en-US" w:eastAsia="zh-CN"/>
        </w:rPr>
        <w:t>126</w:t>
      </w:r>
      <w:r>
        <w:rPr>
          <w:rFonts w:hint="eastAsia" w:ascii="Arial Narrow" w:hAnsi="Arial Narrow" w:cs="宋体"/>
          <w:kern w:val="2"/>
          <w:sz w:val="24"/>
          <w:lang w:eastAsia="zh-CN"/>
        </w:rPr>
        <w:t>.8</w:t>
      </w:r>
      <w:r>
        <w:rPr>
          <w:rFonts w:hint="eastAsia" w:ascii="Arial Narrow" w:hAnsi="Arial Narrow" w:cs="宋体"/>
          <w:kern w:val="2"/>
          <w:sz w:val="24"/>
          <w:lang w:val="en-US" w:eastAsia="zh-CN"/>
        </w:rPr>
        <w:t>3</w:t>
      </w:r>
      <w:r>
        <w:rPr>
          <w:rFonts w:hint="eastAsia" w:ascii="Arial Narrow" w:hAnsi="Arial Narrow" w:cs="宋体"/>
          <w:kern w:val="2"/>
          <w:sz w:val="24"/>
          <w:lang w:eastAsia="zh-CN"/>
        </w:rPr>
        <w:t>㎡</w:t>
      </w:r>
      <w:r>
        <w:rPr>
          <w:rFonts w:hint="eastAsia" w:ascii="Arial Narrow" w:hAnsi="Arial Narrow" w:cs="宋体"/>
          <w:kern w:val="2"/>
          <w:sz w:val="24"/>
        </w:rPr>
        <w:t>，结构为</w:t>
      </w:r>
      <w:r>
        <w:rPr>
          <w:rFonts w:hint="eastAsia" w:ascii="Arial Narrow" w:hAnsi="Arial Narrow" w:cs="宋体"/>
          <w:kern w:val="2"/>
          <w:sz w:val="24"/>
          <w:lang w:eastAsia="zh-CN"/>
        </w:rPr>
        <w:t>钢混结构</w:t>
      </w:r>
      <w:r>
        <w:rPr>
          <w:rFonts w:hint="eastAsia" w:ascii="Arial Narrow" w:hAnsi="Arial Narrow" w:cs="宋体"/>
          <w:kern w:val="2"/>
          <w:sz w:val="24"/>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cs="宋体"/>
          <w:kern w:val="2"/>
          <w:sz w:val="24"/>
        </w:rPr>
      </w:pPr>
      <w:r>
        <w:rPr>
          <w:rFonts w:hint="eastAsia" w:ascii="Arial Narrow" w:hAnsi="Arial Narrow" w:cs="宋体"/>
          <w:kern w:val="2"/>
          <w:sz w:val="24"/>
        </w:rPr>
        <w:t>（2）土地使用权权益状况</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eastAsia="宋体" w:cs="宋体"/>
          <w:kern w:val="2"/>
          <w:sz w:val="24"/>
          <w:lang w:eastAsia="zh-CN"/>
        </w:rPr>
      </w:pPr>
      <w:r>
        <w:rPr>
          <w:rFonts w:hint="eastAsia" w:ascii="Arial Narrow" w:hAnsi="Arial Narrow" w:cs="宋体"/>
          <w:kern w:val="2"/>
          <w:sz w:val="24"/>
        </w:rPr>
        <w:t>本次估价中，估价委托人未提供估价对象</w:t>
      </w:r>
      <w:r>
        <w:rPr>
          <w:rFonts w:hint="eastAsia" w:ascii="Arial Narrow" w:hAnsi="Arial Narrow" w:cs="宋体"/>
          <w:kern w:val="2"/>
          <w:sz w:val="24"/>
          <w:lang w:val="en-US" w:eastAsia="zh-CN"/>
        </w:rPr>
        <w:t>所占用的《土地使用权证》，</w:t>
      </w:r>
      <w:r>
        <w:rPr>
          <w:rFonts w:hint="eastAsia" w:ascii="Arial Narrow" w:hAnsi="Arial Narrow" w:cs="宋体"/>
          <w:kern w:val="2"/>
          <w:sz w:val="24"/>
        </w:rPr>
        <w:t>根据估价对象</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lang w:val="en-US" w:eastAsia="zh-CN"/>
        </w:rPr>
        <w:t>复印件</w:t>
      </w:r>
      <w:r>
        <w:rPr>
          <w:rFonts w:hint="eastAsia" w:ascii="Arial Narrow" w:hAnsi="Arial Narrow" w:cs="宋体"/>
          <w:kern w:val="2"/>
          <w:sz w:val="24"/>
        </w:rPr>
        <w:t>记载，估价对象地类用途为住宅用地，土地性质为出让，分摊面积为</w:t>
      </w:r>
      <w:r>
        <w:rPr>
          <w:rFonts w:hint="eastAsia" w:ascii="Arial Narrow" w:hAnsi="Arial Narrow" w:cs="宋体"/>
          <w:kern w:val="2"/>
          <w:sz w:val="24"/>
          <w:lang w:val="en-US" w:eastAsia="zh-CN"/>
        </w:rPr>
        <w:t>66.95</w:t>
      </w:r>
      <w:r>
        <w:rPr>
          <w:rFonts w:hint="eastAsia" w:ascii="Arial Narrow" w:hAnsi="Arial Narrow" w:cs="宋体"/>
          <w:kern w:val="2"/>
          <w:sz w:val="24"/>
        </w:rPr>
        <w:t>平方米</w:t>
      </w:r>
      <w:r>
        <w:rPr>
          <w:rFonts w:hint="eastAsia" w:ascii="Arial Narrow" w:hAnsi="Arial Narrow" w:cs="宋体"/>
          <w:kern w:val="2"/>
          <w:sz w:val="24"/>
          <w:lang w:eastAsia="zh-CN"/>
        </w:rPr>
        <w:t>，</w:t>
      </w:r>
      <w:r>
        <w:rPr>
          <w:rFonts w:hint="eastAsia" w:ascii="Arial Narrow" w:hAnsi="Arial Narrow" w:cs="宋体"/>
          <w:kern w:val="2"/>
          <w:sz w:val="24"/>
          <w:lang w:val="en-US" w:eastAsia="zh-CN"/>
        </w:rPr>
        <w:t>终止日期为2076-03-07。</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（3）他项权利状况</w:t>
      </w:r>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根据估价委托人提供的估价对象</w:t>
      </w:r>
      <w:r>
        <w:rPr>
          <w:rFonts w:hint="eastAsia" w:ascii="Arial Narrow" w:hAnsi="Arial Narrow" w:cs="宋体"/>
          <w:kern w:val="2"/>
          <w:sz w:val="24"/>
          <w:lang w:eastAsia="zh-CN"/>
        </w:rPr>
        <w:t>《利通区不动产登记信息查询单》</w:t>
      </w:r>
      <w:r>
        <w:rPr>
          <w:rFonts w:hint="eastAsia" w:ascii="Arial Narrow" w:hAnsi="Arial Narrow" w:cs="宋体"/>
          <w:kern w:val="2"/>
          <w:sz w:val="24"/>
          <w:lang w:val="en-US" w:eastAsia="zh-CN"/>
        </w:rPr>
        <w:t>复印件</w:t>
      </w:r>
      <w:r>
        <w:rPr>
          <w:rFonts w:hint="eastAsia" w:ascii="Arial Narrow" w:hAnsi="Arial Narrow" w:cs="宋体"/>
          <w:kern w:val="2"/>
          <w:sz w:val="24"/>
        </w:rPr>
        <w:t>记载，估价对象已抵押、</w:t>
      </w:r>
      <w:r>
        <w:rPr>
          <w:rFonts w:hint="eastAsia" w:ascii="Arial Narrow" w:hAnsi="Arial Narrow" w:cs="宋体"/>
          <w:kern w:val="2"/>
          <w:sz w:val="24"/>
          <w:lang w:val="en-US" w:eastAsia="zh-CN"/>
        </w:rPr>
        <w:t>已</w:t>
      </w:r>
      <w:r>
        <w:rPr>
          <w:rFonts w:hint="eastAsia" w:ascii="Arial Narrow" w:hAnsi="Arial Narrow" w:cs="宋体"/>
          <w:kern w:val="2"/>
          <w:sz w:val="24"/>
        </w:rPr>
        <w:t>查封。</w:t>
      </w:r>
    </w:p>
    <w:p>
      <w:pPr>
        <w:pStyle w:val="4"/>
        <w:widowControl/>
        <w:spacing w:line="360" w:lineRule="auto"/>
        <w:ind w:firstLine="480" w:firstLineChars="200"/>
        <w:rPr>
          <w:rFonts w:ascii="Arial Narrow" w:hAnsi="Arial Narrow" w:cs="宋体"/>
          <w:sz w:val="24"/>
        </w:rPr>
      </w:pPr>
      <w:r>
        <w:rPr>
          <w:rFonts w:hint="eastAsia" w:ascii="Arial Narrow" w:hAnsi="Arial Narrow" w:cs="宋体"/>
          <w:sz w:val="24"/>
        </w:rPr>
        <w:t>截止价值时点，该</w:t>
      </w:r>
      <w:r>
        <w:rPr>
          <w:rFonts w:hint="eastAsia" w:ascii="Arial Narrow" w:hAnsi="Arial Narrow" w:cs="宋体"/>
          <w:kern w:val="2"/>
          <w:sz w:val="24"/>
        </w:rPr>
        <w:t>抵押、查封均</w:t>
      </w:r>
      <w:r>
        <w:rPr>
          <w:rFonts w:hint="eastAsia" w:ascii="Arial Narrow" w:hAnsi="Arial Narrow" w:cs="宋体"/>
          <w:sz w:val="24"/>
        </w:rPr>
        <w:t>未解除。</w:t>
      </w:r>
    </w:p>
    <w:p>
      <w:pPr>
        <w:spacing w:line="360" w:lineRule="auto"/>
        <w:ind w:firstLine="484" w:firstLineChars="202"/>
        <w:rPr>
          <w:rFonts w:hint="default" w:ascii="Arial Narrow" w:hAnsi="Arial Narrow" w:eastAsia="宋体" w:cs="宋体"/>
          <w:sz w:val="24"/>
          <w:lang w:val="en-US" w:eastAsia="zh-CN"/>
        </w:rPr>
      </w:pPr>
      <w:r>
        <w:rPr>
          <w:rFonts w:hint="eastAsia" w:ascii="Arial Narrow" w:hAnsi="Arial Narrow" w:cs="宋体"/>
          <w:sz w:val="24"/>
        </w:rPr>
        <w:t>（4）其他权利状况</w:t>
      </w:r>
      <w:r>
        <w:rPr>
          <w:rFonts w:hint="eastAsia" w:ascii="Arial Narrow" w:hAnsi="Arial Narrow" w:cs="宋体"/>
          <w:sz w:val="24"/>
          <w:lang w:val="en-US" w:eastAsia="zh-CN"/>
        </w:rPr>
        <w:t xml:space="preserve">  </w:t>
      </w:r>
    </w:p>
    <w:p>
      <w:pPr>
        <w:pStyle w:val="4"/>
        <w:keepNext w:val="0"/>
        <w:keepLines w:val="0"/>
        <w:pageBreakBefore w:val="0"/>
        <w:widowControl w:val="0"/>
        <w:kinsoku/>
        <w:wordWrap/>
        <w:overflowPunct/>
        <w:topLinePunct w:val="0"/>
        <w:bidi w:val="0"/>
        <w:spacing w:line="360" w:lineRule="auto"/>
        <w:ind w:firstLine="480" w:firstLineChars="200"/>
        <w:rPr>
          <w:rFonts w:ascii="Arial Narrow" w:hAnsi="Arial Narrow" w:cs="宋体"/>
          <w:sz w:val="24"/>
        </w:rPr>
      </w:pPr>
      <w:r>
        <w:rPr>
          <w:rFonts w:hint="eastAsia" w:ascii="Arial Narrow" w:hAnsi="Arial Narrow" w:cs="宋体"/>
          <w:sz w:val="24"/>
        </w:rPr>
        <w:t>估价</w:t>
      </w:r>
      <w:r>
        <w:rPr>
          <w:rFonts w:hint="eastAsia" w:ascii="Arial Narrow" w:hAnsi="Arial Narrow" w:cs="宋体"/>
          <w:sz w:val="24"/>
          <w:lang w:val="en-US" w:eastAsia="zh-CN"/>
        </w:rPr>
        <w:t>委托人未</w:t>
      </w:r>
      <w:r>
        <w:rPr>
          <w:rFonts w:hint="eastAsia" w:ascii="Arial Narrow" w:hAnsi="Arial Narrow" w:cs="Arial Narrow"/>
          <w:sz w:val="24"/>
          <w:lang w:val="en-US" w:eastAsia="zh-CN"/>
        </w:rPr>
        <w:t>提供</w:t>
      </w:r>
      <w:r>
        <w:rPr>
          <w:rFonts w:hint="eastAsia" w:ascii="Arial Narrow" w:hAnsi="Arial Narrow" w:cs="宋体"/>
          <w:sz w:val="24"/>
        </w:rPr>
        <w:t>《</w:t>
      </w:r>
      <w:r>
        <w:rPr>
          <w:rFonts w:hint="eastAsia" w:ascii="Arial Narrow" w:hAnsi="Arial Narrow" w:cs="宋体"/>
          <w:sz w:val="24"/>
          <w:lang w:val="en-US" w:eastAsia="zh-CN"/>
        </w:rPr>
        <w:t>房屋</w:t>
      </w:r>
      <w:r>
        <w:rPr>
          <w:rFonts w:hint="eastAsia" w:ascii="Arial Narrow" w:hAnsi="Arial Narrow" w:cs="宋体"/>
          <w:sz w:val="24"/>
        </w:rPr>
        <w:t>租赁合同》，</w:t>
      </w:r>
      <w:r>
        <w:rPr>
          <w:rFonts w:hint="eastAsia" w:ascii="Arial Narrow" w:hAnsi="Arial Narrow" w:cs="宋体"/>
          <w:kern w:val="2"/>
          <w:sz w:val="24"/>
        </w:rPr>
        <w:t>估价对象</w:t>
      </w:r>
      <w:r>
        <w:rPr>
          <w:rFonts w:hint="eastAsia" w:ascii="Arial Narrow" w:hAnsi="Arial Narrow" w:cs="宋体"/>
          <w:kern w:val="2"/>
          <w:sz w:val="24"/>
          <w:lang w:val="en-US" w:eastAsia="zh-CN"/>
        </w:rPr>
        <w:t>具体</w:t>
      </w:r>
      <w:r>
        <w:rPr>
          <w:rFonts w:hint="eastAsia" w:ascii="Arial Narrow" w:hAnsi="Arial Narrow" w:cs="宋体"/>
          <w:sz w:val="24"/>
          <w:lang w:val="en-US" w:eastAsia="zh-CN"/>
        </w:rPr>
        <w:t>租赁期限、租金、承租人、租金支付方式等均不详</w:t>
      </w:r>
      <w:r>
        <w:rPr>
          <w:rFonts w:hint="eastAsia" w:ascii="Arial Narrow" w:hAnsi="Arial Narrow" w:cs="宋体"/>
          <w:sz w:val="24"/>
        </w:rPr>
        <w:t>。除此之外，估价对象不存在土地使用管制及相邻关系等其他情况。</w:t>
      </w:r>
    </w:p>
    <w:p>
      <w:pPr>
        <w:pStyle w:val="3"/>
        <w:keepNext w:val="0"/>
        <w:keepLines w:val="0"/>
        <w:widowControl/>
        <w:spacing w:before="0" w:after="0" w:line="360" w:lineRule="auto"/>
        <w:ind w:firstLine="482" w:firstLineChars="200"/>
      </w:pPr>
      <w:r>
        <w:t>五、价值时点</w:t>
      </w:r>
      <w:bookmarkEnd w:id="9"/>
      <w:bookmarkEnd w:id="10"/>
    </w:p>
    <w:p>
      <w:pPr>
        <w:widowControl/>
        <w:spacing w:line="360" w:lineRule="auto"/>
        <w:ind w:firstLine="568"/>
        <w:rPr>
          <w:rFonts w:ascii="Arial Narrow" w:hAnsi="Arial Narrow" w:cs="宋体"/>
          <w:sz w:val="24"/>
        </w:rPr>
      </w:pPr>
      <w:r>
        <w:rPr>
          <w:rFonts w:hint="eastAsia" w:ascii="Arial Narrow" w:hAnsi="Arial Narrow" w:cs="宋体"/>
          <w:sz w:val="24"/>
        </w:rPr>
        <w:t>价值时点确定为2022年</w:t>
      </w:r>
      <w:r>
        <w:rPr>
          <w:rFonts w:hint="eastAsia" w:ascii="Arial Narrow" w:hAnsi="Arial Narrow" w:cs="宋体"/>
          <w:sz w:val="24"/>
          <w:lang w:val="en-US" w:eastAsia="zh-CN"/>
        </w:rPr>
        <w:t>6</w:t>
      </w:r>
      <w:r>
        <w:rPr>
          <w:rFonts w:hint="eastAsia" w:ascii="Arial Narrow" w:hAnsi="Arial Narrow" w:cs="宋体"/>
          <w:sz w:val="24"/>
        </w:rPr>
        <w:t>月</w:t>
      </w:r>
      <w:r>
        <w:rPr>
          <w:rFonts w:hint="eastAsia" w:ascii="Arial Narrow" w:hAnsi="Arial Narrow" w:cs="宋体"/>
          <w:sz w:val="24"/>
          <w:lang w:val="en-US" w:eastAsia="zh-CN"/>
        </w:rPr>
        <w:t>23</w:t>
      </w:r>
      <w:r>
        <w:rPr>
          <w:rFonts w:hint="eastAsia" w:ascii="Arial Narrow" w:hAnsi="Arial Narrow" w:cs="宋体"/>
          <w:sz w:val="24"/>
        </w:rPr>
        <w:t>日，即估价人员对本项目的实地查勘日期。</w:t>
      </w:r>
    </w:p>
    <w:p>
      <w:pPr>
        <w:pStyle w:val="3"/>
        <w:keepNext w:val="0"/>
        <w:keepLines w:val="0"/>
        <w:widowControl/>
        <w:spacing w:before="0" w:after="0" w:line="360" w:lineRule="auto"/>
        <w:ind w:firstLine="482" w:firstLineChars="200"/>
      </w:pPr>
      <w:bookmarkStart w:id="11" w:name="_Toc535140651"/>
      <w:r>
        <w:t>六、价值类型</w:t>
      </w:r>
      <w:bookmarkEnd w:id="11"/>
    </w:p>
    <w:p>
      <w:pPr>
        <w:pStyle w:val="4"/>
        <w:widowControl/>
        <w:spacing w:line="360" w:lineRule="auto"/>
        <w:ind w:firstLine="480" w:firstLineChars="200"/>
        <w:rPr>
          <w:rFonts w:ascii="Arial Narrow" w:hAnsi="Arial Narrow" w:cs="宋体"/>
          <w:kern w:val="2"/>
          <w:sz w:val="24"/>
        </w:rPr>
      </w:pPr>
      <w:r>
        <w:rPr>
          <w:rFonts w:hint="eastAsia" w:ascii="Arial Narrow" w:hAnsi="Arial Narrow" w:cs="宋体"/>
          <w:kern w:val="2"/>
          <w:sz w:val="24"/>
        </w:rPr>
        <w:t>价值类型是指房地产估价结论的价值属性及其表现形式。</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根据估价目的，本次估价选择房地产市场价值作为估价结论的价值类型。</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cs="宋体"/>
          <w:kern w:val="2"/>
          <w:sz w:val="24"/>
        </w:rPr>
      </w:pPr>
      <w:r>
        <w:rPr>
          <w:rFonts w:hint="eastAsia" w:ascii="Arial Narrow" w:hAnsi="Arial Narrow" w:cs="宋体"/>
          <w:kern w:val="2"/>
          <w:sz w:val="24"/>
        </w:rPr>
        <w:t>房地产市场价值是估价对象经适当营销后，由熟悉情况、谨慎行事且不受强迫的交易双方，以公平交易方式于价值时点自愿进行交易的金额，选用比较法、成本法、收益法、假设开发法等估价方法评估得出。</w:t>
      </w:r>
    </w:p>
    <w:p>
      <w:pPr>
        <w:keepNext w:val="0"/>
        <w:keepLines w:val="0"/>
        <w:pageBreakBefore w:val="0"/>
        <w:widowControl w:val="0"/>
        <w:kinsoku/>
        <w:wordWrap/>
        <w:overflowPunct/>
        <w:topLinePunct w:val="0"/>
        <w:autoSpaceDE/>
        <w:autoSpaceDN/>
        <w:bidi w:val="0"/>
        <w:adjustRightInd/>
        <w:snapToGrid/>
        <w:spacing w:line="360" w:lineRule="auto"/>
        <w:ind w:firstLine="568"/>
        <w:textAlignment w:val="auto"/>
        <w:rPr>
          <w:rFonts w:ascii="Arial Narrow" w:hAnsi="Arial Narrow" w:cs="宋体"/>
          <w:sz w:val="24"/>
        </w:rPr>
      </w:pPr>
      <w:r>
        <w:rPr>
          <w:rFonts w:hint="eastAsia" w:ascii="Arial Narrow" w:hAnsi="Arial Narrow" w:cs="宋体"/>
          <w:sz w:val="24"/>
        </w:rPr>
        <w:t>房地产市场价值，是估价中最基本、最重要、最常用的一种价值类型，其主要假设条件有五个：一是适当营销，即估价对象以适当的方式在市场上进行了展示，展示的时间长度可能随着市场状况而变化，但足以使估价对象引起一定数量的潜在买者的注意。二是熟悉情况，即买方和卖方都了解估价对象并熟悉市场行情，买方不盲目地购买，卖方不是盲目地出售。三是谨慎行事，即买方和卖方都是冷静、理性、谨慎的，没有感情用事。四是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五是公平交易，即买方和卖方都是出于自己利益的需要进行估价对象交易的，没有诸如亲友之间、母子公司之间、业主与租户之间等特殊或特别的关系，不是关联交易。</w:t>
      </w:r>
    </w:p>
    <w:p>
      <w:pPr>
        <w:pStyle w:val="3"/>
        <w:keepNext w:val="0"/>
        <w:keepLines w:val="0"/>
        <w:spacing w:before="0" w:after="0" w:line="360" w:lineRule="auto"/>
        <w:ind w:firstLine="482" w:firstLineChars="200"/>
      </w:pPr>
      <w:bookmarkStart w:id="12" w:name="_Toc535140652"/>
      <w:r>
        <w:t>七、估价原则</w:t>
      </w:r>
      <w:bookmarkEnd w:id="12"/>
    </w:p>
    <w:p>
      <w:pPr>
        <w:spacing w:line="360" w:lineRule="auto"/>
        <w:ind w:firstLine="568"/>
        <w:rPr>
          <w:rFonts w:ascii="Arial Narrow" w:hAnsi="Arial Narrow" w:cs="宋体"/>
          <w:sz w:val="24"/>
        </w:rPr>
      </w:pPr>
      <w:r>
        <w:rPr>
          <w:rFonts w:ascii="Arial Narrow" w:hAnsi="Arial Narrow" w:cs="宋体"/>
          <w:sz w:val="24"/>
        </w:rPr>
        <w:t>本</w:t>
      </w:r>
      <w:r>
        <w:rPr>
          <w:rFonts w:hint="eastAsia" w:ascii="Arial Narrow" w:hAnsi="Arial Narrow" w:cs="宋体"/>
          <w:sz w:val="24"/>
        </w:rPr>
        <w:t>评估</w:t>
      </w:r>
      <w:r>
        <w:rPr>
          <w:rFonts w:ascii="Arial Narrow" w:hAnsi="Arial Narrow" w:cs="宋体"/>
          <w:sz w:val="24"/>
        </w:rPr>
        <w:t>报告遵守独立、客观、公正原则、合法原则、最高最佳使用原则、价值时点原则、替代原则等技术性原则进行估价。</w:t>
      </w:r>
    </w:p>
    <w:p>
      <w:pPr>
        <w:spacing w:line="360" w:lineRule="auto"/>
        <w:ind w:firstLine="480" w:firstLineChars="200"/>
        <w:rPr>
          <w:rFonts w:ascii="Arial Narrow" w:hAnsi="Arial Narrow" w:cs="宋体"/>
          <w:sz w:val="24"/>
        </w:rPr>
      </w:pPr>
      <w:r>
        <w:rPr>
          <w:rFonts w:ascii="Arial Narrow" w:hAnsi="Arial Narrow" w:cs="宋体"/>
          <w:sz w:val="24"/>
        </w:rPr>
        <w:t>（一）独立、客观、公正原则</w:t>
      </w:r>
    </w:p>
    <w:p>
      <w:pPr>
        <w:widowControl/>
        <w:spacing w:line="360" w:lineRule="auto"/>
        <w:ind w:firstLine="568"/>
        <w:rPr>
          <w:rFonts w:ascii="Arial Narrow" w:hAnsi="Arial Narrow" w:cs="宋体"/>
          <w:sz w:val="24"/>
        </w:rPr>
      </w:pPr>
      <w:r>
        <w:rPr>
          <w:rFonts w:ascii="Arial Narrow" w:hAnsi="Arial Narrow" w:cs="宋体"/>
          <w:sz w:val="24"/>
        </w:rPr>
        <w:t>独立、客观、公正原则要求站在中立的立场上，实事求是、公平正直地评估出对各方估价利害关系人均是公平合理的价值或价格的原则。所谓</w:t>
      </w:r>
      <w:r>
        <w:rPr>
          <w:rFonts w:hint="eastAsia" w:ascii="Arial Narrow" w:hAnsi="Arial Narrow" w:cs="宋体"/>
          <w:sz w:val="24"/>
        </w:rPr>
        <w:t>“</w:t>
      </w:r>
      <w:r>
        <w:rPr>
          <w:rFonts w:ascii="Arial Narrow" w:hAnsi="Arial Narrow" w:cs="宋体"/>
          <w:sz w:val="24"/>
        </w:rPr>
        <w:t>独立</w:t>
      </w:r>
      <w:r>
        <w:rPr>
          <w:rFonts w:hint="eastAsia" w:ascii="Arial Narrow" w:hAnsi="Arial Narrow" w:cs="宋体"/>
          <w:sz w:val="24"/>
        </w:rPr>
        <w:t>”</w:t>
      </w:r>
      <w:r>
        <w:rPr>
          <w:rFonts w:ascii="Arial Narrow" w:hAnsi="Arial Narrow" w:cs="宋体"/>
          <w:sz w:val="24"/>
        </w:rPr>
        <w:t>，就是要求注册房地产估价师和房地产估价机构与估价委托人及估价利害关系人没有利害关系，在估价中不受包括估价机构、委托人在内的任何单位和个人的影响，应凭自己的专业知识、经验和职业道德进行估价。所谓</w:t>
      </w:r>
      <w:r>
        <w:rPr>
          <w:rFonts w:hint="eastAsia" w:ascii="Arial Narrow" w:hAnsi="Arial Narrow" w:cs="宋体"/>
          <w:sz w:val="24"/>
        </w:rPr>
        <w:t>“</w:t>
      </w:r>
      <w:r>
        <w:rPr>
          <w:rFonts w:ascii="Arial Narrow" w:hAnsi="Arial Narrow" w:cs="宋体"/>
          <w:sz w:val="24"/>
        </w:rPr>
        <w:t>客观</w:t>
      </w:r>
      <w:r>
        <w:rPr>
          <w:rFonts w:hint="eastAsia" w:ascii="Arial Narrow" w:hAnsi="Arial Narrow" w:cs="宋体"/>
          <w:sz w:val="24"/>
        </w:rPr>
        <w:t>”</w:t>
      </w:r>
      <w:r>
        <w:rPr>
          <w:rFonts w:ascii="Arial Narrow" w:hAnsi="Arial Narrow" w:cs="宋体"/>
          <w:sz w:val="24"/>
        </w:rPr>
        <w:t>，就是要求注册房地产估价师和房地产估价机构在估价中不带着自己的情感、好恶和偏见，应按照事物的本来面目、实事求是地进行估价。所谓</w:t>
      </w:r>
      <w:r>
        <w:rPr>
          <w:rFonts w:hint="eastAsia" w:ascii="Arial Narrow" w:hAnsi="Arial Narrow" w:cs="宋体"/>
          <w:sz w:val="24"/>
        </w:rPr>
        <w:t>“</w:t>
      </w:r>
      <w:r>
        <w:rPr>
          <w:rFonts w:ascii="Arial Narrow" w:hAnsi="Arial Narrow" w:cs="宋体"/>
          <w:sz w:val="24"/>
        </w:rPr>
        <w:t>公正</w:t>
      </w:r>
      <w:r>
        <w:rPr>
          <w:rFonts w:hint="eastAsia" w:ascii="Arial Narrow" w:hAnsi="Arial Narrow" w:cs="宋体"/>
          <w:sz w:val="24"/>
        </w:rPr>
        <w:t>”</w:t>
      </w:r>
      <w:r>
        <w:rPr>
          <w:rFonts w:ascii="Arial Narrow" w:hAnsi="Arial Narrow" w:cs="宋体"/>
          <w:sz w:val="24"/>
        </w:rPr>
        <w:t>，就是要求注册房地产估价师和房地产估价机构在估价中不偏袒利害关系人中的任何一方，应坚持原则、公平正直地进行估价。</w:t>
      </w:r>
    </w:p>
    <w:p>
      <w:pPr>
        <w:widowControl/>
        <w:spacing w:line="360" w:lineRule="auto"/>
        <w:ind w:firstLine="480" w:firstLineChars="200"/>
        <w:rPr>
          <w:rFonts w:ascii="Arial Narrow" w:hAnsi="Arial Narrow" w:cs="宋体"/>
          <w:sz w:val="24"/>
        </w:rPr>
      </w:pPr>
      <w:r>
        <w:rPr>
          <w:rFonts w:ascii="Arial Narrow" w:hAnsi="Arial Narrow" w:cs="宋体"/>
          <w:sz w:val="24"/>
        </w:rPr>
        <w:t>（二）合法原则</w:t>
      </w:r>
    </w:p>
    <w:p>
      <w:pPr>
        <w:widowControl/>
        <w:spacing w:line="360" w:lineRule="auto"/>
        <w:ind w:firstLine="568"/>
        <w:rPr>
          <w:rFonts w:ascii="Arial Narrow" w:hAnsi="Arial Narrow" w:cs="宋体"/>
          <w:sz w:val="24"/>
        </w:rPr>
      </w:pPr>
      <w:r>
        <w:rPr>
          <w:rFonts w:ascii="Arial Narrow" w:hAnsi="Arial Narrow" w:cs="宋体"/>
          <w:sz w:val="24"/>
        </w:rPr>
        <w:t>要求估价结果是在依法判定的估价对象状况下的价值或价格的原则。</w:t>
      </w:r>
    </w:p>
    <w:p>
      <w:pPr>
        <w:widowControl/>
        <w:spacing w:line="360" w:lineRule="auto"/>
        <w:ind w:firstLine="568"/>
        <w:rPr>
          <w:rFonts w:ascii="Arial Narrow" w:hAnsi="Arial Narrow" w:cs="宋体"/>
          <w:sz w:val="24"/>
        </w:rPr>
      </w:pPr>
      <w:r>
        <w:rPr>
          <w:rFonts w:ascii="Arial Narrow" w:hAnsi="Arial Narrow" w:cs="宋体"/>
          <w:sz w:val="24"/>
        </w:rPr>
        <w:t>遵循合法原则并不意味着只有合法的房地产才能成为估价对象，而是指依法判定估价对象是哪种状况的房地产，就应将其作为那种状况的房地产来估价。</w:t>
      </w:r>
    </w:p>
    <w:p>
      <w:pPr>
        <w:widowControl/>
        <w:spacing w:line="360" w:lineRule="auto"/>
        <w:ind w:firstLine="480" w:firstLineChars="200"/>
        <w:rPr>
          <w:rFonts w:ascii="Arial Narrow" w:hAnsi="Arial Narrow" w:cs="宋体"/>
          <w:sz w:val="24"/>
        </w:rPr>
      </w:pPr>
      <w:r>
        <w:rPr>
          <w:rFonts w:ascii="Arial Narrow" w:hAnsi="Arial Narrow" w:cs="宋体"/>
          <w:sz w:val="24"/>
        </w:rPr>
        <w:t>（三）最高最佳利用原则</w:t>
      </w:r>
    </w:p>
    <w:p>
      <w:pPr>
        <w:widowControl/>
        <w:spacing w:line="360" w:lineRule="auto"/>
        <w:ind w:firstLine="568"/>
        <w:rPr>
          <w:rFonts w:ascii="Arial Narrow" w:hAnsi="Arial Narrow" w:cs="宋体"/>
          <w:sz w:val="24"/>
        </w:rPr>
      </w:pPr>
      <w:r>
        <w:rPr>
          <w:rFonts w:ascii="Arial Narrow" w:hAnsi="Arial Narrow" w:cs="宋体"/>
          <w:sz w:val="24"/>
        </w:rPr>
        <w:t>最高最佳利用原则要求估价结果是在估价对象最高最佳利用状况下的价值和价格的原则。最高最佳利用必须同时满足四个条件：一是法律上允许；二是技术上可能；三是财务上可行；四是价值最大化。最高最佳利用是指房地产在法律上允许、技术上可能、财务上可行并使价值最大的合理、可能的利用，包括最佳的用途、规模、档次等。</w:t>
      </w:r>
    </w:p>
    <w:p>
      <w:pPr>
        <w:spacing w:line="360" w:lineRule="auto"/>
        <w:ind w:firstLine="360" w:firstLineChars="150"/>
        <w:rPr>
          <w:rFonts w:ascii="Arial Narrow" w:hAnsi="Arial Narrow" w:cs="宋体"/>
          <w:sz w:val="24"/>
        </w:rPr>
      </w:pPr>
      <w:r>
        <w:rPr>
          <w:rFonts w:ascii="Arial Narrow" w:hAnsi="Arial Narrow" w:cs="宋体"/>
          <w:sz w:val="24"/>
        </w:rPr>
        <w:t xml:space="preserve"> （四）替代原则</w:t>
      </w:r>
    </w:p>
    <w:p>
      <w:pPr>
        <w:spacing w:line="360" w:lineRule="auto"/>
        <w:ind w:firstLine="568"/>
        <w:rPr>
          <w:rFonts w:ascii="Arial Narrow" w:hAnsi="Arial Narrow" w:cs="宋体"/>
          <w:sz w:val="24"/>
        </w:rPr>
      </w:pPr>
      <w:r>
        <w:rPr>
          <w:rFonts w:ascii="Arial Narrow" w:hAnsi="Arial Narrow" w:cs="宋体"/>
          <w:sz w:val="24"/>
        </w:rPr>
        <w:t>替代原则要求估价结果与估价对象的类似房地产在同等条件下的价值或价格偏差在合理范围内的原则。依据经济学原理，在同一个市场上相同的商品有相同的价格。</w:t>
      </w:r>
    </w:p>
    <w:p>
      <w:pPr>
        <w:spacing w:line="360" w:lineRule="auto"/>
        <w:ind w:firstLine="568"/>
        <w:rPr>
          <w:rFonts w:ascii="Arial Narrow" w:hAnsi="Arial Narrow" w:cs="宋体"/>
          <w:sz w:val="24"/>
        </w:rPr>
      </w:pPr>
      <w:r>
        <w:rPr>
          <w:rFonts w:ascii="Arial Narrow" w:hAnsi="Arial Narrow" w:cs="宋体"/>
          <w:sz w:val="24"/>
        </w:rPr>
        <w:t xml:space="preserve">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                </w:t>
      </w:r>
    </w:p>
    <w:p>
      <w:pPr>
        <w:spacing w:line="360" w:lineRule="auto"/>
        <w:ind w:firstLine="568"/>
        <w:rPr>
          <w:rFonts w:ascii="Arial Narrow" w:hAnsi="Arial Narrow" w:cs="宋体"/>
          <w:sz w:val="24"/>
        </w:rPr>
      </w:pPr>
      <w:r>
        <w:rPr>
          <w:rFonts w:ascii="Arial Narrow" w:hAnsi="Arial Narrow" w:cs="宋体"/>
          <w:sz w:val="24"/>
        </w:rPr>
        <w:t>（五）价值时点原则</w:t>
      </w:r>
    </w:p>
    <w:p>
      <w:pPr>
        <w:spacing w:line="360" w:lineRule="auto"/>
        <w:ind w:firstLine="568"/>
        <w:rPr>
          <w:rFonts w:ascii="Arial Narrow" w:hAnsi="Arial Narrow" w:cs="宋体"/>
          <w:sz w:val="24"/>
        </w:rPr>
      </w:pPr>
      <w:r>
        <w:rPr>
          <w:rFonts w:ascii="Arial Narrow" w:hAnsi="Arial Narrow" w:cs="宋体"/>
          <w:sz w:val="24"/>
        </w:rPr>
        <w:t>价值时点原则要求估价结果是在根据估价目的确定的某一特定时间的价值或价格的原则。</w:t>
      </w:r>
    </w:p>
    <w:p>
      <w:pPr>
        <w:spacing w:line="360" w:lineRule="auto"/>
        <w:ind w:firstLine="480" w:firstLineChars="200"/>
        <w:rPr>
          <w:rFonts w:ascii="Arial Narrow" w:hAnsi="Arial Narrow" w:cs="宋体"/>
          <w:sz w:val="24"/>
        </w:rPr>
      </w:pPr>
      <w:r>
        <w:rPr>
          <w:rFonts w:ascii="Arial Narrow" w:hAnsi="Arial Narrow" w:cs="宋体"/>
          <w:sz w:val="24"/>
        </w:rPr>
        <w:t>价值时点不是可以随意确定的，应根据估价目的来确定。价值时点可能是现在、过去或将来的某一特定时间，一般为某一特定日期，并采用公历年、月、日表示。</w:t>
      </w:r>
    </w:p>
    <w:p>
      <w:pPr>
        <w:pStyle w:val="3"/>
        <w:keepNext w:val="0"/>
        <w:keepLines w:val="0"/>
        <w:widowControl/>
        <w:spacing w:before="0" w:after="0" w:line="360" w:lineRule="auto"/>
        <w:ind w:firstLine="482" w:firstLineChars="200"/>
      </w:pPr>
      <w:bookmarkStart w:id="13" w:name="_Toc535140653"/>
      <w:r>
        <w:t>八、估价依据</w:t>
      </w:r>
      <w:bookmarkEnd w:id="13"/>
    </w:p>
    <w:p>
      <w:pPr>
        <w:widowControl/>
        <w:spacing w:line="360" w:lineRule="auto"/>
        <w:ind w:firstLine="568"/>
        <w:rPr>
          <w:rFonts w:ascii="Arial Narrow" w:hAnsi="Arial Narrow" w:cs="宋体"/>
          <w:sz w:val="24"/>
        </w:rPr>
      </w:pPr>
      <w:r>
        <w:rPr>
          <w:rFonts w:hint="eastAsia" w:ascii="Arial Narrow" w:hAnsi="Arial Narrow" w:cs="宋体"/>
          <w:sz w:val="24"/>
        </w:rPr>
        <w:t>1、</w:t>
      </w:r>
      <w:r>
        <w:rPr>
          <w:rFonts w:hint="eastAsia" w:ascii="Arial" w:hAnsi="Arial" w:cs="Arial"/>
          <w:sz w:val="24"/>
        </w:rPr>
        <w:t>《中华人民共和国资产评估法》（中华人民共和国第十二届全国人民代表大会常务委员会第二十一次会议于</w:t>
      </w:r>
      <w:r>
        <w:rPr>
          <w:rFonts w:hint="eastAsia" w:ascii="Arial Narrow" w:hAnsi="Arial Narrow" w:cs="宋体"/>
          <w:sz w:val="24"/>
        </w:rPr>
        <w:t>2016年7月2日通过）</w:t>
      </w:r>
      <w:r>
        <w:rPr>
          <w:rFonts w:hint="eastAsia" w:ascii="Arial" w:hAnsi="Arial" w:cs="Arial"/>
          <w:sz w:val="24"/>
        </w:rPr>
        <w:t>；</w:t>
      </w:r>
    </w:p>
    <w:p>
      <w:pPr>
        <w:widowControl/>
        <w:spacing w:line="360" w:lineRule="auto"/>
        <w:ind w:firstLine="568"/>
        <w:rPr>
          <w:rFonts w:ascii="Arial Narrow" w:hAnsi="Arial Narrow" w:cs="宋体"/>
          <w:sz w:val="24"/>
        </w:rPr>
      </w:pPr>
      <w:r>
        <w:rPr>
          <w:rFonts w:hint="eastAsia" w:ascii="Arial Narrow" w:hAnsi="Arial Narrow" w:cs="宋体"/>
          <w:sz w:val="24"/>
        </w:rPr>
        <w:t>2、中华人民共和国主席令第72号《中华人民共和国城市房地产管理法》；</w:t>
      </w:r>
    </w:p>
    <w:p>
      <w:pPr>
        <w:widowControl/>
        <w:spacing w:line="360" w:lineRule="auto"/>
        <w:ind w:firstLine="568"/>
        <w:rPr>
          <w:rFonts w:ascii="Arial Narrow" w:hAnsi="Arial Narrow" w:cs="宋体"/>
          <w:sz w:val="24"/>
        </w:rPr>
      </w:pPr>
      <w:r>
        <w:rPr>
          <w:rFonts w:hint="eastAsia" w:ascii="Arial Narrow" w:hAnsi="Arial Narrow" w:cs="宋体"/>
          <w:sz w:val="24"/>
        </w:rPr>
        <w:t>3、《中华人民共和国民法典》（2020年5月28日第十三届全国人民代表大会第三次会议通过）；</w:t>
      </w:r>
    </w:p>
    <w:p>
      <w:pPr>
        <w:widowControl/>
        <w:spacing w:line="360" w:lineRule="auto"/>
        <w:ind w:firstLine="568"/>
        <w:rPr>
          <w:rFonts w:ascii="Arial Narrow" w:hAnsi="Arial Narrow" w:cs="宋体"/>
          <w:sz w:val="24"/>
        </w:rPr>
      </w:pPr>
      <w:r>
        <w:rPr>
          <w:rFonts w:hint="eastAsia" w:ascii="Arial Narrow" w:hAnsi="Arial Narrow" w:cs="宋体"/>
          <w:sz w:val="24"/>
        </w:rPr>
        <w:t>4、中华人民共和国建设部令第96号《城市房地产转让管理规定》；</w:t>
      </w:r>
    </w:p>
    <w:p>
      <w:pPr>
        <w:keepNext w:val="0"/>
        <w:keepLines w:val="0"/>
        <w:pageBreakBefore w:val="0"/>
        <w:widowControl w:val="0"/>
        <w:kinsoku/>
        <w:wordWrap/>
        <w:overflowPunct/>
        <w:topLinePunct w:val="0"/>
        <w:autoSpaceDE/>
        <w:autoSpaceDN/>
        <w:bidi w:val="0"/>
        <w:adjustRightInd/>
        <w:snapToGrid/>
        <w:spacing w:line="360" w:lineRule="auto"/>
        <w:ind w:firstLine="567"/>
        <w:textAlignment w:val="auto"/>
        <w:rPr>
          <w:rFonts w:ascii="Arial Narrow" w:hAnsi="Arial Narrow" w:cs="宋体"/>
          <w:sz w:val="24"/>
        </w:rPr>
      </w:pPr>
      <w:r>
        <w:rPr>
          <w:rFonts w:hint="eastAsia" w:ascii="Arial Narrow" w:hAnsi="Arial Narrow" w:cs="宋体"/>
          <w:sz w:val="24"/>
        </w:rPr>
        <w:t>5、</w:t>
      </w:r>
      <w:r>
        <w:rPr>
          <w:rFonts w:ascii="Arial Narrow" w:hAnsi="Arial Narrow" w:cs="宋体"/>
          <w:sz w:val="24"/>
        </w:rPr>
        <w:t>《最高人民法院关于人民法院确定财产处置参考价若干问题的规定》（法释〔2018〕15号）</w:t>
      </w:r>
      <w:r>
        <w:rPr>
          <w:rFonts w:hint="eastAsia" w:ascii="Arial Narrow" w:hAnsi="Arial Narrow"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67"/>
        <w:textAlignment w:val="auto"/>
        <w:rPr>
          <w:rFonts w:ascii="Arial Narrow" w:hAnsi="Arial Narrow" w:cs="宋体"/>
          <w:sz w:val="24"/>
        </w:rPr>
      </w:pPr>
      <w:r>
        <w:rPr>
          <w:rFonts w:hint="eastAsia" w:ascii="Arial Narrow" w:hAnsi="Arial Narrow" w:cs="宋体"/>
          <w:sz w:val="24"/>
        </w:rPr>
        <w:t>6、《最高人民法院关于人民法院委托评估、拍卖和变卖工作的若干规定》              法释【</w:t>
      </w:r>
      <w:r>
        <w:rPr>
          <w:rFonts w:ascii="Arial Narrow" w:hAnsi="Arial Narrow" w:cs="宋体"/>
          <w:sz w:val="24"/>
        </w:rPr>
        <w:t>2009】16</w:t>
      </w:r>
      <w:r>
        <w:rPr>
          <w:rFonts w:hint="eastAsia" w:ascii="Arial Narrow" w:hAnsi="Arial Narrow" w:cs="宋体"/>
          <w:sz w:val="24"/>
        </w:rPr>
        <w:t>号；</w:t>
      </w:r>
    </w:p>
    <w:p>
      <w:pPr>
        <w:widowControl/>
        <w:spacing w:line="360" w:lineRule="auto"/>
        <w:ind w:firstLine="568"/>
        <w:rPr>
          <w:rFonts w:ascii="Arial Narrow" w:hAnsi="Arial Narrow" w:cs="宋体"/>
          <w:sz w:val="24"/>
        </w:rPr>
      </w:pPr>
      <w:r>
        <w:rPr>
          <w:rFonts w:hint="eastAsia" w:ascii="Arial Narrow" w:hAnsi="Arial Narrow" w:cs="宋体"/>
          <w:sz w:val="24"/>
        </w:rPr>
        <w:t>7、《最高人民法院对外委托鉴定、评估、拍卖等工作管理规定》（法办发[2007]5号）；</w:t>
      </w:r>
    </w:p>
    <w:p>
      <w:pPr>
        <w:widowControl/>
        <w:spacing w:line="360" w:lineRule="auto"/>
        <w:ind w:firstLine="568"/>
        <w:rPr>
          <w:rFonts w:ascii="Arial Narrow" w:hAnsi="Arial Narrow" w:cs="宋体"/>
          <w:sz w:val="24"/>
        </w:rPr>
      </w:pPr>
      <w:r>
        <w:rPr>
          <w:rFonts w:hint="eastAsia" w:ascii="Arial Narrow" w:hAnsi="Arial Narrow" w:cs="宋体"/>
          <w:sz w:val="24"/>
        </w:rPr>
        <w:t>8、关于印发《人民法院委托评估工作规范》的通知（法办〔2018〕273号）；</w:t>
      </w:r>
    </w:p>
    <w:p>
      <w:pPr>
        <w:widowControl/>
        <w:spacing w:line="360" w:lineRule="auto"/>
        <w:ind w:firstLine="568"/>
        <w:rPr>
          <w:rFonts w:ascii="Arial Narrow" w:hAnsi="Arial Narrow" w:cs="宋体"/>
          <w:sz w:val="24"/>
        </w:rPr>
      </w:pPr>
      <w:r>
        <w:rPr>
          <w:rFonts w:hint="eastAsia" w:ascii="Arial Narrow" w:hAnsi="Arial Narrow" w:cs="宋体"/>
          <w:sz w:val="24"/>
        </w:rPr>
        <w:t>9、《人民法院委托涉执房地产处置司法评估指导意见（内部研讨稿）》；</w:t>
      </w:r>
    </w:p>
    <w:p>
      <w:pPr>
        <w:widowControl/>
        <w:spacing w:line="360" w:lineRule="auto"/>
        <w:ind w:firstLine="568"/>
        <w:rPr>
          <w:rFonts w:ascii="Arial Narrow" w:hAnsi="Arial Narrow" w:cs="宋体"/>
          <w:sz w:val="24"/>
        </w:rPr>
      </w:pPr>
      <w:r>
        <w:rPr>
          <w:rFonts w:hint="eastAsia" w:ascii="Arial Narrow" w:hAnsi="Arial Narrow" w:cs="宋体"/>
          <w:sz w:val="24"/>
        </w:rPr>
        <w:t>10、《涉执房地产处置司法评估指导意见（试行）》中房学〔2021〕37号；</w:t>
      </w:r>
    </w:p>
    <w:p>
      <w:pPr>
        <w:widowControl/>
        <w:spacing w:line="360" w:lineRule="auto"/>
        <w:ind w:firstLine="568"/>
        <w:rPr>
          <w:rFonts w:ascii="Arial Narrow" w:hAnsi="Arial Narrow" w:cs="宋体"/>
          <w:sz w:val="24"/>
        </w:rPr>
      </w:pPr>
      <w:r>
        <w:rPr>
          <w:rFonts w:hint="eastAsia" w:ascii="Arial Narrow" w:hAnsi="Arial Narrow" w:cs="宋体"/>
          <w:sz w:val="24"/>
        </w:rPr>
        <w:t>11、中华人民共和国国家标准《房地产估价规范》（GB/T50291-2015）；</w:t>
      </w:r>
    </w:p>
    <w:p>
      <w:pPr>
        <w:widowControl/>
        <w:spacing w:line="360" w:lineRule="auto"/>
        <w:ind w:firstLine="568"/>
        <w:rPr>
          <w:rFonts w:ascii="Arial Narrow" w:hAnsi="Arial Narrow" w:cs="宋体"/>
          <w:sz w:val="24"/>
        </w:rPr>
      </w:pPr>
      <w:r>
        <w:rPr>
          <w:rFonts w:hint="eastAsia" w:ascii="Arial Narrow" w:hAnsi="Arial Narrow" w:cs="宋体"/>
          <w:sz w:val="24"/>
        </w:rPr>
        <w:t>12、中华人民共和国国家标准《房地产估价基本术语标准》（GB/T50899-2013）；</w:t>
      </w:r>
    </w:p>
    <w:p>
      <w:pPr>
        <w:widowControl/>
        <w:spacing w:line="360" w:lineRule="auto"/>
        <w:ind w:firstLine="568"/>
        <w:rPr>
          <w:rFonts w:ascii="Arial Narrow" w:hAnsi="Arial Narrow" w:cs="宋体"/>
          <w:sz w:val="24"/>
        </w:rPr>
      </w:pPr>
      <w:r>
        <w:rPr>
          <w:rFonts w:hint="eastAsia" w:ascii="Arial Narrow" w:hAnsi="Arial Narrow" w:cs="宋体"/>
          <w:sz w:val="24"/>
        </w:rPr>
        <w:t>13、中国人民银行发布的金融机构存款基准利率、各大银行存款利率调查；</w:t>
      </w:r>
    </w:p>
    <w:p>
      <w:pPr>
        <w:widowControl/>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hint="eastAsia" w:ascii="Arial Narrow" w:hAnsi="Arial Narrow" w:cs="宋体"/>
          <w:sz w:val="24"/>
        </w:rPr>
        <w:t>1</w:t>
      </w:r>
      <w:r>
        <w:rPr>
          <w:rFonts w:hint="eastAsia" w:ascii="Arial Narrow" w:hAnsi="Arial Narrow" w:cs="宋体"/>
          <w:sz w:val="24"/>
          <w:lang w:val="en-US" w:eastAsia="zh-CN"/>
        </w:rPr>
        <w:t>4</w:t>
      </w:r>
      <w:r>
        <w:rPr>
          <w:rFonts w:hint="eastAsia" w:ascii="Arial Narrow" w:hAnsi="Arial Narrow" w:cs="宋体"/>
          <w:sz w:val="24"/>
        </w:rPr>
        <w:t>、</w:t>
      </w:r>
      <w:r>
        <w:rPr>
          <w:rFonts w:hint="eastAsia" w:ascii="Arial Narrow" w:hAnsi="Arial Narrow" w:cs="宋体"/>
          <w:sz w:val="24"/>
          <w:lang w:eastAsia="zh-CN"/>
        </w:rPr>
        <w:t>《银川市兴庆区人民法院委托书》（2022）宁0104执2894号</w:t>
      </w:r>
      <w:r>
        <w:rPr>
          <w:rFonts w:hint="eastAsia" w:ascii="Arial Narrow" w:hAnsi="Arial Narrow" w:cs="宋体"/>
          <w:sz w:val="24"/>
        </w:rPr>
        <w:t>；</w:t>
      </w:r>
    </w:p>
    <w:p>
      <w:pPr>
        <w:widowControl/>
        <w:spacing w:line="360" w:lineRule="auto"/>
        <w:ind w:firstLine="480" w:firstLineChars="200"/>
        <w:rPr>
          <w:rFonts w:ascii="Arial Narrow" w:hAnsi="Arial Narrow"/>
          <w:sz w:val="24"/>
        </w:rPr>
      </w:pPr>
      <w:bookmarkStart w:id="14" w:name="_Toc535140654"/>
      <w:r>
        <w:rPr>
          <w:rFonts w:hint="eastAsia" w:ascii="Arial Narrow" w:hAnsi="Arial Narrow" w:cs="宋体"/>
          <w:sz w:val="24"/>
        </w:rPr>
        <w:t>1</w:t>
      </w:r>
      <w:r>
        <w:rPr>
          <w:rFonts w:hint="eastAsia" w:ascii="Arial Narrow" w:hAnsi="Arial Narrow" w:cs="宋体"/>
          <w:sz w:val="24"/>
          <w:lang w:val="en-US" w:eastAsia="zh-CN"/>
        </w:rPr>
        <w:t>5</w:t>
      </w:r>
      <w:r>
        <w:rPr>
          <w:rFonts w:hint="eastAsia" w:ascii="Arial Narrow" w:hAnsi="Arial Narrow" w:cs="宋体"/>
          <w:sz w:val="24"/>
        </w:rPr>
        <w:t>、</w:t>
      </w:r>
      <w:r>
        <w:rPr>
          <w:rFonts w:hint="eastAsia" w:ascii="Arial Narrow" w:hAnsi="Arial Narrow"/>
          <w:sz w:val="24"/>
        </w:rPr>
        <w:t>估价对象</w:t>
      </w:r>
      <w:r>
        <w:rPr>
          <w:rFonts w:hint="eastAsia" w:ascii="Arial Narrow" w:hAnsi="Arial Narrow"/>
          <w:sz w:val="24"/>
          <w:lang w:eastAsia="zh-CN"/>
        </w:rPr>
        <w:t>《利通区不动产登记信息查询单》</w:t>
      </w:r>
      <w:r>
        <w:rPr>
          <w:rFonts w:hint="eastAsia" w:ascii="Arial Narrow" w:hAnsi="Arial Narrow"/>
          <w:sz w:val="24"/>
          <w:lang w:val="en-US" w:eastAsia="zh-CN"/>
        </w:rPr>
        <w:t>复印件</w:t>
      </w:r>
      <w:r>
        <w:rPr>
          <w:rFonts w:hint="eastAsia" w:ascii="Arial Narrow" w:hAnsi="Arial Narrow"/>
          <w:sz w:val="24"/>
        </w:rPr>
        <w:t>；</w:t>
      </w:r>
    </w:p>
    <w:p>
      <w:pPr>
        <w:widowControl/>
        <w:spacing w:line="360" w:lineRule="auto"/>
        <w:ind w:firstLine="480" w:firstLineChars="200"/>
        <w:rPr>
          <w:rFonts w:ascii="Arial Narrow" w:hAnsi="Arial Narrow"/>
          <w:sz w:val="24"/>
        </w:rPr>
      </w:pPr>
      <w:r>
        <w:rPr>
          <w:rFonts w:hint="eastAsia" w:ascii="Arial Narrow" w:hAnsi="Arial Narrow"/>
          <w:sz w:val="24"/>
        </w:rPr>
        <w:t>1</w:t>
      </w:r>
      <w:r>
        <w:rPr>
          <w:rFonts w:hint="eastAsia" w:ascii="Arial Narrow" w:hAnsi="Arial Narrow"/>
          <w:sz w:val="24"/>
          <w:lang w:val="en-US" w:eastAsia="zh-CN"/>
        </w:rPr>
        <w:t>6</w:t>
      </w:r>
      <w:r>
        <w:rPr>
          <w:rFonts w:hint="eastAsia" w:ascii="Arial Narrow" w:hAnsi="Arial Narrow"/>
          <w:sz w:val="24"/>
        </w:rPr>
        <w:t>、估价对象实地查勘记录；</w:t>
      </w:r>
    </w:p>
    <w:p>
      <w:pPr>
        <w:widowControl/>
        <w:spacing w:line="360" w:lineRule="auto"/>
        <w:ind w:firstLine="480" w:firstLineChars="200"/>
        <w:rPr>
          <w:rFonts w:ascii="Arial Narrow" w:hAnsi="Arial Narrow" w:cs="宋体"/>
          <w:sz w:val="24"/>
        </w:rPr>
      </w:pPr>
      <w:r>
        <w:rPr>
          <w:rFonts w:hint="eastAsia" w:ascii="Arial Narrow" w:hAnsi="Arial Narrow" w:cs="宋体"/>
          <w:sz w:val="24"/>
          <w:lang w:val="en-US" w:eastAsia="zh-CN"/>
        </w:rPr>
        <w:t>17</w:t>
      </w:r>
      <w:r>
        <w:rPr>
          <w:rFonts w:hint="eastAsia" w:ascii="Arial Narrow" w:hAnsi="Arial Narrow" w:cs="宋体"/>
          <w:sz w:val="24"/>
        </w:rPr>
        <w:t>、本评估机构掌握的房地产市场相关资料。</w:t>
      </w:r>
    </w:p>
    <w:p>
      <w:pPr>
        <w:pStyle w:val="3"/>
        <w:keepNext w:val="0"/>
        <w:keepLines w:val="0"/>
        <w:spacing w:before="0" w:after="0" w:line="360" w:lineRule="auto"/>
        <w:ind w:firstLine="482" w:firstLineChars="200"/>
      </w:pPr>
      <w:r>
        <w:t>九、估价方法</w:t>
      </w:r>
      <w:bookmarkEnd w:id="14"/>
    </w:p>
    <w:p>
      <w:pPr>
        <w:shd w:val="clear" w:color="auto" w:fill="FFFFFF"/>
        <w:spacing w:line="360" w:lineRule="auto"/>
        <w:ind w:firstLine="480" w:firstLineChars="200"/>
        <w:jc w:val="left"/>
        <w:rPr>
          <w:rFonts w:ascii="Arial Narrow" w:hAnsi="Arial Narrow" w:cs="宋体"/>
          <w:sz w:val="24"/>
        </w:rPr>
      </w:pPr>
      <w:bookmarkStart w:id="15" w:name="_Toc535140655"/>
      <w:r>
        <w:rPr>
          <w:rFonts w:hint="eastAsia" w:ascii="Arial Narrow" w:hAnsi="Arial Narrow" w:cs="宋体"/>
          <w:sz w:val="24"/>
        </w:rPr>
        <w:t>根据《房地产估价规范》中对估价方法选用的规定：选用估价方法时，应根据估价对象及其所在地的房地产市场状况等客观条件，对比较法、收益法、成本法、假设开发法等估价方法进行适用性分析。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估价人员在实地查勘的基础上，根据价值时点估价对象用途、估价目的和资料收集状况，对估价方法选用分析如下：第一，经调查本地区同类房地产市场交易实例较多，可比实例较易取得，故可采用比较法估价；第二，经调查本地区同类房地产市场租赁实例较多，客观租金较易取得，故可采用收益法估价；第三，假设开发法适用于对在建工程和待开发用地的估价，而估价对象为已建成建筑物，故不宜采用假设开发法估价；第四，成本法以成本累加为基础，未充分考虑供求关系等市场因素对房地产价值的影响，测算结果不能反映住宅房的市场价值，故不宜采用成本法估价。</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综合以上分析，本次对</w:t>
      </w:r>
      <w:r>
        <w:rPr>
          <w:rFonts w:hint="eastAsia" w:ascii="Arial Narrow" w:hAnsi="Arial Narrow" w:cs="宋体"/>
          <w:sz w:val="24"/>
          <w:lang w:eastAsia="zh-CN"/>
        </w:rPr>
        <w:t>吴忠市利通区明珠路北侧阳光骄子A区一号楼1132室</w:t>
      </w:r>
      <w:r>
        <w:rPr>
          <w:rFonts w:hint="eastAsia" w:ascii="Arial Narrow" w:hAnsi="Arial Narrow" w:cs="宋体"/>
          <w:sz w:val="24"/>
        </w:rPr>
        <w:t>住宅房采用比较法、收益法进行估价。</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1、比较法</w:t>
      </w:r>
    </w:p>
    <w:p>
      <w:pPr>
        <w:widowControl/>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比较法是选取一定数量的可比实例，将它们与估价对象进行比较，根据其间的差异对可比实例成交价格进行处理后得到估价对象价值或价格的方法。</w:t>
      </w:r>
    </w:p>
    <w:p>
      <w:pPr>
        <w:widowControl/>
        <w:spacing w:line="360" w:lineRule="auto"/>
        <w:ind w:firstLine="480" w:firstLineChars="200"/>
        <w:rPr>
          <w:rFonts w:ascii="Arial Narrow" w:hAnsi="Arial Narrow" w:cs="宋体"/>
          <w:sz w:val="24"/>
        </w:rPr>
      </w:pPr>
      <w:r>
        <w:rPr>
          <w:rFonts w:hint="eastAsia" w:ascii="Arial Narrow" w:hAnsi="Arial Narrow" w:cs="宋体"/>
          <w:sz w:val="24"/>
        </w:rPr>
        <w:t>首先对可比实例进行恰当地处理，基本公式为：</w:t>
      </w:r>
    </w:p>
    <w:p>
      <w:pPr>
        <w:tabs>
          <w:tab w:val="left" w:pos="1335"/>
        </w:tabs>
        <w:spacing w:line="360" w:lineRule="auto"/>
        <w:ind w:firstLine="480" w:firstLineChars="200"/>
        <w:rPr>
          <w:rFonts w:ascii="Arial Narrow" w:hAnsi="Arial Narrow" w:cs="宋体"/>
          <w:sz w:val="24"/>
        </w:rPr>
      </w:pPr>
      <w:r>
        <w:rPr>
          <w:rFonts w:hint="eastAsia" w:ascii="Arial Narrow" w:hAnsi="Arial Narrow" w:cs="宋体"/>
          <w:sz w:val="24"/>
        </w:rPr>
        <w:t>比准价格＝可比实例成交价格×市场状况调整系数×交易情况修正系数×房地产状况调整系数</w:t>
      </w:r>
    </w:p>
    <w:p>
      <w:pPr>
        <w:pStyle w:val="11"/>
        <w:spacing w:line="360" w:lineRule="auto"/>
        <w:ind w:left="0" w:firstLine="480" w:firstLineChars="200"/>
        <w:rPr>
          <w:rFonts w:ascii="Arial Narrow" w:hAnsi="Arial Narrow" w:cs="宋体"/>
          <w:kern w:val="2"/>
          <w:sz w:val="24"/>
        </w:rPr>
      </w:pPr>
      <w:r>
        <w:rPr>
          <w:rFonts w:hint="eastAsia" w:ascii="Arial Narrow" w:hAnsi="Arial Narrow" w:cs="宋体"/>
          <w:kern w:val="2"/>
          <w:sz w:val="24"/>
        </w:rPr>
        <w:t>把经过修正、调整后的若干个可比实例价格采用平均数综合成一个最终比准价格，也就是采用比较法测算出的估价对象比较价值。</w:t>
      </w:r>
    </w:p>
    <w:p>
      <w:pPr>
        <w:shd w:val="clear" w:color="auto" w:fill="FFFFFF"/>
        <w:spacing w:line="360" w:lineRule="auto"/>
        <w:ind w:firstLine="480" w:firstLineChars="200"/>
        <w:jc w:val="left"/>
        <w:rPr>
          <w:rFonts w:ascii="Arial Narrow" w:hAnsi="Arial Narrow" w:cs="宋体"/>
          <w:sz w:val="24"/>
        </w:rPr>
      </w:pPr>
      <w:r>
        <w:rPr>
          <w:rFonts w:hint="eastAsia" w:ascii="Arial Narrow" w:hAnsi="Arial Narrow" w:cs="宋体"/>
          <w:sz w:val="24"/>
        </w:rPr>
        <w:t>2、收益法</w:t>
      </w:r>
    </w:p>
    <w:p>
      <w:pPr>
        <w:tabs>
          <w:tab w:val="left" w:pos="585"/>
          <w:tab w:val="left" w:pos="1134"/>
        </w:tabs>
        <w:spacing w:line="360" w:lineRule="auto"/>
        <w:ind w:firstLine="480" w:firstLineChars="200"/>
        <w:rPr>
          <w:rFonts w:ascii="Arial Narrow" w:hAnsi="Arial Narrow" w:cs="宋体"/>
          <w:kern w:val="0"/>
          <w:sz w:val="24"/>
        </w:rPr>
      </w:pPr>
      <w:r>
        <w:rPr>
          <w:rFonts w:hint="eastAsia" w:ascii="Arial Narrow" w:hAnsi="Arial Narrow" w:cs="宋体"/>
          <w:color w:val="000000"/>
          <w:sz w:val="24"/>
        </w:rPr>
        <w:t>收益法是预测估价对象的未来收益，利用报酬率或资本化率、收益乘数将未来收益转换为价值得到估价对象价值或价格的方法。当采用报酬资本化法估价时，且估价对象收益期较长、难以预测该期限内各年净收益时，宜选用持有加转售模式进行估价，持有期末的房地产转售价格采用直接资本化法。基本公式为：</w:t>
      </w:r>
    </w:p>
    <w:p>
      <w:pPr>
        <w:widowControl/>
        <w:tabs>
          <w:tab w:val="left" w:pos="709"/>
          <w:tab w:val="left" w:pos="1134"/>
        </w:tabs>
        <w:spacing w:line="360" w:lineRule="auto"/>
        <w:ind w:left="850" w:leftChars="405"/>
        <w:rPr>
          <w:rFonts w:ascii="Arial Narrow" w:hAnsi="Arial Narrow" w:eastAsia="仿宋_GB2312"/>
          <w:i/>
          <w:color w:val="000000"/>
          <w:szCs w:val="21"/>
        </w:rPr>
      </w:pPr>
      <w:r>
        <w:rPr>
          <w:rFonts w:ascii="Arial Narrow" w:hAnsi="Arial Narrow" w:eastAsia="仿宋_GB2312"/>
          <w:i/>
          <w:color w:val="000000"/>
          <w:szCs w:val="21"/>
        </w:rPr>
        <w:drawing>
          <wp:inline distT="0" distB="0" distL="114300" distR="114300">
            <wp:extent cx="160972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609725" cy="590550"/>
                    </a:xfrm>
                    <a:prstGeom prst="rect">
                      <a:avLst/>
                    </a:prstGeom>
                    <a:noFill/>
                    <a:ln w="9525">
                      <a:noFill/>
                      <a:miter/>
                    </a:ln>
                  </pic:spPr>
                </pic:pic>
              </a:graphicData>
            </a:graphic>
          </wp:inline>
        </w:drawing>
      </w:r>
    </w:p>
    <w:p>
      <w:pPr>
        <w:widowControl/>
        <w:tabs>
          <w:tab w:val="left" w:pos="709"/>
          <w:tab w:val="left" w:pos="1134"/>
        </w:tabs>
        <w:spacing w:line="360" w:lineRule="auto"/>
        <w:ind w:left="850" w:leftChars="405"/>
        <w:rPr>
          <w:rFonts w:ascii="Arial Narrow" w:hAnsi="Arial Narrow"/>
          <w:color w:val="000000"/>
        </w:rPr>
      </w:pPr>
      <w:r>
        <w:rPr>
          <w:rFonts w:ascii="Arial Narrow" w:hAnsi="Arial Narrow"/>
        </w:rPr>
        <w:drawing>
          <wp:inline distT="0" distB="0" distL="114300" distR="114300">
            <wp:extent cx="5334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533400" cy="400050"/>
                    </a:xfrm>
                    <a:prstGeom prst="rect">
                      <a:avLst/>
                    </a:prstGeom>
                    <a:noFill/>
                    <a:ln w="9525">
                      <a:noFill/>
                      <a:miter/>
                    </a:ln>
                  </pic:spPr>
                </pic:pic>
              </a:graphicData>
            </a:graphic>
          </wp:inline>
        </w:drawing>
      </w:r>
    </w:p>
    <w:p>
      <w:pPr>
        <w:widowControl/>
        <w:tabs>
          <w:tab w:val="left" w:pos="1335"/>
        </w:tabs>
        <w:spacing w:line="360" w:lineRule="auto"/>
        <w:ind w:firstLine="480" w:firstLineChars="200"/>
        <w:rPr>
          <w:rFonts w:ascii="Arial Narrow" w:hAnsi="Arial Narrow"/>
          <w:color w:val="000000"/>
          <w:sz w:val="24"/>
        </w:rPr>
      </w:pPr>
      <w:r>
        <w:rPr>
          <w:rFonts w:ascii="Arial Narrow" w:hAnsi="Arial Narrow"/>
          <w:color w:val="000000"/>
          <w:sz w:val="24"/>
        </w:rPr>
        <w:t>式中：</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V表示</w:t>
      </w:r>
      <w:r>
        <w:rPr>
          <w:rFonts w:hint="eastAsia" w:ascii="Arial Narrow" w:hAnsi="Arial Narrow"/>
          <w:sz w:val="24"/>
        </w:rPr>
        <w:t xml:space="preserve">   </w:t>
      </w:r>
      <w:r>
        <w:rPr>
          <w:rFonts w:ascii="Arial Narrow" w:hAnsi="Arial Narrow"/>
          <w:sz w:val="24"/>
        </w:rPr>
        <w:t>V表示：收益价值（元或元/m</w:t>
      </w:r>
      <w:r>
        <w:rPr>
          <w:rFonts w:ascii="Arial Narrow" w:hAnsi="Arial Narrow"/>
          <w:sz w:val="24"/>
          <w:vertAlign w:val="superscript"/>
        </w:rPr>
        <w:t>2</w:t>
      </w:r>
      <w:r>
        <w:rPr>
          <w:rFonts w:ascii="Arial Narrow" w:hAnsi="Arial Narrow"/>
          <w:sz w:val="24"/>
        </w:rPr>
        <w:t>）</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A</w:t>
      </w:r>
      <w:r>
        <w:rPr>
          <w:rFonts w:ascii="Arial Narrow" w:hAnsi="Arial Narrow"/>
          <w:sz w:val="24"/>
          <w:vertAlign w:val="subscript"/>
        </w:rPr>
        <w:t>i</w:t>
      </w:r>
      <w:r>
        <w:rPr>
          <w:rFonts w:ascii="Arial Narrow" w:hAnsi="Arial Narrow"/>
          <w:sz w:val="24"/>
        </w:rPr>
        <w:t>表示：期间收益（元或元/m</w:t>
      </w:r>
      <w:r>
        <w:rPr>
          <w:rFonts w:ascii="Arial Narrow" w:hAnsi="Arial Narrow"/>
          <w:sz w:val="24"/>
          <w:vertAlign w:val="superscript"/>
        </w:rPr>
        <w:t>2</w:t>
      </w:r>
      <w:r>
        <w:rPr>
          <w:rFonts w:ascii="Arial Narrow" w:hAnsi="Arial Narrow"/>
          <w:sz w:val="24"/>
        </w:rPr>
        <w:t>）</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V</w:t>
      </w:r>
      <w:r>
        <w:rPr>
          <w:rFonts w:ascii="Arial Narrow" w:hAnsi="Arial Narrow"/>
          <w:sz w:val="24"/>
          <w:vertAlign w:val="subscript"/>
        </w:rPr>
        <w:t>t</w:t>
      </w:r>
      <w:r>
        <w:rPr>
          <w:rFonts w:ascii="Arial Narrow" w:hAnsi="Arial Narrow"/>
          <w:sz w:val="24"/>
        </w:rPr>
        <w:t>表示：期末转售收益（元或元/m</w:t>
      </w:r>
      <w:r>
        <w:rPr>
          <w:rFonts w:ascii="Arial Narrow" w:hAnsi="Arial Narrow"/>
          <w:sz w:val="24"/>
          <w:vertAlign w:val="superscript"/>
        </w:rPr>
        <w:t>2</w:t>
      </w:r>
      <w:r>
        <w:rPr>
          <w:rFonts w:ascii="Arial Narrow" w:hAnsi="Arial Narrow"/>
          <w:sz w:val="24"/>
        </w:rPr>
        <w:t xml:space="preserve">）                               </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w:t>
      </w:r>
      <w:r>
        <w:rPr>
          <w:rFonts w:ascii="Arial Narrow" w:hAnsi="Arial Narrow"/>
          <w:sz w:val="24"/>
          <w:vertAlign w:val="subscript"/>
        </w:rPr>
        <w:t>i</w:t>
      </w:r>
      <w:r>
        <w:rPr>
          <w:rFonts w:ascii="Arial Narrow" w:hAnsi="Arial Narrow"/>
          <w:sz w:val="24"/>
        </w:rPr>
        <w:t>表示：未来第i年的报酬率（%）</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Yt表示：期末报酬率（%）</w:t>
      </w:r>
    </w:p>
    <w:p>
      <w:pPr>
        <w:widowControl/>
        <w:tabs>
          <w:tab w:val="left" w:pos="1335"/>
        </w:tabs>
        <w:spacing w:line="360" w:lineRule="auto"/>
        <w:ind w:firstLine="480" w:firstLineChars="200"/>
        <w:rPr>
          <w:rFonts w:ascii="Arial Narrow" w:hAnsi="Arial Narrow"/>
          <w:sz w:val="24"/>
        </w:rPr>
      </w:pP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w:t>
      </w:r>
      <w:r>
        <w:rPr>
          <w:rFonts w:hint="eastAsia" w:ascii="Arial Narrow" w:hAnsi="Arial Narrow"/>
          <w:sz w:val="24"/>
        </w:rPr>
        <w:t xml:space="preserve"> </w:t>
      </w:r>
      <w:r>
        <w:rPr>
          <w:rFonts w:ascii="Arial Narrow" w:hAnsi="Arial Narrow"/>
          <w:sz w:val="24"/>
        </w:rPr>
        <w:t xml:space="preserve"> t表示：持有期（年）</w:t>
      </w:r>
    </w:p>
    <w:p>
      <w:pPr>
        <w:widowControl/>
        <w:tabs>
          <w:tab w:val="left" w:pos="1335"/>
        </w:tabs>
        <w:spacing w:line="360" w:lineRule="auto"/>
        <w:ind w:firstLine="1440" w:firstLineChars="600"/>
        <w:rPr>
          <w:rFonts w:ascii="Arial Narrow" w:hAnsi="Arial Narrow"/>
          <w:sz w:val="24"/>
        </w:rPr>
      </w:pPr>
      <w:r>
        <w:rPr>
          <w:rFonts w:ascii="Arial Narrow" w:hAnsi="Arial Narrow"/>
          <w:sz w:val="24"/>
        </w:rPr>
        <w:t>NOI表示：未来第一年的净收益(元)</w:t>
      </w:r>
    </w:p>
    <w:p>
      <w:pPr>
        <w:widowControl/>
        <w:tabs>
          <w:tab w:val="left" w:pos="1335"/>
        </w:tabs>
        <w:spacing w:line="360" w:lineRule="auto"/>
        <w:ind w:firstLine="1440" w:firstLineChars="600"/>
        <w:rPr>
          <w:rFonts w:ascii="Arial Narrow" w:hAnsi="Arial Narrow"/>
          <w:sz w:val="24"/>
        </w:rPr>
      </w:pPr>
      <w:r>
        <w:rPr>
          <w:rFonts w:ascii="Arial Narrow" w:hAnsi="Arial Narrow"/>
          <w:sz w:val="24"/>
        </w:rPr>
        <w:t>R表示：资本化率（%）</w:t>
      </w:r>
    </w:p>
    <w:p>
      <w:pPr>
        <w:pStyle w:val="3"/>
        <w:keepNext w:val="0"/>
        <w:keepLines w:val="0"/>
        <w:widowControl/>
        <w:spacing w:before="0" w:after="0" w:line="360" w:lineRule="auto"/>
        <w:ind w:firstLine="482" w:firstLineChars="200"/>
      </w:pPr>
      <w:r>
        <w:t>十、估价结果</w:t>
      </w:r>
      <w:bookmarkEnd w:id="15"/>
      <w:r>
        <w:tab/>
      </w:r>
    </w:p>
    <w:p>
      <w:pPr>
        <w:widowControl/>
        <w:tabs>
          <w:tab w:val="left" w:pos="585"/>
          <w:tab w:val="left" w:pos="1134"/>
        </w:tabs>
        <w:spacing w:line="360" w:lineRule="auto"/>
        <w:ind w:firstLine="480" w:firstLineChars="200"/>
        <w:rPr>
          <w:rFonts w:ascii="Arial Narrow" w:hAnsi="Arial Narrow" w:cs="Arial Narrow"/>
          <w:sz w:val="24"/>
        </w:rPr>
      </w:pPr>
      <w:r>
        <w:rPr>
          <w:rFonts w:hint="eastAsia" w:ascii="Arial Narrow" w:hAnsi="Arial Narrow" w:cs="宋体"/>
          <w:color w:val="000000"/>
          <w:sz w:val="24"/>
        </w:rPr>
        <w:t>估价人员根据估价目的，遵循估价原则，按照估价工作程序，选用适宜的估价方法，经过周密审慎的测算，并结合估价经验及对影响房地产价值的因素综合分析后，确定于价值时点、在本评估报告设定的假设和限制条件下，估价对象房地合一市场价值为：人民币</w:t>
      </w:r>
      <w:r>
        <w:rPr>
          <w:rFonts w:hint="eastAsia" w:ascii="Arial Narrow" w:hAnsi="Arial Narrow" w:cs="宋体"/>
          <w:color w:val="000000"/>
          <w:sz w:val="24"/>
          <w:lang w:val="en-US" w:eastAsia="zh-CN"/>
        </w:rPr>
        <w:t>捌拾肆万肆仟陆佰</w:t>
      </w:r>
      <w:r>
        <w:rPr>
          <w:rFonts w:hint="eastAsia" w:ascii="Arial Narrow" w:hAnsi="Arial Narrow" w:cs="宋体"/>
          <w:color w:val="000000"/>
          <w:sz w:val="24"/>
        </w:rPr>
        <w:t>元整（¥</w:t>
      </w:r>
      <w:r>
        <w:rPr>
          <w:rFonts w:hint="eastAsia" w:ascii="Arial Narrow" w:hAnsi="Arial Narrow" w:cs="宋体"/>
          <w:color w:val="000000"/>
          <w:sz w:val="24"/>
          <w:lang w:val="en-US" w:eastAsia="zh-CN"/>
        </w:rPr>
        <w:t>844</w:t>
      </w:r>
      <w:r>
        <w:rPr>
          <w:rFonts w:hint="eastAsia" w:ascii="Arial Narrow" w:hAnsi="Arial Narrow" w:cs="宋体"/>
          <w:color w:val="000000"/>
          <w:sz w:val="24"/>
        </w:rPr>
        <w:t>,</w:t>
      </w:r>
      <w:r>
        <w:rPr>
          <w:rFonts w:hint="eastAsia" w:ascii="Arial Narrow" w:hAnsi="Arial Narrow" w:cs="宋体"/>
          <w:color w:val="000000"/>
          <w:sz w:val="24"/>
          <w:lang w:val="en-US" w:eastAsia="zh-CN"/>
        </w:rPr>
        <w:t>6</w:t>
      </w:r>
      <w:r>
        <w:rPr>
          <w:rFonts w:hint="eastAsia" w:ascii="Arial Narrow" w:hAnsi="Arial Narrow" w:cs="宋体"/>
          <w:color w:val="000000"/>
          <w:sz w:val="24"/>
        </w:rPr>
        <w:t>00.00</w:t>
      </w:r>
      <w:r>
        <w:rPr>
          <w:rFonts w:hint="eastAsia" w:ascii="Arial Narrow" w:hAnsi="Arial Narrow" w:cs="Arial Narrow"/>
          <w:sz w:val="24"/>
        </w:rPr>
        <w:t>），单价</w:t>
      </w:r>
      <w:r>
        <w:rPr>
          <w:rFonts w:hint="eastAsia" w:ascii="Arial Narrow" w:hAnsi="Arial Narrow" w:cs="Arial Narrow"/>
          <w:sz w:val="24"/>
          <w:lang w:val="en-US" w:eastAsia="zh-CN"/>
        </w:rPr>
        <w:t>6</w:t>
      </w:r>
      <w:r>
        <w:rPr>
          <w:rFonts w:hint="eastAsia" w:ascii="Arial Narrow" w:hAnsi="Arial Narrow" w:cs="Arial Narrow"/>
          <w:sz w:val="24"/>
        </w:rPr>
        <w:t>,</w:t>
      </w:r>
      <w:r>
        <w:rPr>
          <w:rFonts w:hint="eastAsia" w:ascii="Arial Narrow" w:hAnsi="Arial Narrow" w:cs="Arial Narrow"/>
          <w:sz w:val="24"/>
          <w:lang w:val="en-US" w:eastAsia="zh-CN"/>
        </w:rPr>
        <w:t>659</w:t>
      </w:r>
      <w:r>
        <w:rPr>
          <w:rFonts w:hint="eastAsia" w:ascii="Arial Narrow" w:hAnsi="Arial Narrow" w:cs="Arial Narrow"/>
          <w:sz w:val="24"/>
        </w:rPr>
        <w:t>.00</w:t>
      </w:r>
      <w:r>
        <w:rPr>
          <w:rFonts w:hint="eastAsia" w:ascii="Arial Narrow" w:hAnsi="Arial Narrow" w:cs="宋体"/>
          <w:color w:val="000000"/>
          <w:sz w:val="24"/>
        </w:rPr>
        <w:t>元/平方米</w:t>
      </w:r>
      <w:r>
        <w:rPr>
          <w:rFonts w:hint="eastAsia" w:ascii="Arial Narrow" w:hAnsi="Arial Narrow" w:cs="Arial Narrow"/>
          <w:sz w:val="24"/>
        </w:rPr>
        <w:t>，</w:t>
      </w:r>
      <w:r>
        <w:rPr>
          <w:rFonts w:hint="eastAsia" w:ascii="Arial Narrow" w:hAnsi="Arial Narrow" w:cs="宋体"/>
          <w:color w:val="000000"/>
          <w:sz w:val="24"/>
        </w:rPr>
        <w:t>详见</w:t>
      </w:r>
      <w:r>
        <w:rPr>
          <w:rFonts w:hint="eastAsia" w:ascii="Arial Narrow" w:hAnsi="Arial Narrow" w:cs="Arial Narrow"/>
          <w:sz w:val="24"/>
        </w:rPr>
        <w:t>房地产</w:t>
      </w:r>
      <w:r>
        <w:rPr>
          <w:rFonts w:ascii="Arial Narrow" w:hAnsi="Arial Narrow" w:cs="Arial Narrow"/>
          <w:sz w:val="24"/>
        </w:rPr>
        <w:t>估价结果明细表</w:t>
      </w:r>
      <w:r>
        <w:rPr>
          <w:rFonts w:hint="eastAsia" w:ascii="Arial Narrow" w:hAnsi="Arial Narrow" w:cs="Arial Narrow"/>
          <w:sz w:val="24"/>
        </w:rPr>
        <w:t>。</w:t>
      </w:r>
    </w:p>
    <w:tbl>
      <w:tblPr>
        <w:tblStyle w:val="14"/>
        <w:tblW w:w="92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1279"/>
        <w:gridCol w:w="1389"/>
        <w:gridCol w:w="585"/>
        <w:gridCol w:w="486"/>
        <w:gridCol w:w="872"/>
        <w:gridCol w:w="615"/>
        <w:gridCol w:w="814"/>
        <w:gridCol w:w="932"/>
        <w:gridCol w:w="962"/>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9289"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Arial Narrow" w:hAnsi="Arial Narrow" w:eastAsia="Arial Narrow" w:cs="Arial Narrow"/>
                <w:b/>
                <w:bCs/>
                <w:i w:val="0"/>
                <w:iCs w:val="0"/>
                <w:color w:val="000000"/>
                <w:sz w:val="24"/>
                <w:szCs w:val="24"/>
                <w:u w:val="none"/>
              </w:rPr>
            </w:pPr>
            <w:bookmarkStart w:id="16" w:name="RANGE!A1:L7"/>
            <w:bookmarkEnd w:id="16"/>
            <w:bookmarkStart w:id="17" w:name="_Toc444619171"/>
            <w:bookmarkStart w:id="18" w:name="_Toc535140656"/>
            <w:r>
              <w:rPr>
                <w:rFonts w:hint="eastAsia" w:ascii="宋体" w:hAnsi="宋体" w:eastAsia="宋体" w:cs="宋体"/>
                <w:b/>
                <w:bCs/>
                <w:i w:val="0"/>
                <w:iCs w:val="0"/>
                <w:color w:val="000000"/>
                <w:kern w:val="0"/>
                <w:sz w:val="24"/>
                <w:szCs w:val="24"/>
                <w:u w:val="none"/>
                <w:lang w:val="en-US" w:eastAsia="zh-CN" w:bidi="ar"/>
              </w:rPr>
              <w:t>房地产估价结果明细表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89"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价值时点：2022年6月23日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产权人</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产权证号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估价对象名称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建成年代</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所在层</w:t>
            </w:r>
            <w:r>
              <w:rPr>
                <w:rFonts w:hint="default" w:ascii="Arial Narrow" w:hAnsi="Arial Narrow" w:eastAsia="Arial Narrow" w:cs="Arial Narrow"/>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总层数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规划用途</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建筑面积（㎡）</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评估单价（元</w:t>
            </w:r>
            <w:r>
              <w:rPr>
                <w:rFonts w:hint="default" w:ascii="Arial Narrow" w:hAnsi="Arial Narrow" w:eastAsia="Arial Narrow" w:cs="Arial Narrow"/>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评估总价（元）</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631"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孙军</w:t>
            </w:r>
          </w:p>
        </w:tc>
        <w:tc>
          <w:tcPr>
            <w:tcW w:w="1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宁（2019）利通区不动产权第W0007893号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吴忠市利通区明珠路北侧阳光骄子A区一号楼1132室</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2006</w:t>
            </w:r>
            <w:r>
              <w:rPr>
                <w:rFonts w:hint="eastAsia" w:ascii="宋体" w:hAnsi="宋体" w:eastAsia="宋体" w:cs="宋体"/>
                <w:i w:val="0"/>
                <w:iCs w:val="0"/>
                <w:color w:val="000000"/>
                <w:kern w:val="0"/>
                <w:sz w:val="18"/>
                <w:szCs w:val="18"/>
                <w:u w:val="none"/>
                <w:lang w:val="en-US" w:eastAsia="zh-CN" w:bidi="ar"/>
              </w:rPr>
              <w:t>年</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3//7</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126.83</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6,659.00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844,600.00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房地合一价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58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126.83</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844,600.00</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百位取整</w:t>
            </w:r>
          </w:p>
        </w:tc>
      </w:tr>
    </w:tbl>
    <w:p>
      <w:pPr>
        <w:pStyle w:val="3"/>
        <w:keepNext w:val="0"/>
        <w:keepLines w:val="0"/>
        <w:widowControl/>
        <w:spacing w:before="0" w:after="0" w:line="360" w:lineRule="auto"/>
        <w:ind w:firstLine="482" w:firstLineChars="200"/>
        <w:rPr>
          <w:rFonts w:ascii="Arial Narrow" w:hAnsi="Arial Narrow"/>
        </w:rPr>
      </w:pPr>
    </w:p>
    <w:p>
      <w:pPr>
        <w:pStyle w:val="3"/>
        <w:keepNext w:val="0"/>
        <w:keepLines w:val="0"/>
        <w:widowControl/>
        <w:spacing w:before="0" w:after="0" w:line="360" w:lineRule="auto"/>
        <w:ind w:firstLine="482" w:firstLineChars="200"/>
        <w:rPr>
          <w:rFonts w:ascii="Arial Narrow" w:hAnsi="Arial Narrow"/>
        </w:rPr>
      </w:pPr>
      <w:r>
        <w:rPr>
          <w:rFonts w:ascii="Arial Narrow" w:hAnsi="Arial Narrow"/>
        </w:rPr>
        <w:t>十一、估价人员</w:t>
      </w:r>
      <w:bookmarkEnd w:id="17"/>
      <w:bookmarkEnd w:id="18"/>
    </w:p>
    <w:tbl>
      <w:tblPr>
        <w:tblStyle w:val="14"/>
        <w:tblW w:w="8699" w:type="dxa"/>
        <w:jc w:val="center"/>
        <w:tblLayout w:type="fixed"/>
        <w:tblCellMar>
          <w:top w:w="0" w:type="dxa"/>
          <w:left w:w="108" w:type="dxa"/>
          <w:bottom w:w="0" w:type="dxa"/>
          <w:right w:w="108" w:type="dxa"/>
        </w:tblCellMar>
      </w:tblPr>
      <w:tblGrid>
        <w:gridCol w:w="1229"/>
        <w:gridCol w:w="2130"/>
        <w:gridCol w:w="2895"/>
        <w:gridCol w:w="2445"/>
      </w:tblGrid>
      <w:tr>
        <w:tblPrEx>
          <w:tblCellMar>
            <w:top w:w="0" w:type="dxa"/>
            <w:left w:w="108" w:type="dxa"/>
            <w:bottom w:w="0" w:type="dxa"/>
            <w:right w:w="108" w:type="dxa"/>
          </w:tblCellMar>
        </w:tblPrEx>
        <w:trPr>
          <w:trHeight w:val="761" w:hRule="exact"/>
          <w:jc w:val="center"/>
        </w:trPr>
        <w:tc>
          <w:tcPr>
            <w:tcW w:w="1229" w:type="dxa"/>
            <w:vAlign w:val="center"/>
          </w:tcPr>
          <w:p>
            <w:pPr>
              <w:widowControl/>
              <w:ind w:firstLine="360" w:firstLineChars="150"/>
              <w:rPr>
                <w:rFonts w:ascii="Arial Narrow" w:hAnsi="Arial Narrow"/>
                <w:sz w:val="24"/>
              </w:rPr>
            </w:pPr>
            <w:bookmarkStart w:id="19" w:name="_Toc535140657"/>
            <w:bookmarkStart w:id="20" w:name="_Toc23299"/>
            <w:r>
              <w:rPr>
                <w:rFonts w:hint="eastAsia" w:ascii="Arial Narrow" w:hAnsi="Arial Narrow"/>
                <w:sz w:val="24"/>
              </w:rPr>
              <w:t>姓名</w:t>
            </w:r>
          </w:p>
        </w:tc>
        <w:tc>
          <w:tcPr>
            <w:tcW w:w="2130" w:type="dxa"/>
            <w:vAlign w:val="center"/>
          </w:tcPr>
          <w:p>
            <w:pPr>
              <w:widowControl/>
              <w:jc w:val="center"/>
              <w:rPr>
                <w:rFonts w:ascii="Arial Narrow" w:hAnsi="Arial Narrow"/>
                <w:sz w:val="24"/>
              </w:rPr>
            </w:pPr>
            <w:r>
              <w:rPr>
                <w:rFonts w:hint="eastAsia" w:ascii="Arial Narrow" w:hAnsi="Arial Narrow"/>
                <w:sz w:val="24"/>
              </w:rPr>
              <w:t>注册号</w:t>
            </w:r>
          </w:p>
        </w:tc>
        <w:tc>
          <w:tcPr>
            <w:tcW w:w="2895" w:type="dxa"/>
            <w:vAlign w:val="center"/>
          </w:tcPr>
          <w:p>
            <w:pPr>
              <w:widowControl/>
              <w:ind w:firstLine="240" w:firstLineChars="100"/>
              <w:rPr>
                <w:rFonts w:ascii="Arial Narrow" w:hAnsi="Arial Narrow"/>
                <w:sz w:val="24"/>
              </w:rPr>
            </w:pPr>
            <w:r>
              <w:rPr>
                <w:rFonts w:ascii="Arial Narrow" w:hAnsi="Arial Narrow"/>
                <w:sz w:val="24"/>
              </w:rPr>
              <w:t xml:space="preserve">      </w:t>
            </w:r>
            <w:r>
              <w:rPr>
                <w:rFonts w:hint="eastAsia" w:ascii="Arial Narrow" w:hAnsi="Arial Narrow"/>
                <w:sz w:val="24"/>
              </w:rPr>
              <w:t>签（章）名</w:t>
            </w:r>
          </w:p>
        </w:tc>
        <w:tc>
          <w:tcPr>
            <w:tcW w:w="2445" w:type="dxa"/>
            <w:vAlign w:val="center"/>
          </w:tcPr>
          <w:p>
            <w:pPr>
              <w:widowControl/>
              <w:ind w:firstLine="480" w:firstLineChars="200"/>
              <w:jc w:val="left"/>
              <w:rPr>
                <w:rFonts w:ascii="Arial Narrow" w:hAnsi="Arial Narrow"/>
                <w:sz w:val="24"/>
              </w:rPr>
            </w:pPr>
            <w:r>
              <w:rPr>
                <w:rFonts w:ascii="Arial Narrow" w:hAnsi="Arial Narrow"/>
                <w:sz w:val="24"/>
              </w:rPr>
              <w:t xml:space="preserve">  </w:t>
            </w:r>
            <w:r>
              <w:rPr>
                <w:rFonts w:hint="eastAsia" w:ascii="Arial Narrow" w:hAnsi="Arial Narrow"/>
                <w:sz w:val="24"/>
              </w:rPr>
              <w:t>签名日期</w:t>
            </w:r>
          </w:p>
        </w:tc>
      </w:tr>
      <w:tr>
        <w:tblPrEx>
          <w:tblCellMar>
            <w:top w:w="0" w:type="dxa"/>
            <w:left w:w="108" w:type="dxa"/>
            <w:bottom w:w="0" w:type="dxa"/>
            <w:right w:w="108" w:type="dxa"/>
          </w:tblCellMar>
        </w:tblPrEx>
        <w:trPr>
          <w:trHeight w:val="794" w:hRule="exact"/>
          <w:jc w:val="center"/>
        </w:trPr>
        <w:tc>
          <w:tcPr>
            <w:tcW w:w="1229" w:type="dxa"/>
            <w:vAlign w:val="center"/>
          </w:tcPr>
          <w:p>
            <w:pPr>
              <w:spacing w:line="360" w:lineRule="auto"/>
              <w:ind w:firstLine="240" w:firstLineChars="100"/>
              <w:jc w:val="right"/>
              <w:rPr>
                <w:rFonts w:ascii="Arial Narrow" w:hAnsi="Arial Narrow" w:cs="Arial Narrow"/>
                <w:sz w:val="24"/>
              </w:rPr>
            </w:pPr>
            <w:r>
              <w:rPr>
                <w:rFonts w:hint="eastAsia" w:ascii="Arial Narrow" w:hAnsi="Arial Narrow" w:cs="Arial Narrow"/>
                <w:sz w:val="24"/>
              </w:rPr>
              <w:t>葛  畅</w:t>
            </w:r>
          </w:p>
        </w:tc>
        <w:tc>
          <w:tcPr>
            <w:tcW w:w="2130" w:type="dxa"/>
            <w:vAlign w:val="center"/>
          </w:tcPr>
          <w:p>
            <w:pPr>
              <w:spacing w:line="360" w:lineRule="auto"/>
              <w:jc w:val="center"/>
              <w:rPr>
                <w:rFonts w:ascii="Arial Narrow" w:hAnsi="Arial Narrow"/>
                <w:sz w:val="24"/>
              </w:rPr>
            </w:pPr>
            <w:r>
              <w:rPr>
                <w:rFonts w:hint="eastAsia" w:ascii="Arial Narrow" w:hAnsi="Arial Narrow" w:cs="Arial Narrow"/>
                <w:sz w:val="24"/>
              </w:rPr>
              <w:t>6420040025</w:t>
            </w:r>
          </w:p>
        </w:tc>
        <w:tc>
          <w:tcPr>
            <w:tcW w:w="2895" w:type="dxa"/>
            <w:vAlign w:val="center"/>
          </w:tcPr>
          <w:p>
            <w:pPr>
              <w:widowControl/>
              <w:spacing w:line="360" w:lineRule="auto"/>
              <w:ind w:firstLine="360" w:firstLineChars="150"/>
              <w:rPr>
                <w:rFonts w:ascii="Arial Narrow" w:hAnsi="Arial Narrow" w:cs="Arial Narrow"/>
                <w:sz w:val="24"/>
              </w:rPr>
            </w:pPr>
          </w:p>
        </w:tc>
        <w:tc>
          <w:tcPr>
            <w:tcW w:w="2445" w:type="dxa"/>
            <w:vAlign w:val="center"/>
          </w:tcPr>
          <w:p>
            <w:pPr>
              <w:widowControl/>
              <w:spacing w:line="360" w:lineRule="auto"/>
              <w:rPr>
                <w:rFonts w:ascii="Arial Narrow" w:hAnsi="Arial Narrow"/>
                <w:sz w:val="24"/>
              </w:rPr>
            </w:pPr>
            <w:r>
              <w:rPr>
                <w:rFonts w:ascii="Arial Narrow" w:hAnsi="Arial Narrow"/>
                <w:sz w:val="24"/>
              </w:rPr>
              <w:t xml:space="preserve">     </w:t>
            </w:r>
            <w:r>
              <w:rPr>
                <w:rFonts w:hint="eastAsia" w:ascii="Arial Narrow" w:hAnsi="Arial Narrow"/>
                <w:sz w:val="24"/>
              </w:rPr>
              <w:t>年</w:t>
            </w:r>
            <w:r>
              <w:rPr>
                <w:rFonts w:ascii="Arial Narrow" w:hAnsi="Arial Narrow"/>
                <w:sz w:val="24"/>
              </w:rPr>
              <w:t xml:space="preserve">   </w:t>
            </w:r>
            <w:r>
              <w:rPr>
                <w:rFonts w:hint="eastAsia" w:ascii="Arial Narrow" w:hAnsi="Arial Narrow"/>
                <w:sz w:val="24"/>
              </w:rPr>
              <w:t>月</w:t>
            </w:r>
            <w:r>
              <w:rPr>
                <w:rFonts w:ascii="Arial Narrow" w:hAnsi="Arial Narrow"/>
                <w:sz w:val="24"/>
              </w:rPr>
              <w:t xml:space="preserve">   </w:t>
            </w:r>
            <w:r>
              <w:rPr>
                <w:rFonts w:hint="eastAsia" w:ascii="Arial Narrow" w:hAnsi="Arial Narrow"/>
                <w:sz w:val="24"/>
              </w:rPr>
              <w:t>日</w:t>
            </w:r>
            <w:r>
              <w:rPr>
                <w:rFonts w:ascii="Arial Narrow" w:hAnsi="Arial Narrow"/>
                <w:sz w:val="24"/>
              </w:rPr>
              <w:t xml:space="preserve"> </w:t>
            </w:r>
          </w:p>
        </w:tc>
      </w:tr>
      <w:tr>
        <w:tblPrEx>
          <w:tblCellMar>
            <w:top w:w="0" w:type="dxa"/>
            <w:left w:w="108" w:type="dxa"/>
            <w:bottom w:w="0" w:type="dxa"/>
            <w:right w:w="108" w:type="dxa"/>
          </w:tblCellMar>
        </w:tblPrEx>
        <w:trPr>
          <w:trHeight w:val="368" w:hRule="exact"/>
          <w:jc w:val="center"/>
        </w:trPr>
        <w:tc>
          <w:tcPr>
            <w:tcW w:w="1229" w:type="dxa"/>
            <w:vAlign w:val="center"/>
          </w:tcPr>
          <w:p>
            <w:pPr>
              <w:spacing w:line="360" w:lineRule="auto"/>
              <w:ind w:firstLine="240" w:firstLineChars="100"/>
              <w:jc w:val="right"/>
              <w:rPr>
                <w:rFonts w:hint="eastAsia" w:ascii="Arial Narrow" w:hAnsi="Arial Narrow" w:cs="Arial Narrow"/>
                <w:sz w:val="24"/>
              </w:rPr>
            </w:pPr>
          </w:p>
        </w:tc>
        <w:tc>
          <w:tcPr>
            <w:tcW w:w="2130" w:type="dxa"/>
            <w:vAlign w:val="center"/>
          </w:tcPr>
          <w:p>
            <w:pPr>
              <w:spacing w:line="360" w:lineRule="auto"/>
              <w:jc w:val="center"/>
              <w:rPr>
                <w:rFonts w:hint="eastAsia" w:ascii="Arial Narrow" w:hAnsi="Arial Narrow" w:cs="Arial Narrow"/>
                <w:sz w:val="24"/>
              </w:rPr>
            </w:pPr>
          </w:p>
        </w:tc>
        <w:tc>
          <w:tcPr>
            <w:tcW w:w="2895" w:type="dxa"/>
            <w:vAlign w:val="center"/>
          </w:tcPr>
          <w:p>
            <w:pPr>
              <w:widowControl/>
              <w:spacing w:line="360" w:lineRule="auto"/>
              <w:ind w:firstLine="360" w:firstLineChars="150"/>
              <w:rPr>
                <w:rFonts w:ascii="Arial Narrow" w:hAnsi="Arial Narrow" w:cs="Arial Narrow"/>
                <w:sz w:val="24"/>
              </w:rPr>
            </w:pPr>
          </w:p>
        </w:tc>
        <w:tc>
          <w:tcPr>
            <w:tcW w:w="2445" w:type="dxa"/>
            <w:vAlign w:val="center"/>
          </w:tcPr>
          <w:p>
            <w:pPr>
              <w:widowControl/>
              <w:spacing w:line="360" w:lineRule="auto"/>
              <w:rPr>
                <w:rFonts w:ascii="Arial Narrow" w:hAnsi="Arial Narrow"/>
                <w:sz w:val="24"/>
              </w:rPr>
            </w:pPr>
          </w:p>
        </w:tc>
      </w:tr>
      <w:tr>
        <w:tblPrEx>
          <w:tblCellMar>
            <w:top w:w="0" w:type="dxa"/>
            <w:left w:w="108" w:type="dxa"/>
            <w:bottom w:w="0" w:type="dxa"/>
            <w:right w:w="108" w:type="dxa"/>
          </w:tblCellMar>
        </w:tblPrEx>
        <w:trPr>
          <w:trHeight w:val="794" w:hRule="exact"/>
          <w:jc w:val="center"/>
        </w:trPr>
        <w:tc>
          <w:tcPr>
            <w:tcW w:w="1229" w:type="dxa"/>
            <w:vAlign w:val="center"/>
          </w:tcPr>
          <w:p>
            <w:pPr>
              <w:spacing w:line="360" w:lineRule="auto"/>
              <w:ind w:firstLine="240" w:firstLineChars="100"/>
              <w:jc w:val="center"/>
              <w:rPr>
                <w:rFonts w:ascii="Arial Narrow" w:hAnsi="Arial Narrow"/>
                <w:sz w:val="24"/>
              </w:rPr>
            </w:pPr>
            <w:r>
              <w:rPr>
                <w:rFonts w:hint="eastAsia" w:ascii="Arial Narrow" w:hAnsi="Arial Narrow" w:cs="Arial Narrow"/>
                <w:sz w:val="24"/>
              </w:rPr>
              <w:t>罗尚吉</w:t>
            </w:r>
          </w:p>
        </w:tc>
        <w:tc>
          <w:tcPr>
            <w:tcW w:w="2130" w:type="dxa"/>
            <w:vAlign w:val="center"/>
          </w:tcPr>
          <w:p>
            <w:pPr>
              <w:spacing w:line="360" w:lineRule="auto"/>
              <w:jc w:val="center"/>
              <w:rPr>
                <w:rFonts w:ascii="Arial Narrow" w:hAnsi="Arial Narrow"/>
                <w:sz w:val="24"/>
              </w:rPr>
            </w:pPr>
            <w:r>
              <w:rPr>
                <w:rFonts w:hint="eastAsia" w:ascii="Arial Narrow" w:hAnsi="Arial Narrow" w:cs="Arial Narrow"/>
                <w:sz w:val="24"/>
              </w:rPr>
              <w:t>6420150003</w:t>
            </w:r>
          </w:p>
        </w:tc>
        <w:tc>
          <w:tcPr>
            <w:tcW w:w="2895" w:type="dxa"/>
            <w:vAlign w:val="center"/>
          </w:tcPr>
          <w:p>
            <w:pPr>
              <w:widowControl/>
              <w:spacing w:line="360" w:lineRule="auto"/>
              <w:jc w:val="center"/>
              <w:rPr>
                <w:rFonts w:ascii="Arial Narrow" w:hAnsi="Arial Narrow"/>
                <w:sz w:val="24"/>
              </w:rPr>
            </w:pPr>
          </w:p>
        </w:tc>
        <w:tc>
          <w:tcPr>
            <w:tcW w:w="2445" w:type="dxa"/>
            <w:vAlign w:val="center"/>
          </w:tcPr>
          <w:p>
            <w:pPr>
              <w:widowControl/>
              <w:spacing w:line="360" w:lineRule="auto"/>
              <w:rPr>
                <w:rFonts w:ascii="Arial Narrow" w:hAnsi="Arial Narrow"/>
                <w:sz w:val="24"/>
              </w:rPr>
            </w:pPr>
            <w:r>
              <w:rPr>
                <w:rFonts w:ascii="Arial Narrow" w:hAnsi="Arial Narrow"/>
                <w:sz w:val="24"/>
              </w:rPr>
              <w:t xml:space="preserve">     年   月   日 </w:t>
            </w:r>
          </w:p>
        </w:tc>
      </w:tr>
    </w:tbl>
    <w:p>
      <w:pPr>
        <w:pStyle w:val="3"/>
        <w:keepNext w:val="0"/>
        <w:keepLines w:val="0"/>
        <w:widowControl/>
        <w:spacing w:before="0" w:after="0" w:line="360" w:lineRule="auto"/>
        <w:ind w:firstLine="482" w:firstLineChars="200"/>
        <w:rPr>
          <w:rFonts w:ascii="Arial Narrow" w:hAnsi="Arial Narrow"/>
        </w:rPr>
      </w:pPr>
    </w:p>
    <w:p>
      <w:pPr>
        <w:pStyle w:val="3"/>
        <w:keepNext w:val="0"/>
        <w:keepLines w:val="0"/>
        <w:widowControl/>
        <w:spacing w:before="0" w:after="0" w:line="360" w:lineRule="auto"/>
        <w:ind w:firstLine="482" w:firstLineChars="200"/>
        <w:rPr>
          <w:rFonts w:ascii="Arial Narrow" w:hAnsi="Arial Narrow"/>
        </w:rPr>
      </w:pPr>
      <w:r>
        <w:rPr>
          <w:rFonts w:ascii="Arial Narrow" w:hAnsi="Arial Narrow"/>
        </w:rPr>
        <w:t>十二、实地查勘期</w:t>
      </w:r>
      <w:bookmarkEnd w:id="19"/>
    </w:p>
    <w:bookmarkEnd w:id="20"/>
    <w:p>
      <w:pPr>
        <w:widowControl/>
        <w:spacing w:line="360" w:lineRule="auto"/>
        <w:ind w:firstLine="480" w:firstLineChars="200"/>
        <w:rPr>
          <w:rFonts w:ascii="Arial Narrow" w:hAnsi="Arial Narrow"/>
          <w:sz w:val="24"/>
        </w:rPr>
      </w:pPr>
      <w:r>
        <w:rPr>
          <w:rFonts w:ascii="Arial Narrow" w:hAnsi="Arial Narrow"/>
          <w:sz w:val="24"/>
        </w:rPr>
        <w:t>实地查勘估价对象的起止日期自进入估价对象现场之日</w:t>
      </w:r>
      <w:r>
        <w:rPr>
          <w:rFonts w:hint="eastAsia" w:ascii="Arial Narrow" w:hAnsi="Arial Narrow"/>
          <w:sz w:val="24"/>
        </w:rPr>
        <w:t>2022年</w:t>
      </w:r>
      <w:r>
        <w:rPr>
          <w:rFonts w:hint="eastAsia" w:ascii="Arial Narrow" w:hAnsi="Arial Narrow"/>
          <w:sz w:val="24"/>
          <w:lang w:val="en-US" w:eastAsia="zh-CN"/>
        </w:rPr>
        <w:t>6</w:t>
      </w:r>
      <w:r>
        <w:rPr>
          <w:rFonts w:hint="eastAsia" w:ascii="Arial Narrow" w:hAnsi="Arial Narrow"/>
          <w:sz w:val="24"/>
        </w:rPr>
        <w:t>月</w:t>
      </w:r>
      <w:r>
        <w:rPr>
          <w:rFonts w:hint="eastAsia" w:ascii="Arial Narrow" w:hAnsi="Arial Narrow"/>
          <w:sz w:val="24"/>
          <w:lang w:val="en-US" w:eastAsia="zh-CN"/>
        </w:rPr>
        <w:t>23</w:t>
      </w:r>
      <w:r>
        <w:rPr>
          <w:rFonts w:hint="eastAsia" w:ascii="Arial Narrow" w:hAnsi="Arial Narrow"/>
          <w:sz w:val="24"/>
        </w:rPr>
        <w:t>日</w:t>
      </w:r>
      <w:r>
        <w:rPr>
          <w:rFonts w:ascii="Arial Narrow" w:hAnsi="Arial Narrow"/>
          <w:sz w:val="24"/>
        </w:rPr>
        <w:t>至完成实地查勘之日</w:t>
      </w:r>
      <w:r>
        <w:rPr>
          <w:rFonts w:hint="eastAsia" w:ascii="Arial Narrow" w:hAnsi="Arial Narrow"/>
          <w:sz w:val="24"/>
        </w:rPr>
        <w:t>2022年</w:t>
      </w:r>
      <w:r>
        <w:rPr>
          <w:rFonts w:hint="eastAsia" w:ascii="Arial Narrow" w:hAnsi="Arial Narrow"/>
          <w:sz w:val="24"/>
          <w:lang w:val="en-US" w:eastAsia="zh-CN"/>
        </w:rPr>
        <w:t>6</w:t>
      </w:r>
      <w:r>
        <w:rPr>
          <w:rFonts w:hint="eastAsia" w:ascii="Arial Narrow" w:hAnsi="Arial Narrow"/>
          <w:sz w:val="24"/>
        </w:rPr>
        <w:t>月2</w:t>
      </w:r>
      <w:r>
        <w:rPr>
          <w:rFonts w:hint="eastAsia" w:ascii="Arial Narrow" w:hAnsi="Arial Narrow"/>
          <w:sz w:val="24"/>
          <w:lang w:val="en-US" w:eastAsia="zh-CN"/>
        </w:rPr>
        <w:t>3</w:t>
      </w:r>
      <w:r>
        <w:rPr>
          <w:rFonts w:hint="eastAsia" w:ascii="Arial Narrow" w:hAnsi="Arial Narrow"/>
          <w:sz w:val="24"/>
        </w:rPr>
        <w:t>日</w:t>
      </w:r>
      <w:r>
        <w:rPr>
          <w:rFonts w:ascii="Arial Narrow" w:hAnsi="Arial Narrow"/>
          <w:sz w:val="24"/>
        </w:rPr>
        <w:t>止。</w:t>
      </w:r>
    </w:p>
    <w:p>
      <w:pPr>
        <w:pStyle w:val="3"/>
        <w:keepNext w:val="0"/>
        <w:keepLines w:val="0"/>
        <w:widowControl/>
        <w:spacing w:before="0" w:after="0" w:line="360" w:lineRule="auto"/>
        <w:ind w:firstLine="482" w:firstLineChars="200"/>
        <w:rPr>
          <w:rFonts w:ascii="Arial Narrow" w:hAnsi="Arial Narrow"/>
        </w:rPr>
      </w:pPr>
      <w:bookmarkStart w:id="21" w:name="_Toc535140658"/>
      <w:bookmarkStart w:id="22" w:name="_Toc12359"/>
      <w:r>
        <w:rPr>
          <w:rFonts w:ascii="Arial Narrow" w:hAnsi="Arial Narrow"/>
        </w:rPr>
        <w:t>十三、估价作业期</w:t>
      </w:r>
      <w:bookmarkEnd w:id="21"/>
    </w:p>
    <w:bookmarkEnd w:id="22"/>
    <w:p>
      <w:pPr>
        <w:widowControl/>
        <w:spacing w:line="360" w:lineRule="auto"/>
        <w:ind w:firstLine="567"/>
        <w:rPr>
          <w:rFonts w:ascii="Arial Narrow" w:hAnsi="Arial Narrow" w:cs="Arial Narrow"/>
          <w:sz w:val="24"/>
        </w:rPr>
      </w:pPr>
      <w:r>
        <w:rPr>
          <w:rFonts w:ascii="Arial Narrow" w:hAnsi="Arial Narrow" w:cs="Arial Narrow"/>
          <w:sz w:val="24"/>
        </w:rPr>
        <w:t>估价工作起止日期为自受理估价委托之日</w:t>
      </w:r>
      <w:r>
        <w:rPr>
          <w:rFonts w:hint="eastAsia" w:ascii="Arial Narrow" w:hAnsi="Arial Narrow" w:cs="Arial Narrow"/>
          <w:sz w:val="24"/>
        </w:rPr>
        <w:t>2022年</w:t>
      </w:r>
      <w:r>
        <w:rPr>
          <w:rFonts w:hint="eastAsia" w:ascii="Arial Narrow" w:hAnsi="Arial Narrow" w:cs="Arial Narrow"/>
          <w:sz w:val="24"/>
          <w:lang w:val="en-US" w:eastAsia="zh-CN"/>
        </w:rPr>
        <w:t>6</w:t>
      </w:r>
      <w:r>
        <w:rPr>
          <w:rFonts w:hint="eastAsia" w:ascii="Arial Narrow" w:hAnsi="Arial Narrow" w:cs="Arial Narrow"/>
          <w:sz w:val="24"/>
        </w:rPr>
        <w:t>月</w:t>
      </w:r>
      <w:r>
        <w:rPr>
          <w:rFonts w:hint="eastAsia" w:ascii="Arial Narrow" w:hAnsi="Arial Narrow" w:cs="Arial Narrow"/>
          <w:sz w:val="24"/>
          <w:lang w:val="en-US" w:eastAsia="zh-CN"/>
        </w:rPr>
        <w:t>15</w:t>
      </w:r>
      <w:r>
        <w:rPr>
          <w:rFonts w:hint="eastAsia" w:ascii="Arial Narrow" w:hAnsi="Arial Narrow" w:cs="Arial Narrow"/>
          <w:sz w:val="24"/>
        </w:rPr>
        <w:t>日</w:t>
      </w:r>
      <w:r>
        <w:rPr>
          <w:rFonts w:ascii="Arial Narrow" w:hAnsi="Arial Narrow" w:cs="Arial Narrow"/>
          <w:sz w:val="24"/>
        </w:rPr>
        <w:t>至</w:t>
      </w:r>
      <w:r>
        <w:rPr>
          <w:rFonts w:hint="eastAsia" w:ascii="Arial Narrow" w:hAnsi="Arial Narrow" w:cs="Arial Narrow"/>
          <w:sz w:val="24"/>
        </w:rPr>
        <w:t>评估</w:t>
      </w:r>
      <w:r>
        <w:rPr>
          <w:rFonts w:ascii="Arial Narrow" w:hAnsi="Arial Narrow" w:cs="Arial Narrow"/>
          <w:sz w:val="24"/>
        </w:rPr>
        <w:t>报告出具之日</w:t>
      </w:r>
      <w:r>
        <w:rPr>
          <w:rFonts w:hint="eastAsia" w:ascii="Arial Narrow" w:hAnsi="Arial Narrow" w:cs="Arial Narrow"/>
          <w:sz w:val="24"/>
        </w:rPr>
        <w:t>2022年</w:t>
      </w:r>
      <w:r>
        <w:rPr>
          <w:rFonts w:hint="eastAsia" w:ascii="Arial Narrow" w:hAnsi="Arial Narrow" w:cs="Arial Narrow"/>
          <w:sz w:val="24"/>
          <w:lang w:val="en-US" w:eastAsia="zh-CN"/>
        </w:rPr>
        <w:t>7</w:t>
      </w:r>
      <w:r>
        <w:rPr>
          <w:rFonts w:hint="eastAsia" w:ascii="Arial Narrow" w:hAnsi="Arial Narrow" w:cs="Arial Narrow"/>
          <w:sz w:val="24"/>
        </w:rPr>
        <w:t>月</w:t>
      </w:r>
      <w:r>
        <w:rPr>
          <w:rFonts w:hint="eastAsia" w:ascii="Arial Narrow" w:hAnsi="Arial Narrow" w:cs="Arial Narrow"/>
          <w:sz w:val="24"/>
          <w:lang w:val="en-US" w:eastAsia="zh-CN"/>
        </w:rPr>
        <w:t>4</w:t>
      </w:r>
      <w:r>
        <w:rPr>
          <w:rFonts w:hint="eastAsia" w:ascii="Arial Narrow" w:hAnsi="Arial Narrow" w:cs="Arial Narrow"/>
          <w:sz w:val="24"/>
        </w:rPr>
        <w:t>日</w:t>
      </w:r>
      <w:r>
        <w:rPr>
          <w:rFonts w:ascii="Arial Narrow" w:hAnsi="Arial Narrow" w:cs="Arial Narrow"/>
          <w:sz w:val="24"/>
        </w:rPr>
        <w:t>止。</w:t>
      </w:r>
    </w:p>
    <w:p>
      <w:pPr>
        <w:widowControl/>
        <w:spacing w:line="360" w:lineRule="auto"/>
        <w:ind w:firstLine="567"/>
        <w:rPr>
          <w:rFonts w:hint="eastAsia" w:ascii="Arial Narrow" w:hAnsi="Arial Narrow" w:cs="Arial Narrow"/>
          <w:sz w:val="24"/>
        </w:rPr>
      </w:pPr>
    </w:p>
    <w:p>
      <w:pPr>
        <w:widowControl/>
        <w:spacing w:line="360" w:lineRule="auto"/>
        <w:ind w:firstLine="567"/>
        <w:rPr>
          <w:rFonts w:ascii="Arial Narrow" w:hAnsi="Arial Narrow" w:cs="Arial Narrow"/>
          <w:sz w:val="24"/>
        </w:rPr>
      </w:pPr>
    </w:p>
    <w:p>
      <w:pPr>
        <w:widowControl/>
        <w:spacing w:line="360" w:lineRule="auto"/>
        <w:ind w:firstLine="567"/>
        <w:rPr>
          <w:rFonts w:ascii="Arial Narrow" w:hAnsi="Arial Narrow" w:cs="Arial Narrow"/>
          <w:sz w:val="24"/>
        </w:rPr>
      </w:pPr>
      <w:r>
        <w:rPr>
          <w:rFonts w:ascii="Arial Narrow" w:hAnsi="Arial Narrow" w:cs="Arial Narrow"/>
          <w:sz w:val="24"/>
        </w:rPr>
        <w:t xml:space="preserve">                           宁夏正业通房地产土地资产评估有限公司 </w:t>
      </w:r>
    </w:p>
    <w:p>
      <w:pPr>
        <w:widowControl/>
        <w:spacing w:line="360" w:lineRule="auto"/>
        <w:ind w:firstLine="567"/>
        <w:rPr>
          <w:rFonts w:hint="eastAsia" w:ascii="Arial Narrow" w:hAnsi="Arial Narrow" w:cs="Arial Narrow"/>
          <w:sz w:val="24"/>
          <w:lang w:eastAsia="zh-CN"/>
        </w:rPr>
      </w:pPr>
      <w:r>
        <w:rPr>
          <w:rFonts w:ascii="Arial Narrow" w:hAnsi="Arial Narrow" w:cs="Arial Narrow"/>
          <w:sz w:val="24"/>
        </w:rPr>
        <w:t xml:space="preserve">                                  </w:t>
      </w:r>
      <w:r>
        <w:rPr>
          <w:rFonts w:hint="eastAsia" w:ascii="Arial Narrow" w:hAnsi="Arial Narrow" w:cs="Arial Narrow"/>
          <w:sz w:val="24"/>
          <w:lang w:eastAsia="zh-CN"/>
        </w:rPr>
        <w:t xml:space="preserve"> 二〇二二年七月四日</w:t>
      </w:r>
    </w:p>
    <w:p>
      <w:pPr>
        <w:widowControl/>
        <w:spacing w:line="360" w:lineRule="auto"/>
        <w:ind w:firstLine="567"/>
        <w:rPr>
          <w:rFonts w:hint="eastAsia" w:ascii="Arial Narrow" w:hAnsi="Arial Narrow" w:cs="Arial Narrow"/>
          <w:sz w:val="24"/>
          <w:lang w:eastAsia="zh-CN"/>
        </w:rPr>
      </w:pPr>
    </w:p>
    <w:p>
      <w:pPr>
        <w:pStyle w:val="2"/>
        <w:keepNext w:val="0"/>
        <w:keepLines w:val="0"/>
        <w:widowControl/>
        <w:jc w:val="both"/>
      </w:pPr>
      <w:bookmarkStart w:id="23" w:name="_Toc535140659"/>
    </w:p>
    <w:p/>
    <w:p/>
    <w:p/>
    <w:p/>
    <w:p/>
    <w:p/>
    <w:p/>
    <w:p/>
    <w:p/>
    <w:p/>
    <w:p/>
    <w:p/>
    <w:p/>
    <w:p>
      <w:pPr>
        <w:rPr>
          <w:rFonts w:hint="eastAsia"/>
        </w:rPr>
      </w:pPr>
    </w:p>
    <w:p>
      <w:pPr>
        <w:rPr>
          <w:rFonts w:hint="eastAsia"/>
        </w:rPr>
      </w:pPr>
    </w:p>
    <w:p>
      <w:pPr>
        <w:rPr>
          <w:rFonts w:hint="eastAsia"/>
        </w:rPr>
      </w:pPr>
    </w:p>
    <w:p/>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p>
    <w:p>
      <w:pPr>
        <w:pStyle w:val="2"/>
        <w:keepNext w:val="0"/>
        <w:keepLines w:val="0"/>
        <w:rPr>
          <w:rFonts w:ascii="Arial Narrow" w:hAnsi="Arial Narrow"/>
          <w:sz w:val="44"/>
          <w:szCs w:val="44"/>
        </w:rPr>
      </w:pPr>
      <w:r>
        <w:rPr>
          <w:rFonts w:ascii="Arial Narrow" w:hAnsi="Arial Narrow"/>
          <w:sz w:val="44"/>
          <w:szCs w:val="44"/>
        </w:rPr>
        <w:t>涉执房地产</w:t>
      </w:r>
      <w:r>
        <w:rPr>
          <w:rFonts w:hint="eastAsia" w:ascii="Arial Narrow" w:hAnsi="Arial Narrow"/>
          <w:sz w:val="44"/>
          <w:szCs w:val="44"/>
        </w:rPr>
        <w:t>处置</w:t>
      </w:r>
      <w:r>
        <w:rPr>
          <w:rFonts w:ascii="Arial Narrow" w:hAnsi="Arial Narrow"/>
          <w:sz w:val="44"/>
          <w:szCs w:val="44"/>
        </w:rPr>
        <w:t>司法评估报告附件</w:t>
      </w:r>
      <w:bookmarkEnd w:id="23"/>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sectPr>
      <w:headerReference r:id="rId13" w:type="default"/>
      <w:pgSz w:w="11906" w:h="16838"/>
      <w:pgMar w:top="1531" w:right="1474" w:bottom="1417" w:left="1531" w:header="1106" w:footer="1276"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u w:val="single"/>
      </w:rPr>
      <w:t xml:space="preserve">    </w:t>
    </w:r>
    <w:r>
      <w:rPr>
        <w:u w:val="single"/>
      </w:rPr>
      <w:t xml:space="preserve">                                                                                             </w:t>
    </w:r>
    <w:r>
      <w:rPr>
        <w:rFonts w:hint="eastAsia"/>
        <w:iCs/>
      </w:rPr>
      <w:t>宁夏正业通房地产土地资产评估有限公司</w:t>
    </w:r>
    <w:r>
      <w:rPr>
        <w:iCs/>
      </w:rPr>
      <w:t xml:space="preserve"> </w:t>
    </w:r>
    <w:r>
      <w:rPr>
        <w:i/>
        <w:iC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5" o:spid="_x0000_s2085" o:spt="1" style="position:absolute;left:0pt;margin-top:0pt;height:10.35pt;width:9.05pt;mso-position-horizontal:left;mso-position-horizontal-relative:margin;mso-wrap-style:none;z-index:251661312;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86" o:spid="_x0000_s2086" o:spt="1" style="position:absolute;left:0pt;margin-top:0pt;height:10.35pt;width:9.05pt;mso-position-horizontal:left;mso-position-horizontal-relative:margin;mso-wrap-style:none;z-index:251662336;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pPr>
    <w:r>
      <w:rPr>
        <w:rFonts w:hint="eastAsia" w:ascii="宋体" w:hAnsi="宋体"/>
        <w:iCs/>
      </w:rPr>
      <w:t>宁夏正业通房地产土地资产评估有限公司</w:t>
    </w:r>
    <w:r>
      <w:rPr>
        <w:rFonts w:ascii="宋体" w:hAnsi="宋体"/>
        <w:iCs/>
      </w:rPr>
      <w:t xml:space="preserve">  </w:t>
    </w:r>
    <w:r>
      <w:rPr>
        <w:i/>
        <w:iCs/>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2089" o:spid="_x0000_s2089" o:spt="1" style="position:absolute;left:0pt;margin-top:0pt;height:10.35pt;width:9.05pt;mso-position-horizontal:left;mso-position-horizontal-relative:margin;mso-wrap-style:none;z-index:251663360;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r>
      <w:pict>
        <v:rect id="_x0000_s2090" o:spid="_x0000_s2090" o:spt="1" style="position:absolute;left:0pt;margin-top:0pt;height:10.35pt;width:9.05pt;mso-position-horizontal:left;mso-position-horizontal-relative:margin;mso-wrap-style:none;z-index:25166438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cs="宋体"/>
        <w:iCs/>
        <w:sz w:val="18"/>
        <w:szCs w:val="18"/>
      </w:rPr>
    </w:pPr>
    <w:r>
      <w:rPr>
        <w:rFonts w:ascii="宋体" w:hAnsi="宋体" w:cs="宋体"/>
        <w:iCs/>
        <w:sz w:val="18"/>
        <w:szCs w:val="18"/>
      </w:rPr>
      <w:t xml:space="preserve">                                                                                                  </w:t>
    </w:r>
  </w:p>
  <w:p>
    <w:pPr>
      <w:pBdr>
        <w:top w:val="single" w:color="auto" w:sz="4" w:space="0"/>
      </w:pBdr>
      <w:snapToGrid w:val="0"/>
      <w:rPr>
        <w:iCs/>
      </w:rPr>
    </w:pPr>
    <w:r>
      <w:rPr>
        <w:rFonts w:hint="eastAsia" w:ascii="宋体" w:hAnsi="宋体"/>
        <w:iCs/>
        <w:sz w:val="18"/>
        <w:szCs w:val="18"/>
      </w:rPr>
      <w:t xml:space="preserve">宁夏正业通房地产土地资产评估有限公司       </w:t>
    </w:r>
    <w:r>
      <w:rPr>
        <w:rFonts w:ascii="宋体" w:hAnsi="宋体"/>
        <w:iCs/>
        <w:sz w:val="18"/>
        <w:szCs w:val="18"/>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w:t>
    </w:r>
    <w:r>
      <w:rPr>
        <w:rFonts w:ascii="宋体" w:hAnsi="宋体"/>
        <w:sz w:val="18"/>
        <w:szCs w:val="18"/>
      </w:rPr>
      <w:fldChar w:fldCharType="begin"/>
    </w:r>
    <w:r>
      <w:instrText xml:space="preserve">PAGE   \* MERGEFORMAT</w:instrText>
    </w:r>
    <w:r>
      <w:fldChar w:fldCharType="separate"/>
    </w:r>
    <w:r>
      <w:t>1</w:t>
    </w:r>
    <w:r>
      <w:fldChar w:fldCharType="end"/>
    </w:r>
    <w:r>
      <w:rPr>
        <w:rFonts w:ascii="宋体" w:hAnsi="宋体"/>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矩形 2" o:spid="_x0000_s2060" o:spt="1" style="position:absolute;left:0pt;margin-left:-3.55pt;margin-top:-17.75pt;height:28.1pt;width:451.5pt;mso-position-horizontal-relative:margin;z-index:251659264;mso-width-relative:page;mso-height-relative:page;" filled="f" o:preferrelative="t" stroked="f" coordsize="21600,21600">
          <v:path/>
          <v:fill on="f" focussize="0,0"/>
          <v:stroke on="f"/>
          <v:imagedata o:title=""/>
          <o:lock v:ext="edit"/>
          <v:textbox inset="0mm,0mm,0mm,0mm">
            <w:txbxContent>
              <w:p>
                <w:pPr>
                  <w:pBdr>
                    <w:top w:val="single" w:color="auto" w:sz="4" w:space="1"/>
                  </w:pBdr>
                  <w:snapToGrid w:val="0"/>
                  <w:rPr>
                    <w:iCs/>
                    <w:sz w:val="18"/>
                    <w:szCs w:val="18"/>
                  </w:rPr>
                </w:pPr>
                <w:r>
                  <w:rPr>
                    <w:rFonts w:hint="eastAsia" w:ascii="宋体" w:hAnsi="宋体"/>
                    <w:iCs/>
                    <w:sz w:val="18"/>
                    <w:szCs w:val="18"/>
                  </w:rPr>
                  <w:t>宁夏正业通房地产土地资产评估有限公司</w:t>
                </w:r>
              </w:p>
            </w:txbxContent>
          </v:textbox>
        </v:rect>
      </w:pict>
    </w:r>
    <w:r>
      <w:pict>
        <v:rect id="矩形 1" o:spid="_x0000_s2061" o:spt="1" style="position:absolute;left:0pt;margin-top:0pt;height:10.35pt;width:9.3pt;mso-position-horizontal:right;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rPr>
        <w:b/>
      </w:rPr>
    </w:pPr>
    <w:r>
      <w:rPr>
        <w:b/>
      </w:rPr>
      <w:t xml:space="preserve">                                                          </w:t>
    </w:r>
  </w:p>
  <w:p>
    <w:pPr>
      <w:pStyle w:val="9"/>
      <w:ind w:firstLine="367"/>
    </w:pPr>
    <w:r>
      <w:rPr>
        <w:b/>
      </w:rPr>
      <w:t xml:space="preserve">                                                                     </w:t>
    </w:r>
    <w:r>
      <w:rPr>
        <w:rFonts w:hint="eastAsia"/>
        <w:iCs/>
      </w:rPr>
      <w:t>房地产估价报告</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b/>
      </w:rPr>
      <w:t xml:space="preserve">                                                       </w:t>
    </w:r>
    <w:r>
      <w:rPr>
        <w:rFonts w:hint="eastAsia"/>
        <w:b/>
      </w:rPr>
      <w:t xml:space="preserve"> </w:t>
    </w:r>
    <w:r>
      <w:rPr>
        <w:b/>
      </w:rPr>
      <w:t xml:space="preserve"> </w:t>
    </w:r>
    <w:r>
      <w:rPr>
        <w:rFonts w:hint="eastAsia"/>
        <w:b/>
      </w:rPr>
      <w:t xml:space="preserve">   </w:t>
    </w:r>
    <w:r>
      <w:rPr>
        <w:iCs/>
      </w:rPr>
      <w:t xml:space="preserve"> 涉执</w:t>
    </w:r>
    <w:r>
      <w:rPr>
        <w:rFonts w:hint="eastAsia"/>
        <w:iCs/>
      </w:rPr>
      <w:t xml:space="preserve">房地产处置司法评估报告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7"/>
    </w:pPr>
    <w:r>
      <w:rPr>
        <w:iCs/>
      </w:rPr>
      <w:t xml:space="preserve">                                                           </w:t>
    </w:r>
    <w:r>
      <w:rPr>
        <w:rFonts w:hint="eastAsia"/>
        <w:iCs/>
      </w:rPr>
      <w:t xml:space="preserve">  </w:t>
    </w:r>
    <w:r>
      <w:rPr>
        <w:iCs/>
      </w:rPr>
      <w:t>涉执</w:t>
    </w:r>
    <w:r>
      <w:rPr>
        <w:rFonts w:hint="eastAsia"/>
        <w:iCs/>
      </w:rPr>
      <w:t>房地产处置司法评估报告</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Arial"/>
      </w:rPr>
    </w:pPr>
    <w:r>
      <w:rPr>
        <w:rFonts w:hint="eastAsia" w:hAnsi="Arial"/>
      </w:rPr>
      <w:t xml:space="preserve">                                                                      </w:t>
    </w:r>
    <w:r>
      <w:rPr>
        <w:iCs/>
      </w:rPr>
      <w:t>涉执</w:t>
    </w:r>
    <w:r>
      <w:rPr>
        <w:rFonts w:hint="eastAsia"/>
        <w:iCs/>
      </w:rPr>
      <w:t>房地产处置司法评估报告</w:t>
    </w:r>
    <w:r>
      <w:rPr>
        <w:rFonts w:hint="eastAsia"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07C8D"/>
    <w:multiLevelType w:val="multilevel"/>
    <w:tmpl w:val="28207C8D"/>
    <w:lvl w:ilvl="0" w:tentative="0">
      <w:start w:val="2"/>
      <w:numFmt w:val="japaneseCounting"/>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7E9B4B52"/>
    <w:multiLevelType w:val="multilevel"/>
    <w:tmpl w:val="7E9B4B52"/>
    <w:lvl w:ilvl="0" w:tentative="0">
      <w:start w:val="1"/>
      <w:numFmt w:val="japaneseCounting"/>
      <w:lvlText w:val="%1、"/>
      <w:lvlJc w:val="left"/>
      <w:pPr>
        <w:ind w:left="990" w:hanging="51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lkN2Q0Mzk0MjUzZGI5YjU1MDFlOGUzZjlkN2JkNzMifQ=="/>
  </w:docVars>
  <w:rsids>
    <w:rsidRoot w:val="0008645E"/>
    <w:rsid w:val="00000E90"/>
    <w:rsid w:val="00001C71"/>
    <w:rsid w:val="00003465"/>
    <w:rsid w:val="0000528D"/>
    <w:rsid w:val="00011A01"/>
    <w:rsid w:val="00013288"/>
    <w:rsid w:val="00015DF8"/>
    <w:rsid w:val="000164C6"/>
    <w:rsid w:val="00020A50"/>
    <w:rsid w:val="00021A27"/>
    <w:rsid w:val="00021F3E"/>
    <w:rsid w:val="00023392"/>
    <w:rsid w:val="000238AC"/>
    <w:rsid w:val="00025A13"/>
    <w:rsid w:val="000261E3"/>
    <w:rsid w:val="0003342D"/>
    <w:rsid w:val="00034560"/>
    <w:rsid w:val="000355CA"/>
    <w:rsid w:val="000431FA"/>
    <w:rsid w:val="000443BF"/>
    <w:rsid w:val="00046055"/>
    <w:rsid w:val="00046536"/>
    <w:rsid w:val="000504FE"/>
    <w:rsid w:val="00051240"/>
    <w:rsid w:val="00051629"/>
    <w:rsid w:val="00051C33"/>
    <w:rsid w:val="00052CE5"/>
    <w:rsid w:val="00053180"/>
    <w:rsid w:val="00053262"/>
    <w:rsid w:val="00053FD4"/>
    <w:rsid w:val="000549AE"/>
    <w:rsid w:val="00055EE7"/>
    <w:rsid w:val="00056613"/>
    <w:rsid w:val="00060E55"/>
    <w:rsid w:val="00061138"/>
    <w:rsid w:val="0006117B"/>
    <w:rsid w:val="0006148D"/>
    <w:rsid w:val="00062820"/>
    <w:rsid w:val="00062D05"/>
    <w:rsid w:val="000640B2"/>
    <w:rsid w:val="00064205"/>
    <w:rsid w:val="00066D31"/>
    <w:rsid w:val="00066FA1"/>
    <w:rsid w:val="00067BE9"/>
    <w:rsid w:val="0007021F"/>
    <w:rsid w:val="0007177C"/>
    <w:rsid w:val="00072802"/>
    <w:rsid w:val="00073D60"/>
    <w:rsid w:val="00073F9E"/>
    <w:rsid w:val="00075EAB"/>
    <w:rsid w:val="00076193"/>
    <w:rsid w:val="0007621F"/>
    <w:rsid w:val="00076F05"/>
    <w:rsid w:val="000779C7"/>
    <w:rsid w:val="00080250"/>
    <w:rsid w:val="0008182C"/>
    <w:rsid w:val="000825C3"/>
    <w:rsid w:val="0008645E"/>
    <w:rsid w:val="00087B58"/>
    <w:rsid w:val="0009063B"/>
    <w:rsid w:val="00091252"/>
    <w:rsid w:val="000922B2"/>
    <w:rsid w:val="00093BF8"/>
    <w:rsid w:val="00093E31"/>
    <w:rsid w:val="0009421F"/>
    <w:rsid w:val="000945AD"/>
    <w:rsid w:val="00094DCC"/>
    <w:rsid w:val="0009525A"/>
    <w:rsid w:val="00096298"/>
    <w:rsid w:val="00097081"/>
    <w:rsid w:val="00097A83"/>
    <w:rsid w:val="000A1F5C"/>
    <w:rsid w:val="000A4985"/>
    <w:rsid w:val="000A76D6"/>
    <w:rsid w:val="000B2135"/>
    <w:rsid w:val="000B3762"/>
    <w:rsid w:val="000B4BE3"/>
    <w:rsid w:val="000B54DC"/>
    <w:rsid w:val="000B635B"/>
    <w:rsid w:val="000B7DA0"/>
    <w:rsid w:val="000C415E"/>
    <w:rsid w:val="000C47FE"/>
    <w:rsid w:val="000C65AF"/>
    <w:rsid w:val="000C6CA0"/>
    <w:rsid w:val="000D104A"/>
    <w:rsid w:val="000D139E"/>
    <w:rsid w:val="000D4BB3"/>
    <w:rsid w:val="000D4EF4"/>
    <w:rsid w:val="000D54DD"/>
    <w:rsid w:val="000D747A"/>
    <w:rsid w:val="000D7A3B"/>
    <w:rsid w:val="000E1576"/>
    <w:rsid w:val="000E21B5"/>
    <w:rsid w:val="000E2D65"/>
    <w:rsid w:val="000E39A3"/>
    <w:rsid w:val="000E42B4"/>
    <w:rsid w:val="000E4C2C"/>
    <w:rsid w:val="000E5271"/>
    <w:rsid w:val="000E5811"/>
    <w:rsid w:val="000F0401"/>
    <w:rsid w:val="000F1058"/>
    <w:rsid w:val="000F1B37"/>
    <w:rsid w:val="000F335F"/>
    <w:rsid w:val="000F4EDA"/>
    <w:rsid w:val="000F70D7"/>
    <w:rsid w:val="000F7CB8"/>
    <w:rsid w:val="001007D7"/>
    <w:rsid w:val="00101075"/>
    <w:rsid w:val="00102A21"/>
    <w:rsid w:val="00102C30"/>
    <w:rsid w:val="001038C5"/>
    <w:rsid w:val="00103DD0"/>
    <w:rsid w:val="00104AF6"/>
    <w:rsid w:val="00104EB1"/>
    <w:rsid w:val="00105157"/>
    <w:rsid w:val="001058AA"/>
    <w:rsid w:val="00106175"/>
    <w:rsid w:val="00106EB4"/>
    <w:rsid w:val="001126C2"/>
    <w:rsid w:val="00113AB2"/>
    <w:rsid w:val="00114664"/>
    <w:rsid w:val="001160C5"/>
    <w:rsid w:val="00116F55"/>
    <w:rsid w:val="001179EA"/>
    <w:rsid w:val="00120B77"/>
    <w:rsid w:val="00121B21"/>
    <w:rsid w:val="0012219E"/>
    <w:rsid w:val="001237C3"/>
    <w:rsid w:val="001239C2"/>
    <w:rsid w:val="00123BC3"/>
    <w:rsid w:val="00127F64"/>
    <w:rsid w:val="00130405"/>
    <w:rsid w:val="0013048E"/>
    <w:rsid w:val="001320CE"/>
    <w:rsid w:val="0013269F"/>
    <w:rsid w:val="00133815"/>
    <w:rsid w:val="00134194"/>
    <w:rsid w:val="00135428"/>
    <w:rsid w:val="00140212"/>
    <w:rsid w:val="00141294"/>
    <w:rsid w:val="00143D7F"/>
    <w:rsid w:val="00145D6D"/>
    <w:rsid w:val="00146327"/>
    <w:rsid w:val="0015051C"/>
    <w:rsid w:val="00151EB8"/>
    <w:rsid w:val="001554FE"/>
    <w:rsid w:val="00164380"/>
    <w:rsid w:val="0016456B"/>
    <w:rsid w:val="00164FAA"/>
    <w:rsid w:val="001663C5"/>
    <w:rsid w:val="001671F3"/>
    <w:rsid w:val="001706BF"/>
    <w:rsid w:val="00170776"/>
    <w:rsid w:val="00173995"/>
    <w:rsid w:val="00174988"/>
    <w:rsid w:val="00174B84"/>
    <w:rsid w:val="00177044"/>
    <w:rsid w:val="00181419"/>
    <w:rsid w:val="00182181"/>
    <w:rsid w:val="00182992"/>
    <w:rsid w:val="001829D7"/>
    <w:rsid w:val="00183EAD"/>
    <w:rsid w:val="00185171"/>
    <w:rsid w:val="00186F5D"/>
    <w:rsid w:val="00187112"/>
    <w:rsid w:val="00191B66"/>
    <w:rsid w:val="00191D7F"/>
    <w:rsid w:val="001953AF"/>
    <w:rsid w:val="00195BB4"/>
    <w:rsid w:val="001962D0"/>
    <w:rsid w:val="001969FD"/>
    <w:rsid w:val="001A0688"/>
    <w:rsid w:val="001A1560"/>
    <w:rsid w:val="001A2063"/>
    <w:rsid w:val="001A3A74"/>
    <w:rsid w:val="001A4558"/>
    <w:rsid w:val="001A541E"/>
    <w:rsid w:val="001A5F6E"/>
    <w:rsid w:val="001A72E3"/>
    <w:rsid w:val="001B0EE6"/>
    <w:rsid w:val="001B208F"/>
    <w:rsid w:val="001B2D01"/>
    <w:rsid w:val="001B3298"/>
    <w:rsid w:val="001B3E9E"/>
    <w:rsid w:val="001B55D8"/>
    <w:rsid w:val="001B59C1"/>
    <w:rsid w:val="001B7773"/>
    <w:rsid w:val="001B7A4D"/>
    <w:rsid w:val="001B7D73"/>
    <w:rsid w:val="001B7FA0"/>
    <w:rsid w:val="001C0736"/>
    <w:rsid w:val="001C0FE5"/>
    <w:rsid w:val="001C1E8D"/>
    <w:rsid w:val="001C536F"/>
    <w:rsid w:val="001D0EF3"/>
    <w:rsid w:val="001D1CA5"/>
    <w:rsid w:val="001D1CCF"/>
    <w:rsid w:val="001D3134"/>
    <w:rsid w:val="001D5973"/>
    <w:rsid w:val="001D6D2D"/>
    <w:rsid w:val="001D7074"/>
    <w:rsid w:val="001E0571"/>
    <w:rsid w:val="001E088B"/>
    <w:rsid w:val="001E1E43"/>
    <w:rsid w:val="001E286D"/>
    <w:rsid w:val="001E46AF"/>
    <w:rsid w:val="001E4901"/>
    <w:rsid w:val="001E4F0C"/>
    <w:rsid w:val="001E6C8C"/>
    <w:rsid w:val="001E77E5"/>
    <w:rsid w:val="001E7BAC"/>
    <w:rsid w:val="001E7C99"/>
    <w:rsid w:val="001F0FF5"/>
    <w:rsid w:val="001F1632"/>
    <w:rsid w:val="001F2E2A"/>
    <w:rsid w:val="001F346E"/>
    <w:rsid w:val="001F4448"/>
    <w:rsid w:val="001F4DC6"/>
    <w:rsid w:val="001F635C"/>
    <w:rsid w:val="00204CD3"/>
    <w:rsid w:val="00204E47"/>
    <w:rsid w:val="00205E6E"/>
    <w:rsid w:val="00207C3C"/>
    <w:rsid w:val="002112A9"/>
    <w:rsid w:val="00211FD4"/>
    <w:rsid w:val="002123EF"/>
    <w:rsid w:val="0021751D"/>
    <w:rsid w:val="002203DC"/>
    <w:rsid w:val="002212F0"/>
    <w:rsid w:val="00221FF4"/>
    <w:rsid w:val="002225D4"/>
    <w:rsid w:val="00223BD0"/>
    <w:rsid w:val="00225A28"/>
    <w:rsid w:val="00225BCB"/>
    <w:rsid w:val="0022774F"/>
    <w:rsid w:val="00227CA3"/>
    <w:rsid w:val="00230B1C"/>
    <w:rsid w:val="0023129E"/>
    <w:rsid w:val="00231B60"/>
    <w:rsid w:val="00232F0F"/>
    <w:rsid w:val="00233541"/>
    <w:rsid w:val="00234E1E"/>
    <w:rsid w:val="002352C9"/>
    <w:rsid w:val="00237185"/>
    <w:rsid w:val="00237641"/>
    <w:rsid w:val="00240657"/>
    <w:rsid w:val="002409B5"/>
    <w:rsid w:val="00241ACE"/>
    <w:rsid w:val="00245892"/>
    <w:rsid w:val="002479F5"/>
    <w:rsid w:val="002502D8"/>
    <w:rsid w:val="00252ECE"/>
    <w:rsid w:val="00253095"/>
    <w:rsid w:val="002535AC"/>
    <w:rsid w:val="00253691"/>
    <w:rsid w:val="00253872"/>
    <w:rsid w:val="00254D68"/>
    <w:rsid w:val="00256127"/>
    <w:rsid w:val="0025687B"/>
    <w:rsid w:val="0026131F"/>
    <w:rsid w:val="002618D6"/>
    <w:rsid w:val="00261906"/>
    <w:rsid w:val="00262611"/>
    <w:rsid w:val="00262E94"/>
    <w:rsid w:val="00264E3D"/>
    <w:rsid w:val="0026511E"/>
    <w:rsid w:val="00265EF7"/>
    <w:rsid w:val="00266A25"/>
    <w:rsid w:val="00266B59"/>
    <w:rsid w:val="00267C04"/>
    <w:rsid w:val="0027345E"/>
    <w:rsid w:val="002744BD"/>
    <w:rsid w:val="0027478E"/>
    <w:rsid w:val="002753C4"/>
    <w:rsid w:val="00275FC3"/>
    <w:rsid w:val="00282BF4"/>
    <w:rsid w:val="002845E2"/>
    <w:rsid w:val="0029128A"/>
    <w:rsid w:val="002923A4"/>
    <w:rsid w:val="00293D50"/>
    <w:rsid w:val="00293F9A"/>
    <w:rsid w:val="002943D9"/>
    <w:rsid w:val="00294989"/>
    <w:rsid w:val="002A04A8"/>
    <w:rsid w:val="002A3231"/>
    <w:rsid w:val="002A49AC"/>
    <w:rsid w:val="002A4CFC"/>
    <w:rsid w:val="002B14C7"/>
    <w:rsid w:val="002B151E"/>
    <w:rsid w:val="002B3679"/>
    <w:rsid w:val="002B6AA0"/>
    <w:rsid w:val="002B6F20"/>
    <w:rsid w:val="002B7405"/>
    <w:rsid w:val="002C000E"/>
    <w:rsid w:val="002C1228"/>
    <w:rsid w:val="002C15A6"/>
    <w:rsid w:val="002C2BC3"/>
    <w:rsid w:val="002C346A"/>
    <w:rsid w:val="002C4722"/>
    <w:rsid w:val="002C5C19"/>
    <w:rsid w:val="002C7299"/>
    <w:rsid w:val="002C763E"/>
    <w:rsid w:val="002D01ED"/>
    <w:rsid w:val="002D7292"/>
    <w:rsid w:val="002E1B1B"/>
    <w:rsid w:val="002E1D21"/>
    <w:rsid w:val="002E44F7"/>
    <w:rsid w:val="002E6BEE"/>
    <w:rsid w:val="002E7BD9"/>
    <w:rsid w:val="002E7E83"/>
    <w:rsid w:val="002F0B67"/>
    <w:rsid w:val="002F1BE4"/>
    <w:rsid w:val="002F20C3"/>
    <w:rsid w:val="002F24A0"/>
    <w:rsid w:val="002F4A70"/>
    <w:rsid w:val="002F6135"/>
    <w:rsid w:val="002F7535"/>
    <w:rsid w:val="00300908"/>
    <w:rsid w:val="00300A1A"/>
    <w:rsid w:val="003032E6"/>
    <w:rsid w:val="0030410D"/>
    <w:rsid w:val="00306BB9"/>
    <w:rsid w:val="00306E18"/>
    <w:rsid w:val="00312E28"/>
    <w:rsid w:val="00313487"/>
    <w:rsid w:val="00314148"/>
    <w:rsid w:val="00315DB9"/>
    <w:rsid w:val="00315E3F"/>
    <w:rsid w:val="00316469"/>
    <w:rsid w:val="00317B35"/>
    <w:rsid w:val="003203B0"/>
    <w:rsid w:val="00320D93"/>
    <w:rsid w:val="00320FE8"/>
    <w:rsid w:val="003213FC"/>
    <w:rsid w:val="00321FAE"/>
    <w:rsid w:val="00323CA6"/>
    <w:rsid w:val="00324168"/>
    <w:rsid w:val="00325F61"/>
    <w:rsid w:val="003264AF"/>
    <w:rsid w:val="003268BA"/>
    <w:rsid w:val="003272E6"/>
    <w:rsid w:val="00332E15"/>
    <w:rsid w:val="00335115"/>
    <w:rsid w:val="00336B0D"/>
    <w:rsid w:val="003372A8"/>
    <w:rsid w:val="00337E89"/>
    <w:rsid w:val="00340078"/>
    <w:rsid w:val="003409E2"/>
    <w:rsid w:val="003445CC"/>
    <w:rsid w:val="00345D01"/>
    <w:rsid w:val="00347846"/>
    <w:rsid w:val="003509C1"/>
    <w:rsid w:val="00351F3D"/>
    <w:rsid w:val="0035200B"/>
    <w:rsid w:val="00353EEE"/>
    <w:rsid w:val="00356BB6"/>
    <w:rsid w:val="0036078E"/>
    <w:rsid w:val="00360A2D"/>
    <w:rsid w:val="00361151"/>
    <w:rsid w:val="0036259F"/>
    <w:rsid w:val="00363AA8"/>
    <w:rsid w:val="003643C2"/>
    <w:rsid w:val="00365501"/>
    <w:rsid w:val="00366479"/>
    <w:rsid w:val="00366E32"/>
    <w:rsid w:val="00371BB3"/>
    <w:rsid w:val="003726B1"/>
    <w:rsid w:val="00372C83"/>
    <w:rsid w:val="003742D8"/>
    <w:rsid w:val="003764F2"/>
    <w:rsid w:val="00377B81"/>
    <w:rsid w:val="00381362"/>
    <w:rsid w:val="003828F1"/>
    <w:rsid w:val="00383317"/>
    <w:rsid w:val="0038353A"/>
    <w:rsid w:val="00385286"/>
    <w:rsid w:val="0038611A"/>
    <w:rsid w:val="0038718E"/>
    <w:rsid w:val="00387662"/>
    <w:rsid w:val="003876C6"/>
    <w:rsid w:val="00392D87"/>
    <w:rsid w:val="00393FF0"/>
    <w:rsid w:val="00395055"/>
    <w:rsid w:val="00395BD6"/>
    <w:rsid w:val="00397C12"/>
    <w:rsid w:val="003A1529"/>
    <w:rsid w:val="003A2DA9"/>
    <w:rsid w:val="003A3134"/>
    <w:rsid w:val="003A60C4"/>
    <w:rsid w:val="003A69F1"/>
    <w:rsid w:val="003A7574"/>
    <w:rsid w:val="003A79D3"/>
    <w:rsid w:val="003A7EB9"/>
    <w:rsid w:val="003B0BBE"/>
    <w:rsid w:val="003B1069"/>
    <w:rsid w:val="003B1353"/>
    <w:rsid w:val="003B1BA0"/>
    <w:rsid w:val="003B27E0"/>
    <w:rsid w:val="003B283C"/>
    <w:rsid w:val="003B2D90"/>
    <w:rsid w:val="003B2E76"/>
    <w:rsid w:val="003B3E0D"/>
    <w:rsid w:val="003B42DA"/>
    <w:rsid w:val="003B5525"/>
    <w:rsid w:val="003B5EC2"/>
    <w:rsid w:val="003B62A6"/>
    <w:rsid w:val="003B7017"/>
    <w:rsid w:val="003B719D"/>
    <w:rsid w:val="003C1994"/>
    <w:rsid w:val="003C4F14"/>
    <w:rsid w:val="003C4F76"/>
    <w:rsid w:val="003C54FA"/>
    <w:rsid w:val="003D032C"/>
    <w:rsid w:val="003D06AB"/>
    <w:rsid w:val="003D34F8"/>
    <w:rsid w:val="003D59D3"/>
    <w:rsid w:val="003D7009"/>
    <w:rsid w:val="003D78B5"/>
    <w:rsid w:val="003D7CD0"/>
    <w:rsid w:val="003E0CE6"/>
    <w:rsid w:val="003E596B"/>
    <w:rsid w:val="003E7510"/>
    <w:rsid w:val="003F07F5"/>
    <w:rsid w:val="003F18FC"/>
    <w:rsid w:val="003F1D42"/>
    <w:rsid w:val="003F34CD"/>
    <w:rsid w:val="003F3BEE"/>
    <w:rsid w:val="003F5442"/>
    <w:rsid w:val="003F5838"/>
    <w:rsid w:val="003F7B3D"/>
    <w:rsid w:val="0040020F"/>
    <w:rsid w:val="00400D3B"/>
    <w:rsid w:val="00405B40"/>
    <w:rsid w:val="00407811"/>
    <w:rsid w:val="0041329A"/>
    <w:rsid w:val="00414A20"/>
    <w:rsid w:val="004168C1"/>
    <w:rsid w:val="00417A1D"/>
    <w:rsid w:val="00417E8D"/>
    <w:rsid w:val="00420EA2"/>
    <w:rsid w:val="004210B8"/>
    <w:rsid w:val="00424101"/>
    <w:rsid w:val="0042571E"/>
    <w:rsid w:val="00427F5A"/>
    <w:rsid w:val="0043017B"/>
    <w:rsid w:val="00434E27"/>
    <w:rsid w:val="00435206"/>
    <w:rsid w:val="0043635A"/>
    <w:rsid w:val="00437A46"/>
    <w:rsid w:val="00440B1A"/>
    <w:rsid w:val="00440DE6"/>
    <w:rsid w:val="00440DF7"/>
    <w:rsid w:val="00441DCC"/>
    <w:rsid w:val="0044242B"/>
    <w:rsid w:val="004435DE"/>
    <w:rsid w:val="0044395B"/>
    <w:rsid w:val="004439C4"/>
    <w:rsid w:val="004468D4"/>
    <w:rsid w:val="00447971"/>
    <w:rsid w:val="00447BF1"/>
    <w:rsid w:val="004502CE"/>
    <w:rsid w:val="00450FC3"/>
    <w:rsid w:val="004524D9"/>
    <w:rsid w:val="00453972"/>
    <w:rsid w:val="004555E1"/>
    <w:rsid w:val="0045639E"/>
    <w:rsid w:val="004623E1"/>
    <w:rsid w:val="00462865"/>
    <w:rsid w:val="004633C2"/>
    <w:rsid w:val="004634AC"/>
    <w:rsid w:val="00464C7C"/>
    <w:rsid w:val="004661FF"/>
    <w:rsid w:val="00467DFE"/>
    <w:rsid w:val="00470A12"/>
    <w:rsid w:val="00470B79"/>
    <w:rsid w:val="00471052"/>
    <w:rsid w:val="00471513"/>
    <w:rsid w:val="004718ED"/>
    <w:rsid w:val="00477534"/>
    <w:rsid w:val="004778E9"/>
    <w:rsid w:val="00480791"/>
    <w:rsid w:val="00482C39"/>
    <w:rsid w:val="0048373D"/>
    <w:rsid w:val="00485734"/>
    <w:rsid w:val="004865EA"/>
    <w:rsid w:val="00486CCD"/>
    <w:rsid w:val="004904F2"/>
    <w:rsid w:val="004908F6"/>
    <w:rsid w:val="00490DDD"/>
    <w:rsid w:val="0049280B"/>
    <w:rsid w:val="00494EBA"/>
    <w:rsid w:val="0049601A"/>
    <w:rsid w:val="004A340C"/>
    <w:rsid w:val="004A3B5A"/>
    <w:rsid w:val="004A40E0"/>
    <w:rsid w:val="004A525B"/>
    <w:rsid w:val="004A54CA"/>
    <w:rsid w:val="004A5AF8"/>
    <w:rsid w:val="004A6FDE"/>
    <w:rsid w:val="004A71CA"/>
    <w:rsid w:val="004A7BA8"/>
    <w:rsid w:val="004B060D"/>
    <w:rsid w:val="004B0C79"/>
    <w:rsid w:val="004B226A"/>
    <w:rsid w:val="004B4373"/>
    <w:rsid w:val="004B4E89"/>
    <w:rsid w:val="004B5F08"/>
    <w:rsid w:val="004B6FCB"/>
    <w:rsid w:val="004C0F8F"/>
    <w:rsid w:val="004C1537"/>
    <w:rsid w:val="004C26D3"/>
    <w:rsid w:val="004C4D30"/>
    <w:rsid w:val="004C6382"/>
    <w:rsid w:val="004C7DE0"/>
    <w:rsid w:val="004D03CB"/>
    <w:rsid w:val="004D0DF1"/>
    <w:rsid w:val="004D3343"/>
    <w:rsid w:val="004D7715"/>
    <w:rsid w:val="004D7B55"/>
    <w:rsid w:val="004E042F"/>
    <w:rsid w:val="004E06C0"/>
    <w:rsid w:val="004E1397"/>
    <w:rsid w:val="004E4D6B"/>
    <w:rsid w:val="004E7095"/>
    <w:rsid w:val="004F0815"/>
    <w:rsid w:val="004F094C"/>
    <w:rsid w:val="004F336E"/>
    <w:rsid w:val="004F38FE"/>
    <w:rsid w:val="004F3EBF"/>
    <w:rsid w:val="004F526D"/>
    <w:rsid w:val="004F5618"/>
    <w:rsid w:val="004F63D5"/>
    <w:rsid w:val="004F64CD"/>
    <w:rsid w:val="004F751A"/>
    <w:rsid w:val="004F7708"/>
    <w:rsid w:val="0050012F"/>
    <w:rsid w:val="00500A79"/>
    <w:rsid w:val="00504B72"/>
    <w:rsid w:val="005059D8"/>
    <w:rsid w:val="005064B6"/>
    <w:rsid w:val="005102E7"/>
    <w:rsid w:val="00510D83"/>
    <w:rsid w:val="00511400"/>
    <w:rsid w:val="0051229B"/>
    <w:rsid w:val="00512310"/>
    <w:rsid w:val="00512BA9"/>
    <w:rsid w:val="00513C4B"/>
    <w:rsid w:val="00516C66"/>
    <w:rsid w:val="00517671"/>
    <w:rsid w:val="00517D25"/>
    <w:rsid w:val="00517FED"/>
    <w:rsid w:val="005207DE"/>
    <w:rsid w:val="005225C9"/>
    <w:rsid w:val="005229D0"/>
    <w:rsid w:val="00523269"/>
    <w:rsid w:val="00524DFA"/>
    <w:rsid w:val="00525FA7"/>
    <w:rsid w:val="0052631D"/>
    <w:rsid w:val="00526C81"/>
    <w:rsid w:val="00527D4E"/>
    <w:rsid w:val="00530D39"/>
    <w:rsid w:val="00530E2B"/>
    <w:rsid w:val="00533396"/>
    <w:rsid w:val="005341CD"/>
    <w:rsid w:val="00535AB4"/>
    <w:rsid w:val="005362C4"/>
    <w:rsid w:val="0053741D"/>
    <w:rsid w:val="005376E7"/>
    <w:rsid w:val="00537E6B"/>
    <w:rsid w:val="00540C61"/>
    <w:rsid w:val="00540E31"/>
    <w:rsid w:val="00541078"/>
    <w:rsid w:val="00541D9B"/>
    <w:rsid w:val="00543315"/>
    <w:rsid w:val="00543483"/>
    <w:rsid w:val="00543D52"/>
    <w:rsid w:val="005442EE"/>
    <w:rsid w:val="00544706"/>
    <w:rsid w:val="0054557C"/>
    <w:rsid w:val="00546124"/>
    <w:rsid w:val="0054632E"/>
    <w:rsid w:val="00546DE4"/>
    <w:rsid w:val="00550951"/>
    <w:rsid w:val="00551427"/>
    <w:rsid w:val="00551430"/>
    <w:rsid w:val="0055148B"/>
    <w:rsid w:val="00551505"/>
    <w:rsid w:val="0055284E"/>
    <w:rsid w:val="00553C6C"/>
    <w:rsid w:val="00554F90"/>
    <w:rsid w:val="00555465"/>
    <w:rsid w:val="005554BB"/>
    <w:rsid w:val="00555A74"/>
    <w:rsid w:val="00560367"/>
    <w:rsid w:val="005606C3"/>
    <w:rsid w:val="005606D7"/>
    <w:rsid w:val="00560AC2"/>
    <w:rsid w:val="00560E4C"/>
    <w:rsid w:val="00561999"/>
    <w:rsid w:val="00561CAD"/>
    <w:rsid w:val="00563030"/>
    <w:rsid w:val="00563117"/>
    <w:rsid w:val="005637D0"/>
    <w:rsid w:val="005675F6"/>
    <w:rsid w:val="00571EF9"/>
    <w:rsid w:val="00572550"/>
    <w:rsid w:val="00574382"/>
    <w:rsid w:val="00574FC6"/>
    <w:rsid w:val="005753EE"/>
    <w:rsid w:val="005828D4"/>
    <w:rsid w:val="00584D08"/>
    <w:rsid w:val="005850AE"/>
    <w:rsid w:val="00586D08"/>
    <w:rsid w:val="005932A4"/>
    <w:rsid w:val="005936D9"/>
    <w:rsid w:val="00595E83"/>
    <w:rsid w:val="005A1076"/>
    <w:rsid w:val="005A2349"/>
    <w:rsid w:val="005A2F52"/>
    <w:rsid w:val="005A4862"/>
    <w:rsid w:val="005A6AF1"/>
    <w:rsid w:val="005B0203"/>
    <w:rsid w:val="005B042C"/>
    <w:rsid w:val="005B1B4C"/>
    <w:rsid w:val="005B2E01"/>
    <w:rsid w:val="005B3712"/>
    <w:rsid w:val="005B56D2"/>
    <w:rsid w:val="005B6010"/>
    <w:rsid w:val="005B60CD"/>
    <w:rsid w:val="005C2F88"/>
    <w:rsid w:val="005C3BF9"/>
    <w:rsid w:val="005C47B2"/>
    <w:rsid w:val="005C4A01"/>
    <w:rsid w:val="005C619C"/>
    <w:rsid w:val="005C7BDB"/>
    <w:rsid w:val="005D1C8D"/>
    <w:rsid w:val="005D28FD"/>
    <w:rsid w:val="005D4C5D"/>
    <w:rsid w:val="005D5093"/>
    <w:rsid w:val="005D5297"/>
    <w:rsid w:val="005D5F6E"/>
    <w:rsid w:val="005E0220"/>
    <w:rsid w:val="005E2228"/>
    <w:rsid w:val="005E292A"/>
    <w:rsid w:val="005E4396"/>
    <w:rsid w:val="005E4AB8"/>
    <w:rsid w:val="005E54F8"/>
    <w:rsid w:val="005E6FCA"/>
    <w:rsid w:val="005E7515"/>
    <w:rsid w:val="005F0A6A"/>
    <w:rsid w:val="005F0DD7"/>
    <w:rsid w:val="005F1982"/>
    <w:rsid w:val="005F2014"/>
    <w:rsid w:val="005F3932"/>
    <w:rsid w:val="005F4935"/>
    <w:rsid w:val="005F5B90"/>
    <w:rsid w:val="00601F52"/>
    <w:rsid w:val="00601FD1"/>
    <w:rsid w:val="0060290E"/>
    <w:rsid w:val="00603CAB"/>
    <w:rsid w:val="00603CC6"/>
    <w:rsid w:val="00606EBA"/>
    <w:rsid w:val="006121F6"/>
    <w:rsid w:val="0061334B"/>
    <w:rsid w:val="0061374E"/>
    <w:rsid w:val="006137F1"/>
    <w:rsid w:val="0061389E"/>
    <w:rsid w:val="00616C19"/>
    <w:rsid w:val="006177FC"/>
    <w:rsid w:val="006206BA"/>
    <w:rsid w:val="006214FA"/>
    <w:rsid w:val="00622A22"/>
    <w:rsid w:val="0062389F"/>
    <w:rsid w:val="00623E70"/>
    <w:rsid w:val="0062717E"/>
    <w:rsid w:val="00627900"/>
    <w:rsid w:val="00630E9C"/>
    <w:rsid w:val="006311DF"/>
    <w:rsid w:val="00633448"/>
    <w:rsid w:val="006335D1"/>
    <w:rsid w:val="006347EA"/>
    <w:rsid w:val="0063531D"/>
    <w:rsid w:val="00635E96"/>
    <w:rsid w:val="00637545"/>
    <w:rsid w:val="00637603"/>
    <w:rsid w:val="006403C3"/>
    <w:rsid w:val="006405EA"/>
    <w:rsid w:val="006418CC"/>
    <w:rsid w:val="006428AC"/>
    <w:rsid w:val="006435BC"/>
    <w:rsid w:val="006436B1"/>
    <w:rsid w:val="0064567E"/>
    <w:rsid w:val="00645E3A"/>
    <w:rsid w:val="00652F67"/>
    <w:rsid w:val="00653438"/>
    <w:rsid w:val="00653CC0"/>
    <w:rsid w:val="00655BE9"/>
    <w:rsid w:val="006619A8"/>
    <w:rsid w:val="00661A59"/>
    <w:rsid w:val="00662E78"/>
    <w:rsid w:val="00663263"/>
    <w:rsid w:val="00663390"/>
    <w:rsid w:val="00663636"/>
    <w:rsid w:val="006638A8"/>
    <w:rsid w:val="00663DAC"/>
    <w:rsid w:val="00663DFB"/>
    <w:rsid w:val="00664C2D"/>
    <w:rsid w:val="00665115"/>
    <w:rsid w:val="00665543"/>
    <w:rsid w:val="00665E8C"/>
    <w:rsid w:val="006674E3"/>
    <w:rsid w:val="006679FD"/>
    <w:rsid w:val="00670F56"/>
    <w:rsid w:val="006715F4"/>
    <w:rsid w:val="00672FE2"/>
    <w:rsid w:val="00673F24"/>
    <w:rsid w:val="0067419A"/>
    <w:rsid w:val="006741F1"/>
    <w:rsid w:val="0067491B"/>
    <w:rsid w:val="00676AE8"/>
    <w:rsid w:val="00676C02"/>
    <w:rsid w:val="006772A2"/>
    <w:rsid w:val="00677D52"/>
    <w:rsid w:val="006808E6"/>
    <w:rsid w:val="00681FD3"/>
    <w:rsid w:val="00682190"/>
    <w:rsid w:val="006824FB"/>
    <w:rsid w:val="0068256B"/>
    <w:rsid w:val="006835F3"/>
    <w:rsid w:val="006836C3"/>
    <w:rsid w:val="00684183"/>
    <w:rsid w:val="00684809"/>
    <w:rsid w:val="006852BF"/>
    <w:rsid w:val="0068552C"/>
    <w:rsid w:val="00687AF7"/>
    <w:rsid w:val="00687BAA"/>
    <w:rsid w:val="00687C8F"/>
    <w:rsid w:val="00687FD9"/>
    <w:rsid w:val="006906DF"/>
    <w:rsid w:val="00690864"/>
    <w:rsid w:val="0069203A"/>
    <w:rsid w:val="00694F75"/>
    <w:rsid w:val="00695A16"/>
    <w:rsid w:val="006A0374"/>
    <w:rsid w:val="006A073A"/>
    <w:rsid w:val="006A3040"/>
    <w:rsid w:val="006A3101"/>
    <w:rsid w:val="006A3258"/>
    <w:rsid w:val="006A3688"/>
    <w:rsid w:val="006A424E"/>
    <w:rsid w:val="006A5F9B"/>
    <w:rsid w:val="006A649E"/>
    <w:rsid w:val="006A6A23"/>
    <w:rsid w:val="006A6B19"/>
    <w:rsid w:val="006A7DF3"/>
    <w:rsid w:val="006B0448"/>
    <w:rsid w:val="006B05B7"/>
    <w:rsid w:val="006B05FC"/>
    <w:rsid w:val="006B1678"/>
    <w:rsid w:val="006B1D26"/>
    <w:rsid w:val="006B621D"/>
    <w:rsid w:val="006B71CE"/>
    <w:rsid w:val="006B7A88"/>
    <w:rsid w:val="006C01BD"/>
    <w:rsid w:val="006C2BF0"/>
    <w:rsid w:val="006C4CE5"/>
    <w:rsid w:val="006C7495"/>
    <w:rsid w:val="006D08AD"/>
    <w:rsid w:val="006D0D99"/>
    <w:rsid w:val="006D3749"/>
    <w:rsid w:val="006D3A2C"/>
    <w:rsid w:val="006D67EF"/>
    <w:rsid w:val="006D73A5"/>
    <w:rsid w:val="006E0ADB"/>
    <w:rsid w:val="006E13BE"/>
    <w:rsid w:val="006E2580"/>
    <w:rsid w:val="006E46DA"/>
    <w:rsid w:val="006E5B8E"/>
    <w:rsid w:val="006F22CB"/>
    <w:rsid w:val="006F2333"/>
    <w:rsid w:val="006F3248"/>
    <w:rsid w:val="006F3460"/>
    <w:rsid w:val="006F3CA8"/>
    <w:rsid w:val="006F4957"/>
    <w:rsid w:val="006F5BC5"/>
    <w:rsid w:val="006F5D6A"/>
    <w:rsid w:val="006F6EC7"/>
    <w:rsid w:val="006F791B"/>
    <w:rsid w:val="00701689"/>
    <w:rsid w:val="00701D05"/>
    <w:rsid w:val="00704F0C"/>
    <w:rsid w:val="00706B96"/>
    <w:rsid w:val="00710953"/>
    <w:rsid w:val="007123F4"/>
    <w:rsid w:val="00712732"/>
    <w:rsid w:val="007130B4"/>
    <w:rsid w:val="007162A2"/>
    <w:rsid w:val="00716473"/>
    <w:rsid w:val="00716ED2"/>
    <w:rsid w:val="00717CC7"/>
    <w:rsid w:val="00721A67"/>
    <w:rsid w:val="00721EFB"/>
    <w:rsid w:val="007221EC"/>
    <w:rsid w:val="00724884"/>
    <w:rsid w:val="007249AF"/>
    <w:rsid w:val="007275BA"/>
    <w:rsid w:val="00730083"/>
    <w:rsid w:val="0073404D"/>
    <w:rsid w:val="00735084"/>
    <w:rsid w:val="00735727"/>
    <w:rsid w:val="00736A5D"/>
    <w:rsid w:val="00742454"/>
    <w:rsid w:val="007431AD"/>
    <w:rsid w:val="007434A6"/>
    <w:rsid w:val="00743F79"/>
    <w:rsid w:val="00744461"/>
    <w:rsid w:val="007451D7"/>
    <w:rsid w:val="00746243"/>
    <w:rsid w:val="00751C2E"/>
    <w:rsid w:val="007532E1"/>
    <w:rsid w:val="007557B0"/>
    <w:rsid w:val="00756858"/>
    <w:rsid w:val="00757025"/>
    <w:rsid w:val="0075774E"/>
    <w:rsid w:val="00760E07"/>
    <w:rsid w:val="00760F33"/>
    <w:rsid w:val="0076116A"/>
    <w:rsid w:val="00762C8E"/>
    <w:rsid w:val="00766424"/>
    <w:rsid w:val="00766990"/>
    <w:rsid w:val="0077099D"/>
    <w:rsid w:val="00770D00"/>
    <w:rsid w:val="007734A7"/>
    <w:rsid w:val="0077406F"/>
    <w:rsid w:val="00774272"/>
    <w:rsid w:val="00777789"/>
    <w:rsid w:val="007807CA"/>
    <w:rsid w:val="00782830"/>
    <w:rsid w:val="00782E72"/>
    <w:rsid w:val="00783EAA"/>
    <w:rsid w:val="00785166"/>
    <w:rsid w:val="00785A73"/>
    <w:rsid w:val="00787244"/>
    <w:rsid w:val="00787759"/>
    <w:rsid w:val="007877CD"/>
    <w:rsid w:val="00791084"/>
    <w:rsid w:val="0079355E"/>
    <w:rsid w:val="00793AD8"/>
    <w:rsid w:val="00793E89"/>
    <w:rsid w:val="007947E6"/>
    <w:rsid w:val="007979F9"/>
    <w:rsid w:val="00797C7B"/>
    <w:rsid w:val="007A0C12"/>
    <w:rsid w:val="007A0F19"/>
    <w:rsid w:val="007A1D18"/>
    <w:rsid w:val="007A1EEF"/>
    <w:rsid w:val="007A2AAF"/>
    <w:rsid w:val="007A486B"/>
    <w:rsid w:val="007A5071"/>
    <w:rsid w:val="007A5AB0"/>
    <w:rsid w:val="007A5FE1"/>
    <w:rsid w:val="007A66F9"/>
    <w:rsid w:val="007A7EAC"/>
    <w:rsid w:val="007B162D"/>
    <w:rsid w:val="007B24E3"/>
    <w:rsid w:val="007B2922"/>
    <w:rsid w:val="007B3B24"/>
    <w:rsid w:val="007B606D"/>
    <w:rsid w:val="007B64D3"/>
    <w:rsid w:val="007B786C"/>
    <w:rsid w:val="007B7FC1"/>
    <w:rsid w:val="007C0C49"/>
    <w:rsid w:val="007C1E17"/>
    <w:rsid w:val="007C2047"/>
    <w:rsid w:val="007C213C"/>
    <w:rsid w:val="007C3485"/>
    <w:rsid w:val="007C4EE2"/>
    <w:rsid w:val="007C585D"/>
    <w:rsid w:val="007C62DD"/>
    <w:rsid w:val="007C69D4"/>
    <w:rsid w:val="007D1391"/>
    <w:rsid w:val="007D1616"/>
    <w:rsid w:val="007D1CF6"/>
    <w:rsid w:val="007D1EDB"/>
    <w:rsid w:val="007D2A80"/>
    <w:rsid w:val="007D4634"/>
    <w:rsid w:val="007D4A2E"/>
    <w:rsid w:val="007E0726"/>
    <w:rsid w:val="007E13DF"/>
    <w:rsid w:val="007E17C5"/>
    <w:rsid w:val="007E362E"/>
    <w:rsid w:val="007E473C"/>
    <w:rsid w:val="007E488B"/>
    <w:rsid w:val="007E48B1"/>
    <w:rsid w:val="007E49BE"/>
    <w:rsid w:val="007E5D7E"/>
    <w:rsid w:val="007E6450"/>
    <w:rsid w:val="007E6AE0"/>
    <w:rsid w:val="007F03C2"/>
    <w:rsid w:val="007F063F"/>
    <w:rsid w:val="007F1F25"/>
    <w:rsid w:val="007F3BA2"/>
    <w:rsid w:val="007F3BDC"/>
    <w:rsid w:val="007F4C8B"/>
    <w:rsid w:val="007F6A9F"/>
    <w:rsid w:val="007F6B3D"/>
    <w:rsid w:val="008008B9"/>
    <w:rsid w:val="00803B19"/>
    <w:rsid w:val="00804658"/>
    <w:rsid w:val="0080487D"/>
    <w:rsid w:val="0080566C"/>
    <w:rsid w:val="00806A9E"/>
    <w:rsid w:val="00807D08"/>
    <w:rsid w:val="008113D4"/>
    <w:rsid w:val="00811B24"/>
    <w:rsid w:val="00814488"/>
    <w:rsid w:val="00814510"/>
    <w:rsid w:val="008154B4"/>
    <w:rsid w:val="00816003"/>
    <w:rsid w:val="008214B9"/>
    <w:rsid w:val="00825B4B"/>
    <w:rsid w:val="00830A7F"/>
    <w:rsid w:val="00831B96"/>
    <w:rsid w:val="00833137"/>
    <w:rsid w:val="0083325D"/>
    <w:rsid w:val="00837529"/>
    <w:rsid w:val="008376EB"/>
    <w:rsid w:val="0084016C"/>
    <w:rsid w:val="00840612"/>
    <w:rsid w:val="00840BED"/>
    <w:rsid w:val="00841414"/>
    <w:rsid w:val="00841A45"/>
    <w:rsid w:val="00843A03"/>
    <w:rsid w:val="00843C00"/>
    <w:rsid w:val="00843D3F"/>
    <w:rsid w:val="00844214"/>
    <w:rsid w:val="008449A2"/>
    <w:rsid w:val="00844BB7"/>
    <w:rsid w:val="00846115"/>
    <w:rsid w:val="008464CD"/>
    <w:rsid w:val="00850BA7"/>
    <w:rsid w:val="0085254B"/>
    <w:rsid w:val="00853762"/>
    <w:rsid w:val="00854911"/>
    <w:rsid w:val="0085491C"/>
    <w:rsid w:val="00856418"/>
    <w:rsid w:val="00856781"/>
    <w:rsid w:val="00860866"/>
    <w:rsid w:val="008618B5"/>
    <w:rsid w:val="00861E27"/>
    <w:rsid w:val="00862327"/>
    <w:rsid w:val="00863414"/>
    <w:rsid w:val="00863D39"/>
    <w:rsid w:val="0086512B"/>
    <w:rsid w:val="0086526F"/>
    <w:rsid w:val="00865AAE"/>
    <w:rsid w:val="008668FE"/>
    <w:rsid w:val="0086747C"/>
    <w:rsid w:val="0087184A"/>
    <w:rsid w:val="008729F6"/>
    <w:rsid w:val="00872E0E"/>
    <w:rsid w:val="00873387"/>
    <w:rsid w:val="00874AAD"/>
    <w:rsid w:val="00875480"/>
    <w:rsid w:val="00881AD0"/>
    <w:rsid w:val="008860EC"/>
    <w:rsid w:val="00893B5D"/>
    <w:rsid w:val="00894073"/>
    <w:rsid w:val="00896795"/>
    <w:rsid w:val="00896D38"/>
    <w:rsid w:val="008A1060"/>
    <w:rsid w:val="008A121C"/>
    <w:rsid w:val="008A2B8A"/>
    <w:rsid w:val="008A331B"/>
    <w:rsid w:val="008A51A8"/>
    <w:rsid w:val="008A58C0"/>
    <w:rsid w:val="008A5CB9"/>
    <w:rsid w:val="008A6017"/>
    <w:rsid w:val="008A79E9"/>
    <w:rsid w:val="008A7C80"/>
    <w:rsid w:val="008B067D"/>
    <w:rsid w:val="008B3EF7"/>
    <w:rsid w:val="008B55FE"/>
    <w:rsid w:val="008B682E"/>
    <w:rsid w:val="008B71CB"/>
    <w:rsid w:val="008B7F75"/>
    <w:rsid w:val="008C0231"/>
    <w:rsid w:val="008C152A"/>
    <w:rsid w:val="008C3625"/>
    <w:rsid w:val="008C428A"/>
    <w:rsid w:val="008C46DC"/>
    <w:rsid w:val="008C4907"/>
    <w:rsid w:val="008C54D2"/>
    <w:rsid w:val="008C57A2"/>
    <w:rsid w:val="008C7EC4"/>
    <w:rsid w:val="008D054A"/>
    <w:rsid w:val="008D1812"/>
    <w:rsid w:val="008D2693"/>
    <w:rsid w:val="008D2F4A"/>
    <w:rsid w:val="008D3193"/>
    <w:rsid w:val="008D40A9"/>
    <w:rsid w:val="008D46E6"/>
    <w:rsid w:val="008D545B"/>
    <w:rsid w:val="008D686A"/>
    <w:rsid w:val="008D6F08"/>
    <w:rsid w:val="008E0457"/>
    <w:rsid w:val="008E09A9"/>
    <w:rsid w:val="008E1A97"/>
    <w:rsid w:val="008E3730"/>
    <w:rsid w:val="008E3800"/>
    <w:rsid w:val="008E38A0"/>
    <w:rsid w:val="008E3B27"/>
    <w:rsid w:val="008E52FD"/>
    <w:rsid w:val="008E58A6"/>
    <w:rsid w:val="008E5997"/>
    <w:rsid w:val="008E5DFE"/>
    <w:rsid w:val="008E6149"/>
    <w:rsid w:val="008E7C2F"/>
    <w:rsid w:val="008E7F20"/>
    <w:rsid w:val="008F1B50"/>
    <w:rsid w:val="008F40DC"/>
    <w:rsid w:val="00900AD7"/>
    <w:rsid w:val="0090195C"/>
    <w:rsid w:val="00901B8C"/>
    <w:rsid w:val="009025B6"/>
    <w:rsid w:val="00902B40"/>
    <w:rsid w:val="009036AB"/>
    <w:rsid w:val="009037F1"/>
    <w:rsid w:val="009039A8"/>
    <w:rsid w:val="0090446A"/>
    <w:rsid w:val="009045C1"/>
    <w:rsid w:val="00905AC6"/>
    <w:rsid w:val="00910CD1"/>
    <w:rsid w:val="0091192A"/>
    <w:rsid w:val="00912054"/>
    <w:rsid w:val="00912722"/>
    <w:rsid w:val="00913712"/>
    <w:rsid w:val="009151FA"/>
    <w:rsid w:val="00921856"/>
    <w:rsid w:val="00921EB4"/>
    <w:rsid w:val="00924829"/>
    <w:rsid w:val="009261F6"/>
    <w:rsid w:val="0092716B"/>
    <w:rsid w:val="00931467"/>
    <w:rsid w:val="00932395"/>
    <w:rsid w:val="009352D3"/>
    <w:rsid w:val="00936FF8"/>
    <w:rsid w:val="00943682"/>
    <w:rsid w:val="00943B9B"/>
    <w:rsid w:val="00945275"/>
    <w:rsid w:val="00951331"/>
    <w:rsid w:val="00951891"/>
    <w:rsid w:val="00952AE6"/>
    <w:rsid w:val="009531D2"/>
    <w:rsid w:val="00953ADB"/>
    <w:rsid w:val="00955028"/>
    <w:rsid w:val="00955135"/>
    <w:rsid w:val="00956464"/>
    <w:rsid w:val="00956E65"/>
    <w:rsid w:val="00957471"/>
    <w:rsid w:val="009622FF"/>
    <w:rsid w:val="00963AEF"/>
    <w:rsid w:val="00964D31"/>
    <w:rsid w:val="009717E9"/>
    <w:rsid w:val="00971DC7"/>
    <w:rsid w:val="00971F1C"/>
    <w:rsid w:val="009730F7"/>
    <w:rsid w:val="00973A4E"/>
    <w:rsid w:val="00975745"/>
    <w:rsid w:val="00975CF5"/>
    <w:rsid w:val="00980DB0"/>
    <w:rsid w:val="00981142"/>
    <w:rsid w:val="00982A5C"/>
    <w:rsid w:val="00984383"/>
    <w:rsid w:val="0098510A"/>
    <w:rsid w:val="00987825"/>
    <w:rsid w:val="00992A7F"/>
    <w:rsid w:val="00992B2A"/>
    <w:rsid w:val="00994429"/>
    <w:rsid w:val="0099454D"/>
    <w:rsid w:val="00997BD5"/>
    <w:rsid w:val="00997DBD"/>
    <w:rsid w:val="00997F95"/>
    <w:rsid w:val="009A0C0A"/>
    <w:rsid w:val="009B3BBC"/>
    <w:rsid w:val="009B3C9D"/>
    <w:rsid w:val="009B7405"/>
    <w:rsid w:val="009C189C"/>
    <w:rsid w:val="009C1C44"/>
    <w:rsid w:val="009C200F"/>
    <w:rsid w:val="009C25BE"/>
    <w:rsid w:val="009C5195"/>
    <w:rsid w:val="009C5D12"/>
    <w:rsid w:val="009C66EF"/>
    <w:rsid w:val="009C6804"/>
    <w:rsid w:val="009C691E"/>
    <w:rsid w:val="009C71B5"/>
    <w:rsid w:val="009C71F4"/>
    <w:rsid w:val="009C7289"/>
    <w:rsid w:val="009C77F8"/>
    <w:rsid w:val="009C7F1F"/>
    <w:rsid w:val="009D263E"/>
    <w:rsid w:val="009D4082"/>
    <w:rsid w:val="009D4E1C"/>
    <w:rsid w:val="009D5403"/>
    <w:rsid w:val="009D654D"/>
    <w:rsid w:val="009D66C1"/>
    <w:rsid w:val="009E0C81"/>
    <w:rsid w:val="009E1117"/>
    <w:rsid w:val="009E2ABC"/>
    <w:rsid w:val="009E303E"/>
    <w:rsid w:val="009E4CF3"/>
    <w:rsid w:val="009E55AA"/>
    <w:rsid w:val="009F20AB"/>
    <w:rsid w:val="009F2BB6"/>
    <w:rsid w:val="009F4D0A"/>
    <w:rsid w:val="009F4F88"/>
    <w:rsid w:val="009F5C46"/>
    <w:rsid w:val="00A0147F"/>
    <w:rsid w:val="00A025D7"/>
    <w:rsid w:val="00A04148"/>
    <w:rsid w:val="00A05882"/>
    <w:rsid w:val="00A0597E"/>
    <w:rsid w:val="00A060D3"/>
    <w:rsid w:val="00A0641B"/>
    <w:rsid w:val="00A105E6"/>
    <w:rsid w:val="00A11F65"/>
    <w:rsid w:val="00A128B7"/>
    <w:rsid w:val="00A12E82"/>
    <w:rsid w:val="00A13B85"/>
    <w:rsid w:val="00A13C47"/>
    <w:rsid w:val="00A14524"/>
    <w:rsid w:val="00A14AA3"/>
    <w:rsid w:val="00A165F9"/>
    <w:rsid w:val="00A1721B"/>
    <w:rsid w:val="00A17833"/>
    <w:rsid w:val="00A2208D"/>
    <w:rsid w:val="00A23A51"/>
    <w:rsid w:val="00A23DD2"/>
    <w:rsid w:val="00A26407"/>
    <w:rsid w:val="00A309D7"/>
    <w:rsid w:val="00A3149E"/>
    <w:rsid w:val="00A321E1"/>
    <w:rsid w:val="00A349EB"/>
    <w:rsid w:val="00A34ECF"/>
    <w:rsid w:val="00A34F5B"/>
    <w:rsid w:val="00A3534F"/>
    <w:rsid w:val="00A35A0D"/>
    <w:rsid w:val="00A41539"/>
    <w:rsid w:val="00A4252D"/>
    <w:rsid w:val="00A42DA8"/>
    <w:rsid w:val="00A4344F"/>
    <w:rsid w:val="00A4380D"/>
    <w:rsid w:val="00A45534"/>
    <w:rsid w:val="00A45629"/>
    <w:rsid w:val="00A47E2F"/>
    <w:rsid w:val="00A5049D"/>
    <w:rsid w:val="00A5186F"/>
    <w:rsid w:val="00A52847"/>
    <w:rsid w:val="00A53B94"/>
    <w:rsid w:val="00A55F1B"/>
    <w:rsid w:val="00A5632D"/>
    <w:rsid w:val="00A569D3"/>
    <w:rsid w:val="00A57B96"/>
    <w:rsid w:val="00A61C9D"/>
    <w:rsid w:val="00A622EF"/>
    <w:rsid w:val="00A6288E"/>
    <w:rsid w:val="00A636A2"/>
    <w:rsid w:val="00A6408C"/>
    <w:rsid w:val="00A649F2"/>
    <w:rsid w:val="00A64A43"/>
    <w:rsid w:val="00A6511F"/>
    <w:rsid w:val="00A6557C"/>
    <w:rsid w:val="00A65B19"/>
    <w:rsid w:val="00A65CC5"/>
    <w:rsid w:val="00A65D59"/>
    <w:rsid w:val="00A6686C"/>
    <w:rsid w:val="00A701DA"/>
    <w:rsid w:val="00A716A7"/>
    <w:rsid w:val="00A7206D"/>
    <w:rsid w:val="00A748D6"/>
    <w:rsid w:val="00A75045"/>
    <w:rsid w:val="00A76A9D"/>
    <w:rsid w:val="00A81D19"/>
    <w:rsid w:val="00A85435"/>
    <w:rsid w:val="00A91186"/>
    <w:rsid w:val="00A92E7E"/>
    <w:rsid w:val="00A947B3"/>
    <w:rsid w:val="00A94A57"/>
    <w:rsid w:val="00A95A06"/>
    <w:rsid w:val="00A96B69"/>
    <w:rsid w:val="00A97E64"/>
    <w:rsid w:val="00AA02DF"/>
    <w:rsid w:val="00AA10AD"/>
    <w:rsid w:val="00AA1FDC"/>
    <w:rsid w:val="00AA708E"/>
    <w:rsid w:val="00AB171B"/>
    <w:rsid w:val="00AB2585"/>
    <w:rsid w:val="00AB25C9"/>
    <w:rsid w:val="00AB3196"/>
    <w:rsid w:val="00AB3460"/>
    <w:rsid w:val="00AB6193"/>
    <w:rsid w:val="00AB62E2"/>
    <w:rsid w:val="00AB7939"/>
    <w:rsid w:val="00AB7AAD"/>
    <w:rsid w:val="00AB7C9E"/>
    <w:rsid w:val="00AC0596"/>
    <w:rsid w:val="00AC374A"/>
    <w:rsid w:val="00AC3C66"/>
    <w:rsid w:val="00AC42D2"/>
    <w:rsid w:val="00AC5FCF"/>
    <w:rsid w:val="00AC6551"/>
    <w:rsid w:val="00AD233A"/>
    <w:rsid w:val="00AD2A6E"/>
    <w:rsid w:val="00AD3019"/>
    <w:rsid w:val="00AD3D35"/>
    <w:rsid w:val="00AD3F59"/>
    <w:rsid w:val="00AD7A5B"/>
    <w:rsid w:val="00AE0ECB"/>
    <w:rsid w:val="00AE0F80"/>
    <w:rsid w:val="00AE164A"/>
    <w:rsid w:val="00AE27A9"/>
    <w:rsid w:val="00AE40EC"/>
    <w:rsid w:val="00AE4DF0"/>
    <w:rsid w:val="00AE5240"/>
    <w:rsid w:val="00AE5AFF"/>
    <w:rsid w:val="00AE67A5"/>
    <w:rsid w:val="00AF0973"/>
    <w:rsid w:val="00AF1913"/>
    <w:rsid w:val="00AF233B"/>
    <w:rsid w:val="00AF59F3"/>
    <w:rsid w:val="00AF6410"/>
    <w:rsid w:val="00AF64D4"/>
    <w:rsid w:val="00B00D27"/>
    <w:rsid w:val="00B00D5B"/>
    <w:rsid w:val="00B01DF7"/>
    <w:rsid w:val="00B02A8B"/>
    <w:rsid w:val="00B03E9B"/>
    <w:rsid w:val="00B043CE"/>
    <w:rsid w:val="00B045BA"/>
    <w:rsid w:val="00B05318"/>
    <w:rsid w:val="00B05420"/>
    <w:rsid w:val="00B05EE0"/>
    <w:rsid w:val="00B126A8"/>
    <w:rsid w:val="00B126BE"/>
    <w:rsid w:val="00B12CDC"/>
    <w:rsid w:val="00B146F0"/>
    <w:rsid w:val="00B202B1"/>
    <w:rsid w:val="00B22D73"/>
    <w:rsid w:val="00B23177"/>
    <w:rsid w:val="00B236A3"/>
    <w:rsid w:val="00B2391E"/>
    <w:rsid w:val="00B24DD8"/>
    <w:rsid w:val="00B27E72"/>
    <w:rsid w:val="00B307CC"/>
    <w:rsid w:val="00B310D0"/>
    <w:rsid w:val="00B35693"/>
    <w:rsid w:val="00B35815"/>
    <w:rsid w:val="00B37158"/>
    <w:rsid w:val="00B40B71"/>
    <w:rsid w:val="00B42199"/>
    <w:rsid w:val="00B429C6"/>
    <w:rsid w:val="00B4715C"/>
    <w:rsid w:val="00B50511"/>
    <w:rsid w:val="00B51D60"/>
    <w:rsid w:val="00B51DFB"/>
    <w:rsid w:val="00B51F43"/>
    <w:rsid w:val="00B525EB"/>
    <w:rsid w:val="00B5267A"/>
    <w:rsid w:val="00B52DA5"/>
    <w:rsid w:val="00B55850"/>
    <w:rsid w:val="00B56FEB"/>
    <w:rsid w:val="00B605AB"/>
    <w:rsid w:val="00B608C8"/>
    <w:rsid w:val="00B61BCF"/>
    <w:rsid w:val="00B62C80"/>
    <w:rsid w:val="00B62CCC"/>
    <w:rsid w:val="00B643B9"/>
    <w:rsid w:val="00B64787"/>
    <w:rsid w:val="00B658D5"/>
    <w:rsid w:val="00B65D79"/>
    <w:rsid w:val="00B70129"/>
    <w:rsid w:val="00B70B1C"/>
    <w:rsid w:val="00B718E1"/>
    <w:rsid w:val="00B73B3A"/>
    <w:rsid w:val="00B7476E"/>
    <w:rsid w:val="00B7482A"/>
    <w:rsid w:val="00B7669E"/>
    <w:rsid w:val="00B771A7"/>
    <w:rsid w:val="00B8648F"/>
    <w:rsid w:val="00B920E2"/>
    <w:rsid w:val="00B922FE"/>
    <w:rsid w:val="00B92A6F"/>
    <w:rsid w:val="00B92E9D"/>
    <w:rsid w:val="00B968DC"/>
    <w:rsid w:val="00B97135"/>
    <w:rsid w:val="00B97385"/>
    <w:rsid w:val="00BA015D"/>
    <w:rsid w:val="00BA1F07"/>
    <w:rsid w:val="00BA221E"/>
    <w:rsid w:val="00BB1052"/>
    <w:rsid w:val="00BB1A3F"/>
    <w:rsid w:val="00BB1F97"/>
    <w:rsid w:val="00BB244B"/>
    <w:rsid w:val="00BB24D7"/>
    <w:rsid w:val="00BB447A"/>
    <w:rsid w:val="00BB4894"/>
    <w:rsid w:val="00BB682E"/>
    <w:rsid w:val="00BC290C"/>
    <w:rsid w:val="00BC37F6"/>
    <w:rsid w:val="00BC5AED"/>
    <w:rsid w:val="00BC7792"/>
    <w:rsid w:val="00BC7991"/>
    <w:rsid w:val="00BC7A26"/>
    <w:rsid w:val="00BD1271"/>
    <w:rsid w:val="00BD394E"/>
    <w:rsid w:val="00BD42CB"/>
    <w:rsid w:val="00BD5178"/>
    <w:rsid w:val="00BD5EDA"/>
    <w:rsid w:val="00BD6BD8"/>
    <w:rsid w:val="00BE00C7"/>
    <w:rsid w:val="00BE196D"/>
    <w:rsid w:val="00BE1A2F"/>
    <w:rsid w:val="00BE42D9"/>
    <w:rsid w:val="00BE48F8"/>
    <w:rsid w:val="00BE5479"/>
    <w:rsid w:val="00BE7612"/>
    <w:rsid w:val="00BF008C"/>
    <w:rsid w:val="00BF01AD"/>
    <w:rsid w:val="00BF0A97"/>
    <w:rsid w:val="00BF1315"/>
    <w:rsid w:val="00BF1C70"/>
    <w:rsid w:val="00BF3734"/>
    <w:rsid w:val="00BF3873"/>
    <w:rsid w:val="00BF5119"/>
    <w:rsid w:val="00C00127"/>
    <w:rsid w:val="00C003FC"/>
    <w:rsid w:val="00C00EE1"/>
    <w:rsid w:val="00C01842"/>
    <w:rsid w:val="00C01A9A"/>
    <w:rsid w:val="00C0233A"/>
    <w:rsid w:val="00C036BD"/>
    <w:rsid w:val="00C0631E"/>
    <w:rsid w:val="00C110AC"/>
    <w:rsid w:val="00C113AC"/>
    <w:rsid w:val="00C11B08"/>
    <w:rsid w:val="00C12275"/>
    <w:rsid w:val="00C139C8"/>
    <w:rsid w:val="00C14006"/>
    <w:rsid w:val="00C142AC"/>
    <w:rsid w:val="00C169C3"/>
    <w:rsid w:val="00C179A3"/>
    <w:rsid w:val="00C2015A"/>
    <w:rsid w:val="00C20DA0"/>
    <w:rsid w:val="00C2118C"/>
    <w:rsid w:val="00C218BC"/>
    <w:rsid w:val="00C2195A"/>
    <w:rsid w:val="00C2252D"/>
    <w:rsid w:val="00C240E3"/>
    <w:rsid w:val="00C2418C"/>
    <w:rsid w:val="00C24A6A"/>
    <w:rsid w:val="00C25A03"/>
    <w:rsid w:val="00C26C44"/>
    <w:rsid w:val="00C27848"/>
    <w:rsid w:val="00C3003D"/>
    <w:rsid w:val="00C303EB"/>
    <w:rsid w:val="00C308CF"/>
    <w:rsid w:val="00C3098F"/>
    <w:rsid w:val="00C33F9E"/>
    <w:rsid w:val="00C344D2"/>
    <w:rsid w:val="00C35283"/>
    <w:rsid w:val="00C35A3D"/>
    <w:rsid w:val="00C37FD8"/>
    <w:rsid w:val="00C469CB"/>
    <w:rsid w:val="00C5048B"/>
    <w:rsid w:val="00C510BE"/>
    <w:rsid w:val="00C51AF8"/>
    <w:rsid w:val="00C52615"/>
    <w:rsid w:val="00C530F4"/>
    <w:rsid w:val="00C53184"/>
    <w:rsid w:val="00C54C57"/>
    <w:rsid w:val="00C57B10"/>
    <w:rsid w:val="00C62F19"/>
    <w:rsid w:val="00C63624"/>
    <w:rsid w:val="00C636C2"/>
    <w:rsid w:val="00C64AB3"/>
    <w:rsid w:val="00C70A72"/>
    <w:rsid w:val="00C72CFA"/>
    <w:rsid w:val="00C7313E"/>
    <w:rsid w:val="00C75A47"/>
    <w:rsid w:val="00C76010"/>
    <w:rsid w:val="00C76598"/>
    <w:rsid w:val="00C76F07"/>
    <w:rsid w:val="00C76F0D"/>
    <w:rsid w:val="00C77E64"/>
    <w:rsid w:val="00C815EC"/>
    <w:rsid w:val="00C8192D"/>
    <w:rsid w:val="00C831ED"/>
    <w:rsid w:val="00C845B3"/>
    <w:rsid w:val="00C85D76"/>
    <w:rsid w:val="00C87DBE"/>
    <w:rsid w:val="00C902DE"/>
    <w:rsid w:val="00C91543"/>
    <w:rsid w:val="00C92D52"/>
    <w:rsid w:val="00C94710"/>
    <w:rsid w:val="00C95479"/>
    <w:rsid w:val="00C9697B"/>
    <w:rsid w:val="00C97174"/>
    <w:rsid w:val="00C97672"/>
    <w:rsid w:val="00C979D5"/>
    <w:rsid w:val="00CA1C76"/>
    <w:rsid w:val="00CA41C0"/>
    <w:rsid w:val="00CA494E"/>
    <w:rsid w:val="00CA5CB9"/>
    <w:rsid w:val="00CA6903"/>
    <w:rsid w:val="00CA785F"/>
    <w:rsid w:val="00CA7A02"/>
    <w:rsid w:val="00CA7A9D"/>
    <w:rsid w:val="00CB0046"/>
    <w:rsid w:val="00CB069D"/>
    <w:rsid w:val="00CB1151"/>
    <w:rsid w:val="00CB134B"/>
    <w:rsid w:val="00CB1D5C"/>
    <w:rsid w:val="00CB2EF4"/>
    <w:rsid w:val="00CB42FE"/>
    <w:rsid w:val="00CB7521"/>
    <w:rsid w:val="00CC191D"/>
    <w:rsid w:val="00CC2146"/>
    <w:rsid w:val="00CC36D3"/>
    <w:rsid w:val="00CC75BC"/>
    <w:rsid w:val="00CC7F08"/>
    <w:rsid w:val="00CD00AA"/>
    <w:rsid w:val="00CD182D"/>
    <w:rsid w:val="00CD273F"/>
    <w:rsid w:val="00CD4CA7"/>
    <w:rsid w:val="00CD74DC"/>
    <w:rsid w:val="00CE2B50"/>
    <w:rsid w:val="00CE306F"/>
    <w:rsid w:val="00CE3955"/>
    <w:rsid w:val="00CE4F5A"/>
    <w:rsid w:val="00CE54BC"/>
    <w:rsid w:val="00CE5F0C"/>
    <w:rsid w:val="00CE69BF"/>
    <w:rsid w:val="00CF4285"/>
    <w:rsid w:val="00CF5210"/>
    <w:rsid w:val="00CF5F1A"/>
    <w:rsid w:val="00CF7AB9"/>
    <w:rsid w:val="00D00EEB"/>
    <w:rsid w:val="00D01562"/>
    <w:rsid w:val="00D01F1F"/>
    <w:rsid w:val="00D1099C"/>
    <w:rsid w:val="00D126E7"/>
    <w:rsid w:val="00D13F96"/>
    <w:rsid w:val="00D14DB1"/>
    <w:rsid w:val="00D15082"/>
    <w:rsid w:val="00D15B40"/>
    <w:rsid w:val="00D15F42"/>
    <w:rsid w:val="00D17205"/>
    <w:rsid w:val="00D17F3F"/>
    <w:rsid w:val="00D17F76"/>
    <w:rsid w:val="00D200B3"/>
    <w:rsid w:val="00D2010D"/>
    <w:rsid w:val="00D201B2"/>
    <w:rsid w:val="00D20366"/>
    <w:rsid w:val="00D20BAC"/>
    <w:rsid w:val="00D2295A"/>
    <w:rsid w:val="00D23C59"/>
    <w:rsid w:val="00D30806"/>
    <w:rsid w:val="00D30823"/>
    <w:rsid w:val="00D31C3A"/>
    <w:rsid w:val="00D3312B"/>
    <w:rsid w:val="00D34276"/>
    <w:rsid w:val="00D34755"/>
    <w:rsid w:val="00D359F1"/>
    <w:rsid w:val="00D360CA"/>
    <w:rsid w:val="00D36999"/>
    <w:rsid w:val="00D37F6A"/>
    <w:rsid w:val="00D40A06"/>
    <w:rsid w:val="00D418FE"/>
    <w:rsid w:val="00D42F6F"/>
    <w:rsid w:val="00D4346C"/>
    <w:rsid w:val="00D447BD"/>
    <w:rsid w:val="00D47BC8"/>
    <w:rsid w:val="00D51BEA"/>
    <w:rsid w:val="00D520E0"/>
    <w:rsid w:val="00D537AC"/>
    <w:rsid w:val="00D54593"/>
    <w:rsid w:val="00D54A01"/>
    <w:rsid w:val="00D552F8"/>
    <w:rsid w:val="00D55A3D"/>
    <w:rsid w:val="00D56326"/>
    <w:rsid w:val="00D5679D"/>
    <w:rsid w:val="00D604D3"/>
    <w:rsid w:val="00D611E4"/>
    <w:rsid w:val="00D61209"/>
    <w:rsid w:val="00D61723"/>
    <w:rsid w:val="00D623CF"/>
    <w:rsid w:val="00D6271F"/>
    <w:rsid w:val="00D66D79"/>
    <w:rsid w:val="00D70EB5"/>
    <w:rsid w:val="00D730F0"/>
    <w:rsid w:val="00D73F95"/>
    <w:rsid w:val="00D74E7F"/>
    <w:rsid w:val="00D7610F"/>
    <w:rsid w:val="00D762E2"/>
    <w:rsid w:val="00D76A3C"/>
    <w:rsid w:val="00D76CFF"/>
    <w:rsid w:val="00D77342"/>
    <w:rsid w:val="00D83A3A"/>
    <w:rsid w:val="00D83A95"/>
    <w:rsid w:val="00D85BA7"/>
    <w:rsid w:val="00D8667B"/>
    <w:rsid w:val="00D87C8D"/>
    <w:rsid w:val="00D91D2F"/>
    <w:rsid w:val="00D94828"/>
    <w:rsid w:val="00D95741"/>
    <w:rsid w:val="00D96B3C"/>
    <w:rsid w:val="00DA13E8"/>
    <w:rsid w:val="00DA16A8"/>
    <w:rsid w:val="00DA5A4A"/>
    <w:rsid w:val="00DA7DD3"/>
    <w:rsid w:val="00DA7F08"/>
    <w:rsid w:val="00DB1EEA"/>
    <w:rsid w:val="00DB2C53"/>
    <w:rsid w:val="00DB2D1D"/>
    <w:rsid w:val="00DB6FAC"/>
    <w:rsid w:val="00DB71D4"/>
    <w:rsid w:val="00DC035E"/>
    <w:rsid w:val="00DC0B1A"/>
    <w:rsid w:val="00DC2480"/>
    <w:rsid w:val="00DC2764"/>
    <w:rsid w:val="00DC2E81"/>
    <w:rsid w:val="00DC6587"/>
    <w:rsid w:val="00DC6719"/>
    <w:rsid w:val="00DC7404"/>
    <w:rsid w:val="00DC76C7"/>
    <w:rsid w:val="00DC7B19"/>
    <w:rsid w:val="00DC7D07"/>
    <w:rsid w:val="00DC7FFA"/>
    <w:rsid w:val="00DD49D3"/>
    <w:rsid w:val="00DD5E05"/>
    <w:rsid w:val="00DD6EF5"/>
    <w:rsid w:val="00DD721B"/>
    <w:rsid w:val="00DD7538"/>
    <w:rsid w:val="00DD7EAB"/>
    <w:rsid w:val="00DD7FF8"/>
    <w:rsid w:val="00DE0AFE"/>
    <w:rsid w:val="00DE1594"/>
    <w:rsid w:val="00DE1F8A"/>
    <w:rsid w:val="00DE5367"/>
    <w:rsid w:val="00DE7037"/>
    <w:rsid w:val="00DF3333"/>
    <w:rsid w:val="00DF3AFC"/>
    <w:rsid w:val="00DF40EB"/>
    <w:rsid w:val="00DF4C91"/>
    <w:rsid w:val="00DF63C4"/>
    <w:rsid w:val="00E01607"/>
    <w:rsid w:val="00E01BC7"/>
    <w:rsid w:val="00E0334B"/>
    <w:rsid w:val="00E061C2"/>
    <w:rsid w:val="00E07475"/>
    <w:rsid w:val="00E10025"/>
    <w:rsid w:val="00E11FC9"/>
    <w:rsid w:val="00E12002"/>
    <w:rsid w:val="00E12262"/>
    <w:rsid w:val="00E1258B"/>
    <w:rsid w:val="00E1463D"/>
    <w:rsid w:val="00E1600D"/>
    <w:rsid w:val="00E170CA"/>
    <w:rsid w:val="00E2109B"/>
    <w:rsid w:val="00E21395"/>
    <w:rsid w:val="00E21915"/>
    <w:rsid w:val="00E22E7F"/>
    <w:rsid w:val="00E22FFF"/>
    <w:rsid w:val="00E23346"/>
    <w:rsid w:val="00E24056"/>
    <w:rsid w:val="00E322CC"/>
    <w:rsid w:val="00E354B2"/>
    <w:rsid w:val="00E37A68"/>
    <w:rsid w:val="00E37B89"/>
    <w:rsid w:val="00E401DE"/>
    <w:rsid w:val="00E413BF"/>
    <w:rsid w:val="00E41DA7"/>
    <w:rsid w:val="00E4200A"/>
    <w:rsid w:val="00E42709"/>
    <w:rsid w:val="00E42754"/>
    <w:rsid w:val="00E431B9"/>
    <w:rsid w:val="00E44679"/>
    <w:rsid w:val="00E44931"/>
    <w:rsid w:val="00E44AD0"/>
    <w:rsid w:val="00E46DC4"/>
    <w:rsid w:val="00E51B8B"/>
    <w:rsid w:val="00E52447"/>
    <w:rsid w:val="00E53BDB"/>
    <w:rsid w:val="00E54394"/>
    <w:rsid w:val="00E563DC"/>
    <w:rsid w:val="00E56FEB"/>
    <w:rsid w:val="00E613CD"/>
    <w:rsid w:val="00E6188E"/>
    <w:rsid w:val="00E62E8B"/>
    <w:rsid w:val="00E71C65"/>
    <w:rsid w:val="00E743E6"/>
    <w:rsid w:val="00E75FE3"/>
    <w:rsid w:val="00E76670"/>
    <w:rsid w:val="00E77206"/>
    <w:rsid w:val="00E77C15"/>
    <w:rsid w:val="00E77D0F"/>
    <w:rsid w:val="00E80D25"/>
    <w:rsid w:val="00E8228F"/>
    <w:rsid w:val="00E85155"/>
    <w:rsid w:val="00E86729"/>
    <w:rsid w:val="00E86829"/>
    <w:rsid w:val="00E8758B"/>
    <w:rsid w:val="00E8795D"/>
    <w:rsid w:val="00E91A65"/>
    <w:rsid w:val="00E93000"/>
    <w:rsid w:val="00E933BF"/>
    <w:rsid w:val="00E935FD"/>
    <w:rsid w:val="00E97054"/>
    <w:rsid w:val="00E977B1"/>
    <w:rsid w:val="00E97F59"/>
    <w:rsid w:val="00EA0A9A"/>
    <w:rsid w:val="00EA111D"/>
    <w:rsid w:val="00EA36B6"/>
    <w:rsid w:val="00EA5D57"/>
    <w:rsid w:val="00EA6E0F"/>
    <w:rsid w:val="00EA7715"/>
    <w:rsid w:val="00EA775D"/>
    <w:rsid w:val="00EB2017"/>
    <w:rsid w:val="00EB20FE"/>
    <w:rsid w:val="00EB3025"/>
    <w:rsid w:val="00EB378D"/>
    <w:rsid w:val="00EB5117"/>
    <w:rsid w:val="00EB59F1"/>
    <w:rsid w:val="00EB6A05"/>
    <w:rsid w:val="00EB7103"/>
    <w:rsid w:val="00EC00DA"/>
    <w:rsid w:val="00EC275F"/>
    <w:rsid w:val="00EC2D57"/>
    <w:rsid w:val="00EC5375"/>
    <w:rsid w:val="00EC5480"/>
    <w:rsid w:val="00EC5C0D"/>
    <w:rsid w:val="00ED05D6"/>
    <w:rsid w:val="00ED1046"/>
    <w:rsid w:val="00ED2691"/>
    <w:rsid w:val="00ED2835"/>
    <w:rsid w:val="00ED3F6C"/>
    <w:rsid w:val="00ED6A5D"/>
    <w:rsid w:val="00ED79EC"/>
    <w:rsid w:val="00EE3F91"/>
    <w:rsid w:val="00EE531C"/>
    <w:rsid w:val="00EE5F51"/>
    <w:rsid w:val="00EE767F"/>
    <w:rsid w:val="00EF08D3"/>
    <w:rsid w:val="00EF0BC5"/>
    <w:rsid w:val="00EF2C85"/>
    <w:rsid w:val="00EF4730"/>
    <w:rsid w:val="00EF665F"/>
    <w:rsid w:val="00EF764C"/>
    <w:rsid w:val="00F04136"/>
    <w:rsid w:val="00F05538"/>
    <w:rsid w:val="00F075ED"/>
    <w:rsid w:val="00F113A4"/>
    <w:rsid w:val="00F130BA"/>
    <w:rsid w:val="00F150C6"/>
    <w:rsid w:val="00F174EB"/>
    <w:rsid w:val="00F178B7"/>
    <w:rsid w:val="00F1799E"/>
    <w:rsid w:val="00F179BB"/>
    <w:rsid w:val="00F20033"/>
    <w:rsid w:val="00F20160"/>
    <w:rsid w:val="00F22ED9"/>
    <w:rsid w:val="00F2316B"/>
    <w:rsid w:val="00F23415"/>
    <w:rsid w:val="00F23FD2"/>
    <w:rsid w:val="00F24D42"/>
    <w:rsid w:val="00F25407"/>
    <w:rsid w:val="00F269F7"/>
    <w:rsid w:val="00F2736E"/>
    <w:rsid w:val="00F3599F"/>
    <w:rsid w:val="00F41817"/>
    <w:rsid w:val="00F435A0"/>
    <w:rsid w:val="00F45087"/>
    <w:rsid w:val="00F462B2"/>
    <w:rsid w:val="00F4681F"/>
    <w:rsid w:val="00F50876"/>
    <w:rsid w:val="00F521CF"/>
    <w:rsid w:val="00F53D45"/>
    <w:rsid w:val="00F55E11"/>
    <w:rsid w:val="00F60F55"/>
    <w:rsid w:val="00F633A3"/>
    <w:rsid w:val="00F6355F"/>
    <w:rsid w:val="00F6749A"/>
    <w:rsid w:val="00F67513"/>
    <w:rsid w:val="00F67BDE"/>
    <w:rsid w:val="00F726C9"/>
    <w:rsid w:val="00F72C83"/>
    <w:rsid w:val="00F73B19"/>
    <w:rsid w:val="00F74267"/>
    <w:rsid w:val="00F74B59"/>
    <w:rsid w:val="00F7534C"/>
    <w:rsid w:val="00F7617D"/>
    <w:rsid w:val="00F77511"/>
    <w:rsid w:val="00F81104"/>
    <w:rsid w:val="00F82EF0"/>
    <w:rsid w:val="00F83815"/>
    <w:rsid w:val="00F84484"/>
    <w:rsid w:val="00F852B0"/>
    <w:rsid w:val="00F86207"/>
    <w:rsid w:val="00F8646D"/>
    <w:rsid w:val="00F86B6F"/>
    <w:rsid w:val="00F906FA"/>
    <w:rsid w:val="00F907F6"/>
    <w:rsid w:val="00F908FA"/>
    <w:rsid w:val="00F94A02"/>
    <w:rsid w:val="00F95F6B"/>
    <w:rsid w:val="00F973AE"/>
    <w:rsid w:val="00FA1AD3"/>
    <w:rsid w:val="00FA21D4"/>
    <w:rsid w:val="00FA24C2"/>
    <w:rsid w:val="00FA2DBB"/>
    <w:rsid w:val="00FA313F"/>
    <w:rsid w:val="00FA3691"/>
    <w:rsid w:val="00FA5E4B"/>
    <w:rsid w:val="00FA6C2D"/>
    <w:rsid w:val="00FA702A"/>
    <w:rsid w:val="00FB128D"/>
    <w:rsid w:val="00FB626A"/>
    <w:rsid w:val="00FB7894"/>
    <w:rsid w:val="00FC03B8"/>
    <w:rsid w:val="00FC1437"/>
    <w:rsid w:val="00FC49A6"/>
    <w:rsid w:val="00FC4AAC"/>
    <w:rsid w:val="00FC4BA7"/>
    <w:rsid w:val="00FC5F61"/>
    <w:rsid w:val="00FC7E56"/>
    <w:rsid w:val="00FC7F12"/>
    <w:rsid w:val="00FD031E"/>
    <w:rsid w:val="00FD0353"/>
    <w:rsid w:val="00FD1B4B"/>
    <w:rsid w:val="00FD4362"/>
    <w:rsid w:val="00FD44C9"/>
    <w:rsid w:val="00FD5340"/>
    <w:rsid w:val="00FD7698"/>
    <w:rsid w:val="00FE05AE"/>
    <w:rsid w:val="00FE1C82"/>
    <w:rsid w:val="00FE25B5"/>
    <w:rsid w:val="00FE3C6A"/>
    <w:rsid w:val="00FE74C9"/>
    <w:rsid w:val="00FF0347"/>
    <w:rsid w:val="00FF0823"/>
    <w:rsid w:val="00FF3125"/>
    <w:rsid w:val="00FF4969"/>
    <w:rsid w:val="00FF6E4E"/>
    <w:rsid w:val="00FF6F16"/>
    <w:rsid w:val="01620E31"/>
    <w:rsid w:val="016C304D"/>
    <w:rsid w:val="016E2F6B"/>
    <w:rsid w:val="01E03DA0"/>
    <w:rsid w:val="021E031E"/>
    <w:rsid w:val="02216B53"/>
    <w:rsid w:val="02821C14"/>
    <w:rsid w:val="02933833"/>
    <w:rsid w:val="03182BA3"/>
    <w:rsid w:val="034A389B"/>
    <w:rsid w:val="035339A0"/>
    <w:rsid w:val="0384774D"/>
    <w:rsid w:val="039630FB"/>
    <w:rsid w:val="03FD47DA"/>
    <w:rsid w:val="04200D92"/>
    <w:rsid w:val="0432567E"/>
    <w:rsid w:val="0465346C"/>
    <w:rsid w:val="04941056"/>
    <w:rsid w:val="04EF50E4"/>
    <w:rsid w:val="05126012"/>
    <w:rsid w:val="05B94D19"/>
    <w:rsid w:val="05EB5E91"/>
    <w:rsid w:val="05EE492D"/>
    <w:rsid w:val="061A080A"/>
    <w:rsid w:val="06241B10"/>
    <w:rsid w:val="06345819"/>
    <w:rsid w:val="06633259"/>
    <w:rsid w:val="06C639B9"/>
    <w:rsid w:val="070B35E7"/>
    <w:rsid w:val="070F6EE4"/>
    <w:rsid w:val="076D3D9B"/>
    <w:rsid w:val="08575FBE"/>
    <w:rsid w:val="086168E8"/>
    <w:rsid w:val="086B2094"/>
    <w:rsid w:val="0881328E"/>
    <w:rsid w:val="08CC637B"/>
    <w:rsid w:val="08D4083B"/>
    <w:rsid w:val="0948383A"/>
    <w:rsid w:val="097B2C18"/>
    <w:rsid w:val="09897D66"/>
    <w:rsid w:val="09BD4ABD"/>
    <w:rsid w:val="09DD4552"/>
    <w:rsid w:val="09DE3555"/>
    <w:rsid w:val="0A2E2D1E"/>
    <w:rsid w:val="0A5B6627"/>
    <w:rsid w:val="0A973EAB"/>
    <w:rsid w:val="0AEE1042"/>
    <w:rsid w:val="0B196FF0"/>
    <w:rsid w:val="0BA64D17"/>
    <w:rsid w:val="0BE07789"/>
    <w:rsid w:val="0C6368F2"/>
    <w:rsid w:val="0C665099"/>
    <w:rsid w:val="0CA87E34"/>
    <w:rsid w:val="0CAB26D5"/>
    <w:rsid w:val="0CF24310"/>
    <w:rsid w:val="0CF550D2"/>
    <w:rsid w:val="0D8D268F"/>
    <w:rsid w:val="0DA675E9"/>
    <w:rsid w:val="0DCD7334"/>
    <w:rsid w:val="0DCF6FB4"/>
    <w:rsid w:val="0DF37EED"/>
    <w:rsid w:val="0DF4006B"/>
    <w:rsid w:val="0E176437"/>
    <w:rsid w:val="0E1806AD"/>
    <w:rsid w:val="0E683742"/>
    <w:rsid w:val="0E79238A"/>
    <w:rsid w:val="0E904E74"/>
    <w:rsid w:val="0E975183"/>
    <w:rsid w:val="0EC6275B"/>
    <w:rsid w:val="0EDF0212"/>
    <w:rsid w:val="0F7200CA"/>
    <w:rsid w:val="0FB777B7"/>
    <w:rsid w:val="0FCE1079"/>
    <w:rsid w:val="10154348"/>
    <w:rsid w:val="102B2696"/>
    <w:rsid w:val="108E2A2A"/>
    <w:rsid w:val="1091203B"/>
    <w:rsid w:val="10B050F0"/>
    <w:rsid w:val="10CA51F4"/>
    <w:rsid w:val="11141A67"/>
    <w:rsid w:val="11206871"/>
    <w:rsid w:val="11883CA1"/>
    <w:rsid w:val="11C77E98"/>
    <w:rsid w:val="121C06A2"/>
    <w:rsid w:val="1240562F"/>
    <w:rsid w:val="12783CB1"/>
    <w:rsid w:val="12BF484E"/>
    <w:rsid w:val="12E0534B"/>
    <w:rsid w:val="12FC516D"/>
    <w:rsid w:val="13270D7A"/>
    <w:rsid w:val="137A4F1C"/>
    <w:rsid w:val="137D3D07"/>
    <w:rsid w:val="13806B2E"/>
    <w:rsid w:val="13911D57"/>
    <w:rsid w:val="13995D1B"/>
    <w:rsid w:val="13BF21F2"/>
    <w:rsid w:val="14696128"/>
    <w:rsid w:val="14A02886"/>
    <w:rsid w:val="15460D75"/>
    <w:rsid w:val="155927B5"/>
    <w:rsid w:val="15636126"/>
    <w:rsid w:val="15667F11"/>
    <w:rsid w:val="15F8234F"/>
    <w:rsid w:val="160B1DB7"/>
    <w:rsid w:val="164F52D4"/>
    <w:rsid w:val="165203AF"/>
    <w:rsid w:val="16774771"/>
    <w:rsid w:val="16EC4928"/>
    <w:rsid w:val="16F12184"/>
    <w:rsid w:val="17153A81"/>
    <w:rsid w:val="173B5B8B"/>
    <w:rsid w:val="17532364"/>
    <w:rsid w:val="17591B70"/>
    <w:rsid w:val="17B80B79"/>
    <w:rsid w:val="17E05839"/>
    <w:rsid w:val="18093CC8"/>
    <w:rsid w:val="181D1494"/>
    <w:rsid w:val="183D4FEE"/>
    <w:rsid w:val="18846FC8"/>
    <w:rsid w:val="18946013"/>
    <w:rsid w:val="18A35FCB"/>
    <w:rsid w:val="18D93565"/>
    <w:rsid w:val="18E402E6"/>
    <w:rsid w:val="191B750A"/>
    <w:rsid w:val="191E6BCD"/>
    <w:rsid w:val="193E703E"/>
    <w:rsid w:val="1A110D76"/>
    <w:rsid w:val="1A211F2D"/>
    <w:rsid w:val="1A2D22E8"/>
    <w:rsid w:val="1A3B0898"/>
    <w:rsid w:val="1ACA4F32"/>
    <w:rsid w:val="1B3A42EB"/>
    <w:rsid w:val="1B42729D"/>
    <w:rsid w:val="1B5D2457"/>
    <w:rsid w:val="1BC64613"/>
    <w:rsid w:val="1BFC6F13"/>
    <w:rsid w:val="1C4F1E0E"/>
    <w:rsid w:val="1C7902CC"/>
    <w:rsid w:val="1CA56F4F"/>
    <w:rsid w:val="1CC63804"/>
    <w:rsid w:val="1CDE0FF5"/>
    <w:rsid w:val="1D790876"/>
    <w:rsid w:val="1D8C05F8"/>
    <w:rsid w:val="1DA034D6"/>
    <w:rsid w:val="1DE93912"/>
    <w:rsid w:val="1DF63B37"/>
    <w:rsid w:val="1EA95099"/>
    <w:rsid w:val="1ECA23A8"/>
    <w:rsid w:val="1EE21A64"/>
    <w:rsid w:val="1EE97C2F"/>
    <w:rsid w:val="1F0316B2"/>
    <w:rsid w:val="1F04384E"/>
    <w:rsid w:val="1F1C2826"/>
    <w:rsid w:val="1F29024B"/>
    <w:rsid w:val="1F5C4703"/>
    <w:rsid w:val="1F8F7905"/>
    <w:rsid w:val="1FED40A3"/>
    <w:rsid w:val="20114A5C"/>
    <w:rsid w:val="201B5A3A"/>
    <w:rsid w:val="202E43DF"/>
    <w:rsid w:val="206550E2"/>
    <w:rsid w:val="20875058"/>
    <w:rsid w:val="20C26CB6"/>
    <w:rsid w:val="20CD4685"/>
    <w:rsid w:val="20ED5D93"/>
    <w:rsid w:val="215C0087"/>
    <w:rsid w:val="216C042F"/>
    <w:rsid w:val="21C36B18"/>
    <w:rsid w:val="22081726"/>
    <w:rsid w:val="223B65C8"/>
    <w:rsid w:val="228316AC"/>
    <w:rsid w:val="22837F55"/>
    <w:rsid w:val="22C24A14"/>
    <w:rsid w:val="22F038A8"/>
    <w:rsid w:val="235B27F2"/>
    <w:rsid w:val="237A543E"/>
    <w:rsid w:val="23E3614A"/>
    <w:rsid w:val="24223428"/>
    <w:rsid w:val="24253B81"/>
    <w:rsid w:val="244717AD"/>
    <w:rsid w:val="244B0AC1"/>
    <w:rsid w:val="246201C6"/>
    <w:rsid w:val="249638CA"/>
    <w:rsid w:val="24EC6B16"/>
    <w:rsid w:val="250E3B32"/>
    <w:rsid w:val="254E4741"/>
    <w:rsid w:val="25506536"/>
    <w:rsid w:val="25A01C95"/>
    <w:rsid w:val="26110972"/>
    <w:rsid w:val="267E5845"/>
    <w:rsid w:val="2707064B"/>
    <w:rsid w:val="27CE475B"/>
    <w:rsid w:val="27DE305C"/>
    <w:rsid w:val="27EF7B95"/>
    <w:rsid w:val="288557F6"/>
    <w:rsid w:val="28E64C29"/>
    <w:rsid w:val="29114107"/>
    <w:rsid w:val="293A0A71"/>
    <w:rsid w:val="297B2160"/>
    <w:rsid w:val="29940245"/>
    <w:rsid w:val="29CF016D"/>
    <w:rsid w:val="29D60088"/>
    <w:rsid w:val="2A0469B9"/>
    <w:rsid w:val="2A365D31"/>
    <w:rsid w:val="2A4B1F72"/>
    <w:rsid w:val="2A950CB9"/>
    <w:rsid w:val="2AAF4215"/>
    <w:rsid w:val="2AE049E4"/>
    <w:rsid w:val="2AF967EE"/>
    <w:rsid w:val="2B055B8E"/>
    <w:rsid w:val="2B4B0391"/>
    <w:rsid w:val="2B6674B5"/>
    <w:rsid w:val="2BF10A0D"/>
    <w:rsid w:val="2C02237E"/>
    <w:rsid w:val="2C1938A0"/>
    <w:rsid w:val="2C5801F0"/>
    <w:rsid w:val="2C686C0F"/>
    <w:rsid w:val="2C781FEF"/>
    <w:rsid w:val="2C792640"/>
    <w:rsid w:val="2C8A036B"/>
    <w:rsid w:val="2CF4444F"/>
    <w:rsid w:val="2CF53DEE"/>
    <w:rsid w:val="2CFC72DD"/>
    <w:rsid w:val="2D3A16A4"/>
    <w:rsid w:val="2D654CA7"/>
    <w:rsid w:val="2D665645"/>
    <w:rsid w:val="2E3738AE"/>
    <w:rsid w:val="2E8E2A5E"/>
    <w:rsid w:val="2F2512B8"/>
    <w:rsid w:val="2F262ED7"/>
    <w:rsid w:val="2F7B4820"/>
    <w:rsid w:val="2FA76EBB"/>
    <w:rsid w:val="2FAF1D4C"/>
    <w:rsid w:val="3086432B"/>
    <w:rsid w:val="30C2390F"/>
    <w:rsid w:val="31091081"/>
    <w:rsid w:val="31690F05"/>
    <w:rsid w:val="31DF791A"/>
    <w:rsid w:val="31EC2498"/>
    <w:rsid w:val="320C3781"/>
    <w:rsid w:val="324878E5"/>
    <w:rsid w:val="32B033A5"/>
    <w:rsid w:val="32BC4A38"/>
    <w:rsid w:val="32DD3DBC"/>
    <w:rsid w:val="32E267C8"/>
    <w:rsid w:val="33106C6C"/>
    <w:rsid w:val="331A61FF"/>
    <w:rsid w:val="331D745B"/>
    <w:rsid w:val="3323264D"/>
    <w:rsid w:val="335B5F5D"/>
    <w:rsid w:val="338F3800"/>
    <w:rsid w:val="33AE370E"/>
    <w:rsid w:val="340116DE"/>
    <w:rsid w:val="34073C43"/>
    <w:rsid w:val="34301664"/>
    <w:rsid w:val="348E19EA"/>
    <w:rsid w:val="34A9327D"/>
    <w:rsid w:val="34ED5335"/>
    <w:rsid w:val="351006F8"/>
    <w:rsid w:val="35411719"/>
    <w:rsid w:val="35591701"/>
    <w:rsid w:val="35A2048B"/>
    <w:rsid w:val="35B31B6A"/>
    <w:rsid w:val="35C964D0"/>
    <w:rsid w:val="35D2638C"/>
    <w:rsid w:val="35D77DBD"/>
    <w:rsid w:val="35E326D2"/>
    <w:rsid w:val="360A7D8B"/>
    <w:rsid w:val="366414DA"/>
    <w:rsid w:val="369217D4"/>
    <w:rsid w:val="36996532"/>
    <w:rsid w:val="36E33B2C"/>
    <w:rsid w:val="37031B65"/>
    <w:rsid w:val="37103EE5"/>
    <w:rsid w:val="37720706"/>
    <w:rsid w:val="37D26343"/>
    <w:rsid w:val="37DC3BBF"/>
    <w:rsid w:val="37EA1649"/>
    <w:rsid w:val="381E2ABC"/>
    <w:rsid w:val="382F16EF"/>
    <w:rsid w:val="38A5656B"/>
    <w:rsid w:val="38B730AB"/>
    <w:rsid w:val="394B4F67"/>
    <w:rsid w:val="39C159CC"/>
    <w:rsid w:val="3A082811"/>
    <w:rsid w:val="3A1A71C6"/>
    <w:rsid w:val="3AB70991"/>
    <w:rsid w:val="3AF22A91"/>
    <w:rsid w:val="3B073105"/>
    <w:rsid w:val="3BB92E08"/>
    <w:rsid w:val="3BDC6748"/>
    <w:rsid w:val="3C3F2833"/>
    <w:rsid w:val="3C7921E9"/>
    <w:rsid w:val="3CC623ED"/>
    <w:rsid w:val="3D240B2F"/>
    <w:rsid w:val="3D8C258A"/>
    <w:rsid w:val="3DF61A5A"/>
    <w:rsid w:val="3DF71617"/>
    <w:rsid w:val="3E017490"/>
    <w:rsid w:val="3E0E244A"/>
    <w:rsid w:val="3E114D1E"/>
    <w:rsid w:val="3E4D6A61"/>
    <w:rsid w:val="3E646581"/>
    <w:rsid w:val="3E8C6C2E"/>
    <w:rsid w:val="3EC83A46"/>
    <w:rsid w:val="3F1B7D24"/>
    <w:rsid w:val="3F1E2F22"/>
    <w:rsid w:val="3F744629"/>
    <w:rsid w:val="3FB24DF5"/>
    <w:rsid w:val="3FB5491E"/>
    <w:rsid w:val="3FC26926"/>
    <w:rsid w:val="3FD301A7"/>
    <w:rsid w:val="3FE33E5C"/>
    <w:rsid w:val="400650B3"/>
    <w:rsid w:val="4009726F"/>
    <w:rsid w:val="40217705"/>
    <w:rsid w:val="40530B00"/>
    <w:rsid w:val="405732F1"/>
    <w:rsid w:val="40631D33"/>
    <w:rsid w:val="406D0409"/>
    <w:rsid w:val="40E50D2B"/>
    <w:rsid w:val="40F21E30"/>
    <w:rsid w:val="411073B8"/>
    <w:rsid w:val="41321107"/>
    <w:rsid w:val="413A6513"/>
    <w:rsid w:val="414C1CB1"/>
    <w:rsid w:val="41D47593"/>
    <w:rsid w:val="41D96700"/>
    <w:rsid w:val="41F0705D"/>
    <w:rsid w:val="41F53EED"/>
    <w:rsid w:val="425A68B9"/>
    <w:rsid w:val="427A132C"/>
    <w:rsid w:val="42A754B7"/>
    <w:rsid w:val="42B50C62"/>
    <w:rsid w:val="42C74D8A"/>
    <w:rsid w:val="42D32DB1"/>
    <w:rsid w:val="42E4439B"/>
    <w:rsid w:val="44150A49"/>
    <w:rsid w:val="44557097"/>
    <w:rsid w:val="44823A25"/>
    <w:rsid w:val="44D137B4"/>
    <w:rsid w:val="458107ED"/>
    <w:rsid w:val="458565B0"/>
    <w:rsid w:val="45A13B03"/>
    <w:rsid w:val="460738D9"/>
    <w:rsid w:val="464A3349"/>
    <w:rsid w:val="467C41EC"/>
    <w:rsid w:val="46CC6841"/>
    <w:rsid w:val="46EE03DB"/>
    <w:rsid w:val="46F45396"/>
    <w:rsid w:val="46F45EA5"/>
    <w:rsid w:val="473C746D"/>
    <w:rsid w:val="47656FAD"/>
    <w:rsid w:val="47700762"/>
    <w:rsid w:val="47A5261A"/>
    <w:rsid w:val="480B693E"/>
    <w:rsid w:val="488E6CEF"/>
    <w:rsid w:val="491608A3"/>
    <w:rsid w:val="49824328"/>
    <w:rsid w:val="49AE4D87"/>
    <w:rsid w:val="49D77F2B"/>
    <w:rsid w:val="49F078CF"/>
    <w:rsid w:val="49F81A09"/>
    <w:rsid w:val="4A2D18F3"/>
    <w:rsid w:val="4A6C48E0"/>
    <w:rsid w:val="4A7D5DAD"/>
    <w:rsid w:val="4AED437B"/>
    <w:rsid w:val="4B1E4B13"/>
    <w:rsid w:val="4B7C0C17"/>
    <w:rsid w:val="4B821FDC"/>
    <w:rsid w:val="4BB61845"/>
    <w:rsid w:val="4BD44D46"/>
    <w:rsid w:val="4BDF3F5B"/>
    <w:rsid w:val="4C145797"/>
    <w:rsid w:val="4C4C4FAC"/>
    <w:rsid w:val="4C5841C4"/>
    <w:rsid w:val="4C7127D4"/>
    <w:rsid w:val="4C7B1665"/>
    <w:rsid w:val="4CA755B7"/>
    <w:rsid w:val="4D063886"/>
    <w:rsid w:val="4D456A01"/>
    <w:rsid w:val="4D6715E6"/>
    <w:rsid w:val="4D6B3488"/>
    <w:rsid w:val="4DB47D83"/>
    <w:rsid w:val="4DD2071A"/>
    <w:rsid w:val="4DEC58FD"/>
    <w:rsid w:val="4E0A4298"/>
    <w:rsid w:val="4E4E19C6"/>
    <w:rsid w:val="4EAC7155"/>
    <w:rsid w:val="4ED05D28"/>
    <w:rsid w:val="4EFE032C"/>
    <w:rsid w:val="4F1436B5"/>
    <w:rsid w:val="4F1F635F"/>
    <w:rsid w:val="4F4949CF"/>
    <w:rsid w:val="4FC24205"/>
    <w:rsid w:val="4FDD594D"/>
    <w:rsid w:val="50116BEC"/>
    <w:rsid w:val="508F1061"/>
    <w:rsid w:val="50AC78E9"/>
    <w:rsid w:val="50B7077F"/>
    <w:rsid w:val="50DD75B9"/>
    <w:rsid w:val="519758C5"/>
    <w:rsid w:val="51D827EE"/>
    <w:rsid w:val="520463E7"/>
    <w:rsid w:val="5220170B"/>
    <w:rsid w:val="52B051C5"/>
    <w:rsid w:val="52CB5130"/>
    <w:rsid w:val="52DA704E"/>
    <w:rsid w:val="52F22B78"/>
    <w:rsid w:val="537A08B0"/>
    <w:rsid w:val="53CB4BAB"/>
    <w:rsid w:val="540006A2"/>
    <w:rsid w:val="54291EC5"/>
    <w:rsid w:val="5443730C"/>
    <w:rsid w:val="54724373"/>
    <w:rsid w:val="54873D1F"/>
    <w:rsid w:val="549A74EB"/>
    <w:rsid w:val="549C094B"/>
    <w:rsid w:val="54D7298C"/>
    <w:rsid w:val="55413E9D"/>
    <w:rsid w:val="55FC4303"/>
    <w:rsid w:val="56181C0B"/>
    <w:rsid w:val="562E4C15"/>
    <w:rsid w:val="56300617"/>
    <w:rsid w:val="565158D7"/>
    <w:rsid w:val="565C123F"/>
    <w:rsid w:val="56635000"/>
    <w:rsid w:val="56734E6A"/>
    <w:rsid w:val="57213C87"/>
    <w:rsid w:val="573B0897"/>
    <w:rsid w:val="57AB2348"/>
    <w:rsid w:val="57CE2C74"/>
    <w:rsid w:val="58514B72"/>
    <w:rsid w:val="58535BD4"/>
    <w:rsid w:val="585D50BE"/>
    <w:rsid w:val="586B0AE3"/>
    <w:rsid w:val="58D15620"/>
    <w:rsid w:val="596B2D09"/>
    <w:rsid w:val="59883C8E"/>
    <w:rsid w:val="598B1CD9"/>
    <w:rsid w:val="59C613C7"/>
    <w:rsid w:val="5A134FC8"/>
    <w:rsid w:val="5A155FF5"/>
    <w:rsid w:val="5A1F2D9A"/>
    <w:rsid w:val="5A2003EE"/>
    <w:rsid w:val="5A230561"/>
    <w:rsid w:val="5A5C2B83"/>
    <w:rsid w:val="5A625035"/>
    <w:rsid w:val="5A79738B"/>
    <w:rsid w:val="5AB33F7D"/>
    <w:rsid w:val="5B0D5CEF"/>
    <w:rsid w:val="5B192C27"/>
    <w:rsid w:val="5B4E101D"/>
    <w:rsid w:val="5BB21798"/>
    <w:rsid w:val="5C390BF5"/>
    <w:rsid w:val="5C8865C9"/>
    <w:rsid w:val="5CD737CD"/>
    <w:rsid w:val="5CDE6EAF"/>
    <w:rsid w:val="5D1D6575"/>
    <w:rsid w:val="5D2D77CD"/>
    <w:rsid w:val="5DDB1618"/>
    <w:rsid w:val="5DE7421F"/>
    <w:rsid w:val="5E2067FF"/>
    <w:rsid w:val="5E415F68"/>
    <w:rsid w:val="5E6F73B4"/>
    <w:rsid w:val="5EC433C0"/>
    <w:rsid w:val="5EDD46F0"/>
    <w:rsid w:val="5F825E44"/>
    <w:rsid w:val="5F9C46E5"/>
    <w:rsid w:val="5FB14F22"/>
    <w:rsid w:val="5FBF5D46"/>
    <w:rsid w:val="5FF04489"/>
    <w:rsid w:val="60372CF0"/>
    <w:rsid w:val="60602475"/>
    <w:rsid w:val="60827FC4"/>
    <w:rsid w:val="60F82E2D"/>
    <w:rsid w:val="61204966"/>
    <w:rsid w:val="61CE5A63"/>
    <w:rsid w:val="61FB5017"/>
    <w:rsid w:val="620F6649"/>
    <w:rsid w:val="62167E81"/>
    <w:rsid w:val="625171BD"/>
    <w:rsid w:val="62997915"/>
    <w:rsid w:val="62BC1326"/>
    <w:rsid w:val="62D21FDD"/>
    <w:rsid w:val="631A4CE8"/>
    <w:rsid w:val="631D62B9"/>
    <w:rsid w:val="634A3548"/>
    <w:rsid w:val="63A7478C"/>
    <w:rsid w:val="63B8219B"/>
    <w:rsid w:val="63BD589B"/>
    <w:rsid w:val="63DD455C"/>
    <w:rsid w:val="643C4E1B"/>
    <w:rsid w:val="65031DA0"/>
    <w:rsid w:val="651D36B7"/>
    <w:rsid w:val="65AB60D6"/>
    <w:rsid w:val="65B603C8"/>
    <w:rsid w:val="65B71436"/>
    <w:rsid w:val="66432D35"/>
    <w:rsid w:val="66452C87"/>
    <w:rsid w:val="6660631A"/>
    <w:rsid w:val="66CB12F4"/>
    <w:rsid w:val="677551D7"/>
    <w:rsid w:val="679E099A"/>
    <w:rsid w:val="67E049F9"/>
    <w:rsid w:val="67F96780"/>
    <w:rsid w:val="68665F57"/>
    <w:rsid w:val="686739D9"/>
    <w:rsid w:val="68807334"/>
    <w:rsid w:val="689664D9"/>
    <w:rsid w:val="689C7AFA"/>
    <w:rsid w:val="68A04FB5"/>
    <w:rsid w:val="691047F8"/>
    <w:rsid w:val="691D2117"/>
    <w:rsid w:val="692222E2"/>
    <w:rsid w:val="6941557A"/>
    <w:rsid w:val="694F3806"/>
    <w:rsid w:val="69991E33"/>
    <w:rsid w:val="69B05308"/>
    <w:rsid w:val="69C9659C"/>
    <w:rsid w:val="6A7C0E07"/>
    <w:rsid w:val="6AED48FE"/>
    <w:rsid w:val="6AEF26F5"/>
    <w:rsid w:val="6AF80F8D"/>
    <w:rsid w:val="6B174A95"/>
    <w:rsid w:val="6B274F24"/>
    <w:rsid w:val="6B313AEE"/>
    <w:rsid w:val="6C9C451C"/>
    <w:rsid w:val="6CBD1C5C"/>
    <w:rsid w:val="6CE8065D"/>
    <w:rsid w:val="6D066832"/>
    <w:rsid w:val="6D2A6A64"/>
    <w:rsid w:val="6D331C69"/>
    <w:rsid w:val="6D9B6EFA"/>
    <w:rsid w:val="6DA74CBE"/>
    <w:rsid w:val="6DC42ECA"/>
    <w:rsid w:val="6DD76CDD"/>
    <w:rsid w:val="6E36781A"/>
    <w:rsid w:val="6E851C56"/>
    <w:rsid w:val="6EA85057"/>
    <w:rsid w:val="6ED22CDD"/>
    <w:rsid w:val="6EEC09B6"/>
    <w:rsid w:val="6F1B5A60"/>
    <w:rsid w:val="6F5B217D"/>
    <w:rsid w:val="6F5B51C0"/>
    <w:rsid w:val="6FDA6658"/>
    <w:rsid w:val="706B5CC1"/>
    <w:rsid w:val="706F4423"/>
    <w:rsid w:val="707C78B4"/>
    <w:rsid w:val="708A2A09"/>
    <w:rsid w:val="70D95D6F"/>
    <w:rsid w:val="70DA60C1"/>
    <w:rsid w:val="718E1C5D"/>
    <w:rsid w:val="71D40373"/>
    <w:rsid w:val="720B35BE"/>
    <w:rsid w:val="722E0ED3"/>
    <w:rsid w:val="72646EF6"/>
    <w:rsid w:val="72E77D71"/>
    <w:rsid w:val="734112A3"/>
    <w:rsid w:val="73437744"/>
    <w:rsid w:val="734473FF"/>
    <w:rsid w:val="735F3EBF"/>
    <w:rsid w:val="736973F9"/>
    <w:rsid w:val="737B357E"/>
    <w:rsid w:val="738479CE"/>
    <w:rsid w:val="738E4556"/>
    <w:rsid w:val="73CF3490"/>
    <w:rsid w:val="73D84708"/>
    <w:rsid w:val="73E5767F"/>
    <w:rsid w:val="73EE04C2"/>
    <w:rsid w:val="741B15DB"/>
    <w:rsid w:val="742A0B0D"/>
    <w:rsid w:val="745E7011"/>
    <w:rsid w:val="7491236A"/>
    <w:rsid w:val="74D83854"/>
    <w:rsid w:val="74DF6386"/>
    <w:rsid w:val="756927B0"/>
    <w:rsid w:val="757A2869"/>
    <w:rsid w:val="75D858A2"/>
    <w:rsid w:val="766A5257"/>
    <w:rsid w:val="76D261A7"/>
    <w:rsid w:val="77521CC0"/>
    <w:rsid w:val="778B00FF"/>
    <w:rsid w:val="77F12002"/>
    <w:rsid w:val="78085CF8"/>
    <w:rsid w:val="783E657E"/>
    <w:rsid w:val="784C0CFB"/>
    <w:rsid w:val="78B70CF5"/>
    <w:rsid w:val="78DD7519"/>
    <w:rsid w:val="78F225BE"/>
    <w:rsid w:val="79F9576B"/>
    <w:rsid w:val="7AC12D9A"/>
    <w:rsid w:val="7ACB6801"/>
    <w:rsid w:val="7AD142CE"/>
    <w:rsid w:val="7B1370AF"/>
    <w:rsid w:val="7B7F1F77"/>
    <w:rsid w:val="7C01642A"/>
    <w:rsid w:val="7C1A5C69"/>
    <w:rsid w:val="7C1D66CE"/>
    <w:rsid w:val="7C2C37D4"/>
    <w:rsid w:val="7C5160EE"/>
    <w:rsid w:val="7C7F7298"/>
    <w:rsid w:val="7CC57B5B"/>
    <w:rsid w:val="7CC91C68"/>
    <w:rsid w:val="7D0D02F3"/>
    <w:rsid w:val="7D660B52"/>
    <w:rsid w:val="7D6903CE"/>
    <w:rsid w:val="7D710CC8"/>
    <w:rsid w:val="7DCD02ED"/>
    <w:rsid w:val="7DE01771"/>
    <w:rsid w:val="7ED03198"/>
    <w:rsid w:val="7EEF3669"/>
    <w:rsid w:val="7F0A2079"/>
    <w:rsid w:val="7F481C1B"/>
    <w:rsid w:val="7F683717"/>
    <w:rsid w:val="7F841AD5"/>
    <w:rsid w:val="7FE0657A"/>
    <w:rsid w:val="7FF441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99" w:semiHidden="0" w:name="Strong"/>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line="460" w:lineRule="exact"/>
      <w:jc w:val="center"/>
      <w:outlineLvl w:val="0"/>
    </w:pPr>
    <w:rPr>
      <w:b/>
      <w:kern w:val="44"/>
      <w:sz w:val="32"/>
    </w:rPr>
  </w:style>
  <w:style w:type="paragraph" w:styleId="3">
    <w:name w:val="heading 2"/>
    <w:basedOn w:val="1"/>
    <w:next w:val="1"/>
    <w:link w:val="21"/>
    <w:qFormat/>
    <w:uiPriority w:val="99"/>
    <w:pPr>
      <w:keepNext/>
      <w:keepLines/>
      <w:spacing w:before="260" w:after="260" w:line="416" w:lineRule="auto"/>
      <w:outlineLvl w:val="1"/>
    </w:pPr>
    <w:rPr>
      <w:rFonts w:ascii="Arial" w:hAnsi="Arial"/>
      <w:b/>
      <w:bCs/>
      <w:kern w:val="0"/>
      <w:sz w:val="24"/>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4"/>
    <w:qFormat/>
    <w:uiPriority w:val="0"/>
    <w:pPr>
      <w:ind w:firstLine="420"/>
    </w:pPr>
    <w:rPr>
      <w:kern w:val="0"/>
      <w:sz w:val="20"/>
    </w:rPr>
  </w:style>
  <w:style w:type="paragraph" w:styleId="5">
    <w:name w:val="Body Text Indent"/>
    <w:basedOn w:val="1"/>
    <w:link w:val="22"/>
    <w:qFormat/>
    <w:uiPriority w:val="99"/>
    <w:pPr>
      <w:spacing w:after="120"/>
      <w:ind w:left="420" w:leftChars="200"/>
    </w:pPr>
    <w:rPr>
      <w:kern w:val="0"/>
      <w:sz w:val="20"/>
    </w:rPr>
  </w:style>
  <w:style w:type="paragraph" w:styleId="6">
    <w:name w:val="Date"/>
    <w:basedOn w:val="1"/>
    <w:next w:val="1"/>
    <w:link w:val="23"/>
    <w:qFormat/>
    <w:uiPriority w:val="99"/>
    <w:pPr>
      <w:ind w:left="100" w:leftChars="2500"/>
    </w:pPr>
    <w:rPr>
      <w:kern w:val="0"/>
      <w:sz w:val="20"/>
    </w:rPr>
  </w:style>
  <w:style w:type="paragraph" w:styleId="7">
    <w:name w:val="Balloon Text"/>
    <w:basedOn w:val="1"/>
    <w:link w:val="24"/>
    <w:qFormat/>
    <w:uiPriority w:val="99"/>
    <w:rPr>
      <w:kern w:val="0"/>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style>
  <w:style w:type="paragraph" w:styleId="11">
    <w:name w:val="List"/>
    <w:basedOn w:val="1"/>
    <w:qFormat/>
    <w:uiPriority w:val="0"/>
    <w:pPr>
      <w:autoSpaceDE w:val="0"/>
      <w:autoSpaceDN w:val="0"/>
      <w:adjustRightInd w:val="0"/>
      <w:spacing w:line="312" w:lineRule="atLeast"/>
      <w:ind w:left="200" w:hanging="200" w:hangingChars="200"/>
      <w:jc w:val="left"/>
      <w:textAlignment w:val="baseline"/>
    </w:pPr>
    <w:rPr>
      <w:rFonts w:ascii="宋体"/>
      <w:kern w:val="0"/>
      <w:sz w:val="34"/>
    </w:rPr>
  </w:style>
  <w:style w:type="paragraph" w:styleId="12">
    <w:name w:val="toc 2"/>
    <w:basedOn w:val="1"/>
    <w:next w:val="1"/>
    <w:qFormat/>
    <w:uiPriority w:val="39"/>
    <w:pPr>
      <w:tabs>
        <w:tab w:val="right" w:leader="dot" w:pos="8302"/>
      </w:tabs>
      <w:spacing w:line="520" w:lineRule="exact"/>
      <w:ind w:firstLine="360" w:firstLineChars="150"/>
    </w:pPr>
    <w:rPr>
      <w:rFonts w:eastAsia="仿宋_GB2312"/>
      <w:sz w:val="24"/>
      <w:szCs w:val="32"/>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page number"/>
    <w:qFormat/>
    <w:uiPriority w:val="99"/>
    <w:rPr>
      <w:rFonts w:cs="Times New Roman"/>
    </w:rPr>
  </w:style>
  <w:style w:type="character" w:styleId="19">
    <w:name w:val="Hyperlink"/>
    <w:basedOn w:val="16"/>
    <w:semiHidden/>
    <w:unhideWhenUsed/>
    <w:qFormat/>
    <w:uiPriority w:val="99"/>
    <w:rPr>
      <w:color w:val="0000FF"/>
      <w:u w:val="single"/>
    </w:rPr>
  </w:style>
  <w:style w:type="character" w:customStyle="1" w:styleId="20">
    <w:name w:val="标题 1 Char"/>
    <w:link w:val="2"/>
    <w:qFormat/>
    <w:uiPriority w:val="9"/>
    <w:rPr>
      <w:b/>
      <w:bCs/>
      <w:kern w:val="44"/>
      <w:sz w:val="44"/>
      <w:szCs w:val="44"/>
    </w:rPr>
  </w:style>
  <w:style w:type="character" w:customStyle="1" w:styleId="21">
    <w:name w:val="标题 2 Char1"/>
    <w:link w:val="3"/>
    <w:qFormat/>
    <w:locked/>
    <w:uiPriority w:val="99"/>
    <w:rPr>
      <w:rFonts w:ascii="Arial" w:hAnsi="Arial" w:eastAsia="宋体" w:cs="Times New Roman"/>
      <w:b/>
      <w:sz w:val="32"/>
    </w:rPr>
  </w:style>
  <w:style w:type="character" w:customStyle="1" w:styleId="22">
    <w:name w:val="正文文本缩进 Char"/>
    <w:link w:val="5"/>
    <w:semiHidden/>
    <w:qFormat/>
    <w:locked/>
    <w:uiPriority w:val="99"/>
    <w:rPr>
      <w:rFonts w:ascii="Times New Roman" w:hAnsi="Times New Roman" w:eastAsia="宋体"/>
      <w:sz w:val="24"/>
    </w:rPr>
  </w:style>
  <w:style w:type="character" w:customStyle="1" w:styleId="23">
    <w:name w:val="日期 Char"/>
    <w:link w:val="6"/>
    <w:semiHidden/>
    <w:qFormat/>
    <w:locked/>
    <w:uiPriority w:val="99"/>
    <w:rPr>
      <w:rFonts w:ascii="Times New Roman" w:hAnsi="Times New Roman" w:eastAsia="宋体"/>
      <w:sz w:val="24"/>
    </w:rPr>
  </w:style>
  <w:style w:type="character" w:customStyle="1" w:styleId="24">
    <w:name w:val="批注框文本 Char"/>
    <w:link w:val="7"/>
    <w:semiHidden/>
    <w:qFormat/>
    <w:locked/>
    <w:uiPriority w:val="99"/>
    <w:rPr>
      <w:rFonts w:ascii="Times New Roman" w:hAnsi="Times New Roman" w:eastAsia="宋体"/>
      <w:sz w:val="18"/>
    </w:rPr>
  </w:style>
  <w:style w:type="character" w:customStyle="1" w:styleId="25">
    <w:name w:val="页脚 Char"/>
    <w:link w:val="8"/>
    <w:qFormat/>
    <w:locked/>
    <w:uiPriority w:val="99"/>
    <w:rPr>
      <w:sz w:val="18"/>
    </w:rPr>
  </w:style>
  <w:style w:type="character" w:customStyle="1" w:styleId="26">
    <w:name w:val="页眉 Char"/>
    <w:link w:val="9"/>
    <w:qFormat/>
    <w:locked/>
    <w:uiPriority w:val="99"/>
    <w:rPr>
      <w:sz w:val="18"/>
    </w:rPr>
  </w:style>
  <w:style w:type="paragraph" w:customStyle="1" w:styleId="27">
    <w:name w:val="列表1"/>
    <w:basedOn w:val="1"/>
    <w:qFormat/>
    <w:uiPriority w:val="99"/>
    <w:pPr>
      <w:ind w:left="420" w:hanging="420"/>
    </w:pPr>
    <w:rPr>
      <w:sz w:val="30"/>
      <w:szCs w:val="20"/>
    </w:rPr>
  </w:style>
  <w:style w:type="paragraph" w:customStyle="1" w:styleId="28">
    <w:name w:val="正文文本缩进1"/>
    <w:basedOn w:val="1"/>
    <w:qFormat/>
    <w:uiPriority w:val="99"/>
    <w:pPr>
      <w:ind w:firstLine="435"/>
    </w:pPr>
  </w:style>
  <w:style w:type="paragraph" w:customStyle="1" w:styleId="29">
    <w:name w:val="列出段落1"/>
    <w:basedOn w:val="1"/>
    <w:qFormat/>
    <w:uiPriority w:val="99"/>
    <w:pPr>
      <w:ind w:firstLine="420" w:firstLineChars="200"/>
    </w:pPr>
  </w:style>
  <w:style w:type="paragraph" w:customStyle="1" w:styleId="30">
    <w:name w:val="p0"/>
    <w:basedOn w:val="1"/>
    <w:qFormat/>
    <w:uiPriority w:val="99"/>
    <w:pPr>
      <w:widowControl/>
    </w:pPr>
    <w:rPr>
      <w:kern w:val="0"/>
      <w:szCs w:val="21"/>
    </w:rPr>
  </w:style>
  <w:style w:type="paragraph" w:customStyle="1" w:styleId="31">
    <w:name w:val="正文缩进2"/>
    <w:basedOn w:val="1"/>
    <w:qFormat/>
    <w:uiPriority w:val="99"/>
    <w:pPr>
      <w:ind w:firstLine="420"/>
    </w:pPr>
  </w:style>
  <w:style w:type="character" w:customStyle="1" w:styleId="32">
    <w:name w:val="标题 2 Char"/>
    <w:qFormat/>
    <w:uiPriority w:val="99"/>
    <w:rPr>
      <w:rFonts w:ascii="Arial" w:hAnsi="Arial" w:eastAsia="宋体"/>
      <w:b/>
      <w:sz w:val="32"/>
    </w:rPr>
  </w:style>
  <w:style w:type="character" w:customStyle="1" w:styleId="33">
    <w:name w:val="tpc_content1"/>
    <w:qFormat/>
    <w:uiPriority w:val="99"/>
    <w:rPr>
      <w:sz w:val="20"/>
    </w:rPr>
  </w:style>
  <w:style w:type="character" w:customStyle="1" w:styleId="34">
    <w:name w:val="正文缩进 Char"/>
    <w:link w:val="4"/>
    <w:qFormat/>
    <w:locked/>
    <w:uiPriority w:val="0"/>
    <w:rPr>
      <w:rFonts w:ascii="Times New Roman" w:hAnsi="Times New Roman" w:eastAsia="宋体"/>
      <w:sz w:val="24"/>
    </w:rPr>
  </w:style>
  <w:style w:type="character" w:customStyle="1" w:styleId="35">
    <w:name w:val="font11"/>
    <w:qFormat/>
    <w:uiPriority w:val="0"/>
    <w:rPr>
      <w:rFonts w:ascii="宋体" w:hAnsi="宋体" w:eastAsia="宋体"/>
      <w:color w:val="000000"/>
      <w:sz w:val="20"/>
      <w:u w:val="none"/>
    </w:rPr>
  </w:style>
  <w:style w:type="character" w:customStyle="1" w:styleId="36">
    <w:name w:val="font31"/>
    <w:qFormat/>
    <w:uiPriority w:val="0"/>
    <w:rPr>
      <w:rFonts w:ascii="Arial Narrow" w:hAnsi="Arial Narrow"/>
      <w:color w:val="000000"/>
      <w:sz w:val="20"/>
      <w:u w:val="none"/>
    </w:rPr>
  </w:style>
  <w:style w:type="character" w:customStyle="1" w:styleId="37">
    <w:name w:val="font01"/>
    <w:qFormat/>
    <w:uiPriority w:val="0"/>
    <w:rPr>
      <w:rFonts w:ascii="Arial Narrow" w:hAnsi="Arial Narrow" w:eastAsia="Arial Narrow" w:cs="Arial Narrow"/>
      <w:color w:val="000000"/>
      <w:sz w:val="20"/>
      <w:szCs w:val="20"/>
      <w:u w:val="none"/>
    </w:rPr>
  </w:style>
  <w:style w:type="character" w:customStyle="1" w:styleId="38">
    <w:name w:val="font41"/>
    <w:basedOn w:val="16"/>
    <w:qFormat/>
    <w:uiPriority w:val="0"/>
    <w:rPr>
      <w:rFonts w:hint="eastAsia" w:ascii="宋体" w:hAnsi="宋体" w:eastAsia="宋体" w:cs="宋体"/>
      <w:color w:val="000000"/>
      <w:sz w:val="20"/>
      <w:szCs w:val="20"/>
      <w:u w:val="none"/>
    </w:rPr>
  </w:style>
  <w:style w:type="character" w:customStyle="1" w:styleId="39">
    <w:name w:val="font81"/>
    <w:qFormat/>
    <w:uiPriority w:val="0"/>
    <w:rPr>
      <w:rFonts w:hint="default" w:ascii="Arial Narrow" w:hAnsi="Arial Narrow"/>
      <w:color w:val="000000"/>
      <w:sz w:val="18"/>
      <w:szCs w:val="18"/>
      <w:u w:val="none"/>
    </w:rPr>
  </w:style>
  <w:style w:type="character" w:customStyle="1" w:styleId="40">
    <w:name w:val="font21"/>
    <w:basedOn w:val="16"/>
    <w:qFormat/>
    <w:uiPriority w:val="0"/>
    <w:rPr>
      <w:rFonts w:hint="eastAsia" w:ascii="宋体" w:hAnsi="宋体" w:eastAsia="宋体" w:cs="宋体"/>
      <w:color w:val="000000"/>
      <w:sz w:val="20"/>
      <w:szCs w:val="20"/>
      <w:u w:val="none"/>
    </w:rPr>
  </w:style>
  <w:style w:type="character" w:customStyle="1" w:styleId="41">
    <w:name w:val="font121"/>
    <w:basedOn w:val="16"/>
    <w:qFormat/>
    <w:uiPriority w:val="0"/>
    <w:rPr>
      <w:rFonts w:hint="default" w:ascii="Arial Narrow" w:hAnsi="Arial Narrow" w:eastAsia="Arial Narrow" w:cs="Arial Narrow"/>
      <w:color w:val="000000"/>
      <w:sz w:val="20"/>
      <w:szCs w:val="20"/>
      <w:u w:val="none"/>
    </w:rPr>
  </w:style>
  <w:style w:type="character" w:customStyle="1" w:styleId="42">
    <w:name w:val="font71"/>
    <w:basedOn w:val="16"/>
    <w:qFormat/>
    <w:uiPriority w:val="0"/>
    <w:rPr>
      <w:rFonts w:hint="default" w:ascii="Arial Narrow" w:hAnsi="Arial Narrow" w:eastAsia="Arial Narrow" w:cs="Arial Narrow"/>
      <w:color w:val="000000"/>
      <w:sz w:val="20"/>
      <w:szCs w:val="20"/>
      <w:u w:val="none"/>
    </w:rPr>
  </w:style>
  <w:style w:type="character" w:customStyle="1" w:styleId="43">
    <w:name w:val="font51"/>
    <w:basedOn w:val="16"/>
    <w:qFormat/>
    <w:uiPriority w:val="0"/>
    <w:rPr>
      <w:rFonts w:hint="eastAsia" w:ascii="宋体" w:hAnsi="宋体" w:eastAsia="宋体" w:cs="宋体"/>
      <w:color w:val="000000"/>
      <w:sz w:val="20"/>
      <w:szCs w:val="20"/>
      <w:u w:val="none"/>
    </w:rPr>
  </w:style>
  <w:style w:type="character" w:customStyle="1" w:styleId="44">
    <w:name w:val="font61"/>
    <w:basedOn w:val="16"/>
    <w:qFormat/>
    <w:uiPriority w:val="0"/>
    <w:rPr>
      <w:rFonts w:ascii="Arial Narrow" w:hAnsi="Arial Narrow" w:eastAsia="Arial Narrow" w:cs="Arial Narrow"/>
      <w:color w:val="000000"/>
      <w:sz w:val="20"/>
      <w:szCs w:val="20"/>
      <w:u w:val="none"/>
    </w:rPr>
  </w:style>
  <w:style w:type="character" w:customStyle="1" w:styleId="45">
    <w:name w:val="占位符文本1"/>
    <w:basedOn w:val="16"/>
    <w:unhideWhenUsed/>
    <w:qFormat/>
    <w:uiPriority w:val="99"/>
    <w:rPr>
      <w:color w:val="808080"/>
    </w:rPr>
  </w:style>
  <w:style w:type="paragraph" w:customStyle="1" w:styleId="46">
    <w:name w:val="_Style 33"/>
    <w:basedOn w:val="1"/>
    <w:qFormat/>
    <w:uiPriority w:val="0"/>
    <w:rPr>
      <w:szCs w:val="20"/>
    </w:rPr>
  </w:style>
  <w:style w:type="character" w:customStyle="1" w:styleId="47">
    <w:name w:val="font91"/>
    <w:basedOn w:val="16"/>
    <w:qFormat/>
    <w:uiPriority w:val="0"/>
    <w:rPr>
      <w:rFonts w:hint="default" w:ascii="Arial Narrow" w:hAnsi="Arial Narrow" w:eastAsia="Arial Narrow" w:cs="Arial Narrow"/>
      <w:color w:val="000000"/>
      <w:sz w:val="18"/>
      <w:szCs w:val="18"/>
      <w:u w:val="none"/>
    </w:rPr>
  </w:style>
  <w:style w:type="character" w:customStyle="1" w:styleId="48">
    <w:name w:val="font10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5"/>
    <customShpInfo spid="_x0000_s2086"/>
    <customShpInfo spid="_x0000_s2089"/>
    <customShpInfo spid="_x0000_s2090"/>
    <customShpInfo spid="_x0000_s2060"/>
    <customShpInfo spid="_x0000_s2061"/>
    <customShpInfo spid="_x0000_s1038"/>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58D3C-9C81-42F2-A7F4-306EE29D3BF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10453</Words>
  <Characters>10991</Characters>
  <Lines>96</Lines>
  <Paragraphs>27</Paragraphs>
  <TotalTime>4</TotalTime>
  <ScaleCrop>false</ScaleCrop>
  <LinksUpToDate>false</LinksUpToDate>
  <CharactersWithSpaces>11354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2019-03-07T08:37:00Z</dcterms:created>
  <dc:creator>wy</dc:creator>
  <cp:lastModifiedBy>葛畅</cp:lastModifiedBy>
  <cp:lastPrinted>2022-06-22T02:17:00Z</cp:lastPrinted>
  <dcterms:modified xsi:type="dcterms:W3CDTF">2022-07-06T09:28:51Z</dcterms:modified>
  <dc:title>房地产司法评估报告模板</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6237AD204B8A4A60AEC341E68CB3E49F</vt:lpwstr>
  </property>
</Properties>
</file>