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hint="default" w:hAnsi="宋体"/>
          <w:b/>
          <w:color w:val="FF0000"/>
          <w:sz w:val="84"/>
          <w:lang w:val="en-US"/>
        </w:rPr>
      </w:pPr>
      <w:r>
        <w:rPr>
          <w:rFonts w:ascii="宋体" w:hAnsi="宋体" w:eastAsia="宋体" w:cs="宋体"/>
          <w:sz w:val="24"/>
          <w:szCs w:val="24"/>
        </w:rPr>
        <w:drawing>
          <wp:inline distT="0" distB="0" distL="114300" distR="114300">
            <wp:extent cx="666115" cy="820420"/>
            <wp:effectExtent l="0" t="0" r="635" b="17780"/>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16"/>
                    <a:stretch>
                      <a:fillRect/>
                    </a:stretch>
                  </pic:blipFill>
                  <pic:spPr>
                    <a:xfrm>
                      <a:off x="0" y="0"/>
                      <a:ext cx="666115" cy="820420"/>
                    </a:xfrm>
                    <a:prstGeom prst="rect">
                      <a:avLst/>
                    </a:prstGeom>
                    <a:noFill/>
                    <a:ln w="9525">
                      <a:noFill/>
                    </a:ln>
                  </pic:spPr>
                </pic:pic>
              </a:graphicData>
            </a:graphic>
          </wp:inline>
        </w:drawing>
      </w:r>
    </w:p>
    <w:p>
      <w:pPr>
        <w:spacing w:line="600" w:lineRule="auto"/>
        <w:jc w:val="center"/>
        <w:rPr>
          <w:rFonts w:hint="eastAsia" w:hAnsi="宋体" w:eastAsiaTheme="minorEastAsia"/>
          <w:b/>
          <w:sz w:val="72"/>
          <w:szCs w:val="72"/>
          <w:lang w:val="en-US" w:eastAsia="zh-CN"/>
        </w:rPr>
      </w:pPr>
      <w:r>
        <w:rPr>
          <w:rFonts w:hint="eastAsia" w:hAnsi="宋体"/>
          <w:b/>
          <w:sz w:val="72"/>
          <w:szCs w:val="72"/>
          <w:lang w:val="en-US" w:eastAsia="zh-CN"/>
        </w:rPr>
        <w:t xml:space="preserve"> </w:t>
      </w:r>
    </w:p>
    <w:p>
      <w:pPr>
        <w:spacing w:line="600" w:lineRule="auto"/>
        <w:jc w:val="center"/>
        <w:rPr>
          <w:rFonts w:hAnsi="宋体"/>
          <w:b/>
          <w:sz w:val="72"/>
          <w:szCs w:val="72"/>
        </w:rPr>
      </w:pPr>
      <w:r>
        <w:rPr>
          <w:rFonts w:hint="eastAsia" w:hAnsi="宋体"/>
          <w:b/>
          <w:sz w:val="72"/>
          <w:szCs w:val="72"/>
        </w:rPr>
        <w:t>房地产估价报告</w:t>
      </w:r>
    </w:p>
    <w:p>
      <w:pPr>
        <w:spacing w:line="600" w:lineRule="auto"/>
        <w:rPr>
          <w:rFonts w:ascii="楷体_GB2312" w:eastAsia="楷体_GB2312"/>
          <w:b/>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-283845</wp:posOffset>
                </wp:positionH>
                <wp:positionV relativeFrom="paragraph">
                  <wp:posOffset>273685</wp:posOffset>
                </wp:positionV>
                <wp:extent cx="5840095" cy="2540"/>
                <wp:effectExtent l="0" t="28575" r="8255" b="45085"/>
                <wp:wrapNone/>
                <wp:docPr id="2" name="未知"/>
                <wp:cNvGraphicFramePr/>
                <a:graphic xmlns:a="http://schemas.openxmlformats.org/drawingml/2006/main">
                  <a:graphicData uri="http://schemas.microsoft.com/office/word/2010/wordprocessingShape">
                    <wps:wsp>
                      <wps:cNvSpPr/>
                      <wps:spPr>
                        <a:xfrm>
                          <a:off x="0" y="0"/>
                          <a:ext cx="5840095" cy="2540"/>
                        </a:xfrm>
                        <a:custGeom>
                          <a:avLst/>
                          <a:gdLst/>
                          <a:ahLst/>
                          <a:cxnLst/>
                          <a:pathLst>
                            <a:path w="9197" h="4">
                              <a:moveTo>
                                <a:pt x="0" y="0"/>
                              </a:moveTo>
                              <a:lnTo>
                                <a:pt x="9197" y="4"/>
                              </a:lnTo>
                            </a:path>
                          </a:pathLst>
                        </a:custGeom>
                        <a:noFill/>
                        <a:ln w="57150" cap="flat" cmpd="sng">
                          <a:solidFill>
                            <a:srgbClr val="008000"/>
                          </a:solidFill>
                          <a:prstDash val="solid"/>
                          <a:round/>
                          <a:headEnd type="none" w="med" len="med"/>
                          <a:tailEnd type="none" w="med" len="med"/>
                        </a:ln>
                      </wps:spPr>
                      <wps:bodyPr upright="1"/>
                    </wps:wsp>
                  </a:graphicData>
                </a:graphic>
              </wp:anchor>
            </w:drawing>
          </mc:Choice>
          <mc:Fallback>
            <w:pict>
              <v:shape id="未知" o:spid="_x0000_s1026" o:spt="100" style="position:absolute;left:0pt;margin-left:-22.35pt;margin-top:21.55pt;height:0.2pt;width:459.85pt;z-index:251659264;mso-width-relative:page;mso-height-relative:page;" filled="f" stroked="t" coordsize="9197,4" o:gfxdata="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eSHBNYAAAAJAQAADwAAAAAAAAABACAAAAAiAAAAZHJzL2Rvd25yZXYueG1sUEsBAhQAFAAA&#10;AAgAh07iQPRGhr0qAgAAiwQAAA4AAAAAAAAAAQAgAAAAJQEAAGRycy9lMm9Eb2MueG1sUEsFBgAA&#10;AAAGAAYAWQEAAMEFAAAAAA==&#10;" path="m0,0l9197,4e">
                <v:fill on="f" focussize="0,0"/>
                <v:stroke weight="4.5pt" color="#008000" joinstyle="round"/>
                <v:imagedata o:title=""/>
                <o:lock v:ext="edit" aspectratio="f"/>
              </v:shape>
            </w:pict>
          </mc:Fallback>
        </mc:AlternateContent>
      </w:r>
    </w:p>
    <w:p>
      <w:pPr>
        <w:ind w:left="3534" w:hanging="3534" w:hangingChars="1100"/>
        <w:jc w:val="both"/>
        <w:rPr>
          <w:rFonts w:hAnsi="宋体"/>
          <w:b/>
          <w:sz w:val="32"/>
          <w:szCs w:val="32"/>
        </w:rPr>
      </w:pPr>
    </w:p>
    <w:p>
      <w:pPr>
        <w:tabs>
          <w:tab w:val="left" w:pos="5938"/>
        </w:tabs>
        <w:rPr>
          <w:rFonts w:hint="eastAsia" w:ascii="楷体_GB2312" w:eastAsia="楷体_GB2312"/>
          <w:b/>
          <w:sz w:val="44"/>
          <w:szCs w:val="44"/>
          <w:lang w:eastAsia="zh-CN"/>
        </w:rPr>
      </w:pPr>
      <w:r>
        <w:rPr>
          <w:rFonts w:hint="eastAsia" w:ascii="楷体_GB2312" w:eastAsia="楷体_GB2312"/>
          <w:b/>
          <w:sz w:val="44"/>
          <w:szCs w:val="44"/>
          <w:lang w:eastAsia="zh-CN"/>
        </w:rPr>
        <w:tab/>
      </w: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spacing w:line="540" w:lineRule="exact"/>
        <w:ind w:left="2568" w:leftChars="114" w:hanging="2249" w:hangingChars="700"/>
        <w:rPr>
          <w:rFonts w:hAnsi="宋体"/>
          <w:sz w:val="32"/>
          <w:szCs w:val="32"/>
        </w:rPr>
      </w:pPr>
      <w:r>
        <w:rPr>
          <w:rFonts w:hint="eastAsia" w:hAnsi="宋体"/>
          <w:b/>
          <w:bCs/>
          <w:sz w:val="32"/>
          <w:szCs w:val="32"/>
        </w:rPr>
        <w:t>估价项目名称</w:t>
      </w:r>
      <w:r>
        <w:rPr>
          <w:rFonts w:hint="eastAsia" w:ascii="宋体" w:hAnsi="宋体"/>
          <w:sz w:val="32"/>
          <w:szCs w:val="32"/>
        </w:rPr>
        <w:t>：</w:t>
      </w:r>
      <w:r>
        <w:rPr>
          <w:rFonts w:hint="eastAsia" w:hAnsi="宋体"/>
          <w:sz w:val="32"/>
          <w:szCs w:val="32"/>
          <w:lang w:val="en-US" w:eastAsia="zh-CN"/>
        </w:rPr>
        <w:t>盘州市人民法院执行案件涉及吴兴开拥有并位于位于盘州市断江镇政府下侧吴兴开商住楼的五套房地产市场</w:t>
      </w:r>
      <w:r>
        <w:rPr>
          <w:rFonts w:hint="eastAsia" w:ascii="宋体" w:hAnsi="宋体"/>
          <w:sz w:val="32"/>
          <w:szCs w:val="32"/>
          <w:lang w:eastAsia="zh-CN"/>
        </w:rPr>
        <w:t>价值</w:t>
      </w:r>
      <w:r>
        <w:rPr>
          <w:rFonts w:hint="eastAsia" w:ascii="宋体" w:hAnsi="宋体"/>
          <w:sz w:val="32"/>
          <w:szCs w:val="32"/>
        </w:rPr>
        <w:t>评估</w:t>
      </w:r>
    </w:p>
    <w:p>
      <w:pPr>
        <w:spacing w:line="540" w:lineRule="exact"/>
        <w:ind w:firstLine="321" w:firstLineChars="100"/>
        <w:rPr>
          <w:rFonts w:hint="default" w:hAnsi="宋体" w:eastAsiaTheme="minorEastAsia"/>
          <w:sz w:val="32"/>
          <w:szCs w:val="32"/>
          <w:lang w:val="en-US" w:eastAsia="zh-CN"/>
        </w:rPr>
      </w:pPr>
      <w:r>
        <w:rPr>
          <w:rFonts w:hint="eastAsia" w:hAnsi="宋体"/>
          <w:b/>
          <w:sz w:val="32"/>
          <w:szCs w:val="32"/>
        </w:rPr>
        <w:t>估价委托人</w:t>
      </w:r>
      <w:r>
        <w:rPr>
          <w:rFonts w:hint="eastAsia" w:hAnsi="宋体"/>
          <w:sz w:val="32"/>
          <w:szCs w:val="32"/>
        </w:rPr>
        <w:t>：</w:t>
      </w:r>
      <w:r>
        <w:rPr>
          <w:rFonts w:hint="eastAsia" w:hAnsi="宋体"/>
          <w:sz w:val="32"/>
          <w:szCs w:val="32"/>
          <w:lang w:val="en-US" w:eastAsia="zh-CN"/>
        </w:rPr>
        <w:t>盘州市人民法院</w:t>
      </w:r>
    </w:p>
    <w:p>
      <w:pPr>
        <w:spacing w:line="540" w:lineRule="exact"/>
        <w:ind w:firstLine="321" w:firstLineChars="100"/>
        <w:rPr>
          <w:rFonts w:hint="eastAsia" w:hAnsi="宋体" w:eastAsiaTheme="minorEastAsia"/>
          <w:sz w:val="32"/>
          <w:szCs w:val="32"/>
          <w:lang w:eastAsia="zh-CN"/>
        </w:rPr>
      </w:pPr>
      <w:r>
        <w:rPr>
          <w:rFonts w:hint="eastAsia" w:hAnsi="宋体"/>
          <w:b/>
          <w:sz w:val="32"/>
          <w:szCs w:val="32"/>
        </w:rPr>
        <w:t>房地产估价机构：</w:t>
      </w:r>
      <w:r>
        <w:rPr>
          <w:rFonts w:hint="eastAsia" w:hAnsi="宋体"/>
          <w:sz w:val="32"/>
          <w:szCs w:val="32"/>
          <w:lang w:eastAsia="zh-CN"/>
        </w:rPr>
        <w:t>贵州瑞华亚太房地产土地资产评估有限公司</w:t>
      </w:r>
    </w:p>
    <w:p>
      <w:pPr>
        <w:spacing w:line="540" w:lineRule="exact"/>
        <w:ind w:firstLine="321" w:firstLineChars="100"/>
        <w:rPr>
          <w:rFonts w:hAnsi="宋体"/>
          <w:color w:val="auto"/>
          <w:szCs w:val="28"/>
        </w:rPr>
      </w:pPr>
      <w:r>
        <w:rPr>
          <w:rFonts w:hint="eastAsia" w:hAnsi="宋体"/>
          <w:b/>
          <w:sz w:val="32"/>
          <w:szCs w:val="32"/>
        </w:rPr>
        <w:t>注册房地产估价师：</w:t>
      </w:r>
      <w:r>
        <w:rPr>
          <w:rFonts w:hint="eastAsia" w:hAnsi="宋体"/>
          <w:color w:val="auto"/>
          <w:sz w:val="32"/>
          <w:szCs w:val="32"/>
        </w:rPr>
        <w:t>谢光明</w:t>
      </w:r>
      <w:r>
        <w:rPr>
          <w:rFonts w:hAnsi="宋体"/>
          <w:color w:val="auto"/>
          <w:sz w:val="32"/>
          <w:szCs w:val="32"/>
        </w:rPr>
        <w:t xml:space="preserve">   注册证号：</w:t>
      </w:r>
      <w:r>
        <w:rPr>
          <w:snapToGrid w:val="0"/>
          <w:color w:val="auto"/>
          <w:sz w:val="32"/>
          <w:szCs w:val="32"/>
        </w:rPr>
        <w:t>52201</w:t>
      </w:r>
      <w:r>
        <w:rPr>
          <w:rFonts w:hint="eastAsia"/>
          <w:snapToGrid w:val="0"/>
          <w:color w:val="auto"/>
          <w:sz w:val="32"/>
          <w:szCs w:val="32"/>
        </w:rPr>
        <w:t>8</w:t>
      </w:r>
      <w:r>
        <w:rPr>
          <w:snapToGrid w:val="0"/>
          <w:color w:val="auto"/>
          <w:sz w:val="32"/>
          <w:szCs w:val="32"/>
        </w:rPr>
        <w:t>0</w:t>
      </w:r>
      <w:r>
        <w:rPr>
          <w:rFonts w:hint="eastAsia"/>
          <w:snapToGrid w:val="0"/>
          <w:color w:val="auto"/>
          <w:sz w:val="32"/>
          <w:szCs w:val="32"/>
        </w:rPr>
        <w:t>018</w:t>
      </w:r>
    </w:p>
    <w:p>
      <w:pPr>
        <w:spacing w:line="540" w:lineRule="exact"/>
        <w:ind w:firstLine="3200" w:firstLineChars="1000"/>
        <w:rPr>
          <w:rFonts w:hint="eastAsia" w:hAnsi="宋体" w:eastAsiaTheme="minorEastAsia"/>
          <w:sz w:val="32"/>
          <w:szCs w:val="32"/>
          <w:lang w:eastAsia="zh-CN"/>
        </w:rPr>
      </w:pPr>
      <w:r>
        <w:rPr>
          <w:rFonts w:hint="eastAsia"/>
          <w:color w:val="auto"/>
          <w:sz w:val="32"/>
          <w:szCs w:val="32"/>
          <w:lang w:val="en-US" w:eastAsia="zh-CN"/>
        </w:rPr>
        <w:t>周礼行</w:t>
      </w:r>
      <w:r>
        <w:rPr>
          <w:rFonts w:hint="eastAsia"/>
          <w:color w:val="auto"/>
          <w:sz w:val="32"/>
          <w:szCs w:val="32"/>
        </w:rPr>
        <w:t xml:space="preserve"> </w:t>
      </w:r>
      <w:r>
        <w:rPr>
          <w:rFonts w:hAnsi="宋体"/>
          <w:color w:val="auto"/>
          <w:sz w:val="32"/>
          <w:szCs w:val="32"/>
        </w:rPr>
        <w:t xml:space="preserve">  注册证号：</w:t>
      </w:r>
      <w:r>
        <w:rPr>
          <w:rFonts w:hint="eastAsia"/>
          <w:snapToGrid w:val="0"/>
          <w:color w:val="auto"/>
          <w:sz w:val="32"/>
          <w:szCs w:val="32"/>
          <w:lang w:eastAsia="zh-CN"/>
        </w:rPr>
        <w:t>5220180026</w:t>
      </w:r>
    </w:p>
    <w:p>
      <w:pPr>
        <w:spacing w:line="540" w:lineRule="exact"/>
        <w:ind w:firstLine="321" w:firstLineChars="100"/>
        <w:rPr>
          <w:rFonts w:hint="eastAsia" w:eastAsiaTheme="minorEastAsia"/>
          <w:sz w:val="32"/>
          <w:szCs w:val="32"/>
          <w:lang w:eastAsia="zh-CN"/>
        </w:rPr>
      </w:pPr>
      <w:r>
        <w:rPr>
          <w:rFonts w:hint="eastAsia" w:hAnsi="宋体"/>
          <w:b/>
          <w:sz w:val="32"/>
          <w:szCs w:val="32"/>
        </w:rPr>
        <w:t>估价报告出具日期：</w:t>
      </w:r>
      <w:r>
        <w:rPr>
          <w:rFonts w:hint="eastAsia"/>
          <w:sz w:val="32"/>
          <w:szCs w:val="32"/>
          <w:lang w:eastAsia="zh-CN"/>
        </w:rPr>
        <w:t>202</w:t>
      </w:r>
      <w:r>
        <w:rPr>
          <w:rFonts w:hint="eastAsia"/>
          <w:sz w:val="32"/>
          <w:szCs w:val="32"/>
          <w:lang w:val="en-US" w:eastAsia="zh-CN"/>
        </w:rPr>
        <w:t>2</w:t>
      </w:r>
      <w:r>
        <w:rPr>
          <w:rFonts w:hint="eastAsia"/>
          <w:sz w:val="32"/>
          <w:szCs w:val="32"/>
          <w:lang w:eastAsia="zh-CN"/>
        </w:rPr>
        <w:t>年</w:t>
      </w:r>
      <w:r>
        <w:rPr>
          <w:rFonts w:hint="eastAsia"/>
          <w:sz w:val="32"/>
          <w:szCs w:val="32"/>
          <w:lang w:val="en-US" w:eastAsia="zh-CN"/>
        </w:rPr>
        <w:t>8</w:t>
      </w:r>
      <w:r>
        <w:rPr>
          <w:rFonts w:hint="eastAsia"/>
          <w:sz w:val="32"/>
          <w:szCs w:val="32"/>
          <w:lang w:eastAsia="zh-CN"/>
        </w:rPr>
        <w:t>月</w:t>
      </w:r>
      <w:r>
        <w:rPr>
          <w:rFonts w:hint="eastAsia"/>
          <w:sz w:val="32"/>
          <w:szCs w:val="32"/>
          <w:lang w:val="en-US" w:eastAsia="zh-CN"/>
        </w:rPr>
        <w:t>22</w:t>
      </w:r>
      <w:r>
        <w:rPr>
          <w:rFonts w:hint="eastAsia"/>
          <w:sz w:val="32"/>
          <w:szCs w:val="32"/>
          <w:lang w:eastAsia="zh-CN"/>
        </w:rPr>
        <w:t>日</w:t>
      </w:r>
    </w:p>
    <w:p>
      <w:pPr>
        <w:spacing w:line="540" w:lineRule="exact"/>
        <w:ind w:firstLine="321" w:firstLineChars="100"/>
        <w:rPr>
          <w:sz w:val="32"/>
          <w:szCs w:val="32"/>
        </w:rPr>
        <w:sectPr>
          <w:headerReference r:id="rId4" w:type="first"/>
          <w:footerReference r:id="rId6" w:type="first"/>
          <w:headerReference r:id="rId3" w:type="default"/>
          <w:footerReference r:id="rId5" w:type="default"/>
          <w:pgSz w:w="11906" w:h="16838"/>
          <w:pgMar w:top="1418" w:right="1418" w:bottom="1134" w:left="1418" w:header="851" w:footer="851"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hAnsi="宋体"/>
          <w:b/>
          <w:sz w:val="32"/>
          <w:szCs w:val="32"/>
        </w:rPr>
        <w:t>估价报告编号：</w:t>
      </w:r>
      <w:r>
        <w:rPr>
          <w:rFonts w:hint="eastAsia" w:hAnsi="宋体"/>
          <w:b w:val="0"/>
          <w:bCs/>
          <w:sz w:val="32"/>
          <w:szCs w:val="32"/>
        </w:rPr>
        <w:t>黔亚太房评[202</w:t>
      </w:r>
      <w:r>
        <w:rPr>
          <w:rFonts w:hint="eastAsia" w:hAnsi="宋体"/>
          <w:b w:val="0"/>
          <w:bCs/>
          <w:sz w:val="32"/>
          <w:szCs w:val="32"/>
          <w:lang w:val="en-US" w:eastAsia="zh-CN"/>
        </w:rPr>
        <w:t>2</w:t>
      </w:r>
      <w:r>
        <w:rPr>
          <w:rFonts w:hint="eastAsia" w:hAnsi="宋体"/>
          <w:b w:val="0"/>
          <w:bCs/>
          <w:sz w:val="32"/>
          <w:szCs w:val="32"/>
        </w:rPr>
        <w:t>]0</w:t>
      </w:r>
      <w:r>
        <w:rPr>
          <w:rFonts w:hint="eastAsia" w:hAnsi="宋体"/>
          <w:b w:val="0"/>
          <w:bCs/>
          <w:sz w:val="32"/>
          <w:szCs w:val="32"/>
          <w:lang w:val="en-US" w:eastAsia="zh-CN"/>
        </w:rPr>
        <w:t>181</w:t>
      </w:r>
      <w:r>
        <w:rPr>
          <w:rFonts w:hint="eastAsia" w:hAnsi="宋体"/>
          <w:b w:val="0"/>
          <w:bCs/>
          <w:sz w:val="32"/>
          <w:szCs w:val="32"/>
        </w:rPr>
        <w:t>号</w:t>
      </w:r>
    </w:p>
    <w:p>
      <w:pPr>
        <w:pStyle w:val="3"/>
        <w:spacing w:before="156" w:beforeLines="50" w:after="156" w:afterLines="50" w:line="360" w:lineRule="auto"/>
        <w:jc w:val="center"/>
        <w:rPr>
          <w:rFonts w:hAnsi="宋体"/>
          <w:spacing w:val="100"/>
        </w:rPr>
      </w:pPr>
      <w:bookmarkStart w:id="0" w:name="_Toc19778"/>
      <w:bookmarkStart w:id="1" w:name="_Toc10589"/>
      <w:r>
        <w:rPr>
          <w:rFonts w:hAnsi="宋体"/>
          <w:spacing w:val="100"/>
        </w:rPr>
        <w:t>致委托</w:t>
      </w:r>
      <w:r>
        <w:rPr>
          <w:rFonts w:hint="eastAsia" w:hAnsi="宋体"/>
          <w:spacing w:val="100"/>
        </w:rPr>
        <w:t>人</w:t>
      </w:r>
      <w:r>
        <w:rPr>
          <w:rFonts w:hAnsi="宋体"/>
          <w:spacing w:val="100"/>
        </w:rPr>
        <w:t>函</w:t>
      </w:r>
      <w:bookmarkEnd w:id="0"/>
      <w:bookmarkEnd w:id="1"/>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盘州市人民法院</w:t>
      </w:r>
      <w:r>
        <w:rPr>
          <w:rFonts w:hint="eastAsia" w:ascii="Times New Roman" w:hAnsi="Times New Roman" w:eastAsia="宋体" w:cs="Times New Roman"/>
          <w:b/>
          <w:szCs w:val="28"/>
        </w:rPr>
        <w:t>：</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我公司接受</w:t>
      </w:r>
      <w:r>
        <w:rPr>
          <w:rFonts w:hint="eastAsia" w:ascii="Times New Roman" w:hAnsi="Times New Roman" w:eastAsia="宋体" w:cs="Times New Roman"/>
          <w:bCs/>
          <w:szCs w:val="28"/>
          <w:lang w:val="en-US" w:eastAsia="zh-CN"/>
        </w:rPr>
        <w:t>贵单位</w:t>
      </w:r>
      <w:r>
        <w:rPr>
          <w:rFonts w:hint="eastAsia" w:ascii="Times New Roman" w:hAnsi="Times New Roman" w:eastAsia="宋体" w:cs="Times New Roman"/>
          <w:bCs/>
          <w:szCs w:val="28"/>
        </w:rPr>
        <w:t>的委托，</w:t>
      </w:r>
      <w:r>
        <w:rPr>
          <w:rFonts w:hint="eastAsia" w:asciiTheme="minorEastAsia" w:hAnsiTheme="minorEastAsia" w:eastAsiaTheme="minorEastAsia"/>
          <w:spacing w:val="-2"/>
          <w:szCs w:val="24"/>
        </w:rPr>
        <w:t>我公司根据</w:t>
      </w:r>
      <w:r>
        <w:rPr>
          <w:rFonts w:hint="eastAsia" w:ascii="Times New Roman" w:hAnsi="Times New Roman" w:eastAsia="宋体" w:cs="Times New Roman"/>
          <w:bCs/>
          <w:sz w:val="28"/>
          <w:szCs w:val="28"/>
          <w:highlight w:val="none"/>
          <w:lang w:val="en-US" w:eastAsia="zh-CN" w:bidi="ar-SA"/>
        </w:rPr>
        <w:t>《房地产估价规范》、</w:t>
      </w:r>
      <w:r>
        <w:rPr>
          <w:rFonts w:hint="eastAsia" w:ascii="Times New Roman" w:hAnsi="Times New Roman" w:eastAsia="宋体" w:cs="Times New Roman"/>
          <w:bCs/>
          <w:szCs w:val="28"/>
        </w:rPr>
        <w:t>《房地产估价基本术语标准</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 w:val="28"/>
          <w:szCs w:val="28"/>
          <w:highlight w:val="none"/>
          <w:lang w:val="en-US" w:eastAsia="zh-CN" w:bidi="ar-SA"/>
        </w:rPr>
        <w:t>等</w:t>
      </w:r>
      <w:r>
        <w:rPr>
          <w:rFonts w:hint="eastAsia" w:asciiTheme="minorEastAsia" w:hAnsiTheme="minorEastAsia"/>
          <w:spacing w:val="-2"/>
          <w:szCs w:val="24"/>
          <w:lang w:val="en-US" w:eastAsia="zh-CN"/>
        </w:rPr>
        <w:t>有关</w:t>
      </w:r>
      <w:r>
        <w:rPr>
          <w:rFonts w:hint="eastAsia" w:asciiTheme="minorEastAsia" w:hAnsiTheme="minorEastAsia" w:eastAsiaTheme="minorEastAsia"/>
          <w:spacing w:val="-2"/>
          <w:szCs w:val="24"/>
        </w:rPr>
        <w:t>规定，本着独立、客观、公正、科学的原则，按照必要的估价程序，采用合理的估价方法</w:t>
      </w:r>
      <w:r>
        <w:rPr>
          <w:rFonts w:hint="eastAsia" w:ascii="Times New Roman" w:hAnsi="Times New Roman" w:eastAsia="宋体" w:cs="Times New Roman"/>
          <w:bCs/>
          <w:szCs w:val="28"/>
        </w:rPr>
        <w:t>，对</w:t>
      </w:r>
      <w:r>
        <w:rPr>
          <w:rFonts w:hint="eastAsia" w:hAnsi="宋体" w:eastAsia="宋体"/>
          <w:szCs w:val="28"/>
          <w:lang w:val="en-US" w:eastAsia="zh-CN"/>
        </w:rPr>
        <w:t>委托评估的房地产市场价值</w:t>
      </w:r>
      <w:r>
        <w:rPr>
          <w:rFonts w:hint="eastAsia" w:ascii="Times New Roman" w:hAnsi="Times New Roman" w:eastAsia="宋体" w:cs="Times New Roman"/>
          <w:bCs/>
          <w:szCs w:val="28"/>
        </w:rPr>
        <w:t>进行了</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基本事项如下：</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估价目的：</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27"/>
        <w:autoSpaceDE/>
        <w:autoSpaceDN/>
        <w:adjustRightInd/>
        <w:spacing w:before="156" w:beforeLines="50" w:after="156" w:afterLines="50" w:line="360" w:lineRule="auto"/>
        <w:ind w:firstLine="562" w:firstLineChars="200"/>
        <w:jc w:val="both"/>
        <w:textAlignment w:val="auto"/>
        <w:rPr>
          <w:rFonts w:hint="eastAsia" w:hAnsi="宋体"/>
          <w:szCs w:val="28"/>
          <w:lang w:val="en-US" w:eastAsia="zh-CN"/>
        </w:rPr>
      </w:pPr>
      <w:r>
        <w:rPr>
          <w:rFonts w:hint="eastAsia" w:ascii="Times New Roman" w:hAnsi="Times New Roman" w:eastAsia="宋体" w:cs="Times New Roman"/>
          <w:b/>
          <w:szCs w:val="28"/>
        </w:rPr>
        <w:t>估价对象：</w:t>
      </w:r>
      <w:r>
        <w:rPr>
          <w:rFonts w:hint="eastAsia" w:hAnsi="宋体"/>
          <w:szCs w:val="28"/>
          <w:lang w:val="en-US" w:eastAsia="zh-CN"/>
        </w:rPr>
        <w:t xml:space="preserve">基本状况如下表所示：   </w:t>
      </w:r>
    </w:p>
    <w:tbl>
      <w:tblPr>
        <w:tblStyle w:val="17"/>
        <w:tblW w:w="84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1937"/>
        <w:gridCol w:w="735"/>
        <w:gridCol w:w="1490"/>
        <w:gridCol w:w="690"/>
        <w:gridCol w:w="815"/>
        <w:gridCol w:w="1173"/>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9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1937"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权证编号</w:t>
            </w:r>
          </w:p>
        </w:tc>
        <w:tc>
          <w:tcPr>
            <w:tcW w:w="73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估价对象名称</w:t>
            </w:r>
          </w:p>
        </w:tc>
        <w:tc>
          <w:tcPr>
            <w:tcW w:w="14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估价对象所在位置</w:t>
            </w:r>
          </w:p>
        </w:tc>
        <w:tc>
          <w:tcPr>
            <w:tcW w:w="6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权利人</w:t>
            </w:r>
          </w:p>
        </w:tc>
        <w:tc>
          <w:tcPr>
            <w:tcW w:w="81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用途</w:t>
            </w:r>
          </w:p>
        </w:tc>
        <w:tc>
          <w:tcPr>
            <w:tcW w:w="117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Style w:val="42"/>
                <w:lang w:val="en-US" w:eastAsia="zh-CN" w:bidi="ar"/>
              </w:rPr>
              <w:t>建筑面积</w:t>
            </w:r>
            <w:r>
              <w:rPr>
                <w:rStyle w:val="43"/>
                <w:rFonts w:eastAsia="宋体"/>
                <w:lang w:val="en-US" w:eastAsia="zh-CN" w:bidi="ar"/>
              </w:rPr>
              <w:t>m</w:t>
            </w:r>
            <w:r>
              <w:rPr>
                <w:rStyle w:val="44"/>
                <w:rFonts w:eastAsia="宋体"/>
                <w:lang w:val="en-US" w:eastAsia="zh-CN" w:bidi="ar"/>
              </w:rPr>
              <w:t>2</w:t>
            </w:r>
          </w:p>
        </w:tc>
        <w:tc>
          <w:tcPr>
            <w:tcW w:w="80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937"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73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6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81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7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80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9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黔（2019）盘州市不动产权第0014279号</w:t>
            </w:r>
          </w:p>
        </w:tc>
        <w:tc>
          <w:tcPr>
            <w:tcW w:w="7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一层商业</w:t>
            </w:r>
          </w:p>
        </w:tc>
        <w:tc>
          <w:tcPr>
            <w:tcW w:w="14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8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商业</w:t>
            </w:r>
          </w:p>
        </w:tc>
        <w:tc>
          <w:tcPr>
            <w:tcW w:w="11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77.78</w:t>
            </w:r>
          </w:p>
        </w:tc>
        <w:tc>
          <w:tcPr>
            <w:tcW w:w="807"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9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黔（2019）盘州市不动产权第0014318号</w:t>
            </w:r>
          </w:p>
        </w:tc>
        <w:tc>
          <w:tcPr>
            <w:tcW w:w="7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二层住宅</w:t>
            </w:r>
          </w:p>
        </w:tc>
        <w:tc>
          <w:tcPr>
            <w:tcW w:w="14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8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住宅</w:t>
            </w:r>
          </w:p>
        </w:tc>
        <w:tc>
          <w:tcPr>
            <w:tcW w:w="11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152.36</w:t>
            </w:r>
          </w:p>
        </w:tc>
        <w:tc>
          <w:tcPr>
            <w:tcW w:w="807"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9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黔（2019）盘州市不动产权第0014278号</w:t>
            </w:r>
          </w:p>
        </w:tc>
        <w:tc>
          <w:tcPr>
            <w:tcW w:w="7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三层商业</w:t>
            </w:r>
          </w:p>
        </w:tc>
        <w:tc>
          <w:tcPr>
            <w:tcW w:w="14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8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商业</w:t>
            </w:r>
          </w:p>
        </w:tc>
        <w:tc>
          <w:tcPr>
            <w:tcW w:w="11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134.55</w:t>
            </w:r>
          </w:p>
        </w:tc>
        <w:tc>
          <w:tcPr>
            <w:tcW w:w="807"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9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黔（2019）盘州市不动产权第0014319号</w:t>
            </w:r>
          </w:p>
        </w:tc>
        <w:tc>
          <w:tcPr>
            <w:tcW w:w="7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四层住宅</w:t>
            </w:r>
          </w:p>
        </w:tc>
        <w:tc>
          <w:tcPr>
            <w:tcW w:w="14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8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住宅</w:t>
            </w:r>
          </w:p>
        </w:tc>
        <w:tc>
          <w:tcPr>
            <w:tcW w:w="11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163.82</w:t>
            </w:r>
          </w:p>
        </w:tc>
        <w:tc>
          <w:tcPr>
            <w:tcW w:w="807"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9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黔（2019）盘州市不动产权第0014317号</w:t>
            </w:r>
          </w:p>
        </w:tc>
        <w:tc>
          <w:tcPr>
            <w:tcW w:w="7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五层住宅</w:t>
            </w:r>
          </w:p>
        </w:tc>
        <w:tc>
          <w:tcPr>
            <w:tcW w:w="14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8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住宅</w:t>
            </w:r>
          </w:p>
        </w:tc>
        <w:tc>
          <w:tcPr>
            <w:tcW w:w="11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163.82</w:t>
            </w:r>
          </w:p>
        </w:tc>
        <w:tc>
          <w:tcPr>
            <w:tcW w:w="807"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bl>
    <w:p>
      <w:pPr>
        <w:pStyle w:val="27"/>
        <w:autoSpaceDE/>
        <w:autoSpaceDN/>
        <w:adjustRightInd/>
        <w:spacing w:before="156" w:beforeLines="50" w:after="156" w:afterLines="50" w:line="360" w:lineRule="auto"/>
        <w:ind w:firstLine="560" w:firstLineChars="200"/>
        <w:jc w:val="both"/>
        <w:textAlignment w:val="auto"/>
        <w:rPr>
          <w:rFonts w:hint="eastAsia" w:hAnsi="宋体"/>
          <w:sz w:val="28"/>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权及其对应分摊的国有建设用地使用权价值、室内装饰装修价值，但不包含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default" w:hAnsi="宋体"/>
          <w:sz w:val="28"/>
          <w:szCs w:val="28"/>
          <w:lang w:val="en-US" w:eastAsia="zh-CN"/>
        </w:rPr>
      </w:pPr>
    </w:p>
    <w:p>
      <w:pPr>
        <w:pStyle w:val="27"/>
        <w:autoSpaceDE/>
        <w:autoSpaceDN/>
        <w:adjustRightInd/>
        <w:spacing w:before="156" w:beforeLines="50" w:after="156" w:afterLines="50" w:line="360" w:lineRule="auto"/>
        <w:ind w:firstLine="560" w:firstLineChars="200"/>
        <w:jc w:val="both"/>
        <w:textAlignment w:val="auto"/>
        <w:rPr>
          <w:rFonts w:hint="default" w:hAnsi="宋体"/>
          <w:sz w:val="28"/>
          <w:szCs w:val="28"/>
          <w:lang w:val="en-US" w:eastAsia="zh-CN"/>
        </w:rPr>
      </w:pPr>
    </w:p>
    <w:p>
      <w:pPr>
        <w:pStyle w:val="27"/>
        <w:autoSpaceDE/>
        <w:autoSpaceDN/>
        <w:adjustRightInd/>
        <w:spacing w:before="156" w:beforeLines="50" w:after="156" w:afterLines="50" w:line="360" w:lineRule="auto"/>
        <w:ind w:firstLine="560" w:firstLineChars="200"/>
        <w:jc w:val="both"/>
        <w:textAlignment w:val="auto"/>
        <w:rPr>
          <w:rFonts w:hint="default" w:hAnsi="宋体"/>
          <w:sz w:val="28"/>
          <w:szCs w:val="28"/>
          <w:lang w:val="en-US" w:eastAsia="zh-CN"/>
        </w:rPr>
      </w:pP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价值时点：</w:t>
      </w: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2022年8月15日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ind w:firstLine="560"/>
      </w:pPr>
      <w:r>
        <w:rPr>
          <w:rFonts w:hint="eastAsia" w:ascii="Times New Roman" w:hAnsi="Times New Roman" w:eastAsia="宋体" w:cs="Times New Roman"/>
          <w:b/>
          <w:szCs w:val="28"/>
        </w:rPr>
        <w:t>价值类型：</w:t>
      </w:r>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rPr>
        <w:t>市场价值是指估价对象经适当营销后，由熟悉情况、谨慎行事且不受强迫的交易双方，以公平交易方式在价值时点自愿进行交易的金额。</w:t>
      </w:r>
    </w:p>
    <w:p>
      <w:pPr>
        <w:pStyle w:val="27"/>
        <w:autoSpaceDE/>
        <w:autoSpaceDN/>
        <w:adjustRightInd/>
        <w:spacing w:before="156" w:beforeLines="50" w:after="156" w:afterLines="50" w:line="360" w:lineRule="auto"/>
        <w:ind w:firstLine="562"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
          <w:szCs w:val="28"/>
        </w:rPr>
        <w:t>估价方法：</w:t>
      </w:r>
      <w:r>
        <w:rPr>
          <w:rFonts w:hint="eastAsia" w:ascii="Times New Roman" w:hAnsi="Times New Roman" w:eastAsia="宋体" w:cs="Times New Roman"/>
          <w:bCs/>
          <w:szCs w:val="28"/>
          <w:lang w:val="en-US" w:eastAsia="zh-CN"/>
        </w:rPr>
        <w:t>比较法、收益法</w:t>
      </w:r>
    </w:p>
    <w:p>
      <w:pPr>
        <w:pStyle w:val="27"/>
        <w:spacing w:before="156" w:beforeLines="50" w:after="156" w:afterLines="50" w:line="360" w:lineRule="auto"/>
        <w:ind w:firstLine="562" w:firstLineChars="200"/>
        <w:jc w:val="left"/>
        <w:rPr>
          <w:rFonts w:hint="eastAsia" w:eastAsia="宋体" w:cs="Times New Roman"/>
          <w:b/>
          <w:sz w:val="28"/>
          <w:szCs w:val="28"/>
          <w:highlight w:val="none"/>
          <w:lang w:val="en-US" w:eastAsia="zh-CN"/>
        </w:rPr>
      </w:pPr>
      <w:r>
        <w:rPr>
          <w:rFonts w:hint="eastAsia" w:ascii="Times New Roman" w:hAnsi="Times New Roman" w:eastAsia="宋体" w:cs="Times New Roman"/>
          <w:b/>
          <w:szCs w:val="28"/>
        </w:rPr>
        <w:t>估价结果：</w:t>
      </w:r>
      <w:r>
        <w:rPr>
          <w:rFonts w:hint="eastAsia" w:ascii="Times New Roman" w:hAnsi="Times New Roman" w:eastAsia="宋体" w:cs="Times New Roman"/>
          <w:bCs/>
          <w:szCs w:val="28"/>
        </w:rPr>
        <w:t>我公司估价人员经过实地查勘和市场调查，遵照《中华人民共和国房地产管理法》及国家标准《房地产估价规范》等法律法规和技术标准，遵循估价原则，按照估价工作程序，采用</w:t>
      </w:r>
      <w:r>
        <w:rPr>
          <w:rFonts w:hint="eastAsia" w:ascii="Times New Roman" w:hAnsi="Times New Roman" w:eastAsia="宋体" w:cs="Times New Roman"/>
          <w:bCs/>
          <w:szCs w:val="28"/>
          <w:lang w:val="en-US" w:eastAsia="zh-CN"/>
        </w:rPr>
        <w:t>适当的估价方法</w:t>
      </w:r>
      <w:r>
        <w:rPr>
          <w:rFonts w:hint="eastAsia" w:ascii="Times New Roman" w:hAnsi="Times New Roman" w:eastAsia="宋体" w:cs="Times New Roman"/>
          <w:bCs/>
          <w:szCs w:val="28"/>
        </w:rPr>
        <w:t>对估价对象进行了全面细致的测算，并结合估价经验和对影响价值因素的分析，在满足本次估价的假设和限制条件下，确定估价对象于价值时点的</w:t>
      </w:r>
      <w:r>
        <w:rPr>
          <w:rFonts w:hint="eastAsia" w:ascii="Times New Roman" w:hAnsi="Times New Roman" w:eastAsia="宋体" w:cs="Times New Roman"/>
          <w:bCs/>
          <w:szCs w:val="28"/>
          <w:lang w:val="en-US" w:eastAsia="zh-CN"/>
        </w:rPr>
        <w:t>市场价值</w:t>
      </w:r>
      <w:r>
        <w:rPr>
          <w:rFonts w:hint="eastAsia" w:ascii="Times New Roman" w:hAnsi="Times New Roman" w:eastAsia="宋体" w:cs="Times New Roman"/>
          <w:bCs/>
          <w:szCs w:val="28"/>
        </w:rPr>
        <w:t>为人民币（大写）：</w:t>
      </w:r>
      <w:r>
        <w:rPr>
          <w:rFonts w:hint="eastAsia" w:eastAsia="宋体" w:cs="Times New Roman"/>
          <w:b/>
          <w:sz w:val="28"/>
          <w:szCs w:val="28"/>
          <w:highlight w:val="none"/>
          <w:lang w:val="en-US" w:eastAsia="zh-CN"/>
        </w:rPr>
        <w:fldChar w:fldCharType="begin"/>
      </w:r>
      <w:r>
        <w:rPr>
          <w:rFonts w:hint="eastAsia" w:eastAsia="宋体" w:cs="Times New Roman"/>
          <w:b/>
          <w:sz w:val="28"/>
          <w:szCs w:val="28"/>
          <w:highlight w:val="none"/>
          <w:lang w:val="en-US" w:eastAsia="zh-CN"/>
        </w:rPr>
        <w:instrText xml:space="preserve"> = 1702100 \* CHINESENUM2 \* MERGEFORMAT </w:instrText>
      </w:r>
      <w:r>
        <w:rPr>
          <w:rFonts w:hint="eastAsia" w:eastAsia="宋体" w:cs="Times New Roman"/>
          <w:b/>
          <w:sz w:val="28"/>
          <w:szCs w:val="28"/>
          <w:highlight w:val="none"/>
          <w:lang w:val="en-US" w:eastAsia="zh-CN"/>
        </w:rPr>
        <w:fldChar w:fldCharType="separate"/>
      </w:r>
      <w:r>
        <w:rPr>
          <w:rFonts w:hint="eastAsia" w:eastAsia="宋体" w:cs="Times New Roman"/>
          <w:b/>
          <w:sz w:val="28"/>
          <w:szCs w:val="28"/>
          <w:highlight w:val="none"/>
          <w:lang w:val="en-US" w:eastAsia="zh-CN"/>
        </w:rPr>
        <w:t>壹佰柒拾万贰仟壹佰</w:t>
      </w:r>
      <w:r>
        <w:rPr>
          <w:rFonts w:hint="eastAsia" w:eastAsia="宋体" w:cs="Times New Roman"/>
          <w:b/>
          <w:sz w:val="28"/>
          <w:szCs w:val="28"/>
          <w:highlight w:val="none"/>
          <w:lang w:val="en-US" w:eastAsia="zh-CN"/>
        </w:rPr>
        <w:fldChar w:fldCharType="end"/>
      </w:r>
      <w:r>
        <w:rPr>
          <w:rFonts w:hint="eastAsia" w:eastAsia="宋体" w:cs="Times New Roman"/>
          <w:b/>
          <w:sz w:val="28"/>
          <w:szCs w:val="28"/>
          <w:highlight w:val="none"/>
          <w:lang w:val="en-US" w:eastAsia="zh-CN"/>
        </w:rPr>
        <w:t>元整（¥170.21万元）。</w:t>
      </w:r>
    </w:p>
    <w:tbl>
      <w:tblPr>
        <w:tblStyle w:val="17"/>
        <w:tblW w:w="103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
        <w:gridCol w:w="1553"/>
        <w:gridCol w:w="1600"/>
        <w:gridCol w:w="977"/>
        <w:gridCol w:w="976"/>
        <w:gridCol w:w="978"/>
        <w:gridCol w:w="1670"/>
        <w:gridCol w:w="1141"/>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0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1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估价对象名称</w:t>
            </w:r>
          </w:p>
        </w:tc>
        <w:tc>
          <w:tcPr>
            <w:tcW w:w="1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5"/>
                <w:szCs w:val="15"/>
                <w:u w:val="none"/>
                <w:lang w:val="en-US"/>
              </w:rPr>
            </w:pPr>
            <w:r>
              <w:rPr>
                <w:rFonts w:hint="eastAsia" w:ascii="宋体" w:hAnsi="宋体" w:eastAsia="宋体" w:cs="宋体"/>
                <w:b/>
                <w:bCs/>
                <w:i w:val="0"/>
                <w:iCs w:val="0"/>
                <w:color w:val="000000"/>
                <w:kern w:val="0"/>
                <w:sz w:val="15"/>
                <w:szCs w:val="15"/>
                <w:u w:val="none"/>
                <w:lang w:val="en-US" w:eastAsia="zh-CN" w:bidi="ar"/>
              </w:rPr>
              <w:t>权证号</w:t>
            </w:r>
          </w:p>
        </w:tc>
        <w:tc>
          <w:tcPr>
            <w:tcW w:w="9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用途</w:t>
            </w:r>
          </w:p>
        </w:tc>
        <w:tc>
          <w:tcPr>
            <w:tcW w:w="9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计量单位</w:t>
            </w:r>
          </w:p>
        </w:tc>
        <w:tc>
          <w:tcPr>
            <w:tcW w:w="9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建筑面积</w:t>
            </w:r>
            <w:r>
              <w:rPr>
                <w:rFonts w:hint="default" w:ascii="Times New Roman" w:hAnsi="Times New Roman" w:eastAsia="宋体" w:cs="Times New Roman"/>
                <w:b/>
                <w:bCs/>
                <w:i w:val="0"/>
                <w:iCs w:val="0"/>
                <w:color w:val="000000"/>
                <w:kern w:val="0"/>
                <w:sz w:val="15"/>
                <w:szCs w:val="15"/>
                <w:u w:val="none"/>
                <w:lang w:val="en-US" w:eastAsia="zh-CN" w:bidi="ar"/>
              </w:rPr>
              <w:t>m</w:t>
            </w:r>
            <w:r>
              <w:rPr>
                <w:rFonts w:hint="default" w:ascii="Times New Roman" w:hAnsi="Times New Roman" w:eastAsia="宋体" w:cs="Times New Roman"/>
                <w:b/>
                <w:bCs/>
                <w:i w:val="0"/>
                <w:iCs w:val="0"/>
                <w:color w:val="000000"/>
                <w:kern w:val="0"/>
                <w:sz w:val="15"/>
                <w:szCs w:val="15"/>
                <w:u w:val="none"/>
                <w:vertAlign w:val="superscript"/>
                <w:lang w:val="en-US" w:eastAsia="zh-CN" w:bidi="ar"/>
              </w:rPr>
              <w:t>2</w:t>
            </w:r>
          </w:p>
        </w:tc>
        <w:tc>
          <w:tcPr>
            <w:tcW w:w="16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评估单价（元/m2)</w:t>
            </w:r>
          </w:p>
        </w:tc>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评估总价(万元）</w:t>
            </w:r>
          </w:p>
        </w:tc>
        <w:tc>
          <w:tcPr>
            <w:tcW w:w="9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5"/>
                <w:szCs w:val="15"/>
                <w:u w:val="none"/>
              </w:rPr>
            </w:pPr>
          </w:p>
        </w:tc>
        <w:tc>
          <w:tcPr>
            <w:tcW w:w="1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c>
          <w:tcPr>
            <w:tcW w:w="1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一层商业</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5"/>
                <w:szCs w:val="15"/>
                <w:u w:val="none"/>
                <w:lang w:val="en-US" w:eastAsia="zh-CN" w:bidi="ar"/>
              </w:rPr>
              <w:t>黔（2019）盘州市不动产权第0014279号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77.78 </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4,793.00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二层住宅</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5"/>
                <w:szCs w:val="15"/>
                <w:u w:val="none"/>
                <w:lang w:val="en-US" w:eastAsia="zh-CN" w:bidi="ar"/>
              </w:rPr>
              <w:t>黔（2019）盘州市不动产权第0014318号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152.36</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1,571.00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三层商业</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5"/>
                <w:szCs w:val="15"/>
                <w:u w:val="none"/>
                <w:lang w:val="en-US" w:eastAsia="zh-CN" w:bidi="ar"/>
              </w:rPr>
              <w:t>黔（2019）盘州市不动产权第0014278号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134.55</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4,274.00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四层住宅</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5"/>
                <w:szCs w:val="15"/>
                <w:u w:val="none"/>
                <w:lang w:val="en-US" w:eastAsia="zh-CN" w:bidi="ar"/>
              </w:rPr>
              <w:t>黔（2019）盘州市不动产权第0014319号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163.82</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1,571.00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五层住宅</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5"/>
                <w:szCs w:val="15"/>
                <w:u w:val="none"/>
                <w:lang w:val="en-US" w:eastAsia="zh-CN" w:bidi="ar"/>
              </w:rPr>
              <w:t>黔（2019）盘州市不动产权第0014317号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163.82</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1,571.00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692.33</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170.21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Pr>
        <w:spacing w:before="156" w:beforeLines="50" w:after="156" w:afterLines="50" w:line="520" w:lineRule="exact"/>
        <w:ind w:firstLine="560" w:firstLineChars="200"/>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特别提示：</w:t>
      </w:r>
      <w:r>
        <w:rPr>
          <w:rFonts w:hint="eastAsia" w:ascii="Times New Roman" w:hAnsi="Times New Roman" w:eastAsia="宋体" w:cs="Times New Roman"/>
          <w:bCs/>
          <w:szCs w:val="28"/>
          <w:lang w:val="en-US" w:eastAsia="zh-CN"/>
        </w:rPr>
        <w:t>1、估价对象1已被出租，经核实，合同租金与市场租金相差较小，租约限制对房地产价值影响较小，故本次评估未考虑租约限制的影响，同时估价对象已被抵押，因本次评估是为人民法院执行案件提供价值参考，故未考虑抵押的影响，提请报告使用者予以关注。</w:t>
      </w:r>
    </w:p>
    <w:p>
      <w:pPr>
        <w:pStyle w:val="2"/>
        <w:rPr>
          <w:rFonts w:hint="default"/>
          <w:lang w:val="en-US" w:eastAsia="zh-CN"/>
        </w:rPr>
      </w:pPr>
      <w:r>
        <w:rPr>
          <w:rFonts w:hint="eastAsia" w:ascii="Times New Roman" w:hAnsi="Times New Roman" w:eastAsia="宋体" w:cs="Times New Roman"/>
          <w:bCs/>
          <w:szCs w:val="28"/>
          <w:lang w:val="en-US" w:eastAsia="zh-CN"/>
        </w:rPr>
        <w:t>2、2015年6月，撤销盘江镇、断江镇，新设置的盘关镇辖原盘江镇、断江镇地域，本次评估报告列示的位置系按照不动产权证记载的信息进行列示，提请报告使用者关注相关位置及行政区域变更。</w:t>
      </w:r>
    </w:p>
    <w:p>
      <w:pPr>
        <w:spacing w:before="156" w:beforeLines="50" w:after="156" w:afterLines="50"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3、委托人或者估价报告使用人应当按照法律规定和估价报告载明的使用范围使用估价报告，违反该规定使用估价报告的，房地产估价机构和注册房地产估价师依法不承担责任；</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4、估价结果不等于估价对象处置可实现的成交价，不应被认为是估价对象处置成交价的保证；</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5、根据《最高人民法院关于人民法院确定财产处置参考价若干问题的规定》，当事人、利害关系人认为评估报告具有（一）财产基本信息错误；（二）超出财产范围或者遗漏财产；（三）评估机构或者评估人员不具备相应评估资质；（四）评估程序严重违法等情形之一的，可以在收到报告后五日内提出书面异议，若在此期间内未予书面回复，我公司视为对估价报告无异议；</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6、本机构提醒报告使用方在使用本估价结论时，应认真阅读本报告书全文，提请关注本报告各种假设和限制条件等对该估价结果的影响。</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p>
    <w:p>
      <w:pPr>
        <w:pStyle w:val="27"/>
        <w:spacing w:before="156" w:beforeLines="50" w:after="156" w:afterLines="50" w:line="520" w:lineRule="exact"/>
        <w:ind w:firstLine="3360" w:firstLineChars="1200"/>
        <w:rPr>
          <w:rFonts w:hint="eastAsia" w:ascii="Times New Roman" w:hAnsi="Times New Roman" w:eastAsia="宋体" w:cs="Times New Roman"/>
          <w:bCs/>
          <w:szCs w:val="28"/>
          <w:lang w:eastAsia="zh-CN"/>
        </w:rPr>
      </w:pPr>
      <w:r>
        <w:rPr>
          <w:rFonts w:hint="eastAsia" w:hAnsi="宋体" w:eastAsia="宋体"/>
          <w:szCs w:val="28"/>
          <w:lang w:eastAsia="zh-CN"/>
        </w:rPr>
        <w:t>贵州瑞华亚太房地产土地资产评估有限公司</w:t>
      </w:r>
    </w:p>
    <w:p>
      <w:pPr>
        <w:wordWrap w:val="0"/>
        <w:spacing w:line="520" w:lineRule="exact"/>
        <w:ind w:right="1120" w:firstLine="5040" w:firstLineChars="1800"/>
        <w:rPr>
          <w:rFonts w:hAnsi="宋体"/>
          <w:szCs w:val="28"/>
        </w:rPr>
      </w:pPr>
      <w:r>
        <w:rPr>
          <w:rFonts w:hAnsi="宋体"/>
          <w:szCs w:val="28"/>
        </w:rPr>
        <w:t>法定代表人：</w:t>
      </w:r>
    </w:p>
    <w:p>
      <w:pPr>
        <w:pStyle w:val="27"/>
        <w:spacing w:before="156" w:beforeLines="50" w:after="156" w:afterLines="50" w:line="520" w:lineRule="exact"/>
        <w:ind w:firstLine="0" w:firstLineChars="0"/>
        <w:jc w:val="both"/>
        <w:rPr>
          <w:rFonts w:hint="eastAsia" w:eastAsiaTheme="minorEastAsia"/>
          <w:highlight w:val="none"/>
          <w:lang w:eastAsia="zh-CN"/>
        </w:rPr>
      </w:pPr>
      <w:r>
        <w:rPr>
          <w:rFonts w:hint="eastAsia" w:hAnsi="宋体"/>
          <w:szCs w:val="28"/>
        </w:rPr>
        <w:t xml:space="preserve">            </w:t>
      </w:r>
      <w:r>
        <w:rPr>
          <w:rFonts w:hint="eastAsia" w:hAnsi="宋体"/>
          <w:szCs w:val="28"/>
          <w:lang w:val="en-US" w:eastAsia="zh-CN"/>
        </w:rPr>
        <w:t xml:space="preserve">                  </w:t>
      </w:r>
      <w:r>
        <w:rPr>
          <w:rFonts w:hint="eastAsia" w:hAnsi="宋体"/>
          <w:szCs w:val="28"/>
          <w:lang w:eastAsia="zh-CN"/>
        </w:rPr>
        <w:t>二○二二年八月二十二日</w:t>
      </w:r>
    </w:p>
    <w:p>
      <w:pPr>
        <w:spacing w:line="520" w:lineRule="exact"/>
        <w:ind w:right="560"/>
        <w:jc w:val="center"/>
        <w:rPr>
          <w:rFonts w:hint="eastAsia" w:hAnsi="宋体"/>
          <w:szCs w:val="28"/>
          <w:lang w:eastAsia="zh-CN"/>
        </w:rPr>
        <w:sectPr>
          <w:headerReference r:id="rId8" w:type="first"/>
          <w:footerReference r:id="rId10" w:type="first"/>
          <w:headerReference r:id="rId7" w:type="default"/>
          <w:footerReference r:id="rId9" w:type="default"/>
          <w:pgSz w:w="11906" w:h="16838"/>
          <w:pgMar w:top="1418" w:right="1418" w:bottom="1134" w:left="1418" w:header="851" w:footer="851" w:gutter="0"/>
          <w:pgBorders>
            <w:top w:val="none" w:sz="0" w:space="0"/>
            <w:left w:val="none" w:sz="0" w:space="0"/>
            <w:bottom w:val="none" w:sz="0" w:space="0"/>
            <w:right w:val="none" w:sz="0" w:space="0"/>
          </w:pgBorders>
          <w:pgNumType w:fmt="decimal" w:start="1"/>
          <w:cols w:space="720" w:num="1"/>
          <w:titlePg/>
          <w:docGrid w:type="lines" w:linePitch="312" w:charSpace="0"/>
        </w:sectPr>
      </w:pPr>
    </w:p>
    <w:p>
      <w:pPr>
        <w:ind w:firstLine="883" w:firstLineChars="200"/>
        <w:jc w:val="center"/>
        <w:rPr>
          <w:rFonts w:ascii="宋体" w:hAnsi="宋体" w:eastAsiaTheme="minorEastAsia" w:cstheme="minorBidi"/>
          <w:color w:val="000000"/>
          <w:sz w:val="28"/>
          <w:szCs w:val="44"/>
          <w:lang w:val="zh-CN" w:eastAsia="zh-CN" w:bidi="ar-SA"/>
        </w:rPr>
      </w:pPr>
      <w:bookmarkStart w:id="2" w:name="_Toc22251"/>
      <w:r>
        <w:rPr>
          <w:rFonts w:hAnsi="宋体"/>
          <w:b/>
          <w:bCs/>
          <w:color w:val="000000"/>
          <w:sz w:val="44"/>
          <w:szCs w:val="44"/>
          <w:lang w:val="zh-CN"/>
        </w:rPr>
        <w:t>目</w:t>
      </w:r>
      <w:r>
        <w:rPr>
          <w:rFonts w:hint="eastAsia" w:hAnsi="宋体"/>
          <w:b/>
          <w:bCs/>
          <w:color w:val="000000"/>
          <w:sz w:val="44"/>
          <w:szCs w:val="44"/>
        </w:rPr>
        <w:t xml:space="preserve">   </w:t>
      </w:r>
      <w:r>
        <w:rPr>
          <w:rFonts w:hAnsi="宋体"/>
          <w:b/>
          <w:bCs/>
          <w:color w:val="000000"/>
          <w:sz w:val="44"/>
          <w:szCs w:val="44"/>
          <w:lang w:val="zh-CN"/>
        </w:rPr>
        <w:t>录</w:t>
      </w:r>
      <w:bookmarkEnd w:id="2"/>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_Toc10589 </w:instrText>
      </w:r>
      <w:r>
        <w:rPr>
          <w:rFonts w:hAnsi="宋体"/>
          <w:szCs w:val="44"/>
          <w:lang w:val="zh-CN"/>
        </w:rPr>
        <w:fldChar w:fldCharType="separate"/>
      </w:r>
      <w:r>
        <w:rPr>
          <w:rFonts w:hAnsi="宋体"/>
          <w:spacing w:val="100"/>
        </w:rPr>
        <w:t>致委托</w:t>
      </w:r>
      <w:r>
        <w:rPr>
          <w:rFonts w:hint="eastAsia" w:hAnsi="宋体"/>
          <w:spacing w:val="100"/>
        </w:rPr>
        <w:t>人</w:t>
      </w:r>
      <w:r>
        <w:rPr>
          <w:rFonts w:hAnsi="宋体"/>
          <w:spacing w:val="100"/>
        </w:rPr>
        <w:t>函</w:t>
      </w:r>
      <w:r>
        <w:tab/>
      </w:r>
      <w:r>
        <w:fldChar w:fldCharType="begin"/>
      </w:r>
      <w:r>
        <w:instrText xml:space="preserve"> PAGEREF _Toc10589 \h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_Toc16039 </w:instrText>
      </w:r>
      <w:r>
        <w:rPr>
          <w:rFonts w:hAnsi="宋体"/>
          <w:szCs w:val="44"/>
          <w:lang w:val="zh-CN"/>
        </w:rPr>
        <w:fldChar w:fldCharType="separate"/>
      </w:r>
      <w:r>
        <w:t>估价师声明</w:t>
      </w:r>
      <w:r>
        <w:tab/>
      </w:r>
      <w:r>
        <w:fldChar w:fldCharType="begin"/>
      </w:r>
      <w:r>
        <w:instrText xml:space="preserve"> PAGEREF _Toc16039 \h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_Toc17560 </w:instrText>
      </w:r>
      <w:r>
        <w:rPr>
          <w:rFonts w:hAnsi="宋体"/>
          <w:szCs w:val="44"/>
          <w:lang w:val="zh-CN"/>
        </w:rPr>
        <w:fldChar w:fldCharType="separate"/>
      </w:r>
      <w:r>
        <w:rPr>
          <w:rFonts w:hint="eastAsia"/>
        </w:rPr>
        <w:t>估价的假设和限制条件</w:t>
      </w:r>
      <w:r>
        <w:tab/>
      </w:r>
      <w:r>
        <w:fldChar w:fldCharType="begin"/>
      </w:r>
      <w:r>
        <w:instrText xml:space="preserve"> PAGEREF _Toc17560 \h </w:instrText>
      </w:r>
      <w:r>
        <w:fldChar w:fldCharType="separate"/>
      </w:r>
      <w:r>
        <w:t>2</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_Toc1161 </w:instrText>
      </w:r>
      <w:r>
        <w:rPr>
          <w:rFonts w:hAnsi="宋体"/>
          <w:szCs w:val="44"/>
          <w:lang w:val="zh-CN"/>
        </w:rPr>
        <w:fldChar w:fldCharType="separate"/>
      </w:r>
      <w:r>
        <w:rPr>
          <w:rFonts w:hint="eastAsia" w:hAnsi="宋体"/>
          <w:spacing w:val="40"/>
        </w:rPr>
        <w:t>房地产估价结果报告</w:t>
      </w:r>
      <w:r>
        <w:tab/>
      </w:r>
      <w:r>
        <w:fldChar w:fldCharType="begin"/>
      </w:r>
      <w:r>
        <w:instrText xml:space="preserve"> PAGEREF _Toc1161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_Toc9692 </w:instrText>
      </w:r>
      <w:r>
        <w:rPr>
          <w:rFonts w:hAnsi="宋体"/>
          <w:szCs w:val="44"/>
          <w:lang w:val="zh-CN"/>
        </w:rPr>
        <w:fldChar w:fldCharType="separate"/>
      </w:r>
      <w:r>
        <w:rPr>
          <w:rFonts w:hint="eastAsia"/>
        </w:rPr>
        <w:t>一、估价委托人</w:t>
      </w:r>
      <w:r>
        <w:tab/>
      </w:r>
      <w:r>
        <w:fldChar w:fldCharType="begin"/>
      </w:r>
      <w:r>
        <w:instrText xml:space="preserve"> PAGEREF _Toc9692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_Toc23324 </w:instrText>
      </w:r>
      <w:r>
        <w:rPr>
          <w:rFonts w:hAnsi="宋体"/>
          <w:szCs w:val="44"/>
          <w:lang w:val="zh-CN"/>
        </w:rPr>
        <w:fldChar w:fldCharType="separate"/>
      </w:r>
      <w:r>
        <w:rPr>
          <w:rFonts w:hint="eastAsia"/>
        </w:rPr>
        <w:t>二、房地产估价机构</w:t>
      </w:r>
      <w:r>
        <w:tab/>
      </w:r>
      <w:r>
        <w:fldChar w:fldCharType="begin"/>
      </w:r>
      <w:r>
        <w:instrText xml:space="preserve"> PAGEREF _Toc23324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_Toc31135 </w:instrText>
      </w:r>
      <w:r>
        <w:rPr>
          <w:rFonts w:hAnsi="宋体"/>
          <w:szCs w:val="44"/>
          <w:lang w:val="zh-CN"/>
        </w:rPr>
        <w:fldChar w:fldCharType="separate"/>
      </w:r>
      <w:r>
        <w:rPr>
          <w:rFonts w:hint="eastAsia"/>
          <w:lang w:val="en-US" w:eastAsia="zh-CN"/>
        </w:rPr>
        <w:t>三</w:t>
      </w:r>
      <w:r>
        <w:rPr>
          <w:rFonts w:hint="eastAsia"/>
        </w:rPr>
        <w:t>、估价目的</w:t>
      </w:r>
      <w:r>
        <w:tab/>
      </w:r>
      <w:r>
        <w:fldChar w:fldCharType="begin"/>
      </w:r>
      <w:r>
        <w:instrText xml:space="preserve"> PAGEREF _Toc31135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_Toc1408 </w:instrText>
      </w:r>
      <w:r>
        <w:rPr>
          <w:rFonts w:hAnsi="宋体"/>
          <w:szCs w:val="44"/>
          <w:lang w:val="zh-CN"/>
        </w:rPr>
        <w:fldChar w:fldCharType="separate"/>
      </w:r>
      <w:r>
        <w:rPr>
          <w:rFonts w:hint="eastAsia"/>
          <w:lang w:val="en-US" w:eastAsia="zh-CN"/>
        </w:rPr>
        <w:t>四</w:t>
      </w:r>
      <w:r>
        <w:rPr>
          <w:rFonts w:hint="eastAsia"/>
        </w:rPr>
        <w:t>、估价对象</w:t>
      </w:r>
      <w:r>
        <w:tab/>
      </w:r>
      <w:r>
        <w:fldChar w:fldCharType="begin"/>
      </w:r>
      <w:r>
        <w:instrText xml:space="preserve"> PAGEREF _Toc1408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_Toc1301 </w:instrText>
      </w:r>
      <w:r>
        <w:rPr>
          <w:rFonts w:hAnsi="宋体"/>
          <w:szCs w:val="44"/>
          <w:lang w:val="zh-CN"/>
        </w:rPr>
        <w:fldChar w:fldCharType="separate"/>
      </w:r>
      <w:r>
        <w:rPr>
          <w:rFonts w:hint="eastAsia"/>
        </w:rPr>
        <w:t>五、价值时点</w:t>
      </w:r>
      <w:r>
        <w:tab/>
      </w:r>
      <w:r>
        <w:fldChar w:fldCharType="begin"/>
      </w:r>
      <w:r>
        <w:instrText xml:space="preserve"> PAGEREF _Toc1301 \h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_Toc20570 </w:instrText>
      </w:r>
      <w:r>
        <w:rPr>
          <w:rFonts w:hAnsi="宋体"/>
          <w:szCs w:val="44"/>
          <w:lang w:val="zh-CN"/>
        </w:rPr>
        <w:fldChar w:fldCharType="separate"/>
      </w:r>
      <w:r>
        <w:rPr>
          <w:rFonts w:hint="eastAsia"/>
        </w:rPr>
        <w:t>六、价值</w:t>
      </w:r>
      <w:r>
        <w:rPr>
          <w:rFonts w:hint="eastAsia"/>
          <w:lang w:val="en-US" w:eastAsia="zh-CN"/>
        </w:rPr>
        <w:t>类型</w:t>
      </w:r>
      <w:r>
        <w:tab/>
      </w:r>
      <w:r>
        <w:fldChar w:fldCharType="begin"/>
      </w:r>
      <w:r>
        <w:instrText xml:space="preserve"> PAGEREF _Toc20570 \h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_Toc13679 </w:instrText>
      </w:r>
      <w:r>
        <w:rPr>
          <w:rFonts w:hAnsi="宋体"/>
          <w:szCs w:val="44"/>
          <w:lang w:val="zh-CN"/>
        </w:rPr>
        <w:fldChar w:fldCharType="separate"/>
      </w:r>
      <w:r>
        <w:rPr>
          <w:rFonts w:hint="eastAsia"/>
          <w:lang w:val="en-US" w:eastAsia="zh-CN"/>
        </w:rPr>
        <w:t>七</w:t>
      </w:r>
      <w:r>
        <w:rPr>
          <w:rFonts w:hint="eastAsia"/>
        </w:rPr>
        <w:t>、估价原则</w:t>
      </w:r>
      <w:r>
        <w:tab/>
      </w:r>
      <w:r>
        <w:fldChar w:fldCharType="begin"/>
      </w:r>
      <w:r>
        <w:instrText xml:space="preserve"> PAGEREF _Toc13679 \h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_Toc695 </w:instrText>
      </w:r>
      <w:r>
        <w:rPr>
          <w:rFonts w:hAnsi="宋体"/>
          <w:szCs w:val="44"/>
          <w:lang w:val="zh-CN"/>
        </w:rPr>
        <w:fldChar w:fldCharType="separate"/>
      </w:r>
      <w:r>
        <w:rPr>
          <w:rFonts w:hint="eastAsia"/>
          <w:lang w:val="en-US" w:eastAsia="zh-CN"/>
        </w:rPr>
        <w:t>八</w:t>
      </w:r>
      <w:r>
        <w:rPr>
          <w:rFonts w:hint="eastAsia"/>
        </w:rPr>
        <w:t>、估价依据</w:t>
      </w:r>
      <w:r>
        <w:tab/>
      </w:r>
      <w:r>
        <w:fldChar w:fldCharType="begin"/>
      </w:r>
      <w:r>
        <w:instrText xml:space="preserve"> PAGEREF _Toc695 \h </w:instrText>
      </w:r>
      <w:r>
        <w:fldChar w:fldCharType="separate"/>
      </w:r>
      <w:r>
        <w:t>8</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_Toc29110 </w:instrText>
      </w:r>
      <w:r>
        <w:rPr>
          <w:rFonts w:hAnsi="宋体"/>
          <w:szCs w:val="44"/>
          <w:lang w:val="zh-CN"/>
        </w:rPr>
        <w:fldChar w:fldCharType="separate"/>
      </w:r>
      <w:r>
        <w:rPr>
          <w:rFonts w:hint="eastAsia"/>
        </w:rPr>
        <w:t>九、估价方法</w:t>
      </w:r>
      <w:r>
        <w:tab/>
      </w:r>
      <w:r>
        <w:fldChar w:fldCharType="begin"/>
      </w:r>
      <w:r>
        <w:instrText xml:space="preserve"> PAGEREF _Toc29110 \h </w:instrText>
      </w:r>
      <w:r>
        <w:fldChar w:fldCharType="separate"/>
      </w:r>
      <w:r>
        <w:t>10</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_Toc31461 </w:instrText>
      </w:r>
      <w:r>
        <w:rPr>
          <w:rFonts w:hAnsi="宋体"/>
          <w:szCs w:val="44"/>
          <w:lang w:val="zh-CN"/>
        </w:rPr>
        <w:fldChar w:fldCharType="separate"/>
      </w:r>
      <w:r>
        <w:rPr>
          <w:rFonts w:hint="eastAsia"/>
        </w:rPr>
        <w:t>十、估价结果</w:t>
      </w:r>
      <w:r>
        <w:tab/>
      </w:r>
      <w:r>
        <w:fldChar w:fldCharType="begin"/>
      </w:r>
      <w:r>
        <w:instrText xml:space="preserve"> PAGEREF _Toc31461 \h </w:instrText>
      </w:r>
      <w:r>
        <w:fldChar w:fldCharType="separate"/>
      </w:r>
      <w:r>
        <w:t>13</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_Toc3270 </w:instrText>
      </w:r>
      <w:r>
        <w:rPr>
          <w:rFonts w:hAnsi="宋体"/>
          <w:szCs w:val="44"/>
          <w:lang w:val="zh-CN"/>
        </w:rPr>
        <w:fldChar w:fldCharType="separate"/>
      </w:r>
      <w:r>
        <w:rPr>
          <w:rFonts w:hint="eastAsia"/>
          <w:lang w:val="en-US" w:eastAsia="zh-CN"/>
        </w:rPr>
        <w:t>十一、注册房地产估价师</w:t>
      </w:r>
      <w:r>
        <w:tab/>
      </w:r>
      <w:r>
        <w:fldChar w:fldCharType="begin"/>
      </w:r>
      <w:r>
        <w:instrText xml:space="preserve"> PAGEREF _Toc3270 \h </w:instrText>
      </w:r>
      <w:r>
        <w:fldChar w:fldCharType="separate"/>
      </w:r>
      <w:r>
        <w:t>14</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_Toc32520 </w:instrText>
      </w:r>
      <w:r>
        <w:rPr>
          <w:rFonts w:hAnsi="宋体"/>
          <w:szCs w:val="44"/>
          <w:lang w:val="zh-CN"/>
        </w:rPr>
        <w:fldChar w:fldCharType="separate"/>
      </w:r>
      <w:r>
        <w:rPr>
          <w:rFonts w:hint="eastAsia"/>
        </w:rPr>
        <w:t>十二、实地查勘期</w:t>
      </w:r>
      <w:r>
        <w:tab/>
      </w:r>
      <w:r>
        <w:fldChar w:fldCharType="begin"/>
      </w:r>
      <w:r>
        <w:instrText xml:space="preserve"> PAGEREF _Toc32520 \h </w:instrText>
      </w:r>
      <w:r>
        <w:fldChar w:fldCharType="separate"/>
      </w:r>
      <w:r>
        <w:t>14</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_Toc24579 </w:instrText>
      </w:r>
      <w:r>
        <w:rPr>
          <w:rFonts w:hAnsi="宋体"/>
          <w:szCs w:val="44"/>
          <w:lang w:val="zh-CN"/>
        </w:rPr>
        <w:fldChar w:fldCharType="separate"/>
      </w:r>
      <w:r>
        <w:rPr>
          <w:rFonts w:hint="eastAsia"/>
        </w:rPr>
        <w:t>十三、估价作业期</w:t>
      </w:r>
      <w:r>
        <w:tab/>
      </w:r>
      <w:r>
        <w:fldChar w:fldCharType="begin"/>
      </w:r>
      <w:r>
        <w:instrText xml:space="preserve"> PAGEREF _Toc24579 \h </w:instrText>
      </w:r>
      <w:r>
        <w:fldChar w:fldCharType="separate"/>
      </w:r>
      <w:r>
        <w:t>14</w:t>
      </w:r>
      <w:r>
        <w:fldChar w:fldCharType="end"/>
      </w:r>
      <w:r>
        <w:rPr>
          <w:rFonts w:hAnsi="宋体"/>
          <w:color w:val="000000"/>
          <w:szCs w:val="44"/>
          <w:lang w:val="zh-CN"/>
        </w:rPr>
        <w:fldChar w:fldCharType="end"/>
      </w:r>
    </w:p>
    <w:p>
      <w:pPr>
        <w:spacing w:line="360" w:lineRule="auto"/>
        <w:ind w:firstLine="560" w:firstLineChars="200"/>
        <w:jc w:val="center"/>
        <w:rPr>
          <w:rFonts w:hAnsi="宋体"/>
          <w:spacing w:val="100"/>
        </w:rPr>
        <w:sectPr>
          <w:footerReference r:id="rId12" w:type="first"/>
          <w:footerReference r:id="rId11" w:type="default"/>
          <w:pgSz w:w="11906" w:h="16838"/>
          <w:pgMar w:top="1418" w:right="1418" w:bottom="1134" w:left="1418" w:header="851" w:footer="851" w:gutter="0"/>
          <w:pgBorders>
            <w:top w:val="none" w:sz="0" w:space="0"/>
            <w:left w:val="none" w:sz="0" w:space="0"/>
            <w:bottom w:val="none" w:sz="0" w:space="0"/>
            <w:right w:val="none" w:sz="0" w:space="0"/>
          </w:pgBorders>
          <w:pgNumType w:fmt="decimal"/>
          <w:cols w:space="720" w:num="1"/>
          <w:titlePg/>
          <w:docGrid w:type="lines" w:linePitch="312" w:charSpace="0"/>
        </w:sectPr>
      </w:pPr>
      <w:r>
        <w:rPr>
          <w:rFonts w:hAnsi="宋体"/>
          <w:color w:val="000000"/>
          <w:szCs w:val="44"/>
          <w:lang w:val="zh-CN"/>
        </w:rPr>
        <w:fldChar w:fldCharType="end"/>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color w:val="000000"/>
          <w:szCs w:val="28"/>
        </w:rPr>
        <w:t>2</w:t>
      </w:r>
      <w:r>
        <w:rPr>
          <w:rFonts w:hAnsi="宋体"/>
          <w:color w:val="000000"/>
          <w:szCs w:val="28"/>
        </w:rPr>
        <w:t>、估价对象</w:t>
      </w:r>
      <w:r>
        <w:rPr>
          <w:rFonts w:hint="eastAsia" w:hAnsi="宋体"/>
          <w:color w:val="000000"/>
          <w:szCs w:val="28"/>
        </w:rPr>
        <w:t>位置图及</w:t>
      </w:r>
      <w:r>
        <w:rPr>
          <w:rFonts w:hAnsi="宋体"/>
          <w:color w:val="000000"/>
          <w:szCs w:val="28"/>
        </w:rPr>
        <w:t>照片</w:t>
      </w:r>
      <w:r>
        <w:rPr>
          <w:rFonts w:hint="eastAsia" w:hAnsi="宋体"/>
          <w:color w:val="000000"/>
          <w:szCs w:val="28"/>
        </w:rPr>
        <w:t>；3、</w:t>
      </w:r>
      <w:r>
        <w:rPr>
          <w:rFonts w:hint="eastAsia" w:hAnsi="宋体"/>
          <w:color w:val="000000"/>
          <w:szCs w:val="28"/>
          <w:lang w:val="en-US" w:eastAsia="zh-CN"/>
        </w:rPr>
        <w:t>估价对象权属证明复印件</w:t>
      </w:r>
      <w:r>
        <w:rPr>
          <w:rFonts w:hAnsi="宋体"/>
          <w:color w:val="000000"/>
          <w:szCs w:val="28"/>
        </w:rPr>
        <w:t>；</w:t>
      </w:r>
      <w:r>
        <w:rPr>
          <w:rFonts w:hint="eastAsia"/>
          <w:color w:val="000000"/>
          <w:szCs w:val="28"/>
        </w:rPr>
        <w:t>4</w:t>
      </w:r>
      <w:r>
        <w:rPr>
          <w:rFonts w:hAnsi="宋体"/>
          <w:color w:val="000000"/>
          <w:szCs w:val="28"/>
        </w:rPr>
        <w:t>、</w:t>
      </w:r>
      <w:r>
        <w:rPr>
          <w:rFonts w:hint="eastAsia" w:hAnsi="宋体"/>
          <w:color w:val="000000"/>
          <w:szCs w:val="28"/>
          <w:lang w:val="en-US" w:eastAsia="zh-CN"/>
        </w:rPr>
        <w:t>房地产估价机构营业执照和估价资质证书复印件；4、注册房地产估价师资格证书复印件</w:t>
      </w:r>
      <w:r>
        <w:rPr>
          <w:rFonts w:hint="eastAsia" w:hAnsi="宋体"/>
          <w:color w:val="000000"/>
          <w:szCs w:val="28"/>
        </w:rPr>
        <w:t>。</w:t>
      </w:r>
    </w:p>
    <w:p>
      <w:pPr>
        <w:pStyle w:val="3"/>
        <w:tabs>
          <w:tab w:val="left" w:pos="2760"/>
          <w:tab w:val="center" w:pos="4535"/>
        </w:tabs>
        <w:spacing w:before="312" w:beforeLines="100" w:after="312" w:afterLines="100" w:line="360" w:lineRule="auto"/>
        <w:jc w:val="center"/>
        <w:rPr>
          <w:rFonts w:hAnsi="宋体"/>
        </w:rPr>
      </w:pPr>
      <w:bookmarkStart w:id="3" w:name="_Toc16039"/>
      <w:bookmarkStart w:id="4" w:name="_Toc16557"/>
      <w:bookmarkStart w:id="5" w:name="_Toc8421"/>
      <w:bookmarkStart w:id="6" w:name="_Toc14451"/>
      <w:r>
        <w:t>估价师声明</w:t>
      </w:r>
      <w:bookmarkEnd w:id="3"/>
      <w:bookmarkEnd w:id="4"/>
      <w:bookmarkEnd w:id="5"/>
      <w:bookmarkEnd w:id="6"/>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对本报告我们特作如下郑重声明：</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1．注册房地产估价师在估价报告中对事实的说明是真实和准确的，没有虚假记载、误导性陈述和重大遗漏</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2．估价报告中的分析、意见和结论是注册房地产估价师独立、客观、公正的专业分析、意见和结论，但受到本估价报告中已说明的估价假设和限制条件的限制。</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3．注册房地产估价师与估价报告中的估价对象没有现实或潜在的利害，与估价委托人及估价利害关系人没有利害关系，也对估价对象、估价委托人及估价利害关系人没有偏见。</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4．注册房地产估价师是按照中华人民共和国国家标准《房地产估价规范》（GB/T50291—2015）及《房地产估价基本术语标准》(GB/T50899-2013)进行估价工作，撰写本估价报告。</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lang w:val="en-US" w:eastAsia="zh-CN"/>
        </w:rPr>
        <w:t>5</w:t>
      </w:r>
      <w:r>
        <w:rPr>
          <w:rFonts w:hint="eastAsia" w:ascii="Times New Roman" w:hAnsi="Times New Roman" w:eastAsia="宋体" w:cs="Times New Roman"/>
          <w:bCs/>
          <w:szCs w:val="28"/>
          <w:highlight w:val="none"/>
        </w:rPr>
        <w:t>、没有其他人对本估价报告提供重要的专业帮助。</w:t>
      </w:r>
    </w:p>
    <w:p>
      <w:pPr>
        <w:pStyle w:val="3"/>
        <w:spacing w:before="312" w:beforeLines="100" w:after="312" w:afterLines="100" w:line="360" w:lineRule="auto"/>
        <w:jc w:val="center"/>
        <w:rPr>
          <w:rFonts w:hint="eastAsia"/>
        </w:rPr>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7" w:name="_Toc29726"/>
      <w:bookmarkStart w:id="8" w:name="_Toc28492"/>
      <w:bookmarkStart w:id="9" w:name="_Toc440990674"/>
      <w:bookmarkStart w:id="10" w:name="_Toc464207624"/>
      <w:bookmarkStart w:id="11" w:name="_Toc25142"/>
      <w:bookmarkStart w:id="12" w:name="_Toc440992054"/>
    </w:p>
    <w:p>
      <w:pPr>
        <w:pStyle w:val="3"/>
        <w:spacing w:before="312" w:beforeLines="100" w:after="312" w:afterLines="100" w:line="360" w:lineRule="auto"/>
        <w:jc w:val="center"/>
        <w:rPr>
          <w:rFonts w:ascii="Times New Roman" w:hAnsi="Times New Roman" w:eastAsia="宋体" w:cs="Times New Roman"/>
          <w:b w:val="0"/>
          <w:kern w:val="0"/>
          <w:sz w:val="28"/>
          <w:szCs w:val="28"/>
        </w:rPr>
      </w:pPr>
      <w:bookmarkStart w:id="13" w:name="_Toc17560"/>
      <w:r>
        <w:rPr>
          <w:rFonts w:hint="eastAsia"/>
        </w:rPr>
        <w:t>估价的假设和限制条件</w:t>
      </w:r>
      <w:bookmarkEnd w:id="7"/>
      <w:bookmarkEnd w:id="8"/>
      <w:bookmarkEnd w:id="9"/>
      <w:bookmarkEnd w:id="10"/>
      <w:bookmarkEnd w:id="11"/>
      <w:bookmarkEnd w:id="12"/>
      <w:bookmarkEnd w:id="13"/>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一、一般假设</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1、房地产估价师对估价对象的权属、面积、用途等资料进行了检查，在无理由怀疑其合法性、真实性、准确性、完整性的情况下，假设委托人提供的相关产权资料合法、真实、准确、完整。</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eastAsia="zh-CN"/>
        </w:rPr>
      </w:pPr>
      <w:r>
        <w:rPr>
          <w:rFonts w:hint="eastAsia" w:ascii="Times New Roman" w:hAnsi="Times New Roman" w:eastAsia="宋体" w:cs="Times New Roman"/>
          <w:bCs/>
          <w:szCs w:val="28"/>
          <w:highlight w:val="none"/>
          <w:lang w:val="en-US" w:eastAsia="zh-CN"/>
        </w:rPr>
        <w:t>3、对房地产</w:t>
      </w:r>
      <w:r>
        <w:rPr>
          <w:rFonts w:hint="eastAsia" w:ascii="Times New Roman" w:hAnsi="Times New Roman" w:eastAsia="宋体" w:cs="Times New Roman"/>
          <w:bCs/>
          <w:szCs w:val="28"/>
          <w:highlight w:val="none"/>
        </w:rPr>
        <w:t>市场</w:t>
      </w:r>
      <w:r>
        <w:rPr>
          <w:rFonts w:hint="eastAsia" w:ascii="Times New Roman" w:hAnsi="Times New Roman" w:eastAsia="宋体" w:cs="Times New Roman"/>
          <w:bCs/>
          <w:szCs w:val="28"/>
          <w:highlight w:val="none"/>
          <w:lang w:val="en-US" w:eastAsia="zh-CN"/>
        </w:rPr>
        <w:t>的</w:t>
      </w:r>
      <w:r>
        <w:rPr>
          <w:rFonts w:hint="eastAsia" w:ascii="Times New Roman" w:hAnsi="Times New Roman" w:eastAsia="宋体" w:cs="Times New Roman"/>
          <w:bCs/>
          <w:szCs w:val="28"/>
          <w:highlight w:val="none"/>
        </w:rPr>
        <w:t>假设</w:t>
      </w:r>
      <w:r>
        <w:rPr>
          <w:rFonts w:hint="eastAsia" w:ascii="Times New Roman" w:hAnsi="Times New Roman" w:eastAsia="宋体" w:cs="Times New Roman"/>
          <w:bCs/>
          <w:szCs w:val="28"/>
          <w:highlight w:val="none"/>
          <w:lang w:eastAsia="zh-CN"/>
        </w:rPr>
        <w:t>：</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①交易双方均是自愿地进行交易的；</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②交易双方均是出于利己动机，交易双方具有关于交易对象的必要的专业知识，了解交易对象、知晓市场行情，交易目的在于最大限度地追求经济利益；</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③市场上有多个买家、卖家，交易条件公开并不具有排他性，交易价格支付为一次性在成交时支付。</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④交易房地产在市场上公开足够时间，买卖双方掌握足够的关于交易房地产的信息，并有充裕的时间进行房地产交易；</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⑤交易双方均不存在买者因特殊兴趣而给予的附加出价。</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估价对象于价值时点的</w:t>
      </w:r>
      <w:r>
        <w:rPr>
          <w:rFonts w:hint="eastAsia" w:ascii="Times New Roman" w:hAnsi="Times New Roman" w:eastAsia="宋体" w:cs="Times New Roman"/>
          <w:bCs/>
          <w:szCs w:val="28"/>
          <w:highlight w:val="none"/>
          <w:lang w:eastAsia="zh-CN"/>
        </w:rPr>
        <w:t>抵押价值</w:t>
      </w:r>
      <w:r>
        <w:rPr>
          <w:rFonts w:hint="eastAsia" w:ascii="Times New Roman" w:hAnsi="Times New Roman" w:eastAsia="宋体" w:cs="Times New Roman"/>
          <w:bCs/>
          <w:szCs w:val="28"/>
          <w:highlight w:val="none"/>
        </w:rPr>
        <w:t>是指估价对象于价值时点在市场上公开出售最可能实现的价格。</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二、不相一致假设</w:t>
      </w:r>
    </w:p>
    <w:p>
      <w:pPr>
        <w:spacing w:before="156" w:beforeLines="50" w:after="156" w:afterLines="50" w:line="520" w:lineRule="exact"/>
        <w:ind w:firstLine="560" w:firstLineChars="200"/>
        <w:rPr>
          <w:rFonts w:hint="default" w:ascii="Times New Roman" w:hAnsi="Times New Roman" w:eastAsia="宋体" w:cs="Times New Roman"/>
          <w:bCs/>
          <w:sz w:val="28"/>
          <w:szCs w:val="28"/>
          <w:lang w:val="en-US" w:eastAsia="zh-CN" w:bidi="ar-SA"/>
        </w:rPr>
      </w:pPr>
      <w:r>
        <w:rPr>
          <w:rFonts w:hint="eastAsia"/>
          <w:bCs/>
          <w:sz w:val="28"/>
          <w:szCs w:val="28"/>
          <w:highlight w:val="none"/>
          <w:lang w:val="en-US" w:eastAsia="zh-CN"/>
        </w:rPr>
        <w:t>1、</w:t>
      </w:r>
      <w:r>
        <w:rPr>
          <w:rFonts w:hint="eastAsia" w:ascii="Times New Roman" w:hAnsi="Times New Roman" w:eastAsia="宋体" w:cs="Times New Roman"/>
          <w:bCs/>
          <w:szCs w:val="28"/>
          <w:lang w:val="en-US" w:eastAsia="zh-CN"/>
        </w:rPr>
        <w:t>1、估价对象1已被出租，经核实，合同租金与市场租金相差较小，租约限制对房地产价值影响较小，故本次评估未考虑租约限制的影响，同时估价对象已被抵押，因本次评估是为人民法院执行案件提供价值参考，故未考虑抵押的影响，提请报告使用者予以关注。</w:t>
      </w:r>
    </w:p>
    <w:p>
      <w:pPr>
        <w:pStyle w:val="27"/>
        <w:numPr>
          <w:ilvl w:val="0"/>
          <w:numId w:val="1"/>
        </w:numPr>
        <w:autoSpaceDE/>
        <w:autoSpaceDN/>
        <w:adjustRightInd/>
        <w:spacing w:before="156" w:beforeLines="50" w:after="156" w:afterLines="50" w:line="360" w:lineRule="auto"/>
        <w:ind w:left="-2" w:firstLine="562" w:firstLineChars="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未定事项假设</w:t>
      </w:r>
    </w:p>
    <w:p>
      <w:pPr>
        <w:pStyle w:val="27"/>
        <w:widowControl/>
        <w:numPr>
          <w:ilvl w:val="0"/>
          <w:numId w:val="0"/>
        </w:numPr>
        <w:autoSpaceDE/>
        <w:autoSpaceDN/>
        <w:adjustRightInd/>
        <w:spacing w:before="156" w:beforeLines="50" w:after="156" w:afterLines="50" w:line="360" w:lineRule="auto"/>
        <w:ind w:leftChars="0" w:firstLine="560" w:firstLineChars="200"/>
        <w:jc w:val="both"/>
        <w:textAlignment w:val="auto"/>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无、</w:t>
      </w:r>
    </w:p>
    <w:p>
      <w:pPr>
        <w:pStyle w:val="27"/>
        <w:widowControl/>
        <w:numPr>
          <w:ilvl w:val="0"/>
          <w:numId w:val="0"/>
        </w:numPr>
        <w:autoSpaceDE/>
        <w:autoSpaceDN/>
        <w:adjustRightInd/>
        <w:spacing w:before="156" w:beforeLines="50" w:after="156" w:afterLines="50" w:line="360" w:lineRule="auto"/>
        <w:ind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lang w:val="en-US" w:eastAsia="zh-CN"/>
        </w:rPr>
        <w:t>四、</w:t>
      </w:r>
      <w:r>
        <w:rPr>
          <w:rFonts w:hint="eastAsia" w:ascii="Times New Roman" w:hAnsi="Times New Roman" w:eastAsia="宋体" w:cs="Times New Roman"/>
          <w:b/>
          <w:szCs w:val="28"/>
        </w:rPr>
        <w:t>背离事实假设</w:t>
      </w:r>
    </w:p>
    <w:p>
      <w:pPr>
        <w:pStyle w:val="27"/>
        <w:widowControl/>
        <w:numPr>
          <w:ilvl w:val="0"/>
          <w:numId w:val="0"/>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highlight w:val="none"/>
          <w:lang w:val="en-US" w:eastAsia="zh-CN"/>
        </w:rPr>
      </w:pPr>
      <w:r>
        <w:rPr>
          <w:rFonts w:hint="eastAsia" w:ascii="Times New Roman" w:hAnsi="Times New Roman" w:eastAsia="宋体" w:cs="Times New Roman"/>
          <w:b/>
          <w:szCs w:val="28"/>
          <w:highlight w:val="none"/>
          <w:lang w:val="en-US" w:eastAsia="zh-CN"/>
        </w:rPr>
        <w:t>无。</w:t>
      </w:r>
    </w:p>
    <w:p>
      <w:pPr>
        <w:pStyle w:val="27"/>
        <w:widowControl/>
        <w:numPr>
          <w:ilvl w:val="0"/>
          <w:numId w:val="0"/>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lang w:val="en-US" w:eastAsia="zh-CN"/>
        </w:rPr>
        <w:t>五、</w:t>
      </w:r>
      <w:r>
        <w:rPr>
          <w:rFonts w:hint="eastAsia" w:ascii="Times New Roman" w:hAnsi="Times New Roman" w:eastAsia="宋体" w:cs="Times New Roman"/>
          <w:b/>
          <w:szCs w:val="28"/>
        </w:rPr>
        <w:t>依据不足假设</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Cs/>
          <w:sz w:val="28"/>
          <w:szCs w:val="28"/>
          <w:lang w:val="en-US" w:eastAsia="zh-CN" w:bidi="ar-SA"/>
        </w:rPr>
        <w:t>无。</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六</w:t>
      </w:r>
      <w:r>
        <w:rPr>
          <w:rFonts w:hint="eastAsia" w:ascii="Times New Roman" w:hAnsi="Times New Roman" w:eastAsia="宋体" w:cs="Times New Roman"/>
          <w:b/>
          <w:szCs w:val="28"/>
        </w:rPr>
        <w:t>、本报告使用的限制条件</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bookmarkStart w:id="14" w:name="_Toc20917"/>
      <w:bookmarkStart w:id="15" w:name="_Toc440990675"/>
      <w:bookmarkStart w:id="16" w:name="_Toc3076"/>
      <w:bookmarkStart w:id="17" w:name="_Toc440992055"/>
      <w:r>
        <w:rPr>
          <w:rFonts w:hint="eastAsia" w:ascii="Times New Roman" w:hAnsi="Times New Roman" w:eastAsia="宋体" w:cs="Times New Roman"/>
          <w:bCs/>
          <w:sz w:val="28"/>
          <w:szCs w:val="28"/>
          <w:highlight w:val="none"/>
          <w:lang w:val="en-US" w:eastAsia="zh-CN" w:bidi="ar-SA"/>
        </w:rPr>
        <w:t>1、本报告有效期为壹年，自估价报告出具之日起算，若报告有效期内房地产市场或估价对象状况发生重大变化，估价结果需做相应调整或重新进行评估。同时，如果使用本报告的时间超过了估价报告应用的有效期而造成的损失，房地产估价机构及注册房地产估价师不承担责任。</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2、本估价报告仅为委托人及案件相关当事人提供涉案房地产的价值参考依据，将估价报告及估价结果用于其他用途时，估价报告及估价结果无效。</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本估价报告的使用人为委托人及案件相关当事人，其他单位和个人不能使用本估价报告。未经本估价机构同意，估价报告不得向估价委托人及估价报告审查部门以外的单位和个人提供，凡因估价委托人使用估价报告不当而引起的后果，估价机构和注册房地产估价师不承担相应的责任。</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4、本报告的估价结果的使用权归委托方所有，本公司对估价结果有最终解释权。</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5、未经我公司允许，本估价报告全部或部分内容不得公开发表。</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highlight w:val="none"/>
        </w:rPr>
        <w:t>6、本次评估结果受本估价假设限制条件的影响，当上述条件及评估报告遵循的各种条件和原则发生变化时，本评估结果一般自动失效。</w:t>
      </w:r>
    </w:p>
    <w:p>
      <w:pPr>
        <w:pStyle w:val="3"/>
        <w:spacing w:before="312" w:beforeLines="100" w:after="312" w:afterLines="100" w:line="360" w:lineRule="auto"/>
        <w:jc w:val="center"/>
        <w:rPr>
          <w:rFonts w:hint="eastAsia" w:hAnsi="宋体"/>
          <w:spacing w:val="40"/>
        </w:rPr>
        <w:sectPr>
          <w:foot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8" w:name="_Toc14891"/>
    </w:p>
    <w:p>
      <w:pPr>
        <w:pStyle w:val="3"/>
        <w:spacing w:before="312" w:beforeLines="100" w:after="312" w:afterLines="100" w:line="360" w:lineRule="auto"/>
        <w:jc w:val="center"/>
        <w:rPr>
          <w:rFonts w:hAnsi="宋体"/>
          <w:spacing w:val="40"/>
        </w:rPr>
      </w:pPr>
      <w:bookmarkStart w:id="19" w:name="_Toc1161"/>
      <w:r>
        <w:rPr>
          <w:rFonts w:hint="eastAsia" w:hAnsi="宋体"/>
          <w:spacing w:val="40"/>
        </w:rPr>
        <w:t>房地产估价结果报告</w:t>
      </w:r>
      <w:bookmarkEnd w:id="14"/>
      <w:bookmarkEnd w:id="15"/>
      <w:bookmarkEnd w:id="16"/>
      <w:bookmarkEnd w:id="17"/>
      <w:bookmarkEnd w:id="18"/>
      <w:bookmarkEnd w:id="19"/>
    </w:p>
    <w:p>
      <w:pPr>
        <w:pStyle w:val="4"/>
        <w:ind w:firstLine="579" w:firstLineChars="200"/>
        <w:jc w:val="left"/>
      </w:pPr>
      <w:bookmarkStart w:id="20" w:name="_Toc481484538"/>
      <w:bookmarkStart w:id="21" w:name="_Toc9692"/>
      <w:r>
        <w:rPr>
          <w:rFonts w:hint="eastAsia"/>
        </w:rPr>
        <w:t>一、</w:t>
      </w:r>
      <w:bookmarkEnd w:id="20"/>
      <w:r>
        <w:rPr>
          <w:rFonts w:hint="eastAsia"/>
        </w:rPr>
        <w:t>估价委托人</w:t>
      </w:r>
      <w:bookmarkEnd w:id="21"/>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bookmarkStart w:id="22" w:name="_Toc481484539"/>
      <w:bookmarkStart w:id="23" w:name="_Toc25828"/>
      <w:bookmarkStart w:id="24" w:name="_Toc440990678"/>
      <w:bookmarkStart w:id="25" w:name="_Toc440992058"/>
      <w:bookmarkStart w:id="26" w:name="_Toc22831"/>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盘州市人民法院</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地址</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盘州市亦资街道竹海东路35号</w:t>
      </w:r>
    </w:p>
    <w:p>
      <w:pPr>
        <w:pStyle w:val="4"/>
        <w:ind w:firstLine="579" w:firstLineChars="200"/>
        <w:jc w:val="left"/>
      </w:pPr>
      <w:bookmarkStart w:id="27" w:name="_Toc23324"/>
      <w:r>
        <w:rPr>
          <w:rFonts w:hint="eastAsia"/>
        </w:rPr>
        <w:t>二、</w:t>
      </w:r>
      <w:bookmarkEnd w:id="22"/>
      <w:r>
        <w:rPr>
          <w:rFonts w:hint="eastAsia"/>
        </w:rPr>
        <w:t>房地产估价机构</w:t>
      </w:r>
      <w:bookmarkEnd w:id="27"/>
    </w:p>
    <w:bookmarkEnd w:id="23"/>
    <w:bookmarkEnd w:id="24"/>
    <w:bookmarkEnd w:id="25"/>
    <w:bookmarkEnd w:id="26"/>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bookmarkStart w:id="28" w:name="_Toc481484541"/>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eastAsia="zh-CN"/>
        </w:rPr>
        <w:t>贵州瑞华亚太房地产土地资产评估有限公司</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住所：</w:t>
      </w:r>
      <w:r>
        <w:rPr>
          <w:rFonts w:hint="eastAsia" w:ascii="Times New Roman" w:hAnsi="Times New Roman" w:eastAsia="宋体" w:cs="Times New Roman"/>
          <w:bCs/>
          <w:szCs w:val="28"/>
        </w:rPr>
        <w:t>贵阳市观山湖区诚信北路东侧群升千禧广场</w:t>
      </w:r>
      <w:r>
        <w:rPr>
          <w:rFonts w:hint="eastAsia" w:ascii="Times New Roman" w:hAnsi="Times New Roman" w:eastAsia="宋体" w:cs="Times New Roman"/>
          <w:bCs/>
          <w:szCs w:val="28"/>
          <w:lang w:val="en-US" w:eastAsia="zh-CN"/>
        </w:rPr>
        <w:t>0</w:t>
      </w:r>
      <w:r>
        <w:rPr>
          <w:rFonts w:hint="eastAsia" w:ascii="Times New Roman" w:hAnsi="Times New Roman" w:eastAsia="宋体" w:cs="Times New Roman"/>
          <w:bCs/>
          <w:szCs w:val="28"/>
        </w:rPr>
        <w:t>7B</w:t>
      </w:r>
      <w:r>
        <w:rPr>
          <w:rFonts w:hint="eastAsia" w:ascii="Times New Roman" w:hAnsi="Times New Roman" w:eastAsia="宋体" w:cs="Times New Roman"/>
          <w:bCs/>
          <w:szCs w:val="28"/>
          <w:lang w:val="en-US" w:eastAsia="zh-CN"/>
        </w:rPr>
        <w:t>栋</w:t>
      </w:r>
      <w:r>
        <w:rPr>
          <w:rFonts w:hint="eastAsia" w:ascii="Times New Roman" w:hAnsi="Times New Roman" w:eastAsia="宋体" w:cs="Times New Roman"/>
          <w:bCs/>
          <w:szCs w:val="28"/>
        </w:rPr>
        <w:t>20层</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资质证书编号</w:t>
      </w:r>
      <w:r>
        <w:rPr>
          <w:rFonts w:hint="eastAsia" w:ascii="Times New Roman" w:hAnsi="Times New Roman" w:eastAsia="宋体" w:cs="Times New Roman"/>
          <w:bCs/>
          <w:szCs w:val="28"/>
        </w:rPr>
        <w:t>：黔建房估字【2015】壹52003001</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资质等级：壹级</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法定代表人</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张绍伙</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联系电话：180 8513 0337</w:t>
      </w:r>
    </w:p>
    <w:p>
      <w:pPr>
        <w:pStyle w:val="4"/>
        <w:ind w:firstLine="579" w:firstLineChars="200"/>
        <w:jc w:val="left"/>
      </w:pPr>
      <w:bookmarkStart w:id="29" w:name="_Toc31135"/>
      <w:r>
        <w:rPr>
          <w:rFonts w:hint="eastAsia"/>
          <w:lang w:val="en-US" w:eastAsia="zh-CN"/>
        </w:rPr>
        <w:t>三</w:t>
      </w:r>
      <w:r>
        <w:rPr>
          <w:rFonts w:hint="eastAsia"/>
        </w:rPr>
        <w:t>、估价目的</w:t>
      </w:r>
      <w:bookmarkEnd w:id="29"/>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因盘州市人民法院受理贵州融通融资担保有限公司与吴海涛、吴敏、吴兴开、吴永斌追偿权纠纷一案，需对</w:t>
      </w:r>
      <w:r>
        <w:rPr>
          <w:rFonts w:hint="eastAsia" w:hAnsi="宋体"/>
          <w:sz w:val="28"/>
          <w:szCs w:val="28"/>
          <w:highlight w:val="none"/>
          <w:lang w:val="en-US" w:eastAsia="zh-CN"/>
        </w:rPr>
        <w:t>吴兴开拥有并位于</w:t>
      </w:r>
      <w:r>
        <w:rPr>
          <w:rFonts w:hint="eastAsia" w:ascii="Times New Roman" w:hAnsi="宋体" w:eastAsia="宋体" w:cs="Times New Roman"/>
          <w:sz w:val="28"/>
          <w:szCs w:val="28"/>
          <w:highlight w:val="none"/>
          <w:lang w:val="en-US" w:eastAsia="zh-CN"/>
        </w:rPr>
        <w:t>位于盘州市盘县断江镇政府下侧吴兴开商住楼的五套房地产</w:t>
      </w:r>
      <w:r>
        <w:rPr>
          <w:rFonts w:hint="eastAsia" w:hAnsi="宋体"/>
          <w:sz w:val="28"/>
          <w:szCs w:val="28"/>
          <w:highlight w:val="none"/>
          <w:lang w:val="en-US" w:eastAsia="zh-CN"/>
        </w:rPr>
        <w:t>市场价值进行评估，故本次评估目的是</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财产处置参考价提供提供参考依据</w:t>
      </w:r>
      <w:r>
        <w:rPr>
          <w:rFonts w:hint="eastAsia" w:ascii="Times New Roman" w:hAnsi="Times New Roman" w:eastAsia="宋体" w:cs="Times New Roman"/>
          <w:bCs/>
          <w:szCs w:val="28"/>
        </w:rPr>
        <w:t>。</w:t>
      </w:r>
    </w:p>
    <w:p>
      <w:pPr>
        <w:pStyle w:val="4"/>
        <w:ind w:firstLine="579" w:firstLineChars="200"/>
        <w:jc w:val="left"/>
      </w:pPr>
      <w:bookmarkStart w:id="30" w:name="_Toc1408"/>
      <w:r>
        <w:rPr>
          <w:rFonts w:hint="eastAsia"/>
          <w:lang w:val="en-US" w:eastAsia="zh-CN"/>
        </w:rPr>
        <w:t>四</w:t>
      </w:r>
      <w:r>
        <w:rPr>
          <w:rFonts w:hint="eastAsia"/>
        </w:rPr>
        <w:t>、估价对象</w:t>
      </w:r>
      <w:bookmarkEnd w:id="28"/>
      <w:bookmarkEnd w:id="30"/>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1、估价对象</w:t>
      </w:r>
      <w:r>
        <w:rPr>
          <w:rFonts w:hint="eastAsia" w:ascii="Times New Roman" w:hAnsi="Times New Roman" w:eastAsia="宋体" w:cs="Times New Roman"/>
          <w:b/>
          <w:szCs w:val="28"/>
          <w:lang w:val="en-US" w:eastAsia="zh-CN"/>
        </w:rPr>
        <w:t>财产</w:t>
      </w:r>
      <w:r>
        <w:rPr>
          <w:rFonts w:hint="eastAsia" w:ascii="Times New Roman" w:hAnsi="Times New Roman" w:eastAsia="宋体" w:cs="Times New Roman"/>
          <w:b/>
          <w:szCs w:val="28"/>
        </w:rPr>
        <w:t>范围</w:t>
      </w:r>
    </w:p>
    <w:tbl>
      <w:tblPr>
        <w:tblStyle w:val="17"/>
        <w:tblW w:w="84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890"/>
        <w:gridCol w:w="855"/>
        <w:gridCol w:w="1551"/>
        <w:gridCol w:w="770"/>
        <w:gridCol w:w="733"/>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27"/>
              <w:autoSpaceDE/>
              <w:autoSpaceDN/>
              <w:adjustRightInd/>
              <w:spacing w:before="156" w:beforeLines="50" w:after="156" w:afterLines="50" w:line="360" w:lineRule="auto"/>
              <w:jc w:val="center"/>
              <w:textAlignment w:val="auto"/>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1890"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权证编号</w:t>
            </w:r>
          </w:p>
        </w:tc>
        <w:tc>
          <w:tcPr>
            <w:tcW w:w="85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估价对象名称</w:t>
            </w:r>
          </w:p>
        </w:tc>
        <w:tc>
          <w:tcPr>
            <w:tcW w:w="155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估价对象所在位置</w:t>
            </w:r>
          </w:p>
        </w:tc>
        <w:tc>
          <w:tcPr>
            <w:tcW w:w="77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权利人</w:t>
            </w:r>
          </w:p>
        </w:tc>
        <w:tc>
          <w:tcPr>
            <w:tcW w:w="7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用途</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建筑面积</w:t>
            </w:r>
            <w:r>
              <w:rPr>
                <w:rFonts w:hint="default" w:ascii="Times New Roman" w:hAnsi="Times New Roman" w:eastAsia="宋体" w:cs="Times New Roman"/>
                <w:b/>
                <w:bCs/>
                <w:i w:val="0"/>
                <w:iCs w:val="0"/>
                <w:color w:val="000000"/>
                <w:kern w:val="0"/>
                <w:sz w:val="15"/>
                <w:szCs w:val="15"/>
                <w:u w:val="none"/>
                <w:lang w:val="en-US" w:eastAsia="zh-CN" w:bidi="ar"/>
              </w:rPr>
              <w:t>m</w:t>
            </w:r>
            <w:r>
              <w:rPr>
                <w:rFonts w:hint="default" w:ascii="Times New Roman" w:hAnsi="Times New Roman" w:eastAsia="宋体" w:cs="Times New Roman"/>
                <w:b/>
                <w:bCs/>
                <w:i w:val="0"/>
                <w:iCs w:val="0"/>
                <w:color w:val="000000"/>
                <w:kern w:val="0"/>
                <w:sz w:val="15"/>
                <w:szCs w:val="15"/>
                <w:u w:val="none"/>
                <w:vertAlign w:val="superscript"/>
                <w:lang w:val="en-US" w:eastAsia="zh-CN" w:bidi="ar"/>
              </w:rPr>
              <w:t>2</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661"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890"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85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5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77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73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6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黔（2019）盘州市不动产权第0014279号</w:t>
            </w:r>
          </w:p>
        </w:tc>
        <w:tc>
          <w:tcPr>
            <w:tcW w:w="8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一层商业</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7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商业</w:t>
            </w:r>
          </w:p>
        </w:tc>
        <w:tc>
          <w:tcPr>
            <w:tcW w:w="9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77.78</w:t>
            </w:r>
          </w:p>
        </w:tc>
        <w:tc>
          <w:tcPr>
            <w:tcW w:w="99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6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黔（2019）盘州市不动产权第0014318号</w:t>
            </w:r>
          </w:p>
        </w:tc>
        <w:tc>
          <w:tcPr>
            <w:tcW w:w="8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二层住宅</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7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住宅</w:t>
            </w:r>
          </w:p>
        </w:tc>
        <w:tc>
          <w:tcPr>
            <w:tcW w:w="9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152.36</w:t>
            </w:r>
          </w:p>
        </w:tc>
        <w:tc>
          <w:tcPr>
            <w:tcW w:w="99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6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黔（2019）盘州市不动产权第0014278号</w:t>
            </w:r>
          </w:p>
        </w:tc>
        <w:tc>
          <w:tcPr>
            <w:tcW w:w="8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三层商业</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7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商业</w:t>
            </w:r>
          </w:p>
        </w:tc>
        <w:tc>
          <w:tcPr>
            <w:tcW w:w="9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134.55</w:t>
            </w:r>
          </w:p>
        </w:tc>
        <w:tc>
          <w:tcPr>
            <w:tcW w:w="99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6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黔（2019）盘州市不动产权第0014319号</w:t>
            </w:r>
          </w:p>
        </w:tc>
        <w:tc>
          <w:tcPr>
            <w:tcW w:w="8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四层住宅</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7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住宅</w:t>
            </w:r>
          </w:p>
        </w:tc>
        <w:tc>
          <w:tcPr>
            <w:tcW w:w="9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163.82</w:t>
            </w:r>
          </w:p>
        </w:tc>
        <w:tc>
          <w:tcPr>
            <w:tcW w:w="99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6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黔（2019）盘州市不动产权第0014317号</w:t>
            </w:r>
          </w:p>
        </w:tc>
        <w:tc>
          <w:tcPr>
            <w:tcW w:w="8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五层住宅</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盘县断江镇政府下侧吴兴开商住楼</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吴兴开</w:t>
            </w:r>
          </w:p>
        </w:tc>
        <w:tc>
          <w:tcPr>
            <w:tcW w:w="7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住宅</w:t>
            </w:r>
          </w:p>
        </w:tc>
        <w:tc>
          <w:tcPr>
            <w:tcW w:w="9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163.82</w:t>
            </w:r>
          </w:p>
        </w:tc>
        <w:tc>
          <w:tcPr>
            <w:tcW w:w="99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bl>
    <w:p>
      <w:pPr>
        <w:pStyle w:val="27"/>
        <w:autoSpaceDE/>
        <w:autoSpaceDN/>
        <w:adjustRightInd/>
        <w:spacing w:before="156" w:beforeLines="50" w:after="156" w:afterLines="50" w:line="360" w:lineRule="auto"/>
        <w:ind w:firstLine="560" w:firstLineChars="200"/>
        <w:jc w:val="both"/>
        <w:textAlignment w:val="auto"/>
        <w:rPr>
          <w:rFonts w:hint="eastAsia" w:hAnsi="宋体"/>
          <w:sz w:val="28"/>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权及其对应分摊的国有建设用地使用权价值、室内装饰装修价值，但不包含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numPr>
          <w:ilvl w:val="-1"/>
          <w:numId w:val="0"/>
        </w:numPr>
        <w:autoSpaceDE/>
        <w:autoSpaceDN/>
        <w:adjustRightInd/>
        <w:spacing w:before="156" w:beforeLines="50" w:after="156" w:afterLines="50" w:line="360" w:lineRule="auto"/>
        <w:ind w:left="560" w:leftChars="200" w:firstLine="0" w:firstLineChars="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lang w:val="en-US" w:eastAsia="zh-CN"/>
        </w:rPr>
        <w:t>2、</w:t>
      </w:r>
      <w:r>
        <w:rPr>
          <w:rFonts w:hint="eastAsia" w:ascii="Times New Roman" w:hAnsi="Times New Roman" w:eastAsia="宋体" w:cs="Times New Roman"/>
          <w:b/>
          <w:szCs w:val="28"/>
        </w:rPr>
        <w:t>估价对象</w:t>
      </w:r>
      <w:r>
        <w:rPr>
          <w:rFonts w:hint="eastAsia" w:ascii="Times New Roman" w:hAnsi="Times New Roman" w:eastAsia="宋体" w:cs="Times New Roman"/>
          <w:b/>
          <w:szCs w:val="28"/>
          <w:lang w:val="en-US" w:eastAsia="zh-CN"/>
        </w:rPr>
        <w:t>基本</w:t>
      </w:r>
      <w:r>
        <w:rPr>
          <w:rFonts w:hint="eastAsia" w:ascii="Times New Roman" w:hAnsi="Times New Roman" w:eastAsia="宋体" w:cs="Times New Roman"/>
          <w:b/>
          <w:szCs w:val="28"/>
        </w:rPr>
        <w:t>状况</w:t>
      </w:r>
    </w:p>
    <w:p>
      <w:pPr>
        <w:pStyle w:val="27"/>
        <w:numPr>
          <w:ilvl w:val="0"/>
          <w:numId w:val="0"/>
        </w:numPr>
        <w:autoSpaceDE/>
        <w:autoSpaceDN/>
        <w:adjustRightInd/>
        <w:spacing w:before="156" w:beforeLines="50" w:after="156" w:afterLines="50" w:line="360" w:lineRule="auto"/>
        <w:ind w:firstLine="840" w:firstLineChars="300"/>
        <w:jc w:val="both"/>
        <w:textAlignment w:val="auto"/>
        <w:rPr>
          <w:rFonts w:hint="eastAsia" w:hAnsi="宋体"/>
          <w:sz w:val="28"/>
          <w:szCs w:val="28"/>
          <w:lang w:val="en-US" w:eastAsia="zh-CN"/>
        </w:rPr>
      </w:pPr>
      <w:r>
        <w:rPr>
          <w:rFonts w:hint="eastAsia" w:hAnsi="宋体"/>
          <w:sz w:val="28"/>
          <w:szCs w:val="28"/>
          <w:lang w:val="en-US" w:eastAsia="zh-CN"/>
        </w:rPr>
        <w:t>2.1建筑物基本情况</w:t>
      </w:r>
    </w:p>
    <w:tbl>
      <w:tblPr>
        <w:tblStyle w:val="17"/>
        <w:tblW w:w="82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5"/>
        <w:gridCol w:w="989"/>
        <w:gridCol w:w="989"/>
        <w:gridCol w:w="989"/>
        <w:gridCol w:w="1168"/>
        <w:gridCol w:w="989"/>
        <w:gridCol w:w="989"/>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112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98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建筑物名称</w:t>
            </w:r>
          </w:p>
        </w:tc>
        <w:tc>
          <w:tcPr>
            <w:tcW w:w="98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建筑面积（㎡）</w:t>
            </w:r>
          </w:p>
        </w:tc>
        <w:tc>
          <w:tcPr>
            <w:tcW w:w="98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结构</w:t>
            </w:r>
          </w:p>
        </w:tc>
        <w:tc>
          <w:tcPr>
            <w:tcW w:w="1168"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设施设备</w:t>
            </w:r>
          </w:p>
        </w:tc>
        <w:tc>
          <w:tcPr>
            <w:tcW w:w="98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装饰装修</w:t>
            </w:r>
          </w:p>
        </w:tc>
        <w:tc>
          <w:tcPr>
            <w:tcW w:w="98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新旧程度</w:t>
            </w:r>
          </w:p>
        </w:tc>
        <w:tc>
          <w:tcPr>
            <w:tcW w:w="98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2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98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8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8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68"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8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8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8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1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一层商业</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77.78</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框架结构</w:t>
            </w:r>
          </w:p>
        </w:tc>
        <w:tc>
          <w:tcPr>
            <w:tcW w:w="11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水电等设施设备齐全</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精装修</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w:t>
            </w:r>
          </w:p>
        </w:tc>
        <w:tc>
          <w:tcPr>
            <w:tcW w:w="98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1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二层住宅</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152.36</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框架结构</w:t>
            </w:r>
          </w:p>
        </w:tc>
        <w:tc>
          <w:tcPr>
            <w:tcW w:w="11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水电等设施设备齐全</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普通装修</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w:t>
            </w:r>
          </w:p>
        </w:tc>
        <w:tc>
          <w:tcPr>
            <w:tcW w:w="98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1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三层商业</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134.55</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框架结构</w:t>
            </w:r>
          </w:p>
        </w:tc>
        <w:tc>
          <w:tcPr>
            <w:tcW w:w="11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水电等设施设备齐全</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普通装修</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w:t>
            </w:r>
          </w:p>
        </w:tc>
        <w:tc>
          <w:tcPr>
            <w:tcW w:w="98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1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四层住宅</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163.82</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框架结构</w:t>
            </w:r>
          </w:p>
        </w:tc>
        <w:tc>
          <w:tcPr>
            <w:tcW w:w="11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水电等设施设备齐全</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普通装修</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w:t>
            </w:r>
          </w:p>
        </w:tc>
        <w:tc>
          <w:tcPr>
            <w:tcW w:w="98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1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五层住宅</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163.82</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框架结构</w:t>
            </w:r>
          </w:p>
        </w:tc>
        <w:tc>
          <w:tcPr>
            <w:tcW w:w="11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水电等设施设备齐全</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普通装修</w:t>
            </w:r>
          </w:p>
        </w:tc>
        <w:tc>
          <w:tcPr>
            <w:tcW w:w="9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w:t>
            </w:r>
          </w:p>
        </w:tc>
        <w:tc>
          <w:tcPr>
            <w:tcW w:w="98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bl>
    <w:p>
      <w:pPr>
        <w:pStyle w:val="27"/>
        <w:numPr>
          <w:ilvl w:val="0"/>
          <w:numId w:val="0"/>
        </w:numPr>
        <w:autoSpaceDE/>
        <w:autoSpaceDN/>
        <w:adjustRightInd/>
        <w:spacing w:before="156" w:beforeLines="50" w:after="156" w:afterLines="50" w:line="360" w:lineRule="auto"/>
        <w:ind w:firstLine="840" w:firstLineChars="300"/>
        <w:jc w:val="both"/>
        <w:textAlignment w:val="auto"/>
        <w:rPr>
          <w:rFonts w:hint="eastAsia" w:hAnsi="宋体"/>
          <w:sz w:val="28"/>
          <w:szCs w:val="28"/>
          <w:lang w:val="en-US" w:eastAsia="zh-CN"/>
        </w:rPr>
      </w:pPr>
      <w:r>
        <w:rPr>
          <w:rFonts w:hint="eastAsia" w:hAnsi="宋体"/>
          <w:sz w:val="28"/>
          <w:szCs w:val="28"/>
          <w:lang w:val="en-US" w:eastAsia="zh-CN"/>
        </w:rPr>
        <w:t>2.2共用宗地基本情况</w:t>
      </w:r>
    </w:p>
    <w:p>
      <w:pPr>
        <w:pStyle w:val="27"/>
        <w:numPr>
          <w:ilvl w:val="0"/>
          <w:numId w:val="0"/>
        </w:numPr>
        <w:autoSpaceDE/>
        <w:autoSpaceDN/>
        <w:adjustRightInd/>
        <w:spacing w:before="156" w:beforeLines="50" w:after="156" w:afterLines="50" w:line="360" w:lineRule="auto"/>
        <w:ind w:firstLine="840" w:firstLineChars="300"/>
        <w:jc w:val="both"/>
        <w:textAlignment w:val="auto"/>
        <w:rPr>
          <w:rFonts w:hint="eastAsia" w:hAnsi="宋体"/>
          <w:sz w:val="28"/>
          <w:szCs w:val="28"/>
          <w:lang w:val="en-US" w:eastAsia="zh-CN"/>
        </w:rPr>
      </w:pPr>
    </w:p>
    <w:tbl>
      <w:tblPr>
        <w:tblStyle w:val="17"/>
        <w:tblW w:w="86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9"/>
        <w:gridCol w:w="1059"/>
        <w:gridCol w:w="1059"/>
        <w:gridCol w:w="773"/>
        <w:gridCol w:w="963"/>
        <w:gridCol w:w="1637"/>
        <w:gridCol w:w="863"/>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bookmarkStart w:id="31" w:name="_Toc440992060"/>
            <w:bookmarkStart w:id="32" w:name="_Toc440990680"/>
            <w:bookmarkStart w:id="33" w:name="_Toc1301"/>
            <w:bookmarkStart w:id="34" w:name="_Toc7706"/>
            <w:bookmarkStart w:id="35" w:name="_Toc18159"/>
            <w:r>
              <w:rPr>
                <w:rFonts w:hint="eastAsia" w:ascii="宋体" w:hAnsi="宋体" w:eastAsia="宋体" w:cs="宋体"/>
                <w:i w:val="0"/>
                <w:iCs w:val="0"/>
                <w:color w:val="000000"/>
                <w:kern w:val="0"/>
                <w:sz w:val="15"/>
                <w:szCs w:val="15"/>
                <w:u w:val="none"/>
                <w:lang w:val="en-US" w:eastAsia="zh-CN" w:bidi="ar"/>
              </w:rPr>
              <w:t>序号</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房地产名称</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共用宗地面积（㎡）</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开发程度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地质</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四至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形状</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土地使用权终止日期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一层商业</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153.00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五通</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适宜建设</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北邻相邻土地、西邻道路、东邻道路、南临相邻土地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多边形</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2040年6月1日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二层住宅</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153.00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五通</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适宜建设</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北邻相邻土地、西邻道路、东邻道路、南临相邻土地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多边形</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2070年6月1日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三层商业</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153.00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五通</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适宜建设</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北邻相邻土地、西邻道路、东邻道路、南临相邻土地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多边形</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2040年6月1日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四层住宅</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153.00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五通</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适宜建设</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北邻相邻土地、西邻道路、东邻道路、南临相邻土地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多边形</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2070年6月1日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五层住宅</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153.00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五通</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适宜建设</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北邻相邻土地、西邻道路、东邻道路、南临相邻土地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多边形</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2070年6月1日</w:t>
            </w:r>
          </w:p>
        </w:tc>
      </w:tr>
    </w:tbl>
    <w:p>
      <w:pPr>
        <w:pStyle w:val="4"/>
        <w:ind w:firstLine="579" w:firstLineChars="200"/>
        <w:jc w:val="left"/>
      </w:pPr>
      <w:r>
        <w:rPr>
          <w:rFonts w:hint="eastAsia"/>
        </w:rPr>
        <w:t>五、价值时点</w:t>
      </w:r>
      <w:bookmarkEnd w:id="31"/>
      <w:bookmarkEnd w:id="32"/>
      <w:bookmarkEnd w:id="33"/>
      <w:bookmarkEnd w:id="34"/>
      <w:bookmarkEnd w:id="35"/>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2022年8月15日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pStyle w:val="4"/>
        <w:ind w:firstLine="579" w:firstLineChars="200"/>
        <w:jc w:val="left"/>
        <w:rPr>
          <w:rFonts w:hint="eastAsia"/>
          <w:lang w:eastAsia="zh-CN"/>
        </w:rPr>
      </w:pPr>
      <w:bookmarkStart w:id="36" w:name="_Toc10555"/>
      <w:bookmarkStart w:id="37" w:name="_Toc440990681"/>
      <w:bookmarkStart w:id="38" w:name="_Toc440992061"/>
      <w:bookmarkStart w:id="39" w:name="_Toc10217"/>
      <w:bookmarkStart w:id="40" w:name="_Toc20570"/>
      <w:r>
        <w:rPr>
          <w:rFonts w:hint="eastAsia"/>
        </w:rPr>
        <w:t>六、价值</w:t>
      </w:r>
      <w:bookmarkEnd w:id="36"/>
      <w:bookmarkEnd w:id="37"/>
      <w:bookmarkEnd w:id="38"/>
      <w:bookmarkEnd w:id="39"/>
      <w:r>
        <w:rPr>
          <w:rFonts w:hint="eastAsia"/>
          <w:lang w:val="en-US" w:eastAsia="zh-CN"/>
        </w:rPr>
        <w:t>类型</w:t>
      </w:r>
      <w:bookmarkEnd w:id="40"/>
    </w:p>
    <w:p>
      <w:pPr>
        <w:ind w:firstLine="560"/>
      </w:pPr>
      <w:bookmarkStart w:id="41" w:name="_Toc27632"/>
      <w:bookmarkStart w:id="42" w:name="_Toc31835"/>
      <w:bookmarkStart w:id="43" w:name="_Toc440992062"/>
      <w:bookmarkStart w:id="44" w:name="_Toc440990682"/>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hAnsi="宋体"/>
          <w:szCs w:val="28"/>
          <w:lang w:val="en-US" w:eastAsia="zh-CN"/>
        </w:rPr>
        <w:t>价值定义：</w:t>
      </w:r>
      <w:r>
        <w:rPr>
          <w:rFonts w:hint="eastAsia"/>
        </w:rPr>
        <w:t>市场价值是指估价对象经适当营销后，由熟悉情况、谨慎行事且不受强迫的交易双方，以公平交易方式在价值时点自愿进行交易的金额。</w:t>
      </w:r>
    </w:p>
    <w:p>
      <w:pPr>
        <w:pStyle w:val="4"/>
        <w:ind w:firstLine="579" w:firstLineChars="200"/>
        <w:jc w:val="left"/>
      </w:pPr>
      <w:bookmarkStart w:id="45" w:name="_Toc13679"/>
      <w:r>
        <w:rPr>
          <w:rFonts w:hint="eastAsia"/>
          <w:lang w:val="en-US" w:eastAsia="zh-CN"/>
        </w:rPr>
        <w:t>七</w:t>
      </w:r>
      <w:r>
        <w:rPr>
          <w:rFonts w:hint="eastAsia"/>
        </w:rPr>
        <w:t>、估价原则</w:t>
      </w:r>
      <w:bookmarkEnd w:id="45"/>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1、客观、独立、公正原则</w:t>
      </w:r>
      <w:r>
        <w:rPr>
          <w:rFonts w:hint="eastAsia" w:ascii="Times New Roman" w:hAnsi="Times New Roman" w:eastAsia="宋体" w:cs="Times New Roman"/>
          <w:bCs/>
          <w:szCs w:val="28"/>
        </w:rPr>
        <w:t>：要求站在中立的立场上，实事求是、公平正直地评估出对各方估价利害关系人均是公平合理的价值或价格的原则。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2、合法原则：</w:t>
      </w:r>
      <w:r>
        <w:rPr>
          <w:rFonts w:hint="eastAsia" w:ascii="Times New Roman" w:hAnsi="Times New Roman" w:eastAsia="宋体" w:cs="Times New Roman"/>
          <w:bCs/>
          <w:szCs w:val="28"/>
        </w:rPr>
        <w:t>要求估价结果是在依法判定的估价对象状况下的价值或价格的原则。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3、价值时点原则：</w:t>
      </w:r>
      <w:r>
        <w:rPr>
          <w:rFonts w:hint="eastAsia" w:ascii="Times New Roman" w:hAnsi="Times New Roman" w:eastAsia="宋体" w:cs="Times New Roman"/>
          <w:bCs/>
          <w:szCs w:val="28"/>
        </w:rPr>
        <w:t>要求估价结果是在根据估价目的确定的某一特定时间的价值或价格的原则。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4、替代原则：</w:t>
      </w:r>
      <w:r>
        <w:rPr>
          <w:rFonts w:hint="eastAsia" w:ascii="Times New Roman" w:hAnsi="Times New Roman" w:eastAsia="宋体" w:cs="Times New Roman"/>
          <w:bCs/>
          <w:szCs w:val="28"/>
        </w:rPr>
        <w:t>要求估价结果与估价对象的类似房地产在同等条件下的价值或价格偏差在合理范围内的原则。</w:t>
      </w:r>
    </w:p>
    <w:p>
      <w:pPr>
        <w:pStyle w:val="27"/>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
          <w:szCs w:val="28"/>
        </w:rPr>
        <w:t>5、最高最佳利用原则：</w:t>
      </w:r>
      <w:r>
        <w:rPr>
          <w:rFonts w:hint="eastAsia" w:ascii="Times New Roman" w:hAnsi="Times New Roman" w:eastAsia="宋体" w:cs="Times New Roman"/>
          <w:bCs/>
          <w:szCs w:val="28"/>
        </w:rPr>
        <w:t>要求估价结果是在估价对象最高最佳利用状况下的价值或价格的原则。</w:t>
      </w:r>
    </w:p>
    <w:p>
      <w:pPr>
        <w:pStyle w:val="4"/>
        <w:ind w:firstLine="579" w:firstLineChars="200"/>
        <w:jc w:val="left"/>
      </w:pPr>
      <w:bookmarkStart w:id="46" w:name="_Toc695"/>
      <w:r>
        <w:rPr>
          <w:rFonts w:hint="eastAsia"/>
          <w:lang w:val="en-US" w:eastAsia="zh-CN"/>
        </w:rPr>
        <w:t>八</w:t>
      </w:r>
      <w:r>
        <w:rPr>
          <w:rFonts w:hint="eastAsia"/>
        </w:rPr>
        <w:t>、估价依据</w:t>
      </w:r>
      <w:bookmarkEnd w:id="41"/>
      <w:bookmarkEnd w:id="42"/>
      <w:bookmarkEnd w:id="43"/>
      <w:bookmarkEnd w:id="44"/>
      <w:bookmarkEnd w:id="46"/>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bookmarkStart w:id="47" w:name="_Toc27176"/>
      <w:bookmarkStart w:id="48" w:name="_Toc290"/>
      <w:bookmarkStart w:id="49" w:name="_Toc440992063"/>
      <w:bookmarkStart w:id="50" w:name="_Toc440990683"/>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一</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有关法律、法规和政策</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《中华人民共和国房地产管理法》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《中华人民共和国土地管理法》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《中华人民共和国民法典》</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2021年1月1日实施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4、</w:t>
      </w:r>
      <w:r>
        <w:rPr>
          <w:rFonts w:hint="eastAsia" w:ascii="Times New Roman" w:hAnsi="Times New Roman" w:eastAsia="宋体" w:cs="Times New Roman"/>
          <w:bCs/>
          <w:szCs w:val="28"/>
        </w:rPr>
        <w:t>《中华人民共和国资产评估法》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2016年12月1日实施</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5、《人民法院委托评估工作规范》（</w:t>
      </w:r>
      <w:r>
        <w:rPr>
          <w:rFonts w:hint="eastAsia" w:ascii="Times New Roman" w:hAnsi="Times New Roman" w:eastAsia="宋体" w:cs="Times New Roman"/>
          <w:bCs/>
          <w:szCs w:val="28"/>
        </w:rPr>
        <w:t>法办〔2018〕273号</w:t>
      </w:r>
      <w:r>
        <w:rPr>
          <w:rFonts w:hint="eastAsia" w:ascii="Times New Roman" w:hAnsi="Times New Roman" w:eastAsia="宋体" w:cs="Times New Roman"/>
          <w:bCs/>
          <w:szCs w:val="28"/>
          <w:lang w:val="en-US"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6、《最高人民法院关于人民法院确定财产处置参考价若干问题的规定》</w:t>
      </w:r>
      <w:r>
        <w:rPr>
          <w:rFonts w:hint="eastAsia" w:ascii="Times New Roman" w:hAnsi="Times New Roman" w:eastAsia="宋体" w:cs="Times New Roman"/>
          <w:bCs/>
          <w:szCs w:val="28"/>
        </w:rPr>
        <w:t>法释〔2018〕15号</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7</w:t>
      </w:r>
      <w:r>
        <w:rPr>
          <w:rFonts w:hint="eastAsia" w:ascii="Times New Roman" w:hAnsi="Times New Roman" w:eastAsia="宋体" w:cs="Times New Roman"/>
          <w:bCs/>
          <w:szCs w:val="28"/>
        </w:rPr>
        <w:t>、《司法鉴定程序通则》（司法部令第132号）；</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rPr>
        <w:t>、《司法部关于印发〈司法鉴定文书规范〉和〈司法鉴定协议书（示范文本）〉的通知》（司发通〔2007〕71号）；</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9</w:t>
      </w:r>
      <w:r>
        <w:rPr>
          <w:rFonts w:hint="eastAsia" w:ascii="Times New Roman" w:hAnsi="Times New Roman" w:eastAsia="宋体" w:cs="Times New Roman"/>
          <w:bCs/>
          <w:szCs w:val="28"/>
        </w:rPr>
        <w:t>、《贵州省高级人民法院关于本院机关对外委托司法鉴定、评估和拍卖的规定（试行）》；</w:t>
      </w:r>
      <w:r>
        <w:rPr>
          <w:rFonts w:hint="eastAsia" w:ascii="Times New Roman" w:hAnsi="Times New Roman" w:eastAsia="宋体" w:cs="Times New Roman"/>
          <w:bCs/>
          <w:szCs w:val="28"/>
        </w:rPr>
        <w:cr/>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rPr>
        <w:t>、《最高人民法院关于人民法院委托评估、拍卖和变卖工作的若干规定》（法释〔2009〕16号）；</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（二）技术规程及有关估价标准</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《房地产估价规范GB/T50291-2015》；</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《房地产估价基本术语标准GB/T50899-2013》；</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《城镇土地估价规程》（GB／T18508-2014）</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（三）估价委托书、估价委托合同及估价委托人提供的资料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1、估价委托书</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2、估价对象的产权资料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3、估价委托人提供的其他相关资料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（四）房地产估价机构、注册房地产估价师掌握及收集的资料</w:t>
      </w:r>
    </w:p>
    <w:p>
      <w:pPr>
        <w:spacing w:line="360" w:lineRule="auto"/>
        <w:ind w:firstLine="555"/>
        <w:rPr>
          <w:rFonts w:hint="eastAsia" w:ascii="宋体" w:hAnsi="宋体" w:eastAsia="宋体" w:cs="Times New Roman"/>
          <w:sz w:val="28"/>
          <w:szCs w:val="28"/>
        </w:rPr>
      </w:pPr>
      <w:r>
        <w:rPr>
          <w:rFonts w:hint="eastAsia" w:ascii="Times New Roman" w:hAnsi="Times New Roman" w:eastAsia="宋体" w:cs="Times New Roman"/>
          <w:bCs/>
          <w:szCs w:val="28"/>
          <w:lang w:val="en-US" w:eastAsia="zh-CN"/>
        </w:rPr>
        <w:t>1、</w:t>
      </w:r>
      <w:r>
        <w:rPr>
          <w:rFonts w:hint="eastAsia" w:ascii="宋体" w:hAnsi="宋体" w:eastAsia="宋体" w:cs="Times New Roman"/>
          <w:sz w:val="28"/>
          <w:szCs w:val="28"/>
          <w:lang w:val="en-US" w:eastAsia="zh-CN"/>
        </w:rPr>
        <w:t>注册房地产估价师</w:t>
      </w:r>
      <w:r>
        <w:rPr>
          <w:rFonts w:hint="eastAsia" w:ascii="宋体" w:hAnsi="宋体" w:eastAsia="宋体" w:cs="Times New Roman"/>
          <w:sz w:val="28"/>
          <w:szCs w:val="28"/>
        </w:rPr>
        <w:t>调查收集的</w:t>
      </w:r>
      <w:r>
        <w:rPr>
          <w:rFonts w:hint="eastAsia" w:ascii="宋体" w:hAnsi="宋体" w:eastAsia="宋体" w:cs="Times New Roman"/>
          <w:sz w:val="28"/>
          <w:szCs w:val="28"/>
          <w:lang w:val="en-US" w:eastAsia="zh-CN"/>
        </w:rPr>
        <w:t>估价对象</w:t>
      </w:r>
      <w:r>
        <w:rPr>
          <w:rFonts w:hint="eastAsia" w:ascii="宋体" w:hAnsi="宋体" w:eastAsia="宋体" w:cs="Times New Roman"/>
          <w:sz w:val="28"/>
          <w:szCs w:val="28"/>
        </w:rPr>
        <w:t>所在区域</w:t>
      </w:r>
      <w:r>
        <w:rPr>
          <w:rFonts w:hint="eastAsia" w:ascii="宋体" w:hAnsi="宋体" w:eastAsia="宋体" w:cs="Times New Roman"/>
          <w:sz w:val="28"/>
          <w:szCs w:val="28"/>
          <w:lang w:val="en-US" w:eastAsia="zh-CN"/>
        </w:rPr>
        <w:t>房地产市场售价及租金</w:t>
      </w:r>
      <w:r>
        <w:rPr>
          <w:rFonts w:hint="eastAsia" w:ascii="宋体" w:hAnsi="宋体" w:eastAsia="宋体" w:cs="Times New Roman"/>
          <w:sz w:val="28"/>
          <w:szCs w:val="28"/>
        </w:rPr>
        <w:t>等方面的资料；</w:t>
      </w:r>
    </w:p>
    <w:p>
      <w:pPr>
        <w:spacing w:line="360" w:lineRule="auto"/>
        <w:ind w:firstLine="555"/>
        <w:rPr>
          <w:rFonts w:hint="eastAsia" w:ascii="宋体" w:hAnsi="宋体" w:eastAsia="宋体" w:cs="Times New Roman"/>
          <w:sz w:val="28"/>
          <w:szCs w:val="28"/>
        </w:rPr>
      </w:pPr>
      <w:r>
        <w:rPr>
          <w:rFonts w:hint="eastAsia" w:ascii="宋体" w:hAnsi="宋体" w:eastAsia="宋体" w:cs="Times New Roman"/>
          <w:sz w:val="28"/>
          <w:szCs w:val="28"/>
          <w:lang w:val="en-US" w:eastAsia="zh-CN"/>
        </w:rPr>
        <w:t>2.注册房地产估价师</w:t>
      </w:r>
      <w:r>
        <w:rPr>
          <w:rFonts w:hint="eastAsia" w:ascii="宋体" w:hAnsi="宋体" w:eastAsia="宋体" w:cs="Times New Roman"/>
          <w:sz w:val="28"/>
          <w:szCs w:val="28"/>
        </w:rPr>
        <w:t>调查填写的《现场勘查记录》及估价对象照片等其他相关资料；</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本估价机构掌握的</w:t>
      </w:r>
      <w:r>
        <w:rPr>
          <w:rFonts w:hint="eastAsia" w:ascii="Times New Roman" w:hAnsi="Times New Roman" w:eastAsia="宋体" w:cs="Times New Roman"/>
          <w:bCs/>
          <w:szCs w:val="28"/>
          <w:lang w:val="en-US" w:eastAsia="zh-CN"/>
        </w:rPr>
        <w:t>及注册房地产估价师收集的其他</w:t>
      </w:r>
      <w:r>
        <w:rPr>
          <w:rFonts w:hint="eastAsia" w:ascii="Times New Roman" w:hAnsi="Times New Roman" w:eastAsia="宋体" w:cs="Times New Roman"/>
          <w:bCs/>
          <w:szCs w:val="28"/>
        </w:rPr>
        <w:t>相关资料；</w:t>
      </w:r>
    </w:p>
    <w:bookmarkEnd w:id="47"/>
    <w:bookmarkEnd w:id="48"/>
    <w:bookmarkEnd w:id="49"/>
    <w:bookmarkEnd w:id="50"/>
    <w:p>
      <w:pPr>
        <w:pStyle w:val="4"/>
        <w:ind w:firstLine="579" w:firstLineChars="200"/>
        <w:jc w:val="left"/>
      </w:pPr>
      <w:bookmarkStart w:id="51" w:name="_Toc9547"/>
      <w:bookmarkStart w:id="52" w:name="_Toc21253"/>
      <w:bookmarkStart w:id="53" w:name="_Toc440992064"/>
      <w:bookmarkStart w:id="54" w:name="_Toc29110"/>
      <w:bookmarkStart w:id="55" w:name="_Toc440990684"/>
      <w:r>
        <w:rPr>
          <w:rFonts w:hint="eastAsia"/>
        </w:rPr>
        <w:t>九、估价方法</w:t>
      </w:r>
      <w:bookmarkEnd w:id="51"/>
      <w:bookmarkEnd w:id="52"/>
      <w:bookmarkEnd w:id="53"/>
      <w:bookmarkEnd w:id="54"/>
      <w:bookmarkEnd w:id="55"/>
    </w:p>
    <w:p>
      <w:pPr>
        <w:pStyle w:val="27"/>
        <w:spacing w:before="156" w:beforeLines="50" w:after="156" w:afterLines="50" w:line="360" w:lineRule="auto"/>
        <w:ind w:firstLine="560" w:firstLineChars="200"/>
        <w:rPr>
          <w:rFonts w:hint="eastAsia"/>
          <w:bCs/>
          <w:sz w:val="28"/>
          <w:szCs w:val="28"/>
          <w:lang w:val="en-US" w:eastAsia="zh-CN"/>
        </w:rPr>
      </w:pPr>
      <w:bookmarkStart w:id="56" w:name="_Toc440992065"/>
      <w:bookmarkStart w:id="57" w:name="_Toc26251"/>
      <w:bookmarkStart w:id="58" w:name="_Toc23178"/>
      <w:bookmarkStart w:id="59" w:name="_Toc440990685"/>
      <w:r>
        <w:rPr>
          <w:rFonts w:hint="eastAsia"/>
          <w:bCs/>
          <w:sz w:val="28"/>
          <w:szCs w:val="28"/>
        </w:rPr>
        <w:t>根据《房地产估价规范》（GB/T50291-2015）规定，房地产估价方法有比较法，收益法、假设开发法、成本法等</w:t>
      </w:r>
      <w:r>
        <w:rPr>
          <w:rFonts w:hint="eastAsia"/>
          <w:bCs/>
          <w:sz w:val="28"/>
          <w:szCs w:val="28"/>
          <w:lang w:eastAsia="zh-CN"/>
        </w:rPr>
        <w:t>，</w:t>
      </w:r>
      <w:r>
        <w:rPr>
          <w:rFonts w:hint="eastAsia"/>
          <w:bCs/>
          <w:sz w:val="28"/>
          <w:szCs w:val="28"/>
          <w:lang w:val="en-US" w:eastAsia="zh-CN"/>
        </w:rPr>
        <w:t>针对商业房地产，适宜</w:t>
      </w:r>
      <w:r>
        <w:rPr>
          <w:rFonts w:hint="eastAsia"/>
          <w:bCs/>
          <w:sz w:val="28"/>
          <w:szCs w:val="28"/>
        </w:rPr>
        <w:t>选用的估价方法为</w:t>
      </w:r>
      <w:r>
        <w:rPr>
          <w:rFonts w:hint="eastAsia"/>
          <w:bCs/>
          <w:sz w:val="28"/>
          <w:szCs w:val="28"/>
          <w:highlight w:val="none"/>
          <w:lang w:val="en-US" w:eastAsia="zh-CN"/>
        </w:rPr>
        <w:t>收益法</w:t>
      </w:r>
      <w:r>
        <w:rPr>
          <w:rFonts w:hint="eastAsia"/>
          <w:bCs/>
          <w:sz w:val="28"/>
          <w:szCs w:val="28"/>
          <w:highlight w:val="none"/>
        </w:rPr>
        <w:t>，不适宜选用成本法</w:t>
      </w:r>
      <w:r>
        <w:rPr>
          <w:rFonts w:hint="eastAsia"/>
          <w:bCs/>
          <w:sz w:val="28"/>
          <w:szCs w:val="28"/>
          <w:highlight w:val="none"/>
          <w:lang w:eastAsia="zh-CN"/>
        </w:rPr>
        <w:t>、</w:t>
      </w:r>
      <w:r>
        <w:rPr>
          <w:rFonts w:hint="eastAsia"/>
          <w:bCs/>
          <w:sz w:val="28"/>
          <w:szCs w:val="28"/>
          <w:highlight w:val="none"/>
          <w:lang w:val="en-US" w:eastAsia="zh-CN"/>
        </w:rPr>
        <w:t>比较法</w:t>
      </w:r>
      <w:r>
        <w:rPr>
          <w:rFonts w:hint="eastAsia"/>
          <w:bCs/>
          <w:sz w:val="28"/>
          <w:szCs w:val="28"/>
          <w:highlight w:val="none"/>
        </w:rPr>
        <w:t>及假</w:t>
      </w:r>
      <w:r>
        <w:rPr>
          <w:rFonts w:hint="eastAsia"/>
          <w:bCs/>
          <w:sz w:val="28"/>
          <w:szCs w:val="28"/>
        </w:rPr>
        <w:t>设开发法</w:t>
      </w:r>
      <w:r>
        <w:rPr>
          <w:rFonts w:hint="eastAsia"/>
          <w:bCs/>
          <w:sz w:val="28"/>
          <w:szCs w:val="28"/>
          <w:lang w:eastAsia="zh-CN"/>
        </w:rPr>
        <w:t>，</w:t>
      </w:r>
      <w:r>
        <w:rPr>
          <w:rFonts w:hint="eastAsia"/>
          <w:bCs/>
          <w:sz w:val="28"/>
          <w:szCs w:val="28"/>
          <w:lang w:val="en-US" w:eastAsia="zh-CN"/>
        </w:rPr>
        <w:t>针对估住宅房地产，适宜选用的方法为比较法，不适宜选用收益法、</w:t>
      </w:r>
      <w:r>
        <w:rPr>
          <w:rFonts w:hint="eastAsia"/>
          <w:bCs/>
          <w:sz w:val="28"/>
          <w:szCs w:val="28"/>
          <w:highlight w:val="none"/>
        </w:rPr>
        <w:t>成本法及假</w:t>
      </w:r>
      <w:r>
        <w:rPr>
          <w:rFonts w:hint="eastAsia"/>
          <w:bCs/>
          <w:sz w:val="28"/>
          <w:szCs w:val="28"/>
        </w:rPr>
        <w:t>设开发法</w:t>
      </w:r>
      <w:r>
        <w:rPr>
          <w:rFonts w:hint="eastAsia"/>
          <w:bCs/>
          <w:sz w:val="28"/>
          <w:szCs w:val="28"/>
          <w:lang w:val="en-US" w:eastAsia="zh-CN"/>
        </w:rPr>
        <w:t>。</w:t>
      </w:r>
    </w:p>
    <w:p>
      <w:pPr>
        <w:pStyle w:val="27"/>
        <w:spacing w:before="156" w:beforeLines="50" w:after="156" w:afterLines="50" w:line="360" w:lineRule="auto"/>
        <w:ind w:firstLine="560" w:firstLineChars="200"/>
        <w:rPr>
          <w:rFonts w:hint="default" w:eastAsia="宋体"/>
          <w:b/>
          <w:sz w:val="28"/>
          <w:szCs w:val="28"/>
          <w:lang w:val="en-US" w:eastAsia="zh-CN"/>
        </w:rPr>
      </w:pPr>
      <w:r>
        <w:rPr>
          <w:rFonts w:hint="eastAsia"/>
          <w:bCs/>
          <w:sz w:val="28"/>
          <w:szCs w:val="28"/>
          <w:lang w:eastAsia="zh-CN"/>
        </w:rPr>
        <w:t>（</w:t>
      </w:r>
      <w:r>
        <w:rPr>
          <w:rFonts w:hint="eastAsia"/>
          <w:bCs/>
          <w:sz w:val="28"/>
          <w:szCs w:val="28"/>
          <w:lang w:val="en-US" w:eastAsia="zh-CN"/>
        </w:rPr>
        <w:t>一</w:t>
      </w:r>
      <w:r>
        <w:rPr>
          <w:rFonts w:hint="eastAsia"/>
          <w:bCs/>
          <w:sz w:val="28"/>
          <w:szCs w:val="28"/>
          <w:lang w:eastAsia="zh-CN"/>
        </w:rPr>
        <w:t>）</w:t>
      </w:r>
      <w:r>
        <w:rPr>
          <w:rFonts w:hint="eastAsia"/>
          <w:bCs/>
          <w:sz w:val="28"/>
          <w:szCs w:val="28"/>
          <w:lang w:val="en-US" w:eastAsia="zh-CN"/>
        </w:rPr>
        <w:t>商业房地产</w:t>
      </w:r>
    </w:p>
    <w:p>
      <w:pPr>
        <w:pStyle w:val="27"/>
        <w:numPr>
          <w:ilvl w:val="0"/>
          <w:numId w:val="0"/>
        </w:numPr>
        <w:spacing w:before="156" w:beforeLines="50" w:after="156" w:afterLines="50" w:line="360" w:lineRule="auto"/>
        <w:ind w:firstLine="562" w:firstLineChars="200"/>
        <w:rPr>
          <w:rFonts w:hint="eastAsia"/>
          <w:b/>
          <w:sz w:val="28"/>
          <w:szCs w:val="28"/>
        </w:rPr>
      </w:pPr>
      <w:r>
        <w:rPr>
          <w:rFonts w:hint="eastAsia"/>
          <w:b/>
          <w:sz w:val="28"/>
          <w:szCs w:val="28"/>
        </w:rPr>
        <w:t>1、适宜选用的估价方法及其理由</w:t>
      </w:r>
    </w:p>
    <w:p>
      <w:pPr>
        <w:spacing w:line="360" w:lineRule="auto"/>
        <w:ind w:firstLine="562" w:firstLineChars="200"/>
        <w:rPr>
          <w:rFonts w:hint="eastAsia" w:ascii="宋体" w:hAnsi="宋体"/>
          <w:b/>
          <w:bCs/>
          <w:sz w:val="28"/>
        </w:rPr>
      </w:pPr>
      <w:r>
        <w:rPr>
          <w:rFonts w:hint="eastAsia" w:hAnsi="宋体"/>
          <w:b/>
          <w:bCs/>
          <w:sz w:val="28"/>
          <w:lang w:eastAsia="zh-CN"/>
        </w:rPr>
        <w:t>（</w:t>
      </w:r>
      <w:r>
        <w:rPr>
          <w:rFonts w:hint="eastAsia" w:hAnsi="宋体"/>
          <w:b/>
          <w:bCs/>
          <w:sz w:val="28"/>
          <w:lang w:val="en-US" w:eastAsia="zh-CN"/>
        </w:rPr>
        <w:t>一</w:t>
      </w:r>
      <w:r>
        <w:rPr>
          <w:rFonts w:hint="eastAsia" w:hAnsi="宋体"/>
          <w:b/>
          <w:bCs/>
          <w:sz w:val="28"/>
          <w:lang w:eastAsia="zh-CN"/>
        </w:rPr>
        <w:t>）</w:t>
      </w:r>
      <w:r>
        <w:rPr>
          <w:rFonts w:hint="eastAsia" w:ascii="宋体" w:hAnsi="宋体"/>
          <w:b/>
          <w:bCs/>
          <w:sz w:val="28"/>
        </w:rPr>
        <w:t>收益法</w:t>
      </w:r>
    </w:p>
    <w:p>
      <w:pPr>
        <w:spacing w:line="360" w:lineRule="auto"/>
        <w:ind w:firstLine="560" w:firstLineChars="200"/>
        <w:rPr>
          <w:rFonts w:hint="eastAsia" w:hAnsi="宋体"/>
          <w:sz w:val="28"/>
          <w:szCs w:val="28"/>
          <w:lang w:val="en-US" w:eastAsia="zh-CN"/>
        </w:rPr>
      </w:pP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r>
        <w:rPr>
          <w:rFonts w:hint="eastAsia" w:ascii="宋体" w:hAnsi="宋体"/>
          <w:sz w:val="28"/>
          <w:szCs w:val="28"/>
          <w:lang w:eastAsia="zh-CN"/>
        </w:rPr>
        <w:t>，</w:t>
      </w:r>
      <w:r>
        <w:rPr>
          <w:rFonts w:hint="eastAsia" w:hAnsi="宋体"/>
          <w:sz w:val="28"/>
          <w:szCs w:val="28"/>
          <w:lang w:val="en-US" w:eastAsia="zh-CN"/>
        </w:rPr>
        <w:t>对</w:t>
      </w:r>
      <w:r>
        <w:rPr>
          <w:rFonts w:hint="eastAsia" w:ascii="宋体" w:hAnsi="宋体" w:eastAsia="宋体" w:cs="Times New Roman"/>
          <w:sz w:val="28"/>
          <w:szCs w:val="28"/>
          <w:lang w:val="en-US" w:eastAsia="zh-CN"/>
        </w:rPr>
        <w:t>于</w:t>
      </w:r>
      <w:r>
        <w:rPr>
          <w:rFonts w:hint="eastAsia"/>
          <w:sz w:val="28"/>
          <w:szCs w:val="28"/>
          <w:lang w:val="en-US" w:eastAsia="zh-CN"/>
        </w:rPr>
        <w:t>商业</w:t>
      </w:r>
      <w:r>
        <w:rPr>
          <w:rFonts w:hint="eastAsia" w:ascii="宋体" w:hAnsi="宋体" w:eastAsia="宋体" w:cs="Times New Roman"/>
          <w:sz w:val="28"/>
          <w:szCs w:val="28"/>
          <w:lang w:val="en-US" w:eastAsia="zh-CN"/>
        </w:rPr>
        <w:t>房地产，周围有大量的</w:t>
      </w:r>
      <w:r>
        <w:rPr>
          <w:rFonts w:hint="eastAsia"/>
          <w:sz w:val="28"/>
          <w:szCs w:val="28"/>
          <w:lang w:val="en-US" w:eastAsia="zh-CN"/>
        </w:rPr>
        <w:t>商业</w:t>
      </w:r>
      <w:r>
        <w:rPr>
          <w:rFonts w:hint="eastAsia" w:ascii="宋体" w:hAnsi="宋体" w:eastAsia="宋体" w:cs="Times New Roman"/>
          <w:sz w:val="28"/>
          <w:szCs w:val="28"/>
          <w:lang w:val="en-US" w:eastAsia="zh-CN"/>
        </w:rPr>
        <w:t>出租案</w:t>
      </w:r>
      <w:r>
        <w:rPr>
          <w:rFonts w:hint="eastAsia" w:hAnsi="宋体"/>
          <w:sz w:val="28"/>
          <w:szCs w:val="28"/>
          <w:lang w:val="en-US" w:eastAsia="zh-CN"/>
        </w:rPr>
        <w:t>例，故可使用收益法进行测算。</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2、不选用的估价方法及其理由</w:t>
      </w:r>
    </w:p>
    <w:p>
      <w:pPr>
        <w:pStyle w:val="27"/>
        <w:numPr>
          <w:ilvl w:val="0"/>
          <w:numId w:val="0"/>
        </w:numPr>
        <w:spacing w:before="156" w:beforeLines="50" w:after="156" w:afterLines="50" w:line="360" w:lineRule="auto"/>
        <w:ind w:left="630" w:leftChars="0"/>
        <w:rPr>
          <w:rFonts w:hint="eastAsia" w:ascii="Times New Roman" w:hAnsi="Times New Roman"/>
          <w:b/>
          <w:bCs w:val="0"/>
          <w:kern w:val="0"/>
          <w:sz w:val="28"/>
          <w:szCs w:val="28"/>
          <w:lang w:val="en-US" w:eastAsia="zh-CN" w:bidi="ar-SA"/>
        </w:rPr>
      </w:pPr>
      <w:r>
        <w:rPr>
          <w:rFonts w:hint="eastAsia"/>
          <w:b/>
          <w:bCs w:val="0"/>
          <w:kern w:val="0"/>
          <w:sz w:val="28"/>
          <w:szCs w:val="28"/>
          <w:lang w:val="en-US" w:eastAsia="zh-CN" w:bidi="ar-SA"/>
        </w:rPr>
        <w:t>（1）</w:t>
      </w:r>
      <w:r>
        <w:rPr>
          <w:rFonts w:hint="eastAsia" w:ascii="Times New Roman" w:hAnsi="Times New Roman"/>
          <w:b/>
          <w:bCs w:val="0"/>
          <w:kern w:val="0"/>
          <w:sz w:val="28"/>
          <w:szCs w:val="28"/>
          <w:lang w:val="en-US" w:eastAsia="zh-CN" w:bidi="ar-SA"/>
        </w:rPr>
        <w:t>比较法</w:t>
      </w:r>
    </w:p>
    <w:p>
      <w:pPr>
        <w:pStyle w:val="27"/>
        <w:numPr>
          <w:ilvl w:val="0"/>
          <w:numId w:val="0"/>
        </w:numPr>
        <w:spacing w:before="156" w:beforeLines="50" w:after="156" w:afterLines="50" w:line="360" w:lineRule="auto"/>
        <w:ind w:leftChars="0" w:firstLine="560" w:firstLineChars="200"/>
        <w:rPr>
          <w:rFonts w:hint="eastAsia" w:ascii="宋体" w:hAnsi="宋体" w:eastAsia="宋体" w:cs="Times New Roman"/>
          <w:b w:val="0"/>
          <w:kern w:val="2"/>
          <w:sz w:val="28"/>
          <w:szCs w:val="22"/>
        </w:rPr>
      </w:pPr>
      <w:r>
        <w:rPr>
          <w:rFonts w:hint="eastAsia" w:ascii="宋体" w:hAnsi="宋体" w:eastAsia="宋体" w:cs="Times New Roman"/>
          <w:bCs w:val="0"/>
          <w:kern w:val="2"/>
          <w:sz w:val="28"/>
          <w:szCs w:val="22"/>
          <w:lang w:val="en-US" w:eastAsia="zh-CN" w:bidi="ar-SA"/>
        </w:rPr>
        <w:t>比较法是选取一定数量的可比实例，将它们与估价对象进行比较，根据其间的差异对可比实例成交价格进行处理后得到估价对象价值或价格的方法。</w:t>
      </w:r>
      <w:r>
        <w:rPr>
          <w:rFonts w:hint="eastAsia" w:ascii="宋体" w:hAnsi="宋体" w:eastAsia="宋体" w:cs="Times New Roman"/>
          <w:kern w:val="2"/>
          <w:sz w:val="28"/>
          <w:szCs w:val="22"/>
          <w:lang w:val="en-US" w:eastAsia="zh-CN"/>
        </w:rPr>
        <w:t>估价对象</w:t>
      </w:r>
      <w:r>
        <w:rPr>
          <w:rFonts w:hint="eastAsia" w:ascii="宋体" w:hAnsi="宋体" w:eastAsia="宋体" w:cs="Times New Roman"/>
          <w:bCs w:val="0"/>
          <w:kern w:val="2"/>
          <w:sz w:val="28"/>
          <w:szCs w:val="22"/>
          <w:lang w:val="en-US" w:eastAsia="zh-CN" w:bidi="ar-SA"/>
        </w:rPr>
        <w:t>周边成交案例较少，难以收集到足够的可比案例，故不宜选用市场比较法进行评估。</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w:t>
      </w:r>
      <w:r>
        <w:rPr>
          <w:rFonts w:hint="eastAsia"/>
          <w:b/>
          <w:sz w:val="28"/>
          <w:szCs w:val="28"/>
          <w:lang w:val="en-US" w:eastAsia="zh-CN"/>
        </w:rPr>
        <w:t>2</w:t>
      </w:r>
      <w:r>
        <w:rPr>
          <w:rFonts w:hint="eastAsia"/>
          <w:b/>
          <w:sz w:val="28"/>
          <w:szCs w:val="28"/>
        </w:rPr>
        <w:t>）成本法</w:t>
      </w:r>
    </w:p>
    <w:p>
      <w:pPr>
        <w:pStyle w:val="27"/>
        <w:spacing w:before="156" w:beforeLines="50" w:after="156" w:afterLines="50" w:line="360" w:lineRule="auto"/>
        <w:ind w:firstLine="560" w:firstLineChars="200"/>
        <w:rPr>
          <w:rFonts w:hint="eastAsia"/>
          <w:bCs/>
          <w:sz w:val="28"/>
          <w:szCs w:val="28"/>
        </w:rPr>
      </w:pPr>
      <w:r>
        <w:rPr>
          <w:rFonts w:hint="eastAsia"/>
          <w:bCs/>
          <w:sz w:val="28"/>
          <w:szCs w:val="28"/>
        </w:rPr>
        <w:t>成本法是测算估价对象的重置成本或重建成本，测算折旧得到估价对象价值的方法，</w:t>
      </w:r>
      <w:r>
        <w:rPr>
          <w:rFonts w:hint="eastAsia" w:hAnsi="宋体"/>
          <w:sz w:val="28"/>
          <w:szCs w:val="28"/>
        </w:rPr>
        <w:t>对于委托评估的</w:t>
      </w:r>
      <w:r>
        <w:rPr>
          <w:rFonts w:hint="eastAsia" w:hAnsi="宋体"/>
          <w:sz w:val="28"/>
          <w:szCs w:val="28"/>
          <w:lang w:eastAsia="zh-CN"/>
        </w:rPr>
        <w:t>商业</w:t>
      </w:r>
      <w:r>
        <w:rPr>
          <w:rFonts w:hint="eastAsia" w:hAnsi="宋体"/>
          <w:sz w:val="28"/>
          <w:szCs w:val="28"/>
        </w:rPr>
        <w:t>房地产，区域发展较成熟， 但</w:t>
      </w:r>
      <w:r>
        <w:rPr>
          <w:rFonts w:hint="eastAsia"/>
          <w:sz w:val="28"/>
          <w:szCs w:val="28"/>
          <w:lang w:val="en-US" w:eastAsia="zh-CN"/>
        </w:rPr>
        <w:t>商业</w:t>
      </w:r>
      <w:r>
        <w:rPr>
          <w:rFonts w:hint="eastAsia" w:hAnsi="宋体"/>
          <w:sz w:val="28"/>
          <w:szCs w:val="28"/>
        </w:rPr>
        <w:t>房地产每层价值不一致，难以使用除收益法</w:t>
      </w:r>
      <w:r>
        <w:rPr>
          <w:rFonts w:hint="eastAsia" w:hAnsi="宋体"/>
          <w:sz w:val="28"/>
          <w:szCs w:val="28"/>
          <w:lang w:val="en-US" w:eastAsia="zh-CN"/>
        </w:rPr>
        <w:t>及市场法</w:t>
      </w:r>
      <w:r>
        <w:rPr>
          <w:rFonts w:hint="eastAsia" w:hAnsi="宋体"/>
          <w:sz w:val="28"/>
          <w:szCs w:val="28"/>
        </w:rPr>
        <w:t>以外的其他方法确定每层房地产的价值比例，</w:t>
      </w:r>
      <w:r>
        <w:rPr>
          <w:rFonts w:hint="eastAsia"/>
          <w:bCs/>
          <w:sz w:val="28"/>
          <w:szCs w:val="28"/>
        </w:rPr>
        <w:t>土地使用权价值难以分割，故不选用成本法进行估价。</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（2）假设开发法</w:t>
      </w:r>
    </w:p>
    <w:p>
      <w:pPr>
        <w:pStyle w:val="27"/>
        <w:spacing w:before="156" w:beforeLines="50" w:after="156" w:afterLines="50" w:line="360" w:lineRule="auto"/>
        <w:ind w:firstLine="560" w:firstLineChars="200"/>
        <w:rPr>
          <w:rFonts w:hint="eastAsia"/>
          <w:bCs/>
          <w:sz w:val="28"/>
          <w:szCs w:val="28"/>
        </w:rPr>
      </w:pPr>
      <w:r>
        <w:rPr>
          <w:rFonts w:hint="eastAsia"/>
          <w:bCs/>
          <w:sz w:val="28"/>
          <w:szCs w:val="28"/>
        </w:rPr>
        <w:t>假设开发法适用于具有投资开发或再开发潜力的房地产估价。</w:t>
      </w:r>
      <w:r>
        <w:rPr>
          <w:rFonts w:hint="eastAsia"/>
          <w:bCs/>
          <w:sz w:val="28"/>
          <w:szCs w:val="28"/>
          <w:lang w:val="en-US" w:eastAsia="zh-CN"/>
        </w:rPr>
        <w:t>对于</w:t>
      </w:r>
      <w:r>
        <w:rPr>
          <w:rFonts w:hint="eastAsia"/>
          <w:bCs/>
          <w:sz w:val="28"/>
          <w:szCs w:val="28"/>
        </w:rPr>
        <w:t>已建成的</w:t>
      </w:r>
      <w:r>
        <w:rPr>
          <w:rFonts w:hint="eastAsia" w:ascii="宋体" w:hAnsi="宋体"/>
          <w:sz w:val="28"/>
          <w:szCs w:val="28"/>
          <w:lang w:val="en-US" w:eastAsia="zh-CN"/>
        </w:rPr>
        <w:t>商业房地产</w:t>
      </w:r>
      <w:r>
        <w:rPr>
          <w:rFonts w:hint="eastAsia"/>
          <w:bCs/>
          <w:sz w:val="28"/>
          <w:szCs w:val="28"/>
        </w:rPr>
        <w:t>，在价值时点符合最高最佳利用原则。相关规划许可已获得当地政府批准，不可能单独进行开发或再开发，因此不具有开发与再开发潜力。故也不选用假设开发法进行估价。</w:t>
      </w:r>
    </w:p>
    <w:p>
      <w:pPr>
        <w:pStyle w:val="27"/>
        <w:spacing w:before="156" w:beforeLines="50" w:after="156" w:afterLines="50" w:line="360" w:lineRule="auto"/>
        <w:ind w:firstLine="560" w:firstLineChars="200"/>
        <w:rPr>
          <w:rFonts w:hint="default" w:eastAsia="宋体"/>
          <w:b/>
          <w:sz w:val="28"/>
          <w:szCs w:val="28"/>
          <w:lang w:val="en-US" w:eastAsia="zh-CN"/>
        </w:rPr>
      </w:pPr>
      <w:r>
        <w:rPr>
          <w:rFonts w:hint="eastAsia"/>
          <w:bCs/>
          <w:sz w:val="28"/>
          <w:szCs w:val="28"/>
          <w:lang w:eastAsia="zh-CN"/>
        </w:rPr>
        <w:t>（</w:t>
      </w:r>
      <w:r>
        <w:rPr>
          <w:rFonts w:hint="eastAsia"/>
          <w:bCs/>
          <w:sz w:val="28"/>
          <w:szCs w:val="28"/>
          <w:lang w:val="en-US" w:eastAsia="zh-CN"/>
        </w:rPr>
        <w:t>二</w:t>
      </w:r>
      <w:r>
        <w:rPr>
          <w:rFonts w:hint="eastAsia"/>
          <w:bCs/>
          <w:sz w:val="28"/>
          <w:szCs w:val="28"/>
          <w:lang w:eastAsia="zh-CN"/>
        </w:rPr>
        <w:t>）</w:t>
      </w:r>
      <w:r>
        <w:rPr>
          <w:rFonts w:hint="eastAsia"/>
          <w:bCs/>
          <w:sz w:val="28"/>
          <w:szCs w:val="28"/>
          <w:lang w:val="en-US" w:eastAsia="zh-CN"/>
        </w:rPr>
        <w:t>住宅房地产</w:t>
      </w:r>
    </w:p>
    <w:p>
      <w:pPr>
        <w:pStyle w:val="27"/>
        <w:numPr>
          <w:ilvl w:val="0"/>
          <w:numId w:val="0"/>
        </w:numPr>
        <w:spacing w:before="156" w:beforeLines="50" w:after="156" w:afterLines="50" w:line="360" w:lineRule="auto"/>
        <w:ind w:left="630" w:firstLine="0" w:firstLineChars="0"/>
        <w:rPr>
          <w:rFonts w:hint="eastAsia"/>
          <w:b/>
          <w:sz w:val="28"/>
          <w:szCs w:val="28"/>
        </w:rPr>
      </w:pPr>
      <w:r>
        <w:rPr>
          <w:rFonts w:hint="eastAsia"/>
          <w:b/>
          <w:sz w:val="28"/>
          <w:szCs w:val="28"/>
          <w:lang w:val="en-US" w:eastAsia="zh-CN"/>
        </w:rPr>
        <w:t>1、</w:t>
      </w:r>
      <w:r>
        <w:rPr>
          <w:rFonts w:hint="eastAsia"/>
          <w:b/>
          <w:sz w:val="28"/>
          <w:szCs w:val="28"/>
        </w:rPr>
        <w:t>适宜选用的估价方法及其理由</w:t>
      </w:r>
    </w:p>
    <w:p>
      <w:pPr>
        <w:pStyle w:val="27"/>
        <w:numPr>
          <w:ilvl w:val="0"/>
          <w:numId w:val="0"/>
        </w:numPr>
        <w:spacing w:before="156" w:beforeLines="50" w:after="156" w:afterLines="50" w:line="360" w:lineRule="auto"/>
        <w:ind w:firstLine="560" w:firstLineChars="200"/>
        <w:rPr>
          <w:rFonts w:hint="eastAsia"/>
          <w:b/>
          <w:sz w:val="28"/>
          <w:szCs w:val="28"/>
        </w:rPr>
      </w:pPr>
      <w:r>
        <w:rPr>
          <w:rFonts w:hint="eastAsia" w:ascii="Times New Roman" w:hAnsi="Times New Roman"/>
          <w:bCs/>
          <w:kern w:val="0"/>
          <w:sz w:val="28"/>
          <w:szCs w:val="28"/>
          <w:lang w:val="en-US" w:eastAsia="zh-CN" w:bidi="ar-SA"/>
        </w:rPr>
        <w:t>比较法是选取一定数量的可比实例，将它们与估价对象进行比较，根据其间的差异对可比实例成交价格进行处理后得到估价对象价值或价格的方法。</w:t>
      </w:r>
      <w:r>
        <w:rPr>
          <w:rFonts w:hint="eastAsia" w:hAnsi="宋体"/>
          <w:sz w:val="28"/>
          <w:szCs w:val="28"/>
          <w:lang w:val="en-US" w:eastAsia="zh-CN"/>
        </w:rPr>
        <w:t>估价对象</w:t>
      </w:r>
      <w:r>
        <w:rPr>
          <w:rFonts w:hint="eastAsia" w:ascii="Times New Roman" w:hAnsi="Times New Roman"/>
          <w:bCs/>
          <w:kern w:val="0"/>
          <w:sz w:val="28"/>
          <w:szCs w:val="28"/>
          <w:lang w:val="en-US" w:eastAsia="zh-CN" w:bidi="ar-SA"/>
        </w:rPr>
        <w:t>周边成交案例</w:t>
      </w:r>
      <w:r>
        <w:rPr>
          <w:rFonts w:hint="eastAsia"/>
          <w:bCs/>
          <w:kern w:val="0"/>
          <w:sz w:val="28"/>
          <w:szCs w:val="28"/>
          <w:lang w:val="en-US" w:eastAsia="zh-CN" w:bidi="ar-SA"/>
        </w:rPr>
        <w:t>较多</w:t>
      </w:r>
      <w:r>
        <w:rPr>
          <w:rFonts w:hint="eastAsia" w:ascii="Times New Roman" w:hAnsi="Times New Roman"/>
          <w:bCs/>
          <w:kern w:val="0"/>
          <w:sz w:val="28"/>
          <w:szCs w:val="28"/>
          <w:lang w:val="en-US" w:eastAsia="zh-CN" w:bidi="ar-SA"/>
        </w:rPr>
        <w:t>，</w:t>
      </w:r>
      <w:r>
        <w:rPr>
          <w:rFonts w:hint="eastAsia"/>
          <w:bCs/>
          <w:kern w:val="0"/>
          <w:sz w:val="28"/>
          <w:szCs w:val="28"/>
          <w:lang w:val="en-US" w:eastAsia="zh-CN" w:bidi="ar-SA"/>
        </w:rPr>
        <w:t>能够</w:t>
      </w:r>
      <w:r>
        <w:rPr>
          <w:rFonts w:hint="eastAsia" w:ascii="Times New Roman" w:hAnsi="Times New Roman"/>
          <w:bCs/>
          <w:kern w:val="0"/>
          <w:sz w:val="28"/>
          <w:szCs w:val="28"/>
          <w:lang w:val="en-US" w:eastAsia="zh-CN" w:bidi="ar-SA"/>
        </w:rPr>
        <w:t>收集到足够的可比案例，故适宜选用市场比较法进行评估。</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2、不选用的估价方法及其理由</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（1）成本法</w:t>
      </w:r>
    </w:p>
    <w:p>
      <w:pPr>
        <w:pStyle w:val="27"/>
        <w:spacing w:before="156" w:beforeLines="50" w:after="156" w:afterLines="50" w:line="360" w:lineRule="auto"/>
        <w:ind w:firstLine="560" w:firstLineChars="200"/>
        <w:rPr>
          <w:rFonts w:hint="eastAsia"/>
          <w:bCs/>
          <w:sz w:val="28"/>
          <w:szCs w:val="28"/>
        </w:rPr>
      </w:pPr>
      <w:r>
        <w:rPr>
          <w:rFonts w:hint="eastAsia"/>
          <w:bCs/>
          <w:sz w:val="28"/>
          <w:szCs w:val="28"/>
        </w:rPr>
        <w:t>成本法是测算估价对象的重置成本或重建成本，测算折旧得到估价对象价值的方法，</w:t>
      </w:r>
      <w:r>
        <w:rPr>
          <w:rFonts w:hint="eastAsia" w:hAnsi="宋体"/>
          <w:sz w:val="28"/>
          <w:szCs w:val="28"/>
          <w:lang w:val="en-US" w:eastAsia="zh-CN"/>
        </w:rPr>
        <w:t>估价对象为</w:t>
      </w:r>
      <w:r>
        <w:rPr>
          <w:rFonts w:hint="eastAsia"/>
          <w:bCs/>
          <w:sz w:val="28"/>
          <w:szCs w:val="28"/>
        </w:rPr>
        <w:t>已建成的</w:t>
      </w:r>
      <w:r>
        <w:rPr>
          <w:rFonts w:hint="eastAsia" w:hAnsi="宋体"/>
          <w:sz w:val="28"/>
          <w:szCs w:val="28"/>
          <w:lang w:val="en-US" w:eastAsia="zh-CN"/>
        </w:rPr>
        <w:t>住宅</w:t>
      </w:r>
      <w:r>
        <w:rPr>
          <w:rFonts w:hint="eastAsia" w:ascii="宋体" w:hAnsi="宋体"/>
          <w:sz w:val="28"/>
          <w:szCs w:val="28"/>
          <w:lang w:val="en-US" w:eastAsia="zh-CN"/>
        </w:rPr>
        <w:t>房地产</w:t>
      </w:r>
      <w:r>
        <w:rPr>
          <w:rFonts w:hint="eastAsia" w:hAnsi="宋体"/>
          <w:sz w:val="28"/>
          <w:szCs w:val="28"/>
          <w:lang w:val="en-US" w:eastAsia="zh-CN"/>
        </w:rPr>
        <w:t>，</w:t>
      </w:r>
      <w:r>
        <w:rPr>
          <w:rFonts w:hint="eastAsia"/>
          <w:bCs/>
          <w:sz w:val="28"/>
          <w:szCs w:val="28"/>
          <w:lang w:val="en-US" w:eastAsia="zh-CN"/>
        </w:rPr>
        <w:t>土地使用权价值难以分割，</w:t>
      </w:r>
      <w:r>
        <w:rPr>
          <w:rFonts w:hint="eastAsia"/>
          <w:bCs/>
          <w:sz w:val="28"/>
          <w:szCs w:val="28"/>
        </w:rPr>
        <w:t>故不选用成本法进行估价。</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（2）假设开发法</w:t>
      </w:r>
    </w:p>
    <w:p>
      <w:pPr>
        <w:pStyle w:val="27"/>
        <w:spacing w:before="156" w:beforeLines="50" w:after="156" w:afterLines="50" w:line="360" w:lineRule="auto"/>
        <w:ind w:firstLine="560" w:firstLineChars="200"/>
        <w:rPr>
          <w:rFonts w:hint="eastAsia"/>
          <w:bCs/>
          <w:sz w:val="28"/>
          <w:szCs w:val="28"/>
        </w:rPr>
      </w:pPr>
      <w:r>
        <w:rPr>
          <w:rFonts w:hint="eastAsia"/>
          <w:bCs/>
          <w:sz w:val="28"/>
          <w:szCs w:val="28"/>
        </w:rPr>
        <w:t>假设开发法适用于具有投资开发或再开发潜力的房地产估价。</w:t>
      </w:r>
      <w:r>
        <w:rPr>
          <w:rFonts w:hint="eastAsia"/>
          <w:bCs/>
          <w:sz w:val="28"/>
          <w:szCs w:val="28"/>
          <w:lang w:val="en-US" w:eastAsia="zh-CN"/>
        </w:rPr>
        <w:t>对于</w:t>
      </w:r>
      <w:r>
        <w:rPr>
          <w:rFonts w:hint="eastAsia"/>
          <w:bCs/>
          <w:sz w:val="28"/>
          <w:szCs w:val="28"/>
        </w:rPr>
        <w:t>已建成的</w:t>
      </w:r>
      <w:r>
        <w:rPr>
          <w:rFonts w:hint="eastAsia" w:ascii="宋体" w:hAnsi="宋体"/>
          <w:sz w:val="28"/>
          <w:szCs w:val="28"/>
          <w:lang w:val="en-US" w:eastAsia="zh-CN"/>
        </w:rPr>
        <w:t>住宅房地产</w:t>
      </w:r>
      <w:r>
        <w:rPr>
          <w:rFonts w:hint="eastAsia"/>
          <w:bCs/>
          <w:sz w:val="28"/>
          <w:szCs w:val="28"/>
        </w:rPr>
        <w:t>，在价值时点符合最高最佳利用原则。相关规划许可已获得当地政府批准，不可能单独进行开发或再开发，因此不具有开发与再开发潜力。故也不选用假设开发法进行估价。</w:t>
      </w:r>
    </w:p>
    <w:p>
      <w:pPr>
        <w:pStyle w:val="2"/>
        <w:ind w:left="0" w:leftChars="0" w:firstLine="562" w:firstLineChars="200"/>
        <w:rPr>
          <w:rFonts w:hint="eastAsia" w:ascii="Times New Roman" w:hAnsi="Times New Roman"/>
          <w:b/>
          <w:kern w:val="0"/>
          <w:sz w:val="28"/>
          <w:szCs w:val="28"/>
          <w:lang w:val="en-US" w:eastAsia="zh-CN" w:bidi="ar-SA"/>
        </w:rPr>
      </w:pPr>
      <w:r>
        <w:rPr>
          <w:rFonts w:hint="eastAsia" w:ascii="Times New Roman" w:hAnsi="Times New Roman"/>
          <w:b/>
          <w:kern w:val="0"/>
          <w:sz w:val="28"/>
          <w:szCs w:val="28"/>
          <w:lang w:val="en-US" w:eastAsia="zh-CN" w:bidi="ar-SA"/>
        </w:rPr>
        <w:t>（3）收益法</w:t>
      </w:r>
    </w:p>
    <w:p>
      <w:pPr>
        <w:pStyle w:val="2"/>
        <w:ind w:left="0" w:leftChars="0" w:firstLine="560" w:firstLineChars="200"/>
        <w:rPr>
          <w:rFonts w:hint="eastAsia" w:ascii="宋体" w:hAnsi="宋体"/>
          <w:sz w:val="28"/>
          <w:szCs w:val="28"/>
          <w:lang w:val="en-US" w:eastAsia="zh-CN"/>
        </w:rPr>
      </w:pP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r>
        <w:rPr>
          <w:rFonts w:hint="eastAsia" w:ascii="宋体" w:hAnsi="宋体"/>
          <w:sz w:val="28"/>
          <w:szCs w:val="28"/>
          <w:lang w:eastAsia="zh-CN"/>
        </w:rPr>
        <w:t>，</w:t>
      </w:r>
      <w:r>
        <w:rPr>
          <w:rFonts w:hint="eastAsia" w:hAnsi="宋体"/>
          <w:sz w:val="28"/>
          <w:szCs w:val="28"/>
          <w:lang w:val="en-US" w:eastAsia="zh-CN"/>
        </w:rPr>
        <w:t>对于</w:t>
      </w:r>
      <w:r>
        <w:rPr>
          <w:rFonts w:hint="eastAsia" w:ascii="宋体" w:hAnsi="宋体"/>
          <w:sz w:val="28"/>
          <w:szCs w:val="28"/>
          <w:lang w:val="en-US" w:eastAsia="zh-CN"/>
        </w:rPr>
        <w:t>住宅房地产，以居住为主要使用方式，租金收益难以体现房地产的市场价值，故不宜使用收益法进行评估。</w:t>
      </w:r>
    </w:p>
    <w:p>
      <w:pPr>
        <w:numPr>
          <w:ilvl w:val="0"/>
          <w:numId w:val="2"/>
        </w:numPr>
        <w:spacing w:line="360" w:lineRule="auto"/>
        <w:ind w:firstLine="562" w:firstLineChars="200"/>
        <w:rPr>
          <w:rFonts w:hint="eastAsia" w:ascii="宋体" w:hAnsi="宋体"/>
          <w:b/>
          <w:color w:val="000000"/>
          <w:sz w:val="28"/>
          <w:szCs w:val="28"/>
        </w:rPr>
      </w:pPr>
      <w:r>
        <w:rPr>
          <w:rFonts w:hint="eastAsia" w:ascii="宋体" w:hAnsi="宋体"/>
          <w:b/>
          <w:color w:val="000000"/>
          <w:sz w:val="28"/>
          <w:szCs w:val="28"/>
        </w:rPr>
        <w:t>估价方法说明</w:t>
      </w:r>
    </w:p>
    <w:p>
      <w:pPr>
        <w:spacing w:line="360" w:lineRule="auto"/>
        <w:ind w:firstLine="560" w:firstLineChars="200"/>
        <w:rPr>
          <w:rFonts w:ascii="宋体" w:hAnsi="宋体"/>
          <w:sz w:val="28"/>
          <w:szCs w:val="28"/>
        </w:rPr>
      </w:pP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p>
    <w:p>
      <w:pPr>
        <w:spacing w:line="360" w:lineRule="auto"/>
        <w:ind w:firstLine="560" w:firstLineChars="200"/>
        <w:rPr>
          <w:rFonts w:hint="eastAsia" w:ascii="宋体" w:hAnsi="宋体"/>
          <w:sz w:val="28"/>
          <w:szCs w:val="28"/>
        </w:rPr>
      </w:pPr>
      <w:r>
        <w:rPr>
          <w:rFonts w:hint="eastAsia" w:ascii="宋体" w:hAnsi="宋体"/>
          <w:sz w:val="28"/>
          <w:szCs w:val="28"/>
        </w:rPr>
        <w:t>设定房地产报酬率每年不变，净收益发生在每年年初，房地产年纯收益每年递增，之后对房地产进行转售的前提下，收益年限为有限年的收益法计算的基本公式为：</w:t>
      </w:r>
    </w:p>
    <w:p>
      <w:pPr>
        <w:spacing w:line="360" w:lineRule="auto"/>
        <w:ind w:firstLine="560" w:firstLineChars="200"/>
        <w:jc w:val="center"/>
        <w:rPr>
          <w:rFonts w:hint="eastAsia" w:ascii="宋体" w:hAnsi="宋体"/>
          <w:sz w:val="28"/>
          <w:szCs w:val="28"/>
        </w:rPr>
      </w:pPr>
      <w:r>
        <w:rPr>
          <w:rFonts w:hint="eastAsia" w:ascii="宋体" w:hAnsi="宋体"/>
          <w:position w:val="-36"/>
          <w:sz w:val="28"/>
          <w:szCs w:val="28"/>
        </w:rPr>
        <w:object>
          <v:shape id="_x0000_i1025" o:spt="75" type="#_x0000_t75" style="height:42pt;width:175.95pt;" o:ole="t" filled="f" o:preferrelative="t" stroked="f" coordsize="21600,21600">
            <v:path/>
            <v:fill on="f" focussize="0,0"/>
            <v:stroke on="f"/>
            <v:imagedata r:id="rId18" o:title=""/>
            <o:lock v:ext="edit" aspectratio="t"/>
            <w10:wrap type="none"/>
            <w10:anchorlock/>
          </v:shape>
          <o:OLEObject Type="Embed" ProgID="Equation.3" ShapeID="_x0000_i1025" DrawAspect="Content" ObjectID="_1468075725" r:id="rId17">
            <o:LockedField>false</o:LockedField>
          </o:OLEObject>
        </w:objec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其中：V——房地产在估价时点的收益价格</w:t>
      </w:r>
    </w:p>
    <w:p>
      <w:pPr>
        <w:spacing w:line="360" w:lineRule="auto"/>
        <w:ind w:firstLine="560" w:firstLineChars="200"/>
        <w:textAlignment w:val="center"/>
        <w:rPr>
          <w:rFonts w:hint="eastAsia" w:ascii="宋体" w:hAnsi="宋体" w:eastAsia="宋体"/>
          <w:sz w:val="28"/>
          <w:szCs w:val="28"/>
          <w:lang w:eastAsia="zh-CN"/>
        </w:rPr>
      </w:pPr>
      <w:r>
        <w:rPr>
          <w:rFonts w:hint="eastAsia" w:ascii="宋体" w:hAnsi="宋体"/>
          <w:sz w:val="28"/>
          <w:szCs w:val="28"/>
        </w:rPr>
        <w:t xml:space="preserve">      V</w:t>
      </w:r>
      <w:r>
        <w:rPr>
          <w:rFonts w:hint="eastAsia" w:ascii="宋体" w:hAnsi="宋体"/>
          <w:sz w:val="28"/>
          <w:szCs w:val="28"/>
          <w:vertAlign w:val="subscript"/>
        </w:rPr>
        <w:t>t</w:t>
      </w:r>
      <w:r>
        <w:rPr>
          <w:rFonts w:hint="eastAsia" w:ascii="宋体" w:hAnsi="宋体"/>
          <w:sz w:val="28"/>
          <w:szCs w:val="28"/>
        </w:rPr>
        <w:t>——</w:t>
      </w:r>
      <w:r>
        <w:rPr>
          <w:rFonts w:hint="eastAsia" w:ascii="宋体" w:hAnsi="宋体"/>
          <w:sz w:val="28"/>
          <w:szCs w:val="28"/>
          <w:lang w:val="en-US" w:eastAsia="zh-CN"/>
        </w:rPr>
        <w:t>期末</w:t>
      </w:r>
      <w:r>
        <w:rPr>
          <w:rFonts w:hint="eastAsia" w:ascii="宋体" w:hAnsi="宋体"/>
          <w:sz w:val="28"/>
          <w:szCs w:val="28"/>
        </w:rPr>
        <w:t>转售</w:t>
      </w:r>
      <w:r>
        <w:rPr>
          <w:rFonts w:hint="eastAsia" w:ascii="宋体" w:hAnsi="宋体"/>
          <w:sz w:val="28"/>
          <w:szCs w:val="28"/>
          <w:lang w:val="en-US" w:eastAsia="zh-CN"/>
        </w:rPr>
        <w:t>收益</w:t>
      </w:r>
    </w:p>
    <w:p>
      <w:pPr>
        <w:spacing w:line="360" w:lineRule="auto"/>
        <w:ind w:firstLine="560" w:firstLineChars="200"/>
        <w:textAlignment w:val="center"/>
        <w:rPr>
          <w:rFonts w:ascii="宋体" w:hAnsi="宋体"/>
          <w:sz w:val="28"/>
          <w:szCs w:val="28"/>
        </w:rPr>
      </w:pPr>
      <w:r>
        <w:rPr>
          <w:rFonts w:hint="eastAsia" w:ascii="宋体" w:hAnsi="宋体"/>
          <w:sz w:val="28"/>
          <w:szCs w:val="28"/>
        </w:rPr>
        <w:t xml:space="preserve">      A——房地产的未来第一年净运营收益</w: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 xml:space="preserve">      Y——房地产的报酬率</w: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 xml:space="preserve">      G——年租金增长率</w: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 xml:space="preserve">      t——房地产的收益年限</w:t>
      </w:r>
    </w:p>
    <w:p>
      <w:pPr>
        <w:spacing w:line="360" w:lineRule="auto"/>
        <w:ind w:firstLine="560" w:firstLineChars="200"/>
        <w:rPr>
          <w:rFonts w:hint="eastAsia"/>
          <w:sz w:val="28"/>
          <w:szCs w:val="28"/>
        </w:rPr>
      </w:pPr>
      <w:r>
        <w:rPr>
          <w:sz w:val="28"/>
          <w:szCs w:val="28"/>
        </w:rPr>
        <w:t>比较法，是选取一定数量的可比实例</w:t>
      </w:r>
      <w:r>
        <w:rPr>
          <w:rFonts w:hint="eastAsia" w:ascii="宋体" w:hAnsi="宋体"/>
          <w:sz w:val="28"/>
          <w:szCs w:val="28"/>
        </w:rPr>
        <w:t>,</w:t>
      </w:r>
      <w:r>
        <w:rPr>
          <w:sz w:val="28"/>
          <w:szCs w:val="28"/>
        </w:rPr>
        <w:t>将它们与估价对象进行比较，</w:t>
      </w:r>
      <w:r>
        <w:rPr>
          <w:rFonts w:hint="eastAsia"/>
          <w:sz w:val="28"/>
          <w:szCs w:val="28"/>
        </w:rPr>
        <w:t>根据其间的差异对可比实例成交价格进行处理后得到估价对象价值或价格的方法。</w:t>
      </w:r>
    </w:p>
    <w:p>
      <w:pPr>
        <w:spacing w:line="360" w:lineRule="auto"/>
        <w:ind w:firstLine="560" w:firstLineChars="200"/>
        <w:rPr>
          <w:rFonts w:hint="eastAsia" w:ascii="宋体" w:hAnsi="宋体"/>
          <w:sz w:val="28"/>
          <w:szCs w:val="28"/>
        </w:rPr>
      </w:pPr>
      <w:r>
        <w:rPr>
          <w:rFonts w:hint="eastAsia" w:ascii="宋体" w:hAnsi="宋体"/>
          <w:sz w:val="28"/>
          <w:szCs w:val="28"/>
        </w:rPr>
        <w:t>比较法具体计算公式为：</w:t>
      </w:r>
    </w:p>
    <w:p>
      <w:pPr>
        <w:pStyle w:val="3"/>
        <w:numPr>
          <w:ilvl w:val="0"/>
          <w:numId w:val="0"/>
        </w:numPr>
        <w:bidi w:val="0"/>
        <w:ind w:left="0" w:leftChars="0" w:right="-113" w:rightChars="0" w:firstLine="560" w:firstLineChars="200"/>
        <w:rPr>
          <w:rFonts w:hint="eastAsia" w:ascii="Times New Roman" w:hAnsi="Times New Roman" w:eastAsia="宋体" w:cs="Times New Roman"/>
          <w:b w:val="0"/>
          <w:kern w:val="2"/>
          <w:sz w:val="28"/>
          <w:szCs w:val="28"/>
          <w:lang w:val="en-US" w:eastAsia="zh-CN" w:bidi="ar-SA"/>
        </w:rPr>
      </w:pPr>
      <w:bookmarkStart w:id="60" w:name="_Toc8876"/>
      <w:r>
        <w:rPr>
          <w:rFonts w:hint="eastAsia" w:ascii="Times New Roman" w:hAnsi="Times New Roman" w:eastAsia="宋体" w:cs="Times New Roman"/>
          <w:b w:val="0"/>
          <w:kern w:val="2"/>
          <w:sz w:val="28"/>
          <w:szCs w:val="28"/>
          <w:lang w:val="en-US" w:eastAsia="zh-CN" w:bidi="ar-SA"/>
        </w:rPr>
        <w:t>估价对象价值＝可比实例价格×交易情况修正系数×交易日期修正系数×区域状况修正系数×实物状况修正系数×权益状况修正系数。</w:t>
      </w:r>
      <w:bookmarkEnd w:id="60"/>
    </w:p>
    <w:p>
      <w:pPr>
        <w:pStyle w:val="4"/>
        <w:ind w:firstLine="579" w:firstLineChars="200"/>
        <w:jc w:val="left"/>
      </w:pPr>
      <w:bookmarkStart w:id="61" w:name="_Toc31461"/>
      <w:r>
        <w:rPr>
          <w:rFonts w:hint="eastAsia"/>
        </w:rPr>
        <w:t>十、估价结果</w:t>
      </w:r>
      <w:bookmarkEnd w:id="56"/>
      <w:bookmarkEnd w:id="57"/>
      <w:bookmarkEnd w:id="58"/>
      <w:bookmarkEnd w:id="59"/>
      <w:bookmarkEnd w:id="61"/>
      <w:bookmarkStart w:id="62" w:name="_Toc252558954"/>
    </w:p>
    <w:p>
      <w:pPr>
        <w:pStyle w:val="27"/>
        <w:spacing w:before="156" w:beforeLines="50" w:after="156" w:afterLines="50" w:line="360" w:lineRule="auto"/>
        <w:ind w:firstLine="560" w:firstLineChars="200"/>
        <w:jc w:val="left"/>
        <w:rPr>
          <w:rFonts w:hint="default" w:eastAsia="宋体" w:cs="Times New Roman"/>
          <w:b/>
          <w:sz w:val="28"/>
          <w:szCs w:val="28"/>
          <w:highlight w:val="none"/>
          <w:lang w:val="en-US" w:eastAsia="zh-CN"/>
        </w:rPr>
      </w:pPr>
      <w:bookmarkStart w:id="63" w:name="_Toc27149"/>
      <w:bookmarkStart w:id="64" w:name="_Toc440992066"/>
      <w:bookmarkStart w:id="65" w:name="_Toc6036"/>
      <w:bookmarkStart w:id="66" w:name="_Toc440990686"/>
      <w:r>
        <w:rPr>
          <w:rFonts w:hint="eastAsia" w:ascii="Times New Roman" w:hAnsi="Times New Roman" w:eastAsia="宋体" w:cs="Times New Roman"/>
          <w:bCs/>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w:t>
      </w:r>
      <w:r>
        <w:rPr>
          <w:rFonts w:hint="eastAsia" w:ascii="Times New Roman" w:hAnsi="Times New Roman" w:eastAsia="宋体" w:cs="Times New Roman"/>
          <w:bCs/>
          <w:szCs w:val="28"/>
          <w:lang w:val="en-US" w:eastAsia="zh-CN"/>
        </w:rPr>
        <w:t>评估</w:t>
      </w:r>
      <w:r>
        <w:rPr>
          <w:rFonts w:hint="eastAsia" w:ascii="Times New Roman" w:hAnsi="Times New Roman" w:eastAsia="宋体" w:cs="Times New Roman"/>
          <w:bCs/>
          <w:szCs w:val="28"/>
          <w:lang w:eastAsia="zh-CN"/>
        </w:rPr>
        <w:t>价值</w:t>
      </w:r>
      <w:r>
        <w:rPr>
          <w:rFonts w:hint="eastAsia" w:ascii="Times New Roman" w:hAnsi="Times New Roman" w:eastAsia="宋体" w:cs="Times New Roman"/>
          <w:bCs/>
          <w:szCs w:val="28"/>
        </w:rPr>
        <w:t>为人民币（大写）</w:t>
      </w:r>
      <w:r>
        <w:rPr>
          <w:rFonts w:hint="eastAsia" w:eastAsia="宋体" w:cs="Times New Roman"/>
          <w:b/>
          <w:sz w:val="28"/>
          <w:szCs w:val="28"/>
          <w:highlight w:val="none"/>
          <w:lang w:val="en-US" w:eastAsia="zh-CN"/>
        </w:rPr>
        <w:t>：</w:t>
      </w:r>
      <w:bookmarkEnd w:id="62"/>
      <w:bookmarkEnd w:id="63"/>
      <w:bookmarkEnd w:id="64"/>
      <w:bookmarkEnd w:id="65"/>
      <w:bookmarkEnd w:id="66"/>
      <w:bookmarkStart w:id="67" w:name="_Toc3270"/>
      <w:r>
        <w:rPr>
          <w:rFonts w:hint="eastAsia" w:eastAsia="宋体" w:cs="Times New Roman"/>
          <w:b/>
          <w:sz w:val="28"/>
          <w:szCs w:val="28"/>
          <w:highlight w:val="none"/>
          <w:lang w:val="en-US" w:eastAsia="zh-CN"/>
        </w:rPr>
        <w:fldChar w:fldCharType="begin"/>
      </w:r>
      <w:r>
        <w:rPr>
          <w:rFonts w:hint="eastAsia" w:eastAsia="宋体" w:cs="Times New Roman"/>
          <w:b/>
          <w:sz w:val="28"/>
          <w:szCs w:val="28"/>
          <w:highlight w:val="none"/>
          <w:lang w:val="en-US" w:eastAsia="zh-CN"/>
        </w:rPr>
        <w:instrText xml:space="preserve"> = 1702100 \* CHINESENUM2 \* MERGEFORMAT </w:instrText>
      </w:r>
      <w:r>
        <w:rPr>
          <w:rFonts w:hint="eastAsia" w:eastAsia="宋体" w:cs="Times New Roman"/>
          <w:b/>
          <w:sz w:val="28"/>
          <w:szCs w:val="28"/>
          <w:highlight w:val="none"/>
          <w:lang w:val="en-US" w:eastAsia="zh-CN"/>
        </w:rPr>
        <w:fldChar w:fldCharType="separate"/>
      </w:r>
      <w:r>
        <w:rPr>
          <w:rFonts w:hint="eastAsia" w:eastAsia="宋体" w:cs="Times New Roman"/>
          <w:b/>
          <w:sz w:val="28"/>
          <w:szCs w:val="28"/>
          <w:highlight w:val="none"/>
          <w:lang w:val="en-US" w:eastAsia="zh-CN"/>
        </w:rPr>
        <w:t>壹佰柒拾万贰仟壹佰</w:t>
      </w:r>
      <w:r>
        <w:rPr>
          <w:rFonts w:hint="eastAsia" w:eastAsia="宋体" w:cs="Times New Roman"/>
          <w:b/>
          <w:sz w:val="28"/>
          <w:szCs w:val="28"/>
          <w:highlight w:val="none"/>
          <w:lang w:val="en-US" w:eastAsia="zh-CN"/>
        </w:rPr>
        <w:fldChar w:fldCharType="end"/>
      </w:r>
      <w:r>
        <w:rPr>
          <w:rFonts w:hint="eastAsia" w:eastAsia="宋体" w:cs="Times New Roman"/>
          <w:b/>
          <w:sz w:val="28"/>
          <w:szCs w:val="28"/>
          <w:highlight w:val="none"/>
          <w:lang w:val="en-US" w:eastAsia="zh-CN"/>
        </w:rPr>
        <w:t>元整（¥170.21万元），详见估价结果一览表。</w:t>
      </w:r>
    </w:p>
    <w:p>
      <w:pPr>
        <w:pStyle w:val="4"/>
        <w:bidi w:val="0"/>
        <w:ind w:firstLine="579" w:firstLineChars="200"/>
        <w:jc w:val="left"/>
        <w:rPr>
          <w:rFonts w:hint="eastAsia"/>
          <w:lang w:val="en-US" w:eastAsia="zh-CN"/>
        </w:rPr>
      </w:pPr>
      <w:r>
        <w:rPr>
          <w:rFonts w:hint="eastAsia"/>
          <w:lang w:val="en-US" w:eastAsia="zh-CN"/>
        </w:rPr>
        <w:t>十一、注册房地产估价师</w:t>
      </w:r>
      <w:bookmarkEnd w:id="67"/>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407" w:type="dxa"/>
            <w:tcBorders>
              <w:top w:val="single" w:color="auto" w:sz="12" w:space="0"/>
              <w:left w:val="single" w:color="auto" w:sz="12" w:space="0"/>
            </w:tcBorders>
            <w:vAlign w:val="center"/>
          </w:tcPr>
          <w:p>
            <w:pPr>
              <w:snapToGrid w:val="0"/>
              <w:jc w:val="center"/>
              <w:rPr>
                <w:szCs w:val="28"/>
              </w:rPr>
            </w:pPr>
            <w:r>
              <w:rPr>
                <w:szCs w:val="28"/>
              </w:rPr>
              <w:t>姓名</w:t>
            </w:r>
          </w:p>
        </w:tc>
        <w:tc>
          <w:tcPr>
            <w:tcW w:w="2010" w:type="dxa"/>
            <w:tcBorders>
              <w:top w:val="single" w:color="auto" w:sz="12" w:space="0"/>
            </w:tcBorders>
            <w:vAlign w:val="center"/>
          </w:tcPr>
          <w:p>
            <w:pPr>
              <w:snapToGrid w:val="0"/>
              <w:jc w:val="center"/>
              <w:rPr>
                <w:szCs w:val="28"/>
              </w:rPr>
            </w:pPr>
            <w:r>
              <w:rPr>
                <w:szCs w:val="28"/>
              </w:rPr>
              <w:t>注册号</w:t>
            </w:r>
          </w:p>
        </w:tc>
        <w:tc>
          <w:tcPr>
            <w:tcW w:w="3110" w:type="dxa"/>
            <w:tcBorders>
              <w:top w:val="single" w:color="auto" w:sz="12" w:space="0"/>
            </w:tcBorders>
            <w:vAlign w:val="center"/>
          </w:tcPr>
          <w:p>
            <w:pPr>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1407" w:type="dxa"/>
            <w:tcBorders>
              <w:left w:val="single" w:color="auto" w:sz="12" w:space="0"/>
            </w:tcBorders>
            <w:vAlign w:val="center"/>
          </w:tcPr>
          <w:p>
            <w:pPr>
              <w:snapToGrid w:val="0"/>
              <w:jc w:val="center"/>
              <w:rPr>
                <w:rFonts w:hint="eastAsia"/>
                <w:snapToGrid w:val="0"/>
                <w:sz w:val="28"/>
                <w:szCs w:val="28"/>
              </w:rPr>
            </w:pPr>
            <w:r>
              <w:rPr>
                <w:rFonts w:hint="eastAsia"/>
                <w:snapToGrid w:val="0"/>
                <w:sz w:val="28"/>
                <w:szCs w:val="28"/>
              </w:rPr>
              <w:t>谢光明</w:t>
            </w:r>
          </w:p>
        </w:tc>
        <w:tc>
          <w:tcPr>
            <w:tcW w:w="2010" w:type="dxa"/>
            <w:vAlign w:val="center"/>
          </w:tcPr>
          <w:p>
            <w:pPr>
              <w:snapToGrid w:val="0"/>
              <w:jc w:val="center"/>
              <w:rPr>
                <w:rFonts w:hint="eastAsia"/>
                <w:snapToGrid w:val="0"/>
                <w:sz w:val="28"/>
                <w:szCs w:val="28"/>
              </w:rPr>
            </w:pPr>
            <w:r>
              <w:rPr>
                <w:rFonts w:hint="eastAsia"/>
                <w:snapToGrid w:val="0"/>
                <w:sz w:val="28"/>
                <w:szCs w:val="28"/>
              </w:rPr>
              <w:t>5220180018</w:t>
            </w:r>
          </w:p>
        </w:tc>
        <w:tc>
          <w:tcPr>
            <w:tcW w:w="3110" w:type="dxa"/>
            <w:vAlign w:val="center"/>
          </w:tcPr>
          <w:p>
            <w:pPr>
              <w:snapToGrid w:val="0"/>
              <w:jc w:val="center"/>
              <w:rPr>
                <w:rFonts w:hint="eastAsia"/>
                <w:snapToGrid w:val="0"/>
                <w:sz w:val="28"/>
                <w:szCs w:val="28"/>
              </w:rPr>
            </w:pPr>
          </w:p>
        </w:tc>
        <w:tc>
          <w:tcPr>
            <w:tcW w:w="2473" w:type="dxa"/>
            <w:tcBorders>
              <w:right w:val="single" w:color="auto" w:sz="12" w:space="0"/>
            </w:tcBorders>
            <w:vAlign w:val="center"/>
          </w:tcPr>
          <w:p>
            <w:pPr>
              <w:snapToGrid w:val="0"/>
              <w:jc w:val="center"/>
              <w:rPr>
                <w:rFonts w:hint="eastAsia" w:eastAsiaTheme="minorEastAsia"/>
                <w:snapToGrid w:val="0"/>
                <w:sz w:val="28"/>
                <w:szCs w:val="28"/>
                <w:lang w:eastAsia="zh-CN"/>
              </w:rPr>
            </w:pPr>
            <w:r>
              <w:rPr>
                <w:rFonts w:hint="eastAsia"/>
                <w:snapToGrid w:val="0"/>
                <w:sz w:val="28"/>
                <w:szCs w:val="28"/>
                <w:lang w:eastAsia="zh-CN"/>
              </w:rPr>
              <w:t>2021年</w:t>
            </w:r>
            <w:r>
              <w:rPr>
                <w:rFonts w:hint="eastAsia"/>
                <w:snapToGrid w:val="0"/>
                <w:sz w:val="28"/>
                <w:szCs w:val="28"/>
                <w:lang w:val="en-US" w:eastAsia="zh-CN"/>
              </w:rPr>
              <w:t>8</w:t>
            </w:r>
            <w:r>
              <w:rPr>
                <w:rFonts w:hint="eastAsia"/>
                <w:snapToGrid w:val="0"/>
                <w:sz w:val="28"/>
                <w:szCs w:val="28"/>
                <w:lang w:eastAsia="zh-CN"/>
              </w:rPr>
              <w:t>月</w:t>
            </w:r>
            <w:r>
              <w:rPr>
                <w:rFonts w:hint="eastAsia"/>
                <w:snapToGrid w:val="0"/>
                <w:sz w:val="28"/>
                <w:szCs w:val="28"/>
                <w:lang w:val="en-US" w:eastAsia="zh-CN"/>
              </w:rPr>
              <w:t>22</w:t>
            </w:r>
            <w:r>
              <w:rPr>
                <w:rFonts w:hint="eastAsia"/>
                <w:snapToGrid w:val="0"/>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1407" w:type="dxa"/>
            <w:tcBorders>
              <w:left w:val="single" w:color="auto" w:sz="12" w:space="0"/>
              <w:bottom w:val="single" w:color="auto" w:sz="12" w:space="0"/>
            </w:tcBorders>
            <w:vAlign w:val="center"/>
          </w:tcPr>
          <w:p>
            <w:pPr>
              <w:snapToGrid w:val="0"/>
              <w:jc w:val="center"/>
              <w:rPr>
                <w:rFonts w:hint="eastAsia" w:eastAsiaTheme="minorEastAsia"/>
                <w:snapToGrid w:val="0"/>
                <w:sz w:val="28"/>
                <w:szCs w:val="28"/>
                <w:lang w:val="en-US" w:eastAsia="zh-CN"/>
              </w:rPr>
            </w:pPr>
            <w:r>
              <w:rPr>
                <w:rFonts w:hint="eastAsia"/>
                <w:snapToGrid w:val="0"/>
                <w:sz w:val="28"/>
                <w:szCs w:val="28"/>
                <w:lang w:val="en-US" w:eastAsia="zh-CN"/>
              </w:rPr>
              <w:t>周礼行</w:t>
            </w:r>
          </w:p>
        </w:tc>
        <w:tc>
          <w:tcPr>
            <w:tcW w:w="2010" w:type="dxa"/>
            <w:tcBorders>
              <w:bottom w:val="single" w:color="auto" w:sz="12" w:space="0"/>
            </w:tcBorders>
            <w:vAlign w:val="center"/>
          </w:tcPr>
          <w:p>
            <w:pPr>
              <w:snapToGrid w:val="0"/>
              <w:jc w:val="center"/>
              <w:rPr>
                <w:rFonts w:hint="eastAsia"/>
                <w:snapToGrid w:val="0"/>
                <w:sz w:val="28"/>
                <w:szCs w:val="28"/>
              </w:rPr>
            </w:pPr>
            <w:r>
              <w:rPr>
                <w:rFonts w:hint="eastAsia"/>
                <w:snapToGrid w:val="0"/>
                <w:sz w:val="28"/>
                <w:szCs w:val="28"/>
                <w:lang w:eastAsia="zh-CN"/>
              </w:rPr>
              <w:t>5220180026</w:t>
            </w:r>
          </w:p>
        </w:tc>
        <w:tc>
          <w:tcPr>
            <w:tcW w:w="3110" w:type="dxa"/>
            <w:tcBorders>
              <w:bottom w:val="single" w:color="auto" w:sz="12" w:space="0"/>
            </w:tcBorders>
            <w:vAlign w:val="center"/>
          </w:tcPr>
          <w:p>
            <w:pPr>
              <w:snapToGrid w:val="0"/>
              <w:jc w:val="center"/>
              <w:rPr>
                <w:rFonts w:hint="eastAsia"/>
                <w:snapToGrid w:val="0"/>
                <w:sz w:val="28"/>
                <w:szCs w:val="28"/>
              </w:rPr>
            </w:pPr>
          </w:p>
        </w:tc>
        <w:tc>
          <w:tcPr>
            <w:tcW w:w="2473" w:type="dxa"/>
            <w:tcBorders>
              <w:bottom w:val="single" w:color="auto" w:sz="12" w:space="0"/>
              <w:right w:val="single" w:color="auto" w:sz="12" w:space="0"/>
            </w:tcBorders>
            <w:vAlign w:val="center"/>
          </w:tcPr>
          <w:p>
            <w:pPr>
              <w:snapToGrid w:val="0"/>
              <w:jc w:val="center"/>
              <w:rPr>
                <w:rFonts w:hint="eastAsia" w:eastAsiaTheme="minorEastAsia"/>
                <w:snapToGrid w:val="0"/>
                <w:sz w:val="28"/>
                <w:szCs w:val="28"/>
                <w:lang w:eastAsia="zh-CN"/>
              </w:rPr>
            </w:pPr>
            <w:r>
              <w:rPr>
                <w:rFonts w:hint="eastAsia"/>
                <w:snapToGrid w:val="0"/>
                <w:sz w:val="28"/>
                <w:szCs w:val="28"/>
                <w:lang w:eastAsia="zh-CN"/>
              </w:rPr>
              <w:t>2021年</w:t>
            </w:r>
            <w:r>
              <w:rPr>
                <w:rFonts w:hint="eastAsia"/>
                <w:snapToGrid w:val="0"/>
                <w:sz w:val="28"/>
                <w:szCs w:val="28"/>
                <w:lang w:val="en-US" w:eastAsia="zh-CN"/>
              </w:rPr>
              <w:t>8</w:t>
            </w:r>
            <w:r>
              <w:rPr>
                <w:rFonts w:hint="eastAsia"/>
                <w:snapToGrid w:val="0"/>
                <w:sz w:val="28"/>
                <w:szCs w:val="28"/>
                <w:lang w:eastAsia="zh-CN"/>
              </w:rPr>
              <w:t>月</w:t>
            </w:r>
            <w:r>
              <w:rPr>
                <w:rFonts w:hint="eastAsia"/>
                <w:snapToGrid w:val="0"/>
                <w:sz w:val="28"/>
                <w:szCs w:val="28"/>
                <w:lang w:val="en-US" w:eastAsia="zh-CN"/>
              </w:rPr>
              <w:t>22</w:t>
            </w:r>
            <w:r>
              <w:rPr>
                <w:rFonts w:hint="eastAsia"/>
                <w:snapToGrid w:val="0"/>
                <w:sz w:val="28"/>
                <w:szCs w:val="28"/>
                <w:lang w:eastAsia="zh-CN"/>
              </w:rPr>
              <w:t>日</w:t>
            </w:r>
          </w:p>
        </w:tc>
      </w:tr>
    </w:tbl>
    <w:p>
      <w:pPr>
        <w:pStyle w:val="4"/>
        <w:ind w:firstLine="579" w:firstLineChars="200"/>
        <w:jc w:val="left"/>
      </w:pPr>
      <w:bookmarkStart w:id="68" w:name="_Toc440980990"/>
      <w:bookmarkStart w:id="69" w:name="_Toc440992067"/>
      <w:bookmarkStart w:id="70" w:name="_Toc440990687"/>
      <w:bookmarkStart w:id="71" w:name="_Toc12400"/>
      <w:bookmarkStart w:id="72" w:name="_Toc440977514"/>
      <w:bookmarkStart w:id="73" w:name="_Toc32520"/>
      <w:bookmarkStart w:id="74" w:name="_Toc32732"/>
      <w:bookmarkStart w:id="75" w:name="_Toc440980567"/>
      <w:r>
        <w:rPr>
          <w:rFonts w:hint="eastAsia"/>
        </w:rPr>
        <w:t>十二、实地查勘期</w:t>
      </w:r>
      <w:bookmarkEnd w:id="68"/>
      <w:bookmarkEnd w:id="69"/>
      <w:bookmarkEnd w:id="70"/>
      <w:bookmarkEnd w:id="71"/>
      <w:bookmarkEnd w:id="72"/>
      <w:bookmarkEnd w:id="73"/>
      <w:bookmarkEnd w:id="74"/>
      <w:bookmarkEnd w:id="75"/>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eastAsia="zh-CN"/>
        </w:rPr>
        <w:t>2022年8月15日</w:t>
      </w:r>
    </w:p>
    <w:p>
      <w:pPr>
        <w:pStyle w:val="4"/>
        <w:ind w:firstLine="579" w:firstLineChars="200"/>
        <w:jc w:val="left"/>
      </w:pPr>
      <w:bookmarkStart w:id="76" w:name="_Toc440990688"/>
      <w:bookmarkStart w:id="77" w:name="_Toc23116"/>
      <w:bookmarkStart w:id="78" w:name="_Toc440992068"/>
      <w:bookmarkStart w:id="79" w:name="_Toc24579"/>
      <w:bookmarkStart w:id="80" w:name="_Toc13936"/>
      <w:r>
        <w:rPr>
          <w:rFonts w:hint="eastAsia"/>
        </w:rPr>
        <w:t>十三、估价作业期</w:t>
      </w:r>
      <w:bookmarkEnd w:id="76"/>
      <w:bookmarkEnd w:id="77"/>
      <w:bookmarkEnd w:id="78"/>
      <w:bookmarkEnd w:id="79"/>
      <w:bookmarkEnd w:id="80"/>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eastAsia="zh-CN"/>
        </w:rPr>
        <w:t>202</w:t>
      </w: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12</w:t>
      </w:r>
      <w:bookmarkStart w:id="81" w:name="_GoBack"/>
      <w:bookmarkEnd w:id="81"/>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snapToGrid w:val="0"/>
          <w:sz w:val="28"/>
          <w:szCs w:val="28"/>
          <w:lang w:eastAsia="zh-CN"/>
        </w:rPr>
        <w:t>2021年</w:t>
      </w:r>
      <w:r>
        <w:rPr>
          <w:rFonts w:hint="eastAsia"/>
          <w:snapToGrid w:val="0"/>
          <w:sz w:val="28"/>
          <w:szCs w:val="28"/>
          <w:lang w:val="en-US" w:eastAsia="zh-CN"/>
        </w:rPr>
        <w:t>8</w:t>
      </w:r>
      <w:r>
        <w:rPr>
          <w:rFonts w:hint="eastAsia"/>
          <w:snapToGrid w:val="0"/>
          <w:sz w:val="28"/>
          <w:szCs w:val="28"/>
          <w:lang w:eastAsia="zh-CN"/>
        </w:rPr>
        <w:t>月</w:t>
      </w:r>
      <w:r>
        <w:rPr>
          <w:rFonts w:hint="eastAsia"/>
          <w:snapToGrid w:val="0"/>
          <w:sz w:val="28"/>
          <w:szCs w:val="28"/>
          <w:lang w:val="en-US" w:eastAsia="zh-CN"/>
        </w:rPr>
        <w:t>22</w:t>
      </w:r>
      <w:r>
        <w:rPr>
          <w:rFonts w:hint="eastAsia"/>
          <w:snapToGrid w:val="0"/>
          <w:sz w:val="28"/>
          <w:szCs w:val="28"/>
          <w:lang w:eastAsia="zh-CN"/>
        </w:rPr>
        <w:t>日</w:t>
      </w:r>
      <w:r>
        <w:rPr>
          <w:rFonts w:hint="eastAsia" w:ascii="Times New Roman" w:hAnsi="Times New Roman" w:eastAsia="宋体" w:cs="Times New Roman"/>
          <w:bCs/>
          <w:szCs w:val="28"/>
        </w:rPr>
        <w:t>。</w:t>
      </w:r>
    </w:p>
    <w:p>
      <w:pPr>
        <w:pStyle w:val="10"/>
        <w:adjustRightInd/>
        <w:spacing w:line="360" w:lineRule="auto"/>
        <w:ind w:left="0" w:leftChars="0" w:firstLine="200"/>
        <w:jc w:val="right"/>
        <w:rPr>
          <w:rFonts w:ascii="宋体" w:hAnsi="宋体" w:eastAsia="宋体"/>
          <w:spacing w:val="0"/>
          <w:szCs w:val="28"/>
        </w:rPr>
      </w:pPr>
      <w:r>
        <w:rPr>
          <w:rFonts w:hint="eastAsia" w:ascii="宋体" w:hAnsi="宋体" w:eastAsia="宋体"/>
          <w:spacing w:val="0"/>
          <w:szCs w:val="28"/>
          <w:lang w:eastAsia="zh-CN"/>
        </w:rPr>
        <w:t>贵州瑞华亚太房地产土地资产评估有限公司</w:t>
      </w:r>
      <w:r>
        <w:rPr>
          <w:rFonts w:ascii="宋体" w:hAnsi="宋体" w:eastAsia="宋体"/>
          <w:spacing w:val="0"/>
          <w:szCs w:val="28"/>
        </w:rPr>
        <w:t xml:space="preserve"> </w:t>
      </w:r>
    </w:p>
    <w:p>
      <w:pPr>
        <w:pStyle w:val="27"/>
        <w:spacing w:before="156" w:beforeLines="50" w:after="156" w:afterLines="50" w:line="360" w:lineRule="auto"/>
        <w:jc w:val="right"/>
      </w:pPr>
      <w:r>
        <w:rPr>
          <w:rFonts w:hint="eastAsia"/>
          <w:sz w:val="28"/>
          <w:szCs w:val="28"/>
          <w:highlight w:val="none"/>
          <w:lang w:eastAsia="zh-CN"/>
        </w:rPr>
        <w:t>二○二二年八月二十二日</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第2页 共2页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w:t>
                    </w:r>
                    <w:r>
                      <w:t xml:space="preserve"> 页</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rPr>
                              <w:color w:val="FF0000"/>
                            </w:rPr>
                            <w:fldChar w:fldCharType="begin"/>
                          </w:r>
                          <w:r>
                            <w:rPr>
                              <w:color w:val="FF0000"/>
                            </w:rPr>
                            <w:instrText xml:space="preserve"> PAGE  \* MERGEFORMAT </w:instrText>
                          </w:r>
                          <w:r>
                            <w:rPr>
                              <w:color w:val="FF0000"/>
                            </w:rPr>
                            <w:fldChar w:fldCharType="separate"/>
                          </w:r>
                          <w:r>
                            <w:rPr>
                              <w:color w:val="FF0000"/>
                            </w:rPr>
                            <w:t>1</w:t>
                          </w:r>
                          <w:r>
                            <w:rPr>
                              <w:color w:val="FF0000"/>
                            </w:rP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rPr>
                        <w:color w:val="FF0000"/>
                      </w:rPr>
                      <w:fldChar w:fldCharType="begin"/>
                    </w:r>
                    <w:r>
                      <w:rPr>
                        <w:color w:val="FF0000"/>
                      </w:rPr>
                      <w:instrText xml:space="preserve"> PAGE  \* MERGEFORMAT </w:instrText>
                    </w:r>
                    <w:r>
                      <w:rPr>
                        <w:color w:val="FF0000"/>
                      </w:rPr>
                      <w:fldChar w:fldCharType="separate"/>
                    </w:r>
                    <w:r>
                      <w:rPr>
                        <w:color w:val="FF0000"/>
                      </w:rPr>
                      <w:t>1</w:t>
                    </w:r>
                    <w:r>
                      <w:rPr>
                        <w:color w:val="FF0000"/>
                      </w:rPr>
                      <w:fldChar w:fldCharType="end"/>
                    </w:r>
                    <w:r>
                      <w:t xml:space="preserve"> 页 共 </w:t>
                    </w:r>
                    <w:r>
                      <w:rPr>
                        <w:rFonts w:hint="eastAsia"/>
                        <w:lang w:val="en-US" w:eastAsia="zh-CN"/>
                      </w:rPr>
                      <w:t>3</w:t>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s+A5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ehoXX2o&#10;ugeYQ8vCTj9YHtNEqbxdHwOkTYpHgTpV0Kl4wCSmnvVbE0f9z3OKevy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mEs+A5AgAAcQQAAA4AAAAAAAAAAQAgAAAAHwEAAGRycy9lMm9Eb2Mu&#10;eG1sUEsFBgAAAAAGAAYAWQEAAMo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12</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12</w:t>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14</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14</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41C80"/>
    <w:multiLevelType w:val="singleLevel"/>
    <w:tmpl w:val="3F941C80"/>
    <w:lvl w:ilvl="0" w:tentative="0">
      <w:start w:val="3"/>
      <w:numFmt w:val="chineseCounting"/>
      <w:suff w:val="nothing"/>
      <w:lvlText w:val="%1、"/>
      <w:lvlJc w:val="left"/>
      <w:pPr>
        <w:ind w:left="-2"/>
      </w:pPr>
      <w:rPr>
        <w:rFonts w:hint="eastAsia"/>
      </w:rPr>
    </w:lvl>
  </w:abstractNum>
  <w:abstractNum w:abstractNumId="1">
    <w:nsid w:val="59CB438A"/>
    <w:multiLevelType w:val="singleLevel"/>
    <w:tmpl w:val="59CB438A"/>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mE5ZTYzMjVkNzc1NDg0Zjc5ZjU0NDEyYjVhMWIifQ=="/>
  </w:docVars>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0F4059"/>
    <w:rsid w:val="00102DDB"/>
    <w:rsid w:val="00115825"/>
    <w:rsid w:val="00115BB7"/>
    <w:rsid w:val="00126195"/>
    <w:rsid w:val="001471F8"/>
    <w:rsid w:val="0017241A"/>
    <w:rsid w:val="00185FA8"/>
    <w:rsid w:val="00193F4C"/>
    <w:rsid w:val="001B357C"/>
    <w:rsid w:val="001B4BAA"/>
    <w:rsid w:val="001C4D5C"/>
    <w:rsid w:val="001D1894"/>
    <w:rsid w:val="001D1B5C"/>
    <w:rsid w:val="001D76B3"/>
    <w:rsid w:val="001E2545"/>
    <w:rsid w:val="001F6966"/>
    <w:rsid w:val="00207316"/>
    <w:rsid w:val="002077BF"/>
    <w:rsid w:val="0021136E"/>
    <w:rsid w:val="002142E7"/>
    <w:rsid w:val="002234FC"/>
    <w:rsid w:val="002421BC"/>
    <w:rsid w:val="00242F3A"/>
    <w:rsid w:val="002609F1"/>
    <w:rsid w:val="002636F3"/>
    <w:rsid w:val="002747E6"/>
    <w:rsid w:val="002C2BD6"/>
    <w:rsid w:val="002D5F1A"/>
    <w:rsid w:val="002D6DCC"/>
    <w:rsid w:val="002F24B8"/>
    <w:rsid w:val="00304F0F"/>
    <w:rsid w:val="0031798B"/>
    <w:rsid w:val="00337E2B"/>
    <w:rsid w:val="00362362"/>
    <w:rsid w:val="00375B2A"/>
    <w:rsid w:val="003972E2"/>
    <w:rsid w:val="003A420B"/>
    <w:rsid w:val="003D1F87"/>
    <w:rsid w:val="00422389"/>
    <w:rsid w:val="0042668C"/>
    <w:rsid w:val="004503C4"/>
    <w:rsid w:val="00454B32"/>
    <w:rsid w:val="00456F4B"/>
    <w:rsid w:val="00460CFD"/>
    <w:rsid w:val="004623D0"/>
    <w:rsid w:val="00466F52"/>
    <w:rsid w:val="00472BCE"/>
    <w:rsid w:val="0047515F"/>
    <w:rsid w:val="0048164E"/>
    <w:rsid w:val="00484B91"/>
    <w:rsid w:val="00485E51"/>
    <w:rsid w:val="004A4467"/>
    <w:rsid w:val="004C5A01"/>
    <w:rsid w:val="004D1DD7"/>
    <w:rsid w:val="004E555A"/>
    <w:rsid w:val="0050222C"/>
    <w:rsid w:val="005078C0"/>
    <w:rsid w:val="00535A04"/>
    <w:rsid w:val="00537268"/>
    <w:rsid w:val="00552686"/>
    <w:rsid w:val="00553789"/>
    <w:rsid w:val="00565480"/>
    <w:rsid w:val="00574752"/>
    <w:rsid w:val="005772D4"/>
    <w:rsid w:val="005822D7"/>
    <w:rsid w:val="00584D62"/>
    <w:rsid w:val="00594010"/>
    <w:rsid w:val="005C270E"/>
    <w:rsid w:val="005F0D92"/>
    <w:rsid w:val="00614AAD"/>
    <w:rsid w:val="00632AD5"/>
    <w:rsid w:val="006367EB"/>
    <w:rsid w:val="00643815"/>
    <w:rsid w:val="00647CEB"/>
    <w:rsid w:val="00670584"/>
    <w:rsid w:val="006839CF"/>
    <w:rsid w:val="006902A4"/>
    <w:rsid w:val="00692864"/>
    <w:rsid w:val="00693C69"/>
    <w:rsid w:val="006A0CDC"/>
    <w:rsid w:val="006B0DAF"/>
    <w:rsid w:val="006C7B07"/>
    <w:rsid w:val="006D0A6B"/>
    <w:rsid w:val="006E737D"/>
    <w:rsid w:val="00713AE3"/>
    <w:rsid w:val="00716C6B"/>
    <w:rsid w:val="00743D48"/>
    <w:rsid w:val="0074422B"/>
    <w:rsid w:val="00751FD2"/>
    <w:rsid w:val="00761B84"/>
    <w:rsid w:val="00764CCE"/>
    <w:rsid w:val="00767EE4"/>
    <w:rsid w:val="0078195D"/>
    <w:rsid w:val="00786E60"/>
    <w:rsid w:val="0079537B"/>
    <w:rsid w:val="00795EDD"/>
    <w:rsid w:val="007B1A28"/>
    <w:rsid w:val="007B30C7"/>
    <w:rsid w:val="007B32EB"/>
    <w:rsid w:val="007C10C3"/>
    <w:rsid w:val="007C376A"/>
    <w:rsid w:val="007D11AA"/>
    <w:rsid w:val="008005D5"/>
    <w:rsid w:val="00802D5D"/>
    <w:rsid w:val="00803B1D"/>
    <w:rsid w:val="008064A4"/>
    <w:rsid w:val="00813088"/>
    <w:rsid w:val="008143F6"/>
    <w:rsid w:val="00826278"/>
    <w:rsid w:val="00855825"/>
    <w:rsid w:val="008568D2"/>
    <w:rsid w:val="00857384"/>
    <w:rsid w:val="00881D50"/>
    <w:rsid w:val="00893A09"/>
    <w:rsid w:val="008C6BD1"/>
    <w:rsid w:val="008D00CA"/>
    <w:rsid w:val="008D3E56"/>
    <w:rsid w:val="008F5D66"/>
    <w:rsid w:val="0090086A"/>
    <w:rsid w:val="00912A68"/>
    <w:rsid w:val="00917E0E"/>
    <w:rsid w:val="009241B2"/>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6457D"/>
    <w:rsid w:val="00A71E79"/>
    <w:rsid w:val="00A75A04"/>
    <w:rsid w:val="00A86885"/>
    <w:rsid w:val="00AA3416"/>
    <w:rsid w:val="00AA47EB"/>
    <w:rsid w:val="00AD189D"/>
    <w:rsid w:val="00AD4E73"/>
    <w:rsid w:val="00AE19E3"/>
    <w:rsid w:val="00AE5C26"/>
    <w:rsid w:val="00B0368B"/>
    <w:rsid w:val="00B21D61"/>
    <w:rsid w:val="00B3622A"/>
    <w:rsid w:val="00B3720E"/>
    <w:rsid w:val="00B87C26"/>
    <w:rsid w:val="00BB1E9A"/>
    <w:rsid w:val="00BD7526"/>
    <w:rsid w:val="00BE6D9E"/>
    <w:rsid w:val="00BF033B"/>
    <w:rsid w:val="00C050F3"/>
    <w:rsid w:val="00C34387"/>
    <w:rsid w:val="00C34EB2"/>
    <w:rsid w:val="00C3782E"/>
    <w:rsid w:val="00C42675"/>
    <w:rsid w:val="00C4717C"/>
    <w:rsid w:val="00CA22E1"/>
    <w:rsid w:val="00CA3894"/>
    <w:rsid w:val="00CA7570"/>
    <w:rsid w:val="00CB4529"/>
    <w:rsid w:val="00CC2954"/>
    <w:rsid w:val="00CC2B9A"/>
    <w:rsid w:val="00CD5C86"/>
    <w:rsid w:val="00CF40A2"/>
    <w:rsid w:val="00D11844"/>
    <w:rsid w:val="00D118A2"/>
    <w:rsid w:val="00D13D3D"/>
    <w:rsid w:val="00D20D8D"/>
    <w:rsid w:val="00D22563"/>
    <w:rsid w:val="00D413B3"/>
    <w:rsid w:val="00D427DE"/>
    <w:rsid w:val="00D5190E"/>
    <w:rsid w:val="00D619BB"/>
    <w:rsid w:val="00D6393A"/>
    <w:rsid w:val="00D662B3"/>
    <w:rsid w:val="00D677E7"/>
    <w:rsid w:val="00D73C86"/>
    <w:rsid w:val="00D9452C"/>
    <w:rsid w:val="00D96B28"/>
    <w:rsid w:val="00DA0937"/>
    <w:rsid w:val="00DB1D57"/>
    <w:rsid w:val="00DC562C"/>
    <w:rsid w:val="00DC5706"/>
    <w:rsid w:val="00DC7F32"/>
    <w:rsid w:val="00DD5F10"/>
    <w:rsid w:val="00DE2A17"/>
    <w:rsid w:val="00E04FF5"/>
    <w:rsid w:val="00E06B22"/>
    <w:rsid w:val="00E169E1"/>
    <w:rsid w:val="00E37744"/>
    <w:rsid w:val="00E526D5"/>
    <w:rsid w:val="00E62DA1"/>
    <w:rsid w:val="00E77920"/>
    <w:rsid w:val="00E85FEB"/>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0FF506C"/>
    <w:rsid w:val="01006E0C"/>
    <w:rsid w:val="01084510"/>
    <w:rsid w:val="015578F1"/>
    <w:rsid w:val="01803F2D"/>
    <w:rsid w:val="01A93AB8"/>
    <w:rsid w:val="01B8626C"/>
    <w:rsid w:val="01C64B27"/>
    <w:rsid w:val="01DB6DF2"/>
    <w:rsid w:val="02025D76"/>
    <w:rsid w:val="02305065"/>
    <w:rsid w:val="02AD5050"/>
    <w:rsid w:val="02BF75AC"/>
    <w:rsid w:val="02CB1035"/>
    <w:rsid w:val="02D1697A"/>
    <w:rsid w:val="02F50EDF"/>
    <w:rsid w:val="02F731D4"/>
    <w:rsid w:val="030250E3"/>
    <w:rsid w:val="0324064E"/>
    <w:rsid w:val="033332BC"/>
    <w:rsid w:val="033A6CE1"/>
    <w:rsid w:val="0358731B"/>
    <w:rsid w:val="03674223"/>
    <w:rsid w:val="03787BE6"/>
    <w:rsid w:val="03B75B74"/>
    <w:rsid w:val="03DD3869"/>
    <w:rsid w:val="045452FF"/>
    <w:rsid w:val="045B0617"/>
    <w:rsid w:val="045F11A2"/>
    <w:rsid w:val="046A1CF3"/>
    <w:rsid w:val="046A7128"/>
    <w:rsid w:val="048D2117"/>
    <w:rsid w:val="04A32F43"/>
    <w:rsid w:val="04AB1AC9"/>
    <w:rsid w:val="050C35F7"/>
    <w:rsid w:val="052D7542"/>
    <w:rsid w:val="053E6E45"/>
    <w:rsid w:val="054F2DC6"/>
    <w:rsid w:val="0591534E"/>
    <w:rsid w:val="05D72384"/>
    <w:rsid w:val="0607433F"/>
    <w:rsid w:val="06165B0D"/>
    <w:rsid w:val="0649438D"/>
    <w:rsid w:val="066740F1"/>
    <w:rsid w:val="066F2C48"/>
    <w:rsid w:val="067514EE"/>
    <w:rsid w:val="06815743"/>
    <w:rsid w:val="06A1234B"/>
    <w:rsid w:val="06A5774A"/>
    <w:rsid w:val="06AF3D0D"/>
    <w:rsid w:val="06DD4F87"/>
    <w:rsid w:val="07006AE6"/>
    <w:rsid w:val="070E0D96"/>
    <w:rsid w:val="071E0F6B"/>
    <w:rsid w:val="076607B1"/>
    <w:rsid w:val="077E0533"/>
    <w:rsid w:val="07886256"/>
    <w:rsid w:val="078F6E47"/>
    <w:rsid w:val="079C1C64"/>
    <w:rsid w:val="07A62941"/>
    <w:rsid w:val="07D42332"/>
    <w:rsid w:val="07E8252A"/>
    <w:rsid w:val="08102E87"/>
    <w:rsid w:val="081638B4"/>
    <w:rsid w:val="084773FD"/>
    <w:rsid w:val="08484F8E"/>
    <w:rsid w:val="085271BA"/>
    <w:rsid w:val="086247EB"/>
    <w:rsid w:val="0891128C"/>
    <w:rsid w:val="089E219D"/>
    <w:rsid w:val="08A46FDC"/>
    <w:rsid w:val="08A80EE8"/>
    <w:rsid w:val="08B64E17"/>
    <w:rsid w:val="08D3609C"/>
    <w:rsid w:val="08E840ED"/>
    <w:rsid w:val="09026BA5"/>
    <w:rsid w:val="09163423"/>
    <w:rsid w:val="094073CE"/>
    <w:rsid w:val="09486791"/>
    <w:rsid w:val="09490BBC"/>
    <w:rsid w:val="094A513C"/>
    <w:rsid w:val="09D935CC"/>
    <w:rsid w:val="09DB7703"/>
    <w:rsid w:val="0A26088B"/>
    <w:rsid w:val="0A4F45C5"/>
    <w:rsid w:val="0A542916"/>
    <w:rsid w:val="0A550E7B"/>
    <w:rsid w:val="0A69303C"/>
    <w:rsid w:val="0A6A707B"/>
    <w:rsid w:val="0A6B41FA"/>
    <w:rsid w:val="0AB23EC8"/>
    <w:rsid w:val="0AC3604D"/>
    <w:rsid w:val="0AD63C3B"/>
    <w:rsid w:val="0ADB0822"/>
    <w:rsid w:val="0AE115F0"/>
    <w:rsid w:val="0B1D1FA5"/>
    <w:rsid w:val="0BB24377"/>
    <w:rsid w:val="0BBC5B86"/>
    <w:rsid w:val="0BE43639"/>
    <w:rsid w:val="0BE60D5E"/>
    <w:rsid w:val="0BEA61BB"/>
    <w:rsid w:val="0C051907"/>
    <w:rsid w:val="0C6A6660"/>
    <w:rsid w:val="0C6D3A64"/>
    <w:rsid w:val="0C7D3266"/>
    <w:rsid w:val="0C8603DD"/>
    <w:rsid w:val="0CFE2652"/>
    <w:rsid w:val="0D076A4A"/>
    <w:rsid w:val="0D2437CB"/>
    <w:rsid w:val="0D6F580E"/>
    <w:rsid w:val="0D736F27"/>
    <w:rsid w:val="0D7A3B02"/>
    <w:rsid w:val="0D96271C"/>
    <w:rsid w:val="0D98089A"/>
    <w:rsid w:val="0DAE66A4"/>
    <w:rsid w:val="0DB85F17"/>
    <w:rsid w:val="0DBB05C0"/>
    <w:rsid w:val="0DE80446"/>
    <w:rsid w:val="0DF029C3"/>
    <w:rsid w:val="0DFB4219"/>
    <w:rsid w:val="0E0421A9"/>
    <w:rsid w:val="0E0A64DF"/>
    <w:rsid w:val="0E502793"/>
    <w:rsid w:val="0E7353F4"/>
    <w:rsid w:val="0E7C3DDE"/>
    <w:rsid w:val="0E7E172C"/>
    <w:rsid w:val="0EB03020"/>
    <w:rsid w:val="0EBC1907"/>
    <w:rsid w:val="0EC52E77"/>
    <w:rsid w:val="0EC960A5"/>
    <w:rsid w:val="0F0802FD"/>
    <w:rsid w:val="0F1F24A9"/>
    <w:rsid w:val="0F2A2B5E"/>
    <w:rsid w:val="0F2B066F"/>
    <w:rsid w:val="0F2E0D84"/>
    <w:rsid w:val="0F3114A9"/>
    <w:rsid w:val="0F702F03"/>
    <w:rsid w:val="0FA34B23"/>
    <w:rsid w:val="0FAA55A8"/>
    <w:rsid w:val="102E2A36"/>
    <w:rsid w:val="105D1A57"/>
    <w:rsid w:val="10640648"/>
    <w:rsid w:val="108656A4"/>
    <w:rsid w:val="109F3443"/>
    <w:rsid w:val="10B15905"/>
    <w:rsid w:val="10C210D3"/>
    <w:rsid w:val="10CA6723"/>
    <w:rsid w:val="10DC0458"/>
    <w:rsid w:val="10EF466C"/>
    <w:rsid w:val="11072AFE"/>
    <w:rsid w:val="110C5A96"/>
    <w:rsid w:val="11202244"/>
    <w:rsid w:val="112C20DB"/>
    <w:rsid w:val="11564519"/>
    <w:rsid w:val="118B7AAC"/>
    <w:rsid w:val="11EF793B"/>
    <w:rsid w:val="1227765D"/>
    <w:rsid w:val="124C629A"/>
    <w:rsid w:val="125C48DB"/>
    <w:rsid w:val="129B7A18"/>
    <w:rsid w:val="12A91204"/>
    <w:rsid w:val="12AA5DF1"/>
    <w:rsid w:val="12B53FE5"/>
    <w:rsid w:val="12C77EBD"/>
    <w:rsid w:val="12EF457E"/>
    <w:rsid w:val="12F024E3"/>
    <w:rsid w:val="12F3202C"/>
    <w:rsid w:val="12FD1472"/>
    <w:rsid w:val="12FF38DA"/>
    <w:rsid w:val="130D082D"/>
    <w:rsid w:val="130D4E3B"/>
    <w:rsid w:val="1323622C"/>
    <w:rsid w:val="13C45613"/>
    <w:rsid w:val="13E65EA8"/>
    <w:rsid w:val="13F8311F"/>
    <w:rsid w:val="1432341B"/>
    <w:rsid w:val="146722EB"/>
    <w:rsid w:val="14DC30B7"/>
    <w:rsid w:val="14EC6D2F"/>
    <w:rsid w:val="151155B0"/>
    <w:rsid w:val="151A36C4"/>
    <w:rsid w:val="151C0BD9"/>
    <w:rsid w:val="15295F0F"/>
    <w:rsid w:val="152C0A0B"/>
    <w:rsid w:val="15385593"/>
    <w:rsid w:val="155A4756"/>
    <w:rsid w:val="15717BE9"/>
    <w:rsid w:val="15765003"/>
    <w:rsid w:val="157A0429"/>
    <w:rsid w:val="15BB5CAC"/>
    <w:rsid w:val="15DB0FCF"/>
    <w:rsid w:val="15DD5088"/>
    <w:rsid w:val="15E52A7C"/>
    <w:rsid w:val="16047D98"/>
    <w:rsid w:val="161360C1"/>
    <w:rsid w:val="161E7E3B"/>
    <w:rsid w:val="162E51CD"/>
    <w:rsid w:val="16774403"/>
    <w:rsid w:val="169C3D1C"/>
    <w:rsid w:val="16B15ED5"/>
    <w:rsid w:val="16CF4F73"/>
    <w:rsid w:val="171371BA"/>
    <w:rsid w:val="17421003"/>
    <w:rsid w:val="17494248"/>
    <w:rsid w:val="174A0C25"/>
    <w:rsid w:val="17574791"/>
    <w:rsid w:val="17713B34"/>
    <w:rsid w:val="179A757D"/>
    <w:rsid w:val="17A9584B"/>
    <w:rsid w:val="17B506CB"/>
    <w:rsid w:val="17EC5E51"/>
    <w:rsid w:val="18167655"/>
    <w:rsid w:val="183B7A7C"/>
    <w:rsid w:val="183E56AE"/>
    <w:rsid w:val="18466945"/>
    <w:rsid w:val="18693648"/>
    <w:rsid w:val="18917505"/>
    <w:rsid w:val="18940CB1"/>
    <w:rsid w:val="189A17C7"/>
    <w:rsid w:val="18A27AC9"/>
    <w:rsid w:val="18A36726"/>
    <w:rsid w:val="18E57A8F"/>
    <w:rsid w:val="191042DC"/>
    <w:rsid w:val="191345E4"/>
    <w:rsid w:val="192D3F41"/>
    <w:rsid w:val="197B539B"/>
    <w:rsid w:val="198255DB"/>
    <w:rsid w:val="19873650"/>
    <w:rsid w:val="19A57120"/>
    <w:rsid w:val="19AA40AE"/>
    <w:rsid w:val="19BA6F91"/>
    <w:rsid w:val="1A020515"/>
    <w:rsid w:val="1A2B0D13"/>
    <w:rsid w:val="1A506245"/>
    <w:rsid w:val="1A540EAB"/>
    <w:rsid w:val="1A5E10FC"/>
    <w:rsid w:val="1A8100E9"/>
    <w:rsid w:val="1AB14F1B"/>
    <w:rsid w:val="1AB45720"/>
    <w:rsid w:val="1AD02F01"/>
    <w:rsid w:val="1AEF0A3F"/>
    <w:rsid w:val="1AF306A5"/>
    <w:rsid w:val="1AF4026C"/>
    <w:rsid w:val="1AF749ED"/>
    <w:rsid w:val="1B511C91"/>
    <w:rsid w:val="1BBB4D35"/>
    <w:rsid w:val="1BFE6A15"/>
    <w:rsid w:val="1C0E21D6"/>
    <w:rsid w:val="1C120C68"/>
    <w:rsid w:val="1C136562"/>
    <w:rsid w:val="1C2139E2"/>
    <w:rsid w:val="1C2F257B"/>
    <w:rsid w:val="1C3339B2"/>
    <w:rsid w:val="1C5E41CE"/>
    <w:rsid w:val="1C6C2600"/>
    <w:rsid w:val="1C772EE4"/>
    <w:rsid w:val="1C854396"/>
    <w:rsid w:val="1CAF59BF"/>
    <w:rsid w:val="1CB019BA"/>
    <w:rsid w:val="1CE906D9"/>
    <w:rsid w:val="1D0B7450"/>
    <w:rsid w:val="1D1051EB"/>
    <w:rsid w:val="1D17033E"/>
    <w:rsid w:val="1D1E34FF"/>
    <w:rsid w:val="1D3C4D97"/>
    <w:rsid w:val="1D456325"/>
    <w:rsid w:val="1D876363"/>
    <w:rsid w:val="1D9328E2"/>
    <w:rsid w:val="1DAB40F4"/>
    <w:rsid w:val="1DEB38DA"/>
    <w:rsid w:val="1E537224"/>
    <w:rsid w:val="1E9751ED"/>
    <w:rsid w:val="1EA71CBA"/>
    <w:rsid w:val="1EBB0C2F"/>
    <w:rsid w:val="1EBC1866"/>
    <w:rsid w:val="1EEB0918"/>
    <w:rsid w:val="1F6F4EC3"/>
    <w:rsid w:val="1F9840A6"/>
    <w:rsid w:val="1FA1268C"/>
    <w:rsid w:val="1FA306A0"/>
    <w:rsid w:val="1FA53772"/>
    <w:rsid w:val="1FCD67E7"/>
    <w:rsid w:val="203E338B"/>
    <w:rsid w:val="20491C57"/>
    <w:rsid w:val="208732F2"/>
    <w:rsid w:val="20A508C5"/>
    <w:rsid w:val="20A63861"/>
    <w:rsid w:val="20C6461A"/>
    <w:rsid w:val="20C91B24"/>
    <w:rsid w:val="20E96098"/>
    <w:rsid w:val="20FD6043"/>
    <w:rsid w:val="21042201"/>
    <w:rsid w:val="21092AA9"/>
    <w:rsid w:val="211C35B6"/>
    <w:rsid w:val="21204FD7"/>
    <w:rsid w:val="212124CD"/>
    <w:rsid w:val="216D54BD"/>
    <w:rsid w:val="216F59FD"/>
    <w:rsid w:val="218161F4"/>
    <w:rsid w:val="21C22B5C"/>
    <w:rsid w:val="21DB455F"/>
    <w:rsid w:val="21DD2120"/>
    <w:rsid w:val="21F902D1"/>
    <w:rsid w:val="224321F6"/>
    <w:rsid w:val="22552807"/>
    <w:rsid w:val="22603678"/>
    <w:rsid w:val="228D7D44"/>
    <w:rsid w:val="22C53104"/>
    <w:rsid w:val="22E1649F"/>
    <w:rsid w:val="22E87783"/>
    <w:rsid w:val="23327B80"/>
    <w:rsid w:val="23817021"/>
    <w:rsid w:val="239177A2"/>
    <w:rsid w:val="23B41DB4"/>
    <w:rsid w:val="23F165BD"/>
    <w:rsid w:val="24060717"/>
    <w:rsid w:val="24150A8C"/>
    <w:rsid w:val="241865C1"/>
    <w:rsid w:val="241927E5"/>
    <w:rsid w:val="24476975"/>
    <w:rsid w:val="24737C58"/>
    <w:rsid w:val="248D1B33"/>
    <w:rsid w:val="249950E9"/>
    <w:rsid w:val="24C4423F"/>
    <w:rsid w:val="24CA7727"/>
    <w:rsid w:val="24DB3A0A"/>
    <w:rsid w:val="24DE547D"/>
    <w:rsid w:val="24EF237C"/>
    <w:rsid w:val="251D31E8"/>
    <w:rsid w:val="2520094B"/>
    <w:rsid w:val="252F5C30"/>
    <w:rsid w:val="25855109"/>
    <w:rsid w:val="25A2019F"/>
    <w:rsid w:val="25A54007"/>
    <w:rsid w:val="25BE5181"/>
    <w:rsid w:val="25DB291A"/>
    <w:rsid w:val="260207AC"/>
    <w:rsid w:val="265F3BFD"/>
    <w:rsid w:val="269C666C"/>
    <w:rsid w:val="26CD6B3F"/>
    <w:rsid w:val="26D513D7"/>
    <w:rsid w:val="26F36753"/>
    <w:rsid w:val="26F611C6"/>
    <w:rsid w:val="27444E5A"/>
    <w:rsid w:val="275020B3"/>
    <w:rsid w:val="27757B1A"/>
    <w:rsid w:val="2784278F"/>
    <w:rsid w:val="27982D80"/>
    <w:rsid w:val="27A803F9"/>
    <w:rsid w:val="27AD25A9"/>
    <w:rsid w:val="28102EF2"/>
    <w:rsid w:val="2813068B"/>
    <w:rsid w:val="28242295"/>
    <w:rsid w:val="28294D48"/>
    <w:rsid w:val="288475FB"/>
    <w:rsid w:val="28AE6E87"/>
    <w:rsid w:val="28B81055"/>
    <w:rsid w:val="293D5402"/>
    <w:rsid w:val="299522A6"/>
    <w:rsid w:val="29A5578A"/>
    <w:rsid w:val="29F936D8"/>
    <w:rsid w:val="2A187959"/>
    <w:rsid w:val="2A2F107B"/>
    <w:rsid w:val="2A3331A8"/>
    <w:rsid w:val="2A3E561C"/>
    <w:rsid w:val="2A537323"/>
    <w:rsid w:val="2A824616"/>
    <w:rsid w:val="2AB843B4"/>
    <w:rsid w:val="2ABD6112"/>
    <w:rsid w:val="2AC35EF8"/>
    <w:rsid w:val="2AD91853"/>
    <w:rsid w:val="2ADE2519"/>
    <w:rsid w:val="2AEE01E6"/>
    <w:rsid w:val="2AFA451D"/>
    <w:rsid w:val="2B1B173A"/>
    <w:rsid w:val="2B35642A"/>
    <w:rsid w:val="2B401D70"/>
    <w:rsid w:val="2B4D636C"/>
    <w:rsid w:val="2B550E4F"/>
    <w:rsid w:val="2B6646F6"/>
    <w:rsid w:val="2B754563"/>
    <w:rsid w:val="2BBE552A"/>
    <w:rsid w:val="2C041527"/>
    <w:rsid w:val="2C0655C4"/>
    <w:rsid w:val="2C352496"/>
    <w:rsid w:val="2C3D3EEB"/>
    <w:rsid w:val="2C400718"/>
    <w:rsid w:val="2C8505D1"/>
    <w:rsid w:val="2C983570"/>
    <w:rsid w:val="2C9E0AF7"/>
    <w:rsid w:val="2CBD1A02"/>
    <w:rsid w:val="2CE4317E"/>
    <w:rsid w:val="2D012FF7"/>
    <w:rsid w:val="2D2C6046"/>
    <w:rsid w:val="2D2E74C1"/>
    <w:rsid w:val="2D4D5564"/>
    <w:rsid w:val="2D5A33D6"/>
    <w:rsid w:val="2D7568C2"/>
    <w:rsid w:val="2D8F6E64"/>
    <w:rsid w:val="2D970EC5"/>
    <w:rsid w:val="2DB61775"/>
    <w:rsid w:val="2DB86B7A"/>
    <w:rsid w:val="2DC7102D"/>
    <w:rsid w:val="2DD0300F"/>
    <w:rsid w:val="2DD15C87"/>
    <w:rsid w:val="2DD47474"/>
    <w:rsid w:val="2DE17120"/>
    <w:rsid w:val="2E3A06B9"/>
    <w:rsid w:val="2E524AF3"/>
    <w:rsid w:val="2E6C2092"/>
    <w:rsid w:val="2E827CBB"/>
    <w:rsid w:val="2EA3409D"/>
    <w:rsid w:val="2EC66EC5"/>
    <w:rsid w:val="2F2A388D"/>
    <w:rsid w:val="2F4163F6"/>
    <w:rsid w:val="2F5C213F"/>
    <w:rsid w:val="2F733797"/>
    <w:rsid w:val="2FD55768"/>
    <w:rsid w:val="2FE45E95"/>
    <w:rsid w:val="2FE90187"/>
    <w:rsid w:val="2FF31CB1"/>
    <w:rsid w:val="30432D47"/>
    <w:rsid w:val="30752451"/>
    <w:rsid w:val="30787AEE"/>
    <w:rsid w:val="309662DC"/>
    <w:rsid w:val="30A46BA6"/>
    <w:rsid w:val="30A83FD1"/>
    <w:rsid w:val="30E92CF8"/>
    <w:rsid w:val="30ED2C8E"/>
    <w:rsid w:val="30F708AF"/>
    <w:rsid w:val="3114557B"/>
    <w:rsid w:val="31275D8A"/>
    <w:rsid w:val="31342837"/>
    <w:rsid w:val="31513CE2"/>
    <w:rsid w:val="31820E96"/>
    <w:rsid w:val="31916D43"/>
    <w:rsid w:val="31AB0286"/>
    <w:rsid w:val="31AD7CF0"/>
    <w:rsid w:val="31B64A34"/>
    <w:rsid w:val="31C83682"/>
    <w:rsid w:val="320F1C60"/>
    <w:rsid w:val="323048D2"/>
    <w:rsid w:val="32320A1E"/>
    <w:rsid w:val="323D1CA2"/>
    <w:rsid w:val="326078C9"/>
    <w:rsid w:val="32795B44"/>
    <w:rsid w:val="327F030B"/>
    <w:rsid w:val="329F6FF1"/>
    <w:rsid w:val="32CB4E3F"/>
    <w:rsid w:val="332B6EAE"/>
    <w:rsid w:val="333609B2"/>
    <w:rsid w:val="335F7A86"/>
    <w:rsid w:val="33661EEF"/>
    <w:rsid w:val="338D6159"/>
    <w:rsid w:val="339C13D5"/>
    <w:rsid w:val="33EC5B8E"/>
    <w:rsid w:val="340B3DD1"/>
    <w:rsid w:val="34215097"/>
    <w:rsid w:val="342832F0"/>
    <w:rsid w:val="3450585B"/>
    <w:rsid w:val="34900231"/>
    <w:rsid w:val="349C2F62"/>
    <w:rsid w:val="34A64D76"/>
    <w:rsid w:val="34BD7CF7"/>
    <w:rsid w:val="350A1100"/>
    <w:rsid w:val="351112EF"/>
    <w:rsid w:val="35444D91"/>
    <w:rsid w:val="35755765"/>
    <w:rsid w:val="359A1805"/>
    <w:rsid w:val="35B04173"/>
    <w:rsid w:val="35DA4350"/>
    <w:rsid w:val="36067A29"/>
    <w:rsid w:val="361276D2"/>
    <w:rsid w:val="36415032"/>
    <w:rsid w:val="36655D9D"/>
    <w:rsid w:val="367916AC"/>
    <w:rsid w:val="3682340D"/>
    <w:rsid w:val="368679F1"/>
    <w:rsid w:val="36D11F35"/>
    <w:rsid w:val="36D52385"/>
    <w:rsid w:val="37014050"/>
    <w:rsid w:val="375E56CF"/>
    <w:rsid w:val="378113D6"/>
    <w:rsid w:val="37976515"/>
    <w:rsid w:val="37A553C4"/>
    <w:rsid w:val="37AC07A6"/>
    <w:rsid w:val="37D55A53"/>
    <w:rsid w:val="37EE4AF6"/>
    <w:rsid w:val="381620C9"/>
    <w:rsid w:val="381B7ECC"/>
    <w:rsid w:val="38280A2C"/>
    <w:rsid w:val="38482442"/>
    <w:rsid w:val="384C6FAB"/>
    <w:rsid w:val="38581A14"/>
    <w:rsid w:val="386229F0"/>
    <w:rsid w:val="38742EF7"/>
    <w:rsid w:val="387F56F3"/>
    <w:rsid w:val="38841490"/>
    <w:rsid w:val="38A675A2"/>
    <w:rsid w:val="38D00635"/>
    <w:rsid w:val="39110EF1"/>
    <w:rsid w:val="39330B4C"/>
    <w:rsid w:val="393405A2"/>
    <w:rsid w:val="393607E9"/>
    <w:rsid w:val="398C7AEF"/>
    <w:rsid w:val="39A90B97"/>
    <w:rsid w:val="39D87C45"/>
    <w:rsid w:val="39EB43CA"/>
    <w:rsid w:val="39EE6433"/>
    <w:rsid w:val="3A3B0B5F"/>
    <w:rsid w:val="3A6275A9"/>
    <w:rsid w:val="3A724EBA"/>
    <w:rsid w:val="3A971447"/>
    <w:rsid w:val="3AA37E0C"/>
    <w:rsid w:val="3ABD4178"/>
    <w:rsid w:val="3AC04E9E"/>
    <w:rsid w:val="3ADF5261"/>
    <w:rsid w:val="3AF152E9"/>
    <w:rsid w:val="3B506F70"/>
    <w:rsid w:val="3BD54568"/>
    <w:rsid w:val="3BDF6D36"/>
    <w:rsid w:val="3BEF1118"/>
    <w:rsid w:val="3C190FCE"/>
    <w:rsid w:val="3C4515B9"/>
    <w:rsid w:val="3C7A3523"/>
    <w:rsid w:val="3CA87B28"/>
    <w:rsid w:val="3CDF0A4C"/>
    <w:rsid w:val="3CF72479"/>
    <w:rsid w:val="3CFE0E05"/>
    <w:rsid w:val="3D55032D"/>
    <w:rsid w:val="3D9321F2"/>
    <w:rsid w:val="3DB52001"/>
    <w:rsid w:val="3DD178E9"/>
    <w:rsid w:val="3DD2779E"/>
    <w:rsid w:val="3DD35DD2"/>
    <w:rsid w:val="3DE51856"/>
    <w:rsid w:val="3DF47FD6"/>
    <w:rsid w:val="3E0C71C0"/>
    <w:rsid w:val="3E7543ED"/>
    <w:rsid w:val="3E80203B"/>
    <w:rsid w:val="3EA207F2"/>
    <w:rsid w:val="3EC70647"/>
    <w:rsid w:val="3EC93C52"/>
    <w:rsid w:val="3ECD68A1"/>
    <w:rsid w:val="3EDE4E3F"/>
    <w:rsid w:val="3F3E1F86"/>
    <w:rsid w:val="3FA170C8"/>
    <w:rsid w:val="40051582"/>
    <w:rsid w:val="401E6A8D"/>
    <w:rsid w:val="401F24F5"/>
    <w:rsid w:val="40346DA3"/>
    <w:rsid w:val="40475327"/>
    <w:rsid w:val="404E7B9F"/>
    <w:rsid w:val="406420B8"/>
    <w:rsid w:val="407224EF"/>
    <w:rsid w:val="407E2B15"/>
    <w:rsid w:val="40A55698"/>
    <w:rsid w:val="40CE5CCF"/>
    <w:rsid w:val="40DC0E14"/>
    <w:rsid w:val="40E54567"/>
    <w:rsid w:val="41102C50"/>
    <w:rsid w:val="41A13BF5"/>
    <w:rsid w:val="41DB21EA"/>
    <w:rsid w:val="41E23C78"/>
    <w:rsid w:val="41F42D08"/>
    <w:rsid w:val="41F84955"/>
    <w:rsid w:val="4251750E"/>
    <w:rsid w:val="42667A51"/>
    <w:rsid w:val="42961224"/>
    <w:rsid w:val="42B21B80"/>
    <w:rsid w:val="43172726"/>
    <w:rsid w:val="431F3987"/>
    <w:rsid w:val="432154A3"/>
    <w:rsid w:val="4354229C"/>
    <w:rsid w:val="43593107"/>
    <w:rsid w:val="43615797"/>
    <w:rsid w:val="436529BE"/>
    <w:rsid w:val="438B166E"/>
    <w:rsid w:val="43A63E1E"/>
    <w:rsid w:val="43B463DE"/>
    <w:rsid w:val="43D963DC"/>
    <w:rsid w:val="4420725F"/>
    <w:rsid w:val="44230047"/>
    <w:rsid w:val="443E61EA"/>
    <w:rsid w:val="444A17E1"/>
    <w:rsid w:val="44650C6A"/>
    <w:rsid w:val="448205D0"/>
    <w:rsid w:val="44C52D9D"/>
    <w:rsid w:val="44EE013A"/>
    <w:rsid w:val="44EF5F01"/>
    <w:rsid w:val="44FE4F21"/>
    <w:rsid w:val="45050C65"/>
    <w:rsid w:val="45620023"/>
    <w:rsid w:val="45DC51F6"/>
    <w:rsid w:val="461D1547"/>
    <w:rsid w:val="46250654"/>
    <w:rsid w:val="463F058C"/>
    <w:rsid w:val="464B3264"/>
    <w:rsid w:val="465D786B"/>
    <w:rsid w:val="4678522D"/>
    <w:rsid w:val="467E2623"/>
    <w:rsid w:val="46C7757F"/>
    <w:rsid w:val="46EA25EC"/>
    <w:rsid w:val="47003825"/>
    <w:rsid w:val="470F065D"/>
    <w:rsid w:val="47323494"/>
    <w:rsid w:val="47767A96"/>
    <w:rsid w:val="47A10C37"/>
    <w:rsid w:val="47E0354B"/>
    <w:rsid w:val="480D79D5"/>
    <w:rsid w:val="48243063"/>
    <w:rsid w:val="48262B18"/>
    <w:rsid w:val="485F682A"/>
    <w:rsid w:val="487B7433"/>
    <w:rsid w:val="4883600D"/>
    <w:rsid w:val="489379F5"/>
    <w:rsid w:val="48951E72"/>
    <w:rsid w:val="489F506F"/>
    <w:rsid w:val="48A5091B"/>
    <w:rsid w:val="48CA1F25"/>
    <w:rsid w:val="48ED5346"/>
    <w:rsid w:val="48F95EC4"/>
    <w:rsid w:val="48FF5750"/>
    <w:rsid w:val="49256FF7"/>
    <w:rsid w:val="497D4F00"/>
    <w:rsid w:val="499F35BB"/>
    <w:rsid w:val="49B93BA1"/>
    <w:rsid w:val="49E82CF0"/>
    <w:rsid w:val="49FC738D"/>
    <w:rsid w:val="49FD0240"/>
    <w:rsid w:val="4A06406B"/>
    <w:rsid w:val="4A165356"/>
    <w:rsid w:val="4A2567F0"/>
    <w:rsid w:val="4A3E3856"/>
    <w:rsid w:val="4A3F2845"/>
    <w:rsid w:val="4A4A769D"/>
    <w:rsid w:val="4A5B6E2D"/>
    <w:rsid w:val="4A5E6DAC"/>
    <w:rsid w:val="4A6077BA"/>
    <w:rsid w:val="4A7123DC"/>
    <w:rsid w:val="4A8A2382"/>
    <w:rsid w:val="4ABE682B"/>
    <w:rsid w:val="4AE37001"/>
    <w:rsid w:val="4AF51571"/>
    <w:rsid w:val="4B2B4045"/>
    <w:rsid w:val="4B445FDC"/>
    <w:rsid w:val="4B573B7D"/>
    <w:rsid w:val="4B8E3D1F"/>
    <w:rsid w:val="4BF83CC4"/>
    <w:rsid w:val="4BF90F26"/>
    <w:rsid w:val="4C0B4AF1"/>
    <w:rsid w:val="4C3F341D"/>
    <w:rsid w:val="4C5E15CB"/>
    <w:rsid w:val="4C635140"/>
    <w:rsid w:val="4C791870"/>
    <w:rsid w:val="4CB4322D"/>
    <w:rsid w:val="4CCD5A11"/>
    <w:rsid w:val="4D3100C7"/>
    <w:rsid w:val="4D4366B3"/>
    <w:rsid w:val="4D627FF4"/>
    <w:rsid w:val="4D7F3188"/>
    <w:rsid w:val="4D943406"/>
    <w:rsid w:val="4DA36CBE"/>
    <w:rsid w:val="4DFD73B7"/>
    <w:rsid w:val="4E01655E"/>
    <w:rsid w:val="4E146E42"/>
    <w:rsid w:val="4E240E4F"/>
    <w:rsid w:val="4E4C178A"/>
    <w:rsid w:val="4E6F116B"/>
    <w:rsid w:val="4E704166"/>
    <w:rsid w:val="4E750F59"/>
    <w:rsid w:val="4EA12B37"/>
    <w:rsid w:val="4EC24C70"/>
    <w:rsid w:val="4EDA418F"/>
    <w:rsid w:val="4EE954AB"/>
    <w:rsid w:val="4F0207D2"/>
    <w:rsid w:val="4F372EB7"/>
    <w:rsid w:val="4F3941D5"/>
    <w:rsid w:val="4F3D28C7"/>
    <w:rsid w:val="4F833186"/>
    <w:rsid w:val="4FA35444"/>
    <w:rsid w:val="50511F8F"/>
    <w:rsid w:val="505C09E2"/>
    <w:rsid w:val="50662D7E"/>
    <w:rsid w:val="508F3857"/>
    <w:rsid w:val="50904C95"/>
    <w:rsid w:val="50A5375D"/>
    <w:rsid w:val="50A63709"/>
    <w:rsid w:val="50A8750D"/>
    <w:rsid w:val="50C428D3"/>
    <w:rsid w:val="50FB45EA"/>
    <w:rsid w:val="5101058A"/>
    <w:rsid w:val="51047F05"/>
    <w:rsid w:val="513C0468"/>
    <w:rsid w:val="51417317"/>
    <w:rsid w:val="5147020F"/>
    <w:rsid w:val="514F72CC"/>
    <w:rsid w:val="519D2F76"/>
    <w:rsid w:val="51BB7038"/>
    <w:rsid w:val="51CA2DF2"/>
    <w:rsid w:val="51ED5266"/>
    <w:rsid w:val="51F6583F"/>
    <w:rsid w:val="51FD7772"/>
    <w:rsid w:val="520B4714"/>
    <w:rsid w:val="52197D0F"/>
    <w:rsid w:val="523101E1"/>
    <w:rsid w:val="528A4D7B"/>
    <w:rsid w:val="529019CD"/>
    <w:rsid w:val="52AE6FFC"/>
    <w:rsid w:val="52F06E47"/>
    <w:rsid w:val="52F14319"/>
    <w:rsid w:val="531A422B"/>
    <w:rsid w:val="532446BF"/>
    <w:rsid w:val="5330589A"/>
    <w:rsid w:val="53464CAF"/>
    <w:rsid w:val="534B333B"/>
    <w:rsid w:val="53667568"/>
    <w:rsid w:val="53945662"/>
    <w:rsid w:val="539467ED"/>
    <w:rsid w:val="53A7545B"/>
    <w:rsid w:val="53A913B7"/>
    <w:rsid w:val="53E379C9"/>
    <w:rsid w:val="53EB0066"/>
    <w:rsid w:val="53FE095E"/>
    <w:rsid w:val="54055DA0"/>
    <w:rsid w:val="545C48F6"/>
    <w:rsid w:val="54607814"/>
    <w:rsid w:val="54831C1C"/>
    <w:rsid w:val="549B42C1"/>
    <w:rsid w:val="549D42C8"/>
    <w:rsid w:val="54B61C48"/>
    <w:rsid w:val="54BA04D0"/>
    <w:rsid w:val="54CA529E"/>
    <w:rsid w:val="54E82986"/>
    <w:rsid w:val="55213A44"/>
    <w:rsid w:val="55213B1F"/>
    <w:rsid w:val="554978A7"/>
    <w:rsid w:val="556F6887"/>
    <w:rsid w:val="55745F36"/>
    <w:rsid w:val="55C72D40"/>
    <w:rsid w:val="55E25B4D"/>
    <w:rsid w:val="55ED757C"/>
    <w:rsid w:val="55FA236E"/>
    <w:rsid w:val="56366E31"/>
    <w:rsid w:val="563D295D"/>
    <w:rsid w:val="56F15DE9"/>
    <w:rsid w:val="571D2CC5"/>
    <w:rsid w:val="573A1CFB"/>
    <w:rsid w:val="57623786"/>
    <w:rsid w:val="57721920"/>
    <w:rsid w:val="57B25566"/>
    <w:rsid w:val="57BA7079"/>
    <w:rsid w:val="57E14D67"/>
    <w:rsid w:val="57F95F1E"/>
    <w:rsid w:val="580E740B"/>
    <w:rsid w:val="582A7928"/>
    <w:rsid w:val="583C4F2F"/>
    <w:rsid w:val="58405E83"/>
    <w:rsid w:val="58694541"/>
    <w:rsid w:val="588E427B"/>
    <w:rsid w:val="58946CA1"/>
    <w:rsid w:val="58AC2C5F"/>
    <w:rsid w:val="58AD1419"/>
    <w:rsid w:val="58B132CD"/>
    <w:rsid w:val="58B341C1"/>
    <w:rsid w:val="58E739ED"/>
    <w:rsid w:val="5902154F"/>
    <w:rsid w:val="59316864"/>
    <w:rsid w:val="594515C3"/>
    <w:rsid w:val="5948251A"/>
    <w:rsid w:val="59524944"/>
    <w:rsid w:val="59785676"/>
    <w:rsid w:val="597A42AE"/>
    <w:rsid w:val="59870360"/>
    <w:rsid w:val="59D01FE2"/>
    <w:rsid w:val="59D7630F"/>
    <w:rsid w:val="59E30018"/>
    <w:rsid w:val="59ED641E"/>
    <w:rsid w:val="5A1222DF"/>
    <w:rsid w:val="5A3D69F0"/>
    <w:rsid w:val="5A8F430E"/>
    <w:rsid w:val="5AAB56AF"/>
    <w:rsid w:val="5AD21F65"/>
    <w:rsid w:val="5AF04797"/>
    <w:rsid w:val="5B0C0D52"/>
    <w:rsid w:val="5B121863"/>
    <w:rsid w:val="5B245AA5"/>
    <w:rsid w:val="5B3162E9"/>
    <w:rsid w:val="5B400FDA"/>
    <w:rsid w:val="5B647915"/>
    <w:rsid w:val="5B890B44"/>
    <w:rsid w:val="5BAB13CB"/>
    <w:rsid w:val="5BB90779"/>
    <w:rsid w:val="5BD8423B"/>
    <w:rsid w:val="5BDF15F5"/>
    <w:rsid w:val="5BF93B1E"/>
    <w:rsid w:val="5C542C5A"/>
    <w:rsid w:val="5C6226F1"/>
    <w:rsid w:val="5C6C0E29"/>
    <w:rsid w:val="5C7D760E"/>
    <w:rsid w:val="5CAE4A64"/>
    <w:rsid w:val="5CDA66AC"/>
    <w:rsid w:val="5D1C357E"/>
    <w:rsid w:val="5D334E29"/>
    <w:rsid w:val="5D496448"/>
    <w:rsid w:val="5D4B2718"/>
    <w:rsid w:val="5D576D22"/>
    <w:rsid w:val="5D7974AC"/>
    <w:rsid w:val="5DA91133"/>
    <w:rsid w:val="5E23499A"/>
    <w:rsid w:val="5E2E3005"/>
    <w:rsid w:val="5E3720E7"/>
    <w:rsid w:val="5E5C3C9C"/>
    <w:rsid w:val="5E8C517B"/>
    <w:rsid w:val="5E914038"/>
    <w:rsid w:val="5E9B61E1"/>
    <w:rsid w:val="5EA20770"/>
    <w:rsid w:val="5EF71A5E"/>
    <w:rsid w:val="5F13785F"/>
    <w:rsid w:val="5F2B2B70"/>
    <w:rsid w:val="5F4032D8"/>
    <w:rsid w:val="5F475361"/>
    <w:rsid w:val="5F75697E"/>
    <w:rsid w:val="5F782098"/>
    <w:rsid w:val="5F7872CA"/>
    <w:rsid w:val="5F991EFB"/>
    <w:rsid w:val="5FB20531"/>
    <w:rsid w:val="5FBD6EBF"/>
    <w:rsid w:val="5FC52ADE"/>
    <w:rsid w:val="5FD92C1D"/>
    <w:rsid w:val="602426AF"/>
    <w:rsid w:val="60567C8B"/>
    <w:rsid w:val="605D0750"/>
    <w:rsid w:val="60666BF3"/>
    <w:rsid w:val="607957CC"/>
    <w:rsid w:val="60864B6A"/>
    <w:rsid w:val="609F43E6"/>
    <w:rsid w:val="60CC63E2"/>
    <w:rsid w:val="60EF006B"/>
    <w:rsid w:val="610845E6"/>
    <w:rsid w:val="610D1B42"/>
    <w:rsid w:val="61296849"/>
    <w:rsid w:val="612C17AC"/>
    <w:rsid w:val="615570B6"/>
    <w:rsid w:val="6167191D"/>
    <w:rsid w:val="616D556F"/>
    <w:rsid w:val="617317A2"/>
    <w:rsid w:val="618C1E02"/>
    <w:rsid w:val="61C03F0F"/>
    <w:rsid w:val="61E355F8"/>
    <w:rsid w:val="622844F0"/>
    <w:rsid w:val="622C7F14"/>
    <w:rsid w:val="627E73BD"/>
    <w:rsid w:val="62BF1C0C"/>
    <w:rsid w:val="62CB5F9C"/>
    <w:rsid w:val="63080579"/>
    <w:rsid w:val="63136C06"/>
    <w:rsid w:val="63251F93"/>
    <w:rsid w:val="6373404E"/>
    <w:rsid w:val="637A5D1C"/>
    <w:rsid w:val="638A57B1"/>
    <w:rsid w:val="63922C22"/>
    <w:rsid w:val="639F70E3"/>
    <w:rsid w:val="63A4706C"/>
    <w:rsid w:val="63B74E9E"/>
    <w:rsid w:val="63C00A28"/>
    <w:rsid w:val="63E65E32"/>
    <w:rsid w:val="63EB732A"/>
    <w:rsid w:val="642A3221"/>
    <w:rsid w:val="644D767C"/>
    <w:rsid w:val="64B56DE1"/>
    <w:rsid w:val="64BD535E"/>
    <w:rsid w:val="64C8649F"/>
    <w:rsid w:val="64C916B5"/>
    <w:rsid w:val="64D23F55"/>
    <w:rsid w:val="64E50C85"/>
    <w:rsid w:val="655D63A4"/>
    <w:rsid w:val="656E648C"/>
    <w:rsid w:val="65727500"/>
    <w:rsid w:val="65774FC7"/>
    <w:rsid w:val="658C73C0"/>
    <w:rsid w:val="659A606C"/>
    <w:rsid w:val="65A920E5"/>
    <w:rsid w:val="65B67E88"/>
    <w:rsid w:val="65C61D54"/>
    <w:rsid w:val="65D52A02"/>
    <w:rsid w:val="65F94944"/>
    <w:rsid w:val="662F34B9"/>
    <w:rsid w:val="662F645A"/>
    <w:rsid w:val="66636EFC"/>
    <w:rsid w:val="667C78B5"/>
    <w:rsid w:val="66815294"/>
    <w:rsid w:val="6686587F"/>
    <w:rsid w:val="66882965"/>
    <w:rsid w:val="66B87850"/>
    <w:rsid w:val="66C30C0D"/>
    <w:rsid w:val="66C538E7"/>
    <w:rsid w:val="66D976EE"/>
    <w:rsid w:val="66E21184"/>
    <w:rsid w:val="66E274C8"/>
    <w:rsid w:val="66F5033F"/>
    <w:rsid w:val="675F4060"/>
    <w:rsid w:val="67691D87"/>
    <w:rsid w:val="67695EDC"/>
    <w:rsid w:val="67735E24"/>
    <w:rsid w:val="677603B3"/>
    <w:rsid w:val="6783754E"/>
    <w:rsid w:val="67851E50"/>
    <w:rsid w:val="678610CF"/>
    <w:rsid w:val="67C47202"/>
    <w:rsid w:val="67E13313"/>
    <w:rsid w:val="67F40EB7"/>
    <w:rsid w:val="680B7ABF"/>
    <w:rsid w:val="68183E7E"/>
    <w:rsid w:val="6829110C"/>
    <w:rsid w:val="6860249A"/>
    <w:rsid w:val="68817CE8"/>
    <w:rsid w:val="68BC6ED7"/>
    <w:rsid w:val="692D7E31"/>
    <w:rsid w:val="694935D8"/>
    <w:rsid w:val="69A41541"/>
    <w:rsid w:val="69C15BFD"/>
    <w:rsid w:val="69F451B0"/>
    <w:rsid w:val="6A06038D"/>
    <w:rsid w:val="6A1161FE"/>
    <w:rsid w:val="6A625145"/>
    <w:rsid w:val="6A7C5296"/>
    <w:rsid w:val="6AB67C96"/>
    <w:rsid w:val="6ABE358C"/>
    <w:rsid w:val="6B4738B9"/>
    <w:rsid w:val="6B551533"/>
    <w:rsid w:val="6B5E1B7E"/>
    <w:rsid w:val="6BB5673E"/>
    <w:rsid w:val="6BC8435B"/>
    <w:rsid w:val="6BFB2372"/>
    <w:rsid w:val="6C106732"/>
    <w:rsid w:val="6C20563E"/>
    <w:rsid w:val="6C8C765F"/>
    <w:rsid w:val="6C9301BE"/>
    <w:rsid w:val="6D354188"/>
    <w:rsid w:val="6D5C0D3F"/>
    <w:rsid w:val="6D8140C7"/>
    <w:rsid w:val="6D902BE3"/>
    <w:rsid w:val="6D982C4E"/>
    <w:rsid w:val="6D9E3197"/>
    <w:rsid w:val="6DAE1733"/>
    <w:rsid w:val="6DD9213B"/>
    <w:rsid w:val="6E022A40"/>
    <w:rsid w:val="6E132676"/>
    <w:rsid w:val="6E262314"/>
    <w:rsid w:val="6E461CFF"/>
    <w:rsid w:val="6E467941"/>
    <w:rsid w:val="6E4953EE"/>
    <w:rsid w:val="6E624079"/>
    <w:rsid w:val="6E787A31"/>
    <w:rsid w:val="6EB6425C"/>
    <w:rsid w:val="6F7438CA"/>
    <w:rsid w:val="6F76352C"/>
    <w:rsid w:val="6F7F35CC"/>
    <w:rsid w:val="6F867A78"/>
    <w:rsid w:val="6F8C7025"/>
    <w:rsid w:val="6FBB5F2E"/>
    <w:rsid w:val="6FCB5EF8"/>
    <w:rsid w:val="6FD64DEF"/>
    <w:rsid w:val="707D3DB4"/>
    <w:rsid w:val="709475F9"/>
    <w:rsid w:val="70B04438"/>
    <w:rsid w:val="70DB278B"/>
    <w:rsid w:val="712108B6"/>
    <w:rsid w:val="71315CEB"/>
    <w:rsid w:val="715C6D8C"/>
    <w:rsid w:val="718C3469"/>
    <w:rsid w:val="71B6518B"/>
    <w:rsid w:val="71DB1943"/>
    <w:rsid w:val="71F00493"/>
    <w:rsid w:val="721806DC"/>
    <w:rsid w:val="724F53DD"/>
    <w:rsid w:val="72610297"/>
    <w:rsid w:val="727B1958"/>
    <w:rsid w:val="72802670"/>
    <w:rsid w:val="72953C1A"/>
    <w:rsid w:val="72BF2581"/>
    <w:rsid w:val="72D866D9"/>
    <w:rsid w:val="72E40BE7"/>
    <w:rsid w:val="72EE2832"/>
    <w:rsid w:val="72FC27FA"/>
    <w:rsid w:val="730E014F"/>
    <w:rsid w:val="73397727"/>
    <w:rsid w:val="733A055C"/>
    <w:rsid w:val="73696DF0"/>
    <w:rsid w:val="73781DD7"/>
    <w:rsid w:val="739004A2"/>
    <w:rsid w:val="739958CB"/>
    <w:rsid w:val="73B11876"/>
    <w:rsid w:val="73BE01F6"/>
    <w:rsid w:val="73C12F5A"/>
    <w:rsid w:val="73D27975"/>
    <w:rsid w:val="74007354"/>
    <w:rsid w:val="746846B4"/>
    <w:rsid w:val="749D7DE8"/>
    <w:rsid w:val="74B55F10"/>
    <w:rsid w:val="74C64DE2"/>
    <w:rsid w:val="74D9511F"/>
    <w:rsid w:val="74E500B6"/>
    <w:rsid w:val="74E73540"/>
    <w:rsid w:val="755707A5"/>
    <w:rsid w:val="75572750"/>
    <w:rsid w:val="75764378"/>
    <w:rsid w:val="75BA6F6E"/>
    <w:rsid w:val="75EA3D5D"/>
    <w:rsid w:val="761F26BA"/>
    <w:rsid w:val="76203753"/>
    <w:rsid w:val="76316A17"/>
    <w:rsid w:val="763345EF"/>
    <w:rsid w:val="76516C3B"/>
    <w:rsid w:val="76522254"/>
    <w:rsid w:val="76542B0E"/>
    <w:rsid w:val="76547112"/>
    <w:rsid w:val="76573031"/>
    <w:rsid w:val="765F304B"/>
    <w:rsid w:val="765F4905"/>
    <w:rsid w:val="76644071"/>
    <w:rsid w:val="76673AC9"/>
    <w:rsid w:val="76732D15"/>
    <w:rsid w:val="76812832"/>
    <w:rsid w:val="76835460"/>
    <w:rsid w:val="76D9398D"/>
    <w:rsid w:val="76E300B2"/>
    <w:rsid w:val="76E732D0"/>
    <w:rsid w:val="773A14A3"/>
    <w:rsid w:val="773A490B"/>
    <w:rsid w:val="775A1098"/>
    <w:rsid w:val="77702CD4"/>
    <w:rsid w:val="77823492"/>
    <w:rsid w:val="77886D41"/>
    <w:rsid w:val="77906A0C"/>
    <w:rsid w:val="77CC6501"/>
    <w:rsid w:val="77D37CE0"/>
    <w:rsid w:val="77DC33BB"/>
    <w:rsid w:val="77F87BB4"/>
    <w:rsid w:val="77FF05B4"/>
    <w:rsid w:val="78302EDC"/>
    <w:rsid w:val="78304F77"/>
    <w:rsid w:val="785C1F4C"/>
    <w:rsid w:val="78672983"/>
    <w:rsid w:val="787261A5"/>
    <w:rsid w:val="78786D1F"/>
    <w:rsid w:val="788700C7"/>
    <w:rsid w:val="789E2565"/>
    <w:rsid w:val="78B92335"/>
    <w:rsid w:val="78D70CF8"/>
    <w:rsid w:val="79292B5A"/>
    <w:rsid w:val="792C6738"/>
    <w:rsid w:val="7931772B"/>
    <w:rsid w:val="7959583B"/>
    <w:rsid w:val="79960C6D"/>
    <w:rsid w:val="79A548AE"/>
    <w:rsid w:val="79AB1380"/>
    <w:rsid w:val="79E5013C"/>
    <w:rsid w:val="79F12139"/>
    <w:rsid w:val="7A0250AD"/>
    <w:rsid w:val="7A0E1142"/>
    <w:rsid w:val="7A4C0BDD"/>
    <w:rsid w:val="7A5B69D5"/>
    <w:rsid w:val="7AB22220"/>
    <w:rsid w:val="7AFA4A23"/>
    <w:rsid w:val="7B1C044D"/>
    <w:rsid w:val="7B88203E"/>
    <w:rsid w:val="7BC22E22"/>
    <w:rsid w:val="7BCC5730"/>
    <w:rsid w:val="7BD625D3"/>
    <w:rsid w:val="7BF131E7"/>
    <w:rsid w:val="7C1B653F"/>
    <w:rsid w:val="7C442D1A"/>
    <w:rsid w:val="7C5936CD"/>
    <w:rsid w:val="7C7F3DF8"/>
    <w:rsid w:val="7C9B64FD"/>
    <w:rsid w:val="7CEE04A6"/>
    <w:rsid w:val="7D000B1A"/>
    <w:rsid w:val="7D044E9F"/>
    <w:rsid w:val="7D0A0F84"/>
    <w:rsid w:val="7D3E30B6"/>
    <w:rsid w:val="7D710D2F"/>
    <w:rsid w:val="7DC063B7"/>
    <w:rsid w:val="7DEE367C"/>
    <w:rsid w:val="7DF6136B"/>
    <w:rsid w:val="7DF96D5F"/>
    <w:rsid w:val="7E070526"/>
    <w:rsid w:val="7E24359E"/>
    <w:rsid w:val="7E367079"/>
    <w:rsid w:val="7E633231"/>
    <w:rsid w:val="7EC568D6"/>
    <w:rsid w:val="7EE46F93"/>
    <w:rsid w:val="7EF10DD3"/>
    <w:rsid w:val="7F24657D"/>
    <w:rsid w:val="7F2C7816"/>
    <w:rsid w:val="7F911D55"/>
    <w:rsid w:val="7F991648"/>
    <w:rsid w:val="7F9F2371"/>
    <w:rsid w:val="7FD076DD"/>
    <w:rsid w:val="7FEE5D29"/>
    <w:rsid w:val="7FF8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2"/>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5"/>
    <w:unhideWhenUsed/>
    <w:qFormat/>
    <w:uiPriority w:val="0"/>
    <w:pPr>
      <w:keepNext/>
      <w:keepLines/>
      <w:spacing w:line="413" w:lineRule="auto"/>
      <w:outlineLvl w:val="2"/>
    </w:pPr>
    <w:rPr>
      <w:rFonts w:hAnsi="宋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Document Map"/>
    <w:basedOn w:val="1"/>
    <w:link w:val="28"/>
    <w:qFormat/>
    <w:uiPriority w:val="0"/>
    <w:rPr>
      <w:rFonts w:eastAsia="宋体"/>
      <w:sz w:val="18"/>
      <w:szCs w:val="18"/>
    </w:rPr>
  </w:style>
  <w:style w:type="paragraph" w:styleId="7">
    <w:name w:val="annotation text"/>
    <w:basedOn w:val="1"/>
    <w:link w:val="29"/>
    <w:qFormat/>
    <w:uiPriority w:val="0"/>
  </w:style>
  <w:style w:type="paragraph" w:styleId="8">
    <w:name w:val="Body Text"/>
    <w:basedOn w:val="1"/>
    <w:qFormat/>
    <w:uiPriority w:val="0"/>
    <w:rPr>
      <w:rFonts w:ascii="仿宋_GB2312" w:eastAsia="仿宋_GB2312"/>
    </w:rPr>
  </w:style>
  <w:style w:type="paragraph" w:styleId="9">
    <w:name w:val="toc 3"/>
    <w:basedOn w:val="1"/>
    <w:next w:val="1"/>
    <w:qFormat/>
    <w:uiPriority w:val="0"/>
    <w:pPr>
      <w:ind w:left="840" w:leftChars="400"/>
    </w:pPr>
  </w:style>
  <w:style w:type="paragraph" w:styleId="10">
    <w:name w:val="Date"/>
    <w:basedOn w:val="1"/>
    <w:next w:val="1"/>
    <w:qFormat/>
    <w:uiPriority w:val="0"/>
    <w:pPr>
      <w:spacing w:line="400" w:lineRule="atLeast"/>
      <w:ind w:left="100" w:leftChars="2500" w:firstLine="454"/>
    </w:pPr>
    <w:rPr>
      <w:rFonts w:ascii="仿宋_GB2312" w:eastAsia="仿宋_GB2312"/>
      <w:spacing w:val="-16"/>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annotation subject"/>
    <w:basedOn w:val="7"/>
    <w:next w:val="7"/>
    <w:link w:val="30"/>
    <w:qFormat/>
    <w:uiPriority w:val="0"/>
    <w:rPr>
      <w:b/>
      <w:bCs/>
    </w:rPr>
  </w:style>
  <w:style w:type="table" w:styleId="18">
    <w:name w:val="Table Grid"/>
    <w:basedOn w:val="17"/>
    <w:qFormat/>
    <w:uiPriority w:val="0"/>
    <w:pPr>
      <w:widowControl w:val="0"/>
      <w:autoSpaceDE w:val="0"/>
      <w:autoSpaceDN w:val="0"/>
      <w:adjustRightInd w:val="0"/>
      <w:spacing w:line="240" w:lineRule="atLeast"/>
    </w:pPr>
    <w:rPr>
      <w:rFonts w:ascii="Times New Roman" w:hAnsi="Times New Roman"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Emphasis"/>
    <w:basedOn w:val="19"/>
    <w:qFormat/>
    <w:uiPriority w:val="0"/>
    <w:rPr>
      <w:i/>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qFormat/>
    <w:uiPriority w:val="0"/>
    <w:rPr>
      <w:sz w:val="21"/>
      <w:szCs w:val="21"/>
    </w:rPr>
  </w:style>
  <w:style w:type="paragraph" w:customStyle="1" w:styleId="24">
    <w:name w:val="_Style 2"/>
    <w:basedOn w:val="3"/>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5">
    <w:name w:val="标题 3 Char"/>
    <w:link w:val="5"/>
    <w:qFormat/>
    <w:uiPriority w:val="0"/>
    <w:rPr>
      <w:rFonts w:hAnsi="宋体"/>
      <w:b/>
    </w:rPr>
  </w:style>
  <w:style w:type="character" w:customStyle="1" w:styleId="26">
    <w:name w:val="批注框文本 Char"/>
    <w:basedOn w:val="19"/>
    <w:link w:val="11"/>
    <w:qFormat/>
    <w:uiPriority w:val="0"/>
    <w:rPr>
      <w:rFonts w:ascii="宋体"/>
      <w:sz w:val="18"/>
      <w:szCs w:val="18"/>
    </w:rPr>
  </w:style>
  <w:style w:type="paragraph" w:customStyle="1" w:styleId="27">
    <w:name w:val="p0"/>
    <w:basedOn w:val="1"/>
    <w:qFormat/>
    <w:uiPriority w:val="0"/>
    <w:pPr>
      <w:widowControl/>
    </w:pPr>
    <w:rPr>
      <w:szCs w:val="21"/>
    </w:rPr>
  </w:style>
  <w:style w:type="character" w:customStyle="1" w:styleId="28">
    <w:name w:val="文档结构图 Char"/>
    <w:basedOn w:val="19"/>
    <w:link w:val="6"/>
    <w:qFormat/>
    <w:uiPriority w:val="0"/>
    <w:rPr>
      <w:rFonts w:ascii="宋体" w:hAnsiTheme="minorHAnsi" w:cstheme="minorBidi"/>
      <w:sz w:val="18"/>
      <w:szCs w:val="18"/>
    </w:rPr>
  </w:style>
  <w:style w:type="character" w:customStyle="1" w:styleId="29">
    <w:name w:val="批注文字 Char"/>
    <w:basedOn w:val="19"/>
    <w:link w:val="7"/>
    <w:qFormat/>
    <w:uiPriority w:val="0"/>
    <w:rPr>
      <w:rFonts w:ascii="宋体" w:hAnsiTheme="minorHAnsi" w:eastAsiaTheme="minorEastAsia" w:cstheme="minorBidi"/>
      <w:sz w:val="28"/>
      <w:szCs w:val="22"/>
    </w:rPr>
  </w:style>
  <w:style w:type="character" w:customStyle="1" w:styleId="30">
    <w:name w:val="批注主题 Char"/>
    <w:basedOn w:val="29"/>
    <w:link w:val="16"/>
    <w:qFormat/>
    <w:uiPriority w:val="0"/>
    <w:rPr>
      <w:rFonts w:ascii="宋体" w:hAnsiTheme="minorHAnsi" w:eastAsiaTheme="minorEastAsia" w:cstheme="minorBidi"/>
      <w:b/>
      <w:bCs/>
      <w:sz w:val="28"/>
      <w:szCs w:val="22"/>
    </w:rPr>
  </w:style>
  <w:style w:type="character" w:customStyle="1" w:styleId="31">
    <w:name w:val="font01"/>
    <w:basedOn w:val="19"/>
    <w:qFormat/>
    <w:uiPriority w:val="0"/>
    <w:rPr>
      <w:rFonts w:hint="eastAsia" w:ascii="宋体" w:hAnsi="宋体" w:eastAsia="宋体" w:cs="宋体"/>
      <w:b/>
      <w:bCs/>
      <w:color w:val="FF0000"/>
      <w:sz w:val="20"/>
      <w:szCs w:val="20"/>
      <w:u w:val="none"/>
    </w:rPr>
  </w:style>
  <w:style w:type="character" w:customStyle="1" w:styleId="32">
    <w:name w:val="font71"/>
    <w:basedOn w:val="19"/>
    <w:qFormat/>
    <w:uiPriority w:val="0"/>
    <w:rPr>
      <w:rFonts w:hint="default" w:ascii="Times New Roman" w:hAnsi="Times New Roman" w:cs="Times New Roman"/>
      <w:b/>
      <w:bCs/>
      <w:color w:val="FF0000"/>
      <w:sz w:val="20"/>
      <w:szCs w:val="20"/>
      <w:u w:val="none"/>
    </w:rPr>
  </w:style>
  <w:style w:type="character" w:customStyle="1" w:styleId="33">
    <w:name w:val="font81"/>
    <w:basedOn w:val="19"/>
    <w:qFormat/>
    <w:uiPriority w:val="0"/>
    <w:rPr>
      <w:rFonts w:hint="default" w:ascii="Times New Roman" w:hAnsi="Times New Roman" w:cs="Times New Roman"/>
      <w:b/>
      <w:bCs/>
      <w:color w:val="FF0000"/>
      <w:sz w:val="20"/>
      <w:szCs w:val="20"/>
      <w:u w:val="none"/>
      <w:vertAlign w:val="superscript"/>
    </w:rPr>
  </w:style>
  <w:style w:type="character" w:customStyle="1" w:styleId="34">
    <w:name w:val="font111"/>
    <w:basedOn w:val="19"/>
    <w:qFormat/>
    <w:uiPriority w:val="0"/>
    <w:rPr>
      <w:rFonts w:hint="default" w:ascii="Times New Roman" w:hAnsi="Times New Roman" w:cs="Times New Roman"/>
      <w:b/>
      <w:bCs/>
      <w:color w:val="FF0000"/>
      <w:sz w:val="20"/>
      <w:szCs w:val="20"/>
      <w:u w:val="none"/>
    </w:rPr>
  </w:style>
  <w:style w:type="character" w:customStyle="1" w:styleId="35">
    <w:name w:val="font122"/>
    <w:basedOn w:val="19"/>
    <w:qFormat/>
    <w:uiPriority w:val="0"/>
    <w:rPr>
      <w:rFonts w:hint="default" w:ascii="Times New Roman" w:hAnsi="Times New Roman" w:cs="Times New Roman"/>
      <w:b/>
      <w:bCs/>
      <w:color w:val="FF0000"/>
      <w:sz w:val="20"/>
      <w:szCs w:val="20"/>
      <w:u w:val="none"/>
      <w:vertAlign w:val="superscript"/>
    </w:rPr>
  </w:style>
  <w:style w:type="character" w:customStyle="1" w:styleId="36">
    <w:name w:val="font101"/>
    <w:basedOn w:val="19"/>
    <w:qFormat/>
    <w:uiPriority w:val="0"/>
    <w:rPr>
      <w:rFonts w:hint="eastAsia" w:ascii="宋体" w:hAnsi="宋体" w:eastAsia="宋体" w:cs="宋体"/>
      <w:b/>
      <w:bCs/>
      <w:color w:val="FF0000"/>
      <w:sz w:val="20"/>
      <w:szCs w:val="20"/>
      <w:u w:val="none"/>
    </w:rPr>
  </w:style>
  <w:style w:type="character" w:customStyle="1" w:styleId="37">
    <w:name w:val="font11"/>
    <w:basedOn w:val="19"/>
    <w:qFormat/>
    <w:uiPriority w:val="0"/>
    <w:rPr>
      <w:rFonts w:hint="default" w:ascii="Times New Roman" w:hAnsi="Times New Roman" w:cs="Times New Roman"/>
      <w:b/>
      <w:bCs/>
      <w:color w:val="FF0000"/>
      <w:sz w:val="20"/>
      <w:szCs w:val="20"/>
      <w:u w:val="none"/>
    </w:rPr>
  </w:style>
  <w:style w:type="character" w:customStyle="1" w:styleId="38">
    <w:name w:val="font131"/>
    <w:basedOn w:val="19"/>
    <w:qFormat/>
    <w:uiPriority w:val="0"/>
    <w:rPr>
      <w:rFonts w:hint="default" w:ascii="Times New Roman" w:hAnsi="Times New Roman" w:cs="Times New Roman"/>
      <w:b/>
      <w:bCs/>
      <w:color w:val="FF0000"/>
      <w:sz w:val="20"/>
      <w:szCs w:val="20"/>
      <w:u w:val="none"/>
      <w:vertAlign w:val="superscript"/>
    </w:rPr>
  </w:style>
  <w:style w:type="character" w:customStyle="1" w:styleId="39">
    <w:name w:val="font21"/>
    <w:basedOn w:val="19"/>
    <w:qFormat/>
    <w:uiPriority w:val="0"/>
    <w:rPr>
      <w:rFonts w:hint="eastAsia" w:ascii="宋体" w:hAnsi="宋体" w:eastAsia="宋体" w:cs="宋体"/>
      <w:b/>
      <w:bCs/>
      <w:color w:val="000000"/>
      <w:sz w:val="20"/>
      <w:szCs w:val="20"/>
      <w:u w:val="none"/>
    </w:rPr>
  </w:style>
  <w:style w:type="character" w:customStyle="1" w:styleId="40">
    <w:name w:val="font41"/>
    <w:basedOn w:val="19"/>
    <w:qFormat/>
    <w:uiPriority w:val="0"/>
    <w:rPr>
      <w:rFonts w:hint="default" w:ascii="Times New Roman" w:hAnsi="Times New Roman" w:cs="Times New Roman"/>
      <w:b/>
      <w:bCs/>
      <w:color w:val="000000"/>
      <w:sz w:val="20"/>
      <w:szCs w:val="20"/>
      <w:u w:val="none"/>
    </w:rPr>
  </w:style>
  <w:style w:type="character" w:customStyle="1" w:styleId="41">
    <w:name w:val="font112"/>
    <w:basedOn w:val="19"/>
    <w:qFormat/>
    <w:uiPriority w:val="0"/>
    <w:rPr>
      <w:rFonts w:hint="default" w:ascii="Times New Roman" w:hAnsi="Times New Roman" w:cs="Times New Roman"/>
      <w:b/>
      <w:bCs/>
      <w:color w:val="000000"/>
      <w:sz w:val="20"/>
      <w:szCs w:val="20"/>
      <w:u w:val="none"/>
      <w:vertAlign w:val="superscript"/>
    </w:rPr>
  </w:style>
  <w:style w:type="character" w:customStyle="1" w:styleId="42">
    <w:name w:val="font51"/>
    <w:basedOn w:val="19"/>
    <w:uiPriority w:val="0"/>
    <w:rPr>
      <w:rFonts w:hint="eastAsia" w:ascii="宋体" w:hAnsi="宋体" w:eastAsia="宋体" w:cs="宋体"/>
      <w:b/>
      <w:bCs/>
      <w:color w:val="000000"/>
      <w:sz w:val="15"/>
      <w:szCs w:val="15"/>
      <w:u w:val="none"/>
    </w:rPr>
  </w:style>
  <w:style w:type="character" w:customStyle="1" w:styleId="43">
    <w:name w:val="font31"/>
    <w:basedOn w:val="19"/>
    <w:qFormat/>
    <w:uiPriority w:val="0"/>
    <w:rPr>
      <w:rFonts w:hint="default" w:ascii="Times New Roman" w:hAnsi="Times New Roman" w:cs="Times New Roman"/>
      <w:b/>
      <w:bCs/>
      <w:color w:val="000000"/>
      <w:sz w:val="15"/>
      <w:szCs w:val="15"/>
      <w:u w:val="none"/>
    </w:rPr>
  </w:style>
  <w:style w:type="character" w:customStyle="1" w:styleId="44">
    <w:name w:val="font61"/>
    <w:basedOn w:val="19"/>
    <w:uiPriority w:val="0"/>
    <w:rPr>
      <w:rFonts w:hint="default" w:ascii="Times New Roman" w:hAnsi="Times New Roman" w:cs="Times New Roman"/>
      <w:b/>
      <w:bCs/>
      <w:color w:val="000000"/>
      <w:sz w:val="15"/>
      <w:szCs w:val="15"/>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F1A5F-6A7A-411B-925A-AF3C1F596A4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7102</Words>
  <Characters>7677</Characters>
  <Lines>72</Lines>
  <Paragraphs>20</Paragraphs>
  <TotalTime>1</TotalTime>
  <ScaleCrop>false</ScaleCrop>
  <LinksUpToDate>false</LinksUpToDate>
  <CharactersWithSpaces>7784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匹夫</cp:lastModifiedBy>
  <cp:lastPrinted>2022-08-22T11:06:28Z</cp:lastPrinted>
  <dcterms:modified xsi:type="dcterms:W3CDTF">2022-08-22T11:07:47Z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340139BB95A04E0CA07F0231CECF851B</vt:lpwstr>
  </property>
</Properties>
</file>