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ageBreakBefore/>
        <w:spacing w:line="2400" w:lineRule="auto"/>
        <w:jc w:val="center"/>
        <w:rPr>
          <w:rFonts w:ascii="宋体" w:hAnsi="宋体"/>
          <w:szCs w:val="28"/>
        </w:rPr>
      </w:pPr>
      <w:r>
        <w:rPr>
          <w:rFonts w:hint="eastAsia" w:ascii="宋体" w:hAnsi="宋体"/>
          <w:b/>
          <w:bCs/>
          <w:sz w:val="44"/>
        </w:rPr>
        <w:t>房地产估价报告</w:t>
      </w:r>
    </w:p>
    <w:p>
      <w:pPr>
        <w:spacing w:line="360" w:lineRule="auto"/>
        <w:ind w:left="2808" w:leftChars="266" w:hanging="2249" w:hangingChars="800"/>
        <w:rPr>
          <w:sz w:val="28"/>
          <w:szCs w:val="28"/>
        </w:rPr>
      </w:pPr>
      <w:r>
        <w:rPr>
          <w:rFonts w:hint="eastAsia" w:ascii="宋体" w:hAnsi="宋体"/>
          <w:b/>
          <w:sz w:val="28"/>
          <w:szCs w:val="28"/>
        </w:rPr>
        <w:t xml:space="preserve">估价项目名称： </w:t>
      </w:r>
      <w:r>
        <w:rPr>
          <w:rFonts w:hint="eastAsia"/>
          <w:sz w:val="28"/>
          <w:szCs w:val="28"/>
        </w:rPr>
        <w:t>刘立宝与丁凤霞、白鹏民事纠纷一案涉及的丁凤霞、白鹏位于临沂市罗庄区美澳花园桂园DA1号楼DA1住宅用房地产市场价值评估</w:t>
      </w:r>
    </w:p>
    <w:p>
      <w:pPr>
        <w:spacing w:line="360" w:lineRule="auto"/>
        <w:rPr>
          <w:rFonts w:ascii="宋体" w:hAnsi="宋体"/>
          <w:sz w:val="28"/>
          <w:szCs w:val="28"/>
        </w:rPr>
      </w:pPr>
    </w:p>
    <w:p>
      <w:pPr>
        <w:spacing w:line="360" w:lineRule="auto"/>
        <w:ind w:firstLine="562" w:firstLineChars="200"/>
        <w:rPr>
          <w:rFonts w:ascii="宋体" w:hAnsi="宋体"/>
          <w:sz w:val="28"/>
          <w:szCs w:val="28"/>
        </w:rPr>
      </w:pPr>
      <w:r>
        <w:rPr>
          <w:rFonts w:hint="eastAsia" w:ascii="宋体" w:hAnsi="宋体"/>
          <w:b/>
          <w:sz w:val="28"/>
          <w:szCs w:val="28"/>
        </w:rPr>
        <w:t xml:space="preserve">估价委托人：   </w:t>
      </w:r>
      <w:r>
        <w:rPr>
          <w:rFonts w:hint="eastAsia"/>
          <w:sz w:val="28"/>
          <w:szCs w:val="28"/>
        </w:rPr>
        <w:t xml:space="preserve"> 山东省临沂市罗庄区人民法院</w:t>
      </w:r>
    </w:p>
    <w:p>
      <w:pPr>
        <w:spacing w:line="360" w:lineRule="auto"/>
        <w:rPr>
          <w:rFonts w:ascii="宋体" w:hAnsi="宋体"/>
          <w:sz w:val="28"/>
          <w:szCs w:val="28"/>
        </w:rPr>
      </w:pPr>
    </w:p>
    <w:p>
      <w:pPr>
        <w:pStyle w:val="9"/>
        <w:spacing w:line="460" w:lineRule="exact"/>
        <w:ind w:firstLine="562" w:firstLineChars="200"/>
        <w:rPr>
          <w:rFonts w:ascii="宋体" w:hAnsi="宋体"/>
          <w:bCs/>
          <w:szCs w:val="28"/>
        </w:rPr>
      </w:pPr>
      <w:r>
        <w:rPr>
          <w:rFonts w:hint="eastAsia" w:ascii="宋体" w:hAnsi="宋体"/>
          <w:b/>
          <w:szCs w:val="28"/>
        </w:rPr>
        <w:t>房地产估价机构：</w:t>
      </w:r>
      <w:r>
        <w:rPr>
          <w:rFonts w:hint="eastAsia" w:ascii="宋体" w:hAnsi="宋体"/>
          <w:bCs/>
          <w:szCs w:val="28"/>
        </w:rPr>
        <w:t>临沂鸿诚资产评估土地房地产估价有限公司</w:t>
      </w:r>
    </w:p>
    <w:p>
      <w:pPr>
        <w:spacing w:line="360" w:lineRule="auto"/>
        <w:ind w:firstLine="560" w:firstLineChars="200"/>
        <w:rPr>
          <w:rFonts w:ascii="宋体" w:hAnsi="宋体"/>
          <w:sz w:val="28"/>
          <w:szCs w:val="28"/>
        </w:rPr>
      </w:pPr>
    </w:p>
    <w:p>
      <w:pPr>
        <w:spacing w:line="360" w:lineRule="auto"/>
        <w:ind w:firstLine="562" w:firstLineChars="200"/>
        <w:rPr>
          <w:rFonts w:ascii="宋体" w:hAnsi="宋体"/>
          <w:color w:val="000000" w:themeColor="text1"/>
          <w:sz w:val="28"/>
          <w:szCs w:val="28"/>
        </w:rPr>
      </w:pPr>
      <w:r>
        <w:rPr>
          <w:rFonts w:hint="eastAsia" w:ascii="宋体" w:hAnsi="宋体"/>
          <w:b/>
          <w:sz w:val="28"/>
          <w:szCs w:val="28"/>
        </w:rPr>
        <w:t>注册房地产估价师：</w:t>
      </w:r>
      <w:r>
        <w:rPr>
          <w:rFonts w:hint="eastAsia" w:ascii="宋体" w:hAnsi="宋体"/>
          <w:color w:val="000000" w:themeColor="text1"/>
          <w:sz w:val="28"/>
          <w:szCs w:val="28"/>
        </w:rPr>
        <w:t>刘维华</w:t>
      </w:r>
      <w:r>
        <w:rPr>
          <w:rFonts w:hint="eastAsia" w:ascii="宋体" w:hAnsi="宋体" w:cs="宋体"/>
          <w:color w:val="000000" w:themeColor="text1"/>
          <w:sz w:val="28"/>
          <w:szCs w:val="28"/>
        </w:rPr>
        <w:t xml:space="preserve">    </w:t>
      </w:r>
      <w:r>
        <w:rPr>
          <w:rFonts w:hint="eastAsia" w:ascii="宋体" w:hAnsi="宋体"/>
          <w:color w:val="000000" w:themeColor="text1"/>
          <w:sz w:val="28"/>
          <w:szCs w:val="28"/>
        </w:rPr>
        <w:t>注册号：3720170229</w:t>
      </w:r>
    </w:p>
    <w:p>
      <w:pPr>
        <w:spacing w:line="360" w:lineRule="auto"/>
        <w:ind w:firstLine="3220" w:firstLineChars="1150"/>
        <w:rPr>
          <w:rFonts w:ascii="宋体" w:hAnsi="宋体"/>
          <w:color w:val="000000" w:themeColor="text1"/>
          <w:sz w:val="28"/>
          <w:szCs w:val="28"/>
        </w:rPr>
      </w:pPr>
      <w:r>
        <w:rPr>
          <w:rFonts w:hint="eastAsia" w:ascii="宋体" w:hAnsi="宋体"/>
          <w:color w:val="000000" w:themeColor="text1"/>
          <w:sz w:val="28"/>
          <w:szCs w:val="28"/>
        </w:rPr>
        <w:t>王 平    注册号：3720200111</w:t>
      </w:r>
    </w:p>
    <w:p>
      <w:pPr>
        <w:spacing w:line="360" w:lineRule="auto"/>
        <w:ind w:firstLine="560" w:firstLineChars="200"/>
        <w:rPr>
          <w:rFonts w:ascii="宋体" w:hAnsi="宋体"/>
          <w:sz w:val="28"/>
          <w:szCs w:val="28"/>
        </w:rPr>
      </w:pPr>
    </w:p>
    <w:p>
      <w:pPr>
        <w:spacing w:line="360" w:lineRule="auto"/>
        <w:ind w:firstLine="562" w:firstLineChars="200"/>
        <w:rPr>
          <w:rFonts w:ascii="宋体" w:hAnsi="宋体"/>
          <w:sz w:val="28"/>
          <w:szCs w:val="28"/>
        </w:rPr>
      </w:pPr>
      <w:r>
        <w:rPr>
          <w:rFonts w:hint="eastAsia" w:ascii="宋体" w:hAnsi="宋体"/>
          <w:b/>
          <w:sz w:val="28"/>
          <w:szCs w:val="28"/>
        </w:rPr>
        <w:t>估价报告出具日期：</w:t>
      </w:r>
      <w:r>
        <w:rPr>
          <w:rFonts w:hint="eastAsia" w:ascii="宋体" w:hAnsi="宋体"/>
          <w:sz w:val="28"/>
          <w:szCs w:val="28"/>
        </w:rPr>
        <w:t>2021年10月13日</w:t>
      </w:r>
    </w:p>
    <w:p>
      <w:pPr>
        <w:spacing w:line="240" w:lineRule="auto"/>
        <w:rPr>
          <w:rFonts w:ascii="宋体" w:hAnsi="宋体"/>
          <w:b/>
          <w:sz w:val="32"/>
        </w:rPr>
      </w:pPr>
    </w:p>
    <w:p>
      <w:pPr>
        <w:ind w:firstLine="562" w:firstLineChars="200"/>
        <w:rPr>
          <w:rFonts w:hint="eastAsia" w:ascii="宋体" w:hAnsi="宋体" w:eastAsia="宋体"/>
          <w:sz w:val="28"/>
          <w:szCs w:val="28"/>
          <w:highlight w:val="yellow"/>
          <w:lang w:eastAsia="zh-CN"/>
        </w:rPr>
      </w:pPr>
      <w:r>
        <w:rPr>
          <w:rFonts w:hint="eastAsia" w:ascii="宋体" w:hAnsi="宋体"/>
          <w:b/>
          <w:sz w:val="28"/>
          <w:szCs w:val="28"/>
        </w:rPr>
        <w:t xml:space="preserve">估价报告编号：   </w:t>
      </w:r>
      <w:r>
        <w:rPr>
          <w:rFonts w:hint="eastAsia" w:ascii="宋体" w:hAnsi="宋体"/>
          <w:sz w:val="28"/>
          <w:szCs w:val="28"/>
        </w:rPr>
        <w:t>临鸿房评报字（2021）第</w:t>
      </w:r>
      <w:r>
        <w:rPr>
          <w:rFonts w:hint="eastAsia" w:ascii="宋体" w:hAnsi="宋体"/>
          <w:sz w:val="28"/>
          <w:szCs w:val="28"/>
          <w:lang w:eastAsia="zh-CN"/>
        </w:rPr>
        <w:t>015号</w:t>
      </w:r>
    </w:p>
    <w:p>
      <w:pPr>
        <w:spacing w:line="360" w:lineRule="auto"/>
        <w:ind w:firstLine="560" w:firstLineChars="200"/>
        <w:rPr>
          <w:rFonts w:ascii="宋体" w:hAnsi="宋体"/>
          <w:sz w:val="28"/>
          <w:szCs w:val="28"/>
        </w:rPr>
      </w:pPr>
    </w:p>
    <w:p>
      <w:pPr>
        <w:tabs>
          <w:tab w:val="left" w:pos="2835"/>
        </w:tabs>
        <w:spacing w:line="360" w:lineRule="auto"/>
        <w:ind w:left="360" w:hanging="360"/>
        <w:jc w:val="center"/>
        <w:rPr>
          <w:rFonts w:ascii="仿宋_GB2312" w:hAnsi="宋体" w:eastAsia="仿宋_GB2312"/>
          <w:spacing w:val="-2"/>
          <w:sz w:val="28"/>
          <w:szCs w:val="28"/>
        </w:rPr>
      </w:pPr>
    </w:p>
    <w:p>
      <w:pPr>
        <w:pageBreakBefore/>
        <w:tabs>
          <w:tab w:val="left" w:pos="2835"/>
        </w:tabs>
        <w:spacing w:line="240" w:lineRule="auto"/>
        <w:jc w:val="center"/>
        <w:rPr>
          <w:rFonts w:ascii="宋体" w:hAnsi="宋体"/>
          <w:b/>
          <w:sz w:val="36"/>
          <w:szCs w:val="36"/>
        </w:rPr>
        <w:sectPr>
          <w:headerReference r:id="rId4" w:type="first"/>
          <w:footerReference r:id="rId5" w:type="first"/>
          <w:headerReference r:id="rId3" w:type="default"/>
          <w:pgSz w:w="11906" w:h="16838"/>
          <w:pgMar w:top="1440" w:right="1800" w:bottom="1440" w:left="1800" w:header="851" w:footer="992" w:gutter="0"/>
          <w:cols w:space="425" w:num="1"/>
          <w:docGrid w:type="lines" w:linePitch="312" w:charSpace="0"/>
        </w:sectPr>
      </w:pPr>
      <w:bookmarkStart w:id="0" w:name="_Toc405214059"/>
      <w:bookmarkStart w:id="1" w:name="_Toc405214009"/>
    </w:p>
    <w:p>
      <w:pPr>
        <w:pageBreakBefore/>
        <w:tabs>
          <w:tab w:val="left" w:pos="2835"/>
        </w:tabs>
        <w:spacing w:line="240" w:lineRule="auto"/>
        <w:jc w:val="center"/>
        <w:rPr>
          <w:rFonts w:ascii="仿宋_GB2312" w:hAnsi="宋体" w:eastAsia="仿宋_GB2312"/>
          <w:szCs w:val="28"/>
        </w:rPr>
      </w:pPr>
      <w:r>
        <w:rPr>
          <w:rFonts w:hint="eastAsia" w:ascii="宋体" w:hAnsi="宋体"/>
          <w:b/>
          <w:sz w:val="36"/>
          <w:szCs w:val="36"/>
        </w:rPr>
        <w:t>致估价委托人函</w:t>
      </w:r>
      <w:bookmarkEnd w:id="0"/>
      <w:bookmarkEnd w:id="1"/>
    </w:p>
    <w:p>
      <w:pPr>
        <w:spacing w:line="360" w:lineRule="auto"/>
        <w:rPr>
          <w:rFonts w:ascii="宋体" w:hAnsi="宋体"/>
          <w:color w:val="000000" w:themeColor="text1"/>
          <w:sz w:val="24"/>
          <w:szCs w:val="24"/>
        </w:rPr>
      </w:pPr>
      <w:r>
        <w:rPr>
          <w:rFonts w:hint="eastAsia" w:ascii="宋体" w:hAnsi="宋体"/>
          <w:b/>
          <w:bCs/>
          <w:color w:val="000000" w:themeColor="text1"/>
          <w:sz w:val="24"/>
          <w:szCs w:val="24"/>
        </w:rPr>
        <w:t>山东省临沂市罗庄区人民法院：</w:t>
      </w:r>
    </w:p>
    <w:p>
      <w:pPr>
        <w:spacing w:line="36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受贵院委托，我公司组织专业估价人员按规定的估价程序对估价对象进行了评估工作。特此函告如下：</w:t>
      </w:r>
    </w:p>
    <w:p>
      <w:pPr>
        <w:spacing w:line="360" w:lineRule="auto"/>
        <w:ind w:firstLine="472" w:firstLineChars="196"/>
        <w:rPr>
          <w:rFonts w:ascii="宋体" w:hAnsi="宋体"/>
          <w:b/>
          <w:bCs/>
          <w:color w:val="000000" w:themeColor="text1"/>
          <w:sz w:val="24"/>
          <w:szCs w:val="24"/>
        </w:rPr>
      </w:pPr>
      <w:r>
        <w:rPr>
          <w:rFonts w:hint="eastAsia" w:ascii="宋体" w:hAnsi="宋体"/>
          <w:b/>
          <w:bCs/>
          <w:color w:val="000000" w:themeColor="text1"/>
          <w:sz w:val="24"/>
          <w:szCs w:val="24"/>
        </w:rPr>
        <w:t>1.估价对象</w:t>
      </w:r>
    </w:p>
    <w:p>
      <w:pPr>
        <w:spacing w:line="360" w:lineRule="auto"/>
        <w:ind w:firstLine="480" w:firstLineChars="200"/>
        <w:rPr>
          <w:rFonts w:ascii="宋体" w:hAnsi="宋体"/>
          <w:sz w:val="24"/>
          <w:szCs w:val="24"/>
        </w:rPr>
      </w:pPr>
      <w:r>
        <w:rPr>
          <w:rFonts w:hint="eastAsia" w:ascii="宋体" w:hAnsi="宋体"/>
          <w:sz w:val="24"/>
          <w:szCs w:val="24"/>
        </w:rPr>
        <w:t>位于临沂市罗庄区美澳花园桂园DA1号楼DA1住宅用房地产，根据委托方提供的司法鉴定委托书、“不动产登记信息查询证明”及情况说明，估价对象权利人为丁凤霞，房屋建筑面积为</w:t>
      </w:r>
      <w:r>
        <w:rPr>
          <w:rFonts w:ascii="宋体" w:hAnsi="宋体"/>
          <w:sz w:val="24"/>
          <w:szCs w:val="24"/>
        </w:rPr>
        <w:t>335.85</w:t>
      </w:r>
      <w:r>
        <w:rPr>
          <w:rFonts w:hint="eastAsia" w:ascii="宋体" w:hAnsi="宋体"/>
          <w:sz w:val="24"/>
          <w:szCs w:val="24"/>
        </w:rPr>
        <w:t>平方米。</w:t>
      </w:r>
    </w:p>
    <w:p>
      <w:pPr>
        <w:spacing w:line="360" w:lineRule="auto"/>
        <w:ind w:firstLine="482" w:firstLineChars="200"/>
        <w:rPr>
          <w:rFonts w:ascii="宋体" w:hAnsi="宋体"/>
          <w:b/>
          <w:bCs/>
          <w:sz w:val="24"/>
          <w:szCs w:val="24"/>
        </w:rPr>
      </w:pPr>
      <w:r>
        <w:rPr>
          <w:rFonts w:hint="eastAsia" w:ascii="宋体" w:hAnsi="宋体"/>
          <w:b/>
          <w:bCs/>
          <w:sz w:val="24"/>
          <w:szCs w:val="24"/>
        </w:rPr>
        <w:t>2.估价目的</w:t>
      </w:r>
    </w:p>
    <w:p>
      <w:pPr>
        <w:spacing w:line="360" w:lineRule="auto"/>
        <w:ind w:firstLine="480" w:firstLineChars="200"/>
        <w:rPr>
          <w:rFonts w:ascii="宋体" w:hAnsi="宋体"/>
          <w:sz w:val="24"/>
          <w:szCs w:val="24"/>
        </w:rPr>
      </w:pPr>
      <w:r>
        <w:rPr>
          <w:rFonts w:hint="eastAsia" w:ascii="宋体" w:hAnsi="宋体"/>
          <w:sz w:val="24"/>
          <w:szCs w:val="24"/>
        </w:rPr>
        <w:t>为人民法院确定财产处置参考价提供参考依据。</w:t>
      </w:r>
    </w:p>
    <w:p>
      <w:pPr>
        <w:spacing w:line="360" w:lineRule="auto"/>
        <w:ind w:firstLine="482" w:firstLineChars="200"/>
        <w:rPr>
          <w:rFonts w:ascii="宋体" w:hAnsi="宋体"/>
          <w:sz w:val="24"/>
          <w:szCs w:val="24"/>
        </w:rPr>
      </w:pPr>
      <w:r>
        <w:rPr>
          <w:rFonts w:hint="eastAsia" w:ascii="宋体" w:hAnsi="宋体"/>
          <w:b/>
          <w:bCs/>
          <w:sz w:val="24"/>
          <w:szCs w:val="24"/>
        </w:rPr>
        <w:t>3.价值时点</w:t>
      </w:r>
    </w:p>
    <w:p>
      <w:pPr>
        <w:spacing w:line="360" w:lineRule="auto"/>
        <w:ind w:firstLine="480" w:firstLineChars="200"/>
        <w:rPr>
          <w:rFonts w:ascii="宋体" w:hAnsi="宋体"/>
          <w:sz w:val="24"/>
          <w:szCs w:val="24"/>
        </w:rPr>
      </w:pPr>
      <w:r>
        <w:rPr>
          <w:rFonts w:hint="eastAsia" w:ascii="宋体" w:hAnsi="宋体"/>
          <w:sz w:val="24"/>
          <w:szCs w:val="24"/>
        </w:rPr>
        <w:t>本次估价价值时点为2021年9月28日，</w:t>
      </w:r>
      <w:r>
        <w:rPr>
          <w:rFonts w:hint="eastAsia" w:asciiTheme="minorEastAsia" w:hAnsiTheme="minorEastAsia" w:eastAsiaTheme="minorEastAsia" w:cstheme="minorEastAsia"/>
          <w:sz w:val="24"/>
          <w:szCs w:val="24"/>
        </w:rPr>
        <w:t>该时点为委托人司法鉴定委托之日</w:t>
      </w:r>
      <w:r>
        <w:rPr>
          <w:rFonts w:hint="eastAsia" w:ascii="宋体" w:hAnsi="宋体"/>
          <w:sz w:val="24"/>
          <w:szCs w:val="24"/>
        </w:rPr>
        <w:t>。</w:t>
      </w:r>
    </w:p>
    <w:p>
      <w:pPr>
        <w:spacing w:line="360" w:lineRule="auto"/>
        <w:ind w:firstLine="472" w:firstLineChars="196"/>
        <w:rPr>
          <w:rFonts w:ascii="宋体" w:hAnsi="宋体"/>
          <w:b/>
          <w:bCs/>
          <w:sz w:val="24"/>
          <w:szCs w:val="24"/>
        </w:rPr>
      </w:pPr>
      <w:r>
        <w:rPr>
          <w:rFonts w:hint="eastAsia" w:ascii="宋体" w:hAnsi="宋体"/>
          <w:b/>
          <w:bCs/>
          <w:sz w:val="24"/>
          <w:szCs w:val="24"/>
        </w:rPr>
        <w:t>4.价值类型</w:t>
      </w:r>
    </w:p>
    <w:p>
      <w:pPr>
        <w:spacing w:line="360" w:lineRule="auto"/>
        <w:ind w:firstLine="480" w:firstLineChars="200"/>
        <w:rPr>
          <w:rFonts w:ascii="宋体" w:hAnsi="宋体"/>
          <w:sz w:val="24"/>
          <w:szCs w:val="24"/>
        </w:rPr>
      </w:pPr>
      <w:r>
        <w:rPr>
          <w:rFonts w:hint="eastAsia" w:ascii="宋体" w:hAnsi="宋体"/>
          <w:sz w:val="24"/>
          <w:szCs w:val="24"/>
        </w:rPr>
        <w:t>本次估价价值类型为市场价值。</w:t>
      </w:r>
    </w:p>
    <w:p>
      <w:pPr>
        <w:spacing w:line="360" w:lineRule="auto"/>
        <w:ind w:firstLine="472" w:firstLineChars="196"/>
        <w:rPr>
          <w:rFonts w:ascii="宋体" w:hAnsi="宋体"/>
          <w:b/>
          <w:bCs/>
          <w:sz w:val="24"/>
          <w:szCs w:val="24"/>
        </w:rPr>
      </w:pPr>
      <w:r>
        <w:rPr>
          <w:rFonts w:hint="eastAsia" w:ascii="宋体" w:hAnsi="宋体"/>
          <w:b/>
          <w:bCs/>
          <w:sz w:val="24"/>
          <w:szCs w:val="24"/>
        </w:rPr>
        <w:t>5.估价方法</w:t>
      </w:r>
    </w:p>
    <w:p>
      <w:pPr>
        <w:spacing w:line="360" w:lineRule="auto"/>
        <w:ind w:firstLine="470" w:firstLineChars="196"/>
        <w:rPr>
          <w:rFonts w:ascii="宋体" w:hAnsi="宋体"/>
          <w:sz w:val="24"/>
          <w:szCs w:val="24"/>
        </w:rPr>
      </w:pPr>
      <w:r>
        <w:rPr>
          <w:rFonts w:hint="eastAsia" w:ascii="宋体" w:hAnsi="宋体"/>
          <w:sz w:val="24"/>
          <w:szCs w:val="24"/>
        </w:rPr>
        <w:t>本次估价采用市场比较法、收益法进行评估。</w:t>
      </w:r>
    </w:p>
    <w:p>
      <w:pPr>
        <w:spacing w:line="360" w:lineRule="auto"/>
        <w:ind w:firstLine="472" w:firstLineChars="196"/>
        <w:rPr>
          <w:rFonts w:ascii="宋体" w:hAnsi="宋体"/>
          <w:b/>
          <w:bCs/>
          <w:sz w:val="24"/>
          <w:szCs w:val="24"/>
        </w:rPr>
      </w:pPr>
      <w:r>
        <w:rPr>
          <w:rFonts w:hint="eastAsia" w:ascii="宋体" w:hAnsi="宋体"/>
          <w:b/>
          <w:bCs/>
          <w:sz w:val="24"/>
          <w:szCs w:val="24"/>
        </w:rPr>
        <w:t>6.估价结果</w:t>
      </w:r>
    </w:p>
    <w:p>
      <w:pPr>
        <w:spacing w:line="360" w:lineRule="auto"/>
        <w:ind w:firstLine="480" w:firstLineChars="200"/>
        <w:rPr>
          <w:rFonts w:ascii="宋体" w:hAnsi="宋体" w:cs="宋体"/>
          <w:sz w:val="24"/>
          <w:szCs w:val="24"/>
        </w:rPr>
      </w:pPr>
      <w:r>
        <w:rPr>
          <w:rFonts w:hint="eastAsia" w:ascii="宋体" w:hAnsi="宋体"/>
          <w:sz w:val="24"/>
          <w:szCs w:val="24"/>
        </w:rPr>
        <w:t>我公司根据国家有关房地产估价的规定，本着独立、客观、公正、谨慎的原则，采用科学的估价方法，对估价对象进行了实地查勘、市场调查、评定估算等工作</w:t>
      </w:r>
      <w:r>
        <w:rPr>
          <w:rFonts w:hint="eastAsia" w:ascii="宋体" w:hAnsi="宋体"/>
          <w:color w:val="000000" w:themeColor="text1"/>
          <w:sz w:val="24"/>
          <w:szCs w:val="24"/>
        </w:rPr>
        <w:t>，</w:t>
      </w:r>
      <w:r>
        <w:rPr>
          <w:rFonts w:hint="eastAsia" w:ascii="宋体" w:hAnsi="宋体"/>
          <w:sz w:val="24"/>
          <w:szCs w:val="24"/>
        </w:rPr>
        <w:t>确定估价对象在满足全部假设和限制条件下，于价值时点的估价结果如下：</w:t>
      </w:r>
      <w:r>
        <w:rPr>
          <w:rFonts w:hint="eastAsia" w:ascii="宋体" w:hAnsi="宋体" w:cs="宋体"/>
          <w:b/>
          <w:sz w:val="24"/>
          <w:szCs w:val="24"/>
        </w:rPr>
        <w:t>（</w:t>
      </w:r>
      <w:r>
        <w:rPr>
          <w:rFonts w:hint="eastAsia" w:ascii="宋体" w:hAnsi="宋体" w:cs="宋体"/>
          <w:sz w:val="24"/>
          <w:szCs w:val="24"/>
        </w:rPr>
        <w:t>币种：人民币</w:t>
      </w:r>
      <w:r>
        <w:rPr>
          <w:rFonts w:hint="eastAsia" w:ascii="宋体" w:hAnsi="宋体" w:cs="宋体"/>
          <w:b/>
          <w:sz w:val="24"/>
          <w:szCs w:val="24"/>
        </w:rPr>
        <w:t>）</w:t>
      </w:r>
      <w:r>
        <w:rPr>
          <w:rFonts w:hint="eastAsia" w:ascii="宋体" w:hAnsi="宋体" w:cs="宋体"/>
          <w:sz w:val="24"/>
          <w:szCs w:val="24"/>
        </w:rPr>
        <w:t xml:space="preserve"> </w:t>
      </w:r>
    </w:p>
    <w:tbl>
      <w:tblPr>
        <w:tblStyle w:val="23"/>
        <w:tblW w:w="5220" w:type="pct"/>
        <w:tblInd w:w="0" w:type="dxa"/>
        <w:tblLayout w:type="autofit"/>
        <w:tblCellMar>
          <w:top w:w="0" w:type="dxa"/>
          <w:left w:w="108" w:type="dxa"/>
          <w:bottom w:w="0" w:type="dxa"/>
          <w:right w:w="108" w:type="dxa"/>
        </w:tblCellMar>
      </w:tblPr>
      <w:tblGrid>
        <w:gridCol w:w="2660"/>
        <w:gridCol w:w="1559"/>
        <w:gridCol w:w="3687"/>
        <w:gridCol w:w="991"/>
      </w:tblGrid>
      <w:tr>
        <w:tblPrEx>
          <w:tblCellMar>
            <w:top w:w="0" w:type="dxa"/>
            <w:left w:w="108" w:type="dxa"/>
            <w:bottom w:w="0" w:type="dxa"/>
            <w:right w:w="108" w:type="dxa"/>
          </w:tblCellMar>
        </w:tblPrEx>
        <w:trPr>
          <w:trHeight w:val="573" w:hRule="atLeast"/>
        </w:trPr>
        <w:tc>
          <w:tcPr>
            <w:tcW w:w="1495" w:type="pct"/>
            <w:tcBorders>
              <w:top w:val="single" w:color="auto" w:sz="4" w:space="0"/>
              <w:left w:val="single" w:color="auto" w:sz="4" w:space="0"/>
              <w:bottom w:val="single" w:color="auto" w:sz="4" w:space="0"/>
              <w:right w:val="single" w:color="auto" w:sz="4" w:space="0"/>
            </w:tcBorders>
          </w:tcPr>
          <w:p>
            <w:pPr>
              <w:widowControl/>
              <w:spacing w:line="460" w:lineRule="exact"/>
              <w:ind w:firstLine="315" w:firstLineChars="1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876" w:type="pct"/>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建筑面积（㎡）</w:t>
            </w:r>
          </w:p>
        </w:tc>
        <w:tc>
          <w:tcPr>
            <w:tcW w:w="2072"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评估价值</w:t>
            </w:r>
          </w:p>
        </w:tc>
        <w:tc>
          <w:tcPr>
            <w:tcW w:w="557"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CellMar>
            <w:top w:w="0" w:type="dxa"/>
            <w:left w:w="108" w:type="dxa"/>
            <w:bottom w:w="0" w:type="dxa"/>
            <w:right w:w="108" w:type="dxa"/>
          </w:tblCellMar>
        </w:tblPrEx>
        <w:trPr>
          <w:trHeight w:val="807" w:hRule="atLeast"/>
        </w:trPr>
        <w:tc>
          <w:tcPr>
            <w:tcW w:w="1495" w:type="pct"/>
            <w:tcBorders>
              <w:top w:val="single" w:color="auto" w:sz="4" w:space="0"/>
              <w:left w:val="single" w:color="auto" w:sz="4" w:space="0"/>
              <w:bottom w:val="single" w:color="auto" w:sz="4" w:space="0"/>
              <w:right w:val="single" w:color="auto" w:sz="4" w:space="0"/>
            </w:tcBorders>
          </w:tcPr>
          <w:p>
            <w:pPr>
              <w:widowControl/>
              <w:spacing w:line="4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罗庄区美澳花园桂园DA1号楼DA1</w:t>
            </w:r>
          </w:p>
        </w:tc>
        <w:tc>
          <w:tcPr>
            <w:tcW w:w="876" w:type="pc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335.85</w:t>
            </w:r>
          </w:p>
        </w:tc>
        <w:tc>
          <w:tcPr>
            <w:tcW w:w="2072"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11,754,750 </w:t>
            </w:r>
          </w:p>
        </w:tc>
        <w:tc>
          <w:tcPr>
            <w:tcW w:w="557"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544" w:hRule="atLeast"/>
        </w:trPr>
        <w:tc>
          <w:tcPr>
            <w:tcW w:w="2371" w:type="pct"/>
            <w:gridSpan w:val="2"/>
            <w:tcBorders>
              <w:top w:val="single" w:color="auto" w:sz="4" w:space="0"/>
              <w:left w:val="single" w:color="auto" w:sz="4" w:space="0"/>
              <w:bottom w:val="single" w:color="auto" w:sz="4" w:space="0"/>
              <w:right w:val="single" w:color="auto" w:sz="4" w:space="0"/>
            </w:tcBorders>
          </w:tcPr>
          <w:p>
            <w:pPr>
              <w:widowControl/>
              <w:spacing w:line="460" w:lineRule="exact"/>
              <w:ind w:firstLine="1440" w:firstLineChars="6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人民币大写</w:t>
            </w:r>
          </w:p>
        </w:tc>
        <w:tc>
          <w:tcPr>
            <w:tcW w:w="2072"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壹仟壹佰柒拾伍万肆仟柒佰伍拾元整</w:t>
            </w:r>
          </w:p>
        </w:tc>
        <w:tc>
          <w:tcPr>
            <w:tcW w:w="557"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p>
        </w:tc>
      </w:tr>
    </w:tbl>
    <w:p>
      <w:pPr>
        <w:spacing w:line="360" w:lineRule="auto"/>
        <w:ind w:firstLine="482" w:firstLineChars="200"/>
        <w:rPr>
          <w:rFonts w:ascii="宋体" w:hAnsi="宋体"/>
          <w:sz w:val="24"/>
          <w:szCs w:val="24"/>
        </w:rPr>
      </w:pPr>
      <w:r>
        <w:rPr>
          <w:rFonts w:hint="eastAsia" w:ascii="宋体" w:hAnsi="宋体"/>
          <w:b/>
          <w:bCs/>
          <w:sz w:val="24"/>
          <w:szCs w:val="24"/>
        </w:rPr>
        <w:t>7.特别提示</w:t>
      </w:r>
    </w:p>
    <w:p>
      <w:pPr>
        <w:spacing w:line="360" w:lineRule="auto"/>
        <w:ind w:firstLine="480" w:firstLineChars="200"/>
        <w:rPr>
          <w:rFonts w:ascii="宋体" w:hAnsi="宋体"/>
          <w:sz w:val="24"/>
          <w:szCs w:val="24"/>
        </w:rPr>
      </w:pPr>
      <w:r>
        <w:rPr>
          <w:rFonts w:hint="eastAsia" w:ascii="宋体" w:hAnsi="宋体"/>
          <w:sz w:val="24"/>
          <w:szCs w:val="24"/>
        </w:rPr>
        <w:t>以上内容均摘</w:t>
      </w:r>
      <w:r>
        <w:rPr>
          <w:rFonts w:hint="eastAsia" w:ascii="宋体" w:hAnsi="宋体"/>
          <w:color w:val="000000" w:themeColor="text1"/>
          <w:sz w:val="24"/>
          <w:szCs w:val="24"/>
        </w:rPr>
        <w:t>自临鸿房评报字（2021）第</w:t>
      </w:r>
      <w:r>
        <w:rPr>
          <w:rFonts w:hint="eastAsia" w:ascii="宋体" w:hAnsi="宋体"/>
          <w:color w:val="000000" w:themeColor="text1"/>
          <w:sz w:val="24"/>
          <w:szCs w:val="24"/>
          <w:lang w:eastAsia="zh-CN"/>
        </w:rPr>
        <w:t>015号</w:t>
      </w:r>
      <w:r>
        <w:rPr>
          <w:rFonts w:hint="eastAsia" w:ascii="宋体" w:hAnsi="宋体"/>
          <w:color w:val="000000" w:themeColor="text1"/>
          <w:sz w:val="24"/>
          <w:szCs w:val="24"/>
        </w:rPr>
        <w:t>估</w:t>
      </w:r>
      <w:r>
        <w:rPr>
          <w:rFonts w:hint="eastAsia" w:ascii="宋体" w:hAnsi="宋体"/>
          <w:sz w:val="24"/>
          <w:szCs w:val="24"/>
        </w:rPr>
        <w:t>价报告正文，欲了解本估价项目详细情况和合理使用估价结果，应认真阅读估价报告正文及估价假设。</w:t>
      </w:r>
    </w:p>
    <w:p>
      <w:pPr>
        <w:spacing w:line="360" w:lineRule="auto"/>
        <w:ind w:firstLine="480" w:firstLineChars="200"/>
        <w:rPr>
          <w:rFonts w:ascii="宋体" w:hAnsi="宋体"/>
          <w:sz w:val="24"/>
          <w:szCs w:val="24"/>
        </w:rPr>
      </w:pPr>
      <w:r>
        <w:rPr>
          <w:rFonts w:hint="eastAsia" w:ascii="宋体" w:hAnsi="宋体"/>
          <w:sz w:val="24"/>
          <w:szCs w:val="24"/>
        </w:rPr>
        <w:t>估价报告应用的有效期：自估价报告出具之日起有效期为一年。</w:t>
      </w:r>
    </w:p>
    <w:p>
      <w:pPr>
        <w:spacing w:line="360" w:lineRule="auto"/>
        <w:ind w:firstLine="480" w:firstLineChars="200"/>
        <w:rPr>
          <w:rFonts w:ascii="宋体" w:hAnsi="宋体"/>
          <w:sz w:val="24"/>
          <w:szCs w:val="24"/>
        </w:rPr>
      </w:pPr>
      <w:r>
        <w:rPr>
          <w:rFonts w:hint="eastAsia" w:ascii="宋体" w:hAnsi="宋体"/>
          <w:sz w:val="24"/>
          <w:szCs w:val="24"/>
        </w:rPr>
        <w:t>如对报告有异议，请自签收报告之日起5日内，通过罗庄区人民法院向我公司书面提出。</w:t>
      </w:r>
    </w:p>
    <w:p>
      <w:pPr>
        <w:spacing w:line="360" w:lineRule="auto"/>
        <w:rPr>
          <w:rFonts w:ascii="宋体" w:hAnsi="宋体"/>
          <w:sz w:val="24"/>
          <w:szCs w:val="24"/>
        </w:rPr>
      </w:pPr>
    </w:p>
    <w:p>
      <w:pPr>
        <w:pStyle w:val="9"/>
        <w:spacing w:line="460" w:lineRule="exact"/>
        <w:ind w:firstLine="0"/>
        <w:rPr>
          <w:rFonts w:ascii="宋体" w:hAnsi="宋体"/>
          <w:sz w:val="24"/>
          <w:szCs w:val="24"/>
        </w:rPr>
      </w:pPr>
    </w:p>
    <w:p>
      <w:pPr>
        <w:pStyle w:val="9"/>
        <w:spacing w:line="460" w:lineRule="exact"/>
        <w:ind w:firstLine="0"/>
        <w:rPr>
          <w:rFonts w:ascii="宋体" w:hAnsi="宋体"/>
          <w:sz w:val="24"/>
          <w:szCs w:val="24"/>
        </w:rPr>
      </w:pPr>
    </w:p>
    <w:p>
      <w:pPr>
        <w:pStyle w:val="9"/>
        <w:spacing w:line="460" w:lineRule="exact"/>
        <w:ind w:firstLine="0"/>
        <w:rPr>
          <w:rFonts w:ascii="宋体" w:hAnsi="宋体"/>
          <w:sz w:val="24"/>
          <w:szCs w:val="24"/>
        </w:rPr>
      </w:pPr>
    </w:p>
    <w:p>
      <w:pPr>
        <w:pStyle w:val="9"/>
        <w:spacing w:line="460" w:lineRule="exact"/>
        <w:ind w:firstLine="0"/>
        <w:rPr>
          <w:rFonts w:ascii="宋体" w:hAnsi="宋体"/>
          <w:sz w:val="24"/>
          <w:szCs w:val="24"/>
        </w:rPr>
      </w:pPr>
    </w:p>
    <w:p>
      <w:pPr>
        <w:pStyle w:val="9"/>
        <w:spacing w:line="460" w:lineRule="exact"/>
        <w:ind w:firstLine="0"/>
        <w:rPr>
          <w:rFonts w:ascii="宋体" w:hAnsi="宋体"/>
          <w:sz w:val="24"/>
          <w:szCs w:val="24"/>
        </w:rPr>
      </w:pPr>
    </w:p>
    <w:p>
      <w:pPr>
        <w:pStyle w:val="9"/>
        <w:spacing w:line="460" w:lineRule="exact"/>
        <w:ind w:firstLine="0"/>
        <w:rPr>
          <w:rFonts w:ascii="宋体" w:hAnsi="宋体"/>
          <w:sz w:val="24"/>
          <w:szCs w:val="24"/>
        </w:rPr>
      </w:pPr>
    </w:p>
    <w:p>
      <w:pPr>
        <w:pStyle w:val="9"/>
        <w:spacing w:line="460" w:lineRule="exact"/>
        <w:ind w:firstLine="0"/>
        <w:rPr>
          <w:rFonts w:ascii="宋体" w:hAnsi="宋体"/>
          <w:sz w:val="24"/>
          <w:szCs w:val="24"/>
        </w:rPr>
      </w:pPr>
    </w:p>
    <w:p>
      <w:pPr>
        <w:pStyle w:val="9"/>
        <w:spacing w:line="460" w:lineRule="exact"/>
        <w:ind w:firstLine="0"/>
        <w:rPr>
          <w:rFonts w:ascii="宋体" w:hAnsi="宋体"/>
          <w:sz w:val="24"/>
          <w:szCs w:val="24"/>
        </w:rPr>
      </w:pPr>
    </w:p>
    <w:p>
      <w:pPr>
        <w:pStyle w:val="9"/>
        <w:spacing w:line="460" w:lineRule="exact"/>
        <w:ind w:firstLine="0"/>
        <w:rPr>
          <w:rFonts w:ascii="宋体" w:hAnsi="宋体"/>
          <w:sz w:val="24"/>
          <w:szCs w:val="24"/>
        </w:rPr>
      </w:pPr>
    </w:p>
    <w:p>
      <w:pPr>
        <w:pStyle w:val="9"/>
        <w:spacing w:line="460" w:lineRule="exact"/>
        <w:ind w:firstLine="2640" w:firstLineChars="1100"/>
        <w:rPr>
          <w:rFonts w:ascii="宋体" w:hAnsi="宋体"/>
          <w:sz w:val="24"/>
          <w:szCs w:val="24"/>
        </w:rPr>
      </w:pPr>
      <w:r>
        <w:rPr>
          <w:rFonts w:hint="eastAsia" w:ascii="宋体" w:hAnsi="宋体"/>
          <w:bCs/>
          <w:sz w:val="24"/>
          <w:szCs w:val="24"/>
        </w:rPr>
        <w:t>临沂鸿诚资产评估土地房地产估价有限公司</w:t>
      </w:r>
      <w:r>
        <w:rPr>
          <w:rFonts w:hint="eastAsia" w:ascii="宋体" w:hAnsi="宋体"/>
          <w:sz w:val="24"/>
          <w:szCs w:val="24"/>
        </w:rPr>
        <w:t>（公章）</w:t>
      </w:r>
    </w:p>
    <w:p>
      <w:pPr>
        <w:pStyle w:val="9"/>
        <w:spacing w:line="460" w:lineRule="exact"/>
        <w:ind w:firstLine="2880" w:firstLineChars="1200"/>
        <w:rPr>
          <w:rFonts w:ascii="宋体" w:hAnsi="宋体"/>
          <w:sz w:val="24"/>
          <w:szCs w:val="24"/>
        </w:rPr>
      </w:pPr>
    </w:p>
    <w:p>
      <w:pPr>
        <w:spacing w:line="360" w:lineRule="auto"/>
        <w:ind w:right="480" w:firstLine="3360" w:firstLineChars="1400"/>
        <w:rPr>
          <w:rFonts w:ascii="宋体" w:hAnsi="宋体"/>
          <w:sz w:val="24"/>
          <w:szCs w:val="24"/>
        </w:rPr>
      </w:pPr>
      <w:r>
        <w:rPr>
          <w:rFonts w:hint="eastAsia" w:ascii="宋体" w:hAnsi="宋体"/>
          <w:sz w:val="24"/>
          <w:szCs w:val="24"/>
        </w:rPr>
        <w:t xml:space="preserve">法定代表人：  </w:t>
      </w:r>
    </w:p>
    <w:p>
      <w:pPr>
        <w:pStyle w:val="7"/>
        <w:tabs>
          <w:tab w:val="left" w:pos="2835"/>
        </w:tabs>
        <w:wordWrap w:val="0"/>
        <w:spacing w:line="480" w:lineRule="auto"/>
        <w:ind w:left="3816" w:leftChars="1817"/>
        <w:jc w:val="right"/>
        <w:rPr>
          <w:rFonts w:hint="eastAsia"/>
          <w:sz w:val="24"/>
          <w:szCs w:val="24"/>
        </w:rPr>
      </w:pPr>
    </w:p>
    <w:p>
      <w:pPr>
        <w:pStyle w:val="7"/>
        <w:tabs>
          <w:tab w:val="left" w:pos="2835"/>
        </w:tabs>
        <w:wordWrap w:val="0"/>
        <w:spacing w:line="480" w:lineRule="auto"/>
        <w:ind w:left="3816" w:leftChars="1817"/>
        <w:jc w:val="right"/>
        <w:rPr>
          <w:sz w:val="24"/>
          <w:szCs w:val="24"/>
        </w:rPr>
      </w:pPr>
      <w:r>
        <w:rPr>
          <w:rFonts w:hint="eastAsia"/>
          <w:sz w:val="24"/>
          <w:szCs w:val="24"/>
        </w:rPr>
        <w:t xml:space="preserve">致函日期：2021年10月13日 </w:t>
      </w:r>
    </w:p>
    <w:p>
      <w:pPr>
        <w:pageBreakBefore/>
        <w:tabs>
          <w:tab w:val="left" w:pos="2835"/>
        </w:tabs>
        <w:spacing w:line="240" w:lineRule="auto"/>
        <w:jc w:val="center"/>
        <w:rPr>
          <w:rFonts w:ascii="宋体" w:hAnsi="宋体"/>
          <w:b/>
          <w:sz w:val="36"/>
          <w:szCs w:val="36"/>
        </w:rPr>
      </w:pPr>
      <w:r>
        <w:rPr>
          <w:rFonts w:hint="eastAsia" w:ascii="宋体" w:hAnsi="宋体"/>
          <w:b/>
          <w:sz w:val="36"/>
          <w:szCs w:val="36"/>
        </w:rPr>
        <w:t>目  录</w:t>
      </w:r>
    </w:p>
    <w:p>
      <w:pPr>
        <w:tabs>
          <w:tab w:val="left" w:pos="2835"/>
        </w:tabs>
        <w:spacing w:line="360" w:lineRule="auto"/>
        <w:rPr>
          <w:rFonts w:asciiTheme="minorEastAsia" w:hAnsiTheme="minorEastAsia" w:eastAsiaTheme="minorEastAsia" w:cstheme="minorBidi"/>
          <w:kern w:val="2"/>
          <w:sz w:val="24"/>
          <w:szCs w:val="24"/>
        </w:rPr>
      </w:pPr>
      <w:r>
        <w:rPr>
          <w:rFonts w:ascii="仿宋_GB2312" w:eastAsia="仿宋_GB2312"/>
          <w:b/>
          <w:sz w:val="32"/>
        </w:rPr>
        <w:t> </w:t>
      </w:r>
      <w:r>
        <w:rPr>
          <w:rFonts w:hint="eastAsia" w:asciiTheme="minorEastAsia" w:hAnsiTheme="minorEastAsia" w:eastAsiaTheme="minorEastAsia"/>
          <w:spacing w:val="-2"/>
          <w:sz w:val="24"/>
          <w:szCs w:val="24"/>
        </w:rPr>
        <w:fldChar w:fldCharType="begin"/>
      </w:r>
      <w:r>
        <w:rPr>
          <w:rFonts w:hint="eastAsia" w:asciiTheme="minorEastAsia" w:hAnsiTheme="minorEastAsia" w:eastAsiaTheme="minorEastAsia"/>
          <w:spacing w:val="-2"/>
          <w:sz w:val="24"/>
          <w:szCs w:val="24"/>
        </w:rPr>
        <w:instrText xml:space="preserve"> TOC \o "1-2" \h \z \u </w:instrText>
      </w:r>
      <w:r>
        <w:rPr>
          <w:rFonts w:hint="eastAsia" w:asciiTheme="minorEastAsia" w:hAnsiTheme="minorEastAsia" w:eastAsiaTheme="minorEastAsia"/>
          <w:spacing w:val="-2"/>
          <w:sz w:val="24"/>
          <w:szCs w:val="24"/>
        </w:rPr>
        <w:fldChar w:fldCharType="separate"/>
      </w:r>
    </w:p>
    <w:p>
      <w:pPr>
        <w:pStyle w:val="16"/>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"_Toc445903482" </w:instrText>
      </w:r>
      <w:r>
        <w:fldChar w:fldCharType="separate"/>
      </w:r>
      <w:r>
        <w:rPr>
          <w:rStyle w:val="29"/>
          <w:rFonts w:hint="eastAsia" w:asciiTheme="minorEastAsia" w:hAnsiTheme="minorEastAsia" w:eastAsiaTheme="minorEastAsia"/>
          <w:sz w:val="24"/>
        </w:rPr>
        <w:t>估价师声明</w:t>
      </w:r>
      <w:r>
        <w:rPr>
          <w:rFonts w:asciiTheme="minorEastAsia" w:hAnsiTheme="minorEastAsia" w:eastAsiaTheme="minorEastAsia"/>
          <w:sz w:val="24"/>
          <w:szCs w:val="24"/>
        </w:rPr>
        <w:tab/>
      </w:r>
      <w:r>
        <w:rPr>
          <w:rFonts w:hint="eastAsia" w:asciiTheme="minorEastAsia" w:hAnsiTheme="minorEastAsia" w:eastAsiaTheme="minorEastAsia"/>
          <w:sz w:val="24"/>
          <w:szCs w:val="24"/>
        </w:rPr>
        <w:t>5</w:t>
      </w:r>
      <w:r>
        <w:rPr>
          <w:rFonts w:hint="eastAsia" w:asciiTheme="minorEastAsia" w:hAnsiTheme="minorEastAsia" w:eastAsiaTheme="minorEastAsia"/>
          <w:sz w:val="24"/>
          <w:szCs w:val="24"/>
        </w:rPr>
        <w:fldChar w:fldCharType="end"/>
      </w:r>
    </w:p>
    <w:p>
      <w:pPr>
        <w:pStyle w:val="16"/>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"_Toc445903483" </w:instrText>
      </w:r>
      <w:r>
        <w:fldChar w:fldCharType="separate"/>
      </w:r>
      <w:r>
        <w:rPr>
          <w:rStyle w:val="29"/>
          <w:rFonts w:hint="eastAsia" w:asciiTheme="minorEastAsia" w:hAnsiTheme="minorEastAsia" w:eastAsiaTheme="minorEastAsia"/>
          <w:sz w:val="24"/>
        </w:rPr>
        <w:t>估价假设和限制条件</w:t>
      </w:r>
      <w:r>
        <w:rPr>
          <w:rFonts w:asciiTheme="minorEastAsia" w:hAnsiTheme="minorEastAsia" w:eastAsiaTheme="minorEastAsia"/>
          <w:sz w:val="24"/>
          <w:szCs w:val="24"/>
        </w:rPr>
        <w:tab/>
      </w:r>
      <w:r>
        <w:rPr>
          <w:rFonts w:hint="eastAsia" w:asciiTheme="minorEastAsia" w:hAnsiTheme="minorEastAsia" w:eastAsiaTheme="minorEastAsia"/>
          <w:sz w:val="24"/>
          <w:szCs w:val="24"/>
        </w:rPr>
        <w:t>7</w:t>
      </w:r>
      <w:r>
        <w:rPr>
          <w:rFonts w:hint="eastAsia" w:asciiTheme="minorEastAsia" w:hAnsiTheme="minorEastAsia" w:eastAsiaTheme="minorEastAsia"/>
          <w:sz w:val="24"/>
          <w:szCs w:val="24"/>
        </w:rPr>
        <w:fldChar w:fldCharType="end"/>
      </w:r>
    </w:p>
    <w:p>
      <w:pPr>
        <w:pStyle w:val="16"/>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"_Toc445903484" </w:instrText>
      </w:r>
      <w:r>
        <w:fldChar w:fldCharType="separate"/>
      </w:r>
      <w:r>
        <w:rPr>
          <w:rStyle w:val="29"/>
          <w:rFonts w:hint="eastAsia" w:asciiTheme="minorEastAsia" w:hAnsiTheme="minorEastAsia" w:eastAsiaTheme="minorEastAsia"/>
          <w:sz w:val="24"/>
        </w:rPr>
        <w:t>房地产估价结果报告</w:t>
      </w:r>
      <w:r>
        <w:rPr>
          <w:rFonts w:asciiTheme="minorEastAsia" w:hAnsiTheme="minorEastAsia" w:eastAsiaTheme="minorEastAsia"/>
          <w:sz w:val="24"/>
          <w:szCs w:val="24"/>
        </w:rPr>
        <w:tab/>
      </w:r>
      <w:r>
        <w:rPr>
          <w:rFonts w:hint="eastAsia" w:asciiTheme="minorEastAsia" w:hAnsiTheme="minorEastAsia" w:eastAsiaTheme="minorEastAsia"/>
          <w:sz w:val="24"/>
          <w:szCs w:val="24"/>
        </w:rPr>
        <w:t>10</w:t>
      </w:r>
      <w:r>
        <w:rPr>
          <w:rFonts w:hint="eastAsia" w:asciiTheme="minorEastAsia" w:hAnsiTheme="minorEastAsia" w:eastAsiaTheme="minorEastAsia"/>
          <w:sz w:val="24"/>
          <w:szCs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"_Toc445903485" </w:instrText>
      </w:r>
      <w:r>
        <w:fldChar w:fldCharType="separate"/>
      </w:r>
      <w:r>
        <w:rPr>
          <w:rStyle w:val="29"/>
          <w:rFonts w:hint="eastAsia" w:asciiTheme="minorEastAsia" w:hAnsiTheme="minorEastAsia" w:eastAsiaTheme="minorEastAsia"/>
          <w:sz w:val="24"/>
        </w:rPr>
        <w:t>一、估价委托人</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"_Toc445903486" </w:instrText>
      </w:r>
      <w:r>
        <w:fldChar w:fldCharType="separate"/>
      </w:r>
      <w:r>
        <w:rPr>
          <w:rStyle w:val="29"/>
          <w:rFonts w:hint="eastAsia" w:asciiTheme="minorEastAsia" w:hAnsiTheme="minorEastAsia" w:eastAsiaTheme="minorEastAsia"/>
          <w:sz w:val="24"/>
        </w:rPr>
        <w:t>二、房地产估价机构</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"_Toc445903487" </w:instrText>
      </w:r>
      <w:r>
        <w:fldChar w:fldCharType="separate"/>
      </w:r>
      <w:r>
        <w:rPr>
          <w:rStyle w:val="29"/>
          <w:rFonts w:hint="eastAsia" w:asciiTheme="minorEastAsia" w:hAnsiTheme="minorEastAsia" w:eastAsiaTheme="minorEastAsia"/>
          <w:sz w:val="24"/>
        </w:rPr>
        <w:t>三、估价目的</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"_Toc445903488" </w:instrText>
      </w:r>
      <w:r>
        <w:fldChar w:fldCharType="separate"/>
      </w:r>
      <w:r>
        <w:rPr>
          <w:rStyle w:val="29"/>
          <w:rFonts w:hint="eastAsia" w:asciiTheme="minorEastAsia" w:hAnsiTheme="minorEastAsia" w:eastAsiaTheme="minorEastAsia"/>
          <w:sz w:val="24"/>
        </w:rPr>
        <w:t>四、估价对象</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"_Toc445903489" </w:instrText>
      </w:r>
      <w:r>
        <w:fldChar w:fldCharType="separate"/>
      </w:r>
      <w:r>
        <w:rPr>
          <w:rStyle w:val="29"/>
          <w:rFonts w:hint="eastAsia" w:asciiTheme="minorEastAsia" w:hAnsiTheme="minorEastAsia" w:eastAsiaTheme="minorEastAsia"/>
          <w:sz w:val="24"/>
        </w:rPr>
        <w:t>五、价值时点</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"_Toc445903490" </w:instrText>
      </w:r>
      <w:r>
        <w:fldChar w:fldCharType="separate"/>
      </w:r>
      <w:r>
        <w:rPr>
          <w:rStyle w:val="29"/>
          <w:rFonts w:hint="eastAsia" w:asciiTheme="minorEastAsia" w:hAnsiTheme="minorEastAsia" w:eastAsiaTheme="minorEastAsia"/>
          <w:sz w:val="24"/>
        </w:rPr>
        <w:t>六、价值类型</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"_Toc445903491" </w:instrText>
      </w:r>
      <w:r>
        <w:fldChar w:fldCharType="separate"/>
      </w:r>
      <w:r>
        <w:rPr>
          <w:rStyle w:val="29"/>
          <w:rFonts w:hint="eastAsia" w:asciiTheme="minorEastAsia" w:hAnsiTheme="minorEastAsia" w:eastAsiaTheme="minorEastAsia"/>
          <w:sz w:val="24"/>
        </w:rPr>
        <w:t>七、</w:t>
      </w:r>
      <w:r>
        <w:rPr>
          <w:rStyle w:val="29"/>
          <w:rFonts w:hint="eastAsia" w:asciiTheme="minorEastAsia" w:hAnsiTheme="minorEastAsia" w:eastAsiaTheme="minorEastAsia"/>
          <w:sz w:val="24"/>
        </w:rPr>
        <w:fldChar w:fldCharType="end"/>
      </w:r>
      <w:r>
        <w:rPr>
          <w:rStyle w:val="29"/>
          <w:rFonts w:hint="eastAsia" w:asciiTheme="minorEastAsia" w:hAnsiTheme="minorEastAsia" w:eastAsiaTheme="minorEastAsia"/>
          <w:sz w:val="24"/>
        </w:rPr>
        <w:t>估价依据</w:t>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"_Toc445903492" </w:instrText>
      </w:r>
      <w:r>
        <w:fldChar w:fldCharType="separate"/>
      </w:r>
      <w:r>
        <w:rPr>
          <w:rStyle w:val="29"/>
          <w:rFonts w:hint="eastAsia" w:asciiTheme="minorEastAsia" w:hAnsiTheme="minorEastAsia" w:eastAsiaTheme="minorEastAsia"/>
          <w:sz w:val="24"/>
        </w:rPr>
        <w:t>八、估价原则</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"_Toc445903493" </w:instrText>
      </w:r>
      <w:r>
        <w:fldChar w:fldCharType="separate"/>
      </w:r>
      <w:r>
        <w:rPr>
          <w:rStyle w:val="29"/>
          <w:rFonts w:hint="eastAsia" w:asciiTheme="minorEastAsia" w:hAnsiTheme="minorEastAsia" w:eastAsiaTheme="minorEastAsia"/>
          <w:sz w:val="24"/>
        </w:rPr>
        <w:t>九、估价方法</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"_Toc445903494" </w:instrText>
      </w:r>
      <w:r>
        <w:fldChar w:fldCharType="separate"/>
      </w:r>
      <w:r>
        <w:rPr>
          <w:rStyle w:val="29"/>
          <w:rFonts w:hint="eastAsia" w:asciiTheme="minorEastAsia" w:hAnsiTheme="minorEastAsia" w:eastAsiaTheme="minorEastAsia"/>
          <w:sz w:val="24"/>
        </w:rPr>
        <w:t>十、估价结果</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"_Toc445903495" </w:instrText>
      </w:r>
      <w:r>
        <w:fldChar w:fldCharType="separate"/>
      </w:r>
      <w:r>
        <w:rPr>
          <w:rStyle w:val="29"/>
          <w:rFonts w:hint="eastAsia" w:asciiTheme="minorEastAsia" w:hAnsiTheme="minorEastAsia" w:eastAsiaTheme="minorEastAsia"/>
          <w:sz w:val="24"/>
        </w:rPr>
        <w:t>十一、注册房地产估价师</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"_Toc445903496" </w:instrText>
      </w:r>
      <w:r>
        <w:fldChar w:fldCharType="separate"/>
      </w:r>
      <w:r>
        <w:rPr>
          <w:rStyle w:val="29"/>
          <w:rFonts w:hint="eastAsia" w:asciiTheme="minorEastAsia" w:hAnsiTheme="minorEastAsia" w:eastAsiaTheme="minorEastAsia"/>
          <w:sz w:val="24"/>
        </w:rPr>
        <w:t>十二、实地查勘期</w:t>
      </w:r>
      <w:r>
        <w:rPr>
          <w:rStyle w:val="29"/>
          <w:rFonts w:hint="eastAsia" w:asciiTheme="minorEastAsia" w:hAnsiTheme="minorEastAsia" w:eastAsiaTheme="minorEastAsia"/>
          <w:sz w:val="24"/>
        </w:rPr>
        <w:fldChar w:fldCharType="end"/>
      </w:r>
    </w:p>
    <w:p>
      <w:pPr>
        <w:pStyle w:val="18"/>
        <w:tabs>
          <w:tab w:val="right" w:leader="dot" w:pos="8776"/>
        </w:tabs>
        <w:spacing w:line="400" w:lineRule="exact"/>
        <w:rPr>
          <w:rStyle w:val="29"/>
          <w:rFonts w:asciiTheme="minorEastAsia" w:hAnsiTheme="minorEastAsia" w:eastAsiaTheme="minorEastAsia"/>
          <w:sz w:val="24"/>
        </w:rPr>
      </w:pPr>
      <w:r>
        <w:fldChar w:fldCharType="begin"/>
      </w:r>
      <w:r>
        <w:instrText xml:space="preserve"> HYPERLINK \l "_Toc445903497" </w:instrText>
      </w:r>
      <w:r>
        <w:fldChar w:fldCharType="separate"/>
      </w:r>
      <w:r>
        <w:rPr>
          <w:rStyle w:val="29"/>
          <w:rFonts w:hint="eastAsia" w:asciiTheme="minorEastAsia" w:hAnsiTheme="minorEastAsia" w:eastAsiaTheme="minorEastAsia"/>
          <w:sz w:val="24"/>
        </w:rPr>
        <w:t>十三、估价作业期</w:t>
      </w:r>
      <w:r>
        <w:rPr>
          <w:rStyle w:val="29"/>
          <w:rFonts w:hint="eastAsia" w:asciiTheme="minorEastAsia" w:hAnsiTheme="minorEastAsia" w:eastAsiaTheme="minorEastAsia"/>
          <w:sz w:val="24"/>
        </w:rPr>
        <w:fldChar w:fldCharType="end"/>
      </w:r>
    </w:p>
    <w:p>
      <w:pPr>
        <w:rPr>
          <w:rFonts w:eastAsiaTheme="minorEastAsia"/>
        </w:rPr>
      </w:pPr>
      <w:r>
        <w:rPr>
          <w:rFonts w:hint="eastAsia"/>
        </w:rPr>
        <w:t xml:space="preserve">    </w:t>
      </w:r>
      <w:r>
        <w:fldChar w:fldCharType="begin"/>
      </w:r>
      <w:r>
        <w:instrText xml:space="preserve"> HYPERLINK \l "_Toc445903497" </w:instrText>
      </w:r>
      <w:r>
        <w:fldChar w:fldCharType="separate"/>
      </w:r>
      <w:r>
        <w:rPr>
          <w:rStyle w:val="29"/>
          <w:rFonts w:hint="eastAsia" w:asciiTheme="minorEastAsia" w:hAnsiTheme="minorEastAsia" w:eastAsiaTheme="minorEastAsia"/>
          <w:sz w:val="24"/>
        </w:rPr>
        <w:t>十四、估价报告使用期</w:t>
      </w:r>
      <w:r>
        <w:rPr>
          <w:rStyle w:val="29"/>
          <w:rFonts w:hint="eastAsia" w:asciiTheme="minorEastAsia" w:hAnsiTheme="minorEastAsia" w:eastAsiaTheme="minorEastAsia"/>
          <w:sz w:val="24"/>
        </w:rPr>
        <w:fldChar w:fldCharType="end"/>
      </w:r>
      <w:r>
        <w:rPr>
          <w:rStyle w:val="29"/>
          <w:rFonts w:hint="eastAsia" w:asciiTheme="minorEastAsia" w:hAnsiTheme="minorEastAsia" w:eastAsiaTheme="minorEastAsia"/>
          <w:sz w:val="24"/>
        </w:rPr>
        <w:t>限</w:t>
      </w:r>
    </w:p>
    <w:p>
      <w:pPr>
        <w:pStyle w:val="16"/>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"_Toc445903498" </w:instrText>
      </w:r>
      <w:r>
        <w:fldChar w:fldCharType="separate"/>
      </w:r>
      <w:r>
        <w:rPr>
          <w:rStyle w:val="29"/>
          <w:rFonts w:hint="eastAsia" w:asciiTheme="minorEastAsia" w:hAnsiTheme="minorEastAsia" w:eastAsiaTheme="minorEastAsia"/>
          <w:sz w:val="24"/>
        </w:rPr>
        <w:t>附</w:t>
      </w:r>
      <w:r>
        <w:rPr>
          <w:rStyle w:val="29"/>
          <w:rFonts w:asciiTheme="minorEastAsia" w:hAnsiTheme="minorEastAsia" w:eastAsiaTheme="minorEastAsia"/>
          <w:sz w:val="24"/>
        </w:rPr>
        <w:t xml:space="preserve">  </w:t>
      </w:r>
      <w:r>
        <w:rPr>
          <w:rStyle w:val="29"/>
          <w:rFonts w:hint="eastAsia" w:asciiTheme="minorEastAsia" w:hAnsiTheme="minorEastAsia" w:eastAsiaTheme="minorEastAsia"/>
          <w:sz w:val="24"/>
        </w:rPr>
        <w:t>件</w:t>
      </w:r>
      <w:r>
        <w:rPr>
          <w:rFonts w:asciiTheme="minorEastAsia" w:hAnsiTheme="minorEastAsia" w:eastAsiaTheme="minorEastAsia"/>
          <w:sz w:val="24"/>
          <w:szCs w:val="24"/>
        </w:rPr>
        <w:tab/>
      </w:r>
      <w:r>
        <w:rPr>
          <w:rFonts w:hint="eastAsia" w:asciiTheme="minorEastAsia" w:hAnsiTheme="minorEastAsia" w:eastAsiaTheme="minorEastAsia"/>
          <w:sz w:val="24"/>
          <w:szCs w:val="24"/>
        </w:rPr>
        <w:t>16</w:t>
      </w:r>
      <w:r>
        <w:rPr>
          <w:rFonts w:hint="eastAsia" w:asciiTheme="minorEastAsia" w:hAnsiTheme="minorEastAsia" w:eastAsiaTheme="minorEastAsia"/>
          <w:sz w:val="24"/>
          <w:szCs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"_Toc445903499" </w:instrText>
      </w:r>
      <w:r>
        <w:fldChar w:fldCharType="separate"/>
      </w:r>
      <w:r>
        <w:rPr>
          <w:rStyle w:val="29"/>
          <w:rFonts w:asciiTheme="minorEastAsia" w:hAnsiTheme="minorEastAsia" w:eastAsiaTheme="minorEastAsia"/>
          <w:spacing w:val="-2"/>
          <w:sz w:val="24"/>
        </w:rPr>
        <w:t>1</w:t>
      </w:r>
      <w:r>
        <w:rPr>
          <w:rStyle w:val="29"/>
          <w:rFonts w:hint="eastAsia" w:asciiTheme="minorEastAsia" w:hAnsiTheme="minorEastAsia" w:eastAsiaTheme="minorEastAsia"/>
          <w:spacing w:val="-2"/>
          <w:sz w:val="24"/>
        </w:rPr>
        <w:t>、司法鉴定委托书复印件</w:t>
      </w:r>
      <w:r>
        <w:rPr>
          <w:rStyle w:val="29"/>
          <w:rFonts w:hint="eastAsia" w:asciiTheme="minorEastAsia" w:hAnsiTheme="minorEastAsia" w:eastAsiaTheme="minorEastAsia"/>
          <w:spacing w:val="-2"/>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rPr>
          <w:rStyle w:val="29"/>
          <w:rFonts w:hint="eastAsia" w:asciiTheme="minorEastAsia" w:hAnsiTheme="minorEastAsia" w:eastAsiaTheme="minorEastAsia"/>
          <w:spacing w:val="-2"/>
          <w:sz w:val="24"/>
        </w:rPr>
        <w:t>2、《档案查询清单》复印件</w:t>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"_Toc445903502" </w:instrText>
      </w:r>
      <w:r>
        <w:fldChar w:fldCharType="separate"/>
      </w:r>
      <w:r>
        <w:rPr>
          <w:rStyle w:val="29"/>
          <w:rFonts w:hint="eastAsia" w:asciiTheme="minorEastAsia" w:hAnsiTheme="minorEastAsia" w:eastAsiaTheme="minorEastAsia"/>
          <w:spacing w:val="-2"/>
          <w:sz w:val="24"/>
        </w:rPr>
        <w:t>3、估价对象实物照片</w:t>
      </w:r>
      <w:r>
        <w:rPr>
          <w:rStyle w:val="29"/>
          <w:rFonts w:hint="eastAsia" w:asciiTheme="minorEastAsia" w:hAnsiTheme="minorEastAsia" w:eastAsiaTheme="minorEastAsia"/>
          <w:spacing w:val="-2"/>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"_Toc445903503" </w:instrText>
      </w:r>
      <w:r>
        <w:fldChar w:fldCharType="separate"/>
      </w:r>
      <w:r>
        <w:rPr>
          <w:rStyle w:val="29"/>
          <w:rFonts w:hint="eastAsia" w:asciiTheme="minorEastAsia" w:hAnsiTheme="minorEastAsia" w:eastAsiaTheme="minorEastAsia"/>
          <w:spacing w:val="-2"/>
          <w:sz w:val="24"/>
        </w:rPr>
        <w:t>4、估价对象位</w:t>
      </w:r>
      <w:r>
        <w:rPr>
          <w:rStyle w:val="29"/>
          <w:rFonts w:hint="eastAsia" w:asciiTheme="minorEastAsia" w:hAnsiTheme="minorEastAsia" w:eastAsiaTheme="minorEastAsia"/>
          <w:spacing w:val="-2"/>
          <w:sz w:val="24"/>
        </w:rPr>
        <w:fldChar w:fldCharType="end"/>
      </w:r>
      <w:r>
        <w:rPr>
          <w:rStyle w:val="29"/>
          <w:rFonts w:hint="eastAsia" w:asciiTheme="minorEastAsia" w:hAnsiTheme="minorEastAsia" w:eastAsiaTheme="minorEastAsia"/>
          <w:spacing w:val="-2"/>
          <w:sz w:val="24"/>
        </w:rPr>
        <w:t>置示意图</w:t>
      </w:r>
    </w:p>
    <w:p>
      <w:pPr>
        <w:pStyle w:val="18"/>
        <w:tabs>
          <w:tab w:val="right" w:leader="dot" w:pos="8776"/>
        </w:tabs>
        <w:spacing w:line="400" w:lineRule="exact"/>
        <w:ind w:left="0" w:leftChars="0" w:firstLine="420" w:firstLineChars="150"/>
        <w:rPr>
          <w:rFonts w:asciiTheme="minorEastAsia" w:hAnsiTheme="minorEastAsia" w:eastAsiaTheme="minorEastAsia" w:cstheme="minorBidi"/>
          <w:kern w:val="2"/>
          <w:sz w:val="24"/>
          <w:szCs w:val="24"/>
        </w:rPr>
      </w:pPr>
      <w:r>
        <w:fldChar w:fldCharType="begin"/>
      </w:r>
      <w:r>
        <w:instrText xml:space="preserve"> HYPERLINK \l "_Toc445903505" </w:instrText>
      </w:r>
      <w:r>
        <w:fldChar w:fldCharType="separate"/>
      </w:r>
      <w:r>
        <w:rPr>
          <w:rStyle w:val="29"/>
          <w:rFonts w:hint="eastAsia" w:asciiTheme="minorEastAsia" w:hAnsiTheme="minorEastAsia" w:eastAsiaTheme="minorEastAsia"/>
          <w:spacing w:val="-2"/>
          <w:sz w:val="24"/>
        </w:rPr>
        <w:t>5、估价机构企业法人营业执照（复印件）</w:t>
      </w:r>
      <w:r>
        <w:rPr>
          <w:rStyle w:val="29"/>
          <w:rFonts w:hint="eastAsia" w:asciiTheme="minorEastAsia" w:hAnsiTheme="minorEastAsia" w:eastAsiaTheme="minorEastAsia"/>
          <w:spacing w:val="-2"/>
          <w:sz w:val="24"/>
        </w:rPr>
        <w:fldChar w:fldCharType="end"/>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"_Toc445903506" </w:instrText>
      </w:r>
      <w:r>
        <w:fldChar w:fldCharType="separate"/>
      </w:r>
      <w:r>
        <w:rPr>
          <w:rStyle w:val="29"/>
          <w:rFonts w:hint="eastAsia" w:asciiTheme="minorEastAsia" w:hAnsiTheme="minorEastAsia" w:eastAsiaTheme="minorEastAsia"/>
          <w:spacing w:val="-2"/>
          <w:sz w:val="24"/>
        </w:rPr>
        <w:t>6、</w:t>
      </w:r>
      <w:r>
        <w:rPr>
          <w:rStyle w:val="29"/>
          <w:rFonts w:hint="eastAsia" w:asciiTheme="minorEastAsia" w:hAnsiTheme="minorEastAsia" w:eastAsiaTheme="minorEastAsia"/>
          <w:spacing w:val="-2"/>
          <w:sz w:val="24"/>
        </w:rPr>
        <w:fldChar w:fldCharType="end"/>
      </w:r>
      <w:r>
        <w:rPr>
          <w:rStyle w:val="29"/>
          <w:rFonts w:hint="eastAsia" w:asciiTheme="minorEastAsia" w:hAnsiTheme="minorEastAsia" w:eastAsiaTheme="minorEastAsia"/>
          <w:spacing w:val="-2"/>
          <w:sz w:val="24"/>
        </w:rPr>
        <w:t>估价机构资质证书（复印件）</w:t>
      </w:r>
    </w:p>
    <w:p>
      <w:pPr>
        <w:pStyle w:val="18"/>
        <w:tabs>
          <w:tab w:val="right" w:leader="dot" w:pos="8776"/>
        </w:tabs>
        <w:spacing w:line="400" w:lineRule="exact"/>
        <w:rPr>
          <w:rFonts w:asciiTheme="minorEastAsia" w:hAnsiTheme="minorEastAsia" w:eastAsiaTheme="minorEastAsia" w:cstheme="minorBidi"/>
          <w:kern w:val="2"/>
          <w:sz w:val="24"/>
          <w:szCs w:val="24"/>
        </w:rPr>
      </w:pPr>
      <w:r>
        <w:fldChar w:fldCharType="begin"/>
      </w:r>
      <w:r>
        <w:instrText xml:space="preserve"> HYPERLINK \l "_Toc445903507" </w:instrText>
      </w:r>
      <w:r>
        <w:fldChar w:fldCharType="separate"/>
      </w:r>
      <w:r>
        <w:rPr>
          <w:rStyle w:val="29"/>
          <w:rFonts w:hint="eastAsia" w:asciiTheme="minorEastAsia" w:hAnsiTheme="minorEastAsia" w:eastAsiaTheme="minorEastAsia"/>
          <w:spacing w:val="-2"/>
          <w:sz w:val="24"/>
        </w:rPr>
        <w:t>7、注册房地产估价师资格证书（复印件）</w:t>
      </w:r>
      <w:r>
        <w:rPr>
          <w:rStyle w:val="29"/>
          <w:rFonts w:hint="eastAsia" w:asciiTheme="minorEastAsia" w:hAnsiTheme="minorEastAsia" w:eastAsiaTheme="minorEastAsia"/>
          <w:spacing w:val="-2"/>
          <w:sz w:val="24"/>
        </w:rPr>
        <w:fldChar w:fldCharType="end"/>
      </w:r>
    </w:p>
    <w:p>
      <w:pPr>
        <w:tabs>
          <w:tab w:val="left" w:pos="2835"/>
        </w:tabs>
        <w:spacing w:line="400" w:lineRule="exact"/>
        <w:ind w:left="360" w:hanging="360"/>
        <w:jc w:val="center"/>
        <w:rPr>
          <w:rFonts w:ascii="仿宋_GB2312" w:hAnsi="宋体" w:eastAsia="仿宋_GB2312"/>
          <w:spacing w:val="-2"/>
          <w:sz w:val="28"/>
          <w:szCs w:val="28"/>
        </w:rPr>
      </w:pPr>
      <w:r>
        <w:rPr>
          <w:rFonts w:hint="eastAsia" w:asciiTheme="minorEastAsia" w:hAnsiTheme="minorEastAsia" w:eastAsiaTheme="minorEastAsia"/>
          <w:spacing w:val="-2"/>
          <w:sz w:val="24"/>
          <w:szCs w:val="24"/>
        </w:rPr>
        <w:fldChar w:fldCharType="end"/>
      </w:r>
    </w:p>
    <w:p>
      <w:pPr>
        <w:spacing w:line="500" w:lineRule="exact"/>
        <w:jc w:val="center"/>
        <w:rPr>
          <w:rFonts w:ascii="黑体" w:hAnsi="黑体" w:eastAsia="黑体" w:cs="黑体"/>
          <w:b/>
          <w:bCs/>
          <w:sz w:val="36"/>
          <w:szCs w:val="36"/>
        </w:rPr>
      </w:pPr>
      <w:bookmarkStart w:id="2" w:name="_Toc404936679"/>
      <w:bookmarkStart w:id="3" w:name="_Toc405214010"/>
      <w:r>
        <w:rPr>
          <w:rFonts w:hint="eastAsia"/>
        </w:rPr>
        <w:br w:type="page"/>
      </w:r>
      <w:bookmarkEnd w:id="2"/>
      <w:bookmarkEnd w:id="3"/>
      <w:r>
        <w:rPr>
          <w:rFonts w:hint="eastAsia" w:ascii="黑体" w:hAnsi="黑体" w:eastAsia="黑体" w:cs="黑体"/>
          <w:b/>
          <w:bCs/>
          <w:sz w:val="36"/>
          <w:szCs w:val="36"/>
        </w:rPr>
        <w:t>估价师声明</w:t>
      </w:r>
    </w:p>
    <w:p>
      <w:pPr>
        <w:spacing w:line="500" w:lineRule="exact"/>
        <w:ind w:firstLine="560" w:firstLineChars="200"/>
        <w:rPr>
          <w:rFonts w:ascii="宋体" w:hAnsi="宋体" w:cs="宋体"/>
          <w:sz w:val="28"/>
          <w:szCs w:val="28"/>
        </w:rPr>
      </w:pPr>
    </w:p>
    <w:p>
      <w:pPr>
        <w:pStyle w:val="11"/>
        <w:spacing w:line="360" w:lineRule="auto"/>
        <w:ind w:firstLine="470" w:firstLineChars="196"/>
        <w:rPr>
          <w:rFonts w:ascii="宋体" w:hAnsi="宋体"/>
          <w:sz w:val="24"/>
          <w:szCs w:val="24"/>
        </w:rPr>
      </w:pPr>
      <w:r>
        <w:rPr>
          <w:rFonts w:hint="eastAsia" w:ascii="宋体" w:hAnsi="宋体"/>
          <w:sz w:val="24"/>
          <w:szCs w:val="24"/>
        </w:rPr>
        <w:t>我们根据自己的专业知识和职业道德，在此郑重声明：</w:t>
      </w:r>
    </w:p>
    <w:p>
      <w:pPr>
        <w:spacing w:line="500" w:lineRule="exact"/>
        <w:ind w:firstLine="480" w:firstLineChars="200"/>
        <w:rPr>
          <w:rFonts w:ascii="宋体" w:hAnsi="宋体" w:cs="宋体"/>
          <w:sz w:val="24"/>
          <w:szCs w:val="24"/>
        </w:rPr>
      </w:pPr>
      <w:r>
        <w:rPr>
          <w:rFonts w:hint="eastAsia" w:ascii="宋体" w:hAnsi="宋体" w:cs="宋体"/>
          <w:sz w:val="24"/>
          <w:szCs w:val="24"/>
        </w:rPr>
        <w:t>１、注册房地产估价师在估价报告中对事实的说明是真实和准确的，没有虚假记载、误导性陈述和重大遗漏。</w:t>
      </w:r>
    </w:p>
    <w:p>
      <w:pPr>
        <w:spacing w:line="500" w:lineRule="exact"/>
        <w:ind w:firstLine="480" w:firstLineChars="200"/>
        <w:rPr>
          <w:rFonts w:ascii="宋体" w:hAnsi="宋体" w:cs="宋体"/>
          <w:sz w:val="24"/>
          <w:szCs w:val="24"/>
        </w:rPr>
      </w:pPr>
      <w:r>
        <w:rPr>
          <w:rFonts w:hint="eastAsia" w:ascii="宋体" w:hAnsi="宋体" w:cs="宋体"/>
          <w:sz w:val="24"/>
          <w:szCs w:val="24"/>
        </w:rPr>
        <w:t>２、估价报告中的分析、意见和结论是注册房地产估价师独立、客观、公正的专业分析、意见和结论，但受到估价报告中已说明的估价假设和限制条件的限制。</w:t>
      </w:r>
    </w:p>
    <w:p>
      <w:pPr>
        <w:spacing w:line="500" w:lineRule="exact"/>
        <w:ind w:firstLine="480" w:firstLineChars="200"/>
        <w:rPr>
          <w:rFonts w:ascii="宋体" w:hAnsi="宋体" w:cs="宋体"/>
          <w:sz w:val="24"/>
          <w:szCs w:val="24"/>
        </w:rPr>
      </w:pPr>
      <w:r>
        <w:rPr>
          <w:rFonts w:hint="eastAsia" w:ascii="宋体" w:hAnsi="宋体" w:cs="宋体"/>
          <w:sz w:val="24"/>
          <w:szCs w:val="24"/>
        </w:rPr>
        <w:t>３、注册房地产估价师与估价报告中的估价对象没有现实或潜在的利益，与估价估价委托人及估价利害关系人没有利害关系，也对估价对象、估价估价委托人及估价利害关系人没有偏见。</w:t>
      </w:r>
    </w:p>
    <w:p>
      <w:pPr>
        <w:spacing w:line="360" w:lineRule="auto"/>
        <w:ind w:firstLine="480" w:firstLineChars="200"/>
        <w:rPr>
          <w:rFonts w:ascii="宋体" w:hAnsi="宋体"/>
          <w:sz w:val="24"/>
          <w:szCs w:val="24"/>
        </w:rPr>
      </w:pPr>
      <w:r>
        <w:rPr>
          <w:rFonts w:hint="eastAsia" w:ascii="宋体" w:hAnsi="宋体" w:cs="宋体"/>
          <w:sz w:val="24"/>
          <w:szCs w:val="24"/>
        </w:rPr>
        <w:t>４、注册房地产估价师是按照</w:t>
      </w:r>
      <w:r>
        <w:rPr>
          <w:rFonts w:hint="eastAsia" w:ascii="宋体" w:hAnsi="宋体"/>
          <w:sz w:val="24"/>
          <w:szCs w:val="24"/>
        </w:rPr>
        <w:t>中华人民共和国国家标准（GB/T 50291-2015）、《房地产估价基本术语标准》（GB/T50899）以及相关房地产估价专项标准进行分析，形成意见、结论，撰写本估价报告。</w:t>
      </w:r>
    </w:p>
    <w:p>
      <w:pPr>
        <w:spacing w:line="500" w:lineRule="exact"/>
        <w:ind w:firstLine="480" w:firstLineChars="200"/>
        <w:rPr>
          <w:rFonts w:ascii="宋体" w:hAnsi="宋体" w:cs="宋体"/>
          <w:sz w:val="24"/>
          <w:szCs w:val="24"/>
        </w:rPr>
      </w:pPr>
      <w:r>
        <w:rPr>
          <w:rFonts w:hint="eastAsia" w:ascii="宋体" w:hAnsi="宋体" w:cs="宋体"/>
          <w:sz w:val="24"/>
          <w:szCs w:val="24"/>
        </w:rPr>
        <w:t>5、我们已于2021年9月28日对本估价报告中的估价对象进行了实地查勘，查勘人员为注册房地产估价师刘维华、王平，协助估价人员孙家祥。估价人员对估价对象的查勘仅限于估价对象外观和使用情况。估价人员不承担对估价对象建筑结构质量进行调查确认的责任和其他被遮盖、未暴露及难于接触到的部分进行检视的责任。</w:t>
      </w:r>
    </w:p>
    <w:p>
      <w:pPr>
        <w:spacing w:line="500" w:lineRule="exact"/>
        <w:ind w:firstLine="480" w:firstLineChars="200"/>
        <w:rPr>
          <w:rFonts w:ascii="宋体" w:hAnsi="宋体" w:cs="宋体"/>
          <w:color w:val="FF0000"/>
          <w:sz w:val="24"/>
          <w:szCs w:val="24"/>
        </w:rPr>
      </w:pPr>
      <w:r>
        <w:rPr>
          <w:rFonts w:hint="eastAsia" w:ascii="宋体" w:hAnsi="宋体" w:cs="宋体"/>
          <w:sz w:val="24"/>
          <w:szCs w:val="24"/>
        </w:rPr>
        <w:t>6、没有人对本估价报告提供重要专业帮助。</w:t>
      </w:r>
    </w:p>
    <w:p>
      <w:pPr>
        <w:spacing w:line="500" w:lineRule="exact"/>
        <w:ind w:firstLine="480" w:firstLineChars="200"/>
        <w:rPr>
          <w:rFonts w:ascii="宋体" w:hAnsi="宋体" w:cs="宋体"/>
          <w:sz w:val="24"/>
          <w:szCs w:val="24"/>
        </w:rPr>
      </w:pPr>
      <w:r>
        <w:rPr>
          <w:rFonts w:hint="eastAsia" w:ascii="宋体" w:hAnsi="宋体" w:cs="宋体"/>
          <w:sz w:val="24"/>
          <w:szCs w:val="24"/>
        </w:rPr>
        <w:t>7、其他需要声明的事项</w:t>
      </w:r>
    </w:p>
    <w:p>
      <w:pPr>
        <w:spacing w:line="500" w:lineRule="exact"/>
        <w:ind w:firstLine="480" w:firstLineChars="200"/>
        <w:rPr>
          <w:rFonts w:ascii="宋体" w:hAnsi="宋体" w:cs="宋体"/>
          <w:sz w:val="24"/>
          <w:szCs w:val="24"/>
        </w:rPr>
      </w:pPr>
      <w:r>
        <w:rPr>
          <w:rFonts w:hint="eastAsia" w:ascii="宋体" w:hAnsi="宋体" w:cs="宋体"/>
          <w:sz w:val="24"/>
          <w:szCs w:val="24"/>
        </w:rPr>
        <w:t>（１）</w:t>
      </w:r>
      <w:r>
        <w:rPr>
          <w:rFonts w:hint="eastAsia" w:ascii="宋体" w:hAnsi="宋体"/>
          <w:sz w:val="24"/>
          <w:szCs w:val="24"/>
        </w:rPr>
        <w:t>本评估报告中所依据的有关建筑面积资料、产权档案资料等由委托方提供，委托方应对资料的真实性、可靠性负责，因资料失实造成的评估结果有误，评估机构和估价人员不承担责任。本次估价不作为其权属方面确认的依据，有关权属界定以有关部门认定的为准</w:t>
      </w:r>
      <w:r>
        <w:rPr>
          <w:rFonts w:hint="eastAsia" w:ascii="宋体" w:hAnsi="宋体" w:cs="宋体"/>
          <w:sz w:val="24"/>
          <w:szCs w:val="24"/>
        </w:rPr>
        <w:t>。</w:t>
      </w:r>
    </w:p>
    <w:p>
      <w:pPr>
        <w:spacing w:line="500" w:lineRule="exact"/>
        <w:ind w:firstLine="480" w:firstLineChars="200"/>
        <w:rPr>
          <w:rFonts w:ascii="宋体" w:hAnsi="宋体" w:cs="宋体"/>
          <w:sz w:val="24"/>
          <w:szCs w:val="24"/>
        </w:rPr>
      </w:pPr>
      <w:r>
        <w:rPr>
          <w:rFonts w:hint="eastAsia" w:ascii="宋体" w:hAnsi="宋体" w:cs="宋体"/>
          <w:sz w:val="24"/>
          <w:szCs w:val="24"/>
        </w:rPr>
        <w:t>（２）本报告确定的房地产价格为在假设公开市场条件下的模拟市场价格，不能替代市场定价，本报告所提供的分析和数据仅作为价格意见而不能视作任何价格保证。</w:t>
      </w:r>
    </w:p>
    <w:p>
      <w:pPr>
        <w:pStyle w:val="9"/>
        <w:spacing w:line="480" w:lineRule="exact"/>
        <w:ind w:firstLine="560"/>
        <w:rPr>
          <w:rFonts w:ascii="宋体"/>
          <w:sz w:val="24"/>
          <w:szCs w:val="24"/>
        </w:rPr>
      </w:pPr>
      <w:r>
        <w:rPr>
          <w:rFonts w:hint="eastAsia" w:ascii="宋体" w:hAnsi="宋体" w:cs="宋体"/>
          <w:sz w:val="24"/>
          <w:szCs w:val="24"/>
        </w:rPr>
        <w:t>（３）本报告不可作为任何形式的产权证明文件。</w:t>
      </w:r>
    </w:p>
    <w:p>
      <w:pPr>
        <w:spacing w:line="500" w:lineRule="exact"/>
        <w:rPr>
          <w:rFonts w:ascii="宋体" w:hAnsi="宋体" w:cs="宋体"/>
          <w:sz w:val="24"/>
          <w:szCs w:val="24"/>
        </w:rPr>
      </w:pPr>
    </w:p>
    <w:p>
      <w:pPr>
        <w:spacing w:line="500" w:lineRule="exact"/>
        <w:ind w:firstLine="480" w:firstLineChars="200"/>
        <w:rPr>
          <w:rFonts w:ascii="宋体" w:hAnsi="宋体" w:cs="宋体"/>
          <w:sz w:val="24"/>
          <w:szCs w:val="24"/>
        </w:rPr>
      </w:pPr>
      <w:r>
        <w:rPr>
          <w:rFonts w:hint="eastAsia" w:ascii="宋体" w:hAnsi="宋体" w:cs="宋体"/>
          <w:sz w:val="24"/>
          <w:szCs w:val="24"/>
        </w:rPr>
        <w:t>参与本次估价的注册房地产估价师签名：</w:t>
      </w:r>
    </w:p>
    <w:p>
      <w:pPr>
        <w:spacing w:line="500" w:lineRule="exact"/>
        <w:rPr>
          <w:rFonts w:ascii="宋体" w:hAnsi="宋体" w:cs="宋体"/>
          <w:sz w:val="24"/>
          <w:szCs w:val="24"/>
        </w:rPr>
      </w:pP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00" w:lineRule="exact"/>
              <w:jc w:val="center"/>
              <w:rPr>
                <w:rFonts w:ascii="宋体" w:hAnsi="宋体" w:cs="宋体"/>
                <w:sz w:val="24"/>
                <w:szCs w:val="24"/>
              </w:rPr>
            </w:pPr>
            <w:r>
              <w:rPr>
                <w:rFonts w:hint="eastAsia" w:ascii="宋体" w:hAnsi="宋体" w:cs="宋体"/>
                <w:sz w:val="24"/>
                <w:szCs w:val="24"/>
              </w:rPr>
              <w:t>姓名</w:t>
            </w:r>
          </w:p>
        </w:tc>
        <w:tc>
          <w:tcPr>
            <w:tcW w:w="2130" w:type="dxa"/>
          </w:tcPr>
          <w:p>
            <w:pPr>
              <w:spacing w:line="500" w:lineRule="exact"/>
              <w:jc w:val="center"/>
              <w:rPr>
                <w:rFonts w:ascii="宋体" w:hAnsi="宋体" w:cs="宋体"/>
                <w:sz w:val="24"/>
                <w:szCs w:val="24"/>
              </w:rPr>
            </w:pPr>
            <w:r>
              <w:rPr>
                <w:rFonts w:hint="eastAsia" w:ascii="宋体" w:hAnsi="宋体" w:cs="宋体"/>
                <w:sz w:val="24"/>
                <w:szCs w:val="24"/>
              </w:rPr>
              <w:t>注册号</w:t>
            </w:r>
          </w:p>
        </w:tc>
        <w:tc>
          <w:tcPr>
            <w:tcW w:w="2131" w:type="dxa"/>
          </w:tcPr>
          <w:p>
            <w:pPr>
              <w:spacing w:line="500" w:lineRule="exact"/>
              <w:jc w:val="center"/>
              <w:rPr>
                <w:rFonts w:ascii="宋体" w:hAnsi="宋体" w:cs="宋体"/>
                <w:sz w:val="24"/>
                <w:szCs w:val="24"/>
              </w:rPr>
            </w:pPr>
            <w:r>
              <w:rPr>
                <w:rFonts w:hint="eastAsia" w:ascii="宋体" w:hAnsi="宋体" w:cs="宋体"/>
                <w:sz w:val="24"/>
                <w:szCs w:val="24"/>
              </w:rPr>
              <w:t>签名</w:t>
            </w:r>
          </w:p>
        </w:tc>
        <w:tc>
          <w:tcPr>
            <w:tcW w:w="2131" w:type="dxa"/>
          </w:tcPr>
          <w:p>
            <w:pPr>
              <w:spacing w:line="500" w:lineRule="exact"/>
              <w:jc w:val="center"/>
              <w:rPr>
                <w:rFonts w:ascii="宋体" w:hAnsi="宋体" w:cs="宋体"/>
                <w:sz w:val="24"/>
                <w:szCs w:val="24"/>
              </w:rPr>
            </w:pPr>
            <w:r>
              <w:rPr>
                <w:rFonts w:hint="eastAsia" w:ascii="宋体" w:hAnsi="宋体" w:cs="宋体"/>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130" w:type="dxa"/>
            <w:vAlign w:val="center"/>
          </w:tcPr>
          <w:p>
            <w:pPr>
              <w:spacing w:line="360" w:lineRule="auto"/>
              <w:jc w:val="center"/>
              <w:rPr>
                <w:rFonts w:ascii="宋体" w:hAnsi="宋体" w:cs="宋体"/>
                <w:sz w:val="24"/>
                <w:szCs w:val="24"/>
              </w:rPr>
            </w:pPr>
            <w:r>
              <w:rPr>
                <w:rFonts w:hint="eastAsia" w:ascii="宋体" w:hAnsi="宋体" w:cs="宋体"/>
                <w:sz w:val="24"/>
                <w:szCs w:val="24"/>
              </w:rPr>
              <w:t>刘维华</w:t>
            </w:r>
          </w:p>
        </w:tc>
        <w:tc>
          <w:tcPr>
            <w:tcW w:w="2130" w:type="dxa"/>
            <w:vAlign w:val="center"/>
          </w:tcPr>
          <w:p>
            <w:pPr>
              <w:spacing w:line="360" w:lineRule="auto"/>
              <w:jc w:val="center"/>
              <w:rPr>
                <w:rFonts w:ascii="宋体" w:hAnsi="宋体" w:cs="宋体"/>
                <w:sz w:val="24"/>
                <w:szCs w:val="24"/>
              </w:rPr>
            </w:pPr>
            <w:r>
              <w:rPr>
                <w:rFonts w:hint="eastAsia" w:ascii="宋体" w:hAnsi="宋体"/>
                <w:sz w:val="24"/>
                <w:szCs w:val="24"/>
              </w:rPr>
              <w:t>3720170229</w:t>
            </w:r>
          </w:p>
        </w:tc>
        <w:tc>
          <w:tcPr>
            <w:tcW w:w="2131" w:type="dxa"/>
          </w:tcPr>
          <w:p>
            <w:pPr>
              <w:spacing w:line="500" w:lineRule="exact"/>
              <w:rPr>
                <w:rFonts w:ascii="宋体" w:hAnsi="宋体" w:cs="宋体"/>
                <w:sz w:val="24"/>
                <w:szCs w:val="24"/>
              </w:rPr>
            </w:pPr>
          </w:p>
        </w:tc>
        <w:tc>
          <w:tcPr>
            <w:tcW w:w="2131" w:type="dxa"/>
            <w:vAlign w:val="center"/>
          </w:tcPr>
          <w:p>
            <w:pPr>
              <w:spacing w:line="360" w:lineRule="auto"/>
              <w:jc w:val="center"/>
              <w:rPr>
                <w:rFonts w:ascii="宋体" w:hAnsi="宋体"/>
                <w:sz w:val="24"/>
                <w:szCs w:val="24"/>
              </w:rPr>
            </w:pPr>
            <w:r>
              <w:rPr>
                <w:rFonts w:hint="eastAsia" w:ascii="宋体" w:hAnsi="宋体"/>
                <w:sz w:val="24"/>
                <w:szCs w:val="24"/>
              </w:rPr>
              <w:t>2021年10月13日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130" w:type="dxa"/>
            <w:vAlign w:val="center"/>
          </w:tcPr>
          <w:p>
            <w:pPr>
              <w:spacing w:line="360" w:lineRule="auto"/>
              <w:jc w:val="center"/>
              <w:rPr>
                <w:rFonts w:ascii="宋体" w:hAnsi="宋体" w:cs="宋体"/>
                <w:sz w:val="24"/>
                <w:szCs w:val="24"/>
              </w:rPr>
            </w:pPr>
            <w:r>
              <w:rPr>
                <w:rFonts w:hint="eastAsia" w:ascii="宋体" w:hAnsi="宋体" w:cs="宋体"/>
                <w:sz w:val="24"/>
                <w:szCs w:val="24"/>
              </w:rPr>
              <w:t xml:space="preserve">王平   </w:t>
            </w:r>
          </w:p>
        </w:tc>
        <w:tc>
          <w:tcPr>
            <w:tcW w:w="2130" w:type="dxa"/>
            <w:vAlign w:val="center"/>
          </w:tcPr>
          <w:p>
            <w:pPr>
              <w:spacing w:line="360" w:lineRule="auto"/>
              <w:jc w:val="center"/>
              <w:rPr>
                <w:rFonts w:ascii="宋体" w:hAnsi="宋体" w:cs="宋体"/>
                <w:sz w:val="24"/>
                <w:szCs w:val="24"/>
              </w:rPr>
            </w:pPr>
            <w:r>
              <w:rPr>
                <w:rFonts w:hint="eastAsia" w:ascii="宋体" w:hAnsi="宋体" w:cs="宋体"/>
                <w:sz w:val="24"/>
                <w:szCs w:val="24"/>
              </w:rPr>
              <w:t>3720200111</w:t>
            </w:r>
          </w:p>
        </w:tc>
        <w:tc>
          <w:tcPr>
            <w:tcW w:w="2131" w:type="dxa"/>
          </w:tcPr>
          <w:p>
            <w:pPr>
              <w:spacing w:line="500" w:lineRule="exact"/>
              <w:rPr>
                <w:rFonts w:ascii="宋体" w:hAnsi="宋体" w:cs="宋体"/>
                <w:sz w:val="24"/>
                <w:szCs w:val="24"/>
              </w:rPr>
            </w:pPr>
          </w:p>
        </w:tc>
        <w:tc>
          <w:tcPr>
            <w:tcW w:w="2131" w:type="dxa"/>
            <w:vAlign w:val="center"/>
          </w:tcPr>
          <w:p>
            <w:pPr>
              <w:spacing w:line="360" w:lineRule="auto"/>
              <w:jc w:val="center"/>
              <w:rPr>
                <w:rFonts w:ascii="宋体" w:hAnsi="宋体"/>
                <w:sz w:val="24"/>
                <w:szCs w:val="24"/>
              </w:rPr>
            </w:pPr>
            <w:r>
              <w:rPr>
                <w:rFonts w:hint="eastAsia" w:ascii="宋体" w:hAnsi="宋体"/>
                <w:sz w:val="24"/>
                <w:szCs w:val="24"/>
              </w:rPr>
              <w:t>2021年10月13日</w:t>
            </w:r>
          </w:p>
        </w:tc>
      </w:tr>
    </w:tbl>
    <w:p>
      <w:pPr>
        <w:pStyle w:val="2"/>
        <w:jc w:val="center"/>
      </w:pPr>
    </w:p>
    <w:p>
      <w:pPr>
        <w:pStyle w:val="2"/>
        <w:jc w:val="center"/>
        <w:rPr>
          <w:rFonts w:ascii="宋体" w:hAnsi="宋体"/>
          <w:b w:val="0"/>
          <w:szCs w:val="36"/>
        </w:rPr>
      </w:pPr>
      <w:r>
        <w:rPr>
          <w:rFonts w:hint="eastAsia" w:ascii="宋体" w:hAnsi="宋体"/>
          <w:szCs w:val="36"/>
        </w:rPr>
        <w:br w:type="page"/>
      </w:r>
      <w:bookmarkStart w:id="4" w:name="_Toc445903483"/>
      <w:r>
        <w:rPr>
          <w:rFonts w:hint="eastAsia" w:ascii="宋体" w:hAnsi="宋体"/>
          <w:szCs w:val="36"/>
        </w:rPr>
        <w:t>估价假设和限制条件</w:t>
      </w:r>
      <w:bookmarkEnd w:id="4"/>
    </w:p>
    <w:p>
      <w:pPr>
        <w:spacing w:line="400" w:lineRule="exact"/>
        <w:ind w:firstLine="482" w:firstLineChars="200"/>
        <w:rPr>
          <w:rFonts w:ascii="宋体" w:hAnsi="宋体"/>
          <w:b/>
          <w:bCs/>
          <w:sz w:val="24"/>
          <w:szCs w:val="24"/>
        </w:rPr>
      </w:pPr>
      <w:r>
        <w:rPr>
          <w:rFonts w:hint="eastAsia" w:ascii="宋体" w:hAnsi="宋体"/>
          <w:b/>
          <w:bCs/>
          <w:sz w:val="24"/>
          <w:szCs w:val="24"/>
        </w:rPr>
        <w:t>一、估价报告估价假设</w:t>
      </w:r>
    </w:p>
    <w:p>
      <w:pPr>
        <w:spacing w:line="400" w:lineRule="exact"/>
        <w:ind w:firstLine="482" w:firstLineChars="200"/>
        <w:rPr>
          <w:rFonts w:ascii="宋体" w:hAnsi="宋体"/>
          <w:b/>
          <w:bCs/>
          <w:sz w:val="24"/>
          <w:szCs w:val="24"/>
        </w:rPr>
      </w:pPr>
      <w:r>
        <w:rPr>
          <w:rFonts w:hint="eastAsia" w:ascii="宋体" w:hAnsi="宋体"/>
          <w:b/>
          <w:bCs/>
          <w:sz w:val="24"/>
          <w:szCs w:val="24"/>
        </w:rPr>
        <w:t>1.一般假设</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（1）在价值时点的房地产市场为公开、平等、自愿的交易市场。</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（2）估价对象产权明晰，手续齐全，可在公开市场上自由转让。</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（3）任何有关估价对象的运作方式、程序均符合国家、地方的有关法律、法规。</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（4）本次估价结果未考虑国家宏观经济政策发生重大变化以及遇有自然力和其他不可抗力对估价结论的影响。</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（5）本报告以估价对象在价值时点时的状况为依据进行的，且以该状况在估价报告使用期限内无重大变化为前提。</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（6）本次估价未考虑除已披露事项外可能与估价对象产权人有关的债权及债务情况对估价结果的影响。</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（7）本报告估价结果没有考虑快速变现、税费转嫁等特殊的交易方式，以及可能发生的办理抵押登记、权利转移相关费用对估价对象房地产价值的影响，如上述条件发生变化，估价结果需做相应调整。</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（8）本次估价对象权属情况均以委托方提供资料为依据。如上述情况发生变化，估价结果需做相应调整。</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（9）</w:t>
      </w:r>
      <w:bookmarkStart w:id="5" w:name="B001__COMPARE"/>
      <w:bookmarkEnd w:id="5"/>
      <w:r>
        <w:rPr>
          <w:rFonts w:hint="eastAsia" w:ascii="宋体" w:hAnsi="宋体" w:cs="仿宋_GB2312"/>
          <w:color w:val="000000"/>
          <w:sz w:val="24"/>
          <w:szCs w:val="24"/>
        </w:rPr>
        <w:t>本次估价是以估价委托人提供的与估价对象有关的法律文件、权属证明及相关资料真实、合法、准确、完整为前提。如因委托人提供资料有误而造成评估值失实，估价机构和估价人员不承担相应责任。</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10）估价人员对估价对象进行了实地查勘，但估价人员对估价对象的现场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建筑物基础、房屋结构等方面的重大质量问题，符合国家有关技术质量、验收规范，且符合国家有关安全使用标准。</w:t>
      </w:r>
    </w:p>
    <w:p>
      <w:pPr>
        <w:spacing w:line="400" w:lineRule="exact"/>
        <w:ind w:firstLine="482" w:firstLineChars="200"/>
        <w:rPr>
          <w:rFonts w:ascii="宋体" w:hAnsi="宋体"/>
          <w:b/>
          <w:bCs/>
          <w:sz w:val="24"/>
          <w:szCs w:val="24"/>
        </w:rPr>
      </w:pPr>
      <w:r>
        <w:rPr>
          <w:rFonts w:hint="eastAsia" w:ascii="宋体" w:hAnsi="宋体"/>
          <w:b/>
          <w:bCs/>
          <w:sz w:val="24"/>
          <w:szCs w:val="24"/>
        </w:rPr>
        <w:t>2.未定事项假设</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无未定事项假设。</w:t>
      </w:r>
    </w:p>
    <w:p>
      <w:pPr>
        <w:spacing w:line="400" w:lineRule="exact"/>
        <w:ind w:firstLine="482" w:firstLineChars="200"/>
        <w:rPr>
          <w:rFonts w:ascii="宋体" w:hAnsi="宋体"/>
          <w:b/>
          <w:bCs/>
          <w:sz w:val="24"/>
          <w:szCs w:val="24"/>
        </w:rPr>
      </w:pPr>
      <w:r>
        <w:rPr>
          <w:rFonts w:hint="eastAsia" w:ascii="宋体" w:hAnsi="宋体"/>
          <w:b/>
          <w:bCs/>
          <w:sz w:val="24"/>
          <w:szCs w:val="24"/>
        </w:rPr>
        <w:t>3. 背离事实假设</w:t>
      </w:r>
    </w:p>
    <w:p>
      <w:pPr>
        <w:spacing w:line="400" w:lineRule="exact"/>
        <w:ind w:firstLine="480" w:firstLineChars="200"/>
        <w:rPr>
          <w:rFonts w:ascii="宋体" w:hAnsi="宋体"/>
          <w:sz w:val="24"/>
          <w:szCs w:val="24"/>
        </w:rPr>
      </w:pPr>
      <w:r>
        <w:rPr>
          <w:rFonts w:hint="eastAsia" w:ascii="宋体" w:hAnsi="宋体"/>
          <w:sz w:val="24"/>
          <w:szCs w:val="24"/>
        </w:rPr>
        <w:t>在价值时点，估价对象为涉案房地产，本次估价不考虑估价对象已被查封或已抵押、存在担保物权和其他优先受偿权的情况，不考虑委估对象债权债务等因素的影响。</w:t>
      </w:r>
    </w:p>
    <w:p>
      <w:pPr>
        <w:spacing w:line="400" w:lineRule="exact"/>
        <w:ind w:firstLine="482" w:firstLineChars="200"/>
        <w:rPr>
          <w:rFonts w:ascii="宋体" w:hAnsi="宋体"/>
          <w:b/>
          <w:bCs/>
          <w:sz w:val="24"/>
          <w:szCs w:val="24"/>
        </w:rPr>
      </w:pPr>
      <w:r>
        <w:rPr>
          <w:rFonts w:hint="eastAsia" w:ascii="宋体" w:hAnsi="宋体"/>
          <w:b/>
          <w:bCs/>
          <w:sz w:val="24"/>
          <w:szCs w:val="24"/>
        </w:rPr>
        <w:t>4.不相一致假设</w:t>
      </w:r>
    </w:p>
    <w:p>
      <w:pPr>
        <w:spacing w:line="400" w:lineRule="exact"/>
        <w:ind w:firstLine="480" w:firstLineChars="200"/>
        <w:rPr>
          <w:rFonts w:ascii="宋体" w:hAnsi="宋体"/>
          <w:bCs/>
          <w:sz w:val="24"/>
          <w:szCs w:val="24"/>
        </w:rPr>
      </w:pPr>
      <w:r>
        <w:rPr>
          <w:rFonts w:hint="eastAsia" w:ascii="宋体" w:hAnsi="宋体"/>
          <w:bCs/>
          <w:sz w:val="24"/>
          <w:szCs w:val="24"/>
        </w:rPr>
        <w:t>不相一致假设指估价对象房地产的实际用途和规划用途、法定用途不一致，或估价对象权属，权利人、估价对象名称等和权属证明中的登记信息不一致情况下，估价所依据的用途或权利人、名称等的合理假设。</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本次估价价值时点为2021年9月28日，</w:t>
      </w:r>
      <w:r>
        <w:rPr>
          <w:rFonts w:hint="eastAsia" w:ascii="宋体" w:hAnsi="宋体" w:cs="仿宋_GB2312"/>
          <w:color w:val="000000" w:themeColor="text1"/>
          <w:sz w:val="24"/>
          <w:szCs w:val="24"/>
        </w:rPr>
        <w:t>实地勘查日期为2021年9月28日</w:t>
      </w:r>
      <w:r>
        <w:rPr>
          <w:rFonts w:hint="eastAsia" w:ascii="宋体" w:hAnsi="宋体" w:cs="仿宋_GB2312"/>
          <w:color w:val="000000"/>
          <w:sz w:val="24"/>
          <w:szCs w:val="24"/>
        </w:rPr>
        <w:t>，价值时点与实地勘察日期一致，本次估价对象价值时点的估价对象状况和房地产市场状况与完成实地勘察之日的状况一致。</w:t>
      </w:r>
    </w:p>
    <w:p>
      <w:pPr>
        <w:spacing w:line="400" w:lineRule="exact"/>
        <w:ind w:firstLine="482" w:firstLineChars="200"/>
        <w:rPr>
          <w:rFonts w:ascii="宋体" w:hAnsi="宋体"/>
          <w:b/>
          <w:bCs/>
          <w:sz w:val="24"/>
          <w:szCs w:val="24"/>
        </w:rPr>
      </w:pPr>
      <w:r>
        <w:rPr>
          <w:rFonts w:hint="eastAsia" w:ascii="宋体" w:hAnsi="宋体"/>
          <w:b/>
          <w:bCs/>
          <w:sz w:val="24"/>
          <w:szCs w:val="24"/>
        </w:rPr>
        <w:t>5. 依据不足假设</w:t>
      </w:r>
    </w:p>
    <w:p>
      <w:pPr>
        <w:spacing w:line="400" w:lineRule="exact"/>
        <w:ind w:firstLine="480" w:firstLineChars="200"/>
        <w:rPr>
          <w:rFonts w:ascii="宋体" w:hAnsi="宋体" w:cs="仿宋_GB2312"/>
          <w:color w:val="000000"/>
          <w:sz w:val="24"/>
          <w:szCs w:val="24"/>
        </w:rPr>
      </w:pPr>
      <w:r>
        <w:rPr>
          <w:rFonts w:hint="eastAsia" w:ascii="宋体" w:hAnsi="宋体" w:cs="宋体"/>
          <w:sz w:val="24"/>
          <w:szCs w:val="24"/>
        </w:rPr>
        <w:t>（</w:t>
      </w:r>
      <w:r>
        <w:rPr>
          <w:rFonts w:hint="eastAsia" w:ascii="宋体" w:hAnsi="宋体" w:cs="仿宋_GB2312"/>
          <w:color w:val="000000"/>
          <w:sz w:val="24"/>
          <w:szCs w:val="24"/>
        </w:rPr>
        <w:t>1）</w:t>
      </w:r>
      <w:r>
        <w:rPr>
          <w:rFonts w:hint="eastAsia" w:ascii="宋体" w:hAnsi="宋体"/>
          <w:sz w:val="24"/>
          <w:szCs w:val="24"/>
        </w:rPr>
        <w:t>委托方及相关当事人均未提供委估房地产房产证，鉴定</w:t>
      </w:r>
      <w:r>
        <w:rPr>
          <w:rFonts w:hint="eastAsia" w:ascii="宋体" w:hAnsi="宋体" w:cs="宋体"/>
          <w:sz w:val="24"/>
          <w:szCs w:val="24"/>
        </w:rPr>
        <w:t>委托书中亦未载明估价对象的建筑面积、用途等评估基本事项，</w:t>
      </w:r>
      <w:r>
        <w:rPr>
          <w:rFonts w:hint="eastAsia" w:ascii="宋体" w:hAnsi="宋体"/>
          <w:color w:val="000000"/>
          <w:sz w:val="24"/>
          <w:szCs w:val="24"/>
        </w:rPr>
        <w:t>估价对象建筑面积、用途、权属等基础数据是根据</w:t>
      </w:r>
      <w:r>
        <w:rPr>
          <w:rFonts w:hint="eastAsia" w:ascii="宋体" w:hAnsi="宋体" w:cs="仿宋_GB2312"/>
          <w:sz w:val="24"/>
          <w:szCs w:val="24"/>
        </w:rPr>
        <w:t>估价委托人提供的不动产（房屋/土地）查档证明</w:t>
      </w:r>
      <w:r>
        <w:rPr>
          <w:rFonts w:hint="eastAsia" w:ascii="宋体" w:hAnsi="宋体" w:cs="宋体"/>
          <w:color w:val="000000"/>
          <w:sz w:val="24"/>
          <w:szCs w:val="24"/>
        </w:rPr>
        <w:t>载明的内容进行估算的。</w:t>
      </w:r>
      <w:r>
        <w:rPr>
          <w:rFonts w:hint="eastAsia" w:ascii="宋体" w:hAnsi="宋体" w:cs="仿宋_GB2312"/>
          <w:color w:val="000000"/>
          <w:sz w:val="24"/>
          <w:szCs w:val="24"/>
        </w:rPr>
        <w:t>本次假定</w:t>
      </w:r>
      <w:r>
        <w:rPr>
          <w:rFonts w:hint="eastAsia" w:ascii="宋体" w:hAnsi="宋体" w:cs="仿宋_GB2312"/>
          <w:sz w:val="24"/>
          <w:szCs w:val="24"/>
        </w:rPr>
        <w:t>估价委托人提供的不动产（房屋/土地）查档证明</w:t>
      </w:r>
      <w:r>
        <w:rPr>
          <w:rFonts w:hint="eastAsia" w:ascii="宋体" w:hAnsi="宋体" w:cs="宋体"/>
          <w:color w:val="000000"/>
          <w:sz w:val="24"/>
          <w:szCs w:val="24"/>
        </w:rPr>
        <w:t>载明的内容与委估房地产的房产证记载内容</w:t>
      </w:r>
      <w:r>
        <w:rPr>
          <w:rFonts w:hint="eastAsia" w:ascii="宋体" w:hAnsi="宋体" w:cs="仿宋_GB2312"/>
          <w:color w:val="000000"/>
          <w:sz w:val="24"/>
          <w:szCs w:val="24"/>
        </w:rPr>
        <w:t>一致。</w:t>
      </w:r>
    </w:p>
    <w:p>
      <w:pPr>
        <w:spacing w:line="400" w:lineRule="exact"/>
        <w:ind w:firstLine="482" w:firstLineChars="200"/>
        <w:rPr>
          <w:rFonts w:ascii="宋体" w:hAnsi="宋体"/>
          <w:b/>
          <w:bCs/>
          <w:sz w:val="24"/>
          <w:szCs w:val="24"/>
        </w:rPr>
      </w:pPr>
      <w:r>
        <w:rPr>
          <w:rFonts w:hint="eastAsia" w:ascii="宋体" w:hAnsi="宋体"/>
          <w:b/>
          <w:bCs/>
          <w:sz w:val="24"/>
          <w:szCs w:val="24"/>
        </w:rPr>
        <w:t>二、本估价报告使用的限制条件</w:t>
      </w:r>
    </w:p>
    <w:p>
      <w:pPr>
        <w:snapToGrid w:val="0"/>
        <w:spacing w:line="400" w:lineRule="exact"/>
        <w:ind w:firstLine="480" w:firstLineChars="200"/>
        <w:rPr>
          <w:rFonts w:ascii="宋体" w:hAnsi="宋体" w:cs="宋体"/>
          <w:color w:val="000000"/>
          <w:sz w:val="24"/>
          <w:szCs w:val="24"/>
        </w:rPr>
      </w:pPr>
      <w:r>
        <w:rPr>
          <w:rFonts w:hint="eastAsia" w:ascii="宋体" w:hAnsi="宋体" w:cs="仿宋_GB2312"/>
          <w:color w:val="000000"/>
          <w:sz w:val="24"/>
          <w:szCs w:val="24"/>
        </w:rPr>
        <w:t>1.</w:t>
      </w:r>
      <w:r>
        <w:rPr>
          <w:rFonts w:hint="eastAsia" w:ascii="宋体" w:hAnsi="宋体"/>
          <w:bCs/>
          <w:sz w:val="24"/>
          <w:szCs w:val="24"/>
        </w:rPr>
        <w:t>本估价报告估价结果仅为</w:t>
      </w:r>
      <w:r>
        <w:rPr>
          <w:rFonts w:hint="eastAsia" w:ascii="宋体" w:hAnsi="宋体" w:cs="仿宋_GB2312"/>
          <w:color w:val="000000"/>
          <w:sz w:val="24"/>
          <w:szCs w:val="24"/>
        </w:rPr>
        <w:t>人民法院确定财产处置参考价提供参考</w:t>
      </w:r>
      <w:r>
        <w:rPr>
          <w:rFonts w:hint="eastAsia" w:ascii="宋体" w:hAnsi="宋体"/>
          <w:bCs/>
          <w:sz w:val="24"/>
          <w:szCs w:val="24"/>
        </w:rPr>
        <w:t>而评估估价对象于价值时点（</w:t>
      </w:r>
      <w:r>
        <w:rPr>
          <w:rFonts w:hint="eastAsia" w:ascii="宋体" w:hAnsi="宋体" w:cs="仿宋_GB2312"/>
          <w:color w:val="000000"/>
          <w:sz w:val="24"/>
          <w:szCs w:val="24"/>
        </w:rPr>
        <w:t>2021年9月28日</w:t>
      </w:r>
      <w:r>
        <w:rPr>
          <w:rFonts w:hint="eastAsia" w:ascii="宋体" w:hAnsi="宋体"/>
          <w:bCs/>
          <w:sz w:val="24"/>
          <w:szCs w:val="24"/>
        </w:rPr>
        <w:t>）的房地产公开市场价值，我公司对本估价报告用作其他用途或第三人不负法律责任。</w:t>
      </w:r>
    </w:p>
    <w:p>
      <w:pPr>
        <w:spacing w:line="400" w:lineRule="exact"/>
        <w:ind w:firstLine="480" w:firstLineChars="200"/>
        <w:rPr>
          <w:rFonts w:ascii="宋体" w:hAnsi="宋体" w:cs="仿宋_GB2312"/>
          <w:color w:val="000000"/>
          <w:sz w:val="24"/>
          <w:szCs w:val="24"/>
        </w:rPr>
      </w:pPr>
      <w:r>
        <w:rPr>
          <w:rFonts w:hint="eastAsia" w:ascii="宋体" w:hAnsi="宋体"/>
          <w:bCs/>
          <w:sz w:val="24"/>
          <w:szCs w:val="24"/>
        </w:rPr>
        <w:t>2.本估价报告的估价结果为估价对象在价值时点的现有条件、用途及使用状态下的公开市场价值，本估价报告自出具之日起一年内有效（即2021年9月28日至2022年9月27日）。但价值时点后，在报告有效期内估价对象的质量及价格标准发生变化，</w:t>
      </w:r>
      <w:r>
        <w:rPr>
          <w:rFonts w:hint="eastAsia" w:ascii="宋体" w:hAnsi="宋体" w:cs="仿宋_GB2312"/>
          <w:sz w:val="24"/>
          <w:szCs w:val="24"/>
        </w:rPr>
        <w:t>或市场变化较快、期间国家经济形势、城市规划、相关税费</w:t>
      </w:r>
      <w:r>
        <w:rPr>
          <w:rFonts w:hint="eastAsia" w:ascii="宋体" w:hAnsi="宋体" w:cs="仿宋_GB2312"/>
          <w:color w:val="000000"/>
          <w:sz w:val="24"/>
          <w:szCs w:val="24"/>
        </w:rPr>
        <w:t>和银行利率发生变化，估价结果应相应调整或重新估价，</w:t>
      </w:r>
      <w:r>
        <w:rPr>
          <w:rFonts w:hint="eastAsia" w:ascii="宋体" w:hAnsi="宋体"/>
          <w:bCs/>
          <w:sz w:val="24"/>
          <w:szCs w:val="24"/>
        </w:rPr>
        <w:t>超过</w:t>
      </w:r>
      <w:r>
        <w:rPr>
          <w:rFonts w:hint="eastAsia" w:ascii="宋体" w:hAnsi="宋体" w:cs="仿宋_GB2312"/>
          <w:color w:val="000000"/>
          <w:sz w:val="24"/>
          <w:szCs w:val="24"/>
        </w:rPr>
        <w:t>有效期</w:t>
      </w:r>
      <w:r>
        <w:rPr>
          <w:rFonts w:hint="eastAsia" w:ascii="宋体" w:hAnsi="宋体"/>
          <w:bCs/>
          <w:sz w:val="24"/>
          <w:szCs w:val="24"/>
        </w:rPr>
        <w:t>，需重新进行估价。</w:t>
      </w:r>
    </w:p>
    <w:p>
      <w:pPr>
        <w:spacing w:line="4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3．本估价报告结果仅供估价委托人在本次估价目的下使用，不得做其他用途。未经本估价机构及估价委托人的书面同意，任何拥有此报告及拷贝的人都无权公开发表，也无权用于任何目的。凡因估价委托人及其报告使用人使用估价报告不当而引起的后果，本估价机构及估价人员不承担相应的责任。</w:t>
      </w:r>
    </w:p>
    <w:p>
      <w:pPr>
        <w:spacing w:line="400" w:lineRule="exact"/>
        <w:ind w:firstLine="480" w:firstLineChars="200"/>
        <w:rPr>
          <w:rFonts w:ascii="宋体" w:hAnsi="宋体"/>
          <w:bCs/>
          <w:sz w:val="24"/>
          <w:szCs w:val="24"/>
        </w:rPr>
      </w:pPr>
      <w:r>
        <w:rPr>
          <w:rFonts w:hint="eastAsia" w:ascii="宋体" w:hAnsi="宋体"/>
          <w:bCs/>
          <w:sz w:val="24"/>
          <w:szCs w:val="24"/>
        </w:rPr>
        <w:t>4.本估价报告附件是本报告的重要组成部分，使用本报告时请仔细阅读附件。本报告必须完整使用，对仅使用报告中的部分内容而导致的有关纠纷和损失，本房地产估价机构和注册房地产估价师不承担任何法律责任。</w:t>
      </w:r>
    </w:p>
    <w:p>
      <w:pPr>
        <w:spacing w:line="400" w:lineRule="exact"/>
        <w:ind w:firstLine="480" w:firstLineChars="200"/>
        <w:rPr>
          <w:rFonts w:ascii="宋体" w:hAnsi="宋体" w:cs="仿宋_GB2312"/>
          <w:b/>
          <w:sz w:val="24"/>
          <w:szCs w:val="24"/>
        </w:rPr>
      </w:pPr>
      <w:r>
        <w:rPr>
          <w:rFonts w:hint="eastAsia" w:ascii="宋体" w:hAnsi="宋体" w:cs="仿宋_GB2312"/>
          <w:color w:val="000000"/>
          <w:sz w:val="24"/>
          <w:szCs w:val="24"/>
        </w:rPr>
        <w:t>5.估价结果是指在目前房地产市场状况下、估价对象在现状利用条件下的房地产市场价值，包括国有出让土地使用权价值和与房屋有关的土建、安装、装修及室外附属工程价值，不包括可移动的家具、电器等物品价值。</w:t>
      </w:r>
      <w:r>
        <w:rPr>
          <w:rFonts w:hint="eastAsia" w:ascii="宋体" w:hAnsi="宋体" w:cs="仿宋_GB2312"/>
          <w:color w:val="000000"/>
          <w:sz w:val="24"/>
          <w:szCs w:val="24"/>
        </w:rPr>
        <w:tab/>
      </w:r>
    </w:p>
    <w:p>
      <w:pPr>
        <w:spacing w:line="400" w:lineRule="exact"/>
        <w:ind w:firstLine="480" w:firstLineChars="200"/>
        <w:rPr>
          <w:rFonts w:ascii="宋体" w:hAnsi="宋体"/>
          <w:bCs/>
          <w:sz w:val="24"/>
          <w:szCs w:val="24"/>
        </w:rPr>
      </w:pPr>
      <w:r>
        <w:rPr>
          <w:rFonts w:hint="eastAsia" w:ascii="宋体" w:hAnsi="宋体" w:cs="仿宋_GB2312"/>
          <w:color w:val="000000"/>
          <w:sz w:val="24"/>
          <w:szCs w:val="24"/>
        </w:rPr>
        <w:t>6.</w:t>
      </w:r>
      <w:r>
        <w:rPr>
          <w:rFonts w:hint="eastAsia" w:ascii="宋体" w:hAnsi="宋体"/>
          <w:bCs/>
          <w:sz w:val="24"/>
          <w:szCs w:val="24"/>
        </w:rPr>
        <w:t>发现本估价报告中文字、数据等错漏，请及时通知本房地产估价机构进行更正，否则文字、数据等错漏部分无效。</w:t>
      </w:r>
    </w:p>
    <w:p>
      <w:pPr>
        <w:spacing w:line="400" w:lineRule="exact"/>
        <w:ind w:firstLine="480" w:firstLineChars="200"/>
        <w:jc w:val="left"/>
        <w:rPr>
          <w:rFonts w:ascii="宋体" w:hAnsi="宋体" w:cs="仿宋_GB2312"/>
          <w:color w:val="000000"/>
          <w:sz w:val="24"/>
          <w:szCs w:val="24"/>
        </w:rPr>
      </w:pPr>
      <w:r>
        <w:rPr>
          <w:rFonts w:hint="eastAsia" w:ascii="宋体" w:hAnsi="宋体" w:cs="仿宋_GB2312"/>
          <w:color w:val="000000"/>
          <w:sz w:val="24"/>
          <w:szCs w:val="24"/>
        </w:rPr>
        <w:t>7.本估价报告中所使用的货币为人民币。</w:t>
      </w:r>
    </w:p>
    <w:p>
      <w:pPr>
        <w:spacing w:line="400" w:lineRule="exact"/>
        <w:ind w:firstLine="480" w:firstLineChars="200"/>
        <w:jc w:val="left"/>
        <w:rPr>
          <w:rFonts w:ascii="宋体" w:hAnsi="宋体" w:cs="仿宋_GB2312"/>
          <w:sz w:val="24"/>
          <w:szCs w:val="24"/>
        </w:rPr>
      </w:pPr>
      <w:r>
        <w:rPr>
          <w:rFonts w:hint="eastAsia" w:ascii="宋体" w:hAnsi="宋体" w:cs="仿宋_GB2312"/>
          <w:color w:val="000000"/>
          <w:sz w:val="24"/>
          <w:szCs w:val="24"/>
        </w:rPr>
        <w:t>8.</w:t>
      </w:r>
      <w:r>
        <w:rPr>
          <w:rFonts w:hint="eastAsia" w:ascii="宋体" w:hAnsi="宋体" w:cs="仿宋_GB2312"/>
          <w:sz w:val="24"/>
          <w:szCs w:val="24"/>
        </w:rPr>
        <w:t>本报告必须经估价机构加盖公章、注册房地产估价师签字后方可使用，估价机构仅对本报告的原件承担责任，对任何形式的复印件概不认可且不承担责任。</w:t>
      </w:r>
    </w:p>
    <w:p>
      <w:pPr>
        <w:spacing w:line="360" w:lineRule="auto"/>
        <w:ind w:firstLine="480" w:firstLineChars="200"/>
        <w:rPr>
          <w:rFonts w:ascii="仿宋_GB2312" w:eastAsia="仿宋_GB2312"/>
          <w:b/>
          <w:sz w:val="36"/>
          <w:szCs w:val="36"/>
        </w:rPr>
      </w:pPr>
      <w:r>
        <w:rPr>
          <w:rFonts w:hint="eastAsia" w:ascii="宋体" w:hAnsi="宋体" w:cs="仿宋_GB2312"/>
          <w:color w:val="000000"/>
          <w:sz w:val="24"/>
          <w:szCs w:val="24"/>
        </w:rPr>
        <w:t>9.本估价报告解释权为本估价机构所有。</w:t>
      </w: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ind w:left="360" w:hanging="360"/>
        <w:jc w:val="center"/>
        <w:rPr>
          <w:rFonts w:ascii="仿宋_GB2312" w:eastAsia="仿宋_GB2312"/>
          <w:b/>
          <w:sz w:val="32"/>
        </w:rPr>
      </w:pPr>
    </w:p>
    <w:p>
      <w:pPr>
        <w:tabs>
          <w:tab w:val="left" w:pos="2835"/>
        </w:tabs>
        <w:spacing w:line="360" w:lineRule="auto"/>
        <w:rPr>
          <w:rFonts w:ascii="仿宋_GB2312" w:eastAsia="仿宋_GB2312"/>
          <w:b/>
          <w:sz w:val="32"/>
        </w:rPr>
      </w:pPr>
    </w:p>
    <w:p>
      <w:pPr>
        <w:tabs>
          <w:tab w:val="left" w:pos="2835"/>
        </w:tabs>
        <w:spacing w:line="360" w:lineRule="auto"/>
        <w:ind w:firstLine="2711" w:firstLineChars="750"/>
        <w:rPr>
          <w:rStyle w:val="33"/>
        </w:rPr>
      </w:pPr>
    </w:p>
    <w:p>
      <w:pPr>
        <w:tabs>
          <w:tab w:val="left" w:pos="2835"/>
        </w:tabs>
        <w:spacing w:line="360" w:lineRule="auto"/>
        <w:ind w:firstLine="2711" w:firstLineChars="750"/>
        <w:rPr>
          <w:rStyle w:val="33"/>
        </w:rPr>
      </w:pPr>
    </w:p>
    <w:p>
      <w:pPr>
        <w:tabs>
          <w:tab w:val="left" w:pos="2835"/>
        </w:tabs>
        <w:spacing w:line="360" w:lineRule="auto"/>
        <w:ind w:firstLine="2711" w:firstLineChars="750"/>
        <w:rPr>
          <w:rStyle w:val="33"/>
        </w:rPr>
      </w:pPr>
    </w:p>
    <w:p>
      <w:pPr>
        <w:tabs>
          <w:tab w:val="left" w:pos="2835"/>
        </w:tabs>
        <w:spacing w:line="360" w:lineRule="auto"/>
        <w:ind w:firstLine="2711" w:firstLineChars="750"/>
        <w:rPr>
          <w:rStyle w:val="33"/>
        </w:rPr>
      </w:pPr>
    </w:p>
    <w:p>
      <w:pPr>
        <w:tabs>
          <w:tab w:val="left" w:pos="2835"/>
        </w:tabs>
        <w:spacing w:line="360" w:lineRule="auto"/>
        <w:ind w:firstLine="2711" w:firstLineChars="750"/>
        <w:rPr>
          <w:rStyle w:val="33"/>
        </w:rPr>
      </w:pPr>
    </w:p>
    <w:p>
      <w:pPr>
        <w:tabs>
          <w:tab w:val="left" w:pos="2835"/>
        </w:tabs>
        <w:spacing w:line="360" w:lineRule="auto"/>
        <w:ind w:firstLine="2711" w:firstLineChars="750"/>
        <w:rPr>
          <w:rStyle w:val="33"/>
        </w:rPr>
      </w:pPr>
    </w:p>
    <w:p>
      <w:pPr>
        <w:tabs>
          <w:tab w:val="left" w:pos="2835"/>
        </w:tabs>
        <w:spacing w:line="360" w:lineRule="auto"/>
        <w:ind w:firstLine="2711" w:firstLineChars="750"/>
        <w:rPr>
          <w:rStyle w:val="33"/>
        </w:rPr>
      </w:pPr>
      <w:r>
        <w:rPr>
          <w:rStyle w:val="33"/>
        </w:rPr>
        <w:t> </w:t>
      </w:r>
      <w:bookmarkStart w:id="6" w:name="_Toc445903484"/>
    </w:p>
    <w:p>
      <w:pPr>
        <w:tabs>
          <w:tab w:val="left" w:pos="2835"/>
        </w:tabs>
        <w:spacing w:line="360" w:lineRule="auto"/>
        <w:ind w:firstLine="2711" w:firstLineChars="750"/>
        <w:rPr>
          <w:rFonts w:ascii="宋体" w:hAnsi="宋体"/>
          <w:b/>
          <w:sz w:val="44"/>
          <w:szCs w:val="44"/>
        </w:rPr>
      </w:pPr>
      <w:r>
        <w:rPr>
          <w:rStyle w:val="33"/>
          <w:rFonts w:hint="eastAsia"/>
        </w:rPr>
        <w:t>房地产估价结果报告</w:t>
      </w:r>
      <w:bookmarkEnd w:id="6"/>
    </w:p>
    <w:p>
      <w:pPr>
        <w:pStyle w:val="3"/>
        <w:spacing w:line="400" w:lineRule="exact"/>
        <w:rPr>
          <w:rFonts w:ascii="宋体" w:hAnsi="宋体"/>
          <w:kern w:val="2"/>
          <w:szCs w:val="24"/>
        </w:rPr>
      </w:pPr>
      <w:bookmarkStart w:id="7" w:name="_Toc445903485"/>
      <w:r>
        <w:rPr>
          <w:rFonts w:hint="eastAsia" w:ascii="宋体" w:hAnsi="宋体"/>
          <w:kern w:val="2"/>
          <w:szCs w:val="24"/>
        </w:rPr>
        <w:t>一、估价委托人及相关当事人：</w:t>
      </w:r>
      <w:bookmarkEnd w:id="7"/>
      <w:r>
        <w:rPr>
          <w:rFonts w:hint="eastAsia" w:ascii="宋体" w:hAnsi="宋体"/>
          <w:kern w:val="2"/>
          <w:szCs w:val="24"/>
        </w:rPr>
        <w:t xml:space="preserve">                                                               </w:t>
      </w:r>
    </w:p>
    <w:p>
      <w:pPr>
        <w:snapToGrid w:val="0"/>
        <w:spacing w:line="400" w:lineRule="exact"/>
        <w:ind w:firstLine="480" w:firstLineChars="200"/>
        <w:rPr>
          <w:rFonts w:ascii="宋体" w:hAnsi="宋体"/>
          <w:bCs/>
          <w:sz w:val="24"/>
          <w:szCs w:val="24"/>
        </w:rPr>
      </w:pPr>
      <w:bookmarkStart w:id="8" w:name="_Toc404936683"/>
      <w:bookmarkStart w:id="9" w:name="_Toc445903486"/>
      <w:bookmarkStart w:id="10" w:name="_Toc405214014"/>
      <w:r>
        <w:rPr>
          <w:rFonts w:hint="eastAsia" w:ascii="宋体" w:hAnsi="宋体"/>
          <w:bCs/>
          <w:sz w:val="24"/>
          <w:szCs w:val="24"/>
        </w:rPr>
        <w:t>估价委托人名称：山东省临沂市罗庄区人民法院</w:t>
      </w:r>
    </w:p>
    <w:p>
      <w:pPr>
        <w:snapToGrid w:val="0"/>
        <w:spacing w:line="400" w:lineRule="exact"/>
        <w:ind w:firstLine="480" w:firstLineChars="200"/>
        <w:rPr>
          <w:rFonts w:ascii="宋体" w:hAnsi="宋体"/>
          <w:bCs/>
          <w:sz w:val="24"/>
          <w:szCs w:val="24"/>
        </w:rPr>
      </w:pPr>
      <w:r>
        <w:rPr>
          <w:rFonts w:hint="eastAsia" w:ascii="宋体" w:hAnsi="宋体"/>
          <w:bCs/>
          <w:sz w:val="24"/>
          <w:szCs w:val="24"/>
        </w:rPr>
        <w:t>估价委托人地址：山东省临沂市罗庄区</w:t>
      </w:r>
    </w:p>
    <w:p>
      <w:pPr>
        <w:spacing w:line="400" w:lineRule="exact"/>
        <w:ind w:firstLine="480" w:firstLineChars="200"/>
        <w:rPr>
          <w:rFonts w:ascii="宋体" w:hAnsi="宋体"/>
          <w:bCs/>
          <w:sz w:val="24"/>
          <w:szCs w:val="24"/>
        </w:rPr>
      </w:pPr>
      <w:r>
        <w:rPr>
          <w:rFonts w:hint="eastAsia" w:ascii="宋体" w:hAnsi="宋体"/>
          <w:bCs/>
          <w:sz w:val="24"/>
          <w:szCs w:val="24"/>
        </w:rPr>
        <w:t>申请执行人：刘立宝</w:t>
      </w:r>
    </w:p>
    <w:p>
      <w:pPr>
        <w:spacing w:line="400" w:lineRule="exact"/>
        <w:ind w:firstLine="480" w:firstLineChars="200"/>
        <w:rPr>
          <w:rFonts w:ascii="宋体" w:hAnsi="宋体"/>
          <w:bCs/>
          <w:sz w:val="24"/>
          <w:szCs w:val="24"/>
        </w:rPr>
      </w:pPr>
      <w:r>
        <w:rPr>
          <w:rFonts w:hint="eastAsia" w:ascii="宋体" w:hAnsi="宋体"/>
          <w:bCs/>
          <w:sz w:val="24"/>
          <w:szCs w:val="24"/>
        </w:rPr>
        <w:t>被执行人：丁凤霞、白鹏</w:t>
      </w:r>
    </w:p>
    <w:p>
      <w:pPr>
        <w:spacing w:line="400" w:lineRule="exact"/>
        <w:ind w:firstLine="480" w:firstLineChars="200"/>
        <w:rPr>
          <w:rFonts w:ascii="宋体" w:hAnsi="宋体"/>
          <w:bCs/>
          <w:sz w:val="24"/>
          <w:szCs w:val="24"/>
        </w:rPr>
      </w:pPr>
      <w:r>
        <w:rPr>
          <w:rFonts w:hint="eastAsia" w:ascii="宋体" w:hAnsi="宋体"/>
          <w:bCs/>
          <w:sz w:val="24"/>
          <w:szCs w:val="24"/>
        </w:rPr>
        <w:t>房屋权利人名称：丁凤霞</w:t>
      </w:r>
    </w:p>
    <w:p>
      <w:pPr>
        <w:pStyle w:val="3"/>
        <w:spacing w:line="400" w:lineRule="exact"/>
      </w:pPr>
      <w:r>
        <w:rPr>
          <w:rFonts w:hint="eastAsia"/>
        </w:rPr>
        <w:t>二、房地产估价机构</w:t>
      </w:r>
      <w:bookmarkEnd w:id="8"/>
      <w:r>
        <w:rPr>
          <w:rFonts w:hint="eastAsia"/>
        </w:rPr>
        <w:t>：</w:t>
      </w:r>
      <w:bookmarkEnd w:id="9"/>
      <w:bookmarkEnd w:id="10"/>
    </w:p>
    <w:p>
      <w:pPr>
        <w:pStyle w:val="9"/>
        <w:spacing w:line="400" w:lineRule="exact"/>
        <w:ind w:firstLine="560"/>
        <w:rPr>
          <w:rFonts w:ascii="宋体" w:hAnsi="宋体"/>
          <w:bCs/>
          <w:sz w:val="24"/>
          <w:szCs w:val="24"/>
        </w:rPr>
      </w:pPr>
      <w:bookmarkStart w:id="11" w:name="_Toc404936684"/>
      <w:bookmarkStart w:id="12" w:name="_Toc405214015"/>
      <w:bookmarkStart w:id="13" w:name="_Toc445903487"/>
      <w:r>
        <w:rPr>
          <w:rFonts w:hint="eastAsia" w:ascii="宋体" w:hAnsi="宋体"/>
          <w:bCs/>
          <w:sz w:val="24"/>
          <w:szCs w:val="24"/>
        </w:rPr>
        <w:t>估价机构全称：临沂鸿诚资产评估土地房地产估价有限公司</w:t>
      </w:r>
    </w:p>
    <w:p>
      <w:pPr>
        <w:pStyle w:val="9"/>
        <w:spacing w:line="400" w:lineRule="exact"/>
        <w:ind w:firstLine="560"/>
        <w:rPr>
          <w:rFonts w:ascii="宋体" w:hAnsi="宋体"/>
          <w:sz w:val="24"/>
          <w:szCs w:val="24"/>
        </w:rPr>
      </w:pPr>
      <w:r>
        <w:rPr>
          <w:rFonts w:hint="eastAsia" w:ascii="宋体" w:hAnsi="宋体"/>
          <w:bCs/>
          <w:sz w:val="24"/>
          <w:szCs w:val="24"/>
        </w:rPr>
        <w:t>住所：</w:t>
      </w:r>
      <w:r>
        <w:rPr>
          <w:rFonts w:hint="eastAsia" w:ascii="宋体" w:hAnsi="宋体"/>
          <w:sz w:val="24"/>
          <w:szCs w:val="24"/>
        </w:rPr>
        <w:t>山东省临沂市沂蒙路418号民族大厦17层</w:t>
      </w:r>
    </w:p>
    <w:p>
      <w:pPr>
        <w:pStyle w:val="9"/>
        <w:spacing w:line="400" w:lineRule="exact"/>
        <w:ind w:firstLine="560"/>
        <w:rPr>
          <w:rFonts w:ascii="宋体" w:hAnsi="宋体"/>
          <w:sz w:val="24"/>
          <w:szCs w:val="24"/>
        </w:rPr>
      </w:pPr>
      <w:r>
        <w:rPr>
          <w:rFonts w:hint="eastAsia" w:ascii="宋体" w:hAnsi="宋体"/>
          <w:sz w:val="24"/>
          <w:szCs w:val="24"/>
        </w:rPr>
        <w:t>法定代表人：张书源</w:t>
      </w:r>
    </w:p>
    <w:p>
      <w:pPr>
        <w:pStyle w:val="9"/>
        <w:spacing w:line="400" w:lineRule="exact"/>
        <w:ind w:firstLine="560"/>
        <w:rPr>
          <w:rFonts w:ascii="宋体" w:hAnsi="宋体"/>
          <w:bCs/>
          <w:sz w:val="24"/>
          <w:szCs w:val="24"/>
        </w:rPr>
      </w:pPr>
      <w:r>
        <w:rPr>
          <w:rFonts w:hint="eastAsia" w:ascii="宋体" w:hAnsi="宋体"/>
          <w:bCs/>
          <w:sz w:val="24"/>
          <w:szCs w:val="24"/>
        </w:rPr>
        <w:t>估价资格等级：房地产价格评估贰级资格</w:t>
      </w:r>
    </w:p>
    <w:p>
      <w:pPr>
        <w:pStyle w:val="9"/>
        <w:spacing w:line="400" w:lineRule="exact"/>
        <w:ind w:firstLine="560"/>
        <w:rPr>
          <w:rFonts w:ascii="宋体" w:hAnsi="宋体"/>
          <w:bCs/>
          <w:sz w:val="24"/>
          <w:szCs w:val="24"/>
        </w:rPr>
      </w:pPr>
      <w:r>
        <w:rPr>
          <w:rFonts w:hint="eastAsia" w:ascii="宋体" w:hAnsi="宋体"/>
          <w:bCs/>
          <w:sz w:val="24"/>
          <w:szCs w:val="24"/>
        </w:rPr>
        <w:t>证书编号：鲁评142025</w:t>
      </w:r>
    </w:p>
    <w:p>
      <w:pPr>
        <w:pStyle w:val="3"/>
        <w:spacing w:line="400" w:lineRule="exact"/>
        <w:rPr>
          <w:rFonts w:ascii="宋体" w:hAnsi="宋体"/>
          <w:kern w:val="2"/>
          <w:szCs w:val="24"/>
        </w:rPr>
      </w:pPr>
      <w:r>
        <w:rPr>
          <w:rFonts w:hint="eastAsia" w:ascii="宋体" w:hAnsi="宋体"/>
          <w:kern w:val="2"/>
          <w:szCs w:val="24"/>
        </w:rPr>
        <w:t>三、估价目的</w:t>
      </w:r>
      <w:bookmarkEnd w:id="11"/>
      <w:r>
        <w:rPr>
          <w:rFonts w:hint="eastAsia" w:ascii="宋体" w:hAnsi="宋体"/>
          <w:kern w:val="2"/>
          <w:szCs w:val="24"/>
        </w:rPr>
        <w:t>：</w:t>
      </w:r>
      <w:bookmarkEnd w:id="12"/>
      <w:bookmarkEnd w:id="13"/>
    </w:p>
    <w:p>
      <w:pPr>
        <w:tabs>
          <w:tab w:val="left" w:pos="2835"/>
        </w:tabs>
        <w:spacing w:line="400" w:lineRule="exact"/>
        <w:rPr>
          <w:rFonts w:ascii="宋体" w:hAnsi="宋体"/>
          <w:sz w:val="24"/>
          <w:szCs w:val="24"/>
        </w:rPr>
      </w:pPr>
      <w:r>
        <w:rPr>
          <w:rFonts w:hint="eastAsia" w:ascii="宋体" w:hAnsi="宋体"/>
          <w:sz w:val="24"/>
          <w:szCs w:val="24"/>
        </w:rPr>
        <w:t xml:space="preserve">    </w:t>
      </w:r>
      <w:r>
        <w:rPr>
          <w:rFonts w:hint="eastAsia" w:ascii="宋体" w:hAnsi="宋体"/>
          <w:bCs/>
          <w:sz w:val="24"/>
          <w:szCs w:val="24"/>
        </w:rPr>
        <w:t>为人民法院确定财产处置参考价提供参考依据</w:t>
      </w:r>
      <w:r>
        <w:rPr>
          <w:rFonts w:hint="eastAsia" w:ascii="宋体" w:hAnsi="宋体"/>
          <w:sz w:val="24"/>
          <w:szCs w:val="24"/>
        </w:rPr>
        <w:t>。</w:t>
      </w:r>
    </w:p>
    <w:p>
      <w:pPr>
        <w:pStyle w:val="3"/>
        <w:spacing w:line="400" w:lineRule="exact"/>
        <w:rPr>
          <w:rFonts w:ascii="宋体" w:hAnsi="宋体"/>
          <w:kern w:val="2"/>
          <w:szCs w:val="24"/>
        </w:rPr>
      </w:pPr>
      <w:bookmarkStart w:id="14" w:name="_Toc445903488"/>
      <w:r>
        <w:rPr>
          <w:rFonts w:hint="eastAsia" w:ascii="宋体" w:hAnsi="宋体"/>
          <w:kern w:val="2"/>
          <w:szCs w:val="24"/>
        </w:rPr>
        <w:t>四、估价对象</w:t>
      </w:r>
      <w:bookmarkEnd w:id="14"/>
    </w:p>
    <w:p>
      <w:pPr>
        <w:pStyle w:val="9"/>
        <w:spacing w:line="400" w:lineRule="exact"/>
        <w:ind w:firstLine="200"/>
        <w:rPr>
          <w:rFonts w:asciiTheme="minorEastAsia" w:hAnsiTheme="minorEastAsia" w:eastAsiaTheme="minorEastAsia" w:cstheme="minorEastAsia"/>
          <w:sz w:val="24"/>
          <w:szCs w:val="24"/>
        </w:rPr>
      </w:pPr>
      <w:bookmarkStart w:id="15" w:name="_Toc404936503"/>
      <w:bookmarkStart w:id="16" w:name="_Toc405214067"/>
      <w:bookmarkStart w:id="17" w:name="_Toc404936686"/>
      <w:bookmarkStart w:id="18" w:name="_Toc405214017"/>
      <w:bookmarkStart w:id="19" w:name="_Toc405214024"/>
      <w:bookmarkStart w:id="20" w:name="_Toc404936693"/>
      <w:r>
        <w:rPr>
          <w:rFonts w:hint="eastAsia" w:asciiTheme="minorEastAsia" w:hAnsiTheme="minorEastAsia" w:eastAsiaTheme="minorEastAsia" w:cstheme="minorEastAsia"/>
          <w:sz w:val="24"/>
          <w:szCs w:val="24"/>
        </w:rPr>
        <w:t>（一）估价对象范围</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纳入评估范围内的房地产为位于</w:t>
      </w:r>
      <w:r>
        <w:rPr>
          <w:rFonts w:hint="eastAsia" w:asciiTheme="minorEastAsia" w:hAnsiTheme="minorEastAsia" w:eastAsiaTheme="minorEastAsia" w:cstheme="minorEastAsia"/>
          <w:color w:val="000000"/>
          <w:sz w:val="24"/>
          <w:szCs w:val="24"/>
        </w:rPr>
        <w:t>临沂市罗庄区美澳花园桂园DA1号楼DA1住宅用房地产。</w:t>
      </w:r>
      <w:r>
        <w:rPr>
          <w:rFonts w:hint="eastAsia" w:asciiTheme="minorEastAsia" w:hAnsiTheme="minorEastAsia" w:eastAsiaTheme="minorEastAsia" w:cstheme="minorEastAsia"/>
          <w:szCs w:val="21"/>
        </w:rPr>
        <w:t>（包含分摊的土地使用权，不包含室内动产及债权债务等财产）</w:t>
      </w:r>
      <w:r>
        <w:rPr>
          <w:rFonts w:hint="eastAsia" w:asciiTheme="minorEastAsia" w:hAnsiTheme="minorEastAsia" w:eastAsiaTheme="minorEastAsia" w:cstheme="minorEastAsia"/>
          <w:sz w:val="24"/>
          <w:szCs w:val="24"/>
        </w:rPr>
        <w:t>。</w:t>
      </w:r>
    </w:p>
    <w:p>
      <w:pPr>
        <w:pStyle w:val="10"/>
        <w:tabs>
          <w:tab w:val="left" w:pos="2835"/>
        </w:tabs>
        <w:spacing w:line="400" w:lineRule="exact"/>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（二）估价对象基本状况</w:t>
      </w:r>
    </w:p>
    <w:p>
      <w:pPr>
        <w:pStyle w:val="10"/>
        <w:tabs>
          <w:tab w:val="left" w:pos="2835"/>
        </w:tabs>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1、坐落位置：</w:t>
      </w:r>
      <w:bookmarkEnd w:id="15"/>
      <w:bookmarkEnd w:id="16"/>
      <w:bookmarkEnd w:id="17"/>
      <w:bookmarkEnd w:id="18"/>
    </w:p>
    <w:p>
      <w:pPr>
        <w:pStyle w:val="4"/>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估价对象位于</w:t>
      </w:r>
      <w:r>
        <w:rPr>
          <w:rFonts w:hint="eastAsia" w:asciiTheme="minorEastAsia" w:hAnsiTheme="minorEastAsia" w:eastAsiaTheme="minorEastAsia" w:cstheme="minorEastAsia"/>
          <w:color w:val="000000"/>
          <w:sz w:val="24"/>
          <w:szCs w:val="24"/>
        </w:rPr>
        <w:t>罗庄区美澳花园桂园DA1号楼DA1独栋别墅</w:t>
      </w:r>
      <w:r>
        <w:rPr>
          <w:rFonts w:hint="eastAsia" w:asciiTheme="minorEastAsia" w:hAnsiTheme="minorEastAsia" w:eastAsiaTheme="minorEastAsia" w:cstheme="minorEastAsia"/>
          <w:sz w:val="24"/>
          <w:szCs w:val="24"/>
        </w:rPr>
        <w:t>。</w:t>
      </w:r>
    </w:p>
    <w:p>
      <w:pPr>
        <w:pStyle w:val="4"/>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2、权益状况：</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⑴、</w:t>
      </w:r>
      <w:r>
        <w:rPr>
          <w:rFonts w:hint="eastAsia" w:asciiTheme="minorEastAsia" w:hAnsiTheme="minorEastAsia" w:eastAsiaTheme="minorEastAsia" w:cstheme="minorEastAsia"/>
          <w:sz w:val="24"/>
          <w:szCs w:val="24"/>
        </w:rPr>
        <w:t>房地产登记状况</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依据估价委托人提供的《不动产登记信息查询证明》，估价对象房地产登记状况信息如下：</w:t>
      </w:r>
    </w:p>
    <w:p>
      <w:pPr>
        <w:snapToGrid w:val="0"/>
        <w:spacing w:line="400" w:lineRule="exact"/>
        <w:ind w:firstLine="480" w:firstLineChars="200"/>
        <w:rPr>
          <w:rFonts w:asciiTheme="minorEastAsia" w:hAnsiTheme="minorEastAsia" w:eastAsiaTheme="minorEastAsia" w:cstheme="minorEastAsia"/>
          <w:sz w:val="24"/>
          <w:szCs w:val="24"/>
        </w:rPr>
      </w:pPr>
    </w:p>
    <w:p>
      <w:pPr>
        <w:snapToGrid w:val="0"/>
        <w:spacing w:line="400" w:lineRule="exact"/>
        <w:ind w:firstLine="480" w:firstLineChars="200"/>
        <w:rPr>
          <w:rFonts w:asciiTheme="minorEastAsia" w:hAnsiTheme="minorEastAsia" w:eastAsiaTheme="minorEastAsia" w:cstheme="minorEastAsia"/>
          <w:sz w:val="24"/>
          <w:szCs w:val="24"/>
        </w:rPr>
      </w:pPr>
    </w:p>
    <w:tbl>
      <w:tblPr>
        <w:tblStyle w:val="23"/>
        <w:tblpPr w:leftFromText="180" w:rightFromText="180" w:vertAnchor="text" w:tblpXSpec="center" w:tblpY="1"/>
        <w:tblOverlap w:val="never"/>
        <w:tblW w:w="9464" w:type="dxa"/>
        <w:jc w:val="center"/>
        <w:tblLayout w:type="fixed"/>
        <w:tblCellMar>
          <w:top w:w="0" w:type="dxa"/>
          <w:left w:w="108" w:type="dxa"/>
          <w:bottom w:w="0" w:type="dxa"/>
          <w:right w:w="108" w:type="dxa"/>
        </w:tblCellMar>
      </w:tblPr>
      <w:tblGrid>
        <w:gridCol w:w="1809"/>
        <w:gridCol w:w="1119"/>
        <w:gridCol w:w="13"/>
        <w:gridCol w:w="715"/>
        <w:gridCol w:w="551"/>
        <w:gridCol w:w="579"/>
        <w:gridCol w:w="706"/>
        <w:gridCol w:w="2269"/>
        <w:gridCol w:w="1703"/>
      </w:tblGrid>
      <w:tr>
        <w:tblPrEx>
          <w:tblCellMar>
            <w:top w:w="0" w:type="dxa"/>
            <w:left w:w="108" w:type="dxa"/>
            <w:bottom w:w="0" w:type="dxa"/>
            <w:right w:w="108" w:type="dxa"/>
          </w:tblCellMar>
        </w:tblPrEx>
        <w:trPr>
          <w:trHeight w:val="573" w:hRule="exact"/>
          <w:jc w:val="center"/>
        </w:trPr>
        <w:tc>
          <w:tcPr>
            <w:tcW w:w="9464" w:type="dxa"/>
            <w:gridSpan w:val="9"/>
            <w:tcBorders>
              <w:top w:val="single" w:color="auto" w:sz="4" w:space="0"/>
              <w:left w:val="single" w:color="auto" w:sz="4" w:space="0"/>
              <w:bottom w:val="single" w:color="auto" w:sz="4" w:space="0"/>
              <w:right w:val="single" w:color="000000" w:sz="4" w:space="0"/>
            </w:tcBorders>
            <w:vAlign w:val="center"/>
          </w:tcPr>
          <w:p>
            <w:pPr>
              <w:widowControl/>
              <w:spacing w:line="240" w:lineRule="atLeas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估价对象状况</w:t>
            </w:r>
          </w:p>
        </w:tc>
      </w:tr>
      <w:tr>
        <w:tblPrEx>
          <w:tblCellMar>
            <w:top w:w="0" w:type="dxa"/>
            <w:left w:w="108" w:type="dxa"/>
            <w:bottom w:w="0" w:type="dxa"/>
            <w:right w:w="108" w:type="dxa"/>
          </w:tblCellMar>
        </w:tblPrEx>
        <w:trPr>
          <w:trHeight w:val="997" w:hRule="exact"/>
          <w:jc w:val="center"/>
        </w:trPr>
        <w:tc>
          <w:tcPr>
            <w:tcW w:w="1809"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权利人</w:t>
            </w:r>
          </w:p>
        </w:tc>
        <w:tc>
          <w:tcPr>
            <w:tcW w:w="1847" w:type="dxa"/>
            <w:gridSpan w:val="3"/>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宋体" w:hAnsi="宋体"/>
                <w:bCs/>
                <w:sz w:val="24"/>
                <w:szCs w:val="24"/>
              </w:rPr>
              <w:t>丁凤霞</w:t>
            </w:r>
          </w:p>
        </w:tc>
        <w:tc>
          <w:tcPr>
            <w:tcW w:w="1130" w:type="dxa"/>
            <w:gridSpan w:val="2"/>
            <w:tcBorders>
              <w:top w:val="nil"/>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不动产权证号</w:t>
            </w:r>
          </w:p>
        </w:tc>
        <w:tc>
          <w:tcPr>
            <w:tcW w:w="4678" w:type="dxa"/>
            <w:gridSpan w:val="3"/>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鲁（2017）临沂市不动产权第0014255号</w:t>
            </w:r>
          </w:p>
        </w:tc>
      </w:tr>
      <w:tr>
        <w:tblPrEx>
          <w:tblCellMar>
            <w:top w:w="0" w:type="dxa"/>
            <w:left w:w="108" w:type="dxa"/>
            <w:bottom w:w="0" w:type="dxa"/>
            <w:right w:w="108" w:type="dxa"/>
          </w:tblCellMar>
        </w:tblPrEx>
        <w:trPr>
          <w:trHeight w:val="760" w:hRule="exact"/>
          <w:jc w:val="center"/>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估价对象坐落</w:t>
            </w:r>
          </w:p>
        </w:tc>
        <w:tc>
          <w:tcPr>
            <w:tcW w:w="7655" w:type="dxa"/>
            <w:gridSpan w:val="8"/>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罗庄区美澳花园桂园DA1号楼DA1</w:t>
            </w:r>
          </w:p>
        </w:tc>
      </w:tr>
      <w:tr>
        <w:tblPrEx>
          <w:tblCellMar>
            <w:top w:w="0" w:type="dxa"/>
            <w:left w:w="108" w:type="dxa"/>
            <w:bottom w:w="0" w:type="dxa"/>
            <w:right w:w="108" w:type="dxa"/>
          </w:tblCellMar>
        </w:tblPrEx>
        <w:trPr>
          <w:trHeight w:val="794" w:hRule="exact"/>
          <w:jc w:val="center"/>
        </w:trPr>
        <w:tc>
          <w:tcPr>
            <w:tcW w:w="1809"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评估内容</w:t>
            </w:r>
          </w:p>
        </w:tc>
        <w:tc>
          <w:tcPr>
            <w:tcW w:w="3683" w:type="dxa"/>
            <w:gridSpan w:val="6"/>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房屋及其分摊土地面积</w:t>
            </w:r>
          </w:p>
        </w:tc>
        <w:tc>
          <w:tcPr>
            <w:tcW w:w="226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共有情况</w:t>
            </w:r>
          </w:p>
        </w:tc>
        <w:tc>
          <w:tcPr>
            <w:tcW w:w="1703" w:type="dxa"/>
            <w:tcBorders>
              <w:top w:val="single" w:color="auto" w:sz="4" w:space="0"/>
              <w:left w:val="single" w:color="auto" w:sz="4" w:space="0"/>
              <w:bottom w:val="single" w:color="auto" w:sz="4" w:space="0"/>
              <w:right w:val="single" w:color="000000"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单独所有</w:t>
            </w:r>
          </w:p>
        </w:tc>
      </w:tr>
      <w:tr>
        <w:tblPrEx>
          <w:tblCellMar>
            <w:top w:w="0" w:type="dxa"/>
            <w:left w:w="108" w:type="dxa"/>
            <w:bottom w:w="0" w:type="dxa"/>
            <w:right w:w="108" w:type="dxa"/>
          </w:tblCellMar>
        </w:tblPrEx>
        <w:trPr>
          <w:trHeight w:val="860" w:hRule="exact"/>
          <w:jc w:val="center"/>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位置</w:t>
            </w:r>
          </w:p>
        </w:tc>
        <w:tc>
          <w:tcPr>
            <w:tcW w:w="1132" w:type="dxa"/>
            <w:gridSpan w:val="2"/>
            <w:tcBorders>
              <w:top w:val="single" w:color="auto" w:sz="4" w:space="0"/>
              <w:left w:val="nil"/>
              <w:bottom w:val="single" w:color="auto" w:sz="4" w:space="0"/>
              <w:right w:val="nil"/>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用途</w:t>
            </w:r>
          </w:p>
        </w:tc>
        <w:tc>
          <w:tcPr>
            <w:tcW w:w="126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结构</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所在层数</w:t>
            </w:r>
          </w:p>
        </w:tc>
        <w:tc>
          <w:tcPr>
            <w:tcW w:w="226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建成年代</w:t>
            </w:r>
          </w:p>
        </w:tc>
        <w:tc>
          <w:tcPr>
            <w:tcW w:w="1703"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建筑面积(㎡)</w:t>
            </w:r>
          </w:p>
        </w:tc>
      </w:tr>
      <w:tr>
        <w:tblPrEx>
          <w:tblCellMar>
            <w:top w:w="0" w:type="dxa"/>
            <w:left w:w="108" w:type="dxa"/>
            <w:bottom w:w="0" w:type="dxa"/>
            <w:right w:w="108" w:type="dxa"/>
          </w:tblCellMar>
        </w:tblPrEx>
        <w:trPr>
          <w:trHeight w:val="842" w:hRule="exact"/>
          <w:jc w:val="center"/>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美澳花园桂园DA1号楼DA1</w:t>
            </w:r>
          </w:p>
        </w:tc>
        <w:tc>
          <w:tcPr>
            <w:tcW w:w="1119" w:type="dxa"/>
            <w:tcBorders>
              <w:top w:val="single" w:color="auto" w:sz="4" w:space="0"/>
              <w:left w:val="nil"/>
              <w:bottom w:val="single" w:color="auto" w:sz="4" w:space="0"/>
              <w:right w:val="nil"/>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住宅</w:t>
            </w:r>
          </w:p>
        </w:tc>
        <w:tc>
          <w:tcPr>
            <w:tcW w:w="127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混合结构</w:t>
            </w:r>
          </w:p>
        </w:tc>
        <w:tc>
          <w:tcPr>
            <w:tcW w:w="12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1-3层</w:t>
            </w:r>
          </w:p>
        </w:tc>
        <w:tc>
          <w:tcPr>
            <w:tcW w:w="2269"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2006年08月20</w:t>
            </w:r>
          </w:p>
        </w:tc>
        <w:tc>
          <w:tcPr>
            <w:tcW w:w="170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335.85</w:t>
            </w:r>
          </w:p>
        </w:tc>
      </w:tr>
      <w:tr>
        <w:tblPrEx>
          <w:tblCellMar>
            <w:top w:w="0" w:type="dxa"/>
            <w:left w:w="108" w:type="dxa"/>
            <w:bottom w:w="0" w:type="dxa"/>
            <w:right w:w="108" w:type="dxa"/>
          </w:tblCellMar>
        </w:tblPrEx>
        <w:trPr>
          <w:trHeight w:val="573" w:hRule="exact"/>
          <w:jc w:val="center"/>
        </w:trPr>
        <w:tc>
          <w:tcPr>
            <w:tcW w:w="776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合计</w:t>
            </w:r>
          </w:p>
        </w:tc>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sz w:val="24"/>
                <w:szCs w:val="24"/>
              </w:rPr>
              <w:t xml:space="preserve">335.85 </w:t>
            </w:r>
          </w:p>
        </w:tc>
      </w:tr>
    </w:tbl>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（2）他项权利登记状况及其他受限制状况    </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①根据委托人提供的《档案查询清单》复印件记载，估价对象房屋状态为已查封。</w:t>
      </w:r>
    </w:p>
    <w:p>
      <w:pPr>
        <w:spacing w:line="400" w:lineRule="exact"/>
        <w:ind w:firstLine="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（3）估价对象利用状况：经注册房地产估价师实地查勘，实际用途为住宅。</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3、土地基本状况：</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（1）宗地位置：估价对象坐落位于罗庄区美澳花园桂园DA1号楼DA1。</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（2）土地权属性质、使用权取得方式、用途：国有出让用地，</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（3）形状：土地形状规则。</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（4）地势及地质条件：地势平坦，地质条件（抗震能力）对地上建筑物无不良影响。</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（5）开发程度：宗地红线外基础设施达到“七通”（通路、通上水、通下水、供电、通讯、通燃气、通热）。</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4、建筑物实物状况：</w:t>
      </w:r>
    </w:p>
    <w:p>
      <w:pPr>
        <w:snapToGrid w:val="0"/>
        <w:spacing w:line="400" w:lineRule="exact"/>
        <w:ind w:firstLine="480" w:firstLineChars="200"/>
        <w:rPr>
          <w:rFonts w:asciiTheme="minorEastAsia" w:hAnsiTheme="minorEastAsia" w:eastAsiaTheme="minorEastAsia" w:cstheme="minorEastAsia"/>
          <w:color w:val="000000"/>
          <w:sz w:val="24"/>
          <w:szCs w:val="24"/>
        </w:rPr>
      </w:pPr>
      <w:bookmarkStart w:id="21" w:name="_Toc283646325"/>
      <w:bookmarkStart w:id="22" w:name="_Toc448307765"/>
      <w:bookmarkStart w:id="23" w:name="_Toc485655515"/>
      <w:bookmarkStart w:id="24" w:name="_Toc229365834"/>
      <w:bookmarkStart w:id="25" w:name="_Toc451351129"/>
      <w:bookmarkStart w:id="26" w:name="_Toc283646326"/>
      <w:bookmarkStart w:id="27" w:name="_Toc229365835"/>
      <w:r>
        <w:rPr>
          <w:rFonts w:hint="eastAsia" w:asciiTheme="minorEastAsia" w:hAnsiTheme="minorEastAsia" w:eastAsiaTheme="minorEastAsia" w:cstheme="minorEastAsia"/>
          <w:sz w:val="24"/>
          <w:szCs w:val="24"/>
        </w:rPr>
        <w:t>估价对象位于</w:t>
      </w:r>
      <w:r>
        <w:rPr>
          <w:rFonts w:hint="eastAsia" w:asciiTheme="minorEastAsia" w:hAnsiTheme="minorEastAsia" w:eastAsiaTheme="minorEastAsia" w:cstheme="minorEastAsia"/>
          <w:color w:val="000000"/>
          <w:sz w:val="24"/>
          <w:szCs w:val="24"/>
        </w:rPr>
        <w:t>罗庄区美澳花园桂园DA1号楼DA1</w:t>
      </w:r>
      <w:r>
        <w:rPr>
          <w:rFonts w:hint="eastAsia" w:asciiTheme="minorEastAsia" w:hAnsiTheme="minorEastAsia" w:eastAsiaTheme="minorEastAsia" w:cstheme="minorEastAsia"/>
          <w:sz w:val="24"/>
          <w:szCs w:val="24"/>
        </w:rPr>
        <w:t>，经实地查勘，小区内基础配套设施齐全，估价对象所在楼层为1-3层复式结构。</w:t>
      </w:r>
      <w:r>
        <w:rPr>
          <w:rFonts w:asciiTheme="minorEastAsia" w:hAnsiTheme="minorEastAsia" w:eastAsiaTheme="minorEastAsia" w:cstheme="minorEastAsia"/>
          <w:sz w:val="24"/>
          <w:szCs w:val="24"/>
        </w:rPr>
        <w:t xml:space="preserve"> </w:t>
      </w:r>
    </w:p>
    <w:p>
      <w:pPr>
        <w:tabs>
          <w:tab w:val="left" w:pos="1455"/>
        </w:tabs>
        <w:spacing w:line="400" w:lineRule="exact"/>
        <w:ind w:firstLine="468" w:firstLineChars="195"/>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5、区位状况</w:t>
      </w:r>
    </w:p>
    <w:p>
      <w:pPr>
        <w:snapToGrid w:val="0"/>
        <w:spacing w:line="400" w:lineRule="exact"/>
        <w:ind w:firstLine="480" w:firstLineChars="200"/>
        <w:rPr>
          <w:rFonts w:asciiTheme="minorEastAsia" w:hAnsiTheme="minorEastAsia" w:eastAsiaTheme="minorEastAsia" w:cstheme="minorEastAsia"/>
          <w:bCs/>
          <w:sz w:val="24"/>
          <w:szCs w:val="24"/>
        </w:rPr>
      </w:pPr>
      <w:bookmarkStart w:id="28" w:name="_Toc283646324"/>
      <w:bookmarkStart w:id="29" w:name="_Toc229365833"/>
      <w:r>
        <w:rPr>
          <w:rFonts w:hint="eastAsia" w:asciiTheme="minorEastAsia" w:hAnsiTheme="minorEastAsia" w:eastAsiaTheme="minorEastAsia" w:cstheme="minorEastAsia"/>
          <w:bCs/>
          <w:sz w:val="24"/>
          <w:szCs w:val="24"/>
        </w:rPr>
        <w:t>交通便捷度：紧邻城市主干道美澳路、清河南路，人车流量一般，路面硬化完全，路况好，交通便捷度较好。</w:t>
      </w:r>
    </w:p>
    <w:p>
      <w:pPr>
        <w:snapToGrid w:val="0"/>
        <w:spacing w:line="400" w:lineRule="exact"/>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自然人文环境：较好。</w:t>
      </w:r>
    </w:p>
    <w:p>
      <w:pPr>
        <w:snapToGrid w:val="0"/>
        <w:spacing w:line="400" w:lineRule="exact"/>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基础设施配套情况：估价对象所在区域基础设施完善，达到“七通一平”（通电、通路、通讯、供水、排水、供暖、供气以及场地平整）。</w:t>
      </w:r>
    </w:p>
    <w:p>
      <w:pPr>
        <w:snapToGrid w:val="0"/>
        <w:spacing w:line="400" w:lineRule="exact"/>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公共配套设施情况：小区公共配套设施健全，附近有光耀实验学校、临沂市妇幼保健院，有多家银行、饭店分布，能够充分满足人们的日常需求。</w:t>
      </w:r>
    </w:p>
    <w:p>
      <w:pPr>
        <w:snapToGrid w:val="0"/>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繁华程度：该区域配套设施健全，发展潜力良好，繁</w:t>
      </w:r>
      <w:r>
        <w:rPr>
          <w:rFonts w:hint="eastAsia" w:asciiTheme="minorEastAsia" w:hAnsiTheme="minorEastAsia" w:eastAsiaTheme="minorEastAsia" w:cstheme="minorEastAsia"/>
          <w:sz w:val="24"/>
          <w:szCs w:val="24"/>
        </w:rPr>
        <w:t>华度良好。</w:t>
      </w:r>
      <w:bookmarkEnd w:id="28"/>
      <w:bookmarkEnd w:id="29"/>
    </w:p>
    <w:p>
      <w:pPr>
        <w:pStyle w:val="3"/>
        <w:spacing w:line="400" w:lineRule="exact"/>
        <w:ind w:firstLine="518"/>
        <w:rPr>
          <w:rFonts w:asciiTheme="minorEastAsia" w:hAnsiTheme="minorEastAsia" w:eastAsiaTheme="minorEastAsia" w:cstheme="minorEastAsia"/>
          <w:szCs w:val="24"/>
        </w:rPr>
      </w:pPr>
      <w:bookmarkStart w:id="30" w:name="_Toc25536"/>
      <w:r>
        <w:rPr>
          <w:rFonts w:hint="eastAsia" w:asciiTheme="minorEastAsia" w:hAnsiTheme="minorEastAsia" w:eastAsiaTheme="minorEastAsia" w:cstheme="minorEastAsia"/>
          <w:szCs w:val="24"/>
        </w:rPr>
        <w:t>五、价值时点</w:t>
      </w:r>
      <w:bookmarkEnd w:id="21"/>
      <w:bookmarkEnd w:id="22"/>
      <w:bookmarkEnd w:id="23"/>
      <w:bookmarkEnd w:id="24"/>
      <w:bookmarkEnd w:id="25"/>
      <w:bookmarkEnd w:id="30"/>
    </w:p>
    <w:p>
      <w:pPr>
        <w:snapToGrid w:val="0"/>
        <w:spacing w:line="400" w:lineRule="exact"/>
        <w:ind w:firstLine="480" w:firstLineChars="200"/>
        <w:jc w:val="left"/>
        <w:rPr>
          <w:rFonts w:asciiTheme="minorEastAsia" w:hAnsiTheme="minorEastAsia" w:eastAsiaTheme="minorEastAsia" w:cstheme="minorEastAsia"/>
          <w:sz w:val="24"/>
          <w:szCs w:val="24"/>
        </w:rPr>
      </w:pPr>
      <w:bookmarkStart w:id="31" w:name="_Toc485655516"/>
      <w:r>
        <w:rPr>
          <w:rFonts w:hint="eastAsia" w:asciiTheme="minorEastAsia" w:hAnsiTheme="minorEastAsia" w:eastAsiaTheme="minorEastAsia" w:cstheme="minorEastAsia"/>
          <w:sz w:val="24"/>
          <w:szCs w:val="24"/>
        </w:rPr>
        <w:t>2021年9月28日，该时点为委托人司法鉴定委托之日。</w:t>
      </w:r>
    </w:p>
    <w:p>
      <w:pPr>
        <w:pStyle w:val="3"/>
        <w:spacing w:line="400" w:lineRule="exact"/>
        <w:ind w:firstLine="518"/>
        <w:rPr>
          <w:rFonts w:asciiTheme="minorEastAsia" w:hAnsiTheme="minorEastAsia" w:eastAsiaTheme="minorEastAsia" w:cstheme="minorEastAsia"/>
          <w:szCs w:val="24"/>
        </w:rPr>
      </w:pPr>
      <w:bookmarkStart w:id="32" w:name="_Toc22151"/>
      <w:r>
        <w:rPr>
          <w:rFonts w:hint="eastAsia" w:asciiTheme="minorEastAsia" w:hAnsiTheme="minorEastAsia" w:eastAsiaTheme="minorEastAsia" w:cstheme="minorEastAsia"/>
          <w:szCs w:val="24"/>
        </w:rPr>
        <w:t>六、价值</w:t>
      </w:r>
      <w:bookmarkEnd w:id="26"/>
      <w:bookmarkEnd w:id="27"/>
      <w:r>
        <w:rPr>
          <w:rFonts w:hint="eastAsia" w:asciiTheme="minorEastAsia" w:hAnsiTheme="minorEastAsia" w:eastAsiaTheme="minorEastAsia" w:cstheme="minorEastAsia"/>
          <w:szCs w:val="24"/>
        </w:rPr>
        <w:t>类型</w:t>
      </w:r>
      <w:bookmarkEnd w:id="31"/>
      <w:bookmarkEnd w:id="32"/>
    </w:p>
    <w:p>
      <w:pPr>
        <w:snapToGrid w:val="0"/>
        <w:spacing w:line="400" w:lineRule="exact"/>
        <w:ind w:firstLine="480" w:firstLineChars="200"/>
        <w:jc w:val="left"/>
        <w:rPr>
          <w:rFonts w:asciiTheme="minorEastAsia" w:hAnsiTheme="minorEastAsia" w:eastAsiaTheme="minorEastAsia" w:cstheme="minorEastAsia"/>
          <w:sz w:val="24"/>
          <w:szCs w:val="24"/>
        </w:rPr>
      </w:pPr>
      <w:bookmarkStart w:id="33" w:name="_Toc485655517"/>
      <w:bookmarkStart w:id="34" w:name="_Toc229365836"/>
      <w:bookmarkStart w:id="35" w:name="_Toc283646327"/>
      <w:r>
        <w:rPr>
          <w:rFonts w:hint="eastAsia" w:asciiTheme="minorEastAsia" w:hAnsiTheme="minorEastAsia" w:eastAsiaTheme="minorEastAsia" w:cstheme="minorEastAsia"/>
          <w:sz w:val="24"/>
          <w:szCs w:val="24"/>
        </w:rPr>
        <w:t>根据估价委托人的要求及估价目的，本报告估价对象在目前使用状况下于价值时点的市场价值，价值类型为市场价值。</w:t>
      </w:r>
    </w:p>
    <w:p>
      <w:pPr>
        <w:snapToGrid w:val="0"/>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市场价值：估价对象经适当营销后，由熟悉情况、谨慎行事且不受强迫的交易双方，以公平交易方式在价值时点自愿进行交易的金额。</w:t>
      </w:r>
    </w:p>
    <w:p>
      <w:pPr>
        <w:pStyle w:val="3"/>
        <w:spacing w:line="400" w:lineRule="exact"/>
        <w:ind w:firstLine="518"/>
        <w:rPr>
          <w:rFonts w:asciiTheme="minorEastAsia" w:hAnsiTheme="minorEastAsia" w:eastAsiaTheme="minorEastAsia" w:cstheme="minorEastAsia"/>
          <w:szCs w:val="24"/>
        </w:rPr>
      </w:pPr>
      <w:bookmarkStart w:id="36" w:name="_Toc25774"/>
      <w:r>
        <w:rPr>
          <w:rFonts w:hint="eastAsia" w:asciiTheme="minorEastAsia" w:hAnsiTheme="minorEastAsia" w:eastAsiaTheme="minorEastAsia" w:cstheme="minorEastAsia"/>
          <w:szCs w:val="24"/>
        </w:rPr>
        <w:t>七、估价依据</w:t>
      </w:r>
      <w:bookmarkEnd w:id="33"/>
      <w:bookmarkEnd w:id="34"/>
      <w:bookmarkEnd w:id="35"/>
      <w:bookmarkEnd w:id="36"/>
    </w:p>
    <w:p>
      <w:pPr>
        <w:snapToGrid w:val="0"/>
        <w:spacing w:line="400" w:lineRule="exact"/>
        <w:ind w:firstLine="480" w:firstLineChars="200"/>
        <w:rPr>
          <w:rFonts w:asciiTheme="minorEastAsia" w:hAnsiTheme="minorEastAsia" w:eastAsiaTheme="minorEastAsia" w:cstheme="minorEastAsia"/>
          <w:sz w:val="24"/>
          <w:szCs w:val="24"/>
        </w:rPr>
      </w:pPr>
      <w:bookmarkStart w:id="37" w:name="_Toc229365837"/>
      <w:bookmarkStart w:id="38" w:name="_Toc30390"/>
      <w:bookmarkStart w:id="39" w:name="_Toc485655518"/>
      <w:bookmarkStart w:id="40" w:name="_Toc283646328"/>
      <w:r>
        <w:rPr>
          <w:rFonts w:hint="eastAsia" w:asciiTheme="minorEastAsia" w:hAnsiTheme="minorEastAsia" w:eastAsiaTheme="minorEastAsia" w:cstheme="minorEastAsia"/>
          <w:sz w:val="24"/>
          <w:szCs w:val="24"/>
        </w:rPr>
        <w:t>1、有关法律、法规、行政规章</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⑴《中华人民共和国土地管理法》【中华人民共和国主席令第28号】</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⑵《中华人民共和国土地管理法实施条例》【中华人民共和国国务院令第256号】</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⑶《中华人民共和国城市房地产管理法》【中华人民共和国主席令第72号】</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⑷《中华人民共和国物权法》【中华人民共和国主席令第62号】</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⑸《中华人民共和国合同法》【中华人民共和国主席令第15号】</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⑹《中华人民共和国担保法》【中华人民共和国主席令第50号】</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⑺《中华人民共和国城乡规划法》【中华人民共和国主席令第74号】</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⑻《关于人民法院委托评估、拍卖工作的若干规定》法释2011-21号</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⑼《关于执行设定抵押房屋的规定》（法释2005第14号）</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⑽《最高人民法院关于人民法院确定财产处置参考价若干问题的规定》（法释[2018]15号）</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⑾《人民法院委托评估工作规范》（法办〔2018〕273号）</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2、有关规范与技术标准</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⑴中华人民共和国国家标准《房地产估价规范》【GB/T 50291-2015】</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⑵《房地产估价基本术语标准》【GB/T 50899】</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3、估价委托人提供的有关资料</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⑴估价委托人提供的不动产（房屋/土地）查档证明</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⑵临沂市罗庄区人民法院司法鉴定委托书</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 3 \* GB2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委托人提供的情况说明</w:t>
      </w:r>
    </w:p>
    <w:p>
      <w:pPr>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4、有关市场资料</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⑴相关区域二手房房屋销售资料</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⑵相关区域房屋租赁资料</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5、注册房地产估价师实地查勘资料</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注册房地产估价师实地查勘所拍摄的估价对象图片等资料。</w:t>
      </w:r>
    </w:p>
    <w:p>
      <w:pPr>
        <w:pStyle w:val="3"/>
        <w:spacing w:line="400" w:lineRule="exact"/>
        <w:ind w:firstLine="518"/>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八、估价原则</w:t>
      </w:r>
      <w:bookmarkEnd w:id="37"/>
      <w:bookmarkEnd w:id="38"/>
      <w:bookmarkEnd w:id="39"/>
      <w:bookmarkEnd w:id="40"/>
    </w:p>
    <w:p>
      <w:pPr>
        <w:pStyle w:val="11"/>
        <w:spacing w:line="400" w:lineRule="exact"/>
        <w:ind w:firstLine="480" w:firstLineChars="200"/>
        <w:rPr>
          <w:rFonts w:asciiTheme="minorEastAsia" w:hAnsiTheme="minorEastAsia" w:eastAsiaTheme="minorEastAsia" w:cstheme="minorEastAsia"/>
          <w:sz w:val="24"/>
          <w:szCs w:val="24"/>
        </w:rPr>
      </w:pPr>
      <w:bookmarkStart w:id="41" w:name="_Toc283646329"/>
      <w:bookmarkStart w:id="42" w:name="_Toc229365838"/>
      <w:bookmarkStart w:id="43" w:name="_Toc31572"/>
      <w:bookmarkStart w:id="44" w:name="_Toc485655519"/>
      <w:r>
        <w:rPr>
          <w:rFonts w:hint="eastAsia" w:asciiTheme="minorEastAsia" w:hAnsiTheme="minorEastAsia" w:eastAsiaTheme="minorEastAsia" w:cstheme="minorEastAsia"/>
          <w:sz w:val="24"/>
          <w:szCs w:val="24"/>
        </w:rPr>
        <w:t>本次房地产估价遵循下列估价原则：</w:t>
      </w:r>
    </w:p>
    <w:p>
      <w:pPr>
        <w:pStyle w:val="11"/>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1、独立、客观、公正的原则：要求估价机构和估价师站在中立的立场上评估出对各方当事人来说都是公平合理的价值。</w:t>
      </w:r>
    </w:p>
    <w:p>
      <w:pPr>
        <w:pStyle w:val="11"/>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2、合法原则：房地产的价格是房地产权益的价格，当房地产合法使用时，其权益受法律保障。因此估价中以估价对象的合法使用为前提。</w:t>
      </w:r>
    </w:p>
    <w:p>
      <w:pPr>
        <w:pStyle w:val="11"/>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3、替代原则：在相同或相近区域、位置，相同用途、容积率的房地产，其价值也应趋于一致。</w:t>
      </w:r>
    </w:p>
    <w:p>
      <w:pPr>
        <w:pStyle w:val="11"/>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4、估价时点原则：房地产市场是一个动态市场，房地产价格反映的是某一时点的价格。时点不同，相同的房地产价格会有所不同，即强调时间的相关性和时效性。</w:t>
      </w:r>
    </w:p>
    <w:p>
      <w:pPr>
        <w:pStyle w:val="11"/>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5、最高最佳使用原则：要求估价结果是在估价对象最高最佳利用下的价值。最高最佳使用是指法律上允许、技术上可能、经济上可行，经充分合理论证，能使估价对象产生最高价值的使用。</w:t>
      </w:r>
    </w:p>
    <w:p>
      <w:pPr>
        <w:pStyle w:val="11"/>
        <w:spacing w:line="40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九、估价方法</w:t>
      </w:r>
      <w:bookmarkEnd w:id="41"/>
      <w:bookmarkEnd w:id="42"/>
      <w:bookmarkEnd w:id="43"/>
      <w:bookmarkEnd w:id="44"/>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1、估价方法的选取：</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国家标准《房地产估价规范》、《房地产估价基本术语标准》，房地产估价通常使用的方法主要有市场比较法、收益法、成本法、假设开发法等。比较法适用于同类房地产有较多交易的房地产估价；收益法适用于自身或其同类房地产通常有租金等经济收入的房地产估价；成本法适用于可假定为独立的开发建设项目进行重新开发建设的房地产估价，假设开发法适用于具有开发或再开发潜力且开发完成后的价值可采用除成本法以外的方法测算的房地产估价。</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（1）估价对象为住宅房地产，市场上该类物业出售可比实例较多，适合采用市场比较法评估房地产价值。</w:t>
      </w:r>
    </w:p>
    <w:p>
      <w:pPr>
        <w:pStyle w:val="11"/>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（2）估价对象属收益性房地产，与其在同一供求圈内类似的房产的租金水平可供参考，估价对象在可预见的未来应有连续的净收益，可采用收益法测算其收益价格 。</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由于估价对象为住宅用房地产，成本法所需的土地取得成本、建筑物建造成本等数据可以取得，但近年来房地产市场价格上涨较快，采用成本法较难体现目前估价对象的市场价值，故不适合采用成本法评估房地产价值。</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（4）假设开发法适用于待开发房地产的评估，估价对象已全部开发完成，并与周边规划及发展相符，已基本实现经济利益最大化，不存在改建必要，故不适合采用假设开发法评估房地产价值。</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综上所述，根据此次估价的目的和估价价格类型，结合区域房地产市场的特点，宜采用比较法、收益法求取估价对象房地产价格。</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2、估价方法介绍：</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（1）市场比较法：市场比较法是选取一定数量的可比实例,将它们与估价对象进行比较,根据其间的差异对可比实例成交价格进行处理后得到估价对象价值或价格的方法。</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其步骤为：搜集交易实例、选取可比实例、建立比较基础、进行交易情况修正、进行市场状况调整、进行房地产状况调整、计算比较价值。</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估价对象比较价值=可比实例价格×交易情况修正系数×市场状况调整系数×区位状况调整系数×实物状况调整系数×权益状况调整系数，该公式以估价对象为基准。</w:t>
      </w:r>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（2）收益法：预测估价对象的未来收益，利用报酬率或资本化率、收益乘数将未来收益转换为价值得到的估价对象价值或价格的方法。</w:t>
      </w:r>
    </w:p>
    <w:p>
      <w:pPr>
        <w:pStyle w:val="11"/>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收益法计算时，收集社会上类似估价对象房地产出租价格，从中选出三个类似房地产的租赁价格，采用市场比较法测算出估价对象的毛租金，再调查计算出估价对象运营成本，求得年净收益；最后根据有关资料，用安全利率加风险调整值测算出报酬率，根据土地剩余使用年期和房屋的经济寿命确定收益期，选用适宜的计算公式，求得估价对象的收益价格，加上建筑物在收益期期末的剩余价值折算到价值时点的价值为最后的评估值。</w:t>
      </w:r>
    </w:p>
    <w:p>
      <w:pPr>
        <w:numPr>
          <w:ilvl w:val="0"/>
          <w:numId w:val="1"/>
        </w:numPr>
        <w:snapToGrid w:val="0"/>
        <w:spacing w:line="400" w:lineRule="exact"/>
        <w:ind w:firstLine="482" w:firstLineChars="200"/>
        <w:rPr>
          <w:rFonts w:asciiTheme="minorEastAsia" w:hAnsiTheme="minorEastAsia" w:eastAsiaTheme="minorEastAsia" w:cstheme="minorEastAsia"/>
          <w:b/>
          <w:bCs/>
          <w:sz w:val="24"/>
          <w:szCs w:val="24"/>
        </w:rPr>
      </w:pPr>
      <w:bookmarkStart w:id="45" w:name="_Toc485655520"/>
      <w:bookmarkStart w:id="46" w:name="_Toc283646330"/>
      <w:bookmarkStart w:id="47" w:name="_Toc11466"/>
      <w:r>
        <w:rPr>
          <w:rFonts w:hint="eastAsia" w:asciiTheme="minorEastAsia" w:hAnsiTheme="minorEastAsia" w:eastAsiaTheme="minorEastAsia" w:cstheme="minorEastAsia"/>
          <w:b/>
          <w:bCs/>
          <w:sz w:val="24"/>
          <w:szCs w:val="24"/>
        </w:rPr>
        <w:t>估价结果</w:t>
      </w:r>
      <w:bookmarkEnd w:id="45"/>
      <w:bookmarkEnd w:id="46"/>
      <w:bookmarkEnd w:id="47"/>
      <w:bookmarkStart w:id="48" w:name="_Toc485655521"/>
      <w:bookmarkStart w:id="49" w:name="_Toc283646331"/>
      <w:bookmarkStart w:id="50" w:name="_Toc19495"/>
    </w:p>
    <w:p>
      <w:pPr>
        <w:spacing w:line="400" w:lineRule="exact"/>
        <w:ind w:firstLine="480"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估价人员遵循各项估价原则，根据估价目的和国家有关房地产估价的规范、规定，按照估价程序，经过实地查勘与市场调查，并进行了分析、测算和判断，确定估价对象在满足全部假设和限制条件下于价值时点的估价结果如下：（币种：人民币）</w:t>
      </w:r>
    </w:p>
    <w:p>
      <w:pPr>
        <w:spacing w:line="400" w:lineRule="exact"/>
        <w:ind w:firstLine="480" w:firstLineChars="200"/>
        <w:rPr>
          <w:rFonts w:asciiTheme="minorEastAsia" w:hAnsiTheme="minorEastAsia" w:eastAsiaTheme="minorEastAsia" w:cstheme="minorEastAsia"/>
          <w:color w:val="000000"/>
          <w:sz w:val="24"/>
          <w:szCs w:val="24"/>
        </w:rPr>
      </w:pPr>
    </w:p>
    <w:p>
      <w:pPr>
        <w:spacing w:line="400" w:lineRule="exact"/>
        <w:ind w:firstLine="480" w:firstLineChars="200"/>
        <w:rPr>
          <w:rFonts w:asciiTheme="minorEastAsia" w:hAnsiTheme="minorEastAsia" w:eastAsiaTheme="minorEastAsia" w:cstheme="minorEastAsia"/>
          <w:color w:val="000000"/>
          <w:sz w:val="24"/>
          <w:szCs w:val="24"/>
        </w:rPr>
      </w:pPr>
    </w:p>
    <w:p>
      <w:pPr>
        <w:spacing w:line="400" w:lineRule="exact"/>
        <w:ind w:firstLine="480" w:firstLineChars="200"/>
        <w:rPr>
          <w:rFonts w:asciiTheme="minorEastAsia" w:hAnsiTheme="minorEastAsia" w:eastAsiaTheme="minorEastAsia" w:cstheme="minorEastAsia"/>
          <w:color w:val="000000"/>
          <w:sz w:val="24"/>
          <w:szCs w:val="24"/>
        </w:rPr>
      </w:pPr>
    </w:p>
    <w:tbl>
      <w:tblPr>
        <w:tblStyle w:val="23"/>
        <w:tblW w:w="5220" w:type="pct"/>
        <w:tblInd w:w="0" w:type="dxa"/>
        <w:tblLayout w:type="autofit"/>
        <w:tblCellMar>
          <w:top w:w="0" w:type="dxa"/>
          <w:left w:w="108" w:type="dxa"/>
          <w:bottom w:w="0" w:type="dxa"/>
          <w:right w:w="108" w:type="dxa"/>
        </w:tblCellMar>
      </w:tblPr>
      <w:tblGrid>
        <w:gridCol w:w="2660"/>
        <w:gridCol w:w="1559"/>
        <w:gridCol w:w="3687"/>
        <w:gridCol w:w="991"/>
      </w:tblGrid>
      <w:tr>
        <w:tblPrEx>
          <w:tblCellMar>
            <w:top w:w="0" w:type="dxa"/>
            <w:left w:w="108" w:type="dxa"/>
            <w:bottom w:w="0" w:type="dxa"/>
            <w:right w:w="108" w:type="dxa"/>
          </w:tblCellMar>
        </w:tblPrEx>
        <w:trPr>
          <w:trHeight w:val="330" w:hRule="atLeast"/>
        </w:trPr>
        <w:tc>
          <w:tcPr>
            <w:tcW w:w="1495" w:type="pct"/>
            <w:tcBorders>
              <w:top w:val="single" w:color="auto" w:sz="4" w:space="0"/>
              <w:left w:val="single" w:color="auto" w:sz="4" w:space="0"/>
              <w:bottom w:val="single" w:color="auto" w:sz="4" w:space="0"/>
              <w:right w:val="single" w:color="auto" w:sz="4" w:space="0"/>
            </w:tcBorders>
          </w:tcPr>
          <w:p>
            <w:pPr>
              <w:widowControl/>
              <w:spacing w:line="460" w:lineRule="exact"/>
              <w:ind w:firstLine="315" w:firstLineChars="15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876" w:type="pct"/>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建筑面积（㎡）</w:t>
            </w:r>
          </w:p>
        </w:tc>
        <w:tc>
          <w:tcPr>
            <w:tcW w:w="2072"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评估价值</w:t>
            </w:r>
          </w:p>
        </w:tc>
        <w:tc>
          <w:tcPr>
            <w:tcW w:w="557"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CellMar>
            <w:top w:w="0" w:type="dxa"/>
            <w:left w:w="108" w:type="dxa"/>
            <w:bottom w:w="0" w:type="dxa"/>
            <w:right w:w="108" w:type="dxa"/>
          </w:tblCellMar>
        </w:tblPrEx>
        <w:trPr>
          <w:trHeight w:val="209" w:hRule="atLeast"/>
        </w:trPr>
        <w:tc>
          <w:tcPr>
            <w:tcW w:w="1495" w:type="pct"/>
            <w:tcBorders>
              <w:top w:val="single" w:color="auto" w:sz="4" w:space="0"/>
              <w:left w:val="single" w:color="auto" w:sz="4" w:space="0"/>
              <w:bottom w:val="single" w:color="auto" w:sz="4" w:space="0"/>
              <w:right w:val="single" w:color="auto" w:sz="4" w:space="0"/>
            </w:tcBorders>
          </w:tcPr>
          <w:p>
            <w:pPr>
              <w:widowControl/>
              <w:spacing w:line="4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罗庄区美澳花园桂园DA1号楼DA1</w:t>
            </w:r>
          </w:p>
        </w:tc>
        <w:tc>
          <w:tcPr>
            <w:tcW w:w="876" w:type="pc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335.85</w:t>
            </w:r>
          </w:p>
        </w:tc>
        <w:tc>
          <w:tcPr>
            <w:tcW w:w="2072"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11,754,750 </w:t>
            </w:r>
          </w:p>
        </w:tc>
        <w:tc>
          <w:tcPr>
            <w:tcW w:w="557"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p>
        </w:tc>
      </w:tr>
      <w:tr>
        <w:tblPrEx>
          <w:tblCellMar>
            <w:top w:w="0" w:type="dxa"/>
            <w:left w:w="108" w:type="dxa"/>
            <w:bottom w:w="0" w:type="dxa"/>
            <w:right w:w="108" w:type="dxa"/>
          </w:tblCellMar>
        </w:tblPrEx>
        <w:trPr>
          <w:trHeight w:val="668" w:hRule="atLeast"/>
        </w:trPr>
        <w:tc>
          <w:tcPr>
            <w:tcW w:w="2371" w:type="pct"/>
            <w:gridSpan w:val="2"/>
            <w:tcBorders>
              <w:top w:val="single" w:color="auto" w:sz="4" w:space="0"/>
              <w:left w:val="single" w:color="auto" w:sz="4" w:space="0"/>
              <w:bottom w:val="single" w:color="auto" w:sz="4" w:space="0"/>
              <w:right w:val="single" w:color="auto" w:sz="4" w:space="0"/>
            </w:tcBorders>
          </w:tcPr>
          <w:p>
            <w:pPr>
              <w:widowControl/>
              <w:spacing w:line="460" w:lineRule="exact"/>
              <w:ind w:firstLine="1260" w:firstLineChars="6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人民币大写</w:t>
            </w:r>
          </w:p>
        </w:tc>
        <w:tc>
          <w:tcPr>
            <w:tcW w:w="2072"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壹仟壹佰柒拾伍万肆仟柒佰伍拾元整</w:t>
            </w:r>
          </w:p>
        </w:tc>
        <w:tc>
          <w:tcPr>
            <w:tcW w:w="557" w:type="pct"/>
            <w:tcBorders>
              <w:top w:val="single" w:color="auto" w:sz="4" w:space="0"/>
              <w:left w:val="nil"/>
              <w:bottom w:val="single" w:color="auto" w:sz="4" w:space="0"/>
              <w:right w:val="single" w:color="auto" w:sz="4" w:space="0"/>
            </w:tcBorders>
            <w:vAlign w:val="center"/>
          </w:tcPr>
          <w:p>
            <w:pPr>
              <w:widowControl/>
              <w:spacing w:line="460" w:lineRule="exact"/>
              <w:jc w:val="center"/>
              <w:rPr>
                <w:rFonts w:asciiTheme="minorEastAsia" w:hAnsiTheme="minorEastAsia" w:eastAsiaTheme="minorEastAsia" w:cstheme="minorEastAsia"/>
                <w:szCs w:val="21"/>
              </w:rPr>
            </w:pPr>
          </w:p>
        </w:tc>
      </w:tr>
    </w:tbl>
    <w:p>
      <w:pPr>
        <w:spacing w:line="400" w:lineRule="exact"/>
        <w:ind w:firstLine="480" w:firstLineChars="200"/>
        <w:rPr>
          <w:rFonts w:asciiTheme="minorEastAsia" w:hAnsiTheme="minorEastAsia" w:eastAsiaTheme="minorEastAsia" w:cstheme="minorEastAsia"/>
          <w:color w:val="000000"/>
          <w:sz w:val="24"/>
          <w:szCs w:val="24"/>
        </w:rPr>
      </w:pPr>
    </w:p>
    <w:p>
      <w:pPr>
        <w:pStyle w:val="3"/>
        <w:numPr>
          <w:ilvl w:val="0"/>
          <w:numId w:val="2"/>
        </w:numPr>
        <w:spacing w:line="500" w:lineRule="exact"/>
        <w:ind w:firstLine="518"/>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估价人员</w:t>
      </w:r>
      <w:bookmarkEnd w:id="48"/>
      <w:bookmarkEnd w:id="49"/>
      <w:bookmarkEnd w:id="50"/>
    </w:p>
    <w:p>
      <w:pPr>
        <w:spacing w:line="5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参加本次估价的注册房地产估价师签名</w:t>
      </w:r>
    </w:p>
    <w:tbl>
      <w:tblPr>
        <w:tblStyle w:val="23"/>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129" w:type="dxa"/>
          </w:tcPr>
          <w:p>
            <w:pPr>
              <w:spacing w:line="500" w:lineRule="exact"/>
              <w:jc w:val="center"/>
              <w:rPr>
                <w:rFonts w:ascii="宋体" w:hAnsi="宋体" w:cs="宋体"/>
                <w:sz w:val="24"/>
                <w:szCs w:val="24"/>
              </w:rPr>
            </w:pPr>
            <w:bookmarkStart w:id="51" w:name="_Toc451351136"/>
            <w:bookmarkStart w:id="52" w:name="_Toc485655522"/>
            <w:bookmarkStart w:id="53" w:name="_Toc15813"/>
            <w:r>
              <w:rPr>
                <w:rFonts w:hint="eastAsia" w:ascii="宋体" w:hAnsi="宋体" w:cs="宋体"/>
                <w:sz w:val="24"/>
                <w:szCs w:val="24"/>
              </w:rPr>
              <w:t>姓名</w:t>
            </w:r>
          </w:p>
        </w:tc>
        <w:tc>
          <w:tcPr>
            <w:tcW w:w="2129" w:type="dxa"/>
          </w:tcPr>
          <w:p>
            <w:pPr>
              <w:spacing w:line="500" w:lineRule="exact"/>
              <w:jc w:val="center"/>
              <w:rPr>
                <w:rFonts w:ascii="宋体" w:hAnsi="宋体" w:cs="宋体"/>
                <w:sz w:val="24"/>
                <w:szCs w:val="24"/>
              </w:rPr>
            </w:pPr>
            <w:r>
              <w:rPr>
                <w:rFonts w:hint="eastAsia" w:ascii="宋体" w:hAnsi="宋体" w:cs="宋体"/>
                <w:sz w:val="24"/>
                <w:szCs w:val="24"/>
              </w:rPr>
              <w:t>注册号</w:t>
            </w:r>
          </w:p>
        </w:tc>
        <w:tc>
          <w:tcPr>
            <w:tcW w:w="2130" w:type="dxa"/>
          </w:tcPr>
          <w:p>
            <w:pPr>
              <w:spacing w:line="500" w:lineRule="exact"/>
              <w:jc w:val="center"/>
              <w:rPr>
                <w:rFonts w:ascii="宋体" w:hAnsi="宋体" w:cs="宋体"/>
                <w:sz w:val="24"/>
                <w:szCs w:val="24"/>
              </w:rPr>
            </w:pPr>
            <w:r>
              <w:rPr>
                <w:rFonts w:hint="eastAsia" w:ascii="宋体" w:hAnsi="宋体" w:cs="宋体"/>
                <w:sz w:val="24"/>
                <w:szCs w:val="24"/>
              </w:rPr>
              <w:t>签名</w:t>
            </w:r>
          </w:p>
        </w:tc>
        <w:tc>
          <w:tcPr>
            <w:tcW w:w="2130" w:type="dxa"/>
          </w:tcPr>
          <w:p>
            <w:pPr>
              <w:spacing w:line="500" w:lineRule="exact"/>
              <w:jc w:val="center"/>
              <w:rPr>
                <w:rFonts w:ascii="宋体" w:hAnsi="宋体" w:cs="宋体"/>
                <w:sz w:val="24"/>
                <w:szCs w:val="24"/>
              </w:rPr>
            </w:pPr>
            <w:r>
              <w:rPr>
                <w:rFonts w:hint="eastAsia" w:ascii="宋体" w:hAnsi="宋体" w:cs="宋体"/>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29" w:type="dxa"/>
          </w:tcPr>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刘维华</w:t>
            </w:r>
          </w:p>
        </w:tc>
        <w:tc>
          <w:tcPr>
            <w:tcW w:w="2129" w:type="dxa"/>
          </w:tcPr>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3720170229</w:t>
            </w:r>
          </w:p>
        </w:tc>
        <w:tc>
          <w:tcPr>
            <w:tcW w:w="2130" w:type="dxa"/>
          </w:tcPr>
          <w:p>
            <w:pPr>
              <w:jc w:val="center"/>
              <w:rPr>
                <w:rFonts w:asciiTheme="majorEastAsia" w:hAnsiTheme="majorEastAsia" w:eastAsiaTheme="majorEastAsia"/>
                <w:sz w:val="24"/>
                <w:szCs w:val="24"/>
              </w:rPr>
            </w:pPr>
          </w:p>
        </w:tc>
        <w:tc>
          <w:tcPr>
            <w:tcW w:w="2130" w:type="dxa"/>
          </w:tcPr>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2021年10月13日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29" w:type="dxa"/>
          </w:tcPr>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王平</w:t>
            </w:r>
          </w:p>
        </w:tc>
        <w:tc>
          <w:tcPr>
            <w:tcW w:w="2129" w:type="dxa"/>
          </w:tcPr>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3720200111</w:t>
            </w:r>
          </w:p>
        </w:tc>
        <w:tc>
          <w:tcPr>
            <w:tcW w:w="2130" w:type="dxa"/>
          </w:tcPr>
          <w:p>
            <w:pPr>
              <w:jc w:val="center"/>
              <w:rPr>
                <w:rFonts w:asciiTheme="majorEastAsia" w:hAnsiTheme="majorEastAsia" w:eastAsiaTheme="majorEastAsia"/>
                <w:sz w:val="24"/>
                <w:szCs w:val="24"/>
              </w:rPr>
            </w:pPr>
          </w:p>
        </w:tc>
        <w:tc>
          <w:tcPr>
            <w:tcW w:w="2130" w:type="dxa"/>
          </w:tcPr>
          <w:p>
            <w:pPr>
              <w:jc w:val="center"/>
              <w:rPr>
                <w:rFonts w:asciiTheme="majorEastAsia" w:hAnsiTheme="majorEastAsia" w:eastAsiaTheme="majorEastAsia"/>
                <w:sz w:val="24"/>
                <w:szCs w:val="24"/>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2021年10月13日</w:t>
            </w:r>
          </w:p>
        </w:tc>
      </w:tr>
    </w:tbl>
    <w:p>
      <w:pPr>
        <w:pStyle w:val="3"/>
        <w:spacing w:line="400" w:lineRule="exact"/>
        <w:ind w:firstLine="518"/>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十二、实地查勘期</w:t>
      </w:r>
      <w:bookmarkEnd w:id="51"/>
      <w:bookmarkEnd w:id="52"/>
      <w:bookmarkEnd w:id="53"/>
    </w:p>
    <w:p>
      <w:pPr>
        <w:pStyle w:val="3"/>
        <w:spacing w:line="400" w:lineRule="exact"/>
        <w:ind w:firstLine="515"/>
        <w:rPr>
          <w:rFonts w:asciiTheme="minorEastAsia" w:hAnsiTheme="minorEastAsia" w:eastAsiaTheme="minorEastAsia" w:cstheme="minorEastAsia"/>
          <w:color w:val="000000" w:themeColor="text1"/>
          <w:szCs w:val="24"/>
        </w:rPr>
      </w:pPr>
      <w:bookmarkStart w:id="54" w:name="_Toc283646333"/>
      <w:bookmarkStart w:id="55" w:name="_Toc451351137"/>
      <w:bookmarkStart w:id="56" w:name="_Toc485655523"/>
      <w:bookmarkStart w:id="57" w:name="_Toc30970"/>
      <w:bookmarkStart w:id="58" w:name="_Toc448307773"/>
      <w:r>
        <w:rPr>
          <w:rFonts w:hint="eastAsia" w:asciiTheme="minorEastAsia" w:hAnsiTheme="minorEastAsia" w:eastAsiaTheme="minorEastAsia" w:cstheme="minorEastAsia"/>
          <w:b w:val="0"/>
          <w:bCs w:val="0"/>
          <w:color w:val="000000" w:themeColor="text1"/>
          <w:szCs w:val="24"/>
        </w:rPr>
        <w:t>2021年9月28日</w:t>
      </w:r>
    </w:p>
    <w:p>
      <w:pPr>
        <w:pStyle w:val="3"/>
        <w:spacing w:line="400" w:lineRule="exact"/>
        <w:ind w:firstLine="518"/>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十三、</w:t>
      </w:r>
      <w:bookmarkEnd w:id="54"/>
      <w:r>
        <w:rPr>
          <w:rFonts w:hint="eastAsia" w:asciiTheme="minorEastAsia" w:hAnsiTheme="minorEastAsia" w:eastAsiaTheme="minorEastAsia" w:cstheme="minorEastAsia"/>
          <w:szCs w:val="24"/>
        </w:rPr>
        <w:t>估价作业期</w:t>
      </w:r>
      <w:bookmarkEnd w:id="55"/>
      <w:bookmarkEnd w:id="56"/>
      <w:bookmarkEnd w:id="57"/>
      <w:bookmarkEnd w:id="58"/>
    </w:p>
    <w:p>
      <w:pPr>
        <w:snapToGrid w:val="0"/>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2021年9月28日至2021年10月13日</w:t>
      </w:r>
    </w:p>
    <w:p>
      <w:pPr>
        <w:pStyle w:val="3"/>
        <w:spacing w:line="400" w:lineRule="exact"/>
        <w:ind w:firstLine="518"/>
        <w:rPr>
          <w:rFonts w:asciiTheme="minorEastAsia" w:hAnsiTheme="minorEastAsia" w:eastAsiaTheme="minorEastAsia" w:cstheme="minorEastAsia"/>
          <w:szCs w:val="24"/>
        </w:rPr>
      </w:pPr>
      <w:bookmarkStart w:id="59" w:name="_Toc485655524"/>
      <w:bookmarkStart w:id="60" w:name="_Toc22945"/>
      <w:r>
        <w:rPr>
          <w:rFonts w:hint="eastAsia" w:asciiTheme="minorEastAsia" w:hAnsiTheme="minorEastAsia" w:eastAsiaTheme="minorEastAsia" w:cstheme="minorEastAsia"/>
          <w:szCs w:val="24"/>
        </w:rPr>
        <w:t>十四、估价报告使用期限</w:t>
      </w:r>
      <w:bookmarkEnd w:id="59"/>
      <w:bookmarkEnd w:id="60"/>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本估价报告有效期自2021年9月28日起至2022年9月27日止，由于国家政策、经济环境及估价对象本身的状况发生变化，且这些变动会对估价结果产生重大影响，须委托本公司重新估价。</w:t>
      </w:r>
    </w:p>
    <w:p>
      <w:pPr>
        <w:spacing w:line="400" w:lineRule="exact"/>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sz w:val="24"/>
          <w:szCs w:val="24"/>
        </w:rPr>
      </w:pPr>
    </w:p>
    <w:p>
      <w:pPr>
        <w:snapToGrid w:val="0"/>
        <w:spacing w:line="500" w:lineRule="exact"/>
        <w:ind w:left="5032" w:leftChars="1596" w:hanging="1680" w:hangingChars="7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临沂鸿诚资产评估土地房地产估价有限公司</w:t>
      </w:r>
    </w:p>
    <w:p>
      <w:pPr>
        <w:snapToGrid w:val="0"/>
        <w:spacing w:line="500" w:lineRule="exact"/>
        <w:ind w:left="5032" w:leftChars="1596" w:hanging="1680" w:hangingChars="700"/>
        <w:rPr>
          <w:rFonts w:asciiTheme="minorEastAsia" w:hAnsiTheme="minorEastAsia" w:eastAsiaTheme="minorEastAsia" w:cstheme="minorEastAsia"/>
          <w:sz w:val="24"/>
          <w:szCs w:val="24"/>
        </w:rPr>
      </w:pPr>
    </w:p>
    <w:p>
      <w:pPr>
        <w:snapToGrid w:val="0"/>
        <w:spacing w:line="500" w:lineRule="exact"/>
        <w:ind w:left="5028" w:leftChars="2223" w:hanging="360" w:hangingChars="150"/>
        <w:rPr>
          <w:color w:val="FF0000"/>
          <w:sz w:val="36"/>
        </w:rPr>
      </w:pPr>
      <w:r>
        <w:rPr>
          <w:rFonts w:hint="eastAsia" w:asciiTheme="minorEastAsia" w:hAnsiTheme="minorEastAsia" w:eastAsiaTheme="minorEastAsia" w:cstheme="minorEastAsia"/>
          <w:sz w:val="24"/>
          <w:szCs w:val="24"/>
        </w:rPr>
        <w:t xml:space="preserve">2021年10月13日 </w:t>
      </w:r>
      <w:r>
        <w:rPr>
          <w:rFonts w:hint="eastAsia" w:ascii="宋体" w:hAnsi="宋体"/>
          <w:color w:val="FF0000"/>
          <w:kern w:val="2"/>
          <w:szCs w:val="24"/>
        </w:rPr>
        <w:br w:type="page"/>
      </w:r>
      <w:bookmarkEnd w:id="19"/>
      <w:bookmarkEnd w:id="20"/>
    </w:p>
    <w:p>
      <w:pPr>
        <w:pStyle w:val="2"/>
        <w:jc w:val="center"/>
        <w:rPr>
          <w:rFonts w:ascii="宋体" w:hAnsi="宋体"/>
          <w:b w:val="0"/>
          <w:szCs w:val="36"/>
        </w:rPr>
      </w:pPr>
      <w:bookmarkStart w:id="61" w:name="_Toc445903498"/>
      <w:r>
        <w:rPr>
          <w:rFonts w:hint="eastAsia"/>
        </w:rPr>
        <w:t>附  件</w:t>
      </w:r>
      <w:bookmarkEnd w:id="61"/>
    </w:p>
    <w:p>
      <w:pPr>
        <w:tabs>
          <w:tab w:val="left" w:pos="2835"/>
        </w:tabs>
        <w:snapToGrid w:val="0"/>
        <w:spacing w:line="360" w:lineRule="auto"/>
        <w:ind w:firstLine="708" w:firstLineChars="294"/>
        <w:jc w:val="center"/>
        <w:rPr>
          <w:rFonts w:ascii="宋体" w:hAnsi="宋体"/>
          <w:b/>
          <w:color w:val="FF0000"/>
          <w:sz w:val="24"/>
          <w:szCs w:val="24"/>
        </w:rPr>
      </w:pPr>
    </w:p>
    <w:p>
      <w:pPr>
        <w:pStyle w:val="3"/>
        <w:rPr>
          <w:rFonts w:ascii="宋体" w:hAnsi="宋体"/>
          <w:b w:val="0"/>
          <w:spacing w:val="-2"/>
          <w:szCs w:val="24"/>
        </w:rPr>
      </w:pPr>
      <w:bookmarkStart w:id="62" w:name="_Toc445903499"/>
      <w:r>
        <w:rPr>
          <w:rFonts w:hint="eastAsia" w:ascii="宋体" w:hAnsi="宋体"/>
          <w:b w:val="0"/>
          <w:spacing w:val="-2"/>
          <w:szCs w:val="24"/>
        </w:rPr>
        <w:t>1、</w:t>
      </w:r>
      <w:r>
        <w:rPr>
          <w:rStyle w:val="29"/>
          <w:rFonts w:hint="eastAsia" w:asciiTheme="minorEastAsia" w:hAnsiTheme="minorEastAsia" w:eastAsiaTheme="minorEastAsia"/>
          <w:color w:val="auto"/>
          <w:spacing w:val="-2"/>
        </w:rPr>
        <w:t>司法鉴定委托书复印件</w:t>
      </w:r>
      <w:r>
        <w:rPr>
          <w:rFonts w:hint="eastAsia" w:ascii="宋体" w:hAnsi="宋体"/>
          <w:b w:val="0"/>
          <w:spacing w:val="-2"/>
          <w:szCs w:val="24"/>
        </w:rPr>
        <w:t>；</w:t>
      </w:r>
      <w:bookmarkEnd w:id="62"/>
    </w:p>
    <w:p>
      <w:pPr>
        <w:pStyle w:val="3"/>
        <w:rPr>
          <w:rFonts w:ascii="宋体" w:hAnsi="宋体"/>
          <w:b w:val="0"/>
          <w:spacing w:val="-2"/>
          <w:szCs w:val="24"/>
        </w:rPr>
      </w:pPr>
      <w:bookmarkStart w:id="63" w:name="_Toc445903500"/>
      <w:r>
        <w:rPr>
          <w:rFonts w:hint="eastAsia" w:ascii="宋体" w:hAnsi="宋体"/>
          <w:b w:val="0"/>
          <w:spacing w:val="-2"/>
          <w:szCs w:val="24"/>
        </w:rPr>
        <w:t>2、</w:t>
      </w:r>
      <w:bookmarkEnd w:id="63"/>
      <w:r>
        <w:rPr>
          <w:rStyle w:val="29"/>
          <w:rFonts w:hint="eastAsia" w:asciiTheme="minorEastAsia" w:hAnsiTheme="minorEastAsia" w:eastAsiaTheme="minorEastAsia"/>
          <w:color w:val="auto"/>
          <w:spacing w:val="-2"/>
        </w:rPr>
        <w:t>《档案查询清单》复印件</w:t>
      </w:r>
      <w:r>
        <w:rPr>
          <w:rFonts w:hint="eastAsia" w:ascii="宋体" w:hAnsi="宋体"/>
          <w:b w:val="0"/>
          <w:spacing w:val="-2"/>
          <w:szCs w:val="24"/>
        </w:rPr>
        <w:t>；</w:t>
      </w:r>
    </w:p>
    <w:p>
      <w:pPr>
        <w:pStyle w:val="3"/>
        <w:rPr>
          <w:rFonts w:ascii="宋体" w:hAnsi="宋体"/>
          <w:b w:val="0"/>
          <w:spacing w:val="-2"/>
          <w:szCs w:val="24"/>
        </w:rPr>
      </w:pPr>
      <w:bookmarkStart w:id="64" w:name="_Toc445903501"/>
      <w:r>
        <w:rPr>
          <w:rFonts w:hint="eastAsia" w:ascii="宋体" w:hAnsi="宋体"/>
          <w:b w:val="0"/>
          <w:spacing w:val="-2"/>
          <w:szCs w:val="24"/>
        </w:rPr>
        <w:t>3、</w:t>
      </w:r>
      <w:bookmarkEnd w:id="64"/>
      <w:bookmarkStart w:id="65" w:name="_Toc445903502"/>
      <w:r>
        <w:rPr>
          <w:rStyle w:val="29"/>
          <w:rFonts w:hint="eastAsia" w:asciiTheme="minorEastAsia" w:hAnsiTheme="minorEastAsia" w:eastAsiaTheme="minorEastAsia"/>
          <w:color w:val="auto"/>
          <w:spacing w:val="-2"/>
        </w:rPr>
        <w:t>估价对象实物照片</w:t>
      </w:r>
      <w:r>
        <w:rPr>
          <w:rFonts w:hint="eastAsia" w:ascii="宋体" w:hAnsi="宋体"/>
          <w:b w:val="0"/>
          <w:spacing w:val="-2"/>
          <w:szCs w:val="24"/>
        </w:rPr>
        <w:t>；</w:t>
      </w:r>
    </w:p>
    <w:p>
      <w:pPr>
        <w:pStyle w:val="3"/>
        <w:rPr>
          <w:rFonts w:ascii="宋体" w:hAnsi="宋体"/>
          <w:b w:val="0"/>
          <w:spacing w:val="-2"/>
          <w:szCs w:val="24"/>
        </w:rPr>
      </w:pPr>
      <w:r>
        <w:rPr>
          <w:rFonts w:hint="eastAsia" w:ascii="宋体" w:hAnsi="宋体"/>
          <w:b w:val="0"/>
          <w:spacing w:val="-2"/>
          <w:szCs w:val="24"/>
        </w:rPr>
        <w:t>4、</w:t>
      </w:r>
      <w:bookmarkEnd w:id="65"/>
      <w:r>
        <w:rPr>
          <w:rFonts w:hint="eastAsia"/>
        </w:rPr>
        <w:fldChar w:fldCharType="begin"/>
      </w:r>
      <w:r>
        <w:instrText xml:space="preserve"> HYPERLINK \l "_Toc445903503" </w:instrText>
      </w:r>
      <w:r>
        <w:rPr>
          <w:rFonts w:hint="eastAsia"/>
        </w:rPr>
        <w:fldChar w:fldCharType="separate"/>
      </w:r>
      <w:r>
        <w:rPr>
          <w:rStyle w:val="29"/>
          <w:rFonts w:hint="eastAsia" w:asciiTheme="minorEastAsia" w:hAnsiTheme="minorEastAsia" w:eastAsiaTheme="minorEastAsia"/>
          <w:color w:val="auto"/>
          <w:spacing w:val="-2"/>
        </w:rPr>
        <w:t>估价对象位</w:t>
      </w:r>
      <w:r>
        <w:rPr>
          <w:rStyle w:val="29"/>
          <w:rFonts w:hint="eastAsia" w:asciiTheme="minorEastAsia" w:hAnsiTheme="minorEastAsia" w:eastAsiaTheme="minorEastAsia"/>
          <w:color w:val="auto"/>
          <w:spacing w:val="-2"/>
        </w:rPr>
        <w:fldChar w:fldCharType="end"/>
      </w:r>
      <w:r>
        <w:rPr>
          <w:rStyle w:val="29"/>
          <w:rFonts w:hint="eastAsia" w:asciiTheme="minorEastAsia" w:hAnsiTheme="minorEastAsia" w:eastAsiaTheme="minorEastAsia"/>
          <w:color w:val="auto"/>
          <w:spacing w:val="-2"/>
        </w:rPr>
        <w:t>置示意图</w:t>
      </w:r>
      <w:r>
        <w:rPr>
          <w:rFonts w:hint="eastAsia" w:ascii="宋体" w:hAnsi="宋体"/>
          <w:b w:val="0"/>
          <w:spacing w:val="-2"/>
          <w:szCs w:val="24"/>
        </w:rPr>
        <w:t>；</w:t>
      </w:r>
    </w:p>
    <w:p>
      <w:pPr>
        <w:pStyle w:val="3"/>
        <w:rPr>
          <w:rFonts w:ascii="宋体" w:hAnsi="宋体"/>
          <w:b w:val="0"/>
          <w:spacing w:val="-2"/>
          <w:szCs w:val="24"/>
        </w:rPr>
      </w:pPr>
      <w:bookmarkStart w:id="66" w:name="_Toc445903503"/>
      <w:r>
        <w:rPr>
          <w:rFonts w:hint="eastAsia" w:ascii="宋体" w:hAnsi="宋体"/>
          <w:b w:val="0"/>
          <w:spacing w:val="-2"/>
          <w:szCs w:val="24"/>
        </w:rPr>
        <w:t>5、</w:t>
      </w:r>
      <w:bookmarkEnd w:id="66"/>
      <w:r>
        <w:rPr>
          <w:rStyle w:val="29"/>
          <w:rFonts w:hint="eastAsia" w:asciiTheme="minorEastAsia" w:hAnsiTheme="minorEastAsia" w:eastAsiaTheme="minorEastAsia"/>
          <w:color w:val="auto"/>
          <w:spacing w:val="-2"/>
        </w:rPr>
        <w:t>估价机构企业法人营业执照（复印件）</w:t>
      </w:r>
      <w:r>
        <w:rPr>
          <w:rFonts w:hint="eastAsia" w:ascii="宋体" w:hAnsi="宋体"/>
          <w:b w:val="0"/>
          <w:spacing w:val="-2"/>
          <w:szCs w:val="24"/>
        </w:rPr>
        <w:t>；</w:t>
      </w:r>
    </w:p>
    <w:p>
      <w:pPr>
        <w:pStyle w:val="3"/>
        <w:rPr>
          <w:rFonts w:ascii="宋体" w:hAnsi="宋体"/>
          <w:b w:val="0"/>
          <w:spacing w:val="-2"/>
          <w:szCs w:val="24"/>
        </w:rPr>
      </w:pPr>
      <w:bookmarkStart w:id="67" w:name="_Toc445903504"/>
      <w:r>
        <w:rPr>
          <w:rFonts w:hint="eastAsia" w:ascii="宋体" w:hAnsi="宋体"/>
          <w:b w:val="0"/>
          <w:spacing w:val="-2"/>
          <w:szCs w:val="24"/>
        </w:rPr>
        <w:t>6、</w:t>
      </w:r>
      <w:bookmarkEnd w:id="67"/>
      <w:bookmarkStart w:id="68" w:name="_Toc445903505"/>
      <w:r>
        <w:rPr>
          <w:rStyle w:val="29"/>
          <w:rFonts w:hint="eastAsia" w:asciiTheme="minorEastAsia" w:hAnsiTheme="minorEastAsia" w:eastAsiaTheme="minorEastAsia"/>
          <w:color w:val="auto"/>
          <w:spacing w:val="-2"/>
        </w:rPr>
        <w:t>估价机构资质证书（复印件）</w:t>
      </w:r>
      <w:r>
        <w:rPr>
          <w:rFonts w:hint="eastAsia" w:ascii="宋体" w:hAnsi="宋体"/>
          <w:b w:val="0"/>
          <w:spacing w:val="-2"/>
          <w:szCs w:val="24"/>
        </w:rPr>
        <w:t>；</w:t>
      </w:r>
    </w:p>
    <w:p>
      <w:pPr>
        <w:pStyle w:val="3"/>
        <w:rPr>
          <w:rFonts w:ascii="宋体" w:hAnsi="宋体"/>
          <w:b w:val="0"/>
          <w:spacing w:val="-2"/>
          <w:szCs w:val="24"/>
        </w:rPr>
      </w:pPr>
      <w:r>
        <w:rPr>
          <w:rFonts w:hint="eastAsia" w:ascii="宋体" w:hAnsi="宋体"/>
          <w:b w:val="0"/>
          <w:spacing w:val="-2"/>
          <w:szCs w:val="24"/>
        </w:rPr>
        <w:t>7、</w:t>
      </w:r>
      <w:bookmarkEnd w:id="68"/>
      <w:r>
        <w:rPr>
          <w:rStyle w:val="29"/>
          <w:rFonts w:hint="eastAsia" w:asciiTheme="minorEastAsia" w:hAnsiTheme="minorEastAsia" w:eastAsiaTheme="minorEastAsia"/>
          <w:color w:val="auto"/>
          <w:spacing w:val="-2"/>
        </w:rPr>
        <w:t>注册房地产估价师资格证书（复印件）</w:t>
      </w:r>
      <w:r>
        <w:rPr>
          <w:rFonts w:hint="eastAsia" w:ascii="宋体" w:hAnsi="宋体"/>
          <w:b w:val="0"/>
          <w:spacing w:val="-2"/>
          <w:szCs w:val="24"/>
        </w:rPr>
        <w:t>。</w:t>
      </w:r>
    </w:p>
    <w:p>
      <w:pPr>
        <w:tabs>
          <w:tab w:val="left" w:pos="2835"/>
        </w:tabs>
        <w:spacing w:line="360" w:lineRule="auto"/>
        <w:rPr>
          <w:rFonts w:ascii="宋体" w:hAnsi="宋体"/>
          <w:spacing w:val="-2"/>
          <w:sz w:val="24"/>
          <w:szCs w:val="24"/>
        </w:rPr>
      </w:pPr>
    </w:p>
    <w:p>
      <w:pPr>
        <w:tabs>
          <w:tab w:val="left" w:pos="2835"/>
        </w:tabs>
        <w:spacing w:line="360" w:lineRule="auto"/>
        <w:rPr>
          <w:rFonts w:ascii="宋体" w:hAnsi="宋体"/>
          <w:spacing w:val="-2"/>
          <w:sz w:val="24"/>
          <w:szCs w:val="24"/>
        </w:rPr>
      </w:pPr>
    </w:p>
    <w:p>
      <w:pPr>
        <w:tabs>
          <w:tab w:val="left" w:pos="2835"/>
        </w:tabs>
        <w:spacing w:line="360" w:lineRule="auto"/>
        <w:rPr>
          <w:rFonts w:ascii="宋体" w:hAnsi="宋体"/>
          <w:spacing w:val="-2"/>
          <w:sz w:val="24"/>
          <w:szCs w:val="24"/>
        </w:rPr>
      </w:pPr>
    </w:p>
    <w:p>
      <w:pPr>
        <w:tabs>
          <w:tab w:val="left" w:pos="2835"/>
        </w:tabs>
        <w:spacing w:line="360" w:lineRule="auto"/>
        <w:rPr>
          <w:rFonts w:ascii="宋体" w:hAnsi="宋体"/>
          <w:spacing w:val="-2"/>
          <w:sz w:val="24"/>
          <w:szCs w:val="24"/>
        </w:rPr>
      </w:pPr>
    </w:p>
    <w:p>
      <w:pPr>
        <w:tabs>
          <w:tab w:val="left" w:pos="2835"/>
        </w:tabs>
        <w:spacing w:line="360" w:lineRule="auto"/>
        <w:rPr>
          <w:rFonts w:ascii="宋体" w:hAnsi="宋体"/>
          <w:spacing w:val="-2"/>
          <w:sz w:val="24"/>
          <w:szCs w:val="24"/>
        </w:rPr>
      </w:pPr>
    </w:p>
    <w:p>
      <w:pPr>
        <w:tabs>
          <w:tab w:val="left" w:pos="2835"/>
        </w:tabs>
        <w:spacing w:line="360" w:lineRule="auto"/>
        <w:rPr>
          <w:rFonts w:ascii="宋体" w:hAnsi="宋体"/>
          <w:spacing w:val="-2"/>
          <w:sz w:val="24"/>
          <w:szCs w:val="24"/>
        </w:rPr>
      </w:pPr>
    </w:p>
    <w:p>
      <w:pPr>
        <w:tabs>
          <w:tab w:val="left" w:pos="2835"/>
        </w:tabs>
        <w:spacing w:line="360" w:lineRule="auto"/>
        <w:rPr>
          <w:rFonts w:ascii="宋体" w:hAnsi="宋体"/>
          <w:spacing w:val="-2"/>
          <w:sz w:val="24"/>
          <w:szCs w:val="24"/>
        </w:rPr>
      </w:pPr>
    </w:p>
    <w:p>
      <w:pPr>
        <w:tabs>
          <w:tab w:val="left" w:pos="2835"/>
        </w:tabs>
        <w:spacing w:line="360" w:lineRule="auto"/>
        <w:rPr>
          <w:rFonts w:ascii="宋体" w:hAnsi="宋体"/>
          <w:spacing w:val="-2"/>
          <w:sz w:val="24"/>
          <w:szCs w:val="24"/>
        </w:rPr>
      </w:pPr>
    </w:p>
    <w:p>
      <w:bookmarkStart w:id="69" w:name="_GoBack"/>
      <w:bookmarkEnd w:id="69"/>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华文细黑">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7"/>
      </w:rPr>
      <w:instrText xml:space="preserve"> PAGE </w:instrText>
    </w:r>
    <w:r>
      <w:fldChar w:fldCharType="separate"/>
    </w:r>
    <w:r>
      <w:rPr>
        <w:rStyle w:val="27"/>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7"/>
      </w:rPr>
      <w:instrText xml:space="preserve"> PAGE </w:instrText>
    </w:r>
    <w:r>
      <w:fldChar w:fldCharType="separate"/>
    </w:r>
    <w:r>
      <w:rPr>
        <w:rStyle w:val="27"/>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临沂鸿诚资产评估土地房地产估价有限公司                                      房地产估价报告</w:t>
    </w: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临沂鸿诚资产评估土地房地产估价有限公司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8C7B"/>
    <w:multiLevelType w:val="singleLevel"/>
    <w:tmpl w:val="14798C7B"/>
    <w:lvl w:ilvl="0" w:tentative="0">
      <w:start w:val="11"/>
      <w:numFmt w:val="chineseCounting"/>
      <w:suff w:val="nothing"/>
      <w:lvlText w:val="%1、"/>
      <w:lvlJc w:val="left"/>
      <w:rPr>
        <w:rFonts w:hint="eastAsia"/>
      </w:rPr>
    </w:lvl>
  </w:abstractNum>
  <w:abstractNum w:abstractNumId="1">
    <w:nsid w:val="65CBDBD6"/>
    <w:multiLevelType w:val="singleLevel"/>
    <w:tmpl w:val="65CBDBD6"/>
    <w:lvl w:ilvl="0" w:tentative="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69E6"/>
    <w:rsid w:val="00002180"/>
    <w:rsid w:val="0000345E"/>
    <w:rsid w:val="00003DF6"/>
    <w:rsid w:val="00015013"/>
    <w:rsid w:val="000238BF"/>
    <w:rsid w:val="00036C03"/>
    <w:rsid w:val="00062AD0"/>
    <w:rsid w:val="0007187F"/>
    <w:rsid w:val="00075F15"/>
    <w:rsid w:val="00087AE7"/>
    <w:rsid w:val="000A6DE7"/>
    <w:rsid w:val="000C25A7"/>
    <w:rsid w:val="000D3D1F"/>
    <w:rsid w:val="000D7567"/>
    <w:rsid w:val="00105E91"/>
    <w:rsid w:val="00106922"/>
    <w:rsid w:val="00113B61"/>
    <w:rsid w:val="00122091"/>
    <w:rsid w:val="00124B54"/>
    <w:rsid w:val="00144BCC"/>
    <w:rsid w:val="00161DCE"/>
    <w:rsid w:val="001845E2"/>
    <w:rsid w:val="00187C3F"/>
    <w:rsid w:val="00193809"/>
    <w:rsid w:val="001A315A"/>
    <w:rsid w:val="001E22CC"/>
    <w:rsid w:val="001F17AA"/>
    <w:rsid w:val="0020405E"/>
    <w:rsid w:val="00206246"/>
    <w:rsid w:val="0021516E"/>
    <w:rsid w:val="00230557"/>
    <w:rsid w:val="00235264"/>
    <w:rsid w:val="002663D6"/>
    <w:rsid w:val="002723C3"/>
    <w:rsid w:val="002A6950"/>
    <w:rsid w:val="002D3FB1"/>
    <w:rsid w:val="002F4133"/>
    <w:rsid w:val="00311C7B"/>
    <w:rsid w:val="003270D2"/>
    <w:rsid w:val="00341BD2"/>
    <w:rsid w:val="003472A6"/>
    <w:rsid w:val="00347736"/>
    <w:rsid w:val="00351D49"/>
    <w:rsid w:val="00354A71"/>
    <w:rsid w:val="003563A1"/>
    <w:rsid w:val="003643E2"/>
    <w:rsid w:val="00373A00"/>
    <w:rsid w:val="003752F6"/>
    <w:rsid w:val="00377CB8"/>
    <w:rsid w:val="003A2539"/>
    <w:rsid w:val="003A41D8"/>
    <w:rsid w:val="003B17DC"/>
    <w:rsid w:val="003B67B1"/>
    <w:rsid w:val="003D13B4"/>
    <w:rsid w:val="003F60C4"/>
    <w:rsid w:val="00414FBE"/>
    <w:rsid w:val="00432280"/>
    <w:rsid w:val="004322FB"/>
    <w:rsid w:val="004324C0"/>
    <w:rsid w:val="00432886"/>
    <w:rsid w:val="00442D5C"/>
    <w:rsid w:val="00446C07"/>
    <w:rsid w:val="00464330"/>
    <w:rsid w:val="004A4672"/>
    <w:rsid w:val="004B2CAE"/>
    <w:rsid w:val="004D3CBA"/>
    <w:rsid w:val="004D7D4C"/>
    <w:rsid w:val="004F39E9"/>
    <w:rsid w:val="005038A4"/>
    <w:rsid w:val="0050611D"/>
    <w:rsid w:val="00525A59"/>
    <w:rsid w:val="005361CD"/>
    <w:rsid w:val="005516EF"/>
    <w:rsid w:val="00552F16"/>
    <w:rsid w:val="00562A6C"/>
    <w:rsid w:val="005637CB"/>
    <w:rsid w:val="005730EE"/>
    <w:rsid w:val="0057412D"/>
    <w:rsid w:val="0058663E"/>
    <w:rsid w:val="005A51D4"/>
    <w:rsid w:val="005D4CC7"/>
    <w:rsid w:val="005F09B5"/>
    <w:rsid w:val="006031EA"/>
    <w:rsid w:val="0062306A"/>
    <w:rsid w:val="00626367"/>
    <w:rsid w:val="006461E7"/>
    <w:rsid w:val="00661C00"/>
    <w:rsid w:val="00672C93"/>
    <w:rsid w:val="006B3D6D"/>
    <w:rsid w:val="006B78DE"/>
    <w:rsid w:val="006C6D5B"/>
    <w:rsid w:val="006C715B"/>
    <w:rsid w:val="006D4263"/>
    <w:rsid w:val="006E1629"/>
    <w:rsid w:val="006F19C1"/>
    <w:rsid w:val="0070073B"/>
    <w:rsid w:val="0071036A"/>
    <w:rsid w:val="0072237D"/>
    <w:rsid w:val="00727AF9"/>
    <w:rsid w:val="007317C1"/>
    <w:rsid w:val="007453C5"/>
    <w:rsid w:val="007717EF"/>
    <w:rsid w:val="00772D7D"/>
    <w:rsid w:val="0077349A"/>
    <w:rsid w:val="0078188C"/>
    <w:rsid w:val="00785171"/>
    <w:rsid w:val="00786493"/>
    <w:rsid w:val="00786E99"/>
    <w:rsid w:val="007A6218"/>
    <w:rsid w:val="007A738E"/>
    <w:rsid w:val="007C78F9"/>
    <w:rsid w:val="007D598F"/>
    <w:rsid w:val="007E6489"/>
    <w:rsid w:val="007F39BF"/>
    <w:rsid w:val="007F3B62"/>
    <w:rsid w:val="00824D4D"/>
    <w:rsid w:val="008411F8"/>
    <w:rsid w:val="008672DC"/>
    <w:rsid w:val="008D3FB1"/>
    <w:rsid w:val="008F7109"/>
    <w:rsid w:val="00910448"/>
    <w:rsid w:val="00911165"/>
    <w:rsid w:val="00913E28"/>
    <w:rsid w:val="00920535"/>
    <w:rsid w:val="00924579"/>
    <w:rsid w:val="009350F9"/>
    <w:rsid w:val="00935A5B"/>
    <w:rsid w:val="009462C6"/>
    <w:rsid w:val="0095021A"/>
    <w:rsid w:val="00950DE0"/>
    <w:rsid w:val="00955EBE"/>
    <w:rsid w:val="00966F45"/>
    <w:rsid w:val="00974B53"/>
    <w:rsid w:val="00983670"/>
    <w:rsid w:val="009A2222"/>
    <w:rsid w:val="009A3954"/>
    <w:rsid w:val="009A53E6"/>
    <w:rsid w:val="009A6EAE"/>
    <w:rsid w:val="009B0BAD"/>
    <w:rsid w:val="009D0F40"/>
    <w:rsid w:val="009D65D2"/>
    <w:rsid w:val="00A23CA9"/>
    <w:rsid w:val="00A35F5C"/>
    <w:rsid w:val="00A4150A"/>
    <w:rsid w:val="00A42887"/>
    <w:rsid w:val="00A70C55"/>
    <w:rsid w:val="00A9627C"/>
    <w:rsid w:val="00AA23F1"/>
    <w:rsid w:val="00AA79C5"/>
    <w:rsid w:val="00AB20B8"/>
    <w:rsid w:val="00AC41A6"/>
    <w:rsid w:val="00AC4F6A"/>
    <w:rsid w:val="00AE2A21"/>
    <w:rsid w:val="00AE3547"/>
    <w:rsid w:val="00B0108E"/>
    <w:rsid w:val="00B31FAB"/>
    <w:rsid w:val="00B35075"/>
    <w:rsid w:val="00B5706B"/>
    <w:rsid w:val="00B66E90"/>
    <w:rsid w:val="00B67A27"/>
    <w:rsid w:val="00B95D19"/>
    <w:rsid w:val="00BC211F"/>
    <w:rsid w:val="00BC6C51"/>
    <w:rsid w:val="00BD3D34"/>
    <w:rsid w:val="00BE52AB"/>
    <w:rsid w:val="00BF5527"/>
    <w:rsid w:val="00C00302"/>
    <w:rsid w:val="00C06489"/>
    <w:rsid w:val="00C077C0"/>
    <w:rsid w:val="00C23921"/>
    <w:rsid w:val="00C35435"/>
    <w:rsid w:val="00C36937"/>
    <w:rsid w:val="00C41ECA"/>
    <w:rsid w:val="00C43ED0"/>
    <w:rsid w:val="00C62061"/>
    <w:rsid w:val="00C653C8"/>
    <w:rsid w:val="00C70A8D"/>
    <w:rsid w:val="00C726D9"/>
    <w:rsid w:val="00C8237D"/>
    <w:rsid w:val="00C95C21"/>
    <w:rsid w:val="00C969E6"/>
    <w:rsid w:val="00CB4302"/>
    <w:rsid w:val="00CB4618"/>
    <w:rsid w:val="00CC4144"/>
    <w:rsid w:val="00CC46FC"/>
    <w:rsid w:val="00CD47D3"/>
    <w:rsid w:val="00CE434C"/>
    <w:rsid w:val="00D15E77"/>
    <w:rsid w:val="00D36992"/>
    <w:rsid w:val="00D626B7"/>
    <w:rsid w:val="00D741FB"/>
    <w:rsid w:val="00D85125"/>
    <w:rsid w:val="00D91A4C"/>
    <w:rsid w:val="00D91EC4"/>
    <w:rsid w:val="00DB30B8"/>
    <w:rsid w:val="00DB7ED0"/>
    <w:rsid w:val="00DE3FFB"/>
    <w:rsid w:val="00DF700E"/>
    <w:rsid w:val="00E20C76"/>
    <w:rsid w:val="00E41BFB"/>
    <w:rsid w:val="00E527BC"/>
    <w:rsid w:val="00E56EEB"/>
    <w:rsid w:val="00E60C6A"/>
    <w:rsid w:val="00E614FE"/>
    <w:rsid w:val="00E765B2"/>
    <w:rsid w:val="00E86039"/>
    <w:rsid w:val="00E97E4F"/>
    <w:rsid w:val="00ED0CD2"/>
    <w:rsid w:val="00EE7CDA"/>
    <w:rsid w:val="00EF24B7"/>
    <w:rsid w:val="00EF3782"/>
    <w:rsid w:val="00F019C4"/>
    <w:rsid w:val="00F06D99"/>
    <w:rsid w:val="00F24DE8"/>
    <w:rsid w:val="00F33D34"/>
    <w:rsid w:val="00F40A17"/>
    <w:rsid w:val="00F50878"/>
    <w:rsid w:val="00F541FD"/>
    <w:rsid w:val="00F9738E"/>
    <w:rsid w:val="00FA0452"/>
    <w:rsid w:val="00FD3F29"/>
    <w:rsid w:val="03EB3A2F"/>
    <w:rsid w:val="04542108"/>
    <w:rsid w:val="0644548A"/>
    <w:rsid w:val="08D90FD6"/>
    <w:rsid w:val="0BBE388A"/>
    <w:rsid w:val="0C164851"/>
    <w:rsid w:val="0DA46990"/>
    <w:rsid w:val="0F205F96"/>
    <w:rsid w:val="0F8D17E5"/>
    <w:rsid w:val="10197849"/>
    <w:rsid w:val="107F6A9D"/>
    <w:rsid w:val="119D20DC"/>
    <w:rsid w:val="14322936"/>
    <w:rsid w:val="153517C7"/>
    <w:rsid w:val="154528B3"/>
    <w:rsid w:val="17636A4C"/>
    <w:rsid w:val="17A1262E"/>
    <w:rsid w:val="17E262AF"/>
    <w:rsid w:val="18B535B6"/>
    <w:rsid w:val="19656A02"/>
    <w:rsid w:val="1A7B1912"/>
    <w:rsid w:val="1AB6547C"/>
    <w:rsid w:val="1D3F5CF8"/>
    <w:rsid w:val="1D783086"/>
    <w:rsid w:val="1DFB4C61"/>
    <w:rsid w:val="233B1F26"/>
    <w:rsid w:val="2549285F"/>
    <w:rsid w:val="2A1A67C3"/>
    <w:rsid w:val="2BC3649E"/>
    <w:rsid w:val="2E646116"/>
    <w:rsid w:val="2F380873"/>
    <w:rsid w:val="31F30D37"/>
    <w:rsid w:val="333B565C"/>
    <w:rsid w:val="33894070"/>
    <w:rsid w:val="33DE5CAF"/>
    <w:rsid w:val="34C91453"/>
    <w:rsid w:val="35172D6F"/>
    <w:rsid w:val="37231C7F"/>
    <w:rsid w:val="376F1590"/>
    <w:rsid w:val="383445A8"/>
    <w:rsid w:val="384A034B"/>
    <w:rsid w:val="3A9D6769"/>
    <w:rsid w:val="3C65401D"/>
    <w:rsid w:val="3DF176D3"/>
    <w:rsid w:val="3F2B7FA0"/>
    <w:rsid w:val="41F33C1D"/>
    <w:rsid w:val="43E21FC7"/>
    <w:rsid w:val="45F8509D"/>
    <w:rsid w:val="490E656C"/>
    <w:rsid w:val="4946353F"/>
    <w:rsid w:val="496874AB"/>
    <w:rsid w:val="4A6B24DF"/>
    <w:rsid w:val="4B325101"/>
    <w:rsid w:val="4C5414E7"/>
    <w:rsid w:val="4DB51824"/>
    <w:rsid w:val="4EC04700"/>
    <w:rsid w:val="4F4362BF"/>
    <w:rsid w:val="4FB85044"/>
    <w:rsid w:val="506B0941"/>
    <w:rsid w:val="521771D3"/>
    <w:rsid w:val="533E014B"/>
    <w:rsid w:val="53B34687"/>
    <w:rsid w:val="542831BA"/>
    <w:rsid w:val="5539086E"/>
    <w:rsid w:val="561514F4"/>
    <w:rsid w:val="56E25EE3"/>
    <w:rsid w:val="577D2C03"/>
    <w:rsid w:val="58913E11"/>
    <w:rsid w:val="59AE02CF"/>
    <w:rsid w:val="5A5853C4"/>
    <w:rsid w:val="5F20160A"/>
    <w:rsid w:val="605E1309"/>
    <w:rsid w:val="62195EDA"/>
    <w:rsid w:val="63435166"/>
    <w:rsid w:val="63836281"/>
    <w:rsid w:val="643A6D13"/>
    <w:rsid w:val="64421925"/>
    <w:rsid w:val="64620D6B"/>
    <w:rsid w:val="66094E8E"/>
    <w:rsid w:val="67213A61"/>
    <w:rsid w:val="687B16C4"/>
    <w:rsid w:val="698D6F1A"/>
    <w:rsid w:val="6A417382"/>
    <w:rsid w:val="6A8074CD"/>
    <w:rsid w:val="6AF605D3"/>
    <w:rsid w:val="6B951452"/>
    <w:rsid w:val="6BAF3DE8"/>
    <w:rsid w:val="6C0E6255"/>
    <w:rsid w:val="6C7E4598"/>
    <w:rsid w:val="6D8A4EBF"/>
    <w:rsid w:val="6F063854"/>
    <w:rsid w:val="6FA96F08"/>
    <w:rsid w:val="700E7EEE"/>
    <w:rsid w:val="70B33190"/>
    <w:rsid w:val="71F176BF"/>
    <w:rsid w:val="72603106"/>
    <w:rsid w:val="73320496"/>
    <w:rsid w:val="7403243B"/>
    <w:rsid w:val="7595197F"/>
    <w:rsid w:val="76CE5432"/>
    <w:rsid w:val="79041889"/>
    <w:rsid w:val="7AD136CF"/>
    <w:rsid w:val="7AF23304"/>
    <w:rsid w:val="7C6D09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Times New Roman" w:hAnsi="Times New Roman" w:eastAsia="宋体" w:cs="Times New Roman"/>
      <w:sz w:val="21"/>
      <w:lang w:val="en-US" w:eastAsia="zh-CN" w:bidi="ar-SA"/>
    </w:rPr>
  </w:style>
  <w:style w:type="paragraph" w:styleId="2">
    <w:name w:val="heading 1"/>
    <w:basedOn w:val="1"/>
    <w:next w:val="1"/>
    <w:link w:val="33"/>
    <w:qFormat/>
    <w:uiPriority w:val="0"/>
    <w:pPr>
      <w:keepNext/>
      <w:snapToGrid w:val="0"/>
      <w:spacing w:line="360" w:lineRule="auto"/>
      <w:outlineLvl w:val="0"/>
    </w:pPr>
    <w:rPr>
      <w:b/>
      <w:sz w:val="36"/>
    </w:rPr>
  </w:style>
  <w:style w:type="paragraph" w:styleId="3">
    <w:name w:val="heading 2"/>
    <w:basedOn w:val="1"/>
    <w:next w:val="1"/>
    <w:link w:val="34"/>
    <w:qFormat/>
    <w:uiPriority w:val="0"/>
    <w:pPr>
      <w:keepNext/>
      <w:keepLines/>
      <w:spacing w:before="260" w:after="260" w:line="416" w:lineRule="atLeast"/>
      <w:outlineLvl w:val="1"/>
    </w:pPr>
    <w:rPr>
      <w:rFonts w:ascii="Arial" w:hAnsi="Arial"/>
      <w:b/>
      <w:bCs/>
      <w:sz w:val="24"/>
      <w:szCs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annotation text"/>
    <w:basedOn w:val="1"/>
    <w:link w:val="35"/>
    <w:qFormat/>
    <w:uiPriority w:val="0"/>
    <w:pPr>
      <w:jc w:val="left"/>
    </w:pPr>
    <w:rPr>
      <w:rFonts w:asciiTheme="minorHAnsi" w:hAnsiTheme="minorHAnsi" w:eastAsiaTheme="minorEastAsia" w:cstheme="minorBidi"/>
      <w:kern w:val="2"/>
      <w:szCs w:val="24"/>
    </w:rPr>
  </w:style>
  <w:style w:type="paragraph" w:styleId="6">
    <w:name w:val="Salutation"/>
    <w:basedOn w:val="1"/>
    <w:next w:val="1"/>
    <w:link w:val="43"/>
    <w:qFormat/>
    <w:uiPriority w:val="0"/>
    <w:rPr>
      <w:rFonts w:ascii="宋体"/>
      <w:sz w:val="32"/>
    </w:rPr>
  </w:style>
  <w:style w:type="paragraph" w:styleId="7">
    <w:name w:val="Closing"/>
    <w:basedOn w:val="1"/>
    <w:next w:val="1"/>
    <w:link w:val="44"/>
    <w:qFormat/>
    <w:uiPriority w:val="0"/>
    <w:pPr>
      <w:ind w:left="4320"/>
    </w:pPr>
    <w:rPr>
      <w:rFonts w:ascii="宋体"/>
      <w:sz w:val="32"/>
    </w:rPr>
  </w:style>
  <w:style w:type="paragraph" w:styleId="8">
    <w:name w:val="Body Text"/>
    <w:basedOn w:val="1"/>
    <w:link w:val="40"/>
    <w:qFormat/>
    <w:uiPriority w:val="0"/>
    <w:pPr>
      <w:autoSpaceDE w:val="0"/>
      <w:autoSpaceDN w:val="0"/>
      <w:spacing w:line="240" w:lineRule="auto"/>
    </w:pPr>
    <w:rPr>
      <w:kern w:val="2"/>
      <w:sz w:val="28"/>
    </w:rPr>
  </w:style>
  <w:style w:type="paragraph" w:styleId="9">
    <w:name w:val="Body Text Indent"/>
    <w:basedOn w:val="1"/>
    <w:link w:val="39"/>
    <w:qFormat/>
    <w:uiPriority w:val="0"/>
    <w:pPr>
      <w:spacing w:line="360" w:lineRule="auto"/>
      <w:ind w:firstLine="540"/>
      <w:jc w:val="left"/>
    </w:pPr>
    <w:rPr>
      <w:sz w:val="28"/>
    </w:rPr>
  </w:style>
  <w:style w:type="paragraph" w:styleId="10">
    <w:name w:val="Plain Text"/>
    <w:basedOn w:val="1"/>
    <w:link w:val="36"/>
    <w:qFormat/>
    <w:uiPriority w:val="99"/>
    <w:pPr>
      <w:adjustRightInd/>
      <w:spacing w:line="240" w:lineRule="auto"/>
    </w:pPr>
    <w:rPr>
      <w:rFonts w:ascii="宋体" w:hAnsi="Courier New" w:cstheme="minorBidi"/>
      <w:kern w:val="2"/>
      <w:szCs w:val="24"/>
    </w:rPr>
  </w:style>
  <w:style w:type="paragraph" w:styleId="11">
    <w:name w:val="Date"/>
    <w:basedOn w:val="1"/>
    <w:next w:val="1"/>
    <w:link w:val="47"/>
    <w:qFormat/>
    <w:uiPriority w:val="0"/>
    <w:rPr>
      <w:sz w:val="28"/>
    </w:rPr>
  </w:style>
  <w:style w:type="paragraph" w:styleId="12">
    <w:name w:val="Body Text Indent 2"/>
    <w:basedOn w:val="1"/>
    <w:link w:val="46"/>
    <w:qFormat/>
    <w:uiPriority w:val="0"/>
    <w:pPr>
      <w:spacing w:line="360" w:lineRule="auto"/>
      <w:ind w:firstLine="600"/>
    </w:pPr>
    <w:rPr>
      <w:sz w:val="28"/>
    </w:rPr>
  </w:style>
  <w:style w:type="paragraph" w:styleId="13">
    <w:name w:val="Balloon Text"/>
    <w:basedOn w:val="1"/>
    <w:link w:val="49"/>
    <w:semiHidden/>
    <w:qFormat/>
    <w:uiPriority w:val="0"/>
    <w:rPr>
      <w:sz w:val="18"/>
      <w:szCs w:val="18"/>
    </w:rPr>
  </w:style>
  <w:style w:type="paragraph" w:styleId="14">
    <w:name w:val="footer"/>
    <w:basedOn w:val="1"/>
    <w:link w:val="32"/>
    <w:unhideWhenUsed/>
    <w:qFormat/>
    <w:uiPriority w:val="0"/>
    <w:pPr>
      <w:tabs>
        <w:tab w:val="center" w:pos="4153"/>
        <w:tab w:val="right" w:pos="8306"/>
      </w:tabs>
      <w:snapToGrid w:val="0"/>
      <w:jc w:val="left"/>
    </w:pPr>
    <w:rPr>
      <w:sz w:val="18"/>
      <w:szCs w:val="18"/>
    </w:rPr>
  </w:style>
  <w:style w:type="paragraph" w:styleId="15">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sz w:val="28"/>
    </w:rPr>
  </w:style>
  <w:style w:type="paragraph" w:styleId="17">
    <w:name w:val="Body Text Indent 3"/>
    <w:basedOn w:val="1"/>
    <w:link w:val="50"/>
    <w:qFormat/>
    <w:uiPriority w:val="0"/>
    <w:pPr>
      <w:spacing w:line="360" w:lineRule="auto"/>
      <w:ind w:left="840" w:hanging="840"/>
    </w:pPr>
    <w:rPr>
      <w:sz w:val="28"/>
    </w:rPr>
  </w:style>
  <w:style w:type="paragraph" w:styleId="18">
    <w:name w:val="toc 2"/>
    <w:basedOn w:val="1"/>
    <w:next w:val="1"/>
    <w:qFormat/>
    <w:uiPriority w:val="39"/>
    <w:pPr>
      <w:ind w:left="420" w:leftChars="200"/>
    </w:pPr>
    <w:rPr>
      <w:sz w:val="28"/>
    </w:rPr>
  </w:style>
  <w:style w:type="paragraph" w:styleId="19">
    <w:name w:val="Body Text 2"/>
    <w:basedOn w:val="1"/>
    <w:link w:val="51"/>
    <w:qFormat/>
    <w:uiPriority w:val="0"/>
    <w:pPr>
      <w:adjustRightInd/>
      <w:spacing w:line="360" w:lineRule="auto"/>
      <w:jc w:val="center"/>
    </w:pPr>
    <w:rPr>
      <w:rFonts w:ascii="宋体"/>
      <w:b/>
      <w:w w:val="200"/>
      <w:kern w:val="2"/>
      <w:sz w:val="52"/>
    </w:rPr>
  </w:style>
  <w:style w:type="paragraph" w:styleId="20">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sz w:val="24"/>
      <w:szCs w:val="24"/>
    </w:rPr>
  </w:style>
  <w:style w:type="paragraph" w:styleId="21">
    <w:name w:val="Normal (Web)"/>
    <w:basedOn w:val="1"/>
    <w:qFormat/>
    <w:uiPriority w:val="99"/>
    <w:pPr>
      <w:widowControl/>
      <w:adjustRightInd/>
      <w:spacing w:before="100" w:beforeAutospacing="1" w:after="100" w:afterAutospacing="1" w:line="240" w:lineRule="auto"/>
      <w:jc w:val="left"/>
    </w:pPr>
    <w:rPr>
      <w:rFonts w:ascii="宋体" w:cs="宋体"/>
      <w:sz w:val="24"/>
      <w:szCs w:val="24"/>
    </w:rPr>
  </w:style>
  <w:style w:type="paragraph" w:styleId="22">
    <w:name w:val="annotation subject"/>
    <w:basedOn w:val="5"/>
    <w:next w:val="5"/>
    <w:link w:val="38"/>
    <w:qFormat/>
    <w:uiPriority w:val="0"/>
    <w:rPr>
      <w:b/>
      <w:bCs/>
    </w:rPr>
  </w:style>
  <w:style w:type="table" w:styleId="24">
    <w:name w:val="Table Grid"/>
    <w:basedOn w:val="23"/>
    <w:qFormat/>
    <w:uiPriority w:val="0"/>
    <w:pPr>
      <w:widowControl w:val="0"/>
      <w:adjustRightInd w:val="0"/>
      <w:spacing w:line="312"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kern w:val="2"/>
      <w:szCs w:val="24"/>
    </w:rPr>
  </w:style>
  <w:style w:type="character" w:styleId="27">
    <w:name w:val="page number"/>
    <w:basedOn w:val="25"/>
    <w:qFormat/>
    <w:uiPriority w:val="0"/>
    <w:rPr>
      <w:kern w:val="2"/>
      <w:szCs w:val="24"/>
    </w:rPr>
  </w:style>
  <w:style w:type="character" w:styleId="28">
    <w:name w:val="FollowedHyperlink"/>
    <w:qFormat/>
    <w:uiPriority w:val="0"/>
    <w:rPr>
      <w:color w:val="0000FF"/>
      <w:kern w:val="2"/>
      <w:szCs w:val="24"/>
      <w:u w:val="single"/>
    </w:rPr>
  </w:style>
  <w:style w:type="character" w:styleId="29">
    <w:name w:val="Hyperlink"/>
    <w:qFormat/>
    <w:uiPriority w:val="99"/>
    <w:rPr>
      <w:color w:val="00007F"/>
      <w:kern w:val="2"/>
      <w:szCs w:val="24"/>
      <w:u w:val="none"/>
    </w:rPr>
  </w:style>
  <w:style w:type="character" w:styleId="30">
    <w:name w:val="annotation reference"/>
    <w:qFormat/>
    <w:uiPriority w:val="0"/>
    <w:rPr>
      <w:kern w:val="2"/>
      <w:sz w:val="21"/>
      <w:szCs w:val="21"/>
    </w:rPr>
  </w:style>
  <w:style w:type="character" w:customStyle="1" w:styleId="31">
    <w:name w:val="页眉 Char"/>
    <w:basedOn w:val="25"/>
    <w:link w:val="15"/>
    <w:qFormat/>
    <w:uiPriority w:val="99"/>
    <w:rPr>
      <w:sz w:val="18"/>
      <w:szCs w:val="18"/>
    </w:rPr>
  </w:style>
  <w:style w:type="character" w:customStyle="1" w:styleId="32">
    <w:name w:val="页脚 Char"/>
    <w:basedOn w:val="25"/>
    <w:link w:val="14"/>
    <w:qFormat/>
    <w:uiPriority w:val="99"/>
    <w:rPr>
      <w:sz w:val="18"/>
      <w:szCs w:val="18"/>
    </w:rPr>
  </w:style>
  <w:style w:type="character" w:customStyle="1" w:styleId="33">
    <w:name w:val="标题 1 Char"/>
    <w:basedOn w:val="25"/>
    <w:link w:val="2"/>
    <w:qFormat/>
    <w:uiPriority w:val="0"/>
    <w:rPr>
      <w:rFonts w:ascii="Times New Roman" w:hAnsi="Times New Roman" w:eastAsia="宋体" w:cs="Times New Roman"/>
      <w:b/>
      <w:kern w:val="0"/>
      <w:sz w:val="36"/>
      <w:szCs w:val="20"/>
    </w:rPr>
  </w:style>
  <w:style w:type="character" w:customStyle="1" w:styleId="34">
    <w:name w:val="标题 2 Char"/>
    <w:basedOn w:val="25"/>
    <w:link w:val="3"/>
    <w:qFormat/>
    <w:uiPriority w:val="0"/>
    <w:rPr>
      <w:rFonts w:ascii="Arial" w:hAnsi="Arial" w:eastAsia="宋体" w:cs="Times New Roman"/>
      <w:b/>
      <w:bCs/>
      <w:kern w:val="0"/>
      <w:sz w:val="24"/>
      <w:szCs w:val="32"/>
    </w:rPr>
  </w:style>
  <w:style w:type="character" w:customStyle="1" w:styleId="35">
    <w:name w:val="批注文字 Char"/>
    <w:link w:val="5"/>
    <w:qFormat/>
    <w:uiPriority w:val="0"/>
    <w:rPr>
      <w:szCs w:val="24"/>
    </w:rPr>
  </w:style>
  <w:style w:type="character" w:customStyle="1" w:styleId="36">
    <w:name w:val="纯文本 Char1"/>
    <w:link w:val="10"/>
    <w:qFormat/>
    <w:uiPriority w:val="0"/>
    <w:rPr>
      <w:rFonts w:ascii="宋体" w:hAnsi="Courier New" w:eastAsia="宋体"/>
      <w:szCs w:val="24"/>
    </w:rPr>
  </w:style>
  <w:style w:type="character" w:customStyle="1" w:styleId="37">
    <w:name w:val="纯文本 Char"/>
    <w:qFormat/>
    <w:uiPriority w:val="99"/>
    <w:rPr>
      <w:rFonts w:ascii="宋体" w:hAnsi="Courier New" w:eastAsia="宋体"/>
      <w:kern w:val="2"/>
      <w:sz w:val="21"/>
      <w:szCs w:val="24"/>
      <w:lang w:val="en-US" w:eastAsia="zh-CN" w:bidi="ar-SA"/>
    </w:rPr>
  </w:style>
  <w:style w:type="character" w:customStyle="1" w:styleId="38">
    <w:name w:val="批注主题 Char"/>
    <w:link w:val="22"/>
    <w:qFormat/>
    <w:uiPriority w:val="0"/>
    <w:rPr>
      <w:b/>
      <w:bCs/>
      <w:szCs w:val="24"/>
    </w:rPr>
  </w:style>
  <w:style w:type="character" w:customStyle="1" w:styleId="39">
    <w:name w:val="正文文本缩进 Char"/>
    <w:basedOn w:val="25"/>
    <w:link w:val="9"/>
    <w:qFormat/>
    <w:uiPriority w:val="0"/>
    <w:rPr>
      <w:rFonts w:ascii="Times New Roman" w:hAnsi="Times New Roman" w:eastAsia="宋体" w:cs="Times New Roman"/>
      <w:kern w:val="0"/>
      <w:sz w:val="28"/>
      <w:szCs w:val="20"/>
    </w:rPr>
  </w:style>
  <w:style w:type="character" w:customStyle="1" w:styleId="40">
    <w:name w:val="正文文本 Char"/>
    <w:basedOn w:val="25"/>
    <w:link w:val="8"/>
    <w:qFormat/>
    <w:uiPriority w:val="0"/>
    <w:rPr>
      <w:rFonts w:ascii="Times New Roman" w:hAnsi="Times New Roman" w:eastAsia="宋体" w:cs="Times New Roman"/>
      <w:sz w:val="28"/>
      <w:szCs w:val="20"/>
    </w:rPr>
  </w:style>
  <w:style w:type="character" w:customStyle="1" w:styleId="41">
    <w:name w:val="批注文字 Char1"/>
    <w:basedOn w:val="25"/>
    <w:semiHidden/>
    <w:qFormat/>
    <w:uiPriority w:val="99"/>
    <w:rPr>
      <w:rFonts w:ascii="Times New Roman" w:hAnsi="Times New Roman" w:eastAsia="宋体" w:cs="Times New Roman"/>
      <w:kern w:val="0"/>
      <w:szCs w:val="20"/>
    </w:rPr>
  </w:style>
  <w:style w:type="character" w:customStyle="1" w:styleId="42">
    <w:name w:val="批注主题 Char1"/>
    <w:basedOn w:val="41"/>
    <w:semiHidden/>
    <w:qFormat/>
    <w:uiPriority w:val="99"/>
    <w:rPr>
      <w:rFonts w:ascii="Times New Roman" w:hAnsi="Times New Roman" w:eastAsia="宋体" w:cs="Times New Roman"/>
      <w:b/>
      <w:bCs/>
      <w:kern w:val="0"/>
      <w:szCs w:val="20"/>
    </w:rPr>
  </w:style>
  <w:style w:type="character" w:customStyle="1" w:styleId="43">
    <w:name w:val="称呼 Char"/>
    <w:basedOn w:val="25"/>
    <w:link w:val="6"/>
    <w:qFormat/>
    <w:uiPriority w:val="0"/>
    <w:rPr>
      <w:rFonts w:ascii="宋体" w:hAnsi="Times New Roman" w:eastAsia="宋体" w:cs="Times New Roman"/>
      <w:kern w:val="0"/>
      <w:sz w:val="32"/>
      <w:szCs w:val="20"/>
    </w:rPr>
  </w:style>
  <w:style w:type="character" w:customStyle="1" w:styleId="44">
    <w:name w:val="结束语 Char"/>
    <w:basedOn w:val="25"/>
    <w:link w:val="7"/>
    <w:qFormat/>
    <w:uiPriority w:val="0"/>
    <w:rPr>
      <w:rFonts w:ascii="宋体" w:hAnsi="Times New Roman" w:eastAsia="宋体" w:cs="Times New Roman"/>
      <w:kern w:val="0"/>
      <w:sz w:val="32"/>
      <w:szCs w:val="20"/>
    </w:rPr>
  </w:style>
  <w:style w:type="character" w:customStyle="1" w:styleId="45">
    <w:name w:val="纯文本 Char2"/>
    <w:basedOn w:val="25"/>
    <w:semiHidden/>
    <w:qFormat/>
    <w:uiPriority w:val="99"/>
    <w:rPr>
      <w:rFonts w:ascii="宋体" w:hAnsi="Courier New" w:eastAsia="宋体" w:cs="Courier New"/>
      <w:kern w:val="0"/>
      <w:szCs w:val="21"/>
    </w:rPr>
  </w:style>
  <w:style w:type="character" w:customStyle="1" w:styleId="46">
    <w:name w:val="正文文本缩进 2 Char"/>
    <w:basedOn w:val="25"/>
    <w:link w:val="12"/>
    <w:qFormat/>
    <w:uiPriority w:val="0"/>
    <w:rPr>
      <w:rFonts w:ascii="Times New Roman" w:hAnsi="Times New Roman" w:eastAsia="宋体" w:cs="Times New Roman"/>
      <w:kern w:val="0"/>
      <w:sz w:val="28"/>
      <w:szCs w:val="20"/>
    </w:rPr>
  </w:style>
  <w:style w:type="character" w:customStyle="1" w:styleId="47">
    <w:name w:val="日期 Char"/>
    <w:basedOn w:val="25"/>
    <w:link w:val="11"/>
    <w:qFormat/>
    <w:uiPriority w:val="0"/>
    <w:rPr>
      <w:rFonts w:ascii="Times New Roman" w:hAnsi="Times New Roman" w:eastAsia="宋体" w:cs="Times New Roman"/>
      <w:kern w:val="0"/>
      <w:sz w:val="28"/>
      <w:szCs w:val="20"/>
    </w:rPr>
  </w:style>
  <w:style w:type="paragraph" w:customStyle="1" w:styleId="48">
    <w:name w:val="Char Char Char Char"/>
    <w:basedOn w:val="1"/>
    <w:qFormat/>
    <w:uiPriority w:val="0"/>
    <w:pPr>
      <w:adjustRightInd/>
      <w:spacing w:line="240" w:lineRule="auto"/>
    </w:pPr>
    <w:rPr>
      <w:kern w:val="2"/>
      <w:szCs w:val="24"/>
    </w:rPr>
  </w:style>
  <w:style w:type="character" w:customStyle="1" w:styleId="49">
    <w:name w:val="批注框文本 Char"/>
    <w:basedOn w:val="25"/>
    <w:link w:val="13"/>
    <w:semiHidden/>
    <w:qFormat/>
    <w:uiPriority w:val="0"/>
    <w:rPr>
      <w:rFonts w:ascii="Times New Roman" w:hAnsi="Times New Roman" w:eastAsia="宋体" w:cs="Times New Roman"/>
      <w:kern w:val="0"/>
      <w:sz w:val="18"/>
      <w:szCs w:val="18"/>
    </w:rPr>
  </w:style>
  <w:style w:type="character" w:customStyle="1" w:styleId="50">
    <w:name w:val="正文文本缩进 3 Char"/>
    <w:basedOn w:val="25"/>
    <w:link w:val="17"/>
    <w:qFormat/>
    <w:uiPriority w:val="0"/>
    <w:rPr>
      <w:rFonts w:ascii="Times New Roman" w:hAnsi="Times New Roman" w:eastAsia="宋体" w:cs="Times New Roman"/>
      <w:kern w:val="0"/>
      <w:sz w:val="28"/>
      <w:szCs w:val="20"/>
    </w:rPr>
  </w:style>
  <w:style w:type="character" w:customStyle="1" w:styleId="51">
    <w:name w:val="正文文本 2 Char"/>
    <w:basedOn w:val="25"/>
    <w:link w:val="19"/>
    <w:qFormat/>
    <w:uiPriority w:val="0"/>
    <w:rPr>
      <w:rFonts w:ascii="宋体" w:hAnsi="Times New Roman" w:eastAsia="宋体" w:cs="Times New Roman"/>
      <w:b/>
      <w:w w:val="200"/>
      <w:sz w:val="52"/>
      <w:szCs w:val="20"/>
    </w:rPr>
  </w:style>
  <w:style w:type="paragraph" w:customStyle="1" w:styleId="52">
    <w:name w:val="msoacetate"/>
    <w:basedOn w:val="1"/>
    <w:qFormat/>
    <w:uiPriority w:val="0"/>
    <w:rPr>
      <w:sz w:val="18"/>
      <w:szCs w:val="18"/>
    </w:rPr>
  </w:style>
  <w:style w:type="paragraph" w:customStyle="1" w:styleId="53">
    <w:name w:val="Char Char Char Char1"/>
    <w:basedOn w:val="1"/>
    <w:qFormat/>
    <w:uiPriority w:val="0"/>
    <w:pPr>
      <w:adjustRightInd/>
      <w:spacing w:line="240" w:lineRule="auto"/>
    </w:pPr>
    <w:rPr>
      <w:kern w:val="2"/>
      <w:szCs w:val="24"/>
    </w:rPr>
  </w:style>
  <w:style w:type="character" w:customStyle="1" w:styleId="54">
    <w:name w:val="15"/>
    <w:basedOn w:val="25"/>
    <w:qFormat/>
    <w:uiPriority w:val="0"/>
    <w:rPr>
      <w:rFonts w:hint="default" w:ascii="Times New Roman" w:hAnsi="Times New Roman" w:cs="Times New Roman"/>
    </w:rPr>
  </w:style>
  <w:style w:type="paragraph" w:styleId="55">
    <w:name w:val="List Paragraph"/>
    <w:basedOn w:val="1"/>
    <w:qFormat/>
    <w:uiPriority w:val="34"/>
    <w:pPr>
      <w:ind w:firstLine="420" w:firstLineChars="200"/>
    </w:pPr>
  </w:style>
  <w:style w:type="character" w:customStyle="1" w:styleId="56">
    <w:name w:val="HTML 预设格式 Char"/>
    <w:basedOn w:val="25"/>
    <w:link w:val="20"/>
    <w:semiHidden/>
    <w:qFormat/>
    <w:uiPriority w:val="99"/>
    <w:rPr>
      <w:rFonts w:ascii="宋体" w:hAnsi="宋体" w:eastAsia="宋体" w:cs="宋体"/>
      <w:kern w:val="0"/>
      <w:sz w:val="24"/>
      <w:szCs w:val="24"/>
    </w:rPr>
  </w:style>
  <w:style w:type="paragraph" w:customStyle="1" w:styleId="57">
    <w:name w:val="报告正文"/>
    <w:basedOn w:val="1"/>
    <w:qFormat/>
    <w:uiPriority w:val="0"/>
    <w:pPr>
      <w:snapToGrid w:val="0"/>
      <w:spacing w:line="336" w:lineRule="auto"/>
      <w:ind w:left="2603"/>
    </w:pPr>
    <w:rPr>
      <w:rFonts w:ascii="华文细黑" w:eastAsia="华文细黑" w:cs="宋体" w:hAnsiTheme="minorHAnsi"/>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76BAE-5352-41F7-8950-8FAF005B55E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3025</Words>
  <Characters>17244</Characters>
  <Lines>143</Lines>
  <Paragraphs>40</Paragraphs>
  <TotalTime>290</TotalTime>
  <ScaleCrop>false</ScaleCrop>
  <LinksUpToDate>false</LinksUpToDate>
  <CharactersWithSpaces>20229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2016-03-10T02:20:00Z</dcterms:created>
  <dc:creator>微软用户</dc:creator>
  <cp:lastModifiedBy>叫我乐乐</cp:lastModifiedBy>
  <cp:lastPrinted>2021-10-13T06:44:00Z</cp:lastPrinted>
  <dcterms:modified xsi:type="dcterms:W3CDTF">2021-10-13T07:05:26Z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3B5454ABD990461EAA12EA24CCE9F68A</vt:lpwstr>
  </property>
</Properties>
</file>