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ascii="Times New Roman" w:hAnsi="Times New Roman" w:cs="Times New Roman"/>
          <w:szCs w:val="21"/>
        </w:rPr>
      </w:pPr>
      <w:r>
        <w:rPr>
          <w:rFonts w:ascii="Times New Roman" w:hAnsi="Times New Roman" w:cs="Times New Roman"/>
          <w:szCs w:val="21"/>
        </w:rPr>
        <w:t>本报告依据中国资产评估准则</w:t>
      </w:r>
    </w:p>
    <w:p>
      <w:pPr>
        <w:autoSpaceDE w:val="0"/>
        <w:autoSpaceDN w:val="0"/>
        <w:spacing w:line="276" w:lineRule="auto"/>
        <w:rPr>
          <w:rFonts w:ascii="Times New Roman" w:hAnsi="Times New Roman" w:cs="Times New Roman"/>
          <w:szCs w:val="21"/>
        </w:rPr>
      </w:pPr>
      <w:r>
        <w:rPr>
          <w:rFonts w:ascii="Times New Roman" w:hAnsi="Times New Roman" w:cs="Times New Roman"/>
          <w:szCs w:val="21"/>
        </w:rPr>
        <w:t>人民法院委托司法执行财产处置评估指导意见编制</w:t>
      </w:r>
    </w:p>
    <w:p>
      <w:pPr>
        <w:autoSpaceDE w:val="0"/>
        <w:autoSpaceDN w:val="0"/>
        <w:adjustRightInd w:val="0"/>
        <w:spacing w:line="600" w:lineRule="exact"/>
        <w:rPr>
          <w:rFonts w:ascii="Times New Roman" w:hAnsi="Times New Roman" w:cs="Times New Roman"/>
        </w:rPr>
      </w:pPr>
    </w:p>
    <w:p>
      <w:pPr>
        <w:rPr>
          <w:rFonts w:ascii="Times New Roman" w:hAnsi="Times New Roman" w:cs="Times New Roman"/>
          <w:b/>
          <w:bCs/>
          <w:sz w:val="24"/>
        </w:rPr>
      </w:pPr>
    </w:p>
    <w:p>
      <w:pPr>
        <w:spacing w:line="360" w:lineRule="auto"/>
        <w:rPr>
          <w:rFonts w:ascii="Times New Roman" w:hAnsi="Times New Roman" w:eastAsia="黑体" w:cs="Times New Roman"/>
          <w:b/>
          <w:bCs/>
          <w:sz w:val="24"/>
        </w:rPr>
      </w:pPr>
    </w:p>
    <w:p>
      <w:pPr>
        <w:spacing w:line="360" w:lineRule="auto"/>
        <w:ind w:right="-2" w:rightChars="-1" w:firstLine="723" w:firstLineChars="200"/>
        <w:jc w:val="center"/>
        <w:rPr>
          <w:rFonts w:ascii="Times New Roman" w:hAnsi="Times New Roman" w:cs="Times New Roman"/>
          <w:b/>
          <w:sz w:val="36"/>
          <w:szCs w:val="36"/>
        </w:rPr>
      </w:pPr>
    </w:p>
    <w:p>
      <w:pPr>
        <w:spacing w:line="360" w:lineRule="auto"/>
        <w:ind w:right="-2" w:rightChars="-1"/>
        <w:jc w:val="center"/>
        <w:rPr>
          <w:rFonts w:ascii="Times New Roman" w:hAnsi="Times New Roman" w:cs="Times New Roman"/>
          <w:b/>
          <w:sz w:val="24"/>
        </w:rPr>
      </w:pPr>
      <w:r>
        <w:rPr>
          <w:rFonts w:ascii="Times New Roman" w:hAnsi="Times New Roman" w:cs="Times New Roman"/>
          <w:b/>
          <w:sz w:val="24"/>
        </w:rPr>
        <w:t>杭州市富阳区人民法院拟司法执行财产处置涉及的</w:t>
      </w:r>
      <w:r>
        <w:rPr>
          <w:rFonts w:hint="eastAsia" w:ascii="Times New Roman" w:hAnsi="Times New Roman" w:cs="Times New Roman"/>
          <w:b/>
          <w:sz w:val="24"/>
          <w:lang w:eastAsia="zh-CN"/>
        </w:rPr>
        <w:t>庞旭明、潘玲玲</w:t>
      </w:r>
      <w:r>
        <w:rPr>
          <w:rFonts w:ascii="Times New Roman" w:hAnsi="Times New Roman" w:cs="Times New Roman"/>
          <w:b/>
          <w:sz w:val="24"/>
        </w:rPr>
        <w:t>拥有的</w:t>
      </w:r>
    </w:p>
    <w:p>
      <w:pPr>
        <w:spacing w:line="360" w:lineRule="auto"/>
        <w:ind w:right="-2" w:rightChars="-1"/>
        <w:jc w:val="center"/>
        <w:rPr>
          <w:rFonts w:hint="eastAsia" w:ascii="Times New Roman" w:hAnsi="Times New Roman" w:cs="Times New Roman"/>
          <w:b/>
          <w:sz w:val="24"/>
          <w:lang w:eastAsia="zh-CN"/>
        </w:rPr>
      </w:pPr>
      <w:r>
        <w:rPr>
          <w:rFonts w:ascii="Times New Roman" w:hAnsi="Times New Roman" w:cs="Times New Roman"/>
          <w:b/>
          <w:sz w:val="24"/>
        </w:rPr>
        <w:t>位于</w:t>
      </w:r>
      <w:r>
        <w:rPr>
          <w:rFonts w:hint="eastAsia" w:ascii="Times New Roman" w:hAnsi="Times New Roman" w:cs="Times New Roman"/>
          <w:b/>
          <w:sz w:val="24"/>
          <w:lang w:eastAsia="zh-CN"/>
        </w:rPr>
        <w:t>富春街道三联嘉苑33号704室房地产、室内装修和家具家电</w:t>
      </w:r>
    </w:p>
    <w:p>
      <w:pPr>
        <w:spacing w:line="360" w:lineRule="auto"/>
        <w:ind w:right="-2" w:rightChars="-1"/>
        <w:jc w:val="center"/>
        <w:rPr>
          <w:rFonts w:ascii="Times New Roman" w:hAnsi="Times New Roman" w:cs="Times New Roman"/>
          <w:b/>
          <w:sz w:val="32"/>
          <w:szCs w:val="32"/>
        </w:rPr>
      </w:pPr>
      <w:r>
        <w:rPr>
          <w:rFonts w:ascii="Times New Roman" w:hAnsi="Times New Roman" w:cs="Times New Roman"/>
          <w:b/>
          <w:sz w:val="24"/>
        </w:rPr>
        <w:t>市场价值司法评估项目</w:t>
      </w:r>
    </w:p>
    <w:p>
      <w:pPr>
        <w:pStyle w:val="2"/>
        <w:spacing w:line="360" w:lineRule="auto"/>
        <w:jc w:val="center"/>
        <w:rPr>
          <w:rFonts w:ascii="Times New Roman" w:cs="Times New Roman"/>
          <w:sz w:val="48"/>
          <w:szCs w:val="48"/>
        </w:rPr>
      </w:pPr>
      <w:r>
        <w:rPr>
          <w:rFonts w:ascii="Times New Roman" w:cs="Times New Roman"/>
          <w:b/>
          <w:sz w:val="48"/>
          <w:szCs w:val="48"/>
        </w:rPr>
        <w:t>资产评估报告</w:t>
      </w:r>
    </w:p>
    <w:p>
      <w:pPr>
        <w:spacing w:line="360" w:lineRule="auto"/>
        <w:jc w:val="center"/>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lang w:eastAsia="zh-CN"/>
        </w:rPr>
        <w:t>富资评字【2022】SF第0051号</w:t>
      </w:r>
    </w:p>
    <w:p>
      <w:pPr>
        <w:spacing w:line="360" w:lineRule="auto"/>
        <w:jc w:val="center"/>
        <w:rPr>
          <w:rFonts w:ascii="Times New Roman" w:hAnsi="Times New Roman" w:cs="Times New Roman"/>
          <w:color w:val="000000"/>
          <w:sz w:val="24"/>
        </w:rPr>
      </w:pPr>
      <w:r>
        <w:rPr>
          <w:rFonts w:ascii="Times New Roman" w:hAnsi="Times New Roman" w:cs="Times New Roman"/>
          <w:color w:val="000000"/>
          <w:sz w:val="24"/>
        </w:rPr>
        <w:t>（第一册 共一册）</w:t>
      </w:r>
    </w:p>
    <w:p>
      <w:pPr>
        <w:spacing w:before="156" w:beforeLines="50" w:line="480" w:lineRule="auto"/>
        <w:jc w:val="center"/>
        <w:rPr>
          <w:rFonts w:ascii="Times New Roman" w:hAnsi="Times New Roman" w:cs="Times New Roman"/>
          <w:b/>
          <w:bCs/>
          <w:sz w:val="44"/>
          <w:szCs w:val="44"/>
        </w:rPr>
      </w:pPr>
    </w:p>
    <w:p>
      <w:pPr>
        <w:jc w:val="center"/>
        <w:rPr>
          <w:rFonts w:ascii="Times New Roman" w:hAnsi="Times New Roman" w:cs="Times New Roman"/>
          <w:b/>
          <w:bCs/>
          <w:sz w:val="44"/>
          <w:szCs w:val="44"/>
        </w:rPr>
      </w:pPr>
    </w:p>
    <w:p>
      <w:pPr>
        <w:jc w:val="center"/>
        <w:rPr>
          <w:rFonts w:ascii="Times New Roman" w:hAnsi="Times New Roman" w:cs="Times New Roman"/>
          <w:b/>
          <w:bCs/>
          <w:sz w:val="44"/>
          <w:szCs w:val="44"/>
        </w:rPr>
      </w:pPr>
    </w:p>
    <w:p>
      <w:pPr>
        <w:rPr>
          <w:rFonts w:ascii="Times New Roman" w:hAnsi="Times New Roman" w:cs="Times New Roman"/>
          <w:b/>
          <w:bCs/>
          <w:sz w:val="44"/>
          <w:szCs w:val="44"/>
        </w:rPr>
      </w:pPr>
    </w:p>
    <w:p>
      <w:pPr>
        <w:jc w:val="center"/>
        <w:rPr>
          <w:rFonts w:ascii="Times New Roman" w:hAnsi="Times New Roman" w:cs="Times New Roman"/>
          <w:b/>
          <w:bCs/>
          <w:sz w:val="44"/>
          <w:szCs w:val="44"/>
        </w:rPr>
      </w:pPr>
    </w:p>
    <w:p>
      <w:pPr>
        <w:jc w:val="center"/>
        <w:rPr>
          <w:rFonts w:ascii="Times New Roman" w:hAnsi="Times New Roman" w:cs="Times New Roman"/>
          <w:b/>
          <w:bCs/>
          <w:sz w:val="44"/>
          <w:szCs w:val="44"/>
        </w:rPr>
      </w:pPr>
    </w:p>
    <w:p>
      <w:pPr>
        <w:rPr>
          <w:rFonts w:ascii="Times New Roman" w:hAnsi="Times New Roman" w:cs="Times New Roman"/>
          <w:b/>
          <w:bCs/>
          <w:sz w:val="32"/>
          <w:szCs w:val="32"/>
        </w:rPr>
      </w:pPr>
    </w:p>
    <w:p>
      <w:pPr>
        <w:spacing w:line="560" w:lineRule="exact"/>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杭州富诚资产评估有限公司</w:t>
      </w:r>
    </w:p>
    <w:p>
      <w:pPr>
        <w:jc w:val="center"/>
        <w:rPr>
          <w:rFonts w:hint="eastAsia" w:ascii="Times New Roman" w:hAnsi="Times New Roman" w:eastAsia="宋体" w:cs="Times New Roman"/>
          <w:b/>
          <w:bCs/>
          <w:color w:val="000000"/>
          <w:sz w:val="32"/>
          <w:szCs w:val="32"/>
          <w:lang w:eastAsia="zh-CN"/>
        </w:rPr>
      </w:pPr>
      <w:r>
        <w:rPr>
          <w:rFonts w:hint="eastAsia" w:ascii="Times New Roman" w:hAnsi="Times New Roman" w:eastAsia="宋体" w:cs="Times New Roman"/>
          <w:b/>
          <w:bCs/>
          <w:color w:val="000000"/>
          <w:sz w:val="32"/>
          <w:szCs w:val="32"/>
          <w:lang w:eastAsia="zh-CN"/>
        </w:rPr>
        <w:t>二〇二二年七月二十二日</w:t>
      </w:r>
    </w:p>
    <w:p>
      <w:pPr>
        <w:pStyle w:val="2"/>
        <w:rPr>
          <w:rFonts w:hint="eastAsia"/>
          <w:lang w:eastAsia="zh-CN"/>
        </w:rPr>
      </w:pPr>
    </w:p>
    <w:p>
      <w:pPr>
        <w:pStyle w:val="2"/>
        <w:rPr>
          <w:rFonts w:ascii="Times New Roman" w:cs="Times New Roman"/>
        </w:rPr>
      </w:pPr>
    </w:p>
    <w:p>
      <w:pPr>
        <w:pStyle w:val="2"/>
        <w:rPr>
          <w:rFonts w:ascii="Times New Roman" w:cs="Times New Roman"/>
        </w:rPr>
      </w:pPr>
    </w:p>
    <w:p>
      <w:pPr>
        <w:pStyle w:val="2"/>
        <w:rPr>
          <w:rFonts w:ascii="Times New Roman" w:cs="Times New Roman"/>
        </w:rPr>
      </w:pPr>
    </w:p>
    <w:p>
      <w:pPr>
        <w:pStyle w:val="23"/>
        <w:jc w:val="center"/>
        <w:rPr>
          <w:rFonts w:ascii="Times New Roman" w:hAnsi="Times New Roman"/>
          <w:color w:val="000000"/>
          <w:sz w:val="44"/>
          <w:szCs w:val="4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23"/>
        <w:jc w:val="center"/>
        <w:rPr>
          <w:rFonts w:ascii="Times New Roman" w:hAnsi="Times New Roman"/>
          <w:color w:val="000000"/>
          <w:sz w:val="44"/>
          <w:szCs w:val="44"/>
          <w:lang w:val="zh-CN"/>
        </w:rPr>
      </w:pPr>
      <w:r>
        <w:rPr>
          <w:rFonts w:ascii="Times New Roman" w:hAnsi="Times New Roman"/>
          <w:color w:val="000000"/>
          <w:sz w:val="44"/>
          <w:szCs w:val="44"/>
          <w:lang w:val="zh-CN"/>
        </w:rPr>
        <w:t>目录</w:t>
      </w:r>
    </w:p>
    <w:p>
      <w:pPr>
        <w:tabs>
          <w:tab w:val="left" w:pos="6145"/>
        </w:tabs>
        <w:rPr>
          <w:rFonts w:ascii="Times New Roman" w:hAnsi="Times New Roman" w:cs="Times New Roman"/>
          <w:lang w:val="zh-CN"/>
        </w:rPr>
      </w:pPr>
      <w:r>
        <w:rPr>
          <w:rFonts w:ascii="Times New Roman" w:hAnsi="Times New Roman" w:cs="Times New Roman"/>
          <w:lang w:val="zh-CN"/>
        </w:rPr>
        <w:tab/>
      </w:r>
    </w:p>
    <w:sdt>
      <w:sdtPr>
        <w:rPr>
          <w:rFonts w:ascii="Times New Roman" w:hAnsi="Times New Roman" w:eastAsia="宋体" w:cs="Times New Roman"/>
        </w:rPr>
        <w:id w:val="-1179646768"/>
        <w15:color w:val="DBDBDB"/>
      </w:sdtPr>
      <w:sdtEndPr>
        <w:rPr>
          <w:rFonts w:ascii="Times New Roman" w:hAnsi="Times New Roman" w:eastAsia="宋体" w:cs="Times New Roman"/>
          <w:sz w:val="20"/>
          <w:szCs w:val="20"/>
        </w:rPr>
      </w:sdtEndPr>
      <w:sdtContent>
        <w:p>
          <w:pPr>
            <w:jc w:val="center"/>
            <w:rPr>
              <w:rFonts w:ascii="Times New Roman" w:hAnsi="Times New Roman" w:cs="Times New Roman"/>
            </w:rPr>
          </w:pPr>
          <w:bookmarkStart w:id="0" w:name="_Toc498855171_WPSOffice_Type1"/>
          <w:bookmarkStart w:id="1" w:name="_Toc37185834"/>
        </w:p>
        <w:p>
          <w:pPr>
            <w:pStyle w:val="25"/>
            <w:tabs>
              <w:tab w:val="right" w:leader="dot" w:pos="8306"/>
            </w:tabs>
            <w:rPr>
              <w:rFonts w:ascii="Times New Roman" w:hAnsi="Times New Roman" w:cs="Times New Roman"/>
              <w:sz w:val="28"/>
              <w:szCs w:val="28"/>
            </w:rPr>
          </w:pPr>
          <w:r>
            <w:fldChar w:fldCharType="begin"/>
          </w:r>
          <w:r>
            <w:instrText xml:space="preserve"> HYPERLINK \l "_Toc74592687_WPSOffice_Level1" </w:instrText>
          </w:r>
          <w:r>
            <w:fldChar w:fldCharType="separate"/>
          </w:r>
          <w:sdt>
            <w:sdtPr>
              <w:rPr>
                <w:rFonts w:ascii="Times New Roman" w:hAnsi="Times New Roman" w:cs="Times New Roman"/>
                <w:b/>
                <w:bCs/>
                <w:kern w:val="2"/>
                <w:sz w:val="28"/>
                <w:szCs w:val="28"/>
              </w:rPr>
              <w:id w:val="157770182"/>
              <w:placeholder>
                <w:docPart w:val="{693f6577-25f3-4dd3-8068-a434f0419ed1}"/>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声明</w:t>
              </w:r>
            </w:sdtContent>
          </w:sdt>
          <w:r>
            <w:rPr>
              <w:rFonts w:ascii="Times New Roman" w:hAnsi="Times New Roman" w:cs="Times New Roman"/>
              <w:sz w:val="28"/>
              <w:szCs w:val="28"/>
            </w:rPr>
            <w:tab/>
          </w:r>
          <w:bookmarkStart w:id="2" w:name="_Toc74592687_WPSOffice_Level1Page"/>
          <w:r>
            <w:rPr>
              <w:rFonts w:ascii="Times New Roman" w:hAnsi="Times New Roman" w:cs="Times New Roman"/>
              <w:sz w:val="28"/>
              <w:szCs w:val="28"/>
            </w:rPr>
            <w:t>3</w:t>
          </w:r>
          <w:bookmarkEnd w:id="2"/>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rPr>
              <w:rFonts w:hint="eastAsia" w:ascii="Times New Roman" w:hAnsi="Times New Roman" w:cs="Times New Roman"/>
              <w:sz w:val="28"/>
              <w:szCs w:val="28"/>
            </w:rPr>
            <w:t>摘要</w:t>
          </w:r>
          <w:r>
            <w:rPr>
              <w:rFonts w:ascii="Times New Roman" w:hAnsi="Times New Roman" w:cs="Times New Roman"/>
              <w:sz w:val="28"/>
              <w:szCs w:val="28"/>
            </w:rPr>
            <w:tab/>
          </w:r>
          <w:r>
            <w:rPr>
              <w:rFonts w:hint="eastAsia" w:ascii="Times New Roman" w:hAnsi="Times New Roman" w:cs="Times New Roman"/>
              <w:sz w:val="28"/>
              <w:szCs w:val="28"/>
            </w:rPr>
            <w:t>4</w:t>
          </w:r>
        </w:p>
        <w:p>
          <w:pPr>
            <w:pStyle w:val="25"/>
            <w:tabs>
              <w:tab w:val="right" w:leader="dot" w:pos="8306"/>
            </w:tabs>
            <w:rPr>
              <w:rFonts w:ascii="Times New Roman" w:hAnsi="Times New Roman" w:cs="Times New Roman"/>
              <w:sz w:val="28"/>
              <w:szCs w:val="28"/>
            </w:rPr>
          </w:pPr>
          <w:r>
            <w:rPr>
              <w:rFonts w:hint="eastAsia" w:ascii="Times New Roman" w:hAnsi="Times New Roman" w:cs="Times New Roman"/>
              <w:sz w:val="28"/>
              <w:szCs w:val="28"/>
            </w:rPr>
            <w:t>正文</w:t>
          </w:r>
          <w:r>
            <w:rPr>
              <w:rFonts w:ascii="Times New Roman" w:hAnsi="Times New Roman" w:cs="Times New Roman"/>
              <w:sz w:val="28"/>
              <w:szCs w:val="28"/>
            </w:rPr>
            <w:tab/>
          </w:r>
          <w:r>
            <w:rPr>
              <w:rFonts w:hint="eastAsia" w:ascii="Times New Roman" w:hAnsi="Times New Roman" w:cs="Times New Roman"/>
              <w:sz w:val="28"/>
              <w:szCs w:val="28"/>
            </w:rPr>
            <w:t>6</w:t>
          </w:r>
        </w:p>
        <w:p>
          <w:pPr>
            <w:pStyle w:val="25"/>
            <w:tabs>
              <w:tab w:val="right" w:leader="dot" w:pos="8306"/>
            </w:tabs>
            <w:rPr>
              <w:rFonts w:ascii="Times New Roman" w:hAnsi="Times New Roman" w:cs="Times New Roman"/>
              <w:sz w:val="28"/>
              <w:szCs w:val="28"/>
            </w:rPr>
          </w:pPr>
          <w:r>
            <w:fldChar w:fldCharType="begin"/>
          </w:r>
          <w:r>
            <w:instrText xml:space="preserve"> HYPERLINK \l "_Toc498855171_WPSOffice_Level1" </w:instrText>
          </w:r>
          <w:r>
            <w:fldChar w:fldCharType="separate"/>
          </w:r>
          <w:sdt>
            <w:sdtPr>
              <w:rPr>
                <w:rFonts w:ascii="Times New Roman" w:hAnsi="Times New Roman" w:cs="Times New Roman"/>
                <w:b/>
                <w:bCs/>
                <w:kern w:val="2"/>
                <w:sz w:val="28"/>
                <w:szCs w:val="28"/>
              </w:rPr>
              <w:id w:val="-1285112072"/>
              <w:placeholder>
                <w:docPart w:val="{5db44a22-710c-44ab-a5e4-1792c8158ba2}"/>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一、委托人、</w:t>
              </w:r>
              <w:r>
                <w:rPr>
                  <w:rFonts w:hint="eastAsia" w:ascii="Times New Roman" w:hAnsi="Times New Roman" w:eastAsia="宋体" w:cs="Times New Roman"/>
                  <w:sz w:val="28"/>
                  <w:szCs w:val="28"/>
                </w:rPr>
                <w:t>产权持有者</w:t>
              </w:r>
              <w:r>
                <w:rPr>
                  <w:rFonts w:ascii="Times New Roman" w:hAnsi="Times New Roman" w:eastAsia="宋体" w:cs="Times New Roman"/>
                  <w:sz w:val="28"/>
                  <w:szCs w:val="28"/>
                </w:rPr>
                <w:t>和资产评估委托合同约定的其他资产评估报告使用人</w:t>
              </w:r>
            </w:sdtContent>
          </w:sdt>
          <w:r>
            <w:rPr>
              <w:rFonts w:ascii="Times New Roman" w:hAnsi="Times New Roman" w:cs="Times New Roman"/>
              <w:sz w:val="28"/>
              <w:szCs w:val="28"/>
            </w:rPr>
            <w:tab/>
          </w:r>
          <w:bookmarkStart w:id="3" w:name="_Toc498855171_WPSOffice_Level1Page"/>
          <w:r>
            <w:rPr>
              <w:rFonts w:ascii="Times New Roman" w:hAnsi="Times New Roman" w:cs="Times New Roman"/>
              <w:sz w:val="28"/>
              <w:szCs w:val="28"/>
            </w:rPr>
            <w:t>7</w:t>
          </w:r>
          <w:bookmarkEnd w:id="3"/>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"_Toc482701109_WPSOffice_Level1" </w:instrText>
          </w:r>
          <w:r>
            <w:fldChar w:fldCharType="separate"/>
          </w:r>
          <w:sdt>
            <w:sdtPr>
              <w:rPr>
                <w:rFonts w:ascii="Times New Roman" w:hAnsi="Times New Roman" w:cs="Times New Roman"/>
                <w:b/>
                <w:bCs/>
                <w:kern w:val="2"/>
                <w:sz w:val="28"/>
                <w:szCs w:val="28"/>
              </w:rPr>
              <w:id w:val="-1635555691"/>
              <w:placeholder>
                <w:docPart w:val="{46956840-d113-48e8-89ac-5fa39eae4a2a}"/>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二、评估目的</w:t>
              </w:r>
            </w:sdtContent>
          </w:sdt>
          <w:r>
            <w:rPr>
              <w:rFonts w:ascii="Times New Roman" w:hAnsi="Times New Roman" w:cs="Times New Roman"/>
              <w:sz w:val="28"/>
              <w:szCs w:val="28"/>
            </w:rPr>
            <w:tab/>
          </w:r>
          <w:bookmarkStart w:id="4" w:name="_Toc482701109_WPSOffice_Level1Page"/>
          <w:r>
            <w:rPr>
              <w:rFonts w:ascii="Times New Roman" w:hAnsi="Times New Roman" w:cs="Times New Roman"/>
              <w:sz w:val="28"/>
              <w:szCs w:val="28"/>
            </w:rPr>
            <w:t>7</w:t>
          </w:r>
          <w:bookmarkEnd w:id="4"/>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"_Toc1711804244_WPSOffice_Level1" </w:instrText>
          </w:r>
          <w:r>
            <w:fldChar w:fldCharType="separate"/>
          </w:r>
          <w:sdt>
            <w:sdtPr>
              <w:rPr>
                <w:rFonts w:ascii="Times New Roman" w:hAnsi="Times New Roman" w:cs="Times New Roman"/>
                <w:b/>
                <w:bCs/>
                <w:kern w:val="2"/>
                <w:sz w:val="28"/>
                <w:szCs w:val="28"/>
              </w:rPr>
              <w:id w:val="-961338405"/>
              <w:placeholder>
                <w:docPart w:val="{c871e4e8-8654-4588-bf74-1ca2489500e1}"/>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三、评估对象及范围</w:t>
              </w:r>
            </w:sdtContent>
          </w:sdt>
          <w:r>
            <w:rPr>
              <w:rFonts w:ascii="Times New Roman" w:hAnsi="Times New Roman" w:cs="Times New Roman"/>
              <w:sz w:val="28"/>
              <w:szCs w:val="28"/>
            </w:rPr>
            <w:tab/>
          </w:r>
          <w:bookmarkStart w:id="5" w:name="_Toc1711804244_WPSOffice_Level1Page"/>
          <w:r>
            <w:rPr>
              <w:rFonts w:ascii="Times New Roman" w:hAnsi="Times New Roman" w:cs="Times New Roman"/>
              <w:sz w:val="28"/>
              <w:szCs w:val="28"/>
            </w:rPr>
            <w:t>7</w:t>
          </w:r>
          <w:bookmarkEnd w:id="5"/>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"_Toc455510049_WPSOffice_Level1" </w:instrText>
          </w:r>
          <w:r>
            <w:fldChar w:fldCharType="separate"/>
          </w:r>
          <w:sdt>
            <w:sdtPr>
              <w:rPr>
                <w:rFonts w:ascii="Times New Roman" w:hAnsi="Times New Roman" w:cs="Times New Roman"/>
                <w:b/>
                <w:bCs/>
                <w:kern w:val="2"/>
                <w:sz w:val="28"/>
                <w:szCs w:val="28"/>
              </w:rPr>
              <w:id w:val="-598714236"/>
              <w:placeholder>
                <w:docPart w:val="{e71e5423-e652-4c65-b080-31dcbd204a72}"/>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四、价值类型</w:t>
              </w:r>
            </w:sdtContent>
          </w:sdt>
          <w:r>
            <w:rPr>
              <w:rFonts w:ascii="Times New Roman" w:hAnsi="Times New Roman" w:cs="Times New Roman"/>
              <w:sz w:val="28"/>
              <w:szCs w:val="28"/>
            </w:rPr>
            <w:tab/>
          </w:r>
          <w:bookmarkStart w:id="6" w:name="_Toc455510049_WPSOffice_Level1Page"/>
          <w:r>
            <w:rPr>
              <w:rFonts w:ascii="Times New Roman" w:hAnsi="Times New Roman" w:cs="Times New Roman"/>
              <w:sz w:val="28"/>
              <w:szCs w:val="28"/>
            </w:rPr>
            <w:t>9</w:t>
          </w:r>
          <w:bookmarkEnd w:id="6"/>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"_Toc2125675635_WPSOffice_Level1" </w:instrText>
          </w:r>
          <w:r>
            <w:fldChar w:fldCharType="separate"/>
          </w:r>
          <w:sdt>
            <w:sdtPr>
              <w:rPr>
                <w:rFonts w:ascii="Times New Roman" w:hAnsi="Times New Roman" w:cs="Times New Roman"/>
                <w:b/>
                <w:bCs/>
                <w:kern w:val="2"/>
                <w:sz w:val="28"/>
                <w:szCs w:val="28"/>
              </w:rPr>
              <w:id w:val="550663245"/>
              <w:placeholder>
                <w:docPart w:val="{c4d4b21c-d43f-44f9-b8ca-a0fb6f66fa0c}"/>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五、评估基准日</w:t>
              </w:r>
            </w:sdtContent>
          </w:sdt>
          <w:r>
            <w:rPr>
              <w:rFonts w:ascii="Times New Roman" w:hAnsi="Times New Roman" w:cs="Times New Roman"/>
              <w:sz w:val="28"/>
              <w:szCs w:val="28"/>
            </w:rPr>
            <w:tab/>
          </w:r>
          <w:bookmarkStart w:id="7" w:name="_Toc2125675635_WPSOffice_Level1Page"/>
          <w:r>
            <w:rPr>
              <w:rFonts w:ascii="Times New Roman" w:hAnsi="Times New Roman" w:cs="Times New Roman"/>
              <w:sz w:val="28"/>
              <w:szCs w:val="28"/>
            </w:rPr>
            <w:t>9</w:t>
          </w:r>
          <w:bookmarkEnd w:id="7"/>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"_Toc692445953_WPSOffice_Level1" </w:instrText>
          </w:r>
          <w:r>
            <w:fldChar w:fldCharType="separate"/>
          </w:r>
          <w:sdt>
            <w:sdtPr>
              <w:rPr>
                <w:rFonts w:ascii="Times New Roman" w:hAnsi="Times New Roman" w:cs="Times New Roman"/>
                <w:b/>
                <w:bCs/>
                <w:kern w:val="2"/>
                <w:sz w:val="28"/>
                <w:szCs w:val="28"/>
              </w:rPr>
              <w:id w:val="383145336"/>
              <w:placeholder>
                <w:docPart w:val="{1298ea4a-cd1c-4637-9d5c-246c79d9c77c}"/>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六、评估假设</w:t>
              </w:r>
            </w:sdtContent>
          </w:sdt>
          <w:r>
            <w:rPr>
              <w:rFonts w:ascii="Times New Roman" w:hAnsi="Times New Roman" w:cs="Times New Roman"/>
              <w:sz w:val="28"/>
              <w:szCs w:val="28"/>
            </w:rPr>
            <w:tab/>
          </w:r>
          <w:bookmarkStart w:id="8" w:name="_Toc692445953_WPSOffice_Level1Page"/>
          <w:r>
            <w:rPr>
              <w:rFonts w:ascii="Times New Roman" w:hAnsi="Times New Roman" w:cs="Times New Roman"/>
              <w:sz w:val="28"/>
              <w:szCs w:val="28"/>
            </w:rPr>
            <w:t>9</w:t>
          </w:r>
          <w:bookmarkEnd w:id="8"/>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"_Toc725248978_WPSOffice_Level1" </w:instrText>
          </w:r>
          <w:r>
            <w:fldChar w:fldCharType="separate"/>
          </w:r>
          <w:sdt>
            <w:sdtPr>
              <w:rPr>
                <w:rFonts w:ascii="Times New Roman" w:hAnsi="Times New Roman" w:cs="Times New Roman"/>
                <w:b/>
                <w:bCs/>
                <w:kern w:val="2"/>
                <w:sz w:val="28"/>
                <w:szCs w:val="28"/>
              </w:rPr>
              <w:id w:val="772904331"/>
              <w:placeholder>
                <w:docPart w:val="{e57bfa72-7b7e-465f-bcd0-6964f032d2a9}"/>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七、评估依据</w:t>
              </w:r>
            </w:sdtContent>
          </w:sdt>
          <w:r>
            <w:rPr>
              <w:rFonts w:ascii="Times New Roman" w:hAnsi="Times New Roman" w:cs="Times New Roman"/>
              <w:sz w:val="28"/>
              <w:szCs w:val="28"/>
            </w:rPr>
            <w:tab/>
          </w:r>
          <w:bookmarkStart w:id="9" w:name="_Toc725248978_WPSOffice_Level1Page"/>
          <w:r>
            <w:rPr>
              <w:rFonts w:ascii="Times New Roman" w:hAnsi="Times New Roman" w:cs="Times New Roman"/>
              <w:sz w:val="28"/>
              <w:szCs w:val="28"/>
            </w:rPr>
            <w:t>10</w:t>
          </w:r>
          <w:bookmarkEnd w:id="9"/>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"_Toc142392874_WPSOffice_Level1" </w:instrText>
          </w:r>
          <w:r>
            <w:fldChar w:fldCharType="separate"/>
          </w:r>
          <w:sdt>
            <w:sdtPr>
              <w:rPr>
                <w:rFonts w:ascii="Times New Roman" w:hAnsi="Times New Roman" w:cs="Times New Roman"/>
                <w:b/>
                <w:bCs/>
                <w:kern w:val="2"/>
                <w:sz w:val="28"/>
                <w:szCs w:val="28"/>
              </w:rPr>
              <w:id w:val="1284775909"/>
              <w:placeholder>
                <w:docPart w:val="{14eb227b-7283-410c-9201-a18d1f810454}"/>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八、评估方法</w:t>
              </w:r>
            </w:sdtContent>
          </w:sdt>
          <w:r>
            <w:rPr>
              <w:rFonts w:ascii="Times New Roman" w:hAnsi="Times New Roman" w:cs="Times New Roman"/>
              <w:sz w:val="28"/>
              <w:szCs w:val="28"/>
            </w:rPr>
            <w:tab/>
          </w:r>
          <w:bookmarkStart w:id="10" w:name="_Toc142392874_WPSOffice_Level1Page"/>
          <w:r>
            <w:rPr>
              <w:rFonts w:ascii="Times New Roman" w:hAnsi="Times New Roman" w:cs="Times New Roman"/>
              <w:sz w:val="28"/>
              <w:szCs w:val="28"/>
            </w:rPr>
            <w:t>12</w:t>
          </w:r>
          <w:bookmarkEnd w:id="10"/>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"_Toc900250560_WPSOffice_Level1" </w:instrText>
          </w:r>
          <w:r>
            <w:fldChar w:fldCharType="separate"/>
          </w:r>
          <w:sdt>
            <w:sdtPr>
              <w:rPr>
                <w:rFonts w:ascii="Times New Roman" w:hAnsi="Times New Roman" w:cs="Times New Roman"/>
                <w:b/>
                <w:bCs/>
                <w:kern w:val="2"/>
                <w:sz w:val="28"/>
                <w:szCs w:val="28"/>
              </w:rPr>
              <w:id w:val="-446543518"/>
              <w:placeholder>
                <w:docPart w:val="{cc485ca2-c1dd-4cf8-a5ef-e9511dd8289d}"/>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九、评估过程</w:t>
              </w:r>
            </w:sdtContent>
          </w:sdt>
          <w:r>
            <w:rPr>
              <w:rFonts w:ascii="Times New Roman" w:hAnsi="Times New Roman" w:cs="Times New Roman"/>
              <w:sz w:val="28"/>
              <w:szCs w:val="28"/>
            </w:rPr>
            <w:tab/>
          </w:r>
          <w:bookmarkStart w:id="11" w:name="_Toc900250560_WPSOffice_Level1Page"/>
          <w:r>
            <w:rPr>
              <w:rFonts w:ascii="Times New Roman" w:hAnsi="Times New Roman" w:cs="Times New Roman"/>
              <w:sz w:val="28"/>
              <w:szCs w:val="28"/>
            </w:rPr>
            <w:t>13</w:t>
          </w:r>
          <w:bookmarkEnd w:id="11"/>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"_Toc1488868805_WPSOffice_Level1" </w:instrText>
          </w:r>
          <w:r>
            <w:fldChar w:fldCharType="separate"/>
          </w:r>
          <w:sdt>
            <w:sdtPr>
              <w:rPr>
                <w:rFonts w:ascii="Times New Roman" w:hAnsi="Times New Roman" w:cs="Times New Roman"/>
                <w:b/>
                <w:bCs/>
                <w:kern w:val="2"/>
                <w:sz w:val="28"/>
                <w:szCs w:val="28"/>
              </w:rPr>
              <w:id w:val="-1753113706"/>
              <w:placeholder>
                <w:docPart w:val="{26ba7ea4-0fa4-4f8b-9938-1fbf7252fad3}"/>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十、评估结论</w:t>
              </w:r>
            </w:sdtContent>
          </w:sdt>
          <w:r>
            <w:rPr>
              <w:rFonts w:ascii="Times New Roman" w:hAnsi="Times New Roman" w:cs="Times New Roman"/>
              <w:sz w:val="28"/>
              <w:szCs w:val="28"/>
            </w:rPr>
            <w:tab/>
          </w:r>
          <w:bookmarkStart w:id="12" w:name="_Toc1488868805_WPSOffice_Level1Page"/>
          <w:r>
            <w:rPr>
              <w:rFonts w:ascii="Times New Roman" w:hAnsi="Times New Roman" w:cs="Times New Roman"/>
              <w:sz w:val="28"/>
              <w:szCs w:val="28"/>
            </w:rPr>
            <w:t>14</w:t>
          </w:r>
          <w:bookmarkEnd w:id="12"/>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"_Toc938550791_WPSOffice_Level1" </w:instrText>
          </w:r>
          <w:r>
            <w:fldChar w:fldCharType="separate"/>
          </w:r>
          <w:sdt>
            <w:sdtPr>
              <w:rPr>
                <w:rFonts w:ascii="Times New Roman" w:hAnsi="Times New Roman" w:cs="Times New Roman"/>
                <w:b/>
                <w:bCs/>
                <w:kern w:val="2"/>
                <w:sz w:val="28"/>
                <w:szCs w:val="28"/>
              </w:rPr>
              <w:id w:val="876743736"/>
              <w:placeholder>
                <w:docPart w:val="{71391b02-8c8b-4a97-80b1-a14f973e6cbc}"/>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十一、特别事项说明</w:t>
              </w:r>
            </w:sdtContent>
          </w:sdt>
          <w:r>
            <w:rPr>
              <w:rFonts w:ascii="Times New Roman" w:hAnsi="Times New Roman" w:cs="Times New Roman"/>
              <w:sz w:val="28"/>
              <w:szCs w:val="28"/>
            </w:rPr>
            <w:tab/>
          </w:r>
          <w:bookmarkStart w:id="13" w:name="_Toc938550791_WPSOffice_Level1Page"/>
          <w:r>
            <w:rPr>
              <w:rFonts w:ascii="Times New Roman" w:hAnsi="Times New Roman" w:cs="Times New Roman"/>
              <w:sz w:val="28"/>
              <w:szCs w:val="28"/>
            </w:rPr>
            <w:t>1</w:t>
          </w:r>
          <w:bookmarkEnd w:id="13"/>
          <w:r>
            <w:rPr>
              <w:rFonts w:ascii="Times New Roman" w:hAnsi="Times New Roman" w:cs="Times New Roman"/>
              <w:sz w:val="28"/>
              <w:szCs w:val="28"/>
            </w:rPr>
            <w:t>5</w:t>
          </w:r>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"_Toc955757122_WPSOffice_Level1" </w:instrText>
          </w:r>
          <w:r>
            <w:fldChar w:fldCharType="separate"/>
          </w:r>
          <w:sdt>
            <w:sdtPr>
              <w:rPr>
                <w:rFonts w:ascii="Times New Roman" w:hAnsi="Times New Roman" w:cs="Times New Roman"/>
                <w:b/>
                <w:bCs/>
                <w:kern w:val="2"/>
                <w:sz w:val="28"/>
                <w:szCs w:val="28"/>
              </w:rPr>
              <w:id w:val="-18318948"/>
              <w:placeholder>
                <w:docPart w:val="{d0deffe7-dd1c-45d7-a6ea-cb7765e91527}"/>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十二、评估报告使用限制说明</w:t>
              </w:r>
            </w:sdtContent>
          </w:sdt>
          <w:r>
            <w:rPr>
              <w:rFonts w:ascii="Times New Roman" w:hAnsi="Times New Roman" w:cs="Times New Roman"/>
              <w:sz w:val="28"/>
              <w:szCs w:val="28"/>
            </w:rPr>
            <w:tab/>
          </w:r>
          <w:bookmarkStart w:id="14" w:name="_Toc955757122_WPSOffice_Level1Page"/>
          <w:r>
            <w:rPr>
              <w:rFonts w:ascii="Times New Roman" w:hAnsi="Times New Roman" w:cs="Times New Roman"/>
              <w:sz w:val="28"/>
              <w:szCs w:val="28"/>
            </w:rPr>
            <w:t>1</w:t>
          </w:r>
          <w:bookmarkEnd w:id="14"/>
          <w:r>
            <w:rPr>
              <w:rFonts w:ascii="Times New Roman" w:hAnsi="Times New Roman" w:cs="Times New Roman"/>
              <w:sz w:val="28"/>
              <w:szCs w:val="28"/>
            </w:rPr>
            <w:t>6</w:t>
          </w:r>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"_Toc232269894_WPSOffice_Level1" </w:instrText>
          </w:r>
          <w:r>
            <w:fldChar w:fldCharType="separate"/>
          </w:r>
          <w:sdt>
            <w:sdtPr>
              <w:rPr>
                <w:rFonts w:ascii="Times New Roman" w:hAnsi="Times New Roman" w:cs="Times New Roman"/>
                <w:b/>
                <w:bCs/>
                <w:kern w:val="2"/>
                <w:sz w:val="28"/>
                <w:szCs w:val="28"/>
              </w:rPr>
              <w:id w:val="-1213030964"/>
              <w:placeholder>
                <w:docPart w:val="{224f95e1-72fb-413f-ba99-74ed28fcad94}"/>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十三、评估报告日</w:t>
              </w:r>
            </w:sdtContent>
          </w:sdt>
          <w:r>
            <w:rPr>
              <w:rFonts w:ascii="Times New Roman" w:hAnsi="Times New Roman" w:cs="Times New Roman"/>
              <w:sz w:val="28"/>
              <w:szCs w:val="28"/>
            </w:rPr>
            <w:tab/>
          </w:r>
          <w:bookmarkStart w:id="15" w:name="_Toc232269894_WPSOffice_Level1Page"/>
          <w:r>
            <w:rPr>
              <w:rFonts w:ascii="Times New Roman" w:hAnsi="Times New Roman" w:cs="Times New Roman"/>
              <w:sz w:val="28"/>
              <w:szCs w:val="28"/>
            </w:rPr>
            <w:t>1</w:t>
          </w:r>
          <w:bookmarkEnd w:id="15"/>
          <w:r>
            <w:rPr>
              <w:rFonts w:ascii="Times New Roman" w:hAnsi="Times New Roman" w:cs="Times New Roman"/>
              <w:sz w:val="28"/>
              <w:szCs w:val="28"/>
            </w:rPr>
            <w:t>6</w:t>
          </w:r>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"_Toc1782321859_WPSOffice_Level1" </w:instrText>
          </w:r>
          <w:r>
            <w:fldChar w:fldCharType="separate"/>
          </w:r>
          <w:sdt>
            <w:sdtPr>
              <w:rPr>
                <w:rFonts w:ascii="Times New Roman" w:hAnsi="Times New Roman" w:cs="Times New Roman"/>
                <w:b/>
                <w:bCs/>
                <w:kern w:val="2"/>
                <w:sz w:val="28"/>
                <w:szCs w:val="28"/>
              </w:rPr>
              <w:id w:val="21753581"/>
              <w:placeholder>
                <w:docPart w:val="{7fb97ca2-7e41-44b3-af96-6d847ba470d4}"/>
              </w:placeholder>
              <w15:color w:val="509DF3"/>
            </w:sdtPr>
            <w:sdtEndPr>
              <w:rPr>
                <w:rFonts w:ascii="Times New Roman" w:hAnsi="Times New Roman" w:cs="Times New Roman"/>
                <w:b/>
                <w:bCs/>
                <w:kern w:val="2"/>
                <w:sz w:val="28"/>
                <w:szCs w:val="28"/>
              </w:rPr>
            </w:sdtEndPr>
            <w:sdtContent>
              <w:r>
                <w:rPr>
                  <w:rFonts w:ascii="Times New Roman" w:hAnsi="Times New Roman" w:eastAsia="宋体" w:cs="Times New Roman"/>
                  <w:sz w:val="28"/>
                  <w:szCs w:val="28"/>
                </w:rPr>
                <w:t>十四、 资产评估专业人员签名和资产评估机构印章</w:t>
              </w:r>
            </w:sdtContent>
          </w:sdt>
          <w:r>
            <w:rPr>
              <w:rFonts w:ascii="Times New Roman" w:hAnsi="Times New Roman" w:cs="Times New Roman"/>
              <w:sz w:val="28"/>
              <w:szCs w:val="28"/>
            </w:rPr>
            <w:tab/>
          </w:r>
          <w:bookmarkStart w:id="16" w:name="_Toc1782321859_WPSOffice_Level1Page"/>
          <w:r>
            <w:rPr>
              <w:rFonts w:ascii="Times New Roman" w:hAnsi="Times New Roman" w:cs="Times New Roman"/>
              <w:sz w:val="28"/>
              <w:szCs w:val="28"/>
            </w:rPr>
            <w:t>1</w:t>
          </w:r>
          <w:bookmarkEnd w:id="16"/>
          <w:r>
            <w:rPr>
              <w:rFonts w:ascii="Times New Roman" w:hAnsi="Times New Roman" w:cs="Times New Roman"/>
              <w:sz w:val="28"/>
              <w:szCs w:val="28"/>
            </w:rPr>
            <w:t>7</w:t>
          </w:r>
          <w:r>
            <w:rPr>
              <w:rFonts w:ascii="Times New Roman" w:hAnsi="Times New Roman" w:cs="Times New Roman"/>
              <w:sz w:val="28"/>
              <w:szCs w:val="28"/>
            </w:rPr>
            <w:fldChar w:fldCharType="end"/>
          </w:r>
        </w:p>
        <w:p>
          <w:pPr>
            <w:pStyle w:val="25"/>
            <w:tabs>
              <w:tab w:val="right" w:leader="dot" w:pos="8306"/>
            </w:tabs>
            <w:rPr>
              <w:rFonts w:ascii="Times New Roman" w:hAnsi="Times New Roman" w:cs="Times New Roman"/>
              <w:sz w:val="28"/>
              <w:szCs w:val="28"/>
            </w:rPr>
          </w:pPr>
          <w:r>
            <w:fldChar w:fldCharType="begin"/>
          </w:r>
          <w:r>
            <w:instrText xml:space="preserve"> HYPERLINK \l "_Toc234092210_WPSOffice_Level1" </w:instrText>
          </w:r>
          <w:r>
            <w:fldChar w:fldCharType="separate"/>
          </w:r>
          <w:sdt>
            <w:sdtPr>
              <w:rPr>
                <w:rFonts w:ascii="Times New Roman" w:hAnsi="Times New Roman" w:cs="Times New Roman"/>
                <w:b/>
                <w:bCs/>
                <w:kern w:val="2"/>
                <w:sz w:val="28"/>
                <w:szCs w:val="28"/>
              </w:rPr>
              <w:id w:val="1499544553"/>
              <w:placeholder>
                <w:docPart w:val="{39b15929-bde2-40d4-a840-6c9dda42d733}"/>
              </w:placeholder>
              <w15:color w:val="509DF3"/>
            </w:sdtPr>
            <w:sdtEndPr>
              <w:rPr>
                <w:rFonts w:ascii="Times New Roman" w:hAnsi="Times New Roman" w:cs="Times New Roman"/>
                <w:b/>
                <w:bCs/>
                <w:kern w:val="2"/>
                <w:sz w:val="28"/>
                <w:szCs w:val="28"/>
              </w:rPr>
            </w:sdtEndPr>
            <w:sdtContent>
              <w:r>
                <w:rPr>
                  <w:rFonts w:ascii="Times New Roman" w:hAnsi="Times New Roman" w:cs="Times New Roman"/>
                  <w:sz w:val="28"/>
                  <w:szCs w:val="28"/>
                </w:rPr>
                <w:t>备查文件目录</w:t>
              </w:r>
            </w:sdtContent>
          </w:sdt>
          <w:r>
            <w:rPr>
              <w:rFonts w:ascii="Times New Roman" w:hAnsi="Times New Roman" w:cs="Times New Roman"/>
              <w:sz w:val="28"/>
              <w:szCs w:val="28"/>
            </w:rPr>
            <w:tab/>
          </w:r>
          <w:bookmarkStart w:id="17" w:name="_Toc234092210_WPSOffice_Level1Page"/>
          <w:r>
            <w:rPr>
              <w:rFonts w:ascii="Times New Roman" w:hAnsi="Times New Roman" w:cs="Times New Roman"/>
              <w:sz w:val="28"/>
              <w:szCs w:val="28"/>
            </w:rPr>
            <w:t>1</w:t>
          </w:r>
          <w:bookmarkEnd w:id="17"/>
          <w:r>
            <w:rPr>
              <w:rFonts w:ascii="Times New Roman" w:hAnsi="Times New Roman" w:cs="Times New Roman"/>
              <w:sz w:val="28"/>
              <w:szCs w:val="28"/>
            </w:rPr>
            <w:t>8</w:t>
          </w:r>
          <w:r>
            <w:rPr>
              <w:rFonts w:ascii="Times New Roman" w:hAnsi="Times New Roman" w:cs="Times New Roman"/>
              <w:sz w:val="28"/>
              <w:szCs w:val="28"/>
            </w:rPr>
            <w:fldChar w:fldCharType="end"/>
          </w:r>
          <w:bookmarkEnd w:id="0"/>
        </w:p>
        <w:p>
          <w:pPr>
            <w:pStyle w:val="25"/>
            <w:tabs>
              <w:tab w:val="right" w:leader="dot" w:pos="8306"/>
            </w:tabs>
            <w:rPr>
              <w:rFonts w:ascii="Times New Roman" w:hAnsi="Times New Roman" w:eastAsia="宋体" w:cs="Times New Roman"/>
              <w:b/>
              <w:sz w:val="44"/>
              <w:szCs w:val="44"/>
            </w:rPr>
          </w:pPr>
        </w:p>
      </w:sdtContent>
    </w:sdt>
    <w:p>
      <w:pPr>
        <w:pStyle w:val="12"/>
        <w:rPr>
          <w:rFonts w:ascii="Times New Roman" w:hAnsi="Times New Roman" w:eastAsia="宋体"/>
          <w:szCs w:val="28"/>
        </w:rPr>
      </w:pPr>
      <w:bookmarkStart w:id="18" w:name="_Toc74592687_WPSOffice_Level1"/>
      <w:r>
        <w:rPr>
          <w:rFonts w:ascii="Times New Roman" w:hAnsi="Times New Roman" w:eastAsia="宋体"/>
          <w:bCs w:val="0"/>
          <w:sz w:val="44"/>
          <w:szCs w:val="44"/>
        </w:rPr>
        <w:t>声明</w:t>
      </w:r>
      <w:bookmarkEnd w:id="1"/>
      <w:bookmarkEnd w:id="18"/>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评估对象涉及的资产清单由委托人、</w:t>
      </w:r>
      <w:r>
        <w:rPr>
          <w:rFonts w:hint="eastAsia" w:ascii="Times New Roman" w:hAnsi="Times New Roman" w:cs="Times New Roman"/>
          <w:color w:val="000000"/>
          <w:sz w:val="24"/>
        </w:rPr>
        <w:t>产权持有者</w:t>
      </w:r>
      <w:r>
        <w:rPr>
          <w:rFonts w:ascii="Times New Roman" w:hAnsi="Times New Roman" w:cs="Times New Roman"/>
          <w:color w:val="000000"/>
          <w:sz w:val="24"/>
        </w:rPr>
        <w:t>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ascii="Times New Roman" w:hAnsi="Times New Roman" w:cs="Times New Roman"/>
        </w:rPr>
        <w:t xml:space="preserve">   </w:t>
      </w:r>
    </w:p>
    <w:p>
      <w:pPr>
        <w:pStyle w:val="2"/>
        <w:spacing w:line="360" w:lineRule="auto"/>
        <w:ind w:left="-420" w:leftChars="-200" w:right="-420" w:rightChars="-200" w:firstLine="480" w:firstLineChars="200"/>
        <w:rPr>
          <w:rFonts w:ascii="Times New Roman" w:cs="Times New Roman"/>
        </w:rPr>
      </w:pPr>
      <w:r>
        <w:rPr>
          <w:rFonts w:ascii="Times New Roman" w:cs="Times New Roman"/>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ascii="Times New Roman" w:hAnsi="Times New Roman" w:cs="Times New Roman"/>
          <w:b/>
          <w:sz w:val="24"/>
        </w:rPr>
      </w:pPr>
      <w:r>
        <w:rPr>
          <w:rFonts w:ascii="Times New Roman" w:hAnsi="Times New Roman" w:cs="Times New Roman"/>
          <w:b/>
          <w:sz w:val="24"/>
        </w:rPr>
        <w:t>杭州市富阳区人民法院拟司法执行财产处置涉及的</w:t>
      </w:r>
      <w:r>
        <w:rPr>
          <w:rFonts w:hint="eastAsia" w:ascii="Times New Roman" w:hAnsi="Times New Roman" w:cs="Times New Roman"/>
          <w:b/>
          <w:sz w:val="24"/>
          <w:lang w:eastAsia="zh-CN"/>
        </w:rPr>
        <w:t>庞旭明、潘玲玲</w:t>
      </w:r>
      <w:r>
        <w:rPr>
          <w:rFonts w:ascii="Times New Roman" w:hAnsi="Times New Roman" w:cs="Times New Roman"/>
          <w:b/>
          <w:sz w:val="24"/>
        </w:rPr>
        <w:t>拥有的</w:t>
      </w:r>
    </w:p>
    <w:p>
      <w:pPr>
        <w:spacing w:line="360" w:lineRule="auto"/>
        <w:ind w:right="-2" w:rightChars="-1"/>
        <w:jc w:val="center"/>
        <w:rPr>
          <w:rFonts w:hint="eastAsia" w:ascii="Times New Roman" w:hAnsi="Times New Roman" w:cs="Times New Roman"/>
          <w:b/>
          <w:sz w:val="24"/>
          <w:lang w:eastAsia="zh-CN"/>
        </w:rPr>
      </w:pPr>
      <w:r>
        <w:rPr>
          <w:rFonts w:ascii="Times New Roman" w:hAnsi="Times New Roman" w:cs="Times New Roman"/>
          <w:b/>
          <w:sz w:val="24"/>
        </w:rPr>
        <w:t>位于</w:t>
      </w:r>
      <w:r>
        <w:rPr>
          <w:rFonts w:hint="eastAsia" w:ascii="Times New Roman" w:hAnsi="Times New Roman" w:cs="Times New Roman"/>
          <w:b/>
          <w:sz w:val="24"/>
          <w:lang w:eastAsia="zh-CN"/>
        </w:rPr>
        <w:t>富春街道三联嘉苑33号704室房地产、室内装修和家具家电</w:t>
      </w:r>
    </w:p>
    <w:p>
      <w:pPr>
        <w:spacing w:line="360" w:lineRule="auto"/>
        <w:ind w:right="-2" w:rightChars="-1"/>
        <w:jc w:val="center"/>
        <w:rPr>
          <w:rFonts w:ascii="Times New Roman" w:hAnsi="Times New Roman" w:cs="Times New Roman"/>
          <w:b/>
          <w:sz w:val="32"/>
          <w:szCs w:val="32"/>
        </w:rPr>
      </w:pPr>
      <w:r>
        <w:rPr>
          <w:rFonts w:ascii="Times New Roman" w:hAnsi="Times New Roman" w:cs="Times New Roman"/>
          <w:b/>
          <w:sz w:val="24"/>
        </w:rPr>
        <w:t>市场价值司法评估项目</w:t>
      </w:r>
    </w:p>
    <w:p>
      <w:pPr>
        <w:pStyle w:val="12"/>
        <w:spacing w:before="0" w:after="0" w:line="360" w:lineRule="auto"/>
        <w:rPr>
          <w:rFonts w:ascii="Times New Roman" w:hAnsi="Times New Roman" w:eastAsia="宋体"/>
          <w:bCs w:val="0"/>
          <w:color w:val="000000"/>
          <w:sz w:val="36"/>
          <w:szCs w:val="36"/>
        </w:rPr>
      </w:pPr>
      <w:r>
        <w:rPr>
          <w:rFonts w:ascii="Times New Roman" w:hAnsi="Times New Roman" w:eastAsia="宋体"/>
          <w:bCs w:val="0"/>
          <w:color w:val="000000"/>
          <w:sz w:val="24"/>
          <w:szCs w:val="24"/>
        </w:rPr>
        <w:t>资产评估报告</w:t>
      </w:r>
    </w:p>
    <w:p>
      <w:pPr>
        <w:pStyle w:val="12"/>
        <w:spacing w:before="0" w:after="0" w:line="360" w:lineRule="auto"/>
        <w:rPr>
          <w:rFonts w:hint="eastAsia" w:ascii="Times New Roman" w:hAnsi="Times New Roman" w:cs="Times New Roman"/>
          <w:b/>
          <w:color w:val="000000"/>
          <w:sz w:val="24"/>
          <w:lang w:eastAsia="zh-CN"/>
        </w:rPr>
      </w:pPr>
      <w:bookmarkStart w:id="19" w:name="_Toc37185836"/>
      <w:r>
        <w:rPr>
          <w:rFonts w:hint="eastAsia" w:ascii="Times New Roman" w:hAnsi="Times New Roman" w:cs="Times New Roman"/>
          <w:b/>
          <w:color w:val="000000"/>
          <w:sz w:val="24"/>
          <w:lang w:eastAsia="zh-CN"/>
        </w:rPr>
        <w:t>富资评字【2022】SF第0051号</w:t>
      </w:r>
    </w:p>
    <w:p>
      <w:pPr>
        <w:pStyle w:val="12"/>
        <w:spacing w:before="0" w:after="0" w:line="360" w:lineRule="auto"/>
        <w:rPr>
          <w:rFonts w:ascii="Times New Roman" w:hAnsi="Times New Roman"/>
          <w:color w:val="000000"/>
        </w:rPr>
      </w:pPr>
      <w:r>
        <w:rPr>
          <w:rFonts w:ascii="Times New Roman" w:hAnsi="Times New Roman"/>
        </w:rPr>
        <w:t>摘 要</w:t>
      </w:r>
      <w:bookmarkEnd w:id="19"/>
    </w:p>
    <w:p>
      <w:pPr>
        <w:spacing w:line="360" w:lineRule="auto"/>
        <w:ind w:firstLine="480" w:firstLineChars="200"/>
        <w:rPr>
          <w:rFonts w:ascii="Times New Roman" w:hAnsi="Times New Roman" w:cs="Times New Roman"/>
          <w:sz w:val="24"/>
        </w:rPr>
      </w:pPr>
      <w:r>
        <w:rPr>
          <w:rFonts w:ascii="Times New Roman" w:hAnsi="Times New Roman" w:cs="Times New Roman"/>
          <w:sz w:val="24"/>
        </w:rPr>
        <w:t>杭州富诚资产评估有限公司接受杭州市富阳区人民法院的委托，根据法律、行政法规和资产评估准则的规定，坚持独立、客观和公正的原则，采用市场法、成本法，</w:t>
      </w:r>
      <w:r>
        <w:rPr>
          <w:rFonts w:ascii="Times New Roman" w:hAnsi="Times New Roman" w:cs="Times New Roman"/>
          <w:color w:val="000000"/>
          <w:sz w:val="24"/>
        </w:rPr>
        <w:t>对</w:t>
      </w:r>
      <w:r>
        <w:rPr>
          <w:rFonts w:hint="eastAsia" w:ascii="Times New Roman" w:hAnsi="Times New Roman" w:cs="Times New Roman"/>
          <w:color w:val="000000"/>
          <w:sz w:val="24"/>
        </w:rPr>
        <w:t>申请执行人</w:t>
      </w:r>
      <w:r>
        <w:rPr>
          <w:rFonts w:hint="eastAsia" w:ascii="Times New Roman" w:hAnsi="Times New Roman" w:cs="Times New Roman"/>
          <w:color w:val="000000"/>
          <w:sz w:val="24"/>
          <w:lang w:eastAsia="zh-CN"/>
        </w:rPr>
        <w:t>华安民</w:t>
      </w:r>
      <w:r>
        <w:rPr>
          <w:rFonts w:hint="eastAsia" w:ascii="Times New Roman" w:hAnsi="Times New Roman" w:cs="Times New Roman"/>
          <w:color w:val="000000"/>
          <w:sz w:val="24"/>
        </w:rPr>
        <w:t>与被执行人</w:t>
      </w:r>
      <w:r>
        <w:rPr>
          <w:rFonts w:hint="eastAsia" w:ascii="Times New Roman" w:hAnsi="Times New Roman" w:cs="Times New Roman"/>
          <w:color w:val="000000"/>
          <w:sz w:val="24"/>
          <w:lang w:eastAsia="zh-CN"/>
        </w:rPr>
        <w:t>庞旭明民间借贷纠纷一案中</w:t>
      </w:r>
      <w:r>
        <w:rPr>
          <w:rFonts w:ascii="Times New Roman" w:hAnsi="Times New Roman" w:cs="Times New Roman"/>
          <w:color w:val="000000"/>
          <w:sz w:val="24"/>
        </w:rPr>
        <w:t>涉及的</w:t>
      </w:r>
      <w:r>
        <w:rPr>
          <w:rFonts w:hint="eastAsia" w:ascii="Times New Roman" w:hAnsi="Times New Roman" w:cs="Times New Roman"/>
          <w:sz w:val="24"/>
          <w:lang w:eastAsia="zh-CN"/>
        </w:rPr>
        <w:t>房地产、室内装修和家具家电</w:t>
      </w:r>
      <w:r>
        <w:rPr>
          <w:rFonts w:ascii="Times New Roman" w:hAnsi="Times New Roman" w:cs="Times New Roman"/>
          <w:sz w:val="24"/>
        </w:rPr>
        <w:t>价值</w:t>
      </w:r>
      <w:r>
        <w:rPr>
          <w:rFonts w:ascii="Times New Roman" w:hAnsi="Times New Roman" w:cs="Times New Roman"/>
          <w:color w:val="000000"/>
          <w:sz w:val="24"/>
        </w:rPr>
        <w:t>进行的评估</w:t>
      </w:r>
      <w:r>
        <w:rPr>
          <w:rFonts w:ascii="Times New Roman" w:hAnsi="Times New Roman" w:cs="Times New Roman"/>
          <w:sz w:val="24"/>
        </w:rPr>
        <w:t>。本公司评估人员按照必要的评估程序，对委托评估的资产实施了实地查勘、市场调查，根据《资产评估准则》及相关专业规范性文件发表价值意见。</w:t>
      </w:r>
    </w:p>
    <w:p>
      <w:pPr>
        <w:spacing w:line="360" w:lineRule="auto"/>
        <w:ind w:firstLine="480" w:firstLineChars="200"/>
        <w:rPr>
          <w:rFonts w:ascii="Times New Roman" w:hAnsi="Times New Roman" w:eastAsia="宋体" w:cs="Times New Roman"/>
          <w:sz w:val="24"/>
        </w:rPr>
      </w:pPr>
      <w:r>
        <w:rPr>
          <w:rFonts w:ascii="Times New Roman" w:hAnsi="Times New Roman" w:cs="Times New Roman"/>
          <w:sz w:val="24"/>
        </w:rPr>
        <w:t>我们认为，除本报告所载明的特别事项说明外，在符合评估基准日、评估假设等限制条件下，本报告所载评估结论对委托评估的资产在</w:t>
      </w:r>
      <w:r>
        <w:rPr>
          <w:rFonts w:hint="eastAsia" w:ascii="Times New Roman" w:hAnsi="Times New Roman" w:cs="Times New Roman"/>
          <w:sz w:val="24"/>
          <w:lang w:eastAsia="zh-CN"/>
        </w:rPr>
        <w:t>2022年7月19日</w:t>
      </w:r>
      <w:r>
        <w:rPr>
          <w:rFonts w:ascii="Times New Roman" w:hAnsi="Times New Roman" w:cs="Times New Roman"/>
          <w:sz w:val="24"/>
        </w:rPr>
        <w:t>所表现的市场价值作出了恰当的反映。</w:t>
      </w:r>
      <w:r>
        <w:rPr>
          <w:rFonts w:ascii="Times New Roman" w:hAnsi="Times New Roman" w:eastAsia="宋体" w:cs="Times New Roman"/>
          <w:sz w:val="24"/>
        </w:rPr>
        <w:t>现将评估报告摘要如下：</w:t>
      </w:r>
    </w:p>
    <w:p>
      <w:pPr>
        <w:pStyle w:val="7"/>
        <w:numPr>
          <w:ilvl w:val="0"/>
          <w:numId w:val="3"/>
        </w:numPr>
        <w:adjustRightInd w:val="0"/>
        <w:snapToGrid w:val="0"/>
        <w:spacing w:after="0" w:line="360" w:lineRule="auto"/>
        <w:ind w:firstLine="480" w:firstLineChars="200"/>
        <w:rPr>
          <w:rFonts w:ascii="Times New Roman" w:hAnsi="Times New Roman" w:cs="Times New Roman"/>
          <w:sz w:val="24"/>
        </w:rPr>
      </w:pPr>
      <w:r>
        <w:rPr>
          <w:rFonts w:ascii="Times New Roman" w:hAnsi="Times New Roman" w:cs="Times New Roman"/>
          <w:sz w:val="24"/>
        </w:rPr>
        <w:t>评估目的：</w:t>
      </w:r>
      <w:r>
        <w:rPr>
          <w:rFonts w:ascii="Times New Roman" w:hAnsi="Times New Roman" w:cs="Times New Roman"/>
          <w:color w:val="000000"/>
          <w:sz w:val="24"/>
        </w:rPr>
        <w:t>杭州富诚资产评估有限公司</w:t>
      </w:r>
      <w:r>
        <w:rPr>
          <w:rFonts w:ascii="Times New Roman" w:hAnsi="Times New Roman" w:cs="Times New Roman"/>
          <w:sz w:val="24"/>
        </w:rPr>
        <w:t>受杭州市富阳区人民法院委托，对</w:t>
      </w:r>
      <w:r>
        <w:rPr>
          <w:rFonts w:hint="eastAsia" w:ascii="Times New Roman" w:hAnsi="Times New Roman" w:cs="Times New Roman"/>
          <w:sz w:val="24"/>
        </w:rPr>
        <w:t>申请执行人</w:t>
      </w:r>
      <w:r>
        <w:rPr>
          <w:rFonts w:hint="eastAsia" w:ascii="Times New Roman" w:hAnsi="Times New Roman" w:cs="Times New Roman"/>
          <w:sz w:val="24"/>
          <w:lang w:eastAsia="zh-CN"/>
        </w:rPr>
        <w:t>华安民</w:t>
      </w:r>
      <w:r>
        <w:rPr>
          <w:rFonts w:hint="eastAsia" w:ascii="Times New Roman" w:hAnsi="Times New Roman" w:cs="Times New Roman"/>
          <w:sz w:val="24"/>
        </w:rPr>
        <w:t>与被执行人</w:t>
      </w:r>
      <w:r>
        <w:rPr>
          <w:rFonts w:hint="eastAsia" w:ascii="Times New Roman" w:hAnsi="Times New Roman" w:cs="Times New Roman"/>
          <w:sz w:val="24"/>
          <w:lang w:eastAsia="zh-CN"/>
        </w:rPr>
        <w:t>庞旭明民间借贷纠纷一案中</w:t>
      </w:r>
      <w:r>
        <w:rPr>
          <w:rFonts w:ascii="Times New Roman" w:hAnsi="Times New Roman" w:cs="Times New Roman"/>
          <w:sz w:val="24"/>
        </w:rPr>
        <w:t>涉及的</w:t>
      </w:r>
      <w:r>
        <w:rPr>
          <w:rFonts w:hint="eastAsia" w:ascii="Times New Roman" w:hAnsi="Times New Roman" w:cs="Times New Roman"/>
          <w:sz w:val="24"/>
          <w:lang w:eastAsia="zh-CN"/>
        </w:rPr>
        <w:t>房地产、室内装修和家具家电</w:t>
      </w:r>
      <w:r>
        <w:rPr>
          <w:rFonts w:ascii="Times New Roman" w:hAnsi="Times New Roman" w:cs="Times New Roman"/>
          <w:sz w:val="24"/>
        </w:rPr>
        <w:t>的市场价</w:t>
      </w:r>
      <w:r>
        <w:rPr>
          <w:rFonts w:ascii="Times New Roman" w:hAnsi="Times New Roman" w:cs="Times New Roman"/>
          <w:color w:val="000000"/>
          <w:sz w:val="24"/>
        </w:rPr>
        <w:t>值进行评估，为人民法院确定财产处置参考价提供服务。</w:t>
      </w:r>
    </w:p>
    <w:p>
      <w:pPr>
        <w:pStyle w:val="7"/>
        <w:numPr>
          <w:ilvl w:val="0"/>
          <w:numId w:val="3"/>
        </w:numPr>
        <w:adjustRightInd w:val="0"/>
        <w:snapToGrid w:val="0"/>
        <w:spacing w:after="0" w:line="360" w:lineRule="auto"/>
        <w:ind w:firstLine="480" w:firstLineChars="200"/>
        <w:rPr>
          <w:rFonts w:ascii="Times New Roman" w:hAnsi="Times New Roman" w:cs="Times New Roman"/>
          <w:sz w:val="24"/>
        </w:rPr>
      </w:pPr>
      <w:r>
        <w:rPr>
          <w:rFonts w:ascii="Times New Roman" w:hAnsi="Times New Roman" w:cs="Times New Roman"/>
          <w:sz w:val="24"/>
        </w:rPr>
        <w:t>评估对象及范围：评估对象是</w:t>
      </w:r>
      <w:r>
        <w:rPr>
          <w:rFonts w:hint="eastAsia" w:ascii="Times New Roman" w:hAnsi="Times New Roman" w:cs="Times New Roman"/>
          <w:sz w:val="24"/>
          <w:lang w:eastAsia="zh-CN"/>
        </w:rPr>
        <w:t>庞旭明、潘玲玲</w:t>
      </w:r>
      <w:r>
        <w:rPr>
          <w:rFonts w:ascii="Times New Roman" w:hAnsi="Times New Roman" w:cs="Times New Roman"/>
          <w:sz w:val="24"/>
        </w:rPr>
        <w:t>名下的</w:t>
      </w:r>
      <w:r>
        <w:rPr>
          <w:rFonts w:hint="eastAsia" w:ascii="Times New Roman" w:hAnsi="Times New Roman" w:cs="Times New Roman"/>
          <w:sz w:val="24"/>
          <w:lang w:eastAsia="zh-CN"/>
        </w:rPr>
        <w:t>富春街道三联嘉苑33号704室房地产、室内装修和家具家电</w:t>
      </w:r>
      <w:r>
        <w:rPr>
          <w:rFonts w:ascii="Times New Roman" w:hAnsi="Times New Roman" w:cs="Times New Roman"/>
          <w:sz w:val="24"/>
        </w:rPr>
        <w:t>的市场价值。评估范围为</w:t>
      </w:r>
      <w:r>
        <w:rPr>
          <w:rFonts w:hint="eastAsia" w:ascii="Times New Roman" w:hAnsi="Times New Roman" w:cs="Times New Roman"/>
          <w:sz w:val="24"/>
          <w:lang w:eastAsia="zh-CN"/>
        </w:rPr>
        <w:t>庞旭明、潘玲玲</w:t>
      </w:r>
      <w:r>
        <w:rPr>
          <w:rFonts w:ascii="Times New Roman" w:hAnsi="Times New Roman" w:cs="Times New Roman"/>
          <w:sz w:val="24"/>
        </w:rPr>
        <w:t>名下的</w:t>
      </w:r>
      <w:r>
        <w:rPr>
          <w:rFonts w:hint="eastAsia" w:ascii="Times New Roman" w:hAnsi="Times New Roman" w:cs="Times New Roman"/>
          <w:sz w:val="24"/>
          <w:lang w:eastAsia="zh-CN"/>
        </w:rPr>
        <w:t>富春街道三联嘉苑33号704室房地产、室内装修和家具家电</w:t>
      </w:r>
      <w:r>
        <w:rPr>
          <w:rFonts w:ascii="Times New Roman" w:hAnsi="Times New Roman" w:cs="Times New Roman"/>
          <w:sz w:val="24"/>
        </w:rPr>
        <w:t>，证载建筑面积</w:t>
      </w:r>
      <w:r>
        <w:rPr>
          <w:rFonts w:hint="eastAsia" w:ascii="Times New Roman" w:hAnsi="Times New Roman" w:cs="Times New Roman"/>
          <w:sz w:val="24"/>
          <w:lang w:eastAsia="zh-CN"/>
        </w:rPr>
        <w:t>164.53</w:t>
      </w:r>
      <w:r>
        <w:rPr>
          <w:rFonts w:ascii="Times New Roman" w:hAnsi="Times New Roman" w:cs="Times New Roman"/>
          <w:sz w:val="24"/>
        </w:rPr>
        <w:t>㎡，证载土地使用权面积</w:t>
      </w:r>
      <w:r>
        <w:rPr>
          <w:rFonts w:hint="eastAsia" w:ascii="Times New Roman" w:hAnsi="Times New Roman" w:cs="Times New Roman"/>
          <w:sz w:val="24"/>
          <w:lang w:eastAsia="zh-CN"/>
        </w:rPr>
        <w:t>9.69</w:t>
      </w:r>
      <w:r>
        <w:rPr>
          <w:rFonts w:ascii="Times New Roman" w:hAnsi="Times New Roman" w:cs="Times New Roman"/>
          <w:sz w:val="24"/>
        </w:rPr>
        <w:t>㎡，室内装修包括地面</w:t>
      </w:r>
      <w:r>
        <w:rPr>
          <w:rFonts w:hint="eastAsia" w:ascii="Times New Roman" w:hAnsi="Times New Roman" w:cs="Times New Roman"/>
          <w:sz w:val="24"/>
          <w:lang w:eastAsia="zh-CN"/>
        </w:rPr>
        <w:t>地砖</w:t>
      </w:r>
      <w:r>
        <w:rPr>
          <w:rFonts w:hint="eastAsia" w:ascii="Times New Roman" w:hAnsi="Times New Roman" w:cs="Times New Roman"/>
          <w:sz w:val="24"/>
        </w:rPr>
        <w:t>、吊顶、橱柜</w:t>
      </w:r>
      <w:r>
        <w:rPr>
          <w:rFonts w:ascii="Times New Roman" w:hAnsi="Times New Roman" w:cs="Times New Roman"/>
          <w:sz w:val="24"/>
        </w:rPr>
        <w:t>等</w:t>
      </w:r>
      <w:r>
        <w:rPr>
          <w:rFonts w:hint="eastAsia" w:ascii="Times New Roman" w:hAnsi="Times New Roman" w:cs="Times New Roman"/>
          <w:sz w:val="24"/>
          <w:lang w:eastAsia="zh-CN"/>
        </w:rPr>
        <w:t>，家具家电包括挂式空调、热水器、床等</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三、价值类型：市场价值</w:t>
      </w:r>
    </w:p>
    <w:p>
      <w:pPr>
        <w:spacing w:line="360" w:lineRule="auto"/>
        <w:ind w:firstLine="480" w:firstLineChars="200"/>
        <w:rPr>
          <w:rFonts w:hint="eastAsia" w:ascii="Times New Roman" w:hAnsi="Times New Roman" w:cs="Times New Roman" w:eastAsiaTheme="minorEastAsia"/>
          <w:sz w:val="24"/>
          <w:lang w:eastAsia="zh-CN"/>
        </w:rPr>
      </w:pPr>
      <w:r>
        <w:rPr>
          <w:rFonts w:ascii="Times New Roman" w:hAnsi="Times New Roman" w:cs="Times New Roman"/>
          <w:sz w:val="24"/>
        </w:rPr>
        <w:t>四、评估基准日：</w:t>
      </w:r>
      <w:r>
        <w:rPr>
          <w:rFonts w:hint="eastAsia" w:ascii="Times New Roman" w:hAnsi="Times New Roman" w:cs="Times New Roman"/>
          <w:sz w:val="24"/>
          <w:lang w:eastAsia="zh-CN"/>
        </w:rPr>
        <w:t>2022年7月19日</w:t>
      </w:r>
    </w:p>
    <w:p>
      <w:pPr>
        <w:spacing w:line="360" w:lineRule="auto"/>
        <w:ind w:firstLine="480" w:firstLineChars="200"/>
        <w:rPr>
          <w:rFonts w:ascii="Times New Roman" w:hAnsi="Times New Roman" w:eastAsia="宋体" w:cs="Times New Roman"/>
          <w:sz w:val="24"/>
        </w:rPr>
      </w:pPr>
      <w:r>
        <w:rPr>
          <w:rFonts w:ascii="Times New Roman" w:hAnsi="Times New Roman" w:cs="Times New Roman"/>
          <w:sz w:val="24"/>
        </w:rPr>
        <w:t>五、评估方法：市场法、成本法</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六、评估结论：在评估假设及限制条件下，列入评估范围的资产在评估基准日的评估价值为</w:t>
      </w:r>
      <w:r>
        <w:rPr>
          <w:rFonts w:hint="eastAsia" w:ascii="Times New Roman" w:hAnsi="Times New Roman" w:cs="Times New Roman"/>
          <w:sz w:val="24"/>
          <w:lang w:eastAsia="zh-CN"/>
        </w:rPr>
        <w:t>2,058,000.00</w:t>
      </w:r>
      <w:r>
        <w:rPr>
          <w:rFonts w:ascii="Times New Roman" w:hAnsi="Times New Roman" w:cs="Times New Roman"/>
          <w:sz w:val="24"/>
        </w:rPr>
        <w:t>元（大写人民币</w:t>
      </w:r>
      <w:r>
        <w:rPr>
          <w:rFonts w:hint="eastAsia" w:ascii="Times New Roman" w:hAnsi="Times New Roman" w:cs="Times New Roman"/>
          <w:sz w:val="24"/>
          <w:lang w:eastAsia="zh-CN"/>
        </w:rPr>
        <w:t>贰佰零伍万捌仟</w:t>
      </w:r>
      <w:r>
        <w:rPr>
          <w:rFonts w:ascii="Times New Roman" w:hAnsi="Times New Roman" w:cs="Times New Roman"/>
          <w:sz w:val="24"/>
        </w:rPr>
        <w:t>元整），具体信息如下：</w:t>
      </w:r>
    </w:p>
    <w:p>
      <w:pPr>
        <w:pStyle w:val="2"/>
        <w:jc w:val="right"/>
      </w:pPr>
      <w:r>
        <w:rPr>
          <w:rFonts w:hint="eastAsia" w:ascii="Times New Roman" w:cs="Times New Roman"/>
          <w:sz w:val="24"/>
          <w:lang w:eastAsia="zh-CN"/>
        </w:rPr>
        <w:t>金额单位：人民币元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234"/>
        <w:gridCol w:w="891"/>
        <w:gridCol w:w="117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序号</w:t>
            </w:r>
          </w:p>
        </w:tc>
        <w:tc>
          <w:tcPr>
            <w:tcW w:w="3234"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项目</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单位</w:t>
            </w:r>
          </w:p>
        </w:tc>
        <w:tc>
          <w:tcPr>
            <w:tcW w:w="1173"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数量</w:t>
            </w:r>
          </w:p>
        </w:tc>
        <w:tc>
          <w:tcPr>
            <w:tcW w:w="2234"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lang w:eastAsia="zh-Hans"/>
              </w:rPr>
              <w:t>评估价值</w:t>
            </w:r>
            <w:r>
              <w:rPr>
                <w:rFonts w:ascii="Times New Roman" w:hAnsi="Times New Roman" w:cs="Times New Roman"/>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1</w:t>
            </w:r>
          </w:p>
        </w:tc>
        <w:tc>
          <w:tcPr>
            <w:tcW w:w="3234" w:type="dxa"/>
          </w:tcPr>
          <w:p>
            <w:pPr>
              <w:tabs>
                <w:tab w:val="left" w:pos="840"/>
              </w:tabs>
              <w:spacing w:line="360" w:lineRule="auto"/>
              <w:rPr>
                <w:rFonts w:ascii="Times New Roman" w:hAnsi="Times New Roman" w:cs="Times New Roman"/>
                <w:sz w:val="24"/>
              </w:rPr>
            </w:pPr>
            <w:r>
              <w:rPr>
                <w:rFonts w:ascii="Times New Roman" w:hAnsi="Times New Roman" w:cs="Times New Roman"/>
                <w:sz w:val="24"/>
              </w:rPr>
              <w:t>房地产</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w:t>
            </w:r>
          </w:p>
        </w:tc>
        <w:tc>
          <w:tcPr>
            <w:tcW w:w="1173" w:type="dxa"/>
          </w:tcPr>
          <w:p>
            <w:pPr>
              <w:tabs>
                <w:tab w:val="left" w:pos="840"/>
              </w:tabs>
              <w:spacing w:line="360" w:lineRule="auto"/>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164.53</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1,942,100.00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2</w:t>
            </w:r>
          </w:p>
        </w:tc>
        <w:tc>
          <w:tcPr>
            <w:tcW w:w="3234" w:type="dxa"/>
          </w:tcPr>
          <w:p>
            <w:pPr>
              <w:tabs>
                <w:tab w:val="left" w:pos="840"/>
              </w:tabs>
              <w:spacing w:line="360" w:lineRule="auto"/>
              <w:rPr>
                <w:rFonts w:ascii="Times New Roman" w:hAnsi="Times New Roman" w:cs="Times New Roman"/>
                <w:sz w:val="24"/>
              </w:rPr>
            </w:pPr>
            <w:r>
              <w:rPr>
                <w:rFonts w:ascii="Times New Roman" w:hAnsi="Times New Roman" w:cs="Times New Roman"/>
                <w:sz w:val="24"/>
              </w:rPr>
              <w:t>室内装修</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项</w:t>
            </w:r>
          </w:p>
        </w:tc>
        <w:tc>
          <w:tcPr>
            <w:tcW w:w="1173"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1.00</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87,500.00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3</w:t>
            </w:r>
          </w:p>
        </w:tc>
        <w:tc>
          <w:tcPr>
            <w:tcW w:w="3234" w:type="dxa"/>
          </w:tcPr>
          <w:p>
            <w:pPr>
              <w:tabs>
                <w:tab w:val="left" w:pos="840"/>
              </w:tabs>
              <w:spacing w:line="360" w:lineRule="auto"/>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家具家电</w:t>
            </w:r>
          </w:p>
        </w:tc>
        <w:tc>
          <w:tcPr>
            <w:tcW w:w="891"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Hans" w:bidi="ar-SA"/>
              </w:rPr>
            </w:pPr>
            <w:r>
              <w:rPr>
                <w:rFonts w:ascii="Times New Roman" w:hAnsi="Times New Roman" w:cs="Times New Roman"/>
                <w:sz w:val="24"/>
                <w:lang w:eastAsia="zh-Hans"/>
              </w:rPr>
              <w:t>项</w:t>
            </w:r>
          </w:p>
        </w:tc>
        <w:tc>
          <w:tcPr>
            <w:tcW w:w="1173"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CN" w:bidi="ar-SA"/>
              </w:rPr>
            </w:pPr>
            <w:r>
              <w:rPr>
                <w:rFonts w:ascii="Times New Roman" w:hAnsi="Times New Roman" w:cs="Times New Roman"/>
                <w:sz w:val="24"/>
              </w:rPr>
              <w:t>1.00</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28,400.00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0" w:type="dxa"/>
          </w:tcPr>
          <w:p>
            <w:pPr>
              <w:tabs>
                <w:tab w:val="left" w:pos="840"/>
              </w:tabs>
              <w:spacing w:line="360" w:lineRule="auto"/>
              <w:rPr>
                <w:rFonts w:ascii="Times New Roman" w:hAnsi="Times New Roman" w:cs="Times New Roman"/>
                <w:sz w:val="24"/>
              </w:rPr>
            </w:pPr>
          </w:p>
        </w:tc>
        <w:tc>
          <w:tcPr>
            <w:tcW w:w="3234"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合计</w:t>
            </w:r>
          </w:p>
        </w:tc>
        <w:tc>
          <w:tcPr>
            <w:tcW w:w="891"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Hans" w:bidi="ar-SA"/>
              </w:rPr>
            </w:pPr>
          </w:p>
        </w:tc>
        <w:tc>
          <w:tcPr>
            <w:tcW w:w="1173"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CN" w:bidi="ar-SA"/>
              </w:rPr>
            </w:pPr>
          </w:p>
        </w:tc>
        <w:tc>
          <w:tcPr>
            <w:tcW w:w="2234" w:type="dxa"/>
          </w:tcPr>
          <w:p>
            <w:pPr>
              <w:tabs>
                <w:tab w:val="left" w:pos="840"/>
              </w:tabs>
              <w:spacing w:line="360" w:lineRule="auto"/>
              <w:jc w:val="right"/>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2,058,000.00</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本报告书评估结论的有效期限为壹年，自评估基准日</w:t>
      </w:r>
      <w:r>
        <w:rPr>
          <w:rFonts w:hint="eastAsia" w:ascii="Times New Roman" w:hAnsi="Times New Roman" w:cs="Times New Roman"/>
          <w:sz w:val="24"/>
          <w:lang w:eastAsia="zh-CN"/>
        </w:rPr>
        <w:t>2022年7月19日</w:t>
      </w:r>
      <w:r>
        <w:rPr>
          <w:rFonts w:ascii="Times New Roman" w:hAnsi="Times New Roman" w:cs="Times New Roman"/>
          <w:sz w:val="24"/>
        </w:rPr>
        <w:t>起</w:t>
      </w:r>
      <w:r>
        <w:rPr>
          <w:rFonts w:hint="eastAsia" w:ascii="Times New Roman" w:hAnsi="Times New Roman" w:cs="Times New Roman"/>
          <w:sz w:val="24"/>
          <w:lang w:eastAsia="zh-CN"/>
        </w:rPr>
        <w:t>2023年7月18日</w:t>
      </w:r>
      <w:r>
        <w:rPr>
          <w:rFonts w:ascii="Times New Roman" w:hAnsi="Times New Roman" w:cs="Times New Roman"/>
          <w:sz w:val="24"/>
        </w:rPr>
        <w:t>止，只有当评估基准日与经济行为实现日期不超过一年时，才可以使用本评估报告，超过期限，需重新确定评估结论。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tabs>
          <w:tab w:val="left" w:pos="840"/>
        </w:tabs>
        <w:spacing w:line="360" w:lineRule="auto"/>
        <w:ind w:firstLine="482" w:firstLineChars="200"/>
        <w:rPr>
          <w:rFonts w:ascii="Times New Roman" w:hAnsi="Times New Roman" w:cs="Times New Roman"/>
          <w:b/>
          <w:bCs/>
          <w:color w:val="000000"/>
          <w:sz w:val="24"/>
        </w:rPr>
      </w:pPr>
    </w:p>
    <w:p>
      <w:pPr>
        <w:pStyle w:val="2"/>
        <w:spacing w:line="360" w:lineRule="auto"/>
        <w:ind w:firstLine="602" w:firstLineChars="200"/>
        <w:rPr>
          <w:rFonts w:ascii="Times New Roman" w:eastAsia="华文仿宋" w:cs="Times New Roman"/>
          <w:b/>
          <w:bCs/>
          <w:sz w:val="30"/>
          <w:szCs w:val="30"/>
          <w:shd w:val="clear" w:color="auto" w:fill="FFFFFF"/>
        </w:rPr>
      </w:pPr>
      <w:r>
        <w:rPr>
          <w:rFonts w:ascii="Times New Roman" w:eastAsia="华文仿宋" w:cs="Times New Roman"/>
          <w:b/>
          <w:bCs/>
          <w:sz w:val="30"/>
          <w:szCs w:val="30"/>
        </w:rPr>
        <w:t>以上摘自评估报告正文，欲了解本评估项目的详细情况和合理理解评估结论，应当阅读评估报告正文，</w:t>
      </w:r>
      <w:r>
        <w:rPr>
          <w:rFonts w:ascii="Times New Roman" w:eastAsia="华文仿宋" w:cs="Times New Roman"/>
          <w:b/>
          <w:bCs/>
          <w:sz w:val="30"/>
          <w:szCs w:val="30"/>
          <w:shd w:val="clear" w:color="auto" w:fill="FFFFFF"/>
        </w:rPr>
        <w:t>同时提请资产评估报告使用人关注资产评估报告中的评估假设、限制使用条件以及特别事项说明。</w:t>
      </w: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ind w:firstLine="602" w:firstLineChars="200"/>
        <w:rPr>
          <w:rFonts w:ascii="Times New Roman" w:eastAsia="华文仿宋" w:cs="Times New Roman"/>
          <w:b/>
          <w:bCs/>
          <w:sz w:val="30"/>
          <w:szCs w:val="30"/>
          <w:shd w:val="clear" w:color="auto" w:fill="FFFFFF"/>
        </w:rPr>
      </w:pPr>
    </w:p>
    <w:p>
      <w:pPr>
        <w:pStyle w:val="2"/>
        <w:spacing w:line="360" w:lineRule="auto"/>
        <w:rPr>
          <w:rFonts w:ascii="Times New Roman" w:eastAsia="华文仿宋" w:cs="Times New Roman"/>
          <w:b/>
          <w:bCs/>
          <w:sz w:val="30"/>
          <w:szCs w:val="30"/>
          <w:shd w:val="clear" w:color="auto" w:fill="FFFFFF"/>
        </w:rPr>
      </w:pPr>
    </w:p>
    <w:p>
      <w:pPr>
        <w:spacing w:line="360" w:lineRule="auto"/>
        <w:ind w:right="-2" w:rightChars="-1"/>
        <w:jc w:val="center"/>
        <w:rPr>
          <w:rFonts w:ascii="Times New Roman" w:hAnsi="Times New Roman" w:cs="Times New Roman"/>
          <w:b/>
          <w:sz w:val="24"/>
        </w:rPr>
      </w:pPr>
      <w:r>
        <w:rPr>
          <w:rFonts w:ascii="Times New Roman" w:hAnsi="Times New Roman" w:cs="Times New Roman"/>
          <w:b/>
          <w:sz w:val="24"/>
        </w:rPr>
        <w:t>杭州市富阳区人民法院拟司法执行财产处置涉及的</w:t>
      </w:r>
      <w:r>
        <w:rPr>
          <w:rFonts w:hint="eastAsia" w:ascii="Times New Roman" w:hAnsi="Times New Roman" w:cs="Times New Roman"/>
          <w:b/>
          <w:sz w:val="24"/>
          <w:lang w:eastAsia="zh-CN"/>
        </w:rPr>
        <w:t>庞旭明、潘玲玲</w:t>
      </w:r>
      <w:r>
        <w:rPr>
          <w:rFonts w:ascii="Times New Roman" w:hAnsi="Times New Roman" w:cs="Times New Roman"/>
          <w:b/>
          <w:sz w:val="24"/>
        </w:rPr>
        <w:t>拥有的</w:t>
      </w:r>
    </w:p>
    <w:p>
      <w:pPr>
        <w:spacing w:line="360" w:lineRule="auto"/>
        <w:ind w:right="-2" w:rightChars="-1"/>
        <w:jc w:val="center"/>
        <w:rPr>
          <w:rFonts w:hint="eastAsia" w:ascii="Times New Roman" w:hAnsi="Times New Roman" w:cs="Times New Roman"/>
          <w:b/>
          <w:sz w:val="24"/>
          <w:lang w:eastAsia="zh-CN"/>
        </w:rPr>
      </w:pPr>
      <w:r>
        <w:rPr>
          <w:rFonts w:ascii="Times New Roman" w:hAnsi="Times New Roman" w:cs="Times New Roman"/>
          <w:b/>
          <w:sz w:val="24"/>
        </w:rPr>
        <w:t>位于</w:t>
      </w:r>
      <w:r>
        <w:rPr>
          <w:rFonts w:hint="eastAsia" w:ascii="Times New Roman" w:hAnsi="Times New Roman" w:cs="Times New Roman"/>
          <w:b/>
          <w:sz w:val="24"/>
          <w:lang w:eastAsia="zh-CN"/>
        </w:rPr>
        <w:t>富春街道三联嘉苑33号704室房地产、室内装修和家具家电</w:t>
      </w:r>
    </w:p>
    <w:p>
      <w:pPr>
        <w:spacing w:line="360" w:lineRule="auto"/>
        <w:ind w:right="-2" w:rightChars="-1"/>
        <w:jc w:val="center"/>
        <w:rPr>
          <w:rFonts w:ascii="Times New Roman" w:hAnsi="Times New Roman" w:cs="Times New Roman"/>
          <w:b/>
          <w:sz w:val="28"/>
          <w:szCs w:val="28"/>
        </w:rPr>
      </w:pPr>
      <w:r>
        <w:rPr>
          <w:rFonts w:ascii="Times New Roman" w:hAnsi="Times New Roman" w:cs="Times New Roman"/>
          <w:b/>
          <w:sz w:val="24"/>
        </w:rPr>
        <w:t>市场价值司法评估项目</w:t>
      </w:r>
    </w:p>
    <w:p>
      <w:pPr>
        <w:pStyle w:val="12"/>
        <w:spacing w:before="0" w:after="0" w:line="360" w:lineRule="auto"/>
        <w:ind w:firstLine="482" w:firstLineChars="200"/>
        <w:rPr>
          <w:rFonts w:ascii="Times New Roman" w:hAnsi="Times New Roman" w:eastAsia="宋体"/>
          <w:bCs w:val="0"/>
          <w:color w:val="000000"/>
          <w:sz w:val="36"/>
          <w:szCs w:val="36"/>
        </w:rPr>
      </w:pPr>
      <w:r>
        <w:rPr>
          <w:rFonts w:ascii="Times New Roman" w:hAnsi="Times New Roman" w:eastAsia="宋体"/>
          <w:bCs w:val="0"/>
          <w:color w:val="000000"/>
          <w:sz w:val="24"/>
          <w:szCs w:val="24"/>
        </w:rPr>
        <w:t>资产评估报告</w:t>
      </w:r>
    </w:p>
    <w:p>
      <w:pPr>
        <w:pStyle w:val="12"/>
        <w:spacing w:before="0" w:after="0" w:line="360" w:lineRule="auto"/>
        <w:ind w:firstLine="482" w:firstLineChars="200"/>
        <w:rPr>
          <w:rFonts w:hint="eastAsia" w:ascii="Times New Roman" w:hAnsi="Times New Roman" w:eastAsia="宋体" w:cs="Times New Roman"/>
          <w:b/>
          <w:bCs/>
          <w:sz w:val="24"/>
          <w:lang w:eastAsia="zh-CN"/>
        </w:rPr>
      </w:pPr>
      <w:bookmarkStart w:id="20" w:name="_Toc37185837"/>
      <w:r>
        <w:rPr>
          <w:rFonts w:hint="eastAsia" w:ascii="Times New Roman" w:hAnsi="Times New Roman" w:eastAsia="宋体" w:cs="Times New Roman"/>
          <w:b/>
          <w:bCs/>
          <w:sz w:val="24"/>
          <w:lang w:eastAsia="zh-CN"/>
        </w:rPr>
        <w:t>富资评字【2022】SF第0051号</w:t>
      </w:r>
    </w:p>
    <w:p>
      <w:pPr>
        <w:pStyle w:val="12"/>
        <w:spacing w:before="0" w:after="0" w:line="360" w:lineRule="auto"/>
        <w:ind w:firstLine="643" w:firstLineChars="200"/>
        <w:rPr>
          <w:rFonts w:ascii="Times New Roman" w:hAnsi="Times New Roman"/>
        </w:rPr>
      </w:pPr>
      <w:bookmarkStart w:id="75" w:name="_GoBack"/>
      <w:bookmarkEnd w:id="75"/>
      <w:r>
        <w:rPr>
          <w:rFonts w:ascii="Times New Roman" w:hAnsi="Times New Roman"/>
        </w:rPr>
        <w:t>正  文</w:t>
      </w:r>
      <w:bookmarkEnd w:id="20"/>
    </w:p>
    <w:p>
      <w:pPr>
        <w:spacing w:line="360" w:lineRule="auto"/>
        <w:rPr>
          <w:rFonts w:ascii="Times New Roman" w:hAnsi="Times New Roman" w:eastAsia="宋体" w:cs="Times New Roman"/>
          <w:sz w:val="24"/>
        </w:rPr>
      </w:pPr>
      <w:r>
        <w:rPr>
          <w:rFonts w:ascii="Times New Roman" w:hAnsi="Times New Roman" w:eastAsia="宋体" w:cs="Times New Roman"/>
          <w:sz w:val="24"/>
        </w:rPr>
        <w:t>杭州市富阳区人民法院：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杭州富诚资产评估有限公司接受贵单位的委托，根据国家有关资产评估的规定，本着客观、独立、公正的原则，采用成本法、市场法，对</w:t>
      </w:r>
      <w:r>
        <w:rPr>
          <w:rFonts w:hint="eastAsia" w:ascii="Times New Roman" w:hAnsi="Times New Roman" w:eastAsia="宋体" w:cs="Times New Roman"/>
          <w:sz w:val="24"/>
        </w:rPr>
        <w:t>申请执行人</w:t>
      </w:r>
      <w:r>
        <w:rPr>
          <w:rFonts w:hint="eastAsia" w:ascii="Times New Roman" w:hAnsi="Times New Roman" w:eastAsia="宋体" w:cs="Times New Roman"/>
          <w:sz w:val="24"/>
          <w:lang w:eastAsia="zh-CN"/>
        </w:rPr>
        <w:t>华安民</w:t>
      </w:r>
      <w:r>
        <w:rPr>
          <w:rFonts w:hint="eastAsia" w:ascii="Times New Roman" w:hAnsi="Times New Roman" w:eastAsia="宋体" w:cs="Times New Roman"/>
          <w:sz w:val="24"/>
        </w:rPr>
        <w:t>与被执行人</w:t>
      </w:r>
      <w:r>
        <w:rPr>
          <w:rFonts w:hint="eastAsia" w:ascii="Times New Roman" w:hAnsi="Times New Roman" w:eastAsia="宋体" w:cs="Times New Roman"/>
          <w:sz w:val="24"/>
          <w:lang w:eastAsia="zh-CN"/>
        </w:rPr>
        <w:t>庞旭明民间借贷纠纷一案中</w:t>
      </w:r>
      <w:r>
        <w:rPr>
          <w:rFonts w:ascii="Times New Roman" w:hAnsi="Times New Roman" w:eastAsia="宋体" w:cs="Times New Roman"/>
          <w:sz w:val="24"/>
        </w:rPr>
        <w:t>涉及的</w:t>
      </w:r>
      <w:r>
        <w:rPr>
          <w:rFonts w:hint="eastAsia" w:ascii="Times New Roman" w:hAnsi="Times New Roman" w:eastAsia="宋体" w:cs="Times New Roman"/>
          <w:sz w:val="24"/>
          <w:lang w:eastAsia="zh-CN"/>
        </w:rPr>
        <w:t>房地产、室内装修和家具家电</w:t>
      </w:r>
      <w:r>
        <w:rPr>
          <w:rFonts w:ascii="Times New Roman" w:hAnsi="Times New Roman" w:eastAsia="宋体" w:cs="Times New Roman"/>
          <w:sz w:val="24"/>
        </w:rPr>
        <w:t>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我们认为，除本报告所载明的特别事项说明外，在符合评估基准日、评估假设等限制条件下，本报告所载评估结论对委托评估的资产在</w:t>
      </w:r>
      <w:r>
        <w:rPr>
          <w:rFonts w:hint="eastAsia" w:ascii="Times New Roman" w:hAnsi="Times New Roman" w:eastAsia="宋体" w:cs="Times New Roman"/>
          <w:sz w:val="24"/>
          <w:lang w:eastAsia="zh-CN"/>
        </w:rPr>
        <w:t>2022年7月19日</w:t>
      </w:r>
      <w:r>
        <w:rPr>
          <w:rFonts w:ascii="Times New Roman" w:hAnsi="Times New Roman" w:eastAsia="宋体" w:cs="Times New Roman"/>
          <w:sz w:val="24"/>
        </w:rPr>
        <w:t>所表现的市场价值作出了恰当的反映。现将资产评估情况及评估结果报告如下：</w:t>
      </w:r>
    </w:p>
    <w:p>
      <w:pPr>
        <w:pStyle w:val="3"/>
        <w:keepLines/>
        <w:numPr>
          <w:ilvl w:val="0"/>
          <w:numId w:val="0"/>
        </w:numPr>
        <w:autoSpaceDE/>
        <w:autoSpaceDN/>
        <w:adjustRightInd/>
        <w:spacing w:line="360" w:lineRule="auto"/>
        <w:ind w:right="0"/>
        <w:jc w:val="both"/>
        <w:textAlignment w:val="auto"/>
        <w:rPr>
          <w:rFonts w:ascii="Times New Roman" w:hAnsi="Times New Roman" w:eastAsia="宋体" w:cs="Times New Roman"/>
          <w:b/>
          <w:bCs/>
          <w:color w:val="000000"/>
          <w:sz w:val="24"/>
          <w:szCs w:val="24"/>
        </w:rPr>
      </w:pPr>
      <w:bookmarkStart w:id="21" w:name="_Toc37165316"/>
      <w:bookmarkStart w:id="22" w:name="_Toc37185838"/>
      <w:bookmarkStart w:id="23" w:name="_Toc498855171_WPSOffice_Level1"/>
      <w:r>
        <w:rPr>
          <w:rFonts w:ascii="Times New Roman" w:hAnsi="Times New Roman" w:eastAsia="宋体" w:cs="Times New Roman"/>
          <w:b/>
          <w:bCs/>
          <w:color w:val="000000"/>
          <w:sz w:val="24"/>
          <w:szCs w:val="24"/>
        </w:rPr>
        <w:t>一、委托人、</w:t>
      </w:r>
      <w:r>
        <w:rPr>
          <w:rFonts w:hint="eastAsia" w:ascii="Times New Roman" w:hAnsi="Times New Roman" w:eastAsia="宋体" w:cs="Times New Roman"/>
          <w:b/>
          <w:bCs/>
          <w:color w:val="000000"/>
          <w:sz w:val="24"/>
          <w:szCs w:val="24"/>
        </w:rPr>
        <w:t>产权持有者</w:t>
      </w:r>
      <w:r>
        <w:rPr>
          <w:rFonts w:ascii="Times New Roman" w:hAnsi="Times New Roman" w:eastAsia="宋体" w:cs="Times New Roman"/>
          <w:b/>
          <w:bCs/>
          <w:color w:val="000000"/>
          <w:sz w:val="24"/>
          <w:szCs w:val="24"/>
        </w:rPr>
        <w:t>和资产评估委托合同约定的其他资产评估报告使用人</w:t>
      </w:r>
      <w:bookmarkEnd w:id="21"/>
      <w:bookmarkEnd w:id="22"/>
      <w:bookmarkEnd w:id="23"/>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w:t>
      </w:r>
      <w:r>
        <w:rPr>
          <w:rFonts w:ascii="Times New Roman" w:hAnsi="Times New Roman" w:eastAsia="宋体" w:cs="Times New Roman"/>
          <w:sz w:val="24"/>
          <w:lang w:eastAsia="zh-Hans"/>
        </w:rPr>
        <w:t>一）</w:t>
      </w:r>
      <w:r>
        <w:rPr>
          <w:rFonts w:ascii="Times New Roman" w:hAnsi="Times New Roman" w:eastAsia="宋体" w:cs="Times New Roman"/>
          <w:sz w:val="24"/>
        </w:rPr>
        <w:t>委托人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名称：杭州市富阳区人民法院</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注册地址：杭州市富阳区文居街282号</w:t>
      </w:r>
    </w:p>
    <w:p>
      <w:pPr>
        <w:pStyle w:val="2"/>
        <w:spacing w:line="360" w:lineRule="auto"/>
        <w:ind w:firstLine="480"/>
        <w:rPr>
          <w:rFonts w:ascii="Times New Roman" w:cs="Times New Roman"/>
        </w:rPr>
      </w:pPr>
      <w:r>
        <w:rPr>
          <w:rFonts w:ascii="Times New Roman" w:cs="Times New Roman"/>
        </w:rPr>
        <w:t>类型：机关单位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负责人：赵平</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统一社会信用代码：11330183002506611K</w:t>
      </w:r>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w:t>
      </w:r>
      <w:r>
        <w:rPr>
          <w:rFonts w:ascii="Times New Roman" w:hAnsi="Times New Roman" w:eastAsia="宋体" w:cs="Times New Roman"/>
          <w:sz w:val="24"/>
          <w:lang w:eastAsia="zh-Hans"/>
        </w:rPr>
        <w:t>二）</w:t>
      </w:r>
      <w:r>
        <w:rPr>
          <w:rFonts w:hint="eastAsia" w:ascii="Times New Roman" w:hAnsi="Times New Roman" w:eastAsia="宋体" w:cs="Times New Roman"/>
          <w:sz w:val="24"/>
        </w:rPr>
        <w:t>产权持有者</w:t>
      </w:r>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自然人：</w:t>
      </w:r>
      <w:r>
        <w:rPr>
          <w:rFonts w:hint="eastAsia" w:ascii="Times New Roman" w:hAnsi="Times New Roman" w:eastAsia="宋体" w:cs="Times New Roman"/>
          <w:sz w:val="24"/>
          <w:lang w:eastAsia="zh-CN"/>
        </w:rPr>
        <w:t>庞旭明、潘玲玲</w:t>
      </w:r>
      <w:r>
        <w:rPr>
          <w:rFonts w:ascii="Times New Roman" w:hAnsi="Times New Roman" w:eastAsia="宋体" w:cs="Times New Roman"/>
          <w:sz w:val="24"/>
        </w:rPr>
        <w:t>。</w:t>
      </w:r>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（三）委托人、</w:t>
      </w:r>
      <w:r>
        <w:rPr>
          <w:rFonts w:hint="eastAsia" w:ascii="Times New Roman" w:hAnsi="Times New Roman" w:eastAsia="宋体" w:cs="Times New Roman"/>
          <w:sz w:val="24"/>
        </w:rPr>
        <w:t>产权持有者</w:t>
      </w:r>
      <w:r>
        <w:rPr>
          <w:rFonts w:ascii="Times New Roman" w:hAnsi="Times New Roman" w:eastAsia="宋体" w:cs="Times New Roman"/>
          <w:sz w:val="24"/>
        </w:rPr>
        <w:t>关系</w:t>
      </w:r>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委托人与</w:t>
      </w:r>
      <w:r>
        <w:rPr>
          <w:rFonts w:hint="eastAsia" w:ascii="Times New Roman" w:hAnsi="Times New Roman" w:eastAsia="宋体" w:cs="Times New Roman"/>
          <w:sz w:val="24"/>
        </w:rPr>
        <w:t>产权持有者</w:t>
      </w:r>
      <w:r>
        <w:rPr>
          <w:rFonts w:ascii="Times New Roman" w:hAnsi="Times New Roman" w:eastAsia="宋体" w:cs="Times New Roman"/>
          <w:sz w:val="24"/>
        </w:rPr>
        <w:t>的关系为资产处置的权利主体与被执行人。</w:t>
      </w:r>
    </w:p>
    <w:p>
      <w:pPr>
        <w:spacing w:line="360" w:lineRule="auto"/>
        <w:ind w:left="420" w:leftChars="200"/>
        <w:rPr>
          <w:rFonts w:ascii="Times New Roman" w:hAnsi="Times New Roman" w:eastAsia="宋体" w:cs="Times New Roman"/>
          <w:sz w:val="24"/>
        </w:rPr>
      </w:pPr>
      <w:r>
        <w:rPr>
          <w:rFonts w:ascii="Times New Roman" w:hAnsi="Times New Roman" w:eastAsia="宋体" w:cs="Times New Roman"/>
          <w:sz w:val="24"/>
        </w:rPr>
        <w:t>（四</w:t>
      </w:r>
      <w:r>
        <w:rPr>
          <w:rFonts w:ascii="Times New Roman" w:hAnsi="Times New Roman" w:eastAsia="宋体" w:cs="Times New Roman"/>
          <w:sz w:val="24"/>
          <w:lang w:eastAsia="zh-Hans"/>
        </w:rPr>
        <w:t>）</w:t>
      </w:r>
      <w:r>
        <w:rPr>
          <w:rFonts w:ascii="Times New Roman" w:hAnsi="Times New Roman" w:eastAsia="宋体" w:cs="Times New Roman"/>
          <w:sz w:val="24"/>
        </w:rPr>
        <w:t>资产评估报告使用人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本资产评估报告的使用人包括委托人以及国家法律、法规规定的其他报告使用者。</w:t>
      </w:r>
    </w:p>
    <w:p>
      <w:pPr>
        <w:tabs>
          <w:tab w:val="left" w:pos="540"/>
        </w:tabs>
        <w:spacing w:line="360" w:lineRule="auto"/>
        <w:outlineLvl w:val="0"/>
        <w:rPr>
          <w:rFonts w:ascii="Times New Roman" w:hAnsi="Times New Roman" w:eastAsia="宋体" w:cs="Times New Roman"/>
          <w:b/>
          <w:sz w:val="24"/>
        </w:rPr>
      </w:pPr>
      <w:bookmarkStart w:id="24" w:name="_Toc275872920"/>
      <w:bookmarkStart w:id="25" w:name="_Toc482701109_WPSOffice_Level1"/>
      <w:bookmarkStart w:id="26" w:name="_Toc37185839"/>
      <w:r>
        <w:rPr>
          <w:rFonts w:ascii="Times New Roman" w:hAnsi="Times New Roman" w:eastAsia="宋体" w:cs="Times New Roman"/>
          <w:b/>
          <w:sz w:val="24"/>
          <w:lang w:eastAsia="zh-Hans"/>
        </w:rPr>
        <w:t>二、</w:t>
      </w:r>
      <w:r>
        <w:rPr>
          <w:rFonts w:ascii="Times New Roman" w:hAnsi="Times New Roman" w:eastAsia="宋体" w:cs="Times New Roman"/>
          <w:b/>
          <w:sz w:val="24"/>
        </w:rPr>
        <w:t>评估目的</w:t>
      </w:r>
      <w:bookmarkEnd w:id="24"/>
      <w:bookmarkEnd w:id="25"/>
      <w:bookmarkEnd w:id="26"/>
    </w:p>
    <w:p>
      <w:pPr>
        <w:tabs>
          <w:tab w:val="left" w:pos="540"/>
        </w:tabs>
        <w:spacing w:line="360" w:lineRule="auto"/>
        <w:ind w:firstLine="480" w:firstLineChars="200"/>
        <w:outlineLvl w:val="0"/>
        <w:rPr>
          <w:rFonts w:ascii="Times New Roman" w:hAnsi="Times New Roman" w:eastAsia="宋体" w:cs="Times New Roman"/>
          <w:sz w:val="24"/>
        </w:rPr>
      </w:pPr>
      <w:r>
        <w:rPr>
          <w:rFonts w:ascii="Times New Roman" w:hAnsi="Times New Roman" w:eastAsia="宋体" w:cs="Times New Roman"/>
          <w:sz w:val="24"/>
        </w:rPr>
        <w:t>因执行</w:t>
      </w:r>
      <w:r>
        <w:rPr>
          <w:rFonts w:hint="eastAsia" w:ascii="Times New Roman" w:hAnsi="Times New Roman" w:eastAsia="宋体" w:cs="Times New Roman"/>
          <w:sz w:val="24"/>
          <w:lang w:eastAsia="zh-CN"/>
        </w:rPr>
        <w:t>（2021）浙0111执708号</w:t>
      </w:r>
      <w:r>
        <w:rPr>
          <w:rFonts w:hint="eastAsia" w:ascii="Times New Roman" w:hAnsi="Times New Roman" w:eastAsia="宋体" w:cs="Times New Roman"/>
          <w:sz w:val="24"/>
        </w:rPr>
        <w:t>申请执行人</w:t>
      </w:r>
      <w:r>
        <w:rPr>
          <w:rFonts w:hint="eastAsia" w:ascii="Times New Roman" w:hAnsi="Times New Roman" w:eastAsia="宋体" w:cs="Times New Roman"/>
          <w:sz w:val="24"/>
          <w:lang w:eastAsia="zh-CN"/>
        </w:rPr>
        <w:t>华安民</w:t>
      </w:r>
      <w:r>
        <w:rPr>
          <w:rFonts w:hint="eastAsia" w:ascii="Times New Roman" w:hAnsi="Times New Roman" w:eastAsia="宋体" w:cs="Times New Roman"/>
          <w:sz w:val="24"/>
        </w:rPr>
        <w:t>与被执行人</w:t>
      </w:r>
      <w:r>
        <w:rPr>
          <w:rFonts w:hint="eastAsia" w:ascii="Times New Roman" w:hAnsi="Times New Roman" w:eastAsia="宋体" w:cs="Times New Roman"/>
          <w:sz w:val="24"/>
          <w:lang w:eastAsia="zh-CN"/>
        </w:rPr>
        <w:t>庞旭明民间借贷纠纷一案中</w:t>
      </w:r>
      <w:r>
        <w:rPr>
          <w:rFonts w:ascii="Times New Roman" w:hAnsi="Times New Roman" w:eastAsia="宋体" w:cs="Times New Roman"/>
          <w:sz w:val="24"/>
        </w:rPr>
        <w:t>对位于</w:t>
      </w:r>
      <w:r>
        <w:rPr>
          <w:rFonts w:hint="eastAsia" w:ascii="Times New Roman" w:hAnsi="Times New Roman" w:eastAsia="宋体" w:cs="Times New Roman"/>
          <w:sz w:val="24"/>
          <w:lang w:eastAsia="zh-CN"/>
        </w:rPr>
        <w:t>富春街道三联嘉苑33号704室房地产、室内装修和家具家电</w:t>
      </w:r>
      <w:r>
        <w:rPr>
          <w:rFonts w:ascii="Times New Roman" w:hAnsi="Times New Roman" w:eastAsia="宋体" w:cs="Times New Roman"/>
          <w:sz w:val="24"/>
        </w:rPr>
        <w:t xml:space="preserve">进行价值评估。本次评估目的是为人民法院确定财产处置参考价提供服务。  </w:t>
      </w:r>
    </w:p>
    <w:p>
      <w:pPr>
        <w:tabs>
          <w:tab w:val="left" w:pos="540"/>
        </w:tabs>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本次经济行为取得杭州市富阳区人民法院提供的</w:t>
      </w:r>
      <w:r>
        <w:rPr>
          <w:rFonts w:hint="eastAsia" w:ascii="Times New Roman" w:hAnsi="Times New Roman" w:eastAsia="宋体" w:cs="Times New Roman"/>
          <w:bCs/>
          <w:sz w:val="24"/>
        </w:rPr>
        <w:t>（2022）杭富法委评字第</w:t>
      </w:r>
      <w:r>
        <w:rPr>
          <w:rFonts w:hint="eastAsia" w:ascii="Times New Roman" w:hAnsi="Times New Roman" w:eastAsia="宋体" w:cs="Times New Roman"/>
          <w:bCs/>
          <w:sz w:val="24"/>
          <w:lang w:val="en-US" w:eastAsia="zh-CN"/>
        </w:rPr>
        <w:t>82</w:t>
      </w:r>
      <w:r>
        <w:rPr>
          <w:rFonts w:hint="eastAsia" w:ascii="Times New Roman" w:hAnsi="Times New Roman" w:eastAsia="宋体" w:cs="Times New Roman"/>
          <w:bCs/>
          <w:sz w:val="24"/>
        </w:rPr>
        <w:t>号</w:t>
      </w:r>
      <w:r>
        <w:rPr>
          <w:rFonts w:hint="eastAsia" w:ascii="Times New Roman" w:hAnsi="Times New Roman" w:eastAsia="宋体" w:cs="Times New Roman"/>
          <w:bCs/>
          <w:sz w:val="24"/>
          <w:lang w:eastAsia="zh-CN"/>
        </w:rPr>
        <w:t>《司法评估委托书》</w:t>
      </w:r>
      <w:r>
        <w:rPr>
          <w:rFonts w:ascii="Times New Roman" w:hAnsi="Times New Roman" w:eastAsia="宋体" w:cs="Times New Roman"/>
          <w:bCs/>
          <w:sz w:val="24"/>
        </w:rPr>
        <w:t>。</w:t>
      </w:r>
    </w:p>
    <w:p>
      <w:pPr>
        <w:tabs>
          <w:tab w:val="left" w:pos="540"/>
        </w:tabs>
        <w:spacing w:line="360" w:lineRule="auto"/>
        <w:outlineLvl w:val="0"/>
        <w:rPr>
          <w:rFonts w:ascii="Times New Roman" w:hAnsi="Times New Roman" w:eastAsia="宋体" w:cs="Times New Roman"/>
          <w:b/>
          <w:sz w:val="24"/>
        </w:rPr>
      </w:pPr>
      <w:bookmarkStart w:id="27" w:name="_Toc275872921"/>
      <w:bookmarkStart w:id="28" w:name="_Toc1711804244_WPSOffice_Level1"/>
      <w:bookmarkStart w:id="29" w:name="_Toc37185840"/>
      <w:r>
        <w:rPr>
          <w:rFonts w:ascii="Times New Roman" w:hAnsi="Times New Roman" w:eastAsia="宋体" w:cs="Times New Roman"/>
          <w:b/>
          <w:sz w:val="24"/>
          <w:lang w:eastAsia="zh-Hans"/>
        </w:rPr>
        <w:t>三、</w:t>
      </w:r>
      <w:r>
        <w:rPr>
          <w:rFonts w:ascii="Times New Roman" w:hAnsi="Times New Roman" w:eastAsia="宋体" w:cs="Times New Roman"/>
          <w:b/>
          <w:sz w:val="24"/>
        </w:rPr>
        <w:t>评估对象及</w:t>
      </w:r>
      <w:bookmarkEnd w:id="27"/>
      <w:r>
        <w:rPr>
          <w:rFonts w:ascii="Times New Roman" w:hAnsi="Times New Roman" w:eastAsia="宋体" w:cs="Times New Roman"/>
          <w:b/>
          <w:sz w:val="24"/>
        </w:rPr>
        <w:t>范围</w:t>
      </w:r>
      <w:bookmarkEnd w:id="28"/>
      <w:bookmarkEnd w:id="29"/>
    </w:p>
    <w:p>
      <w:pPr>
        <w:pStyle w:val="7"/>
        <w:adjustRightInd w:val="0"/>
        <w:snapToGrid w:val="0"/>
        <w:spacing w:after="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评估对象是位于</w:t>
      </w:r>
      <w:r>
        <w:rPr>
          <w:rFonts w:hint="eastAsia" w:ascii="Times New Roman" w:hAnsi="Times New Roman" w:eastAsia="宋体" w:cs="Times New Roman"/>
          <w:sz w:val="24"/>
          <w:lang w:eastAsia="zh-CN"/>
        </w:rPr>
        <w:t>富春街道三联嘉苑33号704室房地产、室内装修和家具家电</w:t>
      </w:r>
      <w:r>
        <w:rPr>
          <w:rFonts w:ascii="Times New Roman" w:hAnsi="Times New Roman" w:eastAsia="宋体" w:cs="Times New Roman"/>
          <w:sz w:val="24"/>
        </w:rPr>
        <w:t>的市场价值。</w:t>
      </w:r>
    </w:p>
    <w:p>
      <w:pPr>
        <w:pStyle w:val="7"/>
        <w:adjustRightInd w:val="0"/>
        <w:snapToGrid w:val="0"/>
        <w:spacing w:after="0" w:line="360" w:lineRule="auto"/>
        <w:ind w:firstLine="480" w:firstLineChars="200"/>
        <w:rPr>
          <w:rFonts w:hint="eastAsia" w:ascii="Times New Roman" w:hAnsi="Times New Roman" w:eastAsia="宋体" w:cs="Times New Roman"/>
          <w:sz w:val="24"/>
        </w:rPr>
      </w:pPr>
      <w:r>
        <w:rPr>
          <w:rFonts w:ascii="Times New Roman" w:hAnsi="Times New Roman" w:eastAsia="宋体" w:cs="Times New Roman"/>
          <w:sz w:val="24"/>
        </w:rPr>
        <w:t>评估范围为位于</w:t>
      </w:r>
      <w:r>
        <w:rPr>
          <w:rFonts w:hint="eastAsia" w:ascii="Times New Roman" w:hAnsi="Times New Roman" w:eastAsia="宋体" w:cs="Times New Roman"/>
          <w:sz w:val="24"/>
          <w:lang w:eastAsia="zh-CN"/>
        </w:rPr>
        <w:t>富春街道三联嘉苑33号704室房地产、室内装修和家具家电</w:t>
      </w:r>
      <w:r>
        <w:rPr>
          <w:rFonts w:hint="eastAsia" w:ascii="Times New Roman" w:hAnsi="Times New Roman" w:eastAsia="宋体" w:cs="Times New Roman"/>
          <w:sz w:val="24"/>
        </w:rPr>
        <w:t>，具体信息如下：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资产</w:t>
      </w:r>
      <w:r>
        <w:rPr>
          <w:rFonts w:ascii="Times New Roman" w:hAnsi="Times New Roman" w:eastAsia="宋体" w:cs="Times New Roman"/>
          <w:sz w:val="24"/>
        </w:rPr>
        <w:t>权利状况</w:t>
      </w:r>
      <w:r>
        <w:rPr>
          <w:rFonts w:hint="eastAsia" w:ascii="Times New Roman" w:hAnsi="Times New Roman" w:eastAsia="宋体" w:cs="Times New Roman"/>
          <w:sz w:val="24"/>
        </w:rPr>
        <w:t>分析</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90"/>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Merge w:val="restar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项目</w:t>
            </w:r>
          </w:p>
        </w:tc>
        <w:tc>
          <w:tcPr>
            <w:tcW w:w="668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Merge w:val="continue"/>
            <w:vAlign w:val="center"/>
          </w:tcPr>
          <w:p>
            <w:pPr>
              <w:jc w:val="center"/>
              <w:rPr>
                <w:rFonts w:ascii="Times New Roman" w:hAnsi="Times New Roman" w:eastAsia="宋体" w:cs="Times New Roman"/>
                <w:sz w:val="24"/>
              </w:rPr>
            </w:pPr>
          </w:p>
        </w:tc>
        <w:tc>
          <w:tcPr>
            <w:tcW w:w="3390"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房屋</w:t>
            </w:r>
          </w:p>
        </w:tc>
        <w:tc>
          <w:tcPr>
            <w:tcW w:w="3293"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坐落</w:t>
            </w:r>
          </w:p>
        </w:tc>
        <w:tc>
          <w:tcPr>
            <w:tcW w:w="6683" w:type="dxa"/>
            <w:gridSpan w:val="2"/>
            <w:vAlign w:val="center"/>
          </w:tcPr>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富春街道三联嘉苑33号704室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证载面积（㎡）</w:t>
            </w:r>
          </w:p>
        </w:tc>
        <w:tc>
          <w:tcPr>
            <w:tcW w:w="3390" w:type="dxa"/>
            <w:vAlign w:val="center"/>
          </w:tcPr>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164.53</w:t>
            </w:r>
          </w:p>
        </w:tc>
        <w:tc>
          <w:tcPr>
            <w:tcW w:w="3293" w:type="dxa"/>
            <w:vAlign w:val="center"/>
          </w:tcPr>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用途</w:t>
            </w:r>
          </w:p>
        </w:tc>
        <w:tc>
          <w:tcPr>
            <w:tcW w:w="3390"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成套住宅</w:t>
            </w:r>
          </w:p>
        </w:tc>
        <w:tc>
          <w:tcPr>
            <w:tcW w:w="3293"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权证号</w:t>
            </w:r>
          </w:p>
        </w:tc>
        <w:tc>
          <w:tcPr>
            <w:tcW w:w="668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浙（2019）富阳区不动产权第00</w:t>
            </w:r>
            <w:r>
              <w:rPr>
                <w:rFonts w:hint="eastAsia" w:ascii="Times New Roman" w:hAnsi="Times New Roman" w:eastAsia="宋体" w:cs="Times New Roman"/>
                <w:sz w:val="24"/>
                <w:lang w:val="en-US" w:eastAsia="zh-CN"/>
              </w:rPr>
              <w:t>25041</w:t>
            </w:r>
            <w:r>
              <w:rPr>
                <w:rFonts w:hint="eastAsia" w:ascii="Times New Roman" w:hAnsi="Times New Roman" w:eastAsia="宋体" w:cs="Times New Roman"/>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权利类型</w:t>
            </w:r>
          </w:p>
        </w:tc>
        <w:tc>
          <w:tcPr>
            <w:tcW w:w="3390"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房屋（构筑物）所有权</w:t>
            </w:r>
          </w:p>
        </w:tc>
        <w:tc>
          <w:tcPr>
            <w:tcW w:w="3293"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权利性质</w:t>
            </w:r>
          </w:p>
        </w:tc>
        <w:tc>
          <w:tcPr>
            <w:tcW w:w="3390"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安置房</w:t>
            </w:r>
          </w:p>
        </w:tc>
        <w:tc>
          <w:tcPr>
            <w:tcW w:w="3293"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登记日期</w:t>
            </w:r>
          </w:p>
        </w:tc>
        <w:tc>
          <w:tcPr>
            <w:tcW w:w="668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2019年0</w:t>
            </w:r>
            <w:r>
              <w:rPr>
                <w:rFonts w:hint="eastAsia" w:ascii="Times New Roman" w:hAnsi="Times New Roman" w:eastAsia="宋体" w:cs="Times New Roman"/>
                <w:sz w:val="24"/>
                <w:lang w:val="en-US" w:eastAsia="zh-CN"/>
              </w:rPr>
              <w:t>8</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06</w:t>
            </w:r>
            <w:r>
              <w:rPr>
                <w:rFonts w:hint="eastAsia" w:ascii="Times New Roman" w:hAnsi="Times New Roman" w:eastAsia="宋体"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权利状况</w:t>
            </w:r>
          </w:p>
        </w:tc>
        <w:tc>
          <w:tcPr>
            <w:tcW w:w="668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使用期限</w:t>
            </w:r>
          </w:p>
        </w:tc>
        <w:tc>
          <w:tcPr>
            <w:tcW w:w="6683"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rPr>
              <w:t>4年</w:t>
            </w:r>
            <w:r>
              <w:rPr>
                <w:rFonts w:hint="eastAsia" w:ascii="Times New Roman" w:hAnsi="Times New Roman" w:eastAsia="宋体" w:cs="Times New Roman"/>
                <w:sz w:val="24"/>
                <w:lang w:val="en-US" w:eastAsia="zh-CN"/>
              </w:rPr>
              <w:t>08</w:t>
            </w:r>
            <w:r>
              <w:rPr>
                <w:rFonts w:hint="eastAsia" w:ascii="Times New Roman" w:hAnsi="Times New Roman" w:eastAsia="宋体" w:cs="Times New Roman"/>
                <w:sz w:val="24"/>
              </w:rPr>
              <w:t>月0</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日至20</w:t>
            </w:r>
            <w:r>
              <w:rPr>
                <w:rFonts w:hint="eastAsia" w:ascii="Times New Roman" w:hAnsi="Times New Roman" w:eastAsia="宋体" w:cs="Times New Roman"/>
                <w:sz w:val="24"/>
                <w:lang w:val="en-US" w:eastAsia="zh-CN"/>
              </w:rPr>
              <w:t>84</w:t>
            </w:r>
            <w:r>
              <w:rPr>
                <w:rFonts w:hint="eastAsia" w:ascii="Times New Roman" w:hAnsi="Times New Roman" w:eastAsia="宋体" w:cs="Times New Roman"/>
                <w:sz w:val="24"/>
              </w:rPr>
              <w:t>年</w:t>
            </w:r>
            <w:r>
              <w:rPr>
                <w:rFonts w:hint="eastAsia" w:ascii="Times New Roman" w:hAnsi="Times New Roman" w:eastAsia="宋体" w:cs="Times New Roman"/>
                <w:sz w:val="24"/>
                <w:lang w:val="en-US" w:eastAsia="zh-CN"/>
              </w:rPr>
              <w:t>08</w:t>
            </w:r>
            <w:r>
              <w:rPr>
                <w:rFonts w:hint="eastAsia" w:ascii="Times New Roman" w:hAnsi="Times New Roman" w:eastAsia="宋体" w:cs="Times New Roman"/>
                <w:sz w:val="24"/>
              </w:rPr>
              <w:t>月0</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附记</w:t>
            </w:r>
          </w:p>
        </w:tc>
        <w:tc>
          <w:tcPr>
            <w:tcW w:w="6683" w:type="dxa"/>
            <w:gridSpan w:val="2"/>
            <w:vAlign w:val="center"/>
          </w:tcPr>
          <w:p>
            <w:pPr>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p>
        </w:tc>
      </w:tr>
    </w:tbl>
    <w:p>
      <w:pPr>
        <w:spacing w:line="360" w:lineRule="auto"/>
        <w:ind w:firstLine="480" w:firstLineChars="200"/>
        <w:rPr>
          <w:rFonts w:ascii="Times New Roman" w:hAnsi="Times New Roman" w:eastAsia="宋体" w:cs="Times New Roman"/>
          <w:sz w:val="24"/>
        </w:rPr>
      </w:pPr>
      <w:r>
        <w:rPr>
          <w:rFonts w:hint="eastAsia" w:ascii="Times New Roman" w:cs="Times New Roman"/>
          <w:color w:val="000000"/>
          <w:sz w:val="24"/>
          <w:lang w:val="en-US" w:eastAsia="zh-CN"/>
        </w:rPr>
        <w:t>根据杭州市不动产权属信息查询房屋的权利人为潘玲玲，而根据委托人提供的《富阳区富春街道高教园综合体工程三联嘉苑安置协议》及与执行案件承办人确认，</w:t>
      </w:r>
      <w:r>
        <w:rPr>
          <w:rFonts w:hint="eastAsia" w:ascii="Times New Roman" w:hAnsi="Times New Roman" w:eastAsia="宋体" w:cs="Times New Roman"/>
          <w:sz w:val="24"/>
          <w:lang w:eastAsia="zh-CN"/>
        </w:rPr>
        <w:t>庞旭明为该房屋的权利人之一</w:t>
      </w:r>
      <w:r>
        <w:rPr>
          <w:rFonts w:hint="eastAsia" w:ascii="Times New Roman" w:cs="Times New Roman"/>
          <w:color w:val="000000"/>
          <w:sz w:val="24"/>
          <w:lang w:val="en-US" w:eastAsia="zh-CN"/>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资产实物状况分析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（1）土地实物状况描述分析</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评估范围内的房地产</w:t>
      </w:r>
      <w:r>
        <w:rPr>
          <w:rFonts w:ascii="Times New Roman" w:hAnsi="Times New Roman" w:eastAsia="宋体" w:cs="Times New Roman"/>
          <w:sz w:val="24"/>
        </w:rPr>
        <w:t>位于</w:t>
      </w:r>
      <w:r>
        <w:rPr>
          <w:rFonts w:hint="eastAsia" w:ascii="Times New Roman" w:hAnsi="Times New Roman" w:eastAsia="宋体" w:cs="Times New Roman"/>
          <w:sz w:val="24"/>
          <w:lang w:eastAsia="zh-CN"/>
        </w:rPr>
        <w:t>富春街道三联嘉苑33号704室</w:t>
      </w:r>
      <w:r>
        <w:rPr>
          <w:rFonts w:ascii="Times New Roman" w:hAnsi="Times New Roman" w:eastAsia="宋体" w:cs="Times New Roman"/>
          <w:sz w:val="24"/>
        </w:rPr>
        <w:t>，土地使用权面积</w:t>
      </w:r>
      <w:r>
        <w:rPr>
          <w:rFonts w:hint="eastAsia" w:ascii="Times New Roman" w:hAnsi="Times New Roman" w:eastAsia="宋体" w:cs="Times New Roman"/>
          <w:sz w:val="24"/>
          <w:lang w:eastAsia="zh-CN"/>
        </w:rPr>
        <w:t>9.69</w:t>
      </w:r>
      <w:r>
        <w:rPr>
          <w:rFonts w:ascii="Times New Roman" w:hAnsi="Times New Roman" w:eastAsia="宋体" w:cs="Times New Roman"/>
          <w:sz w:val="24"/>
        </w:rPr>
        <w:t>平方米。土地四至：</w:t>
      </w:r>
      <w:r>
        <w:rPr>
          <w:rFonts w:hint="eastAsia" w:ascii="Times New Roman" w:hAnsi="Times New Roman" w:eastAsia="宋体" w:cs="Times New Roman"/>
          <w:sz w:val="24"/>
        </w:rPr>
        <w:t>东至</w:t>
      </w:r>
      <w:r>
        <w:rPr>
          <w:rFonts w:hint="eastAsia" w:ascii="Times New Roman" w:hAnsi="Times New Roman" w:eastAsia="宋体" w:cs="Times New Roman"/>
          <w:sz w:val="24"/>
          <w:lang w:eastAsia="zh-CN"/>
        </w:rPr>
        <w:t>三联村综合服务楼</w:t>
      </w:r>
      <w:r>
        <w:rPr>
          <w:rFonts w:hint="eastAsia" w:ascii="Times New Roman" w:hAnsi="Times New Roman" w:eastAsia="宋体" w:cs="Times New Roman"/>
          <w:sz w:val="24"/>
        </w:rPr>
        <w:t>，南至</w:t>
      </w:r>
      <w:r>
        <w:rPr>
          <w:rFonts w:hint="eastAsia" w:ascii="Times New Roman" w:hAnsi="Times New Roman" w:eastAsia="宋体" w:cs="Times New Roman"/>
          <w:sz w:val="24"/>
          <w:lang w:eastAsia="zh-CN"/>
        </w:rPr>
        <w:t>百川街</w:t>
      </w:r>
      <w:r>
        <w:rPr>
          <w:rFonts w:hint="eastAsia" w:ascii="Times New Roman" w:hAnsi="Times New Roman" w:eastAsia="宋体" w:cs="Times New Roman"/>
          <w:sz w:val="24"/>
        </w:rPr>
        <w:t>，西</w:t>
      </w:r>
      <w:r>
        <w:rPr>
          <w:rFonts w:hint="eastAsia" w:ascii="Times New Roman" w:hAnsi="Times New Roman" w:eastAsia="宋体" w:cs="Times New Roman"/>
          <w:sz w:val="24"/>
          <w:lang w:eastAsia="zh-CN"/>
        </w:rPr>
        <w:t>临高源路</w:t>
      </w:r>
      <w:r>
        <w:rPr>
          <w:rFonts w:hint="eastAsia" w:ascii="Times New Roman" w:hAnsi="Times New Roman" w:eastAsia="宋体" w:cs="Times New Roman"/>
          <w:sz w:val="24"/>
        </w:rPr>
        <w:t>，北至</w:t>
      </w:r>
      <w:r>
        <w:rPr>
          <w:rFonts w:hint="eastAsia" w:ascii="Times New Roman" w:hAnsi="Times New Roman" w:eastAsia="宋体" w:cs="Times New Roman"/>
          <w:sz w:val="24"/>
          <w:lang w:eastAsia="zh-CN"/>
        </w:rPr>
        <w:t>高科路</w:t>
      </w:r>
      <w:r>
        <w:rPr>
          <w:rFonts w:ascii="Times New Roman" w:hAnsi="Times New Roman" w:eastAsia="宋体" w:cs="Times New Roman"/>
          <w:sz w:val="24"/>
        </w:rPr>
        <w:t>。土地形状规则，地质状况良好，地基承载性较好，土地平整，地势平坦。基础设施完备程度为六通一平，水、电、供排水接入市政管网。</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（2）建筑物实物状况描述分析</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评估范围内的房地产</w:t>
      </w:r>
      <w:r>
        <w:rPr>
          <w:rFonts w:ascii="Times New Roman" w:hAnsi="Times New Roman" w:eastAsia="宋体" w:cs="Times New Roman"/>
          <w:sz w:val="24"/>
        </w:rPr>
        <w:t>位于</w:t>
      </w:r>
      <w:r>
        <w:rPr>
          <w:rFonts w:hint="eastAsia" w:ascii="Times New Roman" w:hAnsi="Times New Roman" w:eastAsia="宋体" w:cs="Times New Roman"/>
          <w:sz w:val="24"/>
          <w:lang w:eastAsia="zh-CN"/>
        </w:rPr>
        <w:t>富春街道三联嘉苑33号704室</w:t>
      </w:r>
      <w:r>
        <w:rPr>
          <w:rFonts w:ascii="Times New Roman" w:hAnsi="Times New Roman" w:eastAsia="宋体" w:cs="Times New Roman"/>
          <w:sz w:val="24"/>
        </w:rPr>
        <w:t>，</w:t>
      </w:r>
      <w:r>
        <w:rPr>
          <w:rFonts w:hint="eastAsia" w:ascii="Times New Roman" w:hAnsi="Times New Roman" w:eastAsia="宋体" w:cs="Times New Roman"/>
          <w:sz w:val="24"/>
        </w:rPr>
        <w:t>所在楼层</w:t>
      </w: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层（总楼层</w:t>
      </w:r>
      <w:r>
        <w:rPr>
          <w:rFonts w:hint="eastAsia" w:ascii="Times New Roman" w:hAnsi="Times New Roman" w:eastAsia="宋体" w:cs="Times New Roman"/>
          <w:sz w:val="24"/>
          <w:lang w:val="en-US" w:eastAsia="zh-CN"/>
        </w:rPr>
        <w:t>19</w:t>
      </w:r>
      <w:r>
        <w:rPr>
          <w:rFonts w:hint="eastAsia" w:ascii="Times New Roman" w:hAnsi="Times New Roman" w:eastAsia="宋体" w:cs="Times New Roman"/>
          <w:sz w:val="24"/>
        </w:rPr>
        <w:t>层）。坐北</w:t>
      </w:r>
      <w:r>
        <w:rPr>
          <w:rFonts w:ascii="Times New Roman" w:hAnsi="Times New Roman" w:eastAsia="宋体" w:cs="Times New Roman"/>
          <w:sz w:val="24"/>
        </w:rPr>
        <w:t>朝南，室内布局</w:t>
      </w:r>
      <w:r>
        <w:rPr>
          <w:rFonts w:hint="eastAsia" w:ascii="Times New Roman" w:hAnsi="Times New Roman" w:eastAsia="宋体" w:cs="Times New Roman"/>
          <w:sz w:val="24"/>
          <w:lang w:eastAsia="zh-CN"/>
        </w:rPr>
        <w:t>分割成</w:t>
      </w:r>
      <w:r>
        <w:rPr>
          <w:rFonts w:hint="eastAsia" w:ascii="Times New Roman" w:hAnsi="Times New Roman" w:eastAsia="宋体" w:cs="Times New Roman"/>
          <w:sz w:val="24"/>
          <w:lang w:val="en-US" w:eastAsia="zh-CN"/>
        </w:rPr>
        <w:t>5间出租屋，为5室5卫1厨</w:t>
      </w:r>
      <w:r>
        <w:rPr>
          <w:rFonts w:hint="eastAsia" w:ascii="Times New Roman" w:hAnsi="Times New Roman" w:eastAsia="宋体" w:cs="Times New Roman"/>
          <w:sz w:val="24"/>
        </w:rPr>
        <w:t>，地面铺设</w:t>
      </w:r>
      <w:r>
        <w:rPr>
          <w:rFonts w:hint="eastAsia" w:ascii="Times New Roman" w:hAnsi="Times New Roman" w:eastAsia="宋体" w:cs="Times New Roman"/>
          <w:sz w:val="24"/>
          <w:lang w:eastAsia="zh-CN"/>
        </w:rPr>
        <w:t>地砖</w:t>
      </w:r>
      <w:r>
        <w:rPr>
          <w:rFonts w:hint="eastAsia" w:ascii="Times New Roman" w:hAnsi="Times New Roman" w:eastAsia="宋体" w:cs="Times New Roman"/>
          <w:sz w:val="24"/>
        </w:rPr>
        <w:t>，墙面涂料，顶面</w:t>
      </w:r>
      <w:r>
        <w:rPr>
          <w:rFonts w:hint="eastAsia" w:ascii="Times New Roman" w:hAnsi="Times New Roman" w:eastAsia="宋体" w:cs="Times New Roman"/>
          <w:sz w:val="24"/>
          <w:lang w:eastAsia="zh-CN"/>
        </w:rPr>
        <w:t>吊顶</w:t>
      </w:r>
      <w:r>
        <w:rPr>
          <w:rFonts w:hint="eastAsia" w:ascii="Times New Roman" w:hAnsi="Times New Roman" w:eastAsia="宋体" w:cs="Times New Roman"/>
          <w:sz w:val="24"/>
        </w:rPr>
        <w:t>等</w:t>
      </w:r>
      <w:r>
        <w:rPr>
          <w:rFonts w:ascii="Times New Roman" w:hAnsi="Times New Roman" w:eastAsia="宋体" w:cs="Times New Roman"/>
          <w:sz w:val="24"/>
        </w:rPr>
        <w:t>。建筑物建筑质量较好，维修、保养和使用情况为完好，房屋完损等级为完好房。本报告评估基准日后，评估报告日前</w:t>
      </w:r>
      <w:r>
        <w:rPr>
          <w:rFonts w:hint="eastAsia" w:ascii="Times New Roman" w:hAnsi="Times New Roman" w:eastAsia="宋体" w:cs="Times New Roman"/>
          <w:sz w:val="24"/>
        </w:rPr>
        <w:t>，评估范围内被查</w:t>
      </w:r>
      <w:r>
        <w:rPr>
          <w:rFonts w:hint="eastAsia" w:ascii="Times New Roman" w:hAnsi="Times New Roman" w:eastAsia="宋体" w:cs="Times New Roman"/>
          <w:sz w:val="24"/>
          <w:lang w:eastAsia="zh-CN"/>
        </w:rPr>
        <w:t>封</w:t>
      </w:r>
      <w:r>
        <w:rPr>
          <w:rFonts w:hint="eastAsia" w:ascii="Times New Roman" w:hAnsi="Times New Roman" w:eastAsia="宋体" w:cs="Times New Roman"/>
          <w:sz w:val="24"/>
        </w:rPr>
        <w:t>的房屋，现处于空置状态。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 3、</w:t>
      </w:r>
      <w:r>
        <w:rPr>
          <w:rFonts w:hint="eastAsia" w:ascii="Times New Roman" w:hAnsi="Times New Roman" w:eastAsia="宋体" w:cs="Times New Roman"/>
          <w:sz w:val="24"/>
        </w:rPr>
        <w:t>资产</w:t>
      </w:r>
      <w:r>
        <w:rPr>
          <w:rFonts w:ascii="Times New Roman" w:hAnsi="Times New Roman" w:eastAsia="宋体" w:cs="Times New Roman"/>
          <w:sz w:val="24"/>
        </w:rPr>
        <w:t xml:space="preserve">区域状况分析  </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富春街道三联嘉苑33号704室</w:t>
      </w:r>
      <w:r>
        <w:rPr>
          <w:rFonts w:ascii="Times New Roman" w:hAnsi="Times New Roman" w:eastAsia="宋体" w:cs="Times New Roman"/>
          <w:sz w:val="24"/>
        </w:rPr>
        <w:t>位于杭州市富阳区，</w:t>
      </w:r>
      <w:r>
        <w:rPr>
          <w:rFonts w:hint="eastAsia" w:ascii="Times New Roman" w:hAnsi="Times New Roman" w:eastAsia="宋体" w:cs="Times New Roman"/>
          <w:sz w:val="24"/>
        </w:rPr>
        <w:t>东至</w:t>
      </w:r>
      <w:r>
        <w:rPr>
          <w:rFonts w:hint="eastAsia" w:ascii="Times New Roman" w:hAnsi="Times New Roman" w:eastAsia="宋体" w:cs="Times New Roman"/>
          <w:sz w:val="24"/>
          <w:lang w:eastAsia="zh-CN"/>
        </w:rPr>
        <w:t>三联村综合服务楼</w:t>
      </w:r>
      <w:r>
        <w:rPr>
          <w:rFonts w:hint="eastAsia" w:ascii="Times New Roman" w:hAnsi="Times New Roman" w:eastAsia="宋体" w:cs="Times New Roman"/>
          <w:sz w:val="24"/>
        </w:rPr>
        <w:t>，南至</w:t>
      </w:r>
      <w:r>
        <w:rPr>
          <w:rFonts w:hint="eastAsia" w:ascii="Times New Roman" w:hAnsi="Times New Roman" w:eastAsia="宋体" w:cs="Times New Roman"/>
          <w:sz w:val="24"/>
          <w:lang w:eastAsia="zh-CN"/>
        </w:rPr>
        <w:t>百川街</w:t>
      </w:r>
      <w:r>
        <w:rPr>
          <w:rFonts w:hint="eastAsia" w:ascii="Times New Roman" w:hAnsi="Times New Roman" w:eastAsia="宋体" w:cs="Times New Roman"/>
          <w:sz w:val="24"/>
        </w:rPr>
        <w:t>，西</w:t>
      </w:r>
      <w:r>
        <w:rPr>
          <w:rFonts w:hint="eastAsia" w:ascii="Times New Roman" w:hAnsi="Times New Roman" w:eastAsia="宋体" w:cs="Times New Roman"/>
          <w:sz w:val="24"/>
          <w:lang w:eastAsia="zh-CN"/>
        </w:rPr>
        <w:t>临高源路</w:t>
      </w:r>
      <w:r>
        <w:rPr>
          <w:rFonts w:hint="eastAsia" w:ascii="Times New Roman" w:hAnsi="Times New Roman" w:eastAsia="宋体" w:cs="Times New Roman"/>
          <w:sz w:val="24"/>
        </w:rPr>
        <w:t>，北至</w:t>
      </w:r>
      <w:r>
        <w:rPr>
          <w:rFonts w:hint="eastAsia" w:ascii="Times New Roman" w:hAnsi="Times New Roman" w:eastAsia="宋体" w:cs="Times New Roman"/>
          <w:sz w:val="24"/>
          <w:lang w:eastAsia="zh-CN"/>
        </w:rPr>
        <w:t>高科路</w:t>
      </w:r>
      <w:r>
        <w:rPr>
          <w:rFonts w:ascii="Times New Roman" w:hAnsi="Times New Roman" w:eastAsia="宋体" w:cs="Times New Roman"/>
          <w:sz w:val="24"/>
        </w:rPr>
        <w:t>，交通较便捷，有</w:t>
      </w:r>
      <w:r>
        <w:rPr>
          <w:rFonts w:hint="eastAsia" w:ascii="Times New Roman" w:hAnsi="Times New Roman" w:eastAsia="宋体" w:cs="Times New Roman"/>
          <w:sz w:val="24"/>
        </w:rPr>
        <w:t>6</w:t>
      </w:r>
      <w:r>
        <w:rPr>
          <w:rFonts w:hint="eastAsia" w:ascii="Times New Roman" w:hAnsi="Times New Roman" w:eastAsia="宋体" w:cs="Times New Roman"/>
          <w:sz w:val="24"/>
          <w:lang w:val="en-US" w:eastAsia="zh-CN"/>
        </w:rPr>
        <w:t>20</w:t>
      </w:r>
      <w:r>
        <w:rPr>
          <w:rFonts w:hint="eastAsia" w:ascii="Times New Roman" w:hAnsi="Times New Roman" w:eastAsia="宋体" w:cs="Times New Roman"/>
          <w:sz w:val="24"/>
        </w:rPr>
        <w:t>路、621路</w:t>
      </w:r>
      <w:r>
        <w:rPr>
          <w:rFonts w:ascii="Times New Roman" w:hAnsi="Times New Roman" w:eastAsia="宋体" w:cs="Times New Roman"/>
          <w:sz w:val="24"/>
        </w:rPr>
        <w:t>等公交车设有停靠站，区域联内联外交通便捷，可通达各交通要道；周边银行有</w:t>
      </w:r>
      <w:r>
        <w:rPr>
          <w:rFonts w:hint="eastAsia" w:ascii="Times New Roman" w:hAnsi="Times New Roman" w:eastAsia="宋体" w:cs="Times New Roman"/>
          <w:sz w:val="24"/>
          <w:lang w:eastAsia="zh-CN"/>
        </w:rPr>
        <w:t>中国农业银行</w:t>
      </w:r>
      <w:r>
        <w:rPr>
          <w:rFonts w:hint="eastAsia" w:ascii="Times New Roman" w:hAnsi="Times New Roman" w:eastAsia="宋体" w:cs="Times New Roman"/>
          <w:sz w:val="24"/>
          <w:lang w:val="en-US" w:eastAsia="zh-CN"/>
        </w:rPr>
        <w:t>24小时自助银行、</w:t>
      </w:r>
      <w:r>
        <w:rPr>
          <w:rFonts w:hint="eastAsia" w:ascii="Times New Roman" w:hAnsi="Times New Roman" w:eastAsia="宋体" w:cs="Times New Roman"/>
          <w:sz w:val="24"/>
          <w:lang w:eastAsia="zh-CN"/>
        </w:rPr>
        <w:t>中国建设银行</w:t>
      </w:r>
      <w:r>
        <w:rPr>
          <w:rFonts w:hint="eastAsia" w:ascii="Times New Roman" w:hAnsi="Times New Roman" w:eastAsia="宋体" w:cs="Times New Roman"/>
          <w:sz w:val="24"/>
          <w:lang w:val="en-US" w:eastAsia="zh-CN"/>
        </w:rPr>
        <w:t>24小时自助银行</w:t>
      </w:r>
      <w:r>
        <w:rPr>
          <w:rFonts w:ascii="Times New Roman" w:hAnsi="Times New Roman" w:eastAsia="宋体" w:cs="Times New Roman"/>
          <w:sz w:val="24"/>
        </w:rPr>
        <w:t>等，周边学校有</w:t>
      </w:r>
      <w:r>
        <w:rPr>
          <w:rFonts w:hint="eastAsia" w:ascii="Times New Roman" w:hAnsi="Times New Roman" w:eastAsia="宋体" w:cs="Times New Roman"/>
          <w:sz w:val="24"/>
          <w:lang w:eastAsia="zh-CN"/>
        </w:rPr>
        <w:t>杭州科技职业技术学院、富阳区职业教育中心、浙江中医药大学富春校区</w:t>
      </w:r>
      <w:r>
        <w:rPr>
          <w:rFonts w:ascii="Times New Roman" w:hAnsi="Times New Roman" w:eastAsia="宋体" w:cs="Times New Roman"/>
          <w:sz w:val="24"/>
        </w:rPr>
        <w:t>等，周边购物有</w:t>
      </w:r>
      <w:r>
        <w:rPr>
          <w:rFonts w:hint="eastAsia" w:ascii="Times New Roman" w:hAnsi="Times New Roman" w:eastAsia="宋体" w:cs="Times New Roman"/>
          <w:sz w:val="24"/>
          <w:lang w:eastAsia="zh-CN"/>
        </w:rPr>
        <w:t>易家福购物中心、雅堂小超（世纪华联店）</w:t>
      </w:r>
      <w:r>
        <w:rPr>
          <w:rFonts w:ascii="Times New Roman" w:hAnsi="Times New Roman" w:eastAsia="宋体" w:cs="Times New Roman"/>
          <w:sz w:val="24"/>
        </w:rPr>
        <w:t>等，生活配套设施较完善。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其他权益</w:t>
      </w:r>
      <w:r>
        <w:rPr>
          <w:rFonts w:ascii="Times New Roman" w:hAnsi="Times New Roman" w:eastAsia="宋体" w:cs="Times New Roman"/>
          <w:sz w:val="24"/>
        </w:rPr>
        <w:t>状况</w:t>
      </w:r>
      <w:r>
        <w:rPr>
          <w:rFonts w:hint="eastAsia" w:ascii="Times New Roman" w:hAnsi="Times New Roman" w:eastAsia="宋体" w:cs="Times New Roman"/>
          <w:sz w:val="24"/>
        </w:rPr>
        <w:t>分析</w:t>
      </w:r>
    </w:p>
    <w:tbl>
      <w:tblPr>
        <w:tblStyle w:val="15"/>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365"/>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项目</w:t>
            </w:r>
          </w:p>
        </w:tc>
        <w:tc>
          <w:tcPr>
            <w:tcW w:w="7717"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限制信息</w:t>
            </w:r>
          </w:p>
        </w:tc>
        <w:tc>
          <w:tcPr>
            <w:tcW w:w="7717" w:type="dxa"/>
            <w:gridSpan w:val="2"/>
            <w:vAlign w:val="center"/>
          </w:tcPr>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rPr>
              <w:t>房产：有查封，</w:t>
            </w:r>
            <w:r>
              <w:rPr>
                <w:rFonts w:hint="eastAsia" w:ascii="Times New Roman" w:hAnsi="Times New Roman" w:eastAsia="宋体" w:cs="Times New Roman"/>
                <w:sz w:val="24"/>
                <w:lang w:eastAsia="zh-CN"/>
              </w:rPr>
              <w:t>无</w:t>
            </w:r>
            <w:r>
              <w:rPr>
                <w:rFonts w:hint="eastAsia" w:ascii="Times New Roman" w:hAnsi="Times New Roman" w:eastAsia="宋体" w:cs="Times New Roman"/>
                <w:sz w:val="24"/>
              </w:rPr>
              <w:t>抵押，宗地：</w:t>
            </w:r>
            <w:r>
              <w:rPr>
                <w:rFonts w:hint="eastAsia" w:ascii="Times New Roman" w:hAnsi="Times New Roman" w:eastAsia="宋体"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restar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查封状况</w:t>
            </w: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查封文号</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（2019）浙0111民初6</w:t>
            </w:r>
            <w:r>
              <w:rPr>
                <w:rFonts w:hint="eastAsia" w:ascii="Times New Roman" w:hAnsi="Times New Roman" w:eastAsia="宋体" w:cs="Times New Roman"/>
                <w:sz w:val="24"/>
                <w:lang w:val="en-US" w:eastAsia="zh-CN"/>
              </w:rPr>
              <w:t>875</w:t>
            </w:r>
            <w:r>
              <w:rPr>
                <w:rFonts w:hint="eastAsia" w:ascii="Times New Roman" w:hAnsi="Times New Roman" w:eastAsia="宋体" w:cs="Times New Roman"/>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vAlign w:val="center"/>
          </w:tcPr>
          <w:p>
            <w:pPr>
              <w:jc w:val="center"/>
              <w:rPr>
                <w:rFonts w:ascii="Times New Roman" w:hAnsi="Times New Roman" w:eastAsia="宋体" w:cs="Times New Roman"/>
                <w:sz w:val="24"/>
              </w:rPr>
            </w:pP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查封机关</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杭州市富阳区人民法院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vAlign w:val="center"/>
          </w:tcPr>
          <w:p>
            <w:pPr>
              <w:jc w:val="center"/>
              <w:rPr>
                <w:rFonts w:ascii="Times New Roman" w:hAnsi="Times New Roman" w:eastAsia="宋体" w:cs="Times New Roman"/>
                <w:sz w:val="24"/>
              </w:rPr>
            </w:pP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查封期限</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2019年10月</w:t>
            </w:r>
            <w:r>
              <w:rPr>
                <w:rFonts w:hint="eastAsia" w:ascii="Times New Roman" w:hAnsi="Times New Roman" w:eastAsia="宋体" w:cs="Times New Roman"/>
                <w:sz w:val="24"/>
                <w:lang w:val="en-US" w:eastAsia="zh-CN"/>
              </w:rPr>
              <w:t>31</w:t>
            </w:r>
            <w:r>
              <w:rPr>
                <w:rFonts w:hint="eastAsia" w:ascii="Times New Roman" w:hAnsi="Times New Roman" w:eastAsia="宋体" w:cs="Times New Roman"/>
                <w:sz w:val="24"/>
              </w:rPr>
              <w:t>日起2022年10月</w:t>
            </w:r>
            <w:r>
              <w:rPr>
                <w:rFonts w:hint="eastAsia" w:ascii="Times New Roman" w:hAnsi="Times New Roman" w:eastAsia="宋体" w:cs="Times New Roman"/>
                <w:sz w:val="24"/>
                <w:lang w:val="en-US" w:eastAsia="zh-CN"/>
              </w:rPr>
              <w:t>30</w:t>
            </w:r>
            <w:r>
              <w:rPr>
                <w:rFonts w:hint="eastAsia" w:ascii="Times New Roman" w:hAnsi="Times New Roman" w:eastAsia="宋体" w:cs="Times New Roman"/>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restart"/>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查封状况</w:t>
            </w: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查封文号</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（202</w:t>
            </w: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rPr>
              <w:t>）浙0111执</w:t>
            </w:r>
            <w:r>
              <w:rPr>
                <w:rFonts w:hint="eastAsia" w:ascii="Times New Roman" w:hAnsi="Times New Roman" w:eastAsia="宋体" w:cs="Times New Roman"/>
                <w:sz w:val="24"/>
                <w:lang w:eastAsia="zh-CN"/>
              </w:rPr>
              <w:t>恢</w:t>
            </w:r>
            <w:r>
              <w:rPr>
                <w:rFonts w:hint="eastAsia" w:ascii="Times New Roman" w:hAnsi="Times New Roman" w:eastAsia="宋体" w:cs="Times New Roman"/>
                <w:sz w:val="24"/>
                <w:lang w:val="en-US" w:eastAsia="zh-CN"/>
              </w:rPr>
              <w:t>708</w:t>
            </w:r>
            <w:r>
              <w:rPr>
                <w:rFonts w:hint="eastAsia" w:ascii="Times New Roman" w:hAnsi="Times New Roman" w:eastAsia="宋体" w:cs="Times New Roman"/>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vAlign w:val="center"/>
          </w:tcPr>
          <w:p>
            <w:pPr>
              <w:jc w:val="center"/>
              <w:rPr>
                <w:rFonts w:ascii="Times New Roman" w:hAnsi="Times New Roman" w:eastAsia="宋体" w:cs="Times New Roman"/>
                <w:sz w:val="24"/>
              </w:rPr>
            </w:pP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查封机关</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杭州市富阳区人民法院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vAlign w:val="center"/>
          </w:tcPr>
          <w:p>
            <w:pPr>
              <w:jc w:val="center"/>
              <w:rPr>
                <w:rFonts w:ascii="Times New Roman" w:hAnsi="Times New Roman" w:eastAsia="宋体" w:cs="Times New Roman"/>
                <w:sz w:val="24"/>
              </w:rPr>
            </w:pPr>
          </w:p>
        </w:tc>
        <w:tc>
          <w:tcPr>
            <w:tcW w:w="136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查封期限</w:t>
            </w:r>
          </w:p>
        </w:tc>
        <w:tc>
          <w:tcPr>
            <w:tcW w:w="6352"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2020年0</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30</w:t>
            </w:r>
            <w:r>
              <w:rPr>
                <w:rFonts w:hint="eastAsia" w:ascii="Times New Roman" w:hAnsi="Times New Roman" w:eastAsia="宋体" w:cs="Times New Roman"/>
                <w:sz w:val="24"/>
              </w:rPr>
              <w:t>日起202</w:t>
            </w:r>
            <w:r>
              <w:rPr>
                <w:rFonts w:hint="eastAsia" w:ascii="Times New Roman" w:hAnsi="Times New Roman" w:eastAsia="宋体" w:cs="Times New Roman"/>
                <w:sz w:val="24"/>
                <w:lang w:val="en-US" w:eastAsia="zh-CN"/>
              </w:rPr>
              <w:t>5</w:t>
            </w:r>
            <w:r>
              <w:rPr>
                <w:rFonts w:hint="eastAsia" w:ascii="Times New Roman" w:hAnsi="Times New Roman" w:eastAsia="宋体" w:cs="Times New Roman"/>
                <w:sz w:val="24"/>
              </w:rPr>
              <w:t>年0</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29</w:t>
            </w:r>
            <w:r>
              <w:rPr>
                <w:rFonts w:hint="eastAsia" w:ascii="Times New Roman" w:hAnsi="Times New Roman" w:eastAsia="宋体" w:cs="Times New Roman"/>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75"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异议状况</w:t>
            </w:r>
          </w:p>
        </w:tc>
        <w:tc>
          <w:tcPr>
            <w:tcW w:w="7717" w:type="dxa"/>
            <w:gridSpan w:val="2"/>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无</w:t>
            </w:r>
          </w:p>
        </w:tc>
      </w:tr>
    </w:tbl>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上述评估对象和评估范围与委托评估时确定的评估对象和评估范围一致。</w:t>
      </w:r>
    </w:p>
    <w:p>
      <w:pPr>
        <w:tabs>
          <w:tab w:val="left" w:pos="540"/>
        </w:tabs>
        <w:spacing w:line="360" w:lineRule="auto"/>
        <w:outlineLvl w:val="0"/>
        <w:rPr>
          <w:rFonts w:ascii="Times New Roman" w:hAnsi="Times New Roman" w:eastAsia="宋体" w:cs="Times New Roman"/>
          <w:b/>
          <w:sz w:val="24"/>
        </w:rPr>
      </w:pPr>
      <w:bookmarkStart w:id="30" w:name="_Toc275872922"/>
      <w:bookmarkStart w:id="31" w:name="_Toc37185841"/>
      <w:bookmarkStart w:id="32" w:name="_Toc455510049_WPSOffice_Level1"/>
      <w:r>
        <w:rPr>
          <w:rFonts w:ascii="Times New Roman" w:hAnsi="Times New Roman" w:eastAsia="宋体" w:cs="Times New Roman"/>
          <w:b/>
          <w:sz w:val="24"/>
          <w:lang w:eastAsia="zh-Hans"/>
        </w:rPr>
        <w:t>四、</w:t>
      </w:r>
      <w:r>
        <w:rPr>
          <w:rFonts w:ascii="Times New Roman" w:hAnsi="Times New Roman" w:eastAsia="宋体" w:cs="Times New Roman"/>
          <w:b/>
          <w:sz w:val="24"/>
        </w:rPr>
        <w:t>价值类型</w:t>
      </w:r>
      <w:bookmarkEnd w:id="30"/>
      <w:bookmarkEnd w:id="31"/>
      <w:bookmarkEnd w:id="32"/>
    </w:p>
    <w:p>
      <w:pPr>
        <w:spacing w:line="360" w:lineRule="auto"/>
        <w:ind w:firstLine="480" w:firstLineChars="200"/>
        <w:rPr>
          <w:rFonts w:ascii="Times New Roman" w:hAnsi="Times New Roman" w:eastAsia="宋体" w:cs="Times New Roman"/>
          <w:sz w:val="24"/>
        </w:rPr>
      </w:pPr>
      <w:bookmarkStart w:id="33" w:name="_Toc275872923"/>
      <w:r>
        <w:rPr>
          <w:rFonts w:ascii="Times New Roman" w:hAnsi="Times New Roman" w:eastAsia="宋体" w:cs="Times New Roman"/>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ascii="Times New Roman" w:hAnsi="Times New Roman" w:eastAsia="宋体" w:cs="Times New Roman"/>
          <w:b/>
          <w:sz w:val="24"/>
        </w:rPr>
      </w:pPr>
      <w:bookmarkStart w:id="34" w:name="_Toc2125675635_WPSOffice_Level1"/>
      <w:bookmarkStart w:id="35" w:name="_Toc37185842"/>
      <w:r>
        <w:rPr>
          <w:rFonts w:ascii="Times New Roman" w:hAnsi="Times New Roman" w:eastAsia="宋体" w:cs="Times New Roman"/>
          <w:b/>
          <w:sz w:val="24"/>
          <w:lang w:eastAsia="zh-Hans"/>
        </w:rPr>
        <w:t>五、</w:t>
      </w:r>
      <w:r>
        <w:rPr>
          <w:rFonts w:ascii="Times New Roman" w:hAnsi="Times New Roman" w:eastAsia="宋体" w:cs="Times New Roman"/>
          <w:b/>
          <w:sz w:val="24"/>
        </w:rPr>
        <w:t>评估基准日</w:t>
      </w:r>
      <w:bookmarkEnd w:id="33"/>
      <w:bookmarkEnd w:id="34"/>
      <w:bookmarkEnd w:id="35"/>
    </w:p>
    <w:p>
      <w:pPr>
        <w:spacing w:line="360" w:lineRule="auto"/>
        <w:ind w:left="-4" w:leftChars="-2" w:firstLine="480" w:firstLineChars="200"/>
        <w:rPr>
          <w:rFonts w:ascii="Times New Roman" w:hAnsi="Times New Roman" w:eastAsia="宋体" w:cs="Times New Roman"/>
          <w:sz w:val="24"/>
        </w:rPr>
      </w:pPr>
      <w:r>
        <w:rPr>
          <w:rFonts w:ascii="Times New Roman" w:hAnsi="Times New Roman" w:eastAsia="宋体" w:cs="Times New Roman"/>
          <w:sz w:val="24"/>
        </w:rPr>
        <w:t>本次资产评估的基准日为</w:t>
      </w:r>
      <w:r>
        <w:rPr>
          <w:rFonts w:hint="eastAsia" w:ascii="Times New Roman" w:hAnsi="Times New Roman" w:eastAsia="宋体" w:cs="Times New Roman"/>
          <w:sz w:val="24"/>
          <w:lang w:eastAsia="zh-CN"/>
        </w:rPr>
        <w:t>2022年7月19日</w:t>
      </w:r>
      <w:r>
        <w:rPr>
          <w:rFonts w:ascii="Times New Roman" w:hAnsi="Times New Roman" w:eastAsia="宋体" w:cs="Times New Roman"/>
          <w:sz w:val="24"/>
        </w:rPr>
        <w:t>。</w:t>
      </w:r>
    </w:p>
    <w:p>
      <w:pPr>
        <w:spacing w:line="360" w:lineRule="auto"/>
        <w:ind w:left="-4" w:leftChars="-2" w:firstLine="480" w:firstLineChars="200"/>
        <w:rPr>
          <w:rFonts w:ascii="Times New Roman" w:hAnsi="Times New Roman" w:eastAsia="宋体" w:cs="Times New Roman"/>
          <w:sz w:val="24"/>
        </w:rPr>
      </w:pPr>
      <w:r>
        <w:rPr>
          <w:rFonts w:ascii="Times New Roman" w:hAnsi="Times New Roman" w:eastAsia="宋体" w:cs="Times New Roman"/>
          <w:sz w:val="24"/>
        </w:rPr>
        <w:t>选取上述日期为评估基准日的理由是:</w:t>
      </w:r>
    </w:p>
    <w:p>
      <w:pPr>
        <w:spacing w:line="360" w:lineRule="auto"/>
        <w:ind w:left="-4" w:leftChars="-2" w:firstLine="480" w:firstLineChars="200"/>
        <w:rPr>
          <w:rFonts w:ascii="Times New Roman" w:hAnsi="Times New Roman" w:eastAsia="宋体" w:cs="Times New Roman"/>
          <w:sz w:val="24"/>
        </w:rPr>
      </w:pPr>
      <w:r>
        <w:rPr>
          <w:rFonts w:ascii="Times New Roman" w:hAnsi="Times New Roman" w:eastAsia="宋体" w:cs="Times New Roman"/>
          <w:sz w:val="24"/>
        </w:rPr>
        <w:t>根据评估目的由委托人确定评估基准日。主要考虑使评估基准日尽可能与评估目的实现日接近，使评估结论较合理地为评估目的服务。</w:t>
      </w:r>
    </w:p>
    <w:p>
      <w:pPr>
        <w:spacing w:line="360" w:lineRule="auto"/>
        <w:ind w:left="-4" w:leftChars="-2" w:firstLine="480" w:firstLineChars="200"/>
        <w:rPr>
          <w:rFonts w:ascii="Times New Roman" w:hAnsi="Times New Roman" w:eastAsia="宋体" w:cs="Times New Roman"/>
          <w:sz w:val="24"/>
        </w:rPr>
      </w:pPr>
      <w:r>
        <w:rPr>
          <w:rFonts w:ascii="Times New Roman" w:hAnsi="Times New Roman" w:eastAsia="宋体" w:cs="Times New Roman"/>
          <w:sz w:val="24"/>
        </w:rPr>
        <w:t>本次评估所采用的取价标准均为评估基准日有效的价格标准。</w:t>
      </w:r>
    </w:p>
    <w:p>
      <w:pPr>
        <w:tabs>
          <w:tab w:val="left" w:pos="540"/>
        </w:tabs>
        <w:spacing w:line="360" w:lineRule="auto"/>
        <w:outlineLvl w:val="0"/>
        <w:rPr>
          <w:rFonts w:ascii="Times New Roman" w:hAnsi="Times New Roman" w:eastAsia="宋体" w:cs="Times New Roman"/>
          <w:b/>
          <w:sz w:val="24"/>
        </w:rPr>
      </w:pPr>
      <w:bookmarkStart w:id="36" w:name="_Toc692445953_WPSOffice_Level1"/>
      <w:bookmarkStart w:id="37" w:name="_Toc37185843"/>
      <w:r>
        <w:rPr>
          <w:rFonts w:ascii="Times New Roman" w:hAnsi="Times New Roman" w:eastAsia="宋体" w:cs="Times New Roman"/>
          <w:b/>
          <w:sz w:val="24"/>
          <w:lang w:eastAsia="zh-Hans"/>
        </w:rPr>
        <w:t>六、</w:t>
      </w:r>
      <w:r>
        <w:rPr>
          <w:rFonts w:ascii="Times New Roman" w:hAnsi="Times New Roman" w:eastAsia="宋体" w:cs="Times New Roman"/>
          <w:b/>
          <w:sz w:val="24"/>
        </w:rPr>
        <w:t>评估假设</w:t>
      </w:r>
      <w:bookmarkEnd w:id="36"/>
      <w:bookmarkEnd w:id="37"/>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(一)基础性假设</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1、交易假设:假设评估对象处于交易过程中，评估师根据评估对象的交易条件等模拟市场进行估价，评估结果是对评估对象最可能达成交易价格的估计。</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(二)宏观经济环境假设</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1、国家现行的经济政策方针无重大变化；</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2、在预测年份内银行信贷利率、汇率、税率无重大变化；</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3、被评估对象所在地区的社会经济环境无重大变化。</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(三)评估对象于评估基准日状态假设</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2、除评估师所知范围之外，假设评估对象及其所涉及资产均无附带影响其价的权利瑕疵、负债和限制，假设评估对象及其所涉及资产之价款、税费、各种应付款项均已付清。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 除评估师所知范围之外，假设评估对象及其所涉及其他的有形资产无影响其持续使用的重大障碍，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(四)限制性假设</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2、除非另有说明，本资产评估报告假设通过可见实体外表对评估范围内有形资产视察的现场调查结果，与其实际经济使用寿命基本相符。本次评估未对该等资产的结构、装修等进行专项技术检测。</w:t>
      </w:r>
    </w:p>
    <w:p>
      <w:pPr>
        <w:tabs>
          <w:tab w:val="left" w:pos="945"/>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ascii="Times New Roman" w:hAnsi="Times New Roman" w:eastAsia="宋体" w:cs="Times New Roman"/>
          <w:sz w:val="24"/>
        </w:rPr>
      </w:pPr>
      <w:bookmarkStart w:id="38" w:name="_Toc37185844"/>
      <w:bookmarkStart w:id="39" w:name="_Toc725248978_WPSOffice_Level1"/>
      <w:r>
        <w:rPr>
          <w:rFonts w:ascii="Times New Roman" w:hAnsi="Times New Roman" w:eastAsia="宋体" w:cs="Times New Roman"/>
          <w:b/>
          <w:sz w:val="24"/>
          <w:lang w:eastAsia="zh-Hans"/>
        </w:rPr>
        <w:t>七、</w:t>
      </w:r>
      <w:r>
        <w:rPr>
          <w:rFonts w:ascii="Times New Roman" w:hAnsi="Times New Roman" w:eastAsia="宋体" w:cs="Times New Roman"/>
          <w:b/>
          <w:sz w:val="24"/>
        </w:rPr>
        <w:t>评估依据</w:t>
      </w:r>
      <w:bookmarkEnd w:id="38"/>
      <w:bookmarkEnd w:id="39"/>
    </w:p>
    <w:p>
      <w:pPr>
        <w:tabs>
          <w:tab w:val="left" w:pos="540"/>
        </w:tabs>
        <w:adjustRightInd w:val="0"/>
        <w:spacing w:line="360" w:lineRule="auto"/>
        <w:ind w:firstLine="480" w:firstLineChars="200"/>
        <w:outlineLvl w:val="0"/>
        <w:rPr>
          <w:rFonts w:ascii="Times New Roman" w:hAnsi="Times New Roman" w:eastAsia="宋体" w:cs="Times New Roman"/>
          <w:sz w:val="24"/>
        </w:rPr>
      </w:pPr>
      <w:r>
        <w:rPr>
          <w:rFonts w:ascii="Times New Roman" w:hAnsi="Times New Roman" w:eastAsia="宋体" w:cs="Times New Roman"/>
          <w:sz w:val="24"/>
        </w:rPr>
        <w:t>（一）行为依据</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sz w:val="24"/>
        </w:rPr>
        <w:t>杭州市富阳区人民法院</w:t>
      </w:r>
      <w:r>
        <w:rPr>
          <w:rFonts w:hint="eastAsia" w:ascii="Times New Roman" w:hAnsi="Times New Roman" w:eastAsia="宋体" w:cs="Times New Roman"/>
          <w:sz w:val="24"/>
        </w:rPr>
        <w:t>（2022）</w:t>
      </w:r>
      <w:r>
        <w:rPr>
          <w:rFonts w:hint="eastAsia" w:ascii="Times New Roman" w:hAnsi="Times New Roman" w:eastAsia="宋体" w:cs="Times New Roman"/>
          <w:sz w:val="24"/>
          <w:lang w:eastAsia="zh-CN"/>
        </w:rPr>
        <w:t>杭富法委评字第82号《司法评估委托书》</w:t>
      </w:r>
      <w:r>
        <w:rPr>
          <w:rFonts w:ascii="Times New Roman" w:hAnsi="Times New Roman" w:eastAsia="宋体" w:cs="Times New Roman"/>
          <w:sz w:val="24"/>
        </w:rPr>
        <w:t>。</w:t>
      </w:r>
    </w:p>
    <w:p>
      <w:pPr>
        <w:tabs>
          <w:tab w:val="left" w:pos="0"/>
        </w:tabs>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（二）法律法规依据</w:t>
      </w:r>
    </w:p>
    <w:p>
      <w:pPr>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1、《中华人民共和国增值税暂行条例实施细则》（财政部、国家税务总局令第50号，经财政部、国家税务总局令第65号修订）；</w:t>
      </w:r>
    </w:p>
    <w:p>
      <w:pPr>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2、《关于全面推开营业税改征增值税试点的通知》(财税〔2016〕36号)；</w:t>
      </w:r>
    </w:p>
    <w:p>
      <w:pPr>
        <w:adjustRightIn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3、《中华人民共和国资产评估法》(2016年7月2日中华人民共和国第十二届全国人民代表大会常务委员会第二十一次会议通过)；</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4、《中华人民共和国城市房地产管理法》（2019年8月26日第十三届全国人民代表大会常务委员会第十二次会议修正）；</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5、《中华人民共和国土地管理法》（2019年8月26日第十三届全国人民代表大会常务委员会第十二次会议修正）；</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6、《中华人民共和国拍卖法》（2015年4月24日第十二届全国人大常委会第十次会议修正）；</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7、《最高人民法院关于人民法院确定财产处置参考价若干问题的规定》（2018年6月4日最高人民法院审判委员会第1741次会议通过）；</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8、《司法鉴定程序通则》（司法部令第132号）；</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9、《浙江省人民法院实施〈人民法院对外委托司法鉴定管理规定〉细则》（浙高法〔2010〕299号）；</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10、《中华人民共和国民法典》（2021年1月1日起施行）；</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11、其他相关法律、法规、通知文件等。</w:t>
      </w:r>
    </w:p>
    <w:p>
      <w:pPr>
        <w:adjustRightInd w:val="0"/>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kern w:val="0"/>
          <w:sz w:val="24"/>
        </w:rPr>
        <w:t>（三）评估准则依据</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1、《资产评估基本准则》（财资[2017]43号）；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2、《资产评估职业道德准则》（中评协[2017]30号）；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3、《资产评估执业准则——资产评估程序》（中评协[2018]36号）；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4、《资产评估执业准则——不动产》（中评协[2017]38号）；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5、《资产评估执业准则——资产评估报告》（中评协[2018]35号）；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6、《资产评估执业准则——资产评估委托合同》（中评协[2017]33号）；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7、《资产评估执业准则——资产评估档案》（中评协[2018]37号）；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8、《资产评估对象法律权属指导意见》（中评协[2017]48号）；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9、《资产评估机构业务质量控制指南》（中评协[2017]46号）；</w:t>
      </w:r>
    </w:p>
    <w:p>
      <w:pPr>
        <w:tabs>
          <w:tab w:val="left" w:pos="1069"/>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10、《资产评估价值类型指导意见》（中评协[2017]47号）；</w:t>
      </w:r>
    </w:p>
    <w:p>
      <w:pPr>
        <w:pStyle w:val="2"/>
        <w:spacing w:line="360" w:lineRule="auto"/>
        <w:ind w:firstLine="480" w:firstLineChars="200"/>
        <w:rPr>
          <w:rFonts w:ascii="Times New Roman" w:cs="Times New Roman"/>
        </w:rPr>
      </w:pPr>
      <w:r>
        <w:rPr>
          <w:rFonts w:ascii="Times New Roman" w:cs="Times New Roman"/>
        </w:rPr>
        <w:t>11、《资产评估执业准则——评估方法》（中评协[2019]35号）。</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ascii="Times New Roman" w:hAnsi="Times New Roman" w:eastAsia="宋体" w:cs="Times New Roman"/>
          <w:sz w:val="24"/>
          <w:lang w:eastAsia="zh-Hans"/>
        </w:rPr>
        <w:t>四）</w:t>
      </w:r>
      <w:r>
        <w:rPr>
          <w:rFonts w:ascii="Times New Roman" w:hAnsi="Times New Roman" w:eastAsia="宋体" w:cs="Times New Roman"/>
          <w:sz w:val="24"/>
        </w:rPr>
        <w:t>产权依据</w:t>
      </w:r>
    </w:p>
    <w:p>
      <w:pPr>
        <w:numPr>
          <w:ilvl w:val="0"/>
          <w:numId w:val="4"/>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委托人提供的相关等资料；</w:t>
      </w:r>
    </w:p>
    <w:p>
      <w:pPr>
        <w:pStyle w:val="11"/>
        <w:widowControl/>
        <w:spacing w:before="0" w:beforeAutospacing="0" w:after="0" w:afterAutospacing="0" w:line="360" w:lineRule="auto"/>
        <w:ind w:firstLine="480" w:firstLineChars="200"/>
        <w:jc w:val="both"/>
        <w:rPr>
          <w:rFonts w:ascii="Times New Roman" w:hAnsi="Times New Roman" w:eastAsia="宋体"/>
        </w:rPr>
      </w:pPr>
      <w:r>
        <w:rPr>
          <w:rFonts w:ascii="Times New Roman" w:hAnsi="Times New Roman" w:eastAsia="宋体"/>
        </w:rPr>
        <w:t>2、杭州市富阳区人民法院</w:t>
      </w:r>
      <w:r>
        <w:rPr>
          <w:rFonts w:hint="eastAsia" w:ascii="Times New Roman" w:hAnsi="Times New Roman" w:eastAsia="宋体"/>
        </w:rPr>
        <w:t>（2022）杭富法委评字第</w:t>
      </w:r>
      <w:r>
        <w:rPr>
          <w:rFonts w:hint="eastAsia" w:ascii="Times New Roman" w:hAnsi="Times New Roman" w:eastAsia="宋体"/>
          <w:lang w:val="en-US" w:eastAsia="zh-CN"/>
        </w:rPr>
        <w:t>82</w:t>
      </w:r>
      <w:r>
        <w:rPr>
          <w:rFonts w:hint="eastAsia" w:ascii="Times New Roman" w:hAnsi="Times New Roman" w:eastAsia="宋体"/>
        </w:rPr>
        <w:t>号</w:t>
      </w:r>
      <w:r>
        <w:rPr>
          <w:rFonts w:hint="eastAsia" w:ascii="Times New Roman" w:hAnsi="Times New Roman" w:eastAsia="宋体"/>
          <w:lang w:eastAsia="zh-CN"/>
        </w:rPr>
        <w:t>《司法评估委托书》</w:t>
      </w:r>
      <w:r>
        <w:rPr>
          <w:rFonts w:ascii="Times New Roman" w:hAnsi="Times New Roman" w:eastAsia="宋体"/>
        </w:rPr>
        <w:t>、评估人员现场勘查的相关资料；</w:t>
      </w:r>
    </w:p>
    <w:p>
      <w:pPr>
        <w:pStyle w:val="11"/>
        <w:widowControl/>
        <w:spacing w:before="0" w:beforeAutospacing="0" w:after="0" w:afterAutospacing="0" w:line="360" w:lineRule="auto"/>
        <w:ind w:firstLine="480" w:firstLineChars="200"/>
        <w:jc w:val="both"/>
        <w:rPr>
          <w:rFonts w:ascii="Times New Roman" w:hAnsi="Times New Roman" w:eastAsia="宋体"/>
        </w:rPr>
      </w:pPr>
      <w:r>
        <w:rPr>
          <w:rFonts w:ascii="Times New Roman" w:hAnsi="Times New Roman" w:eastAsia="宋体"/>
          <w:shd w:val="clear" w:color="auto" w:fill="FFFFFF"/>
        </w:rPr>
        <w:t>3、</w:t>
      </w:r>
      <w:r>
        <w:rPr>
          <w:rFonts w:ascii="Times New Roman" w:hAnsi="Times New Roman" w:eastAsia="宋体"/>
        </w:rPr>
        <w:t>杭州市不动产权属信息查询记录等资料。</w:t>
      </w:r>
    </w:p>
    <w:p>
      <w:pPr>
        <w:tabs>
          <w:tab w:val="left" w:pos="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ascii="Times New Roman" w:hAnsi="Times New Roman" w:eastAsia="宋体" w:cs="Times New Roman"/>
          <w:sz w:val="24"/>
          <w:lang w:eastAsia="zh-Hans"/>
        </w:rPr>
        <w:t>五）</w:t>
      </w:r>
      <w:r>
        <w:rPr>
          <w:rFonts w:ascii="Times New Roman" w:hAnsi="Times New Roman" w:eastAsia="宋体" w:cs="Times New Roman"/>
          <w:sz w:val="24"/>
        </w:rPr>
        <w:t>取价依据</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1、委托评估资产的有关资产市场价格信息；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2、国家标准GB/T50291-2015《房地产估价规范》；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3、有关建材市场价格信息；</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4、评估人员现场勘察记录及收集的其他相关估价信息资料；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5、国家有关部门颁布的统计资料和技术标准资料，以及本公司评估专业技术人员现场勘察和市场调查所取得的资料；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6、市场价信息查询资料；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7、其他资料。</w:t>
      </w:r>
    </w:p>
    <w:p>
      <w:pPr>
        <w:tabs>
          <w:tab w:val="left" w:pos="540"/>
        </w:tabs>
        <w:spacing w:line="360" w:lineRule="auto"/>
        <w:outlineLvl w:val="0"/>
        <w:rPr>
          <w:rFonts w:ascii="Times New Roman" w:hAnsi="Times New Roman" w:eastAsia="宋体" w:cs="Times New Roman"/>
          <w:sz w:val="24"/>
        </w:rPr>
      </w:pPr>
      <w:bookmarkStart w:id="40" w:name="_Toc142392874_WPSOffice_Level1"/>
      <w:r>
        <w:rPr>
          <w:rFonts w:ascii="Times New Roman" w:hAnsi="Times New Roman" w:eastAsia="宋体" w:cs="Times New Roman"/>
          <w:b/>
          <w:sz w:val="24"/>
          <w:lang w:eastAsia="zh-Hans"/>
        </w:rPr>
        <w:t>八、</w:t>
      </w:r>
      <w:r>
        <w:rPr>
          <w:rFonts w:ascii="Times New Roman" w:hAnsi="Times New Roman" w:eastAsia="宋体" w:cs="Times New Roman"/>
          <w:b/>
          <w:sz w:val="24"/>
        </w:rPr>
        <w:t>评估方法</w:t>
      </w:r>
      <w:bookmarkEnd w:id="40"/>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按照《资产评估基本准则》，评估需根据评估目的、价值类型、资料收集情况等相关条件，恰当选择一种或多种资产评估方法。价值评估通常采用的评估方法有市场法、收益法和成本法。</w:t>
      </w:r>
      <w:bookmarkStart w:id="41" w:name="_Toc41763559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（一）房地产评估方法的选择及介绍</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委托人提供，本次评估对象土地用途为城镇住宅用地，权利类型为国有建设用地使用权，使用权类型为出让。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房地产市场较活跃，价值时点近期有一定量的类似房地产的交易，故可选用市场法进行测算。</w:t>
      </w:r>
    </w:p>
    <w:bookmarkEnd w:id="41"/>
    <w:p>
      <w:pPr>
        <w:overflowPunct w:val="0"/>
        <w:adjustRightInd w:val="0"/>
        <w:snapToGrid w:val="0"/>
        <w:spacing w:line="360" w:lineRule="auto"/>
        <w:ind w:firstLine="480" w:firstLineChars="200"/>
        <w:rPr>
          <w:rFonts w:ascii="Times New Roman" w:hAnsi="Times New Roman" w:cs="Times New Roman"/>
          <w:color w:val="000000"/>
          <w:sz w:val="24"/>
        </w:rPr>
      </w:pPr>
      <w:bookmarkStart w:id="42" w:name="_Toc417635589"/>
      <w:bookmarkEnd w:id="42"/>
      <w:r>
        <w:rPr>
          <w:rFonts w:ascii="Times New Roman" w:hAnsi="Times New Roman" w:cs="Times New Roman"/>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采用市场法对评估对象房屋设定为毛坯状态进行评估。其计算公式为：</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V=VB×A×B×C×D ×E</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式中： V：待估房屋价值 </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VB：比较案例价格 </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A：待估房地产交易情况指数/比较案例交易情况指数 </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B：待估房地产期日价格指数/比较案例期日价格指数</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C：待估房地产区域因素条件指数/比较案例区域因素条件指数 </w:t>
      </w:r>
    </w:p>
    <w:p>
      <w:pPr>
        <w:overflowPunct w:val="0"/>
        <w:adjustRightInd w:val="0"/>
        <w:snapToGrid w:val="0"/>
        <w:spacing w:line="360" w:lineRule="auto"/>
        <w:ind w:firstLine="480" w:firstLineChars="200"/>
        <w:rPr>
          <w:rFonts w:ascii="Times New Roman" w:hAnsi="Times New Roman" w:cs="Times New Roman"/>
          <w:kern w:val="0"/>
          <w:sz w:val="24"/>
        </w:rPr>
      </w:pPr>
      <w:r>
        <w:rPr>
          <w:rFonts w:ascii="Times New Roman" w:hAnsi="Times New Roman" w:cs="Times New Roman"/>
          <w:color w:val="000000"/>
          <w:sz w:val="24"/>
        </w:rPr>
        <w:t>D：待估房地产个别因素条件指数/比较案例个别因素条</w:t>
      </w:r>
      <w:r>
        <w:rPr>
          <w:rFonts w:ascii="Times New Roman" w:hAnsi="Times New Roman" w:cs="Times New Roman"/>
          <w:kern w:val="0"/>
          <w:sz w:val="24"/>
        </w:rPr>
        <w:t>件指数</w:t>
      </w:r>
    </w:p>
    <w:p>
      <w:pPr>
        <w:overflowPunct w:val="0"/>
        <w:adjustRightInd w:val="0"/>
        <w:snapToGrid w:val="0"/>
        <w:spacing w:line="360" w:lineRule="auto"/>
        <w:ind w:firstLine="480" w:firstLineChars="200"/>
        <w:rPr>
          <w:rFonts w:ascii="Times New Roman" w:hAnsi="Times New Roman" w:cs="Times New Roman"/>
        </w:rPr>
      </w:pPr>
      <w:r>
        <w:rPr>
          <w:rFonts w:ascii="Times New Roman" w:hAnsi="Times New Roman" w:cs="Times New Roman"/>
          <w:color w:val="000000"/>
          <w:sz w:val="24"/>
        </w:rPr>
        <w:t>E：待估房地产权益因素条件指数/比较案例权益意识条</w:t>
      </w:r>
      <w:r>
        <w:rPr>
          <w:rFonts w:ascii="Times New Roman" w:hAnsi="Times New Roman" w:cs="Times New Roman"/>
          <w:kern w:val="0"/>
          <w:sz w:val="24"/>
        </w:rPr>
        <w:t>件指数</w:t>
      </w:r>
    </w:p>
    <w:p>
      <w:pPr>
        <w:overflowPunct w:val="0"/>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（二）室内装修</w:t>
      </w:r>
      <w:r>
        <w:rPr>
          <w:rFonts w:hint="eastAsia" w:ascii="Times New Roman" w:hAnsi="Times New Roman" w:eastAsia="宋体" w:cs="Times New Roman"/>
          <w:sz w:val="24"/>
          <w:lang w:eastAsia="zh-CN"/>
        </w:rPr>
        <w:t>、家具家电</w:t>
      </w:r>
      <w:r>
        <w:rPr>
          <w:rFonts w:ascii="Times New Roman" w:hAnsi="Times New Roman" w:eastAsia="宋体" w:cs="Times New Roman"/>
          <w:sz w:val="24"/>
        </w:rPr>
        <w:t>评估方法的选择及介绍</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根据委托人的要求，需将</w:t>
      </w:r>
      <w:r>
        <w:rPr>
          <w:rFonts w:ascii="Times New Roman" w:hAnsi="Times New Roman" w:eastAsia="宋体" w:cs="Times New Roman"/>
          <w:sz w:val="24"/>
        </w:rPr>
        <w:t>室内装修</w:t>
      </w:r>
      <w:r>
        <w:rPr>
          <w:rFonts w:hint="eastAsia" w:ascii="Times New Roman" w:hAnsi="Times New Roman" w:eastAsia="宋体" w:cs="Times New Roman"/>
          <w:sz w:val="24"/>
          <w:lang w:eastAsia="zh-CN"/>
        </w:rPr>
        <w:t>、家具家电</w:t>
      </w:r>
      <w:r>
        <w:rPr>
          <w:rFonts w:ascii="Times New Roman" w:hAnsi="Times New Roman" w:eastAsia="宋体" w:cs="Times New Roman"/>
          <w:sz w:val="24"/>
        </w:rPr>
        <w:t>评</w:t>
      </w:r>
      <w:r>
        <w:rPr>
          <w:rFonts w:ascii="Times New Roman" w:hAnsi="Times New Roman" w:cs="Times New Roman"/>
          <w:color w:val="000000"/>
          <w:sz w:val="24"/>
        </w:rPr>
        <w:t>的价值在房地产价值之外单独评估。</w:t>
      </w:r>
    </w:p>
    <w:p>
      <w:pPr>
        <w:overflowPunct w:val="0"/>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由于</w:t>
      </w:r>
      <w:r>
        <w:rPr>
          <w:rFonts w:ascii="Times New Roman" w:hAnsi="Times New Roman" w:eastAsia="宋体" w:cs="Times New Roman"/>
          <w:sz w:val="24"/>
        </w:rPr>
        <w:t>室内装修</w:t>
      </w:r>
      <w:r>
        <w:rPr>
          <w:rFonts w:hint="eastAsia" w:ascii="Times New Roman" w:hAnsi="Times New Roman" w:eastAsia="宋体" w:cs="Times New Roman"/>
          <w:sz w:val="24"/>
          <w:lang w:eastAsia="zh-CN"/>
        </w:rPr>
        <w:t>、家具家电</w:t>
      </w:r>
      <w:r>
        <w:rPr>
          <w:rFonts w:ascii="Times New Roman" w:hAnsi="Times New Roman" w:eastAsia="宋体" w:cs="Times New Roman"/>
          <w:sz w:val="24"/>
        </w:rPr>
        <w:t>评</w:t>
      </w:r>
      <w:r>
        <w:rPr>
          <w:rFonts w:ascii="Times New Roman" w:hAnsi="Times New Roman" w:cs="Times New Roman"/>
          <w:color w:val="000000"/>
          <w:sz w:val="24"/>
        </w:rPr>
        <w:t>在二手市场上难以找寻到相关类似的可比交易案例，故不适宜采用市场法进行评估；且</w:t>
      </w:r>
      <w:r>
        <w:rPr>
          <w:rFonts w:ascii="Times New Roman" w:hAnsi="Times New Roman" w:eastAsia="宋体" w:cs="Times New Roman"/>
          <w:sz w:val="24"/>
        </w:rPr>
        <w:t>室内装修</w:t>
      </w:r>
      <w:r>
        <w:rPr>
          <w:rFonts w:hint="eastAsia" w:ascii="Times New Roman" w:hAnsi="Times New Roman" w:eastAsia="宋体" w:cs="Times New Roman"/>
          <w:sz w:val="24"/>
          <w:lang w:eastAsia="zh-CN"/>
        </w:rPr>
        <w:t>、家具家电</w:t>
      </w:r>
      <w:r>
        <w:rPr>
          <w:rFonts w:ascii="Times New Roman" w:hAnsi="Times New Roman" w:eastAsia="宋体" w:cs="Times New Roman"/>
          <w:sz w:val="24"/>
        </w:rPr>
        <w:t>评</w:t>
      </w:r>
      <w:r>
        <w:rPr>
          <w:rFonts w:ascii="Times New Roman" w:hAnsi="Times New Roman" w:cs="Times New Roman"/>
          <w:color w:val="000000"/>
          <w:sz w:val="24"/>
        </w:rPr>
        <w:t>无法脱离</w:t>
      </w:r>
      <w:r>
        <w:rPr>
          <w:rFonts w:hint="eastAsia" w:ascii="Times New Roman" w:hAnsi="Times New Roman" w:cs="Times New Roman"/>
          <w:color w:val="000000"/>
          <w:sz w:val="24"/>
        </w:rPr>
        <w:t>房地产</w:t>
      </w:r>
      <w:r>
        <w:rPr>
          <w:rFonts w:ascii="Times New Roman" w:hAnsi="Times New Roman" w:cs="Times New Roman"/>
          <w:color w:val="000000"/>
          <w:sz w:val="24"/>
        </w:rPr>
        <w:t>单独产生收益，故不适宜采用收益法进行评估。评估人员结合评估目的、价值类型等因素，最终采用成本法对</w:t>
      </w:r>
      <w:r>
        <w:rPr>
          <w:rFonts w:ascii="Times New Roman" w:hAnsi="Times New Roman" w:eastAsia="宋体" w:cs="Times New Roman"/>
          <w:sz w:val="24"/>
        </w:rPr>
        <w:t>室内装修</w:t>
      </w:r>
      <w:r>
        <w:rPr>
          <w:rFonts w:hint="eastAsia" w:ascii="Times New Roman" w:hAnsi="Times New Roman" w:eastAsia="宋体" w:cs="Times New Roman"/>
          <w:sz w:val="24"/>
          <w:lang w:eastAsia="zh-CN"/>
        </w:rPr>
        <w:t>、家具家电</w:t>
      </w:r>
      <w:r>
        <w:rPr>
          <w:rFonts w:ascii="Times New Roman" w:hAnsi="Times New Roman" w:eastAsia="宋体" w:cs="Times New Roman"/>
          <w:sz w:val="24"/>
        </w:rPr>
        <w:t>评</w:t>
      </w:r>
      <w:r>
        <w:rPr>
          <w:rFonts w:ascii="Times New Roman" w:hAnsi="Times New Roman" w:cs="Times New Roman"/>
          <w:color w:val="000000"/>
          <w:sz w:val="24"/>
        </w:rPr>
        <w:t>价值进行评估。</w:t>
      </w:r>
    </w:p>
    <w:p>
      <w:pPr>
        <w:pStyle w:val="2"/>
        <w:ind w:firstLine="480" w:firstLineChars="200"/>
        <w:rPr>
          <w:rFonts w:ascii="Times New Roman" w:cs="Times New Roman"/>
        </w:rPr>
      </w:pPr>
      <w:r>
        <w:rPr>
          <w:rFonts w:ascii="Times New Roman" w:cs="Times New Roman"/>
        </w:rPr>
        <w:t>其基本公式为：评估价值=重置价值×成新率</w:t>
      </w:r>
    </w:p>
    <w:p>
      <w:pPr>
        <w:tabs>
          <w:tab w:val="left" w:pos="540"/>
        </w:tabs>
        <w:spacing w:line="360" w:lineRule="auto"/>
        <w:ind w:firstLine="482" w:firstLineChars="200"/>
        <w:outlineLvl w:val="0"/>
        <w:rPr>
          <w:rFonts w:ascii="Times New Roman" w:hAnsi="Times New Roman" w:eastAsia="宋体" w:cs="Times New Roman"/>
          <w:b/>
          <w:sz w:val="24"/>
        </w:rPr>
      </w:pPr>
      <w:bookmarkStart w:id="43" w:name="_Toc900250560_WPSOffice_Level1"/>
      <w:r>
        <w:rPr>
          <w:rFonts w:ascii="Times New Roman" w:hAnsi="Times New Roman" w:eastAsia="宋体" w:cs="Times New Roman"/>
          <w:b/>
          <w:sz w:val="24"/>
          <w:lang w:eastAsia="zh-Hans"/>
        </w:rPr>
        <w:t>九、</w:t>
      </w:r>
      <w:r>
        <w:rPr>
          <w:rFonts w:ascii="Times New Roman" w:hAnsi="Times New Roman" w:eastAsia="宋体" w:cs="Times New Roman"/>
          <w:b/>
          <w:sz w:val="24"/>
        </w:rPr>
        <w:t>评估过程</w:t>
      </w:r>
      <w:bookmarkEnd w:id="43"/>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整个评估工作分</w:t>
      </w:r>
      <w:r>
        <w:rPr>
          <w:rFonts w:ascii="Times New Roman" w:hAnsi="Times New Roman" w:eastAsia="宋体" w:cs="Times New Roman"/>
          <w:color w:val="000000"/>
          <w:sz w:val="24"/>
        </w:rPr>
        <w:t>五</w:t>
      </w:r>
      <w:r>
        <w:rPr>
          <w:rFonts w:ascii="Times New Roman" w:hAnsi="Times New Roman" w:eastAsia="宋体" w:cs="Times New Roman"/>
          <w:color w:val="000000"/>
          <w:sz w:val="24"/>
          <w:lang w:val="zh-CN"/>
        </w:rPr>
        <w:t>个阶段进行：</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（一）接受委托阶段</w:t>
      </w:r>
    </w:p>
    <w:p>
      <w:pPr>
        <w:tabs>
          <w:tab w:val="left" w:pos="0"/>
          <w:tab w:val="left" w:pos="1211"/>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1、明确评估业务基本事项，了解项目的委托人、</w:t>
      </w:r>
      <w:r>
        <w:rPr>
          <w:rFonts w:hint="eastAsia" w:ascii="Times New Roman" w:hAnsi="Times New Roman" w:eastAsia="宋体" w:cs="Times New Roman"/>
          <w:color w:val="000000"/>
          <w:sz w:val="24"/>
        </w:rPr>
        <w:t>产权持有者</w:t>
      </w:r>
      <w:r>
        <w:rPr>
          <w:rFonts w:ascii="Times New Roman" w:hAnsi="Times New Roman" w:eastAsia="宋体" w:cs="Times New Roman"/>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2、接受杭州市富阳区人民法院的</w:t>
      </w:r>
      <w:r>
        <w:rPr>
          <w:rFonts w:ascii="Times New Roman" w:hAnsi="Times New Roman" w:eastAsia="宋体" w:cs="Times New Roman"/>
          <w:sz w:val="24"/>
        </w:rPr>
        <w:t>出具的</w:t>
      </w:r>
      <w:r>
        <w:rPr>
          <w:rFonts w:hint="eastAsia" w:ascii="Times New Roman" w:hAnsi="Times New Roman" w:eastAsia="宋体" w:cs="Times New Roman"/>
          <w:sz w:val="24"/>
        </w:rPr>
        <w:t>（2022）</w:t>
      </w:r>
      <w:r>
        <w:rPr>
          <w:rFonts w:hint="eastAsia" w:ascii="Times New Roman" w:hAnsi="Times New Roman" w:eastAsia="宋体" w:cs="Times New Roman"/>
          <w:sz w:val="24"/>
          <w:lang w:eastAsia="zh-CN"/>
        </w:rPr>
        <w:t>杭富法委评字第82号《司法评估委托书》</w:t>
      </w:r>
      <w:r>
        <w:rPr>
          <w:rFonts w:ascii="Times New Roman" w:hAnsi="Times New Roman" w:eastAsia="宋体" w:cs="Times New Roman"/>
          <w:color w:val="000000"/>
          <w:sz w:val="24"/>
        </w:rPr>
        <w:t>；</w:t>
      </w:r>
    </w:p>
    <w:p>
      <w:pPr>
        <w:tabs>
          <w:tab w:val="left" w:pos="0"/>
          <w:tab w:val="left" w:pos="1211"/>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3、制定资产评估工作计划；</w:t>
      </w:r>
    </w:p>
    <w:p>
      <w:pPr>
        <w:tabs>
          <w:tab w:val="left" w:pos="0"/>
          <w:tab w:val="left" w:pos="1211"/>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4、组成项目小组，并对项目组成员进行培训。</w:t>
      </w:r>
    </w:p>
    <w:p>
      <w:pPr>
        <w:tabs>
          <w:tab w:val="left" w:pos="1211"/>
        </w:tabs>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（二）资产核实阶段</w:t>
      </w:r>
    </w:p>
    <w:p>
      <w:pPr>
        <w:tabs>
          <w:tab w:val="left" w:pos="0"/>
          <w:tab w:val="left" w:pos="1211"/>
        </w:tabs>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1、根据评估工作的需要，向杭州市富阳区人民法院提供资产评估清单表样，并协助其进行资产清查工作；</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2、了解</w:t>
      </w:r>
      <w:r>
        <w:rPr>
          <w:rFonts w:hint="eastAsia" w:ascii="Times New Roman" w:hAnsi="Times New Roman" w:eastAsia="宋体" w:cs="Times New Roman"/>
          <w:color w:val="000000"/>
          <w:sz w:val="24"/>
        </w:rPr>
        <w:t>产权持有者</w:t>
      </w:r>
      <w:r>
        <w:rPr>
          <w:rFonts w:ascii="Times New Roman" w:hAnsi="Times New Roman" w:eastAsia="宋体" w:cs="Times New Roman"/>
          <w:color w:val="000000"/>
          <w:sz w:val="24"/>
        </w:rPr>
        <w:t>基本情况及委评资产状况，并收集相关资料；</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3、审查核对杭州市富阳区人民法院提供的资产评估清单和相关资料；</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4、根据资产评估申报表的内容进行现场核实和勘察；</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5、收集并查验资产评估所需的其他相关资料。</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（三）评定估算阶段</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1、根据委评资产的实际状况和特点，制订具体评估方法；</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2、开展市场调研、询价工作；</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3、对委评资产进行评估，测算其评估价值；</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4、分析并汇总分项资产的评估结果，汇集评估底稿；</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5、撰写评估报告、评估说明，编制评估明细表。</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（四）出具报告阶段</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1、征求有关各方意见；</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2、内部进行复核程序，验证评估结果；</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3、评估结果的分析调整和评估报告的完善；</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4、正式出具资产评估报告。</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（五）整理归集评估档案</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ascii="Times New Roman" w:hAnsi="Times New Roman" w:eastAsia="宋体" w:cs="Times New Roman"/>
          <w:b/>
          <w:sz w:val="24"/>
        </w:rPr>
      </w:pPr>
      <w:bookmarkStart w:id="44" w:name="_Toc37185847"/>
      <w:bookmarkStart w:id="45" w:name="_Toc1488868805_WPSOffice_Level1"/>
      <w:bookmarkStart w:id="46" w:name="_Toc275872929"/>
      <w:r>
        <w:rPr>
          <w:rFonts w:ascii="Times New Roman" w:hAnsi="Times New Roman" w:eastAsia="宋体" w:cs="Times New Roman"/>
          <w:b/>
          <w:sz w:val="24"/>
          <w:lang w:eastAsia="zh-Hans"/>
        </w:rPr>
        <w:t>十、</w:t>
      </w:r>
      <w:r>
        <w:rPr>
          <w:rFonts w:ascii="Times New Roman" w:hAnsi="Times New Roman" w:eastAsia="宋体" w:cs="Times New Roman"/>
          <w:b/>
          <w:sz w:val="24"/>
        </w:rPr>
        <w:t>评估结论</w:t>
      </w:r>
      <w:bookmarkEnd w:id="44"/>
      <w:bookmarkEnd w:id="45"/>
      <w:bookmarkEnd w:id="46"/>
    </w:p>
    <w:p>
      <w:pPr>
        <w:pStyle w:val="7"/>
        <w:adjustRightInd w:val="0"/>
        <w:snapToGrid w:val="0"/>
        <w:spacing w:after="0" w:line="360" w:lineRule="auto"/>
        <w:ind w:firstLine="480" w:firstLineChars="200"/>
        <w:rPr>
          <w:rFonts w:ascii="Times New Roman" w:hAnsi="Times New Roman" w:eastAsia="宋体" w:cs="Times New Roman"/>
          <w:sz w:val="24"/>
        </w:rPr>
      </w:pPr>
      <w:bookmarkStart w:id="47" w:name="_Toc275872930"/>
      <w:r>
        <w:rPr>
          <w:rFonts w:ascii="Times New Roman" w:hAnsi="Times New Roman" w:eastAsia="宋体" w:cs="Times New Roman"/>
          <w:sz w:val="24"/>
        </w:rPr>
        <w:t>杭州富诚资产评估有限公司接受杭州市富阳区人民法院委托，确定</w:t>
      </w:r>
      <w:r>
        <w:rPr>
          <w:rFonts w:hint="eastAsia" w:ascii="Times New Roman" w:hAnsi="Times New Roman" w:eastAsia="宋体" w:cs="Times New Roman"/>
          <w:sz w:val="24"/>
        </w:rPr>
        <w:t>申请执行人</w:t>
      </w:r>
      <w:r>
        <w:rPr>
          <w:rFonts w:hint="eastAsia" w:ascii="Times New Roman" w:hAnsi="Times New Roman" w:eastAsia="宋体" w:cs="Times New Roman"/>
          <w:sz w:val="24"/>
          <w:lang w:eastAsia="zh-CN"/>
        </w:rPr>
        <w:t>华安民</w:t>
      </w:r>
      <w:r>
        <w:rPr>
          <w:rFonts w:hint="eastAsia" w:ascii="Times New Roman" w:hAnsi="Times New Roman" w:eastAsia="宋体" w:cs="Times New Roman"/>
          <w:sz w:val="24"/>
        </w:rPr>
        <w:t>与被执行人</w:t>
      </w:r>
      <w:r>
        <w:rPr>
          <w:rFonts w:hint="eastAsia" w:ascii="Times New Roman" w:hAnsi="Times New Roman" w:eastAsia="宋体" w:cs="Times New Roman"/>
          <w:sz w:val="24"/>
          <w:lang w:eastAsia="zh-CN"/>
        </w:rPr>
        <w:t>庞旭明民间借贷纠纷一案中</w:t>
      </w:r>
      <w:r>
        <w:rPr>
          <w:rFonts w:ascii="Times New Roman" w:hAnsi="Times New Roman" w:eastAsia="宋体" w:cs="Times New Roman"/>
          <w:sz w:val="24"/>
        </w:rPr>
        <w:t>涉及的</w:t>
      </w:r>
      <w:r>
        <w:rPr>
          <w:rFonts w:hint="eastAsia" w:ascii="Times New Roman" w:hAnsi="Times New Roman" w:eastAsia="宋体" w:cs="Times New Roman"/>
          <w:sz w:val="24"/>
          <w:lang w:eastAsia="zh-CN"/>
        </w:rPr>
        <w:t>房地产、室内装修和家具家电</w:t>
      </w:r>
      <w:r>
        <w:rPr>
          <w:rFonts w:ascii="Times New Roman" w:hAnsi="Times New Roman" w:eastAsia="宋体" w:cs="Times New Roman"/>
          <w:sz w:val="24"/>
        </w:rPr>
        <w:t>在评估基准日的市场价值，为人民法院确定财产处置参考价提供服务。</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cs="Times New Roman"/>
          <w:sz w:val="24"/>
        </w:rPr>
        <w:t>在符合评估基准日、评估假设等限制条件下</w:t>
      </w:r>
      <w:r>
        <w:rPr>
          <w:rFonts w:ascii="Times New Roman" w:hAnsi="Times New Roman" w:eastAsia="宋体" w:cs="Times New Roman"/>
          <w:sz w:val="24"/>
        </w:rPr>
        <w:t>，列入评估范围的资产评估价值为</w:t>
      </w:r>
      <w:r>
        <w:rPr>
          <w:rFonts w:hint="eastAsia" w:ascii="Times New Roman" w:hAnsi="Times New Roman" w:eastAsia="宋体" w:cs="Times New Roman"/>
          <w:sz w:val="24"/>
          <w:lang w:eastAsia="zh-CN"/>
        </w:rPr>
        <w:t>2,058,000.00</w:t>
      </w:r>
      <w:r>
        <w:rPr>
          <w:rFonts w:ascii="Times New Roman" w:hAnsi="Times New Roman" w:eastAsia="宋体" w:cs="Times New Roman"/>
          <w:sz w:val="24"/>
        </w:rPr>
        <w:t>元（大写人民币</w:t>
      </w:r>
      <w:r>
        <w:rPr>
          <w:rFonts w:hint="eastAsia" w:ascii="Times New Roman" w:hAnsi="Times New Roman" w:eastAsia="宋体" w:cs="Times New Roman"/>
          <w:sz w:val="24"/>
          <w:lang w:eastAsia="zh-CN"/>
        </w:rPr>
        <w:t>贰佰零伍万捌仟</w:t>
      </w:r>
      <w:r>
        <w:rPr>
          <w:rFonts w:ascii="Times New Roman" w:hAnsi="Times New Roman" w:eastAsia="宋体" w:cs="Times New Roman"/>
          <w:sz w:val="24"/>
        </w:rPr>
        <w:t>元整），具体信息如下：</w:t>
      </w:r>
    </w:p>
    <w:p>
      <w:pPr>
        <w:pStyle w:val="2"/>
        <w:jc w:val="right"/>
        <w:rPr>
          <w:rFonts w:hint="eastAsia" w:eastAsia="宋体"/>
          <w:lang w:eastAsia="zh-CN"/>
        </w:rPr>
      </w:pPr>
      <w:r>
        <w:rPr>
          <w:rFonts w:hint="eastAsia" w:ascii="Times New Roman" w:cs="Times New Roman"/>
          <w:sz w:val="24"/>
          <w:lang w:eastAsia="zh-CN"/>
        </w:rPr>
        <w:t>金额单位：人民币元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234"/>
        <w:gridCol w:w="891"/>
        <w:gridCol w:w="117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序号</w:t>
            </w:r>
          </w:p>
        </w:tc>
        <w:tc>
          <w:tcPr>
            <w:tcW w:w="3234"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项目</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单位</w:t>
            </w:r>
          </w:p>
        </w:tc>
        <w:tc>
          <w:tcPr>
            <w:tcW w:w="1173"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数量</w:t>
            </w:r>
          </w:p>
        </w:tc>
        <w:tc>
          <w:tcPr>
            <w:tcW w:w="2234"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lang w:eastAsia="zh-Hans"/>
              </w:rPr>
              <w:t>评估价值</w:t>
            </w:r>
            <w:r>
              <w:rPr>
                <w:rFonts w:ascii="Times New Roman" w:hAnsi="Times New Roman" w:cs="Times New Roman"/>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1</w:t>
            </w:r>
          </w:p>
        </w:tc>
        <w:tc>
          <w:tcPr>
            <w:tcW w:w="3234" w:type="dxa"/>
          </w:tcPr>
          <w:p>
            <w:pPr>
              <w:tabs>
                <w:tab w:val="left" w:pos="840"/>
              </w:tabs>
              <w:spacing w:line="360" w:lineRule="auto"/>
              <w:rPr>
                <w:rFonts w:ascii="Times New Roman" w:hAnsi="Times New Roman" w:cs="Times New Roman"/>
                <w:sz w:val="24"/>
              </w:rPr>
            </w:pPr>
            <w:r>
              <w:rPr>
                <w:rFonts w:ascii="Times New Roman" w:hAnsi="Times New Roman" w:cs="Times New Roman"/>
                <w:sz w:val="24"/>
              </w:rPr>
              <w:t>房地产</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w:t>
            </w:r>
          </w:p>
        </w:tc>
        <w:tc>
          <w:tcPr>
            <w:tcW w:w="1173" w:type="dxa"/>
          </w:tcPr>
          <w:p>
            <w:pPr>
              <w:tabs>
                <w:tab w:val="left" w:pos="840"/>
              </w:tabs>
              <w:spacing w:line="360" w:lineRule="auto"/>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164.53</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1,942,100.00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2</w:t>
            </w:r>
          </w:p>
        </w:tc>
        <w:tc>
          <w:tcPr>
            <w:tcW w:w="3234" w:type="dxa"/>
          </w:tcPr>
          <w:p>
            <w:pPr>
              <w:tabs>
                <w:tab w:val="left" w:pos="840"/>
              </w:tabs>
              <w:spacing w:line="360" w:lineRule="auto"/>
              <w:rPr>
                <w:rFonts w:ascii="Times New Roman" w:hAnsi="Times New Roman" w:cs="Times New Roman"/>
                <w:sz w:val="24"/>
              </w:rPr>
            </w:pPr>
            <w:r>
              <w:rPr>
                <w:rFonts w:ascii="Times New Roman" w:hAnsi="Times New Roman" w:cs="Times New Roman"/>
                <w:sz w:val="24"/>
              </w:rPr>
              <w:t>室内装修</w:t>
            </w:r>
          </w:p>
        </w:tc>
        <w:tc>
          <w:tcPr>
            <w:tcW w:w="891"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项</w:t>
            </w:r>
          </w:p>
        </w:tc>
        <w:tc>
          <w:tcPr>
            <w:tcW w:w="1173" w:type="dxa"/>
          </w:tcPr>
          <w:p>
            <w:pPr>
              <w:tabs>
                <w:tab w:val="left" w:pos="840"/>
              </w:tabs>
              <w:spacing w:line="360" w:lineRule="auto"/>
              <w:jc w:val="center"/>
              <w:rPr>
                <w:rFonts w:ascii="Times New Roman" w:hAnsi="Times New Roman" w:cs="Times New Roman"/>
                <w:sz w:val="24"/>
              </w:rPr>
            </w:pPr>
            <w:r>
              <w:rPr>
                <w:rFonts w:ascii="Times New Roman" w:hAnsi="Times New Roman" w:cs="Times New Roman"/>
                <w:sz w:val="24"/>
              </w:rPr>
              <w:t>1.00</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87,500.00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tabs>
                <w:tab w:val="left" w:pos="840"/>
              </w:tabs>
              <w:spacing w:line="360" w:lineRule="auto"/>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3</w:t>
            </w:r>
          </w:p>
        </w:tc>
        <w:tc>
          <w:tcPr>
            <w:tcW w:w="3234" w:type="dxa"/>
          </w:tcPr>
          <w:p>
            <w:pPr>
              <w:tabs>
                <w:tab w:val="left" w:pos="840"/>
              </w:tabs>
              <w:spacing w:line="360" w:lineRule="auto"/>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家具家电</w:t>
            </w:r>
          </w:p>
        </w:tc>
        <w:tc>
          <w:tcPr>
            <w:tcW w:w="891"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Hans" w:bidi="ar-SA"/>
              </w:rPr>
            </w:pPr>
            <w:r>
              <w:rPr>
                <w:rFonts w:ascii="Times New Roman" w:hAnsi="Times New Roman" w:cs="Times New Roman"/>
                <w:sz w:val="24"/>
                <w:lang w:eastAsia="zh-Hans"/>
              </w:rPr>
              <w:t>项</w:t>
            </w:r>
          </w:p>
        </w:tc>
        <w:tc>
          <w:tcPr>
            <w:tcW w:w="1173"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CN" w:bidi="ar-SA"/>
              </w:rPr>
            </w:pPr>
            <w:r>
              <w:rPr>
                <w:rFonts w:ascii="Times New Roman" w:hAnsi="Times New Roman" w:cs="Times New Roman"/>
                <w:sz w:val="24"/>
              </w:rPr>
              <w:t>1.00</w:t>
            </w:r>
          </w:p>
        </w:tc>
        <w:tc>
          <w:tcPr>
            <w:tcW w:w="2234" w:type="dxa"/>
            <w:vAlign w:val="center"/>
          </w:tcPr>
          <w:p>
            <w:pPr>
              <w:tabs>
                <w:tab w:val="left" w:pos="840"/>
              </w:tabs>
              <w:spacing w:line="360" w:lineRule="auto"/>
              <w:jc w:val="right"/>
              <w:rPr>
                <w:rFonts w:hint="eastAsia" w:ascii="Times New Roman" w:hAnsi="Times New Roman" w:cs="Times New Roman"/>
                <w:sz w:val="24"/>
                <w:lang w:eastAsia="zh-CN"/>
              </w:rPr>
            </w:pPr>
            <w:r>
              <w:rPr>
                <w:rFonts w:hint="eastAsia" w:ascii="Times New Roman" w:hAnsi="Times New Roman" w:cs="Times New Roman"/>
                <w:sz w:val="24"/>
                <w:lang w:val="en-US" w:eastAsia="zh-CN"/>
              </w:rPr>
              <w:t xml:space="preserve">28,400.00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0" w:type="dxa"/>
          </w:tcPr>
          <w:p>
            <w:pPr>
              <w:tabs>
                <w:tab w:val="left" w:pos="840"/>
              </w:tabs>
              <w:spacing w:line="360" w:lineRule="auto"/>
              <w:rPr>
                <w:rFonts w:ascii="Times New Roman" w:hAnsi="Times New Roman" w:cs="Times New Roman"/>
                <w:sz w:val="24"/>
              </w:rPr>
            </w:pPr>
          </w:p>
        </w:tc>
        <w:tc>
          <w:tcPr>
            <w:tcW w:w="3234" w:type="dxa"/>
          </w:tcPr>
          <w:p>
            <w:pPr>
              <w:tabs>
                <w:tab w:val="left" w:pos="840"/>
              </w:tabs>
              <w:spacing w:line="360" w:lineRule="auto"/>
              <w:jc w:val="center"/>
              <w:rPr>
                <w:rFonts w:ascii="Times New Roman" w:hAnsi="Times New Roman" w:cs="Times New Roman"/>
                <w:sz w:val="24"/>
                <w:lang w:eastAsia="zh-Hans"/>
              </w:rPr>
            </w:pPr>
            <w:r>
              <w:rPr>
                <w:rFonts w:ascii="Times New Roman" w:hAnsi="Times New Roman" w:cs="Times New Roman"/>
                <w:sz w:val="24"/>
                <w:lang w:eastAsia="zh-Hans"/>
              </w:rPr>
              <w:t>合计</w:t>
            </w:r>
          </w:p>
        </w:tc>
        <w:tc>
          <w:tcPr>
            <w:tcW w:w="891"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Hans" w:bidi="ar-SA"/>
              </w:rPr>
            </w:pPr>
          </w:p>
        </w:tc>
        <w:tc>
          <w:tcPr>
            <w:tcW w:w="1173" w:type="dxa"/>
            <w:vAlign w:val="top"/>
          </w:tcPr>
          <w:p>
            <w:pPr>
              <w:tabs>
                <w:tab w:val="left" w:pos="840"/>
              </w:tabs>
              <w:spacing w:line="360" w:lineRule="auto"/>
              <w:jc w:val="center"/>
              <w:rPr>
                <w:rFonts w:ascii="Times New Roman" w:hAnsi="Times New Roman" w:cs="Times New Roman" w:eastAsiaTheme="minorEastAsia"/>
                <w:kern w:val="2"/>
                <w:sz w:val="24"/>
                <w:szCs w:val="24"/>
                <w:lang w:val="en-US" w:eastAsia="zh-CN" w:bidi="ar-SA"/>
              </w:rPr>
            </w:pPr>
          </w:p>
        </w:tc>
        <w:tc>
          <w:tcPr>
            <w:tcW w:w="2234" w:type="dxa"/>
          </w:tcPr>
          <w:p>
            <w:pPr>
              <w:tabs>
                <w:tab w:val="left" w:pos="840"/>
              </w:tabs>
              <w:spacing w:line="360" w:lineRule="auto"/>
              <w:jc w:val="right"/>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2,058,000.00</w:t>
            </w:r>
          </w:p>
        </w:tc>
      </w:tr>
    </w:tbl>
    <w:p>
      <w:pPr>
        <w:tabs>
          <w:tab w:val="left" w:pos="540"/>
        </w:tabs>
        <w:spacing w:line="360" w:lineRule="auto"/>
        <w:outlineLvl w:val="0"/>
        <w:rPr>
          <w:rFonts w:ascii="Times New Roman" w:hAnsi="Times New Roman" w:eastAsia="宋体" w:cs="Times New Roman"/>
          <w:b/>
          <w:sz w:val="24"/>
        </w:rPr>
      </w:pPr>
      <w:bookmarkStart w:id="48" w:name="_Toc938550791_WPSOffice_Level1"/>
      <w:bookmarkStart w:id="49" w:name="_Toc37185848"/>
      <w:r>
        <w:rPr>
          <w:rFonts w:ascii="Times New Roman" w:hAnsi="Times New Roman" w:eastAsia="宋体" w:cs="Times New Roman"/>
          <w:b/>
          <w:sz w:val="24"/>
          <w:lang w:eastAsia="zh-Hans"/>
        </w:rPr>
        <w:t>十一、</w:t>
      </w:r>
      <w:r>
        <w:rPr>
          <w:rFonts w:ascii="Times New Roman" w:hAnsi="Times New Roman" w:eastAsia="宋体" w:cs="Times New Roman"/>
          <w:b/>
          <w:sz w:val="24"/>
        </w:rPr>
        <w:t>特别事项说明</w:t>
      </w:r>
      <w:bookmarkEnd w:id="47"/>
      <w:bookmarkEnd w:id="48"/>
      <w:bookmarkEnd w:id="49"/>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以下为在评估过程中已发现可能影响评估结论但非评估人员执业水平和能力所能评定估算的有关事项(包括但不限于以下)：</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（一）未决事项、法律纠纷等不确定因素</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本报告未发现未决事项，评估人员未发现除</w:t>
      </w:r>
      <w:r>
        <w:rPr>
          <w:rFonts w:hint="eastAsia" w:ascii="Times New Roman" w:hAnsi="Times New Roman" w:eastAsia="宋体" w:cs="Times New Roman"/>
          <w:color w:val="000000"/>
          <w:sz w:val="24"/>
          <w:lang w:val="zh-CN"/>
        </w:rPr>
        <w:t>（2022）杭富法委评字第</w:t>
      </w:r>
      <w:r>
        <w:rPr>
          <w:rFonts w:hint="eastAsia" w:ascii="Times New Roman" w:hAnsi="Times New Roman" w:eastAsia="宋体" w:cs="Times New Roman"/>
          <w:color w:val="000000"/>
          <w:sz w:val="24"/>
          <w:lang w:val="en-US" w:eastAsia="zh-CN"/>
        </w:rPr>
        <w:t>82</w:t>
      </w:r>
      <w:r>
        <w:rPr>
          <w:rFonts w:hint="eastAsia" w:ascii="Times New Roman" w:hAnsi="Times New Roman" w:eastAsia="宋体" w:cs="Times New Roman"/>
          <w:color w:val="000000"/>
          <w:sz w:val="24"/>
          <w:lang w:val="zh-CN"/>
        </w:rPr>
        <w:t>号</w:t>
      </w:r>
      <w:r>
        <w:rPr>
          <w:rFonts w:hint="eastAsia" w:ascii="Times New Roman" w:hAnsi="Times New Roman" w:eastAsia="宋体" w:cs="Times New Roman"/>
          <w:color w:val="000000"/>
          <w:sz w:val="24"/>
          <w:lang w:eastAsia="zh-CN"/>
        </w:rPr>
        <w:t>《司法评估委托书》</w:t>
      </w:r>
      <w:r>
        <w:rPr>
          <w:rFonts w:ascii="Times New Roman" w:hAnsi="Times New Roman" w:eastAsia="宋体" w:cs="Times New Roman"/>
          <w:color w:val="000000"/>
          <w:sz w:val="24"/>
        </w:rPr>
        <w:t>记载以外的法律纠纷</w:t>
      </w:r>
      <w:r>
        <w:rPr>
          <w:rFonts w:ascii="Times New Roman" w:hAnsi="Times New Roman" w:eastAsia="宋体" w:cs="Times New Roman"/>
          <w:color w:val="000000"/>
          <w:sz w:val="24"/>
          <w:lang w:val="zh-CN"/>
        </w:rPr>
        <w:t>。</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（二）重大期后事项</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期后事项是指评估基准日之后出具评估报告之前发生的重大事项。</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本报告无重大期后事项。</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（三）其他需要说明的事项</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rPr>
        <w:t>1、</w:t>
      </w:r>
      <w:r>
        <w:rPr>
          <w:rFonts w:ascii="Times New Roman" w:hAnsi="Times New Roman" w:eastAsia="宋体" w:cs="Times New Roman"/>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2、评估报告中涉及的有关权属证明文件及相关资料由委托人提供，评估人员已对其提供资料的真实性、合理性进行必要的检验，委托人对其真实性、合法性承担法律责任。</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3、本次评估中，评估专业人员未对委估资产在评估基准日的结构、室内装修等做专项技术检测，评估专业人员在假定委托人提供的有关资料是真实有效的前提下，通过现场调查做出判断。</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4、未考虑评估费、拍卖费、诉讼费、律师费以及交易税费等财产处置费用对评估结论的影响。</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5、未考虑查封、抵押和其他优先受偿权对其价值的任何影响。</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6、本报告评估基准日后，评估报告日前，评估范围内被查的房屋，现处于</w:t>
      </w:r>
      <w:r>
        <w:rPr>
          <w:rFonts w:hint="eastAsia" w:ascii="Times New Roman" w:hAnsi="Times New Roman" w:eastAsia="宋体" w:cs="Times New Roman"/>
          <w:color w:val="000000"/>
          <w:sz w:val="24"/>
        </w:rPr>
        <w:t>空置</w:t>
      </w:r>
      <w:r>
        <w:rPr>
          <w:rFonts w:ascii="Times New Roman" w:hAnsi="Times New Roman" w:eastAsia="宋体" w:cs="Times New Roman"/>
          <w:color w:val="000000"/>
          <w:sz w:val="24"/>
        </w:rPr>
        <w:t>状态。</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rPr>
        <w:t>7、</w:t>
      </w:r>
      <w:r>
        <w:rPr>
          <w:rFonts w:ascii="Times New Roman" w:hAnsi="Times New Roman" w:eastAsia="宋体" w:cs="Times New Roman"/>
          <w:color w:val="000000"/>
          <w:sz w:val="24"/>
          <w:lang w:val="zh-CN"/>
        </w:rPr>
        <w:t>在评估基准日以后的有效期内，如果资产数量及作价标准发生变化时，应按以下原则处理：</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w:t>
      </w:r>
      <w:r>
        <w:rPr>
          <w:rFonts w:ascii="Times New Roman" w:hAnsi="Times New Roman" w:eastAsia="宋体" w:cs="Times New Roman"/>
          <w:color w:val="000000"/>
          <w:sz w:val="24"/>
        </w:rPr>
        <w:t>1）</w:t>
      </w:r>
      <w:r>
        <w:rPr>
          <w:rFonts w:ascii="Times New Roman" w:hAnsi="Times New Roman" w:eastAsia="宋体" w:cs="Times New Roman"/>
          <w:color w:val="000000"/>
          <w:sz w:val="24"/>
          <w:lang w:val="zh-CN"/>
        </w:rPr>
        <w:t>当资产数量发生变化时，应根据原评估方法对资产数额进行相应调整；</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w:t>
      </w:r>
      <w:r>
        <w:rPr>
          <w:rFonts w:ascii="Times New Roman" w:hAnsi="Times New Roman" w:eastAsia="宋体" w:cs="Times New Roman"/>
          <w:color w:val="000000"/>
          <w:sz w:val="24"/>
        </w:rPr>
        <w:t>2）</w:t>
      </w:r>
      <w:r>
        <w:rPr>
          <w:rFonts w:ascii="Times New Roman" w:hAnsi="Times New Roman" w:eastAsia="宋体" w:cs="Times New Roman"/>
          <w:color w:val="000000"/>
          <w:sz w:val="24"/>
          <w:lang w:val="zh-CN"/>
        </w:rPr>
        <w:t>当资产价格标准发生变化、且对资产评估结果产生明显影响时，委托人应及时聘请有资格的资产评估机构重新确定评估价值；</w:t>
      </w:r>
    </w:p>
    <w:p>
      <w:pPr>
        <w:spacing w:line="360" w:lineRule="auto"/>
        <w:ind w:firstLine="480" w:firstLineChars="200"/>
        <w:rPr>
          <w:rFonts w:ascii="Times New Roman" w:hAnsi="Times New Roman" w:eastAsia="宋体" w:cs="Times New Roman"/>
          <w:color w:val="000000"/>
          <w:sz w:val="24"/>
          <w:lang w:val="zh-CN"/>
        </w:rPr>
      </w:pPr>
      <w:r>
        <w:rPr>
          <w:rFonts w:ascii="Times New Roman" w:hAnsi="Times New Roman" w:eastAsia="宋体" w:cs="Times New Roman"/>
          <w:color w:val="000000"/>
          <w:sz w:val="24"/>
          <w:lang w:val="zh-CN"/>
        </w:rPr>
        <w:t>（</w:t>
      </w:r>
      <w:r>
        <w:rPr>
          <w:rFonts w:ascii="Times New Roman" w:hAnsi="Times New Roman" w:eastAsia="宋体" w:cs="Times New Roman"/>
          <w:color w:val="000000"/>
          <w:sz w:val="24"/>
        </w:rPr>
        <w:t>3）</w:t>
      </w:r>
      <w:r>
        <w:rPr>
          <w:rFonts w:ascii="Times New Roman" w:hAnsi="Times New Roman" w:eastAsia="宋体" w:cs="Times New Roman"/>
          <w:color w:val="000000"/>
          <w:sz w:val="24"/>
          <w:lang w:val="zh-CN"/>
        </w:rPr>
        <w:t>对评估基准日后，资产数量、价格标准的变化，委托人在资产实际作价时应给予充分考虑，进行相应调整。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cs="宋体"/>
          <w:color w:val="000000"/>
          <w:sz w:val="24"/>
        </w:rPr>
      </w:pPr>
      <w:r>
        <w:rPr>
          <w:rFonts w:hint="eastAsia" w:ascii="Times New Roman" w:cs="Times New Roman"/>
          <w:color w:val="000000"/>
          <w:sz w:val="24"/>
          <w:lang w:val="en-US" w:eastAsia="zh-CN"/>
        </w:rPr>
        <w:t>8、本次评估的房屋，格局在原有的基础上进行了较大的改动，现为5室5卫1厨，</w:t>
      </w:r>
      <w:r>
        <w:rPr>
          <w:rFonts w:hint="eastAsia" w:ascii="宋体" w:hAnsi="宋体" w:cs="宋体"/>
          <w:color w:val="000000"/>
          <w:sz w:val="24"/>
        </w:rPr>
        <w:t>提请</w:t>
      </w:r>
      <w:r>
        <w:rPr>
          <w:rFonts w:hint="eastAsia" w:ascii="宋体" w:hAnsi="宋体" w:cs="宋体"/>
          <w:color w:val="000000"/>
          <w:sz w:val="24"/>
          <w:lang w:val="en-US" w:eastAsia="zh-CN"/>
        </w:rPr>
        <w:t>报告使用人进行、接受</w:t>
      </w:r>
      <w:r>
        <w:rPr>
          <w:rFonts w:hint="eastAsia" w:ascii="宋体" w:hAnsi="宋体" w:cs="宋体"/>
          <w:color w:val="000000"/>
          <w:sz w:val="24"/>
        </w:rPr>
        <w:t>处置时注意。</w:t>
      </w:r>
    </w:p>
    <w:p>
      <w:pPr>
        <w:spacing w:line="360" w:lineRule="auto"/>
        <w:ind w:firstLine="480" w:firstLineChars="200"/>
        <w:rPr>
          <w:rFonts w:hint="eastAsia" w:ascii="Times New Roman" w:cs="Times New Roman"/>
          <w:color w:val="000000"/>
          <w:sz w:val="24"/>
          <w:lang w:val="en-US" w:eastAsia="zh-CN"/>
        </w:rPr>
      </w:pPr>
      <w:r>
        <w:rPr>
          <w:rFonts w:hint="eastAsia" w:ascii="Times New Roman" w:cs="Times New Roman"/>
          <w:color w:val="000000"/>
          <w:sz w:val="24"/>
          <w:lang w:val="en-US" w:eastAsia="zh-CN"/>
        </w:rPr>
        <w:t>9、本次评估的房屋产权，根据杭州市不动产权属信息查询权利人为潘玲玲，而根据委托人提供的《富阳区富春街道高教园综合体工程三联嘉苑安置协议》及与执行案件承办人确认，</w:t>
      </w:r>
      <w:r>
        <w:rPr>
          <w:rFonts w:hint="eastAsia" w:ascii="Times New Roman" w:hAnsi="Times New Roman" w:eastAsia="宋体" w:cs="Times New Roman"/>
          <w:sz w:val="24"/>
          <w:lang w:eastAsia="zh-CN"/>
        </w:rPr>
        <w:t>庞旭明为该房屋的权利人之一</w:t>
      </w:r>
      <w:r>
        <w:rPr>
          <w:rFonts w:hint="eastAsia" w:ascii="Times New Roman" w:cs="Times New Roman"/>
          <w:color w:val="000000"/>
          <w:sz w:val="24"/>
          <w:lang w:val="en-US" w:eastAsia="zh-CN"/>
        </w:rPr>
        <w:t>。</w:t>
      </w:r>
    </w:p>
    <w:p>
      <w:pPr>
        <w:spacing w:line="360" w:lineRule="auto"/>
        <w:jc w:val="center"/>
        <w:rPr>
          <w:rFonts w:ascii="Times New Roman" w:hAnsi="Times New Roman" w:eastAsia="Kaiti SC Bold" w:cs="Times New Roman"/>
          <w:b/>
          <w:i/>
          <w:sz w:val="28"/>
          <w:szCs w:val="28"/>
        </w:rPr>
      </w:pPr>
      <w:r>
        <w:rPr>
          <w:rFonts w:ascii="Times New Roman" w:hAnsi="Times New Roman" w:eastAsia="Kaiti SC Bold" w:cs="Times New Roman"/>
          <w:b/>
          <w:i/>
          <w:sz w:val="28"/>
          <w:szCs w:val="28"/>
        </w:rPr>
        <w:t>评估报告使用者应注意以上的特别事项对评估结论所产生的影响。</w:t>
      </w:r>
    </w:p>
    <w:p>
      <w:pPr>
        <w:tabs>
          <w:tab w:val="left" w:pos="540"/>
        </w:tabs>
        <w:spacing w:line="360" w:lineRule="auto"/>
        <w:outlineLvl w:val="0"/>
        <w:rPr>
          <w:rFonts w:ascii="Times New Roman" w:hAnsi="Times New Roman" w:eastAsia="宋体" w:cs="Times New Roman"/>
          <w:b/>
          <w:sz w:val="24"/>
        </w:rPr>
      </w:pPr>
      <w:bookmarkStart w:id="50" w:name="_Toc955757122_WPSOffice_Level1"/>
      <w:bookmarkStart w:id="51" w:name="_Toc275872931"/>
      <w:bookmarkStart w:id="52" w:name="_Toc37185849"/>
      <w:r>
        <w:rPr>
          <w:rFonts w:ascii="Times New Roman" w:hAnsi="Times New Roman" w:eastAsia="宋体" w:cs="Times New Roman"/>
          <w:b/>
          <w:sz w:val="24"/>
          <w:lang w:eastAsia="zh-Hans"/>
        </w:rPr>
        <w:t>十二、</w:t>
      </w:r>
      <w:r>
        <w:rPr>
          <w:rFonts w:ascii="Times New Roman" w:hAnsi="Times New Roman" w:eastAsia="宋体" w:cs="Times New Roman"/>
          <w:b/>
          <w:sz w:val="24"/>
        </w:rPr>
        <w:t>评估报告使用限制说明</w:t>
      </w:r>
      <w:bookmarkEnd w:id="50"/>
      <w:bookmarkEnd w:id="51"/>
      <w:bookmarkEnd w:id="52"/>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（一）评估报告仅用于评估报告载明的评估目的和用途；</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（二）评估报告只能由评估报告载明的评估报告使用者使用；</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（三）评估报告未经核准或者备案，评估结论不得被使用；</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 xml:space="preserve">（七）评估报告及评估结论的使用有效期 </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本报告书评估结论的有效期限为壹年，自评估基准日</w:t>
      </w:r>
      <w:r>
        <w:rPr>
          <w:rFonts w:hint="eastAsia" w:ascii="Times New Roman" w:hAnsi="Times New Roman" w:eastAsia="宋体" w:cs="Times New Roman"/>
          <w:bCs/>
          <w:sz w:val="24"/>
          <w:lang w:eastAsia="zh-CN"/>
        </w:rPr>
        <w:t>2022年7月19日</w:t>
      </w:r>
      <w:r>
        <w:rPr>
          <w:rFonts w:ascii="Times New Roman" w:hAnsi="Times New Roman" w:eastAsia="宋体" w:cs="Times New Roman"/>
          <w:bCs/>
          <w:sz w:val="24"/>
        </w:rPr>
        <w:t>起</w:t>
      </w:r>
      <w:r>
        <w:rPr>
          <w:rFonts w:hint="eastAsia" w:ascii="Times New Roman" w:hAnsi="Times New Roman" w:eastAsia="宋体" w:cs="Times New Roman"/>
          <w:bCs/>
          <w:sz w:val="24"/>
          <w:lang w:eastAsia="zh-CN"/>
        </w:rPr>
        <w:t>2023年7月18日</w:t>
      </w:r>
      <w:r>
        <w:rPr>
          <w:rFonts w:ascii="Times New Roman" w:hAnsi="Times New Roman" w:eastAsia="宋体" w:cs="Times New Roman"/>
          <w:bCs/>
          <w:sz w:val="24"/>
        </w:rPr>
        <w:t>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（八）本评估报告在评估机构签字盖章后，具有法律效力；</w:t>
      </w:r>
    </w:p>
    <w:p>
      <w:pPr>
        <w:tabs>
          <w:tab w:val="left" w:pos="540"/>
        </w:tabs>
        <w:adjustRightInd w:val="0"/>
        <w:spacing w:line="360" w:lineRule="auto"/>
        <w:ind w:firstLine="480" w:firstLineChars="200"/>
        <w:outlineLvl w:val="0"/>
        <w:rPr>
          <w:rFonts w:ascii="Times New Roman" w:hAnsi="Times New Roman" w:eastAsia="宋体" w:cs="Times New Roman"/>
          <w:bCs/>
          <w:sz w:val="24"/>
        </w:rPr>
      </w:pPr>
      <w:r>
        <w:rPr>
          <w:rFonts w:ascii="Times New Roman" w:hAnsi="Times New Roman" w:eastAsia="宋体" w:cs="Times New Roman"/>
          <w:bCs/>
          <w:sz w:val="24"/>
        </w:rPr>
        <w:t>（九）本报告书的评估结论仅供委托人为本次评估目的使用，报告书的使用</w:t>
      </w:r>
    </w:p>
    <w:p>
      <w:pPr>
        <w:tabs>
          <w:tab w:val="left" w:pos="540"/>
        </w:tabs>
        <w:adjustRightInd w:val="0"/>
        <w:spacing w:line="360" w:lineRule="auto"/>
        <w:outlineLvl w:val="0"/>
        <w:rPr>
          <w:rFonts w:ascii="Times New Roman" w:hAnsi="Times New Roman" w:eastAsia="宋体" w:cs="Times New Roman"/>
          <w:bCs/>
          <w:sz w:val="24"/>
        </w:rPr>
      </w:pPr>
      <w:r>
        <w:rPr>
          <w:rFonts w:ascii="Times New Roman" w:hAnsi="Times New Roman" w:eastAsia="宋体" w:cs="Times New Roman"/>
          <w:bCs/>
          <w:sz w:val="24"/>
        </w:rPr>
        <w:t>权归委托人所有，未经委托人许可，我公司不能随意向他人公开。</w:t>
      </w:r>
    </w:p>
    <w:p>
      <w:pPr>
        <w:tabs>
          <w:tab w:val="left" w:pos="540"/>
        </w:tabs>
        <w:spacing w:line="360" w:lineRule="auto"/>
        <w:outlineLvl w:val="0"/>
        <w:rPr>
          <w:rFonts w:ascii="Times New Roman" w:hAnsi="Times New Roman" w:eastAsia="宋体" w:cs="Times New Roman"/>
          <w:b/>
          <w:sz w:val="24"/>
        </w:rPr>
      </w:pPr>
      <w:bookmarkStart w:id="53" w:name="_Toc275872932"/>
      <w:bookmarkStart w:id="54" w:name="_Toc105580759"/>
      <w:bookmarkStart w:id="55" w:name="_Toc37185850"/>
      <w:bookmarkStart w:id="56" w:name="_Toc222741556"/>
      <w:bookmarkStart w:id="57" w:name="_Toc530303619"/>
      <w:bookmarkStart w:id="58" w:name="_Toc232269894_WPSOffice_Level1"/>
      <w:r>
        <w:rPr>
          <w:rFonts w:ascii="Times New Roman" w:hAnsi="Times New Roman" w:eastAsia="宋体" w:cs="Times New Roman"/>
          <w:b/>
          <w:sz w:val="24"/>
          <w:lang w:eastAsia="zh-Hans"/>
        </w:rPr>
        <w:t>十三、</w:t>
      </w:r>
      <w:r>
        <w:rPr>
          <w:rFonts w:ascii="Times New Roman" w:hAnsi="Times New Roman" w:eastAsia="宋体" w:cs="Times New Roman"/>
          <w:b/>
          <w:sz w:val="24"/>
        </w:rPr>
        <w:t>评估报告日</w:t>
      </w:r>
      <w:bookmarkEnd w:id="53"/>
      <w:bookmarkEnd w:id="54"/>
      <w:bookmarkEnd w:id="55"/>
      <w:bookmarkEnd w:id="56"/>
      <w:bookmarkEnd w:id="57"/>
      <w:bookmarkEnd w:id="58"/>
    </w:p>
    <w:p>
      <w:pPr>
        <w:tabs>
          <w:tab w:val="left" w:pos="540"/>
        </w:tabs>
        <w:spacing w:line="360" w:lineRule="auto"/>
        <w:ind w:firstLine="480" w:firstLineChars="200"/>
        <w:outlineLvl w:val="0"/>
        <w:rPr>
          <w:rFonts w:ascii="Times New Roman" w:hAnsi="Times New Roman" w:eastAsia="宋体" w:cs="Times New Roman"/>
          <w:sz w:val="24"/>
        </w:rPr>
      </w:pPr>
      <w:bookmarkStart w:id="59" w:name="_Toc37185851"/>
      <w:bookmarkStart w:id="60" w:name="_Toc4697077"/>
      <w:bookmarkStart w:id="61" w:name="_Toc4697049"/>
      <w:bookmarkStart w:id="62" w:name="_Toc37185651"/>
      <w:r>
        <w:rPr>
          <w:rFonts w:ascii="Times New Roman" w:hAnsi="Times New Roman" w:eastAsia="宋体" w:cs="Times New Roman"/>
          <w:sz w:val="24"/>
          <w:lang w:eastAsia="zh-Hans"/>
        </w:rPr>
        <w:t>本次评估报告日为</w:t>
      </w:r>
      <w:r>
        <w:rPr>
          <w:rFonts w:ascii="Times New Roman" w:hAnsi="Times New Roman" w:eastAsia="宋体" w:cs="Times New Roman"/>
          <w:sz w:val="24"/>
        </w:rPr>
        <w:t>：</w:t>
      </w:r>
      <w:bookmarkEnd w:id="59"/>
      <w:bookmarkEnd w:id="60"/>
      <w:bookmarkEnd w:id="61"/>
      <w:bookmarkEnd w:id="62"/>
      <w:r>
        <w:rPr>
          <w:rFonts w:hint="eastAsia" w:ascii="Times New Roman" w:hAnsi="Times New Roman" w:eastAsia="宋体" w:cs="Times New Roman"/>
          <w:sz w:val="24"/>
          <w:lang w:eastAsia="zh-CN"/>
        </w:rPr>
        <w:t>二〇二二年七月二十二日</w:t>
      </w:r>
      <w:r>
        <w:rPr>
          <w:rFonts w:ascii="Times New Roman" w:hAnsi="Times New Roman" w:eastAsia="宋体" w:cs="Times New Roman"/>
          <w:sz w:val="24"/>
        </w:rPr>
        <w:t>。</w:t>
      </w:r>
    </w:p>
    <w:p>
      <w:pPr>
        <w:spacing w:line="360" w:lineRule="auto"/>
        <w:rPr>
          <w:rFonts w:ascii="Times New Roman" w:hAnsi="Times New Roman" w:eastAsia="宋体" w:cs="Times New Roman"/>
          <w:b/>
          <w:bCs/>
          <w:sz w:val="24"/>
        </w:rPr>
      </w:pPr>
      <w:bookmarkStart w:id="63" w:name="_Toc1782321859_WPSOffice_Level1"/>
      <w:r>
        <w:rPr>
          <w:rFonts w:ascii="Times New Roman" w:hAnsi="Times New Roman" w:eastAsia="宋体" w:cs="Times New Roman"/>
          <w:b/>
          <w:bCs/>
          <w:sz w:val="24"/>
        </w:rPr>
        <w:t>十四、 资产评估专业人员签名和资产评估机构印章</w:t>
      </w:r>
      <w:bookmarkEnd w:id="63"/>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杭州富诚资产评估有限公司              资产评估师：</w:t>
      </w:r>
    </w:p>
    <w:p>
      <w:pPr>
        <w:spacing w:line="360" w:lineRule="auto"/>
        <w:ind w:firstLine="480" w:firstLineChars="200"/>
        <w:rPr>
          <w:rFonts w:ascii="Times New Roman" w:hAnsi="Times New Roman" w:eastAsia="宋体" w:cs="Times New Roman"/>
          <w:sz w:val="24"/>
        </w:rPr>
      </w:pPr>
    </w:p>
    <w:p>
      <w:pPr>
        <w:pStyle w:val="2"/>
      </w:pPr>
    </w:p>
    <w:p>
      <w:pPr>
        <w:pStyle w:val="2"/>
        <w:rPr>
          <w:rFonts w:ascii="Times New Roman" w:cs="Times New Roman"/>
        </w:rPr>
      </w:pPr>
    </w:p>
    <w:p>
      <w:pPr>
        <w:pStyle w:val="5"/>
        <w:spacing w:line="360" w:lineRule="auto"/>
        <w:ind w:firstLine="4588" w:firstLineChars="1912"/>
        <w:rPr>
          <w:rFonts w:ascii="Times New Roman" w:hAnsi="Times New Roman" w:eastAsia="宋体" w:cs="Times New Roman"/>
          <w:sz w:val="24"/>
          <w:szCs w:val="24"/>
        </w:rPr>
      </w:pPr>
      <w:r>
        <w:rPr>
          <w:rFonts w:ascii="Times New Roman" w:hAnsi="Times New Roman" w:eastAsia="宋体" w:cs="Times New Roman"/>
          <w:sz w:val="24"/>
          <w:szCs w:val="24"/>
        </w:rPr>
        <w:t xml:space="preserve">资产评估师：  </w:t>
      </w:r>
      <w:r>
        <w:rPr>
          <w:rFonts w:hint="eastAsia" w:ascii="宋体" w:hAnsi="宋体" w:eastAsia="宋体" w:cs="宋体"/>
          <w:sz w:val="24"/>
          <w:lang w:eastAsia="zh-CN"/>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6751320</wp:posOffset>
            </wp:positionV>
            <wp:extent cx="1668145" cy="866775"/>
            <wp:effectExtent l="0" t="0" r="8255" b="9525"/>
            <wp:wrapNone/>
            <wp:docPr id="8" name="图片 7" descr="7968b2b9f47ed51dc477613de0e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7968b2b9f47ed51dc477613de0e8126"/>
                    <pic:cNvPicPr>
                      <a:picLocks noChangeAspect="1"/>
                    </pic:cNvPicPr>
                  </pic:nvPicPr>
                  <pic:blipFill>
                    <a:blip r:embed="rId8"/>
                    <a:stretch>
                      <a:fillRect/>
                    </a:stretch>
                  </pic:blipFill>
                  <pic:spPr>
                    <a:xfrm>
                      <a:off x="0" y="0"/>
                      <a:ext cx="1668145" cy="866775"/>
                    </a:xfrm>
                    <a:prstGeom prst="rect">
                      <a:avLst/>
                    </a:prstGeom>
                    <a:noFill/>
                    <a:ln>
                      <a:noFill/>
                    </a:ln>
                  </pic:spPr>
                </pic:pic>
              </a:graphicData>
            </a:graphic>
          </wp:anchor>
        </w:drawing>
      </w:r>
    </w:p>
    <w:p>
      <w:pPr>
        <w:spacing w:line="360" w:lineRule="auto"/>
        <w:ind w:firstLine="510"/>
        <w:rPr>
          <w:rFonts w:ascii="Times New Roman" w:hAnsi="Times New Roman" w:eastAsia="宋体" w:cs="Times New Roman"/>
          <w:sz w:val="24"/>
        </w:rPr>
      </w:pPr>
      <w:r>
        <w:rPr>
          <w:rFonts w:ascii="Times New Roman" w:hAnsi="Times New Roman" w:eastAsia="宋体" w:cs="Times New Roman"/>
          <w:sz w:val="24"/>
        </w:rPr>
        <w:t>浙江・杭州</w:t>
      </w:r>
      <w:bookmarkStart w:id="64" w:name="_Toc530303620"/>
      <w:bookmarkStart w:id="65" w:name="_Toc530299041"/>
      <w:r>
        <w:rPr>
          <w:rFonts w:ascii="Times New Roman" w:hAnsi="Times New Roman" w:eastAsia="宋体" w:cs="Times New Roman"/>
          <w:sz w:val="24"/>
        </w:rPr>
        <w:t xml:space="preserve">  </w:t>
      </w:r>
      <w:bookmarkEnd w:id="64"/>
      <w:bookmarkEnd w:id="65"/>
      <w:r>
        <w:rPr>
          <w:rFonts w:ascii="Times New Roman" w:hAnsi="Times New Roman" w:eastAsia="宋体" w:cs="Times New Roman"/>
          <w:sz w:val="24"/>
        </w:rPr>
        <w:t xml:space="preserve">                          </w:t>
      </w:r>
    </w:p>
    <w:p>
      <w:pPr>
        <w:spacing w:line="360" w:lineRule="auto"/>
        <w:jc w:val="right"/>
        <w:rPr>
          <w:rFonts w:hint="eastAsia" w:ascii="Times New Roman" w:hAnsi="Times New Roman" w:eastAsia="宋体" w:cs="Times New Roman"/>
          <w:sz w:val="24"/>
          <w:lang w:eastAsia="zh-CN"/>
        </w:rPr>
      </w:pPr>
      <w:r>
        <w:rPr>
          <w:rFonts w:ascii="Times New Roman" w:hAnsi="Times New Roman" w:eastAsia="宋体" w:cs="Times New Roman"/>
          <w:sz w:val="24"/>
        </w:rPr>
        <w:t xml:space="preserve">  </w:t>
      </w:r>
      <w:r>
        <w:rPr>
          <w:rFonts w:hint="eastAsia" w:ascii="Times New Roman" w:hAnsi="Times New Roman" w:eastAsia="宋体" w:cs="Times New Roman"/>
          <w:sz w:val="24"/>
          <w:lang w:eastAsia="zh-CN"/>
        </w:rPr>
        <w:t>二〇二二年七月二十二日</w:t>
      </w:r>
    </w:p>
    <w:p>
      <w:pPr>
        <w:pStyle w:val="2"/>
        <w:rPr>
          <w:rFonts w:hint="eastAsia"/>
          <w:lang w:eastAsia="zh-CN"/>
        </w:rPr>
      </w:pPr>
    </w:p>
    <w:p>
      <w:pPr>
        <w:pStyle w:val="2"/>
        <w:rPr>
          <w:rFonts w:ascii="Times New Roman" w:cs="Times New Roman"/>
        </w:rPr>
      </w:pPr>
      <w:bookmarkStart w:id="66" w:name="_Toc234092210_WPSOffice_Level1"/>
      <w:bookmarkStart w:id="67" w:name="_Toc37185852"/>
    </w:p>
    <w:p>
      <w:pPr>
        <w:pStyle w:val="12"/>
        <w:rPr>
          <w:rFonts w:ascii="Times New Roman" w:hAnsi="Times New Roman"/>
          <w:sz w:val="44"/>
          <w:szCs w:val="44"/>
        </w:rPr>
      </w:pPr>
    </w:p>
    <w:p>
      <w:pPr>
        <w:pStyle w:val="2"/>
        <w:rPr>
          <w:rFonts w:ascii="Times New Roman" w:hAnsi="Times New Roman"/>
          <w:sz w:val="44"/>
          <w:szCs w:val="44"/>
        </w:rPr>
      </w:pPr>
    </w:p>
    <w:p>
      <w:pPr>
        <w:pStyle w:val="2"/>
        <w:rPr>
          <w:rFonts w:ascii="Times New Roman" w:hAnsi="Times New Roman"/>
          <w:sz w:val="44"/>
          <w:szCs w:val="44"/>
        </w:rPr>
      </w:pPr>
    </w:p>
    <w:p>
      <w:pPr>
        <w:pStyle w:val="2"/>
        <w:rPr>
          <w:rFonts w:ascii="Times New Roman" w:hAnsi="Times New Roman"/>
          <w:sz w:val="44"/>
          <w:szCs w:val="44"/>
        </w:rPr>
      </w:pPr>
    </w:p>
    <w:p>
      <w:pPr>
        <w:pStyle w:val="12"/>
        <w:rPr>
          <w:rFonts w:ascii="Times New Roman" w:hAnsi="Times New Roman"/>
          <w:sz w:val="44"/>
          <w:szCs w:val="44"/>
        </w:rPr>
      </w:pPr>
      <w:r>
        <w:rPr>
          <w:rFonts w:ascii="Times New Roman" w:hAnsi="Times New Roman"/>
          <w:sz w:val="44"/>
          <w:szCs w:val="44"/>
        </w:rPr>
        <w:t>备查文件目录</w:t>
      </w:r>
      <w:bookmarkEnd w:id="66"/>
      <w:bookmarkEnd w:id="67"/>
    </w:p>
    <w:p>
      <w:pPr>
        <w:tabs>
          <w:tab w:val="left" w:pos="540"/>
        </w:tabs>
        <w:spacing w:before="156" w:beforeLines="50" w:line="360" w:lineRule="auto"/>
        <w:jc w:val="center"/>
        <w:outlineLvl w:val="0"/>
        <w:rPr>
          <w:rFonts w:ascii="Times New Roman" w:hAnsi="Times New Roman" w:cs="Times New Roman"/>
          <w:b/>
          <w:sz w:val="44"/>
          <w:szCs w:val="44"/>
        </w:rPr>
      </w:pPr>
    </w:p>
    <w:p>
      <w:pPr>
        <w:tabs>
          <w:tab w:val="left" w:pos="900"/>
        </w:tabs>
        <w:spacing w:line="360" w:lineRule="auto"/>
        <w:ind w:left="750"/>
        <w:rPr>
          <w:rFonts w:ascii="Times New Roman" w:hAnsi="Times New Roman" w:cs="Times New Roman"/>
          <w:color w:val="000000"/>
          <w:w w:val="90"/>
          <w:sz w:val="28"/>
          <w:szCs w:val="28"/>
        </w:rPr>
      </w:pPr>
      <w:bookmarkStart w:id="68" w:name="_Toc197732166_WPSOffice_Level1"/>
      <w:r>
        <w:rPr>
          <w:rFonts w:ascii="Times New Roman" w:hAnsi="Times New Roman" w:cs="Times New Roman"/>
          <w:color w:val="000000"/>
          <w:w w:val="90"/>
          <w:sz w:val="28"/>
          <w:szCs w:val="28"/>
        </w:rPr>
        <w:t>1、资产评估汇总表及明细表</w:t>
      </w:r>
      <w:bookmarkEnd w:id="68"/>
    </w:p>
    <w:p>
      <w:pPr>
        <w:tabs>
          <w:tab w:val="left" w:pos="900"/>
        </w:tabs>
        <w:spacing w:line="360" w:lineRule="auto"/>
        <w:ind w:left="750"/>
        <w:jc w:val="left"/>
        <w:rPr>
          <w:rFonts w:hint="eastAsia" w:ascii="Times New Roman" w:hAnsi="Times New Roman" w:cs="Times New Roman" w:eastAsiaTheme="minorEastAsia"/>
          <w:color w:val="000000"/>
          <w:w w:val="90"/>
          <w:sz w:val="28"/>
          <w:szCs w:val="28"/>
          <w:lang w:eastAsia="zh-CN"/>
        </w:rPr>
      </w:pPr>
      <w:bookmarkStart w:id="69" w:name="_Toc1127312053_WPSOffice_Level1"/>
      <w:r>
        <w:rPr>
          <w:rFonts w:ascii="Times New Roman" w:hAnsi="Times New Roman" w:cs="Times New Roman"/>
          <w:color w:val="000000"/>
          <w:w w:val="90"/>
          <w:sz w:val="28"/>
          <w:szCs w:val="28"/>
        </w:rPr>
        <w:t>2、</w:t>
      </w:r>
      <w:bookmarkEnd w:id="69"/>
      <w:r>
        <w:rPr>
          <w:rFonts w:ascii="Times New Roman" w:hAnsi="Times New Roman" w:cs="Times New Roman"/>
          <w:color w:val="000000"/>
          <w:w w:val="90"/>
          <w:sz w:val="28"/>
          <w:szCs w:val="28"/>
        </w:rPr>
        <w:t>杭州市富阳区人民法院</w:t>
      </w:r>
      <w:r>
        <w:rPr>
          <w:rFonts w:hint="eastAsia" w:ascii="Times New Roman" w:hAnsi="Times New Roman" w:cs="Times New Roman"/>
          <w:color w:val="000000"/>
          <w:w w:val="90"/>
          <w:sz w:val="28"/>
          <w:szCs w:val="28"/>
          <w:lang w:eastAsia="zh-CN"/>
        </w:rPr>
        <w:t>《司法评估委托书》</w:t>
      </w:r>
    </w:p>
    <w:p>
      <w:pPr>
        <w:tabs>
          <w:tab w:val="left" w:pos="900"/>
        </w:tabs>
        <w:spacing w:line="360" w:lineRule="auto"/>
        <w:ind w:left="750"/>
        <w:rPr>
          <w:rFonts w:ascii="Times New Roman" w:hAnsi="Times New Roman" w:cs="Times New Roman"/>
          <w:color w:val="000000"/>
          <w:w w:val="90"/>
          <w:sz w:val="28"/>
          <w:szCs w:val="28"/>
        </w:rPr>
      </w:pPr>
      <w:bookmarkStart w:id="70" w:name="_Toc45976280_WPSOffice_Level1"/>
      <w:r>
        <w:rPr>
          <w:rFonts w:ascii="Times New Roman" w:hAnsi="Times New Roman" w:cs="Times New Roman"/>
          <w:color w:val="000000"/>
          <w:w w:val="90"/>
          <w:sz w:val="28"/>
          <w:szCs w:val="28"/>
        </w:rPr>
        <w:t>3、资产评估对象权属资料</w:t>
      </w:r>
      <w:bookmarkEnd w:id="70"/>
    </w:p>
    <w:p>
      <w:pPr>
        <w:tabs>
          <w:tab w:val="left" w:pos="900"/>
        </w:tabs>
        <w:spacing w:line="360" w:lineRule="auto"/>
        <w:ind w:left="750"/>
        <w:rPr>
          <w:rFonts w:ascii="Times New Roman" w:hAnsi="Times New Roman" w:cs="Times New Roman"/>
          <w:color w:val="000000"/>
          <w:w w:val="90"/>
          <w:sz w:val="28"/>
          <w:szCs w:val="28"/>
        </w:rPr>
      </w:pPr>
      <w:bookmarkStart w:id="71" w:name="_Toc1776708687_WPSOffice_Level1"/>
      <w:r>
        <w:rPr>
          <w:rFonts w:ascii="Times New Roman" w:hAnsi="Times New Roman" w:cs="Times New Roman"/>
          <w:color w:val="000000"/>
          <w:w w:val="90"/>
          <w:sz w:val="28"/>
          <w:szCs w:val="28"/>
        </w:rPr>
        <w:t>4、资产评估对象部分实景照片</w:t>
      </w:r>
      <w:bookmarkEnd w:id="71"/>
    </w:p>
    <w:p>
      <w:pPr>
        <w:tabs>
          <w:tab w:val="left" w:pos="900"/>
        </w:tabs>
        <w:spacing w:line="360" w:lineRule="auto"/>
        <w:ind w:left="750"/>
        <w:rPr>
          <w:rFonts w:ascii="Times New Roman" w:hAnsi="Times New Roman" w:cs="Times New Roman"/>
          <w:color w:val="000000"/>
          <w:w w:val="90"/>
          <w:sz w:val="28"/>
          <w:szCs w:val="28"/>
        </w:rPr>
      </w:pPr>
      <w:bookmarkStart w:id="72" w:name="_Toc1852696553_WPSOffice_Level1"/>
      <w:r>
        <w:rPr>
          <w:rFonts w:ascii="Times New Roman" w:hAnsi="Times New Roman" w:cs="Times New Roman"/>
          <w:color w:val="000000"/>
          <w:w w:val="90"/>
          <w:sz w:val="28"/>
          <w:szCs w:val="28"/>
        </w:rPr>
        <w:t>5、资产评估师承诺函</w:t>
      </w:r>
      <w:bookmarkEnd w:id="72"/>
    </w:p>
    <w:p>
      <w:pPr>
        <w:tabs>
          <w:tab w:val="left" w:pos="900"/>
        </w:tabs>
        <w:spacing w:line="360" w:lineRule="auto"/>
        <w:ind w:left="750"/>
        <w:rPr>
          <w:rFonts w:ascii="Times New Roman" w:hAnsi="Times New Roman" w:cs="Times New Roman"/>
          <w:color w:val="000000"/>
          <w:w w:val="90"/>
          <w:sz w:val="28"/>
          <w:szCs w:val="28"/>
        </w:rPr>
      </w:pPr>
      <w:bookmarkStart w:id="73" w:name="_Toc1905568418_WPSOffice_Level1"/>
      <w:r>
        <w:rPr>
          <w:rFonts w:ascii="Times New Roman" w:hAnsi="Times New Roman" w:cs="Times New Roman"/>
          <w:color w:val="000000"/>
          <w:w w:val="90"/>
          <w:sz w:val="28"/>
          <w:szCs w:val="28"/>
        </w:rPr>
        <w:t>6、资产评估人员资格证书复印件</w:t>
      </w:r>
      <w:bookmarkEnd w:id="73"/>
    </w:p>
    <w:p>
      <w:pPr>
        <w:tabs>
          <w:tab w:val="left" w:pos="900"/>
        </w:tabs>
        <w:spacing w:line="360" w:lineRule="auto"/>
        <w:ind w:left="750"/>
        <w:rPr>
          <w:rFonts w:ascii="Times New Roman" w:hAnsi="Times New Roman" w:cs="Times New Roman"/>
          <w:color w:val="000000"/>
          <w:w w:val="90"/>
          <w:sz w:val="28"/>
          <w:szCs w:val="28"/>
        </w:rPr>
      </w:pPr>
      <w:bookmarkStart w:id="74" w:name="_Toc1845101744_WPSOffice_Level1"/>
      <w:r>
        <w:rPr>
          <w:rFonts w:ascii="Times New Roman" w:hAnsi="Times New Roman" w:cs="Times New Roman"/>
          <w:color w:val="000000"/>
          <w:w w:val="90"/>
          <w:sz w:val="28"/>
          <w:szCs w:val="28"/>
        </w:rPr>
        <w:t>7、资产评估机构资质证书复印件</w:t>
      </w:r>
      <w:bookmarkEnd w:id="74"/>
    </w:p>
    <w:p>
      <w:pPr>
        <w:tabs>
          <w:tab w:val="left" w:pos="900"/>
        </w:tabs>
        <w:spacing w:line="360" w:lineRule="auto"/>
        <w:ind w:left="750"/>
        <w:rPr>
          <w:rFonts w:ascii="Times New Roman" w:hAnsi="Times New Roman" w:cs="Times New Roman"/>
          <w:color w:val="000000"/>
          <w:w w:val="90"/>
          <w:sz w:val="28"/>
          <w:szCs w:val="28"/>
        </w:rPr>
      </w:pPr>
      <w:r>
        <w:rPr>
          <w:rFonts w:ascii="Times New Roman" w:hAnsi="Times New Roman" w:cs="Times New Roman"/>
          <w:color w:val="000000"/>
          <w:w w:val="90"/>
          <w:sz w:val="28"/>
          <w:szCs w:val="28"/>
        </w:rPr>
        <w:t>8、资产评估机构备案公告复印件</w:t>
      </w:r>
    </w:p>
    <w:p>
      <w:pPr>
        <w:pStyle w:val="2"/>
        <w:rPr>
          <w:rFonts w:ascii="Times New Roman" w:cs="Times New Roman"/>
          <w:color w:val="auto"/>
        </w:rPr>
      </w:pPr>
    </w:p>
    <w:p>
      <w:pPr>
        <w:pStyle w:val="2"/>
        <w:rPr>
          <w:rFonts w:ascii="Times New Roman" w:cs="Times New Roman"/>
          <w:color w:val="auto"/>
        </w:rPr>
      </w:pPr>
    </w:p>
    <w:p>
      <w:pPr>
        <w:pStyle w:val="2"/>
        <w:rPr>
          <w:rFonts w:ascii="Times New Roman" w:cs="Times New Roman"/>
          <w:color w:val="auto"/>
        </w:rPr>
      </w:pPr>
    </w:p>
    <w:p>
      <w:pPr>
        <w:pStyle w:val="2"/>
        <w:rPr>
          <w:rFonts w:ascii="Times New Roman" w:cs="Times New Roman"/>
          <w:color w:val="auto"/>
        </w:rPr>
      </w:pPr>
    </w:p>
    <w:p>
      <w:pPr>
        <w:pStyle w:val="2"/>
        <w:rPr>
          <w:rFonts w:ascii="Times New Roman" w:cs="Times New Roman"/>
          <w:color w:val="auto"/>
        </w:rPr>
      </w:pPr>
    </w:p>
    <w:p>
      <w:pPr>
        <w:pStyle w:val="2"/>
        <w:rPr>
          <w:rFonts w:ascii="Times New Roman" w:cs="Times New Roman"/>
          <w:color w:val="auto"/>
        </w:rPr>
      </w:pPr>
    </w:p>
    <w:p>
      <w:pPr>
        <w:tabs>
          <w:tab w:val="left" w:pos="6981"/>
        </w:tabs>
        <w:jc w:val="left"/>
        <w:rPr>
          <w:rFonts w:ascii="Times New Roman" w:hAnsi="Times New Roman" w:cs="Times New Roman"/>
        </w:rPr>
      </w:pPr>
    </w:p>
    <w:sectPr>
      <w:footerReference r:id="rId6" w:type="first"/>
      <w:footerReference r:id="rId5"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微软雅黑"/>
    <w:panose1 w:val="00000000000000000000"/>
    <w:charset w:val="00"/>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Kaiti SC Bold">
    <w:altName w:val="宋体"/>
    <w:panose1 w:val="00000000000000000000"/>
    <w:charset w:val="86"/>
    <w:family w:val="auto"/>
    <w:pitch w:val="default"/>
    <w:sig w:usb0="00000000" w:usb1="00000000"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sz w:val="21"/>
        <w:szCs w:val="21"/>
      </w:rPr>
      <w:t>杭州富诚资产评估有限公司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rPr>
      <w:t>杭州市富阳区人民法院拟司法执行财产处置涉及的</w:t>
    </w:r>
    <w:r>
      <w:rPr>
        <w:rFonts w:hint="eastAsia"/>
        <w:lang w:eastAsia="zh-CN"/>
      </w:rPr>
      <w:t>庞旭明、潘玲玲</w:t>
    </w:r>
    <w:r>
      <w:rPr>
        <w:rFonts w:hint="eastAsia"/>
      </w:rPr>
      <w:t>拥有的</w:t>
    </w:r>
    <w:r>
      <w:rPr>
        <w:rFonts w:hint="eastAsia"/>
        <w:lang w:eastAsia="zh-CN"/>
      </w:rPr>
      <w:t>富春街道三联嘉苑33号704室房地产、室内装修和家具家电</w:t>
    </w:r>
    <w:r>
      <w:rPr>
        <w:rFonts w:hint="eastAsia"/>
      </w:rPr>
      <w:t>市场价值司法评估项目</w:t>
    </w:r>
    <w:r>
      <w:t xml:space="preserve">     </w:t>
    </w:r>
    <w:r>
      <w:rPr>
        <w:rFonts w:hint="eastAsia"/>
      </w:rPr>
      <w:t xml:space="preserve">   </w:t>
    </w:r>
    <w:r>
      <w:rPr>
        <w:rFonts w:hint="eastAsia"/>
        <w:lang w:val="en-US" w:eastAsia="zh-CN"/>
      </w:rPr>
      <w:t xml:space="preserve">                            </w:t>
    </w:r>
    <w:r>
      <w:rPr>
        <w:rFonts w:hint="eastAsia"/>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ZGVjZmVlM2M1MmU0ODYwZTY0NDE0YjdiMTI2ZDYifQ=="/>
  </w:docVars>
  <w:rsids>
    <w:rsidRoot w:val="D7FB192B"/>
    <w:rsid w:val="00211EF8"/>
    <w:rsid w:val="0025782D"/>
    <w:rsid w:val="00263BFD"/>
    <w:rsid w:val="00284A40"/>
    <w:rsid w:val="002F1D16"/>
    <w:rsid w:val="00462896"/>
    <w:rsid w:val="007A303B"/>
    <w:rsid w:val="008550D2"/>
    <w:rsid w:val="009B5F93"/>
    <w:rsid w:val="00D127D5"/>
    <w:rsid w:val="0106464C"/>
    <w:rsid w:val="02B1762C"/>
    <w:rsid w:val="030D1CFA"/>
    <w:rsid w:val="03F01A4A"/>
    <w:rsid w:val="05302BE9"/>
    <w:rsid w:val="064B334A"/>
    <w:rsid w:val="06537E09"/>
    <w:rsid w:val="074739BD"/>
    <w:rsid w:val="08FC1507"/>
    <w:rsid w:val="093468F1"/>
    <w:rsid w:val="09BD49A8"/>
    <w:rsid w:val="0A371065"/>
    <w:rsid w:val="0B3A0842"/>
    <w:rsid w:val="0B5177EE"/>
    <w:rsid w:val="0BBE36E2"/>
    <w:rsid w:val="0C8312E9"/>
    <w:rsid w:val="0D0066BE"/>
    <w:rsid w:val="0D024F41"/>
    <w:rsid w:val="0D03583D"/>
    <w:rsid w:val="0DB15F66"/>
    <w:rsid w:val="0DC2766E"/>
    <w:rsid w:val="0DC50156"/>
    <w:rsid w:val="0E1F4C4D"/>
    <w:rsid w:val="0E306947"/>
    <w:rsid w:val="0EA213B4"/>
    <w:rsid w:val="0ED76101"/>
    <w:rsid w:val="0EDB61D8"/>
    <w:rsid w:val="0F8E66B9"/>
    <w:rsid w:val="0FAD2763"/>
    <w:rsid w:val="105B5D6F"/>
    <w:rsid w:val="10D204C1"/>
    <w:rsid w:val="1106711E"/>
    <w:rsid w:val="110B5689"/>
    <w:rsid w:val="116B67B5"/>
    <w:rsid w:val="119B07E4"/>
    <w:rsid w:val="11F80E06"/>
    <w:rsid w:val="12AC21BF"/>
    <w:rsid w:val="12C220F3"/>
    <w:rsid w:val="12E91805"/>
    <w:rsid w:val="13BD2104"/>
    <w:rsid w:val="15896627"/>
    <w:rsid w:val="165378E6"/>
    <w:rsid w:val="16CD0BCE"/>
    <w:rsid w:val="16F267BB"/>
    <w:rsid w:val="17372457"/>
    <w:rsid w:val="17625B02"/>
    <w:rsid w:val="18321074"/>
    <w:rsid w:val="18CA4A6A"/>
    <w:rsid w:val="18E633FA"/>
    <w:rsid w:val="19E851BF"/>
    <w:rsid w:val="1A8A1508"/>
    <w:rsid w:val="1C8D6016"/>
    <w:rsid w:val="1E4E40D8"/>
    <w:rsid w:val="1FAF20F9"/>
    <w:rsid w:val="20120316"/>
    <w:rsid w:val="206B06BA"/>
    <w:rsid w:val="209B179A"/>
    <w:rsid w:val="20C21C18"/>
    <w:rsid w:val="211272BB"/>
    <w:rsid w:val="231F5D5D"/>
    <w:rsid w:val="2326225B"/>
    <w:rsid w:val="23885D03"/>
    <w:rsid w:val="242A2C87"/>
    <w:rsid w:val="26370BF7"/>
    <w:rsid w:val="26957637"/>
    <w:rsid w:val="26F85860"/>
    <w:rsid w:val="27630423"/>
    <w:rsid w:val="276B1318"/>
    <w:rsid w:val="2849585F"/>
    <w:rsid w:val="2A2F2FAD"/>
    <w:rsid w:val="2B5F4D79"/>
    <w:rsid w:val="2B7B0D9A"/>
    <w:rsid w:val="2BB31230"/>
    <w:rsid w:val="2C637D8A"/>
    <w:rsid w:val="2CBC4F76"/>
    <w:rsid w:val="2D9143A6"/>
    <w:rsid w:val="2D9817F4"/>
    <w:rsid w:val="2EE2756C"/>
    <w:rsid w:val="2F89622C"/>
    <w:rsid w:val="304E67EF"/>
    <w:rsid w:val="30CA4B57"/>
    <w:rsid w:val="317776FC"/>
    <w:rsid w:val="319B58C5"/>
    <w:rsid w:val="31CC50BA"/>
    <w:rsid w:val="31D76E82"/>
    <w:rsid w:val="3218420C"/>
    <w:rsid w:val="32470B0E"/>
    <w:rsid w:val="3276035D"/>
    <w:rsid w:val="32A4066D"/>
    <w:rsid w:val="32D079B2"/>
    <w:rsid w:val="33367504"/>
    <w:rsid w:val="333B6843"/>
    <w:rsid w:val="33744B9C"/>
    <w:rsid w:val="338F3996"/>
    <w:rsid w:val="33EF1FF3"/>
    <w:rsid w:val="33F446F4"/>
    <w:rsid w:val="34DE7871"/>
    <w:rsid w:val="352265B1"/>
    <w:rsid w:val="35B5112C"/>
    <w:rsid w:val="35CD6AD9"/>
    <w:rsid w:val="35E00AF6"/>
    <w:rsid w:val="360A4327"/>
    <w:rsid w:val="36441BEE"/>
    <w:rsid w:val="36475A5D"/>
    <w:rsid w:val="36FD5323"/>
    <w:rsid w:val="37D61063"/>
    <w:rsid w:val="38685151"/>
    <w:rsid w:val="39353FF7"/>
    <w:rsid w:val="3B203E1C"/>
    <w:rsid w:val="3B8051A7"/>
    <w:rsid w:val="3BEA0439"/>
    <w:rsid w:val="3BEF7C6E"/>
    <w:rsid w:val="3C7B62FF"/>
    <w:rsid w:val="3CF40024"/>
    <w:rsid w:val="3DFB4605"/>
    <w:rsid w:val="3E871E0D"/>
    <w:rsid w:val="3FAC39B0"/>
    <w:rsid w:val="3FBD6448"/>
    <w:rsid w:val="41052082"/>
    <w:rsid w:val="410A0F95"/>
    <w:rsid w:val="413D4D74"/>
    <w:rsid w:val="41D30FA4"/>
    <w:rsid w:val="41DE485A"/>
    <w:rsid w:val="424429BC"/>
    <w:rsid w:val="44541A06"/>
    <w:rsid w:val="44B1118C"/>
    <w:rsid w:val="44D70430"/>
    <w:rsid w:val="454B27E6"/>
    <w:rsid w:val="46B27B1F"/>
    <w:rsid w:val="476734FD"/>
    <w:rsid w:val="47B7A9D9"/>
    <w:rsid w:val="488E3760"/>
    <w:rsid w:val="4A5C7452"/>
    <w:rsid w:val="4A9E768B"/>
    <w:rsid w:val="4AC238EA"/>
    <w:rsid w:val="4BBC29B0"/>
    <w:rsid w:val="4BC7683D"/>
    <w:rsid w:val="4C8D34BC"/>
    <w:rsid w:val="4D48321A"/>
    <w:rsid w:val="4D4B661B"/>
    <w:rsid w:val="4D545B8B"/>
    <w:rsid w:val="4D7B1A13"/>
    <w:rsid w:val="4D874412"/>
    <w:rsid w:val="4D9C7CC1"/>
    <w:rsid w:val="4DB4746A"/>
    <w:rsid w:val="50102D7F"/>
    <w:rsid w:val="50943276"/>
    <w:rsid w:val="50A14D40"/>
    <w:rsid w:val="512D4DDD"/>
    <w:rsid w:val="52F113AE"/>
    <w:rsid w:val="53A3335E"/>
    <w:rsid w:val="53CB2E26"/>
    <w:rsid w:val="540014AA"/>
    <w:rsid w:val="54CB69F8"/>
    <w:rsid w:val="55717E7C"/>
    <w:rsid w:val="55723E6A"/>
    <w:rsid w:val="563C6DC4"/>
    <w:rsid w:val="567A0FDA"/>
    <w:rsid w:val="56836CF0"/>
    <w:rsid w:val="56A70089"/>
    <w:rsid w:val="576D5612"/>
    <w:rsid w:val="57980D10"/>
    <w:rsid w:val="57B5016C"/>
    <w:rsid w:val="58561D70"/>
    <w:rsid w:val="594C4A6B"/>
    <w:rsid w:val="59EE1E41"/>
    <w:rsid w:val="5B12125B"/>
    <w:rsid w:val="5BA06D51"/>
    <w:rsid w:val="5C0C5A44"/>
    <w:rsid w:val="5C9214CB"/>
    <w:rsid w:val="5D280D95"/>
    <w:rsid w:val="5D786CFE"/>
    <w:rsid w:val="5EBF6BE8"/>
    <w:rsid w:val="5F051193"/>
    <w:rsid w:val="5F8D45C0"/>
    <w:rsid w:val="60277660"/>
    <w:rsid w:val="60A34233"/>
    <w:rsid w:val="60E953A3"/>
    <w:rsid w:val="60ED76A9"/>
    <w:rsid w:val="60EE7BB6"/>
    <w:rsid w:val="617216AF"/>
    <w:rsid w:val="629E7FF5"/>
    <w:rsid w:val="62A828E9"/>
    <w:rsid w:val="62D41677"/>
    <w:rsid w:val="63AE4223"/>
    <w:rsid w:val="63D5074A"/>
    <w:rsid w:val="63DE6F2B"/>
    <w:rsid w:val="63F33BC2"/>
    <w:rsid w:val="64334010"/>
    <w:rsid w:val="64CE2219"/>
    <w:rsid w:val="655A7ACF"/>
    <w:rsid w:val="65AD73C0"/>
    <w:rsid w:val="66F20DB6"/>
    <w:rsid w:val="67FF360F"/>
    <w:rsid w:val="681D56FB"/>
    <w:rsid w:val="682B479B"/>
    <w:rsid w:val="69104C1D"/>
    <w:rsid w:val="69144745"/>
    <w:rsid w:val="6943123A"/>
    <w:rsid w:val="69573D45"/>
    <w:rsid w:val="6A8864E3"/>
    <w:rsid w:val="6AA74716"/>
    <w:rsid w:val="6AEB5466"/>
    <w:rsid w:val="6BF9633B"/>
    <w:rsid w:val="6C137C75"/>
    <w:rsid w:val="6C203D75"/>
    <w:rsid w:val="6CD43208"/>
    <w:rsid w:val="6CD57ABD"/>
    <w:rsid w:val="6CEB63DC"/>
    <w:rsid w:val="6D4661B7"/>
    <w:rsid w:val="6D892450"/>
    <w:rsid w:val="6DA92251"/>
    <w:rsid w:val="6F510F15"/>
    <w:rsid w:val="6F647C67"/>
    <w:rsid w:val="6FC9495F"/>
    <w:rsid w:val="6FD41F04"/>
    <w:rsid w:val="716D2E22"/>
    <w:rsid w:val="7276187C"/>
    <w:rsid w:val="73FE08B5"/>
    <w:rsid w:val="7400788D"/>
    <w:rsid w:val="763F5E52"/>
    <w:rsid w:val="76CC4B49"/>
    <w:rsid w:val="76DF0127"/>
    <w:rsid w:val="76F53E21"/>
    <w:rsid w:val="774C05B4"/>
    <w:rsid w:val="77A84F76"/>
    <w:rsid w:val="79363BF4"/>
    <w:rsid w:val="79490F86"/>
    <w:rsid w:val="799F58FF"/>
    <w:rsid w:val="79F51267"/>
    <w:rsid w:val="7A062BD0"/>
    <w:rsid w:val="7AA31B76"/>
    <w:rsid w:val="7AE6600B"/>
    <w:rsid w:val="7B4C0F01"/>
    <w:rsid w:val="7D1D1609"/>
    <w:rsid w:val="7DA46D63"/>
    <w:rsid w:val="7DD11161"/>
    <w:rsid w:val="7E131E43"/>
    <w:rsid w:val="7E8437DF"/>
    <w:rsid w:val="7EE57C38"/>
    <w:rsid w:val="7FB9009D"/>
    <w:rsid w:val="7FD57821"/>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paragraph" w:styleId="4">
    <w:name w:val="heading 3"/>
    <w:basedOn w:val="1"/>
    <w:next w:val="1"/>
    <w:semiHidden/>
    <w:unhideWhenUsed/>
    <w:qFormat/>
    <w:uiPriority w:val="0"/>
    <w:pPr>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snapToGrid w:val="0"/>
      <w:spacing w:line="300" w:lineRule="auto"/>
      <w:ind w:firstLine="556"/>
    </w:pPr>
    <w:rPr>
      <w:rFonts w:ascii="仿宋_GB2312" w:eastAsia="仿宋_GB2312"/>
      <w:sz w:val="28"/>
      <w:szCs w:val="20"/>
    </w:rPr>
  </w:style>
  <w:style w:type="paragraph" w:styleId="6">
    <w:name w:val="annotation text"/>
    <w:basedOn w:val="1"/>
    <w:link w:val="33"/>
    <w:qFormat/>
    <w:uiPriority w:val="0"/>
    <w:pPr>
      <w:jc w:val="left"/>
    </w:p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annotation subject"/>
    <w:basedOn w:val="6"/>
    <w:next w:val="6"/>
    <w:link w:val="34"/>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llowedHyperlink"/>
    <w:basedOn w:val="16"/>
    <w:qFormat/>
    <w:uiPriority w:val="0"/>
    <w:rPr>
      <w:color w:val="771CAA"/>
      <w:u w:val="none"/>
    </w:rPr>
  </w:style>
  <w:style w:type="character" w:styleId="19">
    <w:name w:val="Emphasis"/>
    <w:basedOn w:val="16"/>
    <w:qFormat/>
    <w:uiPriority w:val="0"/>
    <w:rPr>
      <w:color w:val="F73131"/>
    </w:rPr>
  </w:style>
  <w:style w:type="character" w:styleId="20">
    <w:name w:val="Hyperlink"/>
    <w:qFormat/>
    <w:uiPriority w:val="0"/>
    <w:rPr>
      <w:color w:val="0000FF"/>
      <w:u w:val="single"/>
    </w:rPr>
  </w:style>
  <w:style w:type="character" w:styleId="21">
    <w:name w:val="annotation reference"/>
    <w:basedOn w:val="16"/>
    <w:qFormat/>
    <w:uiPriority w:val="0"/>
    <w:rPr>
      <w:sz w:val="21"/>
      <w:szCs w:val="21"/>
    </w:rPr>
  </w:style>
  <w:style w:type="character" w:styleId="22">
    <w:name w:val="HTML Cite"/>
    <w:basedOn w:val="16"/>
    <w:qFormat/>
    <w:uiPriority w:val="0"/>
    <w:rPr>
      <w:color w:val="008000"/>
    </w:rPr>
  </w:style>
  <w:style w:type="paragraph" w:customStyle="1" w:styleId="23">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4">
    <w:name w:val="正文文本 31"/>
    <w:basedOn w:val="1"/>
    <w:qFormat/>
    <w:uiPriority w:val="0"/>
    <w:pPr>
      <w:spacing w:line="360" w:lineRule="auto"/>
    </w:pPr>
    <w:rPr>
      <w:rFonts w:hint="eastAsia" w:ascii="宋体"/>
      <w:b/>
      <w:sz w:val="28"/>
    </w:r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character" w:customStyle="1" w:styleId="26">
    <w:name w:val="hover"/>
    <w:basedOn w:val="16"/>
    <w:qFormat/>
    <w:uiPriority w:val="0"/>
    <w:rPr>
      <w:color w:val="315EFB"/>
      <w:shd w:val="clear" w:color="auto" w:fill="F0F3FD"/>
    </w:rPr>
  </w:style>
  <w:style w:type="character" w:customStyle="1" w:styleId="27">
    <w:name w:val="hover1"/>
    <w:basedOn w:val="16"/>
    <w:qFormat/>
    <w:uiPriority w:val="0"/>
    <w:rPr>
      <w:color w:val="315EFB"/>
    </w:rPr>
  </w:style>
  <w:style w:type="character" w:customStyle="1" w:styleId="28">
    <w:name w:val="hover2"/>
    <w:basedOn w:val="16"/>
    <w:qFormat/>
    <w:uiPriority w:val="0"/>
  </w:style>
  <w:style w:type="character" w:customStyle="1" w:styleId="29">
    <w:name w:val="c-icon30"/>
    <w:basedOn w:val="16"/>
    <w:qFormat/>
    <w:uiPriority w:val="0"/>
  </w:style>
  <w:style w:type="character" w:customStyle="1" w:styleId="30">
    <w:name w:val="hover25"/>
    <w:basedOn w:val="16"/>
    <w:qFormat/>
    <w:uiPriority w:val="0"/>
  </w:style>
  <w:style w:type="character" w:customStyle="1" w:styleId="31">
    <w:name w:val="hover26"/>
    <w:basedOn w:val="16"/>
    <w:qFormat/>
    <w:uiPriority w:val="0"/>
    <w:rPr>
      <w:color w:val="315EFB"/>
    </w:rPr>
  </w:style>
  <w:style w:type="character" w:customStyle="1" w:styleId="32">
    <w:name w:val="hover27"/>
    <w:basedOn w:val="16"/>
    <w:qFormat/>
    <w:uiPriority w:val="0"/>
    <w:rPr>
      <w:color w:val="315EFB"/>
      <w:shd w:val="clear" w:color="auto" w:fill="F0F3FD"/>
    </w:rPr>
  </w:style>
  <w:style w:type="character" w:customStyle="1" w:styleId="33">
    <w:name w:val="批注文字 字符"/>
    <w:basedOn w:val="16"/>
    <w:link w:val="6"/>
    <w:qFormat/>
    <w:uiPriority w:val="0"/>
    <w:rPr>
      <w:rFonts w:asciiTheme="minorHAnsi" w:hAnsiTheme="minorHAnsi" w:eastAsiaTheme="minorEastAsia" w:cstheme="minorBidi"/>
      <w:kern w:val="2"/>
      <w:sz w:val="21"/>
      <w:szCs w:val="24"/>
    </w:rPr>
  </w:style>
  <w:style w:type="character" w:customStyle="1" w:styleId="34">
    <w:name w:val="批注主题 字符"/>
    <w:basedOn w:val="33"/>
    <w:link w:val="13"/>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D36F78"/>
    <w:rsid w:val="002719F3"/>
    <w:rsid w:val="00D3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9507</Words>
  <Characters>10010</Characters>
  <Lines>81</Lines>
  <Paragraphs>22</Paragraphs>
  <TotalTime>11</TotalTime>
  <ScaleCrop>false</ScaleCrop>
  <LinksUpToDate>false</LinksUpToDate>
  <CharactersWithSpaces>10144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李杭成</cp:lastModifiedBy>
  <cp:lastPrinted>2022-08-01T01:28:20Z</cp:lastPrinted>
  <dcterms:modified xsi:type="dcterms:W3CDTF">2022-08-01T01:28:28Z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5ED4E1A677404C4694B85CD40AE751A2</vt:lpwstr>
  </property>
</Properties>
</file>