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Pr>
        <w:rPr>
          <w:rFonts w:ascii="宋体" w:hAnsi="宋体"/>
          <w:color w:val="000000"/>
          <w:sz w:val="28"/>
        </w:rPr>
      </w:pPr>
    </w:p>
    <w:p>
      <w:pPr>
        <w:rPr>
          <w:color w:val="000000"/>
        </w:rPr>
      </w:pPr>
    </w:p>
    <w:p>
      <w:pPr>
        <w:pStyle w:val="7"/>
        <w:jc w:val="center"/>
        <w:rPr>
          <w:rFonts w:ascii="宋体" w:hAnsi="宋体" w:eastAsia="宋体"/>
          <w:b/>
          <w:color w:val="000000"/>
          <w:sz w:val="48"/>
          <w:szCs w:val="48"/>
        </w:rPr>
      </w:pPr>
    </w:p>
    <w:p/>
    <w:p/>
    <w:p>
      <w:pPr>
        <w:tabs>
          <w:tab w:val="left" w:pos="5040"/>
        </w:tabs>
      </w:pPr>
    </w:p>
    <w:p>
      <w:pPr>
        <w:pStyle w:val="7"/>
        <w:jc w:val="center"/>
        <w:rPr>
          <w:rFonts w:ascii="宋体" w:hAnsi="宋体" w:eastAsia="宋体"/>
          <w:b/>
          <w:color w:val="000000"/>
          <w:sz w:val="48"/>
          <w:szCs w:val="48"/>
        </w:rPr>
      </w:pPr>
      <w:r>
        <w:rPr>
          <w:rFonts w:hint="eastAsia" w:ascii="宋体" w:hAnsi="宋体" w:eastAsia="宋体"/>
          <w:b/>
          <w:color w:val="000000"/>
          <w:sz w:val="48"/>
          <w:szCs w:val="48"/>
        </w:rPr>
        <w:t>涉执房地产处置司法评估报告</w:t>
      </w: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p>
    <w:p>
      <w:pPr>
        <w:spacing w:line="560" w:lineRule="exact"/>
        <w:ind w:left="2348" w:leftChars="428" w:hanging="1449" w:hangingChars="690"/>
        <w:rPr>
          <w:rFonts w:ascii="宋体" w:hAnsi="宋体"/>
          <w:color w:val="000000"/>
          <w:sz w:val="30"/>
          <w:szCs w:val="30"/>
        </w:rPr>
      </w:pPr>
      <w:r>
        <w:pict>
          <v:shape id="_x0000_s1026" o:spid="_x0000_s1026" o:spt="202" type="#_x0000_t202" style="position:absolute;left:0pt;margin-left:172.5pt;margin-top:10.75pt;height:104.35pt;width:108.65pt;z-index:251659264;mso-width-relative:page;mso-height-relative:page;" stroked="t" coordsize="21600,21600">
            <v:path/>
            <v:fill focussize="0,0"/>
            <v:stroke color="#FFFFFF" joinstyle="miter"/>
            <v:imagedata o:title=""/>
            <o:lock v:ext="edit"/>
            <v:textbox>
              <w:txbxContent>
                <w:p>
                  <w:bookmarkStart w:id="125" w:name="PO_二维码"/>
                  <w:bookmarkEnd w:id="125"/>
                </w:p>
              </w:txbxContent>
            </v:textbox>
          </v:shape>
        </w:pict>
      </w: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600" w:lineRule="exact"/>
        <w:ind w:left="2555" w:leftChars="150" w:hanging="2240" w:hangingChars="700"/>
        <w:rPr>
          <w:rFonts w:ascii="宋体" w:hAnsi="宋体"/>
          <w:color w:val="000000"/>
          <w:sz w:val="28"/>
          <w:szCs w:val="28"/>
        </w:rPr>
      </w:pPr>
      <w:r>
        <w:rPr>
          <w:rFonts w:hint="eastAsia" w:ascii="宋体" w:hAnsi="宋体"/>
          <w:color w:val="000000"/>
          <w:sz w:val="32"/>
          <w:szCs w:val="32"/>
        </w:rPr>
        <w:t>估价项目名称：高唐县金城东路南侧棉麻公司家属院8号楼3单元401室及配房房地产市场价格评估</w:t>
      </w:r>
    </w:p>
    <w:p>
      <w:pPr>
        <w:spacing w:line="600" w:lineRule="exact"/>
        <w:ind w:firstLine="320" w:firstLineChars="100"/>
        <w:rPr>
          <w:rFonts w:ascii="宋体" w:hAnsi="宋体"/>
          <w:color w:val="000000"/>
          <w:sz w:val="32"/>
          <w:szCs w:val="32"/>
        </w:rPr>
      </w:pPr>
      <w:r>
        <w:rPr>
          <w:rFonts w:hint="eastAsia" w:ascii="宋体" w:hAnsi="宋体"/>
          <w:color w:val="000000"/>
          <w:sz w:val="32"/>
          <w:szCs w:val="32"/>
        </w:rPr>
        <w:t>估价委托人：高唐县人民法院</w:t>
      </w:r>
    </w:p>
    <w:p>
      <w:pPr>
        <w:spacing w:line="600" w:lineRule="exact"/>
        <w:ind w:firstLine="320" w:firstLineChars="100"/>
        <w:rPr>
          <w:rFonts w:ascii="宋体" w:hAnsi="宋体"/>
          <w:color w:val="000000"/>
          <w:sz w:val="32"/>
          <w:szCs w:val="32"/>
        </w:rPr>
      </w:pPr>
      <w:r>
        <w:rPr>
          <w:rFonts w:hint="eastAsia" w:ascii="宋体" w:hAnsi="宋体"/>
          <w:color w:val="000000"/>
          <w:sz w:val="32"/>
          <w:szCs w:val="32"/>
        </w:rPr>
        <w:t>房地产估价机构：山东成达土地房地产资产评估测绘有限公司</w:t>
      </w:r>
    </w:p>
    <w:p>
      <w:pPr>
        <w:spacing w:line="600" w:lineRule="exact"/>
        <w:ind w:firstLine="320" w:firstLineChars="100"/>
        <w:rPr>
          <w:rFonts w:ascii="宋体" w:hAnsi="宋体"/>
          <w:color w:val="000000"/>
          <w:sz w:val="32"/>
          <w:szCs w:val="32"/>
        </w:rPr>
      </w:pPr>
      <w:r>
        <w:rPr>
          <w:rFonts w:hint="eastAsia" w:ascii="宋体" w:hAnsi="宋体"/>
          <w:color w:val="000000"/>
          <w:sz w:val="32"/>
          <w:szCs w:val="32"/>
        </w:rPr>
        <w:t>注册房地产估价师：马骕骅（注册号：4120200265）</w:t>
      </w:r>
    </w:p>
    <w:p>
      <w:pPr>
        <w:spacing w:line="600" w:lineRule="exact"/>
        <w:ind w:firstLine="3200" w:firstLineChars="1000"/>
        <w:rPr>
          <w:rFonts w:ascii="宋体" w:hAnsi="宋体"/>
          <w:color w:val="000000"/>
          <w:sz w:val="32"/>
          <w:szCs w:val="32"/>
        </w:rPr>
      </w:pPr>
      <w:r>
        <w:rPr>
          <w:rFonts w:hint="eastAsia" w:ascii="宋体" w:hAnsi="宋体"/>
          <w:color w:val="000000"/>
          <w:sz w:val="32"/>
          <w:szCs w:val="32"/>
        </w:rPr>
        <w:t>张增坤（注册号：3720190070）</w:t>
      </w:r>
    </w:p>
    <w:p>
      <w:pPr>
        <w:spacing w:line="600" w:lineRule="exact"/>
        <w:ind w:firstLine="320" w:firstLineChars="100"/>
        <w:rPr>
          <w:rFonts w:ascii="宋体" w:hAnsi="宋体"/>
          <w:color w:val="000000"/>
          <w:sz w:val="32"/>
          <w:szCs w:val="32"/>
        </w:rPr>
      </w:pPr>
      <w:r>
        <w:rPr>
          <w:rFonts w:hint="eastAsia" w:ascii="宋体" w:hAnsi="宋体"/>
          <w:color w:val="000000"/>
          <w:sz w:val="32"/>
          <w:szCs w:val="32"/>
        </w:rPr>
        <w:t>估价报告出具日期：2022年8月22日</w:t>
      </w:r>
    </w:p>
    <w:p>
      <w:pPr>
        <w:spacing w:line="600" w:lineRule="exact"/>
        <w:ind w:firstLine="320" w:firstLineChars="100"/>
        <w:rPr>
          <w:rFonts w:ascii="宋体" w:hAnsi="宋体"/>
          <w:color w:val="000000"/>
          <w:sz w:val="32"/>
          <w:szCs w:val="32"/>
        </w:rPr>
      </w:pPr>
      <w:r>
        <w:rPr>
          <w:rFonts w:hint="eastAsia" w:ascii="宋体" w:hAnsi="宋体"/>
          <w:color w:val="000000"/>
          <w:sz w:val="32"/>
          <w:szCs w:val="32"/>
        </w:rPr>
        <w:t>估价报告编号：鲁成（2022）估字202号</w:t>
      </w:r>
    </w:p>
    <w:p>
      <w:pPr>
        <w:rPr>
          <w:rFonts w:ascii="宋体" w:hAnsi="宋体"/>
          <w:b/>
          <w:color w:val="000000"/>
          <w:sz w:val="36"/>
          <w:szCs w:val="36"/>
        </w:rPr>
      </w:pPr>
      <w:r>
        <w:rPr>
          <w:rFonts w:hint="eastAsia" w:ascii="宋体" w:hAnsi="宋体"/>
          <w:b/>
          <w:color w:val="000000"/>
          <w:sz w:val="36"/>
          <w:szCs w:val="36"/>
        </w:rPr>
        <w:br w:type="page"/>
      </w:r>
    </w:p>
    <w:p>
      <w:pPr>
        <w:snapToGrid w:val="0"/>
        <w:spacing w:line="56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7"/>
        <w:snapToGrid w:val="0"/>
        <w:spacing w:line="560" w:lineRule="exact"/>
        <w:rPr>
          <w:rFonts w:ascii="宋体" w:hAnsi="宋体" w:eastAsia="宋体"/>
          <w:color w:val="000000"/>
          <w:szCs w:val="28"/>
        </w:rPr>
      </w:pPr>
      <w:r>
        <w:rPr>
          <w:rFonts w:hint="eastAsia" w:ascii="宋体" w:hAnsi="宋体" w:eastAsia="宋体"/>
          <w:color w:val="000000"/>
          <w:szCs w:val="28"/>
        </w:rPr>
        <w:t>高唐县人民法院：</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受贵院委托，我评估公司本着独立、客观、公正的原则，对委托评估的位于高唐县金城东路南侧棉麻公司家属院8号楼3单元401室及配房房地产于</w:t>
      </w:r>
      <w:r>
        <w:rPr>
          <w:rFonts w:hint="eastAsia" w:ascii="宋体" w:hAnsi="宋体"/>
          <w:sz w:val="28"/>
          <w:szCs w:val="28"/>
        </w:rPr>
        <w:t>2022年8月8日</w:t>
      </w:r>
      <w:r>
        <w:rPr>
          <w:rFonts w:hint="eastAsia" w:ascii="宋体" w:hAnsi="宋体"/>
          <w:color w:val="000000"/>
          <w:sz w:val="28"/>
          <w:szCs w:val="28"/>
        </w:rPr>
        <w:t>进行了现场实地查勘并进行了评估测算。评估工作现已完成，现将报告主要内容说明如下：</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：为高唐县人民法院确定财产处置参考价提供参考依据。</w:t>
      </w:r>
    </w:p>
    <w:p>
      <w:pPr>
        <w:snapToGrid w:val="0"/>
        <w:spacing w:line="560" w:lineRule="exact"/>
        <w:ind w:firstLine="562" w:firstLineChars="200"/>
        <w:rPr>
          <w:rFonts w:ascii="宋体" w:hAnsi="宋体" w:cs="宋体"/>
          <w:color w:val="000000"/>
          <w:sz w:val="28"/>
        </w:rPr>
      </w:pPr>
      <w:r>
        <w:rPr>
          <w:rFonts w:hint="eastAsia" w:ascii="宋体" w:hAnsi="宋体"/>
          <w:b/>
          <w:color w:val="000000"/>
          <w:sz w:val="28"/>
        </w:rPr>
        <w:t>估价对象：</w:t>
      </w:r>
      <w:r>
        <w:rPr>
          <w:rFonts w:hint="eastAsia" w:ascii="宋体" w:hAnsi="宋体" w:cs="宋体"/>
          <w:color w:val="000000"/>
          <w:sz w:val="28"/>
        </w:rPr>
        <w:t>根据房地产权登记信息（独幢、层、套、间房屋）复印件</w:t>
      </w:r>
      <w:r>
        <w:rPr>
          <w:rFonts w:hint="eastAsia" w:ascii="宋体" w:hAnsi="宋体" w:cs="宋体"/>
          <w:color w:val="000000"/>
          <w:sz w:val="28"/>
          <w:lang w:val="zh-CN"/>
        </w:rPr>
        <w:t>及现场勘查确定估价对象权属状况如下</w:t>
      </w:r>
      <w:r>
        <w:rPr>
          <w:rFonts w:hint="eastAsia" w:ascii="宋体" w:hAnsi="宋体" w:cs="宋体"/>
          <w:color w:val="000000"/>
          <w:sz w:val="28"/>
        </w:rPr>
        <w:t>：</w:t>
      </w:r>
    </w:p>
    <w:tbl>
      <w:tblPr>
        <w:tblStyle w:val="21"/>
        <w:tblW w:w="9286" w:type="dxa"/>
        <w:jc w:val="center"/>
        <w:tblLayout w:type="fixed"/>
        <w:tblCellMar>
          <w:top w:w="0" w:type="dxa"/>
          <w:left w:w="108" w:type="dxa"/>
          <w:bottom w:w="0" w:type="dxa"/>
          <w:right w:w="108" w:type="dxa"/>
        </w:tblCellMar>
      </w:tblPr>
      <w:tblGrid>
        <w:gridCol w:w="2376"/>
        <w:gridCol w:w="2410"/>
        <w:gridCol w:w="2268"/>
        <w:gridCol w:w="2232"/>
      </w:tblGrid>
      <w:tr>
        <w:tblPrEx>
          <w:tblCellMar>
            <w:top w:w="0" w:type="dxa"/>
            <w:left w:w="108" w:type="dxa"/>
            <w:bottom w:w="0" w:type="dxa"/>
            <w:right w:w="108" w:type="dxa"/>
          </w:tblCellMar>
        </w:tblPrEx>
        <w:trPr>
          <w:trHeight w:val="454" w:hRule="atLeast"/>
          <w:jc w:val="center"/>
        </w:trPr>
        <w:tc>
          <w:tcPr>
            <w:tcW w:w="9286" w:type="dxa"/>
            <w:gridSpan w:val="4"/>
            <w:tcBorders>
              <w:top w:val="double" w:color="000000" w:sz="4" w:space="0"/>
              <w:left w:val="doub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房地产权登记信息</w:t>
            </w:r>
          </w:p>
        </w:tc>
      </w:tr>
      <w:tr>
        <w:tblPrEx>
          <w:tblCellMar>
            <w:top w:w="0" w:type="dxa"/>
            <w:left w:w="108" w:type="dxa"/>
            <w:bottom w:w="0" w:type="dxa"/>
            <w:right w:w="108" w:type="dxa"/>
          </w:tblCellMar>
        </w:tblPrEx>
        <w:trPr>
          <w:trHeight w:val="454" w:hRule="atLeast"/>
          <w:jc w:val="center"/>
        </w:trPr>
        <w:tc>
          <w:tcPr>
            <w:tcW w:w="2376" w:type="dxa"/>
            <w:tcBorders>
              <w:top w:val="single" w:color="auto"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不动产权证书号</w:t>
            </w:r>
          </w:p>
        </w:tc>
        <w:tc>
          <w:tcPr>
            <w:tcW w:w="6910" w:type="dxa"/>
            <w:gridSpan w:val="3"/>
            <w:tcBorders>
              <w:top w:val="single" w:color="auto"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ascii="宋体" w:hAnsi="宋体" w:cs="宋体"/>
                <w:color w:val="000000"/>
                <w:kern w:val="0"/>
                <w:sz w:val="24"/>
                <w:lang w:bidi="ar"/>
              </w:rPr>
              <w:t>鲁（2018）高唐县不动产权第0003873号</w:t>
            </w:r>
          </w:p>
        </w:tc>
      </w:tr>
      <w:tr>
        <w:tblPrEx>
          <w:tblCellMar>
            <w:top w:w="0" w:type="dxa"/>
            <w:left w:w="108" w:type="dxa"/>
            <w:bottom w:w="0" w:type="dxa"/>
            <w:right w:w="108" w:type="dxa"/>
          </w:tblCellMar>
        </w:tblPrEx>
        <w:trPr>
          <w:trHeight w:val="640" w:hRule="atLeast"/>
          <w:jc w:val="center"/>
        </w:trPr>
        <w:tc>
          <w:tcPr>
            <w:tcW w:w="2376" w:type="dxa"/>
            <w:tcBorders>
              <w:top w:val="single" w:color="auto" w:sz="4" w:space="0"/>
              <w:left w:val="doub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不动产</w:t>
            </w:r>
            <w:r>
              <w:rPr>
                <w:rFonts w:ascii="宋体" w:hAnsi="宋体" w:cs="宋体"/>
                <w:color w:val="000000"/>
                <w:sz w:val="24"/>
              </w:rPr>
              <w:t>单元号</w:t>
            </w:r>
          </w:p>
        </w:tc>
        <w:tc>
          <w:tcPr>
            <w:tcW w:w="6910" w:type="dxa"/>
            <w:gridSpan w:val="3"/>
            <w:tcBorders>
              <w:top w:val="single" w:color="auto" w:sz="4" w:space="0"/>
              <w:left w:val="single" w:color="000000" w:sz="4" w:space="0"/>
              <w:right w:val="double" w:color="auto" w:sz="4" w:space="0"/>
            </w:tcBorders>
            <w:shd w:val="clear" w:color="auto" w:fill="auto"/>
            <w:noWrap/>
            <w:vAlign w:val="center"/>
          </w:tcPr>
          <w:p>
            <w:pPr>
              <w:widowControl/>
              <w:jc w:val="center"/>
              <w:textAlignment w:val="center"/>
              <w:rPr>
                <w:rFonts w:hint="eastAsia" w:ascii="宋体" w:hAnsi="宋体" w:cs="宋体" w:eastAsiaTheme="majorEastAsia"/>
                <w:color w:val="000000"/>
                <w:sz w:val="24"/>
              </w:rPr>
            </w:pPr>
            <w:r>
              <w:rPr>
                <w:rFonts w:ascii="宋体" w:hAnsi="宋体" w:cs="宋体" w:eastAsiaTheme="majorEastAsia"/>
                <w:color w:val="000000"/>
                <w:sz w:val="24"/>
              </w:rPr>
              <w:t>371526001605GB00026F00010047</w:t>
            </w:r>
          </w:p>
        </w:tc>
      </w:tr>
      <w:tr>
        <w:tblPrEx>
          <w:tblCellMar>
            <w:top w:w="0" w:type="dxa"/>
            <w:left w:w="108" w:type="dxa"/>
            <w:bottom w:w="0" w:type="dxa"/>
            <w:right w:w="108" w:type="dxa"/>
          </w:tblCellMar>
        </w:tblPrEx>
        <w:trPr>
          <w:trHeight w:val="454" w:hRule="atLeast"/>
          <w:jc w:val="center"/>
        </w:trPr>
        <w:tc>
          <w:tcPr>
            <w:tcW w:w="2376" w:type="dxa"/>
            <w:tcBorders>
              <w:top w:val="single" w:color="auto"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6910" w:type="dxa"/>
            <w:gridSpan w:val="3"/>
            <w:tcBorders>
              <w:top w:val="single" w:color="auto"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cs="宋体" w:asciiTheme="majorEastAsia" w:hAnsiTheme="majorEastAsia" w:eastAsiaTheme="majorEastAsia"/>
                <w:sz w:val="24"/>
              </w:rPr>
              <w:t>金城东路南侧棉麻公司家属院8号楼3单元401室</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房屋所有权人、</w:t>
            </w:r>
            <w:r>
              <w:rPr>
                <w:rFonts w:ascii="宋体" w:hAnsi="宋体" w:cs="宋体"/>
                <w:color w:val="000000"/>
                <w:kern w:val="0"/>
                <w:sz w:val="24"/>
                <w:lang w:bidi="ar"/>
              </w:rPr>
              <w:t>土地使用权人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cs="宋体" w:asciiTheme="majorEastAsia" w:hAnsiTheme="majorEastAsia" w:eastAsiaTheme="majorEastAsia"/>
                <w:sz w:val="24"/>
              </w:rPr>
              <w:t>郭艳平、张焕玲</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共有情况    </w:t>
            </w:r>
          </w:p>
        </w:tc>
        <w:tc>
          <w:tcPr>
            <w:tcW w:w="2232"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共同共有</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登记时间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2018年12月13日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建筑结构</w:t>
            </w:r>
          </w:p>
        </w:tc>
        <w:tc>
          <w:tcPr>
            <w:tcW w:w="2232"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混合结构</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所在层/总层数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4层/4层、</w:t>
            </w:r>
          </w:p>
          <w:p>
            <w:pPr>
              <w:widowControl/>
              <w:jc w:val="center"/>
              <w:textAlignment w:val="center"/>
              <w:rPr>
                <w:rFonts w:ascii="宋体" w:hAnsi="宋体" w:cs="宋体"/>
                <w:color w:val="000000"/>
                <w:sz w:val="24"/>
              </w:rPr>
            </w:pPr>
            <w:r>
              <w:rPr>
                <w:rFonts w:ascii="宋体" w:hAnsi="宋体" w:cs="宋体"/>
                <w:color w:val="000000"/>
                <w:kern w:val="0"/>
                <w:sz w:val="24"/>
                <w:lang w:bidi="ar"/>
              </w:rPr>
              <w:t>1</w:t>
            </w:r>
            <w:r>
              <w:rPr>
                <w:rFonts w:hint="eastAsia" w:ascii="宋体" w:hAnsi="宋体" w:cs="宋体"/>
                <w:color w:val="000000"/>
                <w:kern w:val="0"/>
                <w:sz w:val="24"/>
                <w:lang w:bidi="ar"/>
              </w:rPr>
              <w:t>层/</w:t>
            </w:r>
            <w:r>
              <w:rPr>
                <w:rFonts w:ascii="宋体" w:hAnsi="宋体" w:cs="宋体"/>
                <w:color w:val="000000"/>
                <w:kern w:val="0"/>
                <w:sz w:val="24"/>
                <w:lang w:bidi="ar"/>
              </w:rPr>
              <w:t>1</w:t>
            </w:r>
            <w:r>
              <w:rPr>
                <w:rFonts w:hint="eastAsia" w:ascii="宋体" w:hAnsi="宋体" w:cs="宋体"/>
                <w:color w:val="000000"/>
                <w:kern w:val="0"/>
                <w:sz w:val="24"/>
                <w:lang w:bidi="ar"/>
              </w:rPr>
              <w:t>层</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建筑面积（㎡）</w:t>
            </w:r>
          </w:p>
        </w:tc>
        <w:tc>
          <w:tcPr>
            <w:tcW w:w="2232"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64.0㎡</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规划用途/实际用途</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成套住宅/住宅</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竣工时间</w:t>
            </w:r>
          </w:p>
        </w:tc>
        <w:tc>
          <w:tcPr>
            <w:tcW w:w="2232"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2000-</w:t>
            </w:r>
            <w:r>
              <w:rPr>
                <w:rFonts w:ascii="宋体" w:hAnsi="宋体" w:cs="宋体"/>
                <w:color w:val="000000"/>
                <w:kern w:val="0"/>
                <w:sz w:val="24"/>
                <w:lang w:bidi="ar"/>
              </w:rPr>
              <w:t>09-20</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土地使用年限</w:t>
            </w:r>
          </w:p>
        </w:tc>
        <w:tc>
          <w:tcPr>
            <w:tcW w:w="6910" w:type="dxa"/>
            <w:gridSpan w:val="3"/>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2017年10月28日起至2087年10月28日止</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doub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附记</w:t>
            </w:r>
          </w:p>
        </w:tc>
        <w:tc>
          <w:tcPr>
            <w:tcW w:w="6910" w:type="dxa"/>
            <w:gridSpan w:val="3"/>
            <w:tcBorders>
              <w:top w:val="single" w:color="000000" w:sz="4" w:space="0"/>
              <w:left w:val="single" w:color="000000" w:sz="4" w:space="0"/>
              <w:bottom w:val="double" w:color="auto" w:sz="4" w:space="0"/>
              <w:right w:val="double" w:color="auto" w:sz="4" w:space="0"/>
            </w:tcBorders>
            <w:shd w:val="clear" w:color="auto" w:fill="auto"/>
            <w:noWrap/>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eastAsiaTheme="majorEastAsia"/>
                <w:color w:val="000000"/>
                <w:sz w:val="24"/>
              </w:rPr>
              <w:t>不动产单元号</w:t>
            </w:r>
            <w:r>
              <w:rPr>
                <w:rFonts w:ascii="宋体" w:hAnsi="宋体" w:cs="宋体" w:eastAsiaTheme="majorEastAsia"/>
                <w:color w:val="000000"/>
                <w:sz w:val="24"/>
              </w:rPr>
              <w:t>371526001605GB00026F00020045</w:t>
            </w:r>
            <w:r>
              <w:rPr>
                <w:rFonts w:hint="eastAsia" w:ascii="宋体" w:hAnsi="宋体" w:cs="宋体" w:eastAsiaTheme="majorEastAsia"/>
                <w:color w:val="000000"/>
                <w:sz w:val="24"/>
              </w:rPr>
              <w:t>，用途为</w:t>
            </w:r>
            <w:r>
              <w:rPr>
                <w:rFonts w:hint="eastAsia" w:ascii="宋体" w:hAnsi="宋体" w:cs="宋体"/>
                <w:color w:val="000000"/>
                <w:kern w:val="0"/>
                <w:sz w:val="24"/>
                <w:lang w:bidi="ar"/>
              </w:rPr>
              <w:t>其他</w:t>
            </w:r>
            <w:r>
              <w:rPr>
                <w:rFonts w:ascii="宋体" w:hAnsi="宋体" w:cs="宋体"/>
                <w:color w:val="000000"/>
                <w:kern w:val="0"/>
                <w:sz w:val="24"/>
                <w:lang w:bidi="ar"/>
              </w:rPr>
              <w:t>（</w:t>
            </w:r>
            <w:r>
              <w:rPr>
                <w:rFonts w:hint="eastAsia" w:ascii="宋体" w:hAnsi="宋体" w:cs="宋体"/>
                <w:color w:val="000000"/>
                <w:kern w:val="0"/>
                <w:sz w:val="24"/>
                <w:lang w:bidi="ar"/>
              </w:rPr>
              <w:t>配房</w:t>
            </w:r>
            <w:r>
              <w:rPr>
                <w:rFonts w:ascii="宋体" w:hAnsi="宋体" w:cs="宋体"/>
                <w:color w:val="000000"/>
                <w:kern w:val="0"/>
                <w:sz w:val="24"/>
                <w:lang w:bidi="ar"/>
              </w:rPr>
              <w:t>）</w:t>
            </w:r>
            <w:r>
              <w:rPr>
                <w:rFonts w:hint="eastAsia" w:ascii="宋体" w:hAnsi="宋体" w:cs="宋体"/>
                <w:color w:val="000000"/>
                <w:kern w:val="0"/>
                <w:sz w:val="24"/>
                <w:lang w:bidi="ar"/>
              </w:rPr>
              <w:t>，</w:t>
            </w:r>
            <w:r>
              <w:rPr>
                <w:rFonts w:ascii="宋体" w:hAnsi="宋体" w:cs="宋体"/>
                <w:color w:val="000000"/>
                <w:kern w:val="0"/>
                <w:sz w:val="24"/>
                <w:lang w:bidi="ar"/>
              </w:rPr>
              <w:t>房号为</w:t>
            </w:r>
            <w:r>
              <w:rPr>
                <w:rFonts w:hint="eastAsia" w:ascii="宋体" w:hAnsi="宋体" w:cs="宋体"/>
                <w:color w:val="000000"/>
                <w:kern w:val="0"/>
                <w:sz w:val="24"/>
                <w:lang w:bidi="ar"/>
              </w:rPr>
              <w:t>44，建筑面积为6㎡。</w:t>
            </w:r>
          </w:p>
        </w:tc>
      </w:tr>
    </w:tbl>
    <w:p>
      <w:pPr>
        <w:snapToGrid w:val="0"/>
        <w:spacing w:line="560" w:lineRule="exact"/>
        <w:ind w:firstLine="562" w:firstLineChars="200"/>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：2022年8月8日（现场实地查勘之日）。</w:t>
      </w:r>
    </w:p>
    <w:p>
      <w:pPr>
        <w:spacing w:line="560" w:lineRule="exact"/>
        <w:ind w:firstLine="555"/>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根据估价目的，本报告所采用的价值类型为市场价格。</w:t>
      </w:r>
    </w:p>
    <w:p>
      <w:pPr>
        <w:snapToGrid w:val="0"/>
        <w:spacing w:line="560" w:lineRule="exact"/>
        <w:ind w:firstLine="551" w:firstLineChars="196"/>
        <w:rPr>
          <w:rFonts w:ascii="宋体" w:hAnsi="宋体" w:cs="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w:t>
      </w:r>
      <w:r>
        <w:rPr>
          <w:rFonts w:hint="eastAsia" w:ascii="宋体" w:hAnsi="宋体" w:cs="宋体"/>
          <w:color w:val="000000"/>
          <w:sz w:val="28"/>
        </w:rPr>
        <w:t>本次采用比较法和收益法进行评估。</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1"/>
        <w:tblW w:w="927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7"/>
        <w:gridCol w:w="1276"/>
        <w:gridCol w:w="2410"/>
        <w:gridCol w:w="1275"/>
        <w:gridCol w:w="1418"/>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估价结果汇总表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不动产产权证书号</w:t>
            </w:r>
          </w:p>
        </w:tc>
        <w:tc>
          <w:tcPr>
            <w:tcW w:w="1276" w:type="dxa"/>
            <w:vAlign w:val="center"/>
          </w:tcPr>
          <w:p>
            <w:pPr>
              <w:jc w:val="center"/>
              <w:rPr>
                <w:rFonts w:hint="eastAsia" w:cs="宋体" w:asciiTheme="majorEastAsia" w:hAnsiTheme="majorEastAsia" w:eastAsiaTheme="majorEastAsia"/>
                <w:sz w:val="24"/>
              </w:rPr>
            </w:pPr>
            <w:r>
              <w:rPr>
                <w:rFonts w:hint="eastAsia" w:cs="宋体" w:asciiTheme="majorEastAsia" w:hAnsiTheme="majorEastAsia" w:eastAsiaTheme="majorEastAsia"/>
                <w:sz w:val="24"/>
              </w:rPr>
              <w:t>房屋所有权人</w:t>
            </w:r>
          </w:p>
        </w:tc>
        <w:tc>
          <w:tcPr>
            <w:tcW w:w="2410"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坐落</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建筑</w:t>
            </w:r>
            <w:r>
              <w:rPr>
                <w:rFonts w:cs="宋体" w:asciiTheme="majorEastAsia" w:hAnsiTheme="majorEastAsia" w:eastAsiaTheme="majorEastAsia"/>
                <w:sz w:val="24"/>
              </w:rPr>
              <w:t>面积</w:t>
            </w:r>
          </w:p>
          <w:p>
            <w:pPr>
              <w:jc w:val="center"/>
              <w:rPr>
                <w:rFonts w:cs="宋体" w:asciiTheme="majorEastAsia" w:hAnsiTheme="majorEastAsia" w:eastAsiaTheme="majorEastAsia"/>
                <w:sz w:val="24"/>
              </w:rPr>
            </w:pPr>
            <w:r>
              <w:rPr>
                <w:rFonts w:cs="宋体" w:asciiTheme="majorEastAsia" w:hAnsiTheme="majorEastAsia" w:eastAsiaTheme="majorEastAsia"/>
                <w:sz w:val="24"/>
              </w:rPr>
              <w:t>（</w:t>
            </w:r>
            <w:r>
              <w:rPr>
                <w:rFonts w:hint="eastAsia" w:cs="宋体" w:asciiTheme="majorEastAsia" w:hAnsiTheme="majorEastAsia" w:eastAsiaTheme="majorEastAsia"/>
                <w:sz w:val="24"/>
              </w:rPr>
              <w:t>㎡</w:t>
            </w:r>
            <w:r>
              <w:rPr>
                <w:rFonts w:cs="宋体" w:asciiTheme="majorEastAsia" w:hAnsiTheme="majorEastAsia" w:eastAsiaTheme="majorEastAsia"/>
                <w:sz w:val="24"/>
              </w:rPr>
              <w:t>）</w:t>
            </w:r>
          </w:p>
        </w:tc>
        <w:tc>
          <w:tcPr>
            <w:tcW w:w="1418"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评估单价</w:t>
            </w:r>
          </w:p>
          <w:p>
            <w:pPr>
              <w:widowControl/>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（元/㎡）</w:t>
            </w:r>
          </w:p>
        </w:tc>
        <w:tc>
          <w:tcPr>
            <w:tcW w:w="1516"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评估总价</w:t>
            </w:r>
          </w:p>
          <w:p>
            <w:pPr>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Merge w:val="restart"/>
            <w:vAlign w:val="center"/>
          </w:tcPr>
          <w:p>
            <w:pPr>
              <w:jc w:val="center"/>
              <w:rPr>
                <w:rFonts w:cs="宋体" w:asciiTheme="majorEastAsia" w:hAnsiTheme="majorEastAsia" w:eastAsiaTheme="majorEastAsia"/>
                <w:sz w:val="24"/>
              </w:rPr>
            </w:pPr>
            <w:r>
              <w:rPr>
                <w:rFonts w:hint="eastAsia" w:ascii="宋体" w:hAnsi="宋体" w:cs="宋体" w:eastAsiaTheme="majorEastAsia"/>
                <w:color w:val="000000"/>
                <w:kern w:val="0"/>
                <w:sz w:val="24"/>
                <w:lang w:bidi="ar"/>
              </w:rPr>
              <w:t>鲁（2018）高唐县不动产权第0003873号</w:t>
            </w:r>
          </w:p>
        </w:tc>
        <w:tc>
          <w:tcPr>
            <w:tcW w:w="1276" w:type="dxa"/>
            <w:vMerge w:val="restart"/>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郭艳平、张焕玲</w:t>
            </w:r>
          </w:p>
        </w:tc>
        <w:tc>
          <w:tcPr>
            <w:tcW w:w="2410"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金城东路南侧棉麻公司家属院8号楼3单元401室</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64.0</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4528</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28.98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Merge w:val="continue"/>
            <w:vAlign w:val="center"/>
          </w:tcPr>
          <w:p>
            <w:pPr>
              <w:jc w:val="center"/>
              <w:rPr>
                <w:rFonts w:cs="宋体" w:asciiTheme="majorEastAsia" w:hAnsiTheme="majorEastAsia" w:eastAsiaTheme="majorEastAsia"/>
                <w:sz w:val="24"/>
              </w:rPr>
            </w:pPr>
          </w:p>
        </w:tc>
        <w:tc>
          <w:tcPr>
            <w:tcW w:w="1276" w:type="dxa"/>
            <w:vMerge w:val="continue"/>
            <w:vAlign w:val="center"/>
          </w:tcPr>
          <w:p>
            <w:pPr>
              <w:spacing w:line="360" w:lineRule="auto"/>
              <w:jc w:val="center"/>
              <w:rPr>
                <w:rFonts w:cs="宋体" w:asciiTheme="majorEastAsia" w:hAnsiTheme="majorEastAsia" w:eastAsiaTheme="majorEastAsia"/>
                <w:sz w:val="24"/>
              </w:rPr>
            </w:pPr>
          </w:p>
        </w:tc>
        <w:tc>
          <w:tcPr>
            <w:tcW w:w="2410"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金城东路南侧棉麻公司家属院8号楼3单元401室配房</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6</w:t>
            </w:r>
          </w:p>
        </w:tc>
        <w:tc>
          <w:tcPr>
            <w:tcW w:w="1418" w:type="dxa"/>
            <w:vAlign w:val="center"/>
          </w:tcPr>
          <w:p>
            <w:pPr>
              <w:widowControl/>
              <w:jc w:val="center"/>
              <w:textAlignment w:val="center"/>
              <w:rPr>
                <w:rFonts w:ascii="宋体" w:hAnsi="宋体" w:cs="宋体" w:eastAsiaTheme="majorEastAsia"/>
                <w:color w:val="000000"/>
                <w:kern w:val="0"/>
                <w:sz w:val="24"/>
                <w:lang w:bidi="ar"/>
              </w:rPr>
            </w:pPr>
            <w:r>
              <w:rPr>
                <w:rFonts w:hint="eastAsia" w:ascii="宋体" w:hAnsi="宋体" w:cs="宋体" w:eastAsiaTheme="majorEastAsia"/>
                <w:color w:val="000000"/>
                <w:kern w:val="0"/>
                <w:sz w:val="24"/>
                <w:lang w:bidi="ar"/>
              </w:rPr>
              <w:t>1800</w:t>
            </w:r>
          </w:p>
        </w:tc>
        <w:tc>
          <w:tcPr>
            <w:tcW w:w="1516" w:type="dxa"/>
            <w:vAlign w:val="center"/>
          </w:tcPr>
          <w:p>
            <w:pPr>
              <w:widowControl/>
              <w:jc w:val="center"/>
              <w:textAlignment w:val="center"/>
              <w:rPr>
                <w:rFonts w:ascii="宋体" w:hAnsi="宋体" w:cs="宋体" w:eastAsiaTheme="majorEastAsia"/>
                <w:color w:val="000000"/>
                <w:kern w:val="0"/>
                <w:sz w:val="24"/>
                <w:lang w:bidi="ar"/>
              </w:rPr>
            </w:pPr>
            <w:r>
              <w:rPr>
                <w:rFonts w:hint="eastAsia" w:ascii="宋体" w:hAnsi="宋体" w:cs="宋体" w:eastAsiaTheme="majorEastAsia"/>
                <w:color w:val="000000"/>
                <w:kern w:val="0"/>
                <w:sz w:val="24"/>
                <w:lang w:bidi="ar"/>
              </w:rPr>
              <w:t>1.08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Align w:val="center"/>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合计</w:t>
            </w:r>
          </w:p>
        </w:tc>
        <w:tc>
          <w:tcPr>
            <w:tcW w:w="1276" w:type="dxa"/>
            <w:vAlign w:val="center"/>
          </w:tcPr>
          <w:p>
            <w:pPr>
              <w:spacing w:line="360" w:lineRule="auto"/>
              <w:jc w:val="center"/>
              <w:rPr>
                <w:rFonts w:cs="宋体" w:asciiTheme="majorEastAsia" w:hAnsiTheme="majorEastAsia" w:eastAsiaTheme="majorEastAsia"/>
                <w:b/>
                <w:bCs/>
                <w:sz w:val="24"/>
              </w:rPr>
            </w:pPr>
          </w:p>
        </w:tc>
        <w:tc>
          <w:tcPr>
            <w:tcW w:w="2410" w:type="dxa"/>
            <w:vAlign w:val="center"/>
          </w:tcPr>
          <w:p>
            <w:pPr>
              <w:jc w:val="center"/>
              <w:rPr>
                <w:rFonts w:cs="宋体" w:asciiTheme="majorEastAsia" w:hAnsiTheme="majorEastAsia" w:eastAsiaTheme="majorEastAsia"/>
                <w:b/>
                <w:bCs/>
                <w:sz w:val="24"/>
              </w:rPr>
            </w:pPr>
          </w:p>
        </w:tc>
        <w:tc>
          <w:tcPr>
            <w:tcW w:w="1275" w:type="dxa"/>
            <w:vAlign w:val="center"/>
          </w:tcPr>
          <w:p>
            <w:pPr>
              <w:spacing w:line="360" w:lineRule="auto"/>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70</w:t>
            </w:r>
            <w:r>
              <w:rPr>
                <w:rFonts w:cs="宋体" w:asciiTheme="majorEastAsia" w:hAnsiTheme="majorEastAsia" w:eastAsiaTheme="majorEastAsia"/>
                <w:b/>
                <w:bCs/>
                <w:sz w:val="24"/>
              </w:rPr>
              <w:t>.0</w:t>
            </w:r>
          </w:p>
        </w:tc>
        <w:tc>
          <w:tcPr>
            <w:tcW w:w="1418" w:type="dxa"/>
            <w:vAlign w:val="center"/>
          </w:tcPr>
          <w:p>
            <w:pPr>
              <w:widowControl/>
              <w:jc w:val="center"/>
              <w:textAlignment w:val="center"/>
              <w:rPr>
                <w:rFonts w:ascii="宋体" w:hAnsi="宋体" w:cs="宋体" w:eastAsiaTheme="majorEastAsia"/>
                <w:b/>
                <w:bCs/>
                <w:color w:val="000000"/>
                <w:kern w:val="0"/>
                <w:sz w:val="24"/>
                <w:lang w:bidi="ar"/>
              </w:rPr>
            </w:pPr>
          </w:p>
        </w:tc>
        <w:tc>
          <w:tcPr>
            <w:tcW w:w="1516" w:type="dxa"/>
            <w:vAlign w:val="center"/>
          </w:tcPr>
          <w:p>
            <w:pPr>
              <w:widowControl/>
              <w:jc w:val="center"/>
              <w:textAlignment w:val="center"/>
              <w:rPr>
                <w:rFonts w:ascii="宋体" w:hAnsi="宋体" w:cs="宋体" w:eastAsiaTheme="majorEastAsia"/>
                <w:b/>
                <w:bCs/>
                <w:color w:val="000000"/>
                <w:kern w:val="0"/>
                <w:sz w:val="24"/>
                <w:lang w:bidi="ar"/>
              </w:rPr>
            </w:pPr>
            <w:r>
              <w:rPr>
                <w:rFonts w:hint="eastAsia" w:ascii="宋体" w:hAnsi="宋体" w:cs="宋体" w:eastAsiaTheme="majorEastAsia"/>
                <w:b/>
                <w:bCs/>
                <w:color w:val="000000"/>
                <w:kern w:val="0"/>
                <w:sz w:val="24"/>
                <w:lang w:bidi="ar"/>
              </w:rPr>
              <w:t>30.06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widowControl/>
              <w:jc w:val="center"/>
              <w:textAlignment w:val="center"/>
              <w:rPr>
                <w:rFonts w:cs="等线" w:asciiTheme="majorEastAsia" w:hAnsiTheme="majorEastAsia" w:eastAsiaTheme="majorEastAsia"/>
                <w:b/>
                <w:bCs/>
                <w:color w:val="000000"/>
                <w:kern w:val="0"/>
                <w:sz w:val="24"/>
                <w:lang w:bidi="ar"/>
              </w:rPr>
            </w:pPr>
            <w:r>
              <w:rPr>
                <w:rFonts w:hint="eastAsia" w:asciiTheme="majorEastAsia" w:hAnsiTheme="majorEastAsia" w:eastAsiaTheme="majorEastAsia"/>
                <w:b/>
                <w:sz w:val="24"/>
              </w:rPr>
              <w:t>人民币大写：</w:t>
            </w:r>
            <w:r>
              <w:rPr>
                <w:rFonts w:hint="eastAsia" w:ascii="宋体" w:hAnsi="宋体" w:cs="宋体" w:eastAsiaTheme="majorEastAsia"/>
                <w:b/>
                <w:bCs/>
                <w:color w:val="000000"/>
                <w:kern w:val="0"/>
                <w:sz w:val="24"/>
                <w:lang w:bidi="ar"/>
              </w:rPr>
              <w:t>叁拾万零陆佰</w:t>
            </w:r>
            <w:r>
              <w:rPr>
                <w:rFonts w:hint="eastAsia" w:ascii="宋体" w:hAnsi="宋体" w:cs="宋体"/>
                <w:b/>
                <w:bCs/>
                <w:color w:val="000000"/>
                <w:kern w:val="0"/>
                <w:sz w:val="24"/>
                <w:lang w:bidi="ar"/>
              </w:rPr>
              <w:t>元整</w:t>
            </w:r>
          </w:p>
        </w:tc>
      </w:tr>
    </w:tbl>
    <w:p>
      <w:pPr>
        <w:snapToGrid w:val="0"/>
        <w:spacing w:line="520" w:lineRule="exact"/>
        <w:ind w:firstLine="556"/>
        <w:rPr>
          <w:rFonts w:ascii="宋体" w:hAnsi="宋体"/>
          <w:b/>
          <w:color w:val="000000"/>
          <w:sz w:val="28"/>
        </w:rPr>
      </w:pPr>
      <w:r>
        <w:rPr>
          <w:rFonts w:hint="eastAsia" w:ascii="宋体" w:hAnsi="宋体"/>
          <w:b/>
          <w:color w:val="000000"/>
          <w:sz w:val="28"/>
        </w:rPr>
        <w:t>特别提示：</w:t>
      </w:r>
    </w:p>
    <w:p>
      <w:pPr>
        <w:snapToGrid w:val="0"/>
        <w:spacing w:line="520" w:lineRule="exact"/>
        <w:ind w:firstLine="556"/>
        <w:rPr>
          <w:rFonts w:ascii="宋体" w:hAnsi="宋体"/>
          <w:sz w:val="28"/>
        </w:rPr>
      </w:pPr>
      <w:r>
        <w:rPr>
          <w:rFonts w:hint="eastAsia" w:ascii="宋体" w:hAnsi="宋体"/>
          <w:color w:val="000000"/>
          <w:sz w:val="28"/>
        </w:rPr>
        <w:t>1、本估价报告应用有效期为一年，即自</w:t>
      </w:r>
      <w:r>
        <w:rPr>
          <w:rFonts w:hint="eastAsia" w:ascii="宋体" w:hAnsi="宋体"/>
          <w:sz w:val="28"/>
        </w:rPr>
        <w:t>2022年8月22日至2023年8月</w:t>
      </w:r>
      <w:r>
        <w:rPr>
          <w:rFonts w:ascii="宋体" w:hAnsi="宋体"/>
          <w:sz w:val="28"/>
        </w:rPr>
        <w:t>21</w:t>
      </w:r>
      <w:r>
        <w:rPr>
          <w:rFonts w:hint="eastAsia" w:ascii="宋体" w:hAnsi="宋体"/>
          <w:sz w:val="28"/>
        </w:rPr>
        <w:t>日。</w:t>
      </w:r>
    </w:p>
    <w:p>
      <w:pPr>
        <w:snapToGrid w:val="0"/>
        <w:spacing w:line="520" w:lineRule="exact"/>
        <w:ind w:firstLine="556"/>
        <w:rPr>
          <w:rFonts w:ascii="宋体" w:hAnsi="宋体"/>
          <w:color w:val="000000"/>
          <w:sz w:val="28"/>
        </w:rPr>
      </w:pPr>
      <w:r>
        <w:rPr>
          <w:rFonts w:hint="eastAsia" w:ascii="宋体" w:hAnsi="宋体"/>
          <w:color w:val="000000"/>
          <w:sz w:val="28"/>
        </w:rPr>
        <w:t>2、以上内容摘自评估报告，详细内容见《估价结果报告》。若当事人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通过高唐县人民法院向我公司提出。</w:t>
      </w:r>
    </w:p>
    <w:p>
      <w:pPr>
        <w:snapToGrid w:val="0"/>
        <w:spacing w:line="520" w:lineRule="exact"/>
        <w:ind w:right="78" w:firstLine="556"/>
        <w:jc w:val="right"/>
        <w:rPr>
          <w:rFonts w:ascii="宋体" w:hAnsi="宋体"/>
          <w:color w:val="000000"/>
          <w:sz w:val="28"/>
          <w:szCs w:val="28"/>
        </w:rPr>
      </w:pPr>
    </w:p>
    <w:p>
      <w:pPr>
        <w:snapToGrid w:val="0"/>
        <w:spacing w:line="520" w:lineRule="exact"/>
        <w:ind w:right="78" w:firstLine="556"/>
        <w:jc w:val="right"/>
        <w:rPr>
          <w:rFonts w:ascii="宋体" w:hAnsi="宋体"/>
          <w:color w:val="000000"/>
          <w:sz w:val="28"/>
          <w:szCs w:val="28"/>
          <w:lang w:val="zh-CN"/>
        </w:rPr>
      </w:pPr>
      <w:r>
        <w:rPr>
          <w:rFonts w:hint="eastAsia" w:ascii="宋体" w:hAnsi="宋体"/>
          <w:color w:val="000000"/>
          <w:sz w:val="28"/>
          <w:szCs w:val="28"/>
        </w:rPr>
        <w:t>山东成达土地房地产资产评估测绘有限公司</w:t>
      </w:r>
    </w:p>
    <w:p>
      <w:pPr>
        <w:snapToGrid w:val="0"/>
        <w:spacing w:line="520" w:lineRule="exact"/>
        <w:ind w:right="918"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法定代表人：</w:t>
      </w:r>
      <w:r>
        <w:rPr>
          <w:rFonts w:hint="eastAsia" w:ascii="宋体" w:hAnsi="宋体"/>
          <w:color w:val="000000"/>
          <w:sz w:val="28"/>
          <w:szCs w:val="28"/>
          <w:lang w:val="zh-CN"/>
        </w:rPr>
        <w:t>程新军</w:t>
      </w:r>
    </w:p>
    <w:p>
      <w:pPr>
        <w:snapToGrid w:val="0"/>
        <w:spacing w:line="520" w:lineRule="exact"/>
        <w:ind w:right="-110"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二○二二年八月二十二日</w:t>
      </w:r>
      <w:r>
        <w:rPr>
          <w:rFonts w:hint="eastAsia" w:ascii="宋体" w:hAnsi="宋体"/>
          <w:b/>
          <w:sz w:val="36"/>
        </w:rPr>
        <w:br w:type="page"/>
      </w:r>
    </w:p>
    <w:p>
      <w:pPr>
        <w:spacing w:line="600" w:lineRule="exact"/>
        <w:jc w:val="center"/>
        <w:rPr>
          <w:rFonts w:ascii="宋体" w:hAnsi="宋体"/>
          <w:b/>
          <w:sz w:val="36"/>
        </w:rPr>
      </w:pPr>
      <w:r>
        <w:rPr>
          <w:rFonts w:hint="eastAsia" w:ascii="宋体" w:hAnsi="宋体"/>
          <w:b/>
          <w:sz w:val="36"/>
        </w:rPr>
        <w:t>目   录</w:t>
      </w:r>
    </w:p>
    <w:p>
      <w:pPr>
        <w:rPr>
          <w:lang w:val="zh-CN"/>
        </w:rPr>
      </w:pPr>
    </w:p>
    <w:p>
      <w:pPr>
        <w:spacing w:line="660" w:lineRule="exact"/>
        <w:rPr>
          <w:rFonts w:ascii="宋体" w:hAnsi="宋体"/>
          <w:b/>
          <w:sz w:val="28"/>
        </w:rPr>
      </w:pPr>
      <w:bookmarkStart w:id="0" w:name="_Toc17471951"/>
      <w:bookmarkStart w:id="1" w:name="_Toc17471982"/>
      <w:bookmarkStart w:id="2" w:name="_Toc19087050"/>
      <w:bookmarkStart w:id="3" w:name="_Toc16234169"/>
      <w:bookmarkStart w:id="4" w:name="_Toc24121729"/>
      <w:bookmarkStart w:id="5" w:name="_Toc16234431"/>
      <w:r>
        <w:rPr>
          <w:rFonts w:hint="eastAsia" w:ascii="宋体" w:hAnsi="宋体"/>
          <w:b/>
          <w:bCs/>
          <w:sz w:val="28"/>
        </w:rPr>
        <w:t>估价师声明</w:t>
      </w:r>
      <w:r>
        <w:rPr>
          <w:rFonts w:hint="eastAsia" w:ascii="宋体" w:hAnsi="宋体"/>
          <w:b/>
          <w:sz w:val="28"/>
        </w:rPr>
        <w:t>……………………………………………………………（0</w:t>
      </w:r>
      <w:r>
        <w:rPr>
          <w:rFonts w:ascii="宋体" w:hAnsi="宋体"/>
          <w:b/>
          <w:sz w:val="28"/>
        </w:rPr>
        <w:t>5</w:t>
      </w:r>
      <w:r>
        <w:rPr>
          <w:rFonts w:hint="eastAsia" w:ascii="宋体" w:hAnsi="宋体"/>
          <w:b/>
          <w:sz w:val="28"/>
        </w:rPr>
        <w:t>）</w:t>
      </w:r>
    </w:p>
    <w:p>
      <w:pPr>
        <w:spacing w:line="660" w:lineRule="exact"/>
        <w:rPr>
          <w:rFonts w:ascii="宋体" w:hAnsi="宋体"/>
          <w:b/>
          <w:sz w:val="28"/>
        </w:rPr>
      </w:pPr>
      <w:r>
        <w:rPr>
          <w:rFonts w:hint="eastAsia" w:ascii="宋体" w:hAnsi="宋体"/>
          <w:b/>
          <w:bCs/>
          <w:sz w:val="28"/>
        </w:rPr>
        <w:t>估价假设和限制条件</w:t>
      </w:r>
      <w:r>
        <w:rPr>
          <w:rFonts w:hint="eastAsia" w:ascii="宋体" w:hAnsi="宋体"/>
          <w:b/>
          <w:sz w:val="28"/>
        </w:rPr>
        <w:t>…………………………………………………（0</w:t>
      </w:r>
      <w:r>
        <w:rPr>
          <w:rFonts w:ascii="宋体" w:hAnsi="宋体"/>
          <w:b/>
          <w:sz w:val="28"/>
        </w:rPr>
        <w:t>6</w:t>
      </w:r>
      <w:r>
        <w:rPr>
          <w:rFonts w:hint="eastAsia" w:ascii="宋体" w:hAnsi="宋体"/>
          <w:b/>
          <w:sz w:val="28"/>
        </w:rPr>
        <w:t>）</w:t>
      </w:r>
    </w:p>
    <w:p>
      <w:pPr>
        <w:spacing w:line="660" w:lineRule="exact"/>
        <w:rPr>
          <w:rFonts w:ascii="宋体" w:hAnsi="宋体"/>
          <w:b/>
          <w:sz w:val="28"/>
        </w:rPr>
      </w:pPr>
      <w:r>
        <w:rPr>
          <w:rFonts w:hint="eastAsia" w:ascii="宋体" w:hAnsi="宋体"/>
          <w:b/>
          <w:bCs/>
          <w:sz w:val="28"/>
        </w:rPr>
        <w:t>估价结果报告</w:t>
      </w:r>
      <w:r>
        <w:rPr>
          <w:rFonts w:hint="eastAsia" w:ascii="宋体" w:hAnsi="宋体"/>
          <w:b/>
          <w:sz w:val="28"/>
        </w:rPr>
        <w:t>…………………………………………………………（</w:t>
      </w:r>
      <w:r>
        <w:rPr>
          <w:rFonts w:ascii="宋体" w:hAnsi="宋体"/>
          <w:b/>
          <w:sz w:val="28"/>
        </w:rPr>
        <w:t>09</w:t>
      </w:r>
      <w:r>
        <w:rPr>
          <w:rFonts w:hint="eastAsia" w:ascii="宋体" w:hAnsi="宋体"/>
          <w:b/>
          <w:sz w:val="28"/>
        </w:rPr>
        <w:t>）</w:t>
      </w:r>
    </w:p>
    <w:p>
      <w:pPr>
        <w:spacing w:line="660" w:lineRule="exact"/>
        <w:jc w:val="center"/>
        <w:rPr>
          <w:rFonts w:ascii="宋体" w:hAnsi="宋体"/>
          <w:sz w:val="28"/>
        </w:rPr>
      </w:pPr>
      <w:r>
        <w:rPr>
          <w:rFonts w:hint="eastAsia" w:ascii="宋体" w:hAnsi="宋体"/>
          <w:sz w:val="28"/>
        </w:rPr>
        <w:t>一、估价委托人……………………………………………………（</w:t>
      </w:r>
      <w:r>
        <w:rPr>
          <w:rFonts w:ascii="宋体" w:hAnsi="宋体"/>
          <w:sz w:val="28"/>
        </w:rPr>
        <w:t>09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二、房地产估价机构………………………………………………（</w:t>
      </w:r>
      <w:r>
        <w:rPr>
          <w:rFonts w:ascii="宋体" w:hAnsi="宋体"/>
          <w:sz w:val="28"/>
        </w:rPr>
        <w:t>09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三、估价目的………………………………………………………（</w:t>
      </w:r>
      <w:r>
        <w:rPr>
          <w:rFonts w:ascii="宋体" w:hAnsi="宋体"/>
          <w:sz w:val="28"/>
        </w:rPr>
        <w:t>09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四、估价对象………………………………………………………（</w:t>
      </w:r>
      <w:r>
        <w:rPr>
          <w:rFonts w:ascii="宋体" w:hAnsi="宋体"/>
          <w:sz w:val="28"/>
        </w:rPr>
        <w:t>09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五、价值时点………………………………………………………（1</w:t>
      </w:r>
      <w:r>
        <w:rPr>
          <w:rFonts w:ascii="宋体" w:hAnsi="宋体"/>
          <w:sz w:val="28"/>
        </w:rPr>
        <w:t>2</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六、价值类型………………………………………………………（1</w:t>
      </w:r>
      <w:r>
        <w:rPr>
          <w:rFonts w:ascii="宋体" w:hAnsi="宋体"/>
          <w:sz w:val="28"/>
        </w:rPr>
        <w:t>2</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七、估价原则………………………………………………………（12）</w:t>
      </w:r>
    </w:p>
    <w:p>
      <w:pPr>
        <w:spacing w:line="660" w:lineRule="exact"/>
        <w:jc w:val="center"/>
        <w:rPr>
          <w:rFonts w:ascii="宋体" w:hAnsi="宋体"/>
          <w:sz w:val="28"/>
        </w:rPr>
      </w:pPr>
      <w:r>
        <w:rPr>
          <w:rFonts w:hint="eastAsia" w:ascii="宋体" w:hAnsi="宋体"/>
          <w:sz w:val="28"/>
        </w:rPr>
        <w:t>八、估价依据………………………………………………………（13）</w:t>
      </w:r>
    </w:p>
    <w:p>
      <w:pPr>
        <w:spacing w:line="660" w:lineRule="exact"/>
        <w:jc w:val="center"/>
        <w:rPr>
          <w:rFonts w:ascii="宋体" w:hAnsi="宋体"/>
          <w:sz w:val="28"/>
        </w:rPr>
      </w:pPr>
      <w:r>
        <w:rPr>
          <w:rFonts w:hint="eastAsia" w:ascii="宋体" w:hAnsi="宋体"/>
          <w:sz w:val="28"/>
        </w:rPr>
        <w:t>九、估价方法………………………………………………………（</w:t>
      </w:r>
      <w:r>
        <w:rPr>
          <w:rFonts w:ascii="宋体" w:hAnsi="宋体"/>
          <w:sz w:val="28"/>
        </w:rPr>
        <w:t>15</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十、估价结果………………………………………………………（1</w:t>
      </w:r>
      <w:r>
        <w:rPr>
          <w:rFonts w:ascii="宋体" w:hAnsi="宋体"/>
          <w:sz w:val="28"/>
        </w:rPr>
        <w:t>7</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十一、注册房地产估价师…………………………………………（</w:t>
      </w:r>
      <w:r>
        <w:rPr>
          <w:rFonts w:ascii="宋体" w:hAnsi="宋体"/>
          <w:sz w:val="28"/>
        </w:rPr>
        <w:t>17</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十二、实地查勘期…………………………………………………（</w:t>
      </w:r>
      <w:r>
        <w:rPr>
          <w:rFonts w:ascii="宋体" w:hAnsi="宋体"/>
          <w:sz w:val="28"/>
        </w:rPr>
        <w:t>18</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十三、估价作业期…………………………………………………（</w:t>
      </w:r>
      <w:r>
        <w:rPr>
          <w:rFonts w:ascii="宋体" w:hAnsi="宋体"/>
          <w:sz w:val="28"/>
        </w:rPr>
        <w:t>18</w:t>
      </w:r>
      <w:r>
        <w:rPr>
          <w:rFonts w:hint="eastAsia" w:ascii="宋体" w:hAnsi="宋体"/>
          <w:sz w:val="28"/>
        </w:rPr>
        <w:t>）</w:t>
      </w:r>
    </w:p>
    <w:p>
      <w:pPr>
        <w:spacing w:line="660" w:lineRule="exact"/>
        <w:rPr>
          <w:rFonts w:ascii="宋体" w:hAnsi="宋体"/>
          <w:b/>
          <w:bCs/>
          <w:sz w:val="28"/>
        </w:rPr>
      </w:pPr>
      <w:r>
        <w:rPr>
          <w:rFonts w:hint="eastAsia" w:ascii="宋体" w:hAnsi="宋体"/>
          <w:b/>
          <w:bCs/>
          <w:sz w:val="28"/>
        </w:rPr>
        <w:t xml:space="preserve">附 </w:t>
      </w:r>
      <w:r>
        <w:rPr>
          <w:rFonts w:ascii="宋体" w:hAnsi="宋体"/>
          <w:b/>
          <w:bCs/>
          <w:sz w:val="28"/>
        </w:rPr>
        <w:t xml:space="preserve"> </w:t>
      </w:r>
      <w:r>
        <w:rPr>
          <w:rFonts w:hint="eastAsia" w:ascii="宋体" w:hAnsi="宋体"/>
          <w:b/>
          <w:bCs/>
          <w:sz w:val="28"/>
        </w:rPr>
        <w:t>件…………………………………………………………………（1</w:t>
      </w:r>
      <w:r>
        <w:rPr>
          <w:rFonts w:ascii="宋体" w:hAnsi="宋体"/>
          <w:b/>
          <w:bCs/>
          <w:sz w:val="28"/>
        </w:rPr>
        <w:t>9</w:t>
      </w:r>
      <w:r>
        <w:rPr>
          <w:rFonts w:hint="eastAsia" w:ascii="宋体" w:hAnsi="宋体"/>
          <w:b/>
          <w:bCs/>
          <w:sz w:val="28"/>
        </w:rPr>
        <w:t>）</w:t>
      </w:r>
    </w:p>
    <w:p>
      <w:pPr>
        <w:snapToGrid w:val="0"/>
        <w:spacing w:line="620" w:lineRule="exact"/>
        <w:rPr>
          <w:rFonts w:ascii="宋体" w:hAnsi="宋体"/>
          <w:sz w:val="28"/>
        </w:rPr>
      </w:pPr>
    </w:p>
    <w:p>
      <w:pPr>
        <w:rPr>
          <w:rFonts w:ascii="宋体" w:hAnsi="宋体"/>
          <w:b/>
          <w:sz w:val="36"/>
          <w:szCs w:val="36"/>
        </w:rPr>
      </w:pPr>
      <w:r>
        <w:rPr>
          <w:rFonts w:hint="eastAsia" w:ascii="宋体" w:hAnsi="宋体"/>
          <w:b/>
          <w:sz w:val="36"/>
          <w:szCs w:val="36"/>
        </w:rPr>
        <w:br w:type="page"/>
      </w:r>
    </w:p>
    <w:p>
      <w:pPr>
        <w:pStyle w:val="50"/>
        <w:spacing w:before="0" w:line="560" w:lineRule="exact"/>
        <w:jc w:val="center"/>
        <w:rPr>
          <w:rFonts w:ascii="宋体" w:hAnsi="宋体"/>
          <w:b/>
          <w:color w:val="auto"/>
          <w:sz w:val="36"/>
          <w:szCs w:val="36"/>
          <w:lang w:val="zh-CN"/>
        </w:rPr>
      </w:pPr>
      <w:r>
        <w:rPr>
          <w:rFonts w:hint="eastAsia" w:ascii="宋体" w:hAnsi="宋体"/>
          <w:b/>
          <w:color w:val="auto"/>
          <w:sz w:val="36"/>
          <w:szCs w:val="36"/>
          <w:lang w:val="zh-CN"/>
        </w:rPr>
        <w:t>估 价 师 声 明</w:t>
      </w:r>
      <w:bookmarkEnd w:id="0"/>
      <w:bookmarkEnd w:id="1"/>
      <w:bookmarkEnd w:id="2"/>
      <w:bookmarkEnd w:id="3"/>
      <w:bookmarkEnd w:id="4"/>
      <w:bookmarkEnd w:id="5"/>
    </w:p>
    <w:p>
      <w:pPr>
        <w:spacing w:line="560" w:lineRule="exact"/>
        <w:rPr>
          <w:rFonts w:ascii="宋体" w:hAnsi="宋体"/>
          <w:color w:val="000000"/>
          <w:sz w:val="28"/>
          <w:szCs w:val="28"/>
        </w:rPr>
      </w:pPr>
      <w:r>
        <w:rPr>
          <w:rFonts w:hint="eastAsia" w:ascii="宋体" w:hAnsi="宋体"/>
          <w:color w:val="000000"/>
          <w:sz w:val="28"/>
          <w:szCs w:val="28"/>
        </w:rPr>
        <w:t>我们郑重声明：</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1、注册房地产估价师在估价报告中对事实的说明是真实和准确的，没有虚假记载、误导性陈述和重大遗漏。</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2、估价报告中的分析、意见和结论是注册房地产估价师独立、客观、公正的专业分析、意见和结论，但受到估价报告中已说明的估价假设和限制条件的限制。</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560" w:lineRule="exact"/>
        <w:ind w:firstLine="560" w:firstLineChars="200"/>
        <w:rPr>
          <w:rFonts w:ascii="宋体" w:hAnsi="宋体"/>
          <w:color w:val="000000"/>
          <w:sz w:val="28"/>
          <w:szCs w:val="28"/>
        </w:rPr>
      </w:pPr>
      <w:r>
        <w:rPr>
          <w:rFonts w:hint="eastAsia" w:ascii="宋体" w:hAnsi="宋体"/>
          <w:color w:val="000000"/>
          <w:sz w:val="28"/>
          <w:szCs w:val="28"/>
        </w:rPr>
        <w:t>4、注册房地产估价师依照中华人民共和国国家标准《房地产估价规范》、《房地产估价基本术语标准》以及相关房地产估价专项标准进行分析，形成意见和结论，撰写估价报告。</w:t>
      </w:r>
    </w:p>
    <w:p>
      <w:pPr>
        <w:spacing w:line="540" w:lineRule="exact"/>
        <w:ind w:firstLine="560" w:firstLineChars="200"/>
        <w:rPr>
          <w:rFonts w:ascii="宋体" w:hAnsi="宋体"/>
          <w:color w:val="000000"/>
          <w:sz w:val="28"/>
          <w:szCs w:val="28"/>
          <w:highlight w:val="red"/>
        </w:rPr>
      </w:pPr>
      <w:r>
        <w:rPr>
          <w:rFonts w:hint="eastAsia" w:ascii="宋体" w:hAnsi="宋体"/>
          <w:color w:val="000000"/>
          <w:sz w:val="28"/>
          <w:szCs w:val="28"/>
        </w:rPr>
        <w:t>5、注册房地产估价师</w:t>
      </w:r>
      <w:r>
        <w:rPr>
          <w:rFonts w:hint="eastAsia" w:ascii="宋体" w:hAnsi="宋体"/>
          <w:sz w:val="28"/>
          <w:szCs w:val="28"/>
        </w:rPr>
        <w:t>于2022年8月8日对本估价报告中估价对象的外部状况进行了实地查勘并进行了记录，对估价对象</w:t>
      </w:r>
      <w:r>
        <w:rPr>
          <w:rFonts w:ascii="宋体" w:hAnsi="宋体"/>
          <w:sz w:val="28"/>
          <w:szCs w:val="28"/>
        </w:rPr>
        <w:t>查勘</w:t>
      </w:r>
      <w:r>
        <w:rPr>
          <w:rFonts w:hint="eastAsia" w:ascii="宋体" w:hAnsi="宋体"/>
          <w:sz w:val="28"/>
          <w:szCs w:val="28"/>
        </w:rPr>
        <w:t>限于估价对象的外观状况与目前维护使用状况，尤其因提供资料有限，我们不承担对估价对象建筑结构质量、建筑面积数量准确性和相应权益进行界定的责任，也不承担对其他被遮盖，未暴露及难于接触到的部分进行检视的责任。</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56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8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p>
      <w:pPr>
        <w:spacing w:line="520" w:lineRule="exact"/>
        <w:rPr>
          <w:rFonts w:ascii="宋体" w:hAnsi="宋体"/>
          <w:color w:val="000000"/>
          <w:sz w:val="28"/>
          <w:szCs w:val="28"/>
        </w:rPr>
      </w:pPr>
    </w:p>
    <w:p>
      <w:pPr>
        <w:spacing w:line="560" w:lineRule="exact"/>
        <w:ind w:firstLine="570"/>
        <w:jc w:val="center"/>
        <w:rPr>
          <w:rFonts w:ascii="宋体" w:hAnsi="宋体"/>
          <w:color w:val="000000"/>
          <w:sz w:val="28"/>
          <w:szCs w:val="28"/>
        </w:rPr>
      </w:pPr>
      <w:r>
        <w:rPr>
          <w:rFonts w:hint="eastAsia" w:ascii="宋体" w:hAnsi="宋体"/>
          <w:color w:val="000000"/>
          <w:sz w:val="28"/>
          <w:szCs w:val="28"/>
        </w:rPr>
        <w:t xml:space="preserve">马骕骅（注册号：4120200265） </w:t>
      </w:r>
      <w:r>
        <w:rPr>
          <w:rFonts w:ascii="宋体" w:hAnsi="宋体"/>
          <w:color w:val="000000"/>
          <w:sz w:val="28"/>
          <w:szCs w:val="28"/>
        </w:rPr>
        <w:t xml:space="preserve">    </w:t>
      </w:r>
      <w:r>
        <w:rPr>
          <w:rFonts w:hint="eastAsia" w:ascii="宋体" w:hAnsi="宋体"/>
          <w:color w:val="000000"/>
          <w:sz w:val="28"/>
          <w:szCs w:val="28"/>
        </w:rPr>
        <w:t>张增坤（注册号：3720190070）</w:t>
      </w:r>
      <w:r>
        <w:rPr>
          <w:rFonts w:hint="eastAsia" w:ascii="宋体" w:hAnsi="宋体"/>
          <w:b/>
          <w:sz w:val="36"/>
          <w:szCs w:val="36"/>
          <w:lang w:val="zh-CN"/>
        </w:rPr>
        <w:br w:type="page"/>
      </w:r>
    </w:p>
    <w:p>
      <w:pPr>
        <w:spacing w:line="560" w:lineRule="exact"/>
        <w:jc w:val="center"/>
        <w:rPr>
          <w:sz w:val="28"/>
        </w:rPr>
      </w:pPr>
      <w:r>
        <w:rPr>
          <w:rFonts w:hint="eastAsia" w:ascii="宋体" w:hAnsi="宋体"/>
          <w:b/>
          <w:sz w:val="36"/>
          <w:szCs w:val="36"/>
          <w:lang w:val="zh-CN"/>
        </w:rPr>
        <w:t>估价假设和限制条件</w:t>
      </w:r>
    </w:p>
    <w:p>
      <w:pPr>
        <w:pStyle w:val="58"/>
        <w:numPr>
          <w:ilvl w:val="0"/>
          <w:numId w:val="1"/>
        </w:numPr>
        <w:spacing w:line="54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（1）估价委托人提供了估价对象的房地产权登记信息（独幢、层、套、间房屋）复印件，在无理由怀疑其合法性、真实性、准确性和完整性的情况下，假定估价委托人提供的资料合法、真实、准确、完整。</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（3）注册房地产估价师未对房屋建筑面积进行专业测量，本次评估以房地产权登记信息（独幢、层、套、间房屋）记载建筑面积为准。</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（5）注册房地产估价师已对估价对象被迫转让及处置后被执行人不自愿配合交付因素对估价结果的不利影响给予了关注。</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（6）估价对象在价值时点的房地产市场为公开、平等、自愿的交易市场，即能满足以下条件：</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（7）估价对象为整体房地产中（棉麻公司家属院8号楼）的一部分，估价对象享有公共部位的通行权及水电等共用设施的使用权。</w:t>
      </w:r>
    </w:p>
    <w:p>
      <w:pPr>
        <w:spacing w:line="540" w:lineRule="exact"/>
        <w:ind w:firstLine="420" w:firstLineChars="150"/>
        <w:rPr>
          <w:rFonts w:ascii="宋体" w:hAnsi="宋体" w:cs="宋体"/>
          <w:sz w:val="28"/>
          <w:szCs w:val="28"/>
        </w:rPr>
      </w:pPr>
      <w:r>
        <w:rPr>
          <w:rFonts w:hint="eastAsia" w:ascii="宋体" w:hAnsi="宋体"/>
          <w:color w:val="000000"/>
          <w:sz w:val="28"/>
          <w:szCs w:val="28"/>
        </w:rPr>
        <w:t>（8）</w:t>
      </w:r>
      <w:r>
        <w:rPr>
          <w:rFonts w:hint="eastAsia" w:ascii="宋体" w:hAnsi="宋体" w:cs="宋体"/>
          <w:sz w:val="28"/>
          <w:szCs w:val="28"/>
        </w:rPr>
        <w:t>估价委托人未提供相关拖欠税费、物业费、供暖费、水电气费等资料，本次评估不考虑其对价值的影响，请报告使用人注意。</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无未定事项假设</w:t>
      </w:r>
      <w:r>
        <w:rPr>
          <w:rFonts w:ascii="宋体" w:hAnsi="宋体"/>
          <w:color w:val="000000"/>
          <w:sz w:val="28"/>
          <w:szCs w:val="28"/>
        </w:rPr>
        <w:t>。</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（1）本次评估未考虑估价对象抵押、查封以及原有担保物权和其他优先受偿权对价值的影响。</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无不相一致假设。</w:t>
      </w:r>
    </w:p>
    <w:p>
      <w:pPr>
        <w:spacing w:line="540" w:lineRule="exact"/>
        <w:ind w:firstLine="560" w:firstLineChars="200"/>
        <w:rPr>
          <w:rFonts w:ascii="宋体" w:hAnsi="宋体"/>
          <w:sz w:val="28"/>
          <w:szCs w:val="28"/>
        </w:rPr>
      </w:pPr>
      <w:r>
        <w:rPr>
          <w:rFonts w:hint="eastAsia" w:ascii="宋体" w:hAnsi="宋体"/>
          <w:sz w:val="28"/>
          <w:szCs w:val="28"/>
        </w:rPr>
        <w:t>5、依据不足假设</w:t>
      </w:r>
    </w:p>
    <w:p>
      <w:pPr>
        <w:spacing w:line="540" w:lineRule="exact"/>
        <w:ind w:firstLine="420" w:firstLineChars="150"/>
        <w:rPr>
          <w:rFonts w:ascii="宋体" w:hAnsi="宋体" w:cs="宋体"/>
          <w:sz w:val="28"/>
          <w:szCs w:val="28"/>
        </w:rPr>
      </w:pPr>
      <w:r>
        <w:rPr>
          <w:rFonts w:hint="eastAsia" w:ascii="宋体" w:hAnsi="宋体" w:cs="宋体"/>
          <w:sz w:val="28"/>
          <w:szCs w:val="28"/>
        </w:rPr>
        <w:t>（1）估价委托人未提供</w:t>
      </w:r>
      <w:r>
        <w:rPr>
          <w:rFonts w:ascii="宋体" w:hAnsi="宋体" w:cs="宋体"/>
          <w:sz w:val="28"/>
          <w:szCs w:val="28"/>
        </w:rPr>
        <w:t>估价对象</w:t>
      </w:r>
      <w:r>
        <w:rPr>
          <w:rFonts w:hint="eastAsia" w:ascii="宋体" w:hAnsi="宋体" w:cs="宋体"/>
          <w:sz w:val="28"/>
          <w:szCs w:val="28"/>
        </w:rPr>
        <w:t>不动产权证</w:t>
      </w:r>
      <w:r>
        <w:rPr>
          <w:rFonts w:ascii="宋体" w:hAnsi="宋体" w:cs="宋体"/>
          <w:sz w:val="28"/>
          <w:szCs w:val="28"/>
        </w:rPr>
        <w:t>原件</w:t>
      </w:r>
      <w:r>
        <w:rPr>
          <w:rFonts w:hint="eastAsia" w:ascii="宋体" w:hAnsi="宋体" w:cs="宋体"/>
          <w:sz w:val="28"/>
          <w:szCs w:val="28"/>
        </w:rPr>
        <w:t>供</w:t>
      </w:r>
      <w:r>
        <w:rPr>
          <w:rFonts w:ascii="宋体" w:hAnsi="宋体" w:cs="宋体"/>
          <w:sz w:val="28"/>
          <w:szCs w:val="28"/>
        </w:rPr>
        <w:t>估价人员核查，本次评估估价数据来源于估价委托人提供的</w:t>
      </w:r>
      <w:r>
        <w:rPr>
          <w:rFonts w:hint="eastAsia" w:ascii="宋体" w:hAnsi="宋体"/>
          <w:color w:val="000000"/>
          <w:sz w:val="28"/>
          <w:szCs w:val="28"/>
        </w:rPr>
        <w:t>房地产权登记信息（独幢、层、套、间房屋）</w:t>
      </w:r>
      <w:r>
        <w:rPr>
          <w:rFonts w:hint="eastAsia" w:ascii="宋体" w:hAnsi="宋体"/>
          <w:sz w:val="28"/>
        </w:rPr>
        <w:t>复印件，本次评估假定</w:t>
      </w:r>
      <w:r>
        <w:rPr>
          <w:rFonts w:hint="eastAsia" w:ascii="宋体" w:hAnsi="宋体"/>
          <w:color w:val="000000"/>
          <w:sz w:val="28"/>
          <w:szCs w:val="28"/>
        </w:rPr>
        <w:t>房地产权登记信息（独幢、层、套、间房屋）</w:t>
      </w:r>
      <w:r>
        <w:rPr>
          <w:rFonts w:hint="eastAsia" w:ascii="宋体" w:hAnsi="宋体"/>
          <w:sz w:val="28"/>
        </w:rPr>
        <w:t>复印件</w:t>
      </w:r>
      <w:r>
        <w:rPr>
          <w:rFonts w:hint="eastAsia" w:ascii="宋体" w:hAnsi="宋体" w:cs="宋体"/>
          <w:color w:val="000000"/>
          <w:sz w:val="28"/>
          <w:lang w:val="zh-CN"/>
        </w:rPr>
        <w:t>与</w:t>
      </w:r>
      <w:r>
        <w:rPr>
          <w:rFonts w:hint="eastAsia" w:ascii="宋体" w:hAnsi="宋体" w:cs="宋体"/>
          <w:sz w:val="28"/>
          <w:szCs w:val="28"/>
        </w:rPr>
        <w:t>不动产权证原件相一致。</w:t>
      </w:r>
    </w:p>
    <w:p>
      <w:pPr>
        <w:spacing w:line="540" w:lineRule="exact"/>
        <w:ind w:firstLine="420" w:firstLineChars="150"/>
        <w:rPr>
          <w:rFonts w:ascii="宋体" w:hAnsi="宋体" w:cs="宋体"/>
          <w:sz w:val="28"/>
          <w:szCs w:val="28"/>
        </w:rPr>
      </w:pPr>
      <w:r>
        <w:rPr>
          <w:rFonts w:hint="eastAsia" w:ascii="宋体" w:hAnsi="宋体" w:cs="宋体"/>
          <w:sz w:val="28"/>
          <w:szCs w:val="28"/>
        </w:rPr>
        <w:t>（2）因当事人原因，注册房地产估价师未能进入估价对象内部进行查勘，本次评估假定估价对象内部为简单装修，请报告使用人注意。</w:t>
      </w:r>
    </w:p>
    <w:p>
      <w:pPr>
        <w:spacing w:line="54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hint="eastAsia" w:ascii="宋体" w:hAnsi="宋体"/>
          <w:sz w:val="28"/>
          <w:szCs w:val="28"/>
        </w:rPr>
        <w:t>若使用本估价结果的时间与报告出具之日起相差一年以上，我公司对应用此结果造成的损失不负任何责任。</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8）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pPr>
        <w:tabs>
          <w:tab w:val="left" w:pos="8265"/>
        </w:tabs>
        <w:spacing w:line="540" w:lineRule="exact"/>
        <w:ind w:firstLine="420" w:firstLineChars="150"/>
        <w:rPr>
          <w:rFonts w:ascii="宋体" w:hAnsi="宋体"/>
          <w:color w:val="000000"/>
          <w:sz w:val="28"/>
          <w:szCs w:val="28"/>
        </w:rPr>
      </w:pPr>
    </w:p>
    <w:p>
      <w:pPr>
        <w:tabs>
          <w:tab w:val="left" w:pos="8265"/>
        </w:tabs>
        <w:spacing w:line="540" w:lineRule="exact"/>
        <w:rPr>
          <w:rFonts w:ascii="宋体" w:hAnsi="宋体"/>
          <w:color w:val="000000"/>
          <w:sz w:val="36"/>
        </w:rPr>
      </w:pPr>
    </w:p>
    <w:p>
      <w:pPr>
        <w:tabs>
          <w:tab w:val="left" w:pos="8265"/>
        </w:tabs>
        <w:spacing w:line="540" w:lineRule="exact"/>
        <w:rPr>
          <w:rFonts w:ascii="宋体" w:hAnsi="宋体"/>
          <w:color w:val="000000"/>
          <w:sz w:val="36"/>
        </w:rPr>
      </w:pPr>
    </w:p>
    <w:p>
      <w:pPr>
        <w:tabs>
          <w:tab w:val="left" w:pos="8265"/>
        </w:tabs>
        <w:spacing w:line="540" w:lineRule="exact"/>
        <w:rPr>
          <w:rFonts w:ascii="宋体" w:hAnsi="宋体"/>
          <w:color w:val="000000"/>
          <w:sz w:val="36"/>
        </w:rPr>
      </w:pPr>
    </w:p>
    <w:p>
      <w:pPr>
        <w:tabs>
          <w:tab w:val="left" w:pos="8265"/>
        </w:tabs>
        <w:spacing w:line="540" w:lineRule="exact"/>
        <w:rPr>
          <w:rFonts w:ascii="宋体" w:hAnsi="宋体"/>
          <w:color w:val="000000"/>
          <w:sz w:val="36"/>
        </w:rPr>
      </w:pPr>
    </w:p>
    <w:p>
      <w:pPr>
        <w:rPr>
          <w:b/>
        </w:rPr>
      </w:pPr>
      <w:bookmarkStart w:id="6" w:name="_Toc55921664"/>
      <w:bookmarkStart w:id="7" w:name="_Toc24121732"/>
      <w:bookmarkStart w:id="8" w:name="_Toc16234434"/>
      <w:bookmarkStart w:id="9" w:name="_Toc27736461"/>
      <w:bookmarkStart w:id="10" w:name="_Toc17471985"/>
      <w:bookmarkStart w:id="11" w:name="_Toc19087053"/>
      <w:bookmarkStart w:id="12" w:name="_Toc17471954"/>
      <w:bookmarkStart w:id="13" w:name="_Toc16234172"/>
      <w:bookmarkStart w:id="14" w:name="_Toc28941829"/>
      <w:r>
        <w:rPr>
          <w:rFonts w:hint="eastAsia"/>
          <w:b/>
        </w:rPr>
        <w:br w:type="page"/>
      </w:r>
    </w:p>
    <w:p>
      <w:pPr>
        <w:pStyle w:val="2"/>
        <w:spacing w:line="560" w:lineRule="atLeast"/>
        <w:rPr>
          <w:b/>
          <w:sz w:val="28"/>
        </w:rPr>
      </w:pPr>
      <w:r>
        <w:rPr>
          <w:rFonts w:hint="eastAsia"/>
          <w:b/>
        </w:rPr>
        <w:t>估 价 结 果 报 告</w:t>
      </w:r>
      <w:bookmarkEnd w:id="6"/>
    </w:p>
    <w:p>
      <w:pPr>
        <w:snapToGrid w:val="0"/>
        <w:spacing w:line="560" w:lineRule="atLeast"/>
        <w:ind w:firstLine="594" w:firstLineChars="200"/>
        <w:rPr>
          <w:rFonts w:ascii="宋体" w:hAnsi="宋体"/>
          <w:bCs/>
          <w:color w:val="000000"/>
          <w:sz w:val="28"/>
        </w:rPr>
      </w:pPr>
      <w:bookmarkStart w:id="15" w:name="_Toc55921665"/>
      <w:r>
        <w:rPr>
          <w:rStyle w:val="48"/>
          <w:rFonts w:hint="eastAsia"/>
        </w:rPr>
        <w:t>一、估价委托人</w:t>
      </w:r>
      <w:bookmarkEnd w:id="7"/>
      <w:bookmarkEnd w:id="8"/>
      <w:bookmarkEnd w:id="9"/>
      <w:bookmarkEnd w:id="10"/>
      <w:bookmarkEnd w:id="11"/>
      <w:bookmarkEnd w:id="12"/>
      <w:bookmarkEnd w:id="13"/>
      <w:bookmarkEnd w:id="14"/>
      <w:bookmarkEnd w:id="15"/>
      <w:r>
        <w:rPr>
          <w:rFonts w:hint="eastAsia" w:ascii="宋体" w:hAnsi="宋体"/>
          <w:b/>
          <w:bCs/>
          <w:color w:val="000000"/>
          <w:sz w:val="28"/>
        </w:rPr>
        <w:t>:</w:t>
      </w:r>
    </w:p>
    <w:p>
      <w:pPr>
        <w:pStyle w:val="7"/>
        <w:tabs>
          <w:tab w:val="center" w:pos="4815"/>
        </w:tabs>
        <w:spacing w:line="560" w:lineRule="atLeast"/>
        <w:ind w:firstLine="560" w:firstLineChars="200"/>
        <w:rPr>
          <w:rFonts w:ascii="宋体" w:hAnsi="宋体" w:eastAsia="宋体"/>
          <w:bCs/>
        </w:rPr>
      </w:pPr>
      <w:bookmarkStart w:id="16" w:name="_Toc19087054"/>
      <w:bookmarkStart w:id="17" w:name="_Toc24121733"/>
      <w:bookmarkStart w:id="18" w:name="_Toc27736462"/>
      <w:bookmarkStart w:id="19" w:name="_Toc28941830"/>
      <w:bookmarkStart w:id="20" w:name="_Toc17471955"/>
      <w:bookmarkStart w:id="21" w:name="_Toc16234173"/>
      <w:bookmarkStart w:id="22" w:name="_Toc17471986"/>
      <w:bookmarkStart w:id="23" w:name="_Toc55921666"/>
      <w:bookmarkStart w:id="24" w:name="_Toc16234435"/>
      <w:r>
        <w:rPr>
          <w:rFonts w:hint="eastAsia" w:ascii="宋体" w:hAnsi="宋体" w:eastAsia="宋体"/>
          <w:bCs/>
        </w:rPr>
        <w:t>估价委托人：高唐县人民法院</w:t>
      </w:r>
    </w:p>
    <w:p>
      <w:pPr>
        <w:pStyle w:val="7"/>
        <w:tabs>
          <w:tab w:val="center" w:pos="4815"/>
        </w:tabs>
        <w:spacing w:line="560" w:lineRule="atLeast"/>
        <w:ind w:firstLine="560" w:firstLineChars="200"/>
        <w:rPr>
          <w:rFonts w:hint="eastAsia" w:ascii="宋体" w:hAnsi="宋体" w:eastAsia="宋体"/>
          <w:bCs/>
        </w:rPr>
      </w:pPr>
      <w:r>
        <w:rPr>
          <w:rFonts w:hint="eastAsia" w:ascii="宋体" w:hAnsi="宋体" w:eastAsia="宋体"/>
          <w:bCs/>
        </w:rPr>
        <w:t>地址：</w:t>
      </w:r>
      <w:r>
        <w:rPr>
          <w:rFonts w:ascii="宋体" w:hAnsi="宋体" w:eastAsia="宋体"/>
          <w:bCs/>
        </w:rPr>
        <w:t>山东省聊城市高唐县政通路人民政府大楼东</w:t>
      </w:r>
    </w:p>
    <w:p>
      <w:pPr>
        <w:pStyle w:val="7"/>
        <w:tabs>
          <w:tab w:val="center" w:pos="4815"/>
        </w:tabs>
        <w:spacing w:line="560" w:lineRule="atLeast"/>
        <w:ind w:firstLine="560" w:firstLineChars="200"/>
        <w:rPr>
          <w:rFonts w:hint="eastAsia" w:ascii="宋体" w:hAnsi="宋体" w:eastAsia="宋体"/>
          <w:bCs/>
        </w:rPr>
      </w:pPr>
      <w:r>
        <w:rPr>
          <w:rFonts w:hint="eastAsia" w:ascii="宋体" w:hAnsi="宋体" w:eastAsia="宋体"/>
          <w:bCs/>
        </w:rPr>
        <w:t>联系人：</w:t>
      </w:r>
      <w:r>
        <w:rPr>
          <w:rFonts w:ascii="宋体" w:hAnsi="宋体" w:eastAsia="宋体"/>
          <w:bCs/>
        </w:rPr>
        <w:t>相法官</w:t>
      </w:r>
    </w:p>
    <w:p>
      <w:pPr>
        <w:pStyle w:val="7"/>
        <w:tabs>
          <w:tab w:val="center" w:pos="4815"/>
        </w:tabs>
        <w:spacing w:line="560" w:lineRule="atLeast"/>
        <w:ind w:firstLine="594" w:firstLineChars="200"/>
        <w:rPr>
          <w:rFonts w:ascii="宋体" w:hAnsi="宋体"/>
          <w:color w:val="000000"/>
        </w:rPr>
      </w:pPr>
      <w:r>
        <w:rPr>
          <w:rStyle w:val="48"/>
          <w:rFonts w:hint="eastAsia"/>
        </w:rPr>
        <w:t>二、房地产估价机构</w:t>
      </w:r>
      <w:bookmarkEnd w:id="16"/>
      <w:bookmarkEnd w:id="17"/>
      <w:bookmarkEnd w:id="18"/>
      <w:bookmarkEnd w:id="19"/>
      <w:bookmarkEnd w:id="20"/>
      <w:bookmarkEnd w:id="21"/>
      <w:bookmarkEnd w:id="22"/>
      <w:bookmarkEnd w:id="23"/>
      <w:bookmarkEnd w:id="24"/>
      <w:r>
        <w:rPr>
          <w:rFonts w:hint="eastAsia" w:ascii="宋体" w:hAnsi="宋体"/>
          <w:b/>
          <w:bCs/>
          <w:color w:val="000000"/>
        </w:rPr>
        <w:t>：</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机构名称：山东成达土地房地产资产评估测绘有限公司</w:t>
      </w:r>
    </w:p>
    <w:p>
      <w:pPr>
        <w:pStyle w:val="7"/>
        <w:tabs>
          <w:tab w:val="center" w:pos="4815"/>
        </w:tabs>
        <w:snapToGrid w:val="0"/>
        <w:spacing w:line="560" w:lineRule="atLeast"/>
        <w:ind w:left="420" w:leftChars="200" w:firstLine="140" w:firstLineChars="50"/>
        <w:rPr>
          <w:rFonts w:ascii="宋体" w:hAnsi="宋体" w:eastAsia="宋体"/>
          <w:bCs/>
          <w:color w:val="000000"/>
        </w:rPr>
      </w:pPr>
      <w:r>
        <w:rPr>
          <w:rFonts w:hint="eastAsia" w:ascii="宋体" w:hAnsi="宋体" w:eastAsia="宋体"/>
          <w:bCs/>
          <w:color w:val="000000"/>
        </w:rPr>
        <w:t>住  所：中国（山东）自由贸易试验区济南片区新泺大街2117号铭盛大厦1618室</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统一社会信用代码：91370800750883682G</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备案证书编号：鲁评091012</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备案资质等级：壹级</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备案证书有效期限：2020年5月7日</w:t>
      </w:r>
      <w:r>
        <w:rPr>
          <w:rFonts w:ascii="宋体" w:hAnsi="宋体" w:eastAsia="宋体"/>
          <w:bCs/>
          <w:color w:val="000000"/>
        </w:rPr>
        <w:t>至</w:t>
      </w:r>
      <w:r>
        <w:rPr>
          <w:rFonts w:hint="eastAsia" w:ascii="宋体" w:hAnsi="宋体" w:eastAsia="宋体"/>
          <w:bCs/>
          <w:color w:val="000000"/>
        </w:rPr>
        <w:t>2023年5月6日</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法定代表人：程新军</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联 系 人：林经理</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电    话：0531-82998556</w:t>
      </w:r>
    </w:p>
    <w:p>
      <w:pPr>
        <w:pStyle w:val="7"/>
        <w:tabs>
          <w:tab w:val="center" w:pos="4815"/>
        </w:tabs>
        <w:snapToGrid w:val="0"/>
        <w:spacing w:line="560" w:lineRule="atLeast"/>
        <w:ind w:firstLine="594" w:firstLineChars="200"/>
        <w:rPr>
          <w:rFonts w:ascii="宋体" w:hAnsi="宋体" w:eastAsia="宋体"/>
          <w:b/>
          <w:color w:val="000000"/>
        </w:rPr>
      </w:pPr>
      <w:bookmarkStart w:id="25" w:name="_Toc28941831"/>
      <w:bookmarkStart w:id="26" w:name="_Toc16234174"/>
      <w:bookmarkStart w:id="27" w:name="_Toc16234436"/>
      <w:bookmarkStart w:id="28" w:name="_Toc17471987"/>
      <w:bookmarkStart w:id="29" w:name="_Toc24121734"/>
      <w:bookmarkStart w:id="30" w:name="_Toc55921667"/>
      <w:bookmarkStart w:id="31" w:name="_Toc17471956"/>
      <w:bookmarkStart w:id="32" w:name="_Toc27736463"/>
      <w:bookmarkStart w:id="33" w:name="_Toc19087055"/>
      <w:r>
        <w:rPr>
          <w:rStyle w:val="48"/>
          <w:rFonts w:hint="eastAsia"/>
        </w:rPr>
        <w:t>三、估价目的</w:t>
      </w:r>
      <w:bookmarkEnd w:id="25"/>
      <w:bookmarkEnd w:id="26"/>
      <w:bookmarkEnd w:id="27"/>
      <w:bookmarkEnd w:id="28"/>
      <w:bookmarkEnd w:id="29"/>
      <w:bookmarkEnd w:id="30"/>
      <w:bookmarkEnd w:id="31"/>
      <w:bookmarkEnd w:id="32"/>
      <w:bookmarkEnd w:id="33"/>
      <w:r>
        <w:rPr>
          <w:rFonts w:hint="eastAsia" w:ascii="宋体" w:hAnsi="宋体" w:eastAsia="宋体"/>
          <w:b/>
          <w:color w:val="000000"/>
        </w:rPr>
        <w:t>：</w:t>
      </w:r>
      <w:r>
        <w:rPr>
          <w:rFonts w:hint="eastAsia" w:ascii="宋体" w:hAnsi="宋体" w:eastAsia="宋体"/>
          <w:bCs/>
          <w:color w:val="000000"/>
        </w:rPr>
        <w:t>为高唐县人民法院确定财产处置参考价提供参考依据。</w:t>
      </w:r>
    </w:p>
    <w:p>
      <w:pPr>
        <w:pStyle w:val="7"/>
        <w:snapToGrid w:val="0"/>
        <w:spacing w:line="560" w:lineRule="atLeast"/>
        <w:ind w:firstLine="582" w:firstLineChars="196"/>
        <w:rPr>
          <w:rFonts w:ascii="宋体" w:hAnsi="宋体" w:eastAsia="宋体"/>
          <w:b/>
          <w:color w:val="000000"/>
        </w:rPr>
      </w:pPr>
      <w:bookmarkStart w:id="34" w:name="_Toc16234175"/>
      <w:bookmarkStart w:id="35" w:name="_Toc19087056"/>
      <w:bookmarkStart w:id="36" w:name="_Toc28941832"/>
      <w:bookmarkStart w:id="37" w:name="_Toc55921668"/>
      <w:bookmarkStart w:id="38" w:name="_Toc24121735"/>
      <w:bookmarkStart w:id="39" w:name="_Toc16234437"/>
      <w:bookmarkStart w:id="40" w:name="_Toc17471988"/>
      <w:bookmarkStart w:id="41" w:name="_Toc17471957"/>
      <w:bookmarkStart w:id="42" w:name="_Toc27736464"/>
      <w:r>
        <w:rPr>
          <w:rStyle w:val="48"/>
          <w:rFonts w:hint="eastAsia"/>
        </w:rPr>
        <w:t>四、估价对象</w:t>
      </w:r>
      <w:bookmarkEnd w:id="34"/>
      <w:bookmarkEnd w:id="35"/>
      <w:bookmarkEnd w:id="36"/>
      <w:bookmarkEnd w:id="37"/>
      <w:bookmarkEnd w:id="38"/>
      <w:bookmarkEnd w:id="39"/>
      <w:bookmarkEnd w:id="40"/>
      <w:bookmarkEnd w:id="41"/>
      <w:bookmarkEnd w:id="42"/>
      <w:r>
        <w:rPr>
          <w:rFonts w:hint="eastAsia" w:ascii="宋体" w:hAnsi="宋体" w:eastAsia="宋体"/>
          <w:b/>
          <w:color w:val="000000"/>
        </w:rPr>
        <w:t>：</w:t>
      </w:r>
    </w:p>
    <w:p>
      <w:pPr>
        <w:pStyle w:val="7"/>
        <w:snapToGrid w:val="0"/>
        <w:spacing w:line="560" w:lineRule="atLeast"/>
        <w:ind w:firstLine="422" w:firstLineChars="150"/>
        <w:rPr>
          <w:rFonts w:ascii="宋体" w:hAnsi="宋体" w:eastAsia="宋体"/>
          <w:b/>
          <w:color w:val="000000"/>
        </w:rPr>
      </w:pPr>
      <w:r>
        <w:rPr>
          <w:rFonts w:hint="eastAsia" w:ascii="宋体" w:hAnsi="宋体" w:eastAsia="宋体"/>
          <w:b/>
          <w:color w:val="000000"/>
        </w:rPr>
        <w:t>（一）估价对象及其范围：</w:t>
      </w:r>
    </w:p>
    <w:p>
      <w:pPr>
        <w:snapToGrid w:val="0"/>
        <w:spacing w:line="560" w:lineRule="atLeast"/>
        <w:ind w:firstLine="560" w:firstLineChars="200"/>
        <w:rPr>
          <w:rFonts w:ascii="宋体" w:hAnsi="宋体"/>
          <w:sz w:val="28"/>
        </w:rPr>
      </w:pPr>
      <w:r>
        <w:rPr>
          <w:rFonts w:hint="eastAsia" w:ascii="宋体" w:hAnsi="宋体" w:cs="宋体"/>
          <w:color w:val="000000"/>
          <w:sz w:val="28"/>
          <w:lang w:val="zh-CN"/>
        </w:rPr>
        <w:t>估价对象</w:t>
      </w:r>
      <w:r>
        <w:rPr>
          <w:rFonts w:ascii="宋体" w:hAnsi="宋体" w:cs="宋体"/>
          <w:color w:val="000000"/>
          <w:sz w:val="28"/>
          <w:lang w:val="zh-CN"/>
        </w:rPr>
        <w:t>财产</w:t>
      </w:r>
      <w:r>
        <w:rPr>
          <w:rFonts w:hint="eastAsia" w:ascii="宋体" w:hAnsi="宋体" w:cs="宋体"/>
          <w:color w:val="000000"/>
          <w:sz w:val="28"/>
          <w:lang w:val="zh-CN"/>
        </w:rPr>
        <w:t>范围为</w:t>
      </w:r>
      <w:r>
        <w:rPr>
          <w:rFonts w:hint="eastAsia" w:ascii="宋体" w:hAnsi="宋体" w:cs="宋体"/>
          <w:color w:val="000000"/>
          <w:sz w:val="28"/>
        </w:rPr>
        <w:t>高唐县金城东路南侧棉麻公司家属院8号楼3单元401室住宅、配房</w:t>
      </w:r>
      <w:r>
        <w:rPr>
          <w:rFonts w:hint="eastAsia" w:ascii="宋体" w:hAnsi="宋体" w:cs="宋体"/>
          <w:color w:val="000000"/>
          <w:sz w:val="28"/>
          <w:lang w:val="zh-CN"/>
        </w:rPr>
        <w:t>及依法分摊的国有土地，</w:t>
      </w:r>
      <w:r>
        <w:rPr>
          <w:rFonts w:hint="eastAsia" w:ascii="宋体" w:hAnsi="宋体" w:cs="宋体"/>
          <w:color w:val="000000"/>
          <w:sz w:val="28"/>
        </w:rPr>
        <w:t>不包</w:t>
      </w:r>
      <w:r>
        <w:rPr>
          <w:rFonts w:hint="eastAsia" w:ascii="宋体" w:hAnsi="宋体" w:cs="宋体"/>
          <w:color w:val="000000"/>
          <w:sz w:val="28"/>
          <w:lang w:val="zh-CN"/>
        </w:rPr>
        <w:t>含依附于估价对象的装饰装修及设施设备，</w:t>
      </w:r>
      <w:r>
        <w:rPr>
          <w:rFonts w:hint="eastAsia" w:ascii="宋体" w:hAnsi="宋体"/>
          <w:sz w:val="28"/>
        </w:rPr>
        <w:t>财产范围不包括家电、家具等动产，也不包括债权债务、特许经营权等其他财产或权益。</w:t>
      </w:r>
    </w:p>
    <w:p>
      <w:pPr>
        <w:pStyle w:val="7"/>
        <w:snapToGrid w:val="0"/>
        <w:spacing w:line="560" w:lineRule="atLeast"/>
        <w:ind w:firstLine="422" w:firstLineChars="150"/>
        <w:rPr>
          <w:rFonts w:asciiTheme="majorEastAsia" w:hAnsiTheme="majorEastAsia" w:eastAsiaTheme="majorEastAsia"/>
          <w:b/>
          <w:color w:val="000000"/>
        </w:rPr>
      </w:pPr>
      <w:r>
        <w:rPr>
          <w:rFonts w:hint="eastAsia" w:asciiTheme="majorEastAsia" w:hAnsiTheme="majorEastAsia" w:eastAsiaTheme="majorEastAsia"/>
          <w:b/>
          <w:color w:val="000000"/>
        </w:rPr>
        <w:t>（二）</w:t>
      </w:r>
      <w:r>
        <w:rPr>
          <w:rFonts w:cs="宋体" w:asciiTheme="majorEastAsia" w:hAnsiTheme="majorEastAsia" w:eastAsiaTheme="majorEastAsia"/>
          <w:b/>
          <w:color w:val="000000"/>
          <w:lang w:val="zh-CN"/>
        </w:rPr>
        <w:t>估价对象</w:t>
      </w:r>
      <w:r>
        <w:rPr>
          <w:rFonts w:hint="eastAsia" w:cs="宋体" w:asciiTheme="majorEastAsia" w:hAnsiTheme="majorEastAsia" w:eastAsiaTheme="majorEastAsia"/>
          <w:b/>
          <w:color w:val="000000"/>
          <w:lang w:val="zh-CN"/>
        </w:rPr>
        <w:t>基本</w:t>
      </w:r>
      <w:r>
        <w:rPr>
          <w:rFonts w:cs="宋体" w:asciiTheme="majorEastAsia" w:hAnsiTheme="majorEastAsia" w:eastAsiaTheme="majorEastAsia"/>
          <w:b/>
          <w:color w:val="000000"/>
          <w:lang w:val="zh-CN"/>
        </w:rPr>
        <w:t>状况</w:t>
      </w:r>
      <w:r>
        <w:rPr>
          <w:rFonts w:hint="eastAsia" w:asciiTheme="majorEastAsia" w:hAnsiTheme="majorEastAsia" w:eastAsiaTheme="majorEastAsia"/>
          <w:b/>
          <w:color w:val="000000"/>
        </w:rPr>
        <w:t>：</w:t>
      </w:r>
    </w:p>
    <w:p>
      <w:pPr>
        <w:snapToGrid w:val="0"/>
        <w:spacing w:line="560" w:lineRule="atLeast"/>
        <w:ind w:firstLine="560" w:firstLineChars="200"/>
        <w:rPr>
          <w:rFonts w:ascii="宋体" w:hAnsi="宋体" w:cs="宋体"/>
          <w:color w:val="000000"/>
          <w:sz w:val="28"/>
          <w:lang w:val="zh-CN"/>
        </w:rPr>
      </w:pPr>
      <w:r>
        <w:rPr>
          <w:rFonts w:hint="eastAsia" w:ascii="宋体" w:hAnsi="宋体" w:cs="宋体"/>
          <w:color w:val="000000"/>
          <w:sz w:val="28"/>
          <w:lang w:val="zh-CN"/>
        </w:rPr>
        <w:t>1、名称：</w:t>
      </w:r>
      <w:r>
        <w:rPr>
          <w:rFonts w:hint="eastAsia" w:ascii="宋体" w:hAnsi="宋体" w:cs="宋体"/>
          <w:color w:val="000000"/>
          <w:sz w:val="28"/>
        </w:rPr>
        <w:t>郭艳平、张焕玲名下</w:t>
      </w:r>
      <w:r>
        <w:rPr>
          <w:rFonts w:hint="eastAsia" w:ascii="宋体" w:hAnsi="宋体"/>
          <w:color w:val="000000"/>
          <w:sz w:val="28"/>
        </w:rPr>
        <w:t>位于高唐县</w:t>
      </w:r>
      <w:r>
        <w:rPr>
          <w:rFonts w:hint="eastAsia" w:ascii="宋体" w:hAnsi="宋体" w:cs="宋体"/>
          <w:color w:val="000000"/>
          <w:sz w:val="28"/>
        </w:rPr>
        <w:t>金城东路南侧棉麻公司家属院8号楼3单元401室住宅、配房</w:t>
      </w:r>
      <w:r>
        <w:rPr>
          <w:rFonts w:hint="eastAsia" w:ascii="宋体" w:hAnsi="宋体" w:cs="宋体"/>
          <w:color w:val="000000"/>
          <w:sz w:val="28"/>
          <w:lang w:val="zh-CN"/>
        </w:rPr>
        <w:t>及依法分摊的国有土地。</w:t>
      </w:r>
    </w:p>
    <w:p>
      <w:pPr>
        <w:snapToGrid w:val="0"/>
        <w:spacing w:line="560" w:lineRule="atLeast"/>
        <w:ind w:firstLine="560" w:firstLineChars="200"/>
        <w:rPr>
          <w:rFonts w:ascii="宋体" w:hAnsi="宋体" w:cs="宋体"/>
          <w:color w:val="000000"/>
          <w:sz w:val="28"/>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color w:val="000000"/>
          <w:sz w:val="28"/>
        </w:rPr>
        <w:t>高唐县</w:t>
      </w:r>
      <w:r>
        <w:rPr>
          <w:rFonts w:hint="eastAsia" w:ascii="宋体" w:hAnsi="宋体" w:cs="宋体"/>
          <w:color w:val="000000"/>
          <w:sz w:val="28"/>
        </w:rPr>
        <w:t>金城东路南侧棉麻公司家属院8号楼3单元401室。</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w:t>
      </w:r>
      <w:r>
        <w:rPr>
          <w:rFonts w:hint="eastAsia" w:ascii="宋体" w:hAnsi="宋体" w:cs="宋体"/>
          <w:color w:val="000000"/>
          <w:sz w:val="28"/>
        </w:rPr>
        <w:t>住宅</w:t>
      </w:r>
      <w:r>
        <w:rPr>
          <w:rFonts w:hint="eastAsia" w:ascii="宋体" w:hAnsi="宋体" w:cs="宋体"/>
          <w:color w:val="000000"/>
          <w:sz w:val="28"/>
          <w:lang w:val="zh-CN"/>
        </w:rPr>
        <w:t>建筑面积</w:t>
      </w:r>
      <w:r>
        <w:rPr>
          <w:rFonts w:hint="eastAsia" w:ascii="宋体" w:hAnsi="宋体" w:cs="宋体"/>
          <w:color w:val="000000"/>
          <w:sz w:val="28"/>
        </w:rPr>
        <w:t>64.0</w:t>
      </w:r>
      <w:r>
        <w:rPr>
          <w:rFonts w:hint="eastAsia" w:ascii="宋体" w:hAnsi="宋体" w:cs="宋体"/>
          <w:color w:val="000000"/>
          <w:sz w:val="28"/>
          <w:lang w:val="zh-CN"/>
        </w:rPr>
        <w:t>平方米、</w:t>
      </w:r>
      <w:r>
        <w:rPr>
          <w:rFonts w:hint="eastAsia" w:ascii="宋体" w:hAnsi="宋体" w:cs="宋体"/>
          <w:color w:val="000000"/>
          <w:sz w:val="28"/>
        </w:rPr>
        <w:t>配房建筑面积6平方米</w:t>
      </w:r>
      <w:r>
        <w:rPr>
          <w:rFonts w:hint="eastAsia" w:ascii="宋体" w:hAnsi="宋体" w:cs="宋体"/>
          <w:color w:val="000000"/>
          <w:sz w:val="28"/>
          <w:lang w:val="zh-CN"/>
        </w:rPr>
        <w:t>。</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4</w:t>
      </w:r>
      <w:r>
        <w:rPr>
          <w:rFonts w:hint="eastAsia" w:ascii="宋体" w:hAnsi="宋体" w:cs="宋体"/>
          <w:color w:val="000000"/>
          <w:sz w:val="28"/>
          <w:lang w:val="zh-CN"/>
        </w:rPr>
        <w:t>、用途：规划用途</w:t>
      </w:r>
      <w:r>
        <w:rPr>
          <w:rFonts w:ascii="宋体" w:hAnsi="宋体" w:cs="宋体"/>
          <w:color w:val="000000"/>
          <w:sz w:val="28"/>
          <w:lang w:val="zh-CN"/>
        </w:rPr>
        <w:t>为</w:t>
      </w:r>
      <w:r>
        <w:rPr>
          <w:rFonts w:hint="eastAsia" w:ascii="宋体" w:hAnsi="宋体" w:cs="宋体"/>
          <w:color w:val="000000"/>
          <w:sz w:val="28"/>
          <w:lang w:val="zh-CN"/>
        </w:rPr>
        <w:t>成套</w:t>
      </w:r>
      <w:r>
        <w:rPr>
          <w:rFonts w:hint="eastAsia" w:ascii="宋体" w:hAnsi="宋体" w:cs="宋体"/>
          <w:color w:val="000000"/>
          <w:sz w:val="28"/>
        </w:rPr>
        <w:t>住宅、其他用途</w:t>
      </w:r>
      <w:r>
        <w:rPr>
          <w:rFonts w:hint="eastAsia" w:ascii="宋体" w:hAnsi="宋体" w:cs="宋体"/>
          <w:color w:val="000000"/>
          <w:sz w:val="28"/>
          <w:lang w:val="zh-CN"/>
        </w:rPr>
        <w:t>，</w:t>
      </w:r>
      <w:r>
        <w:rPr>
          <w:rFonts w:ascii="宋体" w:hAnsi="宋体" w:cs="宋体"/>
          <w:color w:val="000000"/>
          <w:sz w:val="28"/>
          <w:lang w:val="zh-CN"/>
        </w:rPr>
        <w:t>实际用途为</w:t>
      </w:r>
      <w:r>
        <w:rPr>
          <w:rFonts w:hint="eastAsia" w:ascii="宋体" w:hAnsi="宋体" w:cs="宋体"/>
          <w:color w:val="000000"/>
          <w:sz w:val="28"/>
        </w:rPr>
        <w:t>住宅、配房用途</w:t>
      </w:r>
      <w:r>
        <w:rPr>
          <w:rFonts w:hint="eastAsia" w:ascii="宋体" w:hAnsi="宋体" w:cs="宋体"/>
          <w:color w:val="000000"/>
          <w:sz w:val="28"/>
          <w:lang w:val="zh-CN"/>
        </w:rPr>
        <w:t>。</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5</w:t>
      </w:r>
      <w:r>
        <w:rPr>
          <w:rFonts w:hint="eastAsia" w:ascii="宋体" w:hAnsi="宋体" w:cs="宋体"/>
          <w:color w:val="000000"/>
          <w:sz w:val="28"/>
          <w:lang w:val="zh-CN"/>
        </w:rPr>
        <w:t>、权属：</w:t>
      </w:r>
      <w:r>
        <w:rPr>
          <w:rFonts w:hint="eastAsia" w:ascii="宋体" w:hAnsi="宋体" w:cs="宋体"/>
          <w:color w:val="000000"/>
          <w:sz w:val="28"/>
        </w:rPr>
        <w:t>根据房地产权登记信息（独幢、层、套、间房屋）</w:t>
      </w:r>
      <w:r>
        <w:rPr>
          <w:rFonts w:hint="eastAsia" w:ascii="宋体" w:hAnsi="宋体" w:cs="宋体"/>
          <w:color w:val="000000"/>
          <w:sz w:val="28"/>
          <w:lang w:val="zh-CN"/>
        </w:rPr>
        <w:t>，</w:t>
      </w:r>
      <w:r>
        <w:rPr>
          <w:rFonts w:hint="eastAsia" w:ascii="宋体" w:hAnsi="宋体" w:cs="宋体"/>
          <w:color w:val="000000"/>
          <w:sz w:val="28"/>
        </w:rPr>
        <w:t>权利人</w:t>
      </w:r>
      <w:r>
        <w:rPr>
          <w:rFonts w:ascii="宋体" w:hAnsi="宋体" w:cs="宋体"/>
          <w:color w:val="000000"/>
          <w:sz w:val="28"/>
          <w:lang w:val="zh-CN"/>
        </w:rPr>
        <w:t>为</w:t>
      </w:r>
      <w:r>
        <w:rPr>
          <w:rFonts w:hint="eastAsia" w:ascii="宋体" w:hAnsi="宋体" w:cs="宋体"/>
          <w:color w:val="000000"/>
          <w:sz w:val="28"/>
        </w:rPr>
        <w:t>郭艳平、张焕玲，已办理房地产权登记</w:t>
      </w:r>
      <w:r>
        <w:rPr>
          <w:rFonts w:hint="eastAsia" w:ascii="宋体" w:hAnsi="宋体" w:cs="宋体"/>
          <w:color w:val="000000"/>
          <w:sz w:val="28"/>
          <w:lang w:val="zh-CN"/>
        </w:rPr>
        <w:t>。估价对象权属信息详见下表。</w:t>
      </w:r>
    </w:p>
    <w:tbl>
      <w:tblPr>
        <w:tblStyle w:val="21"/>
        <w:tblW w:w="9286" w:type="dxa"/>
        <w:jc w:val="center"/>
        <w:tblLayout w:type="fixed"/>
        <w:tblCellMar>
          <w:top w:w="0" w:type="dxa"/>
          <w:left w:w="108" w:type="dxa"/>
          <w:bottom w:w="0" w:type="dxa"/>
          <w:right w:w="108" w:type="dxa"/>
        </w:tblCellMar>
      </w:tblPr>
      <w:tblGrid>
        <w:gridCol w:w="2376"/>
        <w:gridCol w:w="2410"/>
        <w:gridCol w:w="2126"/>
        <w:gridCol w:w="2374"/>
      </w:tblGrid>
      <w:tr>
        <w:tblPrEx>
          <w:tblCellMar>
            <w:top w:w="0" w:type="dxa"/>
            <w:left w:w="108" w:type="dxa"/>
            <w:bottom w:w="0" w:type="dxa"/>
            <w:right w:w="108" w:type="dxa"/>
          </w:tblCellMar>
        </w:tblPrEx>
        <w:trPr>
          <w:trHeight w:val="454" w:hRule="atLeast"/>
          <w:jc w:val="center"/>
        </w:trPr>
        <w:tc>
          <w:tcPr>
            <w:tcW w:w="9286" w:type="dxa"/>
            <w:gridSpan w:val="4"/>
            <w:tcBorders>
              <w:top w:val="double" w:color="000000" w:sz="4" w:space="0"/>
              <w:left w:val="doub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房地产权登记信息</w:t>
            </w:r>
          </w:p>
        </w:tc>
      </w:tr>
      <w:tr>
        <w:tblPrEx>
          <w:tblCellMar>
            <w:top w:w="0" w:type="dxa"/>
            <w:left w:w="108" w:type="dxa"/>
            <w:bottom w:w="0" w:type="dxa"/>
            <w:right w:w="108" w:type="dxa"/>
          </w:tblCellMar>
        </w:tblPrEx>
        <w:trPr>
          <w:trHeight w:val="454" w:hRule="atLeast"/>
          <w:jc w:val="center"/>
        </w:trPr>
        <w:tc>
          <w:tcPr>
            <w:tcW w:w="2376" w:type="dxa"/>
            <w:tcBorders>
              <w:top w:val="single" w:color="auto"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不动产权证书号</w:t>
            </w:r>
          </w:p>
        </w:tc>
        <w:tc>
          <w:tcPr>
            <w:tcW w:w="6910" w:type="dxa"/>
            <w:gridSpan w:val="3"/>
            <w:tcBorders>
              <w:top w:val="single" w:color="auto"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ascii="宋体" w:hAnsi="宋体" w:cs="宋体"/>
                <w:color w:val="000000"/>
                <w:kern w:val="0"/>
                <w:sz w:val="24"/>
                <w:lang w:bidi="ar"/>
              </w:rPr>
              <w:t>鲁（2018）高唐县不动产权第0003873号</w:t>
            </w:r>
          </w:p>
        </w:tc>
      </w:tr>
      <w:tr>
        <w:tblPrEx>
          <w:tblCellMar>
            <w:top w:w="0" w:type="dxa"/>
            <w:left w:w="108" w:type="dxa"/>
            <w:bottom w:w="0" w:type="dxa"/>
            <w:right w:w="108" w:type="dxa"/>
          </w:tblCellMar>
        </w:tblPrEx>
        <w:trPr>
          <w:trHeight w:val="640" w:hRule="atLeast"/>
          <w:jc w:val="center"/>
        </w:trPr>
        <w:tc>
          <w:tcPr>
            <w:tcW w:w="2376" w:type="dxa"/>
            <w:tcBorders>
              <w:top w:val="single" w:color="auto" w:sz="4" w:space="0"/>
              <w:left w:val="doub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不动产</w:t>
            </w:r>
            <w:r>
              <w:rPr>
                <w:rFonts w:ascii="宋体" w:hAnsi="宋体" w:cs="宋体"/>
                <w:color w:val="000000"/>
                <w:sz w:val="24"/>
              </w:rPr>
              <w:t>单元号</w:t>
            </w:r>
          </w:p>
        </w:tc>
        <w:tc>
          <w:tcPr>
            <w:tcW w:w="6910" w:type="dxa"/>
            <w:gridSpan w:val="3"/>
            <w:tcBorders>
              <w:top w:val="single" w:color="auto" w:sz="4" w:space="0"/>
              <w:left w:val="single" w:color="000000" w:sz="4" w:space="0"/>
              <w:right w:val="double" w:color="auto" w:sz="4" w:space="0"/>
            </w:tcBorders>
            <w:shd w:val="clear" w:color="auto" w:fill="auto"/>
            <w:noWrap/>
            <w:vAlign w:val="center"/>
          </w:tcPr>
          <w:p>
            <w:pPr>
              <w:widowControl/>
              <w:jc w:val="center"/>
              <w:textAlignment w:val="center"/>
              <w:rPr>
                <w:rFonts w:hint="eastAsia" w:ascii="宋体" w:hAnsi="宋体" w:cs="宋体" w:eastAsiaTheme="majorEastAsia"/>
                <w:color w:val="000000"/>
                <w:sz w:val="24"/>
              </w:rPr>
            </w:pPr>
            <w:r>
              <w:rPr>
                <w:rFonts w:ascii="宋体" w:hAnsi="宋体" w:cs="宋体" w:eastAsiaTheme="majorEastAsia"/>
                <w:color w:val="000000"/>
                <w:sz w:val="24"/>
              </w:rPr>
              <w:t>371526001605GB00026F00010047</w:t>
            </w:r>
          </w:p>
        </w:tc>
      </w:tr>
      <w:tr>
        <w:tblPrEx>
          <w:tblCellMar>
            <w:top w:w="0" w:type="dxa"/>
            <w:left w:w="108" w:type="dxa"/>
            <w:bottom w:w="0" w:type="dxa"/>
            <w:right w:w="108" w:type="dxa"/>
          </w:tblCellMar>
        </w:tblPrEx>
        <w:trPr>
          <w:trHeight w:val="454" w:hRule="atLeast"/>
          <w:jc w:val="center"/>
        </w:trPr>
        <w:tc>
          <w:tcPr>
            <w:tcW w:w="2376" w:type="dxa"/>
            <w:tcBorders>
              <w:top w:val="single" w:color="auto"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6910" w:type="dxa"/>
            <w:gridSpan w:val="3"/>
            <w:tcBorders>
              <w:top w:val="single" w:color="auto"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cs="宋体" w:asciiTheme="majorEastAsia" w:hAnsiTheme="majorEastAsia" w:eastAsiaTheme="majorEastAsia"/>
                <w:sz w:val="24"/>
              </w:rPr>
              <w:t>金城东路南侧棉麻公司家属院8号楼3单元401室</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房屋所有权人、</w:t>
            </w:r>
            <w:r>
              <w:rPr>
                <w:rFonts w:ascii="宋体" w:hAnsi="宋体" w:cs="宋体"/>
                <w:color w:val="000000"/>
                <w:kern w:val="0"/>
                <w:sz w:val="24"/>
                <w:lang w:bidi="ar"/>
              </w:rPr>
              <w:t>土地使用权人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cs="宋体" w:asciiTheme="majorEastAsia" w:hAnsiTheme="majorEastAsia" w:eastAsiaTheme="majorEastAsia"/>
                <w:sz w:val="24"/>
              </w:rPr>
              <w:t>郭艳平、张焕玲</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共有情况    </w:t>
            </w:r>
          </w:p>
        </w:tc>
        <w:tc>
          <w:tcPr>
            <w:tcW w:w="2374"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共同共有</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登记时间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2018年12月13日</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建筑结构</w:t>
            </w:r>
          </w:p>
        </w:tc>
        <w:tc>
          <w:tcPr>
            <w:tcW w:w="2374"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混合结构</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所在层/总层数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4层/4层、</w:t>
            </w:r>
          </w:p>
          <w:p>
            <w:pPr>
              <w:widowControl/>
              <w:jc w:val="center"/>
              <w:textAlignment w:val="center"/>
              <w:rPr>
                <w:rFonts w:ascii="宋体" w:hAnsi="宋体" w:cs="宋体"/>
                <w:color w:val="000000"/>
                <w:sz w:val="24"/>
              </w:rPr>
            </w:pPr>
            <w:r>
              <w:rPr>
                <w:rFonts w:ascii="宋体" w:hAnsi="宋体" w:cs="宋体"/>
                <w:color w:val="000000"/>
                <w:kern w:val="0"/>
                <w:sz w:val="24"/>
                <w:lang w:bidi="ar"/>
              </w:rPr>
              <w:t>1</w:t>
            </w:r>
            <w:r>
              <w:rPr>
                <w:rFonts w:hint="eastAsia" w:ascii="宋体" w:hAnsi="宋体" w:cs="宋体"/>
                <w:color w:val="000000"/>
                <w:kern w:val="0"/>
                <w:sz w:val="24"/>
                <w:lang w:bidi="ar"/>
              </w:rPr>
              <w:t>层/</w:t>
            </w:r>
            <w:r>
              <w:rPr>
                <w:rFonts w:ascii="宋体" w:hAnsi="宋体" w:cs="宋体"/>
                <w:color w:val="000000"/>
                <w:kern w:val="0"/>
                <w:sz w:val="24"/>
                <w:lang w:bidi="ar"/>
              </w:rPr>
              <w:t>1</w:t>
            </w:r>
            <w:r>
              <w:rPr>
                <w:rFonts w:hint="eastAsia" w:ascii="宋体" w:hAnsi="宋体" w:cs="宋体"/>
                <w:color w:val="000000"/>
                <w:kern w:val="0"/>
                <w:sz w:val="24"/>
                <w:lang w:bidi="ar"/>
              </w:rPr>
              <w:t>层</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建筑面积（㎡）</w:t>
            </w:r>
          </w:p>
        </w:tc>
        <w:tc>
          <w:tcPr>
            <w:tcW w:w="2374"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64.0㎡</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规划用途/实际用途</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成套住宅/住宅</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竣工时间</w:t>
            </w:r>
          </w:p>
        </w:tc>
        <w:tc>
          <w:tcPr>
            <w:tcW w:w="2374" w:type="dxa"/>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2000-</w:t>
            </w:r>
            <w:r>
              <w:rPr>
                <w:rFonts w:ascii="宋体" w:hAnsi="宋体" w:cs="宋体"/>
                <w:color w:val="000000"/>
                <w:kern w:val="0"/>
                <w:sz w:val="24"/>
                <w:lang w:bidi="ar"/>
              </w:rPr>
              <w:t>09-20</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土地使用年限</w:t>
            </w:r>
          </w:p>
        </w:tc>
        <w:tc>
          <w:tcPr>
            <w:tcW w:w="6910" w:type="dxa"/>
            <w:gridSpan w:val="3"/>
            <w:tcBorders>
              <w:top w:val="single" w:color="000000" w:sz="4" w:space="0"/>
              <w:left w:val="single" w:color="000000" w:sz="4" w:space="0"/>
              <w:bottom w:val="single" w:color="000000" w:sz="4" w:space="0"/>
              <w:right w:val="double" w:color="auto"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2017年10月28日起至2087年10月28日止</w:t>
            </w:r>
          </w:p>
        </w:tc>
      </w:tr>
      <w:tr>
        <w:tblPrEx>
          <w:tblCellMar>
            <w:top w:w="0" w:type="dxa"/>
            <w:left w:w="108" w:type="dxa"/>
            <w:bottom w:w="0" w:type="dxa"/>
            <w:right w:w="108" w:type="dxa"/>
          </w:tblCellMar>
        </w:tblPrEx>
        <w:trPr>
          <w:trHeight w:val="454" w:hRule="atLeast"/>
          <w:jc w:val="center"/>
        </w:trPr>
        <w:tc>
          <w:tcPr>
            <w:tcW w:w="2376" w:type="dxa"/>
            <w:tcBorders>
              <w:top w:val="single" w:color="000000" w:sz="4" w:space="0"/>
              <w:left w:val="double" w:color="000000" w:sz="4" w:space="0"/>
              <w:bottom w:val="doub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附记</w:t>
            </w:r>
          </w:p>
        </w:tc>
        <w:tc>
          <w:tcPr>
            <w:tcW w:w="6910" w:type="dxa"/>
            <w:gridSpan w:val="3"/>
            <w:tcBorders>
              <w:top w:val="single" w:color="000000" w:sz="4" w:space="0"/>
              <w:left w:val="single" w:color="000000" w:sz="4" w:space="0"/>
              <w:bottom w:val="double" w:color="auto" w:sz="4" w:space="0"/>
              <w:right w:val="double" w:color="auto" w:sz="4" w:space="0"/>
            </w:tcBorders>
            <w:shd w:val="clear" w:color="auto" w:fill="auto"/>
            <w:noWrap/>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eastAsiaTheme="majorEastAsia"/>
                <w:color w:val="000000"/>
                <w:sz w:val="24"/>
              </w:rPr>
              <w:t>不动产单元号</w:t>
            </w:r>
            <w:r>
              <w:rPr>
                <w:rFonts w:ascii="宋体" w:hAnsi="宋体" w:cs="宋体" w:eastAsiaTheme="majorEastAsia"/>
                <w:color w:val="000000"/>
                <w:sz w:val="24"/>
              </w:rPr>
              <w:t>371526001605GB00026F00020045</w:t>
            </w:r>
            <w:r>
              <w:rPr>
                <w:rFonts w:hint="eastAsia" w:ascii="宋体" w:hAnsi="宋体" w:cs="宋体" w:eastAsiaTheme="majorEastAsia"/>
                <w:color w:val="000000"/>
                <w:sz w:val="24"/>
              </w:rPr>
              <w:t>，用途为</w:t>
            </w:r>
            <w:r>
              <w:rPr>
                <w:rFonts w:hint="eastAsia" w:ascii="宋体" w:hAnsi="宋体" w:cs="宋体"/>
                <w:color w:val="000000"/>
                <w:kern w:val="0"/>
                <w:sz w:val="24"/>
                <w:lang w:bidi="ar"/>
              </w:rPr>
              <w:t>其他</w:t>
            </w:r>
            <w:r>
              <w:rPr>
                <w:rFonts w:ascii="宋体" w:hAnsi="宋体" w:cs="宋体"/>
                <w:color w:val="000000"/>
                <w:kern w:val="0"/>
                <w:sz w:val="24"/>
                <w:lang w:bidi="ar"/>
              </w:rPr>
              <w:t>（</w:t>
            </w:r>
            <w:r>
              <w:rPr>
                <w:rFonts w:hint="eastAsia" w:ascii="宋体" w:hAnsi="宋体" w:cs="宋体"/>
                <w:color w:val="000000"/>
                <w:kern w:val="0"/>
                <w:sz w:val="24"/>
                <w:lang w:bidi="ar"/>
              </w:rPr>
              <w:t>配房</w:t>
            </w:r>
            <w:r>
              <w:rPr>
                <w:rFonts w:ascii="宋体" w:hAnsi="宋体" w:cs="宋体"/>
                <w:color w:val="000000"/>
                <w:kern w:val="0"/>
                <w:sz w:val="24"/>
                <w:lang w:bidi="ar"/>
              </w:rPr>
              <w:t>）</w:t>
            </w:r>
            <w:r>
              <w:rPr>
                <w:rFonts w:hint="eastAsia" w:ascii="宋体" w:hAnsi="宋体" w:cs="宋体"/>
                <w:color w:val="000000"/>
                <w:kern w:val="0"/>
                <w:sz w:val="24"/>
                <w:lang w:bidi="ar"/>
              </w:rPr>
              <w:t>，</w:t>
            </w:r>
            <w:r>
              <w:rPr>
                <w:rFonts w:ascii="宋体" w:hAnsi="宋体" w:cs="宋体"/>
                <w:color w:val="000000"/>
                <w:kern w:val="0"/>
                <w:sz w:val="24"/>
                <w:lang w:bidi="ar"/>
              </w:rPr>
              <w:t>房号为</w:t>
            </w:r>
            <w:r>
              <w:rPr>
                <w:rFonts w:hint="eastAsia" w:ascii="宋体" w:hAnsi="宋体" w:cs="宋体"/>
                <w:color w:val="000000"/>
                <w:kern w:val="0"/>
                <w:sz w:val="24"/>
                <w:lang w:bidi="ar"/>
              </w:rPr>
              <w:t>44，建筑面积为6㎡。</w:t>
            </w:r>
          </w:p>
        </w:tc>
      </w:tr>
    </w:tbl>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6</w:t>
      </w:r>
      <w:r>
        <w:rPr>
          <w:rFonts w:hint="eastAsia" w:ascii="宋体" w:hAnsi="宋体" w:cs="宋体"/>
          <w:color w:val="000000"/>
          <w:sz w:val="28"/>
          <w:lang w:val="zh-CN"/>
        </w:rPr>
        <w:t>、他项权利</w:t>
      </w:r>
      <w:r>
        <w:rPr>
          <w:rFonts w:ascii="宋体" w:hAnsi="宋体" w:cs="宋体"/>
          <w:color w:val="000000"/>
          <w:sz w:val="28"/>
          <w:lang w:val="zh-CN"/>
        </w:rPr>
        <w:t>及司法限制状况：</w:t>
      </w:r>
    </w:p>
    <w:p>
      <w:pPr>
        <w:pStyle w:val="7"/>
        <w:tabs>
          <w:tab w:val="center" w:pos="4815"/>
        </w:tabs>
        <w:snapToGrid w:val="0"/>
        <w:spacing w:line="560" w:lineRule="exact"/>
        <w:ind w:firstLine="560" w:firstLineChars="200"/>
        <w:rPr>
          <w:rFonts w:ascii="宋体" w:hAnsi="宋体" w:eastAsia="宋体"/>
          <w:color w:val="000000"/>
          <w:lang w:val="zh-CN"/>
        </w:rPr>
      </w:pPr>
      <w:r>
        <w:rPr>
          <w:rFonts w:hint="eastAsia" w:ascii="宋体" w:hAnsi="宋体" w:eastAsia="宋体"/>
          <w:color w:val="000000"/>
          <w:lang w:val="zh-CN"/>
        </w:rPr>
        <w:t>依据</w:t>
      </w:r>
      <w:r>
        <w:rPr>
          <w:rFonts w:ascii="宋体" w:hAnsi="宋体" w:eastAsia="宋体"/>
          <w:color w:val="000000"/>
          <w:lang w:val="zh-CN"/>
        </w:rPr>
        <w:t>估价</w:t>
      </w:r>
      <w:r>
        <w:rPr>
          <w:rFonts w:hint="eastAsia" w:ascii="宋体" w:hAnsi="宋体" w:eastAsia="宋体"/>
          <w:color w:val="000000"/>
          <w:lang w:val="zh-CN"/>
        </w:rPr>
        <w:t>委托人</w:t>
      </w:r>
      <w:r>
        <w:rPr>
          <w:rFonts w:ascii="宋体" w:hAnsi="宋体" w:eastAsia="宋体"/>
          <w:color w:val="000000"/>
          <w:lang w:val="zh-CN"/>
        </w:rPr>
        <w:t>提供的资料，</w:t>
      </w:r>
      <w:r>
        <w:rPr>
          <w:rFonts w:hint="eastAsia" w:ascii="宋体" w:hAnsi="宋体" w:eastAsia="宋体"/>
          <w:color w:val="000000"/>
          <w:lang w:val="zh-CN"/>
        </w:rPr>
        <w:t>根据</w:t>
      </w:r>
      <w:r>
        <w:rPr>
          <w:rFonts w:ascii="宋体" w:hAnsi="宋体" w:eastAsia="宋体"/>
          <w:color w:val="000000"/>
          <w:lang w:val="zh-CN"/>
        </w:rPr>
        <w:t>本次估价目的，本次估价未考虑抵押、担保事宜等非正常因素对估价结果的影响，也</w:t>
      </w:r>
      <w:r>
        <w:rPr>
          <w:rFonts w:hint="eastAsia" w:ascii="宋体" w:hAnsi="宋体" w:eastAsia="宋体"/>
          <w:color w:val="000000"/>
          <w:lang w:val="zh-CN"/>
        </w:rPr>
        <w:t>未</w:t>
      </w:r>
      <w:r>
        <w:rPr>
          <w:rFonts w:ascii="宋体" w:hAnsi="宋体" w:eastAsia="宋体"/>
          <w:color w:val="000000"/>
          <w:lang w:val="zh-CN"/>
        </w:rPr>
        <w:t>考虑司法和</w:t>
      </w:r>
      <w:r>
        <w:rPr>
          <w:rFonts w:hint="eastAsia" w:ascii="宋体" w:hAnsi="宋体" w:eastAsia="宋体"/>
          <w:color w:val="000000"/>
          <w:lang w:val="zh-CN"/>
        </w:rPr>
        <w:t>行政机关依法裁决、查封</w:t>
      </w:r>
      <w:r>
        <w:rPr>
          <w:rFonts w:ascii="宋体" w:hAnsi="宋体" w:eastAsia="宋体"/>
          <w:color w:val="000000"/>
          <w:lang w:val="zh-CN"/>
        </w:rPr>
        <w:t>等非正常因素对估价结果的影响</w:t>
      </w:r>
      <w:r>
        <w:rPr>
          <w:rFonts w:hint="eastAsia" w:ascii="宋体" w:hAnsi="宋体" w:eastAsia="宋体"/>
          <w:color w:val="000000"/>
          <w:lang w:val="zh-CN"/>
        </w:rPr>
        <w:t>。</w:t>
      </w:r>
    </w:p>
    <w:p>
      <w:pPr>
        <w:pStyle w:val="7"/>
        <w:tabs>
          <w:tab w:val="center" w:pos="4815"/>
        </w:tabs>
        <w:snapToGrid w:val="0"/>
        <w:spacing w:line="560" w:lineRule="exact"/>
        <w:ind w:firstLine="560" w:firstLineChars="200"/>
        <w:rPr>
          <w:rFonts w:ascii="宋体" w:hAnsi="宋体" w:eastAsia="宋体"/>
          <w:color w:val="000000"/>
          <w:lang w:val="zh-CN"/>
        </w:rPr>
      </w:pPr>
      <w:r>
        <w:rPr>
          <w:rFonts w:ascii="宋体" w:hAnsi="宋体" w:eastAsia="宋体"/>
          <w:color w:val="000000"/>
          <w:lang w:val="zh-CN"/>
        </w:rPr>
        <w:t>7</w:t>
      </w:r>
      <w:r>
        <w:rPr>
          <w:rFonts w:hint="eastAsia" w:ascii="宋体" w:hAnsi="宋体" w:eastAsia="宋体"/>
          <w:color w:val="000000"/>
          <w:lang w:val="zh-CN"/>
        </w:rPr>
        <w:t>、出租或占用情况：因估价委托人和当事人未提供估价对象租赁的相关详细材料，故本次评估未考虑租赁对评估价值的影响</w:t>
      </w:r>
      <w:r>
        <w:rPr>
          <w:rFonts w:ascii="宋体" w:hAnsi="宋体" w:eastAsia="宋体"/>
          <w:color w:val="000000"/>
          <w:lang w:val="zh-CN"/>
        </w:rPr>
        <w:t>。</w:t>
      </w:r>
    </w:p>
    <w:p>
      <w:pPr>
        <w:pStyle w:val="7"/>
        <w:tabs>
          <w:tab w:val="center" w:pos="4815"/>
        </w:tabs>
        <w:snapToGrid w:val="0"/>
        <w:spacing w:line="560" w:lineRule="exact"/>
        <w:ind w:firstLine="422" w:firstLineChars="150"/>
        <w:rPr>
          <w:rFonts w:ascii="宋体" w:hAnsi="宋体" w:eastAsia="宋体"/>
          <w:b/>
          <w:color w:val="000000"/>
          <w:lang w:val="zh-CN"/>
        </w:rPr>
      </w:pPr>
      <w:r>
        <w:rPr>
          <w:rFonts w:hint="eastAsia" w:ascii="宋体" w:hAnsi="宋体" w:eastAsia="宋体"/>
          <w:b/>
          <w:color w:val="000000"/>
          <w:lang w:val="zh-CN"/>
        </w:rPr>
        <w:t>（三）土地基本状况：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w:t>
            </w:r>
          </w:p>
        </w:tc>
        <w:tc>
          <w:tcPr>
            <w:tcW w:w="6910" w:type="dxa"/>
            <w:tcBorders>
              <w:top w:val="double" w:color="auto" w:sz="4" w:space="0"/>
              <w:right w:val="double" w:color="auto" w:sz="4" w:space="0"/>
            </w:tcBorders>
            <w:vAlign w:val="center"/>
          </w:tcPr>
          <w:p>
            <w:pPr>
              <w:jc w:val="left"/>
              <w:rPr>
                <w:sz w:val="24"/>
                <w:lang w:val="zh-CN"/>
              </w:rPr>
            </w:pPr>
            <w:r>
              <w:rPr>
                <w:rFonts w:hint="eastAsia" w:cs="宋体" w:asciiTheme="majorEastAsia" w:hAnsiTheme="majorEastAsia" w:eastAsiaTheme="majorEastAsia"/>
                <w:sz w:val="24"/>
              </w:rPr>
              <w:t>高唐县金城东路南侧棉麻公司家属院8号楼3单元401室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土地四至</w:t>
            </w:r>
          </w:p>
        </w:tc>
        <w:tc>
          <w:tcPr>
            <w:tcW w:w="6910" w:type="dxa"/>
            <w:tcBorders>
              <w:right w:val="double" w:color="auto" w:sz="4" w:space="0"/>
            </w:tcBorders>
            <w:vAlign w:val="center"/>
          </w:tcPr>
          <w:p>
            <w:pPr>
              <w:jc w:val="left"/>
              <w:rPr>
                <w:sz w:val="24"/>
              </w:rPr>
            </w:pPr>
            <w:r>
              <w:rPr>
                <w:rFonts w:hint="eastAsia"/>
                <w:sz w:val="24"/>
                <w:lang w:val="zh-CN"/>
              </w:rPr>
              <w:t>北至</w:t>
            </w:r>
            <w:r>
              <w:rPr>
                <w:rFonts w:hint="eastAsia"/>
                <w:sz w:val="24"/>
              </w:rPr>
              <w:t>金城路，</w:t>
            </w:r>
            <w:r>
              <w:rPr>
                <w:sz w:val="24"/>
                <w:lang w:val="zh-CN"/>
              </w:rPr>
              <w:t>南至</w:t>
            </w:r>
            <w:r>
              <w:rPr>
                <w:rFonts w:hint="eastAsia"/>
                <w:sz w:val="24"/>
              </w:rPr>
              <w:t>鼓楼路</w:t>
            </w:r>
            <w:r>
              <w:rPr>
                <w:sz w:val="24"/>
                <w:lang w:val="zh-CN"/>
              </w:rPr>
              <w:t>，</w:t>
            </w:r>
            <w:r>
              <w:rPr>
                <w:rFonts w:hint="eastAsia"/>
                <w:sz w:val="24"/>
              </w:rPr>
              <w:t>东至东兴路，</w:t>
            </w:r>
            <w:r>
              <w:rPr>
                <w:sz w:val="24"/>
              </w:rPr>
              <w:t>西至</w:t>
            </w:r>
            <w:r>
              <w:rPr>
                <w:rFonts w:hint="eastAsia"/>
                <w:sz w:val="24"/>
              </w:rPr>
              <w:t>迎春街</w:t>
            </w:r>
            <w:r>
              <w:rPr>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w:t>
            </w:r>
            <w:r>
              <w:rPr>
                <w:rFonts w:ascii="宋体" w:hAnsi="宋体"/>
                <w:sz w:val="24"/>
              </w:rPr>
              <w:t>终止日期</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2087年10月28日止；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土地形状</w:t>
            </w:r>
          </w:p>
        </w:tc>
        <w:tc>
          <w:tcPr>
            <w:tcW w:w="6910" w:type="dxa"/>
            <w:tcBorders>
              <w:right w:val="double" w:color="auto" w:sz="4" w:space="0"/>
            </w:tcBorders>
            <w:vAlign w:val="center"/>
          </w:tcPr>
          <w:p>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有利于建筑布局</w:t>
            </w:r>
            <w:r>
              <w:rPr>
                <w:rFonts w:hint="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地形地势及地质</w:t>
            </w:r>
            <w:r>
              <w:rPr>
                <w:rFonts w:ascii="宋体" w:hAnsi="宋体"/>
                <w:sz w:val="24"/>
              </w:rPr>
              <w:t>状况</w:t>
            </w:r>
          </w:p>
        </w:tc>
        <w:tc>
          <w:tcPr>
            <w:tcW w:w="6910" w:type="dxa"/>
            <w:tcBorders>
              <w:right w:val="double" w:color="auto" w:sz="4" w:space="0"/>
            </w:tcBorders>
            <w:vAlign w:val="center"/>
          </w:tcPr>
          <w:p>
            <w:pPr>
              <w:jc w:val="left"/>
              <w:rPr>
                <w:sz w:val="24"/>
                <w:lang w:val="zh-CN"/>
              </w:rPr>
            </w:pPr>
            <w:r>
              <w:rPr>
                <w:rFonts w:hint="eastAsia"/>
                <w:sz w:val="24"/>
                <w:lang w:val="zh-CN"/>
              </w:rPr>
              <w:t>估价对象</w:t>
            </w:r>
            <w:r>
              <w:rPr>
                <w:sz w:val="24"/>
                <w:lang w:val="zh-CN"/>
              </w:rPr>
              <w:t>地形</w:t>
            </w:r>
            <w:r>
              <w:rPr>
                <w:rFonts w:hint="eastAsia"/>
                <w:sz w:val="24"/>
                <w:lang w:val="zh-CN"/>
              </w:rPr>
              <w:t>、地势</w:t>
            </w:r>
            <w:r>
              <w:rPr>
                <w:sz w:val="24"/>
                <w:lang w:val="zh-CN"/>
              </w:rPr>
              <w:t>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，被洪水淹没、积水的可能性较小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开发程度</w:t>
            </w:r>
          </w:p>
        </w:tc>
        <w:tc>
          <w:tcPr>
            <w:tcW w:w="6910" w:type="dxa"/>
            <w:tcBorders>
              <w:bottom w:val="double" w:color="auto" w:sz="4" w:space="0"/>
              <w:right w:val="double" w:color="auto" w:sz="4" w:space="0"/>
            </w:tcBorders>
            <w:vAlign w:val="center"/>
          </w:tcPr>
          <w:p>
            <w:pPr>
              <w:jc w:val="left"/>
              <w:rPr>
                <w:rFonts w:ascii="宋体" w:hAnsi="宋体"/>
                <w:color w:val="000000"/>
                <w:sz w:val="24"/>
              </w:rPr>
            </w:pPr>
            <w:r>
              <w:rPr>
                <w:rFonts w:hint="eastAsia" w:ascii="宋体" w:hAnsi="宋体"/>
                <w:color w:val="000000"/>
                <w:sz w:val="24"/>
              </w:rPr>
              <w:t>至价值时点</w:t>
            </w:r>
            <w:r>
              <w:rPr>
                <w:rFonts w:ascii="宋体" w:hAnsi="宋体"/>
                <w:color w:val="000000"/>
                <w:sz w:val="24"/>
              </w:rPr>
              <w:t>，宗地</w:t>
            </w:r>
            <w:r>
              <w:rPr>
                <w:rFonts w:hint="eastAsia" w:ascii="宋体" w:hAnsi="宋体"/>
                <w:color w:val="000000"/>
                <w:sz w:val="24"/>
              </w:rPr>
              <w:t>红线外</w:t>
            </w:r>
            <w:r>
              <w:rPr>
                <w:rFonts w:ascii="宋体" w:hAnsi="宋体"/>
                <w:color w:val="000000"/>
                <w:sz w:val="24"/>
              </w:rPr>
              <w:t>开发程度已达到</w:t>
            </w:r>
            <w:r>
              <w:rPr>
                <w:rFonts w:hint="eastAsia" w:ascii="宋体" w:hAnsi="宋体"/>
                <w:color w:val="000000"/>
                <w:sz w:val="24"/>
              </w:rPr>
              <w:t>“七通”（通电，通路，供水，排水，供气，供暖，通讯），</w:t>
            </w:r>
            <w:r>
              <w:rPr>
                <w:rFonts w:ascii="宋体" w:hAnsi="宋体"/>
                <w:color w:val="000000"/>
                <w:sz w:val="24"/>
              </w:rPr>
              <w:t>宗地</w:t>
            </w:r>
            <w:r>
              <w:rPr>
                <w:rFonts w:hint="eastAsia" w:ascii="宋体" w:hAnsi="宋体"/>
                <w:color w:val="000000"/>
                <w:sz w:val="24"/>
              </w:rPr>
              <w:t>红线内</w:t>
            </w:r>
            <w:r>
              <w:rPr>
                <w:rFonts w:ascii="宋体" w:hAnsi="宋体"/>
                <w:color w:val="000000"/>
                <w:sz w:val="24"/>
              </w:rPr>
              <w:t>开发程度已达到</w:t>
            </w:r>
            <w:r>
              <w:rPr>
                <w:rFonts w:hint="eastAsia" w:ascii="宋体" w:hAnsi="宋体"/>
                <w:color w:val="000000"/>
                <w:sz w:val="24"/>
              </w:rPr>
              <w:t>“七通一平”（通电，通路，供水，排水，供气，供暖，通讯及场地平整），</w:t>
            </w:r>
            <w:r>
              <w:rPr>
                <w:rFonts w:ascii="宋体" w:hAnsi="宋体"/>
                <w:color w:val="000000"/>
                <w:sz w:val="24"/>
              </w:rPr>
              <w:t>已建有</w:t>
            </w:r>
            <w:r>
              <w:rPr>
                <w:rFonts w:hint="eastAsia" w:ascii="宋体" w:hAnsi="宋体"/>
                <w:color w:val="000000"/>
                <w:sz w:val="24"/>
              </w:rPr>
              <w:t>多栋建筑物</w:t>
            </w:r>
            <w:r>
              <w:rPr>
                <w:rFonts w:ascii="宋体" w:hAnsi="宋体"/>
                <w:color w:val="000000"/>
                <w:sz w:val="24"/>
              </w:rPr>
              <w:t>。</w:t>
            </w:r>
          </w:p>
        </w:tc>
      </w:tr>
    </w:tbl>
    <w:p>
      <w:pPr>
        <w:pStyle w:val="7"/>
        <w:numPr>
          <w:ilvl w:val="0"/>
          <w:numId w:val="2"/>
        </w:numPr>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建筑物基本状况：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w:t>
            </w:r>
            <w:r>
              <w:rPr>
                <w:rFonts w:ascii="宋体" w:hAnsi="宋体"/>
                <w:sz w:val="24"/>
              </w:rPr>
              <w:t>坐落</w:t>
            </w:r>
          </w:p>
        </w:tc>
        <w:tc>
          <w:tcPr>
            <w:tcW w:w="6910" w:type="dxa"/>
            <w:tcBorders>
              <w:top w:val="double" w:color="auto" w:sz="4" w:space="0"/>
              <w:right w:val="double" w:color="auto" w:sz="4" w:space="0"/>
            </w:tcBorders>
            <w:vAlign w:val="center"/>
          </w:tcPr>
          <w:p>
            <w:pPr>
              <w:jc w:val="left"/>
              <w:rPr>
                <w:sz w:val="24"/>
                <w:lang w:val="zh-CN"/>
              </w:rPr>
            </w:pPr>
            <w:r>
              <w:rPr>
                <w:rFonts w:hint="eastAsia" w:ascii="宋体" w:hAnsi="宋体"/>
                <w:sz w:val="24"/>
              </w:rPr>
              <w:t>高唐县金城东路南侧棉麻公司家属院8号楼3单元401室及配房；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建筑面积</w:t>
            </w:r>
          </w:p>
        </w:tc>
        <w:tc>
          <w:tcPr>
            <w:tcW w:w="6910" w:type="dxa"/>
            <w:tcBorders>
              <w:right w:val="double" w:color="auto" w:sz="4" w:space="0"/>
            </w:tcBorders>
            <w:vAlign w:val="center"/>
          </w:tcPr>
          <w:p>
            <w:pPr>
              <w:rPr>
                <w:rFonts w:ascii="宋体" w:hAnsi="宋体"/>
                <w:sz w:val="24"/>
              </w:rPr>
            </w:pPr>
            <w:r>
              <w:rPr>
                <w:rFonts w:hint="eastAsia" w:ascii="宋体" w:hAnsi="宋体"/>
                <w:sz w:val="24"/>
              </w:rPr>
              <w:t>住宅建筑面积64.0平方米、配房建筑面积6平方米；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房屋用途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规划用途为成套住宅、其他，实际用途为住宅、配房；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建筑结构及层数</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混合结构；总层数为4层、</w:t>
            </w:r>
            <w:r>
              <w:rPr>
                <w:rFonts w:ascii="宋体" w:hAnsi="宋体"/>
                <w:sz w:val="24"/>
              </w:rPr>
              <w:t>1层</w:t>
            </w:r>
            <w:r>
              <w:rPr>
                <w:rFonts w:hint="eastAsia" w:ascii="宋体" w:hAnsi="宋体"/>
                <w:sz w:val="24"/>
              </w:rPr>
              <w:t>，估价对象位于第4层、1层；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设施设备</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配备消防系统</w:t>
            </w:r>
            <w:r>
              <w:rPr>
                <w:rFonts w:ascii="宋体" w:hAnsi="宋体"/>
                <w:sz w:val="24"/>
              </w:rPr>
              <w:t>，</w:t>
            </w:r>
            <w:r>
              <w:rPr>
                <w:rFonts w:hint="eastAsia" w:ascii="宋体" w:hAnsi="宋体"/>
                <w:sz w:val="24"/>
              </w:rPr>
              <w:t>24小时</w:t>
            </w:r>
            <w:r>
              <w:rPr>
                <w:rFonts w:ascii="宋体" w:hAnsi="宋体"/>
                <w:sz w:val="24"/>
              </w:rPr>
              <w:t>监控系统，设施设备</w:t>
            </w:r>
            <w:r>
              <w:rPr>
                <w:rFonts w:hint="eastAsia" w:ascii="宋体" w:hAnsi="宋体"/>
                <w:sz w:val="24"/>
              </w:rPr>
              <w:t>较</w:t>
            </w:r>
            <w:r>
              <w:rPr>
                <w:rFonts w:ascii="宋体" w:hAnsi="宋体"/>
                <w:sz w:val="24"/>
              </w:rPr>
              <w:t>齐全</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层高</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标准层高</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空间布局</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未进入估价对象</w:t>
            </w:r>
            <w:r>
              <w:rPr>
                <w:rFonts w:ascii="宋体" w:hAnsi="宋体"/>
                <w:sz w:val="24"/>
              </w:rPr>
              <w:t>内部查勘</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hint="eastAsia" w:ascii="宋体" w:hAnsi="宋体"/>
                <w:sz w:val="24"/>
              </w:rPr>
            </w:pPr>
            <w:r>
              <w:rPr>
                <w:rFonts w:hint="eastAsia" w:ascii="宋体" w:hAnsi="宋体"/>
                <w:sz w:val="24"/>
              </w:rPr>
              <w:t>竣工日期</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2000-</w:t>
            </w:r>
            <w:r>
              <w:rPr>
                <w:rFonts w:ascii="宋体" w:hAnsi="宋体"/>
                <w:sz w:val="24"/>
              </w:rPr>
              <w:t>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使用</w:t>
            </w:r>
            <w:r>
              <w:rPr>
                <w:rFonts w:ascii="宋体" w:hAnsi="宋体"/>
                <w:sz w:val="24"/>
              </w:rPr>
              <w:t>及维护状况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highlight w:val="yellow"/>
              </w:rPr>
              <w:t>目前</w:t>
            </w:r>
            <w:r>
              <w:rPr>
                <w:rFonts w:ascii="宋体" w:hAnsi="宋体"/>
                <w:sz w:val="24"/>
                <w:highlight w:val="yellow"/>
              </w:rPr>
              <w:t>估价对象</w:t>
            </w:r>
            <w:r>
              <w:rPr>
                <w:rFonts w:hint="eastAsia" w:ascii="宋体" w:hAnsi="宋体"/>
                <w:sz w:val="24"/>
                <w:highlight w:val="yellow"/>
              </w:rPr>
              <w:t>处于利用中</w:t>
            </w:r>
            <w:r>
              <w:rPr>
                <w:rFonts w:ascii="宋体" w:hAnsi="宋体"/>
                <w:sz w:val="24"/>
              </w:rPr>
              <w:t>，</w:t>
            </w:r>
            <w:r>
              <w:rPr>
                <w:rFonts w:hint="eastAsia" w:ascii="宋体" w:hAnsi="宋体"/>
                <w:sz w:val="24"/>
              </w:rPr>
              <w:t>结构构件安全完好、基本牢固，齐全完整，现状一般，使用正常，地面、墙面、门窗等维护保养状况一般；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建筑物</w:t>
            </w:r>
            <w:r>
              <w:rPr>
                <w:rFonts w:ascii="宋体" w:hAnsi="宋体"/>
                <w:sz w:val="24"/>
              </w:rPr>
              <w:t>完损状况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房屋基础有承载力，稍有超过允许范围的不均匀沉降，但已稳定，梁、柱、墙等承重结构构件稍有变形、裂缝、松动、腐朽、蛀蚀，有少量损坏，基本牢固，室外装饰工程无明显裂缝及脱落，门窗及五金配件基本完好，为基本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装饰装修</w:t>
            </w:r>
          </w:p>
        </w:tc>
        <w:tc>
          <w:tcPr>
            <w:tcW w:w="6910" w:type="dxa"/>
            <w:tcBorders>
              <w:bottom w:val="double" w:color="auto" w:sz="4" w:space="0"/>
              <w:right w:val="double" w:color="auto" w:sz="4" w:space="0"/>
            </w:tcBorders>
            <w:vAlign w:val="center"/>
          </w:tcPr>
          <w:p>
            <w:pPr>
              <w:jc w:val="left"/>
              <w:rPr>
                <w:rFonts w:ascii="宋体" w:hAnsi="宋体"/>
                <w:sz w:val="24"/>
              </w:rPr>
            </w:pPr>
            <w:r>
              <w:rPr>
                <w:rFonts w:hint="eastAsia" w:ascii="宋体" w:hAnsi="宋体"/>
                <w:sz w:val="24"/>
              </w:rPr>
              <w:t>估价对象外墙磨砂石，入户防盗门，因当事人原因，注册房地产估价师未能进入估价对象内部进行查勘，本次评估假定估价对象内部为简单装修，请报告使用人注意。</w:t>
            </w:r>
          </w:p>
        </w:tc>
      </w:tr>
    </w:tbl>
    <w:p>
      <w:pPr>
        <w:spacing w:line="560" w:lineRule="exact"/>
        <w:ind w:firstLine="594" w:firstLineChars="200"/>
        <w:rPr>
          <w:rFonts w:ascii="宋体" w:hAnsi="宋体"/>
          <w:b/>
          <w:color w:val="000000"/>
        </w:rPr>
      </w:pPr>
      <w:bookmarkStart w:id="43" w:name="_Toc16234176"/>
      <w:bookmarkStart w:id="44" w:name="_Toc28941833"/>
      <w:bookmarkStart w:id="45" w:name="_Toc24121736"/>
      <w:bookmarkStart w:id="46" w:name="_Toc17471958"/>
      <w:bookmarkStart w:id="47" w:name="_Toc55921669"/>
      <w:bookmarkStart w:id="48" w:name="_Toc27736465"/>
      <w:bookmarkStart w:id="49" w:name="_Toc19087057"/>
      <w:bookmarkStart w:id="50" w:name="_Toc17471989"/>
      <w:bookmarkStart w:id="51" w:name="_Toc16234438"/>
      <w:r>
        <w:rPr>
          <w:rStyle w:val="48"/>
          <w:rFonts w:hint="eastAsia"/>
        </w:rPr>
        <w:t>五、价值时点</w:t>
      </w:r>
      <w:bookmarkEnd w:id="43"/>
      <w:bookmarkEnd w:id="44"/>
      <w:bookmarkEnd w:id="45"/>
      <w:bookmarkEnd w:id="46"/>
      <w:bookmarkEnd w:id="47"/>
      <w:bookmarkEnd w:id="48"/>
      <w:bookmarkEnd w:id="49"/>
      <w:bookmarkEnd w:id="50"/>
      <w:bookmarkEnd w:id="51"/>
      <w:r>
        <w:rPr>
          <w:rFonts w:hint="eastAsia" w:ascii="宋体" w:hAnsi="宋体"/>
          <w:b/>
          <w:color w:val="000000"/>
        </w:rPr>
        <w:t>：</w:t>
      </w:r>
      <w:r>
        <w:rPr>
          <w:rFonts w:hint="eastAsia" w:ascii="宋体" w:hAnsi="宋体"/>
          <w:color w:val="000000"/>
          <w:sz w:val="28"/>
          <w:szCs w:val="28"/>
        </w:rPr>
        <w:t>2022年8月8日（现场实地查勘之日）</w:t>
      </w:r>
      <w:r>
        <w:rPr>
          <w:rFonts w:hint="eastAsia" w:ascii="宋体" w:hAnsi="宋体"/>
          <w:color w:val="000000"/>
        </w:rPr>
        <w:t>。</w:t>
      </w:r>
    </w:p>
    <w:p>
      <w:pPr>
        <w:spacing w:line="560" w:lineRule="exact"/>
        <w:ind w:firstLine="594" w:firstLineChars="200"/>
        <w:rPr>
          <w:rFonts w:ascii="宋体" w:hAnsi="宋体"/>
          <w:color w:val="000000"/>
          <w:sz w:val="28"/>
        </w:rPr>
      </w:pPr>
      <w:bookmarkStart w:id="52" w:name="_Toc17471959"/>
      <w:bookmarkStart w:id="53" w:name="_Toc27736466"/>
      <w:bookmarkStart w:id="54" w:name="_Toc16234177"/>
      <w:bookmarkStart w:id="55" w:name="_Toc24121737"/>
      <w:bookmarkStart w:id="56" w:name="_Toc16234439"/>
      <w:bookmarkStart w:id="57" w:name="_Toc17471990"/>
      <w:bookmarkStart w:id="58" w:name="_Toc28941834"/>
      <w:bookmarkStart w:id="59" w:name="_Toc55921670"/>
      <w:bookmarkStart w:id="60" w:name="_Toc19087058"/>
      <w:r>
        <w:rPr>
          <w:rStyle w:val="48"/>
          <w:rFonts w:hint="eastAsia"/>
        </w:rPr>
        <w:t>六、价值类型</w:t>
      </w:r>
      <w:bookmarkEnd w:id="52"/>
      <w:bookmarkEnd w:id="53"/>
      <w:bookmarkEnd w:id="54"/>
      <w:bookmarkEnd w:id="55"/>
      <w:bookmarkEnd w:id="56"/>
      <w:bookmarkEnd w:id="57"/>
      <w:bookmarkEnd w:id="58"/>
      <w:bookmarkEnd w:id="59"/>
      <w:bookmarkEnd w:id="60"/>
      <w:r>
        <w:rPr>
          <w:rFonts w:hint="eastAsia" w:ascii="宋体" w:hAnsi="宋体"/>
          <w:color w:val="000000"/>
          <w:sz w:val="28"/>
        </w:rPr>
        <w:t>：</w:t>
      </w:r>
    </w:p>
    <w:p>
      <w:pPr>
        <w:pStyle w:val="7"/>
        <w:adjustRightInd w:val="0"/>
        <w:spacing w:line="560" w:lineRule="exact"/>
        <w:ind w:firstLine="420" w:firstLineChars="150"/>
        <w:rPr>
          <w:rFonts w:ascii="宋体" w:hAnsi="宋体" w:eastAsia="宋体"/>
          <w:color w:val="000000"/>
          <w:szCs w:val="28"/>
        </w:rPr>
      </w:pPr>
      <w:bookmarkStart w:id="61" w:name="_Toc24121738"/>
      <w:bookmarkStart w:id="62" w:name="_Toc55921671"/>
      <w:bookmarkStart w:id="63" w:name="_Toc28941835"/>
      <w:bookmarkStart w:id="64" w:name="_Toc17471960"/>
      <w:bookmarkStart w:id="65" w:name="_Toc27736467"/>
      <w:bookmarkStart w:id="66" w:name="_Toc16234440"/>
      <w:bookmarkStart w:id="67" w:name="_Toc16234178"/>
      <w:bookmarkStart w:id="68" w:name="_Toc19087059"/>
      <w:bookmarkStart w:id="69" w:name="_Toc17471991"/>
      <w:r>
        <w:rPr>
          <w:rFonts w:hint="eastAsia" w:ascii="宋体" w:hAnsi="宋体" w:eastAsia="宋体"/>
          <w:color w:val="000000"/>
          <w:szCs w:val="28"/>
        </w:rPr>
        <w:t>（一）价值类型名称</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本次估价的价值类型为市场价格。</w:t>
      </w:r>
    </w:p>
    <w:p>
      <w:pPr>
        <w:pStyle w:val="7"/>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（二）价值定义</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某种（或某宗）房地产的市场价格，是该种（或该宗）房地产在现实市场上的平均交易价格。</w:t>
      </w:r>
    </w:p>
    <w:p>
      <w:pPr>
        <w:pStyle w:val="7"/>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（三）价值内涵</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价值内涵是估价对象在价值时点，满足本次估价假设和限制条件下包括建筑物、分摊的国有建设用地使用权及配房的价格；付款方式是一次性付清房价款；房屋面积内涵是建筑面积；开发程度为现房。</w:t>
      </w:r>
    </w:p>
    <w:p>
      <w:pPr>
        <w:spacing w:line="560" w:lineRule="exact"/>
        <w:ind w:firstLine="594" w:firstLineChars="200"/>
        <w:rPr>
          <w:rFonts w:ascii="宋体" w:hAnsi="宋体"/>
          <w:b/>
          <w:color w:val="000000"/>
          <w:sz w:val="28"/>
        </w:rPr>
      </w:pPr>
      <w:r>
        <w:rPr>
          <w:rStyle w:val="48"/>
          <w:rFonts w:hint="eastAsia"/>
        </w:rPr>
        <w:t>七、估价原则</w:t>
      </w:r>
      <w:bookmarkEnd w:id="61"/>
      <w:bookmarkEnd w:id="62"/>
      <w:bookmarkEnd w:id="63"/>
      <w:bookmarkEnd w:id="64"/>
      <w:bookmarkEnd w:id="65"/>
      <w:bookmarkEnd w:id="66"/>
      <w:bookmarkEnd w:id="67"/>
      <w:bookmarkEnd w:id="68"/>
      <w:bookmarkEnd w:id="69"/>
      <w:r>
        <w:rPr>
          <w:rFonts w:hint="eastAsia" w:ascii="宋体" w:hAnsi="宋体"/>
          <w:b/>
          <w:color w:val="000000"/>
          <w:sz w:val="28"/>
        </w:rPr>
        <w:t>：</w:t>
      </w:r>
    </w:p>
    <w:p>
      <w:pPr>
        <w:pStyle w:val="9"/>
        <w:spacing w:line="560" w:lineRule="exact"/>
        <w:rPr>
          <w:rFonts w:ascii="宋体" w:hAnsi="宋体" w:eastAsia="宋体"/>
          <w:szCs w:val="32"/>
        </w:rPr>
      </w:pPr>
      <w:bookmarkStart w:id="70" w:name="_Toc16234179"/>
      <w:bookmarkStart w:id="71" w:name="_Toc24121739"/>
      <w:bookmarkStart w:id="72" w:name="_Toc17471992"/>
      <w:bookmarkStart w:id="73" w:name="_Toc27736468"/>
      <w:bookmarkStart w:id="74" w:name="_Toc17471961"/>
      <w:bookmarkStart w:id="75" w:name="_Toc16234441"/>
      <w:bookmarkStart w:id="76" w:name="_Toc28941836"/>
      <w:bookmarkStart w:id="77" w:name="_Toc19087060"/>
      <w:bookmarkStart w:id="78" w:name="_Toc55921672"/>
      <w:r>
        <w:rPr>
          <w:rFonts w:hint="eastAsia" w:ascii="宋体" w:hAnsi="宋体" w:eastAsia="宋体"/>
          <w:szCs w:val="32"/>
        </w:rPr>
        <w:t>本次估价遵守独立、客观、公正、合法的原则及最高最佳使用原则、价值时点原则、替代原则等技术性原则。</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（一）独立、客观、公正原则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及估价人员</w:t>
      </w:r>
      <w:r>
        <w:rPr>
          <w:rFonts w:hint="eastAsia" w:ascii="宋体" w:hAnsi="宋体" w:eastAsia="宋体"/>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（二）合法原则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7"/>
        <w:adjustRightInd w:val="0"/>
        <w:spacing w:line="56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7"/>
        <w:adjustRightInd w:val="0"/>
        <w:spacing w:line="56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7"/>
        <w:adjustRightInd w:val="0"/>
        <w:spacing w:line="560" w:lineRule="exact"/>
        <w:rPr>
          <w:rFonts w:ascii="宋体" w:hAnsi="宋体" w:eastAsia="宋体"/>
          <w:szCs w:val="28"/>
        </w:rPr>
      </w:pPr>
      <w:r>
        <w:rPr>
          <w:rFonts w:hint="eastAsia" w:ascii="宋体" w:hAnsi="宋体" w:eastAsia="宋体"/>
          <w:szCs w:val="28"/>
        </w:rPr>
        <w:t>合法。</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（三）价值时点原则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（四）替代原则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 能、财务上可行并使价值最大的合理、可能的利用，包括最佳的用途、规模、档次等。</w:t>
      </w:r>
    </w:p>
    <w:p>
      <w:pPr>
        <w:pStyle w:val="7"/>
        <w:spacing w:line="560" w:lineRule="exact"/>
        <w:ind w:firstLine="594" w:firstLineChars="200"/>
        <w:rPr>
          <w:rFonts w:ascii="宋体" w:hAnsi="宋体" w:eastAsia="宋体"/>
          <w:b/>
          <w:color w:val="000000"/>
        </w:rPr>
      </w:pPr>
      <w:r>
        <w:rPr>
          <w:rStyle w:val="48"/>
          <w:rFonts w:hint="eastAsia"/>
        </w:rPr>
        <w:t>八、估价依据</w:t>
      </w:r>
      <w:bookmarkEnd w:id="70"/>
      <w:bookmarkEnd w:id="71"/>
      <w:bookmarkEnd w:id="72"/>
      <w:bookmarkEnd w:id="73"/>
      <w:bookmarkEnd w:id="74"/>
      <w:bookmarkEnd w:id="75"/>
      <w:bookmarkEnd w:id="76"/>
      <w:bookmarkEnd w:id="77"/>
      <w:bookmarkEnd w:id="78"/>
      <w:r>
        <w:rPr>
          <w:rFonts w:hint="eastAsia" w:ascii="宋体" w:hAnsi="宋体" w:eastAsia="宋体"/>
          <w:b/>
          <w:color w:val="000000"/>
        </w:rPr>
        <w:t>：</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1、《中华人民共和国民法典》（2020年5月28日，十三届全国人大三次会议表决通过，自2021年1月1日起施行）；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、《中华人民共和国资产评估法》（全国人民代表大会常务委员会于2016年7月2日发布，自2016年12月1日起实施）；</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、《最高人民法院关于人民法院委托评估、拍卖和变卖工作的若干规定》（法释[2009]16号，于2009年8月24日由最高人民法院审判委员会第1472次会议通过，自2009年11月20日起施行）；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、《最高人民法院关于人民法院确定财产处置参考价若干问题的规定》（法释[2018]15号，于2018年6月4日由最高人民法院审判委员会第1741次会议通过，自2018年9月1日起施行）；</w:t>
      </w:r>
    </w:p>
    <w:p>
      <w:pPr>
        <w:pStyle w:val="7"/>
        <w:spacing w:line="560" w:lineRule="exact"/>
        <w:ind w:firstLine="560" w:firstLineChars="200"/>
        <w:rPr>
          <w:rFonts w:ascii="宋体" w:hAnsi="宋体" w:eastAsia="宋体"/>
          <w:szCs w:val="28"/>
        </w:rPr>
      </w:pPr>
      <w:r>
        <w:rPr>
          <w:rFonts w:ascii="宋体" w:hAnsi="宋体" w:eastAsia="宋体"/>
          <w:szCs w:val="28"/>
        </w:rPr>
        <w:t>7</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《关于全面推开营业税改征增值税试点的通知》（财税〔2016〕36 号）；</w:t>
      </w:r>
    </w:p>
    <w:p>
      <w:pPr>
        <w:pStyle w:val="7"/>
        <w:spacing w:line="560" w:lineRule="exact"/>
        <w:ind w:firstLine="560" w:firstLineChars="200"/>
        <w:rPr>
          <w:rFonts w:ascii="宋体" w:hAnsi="宋体" w:eastAsia="宋体"/>
          <w:szCs w:val="28"/>
        </w:rPr>
      </w:pPr>
      <w:r>
        <w:rPr>
          <w:rFonts w:ascii="宋体" w:hAnsi="宋体" w:eastAsia="宋体"/>
          <w:szCs w:val="28"/>
        </w:rPr>
        <w:t>8</w:t>
      </w:r>
      <w:r>
        <w:rPr>
          <w:rFonts w:hint="eastAsia" w:ascii="宋体" w:hAnsi="宋体" w:eastAsia="宋体"/>
          <w:szCs w:val="28"/>
        </w:rPr>
        <w:t>、国家税务总局《关于发布〈纳税人提供不动产经营租赁服务增值税征收管理暂行办法〉的公告》；</w:t>
      </w:r>
    </w:p>
    <w:p>
      <w:pPr>
        <w:pStyle w:val="7"/>
        <w:spacing w:line="560" w:lineRule="exact"/>
        <w:ind w:firstLine="560" w:firstLineChars="200"/>
        <w:rPr>
          <w:rFonts w:ascii="宋体" w:hAnsi="宋体" w:eastAsia="宋体"/>
          <w:szCs w:val="28"/>
        </w:rPr>
      </w:pPr>
      <w:r>
        <w:rPr>
          <w:rFonts w:ascii="宋体" w:hAnsi="宋体" w:eastAsia="宋体"/>
          <w:szCs w:val="28"/>
        </w:rPr>
        <w:t>9</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《关于营改增后契税 房产税 土地增值税 个人所得税计税依据问题的通知》（财税〔2016〕43 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（二）本次估价采用的技术规程</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2、中华人民共和国国家标准GB/T50899-2013《房地产估价基本术语标准》；</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、中国</w:t>
      </w:r>
      <w:r>
        <w:rPr>
          <w:rFonts w:ascii="宋体" w:hAnsi="宋体"/>
          <w:color w:val="000000"/>
          <w:sz w:val="28"/>
          <w:szCs w:val="28"/>
        </w:rPr>
        <w:t>房地产估价师与房地产经纪人学会关于</w:t>
      </w:r>
      <w:r>
        <w:rPr>
          <w:rFonts w:hint="eastAsia" w:ascii="宋体" w:hAnsi="宋体"/>
          <w:color w:val="000000"/>
          <w:sz w:val="28"/>
          <w:szCs w:val="28"/>
        </w:rPr>
        <w:t>《涉执房地产处置司法评估指导意见（试行）》的通知（中房学〔2021〕37号）。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（三）估价委托人及当事人提供的有关资料</w:t>
      </w:r>
    </w:p>
    <w:p>
      <w:pPr>
        <w:spacing w:line="560" w:lineRule="exact"/>
        <w:ind w:firstLine="560" w:firstLineChars="200"/>
        <w:rPr>
          <w:rFonts w:ascii="宋体" w:hAnsi="宋体"/>
          <w:color w:val="000000"/>
          <w:sz w:val="28"/>
        </w:rPr>
      </w:pPr>
      <w:r>
        <w:rPr>
          <w:rFonts w:hint="eastAsia" w:ascii="宋体" w:hAnsi="宋体"/>
          <w:color w:val="000000"/>
          <w:sz w:val="28"/>
        </w:rPr>
        <w:t>1、高唐县人民法院委托书原件；</w:t>
      </w:r>
    </w:p>
    <w:p>
      <w:pPr>
        <w:spacing w:line="560" w:lineRule="exact"/>
        <w:ind w:firstLine="560" w:firstLineChars="200"/>
        <w:rPr>
          <w:rFonts w:ascii="宋体" w:hAnsi="宋体"/>
          <w:color w:val="000000"/>
          <w:sz w:val="28"/>
        </w:rPr>
      </w:pPr>
      <w:r>
        <w:rPr>
          <w:rFonts w:hint="eastAsia" w:ascii="宋体" w:hAnsi="宋体"/>
          <w:color w:val="000000"/>
          <w:sz w:val="28"/>
        </w:rPr>
        <w:t>2、房地产权登记信息（独幢、层、套、间房屋）复印件；</w:t>
      </w:r>
    </w:p>
    <w:p>
      <w:pPr>
        <w:spacing w:line="560" w:lineRule="exact"/>
        <w:rPr>
          <w:rFonts w:ascii="宋体" w:hAnsi="宋体"/>
          <w:color w:val="000000"/>
          <w:sz w:val="28"/>
          <w:szCs w:val="28"/>
        </w:rPr>
      </w:pPr>
      <w:r>
        <w:rPr>
          <w:rFonts w:hint="eastAsia" w:ascii="宋体" w:hAnsi="宋体"/>
          <w:color w:val="000000"/>
          <w:sz w:val="28"/>
          <w:szCs w:val="28"/>
        </w:rPr>
        <w:t xml:space="preserve">   （四）房地产估价机构和注册房地产估价师所搜集掌握的有关资料。</w:t>
      </w:r>
    </w:p>
    <w:p>
      <w:pPr>
        <w:spacing w:line="56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2、注册房地产估价师</w:t>
      </w:r>
      <w:r>
        <w:rPr>
          <w:rFonts w:hint="eastAsia" w:ascii="宋体" w:hAnsi="宋体" w:eastAsia="宋体"/>
          <w:szCs w:val="28"/>
        </w:rPr>
        <w:t>调查和搜集的高唐县房地产市场有关资料等</w:t>
      </w:r>
      <w:r>
        <w:rPr>
          <w:rFonts w:hint="eastAsia" w:ascii="宋体" w:hAnsi="宋体" w:eastAsia="宋体"/>
          <w:color w:val="000000"/>
          <w:szCs w:val="28"/>
        </w:rPr>
        <w:t>；</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3、估价对象的实地查勘的资料（图片）及房地产估价机构长期积累的估价资料。</w:t>
      </w:r>
    </w:p>
    <w:p>
      <w:pPr>
        <w:pStyle w:val="7"/>
        <w:spacing w:line="560" w:lineRule="exact"/>
        <w:ind w:firstLine="594" w:firstLineChars="200"/>
        <w:rPr>
          <w:rFonts w:ascii="宋体" w:hAnsi="宋体" w:eastAsia="宋体"/>
          <w:b/>
          <w:color w:val="000000"/>
        </w:rPr>
      </w:pPr>
      <w:bookmarkStart w:id="79" w:name="_Toc16234180"/>
      <w:bookmarkStart w:id="80" w:name="_Toc19087061"/>
      <w:bookmarkStart w:id="81" w:name="_Toc28941837"/>
      <w:bookmarkStart w:id="82" w:name="_Toc16234442"/>
      <w:bookmarkStart w:id="83" w:name="_Toc27736469"/>
      <w:bookmarkStart w:id="84" w:name="_Toc17471993"/>
      <w:bookmarkStart w:id="85" w:name="_Toc17471962"/>
      <w:bookmarkStart w:id="86" w:name="_Toc55921673"/>
      <w:bookmarkStart w:id="87" w:name="_Toc24121740"/>
      <w:r>
        <w:rPr>
          <w:rStyle w:val="48"/>
          <w:rFonts w:hint="eastAsia"/>
        </w:rPr>
        <w:t>九、估价方法</w:t>
      </w:r>
      <w:bookmarkEnd w:id="79"/>
      <w:bookmarkEnd w:id="80"/>
      <w:bookmarkEnd w:id="81"/>
      <w:bookmarkEnd w:id="82"/>
      <w:bookmarkEnd w:id="83"/>
      <w:bookmarkEnd w:id="84"/>
      <w:bookmarkEnd w:id="85"/>
      <w:bookmarkEnd w:id="86"/>
      <w:bookmarkEnd w:id="87"/>
      <w:r>
        <w:rPr>
          <w:rFonts w:hint="eastAsia" w:ascii="宋体" w:hAnsi="宋体" w:eastAsia="宋体"/>
          <w:b/>
          <w:color w:val="000000"/>
        </w:rPr>
        <w:t>：</w:t>
      </w:r>
    </w:p>
    <w:p>
      <w:pPr>
        <w:spacing w:line="560" w:lineRule="exact"/>
        <w:ind w:firstLine="422" w:firstLineChars="150"/>
        <w:rPr>
          <w:rFonts w:ascii="宋体" w:hAnsi="宋体" w:cs="宋体"/>
          <w:b/>
          <w:color w:val="000000"/>
          <w:sz w:val="28"/>
        </w:rPr>
      </w:pPr>
      <w:r>
        <w:rPr>
          <w:rFonts w:hint="eastAsia" w:ascii="宋体" w:hAnsi="宋体" w:cs="宋体"/>
          <w:b/>
          <w:color w:val="000000"/>
          <w:sz w:val="28"/>
        </w:rPr>
        <w:t>（一）估价方法</w:t>
      </w:r>
      <w:r>
        <w:rPr>
          <w:rFonts w:ascii="宋体" w:hAnsi="宋体" w:cs="宋体"/>
          <w:b/>
          <w:color w:val="000000"/>
          <w:sz w:val="28"/>
        </w:rPr>
        <w:t>选择</w:t>
      </w:r>
      <w:r>
        <w:rPr>
          <w:rFonts w:hint="eastAsia" w:ascii="宋体" w:hAnsi="宋体" w:cs="宋体"/>
          <w:b/>
          <w:color w:val="000000"/>
          <w:sz w:val="28"/>
        </w:rPr>
        <w:t>及</w:t>
      </w:r>
      <w:r>
        <w:rPr>
          <w:rFonts w:ascii="宋体" w:hAnsi="宋体" w:cs="宋体"/>
          <w:b/>
          <w:color w:val="000000"/>
          <w:sz w:val="28"/>
        </w:rPr>
        <w:t>理由</w:t>
      </w:r>
    </w:p>
    <w:p>
      <w:pPr>
        <w:spacing w:line="560" w:lineRule="exact"/>
        <w:ind w:firstLine="560" w:firstLineChars="200"/>
        <w:rPr>
          <w:rFonts w:ascii="宋体" w:hAnsi="宋体" w:cs="宋体"/>
          <w:color w:val="000000"/>
          <w:sz w:val="28"/>
        </w:rPr>
      </w:pPr>
      <w:r>
        <w:rPr>
          <w:rFonts w:hint="eastAsia" w:ascii="宋体" w:hAnsi="宋体" w:cs="宋体"/>
          <w:color w:val="000000"/>
          <w:sz w:val="28"/>
        </w:rPr>
        <w:t>根据《房地产估价规范》房地产估价常用方法有比较法、收益法、成本法、假设开发法等，估价过程中应根据估价对象的实际情况选择适合的评估方法。</w:t>
      </w:r>
    </w:p>
    <w:p>
      <w:pPr>
        <w:spacing w:line="560" w:lineRule="exact"/>
        <w:ind w:firstLine="560" w:firstLineChars="200"/>
        <w:rPr>
          <w:rFonts w:ascii="宋体" w:hAnsi="宋体" w:cs="宋体"/>
          <w:color w:val="000000"/>
          <w:sz w:val="28"/>
        </w:rPr>
      </w:pPr>
      <w:r>
        <w:rPr>
          <w:rFonts w:hint="eastAsia" w:ascii="宋体" w:hAnsi="宋体" w:cs="宋体"/>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用途为住宅、配房，在估价对象坐落于同一供求范围内，与其相似的房地产交易实例较多，且可比性较好，根据替代原则适宜使用比较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估价对象用途为住宅、配房，在估价对象坐落于同一供求范围内，与其相似的房地产出租交易实例较多，且可比性较好，收益较好确定，故适宜使用收益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住宅、配房，其价值已并非各项要素资产的简单估价加总，不宜采用成本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pPr>
        <w:spacing w:line="560" w:lineRule="exact"/>
        <w:ind w:firstLine="422" w:firstLineChars="150"/>
        <w:rPr>
          <w:rFonts w:ascii="宋体" w:hAnsi="宋体" w:cs="宋体"/>
          <w:b/>
          <w:color w:val="000000"/>
          <w:sz w:val="28"/>
        </w:rPr>
      </w:pPr>
      <w:r>
        <w:rPr>
          <w:rFonts w:hint="eastAsia" w:ascii="宋体" w:hAnsi="宋体" w:cs="宋体"/>
          <w:b/>
          <w:color w:val="000000"/>
          <w:sz w:val="28"/>
        </w:rPr>
        <w:t>（二）估价技术思路</w:t>
      </w:r>
    </w:p>
    <w:p>
      <w:pPr>
        <w:spacing w:line="560" w:lineRule="exact"/>
        <w:ind w:firstLine="560" w:firstLineChars="200"/>
        <w:rPr>
          <w:rFonts w:ascii="宋体" w:hAnsi="宋体" w:cs="宋体"/>
          <w:color w:val="000000"/>
          <w:sz w:val="28"/>
        </w:rPr>
      </w:pPr>
      <w:r>
        <w:rPr>
          <w:rFonts w:hint="eastAsia" w:ascii="宋体" w:hAnsi="宋体" w:cs="宋体"/>
          <w:color w:val="000000"/>
          <w:sz w:val="28"/>
        </w:rPr>
        <w:t>综上所述，注册房地产估价师</w:t>
      </w:r>
      <w:r>
        <w:rPr>
          <w:rFonts w:ascii="宋体" w:hAnsi="宋体" w:cs="宋体"/>
          <w:color w:val="000000"/>
          <w:sz w:val="28"/>
        </w:rPr>
        <w:t>在认真分析所掌握的资料，对估价对象进行实地查勘</w:t>
      </w:r>
      <w:r>
        <w:rPr>
          <w:rFonts w:hint="eastAsia" w:ascii="宋体" w:hAnsi="宋体" w:cs="宋体"/>
          <w:color w:val="000000"/>
          <w:sz w:val="28"/>
        </w:rPr>
        <w:t>及</w:t>
      </w:r>
      <w:r>
        <w:rPr>
          <w:rFonts w:ascii="宋体" w:hAnsi="宋体" w:cs="宋体"/>
          <w:color w:val="000000"/>
          <w:sz w:val="28"/>
        </w:rPr>
        <w:t>对周边房地产市场进行调查后，根据《</w:t>
      </w:r>
      <w:r>
        <w:rPr>
          <w:rFonts w:hint="eastAsia" w:ascii="宋体" w:hAnsi="宋体" w:cs="宋体"/>
          <w:color w:val="000000"/>
          <w:sz w:val="28"/>
        </w:rPr>
        <w:t>房地产估价规范</w:t>
      </w:r>
      <w:r>
        <w:rPr>
          <w:rFonts w:ascii="宋体" w:hAnsi="宋体" w:cs="宋体"/>
          <w:color w:val="000000"/>
          <w:sz w:val="28"/>
        </w:rPr>
        <w:t>》</w:t>
      </w:r>
      <w:r>
        <w:rPr>
          <w:rFonts w:hint="eastAsia" w:ascii="宋体" w:hAnsi="宋体" w:cs="宋体"/>
          <w:color w:val="000000"/>
          <w:sz w:val="28"/>
        </w:rPr>
        <w:t>及</w:t>
      </w:r>
      <w:r>
        <w:rPr>
          <w:rFonts w:ascii="宋体" w:hAnsi="宋体" w:cs="宋体"/>
          <w:color w:val="000000"/>
          <w:sz w:val="28"/>
        </w:rPr>
        <w:t>遵循国家相关法律、法规、估价技术标准，</w:t>
      </w:r>
      <w:r>
        <w:rPr>
          <w:rFonts w:hint="eastAsia" w:ascii="宋体" w:hAnsi="宋体" w:cs="宋体"/>
          <w:color w:val="000000"/>
          <w:sz w:val="28"/>
        </w:rPr>
        <w:t>本次房地产选用比较法和</w:t>
      </w:r>
      <w:r>
        <w:rPr>
          <w:rFonts w:ascii="宋体" w:hAnsi="宋体" w:cs="宋体"/>
          <w:color w:val="000000"/>
          <w:sz w:val="28"/>
        </w:rPr>
        <w:t>收益法</w:t>
      </w:r>
      <w:r>
        <w:rPr>
          <w:rFonts w:hint="eastAsia" w:ascii="宋体" w:hAnsi="宋体" w:cs="宋体"/>
          <w:color w:val="000000"/>
          <w:sz w:val="28"/>
        </w:rPr>
        <w:t>进行评估。</w:t>
      </w:r>
    </w:p>
    <w:p>
      <w:pPr>
        <w:spacing w:line="560" w:lineRule="exact"/>
        <w:ind w:firstLine="560" w:firstLineChars="200"/>
        <w:rPr>
          <w:rFonts w:ascii="宋体" w:hAnsi="宋体"/>
          <w:sz w:val="28"/>
          <w:szCs w:val="28"/>
        </w:rPr>
      </w:pPr>
      <w:r>
        <w:rPr>
          <w:rFonts w:hint="eastAsia" w:ascii="宋体" w:hAnsi="宋体"/>
          <w:sz w:val="28"/>
          <w:szCs w:val="28"/>
        </w:rPr>
        <w:t>1、比较法测算步骤如下：</w:t>
      </w:r>
    </w:p>
    <w:p>
      <w:pPr>
        <w:spacing w:line="560" w:lineRule="exact"/>
        <w:ind w:firstLine="560" w:firstLineChars="200"/>
        <w:rPr>
          <w:rFonts w:ascii="宋体" w:hAnsi="宋体"/>
          <w:sz w:val="28"/>
          <w:szCs w:val="28"/>
        </w:rPr>
      </w:pPr>
      <w:r>
        <w:rPr>
          <w:rFonts w:ascii="宋体" w:hAnsi="宋体"/>
          <w:sz w:val="28"/>
          <w:szCs w:val="28"/>
        </w:rPr>
        <w:fldChar w:fldCharType="begin"/>
      </w:r>
      <w:r>
        <w:rPr>
          <w:rFonts w:hint="eastAsia" w:ascii="宋体" w:hAnsi="宋体"/>
          <w:sz w:val="28"/>
          <w:szCs w:val="28"/>
        </w:rPr>
        <w:instrText xml:space="preserve">= 1 \* GB3</w:instrText>
      </w:r>
      <w:r>
        <w:rPr>
          <w:rFonts w:ascii="宋体" w:hAnsi="宋体"/>
          <w:sz w:val="28"/>
          <w:szCs w:val="28"/>
        </w:rPr>
        <w:fldChar w:fldCharType="separate"/>
      </w:r>
      <w:r>
        <w:rPr>
          <w:rFonts w:hint="eastAsia" w:ascii="宋体" w:hAnsi="宋体"/>
          <w:sz w:val="28"/>
          <w:szCs w:val="28"/>
        </w:rPr>
        <w:t>①</w:t>
      </w:r>
      <w:r>
        <w:rPr>
          <w:rFonts w:ascii="宋体" w:hAnsi="宋体"/>
          <w:sz w:val="28"/>
          <w:szCs w:val="28"/>
        </w:rPr>
        <w:fldChar w:fldCharType="end"/>
      </w:r>
      <w:r>
        <w:rPr>
          <w:rFonts w:hint="eastAsia" w:ascii="宋体" w:hAnsi="宋体"/>
          <w:sz w:val="28"/>
          <w:szCs w:val="28"/>
        </w:rPr>
        <w:t>搜集交易实例；</w:t>
      </w:r>
      <w:r>
        <w:rPr>
          <w:rFonts w:ascii="宋体" w:hAnsi="宋体"/>
          <w:sz w:val="28"/>
          <w:szCs w:val="28"/>
        </w:rPr>
        <w:fldChar w:fldCharType="begin"/>
      </w:r>
      <w:r>
        <w:rPr>
          <w:rFonts w:hint="eastAsia" w:ascii="宋体" w:hAnsi="宋体"/>
          <w:sz w:val="28"/>
          <w:szCs w:val="28"/>
        </w:rPr>
        <w:instrText xml:space="preserve">= 2 \* GB3</w:instrText>
      </w:r>
      <w:r>
        <w:rPr>
          <w:rFonts w:ascii="宋体" w:hAnsi="宋体"/>
          <w:sz w:val="28"/>
          <w:szCs w:val="28"/>
        </w:rPr>
        <w:fldChar w:fldCharType="separate"/>
      </w:r>
      <w:r>
        <w:rPr>
          <w:rFonts w:hint="eastAsia" w:ascii="宋体" w:hAnsi="宋体"/>
          <w:sz w:val="28"/>
          <w:szCs w:val="28"/>
        </w:rPr>
        <w:t>②</w:t>
      </w:r>
      <w:r>
        <w:rPr>
          <w:rFonts w:ascii="宋体" w:hAnsi="宋体"/>
          <w:sz w:val="28"/>
          <w:szCs w:val="28"/>
        </w:rPr>
        <w:fldChar w:fldCharType="end"/>
      </w:r>
      <w:r>
        <w:rPr>
          <w:rFonts w:hint="eastAsia" w:ascii="宋体" w:hAnsi="宋体"/>
          <w:sz w:val="28"/>
          <w:szCs w:val="28"/>
        </w:rPr>
        <w:t>选取可比实例；</w:t>
      </w:r>
      <w:r>
        <w:rPr>
          <w:rFonts w:ascii="宋体" w:hAnsi="宋体"/>
          <w:sz w:val="28"/>
          <w:szCs w:val="28"/>
        </w:rPr>
        <w:fldChar w:fldCharType="begin"/>
      </w:r>
      <w:r>
        <w:rPr>
          <w:rFonts w:hint="eastAsia" w:ascii="宋体" w:hAnsi="宋体"/>
          <w:sz w:val="28"/>
          <w:szCs w:val="28"/>
        </w:rPr>
        <w:instrText xml:space="preserve">= 3 \* GB3</w:instrText>
      </w:r>
      <w:r>
        <w:rPr>
          <w:rFonts w:ascii="宋体" w:hAnsi="宋体"/>
          <w:sz w:val="28"/>
          <w:szCs w:val="28"/>
        </w:rPr>
        <w:fldChar w:fldCharType="separate"/>
      </w:r>
      <w:r>
        <w:rPr>
          <w:rFonts w:hint="eastAsia" w:ascii="宋体" w:hAnsi="宋体"/>
          <w:sz w:val="28"/>
          <w:szCs w:val="28"/>
        </w:rPr>
        <w:t>③</w:t>
      </w:r>
      <w:r>
        <w:rPr>
          <w:rFonts w:ascii="宋体" w:hAnsi="宋体"/>
          <w:sz w:val="28"/>
          <w:szCs w:val="28"/>
        </w:rPr>
        <w:fldChar w:fldCharType="end"/>
      </w:r>
      <w:r>
        <w:rPr>
          <w:rFonts w:hint="eastAsia" w:ascii="宋体" w:hAnsi="宋体"/>
          <w:sz w:val="28"/>
          <w:szCs w:val="28"/>
        </w:rPr>
        <w:t>建立比较基础；</w:t>
      </w:r>
      <w:r>
        <w:rPr>
          <w:rFonts w:ascii="宋体" w:hAnsi="宋体"/>
          <w:sz w:val="28"/>
          <w:szCs w:val="28"/>
        </w:rPr>
        <w:fldChar w:fldCharType="begin"/>
      </w:r>
      <w:r>
        <w:rPr>
          <w:rFonts w:hint="eastAsia" w:ascii="宋体" w:hAnsi="宋体"/>
          <w:sz w:val="28"/>
          <w:szCs w:val="28"/>
        </w:rPr>
        <w:instrText xml:space="preserve">= 4 \* GB3</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进行交易情况修正；</w:t>
      </w:r>
      <w:r>
        <w:rPr>
          <w:rFonts w:ascii="宋体" w:hAnsi="宋体"/>
          <w:sz w:val="28"/>
          <w:szCs w:val="28"/>
        </w:rPr>
        <w:fldChar w:fldCharType="begin"/>
      </w:r>
      <w:r>
        <w:rPr>
          <w:rFonts w:hint="eastAsia" w:ascii="宋体" w:hAnsi="宋体"/>
          <w:sz w:val="28"/>
          <w:szCs w:val="28"/>
        </w:rPr>
        <w:instrText xml:space="preserve">= 5 \* GB3</w:instrText>
      </w:r>
      <w:r>
        <w:rPr>
          <w:rFonts w:ascii="宋体" w:hAnsi="宋体"/>
          <w:sz w:val="28"/>
          <w:szCs w:val="28"/>
        </w:rPr>
        <w:fldChar w:fldCharType="separate"/>
      </w:r>
      <w:r>
        <w:rPr>
          <w:rFonts w:hint="eastAsia" w:ascii="宋体" w:hAnsi="宋体"/>
          <w:sz w:val="28"/>
          <w:szCs w:val="28"/>
        </w:rPr>
        <w:t>⑤</w:t>
      </w:r>
      <w:r>
        <w:rPr>
          <w:rFonts w:ascii="宋体" w:hAnsi="宋体"/>
          <w:sz w:val="28"/>
          <w:szCs w:val="28"/>
        </w:rPr>
        <w:fldChar w:fldCharType="end"/>
      </w:r>
      <w:r>
        <w:rPr>
          <w:rFonts w:hint="eastAsia" w:ascii="宋体" w:hAnsi="宋体"/>
          <w:sz w:val="28"/>
          <w:szCs w:val="28"/>
        </w:rPr>
        <w:t>进行市场状况调整；</w:t>
      </w:r>
      <w:r>
        <w:rPr>
          <w:rFonts w:ascii="宋体" w:hAnsi="宋体"/>
          <w:sz w:val="28"/>
          <w:szCs w:val="28"/>
        </w:rPr>
        <w:fldChar w:fldCharType="begin"/>
      </w:r>
      <w:r>
        <w:rPr>
          <w:rFonts w:hint="eastAsia" w:ascii="宋体" w:hAnsi="宋体"/>
          <w:sz w:val="28"/>
          <w:szCs w:val="28"/>
        </w:rPr>
        <w:instrText xml:space="preserve">= 6 \* GB3</w:instrText>
      </w:r>
      <w:r>
        <w:rPr>
          <w:rFonts w:ascii="宋体" w:hAnsi="宋体"/>
          <w:sz w:val="28"/>
          <w:szCs w:val="28"/>
        </w:rPr>
        <w:fldChar w:fldCharType="separate"/>
      </w:r>
      <w:r>
        <w:rPr>
          <w:rFonts w:hint="eastAsia" w:ascii="宋体" w:hAnsi="宋体"/>
          <w:sz w:val="28"/>
          <w:szCs w:val="28"/>
        </w:rPr>
        <w:t>⑥</w:t>
      </w:r>
      <w:r>
        <w:rPr>
          <w:rFonts w:ascii="宋体" w:hAnsi="宋体"/>
          <w:sz w:val="28"/>
          <w:szCs w:val="28"/>
        </w:rPr>
        <w:fldChar w:fldCharType="end"/>
      </w:r>
      <w:r>
        <w:rPr>
          <w:rFonts w:hint="eastAsia" w:ascii="宋体" w:hAnsi="宋体"/>
          <w:sz w:val="28"/>
          <w:szCs w:val="28"/>
        </w:rPr>
        <w:t>进行房地产状况调整；</w:t>
      </w:r>
      <w:r>
        <w:rPr>
          <w:rFonts w:ascii="宋体" w:hAnsi="宋体"/>
          <w:sz w:val="28"/>
          <w:szCs w:val="28"/>
        </w:rPr>
        <w:fldChar w:fldCharType="begin"/>
      </w:r>
      <w:r>
        <w:rPr>
          <w:rFonts w:hint="eastAsia" w:ascii="宋体" w:hAnsi="宋体"/>
          <w:sz w:val="28"/>
          <w:szCs w:val="28"/>
        </w:rPr>
        <w:instrText xml:space="preserve">= 7 \* GB3</w:instrText>
      </w:r>
      <w:r>
        <w:rPr>
          <w:rFonts w:ascii="宋体" w:hAnsi="宋体"/>
          <w:sz w:val="28"/>
          <w:szCs w:val="28"/>
        </w:rPr>
        <w:fldChar w:fldCharType="separate"/>
      </w:r>
      <w:r>
        <w:rPr>
          <w:rFonts w:hint="eastAsia" w:ascii="宋体" w:hAnsi="宋体"/>
          <w:sz w:val="28"/>
          <w:szCs w:val="28"/>
        </w:rPr>
        <w:t>⑦</w:t>
      </w:r>
      <w:r>
        <w:rPr>
          <w:rFonts w:ascii="宋体" w:hAnsi="宋体"/>
          <w:sz w:val="28"/>
          <w:szCs w:val="28"/>
        </w:rPr>
        <w:fldChar w:fldCharType="end"/>
      </w:r>
      <w:r>
        <w:rPr>
          <w:rFonts w:hint="eastAsia" w:ascii="宋体" w:hAnsi="宋体"/>
          <w:sz w:val="28"/>
          <w:szCs w:val="28"/>
        </w:rPr>
        <w:t>计算比准价格。</w:t>
      </w:r>
    </w:p>
    <w:p>
      <w:pPr>
        <w:spacing w:line="560" w:lineRule="exact"/>
        <w:ind w:firstLine="560" w:firstLineChars="200"/>
        <w:rPr>
          <w:rFonts w:ascii="宋体" w:hAnsi="宋体"/>
          <w:sz w:val="28"/>
          <w:szCs w:val="28"/>
        </w:rPr>
      </w:pPr>
      <w:r>
        <w:rPr>
          <w:rFonts w:hint="eastAsia" w:ascii="宋体" w:hAnsi="宋体"/>
          <w:sz w:val="28"/>
          <w:szCs w:val="28"/>
        </w:rPr>
        <w:t>2、收益法测算步骤如下：</w:t>
      </w:r>
    </w:p>
    <w:p>
      <w:pPr>
        <w:spacing w:line="560" w:lineRule="exact"/>
        <w:ind w:firstLine="560" w:firstLineChars="200"/>
        <w:rPr>
          <w:rFonts w:ascii="宋体" w:hAnsi="宋体"/>
          <w:sz w:val="28"/>
          <w:szCs w:val="28"/>
        </w:rPr>
      </w:pPr>
      <w:r>
        <w:rPr>
          <w:rFonts w:hint="eastAsia" w:ascii="宋体" w:hAnsi="宋体"/>
          <w:sz w:val="28"/>
          <w:szCs w:val="28"/>
        </w:rPr>
        <w:t>①选择具体的估价方法；②测算收益期或持有期；③测算期间收益；④确定报酬率；⑤确定净收益和</w:t>
      </w:r>
      <w:r>
        <w:rPr>
          <w:rFonts w:ascii="宋体" w:hAnsi="宋体"/>
          <w:sz w:val="28"/>
          <w:szCs w:val="28"/>
        </w:rPr>
        <w:t>年租金</w:t>
      </w:r>
      <w:r>
        <w:rPr>
          <w:rFonts w:hint="eastAsia" w:ascii="宋体" w:hAnsi="宋体"/>
          <w:sz w:val="28"/>
          <w:szCs w:val="28"/>
        </w:rPr>
        <w:t>逐年递增比率；⑥测算估价对象期末转售价格；⑦计算收益价格</w:t>
      </w:r>
      <w:r>
        <w:rPr>
          <w:rFonts w:ascii="宋体" w:hAnsi="宋体" w:cs="宋体"/>
          <w:color w:val="000000"/>
          <w:sz w:val="28"/>
        </w:rPr>
        <w:t>。</w:t>
      </w:r>
    </w:p>
    <w:p>
      <w:pPr>
        <w:spacing w:line="560" w:lineRule="exact"/>
        <w:ind w:firstLine="560" w:firstLineChars="200"/>
        <w:rPr>
          <w:rFonts w:ascii="宋体" w:hAnsi="宋体"/>
          <w:sz w:val="28"/>
          <w:szCs w:val="28"/>
        </w:rPr>
      </w:pPr>
      <w:r>
        <w:rPr>
          <w:rFonts w:hint="eastAsia" w:ascii="宋体" w:hAnsi="宋体"/>
          <w:sz w:val="28"/>
          <w:szCs w:val="28"/>
        </w:rPr>
        <w:t>3、估价技术路线：①运用比较法求取估价对象比准价格；②运用收益法求取估价对象收益价格；③综合确定估价对象房地产市场价格。</w:t>
      </w:r>
    </w:p>
    <w:p>
      <w:pPr>
        <w:spacing w:line="560" w:lineRule="exact"/>
        <w:ind w:firstLine="446" w:firstLineChars="150"/>
        <w:rPr>
          <w:rFonts w:ascii="宋体" w:hAnsi="宋体"/>
          <w:b/>
          <w:color w:val="000000"/>
          <w:sz w:val="28"/>
        </w:rPr>
      </w:pPr>
      <w:bookmarkStart w:id="88" w:name="_Toc27736470"/>
      <w:bookmarkStart w:id="89" w:name="_Toc16234443"/>
      <w:bookmarkStart w:id="90" w:name="_Toc19087062"/>
      <w:bookmarkStart w:id="91" w:name="_Toc24121741"/>
      <w:bookmarkStart w:id="92" w:name="_Toc17471963"/>
      <w:bookmarkStart w:id="93" w:name="_Toc28941838"/>
      <w:bookmarkStart w:id="94" w:name="_Toc17471994"/>
      <w:bookmarkStart w:id="95" w:name="_Toc16234181"/>
      <w:bookmarkStart w:id="96" w:name="_Toc55921674"/>
      <w:r>
        <w:rPr>
          <w:rStyle w:val="48"/>
          <w:rFonts w:hint="eastAsia"/>
        </w:rPr>
        <w:t>十、估价结果</w:t>
      </w:r>
      <w:bookmarkEnd w:id="88"/>
      <w:bookmarkEnd w:id="89"/>
      <w:bookmarkEnd w:id="90"/>
      <w:bookmarkEnd w:id="91"/>
      <w:bookmarkEnd w:id="92"/>
      <w:bookmarkEnd w:id="93"/>
      <w:bookmarkEnd w:id="94"/>
      <w:bookmarkEnd w:id="95"/>
      <w:bookmarkEnd w:id="96"/>
      <w:r>
        <w:rPr>
          <w:rFonts w:hint="eastAsia" w:ascii="宋体" w:hAnsi="宋体"/>
          <w:b/>
          <w:color w:val="000000"/>
          <w:sz w:val="28"/>
        </w:rPr>
        <w:t>：</w:t>
      </w:r>
    </w:p>
    <w:p>
      <w:pPr>
        <w:snapToGrid w:val="0"/>
        <w:spacing w:line="560" w:lineRule="exact"/>
        <w:ind w:left="-38" w:leftChars="-18" w:firstLine="560" w:firstLineChars="200"/>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1"/>
        <w:tblW w:w="927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7"/>
        <w:gridCol w:w="1276"/>
        <w:gridCol w:w="2410"/>
        <w:gridCol w:w="1275"/>
        <w:gridCol w:w="1418"/>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jc w:val="center"/>
              <w:rPr>
                <w:rFonts w:cs="宋体" w:asciiTheme="majorEastAsia" w:hAnsiTheme="majorEastAsia" w:eastAsiaTheme="majorEastAsia"/>
                <w:b/>
                <w:sz w:val="24"/>
              </w:rPr>
            </w:pPr>
            <w:bookmarkStart w:id="97" w:name="_Toc55921675"/>
            <w:bookmarkStart w:id="98" w:name="_Toc19087063"/>
            <w:bookmarkStart w:id="99" w:name="_Toc24121742"/>
            <w:bookmarkStart w:id="100" w:name="_Toc16234444"/>
            <w:bookmarkStart w:id="101" w:name="_Toc17471964"/>
            <w:bookmarkStart w:id="102" w:name="_Toc17471995"/>
            <w:bookmarkStart w:id="103" w:name="_Toc28941839"/>
            <w:bookmarkStart w:id="104" w:name="_Toc27736471"/>
            <w:bookmarkStart w:id="105" w:name="_Toc16234182"/>
            <w:r>
              <w:rPr>
                <w:rFonts w:hint="eastAsia" w:cs="宋体" w:asciiTheme="majorEastAsia" w:hAnsiTheme="majorEastAsia" w:eastAsiaTheme="majorEastAsia"/>
                <w:b/>
                <w:sz w:val="24"/>
              </w:rPr>
              <w:t>估价结果汇总表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不动产产权证书号</w:t>
            </w:r>
          </w:p>
        </w:tc>
        <w:tc>
          <w:tcPr>
            <w:tcW w:w="1276" w:type="dxa"/>
            <w:vAlign w:val="center"/>
          </w:tcPr>
          <w:p>
            <w:pPr>
              <w:jc w:val="center"/>
              <w:rPr>
                <w:rFonts w:hint="eastAsia" w:cs="宋体" w:asciiTheme="majorEastAsia" w:hAnsiTheme="majorEastAsia" w:eastAsiaTheme="majorEastAsia"/>
                <w:sz w:val="24"/>
              </w:rPr>
            </w:pPr>
            <w:r>
              <w:rPr>
                <w:rFonts w:hint="eastAsia" w:cs="宋体" w:asciiTheme="majorEastAsia" w:hAnsiTheme="majorEastAsia" w:eastAsiaTheme="majorEastAsia"/>
                <w:sz w:val="24"/>
              </w:rPr>
              <w:t>房屋所有权人</w:t>
            </w:r>
          </w:p>
        </w:tc>
        <w:tc>
          <w:tcPr>
            <w:tcW w:w="2410"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坐落</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建筑</w:t>
            </w:r>
            <w:r>
              <w:rPr>
                <w:rFonts w:cs="宋体" w:asciiTheme="majorEastAsia" w:hAnsiTheme="majorEastAsia" w:eastAsiaTheme="majorEastAsia"/>
                <w:sz w:val="24"/>
              </w:rPr>
              <w:t>面积</w:t>
            </w:r>
          </w:p>
          <w:p>
            <w:pPr>
              <w:jc w:val="center"/>
              <w:rPr>
                <w:rFonts w:cs="宋体" w:asciiTheme="majorEastAsia" w:hAnsiTheme="majorEastAsia" w:eastAsiaTheme="majorEastAsia"/>
                <w:sz w:val="24"/>
              </w:rPr>
            </w:pPr>
            <w:r>
              <w:rPr>
                <w:rFonts w:cs="宋体" w:asciiTheme="majorEastAsia" w:hAnsiTheme="majorEastAsia" w:eastAsiaTheme="majorEastAsia"/>
                <w:sz w:val="24"/>
              </w:rPr>
              <w:t>（</w:t>
            </w:r>
            <w:r>
              <w:rPr>
                <w:rFonts w:hint="eastAsia" w:cs="宋体" w:asciiTheme="majorEastAsia" w:hAnsiTheme="majorEastAsia" w:eastAsiaTheme="majorEastAsia"/>
                <w:sz w:val="24"/>
              </w:rPr>
              <w:t>㎡</w:t>
            </w:r>
            <w:r>
              <w:rPr>
                <w:rFonts w:cs="宋体" w:asciiTheme="majorEastAsia" w:hAnsiTheme="majorEastAsia" w:eastAsiaTheme="majorEastAsia"/>
                <w:sz w:val="24"/>
              </w:rPr>
              <w:t>）</w:t>
            </w:r>
          </w:p>
        </w:tc>
        <w:tc>
          <w:tcPr>
            <w:tcW w:w="1418"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评估单价</w:t>
            </w:r>
          </w:p>
          <w:p>
            <w:pPr>
              <w:widowControl/>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（元/㎡）</w:t>
            </w:r>
          </w:p>
        </w:tc>
        <w:tc>
          <w:tcPr>
            <w:tcW w:w="1516"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评估总价</w:t>
            </w:r>
          </w:p>
          <w:p>
            <w:pPr>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Merge w:val="restart"/>
            <w:vAlign w:val="center"/>
          </w:tcPr>
          <w:p>
            <w:pPr>
              <w:jc w:val="center"/>
              <w:rPr>
                <w:rFonts w:cs="宋体" w:asciiTheme="majorEastAsia" w:hAnsiTheme="majorEastAsia" w:eastAsiaTheme="majorEastAsia"/>
                <w:sz w:val="24"/>
              </w:rPr>
            </w:pPr>
            <w:r>
              <w:rPr>
                <w:rFonts w:hint="eastAsia" w:ascii="宋体" w:hAnsi="宋体" w:cs="宋体" w:eastAsiaTheme="majorEastAsia"/>
                <w:color w:val="000000"/>
                <w:kern w:val="0"/>
                <w:sz w:val="24"/>
                <w:lang w:bidi="ar"/>
              </w:rPr>
              <w:t>鲁（2018）高唐县不动产权第0003873号</w:t>
            </w:r>
          </w:p>
        </w:tc>
        <w:tc>
          <w:tcPr>
            <w:tcW w:w="1276" w:type="dxa"/>
            <w:vMerge w:val="restart"/>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郭艳平、张焕玲</w:t>
            </w:r>
          </w:p>
        </w:tc>
        <w:tc>
          <w:tcPr>
            <w:tcW w:w="2410"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金城东路南侧棉麻公司家属院8号楼3单元401室</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64.0</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4528</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28.98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Merge w:val="continue"/>
            <w:vAlign w:val="center"/>
          </w:tcPr>
          <w:p>
            <w:pPr>
              <w:jc w:val="center"/>
              <w:rPr>
                <w:rFonts w:cs="宋体" w:asciiTheme="majorEastAsia" w:hAnsiTheme="majorEastAsia" w:eastAsiaTheme="majorEastAsia"/>
                <w:sz w:val="24"/>
              </w:rPr>
            </w:pPr>
          </w:p>
        </w:tc>
        <w:tc>
          <w:tcPr>
            <w:tcW w:w="1276" w:type="dxa"/>
            <w:vMerge w:val="continue"/>
            <w:vAlign w:val="center"/>
          </w:tcPr>
          <w:p>
            <w:pPr>
              <w:spacing w:line="360" w:lineRule="auto"/>
              <w:jc w:val="center"/>
              <w:rPr>
                <w:rFonts w:cs="宋体" w:asciiTheme="majorEastAsia" w:hAnsiTheme="majorEastAsia" w:eastAsiaTheme="majorEastAsia"/>
                <w:sz w:val="24"/>
              </w:rPr>
            </w:pPr>
          </w:p>
        </w:tc>
        <w:tc>
          <w:tcPr>
            <w:tcW w:w="2410"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金城东路南侧棉麻公司家属院8号楼3单元401室配房</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6</w:t>
            </w:r>
          </w:p>
        </w:tc>
        <w:tc>
          <w:tcPr>
            <w:tcW w:w="1418" w:type="dxa"/>
            <w:vAlign w:val="center"/>
          </w:tcPr>
          <w:p>
            <w:pPr>
              <w:widowControl/>
              <w:jc w:val="center"/>
              <w:textAlignment w:val="center"/>
              <w:rPr>
                <w:rFonts w:ascii="宋体" w:hAnsi="宋体" w:cs="宋体" w:eastAsiaTheme="majorEastAsia"/>
                <w:color w:val="000000"/>
                <w:kern w:val="0"/>
                <w:sz w:val="24"/>
                <w:lang w:bidi="ar"/>
              </w:rPr>
            </w:pPr>
            <w:r>
              <w:rPr>
                <w:rFonts w:hint="eastAsia" w:ascii="宋体" w:hAnsi="宋体" w:cs="宋体" w:eastAsiaTheme="majorEastAsia"/>
                <w:color w:val="000000"/>
                <w:kern w:val="0"/>
                <w:sz w:val="24"/>
                <w:lang w:bidi="ar"/>
              </w:rPr>
              <w:t>1800</w:t>
            </w:r>
          </w:p>
        </w:tc>
        <w:tc>
          <w:tcPr>
            <w:tcW w:w="1516" w:type="dxa"/>
            <w:vAlign w:val="center"/>
          </w:tcPr>
          <w:p>
            <w:pPr>
              <w:widowControl/>
              <w:jc w:val="center"/>
              <w:textAlignment w:val="center"/>
              <w:rPr>
                <w:rFonts w:ascii="宋体" w:hAnsi="宋体" w:cs="宋体" w:eastAsiaTheme="majorEastAsia"/>
                <w:color w:val="000000"/>
                <w:kern w:val="0"/>
                <w:sz w:val="24"/>
                <w:lang w:bidi="ar"/>
              </w:rPr>
            </w:pPr>
            <w:r>
              <w:rPr>
                <w:rFonts w:hint="eastAsia" w:ascii="宋体" w:hAnsi="宋体" w:cs="宋体" w:eastAsiaTheme="majorEastAsia"/>
                <w:color w:val="000000"/>
                <w:kern w:val="0"/>
                <w:sz w:val="24"/>
                <w:lang w:bidi="ar"/>
              </w:rPr>
              <w:t>1.08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77" w:type="dxa"/>
            <w:vAlign w:val="center"/>
          </w:tcPr>
          <w:p>
            <w:pPr>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合计</w:t>
            </w:r>
          </w:p>
        </w:tc>
        <w:tc>
          <w:tcPr>
            <w:tcW w:w="1276" w:type="dxa"/>
            <w:vAlign w:val="center"/>
          </w:tcPr>
          <w:p>
            <w:pPr>
              <w:spacing w:line="360" w:lineRule="auto"/>
              <w:jc w:val="center"/>
              <w:rPr>
                <w:rFonts w:cs="宋体" w:asciiTheme="majorEastAsia" w:hAnsiTheme="majorEastAsia" w:eastAsiaTheme="majorEastAsia"/>
                <w:b/>
                <w:bCs/>
                <w:sz w:val="24"/>
              </w:rPr>
            </w:pPr>
          </w:p>
        </w:tc>
        <w:tc>
          <w:tcPr>
            <w:tcW w:w="2410" w:type="dxa"/>
            <w:vAlign w:val="center"/>
          </w:tcPr>
          <w:p>
            <w:pPr>
              <w:jc w:val="center"/>
              <w:rPr>
                <w:rFonts w:cs="宋体" w:asciiTheme="majorEastAsia" w:hAnsiTheme="majorEastAsia" w:eastAsiaTheme="majorEastAsia"/>
                <w:b/>
                <w:bCs/>
                <w:sz w:val="24"/>
              </w:rPr>
            </w:pPr>
          </w:p>
        </w:tc>
        <w:tc>
          <w:tcPr>
            <w:tcW w:w="1275" w:type="dxa"/>
            <w:vAlign w:val="center"/>
          </w:tcPr>
          <w:p>
            <w:pPr>
              <w:spacing w:line="360" w:lineRule="auto"/>
              <w:jc w:val="center"/>
              <w:rPr>
                <w:rFonts w:cs="宋体" w:asciiTheme="majorEastAsia" w:hAnsiTheme="majorEastAsia" w:eastAsiaTheme="majorEastAsia"/>
                <w:b/>
                <w:bCs/>
                <w:sz w:val="24"/>
              </w:rPr>
            </w:pPr>
            <w:r>
              <w:rPr>
                <w:rFonts w:hint="eastAsia" w:cs="宋体" w:asciiTheme="majorEastAsia" w:hAnsiTheme="majorEastAsia" w:eastAsiaTheme="majorEastAsia"/>
                <w:b/>
                <w:bCs/>
                <w:sz w:val="24"/>
              </w:rPr>
              <w:t>70</w:t>
            </w:r>
            <w:r>
              <w:rPr>
                <w:rFonts w:cs="宋体" w:asciiTheme="majorEastAsia" w:hAnsiTheme="majorEastAsia" w:eastAsiaTheme="majorEastAsia"/>
                <w:b/>
                <w:bCs/>
                <w:sz w:val="24"/>
              </w:rPr>
              <w:t>.0</w:t>
            </w:r>
          </w:p>
        </w:tc>
        <w:tc>
          <w:tcPr>
            <w:tcW w:w="1418" w:type="dxa"/>
            <w:vAlign w:val="center"/>
          </w:tcPr>
          <w:p>
            <w:pPr>
              <w:widowControl/>
              <w:jc w:val="center"/>
              <w:textAlignment w:val="center"/>
              <w:rPr>
                <w:rFonts w:ascii="宋体" w:hAnsi="宋体" w:cs="宋体" w:eastAsiaTheme="majorEastAsia"/>
                <w:b/>
                <w:bCs/>
                <w:color w:val="000000"/>
                <w:kern w:val="0"/>
                <w:sz w:val="24"/>
                <w:lang w:bidi="ar"/>
              </w:rPr>
            </w:pPr>
          </w:p>
        </w:tc>
        <w:tc>
          <w:tcPr>
            <w:tcW w:w="1516" w:type="dxa"/>
            <w:vAlign w:val="center"/>
          </w:tcPr>
          <w:p>
            <w:pPr>
              <w:widowControl/>
              <w:jc w:val="center"/>
              <w:textAlignment w:val="center"/>
              <w:rPr>
                <w:rFonts w:ascii="宋体" w:hAnsi="宋体" w:cs="宋体" w:eastAsiaTheme="majorEastAsia"/>
                <w:b/>
                <w:bCs/>
                <w:color w:val="000000"/>
                <w:kern w:val="0"/>
                <w:sz w:val="24"/>
                <w:lang w:bidi="ar"/>
              </w:rPr>
            </w:pPr>
            <w:r>
              <w:rPr>
                <w:rFonts w:hint="eastAsia" w:ascii="宋体" w:hAnsi="宋体" w:cs="宋体" w:eastAsiaTheme="majorEastAsia"/>
                <w:b/>
                <w:bCs/>
                <w:color w:val="000000"/>
                <w:kern w:val="0"/>
                <w:sz w:val="24"/>
                <w:lang w:bidi="ar"/>
              </w:rPr>
              <w:t>30.06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widowControl/>
              <w:jc w:val="center"/>
              <w:textAlignment w:val="center"/>
              <w:rPr>
                <w:rFonts w:cs="等线" w:asciiTheme="majorEastAsia" w:hAnsiTheme="majorEastAsia" w:eastAsiaTheme="majorEastAsia"/>
                <w:b/>
                <w:bCs/>
                <w:color w:val="000000"/>
                <w:kern w:val="0"/>
                <w:sz w:val="24"/>
                <w:lang w:bidi="ar"/>
              </w:rPr>
            </w:pPr>
            <w:r>
              <w:rPr>
                <w:rFonts w:hint="eastAsia" w:asciiTheme="majorEastAsia" w:hAnsiTheme="majorEastAsia" w:eastAsiaTheme="majorEastAsia"/>
                <w:b/>
                <w:sz w:val="24"/>
              </w:rPr>
              <w:t>人民币大写：</w:t>
            </w:r>
            <w:r>
              <w:rPr>
                <w:rFonts w:hint="eastAsia" w:ascii="宋体" w:hAnsi="宋体" w:cs="宋体" w:eastAsiaTheme="majorEastAsia"/>
                <w:b/>
                <w:bCs/>
                <w:color w:val="000000"/>
                <w:kern w:val="0"/>
                <w:sz w:val="24"/>
                <w:lang w:bidi="ar"/>
              </w:rPr>
              <w:t>叁拾万零陆佰</w:t>
            </w:r>
            <w:r>
              <w:rPr>
                <w:rFonts w:hint="eastAsia" w:ascii="宋体" w:hAnsi="宋体" w:cs="宋体"/>
                <w:b/>
                <w:bCs/>
                <w:color w:val="000000"/>
                <w:kern w:val="0"/>
                <w:sz w:val="24"/>
                <w:lang w:bidi="ar"/>
              </w:rPr>
              <w:t>元整</w:t>
            </w:r>
          </w:p>
        </w:tc>
      </w:tr>
    </w:tbl>
    <w:p>
      <w:pPr>
        <w:pStyle w:val="7"/>
        <w:adjustRightInd w:val="0"/>
        <w:spacing w:line="560" w:lineRule="exact"/>
        <w:ind w:firstLine="560" w:firstLineChars="200"/>
        <w:rPr>
          <w:rStyle w:val="48"/>
          <w:b w:val="0"/>
          <w:bCs w:val="0"/>
          <w:color w:val="000000"/>
          <w:spacing w:val="0"/>
        </w:rPr>
      </w:pPr>
      <w:r>
        <w:rPr>
          <w:rFonts w:hint="eastAsia" w:ascii="宋体" w:hAnsi="宋体" w:eastAsia="宋体"/>
          <w:color w:val="000000"/>
        </w:rPr>
        <w:t>估价结果内涵是</w:t>
      </w:r>
      <w:r>
        <w:rPr>
          <w:rFonts w:hint="eastAsia" w:ascii="宋体" w:hAnsi="宋体" w:eastAsia="宋体"/>
          <w:color w:val="000000"/>
          <w:szCs w:val="28"/>
        </w:rPr>
        <w:t>估价对象在价值时点，满足本次估价假设和限制条件下包括建筑物、分摊的国有建设用地使用权及配房的价格；付款方式是一次性付清房价款；房屋面积内涵是建筑面积；开发程度为现房。</w:t>
      </w:r>
    </w:p>
    <w:p>
      <w:pPr>
        <w:numPr>
          <w:ilvl w:val="0"/>
          <w:numId w:val="3"/>
        </w:numPr>
        <w:spacing w:line="560" w:lineRule="exact"/>
        <w:ind w:firstLine="594" w:firstLineChars="200"/>
        <w:rPr>
          <w:rFonts w:ascii="宋体" w:hAnsi="宋体"/>
          <w:b/>
          <w:color w:val="000000"/>
          <w:sz w:val="28"/>
        </w:rPr>
      </w:pPr>
      <w:r>
        <w:rPr>
          <w:rStyle w:val="48"/>
          <w:rFonts w:hint="eastAsia"/>
        </w:rPr>
        <w:t>注册房地产估价师</w:t>
      </w:r>
      <w:bookmarkEnd w:id="97"/>
      <w:bookmarkEnd w:id="98"/>
      <w:bookmarkEnd w:id="99"/>
      <w:bookmarkEnd w:id="100"/>
      <w:bookmarkEnd w:id="101"/>
      <w:bookmarkEnd w:id="102"/>
      <w:bookmarkEnd w:id="103"/>
      <w:bookmarkEnd w:id="104"/>
      <w:bookmarkEnd w:id="105"/>
      <w:r>
        <w:rPr>
          <w:rFonts w:hint="eastAsia" w:ascii="宋体" w:hAnsi="宋体"/>
          <w:b/>
          <w:color w:val="000000"/>
          <w:sz w:val="28"/>
        </w:rPr>
        <w:t>：</w:t>
      </w:r>
    </w:p>
    <w:p>
      <w:pPr>
        <w:spacing w:line="560" w:lineRule="exact"/>
        <w:ind w:left="594"/>
        <w:rPr>
          <w:rFonts w:hint="eastAsia" w:ascii="宋体" w:hAnsi="宋体"/>
          <w:b/>
          <w:color w:val="000000"/>
          <w:sz w:val="28"/>
        </w:rPr>
      </w:pPr>
    </w:p>
    <w:tbl>
      <w:tblPr>
        <w:tblStyle w:val="21"/>
        <w:tblW w:w="910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92"/>
        <w:gridCol w:w="2147"/>
        <w:gridCol w:w="2758"/>
        <w:gridCol w:w="22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992" w:type="dxa"/>
            <w:vAlign w:val="center"/>
          </w:tcPr>
          <w:p>
            <w:pPr>
              <w:spacing w:line="480" w:lineRule="exact"/>
              <w:jc w:val="center"/>
              <w:rPr>
                <w:rFonts w:ascii="宋体" w:hAnsi="宋体"/>
                <w:color w:val="000000"/>
                <w:sz w:val="28"/>
              </w:rPr>
            </w:pPr>
            <w:r>
              <w:rPr>
                <w:rFonts w:hint="eastAsia" w:ascii="宋体" w:hAnsi="宋体"/>
                <w:color w:val="000000"/>
                <w:sz w:val="28"/>
              </w:rPr>
              <w:t>姓名</w:t>
            </w:r>
          </w:p>
        </w:tc>
        <w:tc>
          <w:tcPr>
            <w:tcW w:w="2147" w:type="dxa"/>
            <w:vAlign w:val="center"/>
          </w:tcPr>
          <w:p>
            <w:pPr>
              <w:spacing w:line="480" w:lineRule="exact"/>
              <w:jc w:val="center"/>
              <w:rPr>
                <w:rFonts w:ascii="宋体" w:hAnsi="宋体"/>
                <w:color w:val="000000"/>
                <w:sz w:val="28"/>
              </w:rPr>
            </w:pPr>
            <w:r>
              <w:rPr>
                <w:rFonts w:hint="eastAsia" w:ascii="宋体" w:hAnsi="宋体"/>
                <w:color w:val="000000"/>
                <w:sz w:val="28"/>
              </w:rPr>
              <w:t>注册号</w:t>
            </w:r>
          </w:p>
        </w:tc>
        <w:tc>
          <w:tcPr>
            <w:tcW w:w="2758" w:type="dxa"/>
            <w:vAlign w:val="center"/>
          </w:tcPr>
          <w:p>
            <w:pPr>
              <w:spacing w:line="480" w:lineRule="exact"/>
              <w:jc w:val="center"/>
              <w:rPr>
                <w:rFonts w:ascii="宋体" w:hAnsi="宋体"/>
                <w:color w:val="000000"/>
                <w:sz w:val="28"/>
              </w:rPr>
            </w:pPr>
            <w:r>
              <w:rPr>
                <w:rFonts w:hint="eastAsia" w:ascii="宋体" w:hAnsi="宋体"/>
                <w:color w:val="000000"/>
                <w:sz w:val="28"/>
              </w:rPr>
              <w:t>盖章签名</w:t>
            </w:r>
          </w:p>
        </w:tc>
        <w:tc>
          <w:tcPr>
            <w:tcW w:w="2205" w:type="dxa"/>
            <w:vAlign w:val="center"/>
          </w:tcPr>
          <w:p>
            <w:pPr>
              <w:spacing w:line="48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1992" w:type="dxa"/>
            <w:vAlign w:val="center"/>
          </w:tcPr>
          <w:p>
            <w:pPr>
              <w:spacing w:line="480" w:lineRule="exact"/>
              <w:jc w:val="center"/>
              <w:rPr>
                <w:rFonts w:ascii="宋体" w:hAnsi="宋体"/>
                <w:bCs/>
                <w:color w:val="000000"/>
                <w:sz w:val="28"/>
                <w:szCs w:val="28"/>
              </w:rPr>
            </w:pPr>
            <w:r>
              <w:rPr>
                <w:rFonts w:hint="eastAsia" w:ascii="宋体" w:hAnsi="宋体" w:cs="宋体"/>
                <w:color w:val="000000"/>
                <w:kern w:val="0"/>
                <w:sz w:val="28"/>
                <w:szCs w:val="28"/>
              </w:rPr>
              <w:t>马骕骅</w:t>
            </w:r>
          </w:p>
        </w:tc>
        <w:tc>
          <w:tcPr>
            <w:tcW w:w="2147" w:type="dxa"/>
            <w:vAlign w:val="center"/>
          </w:tcPr>
          <w:p>
            <w:pPr>
              <w:spacing w:line="480" w:lineRule="exact"/>
              <w:jc w:val="center"/>
              <w:rPr>
                <w:rFonts w:ascii="宋体" w:hAnsi="宋体"/>
                <w:bCs/>
                <w:color w:val="000000"/>
                <w:sz w:val="28"/>
                <w:szCs w:val="28"/>
              </w:rPr>
            </w:pPr>
            <w:r>
              <w:rPr>
                <w:rFonts w:hint="eastAsia" w:ascii="宋体" w:hAnsi="宋体" w:cs="宋体"/>
                <w:color w:val="000000"/>
                <w:kern w:val="0"/>
                <w:sz w:val="28"/>
                <w:szCs w:val="28"/>
              </w:rPr>
              <w:t>4120200265</w:t>
            </w:r>
          </w:p>
        </w:tc>
        <w:tc>
          <w:tcPr>
            <w:tcW w:w="2758" w:type="dxa"/>
          </w:tcPr>
          <w:p>
            <w:pPr>
              <w:spacing w:line="480" w:lineRule="exact"/>
              <w:rPr>
                <w:rFonts w:ascii="宋体" w:hAnsi="宋体"/>
                <w:color w:val="000000"/>
                <w:sz w:val="28"/>
                <w:szCs w:val="28"/>
              </w:rPr>
            </w:pPr>
          </w:p>
        </w:tc>
        <w:tc>
          <w:tcPr>
            <w:tcW w:w="2205" w:type="dxa"/>
            <w:vAlign w:val="center"/>
          </w:tcPr>
          <w:p>
            <w:pPr>
              <w:spacing w:line="480" w:lineRule="exact"/>
              <w:jc w:val="center"/>
              <w:rPr>
                <w:rFonts w:ascii="宋体" w:hAnsi="宋体"/>
                <w:color w:val="000000"/>
                <w:sz w:val="28"/>
                <w:szCs w:val="28"/>
              </w:rPr>
            </w:pPr>
            <w:r>
              <w:rPr>
                <w:rFonts w:hint="eastAsia" w:ascii="宋体" w:hAnsi="宋体"/>
                <w:color w:val="000000"/>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1992" w:type="dxa"/>
            <w:vAlign w:val="center"/>
          </w:tcPr>
          <w:p>
            <w:pPr>
              <w:spacing w:line="480" w:lineRule="exact"/>
              <w:jc w:val="center"/>
              <w:rPr>
                <w:rFonts w:ascii="宋体" w:hAnsi="宋体"/>
                <w:color w:val="000000"/>
                <w:sz w:val="28"/>
                <w:szCs w:val="28"/>
              </w:rPr>
            </w:pPr>
            <w:r>
              <w:rPr>
                <w:rFonts w:hint="eastAsia" w:ascii="宋体" w:hAnsi="宋体"/>
                <w:color w:val="000000"/>
                <w:sz w:val="28"/>
                <w:szCs w:val="28"/>
              </w:rPr>
              <w:t>张增坤</w:t>
            </w:r>
          </w:p>
        </w:tc>
        <w:tc>
          <w:tcPr>
            <w:tcW w:w="2147" w:type="dxa"/>
            <w:vAlign w:val="center"/>
          </w:tcPr>
          <w:p>
            <w:pPr>
              <w:spacing w:line="480" w:lineRule="exact"/>
              <w:jc w:val="center"/>
              <w:rPr>
                <w:rFonts w:ascii="宋体" w:hAnsi="宋体"/>
                <w:color w:val="000000"/>
                <w:sz w:val="28"/>
                <w:szCs w:val="28"/>
              </w:rPr>
            </w:pPr>
            <w:r>
              <w:rPr>
                <w:rFonts w:hint="eastAsia" w:ascii="宋体" w:hAnsi="宋体" w:cs="宋体"/>
                <w:color w:val="000000"/>
                <w:kern w:val="0"/>
                <w:sz w:val="28"/>
                <w:szCs w:val="28"/>
              </w:rPr>
              <w:t>3720190070</w:t>
            </w:r>
          </w:p>
        </w:tc>
        <w:tc>
          <w:tcPr>
            <w:tcW w:w="2758" w:type="dxa"/>
          </w:tcPr>
          <w:p>
            <w:pPr>
              <w:spacing w:line="480" w:lineRule="exact"/>
              <w:rPr>
                <w:rFonts w:ascii="宋体" w:hAnsi="宋体"/>
                <w:color w:val="000000"/>
                <w:sz w:val="28"/>
                <w:szCs w:val="28"/>
              </w:rPr>
            </w:pPr>
          </w:p>
        </w:tc>
        <w:tc>
          <w:tcPr>
            <w:tcW w:w="2205" w:type="dxa"/>
            <w:vAlign w:val="center"/>
          </w:tcPr>
          <w:p>
            <w:pPr>
              <w:spacing w:line="480" w:lineRule="exact"/>
              <w:ind w:firstLine="570"/>
              <w:jc w:val="center"/>
              <w:rPr>
                <w:rFonts w:ascii="宋体" w:hAnsi="宋体"/>
                <w:color w:val="000000"/>
                <w:sz w:val="28"/>
                <w:szCs w:val="28"/>
              </w:rPr>
            </w:pPr>
            <w:r>
              <w:rPr>
                <w:rFonts w:hint="eastAsia" w:ascii="宋体" w:hAnsi="宋体"/>
                <w:color w:val="000000"/>
                <w:sz w:val="28"/>
                <w:szCs w:val="28"/>
              </w:rPr>
              <w:t>年  月  日</w:t>
            </w:r>
          </w:p>
        </w:tc>
      </w:tr>
    </w:tbl>
    <w:p>
      <w:pPr>
        <w:spacing w:line="480" w:lineRule="exact"/>
        <w:ind w:firstLine="594" w:firstLineChars="200"/>
        <w:rPr>
          <w:rFonts w:ascii="宋体" w:hAnsi="宋体"/>
          <w:color w:val="000000"/>
          <w:sz w:val="28"/>
        </w:rPr>
      </w:pPr>
      <w:bookmarkStart w:id="106" w:name="_Toc16234445"/>
      <w:bookmarkStart w:id="107" w:name="_Toc16234183"/>
      <w:bookmarkStart w:id="108" w:name="_Toc28941840"/>
      <w:bookmarkStart w:id="109" w:name="_Toc17471996"/>
      <w:bookmarkStart w:id="110" w:name="_Toc55921676"/>
      <w:bookmarkStart w:id="111" w:name="_Toc17471965"/>
      <w:bookmarkStart w:id="112" w:name="_Toc24121743"/>
      <w:bookmarkStart w:id="113" w:name="_Toc27736472"/>
      <w:bookmarkStart w:id="114" w:name="_Toc19087064"/>
      <w:r>
        <w:rPr>
          <w:rStyle w:val="48"/>
          <w:rFonts w:hint="eastAsia"/>
        </w:rPr>
        <w:t>十二、实地查勘期</w:t>
      </w:r>
      <w:bookmarkEnd w:id="106"/>
      <w:bookmarkEnd w:id="107"/>
      <w:bookmarkEnd w:id="108"/>
      <w:bookmarkEnd w:id="109"/>
      <w:bookmarkEnd w:id="110"/>
      <w:bookmarkEnd w:id="111"/>
      <w:bookmarkEnd w:id="112"/>
      <w:bookmarkEnd w:id="113"/>
      <w:bookmarkEnd w:id="114"/>
      <w:r>
        <w:rPr>
          <w:rFonts w:hint="eastAsia" w:ascii="宋体" w:hAnsi="宋体"/>
          <w:b/>
          <w:color w:val="000000"/>
          <w:sz w:val="28"/>
        </w:rPr>
        <w:t>：</w:t>
      </w:r>
      <w:r>
        <w:rPr>
          <w:rFonts w:hint="eastAsia" w:ascii="宋体" w:hAnsi="宋体"/>
          <w:color w:val="000000"/>
          <w:sz w:val="28"/>
        </w:rPr>
        <w:t>2022年8月8日。</w:t>
      </w:r>
    </w:p>
    <w:p>
      <w:pPr>
        <w:spacing w:line="480" w:lineRule="exact"/>
        <w:ind w:firstLine="594" w:firstLineChars="200"/>
        <w:rPr>
          <w:rFonts w:ascii="宋体" w:hAnsi="宋体"/>
          <w:color w:val="000000"/>
          <w:sz w:val="28"/>
        </w:rPr>
      </w:pPr>
      <w:bookmarkStart w:id="115" w:name="_Toc27736473"/>
      <w:bookmarkStart w:id="116" w:name="_Toc19087065"/>
      <w:bookmarkStart w:id="117" w:name="_Toc16234446"/>
      <w:bookmarkStart w:id="118" w:name="_Toc16234184"/>
      <w:bookmarkStart w:id="119" w:name="_Toc28941841"/>
      <w:bookmarkStart w:id="120" w:name="_Toc55921677"/>
      <w:bookmarkStart w:id="121" w:name="_Toc17471997"/>
      <w:bookmarkStart w:id="122" w:name="_Toc17471966"/>
      <w:bookmarkStart w:id="123" w:name="_Toc24121744"/>
      <w:r>
        <w:rPr>
          <w:rStyle w:val="48"/>
          <w:rFonts w:hint="eastAsia"/>
        </w:rPr>
        <w:t>十三、估价作业期</w:t>
      </w:r>
      <w:bookmarkEnd w:id="115"/>
      <w:bookmarkEnd w:id="116"/>
      <w:bookmarkEnd w:id="117"/>
      <w:bookmarkEnd w:id="118"/>
      <w:bookmarkEnd w:id="119"/>
      <w:bookmarkEnd w:id="120"/>
      <w:bookmarkEnd w:id="121"/>
      <w:bookmarkEnd w:id="122"/>
      <w:bookmarkEnd w:id="123"/>
      <w:r>
        <w:rPr>
          <w:rFonts w:hint="eastAsia" w:ascii="宋体" w:hAnsi="宋体"/>
          <w:color w:val="000000"/>
          <w:sz w:val="28"/>
        </w:rPr>
        <w:t xml:space="preserve">：2022年8月8日至2022年8月22日。 </w:t>
      </w:r>
    </w:p>
    <w:p>
      <w:pPr>
        <w:spacing w:line="520" w:lineRule="exact"/>
        <w:ind w:firstLine="560" w:firstLineChars="200"/>
        <w:rPr>
          <w:rFonts w:ascii="宋体" w:hAnsi="宋体"/>
          <w:color w:val="000000"/>
          <w:sz w:val="28"/>
        </w:rPr>
      </w:pPr>
    </w:p>
    <w:p>
      <w:pPr>
        <w:spacing w:line="520" w:lineRule="exact"/>
        <w:jc w:val="right"/>
        <w:rPr>
          <w:rFonts w:ascii="宋体" w:hAnsi="宋体"/>
          <w:color w:val="000000"/>
          <w:sz w:val="28"/>
          <w:szCs w:val="28"/>
        </w:rPr>
      </w:pPr>
      <w:r>
        <w:rPr>
          <w:rFonts w:hint="eastAsia" w:ascii="宋体" w:hAnsi="宋体"/>
          <w:color w:val="000000"/>
          <w:sz w:val="28"/>
          <w:szCs w:val="28"/>
        </w:rPr>
        <w:t>山东成达土地房地产资产评估测绘有限公司</w:t>
      </w:r>
    </w:p>
    <w:p>
      <w:pPr>
        <w:spacing w:line="520" w:lineRule="exact"/>
        <w:ind w:firstLine="5040" w:firstLineChars="1800"/>
        <w:jc w:val="left"/>
        <w:rPr>
          <w:rFonts w:ascii="宋体" w:hAnsi="宋体"/>
          <w:color w:val="000000"/>
          <w:sz w:val="28"/>
        </w:rPr>
      </w:pPr>
      <w:r>
        <w:rPr>
          <w:rFonts w:hint="eastAsia" w:ascii="宋体" w:hAnsi="宋体"/>
          <w:color w:val="000000"/>
          <w:sz w:val="28"/>
        </w:rPr>
        <w:t>二○二二年八月二十二日</w:t>
      </w:r>
    </w:p>
    <w:p>
      <w:pPr>
        <w:rPr>
          <w:b/>
        </w:rPr>
      </w:pPr>
      <w:bookmarkStart w:id="124" w:name="_Toc55921678"/>
      <w:r>
        <w:rPr>
          <w:rFonts w:hint="eastAsia"/>
          <w:b/>
        </w:rPr>
        <w:br w:type="page"/>
      </w:r>
    </w:p>
    <w:p>
      <w:pPr>
        <w:pStyle w:val="2"/>
        <w:rPr>
          <w:rFonts w:ascii="宋体" w:hAnsi="宋体"/>
          <w:b/>
          <w:color w:val="000000"/>
          <w:sz w:val="28"/>
        </w:rPr>
      </w:pPr>
      <w:r>
        <w:rPr>
          <w:rFonts w:hint="eastAsia"/>
          <w:b/>
        </w:rPr>
        <w:t xml:space="preserve">附 </w:t>
      </w:r>
      <w:r>
        <w:rPr>
          <w:b/>
        </w:rPr>
        <w:t xml:space="preserve"> </w:t>
      </w:r>
      <w:r>
        <w:rPr>
          <w:rFonts w:hint="eastAsia"/>
          <w:b/>
        </w:rPr>
        <w:t>件</w:t>
      </w:r>
      <w:bookmarkEnd w:id="124"/>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（二）估价对象外部照片及</w:t>
      </w:r>
      <w:r>
        <w:rPr>
          <w:rFonts w:ascii="宋体" w:hAnsi="宋体"/>
          <w:color w:val="000000"/>
          <w:sz w:val="28"/>
        </w:rPr>
        <w:t>周围环境</w:t>
      </w:r>
      <w:r>
        <w:rPr>
          <w:rFonts w:hint="eastAsia" w:ascii="宋体" w:hAnsi="宋体"/>
          <w:color w:val="000000"/>
          <w:sz w:val="28"/>
        </w:rPr>
        <w:t>照片；</w:t>
      </w:r>
    </w:p>
    <w:p>
      <w:pPr>
        <w:spacing w:line="600" w:lineRule="exact"/>
        <w:ind w:firstLine="560" w:firstLineChars="200"/>
        <w:rPr>
          <w:rFonts w:ascii="宋体" w:hAnsi="宋体"/>
          <w:color w:val="000000"/>
          <w:sz w:val="28"/>
        </w:rPr>
      </w:pPr>
      <w:r>
        <w:rPr>
          <w:rFonts w:hint="eastAsia" w:ascii="宋体" w:hAnsi="宋体"/>
          <w:color w:val="000000"/>
          <w:sz w:val="28"/>
        </w:rPr>
        <w:t>（三）高唐县人民法院委托书（复印件）；</w:t>
      </w:r>
    </w:p>
    <w:p>
      <w:pPr>
        <w:spacing w:line="600" w:lineRule="exact"/>
        <w:ind w:firstLine="560" w:firstLineChars="200"/>
        <w:rPr>
          <w:rFonts w:ascii="宋体" w:hAnsi="宋体"/>
          <w:color w:val="000000"/>
          <w:sz w:val="28"/>
          <w:szCs w:val="28"/>
        </w:rPr>
      </w:pPr>
      <w:r>
        <w:rPr>
          <w:rFonts w:hint="eastAsia" w:ascii="宋体" w:hAnsi="宋体"/>
          <w:color w:val="000000"/>
          <w:sz w:val="28"/>
        </w:rPr>
        <w:t>（四）</w:t>
      </w:r>
      <w:r>
        <w:rPr>
          <w:rFonts w:hint="eastAsia" w:ascii="宋体" w:hAnsi="宋体"/>
          <w:color w:val="000000"/>
          <w:sz w:val="28"/>
          <w:szCs w:val="28"/>
        </w:rPr>
        <w:t>房地产权登记信息（独幢、层、套、间房屋）（复印件）；</w:t>
      </w:r>
    </w:p>
    <w:p>
      <w:pPr>
        <w:spacing w:line="600" w:lineRule="exact"/>
        <w:ind w:firstLine="560" w:firstLineChars="200"/>
        <w:rPr>
          <w:rFonts w:ascii="宋体" w:hAnsi="宋体"/>
          <w:color w:val="000000"/>
          <w:sz w:val="28"/>
        </w:rPr>
      </w:pPr>
      <w:r>
        <w:rPr>
          <w:rFonts w:hint="eastAsia" w:ascii="宋体" w:hAnsi="宋体"/>
          <w:color w:val="000000"/>
          <w:sz w:val="28"/>
        </w:rPr>
        <w:t>（五）房地产估价机构营业执照（复印件）；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（六）房地产估价机构资质证书（复印件）；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（七）房地产估价师注册证书（复印件）。</w:t>
      </w:r>
    </w:p>
    <w:p>
      <w:pPr>
        <w:spacing w:line="600" w:lineRule="exact"/>
        <w:ind w:firstLine="560" w:firstLineChars="200"/>
        <w:rPr>
          <w:rFonts w:ascii="宋体" w:hAnsi="宋体"/>
          <w:color w:val="000000"/>
          <w:sz w:val="28"/>
        </w:rPr>
      </w:pPr>
      <w:bookmarkStart w:id="126" w:name="_GoBack"/>
      <w:bookmarkEnd w:id="126"/>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pStyle w:val="7"/>
        <w:outlineLvl w:val="0"/>
        <w:rPr>
          <w:rFonts w:ascii="宋体" w:hAnsi="宋体" w:eastAsia="宋体"/>
          <w:b/>
          <w:color w:val="000000"/>
          <w:sz w:val="48"/>
          <w:szCs w:val="48"/>
        </w:rPr>
      </w:pPr>
    </w:p>
    <w:p>
      <w:pPr>
        <w:pStyle w:val="7"/>
        <w:jc w:val="center"/>
        <w:outlineLvl w:val="0"/>
        <w:rPr>
          <w:rFonts w:ascii="宋体" w:hAnsi="宋体" w:eastAsia="宋体"/>
          <w:b/>
          <w:color w:val="000000"/>
          <w:sz w:val="48"/>
          <w:szCs w:val="48"/>
        </w:rPr>
      </w:pPr>
    </w:p>
    <w:p>
      <w:pPr>
        <w:snapToGrid w:val="0"/>
        <w:spacing w:line="560" w:lineRule="exact"/>
        <w:ind w:right="-110" w:firstLine="556"/>
        <w:jc w:val="center"/>
        <w:rPr>
          <w:rFonts w:ascii="宋体" w:hAnsi="宋体"/>
          <w:color w:val="000000"/>
          <w:sz w:val="28"/>
        </w:rPr>
      </w:pPr>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pPr>
    <w:r>
      <w:rPr>
        <w:rFonts w:hint="eastAsia"/>
        <w:spacing w:val="2"/>
      </w:rPr>
      <w:t xml:space="preserve">地址：中国（山东）自由贸易试验区济南片区新泺大街 </w:t>
    </w:r>
    <w:r>
      <w:rPr>
        <w:spacing w:val="2"/>
      </w:rPr>
      <w:t xml:space="preserve">   </w:t>
    </w:r>
    <w:r>
      <w:t>—</w:t>
    </w:r>
    <w:sdt>
      <w:sdtPr>
        <w:id w:val="-589780161"/>
      </w:sdtPr>
      <w:sdtContent>
        <w:r>
          <w:t xml:space="preserve">  </w:t>
        </w:r>
        <w:r>
          <w:fldChar w:fldCharType="begin"/>
        </w:r>
        <w:r>
          <w:instrText xml:space="preserve">PAGE   \* MERGEFORMAT</w:instrText>
        </w:r>
        <w:r>
          <w:fldChar w:fldCharType="separate"/>
        </w:r>
        <w:r>
          <w:rPr>
            <w:lang w:val="zh-CN"/>
          </w:rPr>
          <w:t>21</w:t>
        </w:r>
        <w:r>
          <w:fldChar w:fldCharType="end"/>
        </w:r>
        <w:r>
          <w:t xml:space="preserve">  —            </w:t>
        </w:r>
        <w:r>
          <w:rPr>
            <w:rFonts w:hint="eastAsia"/>
            <w:spacing w:val="2"/>
          </w:rPr>
          <w:t>联系电话：</w:t>
        </w:r>
        <w:r>
          <w:rPr>
            <w:spacing w:val="2"/>
          </w:rPr>
          <w:t xml:space="preserve"> </w:t>
        </w:r>
        <w:r>
          <w:rPr>
            <w:rFonts w:hint="eastAsia"/>
            <w:spacing w:val="2"/>
          </w:rPr>
          <w:t>0531-82998556</w:t>
        </w:r>
      </w:sdtContent>
    </w:sdt>
  </w:p>
  <w:p>
    <w:pPr>
      <w:pStyle w:val="14"/>
      <w:pBdr>
        <w:top w:val="single" w:color="auto" w:sz="4" w:space="1"/>
      </w:pBdr>
      <w:ind w:firstLine="552" w:firstLineChars="300"/>
    </w:pPr>
    <w:r>
      <w:rPr>
        <w:rFonts w:hint="eastAsia"/>
        <w:spacing w:val="2"/>
      </w:rPr>
      <w:t>2117号铭盛大厦1618室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118A5910"/>
    <w:multiLevelType w:val="singleLevel"/>
    <w:tmpl w:val="118A5910"/>
    <w:lvl w:ilvl="0" w:tentative="0">
      <w:start w:val="4"/>
      <w:numFmt w:val="chineseCounting"/>
      <w:suff w:val="nothing"/>
      <w:lvlText w:val="（%1）"/>
      <w:lvlJc w:val="left"/>
      <w:rPr>
        <w:rFonts w:hint="eastAsia"/>
      </w:rPr>
    </w:lvl>
  </w:abstractNum>
  <w:abstractNum w:abstractNumId="2">
    <w:nsid w:val="6CC50C19"/>
    <w:multiLevelType w:val="multilevel"/>
    <w:tmpl w:val="6CC50C1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kZjJmMzA4NThlZTAzZTliN2NmODNiODk0YmU5ZTAifQ=="/>
  </w:docVars>
  <w:rsids>
    <w:rsidRoot w:val="00E95D99"/>
    <w:rsid w:val="0005152A"/>
    <w:rsid w:val="0005466B"/>
    <w:rsid w:val="000F079B"/>
    <w:rsid w:val="001A1BC0"/>
    <w:rsid w:val="001A27BD"/>
    <w:rsid w:val="001C0736"/>
    <w:rsid w:val="002020C3"/>
    <w:rsid w:val="002B7F59"/>
    <w:rsid w:val="002E4211"/>
    <w:rsid w:val="002F6304"/>
    <w:rsid w:val="00335D2E"/>
    <w:rsid w:val="00356FD8"/>
    <w:rsid w:val="00365A61"/>
    <w:rsid w:val="00390FD3"/>
    <w:rsid w:val="003D2A3F"/>
    <w:rsid w:val="00426F5F"/>
    <w:rsid w:val="004A7CA9"/>
    <w:rsid w:val="00552CB5"/>
    <w:rsid w:val="005574FC"/>
    <w:rsid w:val="005B2E75"/>
    <w:rsid w:val="006A4B09"/>
    <w:rsid w:val="006B3095"/>
    <w:rsid w:val="006C4B60"/>
    <w:rsid w:val="006F7C13"/>
    <w:rsid w:val="00731B0A"/>
    <w:rsid w:val="007719E4"/>
    <w:rsid w:val="007762C3"/>
    <w:rsid w:val="0079350B"/>
    <w:rsid w:val="007B2534"/>
    <w:rsid w:val="007C5CC6"/>
    <w:rsid w:val="007F02F1"/>
    <w:rsid w:val="008410DF"/>
    <w:rsid w:val="00846EAC"/>
    <w:rsid w:val="008E29CF"/>
    <w:rsid w:val="0092421D"/>
    <w:rsid w:val="009268EB"/>
    <w:rsid w:val="00976C97"/>
    <w:rsid w:val="00983B47"/>
    <w:rsid w:val="00994DC6"/>
    <w:rsid w:val="009E02BE"/>
    <w:rsid w:val="00AC15AE"/>
    <w:rsid w:val="00B41219"/>
    <w:rsid w:val="00C023A0"/>
    <w:rsid w:val="00C43667"/>
    <w:rsid w:val="00C44708"/>
    <w:rsid w:val="00C63053"/>
    <w:rsid w:val="00C71AC3"/>
    <w:rsid w:val="00C73503"/>
    <w:rsid w:val="00C75D07"/>
    <w:rsid w:val="00CD525B"/>
    <w:rsid w:val="00CF6C0E"/>
    <w:rsid w:val="00CF6D47"/>
    <w:rsid w:val="00D14A6D"/>
    <w:rsid w:val="00DE167A"/>
    <w:rsid w:val="00DE5E47"/>
    <w:rsid w:val="00DF6C77"/>
    <w:rsid w:val="00DF7A68"/>
    <w:rsid w:val="00E01DF0"/>
    <w:rsid w:val="00E06B50"/>
    <w:rsid w:val="00E676D5"/>
    <w:rsid w:val="00E67863"/>
    <w:rsid w:val="00E95D99"/>
    <w:rsid w:val="00ED4DA0"/>
    <w:rsid w:val="00EF6989"/>
    <w:rsid w:val="00F50C09"/>
    <w:rsid w:val="00F66702"/>
    <w:rsid w:val="00FB1112"/>
    <w:rsid w:val="00FF5D3A"/>
    <w:rsid w:val="00FF7A3F"/>
    <w:rsid w:val="01F6674D"/>
    <w:rsid w:val="05760640"/>
    <w:rsid w:val="072E61B4"/>
    <w:rsid w:val="07EA2C20"/>
    <w:rsid w:val="14FB6C52"/>
    <w:rsid w:val="17A23206"/>
    <w:rsid w:val="198A76C7"/>
    <w:rsid w:val="19977748"/>
    <w:rsid w:val="199A4CCF"/>
    <w:rsid w:val="1B830F69"/>
    <w:rsid w:val="1CFC7EDE"/>
    <w:rsid w:val="1DE06B47"/>
    <w:rsid w:val="1E4C02E7"/>
    <w:rsid w:val="207536CD"/>
    <w:rsid w:val="2265761B"/>
    <w:rsid w:val="25755DC7"/>
    <w:rsid w:val="26667E05"/>
    <w:rsid w:val="29C27101"/>
    <w:rsid w:val="2B844CBE"/>
    <w:rsid w:val="2CFA4E04"/>
    <w:rsid w:val="2DCF5267"/>
    <w:rsid w:val="324F5D21"/>
    <w:rsid w:val="336605EC"/>
    <w:rsid w:val="3511580F"/>
    <w:rsid w:val="366F23BE"/>
    <w:rsid w:val="36851BE2"/>
    <w:rsid w:val="381678C8"/>
    <w:rsid w:val="3E014244"/>
    <w:rsid w:val="457C2402"/>
    <w:rsid w:val="489932CB"/>
    <w:rsid w:val="49CF169A"/>
    <w:rsid w:val="4CE70AA9"/>
    <w:rsid w:val="4F1D07B2"/>
    <w:rsid w:val="513C4E0C"/>
    <w:rsid w:val="52EA4E4F"/>
    <w:rsid w:val="54114900"/>
    <w:rsid w:val="597A4A53"/>
    <w:rsid w:val="5AEF62BE"/>
    <w:rsid w:val="5B445318"/>
    <w:rsid w:val="5CC606DB"/>
    <w:rsid w:val="5DF8671B"/>
    <w:rsid w:val="5F16521D"/>
    <w:rsid w:val="5F465B03"/>
    <w:rsid w:val="61EB2991"/>
    <w:rsid w:val="6544070E"/>
    <w:rsid w:val="65DF6369"/>
    <w:rsid w:val="68540A5A"/>
    <w:rsid w:val="6A164324"/>
    <w:rsid w:val="6E5D69C5"/>
    <w:rsid w:val="6F1D7D1A"/>
    <w:rsid w:val="712B6906"/>
    <w:rsid w:val="717C1858"/>
    <w:rsid w:val="72190E55"/>
    <w:rsid w:val="7880271E"/>
    <w:rsid w:val="79984D55"/>
    <w:rsid w:val="7AE46FE0"/>
    <w:rsid w:val="7AF16E13"/>
    <w:rsid w:val="7C912C38"/>
    <w:rsid w:val="7D511DEB"/>
    <w:rsid w:val="7FE136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jc w:val="center"/>
      <w:outlineLvl w:val="0"/>
    </w:pPr>
    <w:rPr>
      <w:bCs/>
      <w:kern w:val="44"/>
      <w:sz w:val="36"/>
      <w:szCs w:val="44"/>
    </w:rPr>
  </w:style>
  <w:style w:type="paragraph" w:styleId="3">
    <w:name w:val="heading 2"/>
    <w:basedOn w:val="1"/>
    <w:next w:val="1"/>
    <w:link w:val="48"/>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4">
    <w:name w:val="heading 3"/>
    <w:basedOn w:val="1"/>
    <w:next w:val="1"/>
    <w:link w:val="49"/>
    <w:unhideWhenUsed/>
    <w:qFormat/>
    <w:uiPriority w:val="0"/>
    <w:pPr>
      <w:keepNext/>
      <w:keepLines/>
      <w:spacing w:line="560" w:lineRule="exact"/>
      <w:ind w:firstLine="200" w:firstLineChars="200"/>
      <w:outlineLvl w:val="2"/>
    </w:pPr>
    <w:rPr>
      <w:b/>
      <w:bCs/>
      <w:sz w:val="28"/>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jc w:val="left"/>
    </w:pPr>
  </w:style>
  <w:style w:type="paragraph" w:styleId="7">
    <w:name w:val="Salutation"/>
    <w:basedOn w:val="1"/>
    <w:next w:val="1"/>
    <w:link w:val="32"/>
    <w:qFormat/>
    <w:uiPriority w:val="0"/>
    <w:rPr>
      <w:rFonts w:eastAsia="仿宋_GB2312"/>
      <w:sz w:val="28"/>
    </w:rPr>
  </w:style>
  <w:style w:type="paragraph" w:styleId="8">
    <w:name w:val="Body Text"/>
    <w:basedOn w:val="1"/>
    <w:qFormat/>
    <w:uiPriority w:val="0"/>
    <w:rPr>
      <w:sz w:val="18"/>
    </w:rPr>
  </w:style>
  <w:style w:type="paragraph" w:styleId="9">
    <w:name w:val="Body Text Indent"/>
    <w:basedOn w:val="1"/>
    <w:link w:val="61"/>
    <w:qFormat/>
    <w:uiPriority w:val="0"/>
    <w:pPr>
      <w:ind w:firstLine="560" w:firstLineChars="200"/>
    </w:pPr>
    <w:rPr>
      <w:rFonts w:ascii="仿宋_GB2312" w:eastAsia="仿宋_GB2312"/>
      <w:sz w:val="28"/>
    </w:rPr>
  </w:style>
  <w:style w:type="paragraph" w:styleId="10">
    <w:name w:val="toc 3"/>
    <w:basedOn w:val="1"/>
    <w:next w:val="1"/>
    <w:qFormat/>
    <w:uiPriority w:val="39"/>
    <w:pPr>
      <w:ind w:left="840" w:leftChars="400"/>
    </w:pPr>
  </w:style>
  <w:style w:type="paragraph" w:styleId="11">
    <w:name w:val="Plain Text"/>
    <w:basedOn w:val="1"/>
    <w:link w:val="36"/>
    <w:qFormat/>
    <w:uiPriority w:val="0"/>
    <w:rPr>
      <w:rFonts w:ascii="宋体" w:hAnsi="Courier New"/>
      <w:szCs w:val="20"/>
    </w:rPr>
  </w:style>
  <w:style w:type="paragraph" w:styleId="12">
    <w:name w:val="Date"/>
    <w:basedOn w:val="1"/>
    <w:next w:val="1"/>
    <w:qFormat/>
    <w:uiPriority w:val="0"/>
    <w:pPr>
      <w:ind w:left="100" w:leftChars="2500"/>
    </w:pPr>
    <w:rPr>
      <w:rFonts w:ascii="楷体_GB2312" w:eastAsia="楷体_GB2312"/>
      <w:color w:val="FF0000"/>
      <w:sz w:val="28"/>
    </w:rPr>
  </w:style>
  <w:style w:type="paragraph" w:styleId="13">
    <w:name w:val="Balloon Text"/>
    <w:basedOn w:val="1"/>
    <w:semiHidden/>
    <w:qFormat/>
    <w:uiPriority w:val="0"/>
    <w:rPr>
      <w:sz w:val="18"/>
      <w:szCs w:val="18"/>
    </w:rPr>
  </w:style>
  <w:style w:type="paragraph" w:styleId="14">
    <w:name w:val="footer"/>
    <w:basedOn w:val="1"/>
    <w:link w:val="65"/>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Body Text Indent 3"/>
    <w:basedOn w:val="1"/>
    <w:qFormat/>
    <w:uiPriority w:val="0"/>
    <w:pPr>
      <w:spacing w:after="120"/>
      <w:ind w:left="420" w:leftChars="200"/>
    </w:pPr>
    <w:rPr>
      <w:sz w:val="16"/>
      <w:szCs w:val="16"/>
    </w:rPr>
  </w:style>
  <w:style w:type="paragraph" w:styleId="18">
    <w:name w:val="toc 2"/>
    <w:basedOn w:val="1"/>
    <w:next w:val="1"/>
    <w:qFormat/>
    <w:uiPriority w:val="39"/>
    <w:pPr>
      <w:ind w:left="420" w:leftChars="200"/>
    </w:p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6"/>
    <w:next w:val="6"/>
    <w:semiHidden/>
    <w:qFormat/>
    <w:uiPriority w:val="0"/>
    <w:rPr>
      <w:b/>
      <w:bCs/>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semiHidden/>
    <w:qFormat/>
    <w:uiPriority w:val="0"/>
    <w:rPr>
      <w:sz w:val="21"/>
      <w:szCs w:val="21"/>
    </w:rPr>
  </w:style>
  <w:style w:type="character" w:customStyle="1" w:styleId="28">
    <w:name w:val="tpc_content"/>
    <w:basedOn w:val="23"/>
    <w:qFormat/>
    <w:uiPriority w:val="0"/>
  </w:style>
  <w:style w:type="character" w:customStyle="1" w:styleId="29">
    <w:name w:val="nb_dis"/>
    <w:basedOn w:val="23"/>
    <w:qFormat/>
    <w:uiPriority w:val="0"/>
  </w:style>
  <w:style w:type="character" w:customStyle="1" w:styleId="30">
    <w:name w:val="normal1"/>
    <w:qFormat/>
    <w:uiPriority w:val="0"/>
    <w:rPr>
      <w:rFonts w:hint="default" w:ascii="Tahoma" w:hAnsi="Tahoma" w:cs="Tahoma"/>
      <w:sz w:val="18"/>
      <w:szCs w:val="18"/>
    </w:rPr>
  </w:style>
  <w:style w:type="character" w:customStyle="1" w:styleId="31">
    <w:name w:val="img_wrapper_img_descr"/>
    <w:qFormat/>
    <w:uiPriority w:val="0"/>
  </w:style>
  <w:style w:type="character" w:customStyle="1" w:styleId="32">
    <w:name w:val="称呼 Char"/>
    <w:link w:val="7"/>
    <w:qFormat/>
    <w:uiPriority w:val="0"/>
    <w:rPr>
      <w:rFonts w:eastAsia="仿宋_GB2312"/>
      <w:kern w:val="2"/>
      <w:sz w:val="28"/>
      <w:szCs w:val="24"/>
    </w:rPr>
  </w:style>
  <w:style w:type="character" w:customStyle="1" w:styleId="33">
    <w:name w:val="apple-converted-space"/>
    <w:qFormat/>
    <w:uiPriority w:val="0"/>
  </w:style>
  <w:style w:type="character" w:customStyle="1" w:styleId="34">
    <w:name w:val="cctt"/>
    <w:basedOn w:val="23"/>
    <w:qFormat/>
    <w:uiPriority w:val="0"/>
  </w:style>
  <w:style w:type="character" w:customStyle="1" w:styleId="35">
    <w:name w:val="ellipsis"/>
    <w:basedOn w:val="23"/>
    <w:qFormat/>
    <w:uiPriority w:val="0"/>
  </w:style>
  <w:style w:type="character" w:customStyle="1" w:styleId="36">
    <w:name w:val="纯文本 Char"/>
    <w:link w:val="11"/>
    <w:qFormat/>
    <w:locked/>
    <w:uiPriority w:val="0"/>
    <w:rPr>
      <w:rFonts w:ascii="宋体" w:hAnsi="Courier New" w:eastAsia="宋体"/>
      <w:kern w:val="2"/>
      <w:sz w:val="21"/>
      <w:lang w:val="en-US" w:eastAsia="zh-CN" w:bidi="ar-SA"/>
    </w:rPr>
  </w:style>
  <w:style w:type="character" w:customStyle="1" w:styleId="37">
    <w:name w:val="style11"/>
    <w:qFormat/>
    <w:uiPriority w:val="0"/>
    <w:rPr>
      <w:color w:val="000000"/>
    </w:rPr>
  </w:style>
  <w:style w:type="paragraph" w:customStyle="1" w:styleId="38">
    <w:name w:val="Char Char"/>
    <w:basedOn w:val="1"/>
    <w:qFormat/>
    <w:uiPriority w:val="0"/>
    <w:rPr>
      <w:szCs w:val="20"/>
    </w:rPr>
  </w:style>
  <w:style w:type="paragraph" w:customStyle="1" w:styleId="39">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Char"/>
    <w:basedOn w:val="1"/>
    <w:qFormat/>
    <w:uiPriority w:val="0"/>
    <w:rPr>
      <w:rFonts w:ascii="Tahoma" w:hAnsi="Tahoma"/>
      <w:sz w:val="24"/>
      <w:szCs w:val="20"/>
    </w:rPr>
  </w:style>
  <w:style w:type="paragraph" w:customStyle="1" w:styleId="41">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2">
    <w:name w:val="表"/>
    <w:basedOn w:val="1"/>
    <w:qFormat/>
    <w:uiPriority w:val="0"/>
    <w:pPr>
      <w:spacing w:beforeLines="10" w:afterLines="10"/>
      <w:jc w:val="center"/>
    </w:pPr>
    <w:rPr>
      <w:szCs w:val="20"/>
    </w:rPr>
  </w:style>
  <w:style w:type="paragraph" w:customStyle="1" w:styleId="43">
    <w:name w:val="_Style 19"/>
    <w:basedOn w:val="1"/>
    <w:qFormat/>
    <w:uiPriority w:val="0"/>
    <w:rPr>
      <w:szCs w:val="20"/>
    </w:rPr>
  </w:style>
  <w:style w:type="paragraph" w:customStyle="1" w:styleId="44">
    <w:name w:val="Char Char1 Char Char Char Char"/>
    <w:basedOn w:val="1"/>
    <w:qFormat/>
    <w:uiPriority w:val="0"/>
    <w:rPr>
      <w:szCs w:val="20"/>
    </w:rPr>
  </w:style>
  <w:style w:type="paragraph" w:customStyle="1" w:styleId="45">
    <w:name w:val="Char Char1 Char Char Char Char Char Char1 Char Char"/>
    <w:basedOn w:val="1"/>
    <w:qFormat/>
    <w:uiPriority w:val="0"/>
    <w:rPr>
      <w:szCs w:val="20"/>
    </w:rPr>
  </w:style>
  <w:style w:type="paragraph" w:customStyle="1" w:styleId="46">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7">
    <w:name w:val="标题 1 Char"/>
    <w:link w:val="2"/>
    <w:qFormat/>
    <w:uiPriority w:val="0"/>
    <w:rPr>
      <w:bCs/>
      <w:kern w:val="44"/>
      <w:sz w:val="36"/>
      <w:szCs w:val="44"/>
    </w:rPr>
  </w:style>
  <w:style w:type="character" w:customStyle="1" w:styleId="48">
    <w:name w:val="标题 2 Char"/>
    <w:link w:val="3"/>
    <w:qFormat/>
    <w:uiPriority w:val="9"/>
    <w:rPr>
      <w:rFonts w:ascii="宋体" w:hAnsi="宋体" w:eastAsia="宋体"/>
      <w:b/>
      <w:bCs/>
      <w:color w:val="222222"/>
      <w:spacing w:val="8"/>
      <w:sz w:val="28"/>
      <w:szCs w:val="28"/>
    </w:rPr>
  </w:style>
  <w:style w:type="character" w:customStyle="1" w:styleId="49">
    <w:name w:val="标题 3 Char"/>
    <w:link w:val="4"/>
    <w:qFormat/>
    <w:uiPriority w:val="0"/>
    <w:rPr>
      <w:rFonts w:eastAsia="宋体"/>
      <w:b/>
      <w:bCs/>
      <w:kern w:val="2"/>
      <w:sz w:val="28"/>
      <w:szCs w:val="32"/>
    </w:rPr>
  </w:style>
  <w:style w:type="paragraph" w:customStyle="1" w:styleId="50">
    <w:name w:val="TOC 标题1"/>
    <w:basedOn w:val="2"/>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1">
    <w:name w:val="font61"/>
    <w:basedOn w:val="23"/>
    <w:qFormat/>
    <w:uiPriority w:val="0"/>
    <w:rPr>
      <w:rFonts w:hint="eastAsia" w:ascii="宋体" w:hAnsi="宋体" w:eastAsia="宋体" w:cs="宋体"/>
      <w:color w:val="000000"/>
      <w:sz w:val="24"/>
      <w:szCs w:val="24"/>
      <w:u w:val="none"/>
    </w:rPr>
  </w:style>
  <w:style w:type="character" w:customStyle="1" w:styleId="52">
    <w:name w:val="font51"/>
    <w:basedOn w:val="23"/>
    <w:qFormat/>
    <w:uiPriority w:val="0"/>
    <w:rPr>
      <w:rFonts w:hint="default" w:ascii="仿宋_GB2312" w:eastAsia="仿宋_GB2312" w:cs="仿宋_GB2312"/>
      <w:color w:val="000000"/>
      <w:sz w:val="24"/>
      <w:szCs w:val="24"/>
      <w:u w:val="none"/>
    </w:rPr>
  </w:style>
  <w:style w:type="character" w:customStyle="1" w:styleId="53">
    <w:name w:val="font01"/>
    <w:basedOn w:val="23"/>
    <w:qFormat/>
    <w:uiPriority w:val="0"/>
    <w:rPr>
      <w:rFonts w:hint="default" w:ascii="仿宋_GB2312" w:eastAsia="仿宋_GB2312" w:cs="仿宋_GB2312"/>
      <w:color w:val="000000"/>
      <w:sz w:val="24"/>
      <w:szCs w:val="24"/>
      <w:u w:val="none"/>
      <w:vertAlign w:val="superscript"/>
    </w:rPr>
  </w:style>
  <w:style w:type="character" w:customStyle="1" w:styleId="54">
    <w:name w:val="font41"/>
    <w:basedOn w:val="23"/>
    <w:qFormat/>
    <w:uiPriority w:val="0"/>
    <w:rPr>
      <w:rFonts w:hint="default" w:ascii="仿宋_GB2312" w:eastAsia="仿宋_GB2312" w:cs="仿宋_GB2312"/>
      <w:color w:val="000000"/>
      <w:sz w:val="24"/>
      <w:szCs w:val="24"/>
      <w:u w:val="none"/>
    </w:rPr>
  </w:style>
  <w:style w:type="character" w:customStyle="1" w:styleId="55">
    <w:name w:val="font31"/>
    <w:basedOn w:val="23"/>
    <w:qFormat/>
    <w:uiPriority w:val="0"/>
    <w:rPr>
      <w:rFonts w:hint="eastAsia" w:ascii="宋体" w:hAnsi="宋体" w:eastAsia="宋体" w:cs="宋体"/>
      <w:color w:val="000000"/>
      <w:sz w:val="24"/>
      <w:szCs w:val="24"/>
      <w:u w:val="none"/>
    </w:rPr>
  </w:style>
  <w:style w:type="character" w:customStyle="1" w:styleId="56">
    <w:name w:val="font21"/>
    <w:basedOn w:val="23"/>
    <w:qFormat/>
    <w:uiPriority w:val="0"/>
    <w:rPr>
      <w:rFonts w:hint="default" w:ascii="仿宋_GB2312" w:eastAsia="仿宋_GB2312" w:cs="仿宋_GB2312"/>
      <w:color w:val="000000"/>
      <w:sz w:val="24"/>
      <w:szCs w:val="24"/>
      <w:u w:val="none"/>
    </w:rPr>
  </w:style>
  <w:style w:type="character" w:customStyle="1" w:styleId="57">
    <w:name w:val="font11"/>
    <w:basedOn w:val="23"/>
    <w:qFormat/>
    <w:uiPriority w:val="0"/>
    <w:rPr>
      <w:rFonts w:hint="eastAsia" w:ascii="宋体" w:hAnsi="宋体" w:eastAsia="宋体" w:cs="宋体"/>
      <w:color w:val="000000"/>
      <w:sz w:val="21"/>
      <w:szCs w:val="21"/>
      <w:u w:val="none"/>
    </w:rPr>
  </w:style>
  <w:style w:type="paragraph" w:styleId="58">
    <w:name w:val="List Paragraph"/>
    <w:basedOn w:val="1"/>
    <w:qFormat/>
    <w:uiPriority w:val="99"/>
    <w:pPr>
      <w:ind w:firstLine="420" w:firstLineChars="200"/>
    </w:pPr>
  </w:style>
  <w:style w:type="character" w:customStyle="1" w:styleId="59">
    <w:name w:val="称呼 Char1"/>
    <w:qFormat/>
    <w:uiPriority w:val="0"/>
    <w:rPr>
      <w:rFonts w:eastAsia="仿宋_GB2312"/>
      <w:kern w:val="2"/>
      <w:sz w:val="28"/>
      <w:szCs w:val="24"/>
    </w:rPr>
  </w:style>
  <w:style w:type="paragraph" w:customStyle="1" w:styleId="60">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1">
    <w:name w:val="正文文本缩进 Char"/>
    <w:basedOn w:val="23"/>
    <w:link w:val="9"/>
    <w:qFormat/>
    <w:uiPriority w:val="0"/>
    <w:rPr>
      <w:rFonts w:ascii="仿宋_GB2312" w:eastAsia="仿宋_GB2312"/>
      <w:kern w:val="2"/>
      <w:sz w:val="28"/>
      <w:szCs w:val="24"/>
    </w:rPr>
  </w:style>
  <w:style w:type="character" w:customStyle="1" w:styleId="62">
    <w:name w:val="hei141"/>
    <w:qFormat/>
    <w:uiPriority w:val="0"/>
    <w:rPr>
      <w:color w:val="000000"/>
      <w:sz w:val="21"/>
      <w:szCs w:val="21"/>
    </w:rPr>
  </w:style>
  <w:style w:type="character" w:customStyle="1" w:styleId="63">
    <w:name w:val="纯文本 Char1"/>
    <w:qFormat/>
    <w:uiPriority w:val="0"/>
    <w:rPr>
      <w:rFonts w:ascii="宋体" w:hAnsi="Courier New" w:eastAsia="宋体"/>
      <w:kern w:val="2"/>
      <w:sz w:val="21"/>
      <w:lang w:val="en-US" w:eastAsia="zh-CN" w:bidi="ar-SA"/>
    </w:rPr>
  </w:style>
  <w:style w:type="paragraph" w:customStyle="1" w:styleId="64">
    <w:name w:val="p0"/>
    <w:basedOn w:val="1"/>
    <w:qFormat/>
    <w:uiPriority w:val="0"/>
    <w:pPr>
      <w:widowControl/>
    </w:pPr>
    <w:rPr>
      <w:rFonts w:hint="eastAsia"/>
    </w:rPr>
  </w:style>
  <w:style w:type="character" w:customStyle="1" w:styleId="65">
    <w:name w:val="页脚 Char"/>
    <w:basedOn w:val="23"/>
    <w:link w:val="14"/>
    <w:qFormat/>
    <w:uiPriority w:val="99"/>
    <w:rPr>
      <w:kern w:val="2"/>
      <w:sz w:val="18"/>
      <w:szCs w:val="18"/>
    </w:rPr>
  </w:style>
  <w:style w:type="character" w:customStyle="1" w:styleId="66">
    <w:name w:val="titletext"/>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0A2E7-BA09-4075-8EBF-A205CDEAA7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28499</Words>
  <Characters>30863</Characters>
  <Lines>240</Lines>
  <Paragraphs>67</Paragraphs>
  <TotalTime>166</TotalTime>
  <ScaleCrop>false</ScaleCrop>
  <LinksUpToDate>false</LinksUpToDate>
  <CharactersWithSpaces>31552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杨亚楠</cp:lastModifiedBy>
  <cp:lastPrinted>2021-01-22T02:26:00Z</cp:lastPrinted>
  <dcterms:modified xsi:type="dcterms:W3CDTF">2022-08-23T08:01:30Z</dcterms:modified>
  <dc:title>估价项目名称：山东德棉集团有限公司所属德州顺河西路18号房产抵押估价报告</dc:title>
  <cp:revision>649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C08DEA4C1BA4422D99531BA61453E743</vt:lpwstr>
  </property>
  <property fmtid="{D5CDD505-2E9C-101B-9397-08002B2CF9AE}" pid="3" name="KSOProductBuildVer">
    <vt:lpwstr>2052-11.1.0.11875</vt:lpwstr>
  </property>
</Properties>
</file>