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rPr>
      </w:pPr>
    </w:p>
    <w:p>
      <w:pPr>
        <w:rPr>
          <w:rFonts w:ascii="宋体" w:hAnsi="宋体"/>
          <w:color w:val="000000"/>
          <w:sz w:val="28"/>
        </w:rPr>
      </w:pPr>
    </w:p>
    <w:p>
      <w:pPr>
        <w:pStyle w:val="8"/>
        <w:rPr>
          <w:rFonts w:ascii="宋体" w:hAnsi="宋体" w:eastAsia="宋体"/>
          <w:b/>
          <w:color w:val="000000"/>
          <w:sz w:val="48"/>
          <w:szCs w:val="48"/>
        </w:rPr>
      </w:pPr>
    </w:p>
    <w:p/>
    <w:p/>
    <w:p/>
    <w:p>
      <w:pPr>
        <w:pStyle w:val="8"/>
        <w:jc w:val="center"/>
        <w:rPr>
          <w:rFonts w:ascii="宋体" w:hAnsi="宋体" w:eastAsia="宋体"/>
          <w:b/>
          <w:color w:val="000000"/>
          <w:sz w:val="48"/>
          <w:szCs w:val="48"/>
        </w:rPr>
      </w:pPr>
      <w:r>
        <w:rPr>
          <w:rFonts w:hint="eastAsia" w:ascii="宋体" w:hAnsi="宋体" w:eastAsia="宋体"/>
          <w:b/>
          <w:color w:val="000000"/>
          <w:sz w:val="48"/>
          <w:szCs w:val="48"/>
        </w:rPr>
        <w:t>涉执房产处置司法评估报告</w:t>
      </w:r>
    </w:p>
    <w:p>
      <w:pPr>
        <w:spacing w:line="560" w:lineRule="exact"/>
        <w:ind w:left="3383" w:leftChars="428" w:hanging="2484" w:hangingChars="690"/>
        <w:rPr>
          <w:rFonts w:ascii="宋体" w:hAnsi="宋体"/>
          <w:color w:val="000000"/>
          <w:sz w:val="36"/>
          <w:szCs w:val="36"/>
        </w:rPr>
      </w:pPr>
    </w:p>
    <w:p>
      <w:pPr>
        <w:spacing w:line="560" w:lineRule="exact"/>
        <w:ind w:left="3383" w:leftChars="428" w:hanging="2484" w:hangingChars="690"/>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p>
    <w:p>
      <w:pPr>
        <w:spacing w:line="560" w:lineRule="exact"/>
        <w:ind w:left="2348" w:leftChars="428" w:hanging="1449" w:hangingChars="690"/>
        <w:rPr>
          <w:rFonts w:ascii="宋体" w:hAnsi="宋体"/>
          <w:color w:val="000000"/>
          <w:sz w:val="30"/>
          <w:szCs w:val="30"/>
        </w:rPr>
      </w:pPr>
      <w:r>
        <w:pict>
          <v:shape id="文本框 1" o:spid="_x0000_s1028" o:spt="202" type="#_x0000_t202" style="position:absolute;left:0pt;margin-left:172.15pt;margin-top:22.1pt;height:104.35pt;width:108.6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">
            <v:path/>
            <v:fill focussize="0,0"/>
            <v:stroke color="#FFFFFF" joinstyle="miter"/>
            <v:imagedata o:title=""/>
            <o:lock v:ext="edit"/>
            <v:textbox>
              <w:txbxContent>
                <w:p>
                  <w:bookmarkStart w:id="125" w:name="PO_二维码"/>
                  <w:bookmarkEnd w:id="125"/>
                </w:p>
              </w:txbxContent>
            </v:textbox>
          </v:shape>
        </w:pict>
      </w:r>
      <w:r>
        <w:rPr>
          <w:rFonts w:hint="eastAsia" w:ascii="宋体" w:hAnsi="宋体"/>
          <w:color w:val="000000"/>
          <w:sz w:val="30"/>
          <w:szCs w:val="30"/>
        </w:rPr>
        <w:t xml:space="preserve">               </w:t>
      </w: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ind w:left="2969" w:leftChars="428" w:hanging="2070" w:hangingChars="690"/>
        <w:rPr>
          <w:rFonts w:ascii="宋体" w:hAnsi="宋体"/>
          <w:color w:val="000000"/>
          <w:sz w:val="30"/>
          <w:szCs w:val="30"/>
        </w:rPr>
      </w:pPr>
    </w:p>
    <w:p>
      <w:pPr>
        <w:spacing w:line="560" w:lineRule="exact"/>
        <w:rPr>
          <w:rFonts w:ascii="宋体" w:hAnsi="宋体"/>
          <w:color w:val="000000"/>
          <w:sz w:val="32"/>
        </w:rPr>
      </w:pPr>
    </w:p>
    <w:p>
      <w:pPr>
        <w:spacing w:line="560" w:lineRule="exact"/>
        <w:rPr>
          <w:rFonts w:ascii="宋体" w:hAnsi="宋体"/>
          <w:color w:val="000000"/>
          <w:sz w:val="32"/>
        </w:rPr>
      </w:pPr>
    </w:p>
    <w:p>
      <w:pPr>
        <w:spacing w:line="560" w:lineRule="exact"/>
        <w:rPr>
          <w:rFonts w:ascii="宋体" w:hAnsi="宋体"/>
          <w:color w:val="000000"/>
          <w:sz w:val="32"/>
        </w:rPr>
      </w:pPr>
    </w:p>
    <w:p>
      <w:pPr>
        <w:spacing w:line="560" w:lineRule="exact"/>
        <w:rPr>
          <w:rFonts w:ascii="宋体" w:hAnsi="宋体"/>
          <w:color w:val="000000"/>
          <w:sz w:val="32"/>
        </w:rPr>
      </w:pPr>
    </w:p>
    <w:p>
      <w:pPr>
        <w:spacing w:line="560" w:lineRule="exact"/>
        <w:ind w:left="2555" w:leftChars="150" w:hanging="2240" w:hangingChars="700"/>
        <w:rPr>
          <w:rFonts w:ascii="宋体" w:hAnsi="宋体"/>
          <w:color w:val="000000"/>
          <w:sz w:val="32"/>
        </w:rPr>
      </w:pPr>
      <w:r>
        <w:rPr>
          <w:rFonts w:hint="eastAsia" w:ascii="宋体" w:hAnsi="宋体"/>
          <w:color w:val="000000"/>
          <w:sz w:val="32"/>
        </w:rPr>
        <w:t>估价项目名称：阳谷县石佛镇石佛村商住房产（不包含土地使用权）市场价值评估</w:t>
      </w:r>
    </w:p>
    <w:p>
      <w:pPr>
        <w:spacing w:line="560" w:lineRule="exact"/>
        <w:ind w:firstLine="320" w:firstLineChars="100"/>
        <w:rPr>
          <w:rFonts w:ascii="宋体" w:hAnsi="宋体"/>
          <w:color w:val="000000"/>
          <w:sz w:val="30"/>
          <w:szCs w:val="30"/>
        </w:rPr>
      </w:pPr>
      <w:r>
        <w:rPr>
          <w:rFonts w:hint="eastAsia" w:ascii="宋体" w:hAnsi="宋体"/>
          <w:color w:val="000000"/>
          <w:sz w:val="32"/>
        </w:rPr>
        <w:t>估价委托人：阳谷县人民法院</w:t>
      </w:r>
    </w:p>
    <w:p>
      <w:pPr>
        <w:ind w:firstLine="320" w:firstLineChars="100"/>
        <w:rPr>
          <w:rFonts w:ascii="宋体" w:hAnsi="宋体"/>
          <w:color w:val="000000"/>
          <w:sz w:val="32"/>
        </w:rPr>
      </w:pPr>
      <w:r>
        <w:rPr>
          <w:rFonts w:hint="eastAsia" w:ascii="宋体" w:hAnsi="宋体"/>
          <w:color w:val="000000"/>
          <w:sz w:val="32"/>
        </w:rPr>
        <w:t>房地产估价机构：山东成达土地房地产资产评估测绘有限公司</w:t>
      </w:r>
    </w:p>
    <w:p>
      <w:pPr>
        <w:ind w:firstLine="320" w:firstLineChars="100"/>
        <w:rPr>
          <w:rFonts w:ascii="宋体" w:hAnsi="宋体"/>
          <w:color w:val="000000"/>
          <w:sz w:val="32"/>
        </w:rPr>
      </w:pPr>
      <w:r>
        <w:rPr>
          <w:rFonts w:hint="eastAsia" w:ascii="宋体" w:hAnsi="宋体"/>
          <w:color w:val="000000"/>
          <w:sz w:val="32"/>
        </w:rPr>
        <w:t>注册房地产估价师：张增坤（注册号：3720190070）</w:t>
      </w:r>
    </w:p>
    <w:p>
      <w:pPr>
        <w:ind w:firstLine="3200" w:firstLineChars="1000"/>
        <w:rPr>
          <w:rFonts w:ascii="宋体" w:hAnsi="宋体"/>
          <w:color w:val="000000"/>
          <w:sz w:val="32"/>
        </w:rPr>
      </w:pPr>
      <w:r>
        <w:rPr>
          <w:rFonts w:hint="eastAsia" w:ascii="宋体" w:hAnsi="宋体"/>
          <w:color w:val="000000"/>
          <w:sz w:val="32"/>
        </w:rPr>
        <w:t>马骕骅（注册号：3720190070）</w:t>
      </w:r>
    </w:p>
    <w:p>
      <w:pPr>
        <w:ind w:firstLine="320" w:firstLineChars="100"/>
        <w:rPr>
          <w:rFonts w:ascii="宋体" w:hAnsi="宋体"/>
          <w:color w:val="000000"/>
          <w:sz w:val="32"/>
        </w:rPr>
      </w:pPr>
      <w:r>
        <w:rPr>
          <w:rFonts w:hint="eastAsia" w:ascii="宋体" w:hAnsi="宋体"/>
          <w:color w:val="000000"/>
          <w:sz w:val="32"/>
        </w:rPr>
        <w:t>估价报告出具日期：2022年6月6日</w:t>
      </w:r>
    </w:p>
    <w:p>
      <w:pPr>
        <w:ind w:firstLine="320" w:firstLineChars="100"/>
        <w:rPr>
          <w:rFonts w:ascii="宋体" w:hAnsi="宋体"/>
          <w:color w:val="000000"/>
          <w:sz w:val="32"/>
        </w:rPr>
      </w:pPr>
      <w:r>
        <w:rPr>
          <w:rFonts w:hint="eastAsia" w:ascii="宋体" w:hAnsi="宋体"/>
          <w:color w:val="000000"/>
          <w:sz w:val="32"/>
        </w:rPr>
        <w:t>估价报告编号：鲁成（202</w:t>
      </w:r>
      <w:r>
        <w:rPr>
          <w:rFonts w:ascii="宋体" w:hAnsi="宋体"/>
          <w:color w:val="000000"/>
          <w:sz w:val="32"/>
        </w:rPr>
        <w:t>2</w:t>
      </w:r>
      <w:r>
        <w:rPr>
          <w:rFonts w:hint="eastAsia" w:ascii="宋体" w:hAnsi="宋体"/>
          <w:color w:val="000000"/>
          <w:sz w:val="32"/>
        </w:rPr>
        <w:t>）估字</w:t>
      </w:r>
      <w:r>
        <w:rPr>
          <w:rFonts w:ascii="宋体" w:hAnsi="宋体"/>
          <w:color w:val="000000"/>
          <w:sz w:val="32"/>
        </w:rPr>
        <w:t>130</w:t>
      </w:r>
      <w:r>
        <w:rPr>
          <w:rFonts w:hint="eastAsia" w:ascii="宋体" w:hAnsi="宋体"/>
          <w:color w:val="000000"/>
          <w:sz w:val="32"/>
        </w:rPr>
        <w:t>号</w:t>
      </w:r>
    </w:p>
    <w:p>
      <w:pPr>
        <w:snapToGrid w:val="0"/>
        <w:spacing w:line="500" w:lineRule="exact"/>
        <w:jc w:val="center"/>
        <w:rPr>
          <w:rFonts w:ascii="宋体" w:hAnsi="宋体"/>
          <w:color w:val="000000"/>
          <w:sz w:val="36"/>
          <w:szCs w:val="36"/>
        </w:rPr>
      </w:pPr>
    </w:p>
    <w:p>
      <w:pPr>
        <w:rPr>
          <w:rFonts w:ascii="宋体" w:hAnsi="宋体"/>
          <w:b/>
          <w:color w:val="000000"/>
          <w:sz w:val="36"/>
          <w:szCs w:val="36"/>
        </w:rPr>
      </w:pPr>
      <w:r>
        <w:rPr>
          <w:rFonts w:hint="eastAsia" w:ascii="宋体" w:hAnsi="宋体"/>
          <w:b/>
          <w:color w:val="000000"/>
          <w:sz w:val="36"/>
          <w:szCs w:val="36"/>
        </w:rPr>
        <w:br w:type="page"/>
      </w:r>
    </w:p>
    <w:p>
      <w:pPr>
        <w:snapToGrid w:val="0"/>
        <w:spacing w:line="500" w:lineRule="exact"/>
        <w:jc w:val="center"/>
        <w:rPr>
          <w:rFonts w:ascii="宋体" w:hAnsi="宋体"/>
          <w:b/>
          <w:color w:val="000000"/>
          <w:sz w:val="36"/>
          <w:szCs w:val="36"/>
        </w:rPr>
      </w:pPr>
      <w:r>
        <w:rPr>
          <w:rFonts w:hint="eastAsia" w:ascii="宋体" w:hAnsi="宋体"/>
          <w:b/>
          <w:color w:val="000000"/>
          <w:sz w:val="36"/>
          <w:szCs w:val="36"/>
        </w:rPr>
        <w:t>致 估 价 委 托 人 函</w:t>
      </w:r>
    </w:p>
    <w:p>
      <w:pPr>
        <w:pStyle w:val="8"/>
        <w:snapToGrid w:val="0"/>
        <w:spacing w:line="500" w:lineRule="exact"/>
        <w:rPr>
          <w:rFonts w:ascii="宋体" w:hAnsi="宋体" w:eastAsia="宋体"/>
          <w:color w:val="000000"/>
          <w:szCs w:val="28"/>
        </w:rPr>
      </w:pPr>
      <w:r>
        <w:rPr>
          <w:rFonts w:hint="eastAsia" w:ascii="宋体" w:hAnsi="宋体" w:eastAsia="宋体"/>
          <w:color w:val="000000"/>
          <w:szCs w:val="28"/>
        </w:rPr>
        <w:t>阳谷县人民法院：</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受贵院委托，我评估公司本着独立、客观、公正的原则，对委托评估的位于阳谷县石佛镇石佛村商住房产（不包含土地使用权）于</w:t>
      </w:r>
      <w:r>
        <w:rPr>
          <w:rFonts w:hint="eastAsia" w:ascii="宋体" w:hAnsi="宋体"/>
          <w:sz w:val="28"/>
          <w:szCs w:val="28"/>
        </w:rPr>
        <w:t>2022年4月22日</w:t>
      </w:r>
      <w:r>
        <w:rPr>
          <w:rFonts w:hint="eastAsia" w:ascii="宋体" w:hAnsi="宋体"/>
          <w:color w:val="000000"/>
          <w:sz w:val="28"/>
          <w:szCs w:val="28"/>
        </w:rPr>
        <w:t>进行了现场查勘并进行了评估测算。评估工作现已完成，现将报告主要内容说明如下：</w:t>
      </w:r>
    </w:p>
    <w:p>
      <w:pPr>
        <w:snapToGrid w:val="0"/>
        <w:spacing w:line="500" w:lineRule="exact"/>
        <w:ind w:firstLine="562" w:firstLineChars="200"/>
        <w:rPr>
          <w:rFonts w:ascii="宋体" w:hAnsi="宋体" w:cs="宋体"/>
          <w:color w:val="000000"/>
          <w:sz w:val="28"/>
        </w:rPr>
      </w:pPr>
      <w:r>
        <w:rPr>
          <w:rFonts w:hint="eastAsia" w:ascii="宋体" w:hAnsi="宋体"/>
          <w:b/>
          <w:color w:val="000000"/>
          <w:sz w:val="28"/>
        </w:rPr>
        <w:t>估价对象：</w:t>
      </w:r>
      <w:r>
        <w:rPr>
          <w:rFonts w:hint="eastAsia" w:ascii="宋体" w:hAnsi="宋体" w:cs="宋体"/>
          <w:color w:val="000000"/>
          <w:sz w:val="28"/>
          <w:lang w:val="zh-CN"/>
        </w:rPr>
        <w:t>根据估价委托人提供的</w:t>
      </w:r>
      <w:r>
        <w:rPr>
          <w:rFonts w:hint="eastAsia" w:ascii="宋体" w:hAnsi="宋体" w:cs="宋体"/>
          <w:color w:val="000000"/>
          <w:sz w:val="28"/>
        </w:rPr>
        <w:t>房屋所有权证、国有土地使用证复印件</w:t>
      </w:r>
      <w:r>
        <w:rPr>
          <w:rFonts w:hint="eastAsia" w:ascii="宋体" w:hAnsi="宋体" w:cs="宋体"/>
          <w:color w:val="000000"/>
          <w:sz w:val="28"/>
          <w:lang w:val="zh-CN"/>
        </w:rPr>
        <w:t>及现场勘查确定估价对象权属状况如下</w:t>
      </w:r>
      <w:r>
        <w:rPr>
          <w:rFonts w:hint="eastAsia" w:ascii="宋体" w:hAnsi="宋体" w:cs="宋体"/>
          <w:color w:val="000000"/>
          <w:sz w:val="28"/>
        </w:rPr>
        <w:t>：</w:t>
      </w:r>
    </w:p>
    <w:p>
      <w:pPr>
        <w:snapToGrid w:val="0"/>
        <w:spacing w:line="500" w:lineRule="exact"/>
        <w:ind w:firstLine="560" w:firstLineChars="200"/>
        <w:rPr>
          <w:rFonts w:ascii="宋体" w:hAnsi="宋体"/>
          <w:b/>
          <w:color w:val="000000"/>
          <w:sz w:val="28"/>
        </w:rPr>
      </w:pPr>
      <w:r>
        <w:rPr>
          <w:rFonts w:hint="eastAsia" w:ascii="宋体" w:hAnsi="宋体" w:cs="宋体"/>
          <w:color w:val="000000"/>
          <w:sz w:val="28"/>
        </w:rPr>
        <w:t>1、</w:t>
      </w:r>
      <w:r>
        <w:rPr>
          <w:rFonts w:ascii="宋体" w:hAnsi="宋体" w:cs="宋体"/>
          <w:color w:val="000000"/>
          <w:sz w:val="28"/>
        </w:rPr>
        <w:t>估价对象房产登记状况</w:t>
      </w:r>
      <w:r>
        <w:rPr>
          <w:rFonts w:hint="eastAsia" w:ascii="宋体" w:hAnsi="宋体" w:cs="宋体"/>
          <w:color w:val="000000"/>
          <w:sz w:val="28"/>
        </w:rPr>
        <w:t>：</w:t>
      </w:r>
    </w:p>
    <w:tbl>
      <w:tblPr>
        <w:tblStyle w:val="22"/>
        <w:tblW w:w="933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506"/>
        <w:gridCol w:w="1132"/>
        <w:gridCol w:w="1759"/>
        <w:gridCol w:w="1533"/>
        <w:gridCol w:w="1309"/>
        <w:gridCol w:w="916"/>
        <w:gridCol w:w="11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903" w:hRule="atLeast"/>
          <w:jc w:val="center"/>
        </w:trPr>
        <w:tc>
          <w:tcPr>
            <w:tcW w:w="150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房屋所有权</w:t>
            </w:r>
          </w:p>
          <w:p>
            <w:pPr>
              <w:widowControl/>
              <w:jc w:val="center"/>
              <w:textAlignment w:val="center"/>
              <w:rPr>
                <w:rFonts w:ascii="宋体" w:hAnsi="宋体" w:cs="宋体"/>
                <w:color w:val="000000"/>
                <w:sz w:val="24"/>
              </w:rPr>
            </w:pPr>
            <w:r>
              <w:rPr>
                <w:rFonts w:hint="eastAsia" w:ascii="宋体" w:hAnsi="宋体" w:cs="宋体"/>
                <w:color w:val="000000"/>
                <w:kern w:val="0"/>
                <w:sz w:val="24"/>
              </w:rPr>
              <w:t>证号</w:t>
            </w:r>
          </w:p>
        </w:tc>
        <w:tc>
          <w:tcPr>
            <w:tcW w:w="1132"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所有权人</w:t>
            </w:r>
          </w:p>
        </w:tc>
        <w:tc>
          <w:tcPr>
            <w:tcW w:w="1759"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53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建筑面积（㎡）</w:t>
            </w:r>
          </w:p>
        </w:tc>
        <w:tc>
          <w:tcPr>
            <w:tcW w:w="1309"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所在层数</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/总层数</w:t>
            </w:r>
          </w:p>
        </w:tc>
        <w:tc>
          <w:tcPr>
            <w:tcW w:w="91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结构</w:t>
            </w:r>
          </w:p>
        </w:tc>
        <w:tc>
          <w:tcPr>
            <w:tcW w:w="1180" w:type="dxa"/>
            <w:vAlign w:val="center"/>
          </w:tcPr>
          <w:p>
            <w:pPr>
              <w:jc w:val="center"/>
              <w:rPr>
                <w:rFonts w:ascii="宋体" w:hAnsi="宋体"/>
                <w:sz w:val="24"/>
              </w:rPr>
            </w:pPr>
            <w:r>
              <w:rPr>
                <w:rFonts w:hint="eastAsia" w:ascii="宋体" w:hAnsi="宋体"/>
                <w:sz w:val="24"/>
              </w:rPr>
              <w:t>规划用途/实际用途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903" w:hRule="atLeast"/>
          <w:jc w:val="center"/>
        </w:trPr>
        <w:tc>
          <w:tcPr>
            <w:tcW w:w="150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阳石建字第004号</w:t>
            </w:r>
          </w:p>
        </w:tc>
        <w:tc>
          <w:tcPr>
            <w:tcW w:w="1132"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王进高</w:t>
            </w:r>
          </w:p>
        </w:tc>
        <w:tc>
          <w:tcPr>
            <w:tcW w:w="1759" w:type="dxa"/>
            <w:vAlign w:val="center"/>
          </w:tcPr>
          <w:p>
            <w:pPr>
              <w:snapToGrid w:val="0"/>
              <w:jc w:val="center"/>
              <w:rPr>
                <w:rFonts w:ascii="宋体" w:hAnsi="宋体"/>
                <w:sz w:val="24"/>
              </w:rPr>
            </w:pPr>
            <w:r>
              <w:rPr>
                <w:rFonts w:hint="eastAsia" w:ascii="宋体" w:hAnsi="宋体"/>
                <w:sz w:val="24"/>
              </w:rPr>
              <w:t>阳谷县石佛镇</w:t>
            </w:r>
          </w:p>
          <w:p>
            <w:pPr>
              <w:snapToGrid w:val="0"/>
              <w:jc w:val="center"/>
              <w:rPr>
                <w:rFonts w:ascii="宋体" w:hAnsi="宋体" w:cs="宋体"/>
                <w:color w:val="000000"/>
                <w:sz w:val="24"/>
              </w:rPr>
            </w:pPr>
            <w:r>
              <w:rPr>
                <w:rFonts w:hint="eastAsia" w:ascii="宋体" w:hAnsi="宋体"/>
                <w:sz w:val="24"/>
              </w:rPr>
              <w:t>石佛村</w:t>
            </w:r>
          </w:p>
        </w:tc>
        <w:tc>
          <w:tcPr>
            <w:tcW w:w="1533" w:type="dxa"/>
            <w:vAlign w:val="center"/>
          </w:tcPr>
          <w:p>
            <w:pPr>
              <w:jc w:val="center"/>
              <w:rPr>
                <w:rFonts w:ascii="宋体" w:hAnsi="宋体"/>
                <w:sz w:val="24"/>
              </w:rPr>
            </w:pPr>
            <w:r>
              <w:rPr>
                <w:rFonts w:hint="eastAsia" w:ascii="宋体" w:hAnsi="宋体"/>
                <w:sz w:val="24"/>
              </w:rPr>
              <w:t>143.36</w:t>
            </w:r>
          </w:p>
        </w:tc>
        <w:tc>
          <w:tcPr>
            <w:tcW w:w="1309" w:type="dxa"/>
            <w:vAlign w:val="center"/>
          </w:tcPr>
          <w:p>
            <w:pPr>
              <w:snapToGrid w:val="0"/>
              <w:jc w:val="center"/>
              <w:rPr>
                <w:rFonts w:ascii="宋体" w:hAnsi="宋体"/>
                <w:sz w:val="24"/>
              </w:rPr>
            </w:pPr>
            <w:r>
              <w:rPr>
                <w:rFonts w:hint="eastAsia" w:ascii="宋体" w:hAnsi="宋体"/>
                <w:sz w:val="24"/>
              </w:rPr>
              <w:t>1-2层/2层</w:t>
            </w:r>
          </w:p>
        </w:tc>
        <w:tc>
          <w:tcPr>
            <w:tcW w:w="91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砖混</w:t>
            </w:r>
          </w:p>
        </w:tc>
        <w:tc>
          <w:tcPr>
            <w:tcW w:w="1180" w:type="dxa"/>
            <w:vAlign w:val="center"/>
          </w:tcPr>
          <w:p>
            <w:pPr>
              <w:jc w:val="center"/>
              <w:rPr>
                <w:rFonts w:ascii="宋体" w:hAnsi="宋体"/>
                <w:sz w:val="24"/>
              </w:rPr>
            </w:pPr>
            <w:r>
              <w:rPr>
                <w:rFonts w:hint="eastAsia" w:ascii="宋体" w:hAnsi="宋体"/>
                <w:sz w:val="24"/>
              </w:rPr>
              <w:t>商住/商住</w:t>
            </w:r>
          </w:p>
        </w:tc>
      </w:tr>
    </w:tbl>
    <w:p>
      <w:pPr>
        <w:snapToGrid w:val="0"/>
        <w:spacing w:line="560" w:lineRule="exact"/>
        <w:ind w:firstLine="560" w:firstLineChars="200"/>
        <w:rPr>
          <w:rFonts w:ascii="宋体" w:hAnsi="宋体"/>
          <w:b/>
          <w:color w:val="000000"/>
          <w:sz w:val="28"/>
        </w:rPr>
      </w:pPr>
      <w:r>
        <w:rPr>
          <w:rFonts w:ascii="宋体" w:hAnsi="宋体" w:cs="宋体"/>
          <w:color w:val="000000"/>
          <w:sz w:val="28"/>
        </w:rPr>
        <w:t>2</w:t>
      </w:r>
      <w:r>
        <w:rPr>
          <w:rFonts w:hint="eastAsia" w:ascii="宋体" w:hAnsi="宋体" w:cs="宋体"/>
          <w:color w:val="000000"/>
          <w:sz w:val="28"/>
        </w:rPr>
        <w:t>、</w:t>
      </w:r>
      <w:r>
        <w:rPr>
          <w:rFonts w:ascii="宋体" w:hAnsi="宋体" w:cs="宋体"/>
          <w:color w:val="000000"/>
          <w:sz w:val="28"/>
        </w:rPr>
        <w:t>估价对象</w:t>
      </w:r>
      <w:r>
        <w:rPr>
          <w:rFonts w:hint="eastAsia" w:ascii="宋体" w:hAnsi="宋体" w:cs="宋体"/>
          <w:color w:val="000000"/>
          <w:sz w:val="28"/>
        </w:rPr>
        <w:t>土地权利</w:t>
      </w:r>
      <w:r>
        <w:rPr>
          <w:rFonts w:ascii="宋体" w:hAnsi="宋体" w:cs="宋体"/>
          <w:color w:val="000000"/>
          <w:sz w:val="28"/>
        </w:rPr>
        <w:t>状况</w:t>
      </w:r>
      <w:r>
        <w:rPr>
          <w:rFonts w:hint="eastAsia" w:ascii="宋体" w:hAnsi="宋体" w:cs="宋体"/>
          <w:color w:val="000000"/>
          <w:sz w:val="28"/>
        </w:rPr>
        <w:t>：</w:t>
      </w:r>
    </w:p>
    <w:tbl>
      <w:tblPr>
        <w:tblStyle w:val="22"/>
        <w:tblW w:w="937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923"/>
        <w:gridCol w:w="1674"/>
        <w:gridCol w:w="1979"/>
        <w:gridCol w:w="1332"/>
        <w:gridCol w:w="1178"/>
        <w:gridCol w:w="12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074" w:hRule="atLeast"/>
          <w:jc w:val="center"/>
        </w:trPr>
        <w:tc>
          <w:tcPr>
            <w:tcW w:w="1923" w:type="dxa"/>
            <w:vAlign w:val="center"/>
          </w:tcPr>
          <w:p>
            <w:pPr>
              <w:snapToGrid w:val="0"/>
              <w:jc w:val="center"/>
              <w:rPr>
                <w:rFonts w:ascii="宋体" w:hAnsi="宋体"/>
                <w:sz w:val="24"/>
              </w:rPr>
            </w:pPr>
            <w:r>
              <w:rPr>
                <w:rFonts w:hint="eastAsia" w:ascii="宋体" w:hAnsi="宋体"/>
                <w:sz w:val="24"/>
              </w:rPr>
              <w:t>国有土地使用</w:t>
            </w:r>
          </w:p>
          <w:p>
            <w:pPr>
              <w:snapToGrid w:val="0"/>
              <w:jc w:val="center"/>
              <w:rPr>
                <w:rFonts w:ascii="宋体" w:hAnsi="宋体"/>
                <w:sz w:val="24"/>
              </w:rPr>
            </w:pPr>
            <w:r>
              <w:rPr>
                <w:rFonts w:hint="eastAsia" w:ascii="宋体" w:hAnsi="宋体"/>
                <w:sz w:val="24"/>
              </w:rPr>
              <w:t>证号</w:t>
            </w:r>
          </w:p>
        </w:tc>
        <w:tc>
          <w:tcPr>
            <w:tcW w:w="1674" w:type="dxa"/>
            <w:vAlign w:val="center"/>
          </w:tcPr>
          <w:p>
            <w:pPr>
              <w:snapToGrid w:val="0"/>
              <w:jc w:val="center"/>
              <w:rPr>
                <w:rFonts w:ascii="宋体" w:hAnsi="宋体"/>
                <w:sz w:val="24"/>
              </w:rPr>
            </w:pPr>
            <w:r>
              <w:rPr>
                <w:rFonts w:hint="eastAsia" w:ascii="宋体" w:hAnsi="宋体"/>
                <w:sz w:val="24"/>
              </w:rPr>
              <w:t>土地使用者</w:t>
            </w:r>
          </w:p>
        </w:tc>
        <w:tc>
          <w:tcPr>
            <w:tcW w:w="1979" w:type="dxa"/>
            <w:vAlign w:val="center"/>
          </w:tcPr>
          <w:p>
            <w:pPr>
              <w:snapToGrid w:val="0"/>
              <w:jc w:val="center"/>
              <w:rPr>
                <w:rFonts w:ascii="宋体" w:hAnsi="宋体"/>
                <w:sz w:val="24"/>
              </w:rPr>
            </w:pPr>
            <w:r>
              <w:rPr>
                <w:rFonts w:hint="eastAsia" w:ascii="宋体" w:hAnsi="宋体"/>
                <w:sz w:val="24"/>
              </w:rPr>
              <w:t>坐落</w:t>
            </w:r>
          </w:p>
        </w:tc>
        <w:tc>
          <w:tcPr>
            <w:tcW w:w="1332" w:type="dxa"/>
            <w:vAlign w:val="center"/>
          </w:tcPr>
          <w:p>
            <w:pPr>
              <w:snapToGrid w:val="0"/>
              <w:jc w:val="center"/>
              <w:rPr>
                <w:rFonts w:ascii="宋体" w:hAnsi="宋体"/>
                <w:sz w:val="24"/>
              </w:rPr>
            </w:pPr>
            <w:r>
              <w:rPr>
                <w:rFonts w:hint="eastAsia" w:ascii="宋体" w:hAnsi="宋体"/>
                <w:sz w:val="24"/>
              </w:rPr>
              <w:t>使用权面积（㎡）</w:t>
            </w:r>
          </w:p>
        </w:tc>
        <w:tc>
          <w:tcPr>
            <w:tcW w:w="1178" w:type="dxa"/>
            <w:vAlign w:val="center"/>
          </w:tcPr>
          <w:p>
            <w:pPr>
              <w:snapToGrid w:val="0"/>
              <w:jc w:val="center"/>
              <w:rPr>
                <w:rFonts w:ascii="宋体" w:hAnsi="宋体"/>
                <w:sz w:val="24"/>
              </w:rPr>
            </w:pPr>
            <w:r>
              <w:rPr>
                <w:rFonts w:hint="eastAsia" w:ascii="宋体" w:hAnsi="宋体"/>
                <w:sz w:val="24"/>
              </w:rPr>
              <w:t>使用权</w:t>
            </w:r>
          </w:p>
          <w:p>
            <w:pPr>
              <w:snapToGrid w:val="0"/>
              <w:jc w:val="center"/>
              <w:rPr>
                <w:rFonts w:ascii="宋体" w:hAnsi="宋体"/>
                <w:sz w:val="24"/>
              </w:rPr>
            </w:pPr>
            <w:r>
              <w:rPr>
                <w:rFonts w:hint="eastAsia" w:ascii="宋体" w:hAnsi="宋体"/>
                <w:sz w:val="24"/>
              </w:rPr>
              <w:t>类型</w:t>
            </w:r>
          </w:p>
        </w:tc>
        <w:tc>
          <w:tcPr>
            <w:tcW w:w="1289" w:type="dxa"/>
            <w:vAlign w:val="center"/>
          </w:tcPr>
          <w:p>
            <w:pPr>
              <w:snapToGrid w:val="0"/>
              <w:jc w:val="center"/>
              <w:rPr>
                <w:rFonts w:ascii="宋体" w:hAnsi="宋体"/>
                <w:sz w:val="24"/>
              </w:rPr>
            </w:pPr>
            <w:r>
              <w:rPr>
                <w:rFonts w:hint="eastAsia" w:ascii="宋体" w:hAnsi="宋体"/>
                <w:sz w:val="24"/>
              </w:rPr>
              <w:t>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113" w:hRule="atLeast"/>
          <w:jc w:val="center"/>
        </w:trPr>
        <w:tc>
          <w:tcPr>
            <w:tcW w:w="1923" w:type="dxa"/>
            <w:vAlign w:val="center"/>
          </w:tcPr>
          <w:p>
            <w:pPr>
              <w:snapToGrid w:val="0"/>
              <w:jc w:val="center"/>
              <w:rPr>
                <w:rFonts w:ascii="宋体" w:hAnsi="宋体"/>
                <w:sz w:val="24"/>
              </w:rPr>
            </w:pPr>
            <w:r>
              <w:rPr>
                <w:rFonts w:hint="eastAsia" w:ascii="宋体" w:hAnsi="宋体"/>
                <w:sz w:val="24"/>
              </w:rPr>
              <w:t>阳国用（99）字第163号</w:t>
            </w:r>
          </w:p>
        </w:tc>
        <w:tc>
          <w:tcPr>
            <w:tcW w:w="1674" w:type="dxa"/>
            <w:vAlign w:val="center"/>
          </w:tcPr>
          <w:p>
            <w:pPr>
              <w:snapToGrid w:val="0"/>
              <w:jc w:val="center"/>
              <w:rPr>
                <w:rFonts w:ascii="宋体" w:hAnsi="宋体"/>
                <w:sz w:val="24"/>
              </w:rPr>
            </w:pPr>
            <w:r>
              <w:rPr>
                <w:rFonts w:hint="eastAsia" w:ascii="宋体" w:hAnsi="宋体"/>
                <w:sz w:val="24"/>
              </w:rPr>
              <w:t>阳谷县石佛镇卫生院</w:t>
            </w:r>
          </w:p>
        </w:tc>
        <w:tc>
          <w:tcPr>
            <w:tcW w:w="1979" w:type="dxa"/>
            <w:vAlign w:val="center"/>
          </w:tcPr>
          <w:p>
            <w:pPr>
              <w:snapToGrid w:val="0"/>
              <w:jc w:val="center"/>
              <w:rPr>
                <w:rFonts w:ascii="宋体" w:hAnsi="宋体"/>
                <w:sz w:val="24"/>
              </w:rPr>
            </w:pPr>
            <w:r>
              <w:rPr>
                <w:rFonts w:hint="eastAsia" w:ascii="宋体" w:hAnsi="宋体"/>
                <w:sz w:val="24"/>
              </w:rPr>
              <w:t>石佛南街聊阳公路东乡政府东西路北</w:t>
            </w:r>
          </w:p>
        </w:tc>
        <w:tc>
          <w:tcPr>
            <w:tcW w:w="1332" w:type="dxa"/>
            <w:vAlign w:val="center"/>
          </w:tcPr>
          <w:p>
            <w:pPr>
              <w:snapToGrid w:val="0"/>
              <w:jc w:val="center"/>
              <w:rPr>
                <w:rFonts w:ascii="宋体" w:hAnsi="宋体"/>
                <w:sz w:val="24"/>
              </w:rPr>
            </w:pPr>
            <w:r>
              <w:rPr>
                <w:rFonts w:hint="eastAsia" w:ascii="宋体" w:hAnsi="宋体"/>
                <w:sz w:val="24"/>
              </w:rPr>
              <w:t>6061.12</w:t>
            </w:r>
          </w:p>
        </w:tc>
        <w:tc>
          <w:tcPr>
            <w:tcW w:w="1178" w:type="dxa"/>
            <w:vAlign w:val="center"/>
          </w:tcPr>
          <w:p>
            <w:pPr>
              <w:snapToGrid w:val="0"/>
              <w:jc w:val="center"/>
              <w:rPr>
                <w:rFonts w:ascii="宋体" w:hAnsi="宋体"/>
                <w:sz w:val="24"/>
              </w:rPr>
            </w:pPr>
            <w:r>
              <w:rPr>
                <w:rFonts w:hint="eastAsia" w:ascii="宋体" w:hAnsi="宋体"/>
                <w:sz w:val="24"/>
              </w:rPr>
              <w:t>划拨</w:t>
            </w:r>
          </w:p>
        </w:tc>
        <w:tc>
          <w:tcPr>
            <w:tcW w:w="1289" w:type="dxa"/>
            <w:vAlign w:val="center"/>
          </w:tcPr>
          <w:p>
            <w:pPr>
              <w:snapToGrid w:val="0"/>
              <w:jc w:val="center"/>
              <w:rPr>
                <w:rFonts w:ascii="宋体" w:hAnsi="宋体"/>
                <w:sz w:val="24"/>
              </w:rPr>
            </w:pPr>
            <w:r>
              <w:rPr>
                <w:rFonts w:hint="eastAsia" w:ascii="宋体" w:hAnsi="宋体"/>
                <w:sz w:val="24"/>
              </w:rPr>
              <w:t>办公</w:t>
            </w:r>
          </w:p>
        </w:tc>
      </w:tr>
    </w:tbl>
    <w:p>
      <w:pPr>
        <w:snapToGrid w:val="0"/>
        <w:spacing w:line="500" w:lineRule="exact"/>
        <w:ind w:firstLine="551" w:firstLineChars="196"/>
        <w:rPr>
          <w:rFonts w:ascii="宋体" w:hAnsi="宋体"/>
          <w:color w:val="000000"/>
          <w:sz w:val="28"/>
        </w:rPr>
      </w:pPr>
      <w:r>
        <w:rPr>
          <w:rFonts w:hint="eastAsia" w:ascii="宋体" w:hAnsi="宋体"/>
          <w:b/>
          <w:color w:val="000000"/>
          <w:sz w:val="28"/>
        </w:rPr>
        <w:t>估价目的</w:t>
      </w:r>
      <w:r>
        <w:rPr>
          <w:rFonts w:hint="eastAsia" w:ascii="宋体" w:hAnsi="宋体"/>
          <w:color w:val="000000"/>
          <w:sz w:val="28"/>
        </w:rPr>
        <w:t>：为阳谷县人民法院确定财产处置参考价提供参考依据。</w:t>
      </w:r>
    </w:p>
    <w:p>
      <w:pPr>
        <w:snapToGrid w:val="0"/>
        <w:spacing w:line="500" w:lineRule="exact"/>
        <w:ind w:firstLine="562" w:firstLineChars="200"/>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：2022年4月22日（实地查勘之日）。</w:t>
      </w:r>
    </w:p>
    <w:p>
      <w:pPr>
        <w:spacing w:line="500" w:lineRule="exact"/>
        <w:ind w:firstLine="555"/>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根据估价目的，本报告所采用的价值标准为公开市场价值标准。所谓市场价值是指估价对象经适当营销后，由熟悉情况、谨慎行事且不受强迫的交易双方，以公平交易方式于价值时点自愿进行交易的金额。</w:t>
      </w:r>
    </w:p>
    <w:p>
      <w:pPr>
        <w:snapToGrid w:val="0"/>
        <w:spacing w:line="500" w:lineRule="exact"/>
        <w:ind w:firstLine="551" w:firstLineChars="196"/>
        <w:rPr>
          <w:rFonts w:ascii="宋体" w:hAnsi="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根据估价目的，结合估价对象具体状况，本次房产采用成本法进行评估。</w:t>
      </w:r>
    </w:p>
    <w:p>
      <w:pPr>
        <w:snapToGrid w:val="0"/>
        <w:spacing w:line="500" w:lineRule="exact"/>
        <w:ind w:firstLine="551" w:firstLineChars="196"/>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，并结合估价经验与对影响房产价值因素的综合分析，最终确定估价对象（不含土地使用权）于价值时点的估价结果为:（币种：人民币）</w:t>
      </w:r>
    </w:p>
    <w:tbl>
      <w:tblPr>
        <w:tblStyle w:val="22"/>
        <w:tblW w:w="921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35"/>
        <w:gridCol w:w="1417"/>
        <w:gridCol w:w="1777"/>
        <w:gridCol w:w="1548"/>
        <w:gridCol w:w="1421"/>
        <w:gridCol w:w="14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4" w:hRule="atLeast"/>
          <w:jc w:val="center"/>
        </w:trPr>
        <w:tc>
          <w:tcPr>
            <w:tcW w:w="1635" w:type="dxa"/>
            <w:vAlign w:val="center"/>
          </w:tcPr>
          <w:p>
            <w:pPr>
              <w:widowControl/>
              <w:jc w:val="center"/>
              <w:textAlignment w:val="center"/>
              <w:rPr>
                <w:rFonts w:cs="宋体" w:asciiTheme="majorEastAsia" w:hAnsiTheme="majorEastAsia" w:eastAsiaTheme="majorEastAsia"/>
                <w:color w:val="000000"/>
                <w:sz w:val="24"/>
              </w:rPr>
            </w:pPr>
            <w:r>
              <w:rPr>
                <w:rFonts w:hint="eastAsia" w:ascii="宋体" w:hAnsi="宋体" w:cs="宋体"/>
                <w:color w:val="000000"/>
                <w:kern w:val="0"/>
                <w:sz w:val="24"/>
              </w:rPr>
              <w:t>房屋所有权证号</w:t>
            </w:r>
          </w:p>
        </w:tc>
        <w:tc>
          <w:tcPr>
            <w:tcW w:w="1417" w:type="dxa"/>
            <w:vAlign w:val="center"/>
          </w:tcPr>
          <w:p>
            <w:pPr>
              <w:snapToGrid w:val="0"/>
              <w:jc w:val="center"/>
              <w:rPr>
                <w:rFonts w:asciiTheme="majorEastAsia" w:hAnsiTheme="majorEastAsia" w:eastAsiaTheme="majorEastAsia"/>
                <w:color w:val="000000"/>
                <w:sz w:val="24"/>
              </w:rPr>
            </w:pPr>
            <w:r>
              <w:rPr>
                <w:rFonts w:hint="eastAsia" w:ascii="宋体" w:hAnsi="宋体" w:cs="宋体"/>
                <w:color w:val="000000"/>
                <w:kern w:val="0"/>
                <w:sz w:val="24"/>
              </w:rPr>
              <w:t>所有权人</w:t>
            </w:r>
          </w:p>
        </w:tc>
        <w:tc>
          <w:tcPr>
            <w:tcW w:w="1777"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548" w:type="dxa"/>
            <w:vAlign w:val="center"/>
          </w:tcPr>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建筑面积（㎡）</w:t>
            </w:r>
          </w:p>
        </w:tc>
        <w:tc>
          <w:tcPr>
            <w:tcW w:w="1421" w:type="dxa"/>
            <w:vAlign w:val="center"/>
          </w:tcPr>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评估单价</w:t>
            </w:r>
          </w:p>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（元/㎡）</w:t>
            </w:r>
          </w:p>
        </w:tc>
        <w:tc>
          <w:tcPr>
            <w:tcW w:w="1421" w:type="dxa"/>
            <w:vAlign w:val="center"/>
          </w:tcPr>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评估总价</w:t>
            </w:r>
          </w:p>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4" w:hRule="atLeast"/>
          <w:jc w:val="center"/>
        </w:trPr>
        <w:tc>
          <w:tcPr>
            <w:tcW w:w="1635" w:type="dxa"/>
            <w:vAlign w:val="center"/>
          </w:tcPr>
          <w:p>
            <w:pPr>
              <w:widowControl/>
              <w:jc w:val="center"/>
              <w:textAlignment w:val="center"/>
              <w:rPr>
                <w:rFonts w:cs="宋体" w:asciiTheme="majorEastAsia" w:hAnsiTheme="majorEastAsia" w:eastAsiaTheme="majorEastAsia"/>
                <w:color w:val="000000"/>
                <w:kern w:val="0"/>
                <w:sz w:val="24"/>
              </w:rPr>
            </w:pPr>
            <w:r>
              <w:rPr>
                <w:rFonts w:hint="eastAsia" w:ascii="宋体" w:hAnsi="宋体" w:cs="宋体"/>
                <w:color w:val="000000"/>
                <w:kern w:val="0"/>
                <w:sz w:val="24"/>
              </w:rPr>
              <w:t>阳石建字第004号</w:t>
            </w:r>
          </w:p>
        </w:tc>
        <w:tc>
          <w:tcPr>
            <w:tcW w:w="1417" w:type="dxa"/>
            <w:vAlign w:val="center"/>
          </w:tcPr>
          <w:p>
            <w:pPr>
              <w:widowControl/>
              <w:jc w:val="center"/>
              <w:textAlignment w:val="center"/>
              <w:rPr>
                <w:rFonts w:cs="宋体" w:asciiTheme="majorEastAsia" w:hAnsiTheme="majorEastAsia" w:eastAsiaTheme="majorEastAsia"/>
                <w:color w:val="000000"/>
                <w:sz w:val="24"/>
              </w:rPr>
            </w:pPr>
            <w:r>
              <w:rPr>
                <w:rFonts w:hint="eastAsia" w:ascii="宋体" w:hAnsi="宋体" w:cs="宋体"/>
                <w:color w:val="000000"/>
                <w:kern w:val="0"/>
                <w:sz w:val="24"/>
              </w:rPr>
              <w:t>王进高</w:t>
            </w:r>
          </w:p>
        </w:tc>
        <w:tc>
          <w:tcPr>
            <w:tcW w:w="1777" w:type="dxa"/>
            <w:vAlign w:val="center"/>
          </w:tcPr>
          <w:p>
            <w:pPr>
              <w:snapToGrid w:val="0"/>
              <w:jc w:val="center"/>
              <w:rPr>
                <w:rFonts w:ascii="宋体" w:hAnsi="宋体"/>
                <w:sz w:val="24"/>
              </w:rPr>
            </w:pPr>
            <w:r>
              <w:rPr>
                <w:rFonts w:hint="eastAsia" w:ascii="宋体" w:hAnsi="宋体"/>
                <w:sz w:val="24"/>
              </w:rPr>
              <w:t>阳谷县石佛镇石佛村</w:t>
            </w:r>
          </w:p>
        </w:tc>
        <w:tc>
          <w:tcPr>
            <w:tcW w:w="1548" w:type="dxa"/>
            <w:vAlign w:val="center"/>
          </w:tcPr>
          <w:p>
            <w:pPr>
              <w:jc w:val="center"/>
              <w:rPr>
                <w:rFonts w:asciiTheme="majorEastAsia" w:hAnsiTheme="majorEastAsia" w:eastAsiaTheme="majorEastAsia"/>
                <w:sz w:val="24"/>
              </w:rPr>
            </w:pPr>
            <w:r>
              <w:rPr>
                <w:rFonts w:hint="eastAsia" w:ascii="宋体" w:hAnsi="宋体" w:eastAsiaTheme="majorEastAsia"/>
                <w:sz w:val="24"/>
              </w:rPr>
              <w:t>143.36</w:t>
            </w:r>
          </w:p>
        </w:tc>
        <w:tc>
          <w:tcPr>
            <w:tcW w:w="1421" w:type="dxa"/>
            <w:vAlign w:val="center"/>
          </w:tcPr>
          <w:p>
            <w:pPr>
              <w:snapToGrid w:val="0"/>
              <w:jc w:val="center"/>
              <w:rPr>
                <w:rFonts w:ascii="宋体" w:hAnsi="宋体"/>
                <w:sz w:val="24"/>
              </w:rPr>
            </w:pPr>
            <w:r>
              <w:rPr>
                <w:rFonts w:hint="eastAsia" w:ascii="宋体" w:hAnsi="宋体"/>
                <w:sz w:val="24"/>
              </w:rPr>
              <w:t>1796</w:t>
            </w:r>
          </w:p>
        </w:tc>
        <w:tc>
          <w:tcPr>
            <w:tcW w:w="1421" w:type="dxa"/>
            <w:vAlign w:val="center"/>
          </w:tcPr>
          <w:p>
            <w:pPr>
              <w:snapToGrid w:val="0"/>
              <w:jc w:val="center"/>
              <w:rPr>
                <w:rFonts w:ascii="宋体" w:hAnsi="宋体"/>
                <w:sz w:val="24"/>
              </w:rPr>
            </w:pPr>
            <w:r>
              <w:rPr>
                <w:rFonts w:hint="eastAsia" w:ascii="宋体" w:hAnsi="宋体"/>
                <w:sz w:val="24"/>
              </w:rPr>
              <w:t xml:space="preserve">25.75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9219" w:type="dxa"/>
            <w:gridSpan w:val="6"/>
            <w:vAlign w:val="center"/>
          </w:tcPr>
          <w:p>
            <w:pPr>
              <w:snapToGrid w:val="0"/>
              <w:spacing w:line="500" w:lineRule="exact"/>
              <w:jc w:val="center"/>
              <w:rPr>
                <w:rFonts w:hint="eastAsia" w:ascii="宋体" w:hAnsi="宋体"/>
                <w:b/>
                <w:sz w:val="24"/>
              </w:rPr>
            </w:pPr>
            <w:r>
              <w:rPr>
                <w:rFonts w:hint="eastAsia" w:ascii="宋体" w:hAnsi="宋体"/>
                <w:b/>
                <w:sz w:val="24"/>
              </w:rPr>
              <w:t>人民币大写：贰拾伍万柒仟伍佰元整</w:t>
            </w:r>
          </w:p>
        </w:tc>
      </w:tr>
    </w:tbl>
    <w:p>
      <w:pPr>
        <w:snapToGrid w:val="0"/>
        <w:spacing w:line="500" w:lineRule="exact"/>
        <w:ind w:firstLine="555"/>
        <w:rPr>
          <w:rFonts w:ascii="宋体" w:hAnsi="宋体"/>
          <w:b/>
          <w:color w:val="000000"/>
          <w:sz w:val="28"/>
        </w:rPr>
      </w:pPr>
      <w:r>
        <w:rPr>
          <w:rFonts w:hint="eastAsia" w:ascii="宋体" w:hAnsi="宋体"/>
          <w:b/>
          <w:color w:val="000000"/>
          <w:sz w:val="28"/>
        </w:rPr>
        <w:t>特别提示：</w:t>
      </w:r>
    </w:p>
    <w:p>
      <w:pPr>
        <w:snapToGrid w:val="0"/>
        <w:spacing w:line="500" w:lineRule="exact"/>
        <w:ind w:firstLine="555"/>
        <w:rPr>
          <w:rFonts w:ascii="宋体" w:hAnsi="宋体"/>
          <w:sz w:val="28"/>
        </w:rPr>
      </w:pPr>
      <w:r>
        <w:rPr>
          <w:rFonts w:hint="eastAsia" w:ascii="宋体" w:hAnsi="宋体"/>
          <w:color w:val="000000"/>
          <w:sz w:val="28"/>
        </w:rPr>
        <w:t>1、本估价报告应用有效期为一年，即自</w:t>
      </w:r>
      <w:r>
        <w:rPr>
          <w:rFonts w:hint="eastAsia" w:ascii="宋体" w:hAnsi="宋体"/>
          <w:sz w:val="28"/>
        </w:rPr>
        <w:t>2022年6月6日至2023年</w:t>
      </w:r>
      <w:r>
        <w:rPr>
          <w:rFonts w:ascii="宋体" w:hAnsi="宋体"/>
          <w:sz w:val="28"/>
        </w:rPr>
        <w:t>6</w:t>
      </w:r>
      <w:r>
        <w:rPr>
          <w:rFonts w:hint="eastAsia" w:ascii="宋体" w:hAnsi="宋体"/>
          <w:sz w:val="28"/>
        </w:rPr>
        <w:t>月</w:t>
      </w:r>
      <w:r>
        <w:rPr>
          <w:rFonts w:ascii="宋体" w:hAnsi="宋体"/>
          <w:sz w:val="28"/>
        </w:rPr>
        <w:t>5</w:t>
      </w:r>
      <w:r>
        <w:rPr>
          <w:rFonts w:hint="eastAsia" w:ascii="宋体" w:hAnsi="宋体"/>
          <w:sz w:val="28"/>
        </w:rPr>
        <w:t>日。</w:t>
      </w:r>
    </w:p>
    <w:p>
      <w:pPr>
        <w:snapToGrid w:val="0"/>
        <w:spacing w:line="500" w:lineRule="exact"/>
        <w:ind w:firstLine="555"/>
        <w:rPr>
          <w:rFonts w:ascii="宋体" w:hAnsi="宋体"/>
          <w:color w:val="000000"/>
          <w:sz w:val="28"/>
        </w:rPr>
      </w:pPr>
      <w:r>
        <w:rPr>
          <w:rFonts w:hint="eastAsia" w:ascii="宋体" w:hAnsi="宋体"/>
          <w:color w:val="000000"/>
          <w:sz w:val="28"/>
        </w:rPr>
        <w:t>2、以上内容摘自评估报告，详细内容见《房产估价结果报告》。若当事人</w:t>
      </w:r>
      <w:r>
        <w:rPr>
          <w:rFonts w:ascii="宋体" w:hAnsi="宋体"/>
          <w:color w:val="000000"/>
          <w:sz w:val="28"/>
        </w:rPr>
        <w:t>、利害关系人</w:t>
      </w:r>
      <w:r>
        <w:rPr>
          <w:rFonts w:hint="eastAsia" w:ascii="宋体" w:hAnsi="宋体"/>
          <w:color w:val="000000"/>
          <w:sz w:val="28"/>
        </w:rPr>
        <w:t>对报告有异议，请在收到报告之日起五日内</w:t>
      </w:r>
      <w:r>
        <w:rPr>
          <w:rFonts w:hint="eastAsia" w:ascii="宋体" w:hAnsi="宋体"/>
          <w:sz w:val="28"/>
          <w:szCs w:val="28"/>
        </w:rPr>
        <w:t>以书面形式</w:t>
      </w:r>
      <w:r>
        <w:rPr>
          <w:rFonts w:hint="eastAsia" w:ascii="宋体" w:hAnsi="宋体"/>
          <w:color w:val="000000"/>
          <w:sz w:val="28"/>
        </w:rPr>
        <w:t>通过阳谷县人民法院向我公司提出。</w:t>
      </w:r>
    </w:p>
    <w:p>
      <w:pPr>
        <w:snapToGrid w:val="0"/>
        <w:spacing w:line="500" w:lineRule="exact"/>
        <w:ind w:firstLine="555"/>
        <w:rPr>
          <w:rFonts w:ascii="宋体" w:hAnsi="宋体"/>
          <w:color w:val="000000"/>
          <w:sz w:val="28"/>
        </w:rPr>
      </w:pPr>
      <w:r>
        <w:rPr>
          <w:rFonts w:hint="eastAsia" w:ascii="宋体" w:hAnsi="宋体"/>
          <w:color w:val="000000"/>
          <w:sz w:val="28"/>
        </w:rPr>
        <w:t>3、估价委托人提供的《国有土地使用证》记载的土地使用者为阳谷县石佛镇卫生院，与《</w:t>
      </w:r>
      <w:r>
        <w:rPr>
          <w:rFonts w:hint="eastAsia" w:ascii="宋体" w:hAnsi="宋体" w:cs="宋体"/>
          <w:color w:val="000000"/>
          <w:sz w:val="28"/>
        </w:rPr>
        <w:t>房屋所有权证</w:t>
      </w:r>
      <w:r>
        <w:rPr>
          <w:rFonts w:hint="eastAsia" w:ascii="宋体" w:hAnsi="宋体"/>
          <w:color w:val="000000"/>
          <w:sz w:val="28"/>
        </w:rPr>
        <w:t>》记载的所有权人王进高不一致，估价委托人未提供</w:t>
      </w:r>
      <w:r>
        <w:rPr>
          <w:rFonts w:ascii="宋体" w:hAnsi="宋体"/>
          <w:color w:val="000000"/>
          <w:sz w:val="28"/>
        </w:rPr>
        <w:t>估价对象</w:t>
      </w:r>
      <w:r>
        <w:rPr>
          <w:rFonts w:hint="eastAsia" w:ascii="宋体" w:hAnsi="宋体"/>
          <w:color w:val="000000"/>
          <w:sz w:val="28"/>
        </w:rPr>
        <w:t>土地使用权人</w:t>
      </w:r>
      <w:r>
        <w:rPr>
          <w:rFonts w:ascii="宋体" w:hAnsi="宋体"/>
          <w:color w:val="000000"/>
          <w:sz w:val="28"/>
        </w:rPr>
        <w:t>为</w:t>
      </w:r>
      <w:r>
        <w:rPr>
          <w:rFonts w:hint="eastAsia" w:ascii="宋体" w:hAnsi="宋体"/>
          <w:color w:val="000000"/>
          <w:sz w:val="28"/>
        </w:rPr>
        <w:t>王进高名下《国有土地使用证》。依据估价委托人目前提供的估价对象现有资料，尚不能确定估价对象所占范围</w:t>
      </w:r>
      <w:r>
        <w:rPr>
          <w:rFonts w:ascii="宋体" w:hAnsi="宋体"/>
          <w:color w:val="000000"/>
          <w:sz w:val="28"/>
        </w:rPr>
        <w:t>内</w:t>
      </w:r>
      <w:r>
        <w:rPr>
          <w:rFonts w:hint="eastAsia" w:ascii="宋体" w:hAnsi="宋体"/>
          <w:color w:val="000000"/>
          <w:sz w:val="28"/>
        </w:rPr>
        <w:t>土地的合法性，故本次评估不包含土地使用权价格。若</w:t>
      </w:r>
      <w:r>
        <w:rPr>
          <w:rFonts w:ascii="宋体" w:hAnsi="宋体"/>
          <w:color w:val="000000"/>
          <w:sz w:val="28"/>
        </w:rPr>
        <w:t>估价委托人后期能提供估价对象所占范围内确切土地产权</w:t>
      </w:r>
      <w:r>
        <w:rPr>
          <w:rFonts w:hint="eastAsia" w:ascii="宋体" w:hAnsi="宋体"/>
          <w:color w:val="000000"/>
          <w:sz w:val="28"/>
        </w:rPr>
        <w:t>证书</w:t>
      </w:r>
      <w:r>
        <w:rPr>
          <w:rFonts w:ascii="宋体" w:hAnsi="宋体"/>
          <w:color w:val="000000"/>
          <w:sz w:val="28"/>
        </w:rPr>
        <w:t>，我公司根据估价委托人提供的资料调整估价结果，修改评估报告。</w:t>
      </w:r>
    </w:p>
    <w:p>
      <w:pPr>
        <w:snapToGrid w:val="0"/>
        <w:spacing w:line="500" w:lineRule="exact"/>
        <w:ind w:firstLine="555"/>
        <w:rPr>
          <w:rFonts w:ascii="宋体" w:hAnsi="宋体"/>
          <w:color w:val="000000"/>
          <w:sz w:val="28"/>
        </w:rPr>
      </w:pPr>
    </w:p>
    <w:p>
      <w:pPr>
        <w:snapToGrid w:val="0"/>
        <w:spacing w:line="500" w:lineRule="exact"/>
        <w:ind w:firstLine="555"/>
        <w:rPr>
          <w:rFonts w:ascii="宋体" w:hAnsi="宋体"/>
          <w:color w:val="000000"/>
          <w:sz w:val="28"/>
        </w:rPr>
      </w:pPr>
    </w:p>
    <w:p>
      <w:pPr>
        <w:snapToGrid w:val="0"/>
        <w:spacing w:line="560" w:lineRule="exact"/>
        <w:ind w:right="78" w:firstLine="556"/>
        <w:jc w:val="right"/>
        <w:rPr>
          <w:rFonts w:ascii="宋体" w:hAnsi="宋体"/>
          <w:color w:val="000000"/>
          <w:sz w:val="28"/>
          <w:szCs w:val="28"/>
          <w:lang w:val="zh-CN"/>
        </w:rPr>
      </w:pPr>
      <w:r>
        <w:rPr>
          <w:rFonts w:hint="eastAsia" w:ascii="宋体" w:hAnsi="宋体"/>
          <w:color w:val="000000"/>
          <w:sz w:val="28"/>
          <w:szCs w:val="28"/>
        </w:rPr>
        <w:t xml:space="preserve"> 山东成达土地房地产资产评估测绘有限公司</w:t>
      </w:r>
    </w:p>
    <w:p>
      <w:pPr>
        <w:snapToGrid w:val="0"/>
        <w:spacing w:line="560" w:lineRule="exact"/>
        <w:ind w:right="918"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法定代表人：</w:t>
      </w:r>
      <w:r>
        <w:rPr>
          <w:rFonts w:hint="eastAsia" w:ascii="宋体" w:hAnsi="宋体"/>
          <w:color w:val="000000"/>
          <w:sz w:val="28"/>
          <w:szCs w:val="28"/>
          <w:lang w:val="zh-CN"/>
        </w:rPr>
        <w:t>程新军</w:t>
      </w:r>
    </w:p>
    <w:p>
      <w:pPr>
        <w:snapToGrid w:val="0"/>
        <w:spacing w:line="560" w:lineRule="exact"/>
        <w:ind w:right="-110" w:firstLine="556"/>
        <w:jc w:val="center"/>
        <w:rPr>
          <w:rFonts w:ascii="宋体" w:hAnsi="宋体"/>
          <w:color w:val="000000"/>
          <w:sz w:val="28"/>
          <w:szCs w:val="28"/>
        </w:rPr>
      </w:pPr>
      <w:r>
        <w:rPr>
          <w:rFonts w:hint="eastAsia" w:ascii="宋体" w:hAnsi="宋体"/>
          <w:color w:val="000000"/>
          <w:sz w:val="28"/>
          <w:szCs w:val="28"/>
        </w:rPr>
        <w:t xml:space="preserve">                  </w:t>
      </w:r>
      <w:r>
        <w:rPr>
          <w:rFonts w:ascii="宋体" w:hAnsi="宋体"/>
          <w:color w:val="000000"/>
          <w:sz w:val="28"/>
          <w:szCs w:val="28"/>
        </w:rPr>
        <w:t xml:space="preserve">   </w:t>
      </w:r>
      <w:r>
        <w:rPr>
          <w:rFonts w:hint="eastAsia" w:ascii="宋体" w:hAnsi="宋体"/>
          <w:color w:val="000000"/>
          <w:sz w:val="28"/>
          <w:szCs w:val="28"/>
        </w:rPr>
        <w:t>二〇二二年六月六日</w:t>
      </w:r>
    </w:p>
    <w:p>
      <w:pPr>
        <w:spacing w:line="600" w:lineRule="exact"/>
        <w:jc w:val="center"/>
        <w:rPr>
          <w:rFonts w:ascii="宋体" w:hAnsi="宋体"/>
          <w:b/>
          <w:sz w:val="36"/>
        </w:rPr>
      </w:pPr>
    </w:p>
    <w:p>
      <w:pPr>
        <w:spacing w:line="600" w:lineRule="exact"/>
        <w:jc w:val="center"/>
        <w:rPr>
          <w:rFonts w:ascii="宋体" w:hAnsi="宋体"/>
          <w:b/>
          <w:sz w:val="36"/>
        </w:rPr>
      </w:pPr>
    </w:p>
    <w:p>
      <w:pPr>
        <w:spacing w:line="600" w:lineRule="exact"/>
        <w:jc w:val="center"/>
        <w:rPr>
          <w:rFonts w:ascii="宋体" w:hAnsi="宋体"/>
          <w:b/>
          <w:sz w:val="36"/>
        </w:rPr>
      </w:pPr>
      <w:r>
        <w:rPr>
          <w:rFonts w:hint="eastAsia" w:ascii="宋体" w:hAnsi="宋体"/>
          <w:b/>
          <w:sz w:val="36"/>
        </w:rPr>
        <w:t>目   录</w:t>
      </w:r>
    </w:p>
    <w:p>
      <w:pPr>
        <w:rPr>
          <w:lang w:val="zh-CN"/>
        </w:rPr>
      </w:pPr>
    </w:p>
    <w:p>
      <w:pPr>
        <w:spacing w:line="660" w:lineRule="exact"/>
        <w:jc w:val="center"/>
        <w:rPr>
          <w:rFonts w:ascii="宋体" w:hAnsi="宋体"/>
          <w:sz w:val="28"/>
        </w:rPr>
      </w:pPr>
      <w:bookmarkStart w:id="0" w:name="_Toc17471982"/>
      <w:bookmarkStart w:id="1" w:name="_Toc19087050"/>
      <w:bookmarkStart w:id="2" w:name="_Toc17471951"/>
      <w:bookmarkStart w:id="3" w:name="_Toc24121729"/>
      <w:bookmarkStart w:id="4" w:name="_Toc16234169"/>
      <w:bookmarkStart w:id="5" w:name="_Toc16234431"/>
      <w:r>
        <w:rPr>
          <w:rFonts w:hint="eastAsia" w:ascii="宋体" w:hAnsi="宋体"/>
          <w:sz w:val="28"/>
        </w:rPr>
        <w:t>一、估价师声明………………………………………………………（05）</w:t>
      </w:r>
    </w:p>
    <w:p>
      <w:pPr>
        <w:spacing w:line="660" w:lineRule="exact"/>
        <w:jc w:val="center"/>
        <w:rPr>
          <w:rFonts w:ascii="宋体" w:hAnsi="宋体"/>
          <w:sz w:val="28"/>
        </w:rPr>
      </w:pPr>
      <w:r>
        <w:rPr>
          <w:rFonts w:hint="eastAsia" w:ascii="宋体" w:hAnsi="宋体"/>
          <w:sz w:val="28"/>
        </w:rPr>
        <w:t>二、估价假设和限制条件……………………………………………（06）</w:t>
      </w:r>
    </w:p>
    <w:p>
      <w:pPr>
        <w:spacing w:line="660" w:lineRule="exact"/>
        <w:jc w:val="center"/>
        <w:rPr>
          <w:rFonts w:ascii="宋体" w:hAnsi="宋体"/>
          <w:sz w:val="28"/>
        </w:rPr>
      </w:pPr>
      <w:r>
        <w:rPr>
          <w:rFonts w:hint="eastAsia" w:ascii="宋体" w:hAnsi="宋体"/>
          <w:sz w:val="28"/>
        </w:rPr>
        <w:t>三、估价结果报告……………………………………………………（0</w:t>
      </w:r>
      <w:r>
        <w:rPr>
          <w:rFonts w:ascii="宋体" w:hAnsi="宋体"/>
          <w:sz w:val="28"/>
        </w:rPr>
        <w:t>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（一）估价委托人……………………………………………………（0</w:t>
      </w:r>
      <w:r>
        <w:rPr>
          <w:rFonts w:ascii="宋体" w:hAnsi="宋体"/>
          <w:sz w:val="28"/>
        </w:rPr>
        <w:t>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（二）估价机构………………………………………………………（0</w:t>
      </w:r>
      <w:r>
        <w:rPr>
          <w:rFonts w:ascii="宋体" w:hAnsi="宋体"/>
          <w:sz w:val="28"/>
        </w:rPr>
        <w:t>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（三）估价目的………………………………………………………（0</w:t>
      </w:r>
      <w:r>
        <w:rPr>
          <w:rFonts w:ascii="宋体" w:hAnsi="宋体"/>
          <w:sz w:val="28"/>
        </w:rPr>
        <w:t>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（四）估价对象………………………………………………………（0</w:t>
      </w:r>
      <w:r>
        <w:rPr>
          <w:rFonts w:ascii="宋体" w:hAnsi="宋体"/>
          <w:sz w:val="28"/>
        </w:rPr>
        <w:t>9</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（五）价值时点………………………………………………………（</w:t>
      </w:r>
      <w:r>
        <w:rPr>
          <w:rFonts w:ascii="宋体" w:hAnsi="宋体"/>
          <w:sz w:val="28"/>
        </w:rPr>
        <w:t>12</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（六）价值类型………………………………………………………（</w:t>
      </w:r>
      <w:r>
        <w:rPr>
          <w:rFonts w:ascii="宋体" w:hAnsi="宋体"/>
          <w:sz w:val="28"/>
        </w:rPr>
        <w:t>12</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（七）估价原则………………………………………………………（</w:t>
      </w:r>
      <w:r>
        <w:rPr>
          <w:rFonts w:ascii="宋体" w:hAnsi="宋体"/>
          <w:sz w:val="28"/>
        </w:rPr>
        <w:t>12</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（八）估价依据………………………………………………………（</w:t>
      </w:r>
      <w:r>
        <w:rPr>
          <w:rFonts w:ascii="宋体" w:hAnsi="宋体"/>
          <w:sz w:val="28"/>
        </w:rPr>
        <w:t>14</w:t>
      </w:r>
      <w:r>
        <w:rPr>
          <w:rFonts w:hint="eastAsia" w:ascii="宋体" w:hAnsi="宋体"/>
          <w:sz w:val="28"/>
        </w:rPr>
        <w:t>）</w:t>
      </w:r>
    </w:p>
    <w:p>
      <w:pPr>
        <w:spacing w:line="660" w:lineRule="exact"/>
        <w:jc w:val="center"/>
        <w:rPr>
          <w:rFonts w:ascii="宋体" w:hAnsi="宋体"/>
          <w:sz w:val="28"/>
        </w:rPr>
      </w:pPr>
      <w:r>
        <w:rPr>
          <w:rFonts w:hint="eastAsia" w:ascii="宋体" w:hAnsi="宋体"/>
          <w:sz w:val="28"/>
        </w:rPr>
        <w:t>（九）估价方法………………………………………………………（</w:t>
      </w:r>
      <w:r>
        <w:rPr>
          <w:rFonts w:ascii="宋体" w:hAnsi="宋体"/>
          <w:sz w:val="28"/>
        </w:rPr>
        <w:t>15</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（十）估价结果………………………………………………………（</w:t>
      </w:r>
      <w:r>
        <w:rPr>
          <w:rFonts w:ascii="宋体" w:hAnsi="宋体"/>
          <w:sz w:val="28"/>
        </w:rPr>
        <w:t>17</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（十一）注册房地产估价师…………………………………………（</w:t>
      </w:r>
      <w:r>
        <w:rPr>
          <w:rFonts w:ascii="宋体" w:hAnsi="宋体"/>
          <w:sz w:val="28"/>
        </w:rPr>
        <w:t>17</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（十二）实地查勘期…………………………………………………（</w:t>
      </w:r>
      <w:r>
        <w:rPr>
          <w:rFonts w:ascii="宋体" w:hAnsi="宋体"/>
          <w:sz w:val="28"/>
        </w:rPr>
        <w:t>18</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（十三）估价作业期…………………………………………………（</w:t>
      </w:r>
      <w:r>
        <w:rPr>
          <w:rFonts w:ascii="宋体" w:hAnsi="宋体"/>
          <w:sz w:val="28"/>
        </w:rPr>
        <w:t>18</w:t>
      </w:r>
      <w:r>
        <w:rPr>
          <w:rFonts w:hint="eastAsia" w:ascii="宋体" w:hAnsi="宋体"/>
          <w:sz w:val="28"/>
        </w:rPr>
        <w:t>）</w:t>
      </w:r>
    </w:p>
    <w:p>
      <w:pPr>
        <w:spacing w:line="660" w:lineRule="exact"/>
        <w:jc w:val="center"/>
        <w:rPr>
          <w:rFonts w:ascii="宋体" w:hAnsi="宋体"/>
          <w:sz w:val="28"/>
        </w:rPr>
      </w:pPr>
      <w:r>
        <w:rPr>
          <w:rFonts w:hint="eastAsia" w:ascii="宋体" w:hAnsi="宋体"/>
          <w:sz w:val="28"/>
        </w:rPr>
        <w:t>四、附件………………………………………………………………（</w:t>
      </w:r>
      <w:r>
        <w:rPr>
          <w:rFonts w:ascii="宋体" w:hAnsi="宋体"/>
          <w:sz w:val="28"/>
        </w:rPr>
        <w:t>19</w:t>
      </w:r>
      <w:r>
        <w:rPr>
          <w:rFonts w:hint="eastAsia" w:ascii="宋体" w:hAnsi="宋体"/>
          <w:sz w:val="28"/>
        </w:rPr>
        <w:t>）</w:t>
      </w:r>
    </w:p>
    <w:p>
      <w:pPr>
        <w:snapToGrid w:val="0"/>
        <w:spacing w:line="620" w:lineRule="exact"/>
        <w:jc w:val="center"/>
        <w:rPr>
          <w:rFonts w:ascii="宋体" w:hAnsi="宋体"/>
          <w:sz w:val="28"/>
        </w:rPr>
      </w:pPr>
    </w:p>
    <w:p>
      <w:pPr>
        <w:pStyle w:val="52"/>
        <w:spacing w:before="0" w:line="560" w:lineRule="exact"/>
        <w:jc w:val="center"/>
        <w:rPr>
          <w:rFonts w:ascii="宋体" w:hAnsi="宋体"/>
          <w:b/>
          <w:color w:val="auto"/>
          <w:sz w:val="36"/>
          <w:szCs w:val="36"/>
          <w:lang w:val="zh-CN"/>
        </w:rPr>
      </w:pPr>
      <w:r>
        <w:rPr>
          <w:rFonts w:hint="eastAsia" w:ascii="宋体" w:hAnsi="宋体"/>
          <w:b/>
          <w:color w:val="auto"/>
          <w:sz w:val="36"/>
          <w:szCs w:val="36"/>
          <w:lang w:val="zh-CN"/>
        </w:rPr>
        <w:t>估 价 师 声 明</w:t>
      </w:r>
      <w:bookmarkEnd w:id="0"/>
      <w:bookmarkEnd w:id="1"/>
      <w:bookmarkEnd w:id="2"/>
      <w:bookmarkEnd w:id="3"/>
      <w:bookmarkEnd w:id="4"/>
      <w:bookmarkEnd w:id="5"/>
    </w:p>
    <w:p>
      <w:pPr>
        <w:spacing w:line="560" w:lineRule="exact"/>
        <w:rPr>
          <w:rFonts w:ascii="宋体" w:hAnsi="宋体"/>
          <w:color w:val="000000"/>
          <w:sz w:val="28"/>
          <w:szCs w:val="28"/>
        </w:rPr>
      </w:pPr>
      <w:r>
        <w:rPr>
          <w:rFonts w:hint="eastAsia" w:ascii="宋体" w:hAnsi="宋体"/>
          <w:color w:val="000000"/>
          <w:sz w:val="28"/>
          <w:szCs w:val="28"/>
        </w:rPr>
        <w:t>我们郑重声明：</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1、注册房地产估价师在估价报告中对事实的说明是真实和准确的，没有虚假记载、误导性陈述和重大遗漏。</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2、估价报告中的分析、意见和结论是注册房地产估价师独立、客观、公正的专业分析、意见和结论，但受到估价报告中已说明的估价假设和限制条件的限制。</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560" w:lineRule="exact"/>
        <w:ind w:firstLine="560" w:firstLineChars="200"/>
        <w:rPr>
          <w:rFonts w:ascii="宋体" w:hAnsi="宋体"/>
          <w:color w:val="000000"/>
          <w:sz w:val="28"/>
          <w:szCs w:val="28"/>
        </w:rPr>
      </w:pPr>
      <w:r>
        <w:rPr>
          <w:rFonts w:hint="eastAsia" w:ascii="宋体" w:hAnsi="宋体"/>
          <w:color w:val="000000"/>
          <w:sz w:val="28"/>
          <w:szCs w:val="28"/>
        </w:rPr>
        <w:t>4、注册房地产估价师依照中华人民共和国国家标准《房地产估价规范》、《房地产估价基本术语标准》以及相关房地产估价专项标准进行分析，形成意见和结论，撰写估价报告。</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5、注册房地产估价师</w:t>
      </w:r>
      <w:r>
        <w:rPr>
          <w:rFonts w:hint="eastAsia" w:ascii="宋体" w:hAnsi="宋体"/>
          <w:sz w:val="28"/>
          <w:szCs w:val="28"/>
        </w:rPr>
        <w:t>于2022年4月22日对本估价报告中估价对象的内外部状况进行了实地查勘并进行记录，对估价对象</w:t>
      </w:r>
      <w:r>
        <w:rPr>
          <w:rFonts w:ascii="宋体" w:hAnsi="宋体"/>
          <w:sz w:val="28"/>
          <w:szCs w:val="28"/>
        </w:rPr>
        <w:t>查勘</w:t>
      </w:r>
      <w:r>
        <w:rPr>
          <w:rFonts w:hint="eastAsia" w:ascii="宋体" w:hAnsi="宋体"/>
          <w:sz w:val="28"/>
          <w:szCs w:val="28"/>
        </w:rPr>
        <w:t>限于估价对象的内外部状况与目前维护使用状况，尤其因提供资料有限，我们不承担对估价对象建筑结构质量、建筑面积数量准确性和相应权益进行界定的责任，也不承担对其他被遮盖，未暴露及难于接触到的部分进行检视的责任。</w:t>
      </w:r>
    </w:p>
    <w:p>
      <w:pPr>
        <w:spacing w:line="5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、没有人对本估价报告提供重要专业帮助，本估价报告由山东成达土地房地产资产评估测绘有限公司负责解释。</w:t>
      </w:r>
    </w:p>
    <w:p>
      <w:pPr>
        <w:spacing w:line="56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、使用本报告，请注意估价假设和限制条件及报告说明。</w:t>
      </w:r>
    </w:p>
    <w:p>
      <w:pPr>
        <w:spacing w:line="480" w:lineRule="exact"/>
        <w:ind w:firstLine="562" w:firstLineChars="200"/>
        <w:rPr>
          <w:rFonts w:ascii="宋体" w:hAnsi="宋体"/>
          <w:b/>
          <w:color w:val="000000"/>
          <w:sz w:val="28"/>
          <w:szCs w:val="28"/>
        </w:rPr>
      </w:pPr>
      <w:r>
        <w:rPr>
          <w:rFonts w:hint="eastAsia" w:ascii="宋体" w:hAnsi="宋体"/>
          <w:b/>
          <w:color w:val="000000"/>
          <w:sz w:val="28"/>
          <w:szCs w:val="28"/>
        </w:rPr>
        <w:t xml:space="preserve">注册房地产估价师：  </w:t>
      </w:r>
    </w:p>
    <w:p>
      <w:pPr>
        <w:pStyle w:val="2"/>
        <w:rPr>
          <w:rFonts w:hint="eastAsia"/>
        </w:rPr>
      </w:pPr>
    </w:p>
    <w:p>
      <w:pPr>
        <w:spacing w:line="560" w:lineRule="exact"/>
        <w:ind w:firstLine="570"/>
        <w:jc w:val="center"/>
        <w:rPr>
          <w:rFonts w:ascii="宋体" w:hAnsi="宋体"/>
          <w:color w:val="000000"/>
          <w:sz w:val="28"/>
          <w:szCs w:val="28"/>
        </w:rPr>
      </w:pPr>
      <w:r>
        <w:rPr>
          <w:rFonts w:hint="eastAsia" w:ascii="宋体" w:hAnsi="宋体"/>
          <w:color w:val="000000"/>
          <w:sz w:val="28"/>
          <w:szCs w:val="28"/>
        </w:rPr>
        <w:t xml:space="preserve">张增坤（注册号：3720190070） </w:t>
      </w:r>
      <w:r>
        <w:rPr>
          <w:rFonts w:ascii="宋体" w:hAnsi="宋体"/>
          <w:color w:val="000000"/>
          <w:sz w:val="28"/>
          <w:szCs w:val="28"/>
        </w:rPr>
        <w:t xml:space="preserve">    </w:t>
      </w:r>
      <w:r>
        <w:rPr>
          <w:rFonts w:hint="eastAsia" w:ascii="宋体" w:hAnsi="宋体"/>
          <w:color w:val="000000"/>
          <w:sz w:val="28"/>
          <w:szCs w:val="28"/>
        </w:rPr>
        <w:t>马骕骅（注册号：3720190070）</w:t>
      </w:r>
    </w:p>
    <w:p>
      <w:pPr>
        <w:spacing w:line="560" w:lineRule="exact"/>
        <w:jc w:val="center"/>
        <w:rPr>
          <w:rFonts w:ascii="宋体" w:hAnsi="宋体"/>
          <w:b/>
          <w:sz w:val="36"/>
          <w:szCs w:val="36"/>
          <w:lang w:val="zh-CN"/>
        </w:rPr>
      </w:pPr>
    </w:p>
    <w:p>
      <w:pPr>
        <w:spacing w:line="560" w:lineRule="exact"/>
        <w:jc w:val="center"/>
        <w:rPr>
          <w:rFonts w:ascii="宋体" w:hAnsi="宋体"/>
          <w:b/>
          <w:sz w:val="36"/>
          <w:szCs w:val="36"/>
          <w:lang w:val="zh-CN"/>
        </w:rPr>
      </w:pPr>
    </w:p>
    <w:p>
      <w:pPr>
        <w:spacing w:line="560" w:lineRule="exact"/>
        <w:jc w:val="center"/>
        <w:rPr>
          <w:sz w:val="28"/>
        </w:rPr>
      </w:pPr>
      <w:r>
        <w:rPr>
          <w:rFonts w:hint="eastAsia" w:ascii="宋体" w:hAnsi="宋体"/>
          <w:b/>
          <w:sz w:val="36"/>
          <w:szCs w:val="36"/>
          <w:lang w:val="zh-CN"/>
        </w:rPr>
        <w:t>估价假设和限制条件</w:t>
      </w:r>
    </w:p>
    <w:p>
      <w:pPr>
        <w:pStyle w:val="60"/>
        <w:numPr>
          <w:ilvl w:val="0"/>
          <w:numId w:val="1"/>
        </w:numPr>
        <w:spacing w:line="540" w:lineRule="exact"/>
        <w:ind w:firstLineChars="0"/>
        <w:rPr>
          <w:rFonts w:ascii="宋体" w:hAnsi="宋体"/>
          <w:color w:val="000000"/>
          <w:sz w:val="28"/>
          <w:szCs w:val="28"/>
        </w:rPr>
      </w:pPr>
      <w:r>
        <w:rPr>
          <w:rFonts w:hint="eastAsia" w:ascii="宋体" w:hAnsi="宋体"/>
          <w:color w:val="000000"/>
          <w:sz w:val="28"/>
          <w:szCs w:val="28"/>
        </w:rPr>
        <w:t>本次估价的一般假设</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（1）估价委托人提供了估价对象的</w:t>
      </w:r>
      <w:r>
        <w:rPr>
          <w:rFonts w:hint="eastAsia" w:ascii="宋体" w:hAnsi="宋体"/>
          <w:sz w:val="28"/>
        </w:rPr>
        <w:t>房屋所有权证、国有土地使用证复印件</w:t>
      </w:r>
      <w:r>
        <w:rPr>
          <w:rFonts w:hint="eastAsia" w:ascii="宋体" w:hAnsi="宋体"/>
          <w:color w:val="000000"/>
          <w:sz w:val="28"/>
          <w:szCs w:val="28"/>
        </w:rPr>
        <w:t>，在无理由怀疑其合法性、真实性、准确性和完整性的情况下，假定估价委托人提供的资料合法、真实、准确、完整。</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（3）注册房地产估价师未对房屋建筑面积进行专业测量，经现场查勘观察，估价对象房屋建筑面积与记载建筑面积大体相当。</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（4）注册房地产估价师未对估价对象做建筑物基础和结构上的测量和实验，本次估价假设估价对象无基础、结构等方面的重大质量问题，并对此假设前提不承担相应责任。</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）注册房地产估价师已对估价对象被迫转让及处置后被执行人不自愿配合交付因素对评估结果的不利影响给予了关注。</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6</w:t>
      </w:r>
      <w:r>
        <w:rPr>
          <w:rFonts w:hint="eastAsia" w:ascii="宋体" w:hAnsi="宋体"/>
          <w:color w:val="000000"/>
          <w:sz w:val="28"/>
          <w:szCs w:val="28"/>
        </w:rPr>
        <w:t>）本次估价是为阳谷县人民法院确定财产处置参考价提供参考依据。根据《房地产估价规范》有关规定，本次估价采用公开市场价值标准。估价对象在价值时点的房地产市场为公开、平等、自愿的交易市场，即能满足以下条件：</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①交易双方自愿地进行交易；</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②交易双方处于利己动机进行交易；</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③交易双方精明、谨慎行事，并了解交易对象、知晓市场行情；</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④交易双方有较充裕的时间进行交易；</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⑤不存在买者因特殊兴趣而给予附加出价。</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）估价对象为整体房地产中（阳谷县石佛镇卫生院</w:t>
      </w:r>
      <w:r>
        <w:rPr>
          <w:rFonts w:ascii="宋体" w:hAnsi="宋体"/>
          <w:color w:val="000000"/>
          <w:sz w:val="28"/>
          <w:szCs w:val="28"/>
        </w:rPr>
        <w:t>沿街楼</w:t>
      </w:r>
      <w:r>
        <w:rPr>
          <w:rFonts w:hint="eastAsia" w:ascii="宋体" w:hAnsi="宋体"/>
          <w:color w:val="000000"/>
          <w:sz w:val="28"/>
          <w:szCs w:val="28"/>
        </w:rPr>
        <w:t>）的一部分，估价对象享有公共部位的通行权、水电等共用设施及区域内</w:t>
      </w:r>
      <w:r>
        <w:rPr>
          <w:rFonts w:ascii="宋体" w:hAnsi="宋体"/>
          <w:color w:val="000000"/>
          <w:sz w:val="28"/>
          <w:szCs w:val="28"/>
        </w:rPr>
        <w:t>景观、绿化及其他配套设施</w:t>
      </w:r>
      <w:r>
        <w:rPr>
          <w:rFonts w:hint="eastAsia" w:ascii="宋体" w:hAnsi="宋体"/>
          <w:color w:val="000000"/>
          <w:sz w:val="28"/>
          <w:szCs w:val="28"/>
        </w:rPr>
        <w:t>的使用权。</w:t>
      </w:r>
    </w:p>
    <w:p>
      <w:pPr>
        <w:spacing w:line="560" w:lineRule="exact"/>
        <w:ind w:firstLine="420" w:firstLineChars="150"/>
        <w:rPr>
          <w:rFonts w:ascii="宋体" w:hAns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）估价委托人未提供相关拖欠税费、物业费、供暖费、水电气费等资料，本次评估不考虑其对价值的影响，请报告使用人注意。</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2、未定事项假设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无未定事项假设</w:t>
      </w:r>
      <w:r>
        <w:rPr>
          <w:rFonts w:ascii="宋体" w:hAnsi="宋体"/>
          <w:color w:val="000000"/>
          <w:sz w:val="28"/>
          <w:szCs w:val="28"/>
        </w:rPr>
        <w:t>。</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3、背离事实假设</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（1）本次评估未考虑估价对象抵押、查封、租赁以及原有担保物权和其他优先受偿权对价值的影响。</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40" w:lineRule="exact"/>
        <w:ind w:firstLine="560" w:firstLineChars="200"/>
        <w:rPr>
          <w:rFonts w:ascii="宋体" w:hAnsi="宋体"/>
          <w:color w:val="000000"/>
          <w:sz w:val="28"/>
          <w:szCs w:val="28"/>
        </w:rPr>
      </w:pPr>
      <w:r>
        <w:rPr>
          <w:rFonts w:hint="eastAsia" w:ascii="宋体" w:hAnsi="宋体"/>
          <w:color w:val="000000"/>
          <w:sz w:val="28"/>
        </w:rPr>
        <w:t>估价委托人提供的《国有土地使用证》记载的土地使用者为阳谷县石佛镇卫生院，与《</w:t>
      </w:r>
      <w:r>
        <w:rPr>
          <w:rFonts w:hint="eastAsia" w:ascii="宋体" w:hAnsi="宋体" w:cs="宋体"/>
          <w:color w:val="000000"/>
          <w:sz w:val="28"/>
        </w:rPr>
        <w:t>房屋所有权证</w:t>
      </w:r>
      <w:r>
        <w:rPr>
          <w:rFonts w:hint="eastAsia" w:ascii="宋体" w:hAnsi="宋体"/>
          <w:color w:val="000000"/>
          <w:sz w:val="28"/>
        </w:rPr>
        <w:t>》记载的所有权人王进高不一致，估价委托人未提供</w:t>
      </w:r>
      <w:r>
        <w:rPr>
          <w:rFonts w:ascii="宋体" w:hAnsi="宋体"/>
          <w:color w:val="000000"/>
          <w:sz w:val="28"/>
        </w:rPr>
        <w:t>估价对象</w:t>
      </w:r>
      <w:r>
        <w:rPr>
          <w:rFonts w:hint="eastAsia" w:ascii="宋体" w:hAnsi="宋体"/>
          <w:color w:val="000000"/>
          <w:sz w:val="28"/>
        </w:rPr>
        <w:t>土地使用权人</w:t>
      </w:r>
      <w:r>
        <w:rPr>
          <w:rFonts w:ascii="宋体" w:hAnsi="宋体"/>
          <w:color w:val="000000"/>
          <w:sz w:val="28"/>
        </w:rPr>
        <w:t>为</w:t>
      </w:r>
      <w:r>
        <w:rPr>
          <w:rFonts w:hint="eastAsia" w:ascii="宋体" w:hAnsi="宋体"/>
          <w:color w:val="000000"/>
          <w:sz w:val="28"/>
        </w:rPr>
        <w:t>王进高名下《国有土地使用证》。依据估价委托人目前提供的估价对象现有资料，尚不能确定估价对象所占范围</w:t>
      </w:r>
      <w:r>
        <w:rPr>
          <w:rFonts w:ascii="宋体" w:hAnsi="宋体"/>
          <w:color w:val="000000"/>
          <w:sz w:val="28"/>
        </w:rPr>
        <w:t>内</w:t>
      </w:r>
      <w:r>
        <w:rPr>
          <w:rFonts w:hint="eastAsia" w:ascii="宋体" w:hAnsi="宋体"/>
          <w:color w:val="000000"/>
          <w:sz w:val="28"/>
        </w:rPr>
        <w:t>土地的合法性，故本次评估不包含土地使用权价格，</w:t>
      </w:r>
      <w:r>
        <w:rPr>
          <w:rFonts w:ascii="宋体" w:hAnsi="宋体"/>
          <w:color w:val="000000"/>
          <w:sz w:val="28"/>
        </w:rPr>
        <w:t>提请报告使用人注意</w:t>
      </w:r>
      <w:r>
        <w:rPr>
          <w:rFonts w:hint="eastAsia" w:ascii="宋体" w:hAnsi="宋体"/>
          <w:color w:val="000000"/>
          <w:sz w:val="28"/>
          <w:szCs w:val="28"/>
        </w:rPr>
        <w:t>。</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5、依据不足假设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估价委托人未提供</w:t>
      </w:r>
      <w:r>
        <w:rPr>
          <w:rFonts w:ascii="宋体" w:hAnsi="宋体"/>
          <w:color w:val="000000"/>
          <w:sz w:val="28"/>
          <w:szCs w:val="28"/>
        </w:rPr>
        <w:t>估价对象</w:t>
      </w:r>
      <w:r>
        <w:rPr>
          <w:rFonts w:hint="eastAsia" w:ascii="宋体" w:hAnsi="宋体"/>
          <w:color w:val="000000"/>
          <w:sz w:val="28"/>
          <w:szCs w:val="28"/>
        </w:rPr>
        <w:t>《国有土地使用证》、《房屋所有权证》</w:t>
      </w:r>
      <w:r>
        <w:rPr>
          <w:rFonts w:ascii="宋体" w:hAnsi="宋体"/>
          <w:color w:val="000000"/>
          <w:sz w:val="28"/>
          <w:szCs w:val="28"/>
        </w:rPr>
        <w:t>原件</w:t>
      </w:r>
      <w:r>
        <w:rPr>
          <w:rFonts w:hint="eastAsia" w:ascii="宋体" w:hAnsi="宋体"/>
          <w:color w:val="000000"/>
          <w:sz w:val="28"/>
          <w:szCs w:val="28"/>
        </w:rPr>
        <w:t>供</w:t>
      </w:r>
      <w:r>
        <w:rPr>
          <w:rFonts w:ascii="宋体" w:hAnsi="宋体"/>
          <w:color w:val="000000"/>
          <w:sz w:val="28"/>
          <w:szCs w:val="28"/>
        </w:rPr>
        <w:t>估价人员核查，</w:t>
      </w:r>
      <w:r>
        <w:rPr>
          <w:rFonts w:hint="eastAsia" w:ascii="宋体" w:hAnsi="宋体"/>
          <w:color w:val="000000"/>
          <w:sz w:val="28"/>
          <w:szCs w:val="28"/>
        </w:rPr>
        <w:t>本次评估</w:t>
      </w:r>
      <w:r>
        <w:rPr>
          <w:rFonts w:ascii="宋体" w:hAnsi="宋体"/>
          <w:color w:val="000000"/>
          <w:sz w:val="28"/>
          <w:szCs w:val="28"/>
        </w:rPr>
        <w:t>假定</w:t>
      </w:r>
      <w:r>
        <w:rPr>
          <w:rFonts w:hint="eastAsia" w:ascii="宋体" w:hAnsi="宋体"/>
          <w:color w:val="000000"/>
          <w:sz w:val="28"/>
          <w:szCs w:val="28"/>
        </w:rPr>
        <w:t>估价对象《国有土地使用证》、《房屋所有权证》复印件与</w:t>
      </w:r>
      <w:r>
        <w:rPr>
          <w:rFonts w:ascii="宋体" w:hAnsi="宋体"/>
          <w:color w:val="000000"/>
          <w:sz w:val="28"/>
          <w:szCs w:val="28"/>
        </w:rPr>
        <w:t>原件</w:t>
      </w:r>
      <w:r>
        <w:rPr>
          <w:rFonts w:hint="eastAsia" w:ascii="宋体" w:hAnsi="宋体"/>
          <w:color w:val="000000"/>
          <w:sz w:val="28"/>
          <w:szCs w:val="28"/>
        </w:rPr>
        <w:t>一致。</w:t>
      </w:r>
    </w:p>
    <w:p>
      <w:pPr>
        <w:spacing w:line="540" w:lineRule="exact"/>
        <w:rPr>
          <w:rFonts w:ascii="宋体" w:hAnsi="宋体"/>
          <w:color w:val="000000"/>
          <w:sz w:val="28"/>
          <w:szCs w:val="28"/>
        </w:rPr>
      </w:pPr>
      <w:r>
        <w:rPr>
          <w:rFonts w:hint="eastAsia" w:ascii="宋体" w:hAnsi="宋体"/>
          <w:color w:val="000000"/>
          <w:sz w:val="28"/>
          <w:szCs w:val="28"/>
        </w:rPr>
        <w:t xml:space="preserve">    6、估价报告使用限制</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（1）本估价报告按估价目的提供给估价委托人使用，不作他用。若改变估价目的及使用条件使用本估价报告，需向本公司咨询后作必要调整甚至重新估价，重新出具报告。</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4</w:t>
      </w:r>
      <w:r>
        <w:rPr>
          <w:rFonts w:hint="eastAsia" w:ascii="宋体" w:hAnsi="宋体"/>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hint="eastAsia" w:ascii="宋体" w:hAnsi="宋体"/>
          <w:sz w:val="28"/>
          <w:szCs w:val="28"/>
        </w:rPr>
        <w:t>若使用本估价结果的时间与报告出具之日起相差一年以上，我公司对应用此结果造成的损失不负任何责任。</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6</w:t>
      </w:r>
      <w:r>
        <w:rPr>
          <w:rFonts w:hint="eastAsia" w:ascii="宋体" w:hAnsi="宋体"/>
          <w:color w:val="000000"/>
          <w:sz w:val="28"/>
          <w:szCs w:val="28"/>
        </w:rPr>
        <w:t>）本报告估价结果为房产市场价值，未考虑快速变现等处分方式带来的影响，</w:t>
      </w:r>
      <w:r>
        <w:rPr>
          <w:rFonts w:ascii="宋体" w:hAnsi="宋体"/>
          <w:sz w:val="28"/>
          <w:szCs w:val="28"/>
        </w:rPr>
        <w:t>未考虑遇有自然力和其他不可抗力（破坏）的影响。</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本报告估价结果不等于估价对象处置可实现的成交价，不应被认为是对估价对象处置成交价的保证，仅供估价委托人参考。最终的处置价格应该由估价委托人根据处置方式、市场参与程度、兑现难易、政府有关税费缴纳等情况确定。</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（8）财产拍卖日期与本估价报告载明的价值时点不一致时，估价对象状况或房地产市场状况的变化会对估价结果产生影响。</w:t>
      </w:r>
    </w:p>
    <w:p>
      <w:pPr>
        <w:tabs>
          <w:tab w:val="left" w:pos="8265"/>
        </w:tabs>
        <w:spacing w:line="540" w:lineRule="exact"/>
        <w:ind w:firstLine="420" w:firstLineChars="150"/>
        <w:rPr>
          <w:rFonts w:ascii="宋体" w:hAnsi="宋体"/>
          <w:color w:val="000000"/>
          <w:sz w:val="28"/>
          <w:szCs w:val="28"/>
        </w:rPr>
      </w:pPr>
    </w:p>
    <w:p>
      <w:pPr>
        <w:tabs>
          <w:tab w:val="left" w:pos="8265"/>
        </w:tabs>
        <w:spacing w:line="540" w:lineRule="exact"/>
        <w:ind w:firstLine="420" w:firstLineChars="150"/>
        <w:rPr>
          <w:rFonts w:ascii="宋体" w:hAnsi="宋体"/>
          <w:color w:val="000000"/>
          <w:sz w:val="28"/>
          <w:szCs w:val="28"/>
        </w:rPr>
      </w:pPr>
    </w:p>
    <w:p>
      <w:pPr>
        <w:rPr>
          <w:b/>
        </w:rPr>
      </w:pPr>
      <w:bookmarkStart w:id="6" w:name="_Toc55921664"/>
      <w:bookmarkStart w:id="7" w:name="_Toc19087053"/>
      <w:bookmarkStart w:id="8" w:name="_Toc16234172"/>
      <w:bookmarkStart w:id="9" w:name="_Toc17471954"/>
      <w:bookmarkStart w:id="10" w:name="_Toc27736461"/>
      <w:bookmarkStart w:id="11" w:name="_Toc28941829"/>
      <w:bookmarkStart w:id="12" w:name="_Toc17471985"/>
      <w:bookmarkStart w:id="13" w:name="_Toc16234434"/>
      <w:bookmarkStart w:id="14" w:name="_Toc24121732"/>
      <w:r>
        <w:rPr>
          <w:rFonts w:hint="eastAsia"/>
          <w:b/>
        </w:rPr>
        <w:br w:type="page"/>
      </w:r>
    </w:p>
    <w:p>
      <w:pPr>
        <w:pStyle w:val="3"/>
        <w:spacing w:line="540" w:lineRule="exact"/>
        <w:rPr>
          <w:b/>
          <w:sz w:val="28"/>
        </w:rPr>
      </w:pPr>
      <w:r>
        <w:rPr>
          <w:rFonts w:hint="eastAsia"/>
          <w:b/>
        </w:rPr>
        <w:t>房 产 估 价 结 果 报 告</w:t>
      </w:r>
      <w:bookmarkEnd w:id="6"/>
    </w:p>
    <w:p>
      <w:pPr>
        <w:snapToGrid w:val="0"/>
        <w:spacing w:line="540" w:lineRule="exact"/>
        <w:ind w:firstLine="594" w:firstLineChars="200"/>
        <w:rPr>
          <w:rFonts w:ascii="宋体" w:hAnsi="宋体"/>
          <w:bCs/>
          <w:color w:val="000000"/>
          <w:sz w:val="28"/>
        </w:rPr>
      </w:pPr>
      <w:bookmarkStart w:id="15" w:name="_Toc55921665"/>
      <w:r>
        <w:rPr>
          <w:rStyle w:val="50"/>
          <w:rFonts w:hint="eastAsia"/>
        </w:rPr>
        <w:t>一、估价委托人</w:t>
      </w:r>
      <w:bookmarkEnd w:id="7"/>
      <w:bookmarkEnd w:id="8"/>
      <w:bookmarkEnd w:id="9"/>
      <w:bookmarkEnd w:id="10"/>
      <w:bookmarkEnd w:id="11"/>
      <w:bookmarkEnd w:id="12"/>
      <w:bookmarkEnd w:id="13"/>
      <w:bookmarkEnd w:id="14"/>
      <w:bookmarkEnd w:id="15"/>
      <w:r>
        <w:rPr>
          <w:rFonts w:hint="eastAsia" w:ascii="宋体" w:hAnsi="宋体"/>
          <w:b/>
          <w:bCs/>
          <w:color w:val="000000"/>
          <w:sz w:val="28"/>
        </w:rPr>
        <w:t>:</w:t>
      </w:r>
    </w:p>
    <w:p>
      <w:pPr>
        <w:pStyle w:val="8"/>
        <w:tabs>
          <w:tab w:val="center" w:pos="4815"/>
        </w:tabs>
        <w:spacing w:line="540" w:lineRule="exact"/>
        <w:ind w:firstLine="560" w:firstLineChars="200"/>
        <w:rPr>
          <w:rFonts w:ascii="宋体" w:hAnsi="宋体" w:eastAsia="宋体"/>
          <w:bCs/>
        </w:rPr>
      </w:pPr>
      <w:bookmarkStart w:id="16" w:name="_Toc17471955"/>
      <w:bookmarkStart w:id="17" w:name="_Toc16234435"/>
      <w:bookmarkStart w:id="18" w:name="_Toc28941830"/>
      <w:bookmarkStart w:id="19" w:name="_Toc55921666"/>
      <w:bookmarkStart w:id="20" w:name="_Toc27736462"/>
      <w:bookmarkStart w:id="21" w:name="_Toc24121733"/>
      <w:bookmarkStart w:id="22" w:name="_Toc17471986"/>
      <w:bookmarkStart w:id="23" w:name="_Toc16234173"/>
      <w:bookmarkStart w:id="24" w:name="_Toc19087054"/>
      <w:r>
        <w:rPr>
          <w:rFonts w:hint="eastAsia" w:ascii="宋体" w:hAnsi="宋体" w:eastAsia="宋体"/>
          <w:bCs/>
        </w:rPr>
        <w:t>估价委托人：阳谷县人民法院</w:t>
      </w:r>
    </w:p>
    <w:p>
      <w:pPr>
        <w:pStyle w:val="8"/>
        <w:tabs>
          <w:tab w:val="center" w:pos="4815"/>
        </w:tabs>
        <w:spacing w:line="540" w:lineRule="exact"/>
        <w:ind w:firstLine="560" w:firstLineChars="200"/>
        <w:rPr>
          <w:rFonts w:ascii="宋体" w:hAnsi="宋体" w:eastAsia="宋体"/>
          <w:bCs/>
        </w:rPr>
      </w:pPr>
      <w:r>
        <w:rPr>
          <w:rFonts w:hint="eastAsia" w:ascii="宋体" w:hAnsi="宋体" w:eastAsia="宋体"/>
          <w:bCs/>
        </w:rPr>
        <w:t>地址：阳谷县黄山路139号</w:t>
      </w:r>
    </w:p>
    <w:p>
      <w:pPr>
        <w:pStyle w:val="8"/>
        <w:tabs>
          <w:tab w:val="center" w:pos="4815"/>
        </w:tabs>
        <w:spacing w:line="540" w:lineRule="exact"/>
        <w:ind w:firstLine="594" w:firstLineChars="200"/>
        <w:rPr>
          <w:rFonts w:ascii="宋体" w:hAnsi="宋体"/>
          <w:color w:val="000000"/>
        </w:rPr>
      </w:pPr>
      <w:r>
        <w:rPr>
          <w:rStyle w:val="50"/>
          <w:rFonts w:hint="eastAsia"/>
        </w:rPr>
        <w:t>二、房地产估价机构</w:t>
      </w:r>
      <w:bookmarkEnd w:id="16"/>
      <w:bookmarkEnd w:id="17"/>
      <w:bookmarkEnd w:id="18"/>
      <w:bookmarkEnd w:id="19"/>
      <w:bookmarkEnd w:id="20"/>
      <w:bookmarkEnd w:id="21"/>
      <w:bookmarkEnd w:id="22"/>
      <w:bookmarkEnd w:id="23"/>
      <w:bookmarkEnd w:id="24"/>
      <w:r>
        <w:rPr>
          <w:rFonts w:hint="eastAsia" w:ascii="宋体" w:hAnsi="宋体"/>
          <w:b/>
          <w:bCs/>
          <w:color w:val="000000"/>
        </w:rPr>
        <w:t>：</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单位名称：山东成达土地房地产资产评估测绘有限公司</w:t>
      </w:r>
    </w:p>
    <w:p>
      <w:pPr>
        <w:pStyle w:val="8"/>
        <w:tabs>
          <w:tab w:val="center" w:pos="4815"/>
        </w:tabs>
        <w:snapToGrid w:val="0"/>
        <w:spacing w:line="540" w:lineRule="exact"/>
        <w:ind w:left="420" w:leftChars="200" w:firstLine="140" w:firstLineChars="50"/>
        <w:rPr>
          <w:rFonts w:ascii="宋体" w:hAnsi="宋体" w:eastAsia="宋体"/>
          <w:bCs/>
          <w:color w:val="000000"/>
        </w:rPr>
      </w:pPr>
      <w:r>
        <w:rPr>
          <w:rFonts w:hint="eastAsia" w:ascii="宋体" w:hAnsi="宋体" w:eastAsia="宋体"/>
          <w:bCs/>
          <w:color w:val="000000"/>
        </w:rPr>
        <w:t>住  所：中国（山东）自由贸易试验区济南片区新泺大街2117号铭盛大厦1618室</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营业执照注册号：91370800750883682G</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资质证书编号：鲁评091012</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备案资质等级：壹级</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备案证书有效期限：2020年5月7日</w:t>
      </w:r>
      <w:r>
        <w:rPr>
          <w:rFonts w:ascii="宋体" w:hAnsi="宋体" w:eastAsia="宋体"/>
          <w:bCs/>
          <w:color w:val="000000"/>
        </w:rPr>
        <w:t>至</w:t>
      </w:r>
      <w:r>
        <w:rPr>
          <w:rFonts w:hint="eastAsia" w:ascii="宋体" w:hAnsi="宋体" w:eastAsia="宋体"/>
          <w:bCs/>
          <w:color w:val="000000"/>
        </w:rPr>
        <w:t>2023年5月6日</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法人代表：程新军</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联 系 人：林经理</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电    话：0531-82998556</w:t>
      </w:r>
    </w:p>
    <w:p>
      <w:pPr>
        <w:pStyle w:val="8"/>
        <w:tabs>
          <w:tab w:val="center" w:pos="4815"/>
        </w:tabs>
        <w:snapToGrid w:val="0"/>
        <w:spacing w:line="540" w:lineRule="exact"/>
        <w:ind w:firstLine="594" w:firstLineChars="200"/>
        <w:rPr>
          <w:rFonts w:ascii="宋体" w:hAnsi="宋体" w:eastAsia="宋体"/>
          <w:b/>
          <w:color w:val="000000"/>
        </w:rPr>
      </w:pPr>
      <w:bookmarkStart w:id="25" w:name="_Toc17471987"/>
      <w:bookmarkStart w:id="26" w:name="_Toc28941831"/>
      <w:bookmarkStart w:id="27" w:name="_Toc17471956"/>
      <w:bookmarkStart w:id="28" w:name="_Toc16234436"/>
      <w:bookmarkStart w:id="29" w:name="_Toc19087055"/>
      <w:bookmarkStart w:id="30" w:name="_Toc55921667"/>
      <w:bookmarkStart w:id="31" w:name="_Toc27736463"/>
      <w:bookmarkStart w:id="32" w:name="_Toc24121734"/>
      <w:bookmarkStart w:id="33" w:name="_Toc16234174"/>
      <w:r>
        <w:rPr>
          <w:rStyle w:val="50"/>
          <w:rFonts w:hint="eastAsia"/>
        </w:rPr>
        <w:t>三、估价目的</w:t>
      </w:r>
      <w:bookmarkEnd w:id="25"/>
      <w:bookmarkEnd w:id="26"/>
      <w:bookmarkEnd w:id="27"/>
      <w:bookmarkEnd w:id="28"/>
      <w:bookmarkEnd w:id="29"/>
      <w:bookmarkEnd w:id="30"/>
      <w:bookmarkEnd w:id="31"/>
      <w:bookmarkEnd w:id="32"/>
      <w:bookmarkEnd w:id="33"/>
      <w:r>
        <w:rPr>
          <w:rFonts w:hint="eastAsia" w:ascii="宋体" w:hAnsi="宋体" w:eastAsia="宋体"/>
          <w:b/>
          <w:color w:val="000000"/>
        </w:rPr>
        <w:t>：</w:t>
      </w:r>
      <w:r>
        <w:rPr>
          <w:rFonts w:hint="eastAsia" w:ascii="宋体" w:hAnsi="宋体" w:eastAsia="宋体"/>
          <w:bCs/>
          <w:color w:val="000000"/>
        </w:rPr>
        <w:t>为阳谷县人民法院确定财产处置参考价提供参考依据。</w:t>
      </w:r>
    </w:p>
    <w:p>
      <w:pPr>
        <w:pStyle w:val="8"/>
        <w:snapToGrid w:val="0"/>
        <w:spacing w:line="540" w:lineRule="exact"/>
        <w:ind w:firstLine="582" w:firstLineChars="196"/>
        <w:rPr>
          <w:rFonts w:ascii="宋体" w:hAnsi="宋体" w:eastAsia="宋体"/>
          <w:b/>
          <w:color w:val="000000"/>
        </w:rPr>
      </w:pPr>
      <w:bookmarkStart w:id="34" w:name="_Toc28941832"/>
      <w:bookmarkStart w:id="35" w:name="_Toc27736464"/>
      <w:bookmarkStart w:id="36" w:name="_Toc16234437"/>
      <w:bookmarkStart w:id="37" w:name="_Toc17471988"/>
      <w:bookmarkStart w:id="38" w:name="_Toc19087056"/>
      <w:bookmarkStart w:id="39" w:name="_Toc17471957"/>
      <w:bookmarkStart w:id="40" w:name="_Toc55921668"/>
      <w:bookmarkStart w:id="41" w:name="_Toc16234175"/>
      <w:bookmarkStart w:id="42" w:name="_Toc24121735"/>
      <w:r>
        <w:rPr>
          <w:rStyle w:val="50"/>
          <w:rFonts w:hint="eastAsia"/>
        </w:rPr>
        <w:t>四、估价对象</w:t>
      </w:r>
      <w:bookmarkEnd w:id="34"/>
      <w:bookmarkEnd w:id="35"/>
      <w:bookmarkEnd w:id="36"/>
      <w:bookmarkEnd w:id="37"/>
      <w:bookmarkEnd w:id="38"/>
      <w:bookmarkEnd w:id="39"/>
      <w:bookmarkEnd w:id="40"/>
      <w:bookmarkEnd w:id="41"/>
      <w:bookmarkEnd w:id="42"/>
      <w:r>
        <w:rPr>
          <w:rFonts w:hint="eastAsia" w:ascii="宋体" w:hAnsi="宋体" w:eastAsia="宋体"/>
          <w:b/>
          <w:color w:val="000000"/>
        </w:rPr>
        <w:t>：</w:t>
      </w:r>
    </w:p>
    <w:p>
      <w:pPr>
        <w:pStyle w:val="8"/>
        <w:snapToGrid w:val="0"/>
        <w:spacing w:line="540" w:lineRule="exact"/>
        <w:ind w:firstLine="422" w:firstLineChars="150"/>
        <w:rPr>
          <w:rFonts w:ascii="宋体" w:hAnsi="宋体" w:eastAsia="宋体"/>
          <w:b/>
          <w:color w:val="000000"/>
        </w:rPr>
      </w:pPr>
      <w:r>
        <w:rPr>
          <w:rFonts w:hint="eastAsia" w:ascii="宋体" w:hAnsi="宋体" w:eastAsia="宋体"/>
          <w:b/>
          <w:color w:val="000000"/>
        </w:rPr>
        <w:t>（一）估价对象财产范围：</w:t>
      </w:r>
    </w:p>
    <w:p>
      <w:pPr>
        <w:snapToGrid w:val="0"/>
        <w:spacing w:line="540" w:lineRule="exact"/>
        <w:ind w:firstLine="560" w:firstLineChars="200"/>
        <w:rPr>
          <w:rFonts w:ascii="宋体" w:hAnsi="宋体"/>
          <w:sz w:val="28"/>
        </w:rPr>
      </w:pPr>
      <w:r>
        <w:rPr>
          <w:rFonts w:hint="eastAsia" w:ascii="宋体" w:hAnsi="宋体" w:cs="宋体"/>
          <w:color w:val="000000"/>
          <w:sz w:val="28"/>
          <w:lang w:val="zh-CN"/>
        </w:rPr>
        <w:t>估价对象</w:t>
      </w:r>
      <w:r>
        <w:rPr>
          <w:rFonts w:ascii="宋体" w:hAnsi="宋体" w:cs="宋体"/>
          <w:color w:val="000000"/>
          <w:sz w:val="28"/>
          <w:lang w:val="zh-CN"/>
        </w:rPr>
        <w:t>财产</w:t>
      </w:r>
      <w:r>
        <w:rPr>
          <w:rFonts w:hint="eastAsia" w:ascii="宋体" w:hAnsi="宋体" w:cs="宋体"/>
          <w:color w:val="000000"/>
          <w:sz w:val="28"/>
          <w:lang w:val="zh-CN"/>
        </w:rPr>
        <w:t>范围为</w:t>
      </w:r>
      <w:r>
        <w:rPr>
          <w:rFonts w:hint="eastAsia" w:ascii="宋体" w:hAnsi="宋体" w:cs="宋体"/>
          <w:color w:val="000000"/>
          <w:sz w:val="28"/>
        </w:rPr>
        <w:t>阳谷县石佛镇石佛村商住房产（不包含土地使用权）</w:t>
      </w:r>
      <w:r>
        <w:rPr>
          <w:rFonts w:hint="eastAsia" w:ascii="宋体" w:hAnsi="宋体" w:cs="宋体"/>
          <w:color w:val="000000"/>
          <w:sz w:val="28"/>
          <w:lang w:val="zh-CN"/>
        </w:rPr>
        <w:t>，包含依附于估价对象的装饰装修及设施设备，</w:t>
      </w:r>
      <w:r>
        <w:rPr>
          <w:rFonts w:hint="eastAsia" w:ascii="宋体" w:hAnsi="宋体"/>
          <w:sz w:val="28"/>
        </w:rPr>
        <w:t>财产范围不包括家电、家具等动产，也不包括债权债务、特许经营权、土地使用权等其他财产或权益。</w:t>
      </w:r>
    </w:p>
    <w:p>
      <w:pPr>
        <w:pStyle w:val="8"/>
        <w:snapToGrid w:val="0"/>
        <w:spacing w:line="540" w:lineRule="exact"/>
        <w:ind w:firstLine="422" w:firstLineChars="150"/>
        <w:rPr>
          <w:rFonts w:ascii="宋体" w:hAnsi="宋体" w:eastAsia="宋体"/>
          <w:b/>
          <w:color w:val="000000"/>
        </w:rPr>
      </w:pPr>
      <w:r>
        <w:rPr>
          <w:rFonts w:hint="eastAsia" w:ascii="宋体" w:hAnsi="宋体" w:eastAsia="宋体"/>
          <w:b/>
          <w:color w:val="000000"/>
        </w:rPr>
        <w:t>（二）</w:t>
      </w:r>
      <w:r>
        <w:rPr>
          <w:rFonts w:cs="宋体" w:asciiTheme="majorEastAsia" w:hAnsiTheme="majorEastAsia" w:eastAsiaTheme="majorEastAsia"/>
          <w:b/>
          <w:color w:val="000000"/>
          <w:lang w:val="zh-CN"/>
        </w:rPr>
        <w:t>估价对象</w:t>
      </w:r>
      <w:r>
        <w:rPr>
          <w:rFonts w:hint="eastAsia" w:cs="宋体" w:asciiTheme="majorEastAsia" w:hAnsiTheme="majorEastAsia" w:eastAsiaTheme="majorEastAsia"/>
          <w:b/>
          <w:color w:val="000000"/>
          <w:lang w:val="zh-CN"/>
        </w:rPr>
        <w:t>基本</w:t>
      </w:r>
      <w:r>
        <w:rPr>
          <w:rFonts w:cs="宋体" w:asciiTheme="majorEastAsia" w:hAnsiTheme="majorEastAsia" w:eastAsiaTheme="majorEastAsia"/>
          <w:b/>
          <w:color w:val="000000"/>
          <w:lang w:val="zh-CN"/>
        </w:rPr>
        <w:t>状况</w:t>
      </w:r>
      <w:r>
        <w:rPr>
          <w:rFonts w:hint="eastAsia" w:asciiTheme="majorEastAsia" w:hAnsiTheme="majorEastAsia" w:eastAsiaTheme="majorEastAsia"/>
          <w:b/>
          <w:color w:val="000000"/>
        </w:rPr>
        <w:t>：</w:t>
      </w:r>
    </w:p>
    <w:p>
      <w:pPr>
        <w:snapToGrid w:val="0"/>
        <w:spacing w:line="540" w:lineRule="exact"/>
        <w:ind w:firstLine="560" w:firstLineChars="200"/>
        <w:rPr>
          <w:rFonts w:ascii="宋体" w:hAnsi="宋体" w:cs="宋体"/>
          <w:color w:val="000000"/>
          <w:sz w:val="28"/>
          <w:lang w:val="zh-CN"/>
        </w:rPr>
      </w:pPr>
      <w:r>
        <w:rPr>
          <w:rFonts w:hint="eastAsia" w:ascii="宋体" w:hAnsi="宋体" w:cs="宋体"/>
          <w:color w:val="000000"/>
          <w:sz w:val="28"/>
          <w:lang w:val="zh-CN"/>
        </w:rPr>
        <w:t>1、名称：王进高所有的位于</w:t>
      </w:r>
      <w:r>
        <w:rPr>
          <w:rFonts w:hint="eastAsia" w:ascii="宋体" w:hAnsi="宋体" w:cs="宋体"/>
          <w:color w:val="000000"/>
          <w:sz w:val="28"/>
        </w:rPr>
        <w:t>阳谷县石佛镇石佛村商住房产（不包含土地使用权）</w:t>
      </w:r>
      <w:r>
        <w:rPr>
          <w:rFonts w:hint="eastAsia" w:ascii="宋体" w:hAnsi="宋体" w:cs="宋体"/>
          <w:color w:val="000000"/>
          <w:sz w:val="28"/>
          <w:lang w:val="zh-CN"/>
        </w:rPr>
        <w:t>。</w:t>
      </w:r>
    </w:p>
    <w:p>
      <w:pPr>
        <w:snapToGrid w:val="0"/>
        <w:spacing w:line="540" w:lineRule="exact"/>
        <w:ind w:firstLine="560" w:firstLineChars="200"/>
        <w:rPr>
          <w:rFonts w:ascii="宋体" w:hAnsi="宋体" w:cs="宋体"/>
          <w:color w:val="000000"/>
          <w:sz w:val="28"/>
          <w:lang w:val="zh-CN"/>
        </w:rPr>
      </w:pPr>
      <w:r>
        <w:rPr>
          <w:rFonts w:ascii="宋体" w:hAnsi="宋体" w:cs="宋体"/>
          <w:color w:val="000000"/>
          <w:sz w:val="28"/>
          <w:lang w:val="zh-CN"/>
        </w:rPr>
        <w:t>2</w:t>
      </w:r>
      <w:r>
        <w:rPr>
          <w:rFonts w:hint="eastAsia" w:ascii="宋体" w:hAnsi="宋体" w:cs="宋体"/>
          <w:color w:val="000000"/>
          <w:sz w:val="28"/>
          <w:lang w:val="zh-CN"/>
        </w:rPr>
        <w:t>、坐落：</w:t>
      </w:r>
      <w:r>
        <w:rPr>
          <w:rFonts w:hint="eastAsia" w:ascii="宋体" w:hAnsi="宋体" w:cs="宋体"/>
          <w:color w:val="000000"/>
          <w:sz w:val="28"/>
        </w:rPr>
        <w:t>阳谷县石佛镇石佛村</w:t>
      </w:r>
      <w:r>
        <w:rPr>
          <w:rFonts w:hint="eastAsia" w:ascii="宋体" w:hAnsi="宋体" w:cs="宋体"/>
          <w:color w:val="000000"/>
          <w:sz w:val="28"/>
          <w:lang w:val="zh-CN"/>
        </w:rPr>
        <w:t>。</w:t>
      </w:r>
    </w:p>
    <w:p>
      <w:pPr>
        <w:snapToGrid w:val="0"/>
        <w:spacing w:line="540" w:lineRule="exact"/>
        <w:ind w:firstLine="560" w:firstLineChars="200"/>
        <w:rPr>
          <w:rFonts w:ascii="宋体" w:hAnsi="宋体" w:cs="宋体"/>
          <w:color w:val="000000"/>
          <w:sz w:val="28"/>
          <w:lang w:val="zh-CN"/>
        </w:rPr>
      </w:pPr>
      <w:r>
        <w:rPr>
          <w:rFonts w:ascii="宋体" w:hAnsi="宋体" w:cs="宋体"/>
          <w:color w:val="000000"/>
          <w:sz w:val="28"/>
          <w:lang w:val="zh-CN"/>
        </w:rPr>
        <w:t>3</w:t>
      </w:r>
      <w:r>
        <w:rPr>
          <w:rFonts w:hint="eastAsia" w:ascii="宋体" w:hAnsi="宋体" w:cs="宋体"/>
          <w:color w:val="000000"/>
          <w:sz w:val="28"/>
          <w:lang w:val="zh-CN"/>
        </w:rPr>
        <w:t>、规模：建筑物建筑面积为</w:t>
      </w:r>
      <w:r>
        <w:rPr>
          <w:rFonts w:ascii="宋体" w:hAnsi="宋体" w:cs="宋体"/>
          <w:color w:val="000000"/>
          <w:sz w:val="28"/>
          <w:lang w:val="zh-CN"/>
        </w:rPr>
        <w:t>143.36</w:t>
      </w:r>
      <w:r>
        <w:rPr>
          <w:rFonts w:hint="eastAsia" w:ascii="宋体" w:hAnsi="宋体" w:cs="宋体"/>
          <w:color w:val="000000"/>
          <w:sz w:val="28"/>
          <w:lang w:val="zh-CN"/>
        </w:rPr>
        <w:t>平方米。</w:t>
      </w:r>
    </w:p>
    <w:p>
      <w:pPr>
        <w:snapToGrid w:val="0"/>
        <w:spacing w:line="540" w:lineRule="exact"/>
        <w:ind w:firstLine="560" w:firstLineChars="200"/>
        <w:rPr>
          <w:rFonts w:ascii="宋体" w:hAnsi="宋体" w:cs="宋体"/>
          <w:color w:val="000000"/>
          <w:sz w:val="28"/>
          <w:lang w:val="zh-CN"/>
        </w:rPr>
      </w:pPr>
      <w:r>
        <w:rPr>
          <w:rFonts w:hint="eastAsia" w:ascii="宋体" w:hAnsi="宋体" w:cs="宋体"/>
          <w:color w:val="000000"/>
          <w:sz w:val="28"/>
          <w:lang w:val="zh-CN"/>
        </w:rPr>
        <w:t>4、用途：建筑物规划用途为商住，</w:t>
      </w:r>
      <w:r>
        <w:rPr>
          <w:rFonts w:ascii="宋体" w:hAnsi="宋体" w:cs="宋体"/>
          <w:color w:val="000000"/>
          <w:sz w:val="28"/>
          <w:lang w:val="zh-CN"/>
        </w:rPr>
        <w:t>实际用途为商住</w:t>
      </w:r>
      <w:r>
        <w:rPr>
          <w:rFonts w:hint="eastAsia" w:ascii="宋体" w:hAnsi="宋体" w:cs="宋体"/>
          <w:color w:val="000000"/>
          <w:sz w:val="28"/>
          <w:lang w:val="zh-CN"/>
        </w:rPr>
        <w:t>。</w:t>
      </w:r>
    </w:p>
    <w:p>
      <w:pPr>
        <w:snapToGrid w:val="0"/>
        <w:spacing w:line="540" w:lineRule="exact"/>
        <w:ind w:firstLine="560" w:firstLineChars="200"/>
        <w:rPr>
          <w:rFonts w:ascii="宋体" w:hAnsi="宋体" w:cs="宋体"/>
          <w:color w:val="000000"/>
          <w:sz w:val="28"/>
          <w:lang w:val="zh-CN"/>
        </w:rPr>
      </w:pPr>
      <w:r>
        <w:rPr>
          <w:rFonts w:ascii="宋体" w:hAnsi="宋体" w:cs="宋体"/>
          <w:color w:val="000000"/>
          <w:sz w:val="28"/>
          <w:lang w:val="zh-CN"/>
        </w:rPr>
        <w:t>5</w:t>
      </w:r>
      <w:r>
        <w:rPr>
          <w:rFonts w:hint="eastAsia" w:ascii="宋体" w:hAnsi="宋体" w:cs="宋体"/>
          <w:color w:val="000000"/>
          <w:sz w:val="28"/>
          <w:lang w:val="zh-CN"/>
        </w:rPr>
        <w:t>、权属：根据阳国用（99）字第163号《国有土地使用证》，土地使用者为阳谷县石佛镇卫生院；商住房所有权人为王进高，房产已办理产权登记，</w:t>
      </w:r>
      <w:r>
        <w:rPr>
          <w:rFonts w:ascii="宋体" w:hAnsi="宋体" w:cs="宋体"/>
          <w:color w:val="000000"/>
          <w:sz w:val="28"/>
          <w:lang w:val="zh-CN"/>
        </w:rPr>
        <w:t>未提供估价对象分摊土地</w:t>
      </w:r>
      <w:r>
        <w:rPr>
          <w:rFonts w:hint="eastAsia" w:ascii="宋体" w:hAnsi="宋体" w:cs="宋体"/>
          <w:color w:val="000000"/>
          <w:sz w:val="28"/>
          <w:lang w:val="zh-CN"/>
        </w:rPr>
        <w:t>产权</w:t>
      </w:r>
      <w:r>
        <w:rPr>
          <w:rFonts w:ascii="宋体" w:hAnsi="宋体" w:cs="宋体"/>
          <w:color w:val="000000"/>
          <w:sz w:val="28"/>
          <w:lang w:val="zh-CN"/>
        </w:rPr>
        <w:t>信息</w:t>
      </w:r>
      <w:r>
        <w:rPr>
          <w:rFonts w:hint="eastAsia" w:ascii="宋体" w:hAnsi="宋体" w:cs="宋体"/>
          <w:color w:val="000000"/>
          <w:sz w:val="28"/>
          <w:lang w:val="zh-CN"/>
        </w:rPr>
        <w:t>。土地、商住房信息详见下表。</w:t>
      </w:r>
    </w:p>
    <w:p>
      <w:pPr>
        <w:snapToGrid w:val="0"/>
        <w:spacing w:line="500" w:lineRule="exact"/>
        <w:jc w:val="center"/>
        <w:rPr>
          <w:rFonts w:ascii="宋体" w:hAnsi="宋体"/>
          <w:b/>
          <w:color w:val="000000"/>
          <w:sz w:val="28"/>
        </w:rPr>
      </w:pPr>
      <w:r>
        <w:rPr>
          <w:rFonts w:hint="eastAsia" w:ascii="宋体" w:hAnsi="宋体" w:cs="宋体"/>
          <w:color w:val="000000"/>
          <w:sz w:val="28"/>
        </w:rPr>
        <w:t>①</w:t>
      </w:r>
      <w:r>
        <w:rPr>
          <w:rFonts w:ascii="宋体" w:hAnsi="宋体" w:cs="宋体"/>
          <w:color w:val="000000"/>
          <w:sz w:val="28"/>
        </w:rPr>
        <w:t>估价对象房产登记状况</w:t>
      </w:r>
    </w:p>
    <w:tbl>
      <w:tblPr>
        <w:tblStyle w:val="22"/>
        <w:tblW w:w="933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506"/>
        <w:gridCol w:w="1132"/>
        <w:gridCol w:w="1759"/>
        <w:gridCol w:w="1533"/>
        <w:gridCol w:w="1309"/>
        <w:gridCol w:w="916"/>
        <w:gridCol w:w="11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903" w:hRule="atLeast"/>
          <w:jc w:val="center"/>
        </w:trPr>
        <w:tc>
          <w:tcPr>
            <w:tcW w:w="150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房屋所有权</w:t>
            </w:r>
          </w:p>
          <w:p>
            <w:pPr>
              <w:widowControl/>
              <w:jc w:val="center"/>
              <w:textAlignment w:val="center"/>
              <w:rPr>
                <w:rFonts w:ascii="宋体" w:hAnsi="宋体" w:cs="宋体"/>
                <w:color w:val="000000"/>
                <w:sz w:val="24"/>
              </w:rPr>
            </w:pPr>
            <w:r>
              <w:rPr>
                <w:rFonts w:hint="eastAsia" w:ascii="宋体" w:hAnsi="宋体" w:cs="宋体"/>
                <w:color w:val="000000"/>
                <w:kern w:val="0"/>
                <w:sz w:val="24"/>
              </w:rPr>
              <w:t>证号</w:t>
            </w:r>
          </w:p>
        </w:tc>
        <w:tc>
          <w:tcPr>
            <w:tcW w:w="1132"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所有权人</w:t>
            </w:r>
          </w:p>
        </w:tc>
        <w:tc>
          <w:tcPr>
            <w:tcW w:w="1759"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533"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建筑面积（㎡）</w:t>
            </w:r>
          </w:p>
        </w:tc>
        <w:tc>
          <w:tcPr>
            <w:tcW w:w="1309"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所在层数</w:t>
            </w:r>
          </w:p>
          <w:p>
            <w:pPr>
              <w:widowControl/>
              <w:jc w:val="center"/>
              <w:textAlignment w:val="center"/>
              <w:rPr>
                <w:rFonts w:ascii="宋体" w:hAnsi="宋体" w:cs="宋体"/>
                <w:color w:val="000000"/>
                <w:kern w:val="0"/>
                <w:sz w:val="24"/>
              </w:rPr>
            </w:pPr>
            <w:r>
              <w:rPr>
                <w:rFonts w:hint="eastAsia" w:ascii="宋体" w:hAnsi="宋体" w:cs="宋体"/>
                <w:color w:val="000000"/>
                <w:kern w:val="0"/>
                <w:sz w:val="24"/>
              </w:rPr>
              <w:t>/总层数</w:t>
            </w:r>
          </w:p>
        </w:tc>
        <w:tc>
          <w:tcPr>
            <w:tcW w:w="91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结构</w:t>
            </w:r>
          </w:p>
        </w:tc>
        <w:tc>
          <w:tcPr>
            <w:tcW w:w="1180" w:type="dxa"/>
            <w:vAlign w:val="center"/>
          </w:tcPr>
          <w:p>
            <w:pPr>
              <w:jc w:val="center"/>
              <w:rPr>
                <w:rFonts w:ascii="宋体" w:hAnsi="宋体"/>
                <w:sz w:val="24"/>
              </w:rPr>
            </w:pPr>
            <w:r>
              <w:rPr>
                <w:rFonts w:hint="eastAsia" w:ascii="宋体" w:hAnsi="宋体"/>
                <w:sz w:val="24"/>
              </w:rPr>
              <w:t>规划用途/实际用途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903" w:hRule="atLeast"/>
          <w:jc w:val="center"/>
        </w:trPr>
        <w:tc>
          <w:tcPr>
            <w:tcW w:w="150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阳石建字第004号</w:t>
            </w:r>
          </w:p>
        </w:tc>
        <w:tc>
          <w:tcPr>
            <w:tcW w:w="1132"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王进高</w:t>
            </w:r>
          </w:p>
        </w:tc>
        <w:tc>
          <w:tcPr>
            <w:tcW w:w="1759" w:type="dxa"/>
            <w:vAlign w:val="center"/>
          </w:tcPr>
          <w:p>
            <w:pPr>
              <w:snapToGrid w:val="0"/>
              <w:jc w:val="center"/>
              <w:rPr>
                <w:rFonts w:ascii="宋体" w:hAnsi="宋体"/>
                <w:sz w:val="24"/>
              </w:rPr>
            </w:pPr>
            <w:r>
              <w:rPr>
                <w:rFonts w:hint="eastAsia" w:ascii="宋体" w:hAnsi="宋体"/>
                <w:sz w:val="24"/>
              </w:rPr>
              <w:t>阳谷县石佛镇</w:t>
            </w:r>
          </w:p>
          <w:p>
            <w:pPr>
              <w:snapToGrid w:val="0"/>
              <w:jc w:val="center"/>
              <w:rPr>
                <w:rFonts w:ascii="宋体" w:hAnsi="宋体" w:cs="宋体"/>
                <w:color w:val="000000"/>
                <w:sz w:val="24"/>
              </w:rPr>
            </w:pPr>
            <w:r>
              <w:rPr>
                <w:rFonts w:hint="eastAsia" w:ascii="宋体" w:hAnsi="宋体"/>
                <w:sz w:val="24"/>
              </w:rPr>
              <w:t>石佛村</w:t>
            </w:r>
          </w:p>
        </w:tc>
        <w:tc>
          <w:tcPr>
            <w:tcW w:w="1533" w:type="dxa"/>
            <w:vAlign w:val="center"/>
          </w:tcPr>
          <w:p>
            <w:pPr>
              <w:jc w:val="center"/>
              <w:rPr>
                <w:rFonts w:ascii="宋体" w:hAnsi="宋体"/>
                <w:sz w:val="24"/>
              </w:rPr>
            </w:pPr>
            <w:r>
              <w:rPr>
                <w:rFonts w:hint="eastAsia" w:ascii="宋体" w:hAnsi="宋体"/>
                <w:sz w:val="24"/>
              </w:rPr>
              <w:t>143.36</w:t>
            </w:r>
          </w:p>
        </w:tc>
        <w:tc>
          <w:tcPr>
            <w:tcW w:w="1309" w:type="dxa"/>
            <w:vAlign w:val="center"/>
          </w:tcPr>
          <w:p>
            <w:pPr>
              <w:snapToGrid w:val="0"/>
              <w:jc w:val="center"/>
              <w:rPr>
                <w:rFonts w:ascii="宋体" w:hAnsi="宋体"/>
                <w:sz w:val="24"/>
              </w:rPr>
            </w:pPr>
            <w:r>
              <w:rPr>
                <w:rFonts w:hint="eastAsia" w:ascii="宋体" w:hAnsi="宋体"/>
                <w:sz w:val="24"/>
              </w:rPr>
              <w:t>1-2层/2层</w:t>
            </w:r>
          </w:p>
        </w:tc>
        <w:tc>
          <w:tcPr>
            <w:tcW w:w="916" w:type="dxa"/>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砖混</w:t>
            </w:r>
          </w:p>
        </w:tc>
        <w:tc>
          <w:tcPr>
            <w:tcW w:w="1180" w:type="dxa"/>
            <w:vAlign w:val="center"/>
          </w:tcPr>
          <w:p>
            <w:pPr>
              <w:jc w:val="center"/>
              <w:rPr>
                <w:rFonts w:ascii="宋体" w:hAnsi="宋体"/>
                <w:sz w:val="24"/>
              </w:rPr>
            </w:pPr>
            <w:r>
              <w:rPr>
                <w:rFonts w:hint="eastAsia" w:ascii="宋体" w:hAnsi="宋体"/>
                <w:sz w:val="24"/>
              </w:rPr>
              <w:t>商住/商住</w:t>
            </w:r>
          </w:p>
        </w:tc>
      </w:tr>
    </w:tbl>
    <w:p>
      <w:pPr>
        <w:snapToGrid w:val="0"/>
        <w:spacing w:line="560" w:lineRule="exact"/>
        <w:jc w:val="center"/>
        <w:rPr>
          <w:rFonts w:ascii="宋体" w:hAnsi="宋体"/>
          <w:b/>
          <w:color w:val="000000"/>
          <w:sz w:val="28"/>
        </w:rPr>
      </w:pPr>
      <w:r>
        <w:rPr>
          <w:rFonts w:hint="eastAsia" w:ascii="宋体" w:hAnsi="宋体" w:cs="宋体"/>
          <w:color w:val="000000"/>
          <w:sz w:val="28"/>
        </w:rPr>
        <w:t>②</w:t>
      </w:r>
      <w:r>
        <w:rPr>
          <w:rFonts w:ascii="宋体" w:hAnsi="宋体" w:cs="宋体"/>
          <w:color w:val="000000"/>
          <w:sz w:val="28"/>
        </w:rPr>
        <w:t>估价对象</w:t>
      </w:r>
      <w:r>
        <w:rPr>
          <w:rFonts w:hint="eastAsia" w:ascii="宋体" w:hAnsi="宋体" w:cs="宋体"/>
          <w:color w:val="000000"/>
          <w:sz w:val="28"/>
        </w:rPr>
        <w:t>土地权利</w:t>
      </w:r>
      <w:r>
        <w:rPr>
          <w:rFonts w:ascii="宋体" w:hAnsi="宋体" w:cs="宋体"/>
          <w:color w:val="000000"/>
          <w:sz w:val="28"/>
        </w:rPr>
        <w:t>状况</w:t>
      </w:r>
    </w:p>
    <w:tbl>
      <w:tblPr>
        <w:tblStyle w:val="22"/>
        <w:tblW w:w="937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1923"/>
        <w:gridCol w:w="1674"/>
        <w:gridCol w:w="1979"/>
        <w:gridCol w:w="1332"/>
        <w:gridCol w:w="1178"/>
        <w:gridCol w:w="12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074" w:hRule="atLeast"/>
          <w:jc w:val="center"/>
        </w:trPr>
        <w:tc>
          <w:tcPr>
            <w:tcW w:w="1923" w:type="dxa"/>
            <w:vAlign w:val="center"/>
          </w:tcPr>
          <w:p>
            <w:pPr>
              <w:snapToGrid w:val="0"/>
              <w:jc w:val="center"/>
              <w:rPr>
                <w:rFonts w:ascii="宋体" w:hAnsi="宋体"/>
                <w:sz w:val="24"/>
              </w:rPr>
            </w:pPr>
            <w:r>
              <w:rPr>
                <w:rFonts w:hint="eastAsia" w:ascii="宋体" w:hAnsi="宋体"/>
                <w:sz w:val="24"/>
              </w:rPr>
              <w:t>国有土地使用</w:t>
            </w:r>
          </w:p>
          <w:p>
            <w:pPr>
              <w:snapToGrid w:val="0"/>
              <w:jc w:val="center"/>
              <w:rPr>
                <w:rFonts w:ascii="宋体" w:hAnsi="宋体"/>
                <w:sz w:val="24"/>
              </w:rPr>
            </w:pPr>
            <w:r>
              <w:rPr>
                <w:rFonts w:hint="eastAsia" w:ascii="宋体" w:hAnsi="宋体"/>
                <w:sz w:val="24"/>
              </w:rPr>
              <w:t>证号</w:t>
            </w:r>
          </w:p>
        </w:tc>
        <w:tc>
          <w:tcPr>
            <w:tcW w:w="1674" w:type="dxa"/>
            <w:vAlign w:val="center"/>
          </w:tcPr>
          <w:p>
            <w:pPr>
              <w:snapToGrid w:val="0"/>
              <w:jc w:val="center"/>
              <w:rPr>
                <w:rFonts w:ascii="宋体" w:hAnsi="宋体"/>
                <w:sz w:val="24"/>
              </w:rPr>
            </w:pPr>
            <w:r>
              <w:rPr>
                <w:rFonts w:hint="eastAsia" w:ascii="宋体" w:hAnsi="宋体"/>
                <w:sz w:val="24"/>
              </w:rPr>
              <w:t>土地使用者</w:t>
            </w:r>
          </w:p>
        </w:tc>
        <w:tc>
          <w:tcPr>
            <w:tcW w:w="1979" w:type="dxa"/>
            <w:vAlign w:val="center"/>
          </w:tcPr>
          <w:p>
            <w:pPr>
              <w:snapToGrid w:val="0"/>
              <w:jc w:val="center"/>
              <w:rPr>
                <w:rFonts w:ascii="宋体" w:hAnsi="宋体"/>
                <w:sz w:val="24"/>
              </w:rPr>
            </w:pPr>
            <w:r>
              <w:rPr>
                <w:rFonts w:hint="eastAsia" w:ascii="宋体" w:hAnsi="宋体"/>
                <w:sz w:val="24"/>
              </w:rPr>
              <w:t>坐落</w:t>
            </w:r>
          </w:p>
        </w:tc>
        <w:tc>
          <w:tcPr>
            <w:tcW w:w="1332" w:type="dxa"/>
            <w:vAlign w:val="center"/>
          </w:tcPr>
          <w:p>
            <w:pPr>
              <w:snapToGrid w:val="0"/>
              <w:jc w:val="center"/>
              <w:rPr>
                <w:rFonts w:ascii="宋体" w:hAnsi="宋体"/>
                <w:sz w:val="24"/>
              </w:rPr>
            </w:pPr>
            <w:r>
              <w:rPr>
                <w:rFonts w:hint="eastAsia" w:ascii="宋体" w:hAnsi="宋体"/>
                <w:sz w:val="24"/>
              </w:rPr>
              <w:t>使用权面积（㎡）</w:t>
            </w:r>
          </w:p>
        </w:tc>
        <w:tc>
          <w:tcPr>
            <w:tcW w:w="1178" w:type="dxa"/>
            <w:vAlign w:val="center"/>
          </w:tcPr>
          <w:p>
            <w:pPr>
              <w:snapToGrid w:val="0"/>
              <w:jc w:val="center"/>
              <w:rPr>
                <w:rFonts w:ascii="宋体" w:hAnsi="宋体"/>
                <w:sz w:val="24"/>
              </w:rPr>
            </w:pPr>
            <w:r>
              <w:rPr>
                <w:rFonts w:hint="eastAsia" w:ascii="宋体" w:hAnsi="宋体"/>
                <w:sz w:val="24"/>
              </w:rPr>
              <w:t>使用权</w:t>
            </w:r>
          </w:p>
          <w:p>
            <w:pPr>
              <w:snapToGrid w:val="0"/>
              <w:jc w:val="center"/>
              <w:rPr>
                <w:rFonts w:ascii="宋体" w:hAnsi="宋体"/>
                <w:sz w:val="24"/>
              </w:rPr>
            </w:pPr>
            <w:r>
              <w:rPr>
                <w:rFonts w:hint="eastAsia" w:ascii="宋体" w:hAnsi="宋体"/>
                <w:sz w:val="24"/>
              </w:rPr>
              <w:t>类型</w:t>
            </w:r>
          </w:p>
        </w:tc>
        <w:tc>
          <w:tcPr>
            <w:tcW w:w="1289" w:type="dxa"/>
            <w:vAlign w:val="center"/>
          </w:tcPr>
          <w:p>
            <w:pPr>
              <w:snapToGrid w:val="0"/>
              <w:jc w:val="center"/>
              <w:rPr>
                <w:rFonts w:ascii="宋体" w:hAnsi="宋体"/>
                <w:sz w:val="24"/>
              </w:rPr>
            </w:pPr>
            <w:r>
              <w:rPr>
                <w:rFonts w:hint="eastAsia" w:ascii="宋体" w:hAnsi="宋体"/>
                <w:sz w:val="24"/>
              </w:rPr>
              <w:t>用途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5" w:type="dxa"/>
            <w:left w:w="15" w:type="dxa"/>
            <w:bottom w:w="15" w:type="dxa"/>
            <w:right w:w="15" w:type="dxa"/>
          </w:tblCellMar>
        </w:tblPrEx>
        <w:trPr>
          <w:trHeight w:val="1113" w:hRule="atLeast"/>
          <w:jc w:val="center"/>
        </w:trPr>
        <w:tc>
          <w:tcPr>
            <w:tcW w:w="1923" w:type="dxa"/>
            <w:vAlign w:val="center"/>
          </w:tcPr>
          <w:p>
            <w:pPr>
              <w:snapToGrid w:val="0"/>
              <w:jc w:val="center"/>
              <w:rPr>
                <w:rFonts w:ascii="宋体" w:hAnsi="宋体"/>
                <w:sz w:val="24"/>
              </w:rPr>
            </w:pPr>
            <w:r>
              <w:rPr>
                <w:rFonts w:hint="eastAsia" w:ascii="宋体" w:hAnsi="宋体"/>
                <w:sz w:val="24"/>
              </w:rPr>
              <w:t>阳国用（99）字第163号</w:t>
            </w:r>
          </w:p>
        </w:tc>
        <w:tc>
          <w:tcPr>
            <w:tcW w:w="1674" w:type="dxa"/>
            <w:vAlign w:val="center"/>
          </w:tcPr>
          <w:p>
            <w:pPr>
              <w:snapToGrid w:val="0"/>
              <w:jc w:val="center"/>
              <w:rPr>
                <w:rFonts w:ascii="宋体" w:hAnsi="宋体"/>
                <w:sz w:val="24"/>
              </w:rPr>
            </w:pPr>
            <w:r>
              <w:rPr>
                <w:rFonts w:hint="eastAsia" w:ascii="宋体" w:hAnsi="宋体"/>
                <w:sz w:val="24"/>
              </w:rPr>
              <w:t>阳谷县石佛镇卫生院</w:t>
            </w:r>
          </w:p>
        </w:tc>
        <w:tc>
          <w:tcPr>
            <w:tcW w:w="1979" w:type="dxa"/>
            <w:vAlign w:val="center"/>
          </w:tcPr>
          <w:p>
            <w:pPr>
              <w:snapToGrid w:val="0"/>
              <w:jc w:val="center"/>
              <w:rPr>
                <w:rFonts w:ascii="宋体" w:hAnsi="宋体"/>
                <w:sz w:val="24"/>
              </w:rPr>
            </w:pPr>
            <w:r>
              <w:rPr>
                <w:rFonts w:hint="eastAsia" w:ascii="宋体" w:hAnsi="宋体"/>
                <w:sz w:val="24"/>
              </w:rPr>
              <w:t>石佛南街聊阳公路东乡政府东西路北</w:t>
            </w:r>
          </w:p>
        </w:tc>
        <w:tc>
          <w:tcPr>
            <w:tcW w:w="1332" w:type="dxa"/>
            <w:vAlign w:val="center"/>
          </w:tcPr>
          <w:p>
            <w:pPr>
              <w:snapToGrid w:val="0"/>
              <w:jc w:val="center"/>
              <w:rPr>
                <w:rFonts w:ascii="宋体" w:hAnsi="宋体"/>
                <w:sz w:val="24"/>
              </w:rPr>
            </w:pPr>
            <w:r>
              <w:rPr>
                <w:rFonts w:hint="eastAsia" w:ascii="宋体" w:hAnsi="宋体"/>
                <w:sz w:val="24"/>
              </w:rPr>
              <w:t>6061.12</w:t>
            </w:r>
          </w:p>
        </w:tc>
        <w:tc>
          <w:tcPr>
            <w:tcW w:w="1178" w:type="dxa"/>
            <w:vAlign w:val="center"/>
          </w:tcPr>
          <w:p>
            <w:pPr>
              <w:snapToGrid w:val="0"/>
              <w:jc w:val="center"/>
              <w:rPr>
                <w:rFonts w:ascii="宋体" w:hAnsi="宋体"/>
                <w:sz w:val="24"/>
              </w:rPr>
            </w:pPr>
            <w:r>
              <w:rPr>
                <w:rFonts w:hint="eastAsia" w:ascii="宋体" w:hAnsi="宋体"/>
                <w:sz w:val="24"/>
              </w:rPr>
              <w:t>划拨</w:t>
            </w:r>
          </w:p>
        </w:tc>
        <w:tc>
          <w:tcPr>
            <w:tcW w:w="1289" w:type="dxa"/>
            <w:vAlign w:val="center"/>
          </w:tcPr>
          <w:p>
            <w:pPr>
              <w:snapToGrid w:val="0"/>
              <w:jc w:val="center"/>
              <w:rPr>
                <w:rFonts w:ascii="宋体" w:hAnsi="宋体"/>
                <w:sz w:val="24"/>
              </w:rPr>
            </w:pPr>
            <w:r>
              <w:rPr>
                <w:rFonts w:hint="eastAsia" w:ascii="宋体" w:hAnsi="宋体"/>
                <w:sz w:val="24"/>
              </w:rPr>
              <w:t>办公</w:t>
            </w:r>
          </w:p>
        </w:tc>
      </w:tr>
    </w:tbl>
    <w:p>
      <w:pPr>
        <w:numPr>
          <w:ilvl w:val="0"/>
          <w:numId w:val="1"/>
        </w:numPr>
        <w:snapToGrid w:val="0"/>
        <w:spacing w:line="560" w:lineRule="exact"/>
        <w:rPr>
          <w:rFonts w:ascii="宋体" w:hAnsi="宋体" w:cs="宋体"/>
          <w:color w:val="000000"/>
          <w:sz w:val="28"/>
          <w:lang w:val="zh-CN"/>
        </w:rPr>
      </w:pPr>
      <w:r>
        <w:rPr>
          <w:rFonts w:hint="eastAsia" w:ascii="宋体" w:hAnsi="宋体" w:cs="宋体"/>
          <w:color w:val="000000"/>
          <w:sz w:val="28"/>
          <w:lang w:val="zh-CN"/>
        </w:rPr>
        <w:t>他项权利</w:t>
      </w:r>
      <w:r>
        <w:rPr>
          <w:rFonts w:ascii="宋体" w:hAnsi="宋体" w:cs="宋体"/>
          <w:color w:val="000000"/>
          <w:sz w:val="28"/>
          <w:lang w:val="zh-CN"/>
        </w:rPr>
        <w:t>及司法限制状况：</w:t>
      </w:r>
    </w:p>
    <w:p>
      <w:pPr>
        <w:pStyle w:val="8"/>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根据</w:t>
      </w:r>
      <w:r>
        <w:rPr>
          <w:rFonts w:ascii="宋体" w:hAnsi="宋体" w:eastAsia="宋体"/>
          <w:color w:val="000000"/>
          <w:lang w:val="zh-CN"/>
        </w:rPr>
        <w:t>本次估价目的，本次估价未考虑抵押、担保事宜等非正常因素对估价结果的影响，也</w:t>
      </w:r>
      <w:r>
        <w:rPr>
          <w:rFonts w:hint="eastAsia" w:ascii="宋体" w:hAnsi="宋体" w:eastAsia="宋体"/>
          <w:color w:val="000000"/>
          <w:lang w:val="zh-CN"/>
        </w:rPr>
        <w:t>未</w:t>
      </w:r>
      <w:r>
        <w:rPr>
          <w:rFonts w:ascii="宋体" w:hAnsi="宋体" w:eastAsia="宋体"/>
          <w:color w:val="000000"/>
          <w:lang w:val="zh-CN"/>
        </w:rPr>
        <w:t>考虑司法和</w:t>
      </w:r>
      <w:r>
        <w:rPr>
          <w:rFonts w:hint="eastAsia" w:ascii="宋体" w:hAnsi="宋体" w:eastAsia="宋体"/>
          <w:color w:val="000000"/>
          <w:lang w:val="zh-CN"/>
        </w:rPr>
        <w:t>行政机关依法裁决、查封</w:t>
      </w:r>
      <w:r>
        <w:rPr>
          <w:rFonts w:ascii="宋体" w:hAnsi="宋体" w:eastAsia="宋体"/>
          <w:color w:val="000000"/>
          <w:lang w:val="zh-CN"/>
        </w:rPr>
        <w:t>等非正常因素对估价结果的影响</w:t>
      </w:r>
      <w:r>
        <w:rPr>
          <w:rFonts w:hint="eastAsia" w:ascii="宋体" w:hAnsi="宋体" w:eastAsia="宋体"/>
          <w:color w:val="000000"/>
          <w:lang w:val="zh-CN"/>
        </w:rPr>
        <w:t>。</w:t>
      </w:r>
    </w:p>
    <w:p>
      <w:pPr>
        <w:pStyle w:val="8"/>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3、出租或占用情况：估价对象</w:t>
      </w:r>
      <w:r>
        <w:rPr>
          <w:rFonts w:ascii="宋体" w:hAnsi="宋体" w:eastAsia="宋体"/>
          <w:color w:val="000000"/>
          <w:lang w:val="zh-CN"/>
        </w:rPr>
        <w:t>处于</w:t>
      </w:r>
      <w:r>
        <w:rPr>
          <w:rFonts w:hint="eastAsia" w:ascii="宋体" w:hAnsi="宋体" w:eastAsia="宋体"/>
          <w:color w:val="000000"/>
          <w:lang w:val="zh-CN"/>
        </w:rPr>
        <w:t>出租</w:t>
      </w:r>
      <w:r>
        <w:rPr>
          <w:rFonts w:ascii="宋体" w:hAnsi="宋体" w:eastAsia="宋体"/>
          <w:color w:val="000000"/>
          <w:lang w:val="zh-CN"/>
        </w:rPr>
        <w:t>中，</w:t>
      </w:r>
      <w:r>
        <w:rPr>
          <w:rFonts w:hint="eastAsia" w:ascii="宋体" w:hAnsi="宋体" w:eastAsia="宋体"/>
          <w:color w:val="000000"/>
          <w:lang w:val="zh-CN"/>
        </w:rPr>
        <w:t>因估价委托人和当事人不能提供估价对象租赁的相关详细材料，故本次评估未考虑租赁对评估价值的影响</w:t>
      </w:r>
      <w:r>
        <w:rPr>
          <w:rFonts w:ascii="宋体" w:hAnsi="宋体" w:eastAsia="宋体"/>
          <w:color w:val="000000"/>
          <w:lang w:val="zh-CN"/>
        </w:rPr>
        <w:t>。</w:t>
      </w:r>
    </w:p>
    <w:p>
      <w:pPr>
        <w:ind w:firstLine="560" w:firstLineChars="200"/>
        <w:rPr>
          <w:rFonts w:ascii="宋体" w:hAnsi="宋体"/>
          <w:color w:val="000000"/>
          <w:sz w:val="28"/>
          <w:lang w:val="zh-CN"/>
        </w:rPr>
      </w:pPr>
      <w:r>
        <w:rPr>
          <w:rFonts w:hint="eastAsia" w:ascii="宋体" w:hAnsi="宋体"/>
          <w:color w:val="000000"/>
          <w:sz w:val="28"/>
          <w:lang w:val="zh-CN"/>
        </w:rPr>
        <w:t>4、其他</w:t>
      </w:r>
      <w:r>
        <w:rPr>
          <w:rFonts w:ascii="宋体" w:hAnsi="宋体"/>
          <w:color w:val="000000"/>
          <w:sz w:val="28"/>
          <w:lang w:val="zh-CN"/>
        </w:rPr>
        <w:t>特殊情况：</w:t>
      </w:r>
      <w:r>
        <w:rPr>
          <w:rFonts w:hint="eastAsia" w:ascii="宋体" w:hAnsi="宋体"/>
          <w:color w:val="000000"/>
          <w:sz w:val="28"/>
          <w:lang w:val="zh-CN"/>
        </w:rPr>
        <w:t>无</w:t>
      </w:r>
      <w:r>
        <w:rPr>
          <w:rFonts w:ascii="宋体" w:hAnsi="宋体"/>
          <w:color w:val="000000"/>
          <w:sz w:val="28"/>
          <w:lang w:val="zh-CN"/>
        </w:rPr>
        <w:t>。</w:t>
      </w:r>
    </w:p>
    <w:p>
      <w:pPr>
        <w:pStyle w:val="8"/>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（三）实物状况分析：</w:t>
      </w:r>
    </w:p>
    <w:p>
      <w:pPr>
        <w:snapToGrid w:val="0"/>
        <w:spacing w:line="560" w:lineRule="exact"/>
        <w:ind w:firstLine="548" w:firstLineChars="196"/>
        <w:rPr>
          <w:rFonts w:ascii="宋体" w:hAnsi="宋体"/>
          <w:color w:val="000000"/>
          <w:sz w:val="28"/>
        </w:rPr>
      </w:pPr>
      <w:r>
        <w:rPr>
          <w:rFonts w:hint="eastAsia" w:ascii="宋体" w:hAnsi="宋体"/>
          <w:color w:val="000000"/>
          <w:sz w:val="28"/>
        </w:rPr>
        <w:t>1、</w:t>
      </w:r>
      <w:r>
        <w:rPr>
          <w:rFonts w:ascii="宋体" w:hAnsi="宋体"/>
          <w:color w:val="000000"/>
          <w:sz w:val="28"/>
        </w:rPr>
        <w:t>土地实物状况：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w:t>
            </w:r>
          </w:p>
        </w:tc>
        <w:tc>
          <w:tcPr>
            <w:tcW w:w="6910" w:type="dxa"/>
            <w:tcBorders>
              <w:top w:val="double" w:color="auto" w:sz="4" w:space="0"/>
              <w:right w:val="double" w:color="auto" w:sz="4" w:space="0"/>
            </w:tcBorders>
            <w:vAlign w:val="center"/>
          </w:tcPr>
          <w:p>
            <w:pPr>
              <w:jc w:val="left"/>
              <w:rPr>
                <w:sz w:val="24"/>
              </w:rPr>
            </w:pPr>
            <w:r>
              <w:rPr>
                <w:rFonts w:hint="eastAsia" w:ascii="宋体" w:hAnsi="宋体"/>
                <w:sz w:val="24"/>
              </w:rPr>
              <w:t>阳谷县石佛南街聊阳公路东乡政府东西路北；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土地四至</w:t>
            </w:r>
          </w:p>
        </w:tc>
        <w:tc>
          <w:tcPr>
            <w:tcW w:w="6910" w:type="dxa"/>
            <w:tcBorders>
              <w:right w:val="double" w:color="auto" w:sz="4" w:space="0"/>
            </w:tcBorders>
            <w:vAlign w:val="center"/>
          </w:tcPr>
          <w:p>
            <w:pPr>
              <w:jc w:val="left"/>
              <w:rPr>
                <w:sz w:val="24"/>
              </w:rPr>
            </w:pPr>
            <w:r>
              <w:rPr>
                <w:rFonts w:hint="eastAsia"/>
                <w:sz w:val="24"/>
              </w:rPr>
              <w:t>北至医院，东至王进全，西至王鲁国，</w:t>
            </w:r>
            <w:r>
              <w:rPr>
                <w:sz w:val="24"/>
              </w:rPr>
              <w:t>南至</w:t>
            </w:r>
            <w:r>
              <w:rPr>
                <w:rFonts w:hint="eastAsia"/>
                <w:sz w:val="24"/>
              </w:rPr>
              <w:t>公路</w:t>
            </w:r>
            <w:r>
              <w:rPr>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土地使用权面积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6061.12㎡；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土地用途</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办公用地；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w:t>
            </w:r>
            <w:r>
              <w:rPr>
                <w:rFonts w:ascii="宋体" w:hAnsi="宋体"/>
                <w:sz w:val="24"/>
              </w:rPr>
              <w:t>终止日期</w:t>
            </w:r>
          </w:p>
        </w:tc>
        <w:tc>
          <w:tcPr>
            <w:tcW w:w="6910" w:type="dxa"/>
            <w:tcBorders>
              <w:right w:val="double" w:color="auto" w:sz="4" w:space="0"/>
            </w:tcBorders>
            <w:vAlign w:val="center"/>
          </w:tcPr>
          <w:p>
            <w:pPr>
              <w:jc w:val="left"/>
              <w:rPr>
                <w:rFonts w:hint="eastAsia" w:ascii="宋体" w:hAnsi="宋体"/>
                <w:sz w:val="24"/>
              </w:rPr>
            </w:pPr>
            <w:r>
              <w:rPr>
                <w:rFonts w:hint="eastAsia" w:ascii="宋体" w:hAnsi="宋体"/>
                <w:sz w:val="24"/>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土地形状</w:t>
            </w:r>
          </w:p>
        </w:tc>
        <w:tc>
          <w:tcPr>
            <w:tcW w:w="6910" w:type="dxa"/>
            <w:tcBorders>
              <w:right w:val="double" w:color="auto" w:sz="4" w:space="0"/>
            </w:tcBorders>
            <w:vAlign w:val="center"/>
          </w:tcPr>
          <w:p>
            <w:pPr>
              <w:jc w:val="left"/>
              <w:rPr>
                <w:sz w:val="24"/>
                <w:lang w:val="zh-CN"/>
              </w:rPr>
            </w:pPr>
            <w:r>
              <w:rPr>
                <w:rFonts w:hint="eastAsia"/>
                <w:sz w:val="24"/>
                <w:lang w:val="zh-CN"/>
              </w:rPr>
              <w:t>宗地形状较</w:t>
            </w:r>
            <w:r>
              <w:rPr>
                <w:sz w:val="24"/>
                <w:lang w:val="zh-CN"/>
              </w:rPr>
              <w:t>规则</w:t>
            </w:r>
            <w:r>
              <w:rPr>
                <w:rFonts w:hint="eastAsia"/>
                <w:sz w:val="24"/>
                <w:lang w:val="zh-CN"/>
              </w:rPr>
              <w:t>，有利于地上建筑布局；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地形地势及地质</w:t>
            </w:r>
            <w:r>
              <w:rPr>
                <w:rFonts w:ascii="宋体" w:hAnsi="宋体"/>
                <w:sz w:val="24"/>
              </w:rPr>
              <w:t>状况</w:t>
            </w:r>
          </w:p>
        </w:tc>
        <w:tc>
          <w:tcPr>
            <w:tcW w:w="6910" w:type="dxa"/>
            <w:tcBorders>
              <w:right w:val="double" w:color="auto" w:sz="4" w:space="0"/>
            </w:tcBorders>
            <w:vAlign w:val="center"/>
          </w:tcPr>
          <w:p>
            <w:pPr>
              <w:jc w:val="left"/>
              <w:rPr>
                <w:sz w:val="24"/>
                <w:lang w:val="zh-CN"/>
              </w:rPr>
            </w:pPr>
            <w:r>
              <w:rPr>
                <w:rFonts w:hint="eastAsia"/>
                <w:sz w:val="24"/>
                <w:lang w:val="zh-CN"/>
              </w:rPr>
              <w:t>估价对象</w:t>
            </w:r>
            <w:r>
              <w:rPr>
                <w:sz w:val="24"/>
                <w:lang w:val="zh-CN"/>
              </w:rPr>
              <w:t>地形</w:t>
            </w:r>
            <w:r>
              <w:rPr>
                <w:rFonts w:hint="eastAsia"/>
                <w:sz w:val="24"/>
                <w:lang w:val="zh-CN"/>
              </w:rPr>
              <w:t>、地势</w:t>
            </w:r>
            <w:r>
              <w:rPr>
                <w:sz w:val="24"/>
                <w:lang w:val="zh-CN"/>
              </w:rPr>
              <w:t>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w:t>
            </w:r>
            <w:r>
              <w:rPr>
                <w:sz w:val="24"/>
                <w:lang w:val="zh-CN"/>
              </w:rPr>
              <w:t>被洪水淹没、积水的可能性较小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开发程度</w:t>
            </w:r>
          </w:p>
        </w:tc>
        <w:tc>
          <w:tcPr>
            <w:tcW w:w="6910" w:type="dxa"/>
            <w:tcBorders>
              <w:bottom w:val="double" w:color="auto" w:sz="4" w:space="0"/>
              <w:right w:val="double" w:color="auto" w:sz="4" w:space="0"/>
            </w:tcBorders>
            <w:vAlign w:val="center"/>
          </w:tcPr>
          <w:p>
            <w:pPr>
              <w:jc w:val="left"/>
              <w:rPr>
                <w:rFonts w:ascii="宋体" w:hAnsi="宋体"/>
                <w:color w:val="000000"/>
                <w:sz w:val="24"/>
              </w:rPr>
            </w:pPr>
            <w:r>
              <w:rPr>
                <w:rFonts w:hint="eastAsia" w:ascii="宋体" w:hAnsi="宋体"/>
                <w:color w:val="000000"/>
                <w:sz w:val="24"/>
              </w:rPr>
              <w:t>至价值时点</w:t>
            </w:r>
            <w:r>
              <w:rPr>
                <w:rFonts w:ascii="宋体" w:hAnsi="宋体"/>
                <w:color w:val="000000"/>
                <w:sz w:val="24"/>
              </w:rPr>
              <w:t>，宗地</w:t>
            </w:r>
            <w:r>
              <w:rPr>
                <w:rFonts w:hint="eastAsia" w:ascii="宋体" w:hAnsi="宋体"/>
                <w:color w:val="000000"/>
                <w:sz w:val="24"/>
              </w:rPr>
              <w:t>红线外</w:t>
            </w:r>
            <w:r>
              <w:rPr>
                <w:rFonts w:ascii="宋体" w:hAnsi="宋体"/>
                <w:color w:val="000000"/>
                <w:sz w:val="24"/>
              </w:rPr>
              <w:t>开发程度已达到</w:t>
            </w:r>
            <w:r>
              <w:rPr>
                <w:rFonts w:hint="eastAsia" w:ascii="宋体" w:hAnsi="宋体"/>
                <w:color w:val="000000"/>
                <w:sz w:val="24"/>
              </w:rPr>
              <w:t>“五通”（通电，通路，供水，排水，通讯），</w:t>
            </w:r>
            <w:r>
              <w:rPr>
                <w:rFonts w:ascii="宋体" w:hAnsi="宋体"/>
                <w:color w:val="000000"/>
                <w:sz w:val="24"/>
              </w:rPr>
              <w:t>宗地</w:t>
            </w:r>
            <w:r>
              <w:rPr>
                <w:rFonts w:hint="eastAsia" w:ascii="宋体" w:hAnsi="宋体"/>
                <w:color w:val="000000"/>
                <w:sz w:val="24"/>
              </w:rPr>
              <w:t>红线内</w:t>
            </w:r>
            <w:r>
              <w:rPr>
                <w:rFonts w:ascii="宋体" w:hAnsi="宋体"/>
                <w:color w:val="000000"/>
                <w:sz w:val="24"/>
              </w:rPr>
              <w:t>开发程度已达到</w:t>
            </w:r>
            <w:r>
              <w:rPr>
                <w:rFonts w:hint="eastAsia" w:ascii="宋体" w:hAnsi="宋体"/>
                <w:color w:val="000000"/>
                <w:sz w:val="24"/>
              </w:rPr>
              <w:t>“五通一平”（通电，通路，供水，排水，通讯及场地平整），</w:t>
            </w:r>
            <w:r>
              <w:rPr>
                <w:rFonts w:ascii="宋体" w:hAnsi="宋体"/>
                <w:color w:val="000000"/>
                <w:sz w:val="24"/>
              </w:rPr>
              <w:t>已建有</w:t>
            </w:r>
            <w:r>
              <w:rPr>
                <w:rFonts w:hint="eastAsia" w:ascii="宋体" w:hAnsi="宋体"/>
                <w:color w:val="000000"/>
                <w:sz w:val="24"/>
              </w:rPr>
              <w:t>多栋建筑物</w:t>
            </w:r>
            <w:r>
              <w:rPr>
                <w:rFonts w:ascii="宋体" w:hAnsi="宋体"/>
                <w:color w:val="000000"/>
                <w:sz w:val="24"/>
              </w:rPr>
              <w:t>。</w:t>
            </w:r>
          </w:p>
        </w:tc>
      </w:tr>
    </w:tbl>
    <w:p>
      <w:pPr>
        <w:snapToGrid w:val="0"/>
        <w:spacing w:line="560" w:lineRule="exact"/>
        <w:ind w:firstLine="548" w:firstLineChars="196"/>
        <w:rPr>
          <w:rFonts w:ascii="宋体" w:hAnsi="宋体"/>
          <w:color w:val="000000"/>
          <w:sz w:val="28"/>
        </w:rPr>
      </w:pPr>
      <w:r>
        <w:rPr>
          <w:rFonts w:hint="eastAsia" w:ascii="宋体" w:hAnsi="宋体"/>
          <w:color w:val="000000"/>
          <w:sz w:val="28"/>
        </w:rPr>
        <w:t>2、</w:t>
      </w:r>
      <w:r>
        <w:rPr>
          <w:rFonts w:ascii="宋体" w:hAnsi="宋体"/>
          <w:color w:val="000000"/>
          <w:sz w:val="28"/>
        </w:rPr>
        <w:t>建筑物实物状况：</w:t>
      </w:r>
    </w:p>
    <w:tbl>
      <w:tblPr>
        <w:tblStyle w:val="2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名称及</w:t>
            </w:r>
            <w:r>
              <w:rPr>
                <w:rFonts w:ascii="宋体" w:hAnsi="宋体"/>
                <w:sz w:val="24"/>
              </w:rPr>
              <w:t>坐落</w:t>
            </w:r>
          </w:p>
        </w:tc>
        <w:tc>
          <w:tcPr>
            <w:tcW w:w="6910" w:type="dxa"/>
            <w:tcBorders>
              <w:top w:val="double" w:color="auto" w:sz="4" w:space="0"/>
              <w:right w:val="double" w:color="auto" w:sz="4" w:space="0"/>
            </w:tcBorders>
            <w:vAlign w:val="center"/>
          </w:tcPr>
          <w:p>
            <w:pPr>
              <w:jc w:val="left"/>
              <w:rPr>
                <w:sz w:val="24"/>
                <w:lang w:val="zh-CN"/>
              </w:rPr>
            </w:pPr>
            <w:r>
              <w:rPr>
                <w:rFonts w:hint="eastAsia" w:ascii="宋体" w:hAnsi="宋体"/>
                <w:sz w:val="24"/>
              </w:rPr>
              <w:t>阳谷县石佛镇石佛村商住房产（不包含土地使用权）；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建筑面积</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143.36㎡</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房屋用途</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规划用途</w:t>
            </w:r>
            <w:r>
              <w:rPr>
                <w:rFonts w:ascii="宋体" w:hAnsi="宋体"/>
                <w:sz w:val="24"/>
              </w:rPr>
              <w:t>为</w:t>
            </w:r>
            <w:r>
              <w:rPr>
                <w:rFonts w:hint="eastAsia" w:ascii="宋体" w:hAnsi="宋体"/>
                <w:sz w:val="24"/>
              </w:rPr>
              <w:t>商住，</w:t>
            </w:r>
            <w:r>
              <w:rPr>
                <w:rFonts w:ascii="宋体" w:hAnsi="宋体"/>
                <w:sz w:val="24"/>
              </w:rPr>
              <w:t>实际用途</w:t>
            </w:r>
            <w:r>
              <w:rPr>
                <w:rFonts w:hint="eastAsia" w:ascii="宋体" w:hAnsi="宋体"/>
                <w:sz w:val="24"/>
              </w:rPr>
              <w:t>为</w:t>
            </w:r>
            <w:r>
              <w:rPr>
                <w:rFonts w:ascii="宋体" w:hAnsi="宋体"/>
                <w:sz w:val="24"/>
              </w:rPr>
              <w:t>商</w:t>
            </w:r>
            <w:r>
              <w:rPr>
                <w:rFonts w:hint="eastAsia" w:ascii="宋体" w:hAnsi="宋体"/>
                <w:sz w:val="24"/>
              </w:rPr>
              <w:t>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建筑结构及层数</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砖混结构；总层数2层，所在层数1-2</w:t>
            </w:r>
            <w:r>
              <w:rPr>
                <w:rFonts w:ascii="宋体" w:hAnsi="宋体"/>
                <w:sz w:val="24"/>
              </w:rPr>
              <w:t>层</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设施设备</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配备消防系统</w:t>
            </w:r>
            <w:r>
              <w:rPr>
                <w:rFonts w:ascii="宋体" w:hAnsi="宋体"/>
                <w:sz w:val="24"/>
              </w:rPr>
              <w:t>，</w:t>
            </w:r>
            <w:r>
              <w:rPr>
                <w:rFonts w:hint="eastAsia" w:ascii="宋体" w:hAnsi="宋体"/>
                <w:sz w:val="24"/>
              </w:rPr>
              <w:t>24小时</w:t>
            </w:r>
            <w:r>
              <w:rPr>
                <w:rFonts w:ascii="宋体" w:hAnsi="宋体"/>
                <w:sz w:val="24"/>
              </w:rPr>
              <w:t>监控系统，设施设备较齐全；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层高</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标准层高</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空间布局</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空间布局合理；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建成年代</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2009年</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使用</w:t>
            </w:r>
            <w:r>
              <w:rPr>
                <w:rFonts w:ascii="宋体" w:hAnsi="宋体"/>
                <w:sz w:val="24"/>
              </w:rPr>
              <w:t>及维护状况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目前</w:t>
            </w:r>
            <w:r>
              <w:rPr>
                <w:rFonts w:ascii="宋体" w:hAnsi="宋体"/>
                <w:sz w:val="24"/>
              </w:rPr>
              <w:t>估价对象</w:t>
            </w:r>
            <w:r>
              <w:rPr>
                <w:rFonts w:hint="eastAsia" w:ascii="宋体" w:hAnsi="宋体"/>
                <w:sz w:val="24"/>
              </w:rPr>
              <w:t>处于使用中</w:t>
            </w:r>
            <w:r>
              <w:rPr>
                <w:rFonts w:ascii="宋体" w:hAnsi="宋体"/>
                <w:sz w:val="24"/>
              </w:rPr>
              <w:t>，</w:t>
            </w:r>
            <w:r>
              <w:rPr>
                <w:rFonts w:hint="eastAsia" w:ascii="宋体" w:hAnsi="宋体"/>
                <w:sz w:val="24"/>
              </w:rPr>
              <w:t>结构构件安全完好，牢固，齐全完整，现状良好，使用正常，地面、墙面、门窗等维护保养状况较好；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建筑物</w:t>
            </w:r>
            <w:r>
              <w:rPr>
                <w:rFonts w:ascii="宋体" w:hAnsi="宋体"/>
                <w:sz w:val="24"/>
              </w:rPr>
              <w:t>完损状况</w:t>
            </w:r>
          </w:p>
        </w:tc>
        <w:tc>
          <w:tcPr>
            <w:tcW w:w="6910" w:type="dxa"/>
            <w:tcBorders>
              <w:right w:val="double" w:color="auto" w:sz="4" w:space="0"/>
            </w:tcBorders>
            <w:vAlign w:val="center"/>
          </w:tcPr>
          <w:p>
            <w:pPr>
              <w:jc w:val="left"/>
              <w:rPr>
                <w:rFonts w:ascii="宋体" w:hAnsi="宋体"/>
                <w:sz w:val="24"/>
              </w:rPr>
            </w:pPr>
            <w:r>
              <w:rPr>
                <w:rFonts w:hint="eastAsia" w:ascii="宋体" w:hAnsi="宋体"/>
                <w:sz w:val="24"/>
              </w:rPr>
              <w:t>房屋基础有足够承载力，无超过允许范围的不均匀沉降，承重结构部件及主要非承重墙体完好，室内外装饰工程无明显裂缝及脱落，门窗及五金配件完好，为完好房；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right"/>
        </w:trPr>
        <w:tc>
          <w:tcPr>
            <w:tcW w:w="2376" w:type="dxa"/>
            <w:tcBorders>
              <w:left w:val="double" w:color="auto" w:sz="4" w:space="0"/>
              <w:bottom w:val="double" w:color="auto" w:sz="4" w:space="0"/>
            </w:tcBorders>
            <w:vAlign w:val="center"/>
          </w:tcPr>
          <w:p>
            <w:pPr>
              <w:jc w:val="center"/>
              <w:rPr>
                <w:rFonts w:ascii="宋体" w:hAnsi="宋体"/>
                <w:sz w:val="24"/>
              </w:rPr>
            </w:pPr>
            <w:r>
              <w:rPr>
                <w:rFonts w:hint="eastAsia" w:ascii="宋体" w:hAnsi="宋体"/>
                <w:sz w:val="24"/>
              </w:rPr>
              <w:t>装饰装修及</w:t>
            </w:r>
            <w:r>
              <w:rPr>
                <w:rFonts w:ascii="宋体" w:hAnsi="宋体"/>
                <w:sz w:val="24"/>
              </w:rPr>
              <w:t>配套</w:t>
            </w:r>
          </w:p>
        </w:tc>
        <w:tc>
          <w:tcPr>
            <w:tcW w:w="6910" w:type="dxa"/>
            <w:tcBorders>
              <w:bottom w:val="double" w:color="auto" w:sz="4" w:space="0"/>
              <w:right w:val="double" w:color="auto" w:sz="4" w:space="0"/>
            </w:tcBorders>
            <w:vAlign w:val="center"/>
          </w:tcPr>
          <w:p>
            <w:pPr>
              <w:jc w:val="left"/>
              <w:rPr>
                <w:rFonts w:ascii="宋体" w:hAnsi="宋体"/>
                <w:sz w:val="24"/>
              </w:rPr>
            </w:pPr>
            <w:r>
              <w:rPr>
                <w:rFonts w:hint="eastAsia" w:ascii="宋体" w:hAnsi="宋体"/>
                <w:sz w:val="24"/>
              </w:rPr>
              <w:t>估价对象外墙刷涂料，入户玻璃门、卷帘门，一层室内瓷砖地面，内墙刷乳胶漆；楼梯瓷砖踏步，不锈钢扶手，部分铝塑板吊顶，二层瓷砖地面，卧室</w:t>
            </w:r>
            <w:r>
              <w:rPr>
                <w:rFonts w:ascii="宋体" w:hAnsi="宋体"/>
                <w:sz w:val="24"/>
              </w:rPr>
              <w:t>瓷砖地面，</w:t>
            </w:r>
            <w:r>
              <w:rPr>
                <w:rFonts w:hint="eastAsia" w:ascii="宋体" w:hAnsi="宋体"/>
                <w:sz w:val="24"/>
              </w:rPr>
              <w:t>部分石膏板吊顶、部分铝塑板吊顶，内墙刷乳胶漆；内部</w:t>
            </w:r>
            <w:r>
              <w:rPr>
                <w:rFonts w:ascii="宋体" w:hAnsi="宋体"/>
                <w:sz w:val="24"/>
              </w:rPr>
              <w:t>水，电，宽带，</w:t>
            </w:r>
            <w:r>
              <w:rPr>
                <w:rFonts w:hint="eastAsia" w:ascii="宋体" w:hAnsi="宋体"/>
                <w:sz w:val="24"/>
              </w:rPr>
              <w:t>空调配套齐全，</w:t>
            </w:r>
            <w:r>
              <w:rPr>
                <w:rFonts w:ascii="宋体" w:hAnsi="宋体"/>
                <w:sz w:val="24"/>
              </w:rPr>
              <w:t>维护保养状况一般</w:t>
            </w:r>
            <w:r>
              <w:rPr>
                <w:rFonts w:hint="eastAsia" w:ascii="宋体" w:hAnsi="宋体"/>
                <w:sz w:val="24"/>
              </w:rPr>
              <w:t>。</w:t>
            </w:r>
          </w:p>
        </w:tc>
      </w:tr>
    </w:tbl>
    <w:p>
      <w:pPr>
        <w:pStyle w:val="8"/>
        <w:tabs>
          <w:tab w:val="center" w:pos="4815"/>
        </w:tabs>
        <w:snapToGrid w:val="0"/>
        <w:spacing w:line="600" w:lineRule="exact"/>
        <w:ind w:firstLine="422" w:firstLineChars="150"/>
        <w:rPr>
          <w:rFonts w:ascii="宋体" w:hAnsi="宋体" w:eastAsia="宋体"/>
          <w:b/>
          <w:color w:val="000000"/>
          <w:lang w:val="zh-CN"/>
        </w:rPr>
      </w:pPr>
      <w:r>
        <w:rPr>
          <w:rFonts w:hint="eastAsia" w:ascii="宋体" w:hAnsi="宋体" w:eastAsia="宋体"/>
          <w:b/>
          <w:color w:val="000000"/>
          <w:lang w:val="zh-CN"/>
        </w:rPr>
        <w:t>（四）区位状况分析：</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top w:val="double" w:color="auto" w:sz="4" w:space="0"/>
              <w:left w:val="double" w:color="auto" w:sz="4" w:space="0"/>
            </w:tcBorders>
            <w:vAlign w:val="center"/>
          </w:tcPr>
          <w:p>
            <w:pPr>
              <w:jc w:val="center"/>
              <w:rPr>
                <w:rFonts w:ascii="宋体" w:hAnsi="宋体"/>
                <w:sz w:val="24"/>
              </w:rPr>
            </w:pPr>
            <w:r>
              <w:rPr>
                <w:rFonts w:hint="eastAsia" w:ascii="宋体" w:hAnsi="宋体"/>
                <w:sz w:val="24"/>
              </w:rPr>
              <w:t>位置</w:t>
            </w:r>
          </w:p>
        </w:tc>
        <w:tc>
          <w:tcPr>
            <w:tcW w:w="6910" w:type="dxa"/>
            <w:tcBorders>
              <w:top w:val="double" w:color="auto" w:sz="4" w:space="0"/>
              <w:right w:val="double" w:color="auto" w:sz="4" w:space="0"/>
            </w:tcBorders>
            <w:vAlign w:val="center"/>
          </w:tcPr>
          <w:p>
            <w:pPr>
              <w:jc w:val="left"/>
              <w:rPr>
                <w:rFonts w:asciiTheme="majorEastAsia" w:hAnsiTheme="majorEastAsia" w:eastAsiaTheme="majorEastAsia"/>
                <w:sz w:val="24"/>
                <w:lang w:val="zh-CN"/>
              </w:rPr>
            </w:pPr>
            <w:r>
              <w:rPr>
                <w:rFonts w:hint="eastAsia" w:asciiTheme="majorEastAsia" w:hAnsiTheme="majorEastAsia" w:eastAsiaTheme="majorEastAsia"/>
                <w:sz w:val="24"/>
              </w:rPr>
              <w:t>位于阳谷县石佛镇石佛村</w:t>
            </w:r>
            <w:r>
              <w:rPr>
                <w:rFonts w:asciiTheme="majorEastAsia" w:hAnsiTheme="majorEastAsia" w:eastAsiaTheme="majorEastAsia"/>
                <w:sz w:val="24"/>
              </w:rPr>
              <w:t>；</w:t>
            </w:r>
            <w:r>
              <w:rPr>
                <w:rFonts w:hint="eastAsia" w:asciiTheme="majorEastAsia" w:hAnsiTheme="majorEastAsia" w:eastAsiaTheme="majorEastAsia"/>
                <w:sz w:val="24"/>
                <w:lang w:val="zh-CN"/>
              </w:rPr>
              <w:t>距</w:t>
            </w:r>
            <w:r>
              <w:rPr>
                <w:rFonts w:hint="eastAsia" w:asciiTheme="majorEastAsia" w:hAnsiTheme="majorEastAsia" w:eastAsiaTheme="majorEastAsia"/>
                <w:sz w:val="24"/>
              </w:rPr>
              <w:t>石佛镇政府约300米</w:t>
            </w:r>
            <w:r>
              <w:rPr>
                <w:rFonts w:asciiTheme="majorEastAsia" w:hAnsiTheme="majorEastAsia" w:eastAsiaTheme="majorEastAsia"/>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交通状况</w:t>
            </w:r>
          </w:p>
        </w:tc>
        <w:tc>
          <w:tcPr>
            <w:tcW w:w="6910" w:type="dxa"/>
            <w:tcBorders>
              <w:right w:val="double" w:color="auto" w:sz="4" w:space="0"/>
            </w:tcBorders>
            <w:vAlign w:val="center"/>
          </w:tcPr>
          <w:p>
            <w:pPr>
              <w:jc w:val="left"/>
              <w:rPr>
                <w:sz w:val="24"/>
                <w:lang w:val="zh-CN"/>
              </w:rPr>
            </w:pPr>
            <w:r>
              <w:rPr>
                <w:rFonts w:hint="eastAsia"/>
                <w:sz w:val="24"/>
                <w:lang w:val="zh-CN"/>
              </w:rPr>
              <w:t>估价对象</w:t>
            </w:r>
            <w:r>
              <w:rPr>
                <w:rFonts w:hint="eastAsia"/>
                <w:sz w:val="24"/>
              </w:rPr>
              <w:t>南至政府街</w:t>
            </w:r>
            <w:r>
              <w:rPr>
                <w:sz w:val="24"/>
                <w:lang w:val="zh-CN"/>
              </w:rPr>
              <w:t>；</w:t>
            </w:r>
            <w:r>
              <w:rPr>
                <w:rFonts w:hint="eastAsia" w:asciiTheme="majorEastAsia" w:hAnsiTheme="majorEastAsia" w:eastAsiaTheme="majorEastAsia"/>
                <w:sz w:val="24"/>
                <w:lang w:val="zh-CN"/>
              </w:rPr>
              <w:t>附近有多路公交通过，交通较方便，道路通达性较好；无交通管制限制；设有地上停车位，停车较方便；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自然、人文环境及景观</w:t>
            </w:r>
          </w:p>
        </w:tc>
        <w:tc>
          <w:tcPr>
            <w:tcW w:w="6910" w:type="dxa"/>
            <w:tcBorders>
              <w:right w:val="double" w:color="auto" w:sz="4" w:space="0"/>
            </w:tcBorders>
            <w:vAlign w:val="center"/>
          </w:tcPr>
          <w:p>
            <w:pPr>
              <w:jc w:val="left"/>
              <w:rPr>
                <w:sz w:val="24"/>
                <w:lang w:val="zh-CN"/>
              </w:rPr>
            </w:pPr>
            <w:r>
              <w:rPr>
                <w:rFonts w:hint="eastAsia" w:ascii="宋体" w:hAnsi="宋体"/>
                <w:color w:val="000000"/>
                <w:sz w:val="24"/>
              </w:rPr>
              <w:t>自然环境</w:t>
            </w:r>
            <w:r>
              <w:rPr>
                <w:rFonts w:ascii="宋体" w:hAnsi="宋体"/>
                <w:color w:val="000000"/>
                <w:sz w:val="24"/>
              </w:rPr>
              <w:t>和人文环境</w:t>
            </w:r>
            <w:r>
              <w:rPr>
                <w:rFonts w:hint="eastAsia" w:ascii="宋体" w:hAnsi="宋体"/>
                <w:color w:val="000000"/>
                <w:sz w:val="24"/>
              </w:rPr>
              <w:t>教好；景观一般</w:t>
            </w:r>
            <w:r>
              <w:rPr>
                <w:rFonts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tcBorders>
            <w:vAlign w:val="center"/>
          </w:tcPr>
          <w:p>
            <w:pPr>
              <w:jc w:val="center"/>
              <w:rPr>
                <w:rFonts w:ascii="宋体" w:hAnsi="宋体"/>
                <w:sz w:val="24"/>
              </w:rPr>
            </w:pPr>
            <w:r>
              <w:rPr>
                <w:rFonts w:hint="eastAsia" w:ascii="宋体" w:hAnsi="宋体"/>
                <w:sz w:val="24"/>
              </w:rPr>
              <w:t>基础设施</w:t>
            </w:r>
            <w:r>
              <w:rPr>
                <w:rFonts w:ascii="宋体" w:hAnsi="宋体"/>
                <w:sz w:val="24"/>
              </w:rPr>
              <w:t>配套</w:t>
            </w:r>
            <w:r>
              <w:rPr>
                <w:rFonts w:hint="eastAsia" w:ascii="宋体" w:hAnsi="宋体"/>
                <w:sz w:val="24"/>
              </w:rPr>
              <w:t>情况</w:t>
            </w:r>
          </w:p>
        </w:tc>
        <w:tc>
          <w:tcPr>
            <w:tcW w:w="6910" w:type="dxa"/>
            <w:tcBorders>
              <w:right w:val="double" w:color="auto" w:sz="4" w:space="0"/>
            </w:tcBorders>
            <w:vAlign w:val="center"/>
          </w:tcPr>
          <w:p>
            <w:pPr>
              <w:jc w:val="left"/>
              <w:rPr>
                <w:sz w:val="24"/>
                <w:lang w:val="zh-CN"/>
              </w:rPr>
            </w:pPr>
            <w:r>
              <w:rPr>
                <w:rFonts w:ascii="宋体" w:hAnsi="宋体"/>
                <w:color w:val="000000"/>
                <w:sz w:val="24"/>
              </w:rPr>
              <w:t>宗地</w:t>
            </w:r>
            <w:r>
              <w:rPr>
                <w:rFonts w:hint="eastAsia" w:ascii="宋体" w:hAnsi="宋体"/>
                <w:color w:val="000000"/>
                <w:sz w:val="24"/>
              </w:rPr>
              <w:t>红线内</w:t>
            </w:r>
            <w:r>
              <w:rPr>
                <w:rFonts w:ascii="宋体" w:hAnsi="宋体"/>
                <w:color w:val="000000"/>
                <w:sz w:val="24"/>
              </w:rPr>
              <w:t>开发程度已达到</w:t>
            </w:r>
            <w:r>
              <w:rPr>
                <w:rFonts w:hint="eastAsia" w:ascii="宋体" w:hAnsi="宋体"/>
                <w:color w:val="000000"/>
                <w:sz w:val="24"/>
              </w:rPr>
              <w:t>“五通一平”（通电，通路，供水，排水，通讯及场地平整），</w:t>
            </w:r>
            <w:r>
              <w:rPr>
                <w:rFonts w:ascii="宋体" w:hAnsi="宋体"/>
                <w:color w:val="000000"/>
                <w:sz w:val="24"/>
              </w:rPr>
              <w:t>基础设施较完善</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76" w:type="dxa"/>
            <w:tcBorders>
              <w:left w:val="double" w:color="auto" w:sz="4" w:space="0"/>
              <w:bottom w:val="double" w:color="auto" w:sz="4" w:space="0"/>
            </w:tcBorders>
            <w:vAlign w:val="center"/>
          </w:tcPr>
          <w:p>
            <w:pPr>
              <w:jc w:val="center"/>
              <w:rPr>
                <w:rFonts w:hint="eastAsia" w:ascii="宋体" w:hAnsi="宋体"/>
                <w:sz w:val="24"/>
              </w:rPr>
            </w:pPr>
            <w:r>
              <w:rPr>
                <w:rFonts w:hint="eastAsia" w:ascii="宋体" w:hAnsi="宋体"/>
                <w:sz w:val="24"/>
              </w:rPr>
              <w:t>公共服务</w:t>
            </w:r>
            <w:r>
              <w:rPr>
                <w:rFonts w:ascii="宋体" w:hAnsi="宋体"/>
                <w:sz w:val="24"/>
              </w:rPr>
              <w:t>设施</w:t>
            </w:r>
            <w:r>
              <w:rPr>
                <w:rFonts w:hint="eastAsia" w:ascii="宋体" w:hAnsi="宋体"/>
                <w:sz w:val="24"/>
              </w:rPr>
              <w:t>及</w:t>
            </w:r>
            <w:r>
              <w:rPr>
                <w:rFonts w:ascii="宋体" w:hAnsi="宋体"/>
                <w:sz w:val="24"/>
              </w:rPr>
              <w:t>商业氛围</w:t>
            </w:r>
          </w:p>
        </w:tc>
        <w:tc>
          <w:tcPr>
            <w:tcW w:w="6910" w:type="dxa"/>
            <w:tcBorders>
              <w:bottom w:val="double" w:color="auto" w:sz="4" w:space="0"/>
              <w:right w:val="double" w:color="auto" w:sz="4" w:space="0"/>
            </w:tcBorders>
            <w:vAlign w:val="center"/>
          </w:tcPr>
          <w:p>
            <w:pPr>
              <w:rPr>
                <w:rFonts w:ascii="宋体" w:hAnsi="宋体"/>
                <w:color w:val="000000"/>
                <w:sz w:val="24"/>
              </w:rPr>
            </w:pPr>
            <w:r>
              <w:rPr>
                <w:rFonts w:hint="eastAsia" w:ascii="宋体" w:hAnsi="宋体"/>
                <w:color w:val="000000"/>
                <w:sz w:val="24"/>
              </w:rPr>
              <w:t>估价对象附近有石佛镇政府，石佛镇卫生院，农商银行等生活配套设施，生活较便利；估价对象附近有石佛中心小学、石佛镇中学、石佛乡镇</w:t>
            </w:r>
            <w:r>
              <w:rPr>
                <w:rFonts w:ascii="宋体" w:hAnsi="宋体"/>
                <w:color w:val="000000"/>
                <w:sz w:val="24"/>
              </w:rPr>
              <w:t>中心幼儿园</w:t>
            </w:r>
            <w:r>
              <w:rPr>
                <w:rFonts w:hint="eastAsia" w:ascii="宋体" w:hAnsi="宋体"/>
                <w:color w:val="000000"/>
                <w:sz w:val="24"/>
              </w:rPr>
              <w:t>等学校，教育配套设施较好；</w:t>
            </w:r>
            <w:r>
              <w:rPr>
                <w:rFonts w:ascii="宋体" w:hAnsi="宋体"/>
                <w:color w:val="000000"/>
                <w:sz w:val="24"/>
              </w:rPr>
              <w:t>估价对象周边商服繁华程度</w:t>
            </w:r>
            <w:r>
              <w:rPr>
                <w:rFonts w:hint="eastAsia" w:ascii="宋体" w:hAnsi="宋体"/>
                <w:color w:val="000000"/>
                <w:sz w:val="24"/>
              </w:rPr>
              <w:t>一般</w:t>
            </w:r>
            <w:r>
              <w:rPr>
                <w:rFonts w:ascii="宋体" w:hAnsi="宋体"/>
                <w:color w:val="000000"/>
                <w:sz w:val="24"/>
              </w:rPr>
              <w:t>，人流量</w:t>
            </w:r>
            <w:r>
              <w:rPr>
                <w:rFonts w:hint="eastAsia" w:ascii="宋体" w:hAnsi="宋体"/>
                <w:color w:val="000000"/>
                <w:sz w:val="24"/>
              </w:rPr>
              <w:t>一般</w:t>
            </w:r>
            <w:r>
              <w:rPr>
                <w:rFonts w:ascii="宋体" w:hAnsi="宋体"/>
                <w:color w:val="000000"/>
                <w:sz w:val="24"/>
              </w:rPr>
              <w:t>，</w:t>
            </w:r>
            <w:r>
              <w:rPr>
                <w:rFonts w:hint="eastAsia" w:ascii="宋体" w:hAnsi="宋体"/>
                <w:color w:val="000000"/>
                <w:sz w:val="24"/>
              </w:rPr>
              <w:t>商业</w:t>
            </w:r>
            <w:r>
              <w:rPr>
                <w:rFonts w:ascii="宋体" w:hAnsi="宋体"/>
                <w:color w:val="000000"/>
                <w:sz w:val="24"/>
              </w:rPr>
              <w:t>氛围</w:t>
            </w:r>
            <w:r>
              <w:rPr>
                <w:rFonts w:hint="eastAsia" w:ascii="宋体" w:hAnsi="宋体"/>
                <w:color w:val="000000"/>
                <w:sz w:val="24"/>
              </w:rPr>
              <w:t>一般。</w:t>
            </w:r>
          </w:p>
        </w:tc>
      </w:tr>
    </w:tbl>
    <w:p>
      <w:pPr>
        <w:spacing w:line="560" w:lineRule="exact"/>
        <w:ind w:firstLine="594" w:firstLineChars="200"/>
        <w:rPr>
          <w:rFonts w:ascii="宋体" w:hAnsi="宋体"/>
          <w:b/>
          <w:color w:val="000000"/>
        </w:rPr>
      </w:pPr>
      <w:bookmarkStart w:id="43" w:name="_Toc55921669"/>
      <w:bookmarkStart w:id="44" w:name="_Toc28941833"/>
      <w:bookmarkStart w:id="45" w:name="_Toc16234438"/>
      <w:bookmarkStart w:id="46" w:name="_Toc16234176"/>
      <w:bookmarkStart w:id="47" w:name="_Toc17471958"/>
      <w:bookmarkStart w:id="48" w:name="_Toc27736465"/>
      <w:bookmarkStart w:id="49" w:name="_Toc19087057"/>
      <w:bookmarkStart w:id="50" w:name="_Toc17471989"/>
      <w:bookmarkStart w:id="51" w:name="_Toc24121736"/>
      <w:r>
        <w:rPr>
          <w:rStyle w:val="50"/>
          <w:rFonts w:hint="eastAsia"/>
        </w:rPr>
        <w:t>五、价值时点</w:t>
      </w:r>
      <w:bookmarkEnd w:id="43"/>
      <w:bookmarkEnd w:id="44"/>
      <w:bookmarkEnd w:id="45"/>
      <w:bookmarkEnd w:id="46"/>
      <w:bookmarkEnd w:id="47"/>
      <w:bookmarkEnd w:id="48"/>
      <w:bookmarkEnd w:id="49"/>
      <w:bookmarkEnd w:id="50"/>
      <w:bookmarkEnd w:id="51"/>
      <w:r>
        <w:rPr>
          <w:rFonts w:hint="eastAsia" w:ascii="宋体" w:hAnsi="宋体"/>
          <w:b/>
          <w:color w:val="000000"/>
        </w:rPr>
        <w:t>：</w:t>
      </w:r>
      <w:r>
        <w:rPr>
          <w:rFonts w:hint="eastAsia" w:ascii="宋体" w:hAnsi="宋体"/>
          <w:color w:val="000000"/>
          <w:sz w:val="28"/>
          <w:szCs w:val="28"/>
        </w:rPr>
        <w:t>2022年4月22日（实地查勘之日）</w:t>
      </w:r>
      <w:r>
        <w:rPr>
          <w:rFonts w:hint="eastAsia" w:ascii="宋体" w:hAnsi="宋体"/>
          <w:color w:val="000000"/>
        </w:rPr>
        <w:t>。</w:t>
      </w:r>
    </w:p>
    <w:p>
      <w:pPr>
        <w:spacing w:line="560" w:lineRule="exact"/>
        <w:ind w:firstLine="594" w:firstLineChars="200"/>
        <w:rPr>
          <w:rFonts w:ascii="宋体" w:hAnsi="宋体"/>
          <w:color w:val="000000"/>
          <w:sz w:val="28"/>
        </w:rPr>
      </w:pPr>
      <w:bookmarkStart w:id="52" w:name="_Toc55921670"/>
      <w:bookmarkStart w:id="53" w:name="_Toc28941834"/>
      <w:bookmarkStart w:id="54" w:name="_Toc16234177"/>
      <w:bookmarkStart w:id="55" w:name="_Toc24121737"/>
      <w:bookmarkStart w:id="56" w:name="_Toc27736466"/>
      <w:bookmarkStart w:id="57" w:name="_Toc17471959"/>
      <w:bookmarkStart w:id="58" w:name="_Toc16234439"/>
      <w:bookmarkStart w:id="59" w:name="_Toc19087058"/>
      <w:bookmarkStart w:id="60" w:name="_Toc17471990"/>
      <w:r>
        <w:rPr>
          <w:rStyle w:val="50"/>
          <w:rFonts w:hint="eastAsia"/>
        </w:rPr>
        <w:t>六、价值类型</w:t>
      </w:r>
      <w:bookmarkEnd w:id="52"/>
      <w:bookmarkEnd w:id="53"/>
      <w:bookmarkEnd w:id="54"/>
      <w:bookmarkEnd w:id="55"/>
      <w:bookmarkEnd w:id="56"/>
      <w:bookmarkEnd w:id="57"/>
      <w:bookmarkEnd w:id="58"/>
      <w:bookmarkEnd w:id="59"/>
      <w:bookmarkEnd w:id="60"/>
      <w:r>
        <w:rPr>
          <w:rFonts w:hint="eastAsia" w:ascii="宋体" w:hAnsi="宋体"/>
          <w:color w:val="000000"/>
          <w:sz w:val="28"/>
        </w:rPr>
        <w:t>：</w:t>
      </w:r>
    </w:p>
    <w:p>
      <w:pPr>
        <w:pStyle w:val="8"/>
        <w:adjustRightInd w:val="0"/>
        <w:spacing w:line="560" w:lineRule="exact"/>
        <w:ind w:firstLine="420" w:firstLineChars="150"/>
        <w:rPr>
          <w:rFonts w:ascii="宋体" w:hAnsi="宋体" w:eastAsia="宋体"/>
          <w:color w:val="000000"/>
          <w:szCs w:val="28"/>
        </w:rPr>
      </w:pPr>
      <w:bookmarkStart w:id="61" w:name="_Toc28941835"/>
      <w:bookmarkStart w:id="62" w:name="_Toc16234178"/>
      <w:bookmarkStart w:id="63" w:name="_Toc17471960"/>
      <w:bookmarkStart w:id="64" w:name="_Toc19087059"/>
      <w:bookmarkStart w:id="65" w:name="_Toc55921671"/>
      <w:bookmarkStart w:id="66" w:name="_Toc27736467"/>
      <w:bookmarkStart w:id="67" w:name="_Toc17471991"/>
      <w:bookmarkStart w:id="68" w:name="_Toc16234440"/>
      <w:bookmarkStart w:id="69" w:name="_Toc24121738"/>
      <w:r>
        <w:rPr>
          <w:rFonts w:hint="eastAsia" w:ascii="宋体" w:hAnsi="宋体" w:eastAsia="宋体"/>
          <w:color w:val="000000"/>
          <w:szCs w:val="28"/>
        </w:rPr>
        <w:t>（一）价值类型</w:t>
      </w:r>
    </w:p>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szCs w:val="32"/>
        </w:rPr>
        <w:t>根据估价目的，本次评估所采用的价值类型为市场价值</w:t>
      </w:r>
      <w:r>
        <w:rPr>
          <w:rFonts w:hint="eastAsia" w:ascii="宋体" w:hAnsi="宋体" w:eastAsia="宋体"/>
          <w:color w:val="000000"/>
          <w:szCs w:val="28"/>
        </w:rPr>
        <w:t>。</w:t>
      </w:r>
    </w:p>
    <w:p>
      <w:pPr>
        <w:pStyle w:val="8"/>
        <w:adjustRightInd w:val="0"/>
        <w:spacing w:line="560" w:lineRule="exact"/>
        <w:ind w:firstLine="420" w:firstLineChars="150"/>
        <w:rPr>
          <w:rFonts w:ascii="宋体" w:hAnsi="宋体" w:eastAsia="宋体"/>
          <w:color w:val="000000"/>
          <w:szCs w:val="28"/>
        </w:rPr>
      </w:pPr>
      <w:r>
        <w:rPr>
          <w:rFonts w:hint="eastAsia" w:ascii="宋体" w:hAnsi="宋体" w:eastAsia="宋体"/>
          <w:color w:val="000000"/>
          <w:szCs w:val="28"/>
        </w:rPr>
        <w:t>（二）价值定义</w:t>
      </w:r>
    </w:p>
    <w:p>
      <w:pPr>
        <w:pStyle w:val="10"/>
        <w:spacing w:line="560" w:lineRule="exact"/>
        <w:rPr>
          <w:rFonts w:ascii="宋体" w:hAnsi="宋体" w:eastAsia="宋体"/>
          <w:szCs w:val="32"/>
        </w:rPr>
      </w:pPr>
      <w:r>
        <w:rPr>
          <w:rFonts w:hint="eastAsia" w:ascii="宋体" w:hAnsi="宋体" w:eastAsia="宋体"/>
          <w:szCs w:val="32"/>
        </w:rPr>
        <w:t>所谓的市场价值，即估价对象经过适当营销后，由熟悉情况、谨慎行事且不受强迫的交易双方，以公平交易方式在价值时点自愿进行交易的金额。</w:t>
      </w:r>
    </w:p>
    <w:p>
      <w:pPr>
        <w:pStyle w:val="8"/>
        <w:adjustRightInd w:val="0"/>
        <w:spacing w:line="560" w:lineRule="exact"/>
        <w:ind w:firstLine="420" w:firstLineChars="150"/>
        <w:rPr>
          <w:rFonts w:ascii="宋体" w:hAnsi="宋体" w:eastAsia="宋体"/>
          <w:color w:val="000000"/>
          <w:szCs w:val="28"/>
        </w:rPr>
      </w:pPr>
      <w:r>
        <w:rPr>
          <w:rFonts w:hint="eastAsia" w:ascii="宋体" w:hAnsi="宋体" w:eastAsia="宋体"/>
          <w:color w:val="000000"/>
          <w:szCs w:val="28"/>
        </w:rPr>
        <w:t>（三）价值内涵</w:t>
      </w:r>
    </w:p>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价值内涵是估价对象在价值时点，满足本次估价假设和限制条件下包括建筑物及配套设施；房屋面积内涵是建筑面积；开发程度为已开发完成。</w:t>
      </w:r>
    </w:p>
    <w:p>
      <w:pPr>
        <w:spacing w:line="560" w:lineRule="exact"/>
        <w:ind w:firstLine="594" w:firstLineChars="200"/>
        <w:rPr>
          <w:rFonts w:ascii="宋体" w:hAnsi="宋体"/>
          <w:b/>
          <w:color w:val="000000"/>
          <w:sz w:val="28"/>
        </w:rPr>
      </w:pPr>
      <w:r>
        <w:rPr>
          <w:rStyle w:val="50"/>
          <w:rFonts w:hint="eastAsia"/>
        </w:rPr>
        <w:t>七、估价原则</w:t>
      </w:r>
      <w:bookmarkEnd w:id="61"/>
      <w:bookmarkEnd w:id="62"/>
      <w:bookmarkEnd w:id="63"/>
      <w:bookmarkEnd w:id="64"/>
      <w:bookmarkEnd w:id="65"/>
      <w:bookmarkEnd w:id="66"/>
      <w:bookmarkEnd w:id="67"/>
      <w:bookmarkEnd w:id="68"/>
      <w:bookmarkEnd w:id="69"/>
      <w:r>
        <w:rPr>
          <w:rFonts w:hint="eastAsia" w:ascii="宋体" w:hAnsi="宋体"/>
          <w:b/>
          <w:color w:val="000000"/>
          <w:sz w:val="28"/>
        </w:rPr>
        <w:t>：</w:t>
      </w:r>
    </w:p>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本次估价遵守独立、客观、公正、合法的原则及最高最佳使用原则、价值时点原则、替代原则等技术性原则。</w:t>
      </w:r>
    </w:p>
    <w:p>
      <w:pPr>
        <w:pStyle w:val="8"/>
        <w:adjustRightInd w:val="0"/>
        <w:spacing w:line="560" w:lineRule="exact"/>
        <w:ind w:firstLine="420" w:firstLineChars="150"/>
        <w:rPr>
          <w:rFonts w:ascii="宋体" w:hAnsi="宋体" w:eastAsia="宋体"/>
          <w:szCs w:val="28"/>
        </w:rPr>
      </w:pPr>
      <w:bookmarkStart w:id="70" w:name="_Toc17471961"/>
      <w:bookmarkStart w:id="71" w:name="_Toc28941836"/>
      <w:bookmarkStart w:id="72" w:name="_Toc17471992"/>
      <w:bookmarkStart w:id="73" w:name="_Toc24121739"/>
      <w:bookmarkStart w:id="74" w:name="_Toc27736468"/>
      <w:bookmarkStart w:id="75" w:name="_Toc19087060"/>
      <w:bookmarkStart w:id="76" w:name="_Toc55921672"/>
      <w:bookmarkStart w:id="77" w:name="_Toc16234441"/>
      <w:bookmarkStart w:id="78" w:name="_Toc16234179"/>
      <w:r>
        <w:rPr>
          <w:rFonts w:hint="eastAsia" w:ascii="宋体" w:hAnsi="宋体" w:eastAsia="宋体"/>
          <w:szCs w:val="28"/>
        </w:rPr>
        <w:t>（一）独立、客观、公正原则</w:t>
      </w:r>
    </w:p>
    <w:p>
      <w:pPr>
        <w:pStyle w:val="8"/>
        <w:adjustRightInd w:val="0"/>
        <w:spacing w:line="560" w:lineRule="exact"/>
        <w:ind w:firstLine="560" w:firstLineChars="200"/>
        <w:rPr>
          <w:rFonts w:ascii="宋体" w:hAnsi="宋体" w:eastAsia="宋体"/>
          <w:szCs w:val="28"/>
        </w:rPr>
      </w:pPr>
      <w:r>
        <w:rPr>
          <w:rFonts w:hint="eastAsia" w:ascii="宋体" w:hAnsi="宋体" w:eastAsia="宋体"/>
          <w:szCs w:val="28"/>
        </w:rPr>
        <w:t>要求估价机构</w:t>
      </w:r>
      <w:r>
        <w:rPr>
          <w:rFonts w:ascii="宋体" w:hAnsi="宋体" w:eastAsia="宋体"/>
          <w:szCs w:val="28"/>
        </w:rPr>
        <w:t>及估价人员</w:t>
      </w:r>
      <w:r>
        <w:rPr>
          <w:rFonts w:hint="eastAsia" w:ascii="宋体" w:hAnsi="宋体" w:eastAsia="宋体"/>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pPr>
        <w:pStyle w:val="8"/>
        <w:adjustRightInd w:val="0"/>
        <w:spacing w:line="560" w:lineRule="exact"/>
        <w:ind w:firstLine="420" w:firstLineChars="150"/>
        <w:rPr>
          <w:rFonts w:ascii="宋体" w:hAnsi="宋体" w:eastAsia="宋体"/>
          <w:szCs w:val="28"/>
        </w:rPr>
      </w:pPr>
      <w:r>
        <w:rPr>
          <w:rFonts w:hint="eastAsia" w:ascii="宋体" w:hAnsi="宋体" w:eastAsia="宋体"/>
          <w:szCs w:val="28"/>
        </w:rPr>
        <w:t>（二）合法原则</w:t>
      </w:r>
    </w:p>
    <w:p>
      <w:pPr>
        <w:pStyle w:val="8"/>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要求估价结果是在依法判定的估价对象状况下的价值或价格的原则。遵循合法原则，应以估价对象的合法使用、合法处分为前提估价。包括估</w:t>
      </w:r>
    </w:p>
    <w:p>
      <w:pPr>
        <w:pStyle w:val="8"/>
        <w:adjustRightInd w:val="0"/>
        <w:spacing w:line="560" w:lineRule="exact"/>
        <w:rPr>
          <w:rFonts w:ascii="宋体" w:hAnsi="宋体" w:eastAsia="宋体"/>
          <w:szCs w:val="28"/>
        </w:rPr>
      </w:pPr>
      <w:r>
        <w:rPr>
          <w:rFonts w:hint="eastAsia" w:ascii="宋体" w:hAnsi="宋体" w:eastAsia="宋体"/>
          <w:szCs w:val="28"/>
        </w:rPr>
        <w:t>价对象的土地权属来源、取得方式合法，房屋建筑用途、容积率、建筑密度、绿化率、外观等符合土地利用规划、城市规划的要求。估价报告撰写</w:t>
      </w:r>
    </w:p>
    <w:p>
      <w:pPr>
        <w:pStyle w:val="8"/>
        <w:adjustRightInd w:val="0"/>
        <w:spacing w:line="560" w:lineRule="exact"/>
        <w:rPr>
          <w:rFonts w:ascii="宋体" w:hAnsi="宋体" w:eastAsia="宋体"/>
          <w:szCs w:val="28"/>
        </w:rPr>
      </w:pPr>
      <w:r>
        <w:rPr>
          <w:rFonts w:hint="eastAsia" w:ascii="宋体" w:hAnsi="宋体" w:eastAsia="宋体"/>
          <w:szCs w:val="28"/>
        </w:rPr>
        <w:t>的依据、程序、方法和结果等合法合理。估价报告的目的、出具、使用等</w:t>
      </w:r>
    </w:p>
    <w:p>
      <w:pPr>
        <w:pStyle w:val="8"/>
        <w:adjustRightInd w:val="0"/>
        <w:spacing w:line="560" w:lineRule="exact"/>
        <w:rPr>
          <w:rFonts w:ascii="宋体" w:hAnsi="宋体" w:eastAsia="宋体"/>
          <w:szCs w:val="28"/>
        </w:rPr>
      </w:pPr>
      <w:r>
        <w:rPr>
          <w:rFonts w:hint="eastAsia" w:ascii="宋体" w:hAnsi="宋体" w:eastAsia="宋体"/>
          <w:szCs w:val="28"/>
        </w:rPr>
        <w:t>合法。</w:t>
      </w:r>
    </w:p>
    <w:p>
      <w:pPr>
        <w:pStyle w:val="8"/>
        <w:adjustRightInd w:val="0"/>
        <w:spacing w:line="560" w:lineRule="exact"/>
        <w:ind w:firstLine="420" w:firstLineChars="150"/>
        <w:rPr>
          <w:rFonts w:ascii="宋体" w:hAnsi="宋体" w:eastAsia="宋体"/>
          <w:szCs w:val="28"/>
        </w:rPr>
      </w:pPr>
      <w:r>
        <w:rPr>
          <w:rFonts w:hint="eastAsia" w:ascii="宋体" w:hAnsi="宋体" w:eastAsia="宋体"/>
          <w:szCs w:val="28"/>
        </w:rPr>
        <w:t>（三）价值时点原则</w:t>
      </w:r>
    </w:p>
    <w:p>
      <w:pPr>
        <w:pStyle w:val="8"/>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pPr>
        <w:pStyle w:val="8"/>
        <w:adjustRightInd w:val="0"/>
        <w:spacing w:line="560" w:lineRule="exact"/>
        <w:ind w:firstLine="420" w:firstLineChars="150"/>
        <w:rPr>
          <w:rFonts w:ascii="宋体" w:hAnsi="宋体" w:eastAsia="宋体"/>
          <w:szCs w:val="28"/>
        </w:rPr>
      </w:pPr>
      <w:r>
        <w:rPr>
          <w:rFonts w:hint="eastAsia" w:ascii="宋体" w:hAnsi="宋体" w:eastAsia="宋体"/>
          <w:szCs w:val="28"/>
        </w:rPr>
        <w:t>（四）替代原则</w:t>
      </w:r>
    </w:p>
    <w:p>
      <w:pPr>
        <w:pStyle w:val="8"/>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要求估价结果与估价对象的类似房地产在同等条件下的价值或价格偏差在合理范围内的原则。</w:t>
      </w:r>
      <w:r>
        <w:rPr>
          <w:rFonts w:hint="eastAsia" w:ascii="宋体" w:hAnsi="宋体" w:eastAsia="宋体"/>
          <w:color w:val="000000"/>
          <w:szCs w:val="28"/>
        </w:rPr>
        <w:t>在用途、规模、档次、建筑结构等方面</w:t>
      </w:r>
      <w:r>
        <w:rPr>
          <w:rFonts w:hint="eastAsia" w:ascii="宋体" w:hAnsi="宋体" w:eastAsia="宋体"/>
          <w:szCs w:val="28"/>
        </w:rPr>
        <w:t>具有相同使用价值、有替代可能的房地产之间，会相互影响和竞争，使价格相互牵制而趋向一致。</w:t>
      </w:r>
    </w:p>
    <w:p>
      <w:pPr>
        <w:pStyle w:val="8"/>
        <w:adjustRightInd w:val="0"/>
        <w:spacing w:line="560" w:lineRule="exact"/>
        <w:ind w:firstLine="420" w:firstLineChars="150"/>
        <w:rPr>
          <w:rFonts w:ascii="宋体" w:hAnsi="宋体" w:eastAsia="宋体"/>
          <w:szCs w:val="28"/>
        </w:rPr>
      </w:pPr>
      <w:r>
        <w:rPr>
          <w:rFonts w:hint="eastAsia" w:ascii="宋体" w:hAnsi="宋体" w:eastAsia="宋体"/>
          <w:szCs w:val="28"/>
        </w:rPr>
        <w:t>（五）最高最佳利用原则</w:t>
      </w:r>
    </w:p>
    <w:p>
      <w:pPr>
        <w:pStyle w:val="8"/>
        <w:adjustRightInd w:val="0"/>
        <w:spacing w:line="560" w:lineRule="exact"/>
        <w:ind w:firstLine="560" w:firstLineChars="200"/>
        <w:rPr>
          <w:rFonts w:ascii="宋体" w:hAnsi="宋体" w:eastAsia="宋体"/>
          <w:szCs w:val="28"/>
        </w:rPr>
      </w:pPr>
      <w:r>
        <w:rPr>
          <w:rFonts w:hint="eastAsia" w:ascii="宋体" w:hAnsi="宋体" w:eastAsia="宋体"/>
          <w:szCs w:val="28"/>
        </w:rPr>
        <w:t>要求估价结果在估价对象最高最佳利用状况下的价值或价格的原则。最高最佳利用是指房地产在法律上允许、技术上可 能、财务上可行并使价值最大的合理、可能的利用，包括最佳的用途、规模、档次等。</w:t>
      </w:r>
    </w:p>
    <w:p>
      <w:pPr>
        <w:pStyle w:val="8"/>
        <w:spacing w:line="560" w:lineRule="exact"/>
        <w:ind w:firstLine="594" w:firstLineChars="200"/>
        <w:rPr>
          <w:rFonts w:ascii="宋体" w:hAnsi="宋体" w:eastAsia="宋体"/>
          <w:b/>
          <w:color w:val="000000"/>
        </w:rPr>
      </w:pPr>
      <w:r>
        <w:rPr>
          <w:rStyle w:val="50"/>
          <w:rFonts w:hint="eastAsia"/>
        </w:rPr>
        <w:t>八、估价依据</w:t>
      </w:r>
      <w:bookmarkEnd w:id="70"/>
      <w:bookmarkEnd w:id="71"/>
      <w:bookmarkEnd w:id="72"/>
      <w:bookmarkEnd w:id="73"/>
      <w:bookmarkEnd w:id="74"/>
      <w:bookmarkEnd w:id="75"/>
      <w:bookmarkEnd w:id="76"/>
      <w:bookmarkEnd w:id="77"/>
      <w:bookmarkEnd w:id="78"/>
      <w:r>
        <w:rPr>
          <w:rFonts w:hint="eastAsia" w:ascii="宋体" w:hAnsi="宋体" w:eastAsia="宋体"/>
          <w:b/>
          <w:color w:val="000000"/>
        </w:rPr>
        <w:t>：</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（一）本次估价所依据的有关法律、法规和部门规章</w:t>
      </w:r>
    </w:p>
    <w:p>
      <w:pPr>
        <w:pStyle w:val="8"/>
        <w:spacing w:line="560" w:lineRule="exact"/>
        <w:ind w:firstLine="560" w:firstLineChars="200"/>
        <w:rPr>
          <w:rFonts w:ascii="宋体" w:hAnsi="宋体" w:eastAsia="宋体"/>
          <w:szCs w:val="28"/>
        </w:rPr>
      </w:pPr>
      <w:r>
        <w:rPr>
          <w:rFonts w:hint="eastAsia" w:ascii="宋体" w:hAnsi="宋体" w:eastAsia="宋体"/>
          <w:szCs w:val="28"/>
        </w:rPr>
        <w:t>1、《中华人民共和国城市房地产管理法》（2019年中华人民共和国主席令第</w:t>
      </w:r>
      <w:r>
        <w:rPr>
          <w:rFonts w:ascii="宋体" w:hAnsi="宋体" w:eastAsia="宋体"/>
          <w:szCs w:val="28"/>
        </w:rPr>
        <w:t>32</w:t>
      </w:r>
      <w:r>
        <w:rPr>
          <w:rFonts w:hint="eastAsia" w:ascii="宋体" w:hAnsi="宋体" w:eastAsia="宋体"/>
          <w:szCs w:val="28"/>
        </w:rPr>
        <w:t>号自202</w:t>
      </w:r>
      <w:r>
        <w:rPr>
          <w:rFonts w:ascii="宋体" w:hAnsi="宋体" w:eastAsia="宋体"/>
          <w:szCs w:val="28"/>
        </w:rPr>
        <w:t>0</w:t>
      </w:r>
      <w:r>
        <w:rPr>
          <w:rFonts w:hint="eastAsia" w:ascii="宋体" w:hAnsi="宋体" w:eastAsia="宋体"/>
          <w:szCs w:val="28"/>
        </w:rPr>
        <w:t>年1月1日起施行）；</w:t>
      </w:r>
    </w:p>
    <w:p>
      <w:pPr>
        <w:pStyle w:val="8"/>
        <w:spacing w:line="560" w:lineRule="exact"/>
        <w:ind w:firstLine="560" w:firstLineChars="200"/>
        <w:rPr>
          <w:rFonts w:ascii="宋体" w:hAnsi="宋体" w:eastAsia="宋体"/>
          <w:szCs w:val="28"/>
        </w:rPr>
      </w:pPr>
      <w:r>
        <w:rPr>
          <w:rFonts w:hint="eastAsia" w:ascii="宋体" w:hAnsi="宋体" w:eastAsia="宋体"/>
          <w:szCs w:val="28"/>
        </w:rPr>
        <w:t>2、《中华人民共和国土地管理法》（2019年中华人民共和国主席令第</w:t>
      </w:r>
      <w:r>
        <w:rPr>
          <w:rFonts w:ascii="宋体" w:hAnsi="宋体" w:eastAsia="宋体"/>
          <w:szCs w:val="28"/>
        </w:rPr>
        <w:t>32</w:t>
      </w:r>
      <w:r>
        <w:rPr>
          <w:rFonts w:hint="eastAsia" w:ascii="宋体" w:hAnsi="宋体" w:eastAsia="宋体"/>
          <w:szCs w:val="28"/>
        </w:rPr>
        <w:t>号自202</w:t>
      </w:r>
      <w:r>
        <w:rPr>
          <w:rFonts w:ascii="宋体" w:hAnsi="宋体" w:eastAsia="宋体"/>
          <w:szCs w:val="28"/>
        </w:rPr>
        <w:t>0</w:t>
      </w:r>
      <w:r>
        <w:rPr>
          <w:rFonts w:hint="eastAsia" w:ascii="宋体" w:hAnsi="宋体" w:eastAsia="宋体"/>
          <w:szCs w:val="28"/>
        </w:rPr>
        <w:t>年1月1日起施行）；</w:t>
      </w:r>
    </w:p>
    <w:p>
      <w:pPr>
        <w:pStyle w:val="8"/>
        <w:spacing w:line="560" w:lineRule="exact"/>
        <w:ind w:firstLine="560" w:firstLineChars="200"/>
        <w:rPr>
          <w:rFonts w:ascii="宋体" w:hAnsi="宋体" w:eastAsia="宋体"/>
          <w:szCs w:val="28"/>
        </w:rPr>
      </w:pPr>
      <w:r>
        <w:rPr>
          <w:rFonts w:hint="eastAsia" w:ascii="宋体" w:hAnsi="宋体" w:eastAsia="宋体"/>
          <w:szCs w:val="28"/>
        </w:rPr>
        <w:t>3、《中华人民共和国民法典》（2020年中华人民共和国主席令第45号自2021年1月1日起施行）；</w:t>
      </w:r>
    </w:p>
    <w:p>
      <w:pPr>
        <w:pStyle w:val="8"/>
        <w:spacing w:line="560" w:lineRule="exact"/>
        <w:ind w:firstLine="560" w:firstLineChars="200"/>
        <w:rPr>
          <w:rFonts w:ascii="宋体" w:hAnsi="宋体" w:eastAsia="宋体"/>
          <w:szCs w:val="28"/>
        </w:rPr>
      </w:pPr>
      <w:r>
        <w:rPr>
          <w:rFonts w:ascii="宋体" w:hAnsi="宋体" w:eastAsia="宋体"/>
          <w:szCs w:val="28"/>
        </w:rPr>
        <w:t>4</w:t>
      </w:r>
      <w:r>
        <w:rPr>
          <w:rFonts w:hint="eastAsia" w:ascii="宋体" w:hAnsi="宋体" w:eastAsia="宋体"/>
          <w:szCs w:val="28"/>
        </w:rPr>
        <w:t>、《中华人民共和国资产评估法》（20</w:t>
      </w:r>
      <w:r>
        <w:rPr>
          <w:rFonts w:ascii="宋体" w:hAnsi="宋体" w:eastAsia="宋体"/>
          <w:szCs w:val="28"/>
        </w:rPr>
        <w:t>16</w:t>
      </w:r>
      <w:r>
        <w:rPr>
          <w:rFonts w:hint="eastAsia" w:ascii="宋体" w:hAnsi="宋体" w:eastAsia="宋体"/>
          <w:szCs w:val="28"/>
        </w:rPr>
        <w:t>年建设部令第</w:t>
      </w:r>
      <w:r>
        <w:rPr>
          <w:rFonts w:ascii="宋体" w:hAnsi="宋体" w:eastAsia="宋体"/>
          <w:szCs w:val="28"/>
        </w:rPr>
        <w:t>46</w:t>
      </w:r>
      <w:r>
        <w:rPr>
          <w:rFonts w:hint="eastAsia" w:ascii="宋体" w:hAnsi="宋体" w:eastAsia="宋体"/>
          <w:szCs w:val="28"/>
        </w:rPr>
        <w:t>号</w:t>
      </w:r>
      <w:r>
        <w:rPr>
          <w:rFonts w:ascii="宋体" w:hAnsi="宋体" w:eastAsia="宋体"/>
          <w:szCs w:val="28"/>
        </w:rPr>
        <w:t>自2016年12月1日起施行</w:t>
      </w:r>
      <w:r>
        <w:rPr>
          <w:rFonts w:hint="eastAsia" w:ascii="宋体" w:hAnsi="宋体" w:eastAsia="宋体"/>
          <w:szCs w:val="28"/>
        </w:rPr>
        <w:t>）；</w:t>
      </w:r>
    </w:p>
    <w:p>
      <w:pPr>
        <w:pStyle w:val="8"/>
        <w:spacing w:line="560" w:lineRule="exact"/>
        <w:ind w:firstLine="560" w:firstLineChars="200"/>
        <w:rPr>
          <w:rFonts w:ascii="宋体" w:hAnsi="宋体" w:eastAsia="宋体"/>
          <w:szCs w:val="28"/>
        </w:rPr>
      </w:pPr>
      <w:r>
        <w:rPr>
          <w:rFonts w:ascii="宋体" w:hAnsi="宋体" w:eastAsia="宋体"/>
          <w:szCs w:val="28"/>
        </w:rPr>
        <w:t>5</w:t>
      </w:r>
      <w:r>
        <w:rPr>
          <w:rFonts w:hint="eastAsia" w:ascii="宋体" w:hAnsi="宋体" w:eastAsia="宋体"/>
          <w:szCs w:val="28"/>
        </w:rPr>
        <w:t>、《最高人民法院关于人民法院确定财产处置参考价若干问题的规定》（法释〔2018〕15号）。</w:t>
      </w:r>
    </w:p>
    <w:p>
      <w:pPr>
        <w:pStyle w:val="8"/>
        <w:spacing w:line="560" w:lineRule="exact"/>
        <w:ind w:firstLine="420" w:firstLineChars="150"/>
        <w:rPr>
          <w:rFonts w:ascii="宋体" w:hAnsi="宋体" w:eastAsia="宋体"/>
          <w:szCs w:val="28"/>
        </w:rPr>
      </w:pPr>
      <w:r>
        <w:rPr>
          <w:rFonts w:hint="eastAsia" w:ascii="宋体" w:hAnsi="宋体" w:eastAsia="宋体"/>
          <w:szCs w:val="28"/>
        </w:rPr>
        <w:t>（二）本次估价采用的技术规程</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1、中华人民共和国国家标准GB/T50291-2015《房地产估价规范》；</w:t>
      </w:r>
    </w:p>
    <w:p>
      <w:pPr>
        <w:spacing w:line="56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、中华人民共和国国家标准GB/T50899-2013《房地产估价基本术语标准》；</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、中国</w:t>
      </w:r>
      <w:r>
        <w:rPr>
          <w:rFonts w:ascii="宋体" w:hAnsi="宋体"/>
          <w:color w:val="000000"/>
          <w:sz w:val="28"/>
          <w:szCs w:val="28"/>
        </w:rPr>
        <w:t>房地产估价师与房地产经纪人学会关于</w:t>
      </w:r>
      <w:r>
        <w:rPr>
          <w:rFonts w:hint="eastAsia" w:ascii="宋体" w:hAnsi="宋体"/>
          <w:color w:val="000000"/>
          <w:sz w:val="28"/>
          <w:szCs w:val="28"/>
        </w:rPr>
        <w:t>《涉执房地产处置司法评估指导意见（试行）》的通知（中房学〔2021〕37号）。</w:t>
      </w:r>
    </w:p>
    <w:p>
      <w:pPr>
        <w:spacing w:line="560" w:lineRule="exact"/>
        <w:ind w:firstLine="420" w:firstLineChars="150"/>
        <w:rPr>
          <w:rFonts w:ascii="宋体" w:hAnsi="宋体"/>
          <w:color w:val="000000"/>
          <w:sz w:val="28"/>
          <w:szCs w:val="28"/>
        </w:rPr>
      </w:pPr>
      <w:r>
        <w:rPr>
          <w:rFonts w:hint="eastAsia" w:ascii="宋体" w:hAnsi="宋体"/>
          <w:color w:val="000000"/>
          <w:sz w:val="28"/>
          <w:szCs w:val="28"/>
        </w:rPr>
        <w:t>（三）估价委托人及当事人提供的有关资料</w:t>
      </w:r>
    </w:p>
    <w:p>
      <w:pPr>
        <w:spacing w:line="560" w:lineRule="exact"/>
        <w:ind w:firstLine="560" w:firstLineChars="200"/>
        <w:rPr>
          <w:rFonts w:ascii="宋体" w:hAnsi="宋体"/>
          <w:color w:val="000000"/>
          <w:sz w:val="28"/>
        </w:rPr>
      </w:pPr>
      <w:r>
        <w:rPr>
          <w:rFonts w:hint="eastAsia" w:ascii="宋体" w:hAnsi="宋体"/>
          <w:color w:val="000000"/>
          <w:sz w:val="28"/>
        </w:rPr>
        <w:t>1、阳谷县人民法院委托书复印件；</w:t>
      </w:r>
    </w:p>
    <w:p>
      <w:pPr>
        <w:spacing w:line="560" w:lineRule="exact"/>
        <w:ind w:firstLine="560" w:firstLineChars="200"/>
        <w:rPr>
          <w:rFonts w:ascii="宋体" w:hAnsi="宋体"/>
          <w:color w:val="000000"/>
          <w:sz w:val="28"/>
        </w:rPr>
      </w:pPr>
      <w:r>
        <w:rPr>
          <w:rFonts w:hint="eastAsia" w:ascii="宋体" w:hAnsi="宋体"/>
          <w:color w:val="000000"/>
          <w:sz w:val="28"/>
        </w:rPr>
        <w:t>2、</w:t>
      </w:r>
      <w:r>
        <w:rPr>
          <w:rFonts w:hint="eastAsia" w:ascii="宋体" w:hAnsi="宋体" w:cs="宋体"/>
          <w:color w:val="000000"/>
          <w:sz w:val="28"/>
          <w:lang w:val="zh-CN"/>
        </w:rPr>
        <w:t>房屋所有权证、国有土地使用证复印件</w:t>
      </w:r>
      <w:r>
        <w:rPr>
          <w:rFonts w:hint="eastAsia" w:ascii="宋体" w:hAnsi="宋体"/>
          <w:color w:val="000000"/>
          <w:sz w:val="28"/>
        </w:rPr>
        <w:t>。</w:t>
      </w:r>
    </w:p>
    <w:p>
      <w:pPr>
        <w:spacing w:line="560" w:lineRule="exact"/>
        <w:rPr>
          <w:rFonts w:ascii="宋体" w:hAnsi="宋体"/>
          <w:color w:val="000000"/>
          <w:sz w:val="28"/>
          <w:szCs w:val="28"/>
        </w:rPr>
      </w:pPr>
      <w:r>
        <w:rPr>
          <w:rFonts w:hint="eastAsia" w:ascii="宋体" w:hAnsi="宋体"/>
          <w:color w:val="000000"/>
          <w:sz w:val="28"/>
          <w:szCs w:val="28"/>
        </w:rPr>
        <w:t xml:space="preserve">   （四）估价机构和房地产估价师所搜集掌握的有关资料。</w:t>
      </w:r>
    </w:p>
    <w:p>
      <w:pPr>
        <w:spacing w:line="560" w:lineRule="exact"/>
        <w:ind w:left="561" w:leftChars="267"/>
        <w:rPr>
          <w:rFonts w:ascii="宋体" w:hAnsi="宋体"/>
          <w:color w:val="000000"/>
          <w:sz w:val="28"/>
          <w:szCs w:val="28"/>
        </w:rPr>
      </w:pPr>
      <w:r>
        <w:rPr>
          <w:rFonts w:hint="eastAsia" w:ascii="宋体" w:hAnsi="宋体"/>
          <w:color w:val="000000"/>
          <w:sz w:val="28"/>
          <w:szCs w:val="28"/>
        </w:rPr>
        <w:t>1、估价对象的区位、权属、实物状况及其配套设施；</w:t>
      </w:r>
    </w:p>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2、估价人员搜集</w:t>
      </w:r>
      <w:r>
        <w:rPr>
          <w:rFonts w:ascii="宋体" w:hAnsi="宋体" w:eastAsia="宋体"/>
          <w:color w:val="000000"/>
          <w:szCs w:val="28"/>
        </w:rPr>
        <w:t>和调查阳谷县房地产市场资料</w:t>
      </w:r>
      <w:r>
        <w:rPr>
          <w:rFonts w:hint="eastAsia" w:ascii="宋体" w:hAnsi="宋体" w:eastAsia="宋体"/>
          <w:color w:val="000000"/>
          <w:szCs w:val="28"/>
        </w:rPr>
        <w:t>；</w:t>
      </w:r>
    </w:p>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3、估价对象的实地查勘的资料（图片）及估价机构长期积累的估价资料。</w:t>
      </w:r>
    </w:p>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szCs w:val="28"/>
        </w:rPr>
        <w:t>4、估价对象</w:t>
      </w:r>
      <w:r>
        <w:rPr>
          <w:rFonts w:ascii="宋体" w:hAnsi="宋体" w:eastAsia="宋体"/>
          <w:color w:val="000000"/>
          <w:szCs w:val="28"/>
        </w:rPr>
        <w:t>所在区域建安造价定额标准。</w:t>
      </w:r>
    </w:p>
    <w:p>
      <w:pPr>
        <w:pStyle w:val="8"/>
        <w:spacing w:line="560" w:lineRule="exact"/>
        <w:ind w:firstLine="594" w:firstLineChars="200"/>
        <w:rPr>
          <w:rFonts w:ascii="宋体" w:hAnsi="宋体" w:eastAsia="宋体"/>
          <w:b/>
          <w:color w:val="000000"/>
        </w:rPr>
      </w:pPr>
      <w:bookmarkStart w:id="79" w:name="_Toc19087061"/>
      <w:bookmarkStart w:id="80" w:name="_Toc17471962"/>
      <w:bookmarkStart w:id="81" w:name="_Toc16234442"/>
      <w:bookmarkStart w:id="82" w:name="_Toc24121740"/>
      <w:bookmarkStart w:id="83" w:name="_Toc16234180"/>
      <w:bookmarkStart w:id="84" w:name="_Toc55921673"/>
      <w:bookmarkStart w:id="85" w:name="_Toc17471993"/>
      <w:bookmarkStart w:id="86" w:name="_Toc28941837"/>
      <w:bookmarkStart w:id="87" w:name="_Toc27736469"/>
      <w:r>
        <w:rPr>
          <w:rStyle w:val="50"/>
          <w:rFonts w:hint="eastAsia"/>
        </w:rPr>
        <w:t>九、估价方法</w:t>
      </w:r>
      <w:bookmarkEnd w:id="79"/>
      <w:bookmarkEnd w:id="80"/>
      <w:bookmarkEnd w:id="81"/>
      <w:bookmarkEnd w:id="82"/>
      <w:bookmarkEnd w:id="83"/>
      <w:bookmarkEnd w:id="84"/>
      <w:bookmarkEnd w:id="85"/>
      <w:bookmarkEnd w:id="86"/>
      <w:bookmarkEnd w:id="87"/>
      <w:r>
        <w:rPr>
          <w:rFonts w:hint="eastAsia" w:ascii="宋体" w:hAnsi="宋体" w:eastAsia="宋体"/>
          <w:b/>
          <w:color w:val="000000"/>
        </w:rPr>
        <w:t>：</w:t>
      </w:r>
    </w:p>
    <w:p>
      <w:pPr>
        <w:spacing w:line="560" w:lineRule="exact"/>
        <w:ind w:firstLine="422" w:firstLineChars="150"/>
        <w:rPr>
          <w:rFonts w:ascii="宋体" w:hAnsi="宋体" w:cs="宋体"/>
          <w:b/>
          <w:color w:val="000000"/>
          <w:sz w:val="28"/>
        </w:rPr>
      </w:pPr>
      <w:r>
        <w:rPr>
          <w:rFonts w:hint="eastAsia" w:ascii="宋体" w:hAnsi="宋体" w:cs="宋体"/>
          <w:b/>
          <w:color w:val="000000"/>
          <w:sz w:val="28"/>
        </w:rPr>
        <w:t>（一）估价方法</w:t>
      </w:r>
      <w:r>
        <w:rPr>
          <w:rFonts w:ascii="宋体" w:hAnsi="宋体" w:cs="宋体"/>
          <w:b/>
          <w:color w:val="000000"/>
          <w:sz w:val="28"/>
        </w:rPr>
        <w:t>选择</w:t>
      </w:r>
      <w:r>
        <w:rPr>
          <w:rFonts w:hint="eastAsia" w:ascii="宋体" w:hAnsi="宋体" w:cs="宋体"/>
          <w:b/>
          <w:color w:val="000000"/>
          <w:sz w:val="28"/>
        </w:rPr>
        <w:t>及</w:t>
      </w:r>
      <w:r>
        <w:rPr>
          <w:rFonts w:ascii="宋体" w:hAnsi="宋体" w:cs="宋体"/>
          <w:b/>
          <w:color w:val="000000"/>
          <w:sz w:val="28"/>
        </w:rPr>
        <w:t>理由</w:t>
      </w:r>
    </w:p>
    <w:p>
      <w:pPr>
        <w:spacing w:line="560" w:lineRule="exact"/>
        <w:ind w:firstLine="560" w:firstLineChars="200"/>
        <w:rPr>
          <w:rFonts w:ascii="宋体" w:hAnsi="宋体" w:cs="宋体"/>
          <w:color w:val="000000"/>
          <w:sz w:val="28"/>
        </w:rPr>
      </w:pPr>
      <w:r>
        <w:rPr>
          <w:rFonts w:hint="eastAsia" w:ascii="宋体" w:hAnsi="宋体" w:cs="宋体"/>
          <w:color w:val="000000"/>
          <w:sz w:val="28"/>
        </w:rPr>
        <w:t>根据《房地产估价规范》房地产估价常用方法有比较法、收益法、成本法、假设开发法等，估价过程中应根据估价对象的实际情况选择适合的评估方法。</w:t>
      </w:r>
    </w:p>
    <w:p>
      <w:pPr>
        <w:spacing w:line="560" w:lineRule="exact"/>
        <w:ind w:firstLine="560" w:firstLineChars="200"/>
        <w:rPr>
          <w:rFonts w:ascii="宋体" w:hAnsi="宋体" w:cs="宋体"/>
          <w:color w:val="000000"/>
          <w:sz w:val="28"/>
        </w:rPr>
      </w:pPr>
      <w:r>
        <w:rPr>
          <w:rFonts w:hint="eastAsia" w:ascii="宋体" w:hAnsi="宋体" w:cs="宋体"/>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铺等。估价对象用途为商住用房，在估价对象坐落于同一供求范围内，无与其相似的房产交易实例，且可比性差，根据替代原则不适宜使用比较法进行评估。</w:t>
      </w:r>
    </w:p>
    <w:p>
      <w:pPr>
        <w:spacing w:line="560" w:lineRule="exact"/>
        <w:ind w:firstLine="560" w:firstLineChars="200"/>
        <w:rPr>
          <w:rFonts w:ascii="宋体" w:hAnsi="宋体" w:cs="宋体"/>
          <w:color w:val="000000"/>
          <w:sz w:val="28"/>
        </w:rPr>
      </w:pPr>
      <w:r>
        <w:rPr>
          <w:rFonts w:hint="eastAsia" w:ascii="宋体" w:hAnsi="宋体" w:cs="宋体"/>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商铺</w:t>
      </w:r>
      <w:r>
        <w:rPr>
          <w:rFonts w:ascii="宋体" w:hAnsi="宋体" w:cs="宋体"/>
          <w:color w:val="000000"/>
          <w:sz w:val="28"/>
        </w:rPr>
        <w:t>、</w:t>
      </w:r>
      <w:r>
        <w:rPr>
          <w:rFonts w:hint="eastAsia" w:ascii="宋体" w:hAnsi="宋体" w:cs="宋体"/>
          <w:color w:val="000000"/>
          <w:sz w:val="28"/>
        </w:rPr>
        <w:t>标准厂房仓库（用于出租的）等。估价对象用途为商住用房，估价对象坐落于同一供求范围内，无与其相似的房产出租交易实例，且可比性差，收益难以量化，故不适宜使用收益法进行评估。</w:t>
      </w:r>
    </w:p>
    <w:p>
      <w:pPr>
        <w:spacing w:line="560" w:lineRule="exact"/>
        <w:ind w:firstLine="560" w:firstLineChars="200"/>
        <w:rPr>
          <w:rFonts w:ascii="宋体" w:hAnsi="宋体" w:cs="宋体"/>
          <w:color w:val="000000"/>
          <w:sz w:val="28"/>
        </w:rPr>
      </w:pPr>
      <w:r>
        <w:rPr>
          <w:rFonts w:hint="eastAsia" w:ascii="宋体" w:hAnsi="宋体" w:cs="宋体"/>
          <w:color w:val="000000"/>
          <w:sz w:val="28"/>
        </w:rPr>
        <w:t>成本法是根据估价对象的重置成本或重建成本来求取估价对象价值的方法。具体地说，成本法是求取估价对象在价值时点的重置价格</w:t>
      </w:r>
      <w:r>
        <w:rPr>
          <w:rFonts w:ascii="宋体" w:hAnsi="宋体" w:cs="宋体"/>
          <w:color w:val="000000"/>
          <w:sz w:val="28"/>
        </w:rPr>
        <w:t>或</w:t>
      </w:r>
      <w:r>
        <w:rPr>
          <w:rFonts w:hint="eastAsia" w:ascii="宋体" w:hAnsi="宋体" w:cs="宋体"/>
          <w:color w:val="000000"/>
          <w:sz w:val="28"/>
        </w:rPr>
        <w:t>重新购建价格和折旧，然后将重置价格</w:t>
      </w:r>
      <w:r>
        <w:rPr>
          <w:rFonts w:ascii="宋体" w:hAnsi="宋体" w:cs="宋体"/>
          <w:color w:val="000000"/>
          <w:sz w:val="28"/>
        </w:rPr>
        <w:t>或</w:t>
      </w:r>
      <w:r>
        <w:rPr>
          <w:rFonts w:hint="eastAsia" w:ascii="宋体" w:hAnsi="宋体" w:cs="宋体"/>
          <w:color w:val="000000"/>
          <w:sz w:val="28"/>
        </w:rPr>
        <w:t>重新购建价格减去折旧来求取估价对象价值的方法。该方法</w:t>
      </w:r>
      <w:r>
        <w:rPr>
          <w:rFonts w:ascii="宋体" w:hAnsi="宋体" w:cs="宋体"/>
          <w:color w:val="000000"/>
          <w:sz w:val="28"/>
        </w:rPr>
        <w:t>适用于</w:t>
      </w:r>
      <w:r>
        <w:rPr>
          <w:rFonts w:hint="eastAsia" w:ascii="宋体" w:hAnsi="宋体" w:cs="宋体"/>
          <w:color w:val="000000"/>
          <w:sz w:val="28"/>
        </w:rPr>
        <w:t>同类房地产没有交易或交易很少，且估价对象或其同类房地产难以量化租金等经济收入的</w:t>
      </w:r>
      <w:r>
        <w:rPr>
          <w:rFonts w:ascii="宋体" w:hAnsi="宋体" w:cs="宋体"/>
          <w:color w:val="000000"/>
          <w:sz w:val="28"/>
        </w:rPr>
        <w:t>情形。</w:t>
      </w:r>
      <w:r>
        <w:rPr>
          <w:rFonts w:hint="eastAsia" w:ascii="宋体" w:hAnsi="宋体" w:cs="宋体"/>
          <w:color w:val="000000"/>
          <w:sz w:val="28"/>
        </w:rPr>
        <w:t>估价对象为同类房地产没有交易或交易很少，且估价对象或其同类房地产难以量化租金等经济收入的商业</w:t>
      </w:r>
      <w:r>
        <w:rPr>
          <w:rFonts w:ascii="宋体" w:hAnsi="宋体" w:cs="宋体"/>
          <w:color w:val="000000"/>
          <w:sz w:val="28"/>
        </w:rPr>
        <w:t>房产</w:t>
      </w:r>
      <w:r>
        <w:rPr>
          <w:rFonts w:hint="eastAsia" w:ascii="宋体" w:hAnsi="宋体" w:cs="宋体"/>
          <w:color w:val="000000"/>
          <w:sz w:val="28"/>
        </w:rPr>
        <w:t>（不含土地使用权），可采用成本法进行评估。</w:t>
      </w:r>
    </w:p>
    <w:p>
      <w:pPr>
        <w:spacing w:line="560" w:lineRule="exact"/>
        <w:ind w:firstLine="560" w:firstLineChars="200"/>
        <w:rPr>
          <w:rFonts w:ascii="宋体" w:hAnsi="宋体" w:cs="宋体"/>
          <w:color w:val="000000"/>
          <w:sz w:val="28"/>
        </w:rPr>
      </w:pPr>
      <w:r>
        <w:rPr>
          <w:rFonts w:hint="eastAsia" w:ascii="宋体" w:hAnsi="宋体" w:cs="宋体"/>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已建成利用房地产，根据预期原理不适宜使用假设开发法进行评估。</w:t>
      </w:r>
    </w:p>
    <w:p>
      <w:pPr>
        <w:spacing w:line="560" w:lineRule="exact"/>
        <w:ind w:firstLine="422" w:firstLineChars="150"/>
        <w:rPr>
          <w:rFonts w:ascii="宋体" w:hAnsi="宋体" w:cs="宋体"/>
          <w:b/>
          <w:color w:val="000000"/>
          <w:sz w:val="28"/>
        </w:rPr>
      </w:pPr>
      <w:bookmarkStart w:id="88" w:name="_Toc28941838"/>
      <w:bookmarkStart w:id="89" w:name="_Toc16234443"/>
      <w:bookmarkStart w:id="90" w:name="_Toc17471994"/>
      <w:bookmarkStart w:id="91" w:name="_Toc17471963"/>
      <w:bookmarkStart w:id="92" w:name="_Toc24121741"/>
      <w:bookmarkStart w:id="93" w:name="_Toc16234181"/>
      <w:bookmarkStart w:id="94" w:name="_Toc19087062"/>
      <w:bookmarkStart w:id="95" w:name="_Toc55921674"/>
      <w:bookmarkStart w:id="96" w:name="_Toc27736470"/>
      <w:r>
        <w:rPr>
          <w:rFonts w:hint="eastAsia" w:ascii="宋体" w:hAnsi="宋体" w:cs="宋体"/>
          <w:b/>
          <w:color w:val="000000"/>
          <w:sz w:val="28"/>
        </w:rPr>
        <w:t>（二）估价技术思路</w:t>
      </w:r>
    </w:p>
    <w:p>
      <w:pPr>
        <w:spacing w:line="560" w:lineRule="exact"/>
        <w:ind w:firstLine="560" w:firstLineChars="200"/>
        <w:rPr>
          <w:rFonts w:ascii="宋体" w:hAnsi="宋体" w:cs="宋体"/>
          <w:color w:val="000000"/>
          <w:sz w:val="28"/>
        </w:rPr>
      </w:pPr>
      <w:r>
        <w:rPr>
          <w:rFonts w:hint="eastAsia" w:ascii="宋体" w:hAnsi="宋体" w:cs="宋体"/>
          <w:color w:val="000000"/>
          <w:sz w:val="28"/>
        </w:rPr>
        <w:t>综上所述，估价人员</w:t>
      </w:r>
      <w:r>
        <w:rPr>
          <w:rFonts w:ascii="宋体" w:hAnsi="宋体" w:cs="宋体"/>
          <w:color w:val="000000"/>
          <w:sz w:val="28"/>
        </w:rPr>
        <w:t>在认真分析所掌握的资料，对估价对象进行实地查勘</w:t>
      </w:r>
      <w:r>
        <w:rPr>
          <w:rFonts w:hint="eastAsia" w:ascii="宋体" w:hAnsi="宋体" w:cs="宋体"/>
          <w:color w:val="000000"/>
          <w:sz w:val="28"/>
        </w:rPr>
        <w:t>及</w:t>
      </w:r>
      <w:r>
        <w:rPr>
          <w:rFonts w:ascii="宋体" w:hAnsi="宋体" w:cs="宋体"/>
          <w:color w:val="000000"/>
          <w:sz w:val="28"/>
        </w:rPr>
        <w:t>对周边房地产市场进行调查后，根据《</w:t>
      </w:r>
      <w:r>
        <w:rPr>
          <w:rFonts w:hint="eastAsia" w:ascii="宋体" w:hAnsi="宋体" w:cs="宋体"/>
          <w:color w:val="000000"/>
          <w:sz w:val="28"/>
        </w:rPr>
        <w:t>房地产估价规范</w:t>
      </w:r>
      <w:r>
        <w:rPr>
          <w:rFonts w:ascii="宋体" w:hAnsi="宋体" w:cs="宋体"/>
          <w:color w:val="000000"/>
          <w:sz w:val="28"/>
        </w:rPr>
        <w:t>》</w:t>
      </w:r>
      <w:r>
        <w:rPr>
          <w:rFonts w:hint="eastAsia" w:ascii="宋体" w:hAnsi="宋体" w:cs="宋体"/>
          <w:color w:val="000000"/>
          <w:sz w:val="28"/>
        </w:rPr>
        <w:t>及</w:t>
      </w:r>
      <w:r>
        <w:rPr>
          <w:rFonts w:ascii="宋体" w:hAnsi="宋体" w:cs="宋体"/>
          <w:color w:val="000000"/>
          <w:sz w:val="28"/>
        </w:rPr>
        <w:t>遵循国家相关法律、法规、估价技术标准，</w:t>
      </w:r>
      <w:r>
        <w:rPr>
          <w:rFonts w:hint="eastAsia" w:ascii="宋体" w:hAnsi="宋体" w:cs="宋体"/>
          <w:color w:val="000000"/>
          <w:sz w:val="28"/>
        </w:rPr>
        <w:t>本次房地产选用成本法进行评估。</w:t>
      </w:r>
    </w:p>
    <w:p>
      <w:pPr>
        <w:pStyle w:val="10"/>
        <w:spacing w:line="520" w:lineRule="exact"/>
        <w:rPr>
          <w:rFonts w:ascii="宋体" w:hAnsi="宋体" w:eastAsia="宋体"/>
        </w:rPr>
      </w:pPr>
      <w:r>
        <w:rPr>
          <w:rFonts w:hint="eastAsia" w:ascii="宋体" w:hAnsi="宋体" w:eastAsia="宋体"/>
        </w:rPr>
        <w:t>1、建筑物评估价值测算</w:t>
      </w:r>
    </w:p>
    <w:p>
      <w:pPr>
        <w:spacing w:line="520" w:lineRule="exact"/>
        <w:ind w:firstLine="560" w:firstLineChars="200"/>
        <w:rPr>
          <w:rFonts w:ascii="宋体" w:hAnsi="宋体" w:cs="宋体"/>
          <w:sz w:val="28"/>
        </w:rPr>
      </w:pPr>
      <w:r>
        <w:rPr>
          <w:rFonts w:hint="eastAsia" w:ascii="宋体" w:hAnsi="宋体" w:cs="宋体"/>
          <w:sz w:val="28"/>
        </w:rPr>
        <w:t>建筑物评估价值可用成本法求取，估价对象在价值时点的重置价格，扣除折旧，以此估算估价对象的客观合理价格或价值的一种评估方法，其计算公式为：旧的建筑物评估价值=建筑物重置价格-建筑折旧。</w:t>
      </w:r>
    </w:p>
    <w:p>
      <w:pPr>
        <w:spacing w:line="560" w:lineRule="exact"/>
        <w:ind w:firstLine="560" w:firstLineChars="200"/>
        <w:rPr>
          <w:rFonts w:ascii="宋体" w:hAnsi="宋体" w:cs="宋体"/>
          <w:sz w:val="28"/>
        </w:rPr>
      </w:pPr>
      <w:r>
        <w:rPr>
          <w:rFonts w:hint="eastAsia" w:ascii="宋体" w:hAnsi="宋体" w:cs="宋体"/>
          <w:sz w:val="28"/>
        </w:rPr>
        <w:t>其中，建筑物重置价格=建筑安装成本+管理费用+销售费用+投资利息+销售税费+开发利润，建筑物折旧采用</w:t>
      </w:r>
      <w:r>
        <w:rPr>
          <w:rFonts w:ascii="宋体" w:hAnsi="宋体" w:cs="宋体"/>
          <w:sz w:val="28"/>
        </w:rPr>
        <w:t>成新折扣法确定。</w:t>
      </w:r>
    </w:p>
    <w:p>
      <w:pPr>
        <w:spacing w:line="560" w:lineRule="exact"/>
        <w:ind w:firstLine="560" w:firstLineChars="200"/>
        <w:rPr>
          <w:rFonts w:ascii="宋体" w:hAnsi="宋体" w:cs="宋体"/>
          <w:sz w:val="28"/>
        </w:rPr>
      </w:pPr>
      <w:r>
        <w:rPr>
          <w:rFonts w:hint="eastAsia" w:ascii="宋体" w:hAnsi="宋体" w:cs="宋体"/>
          <w:sz w:val="28"/>
        </w:rPr>
        <w:t>2、具体</w:t>
      </w:r>
      <w:r>
        <w:rPr>
          <w:rFonts w:ascii="宋体" w:hAnsi="宋体" w:cs="宋体"/>
          <w:sz w:val="28"/>
        </w:rPr>
        <w:t>估价技术路线：</w:t>
      </w:r>
    </w:p>
    <w:p>
      <w:pPr>
        <w:pStyle w:val="10"/>
        <w:spacing w:line="540" w:lineRule="exact"/>
        <w:rPr>
          <w:rFonts w:ascii="宋体" w:hAnsi="宋体" w:eastAsia="宋体"/>
        </w:rPr>
      </w:pPr>
      <w:r>
        <w:rPr>
          <w:rFonts w:hint="eastAsia" w:ascii="宋体" w:hAnsi="宋体" w:eastAsia="宋体"/>
        </w:rPr>
        <w:t>选用成本法求取建筑物重置价格，扣除折旧，确定地上建筑物评估价值。</w:t>
      </w:r>
    </w:p>
    <w:p>
      <w:pPr>
        <w:spacing w:line="560" w:lineRule="exact"/>
        <w:ind w:firstLine="446" w:firstLineChars="150"/>
        <w:rPr>
          <w:rFonts w:ascii="宋体" w:hAnsi="宋体"/>
          <w:b/>
          <w:color w:val="000000"/>
          <w:sz w:val="28"/>
        </w:rPr>
      </w:pPr>
      <w:r>
        <w:rPr>
          <w:rStyle w:val="50"/>
          <w:rFonts w:hint="eastAsia"/>
        </w:rPr>
        <w:t>十、估价结果</w:t>
      </w:r>
      <w:bookmarkEnd w:id="88"/>
      <w:bookmarkEnd w:id="89"/>
      <w:bookmarkEnd w:id="90"/>
      <w:bookmarkEnd w:id="91"/>
      <w:bookmarkEnd w:id="92"/>
      <w:bookmarkEnd w:id="93"/>
      <w:bookmarkEnd w:id="94"/>
      <w:bookmarkEnd w:id="95"/>
      <w:bookmarkEnd w:id="96"/>
      <w:r>
        <w:rPr>
          <w:rFonts w:hint="eastAsia" w:ascii="宋体" w:hAnsi="宋体"/>
          <w:b/>
          <w:color w:val="000000"/>
          <w:sz w:val="28"/>
        </w:rPr>
        <w:t>：</w:t>
      </w:r>
    </w:p>
    <w:p>
      <w:pPr>
        <w:snapToGrid w:val="0"/>
        <w:spacing w:line="560" w:lineRule="exact"/>
        <w:ind w:left="-38" w:leftChars="-18" w:firstLine="560" w:firstLineChars="200"/>
        <w:rPr>
          <w:rFonts w:ascii="宋体" w:hAnsi="宋体"/>
          <w:color w:val="000000"/>
          <w:sz w:val="28"/>
        </w:rPr>
      </w:pP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，并结合估价经验与对影响房产价值因素的综合分析，最终确定估价对象（不含土地使用权）于价值时点的估价结果为:（币种：人民币）</w:t>
      </w:r>
    </w:p>
    <w:tbl>
      <w:tblPr>
        <w:tblStyle w:val="22"/>
        <w:tblW w:w="921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35"/>
        <w:gridCol w:w="1417"/>
        <w:gridCol w:w="1777"/>
        <w:gridCol w:w="1548"/>
        <w:gridCol w:w="1421"/>
        <w:gridCol w:w="142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4" w:hRule="atLeast"/>
          <w:jc w:val="center"/>
        </w:trPr>
        <w:tc>
          <w:tcPr>
            <w:tcW w:w="1635" w:type="dxa"/>
            <w:vAlign w:val="center"/>
          </w:tcPr>
          <w:p>
            <w:pPr>
              <w:widowControl/>
              <w:jc w:val="center"/>
              <w:textAlignment w:val="center"/>
              <w:rPr>
                <w:rFonts w:cs="宋体" w:asciiTheme="majorEastAsia" w:hAnsiTheme="majorEastAsia" w:eastAsiaTheme="majorEastAsia"/>
                <w:color w:val="000000"/>
                <w:sz w:val="24"/>
              </w:rPr>
            </w:pPr>
            <w:bookmarkStart w:id="97" w:name="_Toc27736471"/>
            <w:bookmarkStart w:id="98" w:name="_Toc24121742"/>
            <w:bookmarkStart w:id="99" w:name="_Toc28941839"/>
            <w:bookmarkStart w:id="100" w:name="_Toc19087063"/>
            <w:bookmarkStart w:id="101" w:name="_Toc17471995"/>
            <w:bookmarkStart w:id="102" w:name="_Toc17471964"/>
            <w:bookmarkStart w:id="103" w:name="_Toc16234444"/>
            <w:bookmarkStart w:id="104" w:name="_Toc16234182"/>
            <w:bookmarkStart w:id="105" w:name="_Toc55921675"/>
            <w:r>
              <w:rPr>
                <w:rFonts w:hint="eastAsia" w:ascii="宋体" w:hAnsi="宋体" w:cs="宋体"/>
                <w:color w:val="000000"/>
                <w:kern w:val="0"/>
                <w:sz w:val="24"/>
              </w:rPr>
              <w:t>房屋所有权证号</w:t>
            </w:r>
          </w:p>
        </w:tc>
        <w:tc>
          <w:tcPr>
            <w:tcW w:w="1417" w:type="dxa"/>
            <w:vAlign w:val="center"/>
          </w:tcPr>
          <w:p>
            <w:pPr>
              <w:snapToGrid w:val="0"/>
              <w:jc w:val="center"/>
              <w:rPr>
                <w:rFonts w:asciiTheme="majorEastAsia" w:hAnsiTheme="majorEastAsia" w:eastAsiaTheme="majorEastAsia"/>
                <w:color w:val="000000"/>
                <w:sz w:val="24"/>
              </w:rPr>
            </w:pPr>
            <w:r>
              <w:rPr>
                <w:rFonts w:hint="eastAsia" w:ascii="宋体" w:hAnsi="宋体" w:cs="宋体"/>
                <w:color w:val="000000"/>
                <w:kern w:val="0"/>
                <w:sz w:val="24"/>
              </w:rPr>
              <w:t>所有权人</w:t>
            </w:r>
          </w:p>
        </w:tc>
        <w:tc>
          <w:tcPr>
            <w:tcW w:w="1777"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坐落</w:t>
            </w:r>
          </w:p>
        </w:tc>
        <w:tc>
          <w:tcPr>
            <w:tcW w:w="1548" w:type="dxa"/>
            <w:vAlign w:val="center"/>
          </w:tcPr>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建筑面积（㎡）</w:t>
            </w:r>
          </w:p>
        </w:tc>
        <w:tc>
          <w:tcPr>
            <w:tcW w:w="1421" w:type="dxa"/>
            <w:vAlign w:val="center"/>
          </w:tcPr>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评估单价</w:t>
            </w:r>
          </w:p>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（元/㎡）</w:t>
            </w:r>
          </w:p>
        </w:tc>
        <w:tc>
          <w:tcPr>
            <w:tcW w:w="1421" w:type="dxa"/>
            <w:vAlign w:val="center"/>
          </w:tcPr>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评估总价</w:t>
            </w:r>
          </w:p>
          <w:p>
            <w:pPr>
              <w:snapToGrid w:val="0"/>
              <w:jc w:val="center"/>
              <w:rPr>
                <w:rFonts w:asciiTheme="majorEastAsia" w:hAnsiTheme="majorEastAsia" w:eastAsiaTheme="majorEastAsia"/>
                <w:color w:val="000000"/>
                <w:sz w:val="24"/>
              </w:rPr>
            </w:pPr>
            <w:r>
              <w:rPr>
                <w:rFonts w:hint="eastAsia" w:asciiTheme="majorEastAsia" w:hAnsiTheme="majorEastAsia" w:eastAsiaTheme="majorEastAsia"/>
                <w:color w:val="000000"/>
                <w:sz w:val="24"/>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34" w:hRule="atLeast"/>
          <w:jc w:val="center"/>
        </w:trPr>
        <w:tc>
          <w:tcPr>
            <w:tcW w:w="1635" w:type="dxa"/>
            <w:vAlign w:val="center"/>
          </w:tcPr>
          <w:p>
            <w:pPr>
              <w:widowControl/>
              <w:jc w:val="center"/>
              <w:textAlignment w:val="center"/>
              <w:rPr>
                <w:rFonts w:cs="宋体" w:asciiTheme="majorEastAsia" w:hAnsiTheme="majorEastAsia" w:eastAsiaTheme="majorEastAsia"/>
                <w:color w:val="000000"/>
                <w:kern w:val="0"/>
                <w:sz w:val="24"/>
              </w:rPr>
            </w:pPr>
            <w:r>
              <w:rPr>
                <w:rFonts w:hint="eastAsia" w:ascii="宋体" w:hAnsi="宋体" w:cs="宋体"/>
                <w:color w:val="000000"/>
                <w:kern w:val="0"/>
                <w:sz w:val="24"/>
              </w:rPr>
              <w:t>阳石建字第004号</w:t>
            </w:r>
          </w:p>
        </w:tc>
        <w:tc>
          <w:tcPr>
            <w:tcW w:w="1417" w:type="dxa"/>
            <w:vAlign w:val="center"/>
          </w:tcPr>
          <w:p>
            <w:pPr>
              <w:widowControl/>
              <w:jc w:val="center"/>
              <w:textAlignment w:val="center"/>
              <w:rPr>
                <w:rFonts w:cs="宋体" w:asciiTheme="majorEastAsia" w:hAnsiTheme="majorEastAsia" w:eastAsiaTheme="majorEastAsia"/>
                <w:color w:val="000000"/>
                <w:sz w:val="24"/>
              </w:rPr>
            </w:pPr>
            <w:r>
              <w:rPr>
                <w:rFonts w:hint="eastAsia" w:ascii="宋体" w:hAnsi="宋体" w:cs="宋体"/>
                <w:color w:val="000000"/>
                <w:kern w:val="0"/>
                <w:sz w:val="24"/>
              </w:rPr>
              <w:t>王进高</w:t>
            </w:r>
          </w:p>
        </w:tc>
        <w:tc>
          <w:tcPr>
            <w:tcW w:w="1777" w:type="dxa"/>
            <w:vAlign w:val="center"/>
          </w:tcPr>
          <w:p>
            <w:pPr>
              <w:snapToGrid w:val="0"/>
              <w:jc w:val="center"/>
              <w:rPr>
                <w:rFonts w:ascii="宋体" w:hAnsi="宋体"/>
                <w:sz w:val="24"/>
              </w:rPr>
            </w:pPr>
            <w:r>
              <w:rPr>
                <w:rFonts w:hint="eastAsia" w:ascii="宋体" w:hAnsi="宋体"/>
                <w:sz w:val="24"/>
              </w:rPr>
              <w:t>阳谷县石佛镇石佛村</w:t>
            </w:r>
          </w:p>
        </w:tc>
        <w:tc>
          <w:tcPr>
            <w:tcW w:w="1548" w:type="dxa"/>
            <w:vAlign w:val="center"/>
          </w:tcPr>
          <w:p>
            <w:pPr>
              <w:jc w:val="center"/>
              <w:rPr>
                <w:rFonts w:asciiTheme="majorEastAsia" w:hAnsiTheme="majorEastAsia" w:eastAsiaTheme="majorEastAsia"/>
                <w:sz w:val="24"/>
              </w:rPr>
            </w:pPr>
            <w:r>
              <w:rPr>
                <w:rFonts w:hint="eastAsia" w:ascii="宋体" w:hAnsi="宋体" w:eastAsiaTheme="majorEastAsia"/>
                <w:sz w:val="24"/>
              </w:rPr>
              <w:t>143.36</w:t>
            </w:r>
          </w:p>
        </w:tc>
        <w:tc>
          <w:tcPr>
            <w:tcW w:w="1421" w:type="dxa"/>
            <w:vAlign w:val="center"/>
          </w:tcPr>
          <w:p>
            <w:pPr>
              <w:snapToGrid w:val="0"/>
              <w:jc w:val="center"/>
              <w:rPr>
                <w:rFonts w:ascii="宋体" w:hAnsi="宋体"/>
                <w:sz w:val="24"/>
              </w:rPr>
            </w:pPr>
            <w:r>
              <w:rPr>
                <w:rFonts w:hint="eastAsia" w:ascii="宋体" w:hAnsi="宋体"/>
                <w:sz w:val="24"/>
              </w:rPr>
              <w:t>1796</w:t>
            </w:r>
          </w:p>
        </w:tc>
        <w:tc>
          <w:tcPr>
            <w:tcW w:w="1421" w:type="dxa"/>
            <w:vAlign w:val="center"/>
          </w:tcPr>
          <w:p>
            <w:pPr>
              <w:snapToGrid w:val="0"/>
              <w:jc w:val="center"/>
              <w:rPr>
                <w:rFonts w:ascii="宋体" w:hAnsi="宋体"/>
                <w:sz w:val="24"/>
              </w:rPr>
            </w:pPr>
            <w:r>
              <w:rPr>
                <w:rFonts w:hint="eastAsia" w:ascii="宋体" w:hAnsi="宋体"/>
                <w:sz w:val="24"/>
              </w:rPr>
              <w:t xml:space="preserve">25.75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9219" w:type="dxa"/>
            <w:gridSpan w:val="6"/>
            <w:vAlign w:val="center"/>
          </w:tcPr>
          <w:p>
            <w:pPr>
              <w:snapToGrid w:val="0"/>
              <w:spacing w:line="500" w:lineRule="exact"/>
              <w:jc w:val="center"/>
              <w:rPr>
                <w:rFonts w:hint="eastAsia" w:ascii="宋体" w:hAnsi="宋体"/>
                <w:b/>
                <w:sz w:val="24"/>
              </w:rPr>
            </w:pPr>
            <w:r>
              <w:rPr>
                <w:rFonts w:hint="eastAsia" w:ascii="宋体" w:hAnsi="宋体"/>
                <w:b/>
                <w:sz w:val="24"/>
              </w:rPr>
              <w:t>人民币大写：贰拾伍万柒仟伍佰元整</w:t>
            </w:r>
          </w:p>
        </w:tc>
      </w:tr>
    </w:tbl>
    <w:p>
      <w:pPr>
        <w:snapToGrid w:val="0"/>
        <w:spacing w:line="540" w:lineRule="exact"/>
        <w:ind w:left="-38" w:leftChars="-18" w:firstLine="560" w:firstLineChars="200"/>
        <w:rPr>
          <w:rFonts w:hint="eastAsia"/>
          <w:b/>
        </w:rPr>
      </w:pPr>
      <w:r>
        <w:rPr>
          <w:rFonts w:hint="eastAsia" w:ascii="宋体" w:hAnsi="宋体"/>
          <w:color w:val="000000"/>
          <w:sz w:val="28"/>
        </w:rPr>
        <w:t>估价结果</w:t>
      </w:r>
      <w:r>
        <w:rPr>
          <w:rFonts w:ascii="宋体" w:hAnsi="宋体"/>
          <w:color w:val="000000"/>
          <w:sz w:val="28"/>
        </w:rPr>
        <w:t>内涵是估价对象在价值时点满足本次估价假设和限制条件下</w:t>
      </w:r>
      <w:r>
        <w:rPr>
          <w:rFonts w:hint="eastAsia" w:ascii="宋体" w:hAnsi="宋体"/>
          <w:color w:val="000000"/>
          <w:sz w:val="28"/>
        </w:rPr>
        <w:t>商住房产</w:t>
      </w:r>
      <w:r>
        <w:rPr>
          <w:rFonts w:ascii="宋体" w:hAnsi="宋体"/>
          <w:color w:val="000000"/>
          <w:sz w:val="28"/>
        </w:rPr>
        <w:t>价格</w:t>
      </w:r>
      <w:r>
        <w:rPr>
          <w:rFonts w:hint="eastAsia" w:ascii="宋体" w:hAnsi="宋体"/>
          <w:color w:val="000000"/>
          <w:sz w:val="28"/>
        </w:rPr>
        <w:t>（不含土地使用权）</w:t>
      </w:r>
      <w:r>
        <w:rPr>
          <w:rFonts w:ascii="宋体" w:hAnsi="宋体"/>
          <w:color w:val="000000"/>
          <w:sz w:val="28"/>
        </w:rPr>
        <w:t>；付款方式是一次性付清房价款；房屋面积内涵为建筑面积，开发程度为已开发完成。</w:t>
      </w:r>
    </w:p>
    <w:p>
      <w:pPr>
        <w:numPr>
          <w:ilvl w:val="0"/>
          <w:numId w:val="2"/>
        </w:numPr>
        <w:spacing w:line="480" w:lineRule="exact"/>
        <w:ind w:firstLine="594" w:firstLineChars="200"/>
        <w:rPr>
          <w:rFonts w:ascii="宋体" w:hAnsi="宋体"/>
          <w:b/>
          <w:color w:val="000000"/>
          <w:sz w:val="28"/>
        </w:rPr>
      </w:pPr>
      <w:r>
        <w:rPr>
          <w:rStyle w:val="50"/>
          <w:rFonts w:hint="eastAsia"/>
        </w:rPr>
        <w:t>注册房地产估价师</w:t>
      </w:r>
      <w:bookmarkEnd w:id="97"/>
      <w:bookmarkEnd w:id="98"/>
      <w:bookmarkEnd w:id="99"/>
      <w:bookmarkEnd w:id="100"/>
      <w:bookmarkEnd w:id="101"/>
      <w:bookmarkEnd w:id="102"/>
      <w:bookmarkEnd w:id="103"/>
      <w:bookmarkEnd w:id="104"/>
      <w:bookmarkEnd w:id="105"/>
      <w:r>
        <w:rPr>
          <w:rFonts w:hint="eastAsia" w:ascii="宋体" w:hAnsi="宋体"/>
          <w:b/>
          <w:color w:val="000000"/>
          <w:sz w:val="28"/>
        </w:rPr>
        <w:t>：</w:t>
      </w:r>
    </w:p>
    <w:tbl>
      <w:tblPr>
        <w:tblStyle w:val="22"/>
        <w:tblW w:w="92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27"/>
        <w:gridCol w:w="2185"/>
        <w:gridCol w:w="2807"/>
        <w:gridCol w:w="224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027" w:type="dxa"/>
            <w:vAlign w:val="center"/>
          </w:tcPr>
          <w:p>
            <w:pPr>
              <w:spacing w:line="480" w:lineRule="exact"/>
              <w:jc w:val="center"/>
              <w:rPr>
                <w:rFonts w:ascii="宋体" w:hAnsi="宋体"/>
                <w:color w:val="000000"/>
                <w:sz w:val="28"/>
              </w:rPr>
            </w:pPr>
            <w:r>
              <w:rPr>
                <w:rFonts w:hint="eastAsia" w:ascii="宋体" w:hAnsi="宋体"/>
                <w:color w:val="000000"/>
                <w:sz w:val="28"/>
              </w:rPr>
              <w:t>姓名</w:t>
            </w:r>
          </w:p>
        </w:tc>
        <w:tc>
          <w:tcPr>
            <w:tcW w:w="2185" w:type="dxa"/>
            <w:vAlign w:val="center"/>
          </w:tcPr>
          <w:p>
            <w:pPr>
              <w:spacing w:line="480" w:lineRule="exact"/>
              <w:jc w:val="center"/>
              <w:rPr>
                <w:rFonts w:ascii="宋体" w:hAnsi="宋体"/>
                <w:color w:val="000000"/>
                <w:sz w:val="28"/>
              </w:rPr>
            </w:pPr>
            <w:r>
              <w:rPr>
                <w:rFonts w:hint="eastAsia" w:ascii="宋体" w:hAnsi="宋体"/>
                <w:color w:val="000000"/>
                <w:sz w:val="28"/>
              </w:rPr>
              <w:t>注册号</w:t>
            </w:r>
          </w:p>
        </w:tc>
        <w:tc>
          <w:tcPr>
            <w:tcW w:w="2807" w:type="dxa"/>
            <w:vAlign w:val="center"/>
          </w:tcPr>
          <w:p>
            <w:pPr>
              <w:spacing w:line="480" w:lineRule="exact"/>
              <w:jc w:val="center"/>
              <w:rPr>
                <w:rFonts w:ascii="宋体" w:hAnsi="宋体"/>
                <w:color w:val="000000"/>
                <w:sz w:val="28"/>
              </w:rPr>
            </w:pPr>
            <w:r>
              <w:rPr>
                <w:rFonts w:hint="eastAsia" w:ascii="宋体" w:hAnsi="宋体"/>
                <w:color w:val="000000"/>
                <w:sz w:val="28"/>
              </w:rPr>
              <w:t>盖章签名</w:t>
            </w:r>
          </w:p>
        </w:tc>
        <w:tc>
          <w:tcPr>
            <w:tcW w:w="2245" w:type="dxa"/>
            <w:vAlign w:val="center"/>
          </w:tcPr>
          <w:p>
            <w:pPr>
              <w:spacing w:line="48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2027" w:type="dxa"/>
            <w:vAlign w:val="center"/>
          </w:tcPr>
          <w:p>
            <w:pPr>
              <w:spacing w:line="48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185" w:type="dxa"/>
            <w:vAlign w:val="center"/>
          </w:tcPr>
          <w:p>
            <w:pPr>
              <w:spacing w:line="480" w:lineRule="exact"/>
              <w:jc w:val="center"/>
              <w:rPr>
                <w:rFonts w:ascii="宋体" w:hAnsi="宋体"/>
                <w:bCs/>
                <w:color w:val="000000"/>
                <w:sz w:val="28"/>
                <w:szCs w:val="28"/>
              </w:rPr>
            </w:pPr>
            <w:r>
              <w:rPr>
                <w:rFonts w:ascii="宋体" w:hAnsi="宋体" w:cs="宋体"/>
                <w:color w:val="000000"/>
                <w:kern w:val="0"/>
                <w:sz w:val="28"/>
                <w:szCs w:val="28"/>
              </w:rPr>
              <w:t>3720190070</w:t>
            </w:r>
          </w:p>
        </w:tc>
        <w:tc>
          <w:tcPr>
            <w:tcW w:w="2807" w:type="dxa"/>
          </w:tcPr>
          <w:p>
            <w:pPr>
              <w:spacing w:line="480" w:lineRule="exact"/>
              <w:rPr>
                <w:rFonts w:ascii="宋体" w:hAnsi="宋体"/>
                <w:color w:val="000000"/>
                <w:sz w:val="28"/>
                <w:szCs w:val="28"/>
              </w:rPr>
            </w:pPr>
          </w:p>
        </w:tc>
        <w:tc>
          <w:tcPr>
            <w:tcW w:w="2245" w:type="dxa"/>
            <w:vAlign w:val="center"/>
          </w:tcPr>
          <w:p>
            <w:pPr>
              <w:spacing w:line="480" w:lineRule="exact"/>
              <w:jc w:val="center"/>
              <w:rPr>
                <w:rFonts w:ascii="宋体" w:hAnsi="宋体"/>
                <w:color w:val="000000"/>
                <w:sz w:val="28"/>
                <w:szCs w:val="28"/>
              </w:rPr>
            </w:pPr>
            <w:r>
              <w:rPr>
                <w:rFonts w:hint="eastAsia" w:ascii="宋体" w:hAnsi="宋体"/>
                <w:color w:val="000000"/>
                <w:sz w:val="28"/>
                <w:szCs w:val="28"/>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06" w:hRule="atLeast"/>
          <w:jc w:val="center"/>
        </w:trPr>
        <w:tc>
          <w:tcPr>
            <w:tcW w:w="2027" w:type="dxa"/>
            <w:vAlign w:val="center"/>
          </w:tcPr>
          <w:p>
            <w:pPr>
              <w:spacing w:line="480" w:lineRule="exact"/>
              <w:jc w:val="center"/>
              <w:rPr>
                <w:rFonts w:ascii="宋体" w:hAnsi="宋体"/>
                <w:color w:val="000000"/>
                <w:sz w:val="28"/>
                <w:szCs w:val="28"/>
              </w:rPr>
            </w:pPr>
            <w:r>
              <w:rPr>
                <w:rFonts w:hint="eastAsia" w:ascii="宋体" w:hAnsi="宋体"/>
                <w:color w:val="000000"/>
                <w:sz w:val="28"/>
                <w:szCs w:val="28"/>
              </w:rPr>
              <w:t>马骕骅</w:t>
            </w:r>
          </w:p>
        </w:tc>
        <w:tc>
          <w:tcPr>
            <w:tcW w:w="2185" w:type="dxa"/>
            <w:vAlign w:val="center"/>
          </w:tcPr>
          <w:p>
            <w:pPr>
              <w:spacing w:line="480" w:lineRule="exact"/>
              <w:jc w:val="center"/>
              <w:rPr>
                <w:rFonts w:ascii="宋体" w:hAnsi="宋体"/>
                <w:color w:val="000000"/>
                <w:sz w:val="28"/>
                <w:szCs w:val="28"/>
              </w:rPr>
            </w:pPr>
            <w:r>
              <w:rPr>
                <w:rFonts w:hint="eastAsia" w:ascii="宋体" w:hAnsi="宋体" w:cs="宋体"/>
                <w:color w:val="000000"/>
                <w:kern w:val="0"/>
                <w:sz w:val="28"/>
                <w:szCs w:val="28"/>
              </w:rPr>
              <w:t>3720190070</w:t>
            </w:r>
          </w:p>
        </w:tc>
        <w:tc>
          <w:tcPr>
            <w:tcW w:w="2807" w:type="dxa"/>
          </w:tcPr>
          <w:p>
            <w:pPr>
              <w:spacing w:line="480" w:lineRule="exact"/>
              <w:rPr>
                <w:rFonts w:ascii="宋体" w:hAnsi="宋体"/>
                <w:color w:val="000000"/>
                <w:sz w:val="28"/>
                <w:szCs w:val="28"/>
              </w:rPr>
            </w:pPr>
          </w:p>
        </w:tc>
        <w:tc>
          <w:tcPr>
            <w:tcW w:w="2245" w:type="dxa"/>
            <w:vAlign w:val="center"/>
          </w:tcPr>
          <w:p>
            <w:pPr>
              <w:spacing w:line="480" w:lineRule="exact"/>
              <w:ind w:firstLine="570"/>
              <w:jc w:val="center"/>
              <w:rPr>
                <w:rFonts w:ascii="宋体" w:hAnsi="宋体"/>
                <w:color w:val="000000"/>
                <w:sz w:val="28"/>
                <w:szCs w:val="28"/>
              </w:rPr>
            </w:pPr>
            <w:r>
              <w:rPr>
                <w:rFonts w:hint="eastAsia" w:ascii="宋体" w:hAnsi="宋体"/>
                <w:color w:val="000000"/>
                <w:sz w:val="28"/>
                <w:szCs w:val="28"/>
              </w:rPr>
              <w:t>年  月  日</w:t>
            </w:r>
          </w:p>
        </w:tc>
      </w:tr>
    </w:tbl>
    <w:p>
      <w:pPr>
        <w:spacing w:line="480" w:lineRule="exact"/>
        <w:ind w:firstLine="594" w:firstLineChars="200"/>
        <w:rPr>
          <w:rStyle w:val="50"/>
        </w:rPr>
      </w:pPr>
      <w:bookmarkStart w:id="106" w:name="_Toc16234183"/>
      <w:bookmarkStart w:id="107" w:name="_Toc55921676"/>
      <w:bookmarkStart w:id="108" w:name="_Toc28941840"/>
      <w:bookmarkStart w:id="109" w:name="_Toc24121743"/>
      <w:bookmarkStart w:id="110" w:name="_Toc16234445"/>
      <w:bookmarkStart w:id="111" w:name="_Toc17471996"/>
      <w:bookmarkStart w:id="112" w:name="_Toc27736472"/>
      <w:bookmarkStart w:id="113" w:name="_Toc19087064"/>
      <w:bookmarkStart w:id="114" w:name="_Toc17471965"/>
    </w:p>
    <w:p>
      <w:pPr>
        <w:spacing w:line="480" w:lineRule="exact"/>
        <w:ind w:firstLine="594" w:firstLineChars="200"/>
        <w:rPr>
          <w:rFonts w:ascii="宋体" w:hAnsi="宋体"/>
          <w:color w:val="000000"/>
          <w:sz w:val="28"/>
        </w:rPr>
      </w:pPr>
      <w:r>
        <w:rPr>
          <w:rStyle w:val="50"/>
          <w:rFonts w:hint="eastAsia"/>
        </w:rPr>
        <w:t>十二、实地查勘期</w:t>
      </w:r>
      <w:bookmarkEnd w:id="106"/>
      <w:bookmarkEnd w:id="107"/>
      <w:bookmarkEnd w:id="108"/>
      <w:bookmarkEnd w:id="109"/>
      <w:bookmarkEnd w:id="110"/>
      <w:bookmarkEnd w:id="111"/>
      <w:bookmarkEnd w:id="112"/>
      <w:bookmarkEnd w:id="113"/>
      <w:bookmarkEnd w:id="114"/>
      <w:r>
        <w:rPr>
          <w:rFonts w:hint="eastAsia" w:ascii="宋体" w:hAnsi="宋体"/>
          <w:b/>
          <w:color w:val="000000"/>
          <w:sz w:val="28"/>
        </w:rPr>
        <w:t>：</w:t>
      </w:r>
      <w:r>
        <w:rPr>
          <w:rFonts w:hint="eastAsia" w:ascii="宋体" w:hAnsi="宋体"/>
          <w:color w:val="000000"/>
          <w:sz w:val="28"/>
        </w:rPr>
        <w:t>2022年4月22日。</w:t>
      </w:r>
    </w:p>
    <w:p>
      <w:pPr>
        <w:spacing w:line="480" w:lineRule="exact"/>
        <w:ind w:firstLine="594" w:firstLineChars="200"/>
        <w:rPr>
          <w:rFonts w:ascii="宋体" w:hAnsi="宋体"/>
          <w:color w:val="000000"/>
          <w:sz w:val="28"/>
        </w:rPr>
      </w:pPr>
      <w:bookmarkStart w:id="115" w:name="_Toc28941841"/>
      <w:bookmarkStart w:id="116" w:name="_Toc16234184"/>
      <w:bookmarkStart w:id="117" w:name="_Toc17471966"/>
      <w:bookmarkStart w:id="118" w:name="_Toc19087065"/>
      <w:bookmarkStart w:id="119" w:name="_Toc16234446"/>
      <w:bookmarkStart w:id="120" w:name="_Toc55921677"/>
      <w:bookmarkStart w:id="121" w:name="_Toc17471997"/>
      <w:bookmarkStart w:id="122" w:name="_Toc27736473"/>
      <w:bookmarkStart w:id="123" w:name="_Toc24121744"/>
      <w:r>
        <w:rPr>
          <w:rStyle w:val="50"/>
          <w:rFonts w:hint="eastAsia"/>
        </w:rPr>
        <w:t>十三、估价作业期</w:t>
      </w:r>
      <w:bookmarkEnd w:id="115"/>
      <w:bookmarkEnd w:id="116"/>
      <w:bookmarkEnd w:id="117"/>
      <w:bookmarkEnd w:id="118"/>
      <w:bookmarkEnd w:id="119"/>
      <w:bookmarkEnd w:id="120"/>
      <w:bookmarkEnd w:id="121"/>
      <w:bookmarkEnd w:id="122"/>
      <w:bookmarkEnd w:id="123"/>
      <w:r>
        <w:rPr>
          <w:rFonts w:hint="eastAsia" w:ascii="宋体" w:hAnsi="宋体"/>
          <w:color w:val="000000"/>
          <w:sz w:val="28"/>
        </w:rPr>
        <w:t>：2022年4月22日至2022年6月6日。</w:t>
      </w:r>
    </w:p>
    <w:p>
      <w:pPr>
        <w:spacing w:line="480" w:lineRule="exact"/>
        <w:ind w:firstLine="560" w:firstLineChars="200"/>
        <w:rPr>
          <w:rFonts w:ascii="宋体" w:hAnsi="宋体"/>
          <w:color w:val="000000"/>
          <w:sz w:val="28"/>
        </w:rPr>
      </w:pPr>
      <w:r>
        <w:rPr>
          <w:rFonts w:hint="eastAsia" w:ascii="宋体" w:hAnsi="宋体"/>
          <w:color w:val="000000"/>
          <w:sz w:val="28"/>
        </w:rPr>
        <w:t xml:space="preserve"> </w:t>
      </w:r>
    </w:p>
    <w:p>
      <w:pPr>
        <w:spacing w:line="520" w:lineRule="exact"/>
        <w:ind w:firstLine="3360" w:firstLineChars="1200"/>
        <w:jc w:val="left"/>
        <w:rPr>
          <w:rFonts w:ascii="宋体" w:hAnsi="宋体"/>
          <w:color w:val="000000"/>
          <w:sz w:val="28"/>
          <w:szCs w:val="28"/>
        </w:rPr>
      </w:pPr>
      <w:r>
        <w:rPr>
          <w:rFonts w:hint="eastAsia" w:ascii="宋体" w:hAnsi="宋体"/>
          <w:color w:val="000000"/>
          <w:sz w:val="28"/>
          <w:szCs w:val="28"/>
        </w:rPr>
        <w:t>山东成达土地房地产资产评估测绘有限公司</w:t>
      </w:r>
    </w:p>
    <w:p>
      <w:pPr>
        <w:spacing w:line="520" w:lineRule="exact"/>
        <w:ind w:firstLine="5040" w:firstLineChars="1800"/>
        <w:jc w:val="left"/>
        <w:rPr>
          <w:rFonts w:ascii="宋体" w:hAnsi="宋体"/>
          <w:color w:val="000000"/>
          <w:sz w:val="28"/>
        </w:rPr>
      </w:pPr>
      <w:r>
        <w:rPr>
          <w:rFonts w:hint="eastAsia" w:ascii="宋体" w:hAnsi="宋体"/>
          <w:color w:val="000000"/>
          <w:sz w:val="28"/>
        </w:rPr>
        <w:t>二〇二二年六月六日</w:t>
      </w:r>
    </w:p>
    <w:p>
      <w:pPr>
        <w:rPr>
          <w:b/>
        </w:rPr>
      </w:pPr>
      <w:bookmarkStart w:id="124" w:name="_Toc55921678"/>
      <w:r>
        <w:rPr>
          <w:rFonts w:hint="eastAsia"/>
          <w:b/>
        </w:rPr>
        <w:br w:type="page"/>
      </w:r>
      <w:bookmarkStart w:id="126" w:name="_GoBack"/>
      <w:bookmarkEnd w:id="126"/>
    </w:p>
    <w:p>
      <w:pPr>
        <w:pStyle w:val="3"/>
        <w:rPr>
          <w:rFonts w:ascii="宋体" w:hAnsi="宋体"/>
          <w:b/>
          <w:color w:val="000000"/>
          <w:sz w:val="28"/>
        </w:rPr>
      </w:pPr>
      <w:r>
        <w:rPr>
          <w:rFonts w:hint="eastAsia"/>
          <w:b/>
        </w:rPr>
        <w:t xml:space="preserve">附 </w:t>
      </w:r>
      <w:r>
        <w:rPr>
          <w:b/>
        </w:rPr>
        <w:t xml:space="preserve"> </w:t>
      </w:r>
      <w:r>
        <w:rPr>
          <w:rFonts w:hint="eastAsia"/>
          <w:b/>
        </w:rPr>
        <w:t>件</w:t>
      </w:r>
      <w:bookmarkEnd w:id="124"/>
    </w:p>
    <w:p>
      <w:pPr>
        <w:spacing w:line="600" w:lineRule="exact"/>
        <w:ind w:firstLine="560" w:firstLineChars="200"/>
        <w:rPr>
          <w:rFonts w:ascii="宋体" w:hAnsi="宋体"/>
          <w:color w:val="000000"/>
          <w:sz w:val="28"/>
        </w:rPr>
      </w:pPr>
      <w:r>
        <w:rPr>
          <w:rFonts w:hint="eastAsia" w:ascii="宋体" w:hAnsi="宋体"/>
          <w:color w:val="000000"/>
          <w:sz w:val="28"/>
        </w:rPr>
        <w:t>（一）估价对象位置图；</w:t>
      </w:r>
    </w:p>
    <w:p>
      <w:pPr>
        <w:spacing w:line="600" w:lineRule="exact"/>
        <w:ind w:firstLine="560" w:firstLineChars="200"/>
        <w:rPr>
          <w:rFonts w:ascii="宋体" w:hAnsi="宋体"/>
          <w:color w:val="000000"/>
          <w:sz w:val="28"/>
        </w:rPr>
      </w:pPr>
      <w:r>
        <w:rPr>
          <w:rFonts w:hint="eastAsia" w:ascii="宋体" w:hAnsi="宋体"/>
          <w:color w:val="000000"/>
          <w:sz w:val="28"/>
        </w:rPr>
        <w:t>（二）估价对象现场照片；</w:t>
      </w:r>
    </w:p>
    <w:p>
      <w:pPr>
        <w:spacing w:line="600" w:lineRule="exact"/>
        <w:ind w:firstLine="560" w:firstLineChars="200"/>
        <w:rPr>
          <w:rFonts w:ascii="宋体" w:hAnsi="宋体"/>
          <w:color w:val="000000"/>
          <w:sz w:val="28"/>
        </w:rPr>
      </w:pPr>
      <w:r>
        <w:rPr>
          <w:rFonts w:hint="eastAsia" w:ascii="宋体" w:hAnsi="宋体"/>
          <w:color w:val="000000"/>
          <w:sz w:val="28"/>
        </w:rPr>
        <w:t>（三）阳谷县人民法院委托书（复印件）；</w:t>
      </w:r>
    </w:p>
    <w:p>
      <w:pPr>
        <w:spacing w:line="600" w:lineRule="exact"/>
        <w:ind w:firstLine="570"/>
        <w:rPr>
          <w:rFonts w:ascii="宋体" w:hAnsi="宋体"/>
          <w:color w:val="000000"/>
          <w:sz w:val="28"/>
        </w:rPr>
      </w:pPr>
      <w:r>
        <w:rPr>
          <w:rFonts w:hint="eastAsia" w:ascii="宋体" w:hAnsi="宋体"/>
          <w:color w:val="000000"/>
          <w:sz w:val="28"/>
        </w:rPr>
        <w:t>（四）</w:t>
      </w:r>
      <w:r>
        <w:rPr>
          <w:rFonts w:hint="eastAsia" w:ascii="宋体" w:hAnsi="宋体" w:cs="宋体"/>
          <w:color w:val="000000"/>
          <w:sz w:val="28"/>
        </w:rPr>
        <w:t>房屋所有权证、国有土地使用证</w:t>
      </w:r>
      <w:r>
        <w:rPr>
          <w:rFonts w:hint="eastAsia" w:ascii="宋体" w:hAnsi="宋体"/>
          <w:color w:val="000000"/>
          <w:sz w:val="28"/>
        </w:rPr>
        <w:t>（复印件）；</w:t>
      </w:r>
    </w:p>
    <w:p>
      <w:pPr>
        <w:spacing w:line="600" w:lineRule="exact"/>
        <w:ind w:firstLine="560" w:firstLineChars="200"/>
        <w:rPr>
          <w:rFonts w:ascii="宋体" w:hAnsi="宋体"/>
          <w:color w:val="000000"/>
          <w:sz w:val="28"/>
        </w:rPr>
      </w:pPr>
      <w:r>
        <w:rPr>
          <w:rFonts w:hint="eastAsia" w:ascii="宋体" w:hAnsi="宋体"/>
          <w:color w:val="000000"/>
          <w:sz w:val="28"/>
        </w:rPr>
        <w:t>（五）房地产估价机构营业执照（复印件）；</w:t>
      </w:r>
    </w:p>
    <w:p>
      <w:pPr>
        <w:spacing w:line="600" w:lineRule="exact"/>
        <w:ind w:firstLine="560" w:firstLineChars="200"/>
        <w:rPr>
          <w:rFonts w:ascii="宋体" w:hAnsi="宋体"/>
          <w:color w:val="000000"/>
          <w:sz w:val="28"/>
        </w:rPr>
      </w:pPr>
      <w:r>
        <w:rPr>
          <w:rFonts w:hint="eastAsia" w:ascii="宋体" w:hAnsi="宋体"/>
          <w:color w:val="000000"/>
          <w:sz w:val="28"/>
        </w:rPr>
        <w:t>（六）房地产估价机构资质证书（复印件）；</w:t>
      </w:r>
    </w:p>
    <w:p>
      <w:pPr>
        <w:spacing w:line="600" w:lineRule="exact"/>
        <w:ind w:firstLine="560" w:firstLineChars="200"/>
        <w:rPr>
          <w:rFonts w:ascii="宋体" w:hAnsi="宋体"/>
          <w:color w:val="000000"/>
          <w:sz w:val="28"/>
        </w:rPr>
      </w:pPr>
      <w:r>
        <w:rPr>
          <w:rFonts w:hint="eastAsia" w:ascii="宋体" w:hAnsi="宋体"/>
          <w:color w:val="000000"/>
          <w:sz w:val="28"/>
        </w:rPr>
        <w:t>（七）注册房地产估价师注册证书（复印件）。</w:t>
      </w: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napToGrid w:val="0"/>
        <w:spacing w:line="560" w:lineRule="exact"/>
        <w:ind w:right="-110"/>
        <w:jc w:val="both"/>
        <w:rPr>
          <w:rFonts w:ascii="宋体" w:hAnsi="宋体"/>
          <w:color w:val="000000"/>
          <w:sz w:val="28"/>
        </w:rPr>
      </w:pPr>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26</w:t>
    </w:r>
    <w:r>
      <w:fldChar w:fldCharType="end"/>
    </w:r>
  </w:p>
  <w:p>
    <w:pPr>
      <w:pStyle w:val="16"/>
      <w:pBdr>
        <w:top w:val="single" w:color="auto" w:sz="4" w:space="1"/>
      </w:pBdr>
    </w:pPr>
  </w:p>
  <w:p>
    <w:pPr>
      <w:pStyle w:val="16"/>
    </w:pPr>
    <w:r>
      <w:rPr>
        <w:rFonts w:hint="eastAsia"/>
        <w:spacing w:val="2"/>
      </w:rPr>
      <w:t xml:space="preserve">地址：中国（山东）自由贸易试验区济南片区新泺大街2117号铭盛大厦1618室 </w:t>
    </w:r>
    <w:r>
      <w:rPr>
        <w:spacing w:val="2"/>
      </w:rPr>
      <w:t xml:space="preserve">       </w:t>
    </w:r>
    <w:r>
      <w:rPr>
        <w:rFonts w:hint="eastAsia"/>
        <w:spacing w:val="2"/>
      </w:rPr>
      <w:t>联系电话：</w:t>
    </w:r>
    <w:r>
      <w:rPr>
        <w:spacing w:val="2"/>
      </w:rPr>
      <w:t xml:space="preserve"> </w:t>
    </w:r>
    <w:r>
      <w:rPr>
        <w:rFonts w:hint="eastAsia"/>
        <w:spacing w:val="2"/>
      </w:rPr>
      <w:t>0531-82998556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8"/>
      <w:jc w:val="both"/>
      <w:rPr>
        <w:spacing w:val="2"/>
      </w:rPr>
    </w:pPr>
    <w:r>
      <w:rPr>
        <w:rFonts w:hint="eastAsia"/>
        <w:spacing w:val="2"/>
      </w:rPr>
      <w:t xml:space="preserve">山东成达土地房地产资产评估测绘有限公司                  </w:t>
    </w:r>
    <w:r>
      <w:rPr>
        <w:spacing w:val="2"/>
      </w:rPr>
      <w:t xml:space="preserve">           </w:t>
    </w:r>
    <w:r>
      <w:rPr>
        <w:rFonts w:hint="eastAsia"/>
        <w:spacing w:val="2"/>
      </w:rPr>
      <w:t>涉执房产处置司法评估报告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abstractNum w:abstractNumId="1">
    <w:nsid w:val="6CC50C19"/>
    <w:multiLevelType w:val="multilevel"/>
    <w:tmpl w:val="6CC50C1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1MTUwMzBmZTMzMDcyYWUxNDFiZTU3ODc0OGNiZTMifQ=="/>
  </w:docVars>
  <w:rsids>
    <w:rsidRoot w:val="00172A27"/>
    <w:rsid w:val="00000C2F"/>
    <w:rsid w:val="00000C4D"/>
    <w:rsid w:val="0000145B"/>
    <w:rsid w:val="0000170D"/>
    <w:rsid w:val="00002026"/>
    <w:rsid w:val="00002A87"/>
    <w:rsid w:val="00003157"/>
    <w:rsid w:val="000033B8"/>
    <w:rsid w:val="00003438"/>
    <w:rsid w:val="00003D9F"/>
    <w:rsid w:val="00004023"/>
    <w:rsid w:val="00005886"/>
    <w:rsid w:val="00005FB4"/>
    <w:rsid w:val="00007A62"/>
    <w:rsid w:val="00010F62"/>
    <w:rsid w:val="00012EDF"/>
    <w:rsid w:val="000146B0"/>
    <w:rsid w:val="00015650"/>
    <w:rsid w:val="00016115"/>
    <w:rsid w:val="000166D0"/>
    <w:rsid w:val="000168C1"/>
    <w:rsid w:val="00016EFA"/>
    <w:rsid w:val="00016F0A"/>
    <w:rsid w:val="0002000C"/>
    <w:rsid w:val="000203E2"/>
    <w:rsid w:val="0002051D"/>
    <w:rsid w:val="00020DBC"/>
    <w:rsid w:val="000211A1"/>
    <w:rsid w:val="00021C48"/>
    <w:rsid w:val="00025195"/>
    <w:rsid w:val="00027448"/>
    <w:rsid w:val="000305C3"/>
    <w:rsid w:val="0003076E"/>
    <w:rsid w:val="00030B0B"/>
    <w:rsid w:val="00032224"/>
    <w:rsid w:val="00032C2E"/>
    <w:rsid w:val="00034CC1"/>
    <w:rsid w:val="00034E5C"/>
    <w:rsid w:val="000360E3"/>
    <w:rsid w:val="00037179"/>
    <w:rsid w:val="0003788A"/>
    <w:rsid w:val="00042C8A"/>
    <w:rsid w:val="0004634E"/>
    <w:rsid w:val="0004784D"/>
    <w:rsid w:val="00047E29"/>
    <w:rsid w:val="00053C17"/>
    <w:rsid w:val="00053D7F"/>
    <w:rsid w:val="0005425B"/>
    <w:rsid w:val="00054DA5"/>
    <w:rsid w:val="00057376"/>
    <w:rsid w:val="0005752D"/>
    <w:rsid w:val="0005785F"/>
    <w:rsid w:val="000604CD"/>
    <w:rsid w:val="000614AE"/>
    <w:rsid w:val="000616D1"/>
    <w:rsid w:val="00061CB4"/>
    <w:rsid w:val="00062019"/>
    <w:rsid w:val="00063BD2"/>
    <w:rsid w:val="000642AA"/>
    <w:rsid w:val="0006512B"/>
    <w:rsid w:val="0006578B"/>
    <w:rsid w:val="00071382"/>
    <w:rsid w:val="0007284B"/>
    <w:rsid w:val="000728D6"/>
    <w:rsid w:val="00073676"/>
    <w:rsid w:val="00073EA7"/>
    <w:rsid w:val="0007437B"/>
    <w:rsid w:val="0007440F"/>
    <w:rsid w:val="00075F8C"/>
    <w:rsid w:val="00080BED"/>
    <w:rsid w:val="00080C9D"/>
    <w:rsid w:val="000812E6"/>
    <w:rsid w:val="00081857"/>
    <w:rsid w:val="00081E46"/>
    <w:rsid w:val="000833C2"/>
    <w:rsid w:val="000835F6"/>
    <w:rsid w:val="00084AB6"/>
    <w:rsid w:val="000858EC"/>
    <w:rsid w:val="000862B8"/>
    <w:rsid w:val="0008797E"/>
    <w:rsid w:val="00090CA8"/>
    <w:rsid w:val="00091137"/>
    <w:rsid w:val="00091F1C"/>
    <w:rsid w:val="00092040"/>
    <w:rsid w:val="000945ED"/>
    <w:rsid w:val="00094DED"/>
    <w:rsid w:val="00095161"/>
    <w:rsid w:val="00096016"/>
    <w:rsid w:val="00097A53"/>
    <w:rsid w:val="00097EDA"/>
    <w:rsid w:val="000A0D60"/>
    <w:rsid w:val="000A2AE5"/>
    <w:rsid w:val="000A467E"/>
    <w:rsid w:val="000A4BD0"/>
    <w:rsid w:val="000A7387"/>
    <w:rsid w:val="000A7DD0"/>
    <w:rsid w:val="000A7F64"/>
    <w:rsid w:val="000B0F36"/>
    <w:rsid w:val="000B20CB"/>
    <w:rsid w:val="000B246A"/>
    <w:rsid w:val="000B26FC"/>
    <w:rsid w:val="000B2977"/>
    <w:rsid w:val="000B2BC7"/>
    <w:rsid w:val="000B2F71"/>
    <w:rsid w:val="000B3128"/>
    <w:rsid w:val="000B3964"/>
    <w:rsid w:val="000B408A"/>
    <w:rsid w:val="000B5631"/>
    <w:rsid w:val="000B5868"/>
    <w:rsid w:val="000B59F1"/>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5CD6"/>
    <w:rsid w:val="000C636F"/>
    <w:rsid w:val="000D2D43"/>
    <w:rsid w:val="000D3D11"/>
    <w:rsid w:val="000D5EDA"/>
    <w:rsid w:val="000D621A"/>
    <w:rsid w:val="000D67CF"/>
    <w:rsid w:val="000D6A66"/>
    <w:rsid w:val="000D6FA3"/>
    <w:rsid w:val="000D7000"/>
    <w:rsid w:val="000D71DB"/>
    <w:rsid w:val="000D727D"/>
    <w:rsid w:val="000D7671"/>
    <w:rsid w:val="000E2850"/>
    <w:rsid w:val="000E2A98"/>
    <w:rsid w:val="000E2EC0"/>
    <w:rsid w:val="000E30B1"/>
    <w:rsid w:val="000E30BD"/>
    <w:rsid w:val="000E4697"/>
    <w:rsid w:val="000E4C8B"/>
    <w:rsid w:val="000E5120"/>
    <w:rsid w:val="000E5652"/>
    <w:rsid w:val="000E57A2"/>
    <w:rsid w:val="000E597C"/>
    <w:rsid w:val="000E632B"/>
    <w:rsid w:val="000F07D6"/>
    <w:rsid w:val="000F0A2D"/>
    <w:rsid w:val="000F0B24"/>
    <w:rsid w:val="000F2154"/>
    <w:rsid w:val="000F294C"/>
    <w:rsid w:val="000F3587"/>
    <w:rsid w:val="000F3C0B"/>
    <w:rsid w:val="000F41B9"/>
    <w:rsid w:val="000F53E6"/>
    <w:rsid w:val="000F57BD"/>
    <w:rsid w:val="000F59E2"/>
    <w:rsid w:val="000F5A9F"/>
    <w:rsid w:val="000F78F2"/>
    <w:rsid w:val="00100FE6"/>
    <w:rsid w:val="00101174"/>
    <w:rsid w:val="001030D5"/>
    <w:rsid w:val="00104A64"/>
    <w:rsid w:val="00106A41"/>
    <w:rsid w:val="0011000E"/>
    <w:rsid w:val="00110601"/>
    <w:rsid w:val="001109E5"/>
    <w:rsid w:val="001110A5"/>
    <w:rsid w:val="00111456"/>
    <w:rsid w:val="00111A18"/>
    <w:rsid w:val="00111A4F"/>
    <w:rsid w:val="001127BA"/>
    <w:rsid w:val="00113474"/>
    <w:rsid w:val="00113970"/>
    <w:rsid w:val="0011486C"/>
    <w:rsid w:val="00115AAD"/>
    <w:rsid w:val="0011601A"/>
    <w:rsid w:val="00116C62"/>
    <w:rsid w:val="001203CF"/>
    <w:rsid w:val="00121268"/>
    <w:rsid w:val="001216E2"/>
    <w:rsid w:val="00121715"/>
    <w:rsid w:val="00121AE5"/>
    <w:rsid w:val="0012323E"/>
    <w:rsid w:val="00123473"/>
    <w:rsid w:val="00124126"/>
    <w:rsid w:val="0012480D"/>
    <w:rsid w:val="00124D5A"/>
    <w:rsid w:val="00125BF9"/>
    <w:rsid w:val="0012787C"/>
    <w:rsid w:val="00127A1C"/>
    <w:rsid w:val="001301BA"/>
    <w:rsid w:val="0013232A"/>
    <w:rsid w:val="00133236"/>
    <w:rsid w:val="001342FA"/>
    <w:rsid w:val="00134907"/>
    <w:rsid w:val="0013547C"/>
    <w:rsid w:val="00135DE9"/>
    <w:rsid w:val="00136735"/>
    <w:rsid w:val="0013744F"/>
    <w:rsid w:val="00137A09"/>
    <w:rsid w:val="00137B58"/>
    <w:rsid w:val="001406BB"/>
    <w:rsid w:val="00141501"/>
    <w:rsid w:val="0014174A"/>
    <w:rsid w:val="00141D42"/>
    <w:rsid w:val="00142278"/>
    <w:rsid w:val="0014283E"/>
    <w:rsid w:val="00142A70"/>
    <w:rsid w:val="00142B89"/>
    <w:rsid w:val="00143770"/>
    <w:rsid w:val="00143F20"/>
    <w:rsid w:val="001452E2"/>
    <w:rsid w:val="001477FF"/>
    <w:rsid w:val="00147C1F"/>
    <w:rsid w:val="00152A20"/>
    <w:rsid w:val="00152A2D"/>
    <w:rsid w:val="00153B23"/>
    <w:rsid w:val="00154727"/>
    <w:rsid w:val="00155C66"/>
    <w:rsid w:val="00155D74"/>
    <w:rsid w:val="00157842"/>
    <w:rsid w:val="00157959"/>
    <w:rsid w:val="001607DB"/>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2A27"/>
    <w:rsid w:val="0017386A"/>
    <w:rsid w:val="00173AE6"/>
    <w:rsid w:val="001750C6"/>
    <w:rsid w:val="00177457"/>
    <w:rsid w:val="001775BC"/>
    <w:rsid w:val="001776DA"/>
    <w:rsid w:val="00180340"/>
    <w:rsid w:val="00181676"/>
    <w:rsid w:val="001857F3"/>
    <w:rsid w:val="00185A4B"/>
    <w:rsid w:val="00185FF0"/>
    <w:rsid w:val="00186037"/>
    <w:rsid w:val="00186371"/>
    <w:rsid w:val="001878DA"/>
    <w:rsid w:val="0019046F"/>
    <w:rsid w:val="00190672"/>
    <w:rsid w:val="00190DFA"/>
    <w:rsid w:val="00190EC3"/>
    <w:rsid w:val="0019199F"/>
    <w:rsid w:val="00191AD0"/>
    <w:rsid w:val="00191C48"/>
    <w:rsid w:val="001928B8"/>
    <w:rsid w:val="00192EA8"/>
    <w:rsid w:val="00193010"/>
    <w:rsid w:val="00193283"/>
    <w:rsid w:val="001932A9"/>
    <w:rsid w:val="00193F6D"/>
    <w:rsid w:val="00194449"/>
    <w:rsid w:val="00194962"/>
    <w:rsid w:val="00195709"/>
    <w:rsid w:val="0019767D"/>
    <w:rsid w:val="001A1290"/>
    <w:rsid w:val="001A1326"/>
    <w:rsid w:val="001A3DCA"/>
    <w:rsid w:val="001A55C1"/>
    <w:rsid w:val="001A5C76"/>
    <w:rsid w:val="001A6034"/>
    <w:rsid w:val="001A6CA6"/>
    <w:rsid w:val="001A6F31"/>
    <w:rsid w:val="001A7505"/>
    <w:rsid w:val="001B0E84"/>
    <w:rsid w:val="001B1179"/>
    <w:rsid w:val="001B12B9"/>
    <w:rsid w:val="001B23C3"/>
    <w:rsid w:val="001B2983"/>
    <w:rsid w:val="001B2D44"/>
    <w:rsid w:val="001B4B32"/>
    <w:rsid w:val="001B7F3A"/>
    <w:rsid w:val="001C1753"/>
    <w:rsid w:val="001C179C"/>
    <w:rsid w:val="001C1CE2"/>
    <w:rsid w:val="001C2719"/>
    <w:rsid w:val="001C5949"/>
    <w:rsid w:val="001C5ED4"/>
    <w:rsid w:val="001C6808"/>
    <w:rsid w:val="001C6C21"/>
    <w:rsid w:val="001C6F88"/>
    <w:rsid w:val="001C7664"/>
    <w:rsid w:val="001D0AF4"/>
    <w:rsid w:val="001D0E40"/>
    <w:rsid w:val="001D0FAB"/>
    <w:rsid w:val="001D1BE6"/>
    <w:rsid w:val="001D1DFC"/>
    <w:rsid w:val="001D1E38"/>
    <w:rsid w:val="001D204D"/>
    <w:rsid w:val="001D38B6"/>
    <w:rsid w:val="001D3947"/>
    <w:rsid w:val="001D3E9F"/>
    <w:rsid w:val="001D4760"/>
    <w:rsid w:val="001D501E"/>
    <w:rsid w:val="001D68E3"/>
    <w:rsid w:val="001E04BD"/>
    <w:rsid w:val="001E0682"/>
    <w:rsid w:val="001E081C"/>
    <w:rsid w:val="001E0EA5"/>
    <w:rsid w:val="001E1476"/>
    <w:rsid w:val="001E15EB"/>
    <w:rsid w:val="001E198A"/>
    <w:rsid w:val="001E19D1"/>
    <w:rsid w:val="001E1BBB"/>
    <w:rsid w:val="001E25B4"/>
    <w:rsid w:val="001E3E89"/>
    <w:rsid w:val="001E583B"/>
    <w:rsid w:val="001E666A"/>
    <w:rsid w:val="001E6B13"/>
    <w:rsid w:val="001E718C"/>
    <w:rsid w:val="001F262C"/>
    <w:rsid w:val="001F4F32"/>
    <w:rsid w:val="001F54EE"/>
    <w:rsid w:val="001F5566"/>
    <w:rsid w:val="001F6182"/>
    <w:rsid w:val="001F67B5"/>
    <w:rsid w:val="001F6DFF"/>
    <w:rsid w:val="001F7458"/>
    <w:rsid w:val="002017D6"/>
    <w:rsid w:val="00202038"/>
    <w:rsid w:val="00202A97"/>
    <w:rsid w:val="002039B7"/>
    <w:rsid w:val="00204576"/>
    <w:rsid w:val="00204A17"/>
    <w:rsid w:val="00205204"/>
    <w:rsid w:val="002078AF"/>
    <w:rsid w:val="00207E1C"/>
    <w:rsid w:val="0021029E"/>
    <w:rsid w:val="0021181C"/>
    <w:rsid w:val="00212168"/>
    <w:rsid w:val="002150E0"/>
    <w:rsid w:val="00215774"/>
    <w:rsid w:val="00215F2F"/>
    <w:rsid w:val="00216890"/>
    <w:rsid w:val="00216E44"/>
    <w:rsid w:val="00217984"/>
    <w:rsid w:val="0022052F"/>
    <w:rsid w:val="00221B48"/>
    <w:rsid w:val="0022273B"/>
    <w:rsid w:val="00223C9E"/>
    <w:rsid w:val="00223D71"/>
    <w:rsid w:val="00223F8B"/>
    <w:rsid w:val="00224624"/>
    <w:rsid w:val="00224F7C"/>
    <w:rsid w:val="00224FFE"/>
    <w:rsid w:val="002259AD"/>
    <w:rsid w:val="00225CE1"/>
    <w:rsid w:val="00226709"/>
    <w:rsid w:val="00227C96"/>
    <w:rsid w:val="0023001D"/>
    <w:rsid w:val="00232315"/>
    <w:rsid w:val="00232331"/>
    <w:rsid w:val="00232349"/>
    <w:rsid w:val="002329F4"/>
    <w:rsid w:val="002335F8"/>
    <w:rsid w:val="00233A2D"/>
    <w:rsid w:val="00235044"/>
    <w:rsid w:val="0023541C"/>
    <w:rsid w:val="00237609"/>
    <w:rsid w:val="00240DBE"/>
    <w:rsid w:val="00242E9D"/>
    <w:rsid w:val="0024399E"/>
    <w:rsid w:val="00244D7B"/>
    <w:rsid w:val="00245FE5"/>
    <w:rsid w:val="0024722F"/>
    <w:rsid w:val="002476B7"/>
    <w:rsid w:val="0025010E"/>
    <w:rsid w:val="00250BC6"/>
    <w:rsid w:val="00250E2F"/>
    <w:rsid w:val="00251670"/>
    <w:rsid w:val="002519CD"/>
    <w:rsid w:val="00251A3A"/>
    <w:rsid w:val="0025206F"/>
    <w:rsid w:val="00252CD4"/>
    <w:rsid w:val="0025354B"/>
    <w:rsid w:val="0025366E"/>
    <w:rsid w:val="00253CB8"/>
    <w:rsid w:val="00253E10"/>
    <w:rsid w:val="0025483A"/>
    <w:rsid w:val="00260F27"/>
    <w:rsid w:val="00261FEE"/>
    <w:rsid w:val="00262518"/>
    <w:rsid w:val="00264681"/>
    <w:rsid w:val="00265FFB"/>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8090A"/>
    <w:rsid w:val="00280EDC"/>
    <w:rsid w:val="0028183D"/>
    <w:rsid w:val="00282DF3"/>
    <w:rsid w:val="00283D29"/>
    <w:rsid w:val="002841E7"/>
    <w:rsid w:val="0028472A"/>
    <w:rsid w:val="002858D6"/>
    <w:rsid w:val="00286E54"/>
    <w:rsid w:val="00286EF7"/>
    <w:rsid w:val="002875CC"/>
    <w:rsid w:val="00287798"/>
    <w:rsid w:val="00287E31"/>
    <w:rsid w:val="002915DA"/>
    <w:rsid w:val="00291732"/>
    <w:rsid w:val="002947E0"/>
    <w:rsid w:val="00295947"/>
    <w:rsid w:val="00295E7D"/>
    <w:rsid w:val="00295F73"/>
    <w:rsid w:val="0029651B"/>
    <w:rsid w:val="00296932"/>
    <w:rsid w:val="002A122F"/>
    <w:rsid w:val="002A18AB"/>
    <w:rsid w:val="002A1931"/>
    <w:rsid w:val="002A2A62"/>
    <w:rsid w:val="002A2DD6"/>
    <w:rsid w:val="002A3865"/>
    <w:rsid w:val="002A67EC"/>
    <w:rsid w:val="002A74D0"/>
    <w:rsid w:val="002B000F"/>
    <w:rsid w:val="002B0861"/>
    <w:rsid w:val="002B08A1"/>
    <w:rsid w:val="002B08CC"/>
    <w:rsid w:val="002B12EA"/>
    <w:rsid w:val="002B13B3"/>
    <w:rsid w:val="002B1B7C"/>
    <w:rsid w:val="002B1EF2"/>
    <w:rsid w:val="002B2ACB"/>
    <w:rsid w:val="002B377B"/>
    <w:rsid w:val="002B4271"/>
    <w:rsid w:val="002B4E99"/>
    <w:rsid w:val="002B75F1"/>
    <w:rsid w:val="002C03ED"/>
    <w:rsid w:val="002C3523"/>
    <w:rsid w:val="002C3DD9"/>
    <w:rsid w:val="002C44A6"/>
    <w:rsid w:val="002C5E41"/>
    <w:rsid w:val="002C6B34"/>
    <w:rsid w:val="002C6B5A"/>
    <w:rsid w:val="002C72B8"/>
    <w:rsid w:val="002D0B43"/>
    <w:rsid w:val="002D2BFF"/>
    <w:rsid w:val="002D2C61"/>
    <w:rsid w:val="002D3066"/>
    <w:rsid w:val="002D31EE"/>
    <w:rsid w:val="002D3220"/>
    <w:rsid w:val="002D6CAA"/>
    <w:rsid w:val="002D789A"/>
    <w:rsid w:val="002D7B31"/>
    <w:rsid w:val="002E0F69"/>
    <w:rsid w:val="002E0FF9"/>
    <w:rsid w:val="002E2C09"/>
    <w:rsid w:val="002E34E3"/>
    <w:rsid w:val="002E3A44"/>
    <w:rsid w:val="002E54CC"/>
    <w:rsid w:val="002E5799"/>
    <w:rsid w:val="002E5818"/>
    <w:rsid w:val="002E6354"/>
    <w:rsid w:val="002E771A"/>
    <w:rsid w:val="002E7D76"/>
    <w:rsid w:val="002F0A22"/>
    <w:rsid w:val="002F0AAB"/>
    <w:rsid w:val="002F0CD2"/>
    <w:rsid w:val="002F0DE3"/>
    <w:rsid w:val="002F1A76"/>
    <w:rsid w:val="002F2ED7"/>
    <w:rsid w:val="002F4C21"/>
    <w:rsid w:val="002F50A2"/>
    <w:rsid w:val="002F54E7"/>
    <w:rsid w:val="00301861"/>
    <w:rsid w:val="00301AC0"/>
    <w:rsid w:val="00301EB7"/>
    <w:rsid w:val="00301EE1"/>
    <w:rsid w:val="00301F11"/>
    <w:rsid w:val="00302073"/>
    <w:rsid w:val="00303241"/>
    <w:rsid w:val="00304F01"/>
    <w:rsid w:val="00305FE7"/>
    <w:rsid w:val="00306573"/>
    <w:rsid w:val="00306DC2"/>
    <w:rsid w:val="00306E0F"/>
    <w:rsid w:val="00306EDB"/>
    <w:rsid w:val="00307CD0"/>
    <w:rsid w:val="00307E0F"/>
    <w:rsid w:val="003100E1"/>
    <w:rsid w:val="00310596"/>
    <w:rsid w:val="00311F6C"/>
    <w:rsid w:val="00312C74"/>
    <w:rsid w:val="00314858"/>
    <w:rsid w:val="00314C1A"/>
    <w:rsid w:val="0031539F"/>
    <w:rsid w:val="00316060"/>
    <w:rsid w:val="003164AA"/>
    <w:rsid w:val="00317A3F"/>
    <w:rsid w:val="00317B95"/>
    <w:rsid w:val="003206F4"/>
    <w:rsid w:val="0032189F"/>
    <w:rsid w:val="0032268B"/>
    <w:rsid w:val="003248ED"/>
    <w:rsid w:val="00324A0A"/>
    <w:rsid w:val="0032521F"/>
    <w:rsid w:val="00326D94"/>
    <w:rsid w:val="003276CC"/>
    <w:rsid w:val="0033099D"/>
    <w:rsid w:val="00331429"/>
    <w:rsid w:val="003317CB"/>
    <w:rsid w:val="00331C54"/>
    <w:rsid w:val="003325A9"/>
    <w:rsid w:val="003334A5"/>
    <w:rsid w:val="003338D4"/>
    <w:rsid w:val="00333ED0"/>
    <w:rsid w:val="00333F8A"/>
    <w:rsid w:val="00334093"/>
    <w:rsid w:val="003364C5"/>
    <w:rsid w:val="00336AFB"/>
    <w:rsid w:val="003374BA"/>
    <w:rsid w:val="0033751D"/>
    <w:rsid w:val="0034081D"/>
    <w:rsid w:val="00342BD4"/>
    <w:rsid w:val="00347FCF"/>
    <w:rsid w:val="00350591"/>
    <w:rsid w:val="00350A05"/>
    <w:rsid w:val="00351CC4"/>
    <w:rsid w:val="00352514"/>
    <w:rsid w:val="00352DD3"/>
    <w:rsid w:val="00353CE9"/>
    <w:rsid w:val="00353F94"/>
    <w:rsid w:val="00354C3A"/>
    <w:rsid w:val="00355520"/>
    <w:rsid w:val="00356241"/>
    <w:rsid w:val="003568DF"/>
    <w:rsid w:val="00357359"/>
    <w:rsid w:val="00357A8D"/>
    <w:rsid w:val="00360AC3"/>
    <w:rsid w:val="00361282"/>
    <w:rsid w:val="00362475"/>
    <w:rsid w:val="00363896"/>
    <w:rsid w:val="003655B1"/>
    <w:rsid w:val="00365915"/>
    <w:rsid w:val="00365F52"/>
    <w:rsid w:val="00371332"/>
    <w:rsid w:val="00371A42"/>
    <w:rsid w:val="00372AE9"/>
    <w:rsid w:val="00373152"/>
    <w:rsid w:val="00374A0A"/>
    <w:rsid w:val="00374F25"/>
    <w:rsid w:val="0037573F"/>
    <w:rsid w:val="003760C1"/>
    <w:rsid w:val="00376B4C"/>
    <w:rsid w:val="00377728"/>
    <w:rsid w:val="00377A6D"/>
    <w:rsid w:val="00381C96"/>
    <w:rsid w:val="00382D97"/>
    <w:rsid w:val="003839AB"/>
    <w:rsid w:val="003845C1"/>
    <w:rsid w:val="0038520F"/>
    <w:rsid w:val="0038549E"/>
    <w:rsid w:val="00385B42"/>
    <w:rsid w:val="00386168"/>
    <w:rsid w:val="00386CA0"/>
    <w:rsid w:val="00390192"/>
    <w:rsid w:val="0039080F"/>
    <w:rsid w:val="0039199E"/>
    <w:rsid w:val="00391EE4"/>
    <w:rsid w:val="00392167"/>
    <w:rsid w:val="003934A7"/>
    <w:rsid w:val="003934CD"/>
    <w:rsid w:val="00393924"/>
    <w:rsid w:val="0039458E"/>
    <w:rsid w:val="0039463D"/>
    <w:rsid w:val="00394E18"/>
    <w:rsid w:val="0039680B"/>
    <w:rsid w:val="00396B76"/>
    <w:rsid w:val="003971CE"/>
    <w:rsid w:val="003A27D4"/>
    <w:rsid w:val="003A4A7C"/>
    <w:rsid w:val="003A51BE"/>
    <w:rsid w:val="003A75E7"/>
    <w:rsid w:val="003B0A32"/>
    <w:rsid w:val="003B4F2A"/>
    <w:rsid w:val="003B5B65"/>
    <w:rsid w:val="003B5BC8"/>
    <w:rsid w:val="003B6006"/>
    <w:rsid w:val="003B6660"/>
    <w:rsid w:val="003B7440"/>
    <w:rsid w:val="003C165D"/>
    <w:rsid w:val="003C2532"/>
    <w:rsid w:val="003C3C78"/>
    <w:rsid w:val="003C3E48"/>
    <w:rsid w:val="003C3F40"/>
    <w:rsid w:val="003C414F"/>
    <w:rsid w:val="003C4F77"/>
    <w:rsid w:val="003C6A66"/>
    <w:rsid w:val="003C709F"/>
    <w:rsid w:val="003C7E58"/>
    <w:rsid w:val="003C7F3D"/>
    <w:rsid w:val="003D00E5"/>
    <w:rsid w:val="003D0FBE"/>
    <w:rsid w:val="003D16FD"/>
    <w:rsid w:val="003D20E9"/>
    <w:rsid w:val="003D3C9E"/>
    <w:rsid w:val="003D4754"/>
    <w:rsid w:val="003E1FBB"/>
    <w:rsid w:val="003E2172"/>
    <w:rsid w:val="003E2600"/>
    <w:rsid w:val="003E2795"/>
    <w:rsid w:val="003E2C88"/>
    <w:rsid w:val="003E408F"/>
    <w:rsid w:val="003E4BBE"/>
    <w:rsid w:val="003E4C55"/>
    <w:rsid w:val="003F024E"/>
    <w:rsid w:val="003F0472"/>
    <w:rsid w:val="003F274D"/>
    <w:rsid w:val="003F2C6E"/>
    <w:rsid w:val="003F32F4"/>
    <w:rsid w:val="003F3662"/>
    <w:rsid w:val="003F67AD"/>
    <w:rsid w:val="00400772"/>
    <w:rsid w:val="004022DD"/>
    <w:rsid w:val="00403579"/>
    <w:rsid w:val="004040A6"/>
    <w:rsid w:val="00404BE1"/>
    <w:rsid w:val="00404DD7"/>
    <w:rsid w:val="00404F93"/>
    <w:rsid w:val="00406201"/>
    <w:rsid w:val="004074C7"/>
    <w:rsid w:val="004075C7"/>
    <w:rsid w:val="00407E65"/>
    <w:rsid w:val="00412198"/>
    <w:rsid w:val="00412C6A"/>
    <w:rsid w:val="00412ED8"/>
    <w:rsid w:val="00413A99"/>
    <w:rsid w:val="00414046"/>
    <w:rsid w:val="00414A1B"/>
    <w:rsid w:val="00420C97"/>
    <w:rsid w:val="00420DA3"/>
    <w:rsid w:val="004222F6"/>
    <w:rsid w:val="00424E8C"/>
    <w:rsid w:val="00424F54"/>
    <w:rsid w:val="00426709"/>
    <w:rsid w:val="00426D68"/>
    <w:rsid w:val="004272C2"/>
    <w:rsid w:val="00427A0C"/>
    <w:rsid w:val="00432AD9"/>
    <w:rsid w:val="00434102"/>
    <w:rsid w:val="004351A0"/>
    <w:rsid w:val="00435820"/>
    <w:rsid w:val="00436B17"/>
    <w:rsid w:val="004373A6"/>
    <w:rsid w:val="0043748D"/>
    <w:rsid w:val="004377F1"/>
    <w:rsid w:val="00437D16"/>
    <w:rsid w:val="00437ECA"/>
    <w:rsid w:val="00440C5F"/>
    <w:rsid w:val="00441C74"/>
    <w:rsid w:val="00442194"/>
    <w:rsid w:val="004437F7"/>
    <w:rsid w:val="004448FB"/>
    <w:rsid w:val="00444A1C"/>
    <w:rsid w:val="00445616"/>
    <w:rsid w:val="00445BA2"/>
    <w:rsid w:val="00446587"/>
    <w:rsid w:val="00446FE5"/>
    <w:rsid w:val="0044755F"/>
    <w:rsid w:val="004479F8"/>
    <w:rsid w:val="0045080A"/>
    <w:rsid w:val="00452822"/>
    <w:rsid w:val="00452EB5"/>
    <w:rsid w:val="004531DF"/>
    <w:rsid w:val="004534C8"/>
    <w:rsid w:val="004535F3"/>
    <w:rsid w:val="00454307"/>
    <w:rsid w:val="0045580A"/>
    <w:rsid w:val="00455D2E"/>
    <w:rsid w:val="0045755B"/>
    <w:rsid w:val="004600E2"/>
    <w:rsid w:val="00460A42"/>
    <w:rsid w:val="00460C44"/>
    <w:rsid w:val="0046192F"/>
    <w:rsid w:val="00461AEF"/>
    <w:rsid w:val="00463016"/>
    <w:rsid w:val="004638EE"/>
    <w:rsid w:val="0046397D"/>
    <w:rsid w:val="00464AD9"/>
    <w:rsid w:val="004657CA"/>
    <w:rsid w:val="0046585D"/>
    <w:rsid w:val="00465D08"/>
    <w:rsid w:val="00466271"/>
    <w:rsid w:val="0046674A"/>
    <w:rsid w:val="00467811"/>
    <w:rsid w:val="004701DA"/>
    <w:rsid w:val="00470676"/>
    <w:rsid w:val="00471FB3"/>
    <w:rsid w:val="00472391"/>
    <w:rsid w:val="00473375"/>
    <w:rsid w:val="00473971"/>
    <w:rsid w:val="00475F35"/>
    <w:rsid w:val="00476B2D"/>
    <w:rsid w:val="00480DBA"/>
    <w:rsid w:val="00480F65"/>
    <w:rsid w:val="004812DF"/>
    <w:rsid w:val="00481440"/>
    <w:rsid w:val="00481DE5"/>
    <w:rsid w:val="0048325E"/>
    <w:rsid w:val="00483389"/>
    <w:rsid w:val="00484CBE"/>
    <w:rsid w:val="004866CC"/>
    <w:rsid w:val="00486B66"/>
    <w:rsid w:val="00486E75"/>
    <w:rsid w:val="00486F5F"/>
    <w:rsid w:val="004900F0"/>
    <w:rsid w:val="0049185E"/>
    <w:rsid w:val="00493B3E"/>
    <w:rsid w:val="00495D43"/>
    <w:rsid w:val="004A2A1B"/>
    <w:rsid w:val="004A35D7"/>
    <w:rsid w:val="004A395F"/>
    <w:rsid w:val="004A5491"/>
    <w:rsid w:val="004A5851"/>
    <w:rsid w:val="004A5DF6"/>
    <w:rsid w:val="004A6FA6"/>
    <w:rsid w:val="004B12EE"/>
    <w:rsid w:val="004B155E"/>
    <w:rsid w:val="004B1CC1"/>
    <w:rsid w:val="004B1F3B"/>
    <w:rsid w:val="004B2687"/>
    <w:rsid w:val="004B29CE"/>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2245"/>
    <w:rsid w:val="004C30D5"/>
    <w:rsid w:val="004C52CC"/>
    <w:rsid w:val="004C55D4"/>
    <w:rsid w:val="004C63E0"/>
    <w:rsid w:val="004C65B6"/>
    <w:rsid w:val="004D09BD"/>
    <w:rsid w:val="004D0AE3"/>
    <w:rsid w:val="004D1297"/>
    <w:rsid w:val="004D26C0"/>
    <w:rsid w:val="004D2AF1"/>
    <w:rsid w:val="004D3241"/>
    <w:rsid w:val="004D3CA9"/>
    <w:rsid w:val="004D4096"/>
    <w:rsid w:val="004D459C"/>
    <w:rsid w:val="004D6A23"/>
    <w:rsid w:val="004D78ED"/>
    <w:rsid w:val="004E1081"/>
    <w:rsid w:val="004E36C2"/>
    <w:rsid w:val="004E38C9"/>
    <w:rsid w:val="004E421E"/>
    <w:rsid w:val="004E488F"/>
    <w:rsid w:val="004E527E"/>
    <w:rsid w:val="004E5C1B"/>
    <w:rsid w:val="004E641F"/>
    <w:rsid w:val="004E7546"/>
    <w:rsid w:val="004F0934"/>
    <w:rsid w:val="004F433D"/>
    <w:rsid w:val="004F475C"/>
    <w:rsid w:val="004F4DCB"/>
    <w:rsid w:val="004F5210"/>
    <w:rsid w:val="004F6E3D"/>
    <w:rsid w:val="0050052A"/>
    <w:rsid w:val="0050144D"/>
    <w:rsid w:val="00501784"/>
    <w:rsid w:val="00501F2F"/>
    <w:rsid w:val="00502167"/>
    <w:rsid w:val="00504538"/>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7E14"/>
    <w:rsid w:val="0052033C"/>
    <w:rsid w:val="005211DB"/>
    <w:rsid w:val="00521A43"/>
    <w:rsid w:val="00523552"/>
    <w:rsid w:val="00524607"/>
    <w:rsid w:val="00524F4B"/>
    <w:rsid w:val="0052551E"/>
    <w:rsid w:val="00527B4E"/>
    <w:rsid w:val="00530E34"/>
    <w:rsid w:val="005315FC"/>
    <w:rsid w:val="00533082"/>
    <w:rsid w:val="0053370D"/>
    <w:rsid w:val="005337EA"/>
    <w:rsid w:val="00533E90"/>
    <w:rsid w:val="00534108"/>
    <w:rsid w:val="00534181"/>
    <w:rsid w:val="00535618"/>
    <w:rsid w:val="005356E7"/>
    <w:rsid w:val="0053752D"/>
    <w:rsid w:val="005401B3"/>
    <w:rsid w:val="005413BC"/>
    <w:rsid w:val="00541C17"/>
    <w:rsid w:val="00542148"/>
    <w:rsid w:val="005426A4"/>
    <w:rsid w:val="00542828"/>
    <w:rsid w:val="005435B2"/>
    <w:rsid w:val="00543941"/>
    <w:rsid w:val="00544208"/>
    <w:rsid w:val="00544CFB"/>
    <w:rsid w:val="005504EC"/>
    <w:rsid w:val="005515BF"/>
    <w:rsid w:val="00552F54"/>
    <w:rsid w:val="005532DB"/>
    <w:rsid w:val="005537E3"/>
    <w:rsid w:val="00553FFE"/>
    <w:rsid w:val="00554111"/>
    <w:rsid w:val="00554FE1"/>
    <w:rsid w:val="005564AA"/>
    <w:rsid w:val="005570DD"/>
    <w:rsid w:val="0055752D"/>
    <w:rsid w:val="00557E99"/>
    <w:rsid w:val="00561CF0"/>
    <w:rsid w:val="00562C37"/>
    <w:rsid w:val="005642FE"/>
    <w:rsid w:val="0056465A"/>
    <w:rsid w:val="00565AE0"/>
    <w:rsid w:val="00570006"/>
    <w:rsid w:val="00570945"/>
    <w:rsid w:val="00570AA1"/>
    <w:rsid w:val="005735B7"/>
    <w:rsid w:val="0057384C"/>
    <w:rsid w:val="00574F8D"/>
    <w:rsid w:val="00575F34"/>
    <w:rsid w:val="00577BC2"/>
    <w:rsid w:val="00580099"/>
    <w:rsid w:val="005805FD"/>
    <w:rsid w:val="00580660"/>
    <w:rsid w:val="00580BFD"/>
    <w:rsid w:val="00580F11"/>
    <w:rsid w:val="005812EA"/>
    <w:rsid w:val="005817FF"/>
    <w:rsid w:val="0058244A"/>
    <w:rsid w:val="00583240"/>
    <w:rsid w:val="00583A5A"/>
    <w:rsid w:val="0058404A"/>
    <w:rsid w:val="00584607"/>
    <w:rsid w:val="00584B25"/>
    <w:rsid w:val="00584BC5"/>
    <w:rsid w:val="00585E78"/>
    <w:rsid w:val="00586F95"/>
    <w:rsid w:val="005874FC"/>
    <w:rsid w:val="00587BB1"/>
    <w:rsid w:val="00587BC4"/>
    <w:rsid w:val="005900FA"/>
    <w:rsid w:val="00590582"/>
    <w:rsid w:val="0059619D"/>
    <w:rsid w:val="005968F3"/>
    <w:rsid w:val="00596D01"/>
    <w:rsid w:val="005A0DBC"/>
    <w:rsid w:val="005A0FC6"/>
    <w:rsid w:val="005A22BB"/>
    <w:rsid w:val="005A2302"/>
    <w:rsid w:val="005A2EFC"/>
    <w:rsid w:val="005A362F"/>
    <w:rsid w:val="005A399A"/>
    <w:rsid w:val="005A4DA5"/>
    <w:rsid w:val="005A569A"/>
    <w:rsid w:val="005A595F"/>
    <w:rsid w:val="005B0ED1"/>
    <w:rsid w:val="005B1B8E"/>
    <w:rsid w:val="005B26A1"/>
    <w:rsid w:val="005B2CBC"/>
    <w:rsid w:val="005B32CE"/>
    <w:rsid w:val="005B4389"/>
    <w:rsid w:val="005B4684"/>
    <w:rsid w:val="005B587E"/>
    <w:rsid w:val="005B7F39"/>
    <w:rsid w:val="005C1187"/>
    <w:rsid w:val="005C2194"/>
    <w:rsid w:val="005C3AC6"/>
    <w:rsid w:val="005C5866"/>
    <w:rsid w:val="005C5D30"/>
    <w:rsid w:val="005C6552"/>
    <w:rsid w:val="005C7936"/>
    <w:rsid w:val="005D0E4D"/>
    <w:rsid w:val="005D11E5"/>
    <w:rsid w:val="005D125D"/>
    <w:rsid w:val="005D1EAC"/>
    <w:rsid w:val="005D5F7B"/>
    <w:rsid w:val="005D606A"/>
    <w:rsid w:val="005E1A03"/>
    <w:rsid w:val="005E3CA6"/>
    <w:rsid w:val="005E6DCA"/>
    <w:rsid w:val="005E6FA3"/>
    <w:rsid w:val="005E734B"/>
    <w:rsid w:val="005E767A"/>
    <w:rsid w:val="005F00FD"/>
    <w:rsid w:val="005F09E1"/>
    <w:rsid w:val="005F2AF6"/>
    <w:rsid w:val="005F38F7"/>
    <w:rsid w:val="005F4321"/>
    <w:rsid w:val="0060076E"/>
    <w:rsid w:val="00600895"/>
    <w:rsid w:val="00600971"/>
    <w:rsid w:val="00601545"/>
    <w:rsid w:val="00601952"/>
    <w:rsid w:val="00601B6E"/>
    <w:rsid w:val="006027DF"/>
    <w:rsid w:val="00602A24"/>
    <w:rsid w:val="00604223"/>
    <w:rsid w:val="00604B32"/>
    <w:rsid w:val="006055AE"/>
    <w:rsid w:val="006073FC"/>
    <w:rsid w:val="0061074E"/>
    <w:rsid w:val="00611B00"/>
    <w:rsid w:val="00611B7A"/>
    <w:rsid w:val="00611F59"/>
    <w:rsid w:val="006130D1"/>
    <w:rsid w:val="00613236"/>
    <w:rsid w:val="00614A3B"/>
    <w:rsid w:val="00614E34"/>
    <w:rsid w:val="006153AE"/>
    <w:rsid w:val="00615881"/>
    <w:rsid w:val="00617AAD"/>
    <w:rsid w:val="00617C65"/>
    <w:rsid w:val="00617E98"/>
    <w:rsid w:val="006205AD"/>
    <w:rsid w:val="00620CD4"/>
    <w:rsid w:val="00622954"/>
    <w:rsid w:val="00622E5F"/>
    <w:rsid w:val="006230DE"/>
    <w:rsid w:val="00623572"/>
    <w:rsid w:val="0062422F"/>
    <w:rsid w:val="00624E87"/>
    <w:rsid w:val="00625970"/>
    <w:rsid w:val="00625E0C"/>
    <w:rsid w:val="00626560"/>
    <w:rsid w:val="00626A83"/>
    <w:rsid w:val="0062776F"/>
    <w:rsid w:val="006279C9"/>
    <w:rsid w:val="00627C90"/>
    <w:rsid w:val="00630E66"/>
    <w:rsid w:val="006316D5"/>
    <w:rsid w:val="006317FC"/>
    <w:rsid w:val="00631BE8"/>
    <w:rsid w:val="006328F3"/>
    <w:rsid w:val="00632DA2"/>
    <w:rsid w:val="006354EA"/>
    <w:rsid w:val="00636C20"/>
    <w:rsid w:val="00640824"/>
    <w:rsid w:val="006426A0"/>
    <w:rsid w:val="00642894"/>
    <w:rsid w:val="006429D1"/>
    <w:rsid w:val="0064308E"/>
    <w:rsid w:val="006432B0"/>
    <w:rsid w:val="006432DB"/>
    <w:rsid w:val="006433F0"/>
    <w:rsid w:val="00643649"/>
    <w:rsid w:val="00644B08"/>
    <w:rsid w:val="00646BE4"/>
    <w:rsid w:val="00646F89"/>
    <w:rsid w:val="006472D0"/>
    <w:rsid w:val="006479BE"/>
    <w:rsid w:val="006500EB"/>
    <w:rsid w:val="00650788"/>
    <w:rsid w:val="0065099D"/>
    <w:rsid w:val="00651A20"/>
    <w:rsid w:val="00652A5D"/>
    <w:rsid w:val="0065311E"/>
    <w:rsid w:val="0065314F"/>
    <w:rsid w:val="00653296"/>
    <w:rsid w:val="0065373B"/>
    <w:rsid w:val="00654767"/>
    <w:rsid w:val="00656EBA"/>
    <w:rsid w:val="00660DD8"/>
    <w:rsid w:val="00661B7C"/>
    <w:rsid w:val="00661FFE"/>
    <w:rsid w:val="00662B5C"/>
    <w:rsid w:val="006645BD"/>
    <w:rsid w:val="0066587D"/>
    <w:rsid w:val="00665B21"/>
    <w:rsid w:val="00666506"/>
    <w:rsid w:val="00666AC6"/>
    <w:rsid w:val="00670571"/>
    <w:rsid w:val="00671D2B"/>
    <w:rsid w:val="00672F72"/>
    <w:rsid w:val="00674035"/>
    <w:rsid w:val="006744A8"/>
    <w:rsid w:val="00674DFD"/>
    <w:rsid w:val="00676017"/>
    <w:rsid w:val="006766DC"/>
    <w:rsid w:val="00676A9E"/>
    <w:rsid w:val="006775C8"/>
    <w:rsid w:val="00677CFD"/>
    <w:rsid w:val="006847AC"/>
    <w:rsid w:val="00684F09"/>
    <w:rsid w:val="0068590E"/>
    <w:rsid w:val="00685CE4"/>
    <w:rsid w:val="006861BF"/>
    <w:rsid w:val="0068662C"/>
    <w:rsid w:val="006866AA"/>
    <w:rsid w:val="00686AA8"/>
    <w:rsid w:val="006909D0"/>
    <w:rsid w:val="006916A9"/>
    <w:rsid w:val="00691A25"/>
    <w:rsid w:val="006923E9"/>
    <w:rsid w:val="00694BF0"/>
    <w:rsid w:val="00694EE5"/>
    <w:rsid w:val="006957D7"/>
    <w:rsid w:val="00695871"/>
    <w:rsid w:val="00696378"/>
    <w:rsid w:val="006964BD"/>
    <w:rsid w:val="00697F1F"/>
    <w:rsid w:val="006A08BC"/>
    <w:rsid w:val="006A1898"/>
    <w:rsid w:val="006A2209"/>
    <w:rsid w:val="006A2615"/>
    <w:rsid w:val="006A29CD"/>
    <w:rsid w:val="006A2F46"/>
    <w:rsid w:val="006A3222"/>
    <w:rsid w:val="006A4E12"/>
    <w:rsid w:val="006A54C6"/>
    <w:rsid w:val="006A5840"/>
    <w:rsid w:val="006A58F8"/>
    <w:rsid w:val="006A5FB9"/>
    <w:rsid w:val="006A6A14"/>
    <w:rsid w:val="006A73A0"/>
    <w:rsid w:val="006A79ED"/>
    <w:rsid w:val="006B0082"/>
    <w:rsid w:val="006B025B"/>
    <w:rsid w:val="006B0537"/>
    <w:rsid w:val="006B0C40"/>
    <w:rsid w:val="006B1A53"/>
    <w:rsid w:val="006B3394"/>
    <w:rsid w:val="006B39E6"/>
    <w:rsid w:val="006B403E"/>
    <w:rsid w:val="006B47B1"/>
    <w:rsid w:val="006B5505"/>
    <w:rsid w:val="006B6102"/>
    <w:rsid w:val="006B62AD"/>
    <w:rsid w:val="006B678C"/>
    <w:rsid w:val="006C1F76"/>
    <w:rsid w:val="006C230D"/>
    <w:rsid w:val="006C28F1"/>
    <w:rsid w:val="006C3F60"/>
    <w:rsid w:val="006C3FB2"/>
    <w:rsid w:val="006C4111"/>
    <w:rsid w:val="006C42BC"/>
    <w:rsid w:val="006C6C00"/>
    <w:rsid w:val="006C6E25"/>
    <w:rsid w:val="006C757C"/>
    <w:rsid w:val="006C784C"/>
    <w:rsid w:val="006C7D6D"/>
    <w:rsid w:val="006D0180"/>
    <w:rsid w:val="006D32CD"/>
    <w:rsid w:val="006D382B"/>
    <w:rsid w:val="006D6F5D"/>
    <w:rsid w:val="006D7AE6"/>
    <w:rsid w:val="006D7D5B"/>
    <w:rsid w:val="006E08D9"/>
    <w:rsid w:val="006E1431"/>
    <w:rsid w:val="006E1ABB"/>
    <w:rsid w:val="006E222B"/>
    <w:rsid w:val="006E2499"/>
    <w:rsid w:val="006E2AE5"/>
    <w:rsid w:val="006E32DB"/>
    <w:rsid w:val="006E38C3"/>
    <w:rsid w:val="006E4763"/>
    <w:rsid w:val="006E5D4E"/>
    <w:rsid w:val="006E5FB0"/>
    <w:rsid w:val="006E70D2"/>
    <w:rsid w:val="006F0E46"/>
    <w:rsid w:val="006F13F5"/>
    <w:rsid w:val="006F3788"/>
    <w:rsid w:val="006F3B75"/>
    <w:rsid w:val="006F6D9B"/>
    <w:rsid w:val="00700699"/>
    <w:rsid w:val="00700826"/>
    <w:rsid w:val="0070134E"/>
    <w:rsid w:val="007028D3"/>
    <w:rsid w:val="00703320"/>
    <w:rsid w:val="00703B12"/>
    <w:rsid w:val="007040CE"/>
    <w:rsid w:val="00704339"/>
    <w:rsid w:val="007073A8"/>
    <w:rsid w:val="00707666"/>
    <w:rsid w:val="007123C5"/>
    <w:rsid w:val="00712405"/>
    <w:rsid w:val="007127FC"/>
    <w:rsid w:val="007130BF"/>
    <w:rsid w:val="00715377"/>
    <w:rsid w:val="007153A7"/>
    <w:rsid w:val="00716919"/>
    <w:rsid w:val="00716C5A"/>
    <w:rsid w:val="00716C85"/>
    <w:rsid w:val="00721856"/>
    <w:rsid w:val="00721B2D"/>
    <w:rsid w:val="0072293A"/>
    <w:rsid w:val="00722C48"/>
    <w:rsid w:val="00723E0E"/>
    <w:rsid w:val="00723F64"/>
    <w:rsid w:val="00723FAE"/>
    <w:rsid w:val="00724140"/>
    <w:rsid w:val="007243BB"/>
    <w:rsid w:val="00725252"/>
    <w:rsid w:val="00725CD4"/>
    <w:rsid w:val="00727046"/>
    <w:rsid w:val="0073099F"/>
    <w:rsid w:val="00731198"/>
    <w:rsid w:val="00731C20"/>
    <w:rsid w:val="007336F2"/>
    <w:rsid w:val="007346F3"/>
    <w:rsid w:val="00734E70"/>
    <w:rsid w:val="007354F0"/>
    <w:rsid w:val="00735766"/>
    <w:rsid w:val="00737A0D"/>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2FE"/>
    <w:rsid w:val="0075388A"/>
    <w:rsid w:val="0075400C"/>
    <w:rsid w:val="00754179"/>
    <w:rsid w:val="007542E2"/>
    <w:rsid w:val="00754508"/>
    <w:rsid w:val="00754E7E"/>
    <w:rsid w:val="0075678E"/>
    <w:rsid w:val="007577E6"/>
    <w:rsid w:val="00757B91"/>
    <w:rsid w:val="00757D4E"/>
    <w:rsid w:val="0076231A"/>
    <w:rsid w:val="00763727"/>
    <w:rsid w:val="00765299"/>
    <w:rsid w:val="007672F8"/>
    <w:rsid w:val="00773A12"/>
    <w:rsid w:val="00773BEC"/>
    <w:rsid w:val="007747E0"/>
    <w:rsid w:val="00775184"/>
    <w:rsid w:val="00775B46"/>
    <w:rsid w:val="007772C9"/>
    <w:rsid w:val="00777876"/>
    <w:rsid w:val="007800FF"/>
    <w:rsid w:val="007803CB"/>
    <w:rsid w:val="0078260D"/>
    <w:rsid w:val="007826A9"/>
    <w:rsid w:val="0078280C"/>
    <w:rsid w:val="00782BBB"/>
    <w:rsid w:val="00783854"/>
    <w:rsid w:val="00784FFD"/>
    <w:rsid w:val="00785730"/>
    <w:rsid w:val="00785BBA"/>
    <w:rsid w:val="00785FE4"/>
    <w:rsid w:val="00787EB2"/>
    <w:rsid w:val="0079241A"/>
    <w:rsid w:val="0079328B"/>
    <w:rsid w:val="00796535"/>
    <w:rsid w:val="00796A46"/>
    <w:rsid w:val="007A0DBC"/>
    <w:rsid w:val="007A16E3"/>
    <w:rsid w:val="007A1B96"/>
    <w:rsid w:val="007A2B88"/>
    <w:rsid w:val="007A33D5"/>
    <w:rsid w:val="007A502A"/>
    <w:rsid w:val="007A5314"/>
    <w:rsid w:val="007B03CD"/>
    <w:rsid w:val="007B23BB"/>
    <w:rsid w:val="007B242C"/>
    <w:rsid w:val="007B2858"/>
    <w:rsid w:val="007B3DE3"/>
    <w:rsid w:val="007B55C0"/>
    <w:rsid w:val="007B5A0B"/>
    <w:rsid w:val="007B6729"/>
    <w:rsid w:val="007B6B6F"/>
    <w:rsid w:val="007C0075"/>
    <w:rsid w:val="007C305E"/>
    <w:rsid w:val="007C3156"/>
    <w:rsid w:val="007C325D"/>
    <w:rsid w:val="007C39B3"/>
    <w:rsid w:val="007C4091"/>
    <w:rsid w:val="007C5E45"/>
    <w:rsid w:val="007C6257"/>
    <w:rsid w:val="007C6C73"/>
    <w:rsid w:val="007C6CF9"/>
    <w:rsid w:val="007C7D9D"/>
    <w:rsid w:val="007D0D11"/>
    <w:rsid w:val="007D1A97"/>
    <w:rsid w:val="007D207B"/>
    <w:rsid w:val="007D22BB"/>
    <w:rsid w:val="007D5B76"/>
    <w:rsid w:val="007D727E"/>
    <w:rsid w:val="007D7587"/>
    <w:rsid w:val="007E053B"/>
    <w:rsid w:val="007E08EE"/>
    <w:rsid w:val="007E0F03"/>
    <w:rsid w:val="007E1B38"/>
    <w:rsid w:val="007E366F"/>
    <w:rsid w:val="007E4A8D"/>
    <w:rsid w:val="007E5E6C"/>
    <w:rsid w:val="007E7022"/>
    <w:rsid w:val="007E717F"/>
    <w:rsid w:val="007E7D0F"/>
    <w:rsid w:val="007E7F6E"/>
    <w:rsid w:val="007F0770"/>
    <w:rsid w:val="007F0B75"/>
    <w:rsid w:val="007F12B8"/>
    <w:rsid w:val="007F2916"/>
    <w:rsid w:val="007F2F20"/>
    <w:rsid w:val="007F34BB"/>
    <w:rsid w:val="007F49B9"/>
    <w:rsid w:val="007F4F8D"/>
    <w:rsid w:val="007F5992"/>
    <w:rsid w:val="007F6380"/>
    <w:rsid w:val="007F6810"/>
    <w:rsid w:val="007F704A"/>
    <w:rsid w:val="007F7EB0"/>
    <w:rsid w:val="00801407"/>
    <w:rsid w:val="00801CA7"/>
    <w:rsid w:val="00801F98"/>
    <w:rsid w:val="00801FF9"/>
    <w:rsid w:val="00802304"/>
    <w:rsid w:val="008030D3"/>
    <w:rsid w:val="00803851"/>
    <w:rsid w:val="00803B1B"/>
    <w:rsid w:val="00804350"/>
    <w:rsid w:val="00805393"/>
    <w:rsid w:val="008066F6"/>
    <w:rsid w:val="0080799D"/>
    <w:rsid w:val="00810F5D"/>
    <w:rsid w:val="008111E6"/>
    <w:rsid w:val="008115B2"/>
    <w:rsid w:val="008127CA"/>
    <w:rsid w:val="00813568"/>
    <w:rsid w:val="00814015"/>
    <w:rsid w:val="0081403F"/>
    <w:rsid w:val="0081448E"/>
    <w:rsid w:val="00814AD8"/>
    <w:rsid w:val="00815BE8"/>
    <w:rsid w:val="008164F1"/>
    <w:rsid w:val="0081674F"/>
    <w:rsid w:val="00816765"/>
    <w:rsid w:val="00816BFB"/>
    <w:rsid w:val="00816F57"/>
    <w:rsid w:val="00817B3E"/>
    <w:rsid w:val="00817DBD"/>
    <w:rsid w:val="00820091"/>
    <w:rsid w:val="00820290"/>
    <w:rsid w:val="00821070"/>
    <w:rsid w:val="00821D93"/>
    <w:rsid w:val="00822576"/>
    <w:rsid w:val="0082322E"/>
    <w:rsid w:val="008237E4"/>
    <w:rsid w:val="00823A53"/>
    <w:rsid w:val="00823D56"/>
    <w:rsid w:val="00824BB3"/>
    <w:rsid w:val="008263A5"/>
    <w:rsid w:val="00827461"/>
    <w:rsid w:val="00827DB2"/>
    <w:rsid w:val="00830A14"/>
    <w:rsid w:val="00831050"/>
    <w:rsid w:val="008319C6"/>
    <w:rsid w:val="00831E59"/>
    <w:rsid w:val="00831E83"/>
    <w:rsid w:val="00831E8C"/>
    <w:rsid w:val="008329DD"/>
    <w:rsid w:val="00833944"/>
    <w:rsid w:val="00833E77"/>
    <w:rsid w:val="008340EA"/>
    <w:rsid w:val="0083426E"/>
    <w:rsid w:val="008346B2"/>
    <w:rsid w:val="00835473"/>
    <w:rsid w:val="00835BB8"/>
    <w:rsid w:val="00836148"/>
    <w:rsid w:val="00836833"/>
    <w:rsid w:val="00837971"/>
    <w:rsid w:val="00837DF7"/>
    <w:rsid w:val="00842755"/>
    <w:rsid w:val="00844521"/>
    <w:rsid w:val="00844582"/>
    <w:rsid w:val="008449BE"/>
    <w:rsid w:val="00844B92"/>
    <w:rsid w:val="00845B30"/>
    <w:rsid w:val="008475C5"/>
    <w:rsid w:val="00847838"/>
    <w:rsid w:val="0084797E"/>
    <w:rsid w:val="008500D5"/>
    <w:rsid w:val="008515A3"/>
    <w:rsid w:val="00851CE4"/>
    <w:rsid w:val="008529F9"/>
    <w:rsid w:val="00853AD3"/>
    <w:rsid w:val="008543E0"/>
    <w:rsid w:val="00855DAF"/>
    <w:rsid w:val="0085632F"/>
    <w:rsid w:val="0085690E"/>
    <w:rsid w:val="00857457"/>
    <w:rsid w:val="00860FF2"/>
    <w:rsid w:val="0086177F"/>
    <w:rsid w:val="008647B2"/>
    <w:rsid w:val="00865AD2"/>
    <w:rsid w:val="00865B80"/>
    <w:rsid w:val="0086602C"/>
    <w:rsid w:val="00866514"/>
    <w:rsid w:val="00866E88"/>
    <w:rsid w:val="00867800"/>
    <w:rsid w:val="00870DEC"/>
    <w:rsid w:val="008710A7"/>
    <w:rsid w:val="00871F39"/>
    <w:rsid w:val="00872069"/>
    <w:rsid w:val="0087272E"/>
    <w:rsid w:val="0087340E"/>
    <w:rsid w:val="008773AB"/>
    <w:rsid w:val="00880FF5"/>
    <w:rsid w:val="008815EC"/>
    <w:rsid w:val="00881605"/>
    <w:rsid w:val="008822FF"/>
    <w:rsid w:val="008832F0"/>
    <w:rsid w:val="008834B7"/>
    <w:rsid w:val="00884CDA"/>
    <w:rsid w:val="00884CFB"/>
    <w:rsid w:val="00884F6A"/>
    <w:rsid w:val="00886684"/>
    <w:rsid w:val="0089016D"/>
    <w:rsid w:val="00891712"/>
    <w:rsid w:val="00891F1C"/>
    <w:rsid w:val="008937B3"/>
    <w:rsid w:val="0089447C"/>
    <w:rsid w:val="0089536C"/>
    <w:rsid w:val="00897026"/>
    <w:rsid w:val="00897293"/>
    <w:rsid w:val="008A0AFA"/>
    <w:rsid w:val="008A1A6B"/>
    <w:rsid w:val="008A222F"/>
    <w:rsid w:val="008A25A1"/>
    <w:rsid w:val="008A4522"/>
    <w:rsid w:val="008A488C"/>
    <w:rsid w:val="008A56F9"/>
    <w:rsid w:val="008A78DA"/>
    <w:rsid w:val="008B1275"/>
    <w:rsid w:val="008B13D7"/>
    <w:rsid w:val="008B190B"/>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E17"/>
    <w:rsid w:val="008C3277"/>
    <w:rsid w:val="008C4009"/>
    <w:rsid w:val="008C43ED"/>
    <w:rsid w:val="008C4EFA"/>
    <w:rsid w:val="008C4FAC"/>
    <w:rsid w:val="008C5980"/>
    <w:rsid w:val="008C6A1E"/>
    <w:rsid w:val="008C6C47"/>
    <w:rsid w:val="008C6CDA"/>
    <w:rsid w:val="008C7DBC"/>
    <w:rsid w:val="008D0A5E"/>
    <w:rsid w:val="008D16A3"/>
    <w:rsid w:val="008D1D11"/>
    <w:rsid w:val="008D22A5"/>
    <w:rsid w:val="008D28B3"/>
    <w:rsid w:val="008D2B35"/>
    <w:rsid w:val="008D2C51"/>
    <w:rsid w:val="008D46E9"/>
    <w:rsid w:val="008D5428"/>
    <w:rsid w:val="008E0040"/>
    <w:rsid w:val="008E0A1A"/>
    <w:rsid w:val="008E1AE0"/>
    <w:rsid w:val="008E1C4B"/>
    <w:rsid w:val="008E2907"/>
    <w:rsid w:val="008E3C76"/>
    <w:rsid w:val="008E44AE"/>
    <w:rsid w:val="008E57CA"/>
    <w:rsid w:val="008E63F3"/>
    <w:rsid w:val="008E6843"/>
    <w:rsid w:val="008F0B67"/>
    <w:rsid w:val="008F1E22"/>
    <w:rsid w:val="008F2D32"/>
    <w:rsid w:val="008F2D9B"/>
    <w:rsid w:val="008F3A83"/>
    <w:rsid w:val="008F62C1"/>
    <w:rsid w:val="008F640C"/>
    <w:rsid w:val="008F7371"/>
    <w:rsid w:val="009000E6"/>
    <w:rsid w:val="00900834"/>
    <w:rsid w:val="009009EE"/>
    <w:rsid w:val="00901226"/>
    <w:rsid w:val="00902679"/>
    <w:rsid w:val="00902962"/>
    <w:rsid w:val="0090370E"/>
    <w:rsid w:val="00903CD9"/>
    <w:rsid w:val="009043B4"/>
    <w:rsid w:val="00904DB7"/>
    <w:rsid w:val="00905951"/>
    <w:rsid w:val="00907304"/>
    <w:rsid w:val="00911B29"/>
    <w:rsid w:val="0091238C"/>
    <w:rsid w:val="00913391"/>
    <w:rsid w:val="00913596"/>
    <w:rsid w:val="00913D38"/>
    <w:rsid w:val="009151CF"/>
    <w:rsid w:val="009157F7"/>
    <w:rsid w:val="00915EA9"/>
    <w:rsid w:val="0091626F"/>
    <w:rsid w:val="00916B32"/>
    <w:rsid w:val="00916F62"/>
    <w:rsid w:val="00917B5E"/>
    <w:rsid w:val="00917CCA"/>
    <w:rsid w:val="00921495"/>
    <w:rsid w:val="00921F4B"/>
    <w:rsid w:val="0092306F"/>
    <w:rsid w:val="00923E70"/>
    <w:rsid w:val="00923ED0"/>
    <w:rsid w:val="00923F29"/>
    <w:rsid w:val="00924B8B"/>
    <w:rsid w:val="00924D46"/>
    <w:rsid w:val="00926031"/>
    <w:rsid w:val="009265A9"/>
    <w:rsid w:val="00926680"/>
    <w:rsid w:val="009267D2"/>
    <w:rsid w:val="00927381"/>
    <w:rsid w:val="009277D5"/>
    <w:rsid w:val="00927FCB"/>
    <w:rsid w:val="00930CBE"/>
    <w:rsid w:val="00931976"/>
    <w:rsid w:val="00932743"/>
    <w:rsid w:val="00932812"/>
    <w:rsid w:val="00934840"/>
    <w:rsid w:val="00934891"/>
    <w:rsid w:val="00935F53"/>
    <w:rsid w:val="00937797"/>
    <w:rsid w:val="0094018E"/>
    <w:rsid w:val="009407AB"/>
    <w:rsid w:val="00941D3C"/>
    <w:rsid w:val="00941DF3"/>
    <w:rsid w:val="00943A59"/>
    <w:rsid w:val="00944783"/>
    <w:rsid w:val="009479B6"/>
    <w:rsid w:val="0095024E"/>
    <w:rsid w:val="00950DFB"/>
    <w:rsid w:val="00951A61"/>
    <w:rsid w:val="009525BA"/>
    <w:rsid w:val="00952B77"/>
    <w:rsid w:val="00952F55"/>
    <w:rsid w:val="009530C3"/>
    <w:rsid w:val="00953B37"/>
    <w:rsid w:val="00956AA3"/>
    <w:rsid w:val="00957902"/>
    <w:rsid w:val="00960D0F"/>
    <w:rsid w:val="00961589"/>
    <w:rsid w:val="009618EF"/>
    <w:rsid w:val="009619D4"/>
    <w:rsid w:val="00961D80"/>
    <w:rsid w:val="00963DAF"/>
    <w:rsid w:val="00965581"/>
    <w:rsid w:val="009657D4"/>
    <w:rsid w:val="009658C8"/>
    <w:rsid w:val="00967F27"/>
    <w:rsid w:val="00970B44"/>
    <w:rsid w:val="00970D8C"/>
    <w:rsid w:val="0097126C"/>
    <w:rsid w:val="0097161C"/>
    <w:rsid w:val="00972899"/>
    <w:rsid w:val="00974716"/>
    <w:rsid w:val="0097493F"/>
    <w:rsid w:val="00975D12"/>
    <w:rsid w:val="0097655D"/>
    <w:rsid w:val="009779CD"/>
    <w:rsid w:val="00980A2A"/>
    <w:rsid w:val="009813D2"/>
    <w:rsid w:val="00981E30"/>
    <w:rsid w:val="00981E4A"/>
    <w:rsid w:val="00982294"/>
    <w:rsid w:val="00982E9B"/>
    <w:rsid w:val="009840B5"/>
    <w:rsid w:val="00984DA1"/>
    <w:rsid w:val="009850DA"/>
    <w:rsid w:val="009860BE"/>
    <w:rsid w:val="0098635D"/>
    <w:rsid w:val="00986723"/>
    <w:rsid w:val="0098714B"/>
    <w:rsid w:val="00987715"/>
    <w:rsid w:val="0098774B"/>
    <w:rsid w:val="00987F3E"/>
    <w:rsid w:val="0099037D"/>
    <w:rsid w:val="00991815"/>
    <w:rsid w:val="0099212F"/>
    <w:rsid w:val="009931A6"/>
    <w:rsid w:val="00993BEF"/>
    <w:rsid w:val="00994682"/>
    <w:rsid w:val="0099489F"/>
    <w:rsid w:val="00997DC2"/>
    <w:rsid w:val="009A0D25"/>
    <w:rsid w:val="009A0D3E"/>
    <w:rsid w:val="009A1A21"/>
    <w:rsid w:val="009A1CC1"/>
    <w:rsid w:val="009A26D3"/>
    <w:rsid w:val="009A2D30"/>
    <w:rsid w:val="009A2EF6"/>
    <w:rsid w:val="009A5018"/>
    <w:rsid w:val="009B0465"/>
    <w:rsid w:val="009B17BE"/>
    <w:rsid w:val="009B249B"/>
    <w:rsid w:val="009B33E6"/>
    <w:rsid w:val="009B660D"/>
    <w:rsid w:val="009B7BA1"/>
    <w:rsid w:val="009C092F"/>
    <w:rsid w:val="009C2967"/>
    <w:rsid w:val="009C49B7"/>
    <w:rsid w:val="009C4F32"/>
    <w:rsid w:val="009C5D76"/>
    <w:rsid w:val="009C6823"/>
    <w:rsid w:val="009C70ED"/>
    <w:rsid w:val="009D0992"/>
    <w:rsid w:val="009D14E9"/>
    <w:rsid w:val="009D1B98"/>
    <w:rsid w:val="009D256A"/>
    <w:rsid w:val="009D2A2A"/>
    <w:rsid w:val="009D41A1"/>
    <w:rsid w:val="009D4D8C"/>
    <w:rsid w:val="009D616E"/>
    <w:rsid w:val="009D6753"/>
    <w:rsid w:val="009D7926"/>
    <w:rsid w:val="009E0941"/>
    <w:rsid w:val="009E14E0"/>
    <w:rsid w:val="009E16B4"/>
    <w:rsid w:val="009E3538"/>
    <w:rsid w:val="009E3B69"/>
    <w:rsid w:val="009E3B87"/>
    <w:rsid w:val="009E482D"/>
    <w:rsid w:val="009E4EDB"/>
    <w:rsid w:val="009E5499"/>
    <w:rsid w:val="009E76CC"/>
    <w:rsid w:val="009F0243"/>
    <w:rsid w:val="009F0F55"/>
    <w:rsid w:val="009F0FAA"/>
    <w:rsid w:val="009F1359"/>
    <w:rsid w:val="009F177F"/>
    <w:rsid w:val="009F38D5"/>
    <w:rsid w:val="009F38E6"/>
    <w:rsid w:val="009F557C"/>
    <w:rsid w:val="009F7399"/>
    <w:rsid w:val="009F79AB"/>
    <w:rsid w:val="009F7D03"/>
    <w:rsid w:val="00A00041"/>
    <w:rsid w:val="00A0087D"/>
    <w:rsid w:val="00A014F1"/>
    <w:rsid w:val="00A01766"/>
    <w:rsid w:val="00A01825"/>
    <w:rsid w:val="00A0214F"/>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0218"/>
    <w:rsid w:val="00A21F01"/>
    <w:rsid w:val="00A2300A"/>
    <w:rsid w:val="00A23D8B"/>
    <w:rsid w:val="00A245AE"/>
    <w:rsid w:val="00A253B3"/>
    <w:rsid w:val="00A254A2"/>
    <w:rsid w:val="00A254CB"/>
    <w:rsid w:val="00A255D9"/>
    <w:rsid w:val="00A25A27"/>
    <w:rsid w:val="00A27390"/>
    <w:rsid w:val="00A276E2"/>
    <w:rsid w:val="00A27D5A"/>
    <w:rsid w:val="00A30B08"/>
    <w:rsid w:val="00A3192E"/>
    <w:rsid w:val="00A31E02"/>
    <w:rsid w:val="00A32FB2"/>
    <w:rsid w:val="00A3331B"/>
    <w:rsid w:val="00A34160"/>
    <w:rsid w:val="00A344B6"/>
    <w:rsid w:val="00A34623"/>
    <w:rsid w:val="00A34BFE"/>
    <w:rsid w:val="00A36325"/>
    <w:rsid w:val="00A36BDD"/>
    <w:rsid w:val="00A36FA2"/>
    <w:rsid w:val="00A3721B"/>
    <w:rsid w:val="00A42366"/>
    <w:rsid w:val="00A42760"/>
    <w:rsid w:val="00A443BE"/>
    <w:rsid w:val="00A44835"/>
    <w:rsid w:val="00A45357"/>
    <w:rsid w:val="00A453FE"/>
    <w:rsid w:val="00A4590E"/>
    <w:rsid w:val="00A45C37"/>
    <w:rsid w:val="00A47776"/>
    <w:rsid w:val="00A47868"/>
    <w:rsid w:val="00A506B0"/>
    <w:rsid w:val="00A52F3C"/>
    <w:rsid w:val="00A5352D"/>
    <w:rsid w:val="00A54040"/>
    <w:rsid w:val="00A540F9"/>
    <w:rsid w:val="00A54FE6"/>
    <w:rsid w:val="00A55189"/>
    <w:rsid w:val="00A563B5"/>
    <w:rsid w:val="00A56806"/>
    <w:rsid w:val="00A56F54"/>
    <w:rsid w:val="00A60170"/>
    <w:rsid w:val="00A606E7"/>
    <w:rsid w:val="00A622E0"/>
    <w:rsid w:val="00A62EBE"/>
    <w:rsid w:val="00A64E44"/>
    <w:rsid w:val="00A65F13"/>
    <w:rsid w:val="00A663CE"/>
    <w:rsid w:val="00A66900"/>
    <w:rsid w:val="00A66BF7"/>
    <w:rsid w:val="00A678CE"/>
    <w:rsid w:val="00A716C9"/>
    <w:rsid w:val="00A71F39"/>
    <w:rsid w:val="00A721C9"/>
    <w:rsid w:val="00A74C2E"/>
    <w:rsid w:val="00A761FD"/>
    <w:rsid w:val="00A76B65"/>
    <w:rsid w:val="00A774A2"/>
    <w:rsid w:val="00A807DE"/>
    <w:rsid w:val="00A83AC3"/>
    <w:rsid w:val="00A83C65"/>
    <w:rsid w:val="00A83DFA"/>
    <w:rsid w:val="00A84978"/>
    <w:rsid w:val="00A8572D"/>
    <w:rsid w:val="00A8611F"/>
    <w:rsid w:val="00A86364"/>
    <w:rsid w:val="00A9190A"/>
    <w:rsid w:val="00A91B4E"/>
    <w:rsid w:val="00A9221C"/>
    <w:rsid w:val="00A9231A"/>
    <w:rsid w:val="00A92F02"/>
    <w:rsid w:val="00A93A44"/>
    <w:rsid w:val="00A9538E"/>
    <w:rsid w:val="00A9735D"/>
    <w:rsid w:val="00AA020C"/>
    <w:rsid w:val="00AA08A4"/>
    <w:rsid w:val="00AA152B"/>
    <w:rsid w:val="00AA4F3B"/>
    <w:rsid w:val="00AA542F"/>
    <w:rsid w:val="00AA5F2D"/>
    <w:rsid w:val="00AA6B61"/>
    <w:rsid w:val="00AA6F27"/>
    <w:rsid w:val="00AA75E0"/>
    <w:rsid w:val="00AB1B0E"/>
    <w:rsid w:val="00AB40BC"/>
    <w:rsid w:val="00AB45B1"/>
    <w:rsid w:val="00AB45EC"/>
    <w:rsid w:val="00AB549E"/>
    <w:rsid w:val="00AB7429"/>
    <w:rsid w:val="00AB780B"/>
    <w:rsid w:val="00AC1BBE"/>
    <w:rsid w:val="00AC37BF"/>
    <w:rsid w:val="00AC5AAC"/>
    <w:rsid w:val="00AC745C"/>
    <w:rsid w:val="00AC7564"/>
    <w:rsid w:val="00AD10B8"/>
    <w:rsid w:val="00AD1917"/>
    <w:rsid w:val="00AD2E0A"/>
    <w:rsid w:val="00AD3080"/>
    <w:rsid w:val="00AD4ACB"/>
    <w:rsid w:val="00AD7F9C"/>
    <w:rsid w:val="00AE4146"/>
    <w:rsid w:val="00AE4F81"/>
    <w:rsid w:val="00AE66D0"/>
    <w:rsid w:val="00AF02F3"/>
    <w:rsid w:val="00AF0DDD"/>
    <w:rsid w:val="00AF1C8B"/>
    <w:rsid w:val="00AF3A86"/>
    <w:rsid w:val="00AF564E"/>
    <w:rsid w:val="00B00586"/>
    <w:rsid w:val="00B0068E"/>
    <w:rsid w:val="00B00C05"/>
    <w:rsid w:val="00B014E4"/>
    <w:rsid w:val="00B020A2"/>
    <w:rsid w:val="00B0240E"/>
    <w:rsid w:val="00B02C70"/>
    <w:rsid w:val="00B02FF3"/>
    <w:rsid w:val="00B04DFF"/>
    <w:rsid w:val="00B05F62"/>
    <w:rsid w:val="00B077BA"/>
    <w:rsid w:val="00B10281"/>
    <w:rsid w:val="00B11A3D"/>
    <w:rsid w:val="00B11A47"/>
    <w:rsid w:val="00B1262E"/>
    <w:rsid w:val="00B12D74"/>
    <w:rsid w:val="00B1336E"/>
    <w:rsid w:val="00B148C6"/>
    <w:rsid w:val="00B1499C"/>
    <w:rsid w:val="00B15557"/>
    <w:rsid w:val="00B221E8"/>
    <w:rsid w:val="00B23AAB"/>
    <w:rsid w:val="00B2403D"/>
    <w:rsid w:val="00B2407C"/>
    <w:rsid w:val="00B2503E"/>
    <w:rsid w:val="00B25BEA"/>
    <w:rsid w:val="00B2660A"/>
    <w:rsid w:val="00B26AE9"/>
    <w:rsid w:val="00B30BD4"/>
    <w:rsid w:val="00B311B9"/>
    <w:rsid w:val="00B316C0"/>
    <w:rsid w:val="00B3188A"/>
    <w:rsid w:val="00B32862"/>
    <w:rsid w:val="00B331DF"/>
    <w:rsid w:val="00B33981"/>
    <w:rsid w:val="00B3488D"/>
    <w:rsid w:val="00B35C5E"/>
    <w:rsid w:val="00B36A43"/>
    <w:rsid w:val="00B36B88"/>
    <w:rsid w:val="00B37A70"/>
    <w:rsid w:val="00B37BEF"/>
    <w:rsid w:val="00B37EEF"/>
    <w:rsid w:val="00B408E2"/>
    <w:rsid w:val="00B437A0"/>
    <w:rsid w:val="00B452C9"/>
    <w:rsid w:val="00B4677E"/>
    <w:rsid w:val="00B51711"/>
    <w:rsid w:val="00B54829"/>
    <w:rsid w:val="00B5502D"/>
    <w:rsid w:val="00B55774"/>
    <w:rsid w:val="00B55C29"/>
    <w:rsid w:val="00B566CE"/>
    <w:rsid w:val="00B56B7B"/>
    <w:rsid w:val="00B60C40"/>
    <w:rsid w:val="00B6160D"/>
    <w:rsid w:val="00B62AD2"/>
    <w:rsid w:val="00B63265"/>
    <w:rsid w:val="00B63364"/>
    <w:rsid w:val="00B63A89"/>
    <w:rsid w:val="00B64503"/>
    <w:rsid w:val="00B64704"/>
    <w:rsid w:val="00B66150"/>
    <w:rsid w:val="00B665EB"/>
    <w:rsid w:val="00B66885"/>
    <w:rsid w:val="00B67BB0"/>
    <w:rsid w:val="00B70BD3"/>
    <w:rsid w:val="00B71180"/>
    <w:rsid w:val="00B72071"/>
    <w:rsid w:val="00B7290B"/>
    <w:rsid w:val="00B72E95"/>
    <w:rsid w:val="00B73C5D"/>
    <w:rsid w:val="00B74D86"/>
    <w:rsid w:val="00B75B84"/>
    <w:rsid w:val="00B762A3"/>
    <w:rsid w:val="00B762CF"/>
    <w:rsid w:val="00B763B0"/>
    <w:rsid w:val="00B7686D"/>
    <w:rsid w:val="00B76D12"/>
    <w:rsid w:val="00B807EA"/>
    <w:rsid w:val="00B80886"/>
    <w:rsid w:val="00B80CF5"/>
    <w:rsid w:val="00B80F5D"/>
    <w:rsid w:val="00B81FF2"/>
    <w:rsid w:val="00B82513"/>
    <w:rsid w:val="00B829EF"/>
    <w:rsid w:val="00B82DD5"/>
    <w:rsid w:val="00B83157"/>
    <w:rsid w:val="00B845FB"/>
    <w:rsid w:val="00B84F90"/>
    <w:rsid w:val="00B856AF"/>
    <w:rsid w:val="00B86E5F"/>
    <w:rsid w:val="00B904A1"/>
    <w:rsid w:val="00B90545"/>
    <w:rsid w:val="00B91592"/>
    <w:rsid w:val="00B9309B"/>
    <w:rsid w:val="00B93B48"/>
    <w:rsid w:val="00B9448C"/>
    <w:rsid w:val="00B94F99"/>
    <w:rsid w:val="00B960D5"/>
    <w:rsid w:val="00B96341"/>
    <w:rsid w:val="00B96630"/>
    <w:rsid w:val="00B96683"/>
    <w:rsid w:val="00B97C4A"/>
    <w:rsid w:val="00BA09B6"/>
    <w:rsid w:val="00BA0AC1"/>
    <w:rsid w:val="00BA1218"/>
    <w:rsid w:val="00BA14C4"/>
    <w:rsid w:val="00BA36EA"/>
    <w:rsid w:val="00BA682B"/>
    <w:rsid w:val="00BA6F6E"/>
    <w:rsid w:val="00BB0459"/>
    <w:rsid w:val="00BB070D"/>
    <w:rsid w:val="00BB1412"/>
    <w:rsid w:val="00BB17F8"/>
    <w:rsid w:val="00BB2A34"/>
    <w:rsid w:val="00BB3ABF"/>
    <w:rsid w:val="00BB4CB4"/>
    <w:rsid w:val="00BB4DB9"/>
    <w:rsid w:val="00BB6D0E"/>
    <w:rsid w:val="00BC188D"/>
    <w:rsid w:val="00BC258C"/>
    <w:rsid w:val="00BC342A"/>
    <w:rsid w:val="00BC37EB"/>
    <w:rsid w:val="00BC4DEB"/>
    <w:rsid w:val="00BC4EA1"/>
    <w:rsid w:val="00BC5FEC"/>
    <w:rsid w:val="00BC64D5"/>
    <w:rsid w:val="00BC7871"/>
    <w:rsid w:val="00BD02D1"/>
    <w:rsid w:val="00BD07F3"/>
    <w:rsid w:val="00BD1A7A"/>
    <w:rsid w:val="00BD20C7"/>
    <w:rsid w:val="00BD29EA"/>
    <w:rsid w:val="00BD2C2C"/>
    <w:rsid w:val="00BD4B73"/>
    <w:rsid w:val="00BD4FC5"/>
    <w:rsid w:val="00BD55ED"/>
    <w:rsid w:val="00BD5ADD"/>
    <w:rsid w:val="00BD5E42"/>
    <w:rsid w:val="00BD60A7"/>
    <w:rsid w:val="00BD743A"/>
    <w:rsid w:val="00BD7A1C"/>
    <w:rsid w:val="00BE0769"/>
    <w:rsid w:val="00BE184B"/>
    <w:rsid w:val="00BE1C85"/>
    <w:rsid w:val="00BE3AB6"/>
    <w:rsid w:val="00BE4B44"/>
    <w:rsid w:val="00BE4B8E"/>
    <w:rsid w:val="00BE7219"/>
    <w:rsid w:val="00BF0027"/>
    <w:rsid w:val="00BF12A1"/>
    <w:rsid w:val="00BF14A9"/>
    <w:rsid w:val="00BF18DA"/>
    <w:rsid w:val="00BF2459"/>
    <w:rsid w:val="00BF29D2"/>
    <w:rsid w:val="00BF4643"/>
    <w:rsid w:val="00BF518B"/>
    <w:rsid w:val="00BF6896"/>
    <w:rsid w:val="00BF7488"/>
    <w:rsid w:val="00C013D4"/>
    <w:rsid w:val="00C01C23"/>
    <w:rsid w:val="00C01FED"/>
    <w:rsid w:val="00C02A90"/>
    <w:rsid w:val="00C037B9"/>
    <w:rsid w:val="00C03C95"/>
    <w:rsid w:val="00C03E52"/>
    <w:rsid w:val="00C04BC5"/>
    <w:rsid w:val="00C0516A"/>
    <w:rsid w:val="00C054B3"/>
    <w:rsid w:val="00C0567F"/>
    <w:rsid w:val="00C05CC9"/>
    <w:rsid w:val="00C06B3E"/>
    <w:rsid w:val="00C10401"/>
    <w:rsid w:val="00C119E4"/>
    <w:rsid w:val="00C1234B"/>
    <w:rsid w:val="00C12E33"/>
    <w:rsid w:val="00C1319B"/>
    <w:rsid w:val="00C1578B"/>
    <w:rsid w:val="00C1697E"/>
    <w:rsid w:val="00C16DDC"/>
    <w:rsid w:val="00C16DE1"/>
    <w:rsid w:val="00C170D3"/>
    <w:rsid w:val="00C171FF"/>
    <w:rsid w:val="00C20CDF"/>
    <w:rsid w:val="00C210DB"/>
    <w:rsid w:val="00C22AA2"/>
    <w:rsid w:val="00C22DDA"/>
    <w:rsid w:val="00C22FBD"/>
    <w:rsid w:val="00C2329E"/>
    <w:rsid w:val="00C2340A"/>
    <w:rsid w:val="00C245B0"/>
    <w:rsid w:val="00C24833"/>
    <w:rsid w:val="00C249C9"/>
    <w:rsid w:val="00C26269"/>
    <w:rsid w:val="00C27072"/>
    <w:rsid w:val="00C2720B"/>
    <w:rsid w:val="00C27515"/>
    <w:rsid w:val="00C27912"/>
    <w:rsid w:val="00C27AE7"/>
    <w:rsid w:val="00C30794"/>
    <w:rsid w:val="00C31396"/>
    <w:rsid w:val="00C3189F"/>
    <w:rsid w:val="00C327A4"/>
    <w:rsid w:val="00C328D1"/>
    <w:rsid w:val="00C33BD6"/>
    <w:rsid w:val="00C34372"/>
    <w:rsid w:val="00C351E7"/>
    <w:rsid w:val="00C366A9"/>
    <w:rsid w:val="00C37B62"/>
    <w:rsid w:val="00C422AD"/>
    <w:rsid w:val="00C43545"/>
    <w:rsid w:val="00C439B2"/>
    <w:rsid w:val="00C46726"/>
    <w:rsid w:val="00C47429"/>
    <w:rsid w:val="00C506C9"/>
    <w:rsid w:val="00C508F9"/>
    <w:rsid w:val="00C518F4"/>
    <w:rsid w:val="00C52725"/>
    <w:rsid w:val="00C54CC0"/>
    <w:rsid w:val="00C57A35"/>
    <w:rsid w:val="00C57E57"/>
    <w:rsid w:val="00C61677"/>
    <w:rsid w:val="00C63C1E"/>
    <w:rsid w:val="00C63C1F"/>
    <w:rsid w:val="00C6423D"/>
    <w:rsid w:val="00C67B18"/>
    <w:rsid w:val="00C70AE1"/>
    <w:rsid w:val="00C71ADD"/>
    <w:rsid w:val="00C72601"/>
    <w:rsid w:val="00C736C7"/>
    <w:rsid w:val="00C75F7C"/>
    <w:rsid w:val="00C760D3"/>
    <w:rsid w:val="00C764AA"/>
    <w:rsid w:val="00C77608"/>
    <w:rsid w:val="00C818A6"/>
    <w:rsid w:val="00C81BC4"/>
    <w:rsid w:val="00C8231F"/>
    <w:rsid w:val="00C82E29"/>
    <w:rsid w:val="00C836E6"/>
    <w:rsid w:val="00C83D82"/>
    <w:rsid w:val="00C86727"/>
    <w:rsid w:val="00C9275D"/>
    <w:rsid w:val="00C92868"/>
    <w:rsid w:val="00C92FEF"/>
    <w:rsid w:val="00C93145"/>
    <w:rsid w:val="00C93331"/>
    <w:rsid w:val="00C9398D"/>
    <w:rsid w:val="00C94C93"/>
    <w:rsid w:val="00C95B8C"/>
    <w:rsid w:val="00C97812"/>
    <w:rsid w:val="00CA09CF"/>
    <w:rsid w:val="00CA0A33"/>
    <w:rsid w:val="00CA0C37"/>
    <w:rsid w:val="00CA18E2"/>
    <w:rsid w:val="00CA19B8"/>
    <w:rsid w:val="00CA19E1"/>
    <w:rsid w:val="00CA41F5"/>
    <w:rsid w:val="00CA46FF"/>
    <w:rsid w:val="00CA6386"/>
    <w:rsid w:val="00CA7265"/>
    <w:rsid w:val="00CA7C60"/>
    <w:rsid w:val="00CB0B68"/>
    <w:rsid w:val="00CB1CCE"/>
    <w:rsid w:val="00CB267A"/>
    <w:rsid w:val="00CB2A84"/>
    <w:rsid w:val="00CB363A"/>
    <w:rsid w:val="00CB3648"/>
    <w:rsid w:val="00CB3A0F"/>
    <w:rsid w:val="00CB6DB6"/>
    <w:rsid w:val="00CB7097"/>
    <w:rsid w:val="00CC15C7"/>
    <w:rsid w:val="00CC1A39"/>
    <w:rsid w:val="00CC1C6E"/>
    <w:rsid w:val="00CC208F"/>
    <w:rsid w:val="00CC24D1"/>
    <w:rsid w:val="00CC2D0B"/>
    <w:rsid w:val="00CC4231"/>
    <w:rsid w:val="00CC43FA"/>
    <w:rsid w:val="00CC58AC"/>
    <w:rsid w:val="00CC6322"/>
    <w:rsid w:val="00CC7302"/>
    <w:rsid w:val="00CC75E5"/>
    <w:rsid w:val="00CD0203"/>
    <w:rsid w:val="00CD1209"/>
    <w:rsid w:val="00CD1F36"/>
    <w:rsid w:val="00CD2EAB"/>
    <w:rsid w:val="00CD33BB"/>
    <w:rsid w:val="00CD3BFB"/>
    <w:rsid w:val="00CD3E15"/>
    <w:rsid w:val="00CD4452"/>
    <w:rsid w:val="00CD4631"/>
    <w:rsid w:val="00CD554D"/>
    <w:rsid w:val="00CD5CDD"/>
    <w:rsid w:val="00CD668D"/>
    <w:rsid w:val="00CE0175"/>
    <w:rsid w:val="00CE4651"/>
    <w:rsid w:val="00CE4728"/>
    <w:rsid w:val="00CE55BB"/>
    <w:rsid w:val="00CE568F"/>
    <w:rsid w:val="00CE5814"/>
    <w:rsid w:val="00CE5943"/>
    <w:rsid w:val="00CE5E5E"/>
    <w:rsid w:val="00CF05AF"/>
    <w:rsid w:val="00CF0FA0"/>
    <w:rsid w:val="00CF1462"/>
    <w:rsid w:val="00CF215D"/>
    <w:rsid w:val="00CF222E"/>
    <w:rsid w:val="00CF346E"/>
    <w:rsid w:val="00CF3D73"/>
    <w:rsid w:val="00CF3FD3"/>
    <w:rsid w:val="00CF4D25"/>
    <w:rsid w:val="00CF5CFF"/>
    <w:rsid w:val="00CF5DDB"/>
    <w:rsid w:val="00CF7480"/>
    <w:rsid w:val="00D00D78"/>
    <w:rsid w:val="00D03DFC"/>
    <w:rsid w:val="00D043A6"/>
    <w:rsid w:val="00D0578D"/>
    <w:rsid w:val="00D06A57"/>
    <w:rsid w:val="00D0754B"/>
    <w:rsid w:val="00D10049"/>
    <w:rsid w:val="00D107DD"/>
    <w:rsid w:val="00D10F7B"/>
    <w:rsid w:val="00D130C2"/>
    <w:rsid w:val="00D13201"/>
    <w:rsid w:val="00D141F9"/>
    <w:rsid w:val="00D149AB"/>
    <w:rsid w:val="00D15B9E"/>
    <w:rsid w:val="00D16227"/>
    <w:rsid w:val="00D16BE6"/>
    <w:rsid w:val="00D175C3"/>
    <w:rsid w:val="00D2108F"/>
    <w:rsid w:val="00D2173D"/>
    <w:rsid w:val="00D22DF4"/>
    <w:rsid w:val="00D24E83"/>
    <w:rsid w:val="00D269E2"/>
    <w:rsid w:val="00D278CF"/>
    <w:rsid w:val="00D31950"/>
    <w:rsid w:val="00D33151"/>
    <w:rsid w:val="00D331B4"/>
    <w:rsid w:val="00D33C03"/>
    <w:rsid w:val="00D3498E"/>
    <w:rsid w:val="00D34DD3"/>
    <w:rsid w:val="00D35119"/>
    <w:rsid w:val="00D359AB"/>
    <w:rsid w:val="00D3651F"/>
    <w:rsid w:val="00D368B4"/>
    <w:rsid w:val="00D409F3"/>
    <w:rsid w:val="00D428E6"/>
    <w:rsid w:val="00D43136"/>
    <w:rsid w:val="00D43A63"/>
    <w:rsid w:val="00D43E42"/>
    <w:rsid w:val="00D4471B"/>
    <w:rsid w:val="00D45511"/>
    <w:rsid w:val="00D45859"/>
    <w:rsid w:val="00D45A36"/>
    <w:rsid w:val="00D46839"/>
    <w:rsid w:val="00D47FD1"/>
    <w:rsid w:val="00D50C8E"/>
    <w:rsid w:val="00D51763"/>
    <w:rsid w:val="00D5237E"/>
    <w:rsid w:val="00D52980"/>
    <w:rsid w:val="00D5329C"/>
    <w:rsid w:val="00D53871"/>
    <w:rsid w:val="00D538E9"/>
    <w:rsid w:val="00D53AEE"/>
    <w:rsid w:val="00D54811"/>
    <w:rsid w:val="00D5516D"/>
    <w:rsid w:val="00D57332"/>
    <w:rsid w:val="00D63466"/>
    <w:rsid w:val="00D63C9E"/>
    <w:rsid w:val="00D63CEE"/>
    <w:rsid w:val="00D65322"/>
    <w:rsid w:val="00D655CE"/>
    <w:rsid w:val="00D66187"/>
    <w:rsid w:val="00D66EBB"/>
    <w:rsid w:val="00D6712E"/>
    <w:rsid w:val="00D67618"/>
    <w:rsid w:val="00D6769D"/>
    <w:rsid w:val="00D67BD4"/>
    <w:rsid w:val="00D7087A"/>
    <w:rsid w:val="00D70E39"/>
    <w:rsid w:val="00D71C2C"/>
    <w:rsid w:val="00D729F4"/>
    <w:rsid w:val="00D72A59"/>
    <w:rsid w:val="00D743E9"/>
    <w:rsid w:val="00D75E49"/>
    <w:rsid w:val="00D76DB2"/>
    <w:rsid w:val="00D76DC1"/>
    <w:rsid w:val="00D777E3"/>
    <w:rsid w:val="00D77E72"/>
    <w:rsid w:val="00D77ECE"/>
    <w:rsid w:val="00D80494"/>
    <w:rsid w:val="00D81E8F"/>
    <w:rsid w:val="00D81F05"/>
    <w:rsid w:val="00D83681"/>
    <w:rsid w:val="00D84555"/>
    <w:rsid w:val="00D84841"/>
    <w:rsid w:val="00D84C21"/>
    <w:rsid w:val="00D84EE4"/>
    <w:rsid w:val="00D85D82"/>
    <w:rsid w:val="00D86BAB"/>
    <w:rsid w:val="00D86DD3"/>
    <w:rsid w:val="00D86FF7"/>
    <w:rsid w:val="00D873DE"/>
    <w:rsid w:val="00D913D9"/>
    <w:rsid w:val="00D91A24"/>
    <w:rsid w:val="00D91B9D"/>
    <w:rsid w:val="00D93382"/>
    <w:rsid w:val="00D9363D"/>
    <w:rsid w:val="00D95AF9"/>
    <w:rsid w:val="00D95CB5"/>
    <w:rsid w:val="00D960BD"/>
    <w:rsid w:val="00D965E3"/>
    <w:rsid w:val="00D96B8C"/>
    <w:rsid w:val="00D97426"/>
    <w:rsid w:val="00D9789F"/>
    <w:rsid w:val="00DA06BD"/>
    <w:rsid w:val="00DA07CA"/>
    <w:rsid w:val="00DA159C"/>
    <w:rsid w:val="00DA22E4"/>
    <w:rsid w:val="00DA26D0"/>
    <w:rsid w:val="00DA363C"/>
    <w:rsid w:val="00DA3ADE"/>
    <w:rsid w:val="00DA4264"/>
    <w:rsid w:val="00DA575D"/>
    <w:rsid w:val="00DA5A8B"/>
    <w:rsid w:val="00DA6BA9"/>
    <w:rsid w:val="00DA6D03"/>
    <w:rsid w:val="00DA7B38"/>
    <w:rsid w:val="00DB058C"/>
    <w:rsid w:val="00DB066D"/>
    <w:rsid w:val="00DB06A2"/>
    <w:rsid w:val="00DB2ABA"/>
    <w:rsid w:val="00DB3B8E"/>
    <w:rsid w:val="00DB67C5"/>
    <w:rsid w:val="00DB7020"/>
    <w:rsid w:val="00DB778D"/>
    <w:rsid w:val="00DC0884"/>
    <w:rsid w:val="00DC35FD"/>
    <w:rsid w:val="00DC3D42"/>
    <w:rsid w:val="00DC3E48"/>
    <w:rsid w:val="00DC3F9E"/>
    <w:rsid w:val="00DC4A86"/>
    <w:rsid w:val="00DC4B9C"/>
    <w:rsid w:val="00DC5A2F"/>
    <w:rsid w:val="00DC5C39"/>
    <w:rsid w:val="00DC5EB3"/>
    <w:rsid w:val="00DD04B9"/>
    <w:rsid w:val="00DD5534"/>
    <w:rsid w:val="00DD5BAE"/>
    <w:rsid w:val="00DD5DA9"/>
    <w:rsid w:val="00DD63EF"/>
    <w:rsid w:val="00DE0696"/>
    <w:rsid w:val="00DE0E48"/>
    <w:rsid w:val="00DE1A70"/>
    <w:rsid w:val="00DE29B9"/>
    <w:rsid w:val="00DE2E78"/>
    <w:rsid w:val="00DE493B"/>
    <w:rsid w:val="00DE4B56"/>
    <w:rsid w:val="00DE4E54"/>
    <w:rsid w:val="00DE4E8D"/>
    <w:rsid w:val="00DE534C"/>
    <w:rsid w:val="00DE7938"/>
    <w:rsid w:val="00DE7A94"/>
    <w:rsid w:val="00DE7E99"/>
    <w:rsid w:val="00DF006C"/>
    <w:rsid w:val="00DF03EC"/>
    <w:rsid w:val="00DF09C2"/>
    <w:rsid w:val="00DF0C0D"/>
    <w:rsid w:val="00DF2145"/>
    <w:rsid w:val="00DF2E88"/>
    <w:rsid w:val="00DF3C99"/>
    <w:rsid w:val="00DF4483"/>
    <w:rsid w:val="00DF4754"/>
    <w:rsid w:val="00DF50DE"/>
    <w:rsid w:val="00DF51B9"/>
    <w:rsid w:val="00DF656D"/>
    <w:rsid w:val="00DF7209"/>
    <w:rsid w:val="00DF74E3"/>
    <w:rsid w:val="00DF7BC1"/>
    <w:rsid w:val="00E00429"/>
    <w:rsid w:val="00E014D1"/>
    <w:rsid w:val="00E01C76"/>
    <w:rsid w:val="00E039F9"/>
    <w:rsid w:val="00E05188"/>
    <w:rsid w:val="00E0593D"/>
    <w:rsid w:val="00E06E1E"/>
    <w:rsid w:val="00E07586"/>
    <w:rsid w:val="00E07AE0"/>
    <w:rsid w:val="00E10173"/>
    <w:rsid w:val="00E106C5"/>
    <w:rsid w:val="00E117F8"/>
    <w:rsid w:val="00E12B62"/>
    <w:rsid w:val="00E14B17"/>
    <w:rsid w:val="00E14C44"/>
    <w:rsid w:val="00E153AC"/>
    <w:rsid w:val="00E1572D"/>
    <w:rsid w:val="00E15983"/>
    <w:rsid w:val="00E160FB"/>
    <w:rsid w:val="00E16474"/>
    <w:rsid w:val="00E1690E"/>
    <w:rsid w:val="00E206F1"/>
    <w:rsid w:val="00E212A6"/>
    <w:rsid w:val="00E214CD"/>
    <w:rsid w:val="00E21C2D"/>
    <w:rsid w:val="00E230F3"/>
    <w:rsid w:val="00E24FCC"/>
    <w:rsid w:val="00E24FF4"/>
    <w:rsid w:val="00E2504F"/>
    <w:rsid w:val="00E25122"/>
    <w:rsid w:val="00E25F62"/>
    <w:rsid w:val="00E261A2"/>
    <w:rsid w:val="00E265A1"/>
    <w:rsid w:val="00E26658"/>
    <w:rsid w:val="00E26D18"/>
    <w:rsid w:val="00E3023B"/>
    <w:rsid w:val="00E30299"/>
    <w:rsid w:val="00E323AB"/>
    <w:rsid w:val="00E3246A"/>
    <w:rsid w:val="00E328CB"/>
    <w:rsid w:val="00E35D54"/>
    <w:rsid w:val="00E36449"/>
    <w:rsid w:val="00E3706A"/>
    <w:rsid w:val="00E37429"/>
    <w:rsid w:val="00E378A8"/>
    <w:rsid w:val="00E404D8"/>
    <w:rsid w:val="00E446DE"/>
    <w:rsid w:val="00E449B5"/>
    <w:rsid w:val="00E4573E"/>
    <w:rsid w:val="00E503E2"/>
    <w:rsid w:val="00E51DA4"/>
    <w:rsid w:val="00E52DDB"/>
    <w:rsid w:val="00E53622"/>
    <w:rsid w:val="00E56AE3"/>
    <w:rsid w:val="00E60359"/>
    <w:rsid w:val="00E61208"/>
    <w:rsid w:val="00E629B1"/>
    <w:rsid w:val="00E62E81"/>
    <w:rsid w:val="00E63132"/>
    <w:rsid w:val="00E636A6"/>
    <w:rsid w:val="00E63B9C"/>
    <w:rsid w:val="00E66812"/>
    <w:rsid w:val="00E716AE"/>
    <w:rsid w:val="00E7282C"/>
    <w:rsid w:val="00E7311E"/>
    <w:rsid w:val="00E74EBE"/>
    <w:rsid w:val="00E75308"/>
    <w:rsid w:val="00E80250"/>
    <w:rsid w:val="00E80548"/>
    <w:rsid w:val="00E8102D"/>
    <w:rsid w:val="00E82E7C"/>
    <w:rsid w:val="00E84067"/>
    <w:rsid w:val="00E84770"/>
    <w:rsid w:val="00E84E23"/>
    <w:rsid w:val="00E85781"/>
    <w:rsid w:val="00E86608"/>
    <w:rsid w:val="00E87594"/>
    <w:rsid w:val="00E8791C"/>
    <w:rsid w:val="00E92F5D"/>
    <w:rsid w:val="00E93312"/>
    <w:rsid w:val="00E939EB"/>
    <w:rsid w:val="00E93DE0"/>
    <w:rsid w:val="00E94A07"/>
    <w:rsid w:val="00E94E62"/>
    <w:rsid w:val="00E9507C"/>
    <w:rsid w:val="00E95285"/>
    <w:rsid w:val="00E95AF0"/>
    <w:rsid w:val="00E972DC"/>
    <w:rsid w:val="00EA0100"/>
    <w:rsid w:val="00EA0864"/>
    <w:rsid w:val="00EA08D5"/>
    <w:rsid w:val="00EA0AB5"/>
    <w:rsid w:val="00EA1D77"/>
    <w:rsid w:val="00EA3164"/>
    <w:rsid w:val="00EA495A"/>
    <w:rsid w:val="00EA50AC"/>
    <w:rsid w:val="00EA5152"/>
    <w:rsid w:val="00EA5A95"/>
    <w:rsid w:val="00EA662D"/>
    <w:rsid w:val="00EA6D1D"/>
    <w:rsid w:val="00EA784E"/>
    <w:rsid w:val="00EB04E2"/>
    <w:rsid w:val="00EB26EF"/>
    <w:rsid w:val="00EB29B5"/>
    <w:rsid w:val="00EB45F9"/>
    <w:rsid w:val="00EB6912"/>
    <w:rsid w:val="00EB7A31"/>
    <w:rsid w:val="00EC1802"/>
    <w:rsid w:val="00EC2E49"/>
    <w:rsid w:val="00EC6E3B"/>
    <w:rsid w:val="00EC6EBE"/>
    <w:rsid w:val="00EC7172"/>
    <w:rsid w:val="00EC79DE"/>
    <w:rsid w:val="00EC79DF"/>
    <w:rsid w:val="00ED0124"/>
    <w:rsid w:val="00ED09DD"/>
    <w:rsid w:val="00ED13E6"/>
    <w:rsid w:val="00ED2321"/>
    <w:rsid w:val="00ED28CF"/>
    <w:rsid w:val="00ED2E2A"/>
    <w:rsid w:val="00ED3502"/>
    <w:rsid w:val="00ED4F9F"/>
    <w:rsid w:val="00ED5846"/>
    <w:rsid w:val="00ED5966"/>
    <w:rsid w:val="00ED6B85"/>
    <w:rsid w:val="00ED6DF5"/>
    <w:rsid w:val="00ED7454"/>
    <w:rsid w:val="00ED75A1"/>
    <w:rsid w:val="00EE0B5D"/>
    <w:rsid w:val="00EE3506"/>
    <w:rsid w:val="00EE3ADB"/>
    <w:rsid w:val="00EE48DB"/>
    <w:rsid w:val="00EE579F"/>
    <w:rsid w:val="00EE7087"/>
    <w:rsid w:val="00EF1F68"/>
    <w:rsid w:val="00EF3C50"/>
    <w:rsid w:val="00EF3E3E"/>
    <w:rsid w:val="00EF3FCB"/>
    <w:rsid w:val="00EF4434"/>
    <w:rsid w:val="00EF59E1"/>
    <w:rsid w:val="00EF5C1D"/>
    <w:rsid w:val="00EF6D9D"/>
    <w:rsid w:val="00EF710A"/>
    <w:rsid w:val="00EF7438"/>
    <w:rsid w:val="00EF7DD1"/>
    <w:rsid w:val="00F000DF"/>
    <w:rsid w:val="00F0051B"/>
    <w:rsid w:val="00F009B0"/>
    <w:rsid w:val="00F00D7D"/>
    <w:rsid w:val="00F0179F"/>
    <w:rsid w:val="00F01CC5"/>
    <w:rsid w:val="00F02735"/>
    <w:rsid w:val="00F027E5"/>
    <w:rsid w:val="00F02D5B"/>
    <w:rsid w:val="00F032A5"/>
    <w:rsid w:val="00F04922"/>
    <w:rsid w:val="00F04AD9"/>
    <w:rsid w:val="00F05C36"/>
    <w:rsid w:val="00F05E67"/>
    <w:rsid w:val="00F0790A"/>
    <w:rsid w:val="00F07E0C"/>
    <w:rsid w:val="00F101C3"/>
    <w:rsid w:val="00F10299"/>
    <w:rsid w:val="00F10D11"/>
    <w:rsid w:val="00F12C93"/>
    <w:rsid w:val="00F13CDD"/>
    <w:rsid w:val="00F143E3"/>
    <w:rsid w:val="00F15022"/>
    <w:rsid w:val="00F159AA"/>
    <w:rsid w:val="00F1793A"/>
    <w:rsid w:val="00F17BC9"/>
    <w:rsid w:val="00F20794"/>
    <w:rsid w:val="00F21052"/>
    <w:rsid w:val="00F21901"/>
    <w:rsid w:val="00F22125"/>
    <w:rsid w:val="00F23FF3"/>
    <w:rsid w:val="00F24A00"/>
    <w:rsid w:val="00F24BEE"/>
    <w:rsid w:val="00F266BE"/>
    <w:rsid w:val="00F26D42"/>
    <w:rsid w:val="00F27ADB"/>
    <w:rsid w:val="00F30A8E"/>
    <w:rsid w:val="00F351D2"/>
    <w:rsid w:val="00F36B83"/>
    <w:rsid w:val="00F36E8D"/>
    <w:rsid w:val="00F376CB"/>
    <w:rsid w:val="00F400FD"/>
    <w:rsid w:val="00F41661"/>
    <w:rsid w:val="00F41F42"/>
    <w:rsid w:val="00F425DF"/>
    <w:rsid w:val="00F437BA"/>
    <w:rsid w:val="00F43BDA"/>
    <w:rsid w:val="00F4600A"/>
    <w:rsid w:val="00F46EDD"/>
    <w:rsid w:val="00F47037"/>
    <w:rsid w:val="00F52224"/>
    <w:rsid w:val="00F52B99"/>
    <w:rsid w:val="00F53856"/>
    <w:rsid w:val="00F53B0E"/>
    <w:rsid w:val="00F53C08"/>
    <w:rsid w:val="00F53DD4"/>
    <w:rsid w:val="00F53E2F"/>
    <w:rsid w:val="00F53E77"/>
    <w:rsid w:val="00F55172"/>
    <w:rsid w:val="00F556FF"/>
    <w:rsid w:val="00F55805"/>
    <w:rsid w:val="00F567D4"/>
    <w:rsid w:val="00F572F8"/>
    <w:rsid w:val="00F57887"/>
    <w:rsid w:val="00F60B2C"/>
    <w:rsid w:val="00F62862"/>
    <w:rsid w:val="00F634C1"/>
    <w:rsid w:val="00F65BD7"/>
    <w:rsid w:val="00F66932"/>
    <w:rsid w:val="00F66BCB"/>
    <w:rsid w:val="00F67BFD"/>
    <w:rsid w:val="00F70712"/>
    <w:rsid w:val="00F70FE8"/>
    <w:rsid w:val="00F71252"/>
    <w:rsid w:val="00F730FF"/>
    <w:rsid w:val="00F735AF"/>
    <w:rsid w:val="00F74C92"/>
    <w:rsid w:val="00F762B5"/>
    <w:rsid w:val="00F77A1E"/>
    <w:rsid w:val="00F77B69"/>
    <w:rsid w:val="00F817EF"/>
    <w:rsid w:val="00F83364"/>
    <w:rsid w:val="00F83F65"/>
    <w:rsid w:val="00F84468"/>
    <w:rsid w:val="00F85512"/>
    <w:rsid w:val="00F85AA2"/>
    <w:rsid w:val="00F85F8E"/>
    <w:rsid w:val="00F86D63"/>
    <w:rsid w:val="00F87681"/>
    <w:rsid w:val="00F90CB0"/>
    <w:rsid w:val="00F91970"/>
    <w:rsid w:val="00F9211E"/>
    <w:rsid w:val="00F92FDE"/>
    <w:rsid w:val="00F93F55"/>
    <w:rsid w:val="00F955B0"/>
    <w:rsid w:val="00F95688"/>
    <w:rsid w:val="00F957BA"/>
    <w:rsid w:val="00F95EE4"/>
    <w:rsid w:val="00F975D6"/>
    <w:rsid w:val="00F97C89"/>
    <w:rsid w:val="00FA1D0B"/>
    <w:rsid w:val="00FA292F"/>
    <w:rsid w:val="00FA33AA"/>
    <w:rsid w:val="00FA3F14"/>
    <w:rsid w:val="00FA5BA3"/>
    <w:rsid w:val="00FB00C8"/>
    <w:rsid w:val="00FB24A4"/>
    <w:rsid w:val="00FB304F"/>
    <w:rsid w:val="00FB324E"/>
    <w:rsid w:val="00FB32D8"/>
    <w:rsid w:val="00FB38B9"/>
    <w:rsid w:val="00FB3B31"/>
    <w:rsid w:val="00FB4569"/>
    <w:rsid w:val="00FB4AE7"/>
    <w:rsid w:val="00FB7945"/>
    <w:rsid w:val="00FB7FF0"/>
    <w:rsid w:val="00FC0527"/>
    <w:rsid w:val="00FC0825"/>
    <w:rsid w:val="00FC1C28"/>
    <w:rsid w:val="00FC24A4"/>
    <w:rsid w:val="00FC2AAE"/>
    <w:rsid w:val="00FC3791"/>
    <w:rsid w:val="00FC3FBE"/>
    <w:rsid w:val="00FC52AE"/>
    <w:rsid w:val="00FC550D"/>
    <w:rsid w:val="00FC6EF3"/>
    <w:rsid w:val="00FD05DB"/>
    <w:rsid w:val="00FD0954"/>
    <w:rsid w:val="00FD14FB"/>
    <w:rsid w:val="00FD1ABC"/>
    <w:rsid w:val="00FD1B3C"/>
    <w:rsid w:val="00FD2C35"/>
    <w:rsid w:val="00FD3107"/>
    <w:rsid w:val="00FD3920"/>
    <w:rsid w:val="00FD42D2"/>
    <w:rsid w:val="00FD45CC"/>
    <w:rsid w:val="00FD543E"/>
    <w:rsid w:val="00FD6210"/>
    <w:rsid w:val="00FD6D8A"/>
    <w:rsid w:val="00FE0238"/>
    <w:rsid w:val="00FE05D9"/>
    <w:rsid w:val="00FE0DF4"/>
    <w:rsid w:val="00FE373B"/>
    <w:rsid w:val="00FE4759"/>
    <w:rsid w:val="00FE4C7C"/>
    <w:rsid w:val="00FE55D0"/>
    <w:rsid w:val="00FE5A48"/>
    <w:rsid w:val="00FE5DA2"/>
    <w:rsid w:val="00FE61C1"/>
    <w:rsid w:val="00FE64C5"/>
    <w:rsid w:val="00FF0BB2"/>
    <w:rsid w:val="00FF0DA9"/>
    <w:rsid w:val="00FF0E00"/>
    <w:rsid w:val="00FF0FE6"/>
    <w:rsid w:val="00FF12FE"/>
    <w:rsid w:val="00FF1B82"/>
    <w:rsid w:val="00FF4426"/>
    <w:rsid w:val="00FF44BB"/>
    <w:rsid w:val="00FF4BCD"/>
    <w:rsid w:val="00FF4FD0"/>
    <w:rsid w:val="00FF59E3"/>
    <w:rsid w:val="00FF6033"/>
    <w:rsid w:val="00FF6527"/>
    <w:rsid w:val="00FF69FC"/>
    <w:rsid w:val="00FF7011"/>
    <w:rsid w:val="011514BB"/>
    <w:rsid w:val="01212CDD"/>
    <w:rsid w:val="01233C99"/>
    <w:rsid w:val="01402F66"/>
    <w:rsid w:val="02086CF8"/>
    <w:rsid w:val="02D76093"/>
    <w:rsid w:val="031248D4"/>
    <w:rsid w:val="032E36F3"/>
    <w:rsid w:val="037C244A"/>
    <w:rsid w:val="0398010D"/>
    <w:rsid w:val="03F87624"/>
    <w:rsid w:val="048C663C"/>
    <w:rsid w:val="0539563E"/>
    <w:rsid w:val="0566472D"/>
    <w:rsid w:val="0598241F"/>
    <w:rsid w:val="05F6352F"/>
    <w:rsid w:val="069F2485"/>
    <w:rsid w:val="06DB6959"/>
    <w:rsid w:val="07D61726"/>
    <w:rsid w:val="07D807FE"/>
    <w:rsid w:val="08877E02"/>
    <w:rsid w:val="08D55932"/>
    <w:rsid w:val="08FE3DBA"/>
    <w:rsid w:val="09296423"/>
    <w:rsid w:val="096A30C1"/>
    <w:rsid w:val="099B03C6"/>
    <w:rsid w:val="09A43975"/>
    <w:rsid w:val="0AA4682B"/>
    <w:rsid w:val="0AF5563C"/>
    <w:rsid w:val="0B9A481D"/>
    <w:rsid w:val="0BDB4888"/>
    <w:rsid w:val="0BFF43CF"/>
    <w:rsid w:val="0C154E5B"/>
    <w:rsid w:val="0CD0072F"/>
    <w:rsid w:val="0CFA0BA3"/>
    <w:rsid w:val="0D3E7A34"/>
    <w:rsid w:val="0D416A1D"/>
    <w:rsid w:val="0D6D0F74"/>
    <w:rsid w:val="0DA6583B"/>
    <w:rsid w:val="0EC443FA"/>
    <w:rsid w:val="0F9718DF"/>
    <w:rsid w:val="11146003"/>
    <w:rsid w:val="11816C50"/>
    <w:rsid w:val="11CE2BC5"/>
    <w:rsid w:val="11EA7963"/>
    <w:rsid w:val="1349403F"/>
    <w:rsid w:val="136F5921"/>
    <w:rsid w:val="13CF62D7"/>
    <w:rsid w:val="14A11C79"/>
    <w:rsid w:val="15101E85"/>
    <w:rsid w:val="15926370"/>
    <w:rsid w:val="165163D9"/>
    <w:rsid w:val="16534C3D"/>
    <w:rsid w:val="16C0090C"/>
    <w:rsid w:val="16C80188"/>
    <w:rsid w:val="16FB6164"/>
    <w:rsid w:val="172D4EE1"/>
    <w:rsid w:val="17922075"/>
    <w:rsid w:val="17B85EB5"/>
    <w:rsid w:val="17DF1523"/>
    <w:rsid w:val="19D461B5"/>
    <w:rsid w:val="19F701BB"/>
    <w:rsid w:val="19FD6AC7"/>
    <w:rsid w:val="19FE5BDF"/>
    <w:rsid w:val="1A683FA5"/>
    <w:rsid w:val="1B671782"/>
    <w:rsid w:val="1C15036B"/>
    <w:rsid w:val="1C236647"/>
    <w:rsid w:val="1D422BA2"/>
    <w:rsid w:val="1D677AC7"/>
    <w:rsid w:val="1D901F24"/>
    <w:rsid w:val="1DC1221D"/>
    <w:rsid w:val="1E875215"/>
    <w:rsid w:val="1ED20F28"/>
    <w:rsid w:val="1EEB610E"/>
    <w:rsid w:val="1F1A5B3D"/>
    <w:rsid w:val="1FC0645B"/>
    <w:rsid w:val="20C11055"/>
    <w:rsid w:val="20FC2FC3"/>
    <w:rsid w:val="2121073C"/>
    <w:rsid w:val="21547EC0"/>
    <w:rsid w:val="240E33D6"/>
    <w:rsid w:val="25121E9D"/>
    <w:rsid w:val="2616610F"/>
    <w:rsid w:val="262B0F05"/>
    <w:rsid w:val="267B7942"/>
    <w:rsid w:val="268A16FF"/>
    <w:rsid w:val="26DF4E5F"/>
    <w:rsid w:val="26F445F7"/>
    <w:rsid w:val="26FA2828"/>
    <w:rsid w:val="27136D4D"/>
    <w:rsid w:val="271B7BDB"/>
    <w:rsid w:val="27EC52AD"/>
    <w:rsid w:val="28220DFE"/>
    <w:rsid w:val="2931482B"/>
    <w:rsid w:val="298947DA"/>
    <w:rsid w:val="2A554B8C"/>
    <w:rsid w:val="2AA9085C"/>
    <w:rsid w:val="2B325FC2"/>
    <w:rsid w:val="2B6518EB"/>
    <w:rsid w:val="2BC058C2"/>
    <w:rsid w:val="2CA61104"/>
    <w:rsid w:val="2CF42E2A"/>
    <w:rsid w:val="2D0E3221"/>
    <w:rsid w:val="2D5E1836"/>
    <w:rsid w:val="2D6D77BB"/>
    <w:rsid w:val="2DA01DDE"/>
    <w:rsid w:val="2DBD10A7"/>
    <w:rsid w:val="2E9C62B5"/>
    <w:rsid w:val="2F234D03"/>
    <w:rsid w:val="2FC24044"/>
    <w:rsid w:val="308D5FAC"/>
    <w:rsid w:val="31725F19"/>
    <w:rsid w:val="32076CD1"/>
    <w:rsid w:val="32E31A05"/>
    <w:rsid w:val="32E50474"/>
    <w:rsid w:val="32EB51EF"/>
    <w:rsid w:val="335048CF"/>
    <w:rsid w:val="336F4AD7"/>
    <w:rsid w:val="344D717F"/>
    <w:rsid w:val="348C17DC"/>
    <w:rsid w:val="34AB04C6"/>
    <w:rsid w:val="34EB6221"/>
    <w:rsid w:val="35091F1D"/>
    <w:rsid w:val="35806981"/>
    <w:rsid w:val="35A155CA"/>
    <w:rsid w:val="364D529E"/>
    <w:rsid w:val="36C826DB"/>
    <w:rsid w:val="36D44E3C"/>
    <w:rsid w:val="370249F1"/>
    <w:rsid w:val="370E1BD7"/>
    <w:rsid w:val="37B417AE"/>
    <w:rsid w:val="37EC13C9"/>
    <w:rsid w:val="382978BE"/>
    <w:rsid w:val="384914F0"/>
    <w:rsid w:val="389238FA"/>
    <w:rsid w:val="38937FD2"/>
    <w:rsid w:val="38D56F5F"/>
    <w:rsid w:val="39DB701B"/>
    <w:rsid w:val="3A30792B"/>
    <w:rsid w:val="3AD924FC"/>
    <w:rsid w:val="3B1241F2"/>
    <w:rsid w:val="3BC2491A"/>
    <w:rsid w:val="3C6979A5"/>
    <w:rsid w:val="3DCD22C3"/>
    <w:rsid w:val="3DF6122B"/>
    <w:rsid w:val="3E0F7526"/>
    <w:rsid w:val="3F4667A7"/>
    <w:rsid w:val="3F805D1D"/>
    <w:rsid w:val="3FCC4A4D"/>
    <w:rsid w:val="40565372"/>
    <w:rsid w:val="40953D89"/>
    <w:rsid w:val="40F64C39"/>
    <w:rsid w:val="41CB6891"/>
    <w:rsid w:val="41D7407F"/>
    <w:rsid w:val="424F46B7"/>
    <w:rsid w:val="425622E6"/>
    <w:rsid w:val="42665787"/>
    <w:rsid w:val="42C91AC4"/>
    <w:rsid w:val="42E22237"/>
    <w:rsid w:val="433F7576"/>
    <w:rsid w:val="445609DE"/>
    <w:rsid w:val="447E6C40"/>
    <w:rsid w:val="449C2B5B"/>
    <w:rsid w:val="455A1375"/>
    <w:rsid w:val="45F43A37"/>
    <w:rsid w:val="46754484"/>
    <w:rsid w:val="478F3F0E"/>
    <w:rsid w:val="47CB7671"/>
    <w:rsid w:val="4802456F"/>
    <w:rsid w:val="48D72797"/>
    <w:rsid w:val="49344837"/>
    <w:rsid w:val="49AA1C33"/>
    <w:rsid w:val="49B401C0"/>
    <w:rsid w:val="4AA77F21"/>
    <w:rsid w:val="4AD56FF2"/>
    <w:rsid w:val="4B1062C6"/>
    <w:rsid w:val="4B1B5001"/>
    <w:rsid w:val="4C321253"/>
    <w:rsid w:val="4C693E1C"/>
    <w:rsid w:val="4C8848EF"/>
    <w:rsid w:val="4CE90687"/>
    <w:rsid w:val="4D166B68"/>
    <w:rsid w:val="4D265A75"/>
    <w:rsid w:val="4D4B674A"/>
    <w:rsid w:val="4F177571"/>
    <w:rsid w:val="4F3463E9"/>
    <w:rsid w:val="4F3B3009"/>
    <w:rsid w:val="4F7C2711"/>
    <w:rsid w:val="513B3885"/>
    <w:rsid w:val="524A34E4"/>
    <w:rsid w:val="52505342"/>
    <w:rsid w:val="525637EF"/>
    <w:rsid w:val="52602717"/>
    <w:rsid w:val="52B8217D"/>
    <w:rsid w:val="52B871A0"/>
    <w:rsid w:val="5361770B"/>
    <w:rsid w:val="53BC2C3D"/>
    <w:rsid w:val="54990E25"/>
    <w:rsid w:val="549E7BB2"/>
    <w:rsid w:val="55034069"/>
    <w:rsid w:val="55E0078B"/>
    <w:rsid w:val="565A0BBB"/>
    <w:rsid w:val="56C86EC2"/>
    <w:rsid w:val="56EA4E79"/>
    <w:rsid w:val="56FB0F03"/>
    <w:rsid w:val="576F5C2F"/>
    <w:rsid w:val="58097123"/>
    <w:rsid w:val="581C67EB"/>
    <w:rsid w:val="58665490"/>
    <w:rsid w:val="58760CFB"/>
    <w:rsid w:val="58FC5D55"/>
    <w:rsid w:val="59BF77AD"/>
    <w:rsid w:val="5ACE32A8"/>
    <w:rsid w:val="5B22220B"/>
    <w:rsid w:val="5B903EEA"/>
    <w:rsid w:val="5B972D02"/>
    <w:rsid w:val="5BC00737"/>
    <w:rsid w:val="5BD2459C"/>
    <w:rsid w:val="5BEB29E9"/>
    <w:rsid w:val="5BEC68A8"/>
    <w:rsid w:val="5BFA45A8"/>
    <w:rsid w:val="5C020D15"/>
    <w:rsid w:val="5C3B36B3"/>
    <w:rsid w:val="5CB9790B"/>
    <w:rsid w:val="5CFC234E"/>
    <w:rsid w:val="5D4A707C"/>
    <w:rsid w:val="5D7806E3"/>
    <w:rsid w:val="5DEA11D6"/>
    <w:rsid w:val="5E2A75E7"/>
    <w:rsid w:val="5E3B6CB5"/>
    <w:rsid w:val="5E791F59"/>
    <w:rsid w:val="5E815008"/>
    <w:rsid w:val="5E897F6E"/>
    <w:rsid w:val="5EAA7B88"/>
    <w:rsid w:val="5F0F2CB3"/>
    <w:rsid w:val="5F2255CB"/>
    <w:rsid w:val="5F516B48"/>
    <w:rsid w:val="5F805814"/>
    <w:rsid w:val="5F842808"/>
    <w:rsid w:val="61EA0889"/>
    <w:rsid w:val="63460818"/>
    <w:rsid w:val="63A13AEC"/>
    <w:rsid w:val="63BA6672"/>
    <w:rsid w:val="64907AE7"/>
    <w:rsid w:val="64F36F86"/>
    <w:rsid w:val="66837C63"/>
    <w:rsid w:val="66ED35DE"/>
    <w:rsid w:val="67041CD4"/>
    <w:rsid w:val="67225C4C"/>
    <w:rsid w:val="679440FF"/>
    <w:rsid w:val="67B80CA6"/>
    <w:rsid w:val="67D212D2"/>
    <w:rsid w:val="67F3365C"/>
    <w:rsid w:val="68697D6B"/>
    <w:rsid w:val="697720DD"/>
    <w:rsid w:val="6A3E4024"/>
    <w:rsid w:val="6A442F9C"/>
    <w:rsid w:val="6B690146"/>
    <w:rsid w:val="6CF52A6A"/>
    <w:rsid w:val="6DCB761A"/>
    <w:rsid w:val="6E162341"/>
    <w:rsid w:val="6E7350DE"/>
    <w:rsid w:val="6F3747D9"/>
    <w:rsid w:val="6FB35185"/>
    <w:rsid w:val="709D2C09"/>
    <w:rsid w:val="711B0076"/>
    <w:rsid w:val="713D3A8E"/>
    <w:rsid w:val="71CD521F"/>
    <w:rsid w:val="72EA361E"/>
    <w:rsid w:val="7315786E"/>
    <w:rsid w:val="73185D84"/>
    <w:rsid w:val="736A54D9"/>
    <w:rsid w:val="73F97190"/>
    <w:rsid w:val="74085791"/>
    <w:rsid w:val="742B70B7"/>
    <w:rsid w:val="746F7F4C"/>
    <w:rsid w:val="74D631DA"/>
    <w:rsid w:val="75286171"/>
    <w:rsid w:val="753A6E01"/>
    <w:rsid w:val="75855555"/>
    <w:rsid w:val="75873117"/>
    <w:rsid w:val="765B232E"/>
    <w:rsid w:val="767B4EB6"/>
    <w:rsid w:val="76A86E68"/>
    <w:rsid w:val="77C00F77"/>
    <w:rsid w:val="78EF2683"/>
    <w:rsid w:val="79625821"/>
    <w:rsid w:val="7BF53C86"/>
    <w:rsid w:val="7D075CCD"/>
    <w:rsid w:val="7D760BA2"/>
    <w:rsid w:val="7DA839D6"/>
    <w:rsid w:val="7DDA0613"/>
    <w:rsid w:val="7E1067E6"/>
    <w:rsid w:val="7E6A62EF"/>
    <w:rsid w:val="7E763E74"/>
    <w:rsid w:val="7F6B2718"/>
    <w:rsid w:val="7F746890"/>
    <w:rsid w:val="7F800765"/>
    <w:rsid w:val="7FE048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0"/>
    <w:pPr>
      <w:keepNext/>
      <w:keepLines/>
      <w:jc w:val="center"/>
      <w:outlineLvl w:val="0"/>
    </w:pPr>
    <w:rPr>
      <w:bCs/>
      <w:kern w:val="44"/>
      <w:sz w:val="36"/>
      <w:szCs w:val="44"/>
    </w:rPr>
  </w:style>
  <w:style w:type="paragraph" w:styleId="4">
    <w:name w:val="heading 2"/>
    <w:basedOn w:val="1"/>
    <w:next w:val="1"/>
    <w:link w:val="50"/>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rPr>
  </w:style>
  <w:style w:type="paragraph" w:styleId="5">
    <w:name w:val="heading 3"/>
    <w:basedOn w:val="1"/>
    <w:next w:val="1"/>
    <w:link w:val="51"/>
    <w:unhideWhenUsed/>
    <w:qFormat/>
    <w:uiPriority w:val="0"/>
    <w:pPr>
      <w:keepNext/>
      <w:keepLines/>
      <w:spacing w:line="560" w:lineRule="exact"/>
      <w:ind w:firstLine="200" w:firstLineChars="200"/>
      <w:outlineLvl w:val="2"/>
    </w:pPr>
    <w:rPr>
      <w:b/>
      <w:bCs/>
      <w:sz w:val="28"/>
      <w:szCs w:val="32"/>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6">
    <w:name w:val="Normal Indent"/>
    <w:basedOn w:val="1"/>
    <w:qFormat/>
    <w:uiPriority w:val="0"/>
    <w:pPr>
      <w:ind w:firstLine="420"/>
    </w:pPr>
    <w:rPr>
      <w:szCs w:val="20"/>
    </w:rPr>
  </w:style>
  <w:style w:type="paragraph" w:styleId="7">
    <w:name w:val="annotation text"/>
    <w:basedOn w:val="1"/>
    <w:semiHidden/>
    <w:qFormat/>
    <w:uiPriority w:val="0"/>
    <w:pPr>
      <w:jc w:val="left"/>
    </w:pPr>
  </w:style>
  <w:style w:type="paragraph" w:styleId="8">
    <w:name w:val="Salutation"/>
    <w:basedOn w:val="1"/>
    <w:next w:val="1"/>
    <w:link w:val="34"/>
    <w:qFormat/>
    <w:uiPriority w:val="0"/>
    <w:rPr>
      <w:rFonts w:eastAsia="仿宋_GB2312"/>
      <w:sz w:val="28"/>
    </w:rPr>
  </w:style>
  <w:style w:type="paragraph" w:styleId="9">
    <w:name w:val="Body Text"/>
    <w:basedOn w:val="1"/>
    <w:uiPriority w:val="0"/>
    <w:rPr>
      <w:sz w:val="18"/>
    </w:rPr>
  </w:style>
  <w:style w:type="paragraph" w:styleId="10">
    <w:name w:val="Body Text Indent"/>
    <w:basedOn w:val="1"/>
    <w:link w:val="63"/>
    <w:qFormat/>
    <w:uiPriority w:val="0"/>
    <w:pPr>
      <w:ind w:firstLine="560" w:firstLineChars="200"/>
    </w:pPr>
    <w:rPr>
      <w:rFonts w:ascii="仿宋_GB2312" w:eastAsia="仿宋_GB2312"/>
      <w:sz w:val="28"/>
    </w:rPr>
  </w:style>
  <w:style w:type="paragraph" w:styleId="11">
    <w:name w:val="toc 3"/>
    <w:basedOn w:val="1"/>
    <w:next w:val="1"/>
    <w:qFormat/>
    <w:uiPriority w:val="39"/>
    <w:pPr>
      <w:ind w:left="840" w:leftChars="400"/>
    </w:pPr>
  </w:style>
  <w:style w:type="paragraph" w:styleId="12">
    <w:name w:val="Plain Text"/>
    <w:basedOn w:val="1"/>
    <w:link w:val="38"/>
    <w:qFormat/>
    <w:uiPriority w:val="0"/>
    <w:rPr>
      <w:rFonts w:ascii="宋体" w:hAnsi="Courier New"/>
      <w:szCs w:val="20"/>
    </w:rPr>
  </w:style>
  <w:style w:type="paragraph" w:styleId="13">
    <w:name w:val="Date"/>
    <w:basedOn w:val="1"/>
    <w:next w:val="1"/>
    <w:qFormat/>
    <w:uiPriority w:val="0"/>
    <w:pPr>
      <w:ind w:left="100" w:leftChars="2500"/>
    </w:pPr>
    <w:rPr>
      <w:rFonts w:ascii="楷体_GB2312" w:eastAsia="楷体_GB2312"/>
      <w:color w:val="FF0000"/>
      <w:sz w:val="28"/>
    </w:rPr>
  </w:style>
  <w:style w:type="paragraph" w:styleId="14">
    <w:name w:val="Body Text Indent 2"/>
    <w:basedOn w:val="1"/>
    <w:qFormat/>
    <w:uiPriority w:val="0"/>
    <w:pPr>
      <w:spacing w:after="120" w:line="480" w:lineRule="auto"/>
      <w:ind w:left="420" w:leftChars="200"/>
    </w:p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qFormat/>
    <w:uiPriority w:val="39"/>
    <w:pPr>
      <w:ind w:left="420" w:leftChars="200"/>
    </w:p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1">
    <w:name w:val="annotation subject"/>
    <w:basedOn w:val="7"/>
    <w:next w:val="7"/>
    <w:semiHidden/>
    <w:qFormat/>
    <w:uiPriority w:val="0"/>
    <w:rPr>
      <w:b/>
      <w:bCs/>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semiHidden/>
    <w:qFormat/>
    <w:uiPriority w:val="0"/>
    <w:rPr>
      <w:sz w:val="21"/>
      <w:szCs w:val="21"/>
    </w:rPr>
  </w:style>
  <w:style w:type="paragraph" w:customStyle="1" w:styleId="29">
    <w:name w:val="Heading2"/>
    <w:basedOn w:val="1"/>
    <w:next w:val="1"/>
    <w:qFormat/>
    <w:uiPriority w:val="0"/>
    <w:pPr>
      <w:widowControl/>
      <w:spacing w:line="540" w:lineRule="exact"/>
      <w:ind w:firstLine="594" w:firstLineChars="200"/>
      <w:textAlignment w:val="baseline"/>
    </w:pPr>
    <w:rPr>
      <w:rFonts w:ascii="宋体" w:hAnsi="宋体"/>
      <w:b/>
      <w:bCs/>
      <w:color w:val="222222"/>
      <w:spacing w:val="8"/>
      <w:kern w:val="0"/>
      <w:sz w:val="28"/>
      <w:szCs w:val="28"/>
    </w:rPr>
  </w:style>
  <w:style w:type="character" w:customStyle="1" w:styleId="30">
    <w:name w:val="tpc_content"/>
    <w:basedOn w:val="24"/>
    <w:qFormat/>
    <w:uiPriority w:val="0"/>
  </w:style>
  <w:style w:type="character" w:customStyle="1" w:styleId="31">
    <w:name w:val="nb_dis"/>
    <w:basedOn w:val="24"/>
    <w:qFormat/>
    <w:uiPriority w:val="0"/>
  </w:style>
  <w:style w:type="character" w:customStyle="1" w:styleId="32">
    <w:name w:val="normal1"/>
    <w:qFormat/>
    <w:uiPriority w:val="0"/>
    <w:rPr>
      <w:rFonts w:hint="default" w:ascii="Tahoma" w:hAnsi="Tahoma" w:cs="Tahoma"/>
      <w:sz w:val="18"/>
      <w:szCs w:val="18"/>
    </w:rPr>
  </w:style>
  <w:style w:type="character" w:customStyle="1" w:styleId="33">
    <w:name w:val="img_wrapper_img_descr"/>
    <w:qFormat/>
    <w:uiPriority w:val="0"/>
  </w:style>
  <w:style w:type="character" w:customStyle="1" w:styleId="34">
    <w:name w:val="称呼 Char"/>
    <w:link w:val="8"/>
    <w:qFormat/>
    <w:uiPriority w:val="0"/>
    <w:rPr>
      <w:rFonts w:eastAsia="仿宋_GB2312"/>
      <w:kern w:val="2"/>
      <w:sz w:val="28"/>
      <w:szCs w:val="24"/>
    </w:rPr>
  </w:style>
  <w:style w:type="character" w:customStyle="1" w:styleId="35">
    <w:name w:val="apple-converted-space"/>
    <w:qFormat/>
    <w:uiPriority w:val="0"/>
  </w:style>
  <w:style w:type="character" w:customStyle="1" w:styleId="36">
    <w:name w:val="cctt"/>
    <w:basedOn w:val="24"/>
    <w:qFormat/>
    <w:uiPriority w:val="0"/>
  </w:style>
  <w:style w:type="character" w:customStyle="1" w:styleId="37">
    <w:name w:val="ellipsis"/>
    <w:basedOn w:val="24"/>
    <w:qFormat/>
    <w:uiPriority w:val="0"/>
  </w:style>
  <w:style w:type="character" w:customStyle="1" w:styleId="38">
    <w:name w:val="纯文本 Char"/>
    <w:link w:val="12"/>
    <w:qFormat/>
    <w:locked/>
    <w:uiPriority w:val="0"/>
    <w:rPr>
      <w:rFonts w:ascii="宋体" w:hAnsi="Courier New" w:eastAsia="宋体"/>
      <w:kern w:val="2"/>
      <w:sz w:val="21"/>
      <w:lang w:val="en-US" w:eastAsia="zh-CN" w:bidi="ar-SA"/>
    </w:rPr>
  </w:style>
  <w:style w:type="character" w:customStyle="1" w:styleId="39">
    <w:name w:val="style11"/>
    <w:qFormat/>
    <w:uiPriority w:val="0"/>
    <w:rPr>
      <w:color w:val="000000"/>
    </w:rPr>
  </w:style>
  <w:style w:type="paragraph" w:customStyle="1" w:styleId="40">
    <w:name w:val="Char Char"/>
    <w:basedOn w:val="1"/>
    <w:qFormat/>
    <w:uiPriority w:val="0"/>
    <w:rPr>
      <w:szCs w:val="20"/>
    </w:rPr>
  </w:style>
  <w:style w:type="paragraph" w:customStyle="1" w:styleId="41">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Char"/>
    <w:basedOn w:val="1"/>
    <w:qFormat/>
    <w:uiPriority w:val="0"/>
    <w:rPr>
      <w:rFonts w:ascii="Tahoma" w:hAnsi="Tahoma"/>
      <w:sz w:val="24"/>
      <w:szCs w:val="20"/>
    </w:rPr>
  </w:style>
  <w:style w:type="paragraph" w:customStyle="1" w:styleId="43">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4">
    <w:name w:val="表"/>
    <w:basedOn w:val="1"/>
    <w:qFormat/>
    <w:uiPriority w:val="0"/>
    <w:pPr>
      <w:spacing w:beforeLines="10" w:afterLines="10"/>
      <w:jc w:val="center"/>
    </w:pPr>
    <w:rPr>
      <w:szCs w:val="20"/>
    </w:rPr>
  </w:style>
  <w:style w:type="paragraph" w:customStyle="1" w:styleId="45">
    <w:name w:val="_Style 19"/>
    <w:basedOn w:val="1"/>
    <w:qFormat/>
    <w:uiPriority w:val="0"/>
    <w:rPr>
      <w:szCs w:val="20"/>
    </w:rPr>
  </w:style>
  <w:style w:type="paragraph" w:customStyle="1" w:styleId="46">
    <w:name w:val="Char Char1 Char Char Char Char"/>
    <w:basedOn w:val="1"/>
    <w:qFormat/>
    <w:uiPriority w:val="0"/>
    <w:rPr>
      <w:szCs w:val="20"/>
    </w:rPr>
  </w:style>
  <w:style w:type="paragraph" w:customStyle="1" w:styleId="47">
    <w:name w:val="Char Char1 Char Char Char Char Char Char1 Char Char"/>
    <w:basedOn w:val="1"/>
    <w:qFormat/>
    <w:uiPriority w:val="0"/>
    <w:rPr>
      <w:szCs w:val="20"/>
    </w:rPr>
  </w:style>
  <w:style w:type="paragraph" w:customStyle="1" w:styleId="48">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9">
    <w:name w:val="标题 1 Char"/>
    <w:link w:val="3"/>
    <w:qFormat/>
    <w:uiPriority w:val="0"/>
    <w:rPr>
      <w:bCs/>
      <w:kern w:val="44"/>
      <w:sz w:val="36"/>
      <w:szCs w:val="44"/>
    </w:rPr>
  </w:style>
  <w:style w:type="character" w:customStyle="1" w:styleId="50">
    <w:name w:val="标题 2 Char"/>
    <w:link w:val="4"/>
    <w:qFormat/>
    <w:uiPriority w:val="9"/>
    <w:rPr>
      <w:rFonts w:ascii="宋体" w:hAnsi="宋体" w:eastAsia="宋体"/>
      <w:b/>
      <w:bCs/>
      <w:color w:val="222222"/>
      <w:spacing w:val="8"/>
      <w:sz w:val="28"/>
      <w:szCs w:val="28"/>
    </w:rPr>
  </w:style>
  <w:style w:type="character" w:customStyle="1" w:styleId="51">
    <w:name w:val="标题 3 Char"/>
    <w:link w:val="5"/>
    <w:qFormat/>
    <w:uiPriority w:val="0"/>
    <w:rPr>
      <w:rFonts w:eastAsia="宋体"/>
      <w:b/>
      <w:bCs/>
      <w:kern w:val="2"/>
      <w:sz w:val="28"/>
      <w:szCs w:val="32"/>
    </w:rPr>
  </w:style>
  <w:style w:type="paragraph" w:customStyle="1" w:styleId="52">
    <w:name w:val="TOC 标题1"/>
    <w:basedOn w:val="3"/>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3">
    <w:name w:val="font61"/>
    <w:basedOn w:val="24"/>
    <w:qFormat/>
    <w:uiPriority w:val="0"/>
    <w:rPr>
      <w:rFonts w:hint="eastAsia" w:ascii="宋体" w:hAnsi="宋体" w:eastAsia="宋体" w:cs="宋体"/>
      <w:color w:val="000000"/>
      <w:sz w:val="24"/>
      <w:szCs w:val="24"/>
      <w:u w:val="none"/>
    </w:rPr>
  </w:style>
  <w:style w:type="character" w:customStyle="1" w:styleId="54">
    <w:name w:val="font51"/>
    <w:basedOn w:val="24"/>
    <w:qFormat/>
    <w:uiPriority w:val="0"/>
    <w:rPr>
      <w:rFonts w:hint="default" w:ascii="仿宋_GB2312" w:eastAsia="仿宋_GB2312" w:cs="仿宋_GB2312"/>
      <w:color w:val="000000"/>
      <w:sz w:val="24"/>
      <w:szCs w:val="24"/>
      <w:u w:val="none"/>
    </w:rPr>
  </w:style>
  <w:style w:type="character" w:customStyle="1" w:styleId="55">
    <w:name w:val="font01"/>
    <w:basedOn w:val="24"/>
    <w:qFormat/>
    <w:uiPriority w:val="0"/>
    <w:rPr>
      <w:rFonts w:hint="default" w:ascii="仿宋_GB2312" w:eastAsia="仿宋_GB2312" w:cs="仿宋_GB2312"/>
      <w:color w:val="000000"/>
      <w:sz w:val="24"/>
      <w:szCs w:val="24"/>
      <w:u w:val="none"/>
      <w:vertAlign w:val="superscript"/>
    </w:rPr>
  </w:style>
  <w:style w:type="character" w:customStyle="1" w:styleId="56">
    <w:name w:val="font41"/>
    <w:basedOn w:val="24"/>
    <w:qFormat/>
    <w:uiPriority w:val="0"/>
    <w:rPr>
      <w:rFonts w:hint="default" w:ascii="仿宋_GB2312" w:eastAsia="仿宋_GB2312" w:cs="仿宋_GB2312"/>
      <w:color w:val="000000"/>
      <w:sz w:val="24"/>
      <w:szCs w:val="24"/>
      <w:u w:val="none"/>
    </w:rPr>
  </w:style>
  <w:style w:type="character" w:customStyle="1" w:styleId="57">
    <w:name w:val="font31"/>
    <w:basedOn w:val="24"/>
    <w:qFormat/>
    <w:uiPriority w:val="0"/>
    <w:rPr>
      <w:rFonts w:hint="eastAsia" w:ascii="宋体" w:hAnsi="宋体" w:eastAsia="宋体" w:cs="宋体"/>
      <w:color w:val="000000"/>
      <w:sz w:val="24"/>
      <w:szCs w:val="24"/>
      <w:u w:val="none"/>
    </w:rPr>
  </w:style>
  <w:style w:type="character" w:customStyle="1" w:styleId="58">
    <w:name w:val="font21"/>
    <w:basedOn w:val="24"/>
    <w:qFormat/>
    <w:uiPriority w:val="0"/>
    <w:rPr>
      <w:rFonts w:hint="default" w:ascii="仿宋_GB2312" w:eastAsia="仿宋_GB2312" w:cs="仿宋_GB2312"/>
      <w:color w:val="000000"/>
      <w:sz w:val="24"/>
      <w:szCs w:val="24"/>
      <w:u w:val="none"/>
    </w:rPr>
  </w:style>
  <w:style w:type="character" w:customStyle="1" w:styleId="59">
    <w:name w:val="font11"/>
    <w:basedOn w:val="24"/>
    <w:qFormat/>
    <w:uiPriority w:val="0"/>
    <w:rPr>
      <w:rFonts w:hint="eastAsia" w:ascii="宋体" w:hAnsi="宋体" w:eastAsia="宋体" w:cs="宋体"/>
      <w:color w:val="000000"/>
      <w:sz w:val="21"/>
      <w:szCs w:val="21"/>
      <w:u w:val="none"/>
    </w:rPr>
  </w:style>
  <w:style w:type="paragraph" w:styleId="60">
    <w:name w:val="List Paragraph"/>
    <w:basedOn w:val="1"/>
    <w:qFormat/>
    <w:uiPriority w:val="99"/>
    <w:pPr>
      <w:ind w:firstLine="420" w:firstLineChars="200"/>
    </w:pPr>
  </w:style>
  <w:style w:type="character" w:customStyle="1" w:styleId="61">
    <w:name w:val="称呼 Char1"/>
    <w:qFormat/>
    <w:uiPriority w:val="0"/>
    <w:rPr>
      <w:rFonts w:eastAsia="仿宋_GB2312"/>
      <w:kern w:val="2"/>
      <w:sz w:val="28"/>
      <w:szCs w:val="24"/>
    </w:rPr>
  </w:style>
  <w:style w:type="paragraph" w:customStyle="1" w:styleId="62">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63">
    <w:name w:val="正文文本缩进 Char"/>
    <w:basedOn w:val="24"/>
    <w:link w:val="10"/>
    <w:qFormat/>
    <w:uiPriority w:val="0"/>
    <w:rPr>
      <w:rFonts w:ascii="仿宋_GB2312" w:eastAsia="仿宋_GB2312"/>
      <w:kern w:val="2"/>
      <w:sz w:val="28"/>
      <w:szCs w:val="24"/>
    </w:rPr>
  </w:style>
  <w:style w:type="character" w:customStyle="1" w:styleId="64">
    <w:name w:val="hei141"/>
    <w:qFormat/>
    <w:uiPriority w:val="0"/>
    <w:rPr>
      <w:color w:val="000000"/>
      <w:sz w:val="21"/>
      <w:szCs w:val="21"/>
    </w:rPr>
  </w:style>
  <w:style w:type="character" w:customStyle="1" w:styleId="65">
    <w:name w:val="纯文本 Char1"/>
    <w:qFormat/>
    <w:uiPriority w:val="0"/>
    <w:rPr>
      <w:rFonts w:ascii="宋体" w:hAnsi="Courier New" w:eastAsia="宋体"/>
      <w:kern w:val="2"/>
      <w:sz w:val="21"/>
      <w:lang w:val="en-US" w:eastAsia="zh-CN" w:bidi="ar-SA"/>
    </w:rPr>
  </w:style>
  <w:style w:type="paragraph" w:customStyle="1" w:styleId="66">
    <w:name w:val="p0"/>
    <w:basedOn w:val="1"/>
    <w:qFormat/>
    <w:uiPriority w:val="0"/>
    <w:pPr>
      <w:widowControl/>
    </w:pPr>
    <w:rPr>
      <w:rFonts w:hint="eastAsia"/>
    </w:rPr>
  </w:style>
  <w:style w:type="character" w:customStyle="1" w:styleId="67">
    <w:name w:val="15"/>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9B8BB-9008-4961-84E5-CBB2238AE19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23843</Words>
  <Characters>25506</Characters>
  <Lines>194</Lines>
  <Paragraphs>54</Paragraphs>
  <TotalTime>198</TotalTime>
  <ScaleCrop>false</ScaleCrop>
  <LinksUpToDate>false</LinksUpToDate>
  <CharactersWithSpaces>25770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admin</cp:lastModifiedBy>
  <cp:lastPrinted>2021-09-28T02:46:00Z</cp:lastPrinted>
  <dcterms:modified xsi:type="dcterms:W3CDTF">2022-07-11T07:10:27Z</dcterms:modified>
  <dc:title>估价项目名称：山东德棉集团有限公司所属德州顺河西路18号房产抵押估价报告</dc:title>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EC536E690DEF46A0B32B6D3E38821A4E</vt:lpwstr>
  </property>
</Properties>
</file>