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572"/>
        </w:tabs>
        <w:bidi w:val="0"/>
        <w:jc w:val="center"/>
        <w:rPr>
          <w:rFonts w:hint="eastAsia" w:ascii="仿宋" w:hAnsi="仿宋" w:eastAsia="仿宋" w:cs="仿宋"/>
          <w:b/>
          <w:bCs/>
          <w:sz w:val="40"/>
          <w:szCs w:val="40"/>
          <w:lang w:val="en-US" w:eastAsia="zh-CN"/>
        </w:rPr>
      </w:pPr>
      <w:bookmarkStart w:id="26" w:name="_GoBack"/>
      <w:bookmarkEnd w:id="26"/>
      <w:r>
        <w:rPr>
          <w:rFonts w:hint="eastAsia" w:ascii="仿宋" w:hAnsi="仿宋" w:eastAsia="仿宋" w:cs="仿宋"/>
          <w:b/>
          <w:bCs/>
          <w:sz w:val="40"/>
          <w:szCs w:val="40"/>
          <w:lang w:val="en-US" w:eastAsia="zh-CN"/>
        </w:rPr>
        <w:t>一、注册房地产估价师声明</w:t>
      </w:r>
    </w:p>
    <w:p>
      <w:pPr>
        <w:keepNext w:val="0"/>
        <w:keepLines w:val="0"/>
        <w:pageBreakBefore w:val="0"/>
        <w:widowControl w:val="0"/>
        <w:tabs>
          <w:tab w:val="left" w:pos="1017"/>
          <w:tab w:val="left" w:pos="1572"/>
        </w:tabs>
        <w:kinsoku/>
        <w:wordWrap/>
        <w:overflowPunct/>
        <w:topLinePunct w:val="0"/>
        <w:autoSpaceDE/>
        <w:autoSpaceDN/>
        <w:bidi w:val="0"/>
        <w:adjustRightInd/>
        <w:spacing w:line="5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我们根据自己的专业知识和职业道德，在此郑重声明：</w:t>
      </w:r>
      <w:r>
        <w:rPr>
          <w:rFonts w:hint="eastAsia" w:ascii="仿宋" w:hAnsi="仿宋" w:eastAsia="仿宋" w:cs="仿宋"/>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我们在本估价报告中陈述的事实是真实和准确的。</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本估价报告中的分析、意见和结论是我们自己公证的专业分析、意见和结论，但受到本估价报告中已说明的假设和限制条件的限制。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我们依照中华人民共和国国家标准《房地产估价规范》进行分析，在我们的专业能力和业务能力范围内力求真实、准确，形成意见和结论，撰写本估价报告。</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与委托人及相关当事人共同对本估价报告中的估价对象进行了实地勘察，但仅限于对评估标的物外观和使用状况。估价人员不承担对评估标的物建筑结构、质量进行调查的责任和其他被遮盖、未暴露及难于接触到部分进行检视的责任。注册房地产估价师对估价对象进行现场实地</w:t>
      </w:r>
      <w:r>
        <w:rPr>
          <w:rFonts w:hint="eastAsia" w:ascii="仿宋" w:hAnsi="仿宋" w:eastAsia="仿宋" w:cs="仿宋"/>
          <w:color w:val="auto"/>
          <w:sz w:val="28"/>
          <w:szCs w:val="28"/>
          <w:highlight w:val="none"/>
          <w:lang w:val="en-US" w:eastAsia="zh-CN"/>
        </w:rPr>
        <w:t>查勘</w:t>
      </w:r>
      <w:r>
        <w:rPr>
          <w:rFonts w:hint="eastAsia" w:ascii="仿宋" w:hAnsi="仿宋" w:eastAsia="仿宋" w:cs="仿宋"/>
          <w:color w:val="auto"/>
          <w:sz w:val="28"/>
          <w:szCs w:val="28"/>
          <w:highlight w:val="none"/>
        </w:rPr>
        <w:t>，摄取相关的影像资料。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没有人对本估价报告提供了重要专业帮助。</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本报告中所依据的有关估价对象建筑面积和权益资料由委托人提供</w:t>
      </w:r>
      <w:r>
        <w:rPr>
          <w:rFonts w:hint="eastAsia" w:ascii="仿宋" w:hAnsi="仿宋" w:eastAsia="仿宋" w:cs="仿宋"/>
          <w:color w:val="auto"/>
          <w:sz w:val="28"/>
          <w:szCs w:val="28"/>
          <w:highlight w:val="none"/>
          <w:lang w:val="en-US" w:eastAsia="zh-CN"/>
        </w:rPr>
        <w:t>的《房屋所有权证》为准</w:t>
      </w:r>
      <w:r>
        <w:rPr>
          <w:rFonts w:hint="eastAsia" w:ascii="仿宋" w:hAnsi="仿宋" w:eastAsia="仿宋" w:cs="仿宋"/>
          <w:color w:val="auto"/>
          <w:sz w:val="28"/>
          <w:szCs w:val="28"/>
          <w:highlight w:val="none"/>
        </w:rPr>
        <w:t>，委托人应对资料的真实性、完整性、合法性负责。估价人员和估价机构对此类事项不承担任何责任。</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本估价报告仅是在报告中说明的假设条件下对估价对象正常市场价格进行的合理估算，报告中对估价对象权属情况的披露不能作为对其权属确认的依据，估价对象权属界定以产权管理部门认定为准。</w:t>
      </w:r>
    </w:p>
    <w:tbl>
      <w:tblPr>
        <w:tblStyle w:val="21"/>
        <w:tblW w:w="9158" w:type="dxa"/>
        <w:jc w:val="center"/>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bookmarkStart w:id="0" w:name="_Toc18247"/>
            <w:bookmarkStart w:id="1" w:name="_Toc31497"/>
            <w:bookmarkStart w:id="2" w:name="_Toc64"/>
            <w:bookmarkStart w:id="3" w:name="_Toc764"/>
            <w:bookmarkStart w:id="4" w:name="_Toc19715"/>
            <w:bookmarkStart w:id="5" w:name="_Toc15285"/>
            <w:bookmarkStart w:id="6" w:name="_Toc704"/>
            <w:bookmarkStart w:id="7" w:name="_Toc23458"/>
            <w:bookmarkStart w:id="8" w:name="_Toc20358"/>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hAnsi="宋体" w:cs="宋体"/>
                <w:color w:val="000000"/>
                <w:kern w:val="0"/>
                <w:sz w:val="24"/>
              </w:rPr>
            </w:pPr>
            <w:r>
              <w:rPr>
                <w:rFonts w:hint="eastAsia" w:ascii="宋体" w:hAnsi="宋体" w:cs="宋体"/>
                <w:color w:val="000000"/>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2022年7月8日</w:t>
            </w:r>
          </w:p>
        </w:tc>
      </w:tr>
      <w:tr>
        <w:tblPrEx>
          <w:tblCellMar>
            <w:top w:w="0" w:type="dxa"/>
            <w:left w:w="0" w:type="dxa"/>
            <w:bottom w:w="0" w:type="dxa"/>
            <w:right w:w="0" w:type="dxa"/>
          </w:tblCellMar>
        </w:tblPrEx>
        <w:trPr>
          <w:trHeight w:val="788"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eastAsia="宋体" w:cs="宋体"/>
                <w:color w:val="000000"/>
                <w:kern w:val="0"/>
                <w:sz w:val="24"/>
                <w:lang w:eastAsia="zh-CN"/>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37"/>
              <w:ind w:firstLine="480" w:firstLineChars="200"/>
              <w:jc w:val="both"/>
              <w:rPr>
                <w:rFonts w:ascii="宋体" w:hAns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2022年7月8日</w:t>
            </w:r>
          </w:p>
        </w:tc>
      </w:tr>
    </w:tbl>
    <w:p>
      <w:pPr>
        <w:numPr>
          <w:ilvl w:val="0"/>
          <w:numId w:val="0"/>
        </w:numPr>
        <w:snapToGrid w:val="0"/>
        <w:spacing w:line="420" w:lineRule="exact"/>
        <w:ind w:left="1120" w:leftChars="0" w:firstLine="1205" w:firstLineChars="300"/>
        <w:jc w:val="both"/>
        <w:rPr>
          <w:rFonts w:hint="eastAsia" w:ascii="仿宋" w:hAnsi="仿宋" w:eastAsia="仿宋" w:cs="仿宋"/>
          <w:color w:val="auto"/>
          <w:sz w:val="40"/>
          <w:szCs w:val="40"/>
          <w:highlight w:val="none"/>
        </w:rPr>
      </w:pPr>
      <w:r>
        <w:rPr>
          <w:rFonts w:hint="eastAsia" w:ascii="仿宋" w:hAnsi="仿宋" w:eastAsia="仿宋" w:cs="仿宋"/>
          <w:b/>
          <w:bCs/>
          <w:color w:val="auto"/>
          <w:sz w:val="40"/>
          <w:szCs w:val="40"/>
          <w:highlight w:val="none"/>
          <w:lang w:eastAsia="zh-CN"/>
        </w:rPr>
        <w:t>二、</w:t>
      </w:r>
      <w:r>
        <w:rPr>
          <w:rFonts w:hint="eastAsia" w:ascii="仿宋" w:hAnsi="仿宋" w:eastAsia="仿宋" w:cs="仿宋"/>
          <w:b/>
          <w:bCs/>
          <w:color w:val="auto"/>
          <w:sz w:val="40"/>
          <w:szCs w:val="40"/>
          <w:highlight w:val="none"/>
        </w:rPr>
        <w:t>估价的假设和限制条件</w:t>
      </w:r>
      <w:bookmarkEnd w:id="0"/>
      <w:bookmarkEnd w:id="1"/>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仿宋" w:hAnsi="仿宋" w:eastAsia="仿宋" w:cs="仿宋"/>
          <w:color w:val="auto"/>
          <w:sz w:val="28"/>
          <w:highlight w:val="none"/>
        </w:rPr>
      </w:pPr>
      <w:r>
        <w:rPr>
          <w:rFonts w:hint="eastAsia" w:ascii="仿宋" w:hAnsi="仿宋" w:eastAsia="仿宋" w:cs="仿宋"/>
          <w:color w:val="auto"/>
          <w:sz w:val="28"/>
          <w:highlight w:val="none"/>
          <w:lang w:eastAsia="zh-CN"/>
        </w:rPr>
        <w:t>（一）、</w:t>
      </w:r>
      <w:r>
        <w:rPr>
          <w:rFonts w:hint="eastAsia" w:ascii="仿宋" w:hAnsi="仿宋" w:eastAsia="仿宋" w:cs="仿宋"/>
          <w:color w:val="auto"/>
          <w:sz w:val="28"/>
          <w:highlight w:val="none"/>
        </w:rPr>
        <w:t>本次</w:t>
      </w:r>
      <w:r>
        <w:rPr>
          <w:rFonts w:ascii="仿宋" w:hAnsi="仿宋" w:eastAsia="仿宋" w:cs="仿宋"/>
          <w:color w:val="auto"/>
          <w:sz w:val="28"/>
          <w:highlight w:val="none"/>
        </w:rPr>
        <w:t>估价的一般</w:t>
      </w:r>
      <w:r>
        <w:rPr>
          <w:rFonts w:hint="eastAsia" w:ascii="仿宋" w:hAnsi="仿宋" w:eastAsia="仿宋" w:cs="仿宋"/>
          <w:color w:val="auto"/>
          <w:sz w:val="28"/>
          <w:highlight w:val="none"/>
        </w:rPr>
        <w:t>假设：</w:t>
      </w:r>
    </w:p>
    <w:p>
      <w:pPr>
        <w:keepNext w:val="0"/>
        <w:keepLines w:val="0"/>
        <w:pageBreakBefore w:val="0"/>
        <w:widowControl w:val="0"/>
        <w:kinsoku/>
        <w:overflowPunct/>
        <w:topLinePunct w:val="0"/>
        <w:bidi w:val="0"/>
        <w:adjustRightInd/>
        <w:snapToGrid w:val="0"/>
        <w:spacing w:line="520" w:lineRule="exact"/>
        <w:ind w:right="210" w:firstLine="544"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color w:val="auto"/>
          <w:spacing w:val="-4"/>
          <w:sz w:val="28"/>
          <w:szCs w:val="28"/>
          <w:highlight w:val="none"/>
        </w:rPr>
        <w:t>1、</w:t>
      </w:r>
      <w:r>
        <w:rPr>
          <w:rFonts w:hint="eastAsia" w:ascii="仿宋" w:hAnsi="仿宋" w:eastAsia="仿宋" w:cs="仿宋"/>
          <w:color w:val="auto"/>
          <w:spacing w:val="-4"/>
          <w:sz w:val="28"/>
          <w:szCs w:val="28"/>
          <w:highlight w:val="none"/>
          <w:lang w:val="en-US" w:eastAsia="zh-CN"/>
        </w:rPr>
        <w:t>本次项目</w:t>
      </w:r>
      <w:r>
        <w:rPr>
          <w:rFonts w:hint="eastAsia" w:ascii="仿宋_GB2312" w:eastAsia="仿宋_GB2312"/>
          <w:color w:val="000000" w:themeColor="text1"/>
          <w:sz w:val="28"/>
          <w:szCs w:val="28"/>
          <w14:textFill>
            <w14:solidFill>
              <w14:schemeClr w14:val="tx1"/>
            </w14:solidFill>
          </w14:textFill>
        </w:rPr>
        <w:t>以估价委托人提供的</w:t>
      </w:r>
      <w:r>
        <w:rPr>
          <w:rFonts w:hint="eastAsia" w:ascii="仿宋_GB2312" w:eastAsia="仿宋_GB2312"/>
          <w:color w:val="C00000"/>
          <w:sz w:val="28"/>
          <w:szCs w:val="28"/>
          <w:lang w:eastAsia="zh-CN"/>
        </w:rPr>
        <w:t>《房屋所有权证》</w:t>
      </w:r>
      <w:r>
        <w:rPr>
          <w:rFonts w:hint="eastAsia" w:ascii="仿宋_GB2312" w:eastAsia="仿宋_GB2312"/>
          <w:color w:val="000000" w:themeColor="text1"/>
          <w:sz w:val="28"/>
          <w:szCs w:val="28"/>
          <w14:textFill>
            <w14:solidFill>
              <w14:schemeClr w14:val="tx1"/>
            </w14:solidFill>
          </w14:textFill>
        </w:rPr>
        <w:t>上注明的信息为准，</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机构未向有关部门进行核实，在无理由怀疑其合法性、真实性、准确性、完整性的情况下，假定估价委托人提供的资料合法、真实、准确、完整。</w:t>
      </w:r>
      <w:r>
        <w:rPr>
          <w:rFonts w:hint="eastAsia" w:ascii="仿宋_GB2312" w:eastAsia="仿宋_GB2312"/>
          <w:color w:val="000000" w:themeColor="text1"/>
          <w:sz w:val="28"/>
          <w:szCs w:val="28"/>
          <w:lang w:val="en-US" w:eastAsia="zh-CN"/>
          <w14:textFill>
            <w14:solidFill>
              <w14:schemeClr w14:val="tx1"/>
            </w14:solidFill>
          </w14:textFill>
        </w:rPr>
        <w:t>假设</w:t>
      </w:r>
      <w:r>
        <w:rPr>
          <w:rFonts w:hint="eastAsia" w:ascii="仿宋_GB2312" w:eastAsia="仿宋_GB2312"/>
          <w:color w:val="000000" w:themeColor="text1"/>
          <w:sz w:val="28"/>
          <w:szCs w:val="28"/>
          <w14:textFill>
            <w14:solidFill>
              <w14:schemeClr w14:val="tx1"/>
            </w14:solidFill>
          </w14:textFill>
        </w:rPr>
        <w:t>估价对象产权清晰，手续齐全，可在公开市场上自由转让。</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544" w:firstLineChars="200"/>
        <w:textAlignment w:val="auto"/>
        <w:rPr>
          <w:rFonts w:ascii="仿宋_GB2312" w:eastAsia="仿宋_GB2312"/>
          <w:color w:val="000000" w:themeColor="text1"/>
          <w:sz w:val="28"/>
          <w:szCs w:val="28"/>
          <w14:textFill>
            <w14:solidFill>
              <w14:schemeClr w14:val="tx1"/>
            </w14:solidFill>
          </w14:textFill>
        </w:rPr>
      </w:pPr>
      <w:r>
        <w:rPr>
          <w:rFonts w:hint="eastAsia" w:ascii="仿宋" w:hAnsi="仿宋" w:eastAsia="仿宋" w:cs="仿宋"/>
          <w:color w:val="auto"/>
          <w:spacing w:val="-4"/>
          <w:sz w:val="28"/>
          <w:szCs w:val="28"/>
          <w:highlight w:val="none"/>
        </w:rPr>
        <w:t>2、</w:t>
      </w:r>
      <w:r>
        <w:rPr>
          <w:rFonts w:hint="eastAsia" w:ascii="仿宋_GB2312" w:eastAsia="仿宋_GB2312"/>
          <w:color w:val="000000" w:themeColor="text1"/>
          <w:sz w:val="28"/>
          <w:szCs w:val="28"/>
          <w14:textFill>
            <w14:solidFill>
              <w14:schemeClr w14:val="tx1"/>
            </w14:solidFill>
          </w14:textFill>
        </w:rPr>
        <w:t>本</w:t>
      </w:r>
      <w:r>
        <w:rPr>
          <w:rFonts w:hint="eastAsia" w:ascii="仿宋_GB2312" w:eastAsia="仿宋_GB2312"/>
          <w:color w:val="000000" w:themeColor="text1"/>
          <w:sz w:val="28"/>
          <w:szCs w:val="28"/>
          <w:lang w:val="en-US" w:eastAsia="zh-CN"/>
          <w14:textFill>
            <w14:solidFill>
              <w14:schemeClr w14:val="tx1"/>
            </w14:solidFill>
          </w14:textFill>
        </w:rPr>
        <w:t>项目</w:t>
      </w:r>
      <w:r>
        <w:rPr>
          <w:rFonts w:hint="eastAsia" w:ascii="仿宋_GB2312" w:eastAsia="仿宋_GB2312"/>
          <w:color w:val="000000" w:themeColor="text1"/>
          <w:sz w:val="28"/>
          <w:szCs w:val="28"/>
          <w14:textFill>
            <w14:solidFill>
              <w14:schemeClr w14:val="tx1"/>
            </w14:solidFill>
          </w14:textFill>
        </w:rPr>
        <w:t>是</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对象在</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基准日（即价值时点）的公开市场价值，是指</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对象在诸多假设条件下，在公开市场上于</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基准日（即价值时点）的房地产市场为公开、公平、自愿的交易市场，没有司法行政机关禁止交易的情形，出售时不附带任何他项权、租赁权、优先购买权、售后回租以及其他类似的可能影响其正常交易价值的权利约束和特殊条款等，即最可能形成或成立的价格。</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546" w:firstLineChars="195"/>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即满足以下条件：</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3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（a）交易双方自愿地进行交易；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3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（b）交易双方处于利已动机进行交易；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3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（c）交易双方精明、谨慎行事，并了解交易对象、知晓市场行情；</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3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（d）交易双方有较充裕的时间进行交易；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3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（e）不存在买者因特殊兴趣而给予附加出价;</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3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（f）洽谈交易期间房地产市场价值保持稳定。</w:t>
      </w:r>
    </w:p>
    <w:p>
      <w:pPr>
        <w:keepNext w:val="0"/>
        <w:keepLines w:val="0"/>
        <w:pageBreakBefore w:val="0"/>
        <w:widowControl w:val="0"/>
        <w:kinsoku/>
        <w:overflowPunct/>
        <w:topLinePunct w:val="0"/>
        <w:bidi w:val="0"/>
        <w:adjustRightInd/>
        <w:spacing w:line="520" w:lineRule="exact"/>
        <w:ind w:firstLine="544"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color w:val="auto"/>
          <w:spacing w:val="-4"/>
          <w:sz w:val="28"/>
          <w:szCs w:val="28"/>
          <w:highlight w:val="none"/>
        </w:rPr>
        <w:t>3、</w:t>
      </w:r>
      <w:r>
        <w:rPr>
          <w:rFonts w:hint="eastAsia" w:ascii="仿宋_GB2312" w:eastAsia="仿宋_GB2312"/>
          <w:color w:val="000000" w:themeColor="text1"/>
          <w:sz w:val="28"/>
          <w:szCs w:val="28"/>
          <w14:textFill>
            <w14:solidFill>
              <w14:schemeClr w14:val="tx1"/>
            </w14:solidFill>
          </w14:textFill>
        </w:rPr>
        <w:t>注册房地产估价师对房屋安全等影响估价对象价值的重大因素给与关注，在无理由怀疑估价对象安全隐患且无相应的专业机构进行鉴定、检测的情况下，假设估价对象能正常安全使用</w:t>
      </w:r>
      <w:r>
        <w:rPr>
          <w:rFonts w:hint="eastAsia" w:ascii="仿宋_GB2312" w:eastAsia="仿宋_GB2312"/>
          <w:color w:val="000000" w:themeColor="text1"/>
          <w:sz w:val="28"/>
          <w:szCs w:val="28"/>
          <w:lang w:val="en-US" w:eastAsia="zh-CN"/>
          <w14:textFill>
            <w14:solidFill>
              <w14:schemeClr w14:val="tx1"/>
            </w14:solidFill>
          </w14:textFill>
        </w:rPr>
        <w:t>为前提</w:t>
      </w:r>
      <w:r>
        <w:rPr>
          <w:rFonts w:hint="eastAsia" w:ascii="仿宋_GB2312" w:eastAsia="仿宋_GB2312"/>
          <w:color w:val="000000" w:themeColor="text1"/>
          <w:sz w:val="28"/>
          <w:szCs w:val="28"/>
          <w14:textFill>
            <w14:solidFill>
              <w14:schemeClr w14:val="tx1"/>
            </w14:solidFill>
          </w14:textFill>
        </w:rPr>
        <w:t>。</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544" w:firstLineChars="200"/>
        <w:textAlignment w:val="auto"/>
        <w:rPr>
          <w:rFonts w:ascii="仿宋_GB2312" w:eastAsia="仿宋_GB2312"/>
          <w:color w:val="000000" w:themeColor="text1"/>
          <w:sz w:val="28"/>
          <w:szCs w:val="28"/>
          <w14:textFill>
            <w14:solidFill>
              <w14:schemeClr w14:val="tx1"/>
            </w14:solidFill>
          </w14:textFill>
        </w:rPr>
      </w:pPr>
      <w:r>
        <w:rPr>
          <w:rFonts w:hint="eastAsia" w:ascii="仿宋" w:hAnsi="仿宋" w:eastAsia="仿宋" w:cs="仿宋"/>
          <w:color w:val="auto"/>
          <w:spacing w:val="-4"/>
          <w:sz w:val="28"/>
          <w:szCs w:val="28"/>
          <w:highlight w:val="none"/>
          <w:lang w:val="en-US" w:eastAsia="zh-CN"/>
        </w:rPr>
        <w:t>4</w:t>
      </w:r>
      <w:r>
        <w:rPr>
          <w:rFonts w:hint="eastAsia" w:ascii="仿宋" w:hAnsi="仿宋" w:eastAsia="仿宋" w:cs="仿宋"/>
          <w:color w:val="auto"/>
          <w:spacing w:val="-4"/>
          <w:sz w:val="28"/>
          <w:szCs w:val="28"/>
          <w:highlight w:val="none"/>
        </w:rPr>
        <w:t>、</w:t>
      </w:r>
      <w:r>
        <w:rPr>
          <w:rFonts w:hint="eastAsia" w:ascii="仿宋_GB2312" w:eastAsia="仿宋_GB2312"/>
          <w:color w:val="000000" w:themeColor="text1"/>
          <w:sz w:val="28"/>
          <w:szCs w:val="28"/>
          <w:lang w:val="en-US" w:eastAsia="zh-CN"/>
          <w14:textFill>
            <w14:solidFill>
              <w14:schemeClr w14:val="tx1"/>
            </w14:solidFill>
          </w14:textFill>
        </w:rPr>
        <w:t>报告</w:t>
      </w:r>
      <w:r>
        <w:rPr>
          <w:rFonts w:hint="eastAsia" w:ascii="仿宋_GB2312" w:eastAsia="仿宋_GB2312"/>
          <w:color w:val="000000" w:themeColor="text1"/>
          <w:sz w:val="28"/>
          <w:szCs w:val="28"/>
          <w14:textFill>
            <w14:solidFill>
              <w14:schemeClr w14:val="tx1"/>
            </w14:solidFill>
          </w14:textFill>
        </w:rPr>
        <w:t>书中</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对象位置是依据委托方、</w:t>
      </w:r>
      <w:r>
        <w:rPr>
          <w:rFonts w:hint="eastAsia" w:ascii="仿宋_GB2312" w:eastAsia="仿宋_GB2312"/>
          <w:color w:val="000000" w:themeColor="text1"/>
          <w:sz w:val="28"/>
          <w:szCs w:val="28"/>
          <w:lang w:eastAsia="zh-CN"/>
          <w14:textFill>
            <w14:solidFill>
              <w14:schemeClr w14:val="tx1"/>
            </w14:solidFill>
          </w14:textFill>
        </w:rPr>
        <w:t>申请方</w:t>
      </w:r>
      <w:r>
        <w:rPr>
          <w:rFonts w:hint="eastAsia" w:ascii="仿宋_GB2312" w:eastAsia="仿宋_GB2312"/>
          <w:color w:val="000000" w:themeColor="text1"/>
          <w:sz w:val="28"/>
          <w:szCs w:val="28"/>
          <w14:textFill>
            <w14:solidFill>
              <w14:schemeClr w14:val="tx1"/>
            </w14:solidFill>
          </w14:textFill>
        </w:rPr>
        <w:t>现场指认确定的，未取得房产部门和测绘部门的确认文件，本报告以委托方、</w:t>
      </w:r>
      <w:r>
        <w:rPr>
          <w:rFonts w:hint="eastAsia" w:ascii="仿宋_GB2312" w:eastAsia="仿宋_GB2312"/>
          <w:color w:val="000000" w:themeColor="text1"/>
          <w:sz w:val="28"/>
          <w:szCs w:val="28"/>
          <w:lang w:eastAsia="zh-CN"/>
          <w14:textFill>
            <w14:solidFill>
              <w14:schemeClr w14:val="tx1"/>
            </w14:solidFill>
          </w14:textFill>
        </w:rPr>
        <w:t>申请方</w:t>
      </w:r>
      <w:r>
        <w:rPr>
          <w:rFonts w:hint="eastAsia" w:ascii="仿宋_GB2312" w:eastAsia="仿宋_GB2312"/>
          <w:color w:val="000000" w:themeColor="text1"/>
          <w:sz w:val="28"/>
          <w:szCs w:val="28"/>
          <w14:textFill>
            <w14:solidFill>
              <w14:schemeClr w14:val="tx1"/>
            </w14:solidFill>
          </w14:textFill>
        </w:rPr>
        <w:t>现场指认的位置与房产登记、测绘位置相一致为假设前提。</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544"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color w:val="auto"/>
          <w:spacing w:val="-4"/>
          <w:sz w:val="28"/>
          <w:szCs w:val="28"/>
          <w:highlight w:val="none"/>
          <w:lang w:val="en-US" w:eastAsia="zh-CN"/>
        </w:rPr>
        <w:t>5、</w:t>
      </w:r>
      <w:r>
        <w:rPr>
          <w:rFonts w:ascii="仿宋" w:hAnsi="仿宋" w:eastAsia="仿宋" w:cs="仿宋"/>
          <w:color w:val="auto"/>
          <w:spacing w:val="-4"/>
          <w:sz w:val="28"/>
          <w:szCs w:val="28"/>
          <w:highlight w:val="none"/>
        </w:rPr>
        <w:t>本</w:t>
      </w:r>
      <w:r>
        <w:rPr>
          <w:rFonts w:hint="eastAsia" w:ascii="仿宋_GB2312" w:eastAsia="仿宋_GB2312"/>
          <w:color w:val="000000" w:themeColor="text1"/>
          <w:sz w:val="28"/>
          <w:szCs w:val="28"/>
          <w14:textFill>
            <w14:solidFill>
              <w14:schemeClr w14:val="tx1"/>
            </w14:solidFill>
          </w14:textFill>
        </w:rPr>
        <w:t>次估价对象总建筑面积为</w:t>
      </w:r>
      <w:r>
        <w:rPr>
          <w:rFonts w:hint="eastAsia" w:ascii="仿宋_GB2312" w:eastAsia="仿宋_GB2312"/>
          <w:color w:val="000000" w:themeColor="text1"/>
          <w:sz w:val="28"/>
          <w:szCs w:val="28"/>
          <w:lang w:eastAsia="zh-CN"/>
          <w14:textFill>
            <w14:solidFill>
              <w14:schemeClr w14:val="tx1"/>
            </w14:solidFill>
          </w14:textFill>
        </w:rPr>
        <w:t>91.69㎡</w:t>
      </w:r>
      <w:r>
        <w:rPr>
          <w:rFonts w:hint="eastAsia" w:ascii="仿宋_GB2312" w:eastAsia="仿宋_GB2312"/>
          <w:color w:val="000000" w:themeColor="text1"/>
          <w:sz w:val="28"/>
          <w:szCs w:val="28"/>
          <w14:textFill>
            <w14:solidFill>
              <w14:schemeClr w14:val="tx1"/>
            </w14:solidFill>
          </w14:textFill>
        </w:rPr>
        <w:t>，以上数据根据委托方提供的</w:t>
      </w:r>
      <w:r>
        <w:rPr>
          <w:rFonts w:hint="eastAsia" w:ascii="仿宋_GB2312" w:eastAsia="仿宋_GB2312"/>
          <w:color w:val="000000" w:themeColor="text1"/>
          <w:sz w:val="28"/>
          <w:szCs w:val="28"/>
          <w:lang w:eastAsia="zh-CN"/>
          <w14:textFill>
            <w14:solidFill>
              <w14:schemeClr w14:val="tx1"/>
            </w14:solidFill>
          </w14:textFill>
        </w:rPr>
        <w:t>《房屋所有权证》</w:t>
      </w:r>
      <w:r>
        <w:rPr>
          <w:rFonts w:hint="eastAsia" w:ascii="仿宋_GB2312" w:eastAsia="仿宋_GB2312"/>
          <w:color w:val="000000" w:themeColor="text1"/>
          <w:sz w:val="28"/>
          <w:szCs w:val="28"/>
          <w:lang w:val="en-US" w:eastAsia="zh-CN"/>
          <w14:textFill>
            <w14:solidFill>
              <w14:schemeClr w14:val="tx1"/>
            </w14:solidFill>
          </w14:textFill>
        </w:rPr>
        <w:t>上所标注的信息为准进行估价</w:t>
      </w:r>
      <w:r>
        <w:rPr>
          <w:rFonts w:hint="eastAsia" w:ascii="仿宋_GB2312" w:eastAsia="仿宋_GB2312"/>
          <w:color w:val="000000" w:themeColor="text1"/>
          <w:sz w:val="28"/>
          <w:szCs w:val="28"/>
          <w14:textFill>
            <w14:solidFill>
              <w14:schemeClr w14:val="tx1"/>
            </w14:solidFill>
          </w14:textFill>
        </w:rPr>
        <w:t>。</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（二）、未定事项假设：本次估价无未定事项假设。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（三）、背离事实假设：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 w:hAnsi="仿宋" w:eastAsia="仿宋" w:cs="仿宋"/>
          <w:color w:val="000000"/>
          <w:spacing w:val="-4"/>
          <w:sz w:val="28"/>
          <w:szCs w:val="28"/>
        </w:rPr>
      </w:pPr>
      <w:r>
        <w:rPr>
          <w:rFonts w:hint="eastAsia" w:ascii="仿宋_GB2312" w:hAnsi="仿宋_GB2312" w:eastAsia="仿宋_GB2312" w:cs="仿宋_GB2312"/>
          <w:color w:val="000000"/>
          <w:sz w:val="28"/>
          <w:szCs w:val="28"/>
        </w:rPr>
        <w:t>本次估价结果采用公开市场价值标准，本次估价项目涉执房地产处置司法评估结果未考虑估价对象被查封、原有的担保物权、其他优先受偿权等存在的影响。</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（四）、不相一致假设：</w:t>
      </w:r>
      <w:r>
        <w:rPr>
          <w:rFonts w:hint="eastAsia" w:ascii="仿宋_GB2312" w:hAnsi="仿宋_GB2312" w:eastAsia="仿宋_GB2312" w:cs="仿宋_GB2312"/>
          <w:color w:val="000000"/>
          <w:sz w:val="28"/>
          <w:szCs w:val="28"/>
          <w:lang w:val="en-US" w:eastAsia="zh-CN"/>
        </w:rPr>
        <w:t>房权证上注明估价对象位于4幢561室，实际门牌号标注二单元262室，根据《房地产管理法》等相关法律、法规等文件规定，估价对象与实际标注不一致时，以登记为准</w:t>
      </w:r>
      <w:r>
        <w:rPr>
          <w:rFonts w:hint="eastAsia" w:ascii="仿宋_GB2312" w:hAnsi="仿宋_GB2312" w:eastAsia="仿宋_GB2312" w:cs="仿宋_GB2312"/>
          <w:color w:val="000000"/>
          <w:sz w:val="28"/>
          <w:szCs w:val="28"/>
        </w:rPr>
        <w:t>。</w:t>
      </w:r>
    </w:p>
    <w:p>
      <w:pPr>
        <w:keepNext w:val="0"/>
        <w:keepLines w:val="0"/>
        <w:pageBreakBefore w:val="0"/>
        <w:widowControl w:val="0"/>
        <w:kinsoku/>
        <w:overflowPunct/>
        <w:topLinePunct w:val="0"/>
        <w:bidi w:val="0"/>
        <w:adjustRightInd/>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（五）、依据不足假设：</w:t>
      </w:r>
    </w:p>
    <w:p>
      <w:pPr>
        <w:keepNext w:val="0"/>
        <w:keepLines w:val="0"/>
        <w:pageBreakBefore w:val="0"/>
        <w:widowControl w:val="0"/>
        <w:kinsoku/>
        <w:overflowPunct/>
        <w:topLinePunct w:val="0"/>
        <w:bidi w:val="0"/>
        <w:adjustRightInd/>
        <w:ind w:firstLine="560" w:firstLineChars="200"/>
        <w:textAlignment w:val="auto"/>
        <w:rPr>
          <w:rFonts w:hint="eastAsia" w:ascii="仿宋" w:hAnsi="仿宋" w:eastAsia="仿宋" w:cs="仿宋"/>
          <w:spacing w:val="-4"/>
          <w:sz w:val="28"/>
          <w:szCs w:val="28"/>
        </w:rPr>
      </w:pPr>
      <w:r>
        <w:rPr>
          <w:rFonts w:hint="eastAsia" w:ascii="仿宋_GB2312" w:hAnsi="仿宋_GB2312" w:eastAsia="仿宋_GB2312" w:cs="仿宋_GB2312"/>
          <w:color w:val="000000"/>
          <w:kern w:val="2"/>
          <w:sz w:val="28"/>
          <w:szCs w:val="28"/>
          <w:lang w:val="en-US" w:eastAsia="zh-CN" w:bidi="ar-SA"/>
        </w:rPr>
        <w:t>估价人员对估价对象的勘察仅限于估价对象的外观和使用状况，估价人员不承担对估价对象建筑结构质量进行调查的责任，也不承担对其它被遮盖、未暴露及难以接触到的部分进行勘察的责任。建筑物及相关设备的质量情况最终应以有相关资质机构的估价结果为准。</w:t>
      </w:r>
    </w:p>
    <w:p>
      <w:pPr>
        <w:keepNext w:val="0"/>
        <w:keepLines w:val="0"/>
        <w:pageBreakBefore w:val="0"/>
        <w:widowControl w:val="0"/>
        <w:kinsoku/>
        <w:overflowPunct/>
        <w:topLinePunct w:val="0"/>
        <w:bidi w:val="0"/>
        <w:adjustRightInd/>
        <w:spacing w:line="520" w:lineRule="exact"/>
        <w:ind w:firstLine="544" w:firstLineChars="200"/>
        <w:textAlignment w:val="auto"/>
        <w:rPr>
          <w:rFonts w:ascii="仿宋" w:hAnsi="仿宋" w:eastAsia="仿宋" w:cs="仿宋"/>
          <w:color w:val="auto"/>
          <w:spacing w:val="-4"/>
          <w:sz w:val="28"/>
          <w:szCs w:val="28"/>
          <w:highlight w:val="none"/>
        </w:rPr>
      </w:pPr>
      <w:r>
        <w:rPr>
          <w:rFonts w:hint="eastAsia" w:ascii="仿宋" w:hAnsi="仿宋" w:eastAsia="仿宋" w:cs="仿宋"/>
          <w:color w:val="auto"/>
          <w:spacing w:val="-4"/>
          <w:sz w:val="28"/>
          <w:szCs w:val="28"/>
          <w:highlight w:val="none"/>
        </w:rPr>
        <w:t>（六）、</w:t>
      </w:r>
      <w:r>
        <w:rPr>
          <w:rFonts w:hint="eastAsia" w:ascii="仿宋" w:hAnsi="仿宋" w:eastAsia="仿宋" w:cs="仿宋"/>
          <w:color w:val="auto"/>
          <w:sz w:val="28"/>
          <w:highlight w:val="none"/>
        </w:rPr>
        <w:t>限制条件：</w:t>
      </w:r>
    </w:p>
    <w:p>
      <w:pPr>
        <w:keepNext w:val="0"/>
        <w:keepLines w:val="0"/>
        <w:pageBreakBefore w:val="0"/>
        <w:widowControl w:val="0"/>
        <w:kinsoku/>
        <w:overflowPunct/>
        <w:topLinePunct w:val="0"/>
        <w:bidi w:val="0"/>
        <w:adjustRightInd/>
        <w:spacing w:line="520" w:lineRule="exact"/>
        <w:ind w:right="-107" w:rightChars="-51" w:firstLine="560" w:firstLineChars="200"/>
        <w:textAlignment w:val="auto"/>
        <w:rPr>
          <w:rFonts w:ascii="仿宋" w:hAnsi="仿宋" w:eastAsia="仿宋" w:cs="仿宋"/>
          <w:color w:val="auto"/>
          <w:sz w:val="28"/>
          <w:highlight w:val="none"/>
        </w:rPr>
      </w:pPr>
      <w:r>
        <w:rPr>
          <w:rFonts w:hint="eastAsia" w:ascii="仿宋" w:hAnsi="仿宋" w:eastAsia="仿宋" w:cs="仿宋"/>
          <w:color w:val="auto"/>
          <w:sz w:val="28"/>
          <w:highlight w:val="none"/>
        </w:rPr>
        <w:t>1、</w:t>
      </w:r>
      <w:r>
        <w:rPr>
          <w:rFonts w:hint="eastAsia" w:ascii="仿宋_GB2312" w:hAnsi="仿宋_GB2312" w:eastAsia="仿宋_GB2312" w:cs="仿宋_GB2312"/>
          <w:color w:val="000000" w:themeColor="text1"/>
          <w:sz w:val="28"/>
          <w:szCs w:val="28"/>
          <w14:textFill>
            <w14:solidFill>
              <w14:schemeClr w14:val="tx1"/>
            </w14:solidFill>
          </w14:textFill>
        </w:rPr>
        <w:t>本次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估价</w:t>
      </w:r>
      <w:r>
        <w:rPr>
          <w:rFonts w:hint="eastAsia" w:ascii="仿宋_GB2312" w:hAnsi="仿宋_GB2312" w:eastAsia="仿宋_GB2312" w:cs="仿宋_GB2312"/>
          <w:color w:val="000000" w:themeColor="text1"/>
          <w:sz w:val="28"/>
          <w:szCs w:val="28"/>
          <w14:textFill>
            <w14:solidFill>
              <w14:schemeClr w14:val="tx1"/>
            </w14:solidFill>
          </w14:textFill>
        </w:rPr>
        <w:t>中房屋建筑面积、</w:t>
      </w:r>
      <w:r>
        <w:rPr>
          <w:rFonts w:hint="eastAsia" w:ascii="仿宋_GB2312" w:hAnsi="仿宋_GB2312" w:eastAsia="仿宋_GB2312" w:cs="仿宋_GB2312"/>
          <w:color w:val="000000" w:themeColor="text1"/>
          <w:sz w:val="28"/>
          <w:szCs w:val="28"/>
          <w:lang w:eastAsia="zh-CN"/>
          <w14:textFill>
            <w14:solidFill>
              <w14:schemeClr w14:val="tx1"/>
            </w14:solidFill>
          </w14:textFill>
        </w:rPr>
        <w:t>规划用途</w:t>
      </w:r>
      <w:r>
        <w:rPr>
          <w:rFonts w:hint="eastAsia" w:ascii="仿宋_GB2312" w:hAnsi="仿宋_GB2312" w:eastAsia="仿宋_GB2312" w:cs="仿宋_GB2312"/>
          <w:color w:val="000000" w:themeColor="text1"/>
          <w:sz w:val="28"/>
          <w:szCs w:val="28"/>
          <w14:textFill>
            <w14:solidFill>
              <w14:schemeClr w14:val="tx1"/>
            </w14:solidFill>
          </w14:textFill>
        </w:rPr>
        <w:t>、坐落位置等以案件承办单位提供的</w:t>
      </w:r>
      <w:r>
        <w:rPr>
          <w:rFonts w:hint="eastAsia" w:ascii="仿宋_GB2312" w:hAnsi="仿宋_GB2312" w:eastAsia="仿宋_GB2312" w:cs="仿宋_GB2312"/>
          <w:color w:val="C00000"/>
          <w:sz w:val="28"/>
          <w:szCs w:val="28"/>
          <w:lang w:val="en-US" w:eastAsia="zh-CN"/>
        </w:rPr>
        <w:t>《房屋所有权证》</w:t>
      </w:r>
      <w:r>
        <w:rPr>
          <w:rFonts w:hint="eastAsia" w:ascii="仿宋_GB2312" w:hAnsi="仿宋_GB2312" w:eastAsia="仿宋_GB2312" w:cs="仿宋_GB2312"/>
          <w:color w:val="000000" w:themeColor="text1"/>
          <w:sz w:val="28"/>
          <w:szCs w:val="28"/>
          <w:lang w:eastAsia="zh-CN"/>
          <w14:textFill>
            <w14:solidFill>
              <w14:schemeClr w14:val="tx1"/>
            </w14:solidFill>
          </w14:textFill>
        </w:rPr>
        <w:t>上</w:t>
      </w:r>
      <w:r>
        <w:rPr>
          <w:rFonts w:hint="eastAsia" w:ascii="仿宋_GB2312" w:hAnsi="仿宋_GB2312" w:eastAsia="仿宋_GB2312" w:cs="仿宋_GB2312"/>
          <w:color w:val="000000" w:themeColor="text1"/>
          <w:sz w:val="28"/>
          <w:szCs w:val="28"/>
          <w14:textFill>
            <w14:solidFill>
              <w14:schemeClr w14:val="tx1"/>
            </w14:solidFill>
          </w14:textFill>
        </w:rPr>
        <w:t>注明的信息为准。估价人员不承担对</w:t>
      </w:r>
      <w:r>
        <w:rPr>
          <w:rFonts w:hint="eastAsia" w:ascii="仿宋_GB2312" w:eastAsia="仿宋_GB2312"/>
          <w:color w:val="000000" w:themeColor="text1"/>
          <w:sz w:val="28"/>
          <w:szCs w:val="28"/>
          <w14:textFill>
            <w14:solidFill>
              <w14:schemeClr w14:val="tx1"/>
            </w14:solidFill>
          </w14:textFill>
        </w:rPr>
        <w:t>房屋建筑面积进行专业测量的责任和义务，</w:t>
      </w:r>
      <w:r>
        <w:rPr>
          <w:rFonts w:hint="eastAsia" w:ascii="仿宋_GB2312" w:hAnsi="仿宋_GB2312" w:eastAsia="仿宋_GB2312" w:cs="仿宋_GB2312"/>
          <w:color w:val="000000" w:themeColor="text1"/>
          <w:sz w:val="28"/>
          <w:szCs w:val="28"/>
          <w14:textFill>
            <w14:solidFill>
              <w14:schemeClr w14:val="tx1"/>
            </w14:solidFill>
          </w14:textFill>
        </w:rPr>
        <w:t>如有异议请收到报告后三日内提出。</w:t>
      </w:r>
      <w:r>
        <w:rPr>
          <w:rFonts w:hint="eastAsia" w:ascii="仿宋" w:hAnsi="仿宋" w:eastAsia="仿宋" w:cs="仿宋"/>
          <w:color w:val="auto"/>
          <w:sz w:val="28"/>
          <w:highlight w:val="none"/>
        </w:rPr>
        <w:t xml:space="preserve"> </w:t>
      </w:r>
    </w:p>
    <w:p>
      <w:pPr>
        <w:keepNext w:val="0"/>
        <w:keepLines w:val="0"/>
        <w:pageBreakBefore w:val="0"/>
        <w:widowControl w:val="0"/>
        <w:kinsoku/>
        <w:wordWrap w:val="0"/>
        <w:overflowPunct/>
        <w:topLinePunct w:val="0"/>
        <w:bidi w:val="0"/>
        <w:adjustRightInd/>
        <w:snapToGrid w:val="0"/>
        <w:spacing w:line="520" w:lineRule="exact"/>
        <w:ind w:firstLine="544"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color w:val="auto"/>
          <w:spacing w:val="-4"/>
          <w:sz w:val="28"/>
          <w:szCs w:val="28"/>
          <w:highlight w:val="none"/>
          <w:lang w:val="en-US" w:eastAsia="zh-CN"/>
        </w:rPr>
        <w:t>2</w:t>
      </w:r>
      <w:r>
        <w:rPr>
          <w:rFonts w:hint="eastAsia" w:ascii="仿宋" w:hAnsi="仿宋" w:eastAsia="仿宋" w:cs="仿宋"/>
          <w:color w:val="auto"/>
          <w:spacing w:val="-4"/>
          <w:sz w:val="28"/>
          <w:szCs w:val="28"/>
          <w:highlight w:val="none"/>
        </w:rPr>
        <w:t>、</w:t>
      </w:r>
      <w:r>
        <w:rPr>
          <w:rFonts w:hint="eastAsia" w:ascii="仿宋_GB2312" w:eastAsia="仿宋_GB2312"/>
          <w:color w:val="000000" w:themeColor="text1"/>
          <w:sz w:val="28"/>
          <w:szCs w:val="28"/>
          <w14:textFill>
            <w14:solidFill>
              <w14:schemeClr w14:val="tx1"/>
            </w14:solidFill>
          </w14:textFill>
        </w:rPr>
        <w:t>本次</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对象的相关资料由案件委托人提供，其真实性及合法性由案件委托人负责。本次</w:t>
      </w:r>
      <w:r>
        <w:rPr>
          <w:rFonts w:hint="eastAsia" w:ascii="仿宋_GB2312" w:eastAsia="仿宋_GB2312"/>
          <w:color w:val="000000" w:themeColor="text1"/>
          <w:sz w:val="28"/>
          <w:szCs w:val="28"/>
          <w:lang w:val="en-US" w:eastAsia="zh-CN"/>
          <w14:textFill>
            <w14:solidFill>
              <w14:schemeClr w14:val="tx1"/>
            </w14:solidFill>
          </w14:textFill>
        </w:rPr>
        <w:t>报告</w:t>
      </w:r>
      <w:r>
        <w:rPr>
          <w:rFonts w:hint="eastAsia" w:ascii="仿宋_GB2312" w:eastAsia="仿宋_GB2312"/>
          <w:color w:val="000000" w:themeColor="text1"/>
          <w:sz w:val="28"/>
          <w:szCs w:val="28"/>
          <w14:textFill>
            <w14:solidFill>
              <w14:schemeClr w14:val="tx1"/>
            </w14:solidFill>
          </w14:textFill>
        </w:rPr>
        <w:t>只供委托法院办理此次案件时</w:t>
      </w:r>
      <w:r>
        <w:rPr>
          <w:rFonts w:hint="eastAsia" w:ascii="仿宋_GB2312" w:hAnsi="仿宋_GB2312" w:eastAsia="仿宋_GB2312" w:cs="仿宋_GB2312"/>
          <w:kern w:val="2"/>
          <w:sz w:val="28"/>
          <w:szCs w:val="28"/>
          <w:lang w:bidi="ar"/>
        </w:rPr>
        <w:t>确定财产处置参考</w:t>
      </w:r>
      <w:r>
        <w:rPr>
          <w:rFonts w:hint="eastAsia" w:ascii="仿宋_GB2312" w:eastAsia="仿宋_GB2312"/>
          <w:color w:val="000000" w:themeColor="text1"/>
          <w:sz w:val="28"/>
          <w:szCs w:val="28"/>
          <w:lang w:eastAsia="zh-CN"/>
          <w14:textFill>
            <w14:solidFill>
              <w14:schemeClr w14:val="tx1"/>
            </w14:solidFill>
          </w14:textFill>
        </w:rPr>
        <w:t>价值</w:t>
      </w:r>
      <w:r>
        <w:rPr>
          <w:rFonts w:hint="eastAsia" w:ascii="仿宋_GB2312" w:eastAsia="仿宋_GB2312"/>
          <w:color w:val="000000" w:themeColor="text1"/>
          <w:sz w:val="28"/>
          <w:szCs w:val="28"/>
          <w:lang w:val="en-US" w:eastAsia="zh-CN"/>
          <w14:textFill>
            <w14:solidFill>
              <w14:schemeClr w14:val="tx1"/>
            </w14:solidFill>
          </w14:textFill>
        </w:rPr>
        <w:t>的</w:t>
      </w:r>
      <w:r>
        <w:rPr>
          <w:rFonts w:hint="eastAsia" w:ascii="仿宋_GB2312" w:eastAsia="仿宋_GB2312"/>
          <w:color w:val="000000" w:themeColor="text1"/>
          <w:sz w:val="28"/>
          <w:szCs w:val="28"/>
          <w14:textFill>
            <w14:solidFill>
              <w14:schemeClr w14:val="tx1"/>
            </w14:solidFill>
          </w14:textFill>
        </w:rPr>
        <w:t>使用，</w:t>
      </w:r>
      <w:r>
        <w:rPr>
          <w:rFonts w:hint="eastAsia" w:ascii="仿宋_GB2312" w:hAnsi="仿宋_GB2312" w:eastAsia="仿宋_GB2312" w:cs="仿宋_GB2312"/>
          <w:color w:val="000000" w:themeColor="text1"/>
          <w:sz w:val="28"/>
          <w:szCs w:val="28"/>
          <w14:textFill>
            <w14:solidFill>
              <w14:schemeClr w14:val="tx1"/>
            </w14:solidFill>
          </w14:textFill>
        </w:rPr>
        <w:t>不应作为处置涉案房屋可实现价格的保证，案件承办单位及案件承办人应在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估价结论</w:t>
      </w:r>
      <w:r>
        <w:rPr>
          <w:rFonts w:hint="eastAsia" w:ascii="仿宋_GB2312" w:hAnsi="仿宋_GB2312" w:eastAsia="仿宋_GB2312" w:cs="仿宋_GB2312"/>
          <w:color w:val="000000" w:themeColor="text1"/>
          <w:sz w:val="28"/>
          <w:szCs w:val="28"/>
          <w14:textFill>
            <w14:solidFill>
              <w14:schemeClr w14:val="tx1"/>
            </w14:solidFill>
          </w14:textFill>
        </w:rPr>
        <w:t>的基础上，结合处置时的房屋状况和市场状况等因素进行合理决策。</w:t>
      </w:r>
      <w:r>
        <w:rPr>
          <w:rFonts w:hint="eastAsia" w:ascii="仿宋_GB2312" w:eastAsia="仿宋_GB2312"/>
          <w:color w:val="000000" w:themeColor="text1"/>
          <w:sz w:val="28"/>
          <w:szCs w:val="28"/>
          <w14:textFill>
            <w14:solidFill>
              <w14:schemeClr w14:val="tx1"/>
            </w14:solidFill>
          </w14:textFill>
        </w:rPr>
        <w:t>任何单位和个人不得改变此</w:t>
      </w:r>
      <w:r>
        <w:rPr>
          <w:rFonts w:hint="eastAsia" w:ascii="仿宋_GB2312" w:eastAsia="仿宋_GB2312"/>
          <w:color w:val="000000" w:themeColor="text1"/>
          <w:sz w:val="28"/>
          <w:szCs w:val="28"/>
          <w:lang w:val="en-US" w:eastAsia="zh-CN"/>
          <w14:textFill>
            <w14:solidFill>
              <w14:schemeClr w14:val="tx1"/>
            </w14:solidFill>
          </w14:textFill>
        </w:rPr>
        <w:t>报告</w:t>
      </w:r>
      <w:r>
        <w:rPr>
          <w:rFonts w:hint="eastAsia" w:ascii="仿宋_GB2312" w:eastAsia="仿宋_GB2312"/>
          <w:color w:val="000000" w:themeColor="text1"/>
          <w:sz w:val="28"/>
          <w:szCs w:val="28"/>
          <w14:textFill>
            <w14:solidFill>
              <w14:schemeClr w14:val="tx1"/>
            </w14:solidFill>
          </w14:textFill>
        </w:rPr>
        <w:t>的使用目的</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如改变</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目的需另行委托评估。不得用于其它交易行为。</w:t>
      </w:r>
    </w:p>
    <w:p>
      <w:pPr>
        <w:keepNext w:val="0"/>
        <w:keepLines w:val="0"/>
        <w:pageBreakBefore w:val="0"/>
        <w:widowControl w:val="0"/>
        <w:kinsoku/>
        <w:wordWrap w:val="0"/>
        <w:overflowPunct/>
        <w:topLinePunct w:val="0"/>
        <w:bidi w:val="0"/>
        <w:adjustRightInd/>
        <w:snapToGrid w:val="0"/>
        <w:spacing w:line="520" w:lineRule="exact"/>
        <w:ind w:firstLine="560" w:firstLineChars="200"/>
        <w:textAlignment w:val="auto"/>
        <w:rPr>
          <w:rFonts w:hint="eastAsia" w:ascii="仿宋" w:hAnsi="仿宋" w:eastAsia="仿宋" w:cs="仿宋"/>
          <w:color w:val="auto"/>
          <w:spacing w:val="-4"/>
          <w:sz w:val="28"/>
          <w:szCs w:val="28"/>
          <w:highlight w:val="none"/>
        </w:rPr>
      </w:pPr>
      <w:r>
        <w:rPr>
          <w:rFonts w:hint="eastAsia" w:ascii="仿宋_GB2312" w:eastAsia="仿宋_GB2312"/>
          <w:color w:val="000000" w:themeColor="text1"/>
          <w:sz w:val="28"/>
          <w:szCs w:val="28"/>
          <w:lang w:val="en-US" w:eastAsia="zh-CN"/>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本次估价结果采用公开市场价值标准，未考虑</w:t>
      </w:r>
      <w:r>
        <w:rPr>
          <w:rFonts w:hint="eastAsia" w:ascii="仿宋_GB2312" w:eastAsia="仿宋_GB2312"/>
          <w:color w:val="000000" w:themeColor="text1"/>
          <w:sz w:val="28"/>
          <w:szCs w:val="28"/>
          <w:lang w:eastAsia="zh-CN"/>
          <w14:textFill>
            <w14:solidFill>
              <w14:schemeClr w14:val="tx1"/>
            </w14:solidFill>
          </w14:textFill>
        </w:rPr>
        <w:t>查封、</w:t>
      </w:r>
      <w:r>
        <w:rPr>
          <w:rFonts w:hint="eastAsia" w:ascii="仿宋_GB2312" w:eastAsia="仿宋_GB2312"/>
          <w:color w:val="000000" w:themeColor="text1"/>
          <w:sz w:val="28"/>
          <w:szCs w:val="28"/>
          <w14:textFill>
            <w14:solidFill>
              <w14:schemeClr w14:val="tx1"/>
            </w14:solidFill>
          </w14:textFill>
        </w:rPr>
        <w:t>房屋租赁、征收等因素的影响，本次</w:t>
      </w:r>
      <w:r>
        <w:rPr>
          <w:rFonts w:hint="eastAsia" w:ascii="仿宋_GB2312" w:eastAsia="仿宋_GB2312"/>
          <w:color w:val="000000" w:themeColor="text1"/>
          <w:sz w:val="28"/>
          <w:szCs w:val="28"/>
          <w:lang w:val="en-US" w:eastAsia="zh-CN"/>
          <w14:textFill>
            <w14:solidFill>
              <w14:schemeClr w14:val="tx1"/>
            </w14:solidFill>
          </w14:textFill>
        </w:rPr>
        <w:t>估价项目</w:t>
      </w:r>
      <w:r>
        <w:rPr>
          <w:rFonts w:hint="eastAsia" w:ascii="仿宋_GB2312" w:eastAsia="仿宋_GB2312"/>
          <w:color w:val="000000" w:themeColor="text1"/>
          <w:sz w:val="28"/>
          <w:szCs w:val="28"/>
          <w14:textFill>
            <w14:solidFill>
              <w14:schemeClr w14:val="tx1"/>
            </w14:solidFill>
          </w14:textFill>
        </w:rPr>
        <w:t>未考虑未来处置风险，国家宏观经济政</w:t>
      </w:r>
      <w:r>
        <w:rPr>
          <w:rFonts w:hint="eastAsia" w:ascii="仿宋_GB2312" w:hAnsi="仿宋_GB2312" w:eastAsia="仿宋_GB2312" w:cs="仿宋_GB2312"/>
          <w:color w:val="000000" w:themeColor="text1"/>
          <w:sz w:val="28"/>
          <w:szCs w:val="28"/>
          <w14:textFill>
            <w14:solidFill>
              <w14:schemeClr w14:val="tx1"/>
            </w14:solidFill>
          </w14:textFill>
        </w:rPr>
        <w:t>策发生变化，市场供求关系发生变化，市场结构转变，遇有自然力和其他不可抗力等因素对房屋建筑价值的影响，也没有考虑特殊交易方式下的交易价格等对</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房地产</w:t>
      </w:r>
      <w:r>
        <w:rPr>
          <w:rFonts w:hint="eastAsia" w:ascii="仿宋_GB2312" w:hAnsi="仿宋_GB2312" w:eastAsia="仿宋_GB2312" w:cs="仿宋_GB2312"/>
          <w:color w:val="000000" w:themeColor="text1"/>
          <w:sz w:val="28"/>
          <w:szCs w:val="28"/>
          <w14:textFill>
            <w14:solidFill>
              <w14:schemeClr w14:val="tx1"/>
            </w14:solidFill>
          </w14:textFill>
        </w:rPr>
        <w:t>价值的影响。</w:t>
      </w:r>
    </w:p>
    <w:p>
      <w:pPr>
        <w:keepNext w:val="0"/>
        <w:keepLines w:val="0"/>
        <w:pageBreakBefore w:val="0"/>
        <w:widowControl w:val="0"/>
        <w:kinsoku/>
        <w:wordWrap w:val="0"/>
        <w:overflowPunct/>
        <w:topLinePunct w:val="0"/>
        <w:bidi w:val="0"/>
        <w:adjustRightInd/>
        <w:snapToGrid w:val="0"/>
        <w:spacing w:line="520" w:lineRule="exact"/>
        <w:ind w:firstLine="544"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 w:hAnsi="仿宋" w:eastAsia="仿宋" w:cs="仿宋"/>
          <w:color w:val="auto"/>
          <w:spacing w:val="-4"/>
          <w:sz w:val="28"/>
          <w:szCs w:val="28"/>
          <w:highlight w:val="none"/>
          <w:lang w:val="en-US" w:eastAsia="zh-CN"/>
        </w:rPr>
        <w:t>4</w:t>
      </w:r>
      <w:r>
        <w:rPr>
          <w:rFonts w:hint="eastAsia" w:ascii="仿宋" w:hAnsi="仿宋" w:eastAsia="仿宋" w:cs="仿宋"/>
          <w:color w:val="auto"/>
          <w:spacing w:val="-4"/>
          <w:sz w:val="28"/>
          <w:szCs w:val="28"/>
          <w:highlight w:val="none"/>
        </w:rPr>
        <w:t>、</w:t>
      </w:r>
      <w:r>
        <w:rPr>
          <w:rFonts w:hint="eastAsia" w:ascii="仿宋_GB2312" w:hAnsi="仿宋_GB2312" w:eastAsia="仿宋_GB2312" w:cs="仿宋_GB2312"/>
          <w:color w:val="000000" w:themeColor="text1"/>
          <w:sz w:val="28"/>
          <w:szCs w:val="28"/>
          <w14:textFill>
            <w14:solidFill>
              <w14:schemeClr w14:val="tx1"/>
            </w14:solidFill>
          </w14:textFill>
        </w:rPr>
        <w:t>本次估价结果有效期为</w:t>
      </w:r>
      <w:r>
        <w:rPr>
          <w:rFonts w:hint="eastAsia" w:ascii="仿宋_GB2312" w:hAnsi="仿宋_GB2312" w:eastAsia="仿宋_GB2312" w:cs="仿宋_GB2312"/>
          <w:color w:val="000000" w:themeColor="text1"/>
          <w:sz w:val="28"/>
          <w:szCs w:val="28"/>
          <w:lang w:eastAsia="zh-CN"/>
          <w14:textFill>
            <w14:solidFill>
              <w14:schemeClr w14:val="tx1"/>
            </w14:solidFill>
          </w14:textFill>
        </w:rPr>
        <w:t>一年（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自2022年7月8日至2023年7月7日止</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keepNext w:val="0"/>
        <w:keepLines w:val="0"/>
        <w:pageBreakBefore w:val="0"/>
        <w:widowControl w:val="0"/>
        <w:kinsoku/>
        <w:wordWrap w:val="0"/>
        <w:overflowPunct/>
        <w:topLinePunct w:val="0"/>
        <w:bidi w:val="0"/>
        <w:adjustRightInd/>
        <w:snapToGrid w:val="0"/>
        <w:spacing w:line="520" w:lineRule="exact"/>
        <w:ind w:firstLine="560"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估价报告有效期内估价对象的质量及价格标准发生变化，并对估价对象</w:t>
      </w:r>
      <w:r>
        <w:rPr>
          <w:rFonts w:hint="eastAsia" w:ascii="仿宋_GB2312" w:eastAsia="仿宋_GB2312"/>
          <w:color w:val="000000" w:themeColor="text1"/>
          <w:sz w:val="28"/>
          <w:szCs w:val="28"/>
          <w14:textFill>
            <w14:solidFill>
              <w14:schemeClr w14:val="tx1"/>
            </w14:solidFill>
          </w14:textFill>
        </w:rPr>
        <w:t>估价价值产生明显影响时，影响本估价结论的使用。若</w:t>
      </w:r>
      <w:r>
        <w:rPr>
          <w:rFonts w:hint="eastAsia" w:ascii="仿宋_GB2312" w:eastAsia="仿宋_GB2312"/>
          <w:color w:val="000000" w:themeColor="text1"/>
          <w:sz w:val="28"/>
          <w:szCs w:val="28"/>
          <w:lang w:val="en-US" w:eastAsia="zh-CN"/>
          <w14:textFill>
            <w14:solidFill>
              <w14:schemeClr w14:val="tx1"/>
            </w14:solidFill>
          </w14:textFill>
        </w:rPr>
        <w:t>价值时点</w:t>
      </w:r>
      <w:r>
        <w:rPr>
          <w:rFonts w:hint="eastAsia" w:ascii="仿宋_GB2312" w:eastAsia="仿宋_GB2312"/>
          <w:color w:val="000000" w:themeColor="text1"/>
          <w:sz w:val="28"/>
          <w:szCs w:val="28"/>
          <w14:textFill>
            <w14:solidFill>
              <w14:schemeClr w14:val="tx1"/>
            </w14:solidFill>
          </w14:textFill>
        </w:rPr>
        <w:t>发生变化，</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结论需进行调整。房地产司法拍卖（变卖）评估的基准日（即价值时点），原则上为评估委托之日或完成</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对象现场勘查之日，但评估委托书另有约定的除外。本次</w:t>
      </w:r>
      <w:r>
        <w:rPr>
          <w:rFonts w:hint="eastAsia" w:ascii="仿宋_GB2312" w:eastAsia="仿宋_GB2312"/>
          <w:color w:val="000000" w:themeColor="text1"/>
          <w:sz w:val="28"/>
          <w:szCs w:val="28"/>
          <w:lang w:val="en-US" w:eastAsia="zh-CN"/>
          <w14:textFill>
            <w14:solidFill>
              <w14:schemeClr w14:val="tx1"/>
            </w14:solidFill>
          </w14:textFill>
        </w:rPr>
        <w:t>房地产估价报告</w:t>
      </w:r>
      <w:r>
        <w:rPr>
          <w:rFonts w:hint="eastAsia" w:ascii="仿宋_GB2312" w:eastAsia="仿宋_GB2312"/>
          <w:color w:val="000000" w:themeColor="text1"/>
          <w:sz w:val="28"/>
          <w:szCs w:val="28"/>
          <w14:textFill>
            <w14:solidFill>
              <w14:schemeClr w14:val="tx1"/>
            </w14:solidFill>
          </w14:textFill>
        </w:rPr>
        <w:t>上的</w:t>
      </w:r>
      <w:r>
        <w:rPr>
          <w:rFonts w:hint="eastAsia" w:ascii="仿宋_GB2312" w:eastAsia="仿宋_GB2312"/>
          <w:color w:val="000000" w:themeColor="text1"/>
          <w:sz w:val="28"/>
          <w:szCs w:val="28"/>
          <w:lang w:val="en-US" w:eastAsia="zh-CN"/>
          <w14:textFill>
            <w14:solidFill>
              <w14:schemeClr w14:val="tx1"/>
            </w14:solidFill>
          </w14:textFill>
        </w:rPr>
        <w:t>评估</w:t>
      </w:r>
      <w:r>
        <w:rPr>
          <w:rFonts w:hint="eastAsia" w:ascii="仿宋_GB2312" w:eastAsia="仿宋_GB2312"/>
          <w:color w:val="000000" w:themeColor="text1"/>
          <w:sz w:val="28"/>
          <w:szCs w:val="28"/>
          <w14:textFill>
            <w14:solidFill>
              <w14:schemeClr w14:val="tx1"/>
            </w14:solidFill>
          </w14:textFill>
        </w:rPr>
        <w:t>基准日（即价值时点）为现场察勘之日即</w:t>
      </w:r>
      <w:r>
        <w:rPr>
          <w:rFonts w:hint="eastAsia" w:ascii="仿宋_GB2312" w:eastAsia="仿宋_GB2312"/>
          <w:color w:val="000000" w:themeColor="text1"/>
          <w:sz w:val="28"/>
          <w:szCs w:val="28"/>
          <w:lang w:eastAsia="zh-CN"/>
          <w14:textFill>
            <w14:solidFill>
              <w14:schemeClr w14:val="tx1"/>
            </w14:solidFill>
          </w14:textFill>
        </w:rPr>
        <w:t>2022年7月6日</w:t>
      </w:r>
      <w:r>
        <w:rPr>
          <w:rFonts w:hint="eastAsia" w:ascii="仿宋_GB2312" w:eastAsia="仿宋_GB2312"/>
          <w:color w:val="000000" w:themeColor="text1"/>
          <w:sz w:val="28"/>
          <w:szCs w:val="28"/>
          <w14:textFill>
            <w14:solidFill>
              <w14:schemeClr w14:val="tx1"/>
            </w14:solidFill>
          </w14:textFill>
        </w:rPr>
        <w:t>。</w:t>
      </w:r>
    </w:p>
    <w:p>
      <w:pPr>
        <w:keepNext w:val="0"/>
        <w:keepLines w:val="0"/>
        <w:pageBreakBefore w:val="0"/>
        <w:widowControl w:val="0"/>
        <w:kinsoku/>
        <w:overflowPunct/>
        <w:topLinePunct w:val="0"/>
        <w:bidi w:val="0"/>
        <w:adjustRightInd/>
        <w:spacing w:line="52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本次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估价</w:t>
      </w:r>
      <w:r>
        <w:rPr>
          <w:rFonts w:hint="eastAsia" w:ascii="仿宋_GB2312" w:hAnsi="仿宋_GB2312" w:eastAsia="仿宋_GB2312" w:cs="仿宋_GB2312"/>
          <w:color w:val="000000" w:themeColor="text1"/>
          <w:sz w:val="28"/>
          <w:szCs w:val="28"/>
          <w14:textFill>
            <w14:solidFill>
              <w14:schemeClr w14:val="tx1"/>
            </w14:solidFill>
          </w14:textFill>
        </w:rPr>
        <w:t>的范围以</w:t>
      </w:r>
      <w:r>
        <w:rPr>
          <w:rFonts w:hint="eastAsia" w:ascii="仿宋_GB2312" w:hAnsi="仿宋_GB2312" w:eastAsia="仿宋_GB2312" w:cs="仿宋_GB2312"/>
          <w:color w:val="000000" w:themeColor="text1"/>
          <w:sz w:val="28"/>
          <w:szCs w:val="28"/>
          <w:lang w:eastAsia="zh-CN"/>
          <w14:textFill>
            <w14:solidFill>
              <w14:schemeClr w14:val="tx1"/>
            </w14:solidFill>
          </w14:textFill>
        </w:rPr>
        <w:t>（2022）黑1025执417号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林口县人民法院</w:t>
      </w:r>
      <w:r>
        <w:rPr>
          <w:rFonts w:hint="eastAsia" w:ascii="仿宋_GB2312" w:hAnsi="仿宋_GB2312" w:eastAsia="仿宋_GB2312" w:cs="仿宋_GB2312"/>
          <w:color w:val="000000" w:themeColor="text1"/>
          <w:sz w:val="28"/>
          <w:szCs w:val="28"/>
          <w14:textFill>
            <w14:solidFill>
              <w14:schemeClr w14:val="tx1"/>
            </w14:solidFill>
          </w14:textFill>
        </w:rPr>
        <w:t>委托书确定的范围为限。</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52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本次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项目评估</w:t>
      </w:r>
      <w:r>
        <w:rPr>
          <w:rFonts w:hint="eastAsia" w:ascii="仿宋_GB2312" w:hAnsi="仿宋_GB2312" w:eastAsia="仿宋_GB2312" w:cs="仿宋_GB2312"/>
          <w:color w:val="000000" w:themeColor="text1"/>
          <w:sz w:val="28"/>
          <w:szCs w:val="28"/>
          <w14:textFill>
            <w14:solidFill>
              <w14:schemeClr w14:val="tx1"/>
            </w14:solidFill>
          </w14:textFill>
        </w:rPr>
        <w:t>中未包括各项交易税费（如不包含</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估价</w:t>
      </w:r>
      <w:r>
        <w:rPr>
          <w:rFonts w:hint="eastAsia" w:ascii="仿宋_GB2312" w:hAnsi="仿宋_GB2312" w:eastAsia="仿宋_GB2312" w:cs="仿宋_GB2312"/>
          <w:color w:val="000000" w:themeColor="text1"/>
          <w:sz w:val="28"/>
          <w:szCs w:val="28"/>
          <w14:textFill>
            <w14:solidFill>
              <w14:schemeClr w14:val="tx1"/>
            </w14:solidFill>
          </w14:textFill>
        </w:rPr>
        <w:t>对象转让所需缴纳的税费、手续费、相关费用以及可能存在的欠费），若转让需按有关管理部门规定进行交纳。</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52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7、</w:t>
      </w:r>
      <w:r>
        <w:rPr>
          <w:rFonts w:hint="eastAsia" w:ascii="仿宋_GB2312" w:eastAsia="仿宋_GB2312"/>
          <w:color w:val="000000" w:themeColor="text1"/>
          <w:sz w:val="28"/>
          <w:szCs w:val="28"/>
          <w14:textFill>
            <w14:solidFill>
              <w14:schemeClr w14:val="tx1"/>
            </w14:solidFill>
          </w14:textFill>
        </w:rPr>
        <w:t>本次</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结论</w:t>
      </w:r>
      <w:r>
        <w:rPr>
          <w:rFonts w:hint="eastAsia" w:ascii="仿宋_GB2312" w:eastAsia="仿宋_GB2312"/>
          <w:color w:val="C00000"/>
          <w:sz w:val="28"/>
          <w:szCs w:val="28"/>
        </w:rPr>
        <w:t>包含</w:t>
      </w:r>
      <w:r>
        <w:rPr>
          <w:rFonts w:hint="eastAsia" w:ascii="仿宋_GB2312" w:eastAsia="仿宋_GB2312"/>
          <w:color w:val="C00000"/>
          <w:sz w:val="28"/>
          <w:szCs w:val="28"/>
          <w:lang w:val="en-US" w:eastAsia="zh-CN"/>
        </w:rPr>
        <w:t>估价</w:t>
      </w:r>
      <w:r>
        <w:rPr>
          <w:rFonts w:hint="eastAsia" w:ascii="仿宋_GB2312" w:eastAsia="仿宋_GB2312"/>
          <w:color w:val="C00000"/>
          <w:sz w:val="28"/>
          <w:szCs w:val="28"/>
        </w:rPr>
        <w:t>对象应分摊的合理范围内的土地使用权价值</w:t>
      </w:r>
      <w:r>
        <w:rPr>
          <w:rFonts w:hint="eastAsia" w:ascii="仿宋_GB2312" w:eastAsia="仿宋_GB2312"/>
          <w:color w:val="000000" w:themeColor="text1"/>
          <w:sz w:val="28"/>
          <w:szCs w:val="28"/>
          <w14:textFill>
            <w14:solidFill>
              <w14:schemeClr w14:val="tx1"/>
            </w14:solidFill>
          </w14:textFill>
        </w:rPr>
        <w:t>。在</w:t>
      </w:r>
      <w:r>
        <w:rPr>
          <w:rFonts w:hint="eastAsia" w:ascii="仿宋_GB2312" w:eastAsia="仿宋_GB2312"/>
          <w:color w:val="000000" w:themeColor="text1"/>
          <w:sz w:val="28"/>
          <w:szCs w:val="28"/>
          <w:lang w:val="en-US" w:eastAsia="zh-CN"/>
          <w14:textFill>
            <w14:solidFill>
              <w14:schemeClr w14:val="tx1"/>
            </w14:solidFill>
          </w14:textFill>
        </w:rPr>
        <w:t>评估</w:t>
      </w:r>
      <w:r>
        <w:rPr>
          <w:rFonts w:hint="eastAsia" w:ascii="仿宋_GB2312" w:eastAsia="仿宋_GB2312"/>
          <w:color w:val="000000" w:themeColor="text1"/>
          <w:sz w:val="28"/>
          <w:szCs w:val="28"/>
          <w14:textFill>
            <w14:solidFill>
              <w14:schemeClr w14:val="tx1"/>
            </w14:solidFill>
          </w14:textFill>
        </w:rPr>
        <w:t>基准日（即价值时点）本次估价不考虑</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对象存在抵押权因素的影响。</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560" w:firstLineChars="2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8、</w:t>
      </w:r>
      <w:r>
        <w:rPr>
          <w:rFonts w:hint="eastAsia" w:ascii="仿宋_GB2312" w:eastAsia="仿宋_GB2312"/>
          <w:color w:val="000000" w:themeColor="text1"/>
          <w:sz w:val="28"/>
          <w:szCs w:val="28"/>
          <w14:textFill>
            <w14:solidFill>
              <w14:schemeClr w14:val="tx1"/>
            </w14:solidFill>
          </w14:textFill>
        </w:rPr>
        <w:t>本报告中</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对象的物理状况如有隐蔽之处而无法核实，按照通常状态下即所能观察到的房屋状况下进行客观价值评估。如对评估结果有异议请收到报告后3日内提出。</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520" w:lineRule="exact"/>
        <w:ind w:leftChars="0" w:firstLine="560"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9、</w:t>
      </w:r>
      <w:r>
        <w:rPr>
          <w:rFonts w:hint="eastAsia" w:ascii="仿宋_GB2312" w:eastAsia="仿宋_GB2312"/>
          <w:color w:val="000000" w:themeColor="text1"/>
          <w:sz w:val="28"/>
          <w:szCs w:val="28"/>
          <w14:textFill>
            <w14:solidFill>
              <w14:schemeClr w14:val="tx1"/>
            </w14:solidFill>
          </w14:textFill>
        </w:rPr>
        <w:t>当</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对象拍卖后，应首先支付相关税费、评估费、拍卖费及抵押贷款余额等其他法定优先受偿款，这些因素可能会使</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对象实际拍卖价值低于评估价值。</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520" w:lineRule="exact"/>
        <w:ind w:firstLine="560" w:firstLineChars="200"/>
        <w:textAlignment w:val="auto"/>
        <w:rPr>
          <w:rFonts w:hint="eastAsia" w:ascii="仿宋_GB2312" w:eastAsia="仿宋_GB2312"/>
          <w:color w:val="000000" w:themeColor="text1"/>
          <w:spacing w:val="-6"/>
          <w:sz w:val="28"/>
          <w:szCs w:val="28"/>
          <w14:textFill>
            <w14:solidFill>
              <w14:schemeClr w14:val="tx1"/>
            </w14:solidFill>
          </w14:textFill>
        </w:rPr>
      </w:pPr>
      <w:r>
        <w:rPr>
          <w:rFonts w:hint="eastAsia" w:ascii="仿宋" w:hAnsi="仿宋" w:eastAsia="仿宋" w:cs="仿宋"/>
          <w:color w:val="auto"/>
          <w:sz w:val="28"/>
          <w:szCs w:val="28"/>
          <w:highlight w:val="none"/>
          <w:lang w:val="en-US" w:eastAsia="zh-CN"/>
        </w:rPr>
        <w:t>10、</w:t>
      </w:r>
      <w:r>
        <w:rPr>
          <w:rFonts w:hint="eastAsia" w:ascii="仿宋_GB2312" w:eastAsia="仿宋_GB2312"/>
          <w:color w:val="000000" w:themeColor="text1"/>
          <w:spacing w:val="-6"/>
          <w:sz w:val="28"/>
          <w:szCs w:val="28"/>
          <w14:textFill>
            <w14:solidFill>
              <w14:schemeClr w14:val="tx1"/>
            </w14:solidFill>
          </w14:textFill>
        </w:rPr>
        <w:t>本报告仅限于委托人为本报告所列明的评估目的及上级主管部门审查使用，未经</w:t>
      </w:r>
      <w:r>
        <w:rPr>
          <w:rFonts w:hint="eastAsia" w:ascii="仿宋_GB2312" w:eastAsia="仿宋_GB2312"/>
          <w:color w:val="000000" w:themeColor="text1"/>
          <w:spacing w:val="-6"/>
          <w:sz w:val="28"/>
          <w:szCs w:val="28"/>
          <w:lang w:val="en-US" w:eastAsia="zh-CN"/>
          <w14:textFill>
            <w14:solidFill>
              <w14:schemeClr w14:val="tx1"/>
            </w14:solidFill>
          </w14:textFill>
        </w:rPr>
        <w:t>估价</w:t>
      </w:r>
      <w:r>
        <w:rPr>
          <w:rFonts w:hint="eastAsia" w:ascii="仿宋_GB2312" w:eastAsia="仿宋_GB2312"/>
          <w:color w:val="000000" w:themeColor="text1"/>
          <w:spacing w:val="-6"/>
          <w:sz w:val="28"/>
          <w:szCs w:val="28"/>
          <w14:textFill>
            <w14:solidFill>
              <w14:schemeClr w14:val="tx1"/>
            </w14:solidFill>
          </w14:textFill>
        </w:rPr>
        <w:t>机构书面同意，本</w:t>
      </w:r>
      <w:r>
        <w:rPr>
          <w:rFonts w:hint="eastAsia" w:ascii="仿宋_GB2312" w:eastAsia="仿宋_GB2312"/>
          <w:color w:val="000000" w:themeColor="text1"/>
          <w:spacing w:val="-6"/>
          <w:sz w:val="28"/>
          <w:szCs w:val="28"/>
          <w:lang w:val="en-US" w:eastAsia="zh-CN"/>
          <w14:textFill>
            <w14:solidFill>
              <w14:schemeClr w14:val="tx1"/>
            </w14:solidFill>
          </w14:textFill>
        </w:rPr>
        <w:t>报告</w:t>
      </w:r>
      <w:r>
        <w:rPr>
          <w:rFonts w:hint="eastAsia" w:ascii="仿宋_GB2312" w:eastAsia="仿宋_GB2312"/>
          <w:color w:val="000000" w:themeColor="text1"/>
          <w:spacing w:val="-6"/>
          <w:sz w:val="28"/>
          <w:szCs w:val="28"/>
          <w14:textFill>
            <w14:solidFill>
              <w14:schemeClr w14:val="tx1"/>
            </w14:solidFill>
          </w14:textFill>
        </w:rPr>
        <w:t>书的全部或部分及任何参考资料均不允许在任何公开发表的文件、通告或声明中引用，亦不得以其他任何方式公开发表。</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1</w:t>
      </w:r>
      <w:r>
        <w:rPr>
          <w:rFonts w:hint="eastAsia" w:ascii="仿宋_GB2312" w:eastAsia="仿宋_GB2312"/>
          <w:sz w:val="28"/>
          <w:szCs w:val="28"/>
        </w:rPr>
        <w:t xml:space="preserve">、本报告仅供委托方用于该委托评估目的使用，其内容对第三者不负任何责任。本估价报告需经估价人员签名并加盖估价机构公章，作为一个整体时有效，复印件无效。 </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2</w:t>
      </w:r>
      <w:r>
        <w:rPr>
          <w:rFonts w:hint="eastAsia" w:ascii="仿宋_GB2312" w:eastAsia="仿宋_GB2312"/>
          <w:sz w:val="28"/>
          <w:szCs w:val="28"/>
        </w:rPr>
        <w:t>、本次估价报告分为“估价结果报告”和“估价技术报告”两种格式。“估价结果报告”仅供委托方和送交房地产管理部门审查使用，“估价技术报告”仅供估价机构存档和作为估价结果提交管理部门审查备案。</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3</w:t>
      </w:r>
      <w:r>
        <w:rPr>
          <w:rFonts w:hint="eastAsia" w:ascii="仿宋_GB2312" w:eastAsia="仿宋_GB2312"/>
          <w:sz w:val="28"/>
          <w:szCs w:val="28"/>
        </w:rPr>
        <w:t>、本估价报告必须依据相关法律法规合法使用。若报告使用者违规使用报告，应承担相应的法律责任。本估价报告必须整体使用方为有效，分割使用及复印件无效，对仅使用报告中部分内容所导致的可能的损失，本公司不承担责任。任何单位和个人未经估价机构书面同意，不得以任何形式发表、肢解本报告。本报告书内文字、数字或图片印校有误时，请告知本公司。</w:t>
      </w: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rPr>
          <w:rFonts w:hint="eastAsia" w:ascii="仿宋_GB2312" w:eastAsia="仿宋_GB2312"/>
          <w:sz w:val="28"/>
          <w:szCs w:val="28"/>
        </w:rPr>
      </w:pPr>
    </w:p>
    <w:p>
      <w:pPr>
        <w:pStyle w:val="2"/>
        <w:numPr>
          <w:ilvl w:val="0"/>
          <w:numId w:val="1"/>
        </w:numPr>
        <w:spacing w:before="100" w:after="0" w:line="360" w:lineRule="auto"/>
        <w:jc w:val="center"/>
        <w:rPr>
          <w:rFonts w:hint="eastAsia" w:ascii="仿宋" w:hAnsi="仿宋" w:eastAsia="仿宋" w:cs="宋体"/>
          <w:b/>
          <w:bCs/>
          <w:sz w:val="44"/>
          <w:szCs w:val="44"/>
          <w:lang w:eastAsia="zh-CN"/>
        </w:rPr>
      </w:pPr>
      <w:r>
        <w:rPr>
          <w:rFonts w:hint="eastAsia" w:ascii="仿宋" w:hAnsi="仿宋" w:eastAsia="仿宋" w:cs="仿宋"/>
          <w:color w:val="auto"/>
          <w:sz w:val="40"/>
          <w:szCs w:val="40"/>
          <w:highlight w:val="none"/>
        </w:rPr>
        <w:t>房地产估价结果报告</w:t>
      </w:r>
    </w:p>
    <w:p>
      <w:pPr>
        <w:rPr>
          <w:rFonts w:hint="eastAsia"/>
          <w:lang w:eastAsia="zh-CN"/>
        </w:rPr>
      </w:pPr>
    </w:p>
    <w:p>
      <w:pPr>
        <w:jc w:val="right"/>
        <w:rPr>
          <w:rFonts w:ascii="仿宋" w:hAnsi="仿宋" w:eastAsia="仿宋" w:cs="宋体"/>
          <w:bCs/>
          <w:sz w:val="18"/>
          <w:szCs w:val="18"/>
        </w:rPr>
      </w:pPr>
      <w:r>
        <w:rPr>
          <w:rFonts w:hint="eastAsia" w:ascii="仿宋" w:hAnsi="仿宋" w:eastAsia="仿宋" w:cs="宋体"/>
          <w:b/>
          <w:bCs/>
          <w:szCs w:val="21"/>
        </w:rPr>
        <w:t>编号：</w:t>
      </w:r>
      <w:r>
        <w:rPr>
          <w:rFonts w:hint="eastAsia" w:ascii="仿宋" w:hAnsi="仿宋" w:eastAsia="仿宋" w:cs="宋体"/>
          <w:bCs/>
          <w:szCs w:val="21"/>
          <w:u w:val="single"/>
        </w:rPr>
        <w:t>黑天之骄【</w:t>
      </w:r>
      <w:r>
        <w:rPr>
          <w:rFonts w:ascii="仿宋" w:hAnsi="仿宋" w:eastAsia="仿宋" w:cs="宋体"/>
          <w:bCs/>
          <w:szCs w:val="21"/>
          <w:u w:val="single"/>
        </w:rPr>
        <w:t>202</w:t>
      </w:r>
      <w:r>
        <w:rPr>
          <w:rFonts w:hint="eastAsia" w:ascii="仿宋" w:hAnsi="仿宋" w:eastAsia="仿宋" w:cs="宋体"/>
          <w:bCs/>
          <w:szCs w:val="21"/>
          <w:u w:val="single"/>
          <w:lang w:val="en-US" w:eastAsia="zh-CN"/>
        </w:rPr>
        <w:t>2</w:t>
      </w:r>
      <w:r>
        <w:rPr>
          <w:rFonts w:hint="eastAsia" w:ascii="仿宋" w:hAnsi="仿宋" w:eastAsia="仿宋" w:cs="宋体"/>
          <w:bCs/>
          <w:szCs w:val="21"/>
          <w:u w:val="single"/>
        </w:rPr>
        <w:t>】</w:t>
      </w:r>
      <w:r>
        <w:rPr>
          <w:rFonts w:hint="eastAsia" w:ascii="仿宋" w:hAnsi="仿宋" w:eastAsia="仿宋" w:cs="宋体"/>
          <w:bCs/>
          <w:szCs w:val="21"/>
          <w:u w:val="single"/>
          <w:lang w:eastAsia="zh-CN"/>
        </w:rPr>
        <w:t>法执房评第63号</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2" w:firstLineChars="200"/>
        <w:textAlignment w:val="auto"/>
        <w:rPr>
          <w:rFonts w:hint="eastAsia" w:ascii="仿宋" w:hAnsi="仿宋" w:eastAsia="仿宋" w:cs="仿宋"/>
          <w:color w:val="auto"/>
          <w:sz w:val="28"/>
          <w:szCs w:val="28"/>
          <w:highlight w:val="none"/>
          <w:lang w:eastAsia="zh-CN"/>
        </w:rPr>
      </w:pPr>
      <w:bookmarkStart w:id="9" w:name="_Toc21784"/>
      <w:r>
        <w:rPr>
          <w:rStyle w:val="44"/>
          <w:rFonts w:hint="eastAsia" w:ascii="仿宋" w:hAnsi="仿宋" w:eastAsia="仿宋" w:cs="仿宋"/>
          <w:color w:val="auto"/>
          <w:sz w:val="28"/>
          <w:szCs w:val="28"/>
          <w:highlight w:val="none"/>
        </w:rPr>
        <w:t>1、委托人：</w:t>
      </w:r>
      <w:bookmarkEnd w:id="9"/>
      <w:r>
        <w:rPr>
          <w:rFonts w:hint="eastAsia" w:ascii="仿宋" w:hAnsi="仿宋" w:eastAsia="仿宋" w:cs="宋体"/>
          <w:color w:val="FF0000"/>
          <w:sz w:val="28"/>
          <w:szCs w:val="28"/>
          <w:lang w:eastAsia="zh-CN"/>
        </w:rPr>
        <w:t>林口县人民法院</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Style w:val="44"/>
          <w:rFonts w:hint="eastAsia" w:ascii="仿宋" w:hAnsi="仿宋" w:eastAsia="仿宋" w:cs="仿宋"/>
          <w:color w:val="auto"/>
          <w:sz w:val="28"/>
          <w:szCs w:val="28"/>
          <w:highlight w:val="none"/>
        </w:rPr>
      </w:pPr>
      <w:bookmarkStart w:id="10" w:name="_Toc29631"/>
      <w:r>
        <w:rPr>
          <w:rStyle w:val="44"/>
          <w:rFonts w:hint="eastAsia" w:ascii="仿宋" w:hAnsi="仿宋" w:eastAsia="仿宋" w:cs="仿宋"/>
          <w:color w:val="auto"/>
          <w:sz w:val="28"/>
          <w:szCs w:val="28"/>
          <w:highlight w:val="none"/>
        </w:rPr>
        <w:t>2、估价机构：</w:t>
      </w:r>
      <w:bookmarkEnd w:id="10"/>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color w:val="auto"/>
          <w:sz w:val="28"/>
          <w:szCs w:val="28"/>
          <w:highlight w:val="none"/>
        </w:rPr>
        <w:t>名称：</w:t>
      </w:r>
      <w:r>
        <w:rPr>
          <w:rFonts w:hint="eastAsia" w:ascii="仿宋" w:hAnsi="仿宋" w:eastAsia="仿宋" w:cs="仿宋"/>
          <w:b w:val="0"/>
          <w:bCs/>
          <w:color w:val="auto"/>
          <w:sz w:val="28"/>
          <w:szCs w:val="28"/>
          <w:highlight w:val="none"/>
          <w:lang w:eastAsia="zh-CN"/>
        </w:rPr>
        <w:t>黑龙江天之骄房地产资产评估有限公司</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Fonts w:hint="eastAsia" w:ascii="仿宋_GB2312" w:hAnsi="Courier New" w:eastAsia="仿宋_GB2312"/>
          <w:color w:val="auto"/>
          <w:sz w:val="28"/>
          <w:highlight w:val="none"/>
        </w:rPr>
      </w:pPr>
      <w:r>
        <w:rPr>
          <w:rFonts w:hint="eastAsia" w:ascii="仿宋" w:hAnsi="仿宋" w:eastAsia="仿宋" w:cs="仿宋"/>
          <w:color w:val="auto"/>
          <w:sz w:val="28"/>
          <w:szCs w:val="28"/>
          <w:highlight w:val="none"/>
        </w:rPr>
        <w:t>住所：</w:t>
      </w:r>
      <w:r>
        <w:rPr>
          <w:rFonts w:hint="eastAsia" w:ascii="仿宋_GB2312" w:hAnsi="Courier New" w:eastAsia="仿宋_GB2312"/>
          <w:color w:val="auto"/>
          <w:sz w:val="28"/>
          <w:highlight w:val="none"/>
        </w:rPr>
        <w:t>牡丹江市西安区新宏基大厦803室</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lang w:eastAsia="zh-CN"/>
        </w:rPr>
        <w:t>孙克伟</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资格备案等级：国家一级</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证书编号：</w:t>
      </w:r>
      <w:bookmarkStart w:id="11" w:name="_Toc13990"/>
      <w:r>
        <w:rPr>
          <w:rFonts w:hint="eastAsia" w:ascii="仿宋" w:hAnsi="仿宋" w:eastAsia="仿宋" w:cs="仿宋"/>
          <w:color w:val="auto"/>
          <w:sz w:val="28"/>
          <w:szCs w:val="28"/>
          <w:highlight w:val="none"/>
          <w:lang w:eastAsia="zh-CN"/>
        </w:rPr>
        <w:t>23030016</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Fonts w:hint="eastAsia" w:ascii="仿宋_GB2312" w:hAnsi="仿宋_GB2312" w:eastAsia="仿宋_GB2312" w:cs="仿宋_GB2312"/>
          <w:kern w:val="2"/>
          <w:sz w:val="28"/>
          <w:szCs w:val="28"/>
          <w:lang w:val="en-US" w:eastAsia="zh-CN" w:bidi="ar"/>
        </w:rPr>
      </w:pPr>
      <w:r>
        <w:rPr>
          <w:rStyle w:val="44"/>
          <w:rFonts w:hint="eastAsia" w:ascii="仿宋" w:hAnsi="仿宋" w:eastAsia="仿宋" w:cs="仿宋"/>
          <w:color w:val="auto"/>
          <w:sz w:val="28"/>
          <w:szCs w:val="28"/>
          <w:highlight w:val="none"/>
        </w:rPr>
        <w:t>3、估价目的：</w:t>
      </w:r>
      <w:bookmarkEnd w:id="11"/>
      <w:r>
        <w:rPr>
          <w:rFonts w:hint="eastAsia" w:ascii="仿宋_GB2312" w:hAnsi="仿宋_GB2312" w:eastAsia="仿宋_GB2312" w:cs="仿宋_GB2312"/>
          <w:kern w:val="2"/>
          <w:sz w:val="28"/>
          <w:szCs w:val="28"/>
          <w:lang w:bidi="ar"/>
        </w:rPr>
        <w:t>为</w:t>
      </w:r>
      <w:r>
        <w:rPr>
          <w:rFonts w:hint="eastAsia" w:ascii="仿宋_GB2312" w:hAnsi="仿宋_GB2312" w:eastAsia="仿宋_GB2312" w:cs="仿宋_GB2312"/>
          <w:kern w:val="2"/>
          <w:sz w:val="28"/>
          <w:szCs w:val="28"/>
          <w:lang w:val="en-US" w:eastAsia="zh-CN" w:bidi="ar"/>
        </w:rPr>
        <w:t>委托方确定财产处置参考价而评估房地产客观市场价格或价值。</w:t>
      </w:r>
      <w:bookmarkStart w:id="12" w:name="_Toc3021"/>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Style w:val="44"/>
          <w:rFonts w:hint="eastAsia" w:ascii="仿宋" w:hAnsi="仿宋" w:eastAsia="仿宋" w:cs="仿宋"/>
          <w:color w:val="auto"/>
          <w:sz w:val="28"/>
          <w:szCs w:val="28"/>
          <w:highlight w:val="none"/>
        </w:rPr>
      </w:pPr>
      <w:r>
        <w:rPr>
          <w:rStyle w:val="44"/>
          <w:rFonts w:hint="eastAsia" w:ascii="仿宋" w:hAnsi="仿宋" w:eastAsia="仿宋" w:cs="仿宋"/>
          <w:color w:val="auto"/>
          <w:sz w:val="28"/>
          <w:szCs w:val="28"/>
          <w:highlight w:val="none"/>
        </w:rPr>
        <w:t>4．估价对象：</w:t>
      </w:r>
      <w:bookmarkEnd w:id="12"/>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3" w:name="_Toc32710"/>
      <w:r>
        <w:rPr>
          <w:rFonts w:hint="eastAsia" w:ascii="仿宋_GB2312" w:hAnsi="仿宋_GB2312" w:eastAsia="仿宋_GB2312" w:cs="仿宋_GB2312"/>
          <w:sz w:val="28"/>
          <w:szCs w:val="28"/>
          <w:lang w:val="en-US" w:eastAsia="zh-CN"/>
        </w:rPr>
        <w:t>（一）估价对象基本状况的说明：</w:t>
      </w:r>
      <w:bookmarkEnd w:id="13"/>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⑴、本次估价对象财产范围以（2022）黑1025执417号《林口县人民法院委托书》上的委托内容为准进行估价。</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⑵、估价对象的名称和坐落位置：估价对象位于林口县收费所家属楼18.00-9.75-11/4-561室。</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⑶、规模：房屋总建筑面积91.69㎡。</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⑷、规划用途：住宅；</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⑸、权属：依据</w:t>
      </w:r>
      <w:r>
        <w:rPr>
          <w:rFonts w:hint="eastAsia" w:ascii="仿宋_GB2312" w:eastAsia="仿宋_GB2312" w:cs="Times New Roman"/>
          <w:color w:val="000000" w:themeColor="text1"/>
          <w:kern w:val="2"/>
          <w:sz w:val="28"/>
          <w:szCs w:val="24"/>
          <w:lang w:val="en-US" w:eastAsia="zh-CN" w:bidi="ar-SA"/>
          <w14:textFill>
            <w14:solidFill>
              <w14:schemeClr w14:val="tx1"/>
            </w14:solidFill>
          </w14:textFill>
        </w:rPr>
        <w:t>《房屋所有权证》</w:t>
      </w:r>
      <w:r>
        <w:rPr>
          <w:rFonts w:hint="eastAsia" w:ascii="仿宋_GB2312" w:hAnsi="仿宋_GB2312" w:eastAsia="仿宋_GB2312" w:cs="仿宋_GB2312"/>
          <w:sz w:val="28"/>
          <w:szCs w:val="28"/>
          <w:lang w:val="en-US" w:eastAsia="zh-CN"/>
        </w:rPr>
        <w:t>上注明的信息为准。</w:t>
      </w:r>
      <w:r>
        <w:rPr>
          <w:rFonts w:hint="eastAsia" w:ascii="仿宋_GB2312" w:eastAsia="仿宋_GB2312" w:cs="Times New Roman"/>
          <w:color w:val="000000" w:themeColor="text1"/>
          <w:kern w:val="2"/>
          <w:sz w:val="28"/>
          <w:szCs w:val="24"/>
          <w:lang w:val="en-US" w:eastAsia="zh-CN" w:bidi="ar-SA"/>
          <w14:textFill>
            <w14:solidFill>
              <w14:schemeClr w14:val="tx1"/>
            </w14:solidFill>
          </w14:textFill>
        </w:rPr>
        <w:t>房屋所有权人朱大伟</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Times New Roman" w:eastAsia="仿宋_GB2312" w:cs="Times New Roman"/>
          <w:color w:val="000000" w:themeColor="text1"/>
          <w:kern w:val="2"/>
          <w:sz w:val="28"/>
          <w:szCs w:val="24"/>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28"/>
          <w:szCs w:val="24"/>
          <w:lang w:val="en-US" w:eastAsia="zh-CN" w:bidi="ar-SA"/>
          <w14:textFill>
            <w14:solidFill>
              <w14:schemeClr w14:val="tx1"/>
            </w14:solidFill>
          </w14:textFill>
        </w:rPr>
        <w:t>该处房产他项权利登记情况为：有涉案，权属清晰。</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4" w:name="_Toc6774"/>
      <w:r>
        <w:rPr>
          <w:rFonts w:hint="eastAsia" w:ascii="仿宋_GB2312" w:hAnsi="仿宋_GB2312" w:eastAsia="仿宋_GB2312" w:cs="仿宋_GB2312"/>
          <w:sz w:val="28"/>
          <w:szCs w:val="28"/>
          <w:lang w:val="en-US" w:eastAsia="zh-CN"/>
        </w:rPr>
        <w:t>（二）估价对象实物状况的说明：</w:t>
      </w:r>
      <w:bookmarkEnd w:id="14"/>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5" w:name="_Toc10687"/>
      <w:r>
        <w:rPr>
          <w:rFonts w:hint="eastAsia" w:ascii="仿宋_GB2312" w:hAnsi="仿宋_GB2312" w:eastAsia="仿宋_GB2312" w:cs="仿宋_GB2312"/>
          <w:sz w:val="28"/>
          <w:szCs w:val="28"/>
          <w:lang w:val="en-US" w:eastAsia="zh-CN"/>
        </w:rPr>
        <w:t>⑴、建筑物实物状况</w:t>
      </w:r>
      <w:bookmarkEnd w:id="15"/>
    </w:p>
    <w:p>
      <w:pPr>
        <w:pStyle w:val="6"/>
        <w:keepNext w:val="0"/>
        <w:keepLines w:val="0"/>
        <w:pageBreakBefore w:val="0"/>
        <w:widowControl w:val="0"/>
        <w:kinsoku/>
        <w:wordWrap/>
        <w:overflowPunct/>
        <w:topLinePunct w:val="0"/>
        <w:autoSpaceDE/>
        <w:autoSpaceDN/>
        <w:bidi w:val="0"/>
        <w:spacing w:line="540" w:lineRule="exact"/>
        <w:ind w:firstLine="140"/>
        <w:jc w:val="left"/>
        <w:textAlignment w:val="auto"/>
        <w:rPr>
          <w:rFonts w:hint="eastAsia" w:hAnsi="仿宋_GB2312" w:cs="仿宋_GB2312"/>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估价</w:t>
      </w:r>
      <w:r>
        <w:rPr>
          <w:rFonts w:hint="eastAsia"/>
          <w:color w:val="000000" w:themeColor="text1"/>
          <w14:textFill>
            <w14:solidFill>
              <w14:schemeClr w14:val="tx1"/>
            </w14:solidFill>
          </w14:textFill>
        </w:rPr>
        <w:t>对象坐落于</w:t>
      </w:r>
      <w:r>
        <w:rPr>
          <w:rFonts w:hint="eastAsia" w:hAnsi="仿宋_GB2312" w:cs="仿宋_GB2312"/>
          <w:color w:val="000000" w:themeColor="text1"/>
          <w:lang w:eastAsia="zh-CN"/>
          <w14:textFill>
            <w14:solidFill>
              <w14:schemeClr w14:val="tx1"/>
            </w14:solidFill>
          </w14:textFill>
        </w:rPr>
        <w:t>林口县收费所家属楼18.00-9.75-11/4-561室，</w:t>
      </w:r>
      <w:r>
        <w:rPr>
          <w:rFonts w:hint="eastAsia" w:hAnsi="仿宋_GB2312" w:cs="仿宋_GB2312"/>
          <w:color w:val="000000" w:themeColor="text1"/>
          <w14:textFill>
            <w14:solidFill>
              <w14:schemeClr w14:val="tx1"/>
            </w14:solidFill>
          </w14:textFill>
        </w:rPr>
        <w:t>根据委托方提供的</w:t>
      </w:r>
      <w:r>
        <w:rPr>
          <w:rFonts w:hint="eastAsia" w:hAnsi="仿宋_GB2312" w:cs="仿宋_GB2312"/>
          <w:color w:val="000000" w:themeColor="text1"/>
          <w:lang w:eastAsia="zh-CN"/>
          <w14:textFill>
            <w14:solidFill>
              <w14:schemeClr w14:val="tx1"/>
            </w14:solidFill>
          </w14:textFill>
        </w:rPr>
        <w:t>《房屋所有权证》</w:t>
      </w:r>
      <w:r>
        <w:rPr>
          <w:rFonts w:hint="eastAsia" w:hAnsi="仿宋_GB2312" w:cs="仿宋_GB2312"/>
          <w:color w:val="000000" w:themeColor="text1"/>
          <w14:textFill>
            <w14:solidFill>
              <w14:schemeClr w14:val="tx1"/>
            </w14:solidFill>
          </w14:textFill>
        </w:rPr>
        <w:t>上所载明的</w:t>
      </w:r>
      <w:r>
        <w:rPr>
          <w:rFonts w:hint="eastAsia" w:hAnsi="仿宋_GB2312" w:cs="仿宋_GB2312"/>
          <w:color w:val="000000" w:themeColor="text1"/>
          <w:lang w:val="en-US" w:eastAsia="zh-CN"/>
          <w14:textFill>
            <w14:solidFill>
              <w14:schemeClr w14:val="tx1"/>
            </w14:solidFill>
          </w14:textFill>
        </w:rPr>
        <w:t>房屋</w:t>
      </w:r>
      <w:r>
        <w:rPr>
          <w:rFonts w:hint="eastAsia" w:hAnsi="仿宋_GB2312" w:cs="仿宋_GB2312"/>
          <w:color w:val="000000" w:themeColor="text1"/>
          <w14:textFill>
            <w14:solidFill>
              <w14:schemeClr w14:val="tx1"/>
            </w14:solidFill>
          </w14:textFill>
        </w:rPr>
        <w:t>建筑面积为</w:t>
      </w:r>
      <w:r>
        <w:rPr>
          <w:rFonts w:hint="eastAsia" w:hAnsi="仿宋_GB2312" w:cs="仿宋_GB2312"/>
          <w:color w:val="000000" w:themeColor="text1"/>
          <w:lang w:eastAsia="zh-CN"/>
          <w14:textFill>
            <w14:solidFill>
              <w14:schemeClr w14:val="tx1"/>
            </w14:solidFill>
          </w14:textFill>
        </w:rPr>
        <w:t>91.69㎡</w:t>
      </w:r>
      <w:r>
        <w:rPr>
          <w:rFonts w:hint="eastAsia" w:ascii="宋体" w:hAnsi="宋体" w:eastAsia="宋体" w:cs="宋体"/>
          <w:color w:val="000000" w:themeColor="text1"/>
          <w14:textFill>
            <w14:solidFill>
              <w14:schemeClr w14:val="tx1"/>
            </w14:solidFill>
          </w14:textFill>
        </w:rPr>
        <w:t>，</w:t>
      </w:r>
      <w:r>
        <w:rPr>
          <w:rFonts w:hint="eastAsia" w:hAnsi="仿宋_GB2312" w:cs="仿宋_GB2312"/>
          <w:color w:val="000000" w:themeColor="text1"/>
          <w14:textFill>
            <w14:solidFill>
              <w14:schemeClr w14:val="tx1"/>
            </w14:solidFill>
          </w14:textFill>
        </w:rPr>
        <w:t xml:space="preserve">其中描述如下： </w:t>
      </w:r>
    </w:p>
    <w:tbl>
      <w:tblPr>
        <w:tblStyle w:val="21"/>
        <w:tblW w:w="8676" w:type="dxa"/>
        <w:jc w:val="center"/>
        <w:tblLayout w:type="fixed"/>
        <w:tblCellMar>
          <w:top w:w="0" w:type="dxa"/>
          <w:left w:w="0" w:type="dxa"/>
          <w:bottom w:w="0" w:type="dxa"/>
          <w:right w:w="0" w:type="dxa"/>
        </w:tblCellMar>
      </w:tblPr>
      <w:tblGrid>
        <w:gridCol w:w="498"/>
        <w:gridCol w:w="916"/>
        <w:gridCol w:w="630"/>
        <w:gridCol w:w="550"/>
        <w:gridCol w:w="1000"/>
        <w:gridCol w:w="5082"/>
      </w:tblGrid>
      <w:tr>
        <w:tblPrEx>
          <w:tblCellMar>
            <w:top w:w="0" w:type="dxa"/>
            <w:left w:w="0" w:type="dxa"/>
            <w:bottom w:w="0" w:type="dxa"/>
            <w:right w:w="0" w:type="dxa"/>
          </w:tblCellMar>
        </w:tblPrEx>
        <w:trPr>
          <w:trHeight w:val="390" w:hRule="atLeast"/>
          <w:jc w:val="center"/>
        </w:trPr>
        <w:tc>
          <w:tcPr>
            <w:tcW w:w="498"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序号</w:t>
            </w:r>
          </w:p>
        </w:tc>
        <w:tc>
          <w:tcPr>
            <w:tcW w:w="916"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房屋所有权人</w:t>
            </w:r>
          </w:p>
        </w:tc>
        <w:tc>
          <w:tcPr>
            <w:tcW w:w="63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规划用途</w:t>
            </w:r>
          </w:p>
        </w:tc>
        <w:tc>
          <w:tcPr>
            <w:tcW w:w="55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楼层</w:t>
            </w:r>
          </w:p>
        </w:tc>
        <w:tc>
          <w:tcPr>
            <w:tcW w:w="100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建筑面积（㎡）</w:t>
            </w:r>
          </w:p>
        </w:tc>
        <w:tc>
          <w:tcPr>
            <w:tcW w:w="5082"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房屋描述情况</w:t>
            </w:r>
          </w:p>
        </w:tc>
      </w:tr>
      <w:tr>
        <w:tblPrEx>
          <w:tblCellMar>
            <w:top w:w="0" w:type="dxa"/>
            <w:left w:w="0" w:type="dxa"/>
            <w:bottom w:w="0" w:type="dxa"/>
            <w:right w:w="0" w:type="dxa"/>
          </w:tblCellMar>
        </w:tblPrEx>
        <w:trPr>
          <w:trHeight w:val="501" w:hRule="atLeast"/>
          <w:jc w:val="center"/>
        </w:trPr>
        <w:tc>
          <w:tcPr>
            <w:tcW w:w="498"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w:t>
            </w:r>
          </w:p>
        </w:tc>
        <w:tc>
          <w:tcPr>
            <w:tcW w:w="916"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朱大伟</w:t>
            </w:r>
          </w:p>
        </w:tc>
        <w:tc>
          <w:tcPr>
            <w:tcW w:w="630"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cs="宋体"/>
                <w:i w:val="0"/>
                <w:color w:val="000000"/>
                <w:kern w:val="0"/>
                <w:sz w:val="18"/>
                <w:szCs w:val="18"/>
                <w:u w:val="none"/>
                <w:lang w:val="en-US" w:eastAsia="zh-CN" w:bidi="ar"/>
              </w:rPr>
              <w:t>住宅</w:t>
            </w:r>
          </w:p>
        </w:tc>
        <w:tc>
          <w:tcPr>
            <w:tcW w:w="550"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6/7</w:t>
            </w:r>
          </w:p>
        </w:tc>
        <w:tc>
          <w:tcPr>
            <w:tcW w:w="1000"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91.69</w:t>
            </w:r>
          </w:p>
        </w:tc>
        <w:tc>
          <w:tcPr>
            <w:tcW w:w="5082"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房屋建筑年代为1996年，混合结构，外墙粉刷，内墙刷白、贴砖、壁纸、装饰板，扣板吊棚，南北朝向，地面铺地砖地板，防盗门塑窗，室内净高为2.8米左右，室内有上下水、采暖、电照等配套设施齐全，该房屋处于居住状态。</w:t>
            </w:r>
          </w:p>
        </w:tc>
      </w:tr>
    </w:tbl>
    <w:p>
      <w:pPr>
        <w:pStyle w:val="6"/>
        <w:keepNext w:val="0"/>
        <w:keepLines w:val="0"/>
        <w:pageBreakBefore w:val="0"/>
        <w:widowControl w:val="0"/>
        <w:kinsoku/>
        <w:wordWrap/>
        <w:overflowPunct/>
        <w:topLinePunct w:val="0"/>
        <w:autoSpaceDE/>
        <w:autoSpaceDN/>
        <w:bidi w:val="0"/>
        <w:spacing w:line="540" w:lineRule="exact"/>
        <w:ind w:firstLine="140"/>
        <w:jc w:val="left"/>
        <w:textAlignment w:val="auto"/>
        <w:rPr>
          <w:rFonts w:hint="eastAsia" w:ascii="仿宋_GB2312" w:hAnsi="仿宋_GB2312" w:eastAsia="仿宋_GB2312" w:cs="仿宋_GB2312"/>
          <w:sz w:val="28"/>
          <w:szCs w:val="28"/>
          <w:lang w:val="en-US" w:eastAsia="zh-CN"/>
        </w:rPr>
      </w:pPr>
      <w:r>
        <w:rPr>
          <w:rFonts w:hint="eastAsia" w:hAnsi="仿宋_GB2312" w:cs="仿宋_GB2312"/>
          <w:color w:val="000000" w:themeColor="text1"/>
          <w14:textFill>
            <w14:solidFill>
              <w14:schemeClr w14:val="tx1"/>
            </w14:solidFill>
          </w14:textFill>
        </w:rPr>
        <w:t xml:space="preserve">   </w:t>
      </w:r>
      <w:bookmarkStart w:id="16" w:name="_Toc27211"/>
      <w:r>
        <w:rPr>
          <w:rFonts w:hint="eastAsia" w:ascii="仿宋" w:hAnsi="仿宋" w:eastAsia="仿宋" w:cs="仿宋"/>
          <w:b w:val="0"/>
          <w:bCs w:val="0"/>
          <w:color w:val="auto"/>
          <w:kern w:val="0"/>
          <w:sz w:val="28"/>
          <w:szCs w:val="28"/>
          <w:highlight w:val="none"/>
          <w:lang w:val="en-US" w:eastAsia="zh-CN" w:bidi="ar"/>
        </w:rPr>
        <w:t>⑵、</w:t>
      </w:r>
      <w:r>
        <w:rPr>
          <w:rFonts w:hint="eastAsia" w:ascii="仿宋_GB2312" w:hAnsi="仿宋_GB2312" w:eastAsia="仿宋_GB2312" w:cs="仿宋_GB2312"/>
          <w:sz w:val="28"/>
          <w:szCs w:val="28"/>
          <w:lang w:val="en-US" w:eastAsia="zh-CN"/>
        </w:rPr>
        <w:t>土地实物状况</w:t>
      </w:r>
      <w:bookmarkEnd w:id="16"/>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估价对象宗地四至:</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东至：道路，南至：镇东村，西至：永安路，北至站前大街，整</w:t>
      </w:r>
      <w:r>
        <w:rPr>
          <w:rFonts w:hint="eastAsia" w:ascii="仿宋_GB2312" w:hAnsi="仿宋_GB2312" w:eastAsia="仿宋_GB2312" w:cs="仿宋_GB2312"/>
          <w:sz w:val="28"/>
          <w:szCs w:val="28"/>
          <w:lang w:val="en-US" w:eastAsia="zh-CN"/>
        </w:rPr>
        <w:t>宗土地较为规整，土地承载力较好、地基稳固，小区内基础设施配套齐全。</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（3）、估价对象区位及</w:t>
      </w:r>
      <w:r>
        <w:rPr>
          <w:rFonts w:hint="eastAsia" w:ascii="仿宋" w:hAnsi="仿宋" w:eastAsia="仿宋" w:cs="仿宋"/>
          <w:color w:val="auto"/>
          <w:sz w:val="28"/>
          <w:szCs w:val="28"/>
          <w:highlight w:val="none"/>
        </w:rPr>
        <w:t>交通情况</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估价</w:t>
      </w:r>
      <w:r>
        <w:rPr>
          <w:rFonts w:hint="eastAsia" w:ascii="仿宋_GB2312" w:hAnsi="仿宋_GB2312" w:eastAsia="仿宋_GB2312" w:cs="仿宋_GB2312"/>
          <w:color w:val="000000" w:themeColor="text1"/>
          <w:sz w:val="28"/>
          <w:szCs w:val="28"/>
          <w14:textFill>
            <w14:solidFill>
              <w14:schemeClr w14:val="tx1"/>
            </w14:solidFill>
          </w14:textFill>
        </w:rPr>
        <w:t>对象位于</w:t>
      </w:r>
      <w:r>
        <w:rPr>
          <w:rFonts w:hint="eastAsia" w:ascii="仿宋_GB2312" w:hAnsi="仿宋_GB2312" w:eastAsia="仿宋_GB2312" w:cs="仿宋_GB2312"/>
          <w:color w:val="000000" w:themeColor="text1"/>
          <w:sz w:val="28"/>
          <w:szCs w:val="28"/>
          <w:lang w:eastAsia="zh-CN"/>
          <w14:textFill>
            <w14:solidFill>
              <w14:schemeClr w14:val="tx1"/>
            </w14:solidFill>
          </w14:textFill>
        </w:rPr>
        <w:t>林口县收费所家属楼18.00-9.75-11/4-561室</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附近</w:t>
      </w:r>
      <w:r>
        <w:rPr>
          <w:rFonts w:hint="eastAsia" w:ascii="仿宋_GB2312" w:hAnsi="仿宋_GB2312" w:eastAsia="仿宋_GB2312" w:cs="仿宋_GB2312"/>
          <w:color w:val="000000" w:themeColor="text1"/>
          <w:sz w:val="28"/>
          <w:szCs w:val="28"/>
          <w14:textFill>
            <w14:solidFill>
              <w14:schemeClr w14:val="tx1"/>
            </w14:solidFill>
          </w14:textFill>
        </w:rPr>
        <w:t>有</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乾都宴酒店、中国石油站、修配厂、饭店等</w:t>
      </w:r>
      <w:r>
        <w:rPr>
          <w:rFonts w:hint="eastAsia" w:ascii="仿宋_GB2312" w:hAnsi="仿宋_GB2312" w:eastAsia="仿宋_GB2312" w:cs="仿宋_GB2312"/>
          <w:color w:val="000000" w:themeColor="text1"/>
          <w:sz w:val="28"/>
          <w:szCs w:val="28"/>
          <w14:textFill>
            <w14:solidFill>
              <w14:schemeClr w14:val="tx1"/>
            </w14:solidFill>
          </w14:textFill>
        </w:rPr>
        <w:t>，所处位置通达便捷程度</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一般</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该</w:t>
      </w:r>
      <w:r>
        <w:rPr>
          <w:rFonts w:hint="eastAsia" w:ascii="仿宋_GB2312" w:hAnsi="仿宋_GB2312" w:eastAsia="仿宋_GB2312" w:cs="仿宋_GB2312"/>
          <w:color w:val="000000" w:themeColor="text1"/>
          <w:sz w:val="28"/>
          <w:szCs w:val="28"/>
          <w:lang w:eastAsia="zh-CN"/>
          <w14:textFill>
            <w14:solidFill>
              <w14:schemeClr w14:val="tx1"/>
            </w14:solidFill>
          </w14:textFill>
        </w:rPr>
        <w:t>住宅用房</w:t>
      </w:r>
      <w:r>
        <w:rPr>
          <w:rFonts w:hint="eastAsia" w:ascii="仿宋_GB2312" w:hAnsi="仿宋_GB2312" w:eastAsia="仿宋_GB2312" w:cs="仿宋_GB2312"/>
          <w:color w:val="000000" w:themeColor="text1"/>
          <w:sz w:val="28"/>
          <w:szCs w:val="28"/>
          <w14:textFill>
            <w14:solidFill>
              <w14:schemeClr w14:val="tx1"/>
            </w14:solidFill>
          </w14:textFill>
        </w:rPr>
        <w:t>的房地产市场价格趋于稳定、未来经济形势和市场前景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一般</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20" w:lineRule="exact"/>
        <w:ind w:firstLine="562" w:firstLineChars="200"/>
        <w:textAlignment w:val="auto"/>
        <w:rPr>
          <w:rFonts w:ascii="仿宋" w:hAnsi="仿宋" w:eastAsia="仿宋" w:cs="仿宋"/>
          <w:color w:val="auto"/>
          <w:sz w:val="28"/>
          <w:szCs w:val="28"/>
          <w:highlight w:val="none"/>
        </w:rPr>
      </w:pPr>
      <w:bookmarkStart w:id="17" w:name="_Toc882"/>
      <w:r>
        <w:rPr>
          <w:rStyle w:val="44"/>
          <w:rFonts w:hint="eastAsia" w:ascii="仿宋" w:hAnsi="仿宋" w:eastAsia="仿宋" w:cs="仿宋"/>
          <w:color w:val="auto"/>
          <w:sz w:val="28"/>
          <w:szCs w:val="28"/>
          <w:highlight w:val="none"/>
        </w:rPr>
        <w:t>5、价值时点：</w:t>
      </w:r>
      <w:bookmarkEnd w:id="17"/>
      <w:r>
        <w:rPr>
          <w:rFonts w:hint="eastAsia" w:ascii="仿宋" w:hAnsi="仿宋" w:eastAsia="仿宋" w:cs="仿宋"/>
          <w:color w:val="auto"/>
          <w:sz w:val="28"/>
          <w:szCs w:val="28"/>
          <w:highlight w:val="none"/>
        </w:rPr>
        <w:t xml:space="preserve"> </w:t>
      </w:r>
      <w:r>
        <w:rPr>
          <w:rFonts w:hint="eastAsia" w:ascii="仿宋" w:hAnsi="仿宋" w:eastAsia="仿宋" w:cs="宋体"/>
          <w:sz w:val="28"/>
          <w:szCs w:val="28"/>
          <w:lang w:eastAsia="zh-CN"/>
        </w:rPr>
        <w:t>2022年7月6日</w:t>
      </w:r>
      <w:r>
        <w:rPr>
          <w:rFonts w:hint="eastAsia" w:ascii="仿宋" w:hAnsi="仿宋" w:eastAsia="仿宋" w:cs="仿宋"/>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20" w:lineRule="exact"/>
        <w:ind w:firstLine="562" w:firstLineChars="200"/>
        <w:textAlignment w:val="auto"/>
        <w:rPr>
          <w:rFonts w:ascii="仿宋" w:hAnsi="仿宋" w:eastAsia="仿宋" w:cs="仿宋"/>
          <w:color w:val="auto"/>
          <w:sz w:val="28"/>
          <w:szCs w:val="28"/>
          <w:highlight w:val="none"/>
        </w:rPr>
      </w:pPr>
      <w:bookmarkStart w:id="18" w:name="_Toc1315"/>
      <w:r>
        <w:rPr>
          <w:rStyle w:val="44"/>
          <w:rFonts w:hint="eastAsia" w:ascii="仿宋" w:hAnsi="仿宋" w:eastAsia="仿宋" w:cs="仿宋"/>
          <w:color w:val="auto"/>
          <w:sz w:val="28"/>
          <w:szCs w:val="28"/>
          <w:highlight w:val="none"/>
        </w:rPr>
        <w:t>6、价值类型：</w:t>
      </w:r>
      <w:bookmarkEnd w:id="18"/>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房地产</w:t>
      </w:r>
      <w:r>
        <w:rPr>
          <w:rFonts w:hint="eastAsia" w:ascii="仿宋_GB2312" w:hAnsi="仿宋_GB2312" w:eastAsia="仿宋_GB2312" w:cs="仿宋_GB2312"/>
          <w:color w:val="000000" w:themeColor="text1"/>
          <w:sz w:val="28"/>
          <w:szCs w:val="28"/>
          <w14:textFill>
            <w14:solidFill>
              <w14:schemeClr w14:val="tx1"/>
            </w14:solidFill>
          </w14:textFill>
        </w:rPr>
        <w:t>价格评估标准采用公开市场价值标准。</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Style w:val="45"/>
          <w:rFonts w:hint="eastAsia" w:ascii="仿宋" w:hAnsi="仿宋" w:eastAsia="仿宋" w:cs="仿宋"/>
          <w:sz w:val="28"/>
          <w:szCs w:val="28"/>
        </w:rPr>
      </w:pPr>
      <w:bookmarkStart w:id="19" w:name="_Toc16161"/>
      <w:bookmarkStart w:id="20" w:name="_Toc9498"/>
      <w:r>
        <w:rPr>
          <w:rStyle w:val="45"/>
          <w:rFonts w:ascii="仿宋" w:hAnsi="仿宋" w:eastAsia="仿宋" w:cs="仿宋"/>
          <w:sz w:val="28"/>
          <w:szCs w:val="28"/>
        </w:rPr>
        <w:t>7</w:t>
      </w:r>
      <w:r>
        <w:rPr>
          <w:rStyle w:val="45"/>
          <w:rFonts w:hint="eastAsia" w:ascii="仿宋" w:hAnsi="仿宋" w:eastAsia="仿宋" w:cs="仿宋"/>
          <w:sz w:val="28"/>
          <w:szCs w:val="28"/>
        </w:rPr>
        <w:t>、估价原则：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一）遵循独立、客观、公正的原则——独立客观公正原则要求站在中立的立场上，实事求是、公平正直地评估出对各方估价利害关系人均是公平合理的价值或价格，即要求评估价值对各方估价利害关系人均是公平合理的。 </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（二）遵循合法原则——合法原则要求评估价值是在依法判定的估价对象状况下的价值或价格。</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遵循最高最佳使用原则——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（四）遵循替代原则—— 替代原则要求评估价值与估价对象的类似房地产在同等条件下的价值或价格偏差在合理范围内。</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（五）遵循估价时点原则—— 估价结果应是估价对象在估价时点的客观合理价格或价值。</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45"/>
          <w:rFonts w:ascii="仿宋" w:hAnsi="仿宋" w:eastAsia="仿宋" w:cs="仿宋"/>
          <w:sz w:val="28"/>
          <w:szCs w:val="28"/>
        </w:rPr>
      </w:pPr>
      <w:r>
        <w:rPr>
          <w:rStyle w:val="45"/>
          <w:rFonts w:ascii="仿宋" w:hAnsi="仿宋" w:eastAsia="仿宋" w:cs="仿宋"/>
          <w:sz w:val="28"/>
          <w:szCs w:val="28"/>
        </w:rPr>
        <w:t>8</w:t>
      </w:r>
      <w:r>
        <w:rPr>
          <w:rStyle w:val="45"/>
          <w:rFonts w:hint="eastAsia" w:ascii="仿宋" w:hAnsi="仿宋" w:eastAsia="仿宋" w:cs="仿宋"/>
          <w:sz w:val="28"/>
          <w:szCs w:val="28"/>
        </w:rPr>
        <w:t>、估价依据</w:t>
      </w:r>
    </w:p>
    <w:bookmarkEnd w:id="19"/>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（一）《中华人民共和国城市房地产管理法》（中华人民共和国主席令 2019 第32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（二）《中华人民共和国土地管理法》（中华人民共和国主席令 2019 第 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（三）《中华人民共和国资产评估法》（中华人民共和国主席令第四十六号，中华人民共和国第十二届全国人民代表大会常务委员会第二十一次会议于2016年7月2日通过，自2016年12月1日起施行）；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（四）《中华人民共和国民法典》（中华人民共和国主席令第 45 号，中华人民共和国第十三届全国人民代表大会第三次会议通过，自 2021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（五）《中华人民共和国城乡规划法》（中华人民共和国主席令第 74 号，中华人民共和国第十届全国人民代表大会常务委员会第三十次会议通过，自 2008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（六）《中华人民共和国城镇国有土地使用权出让和转让暂行条例》（国务院令第55号发布，自1990年5月19日起施行）；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（七）《最高人民法院关于人民法院确定财产处置参考价若干问题的规定》（2018年6月4日最高人民法院审判委员会第1741次会议通过，自2018年9月1日起施行）；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（八）国家标准《房地产估价规范》（GB/T50291－2015）（2015年04月08日中华人民共和国住房和城乡建设部、中华人民共和国国家质量监督检验检疫总局联合发布）；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（九）《房地产估价基本术语标准》（GB/T50899-2013）（2013年6月26日中华人民共和国住房和城乡建设部公告第84号）；</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（十）《房屋完损等级评定标准（试行）》（城住建[1984]第678号）（1984年11月8日原城乡建设环境保护部发布）；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（十一）当事人提供的与本次估价有关的资料；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（十二）房屋相关产权证明；</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（十三）估价对象现场勘察记录和调查走访的相关资料；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（十四）本估价机构掌握的房地产市场价格、信息等相关资料等。</w:t>
      </w:r>
    </w:p>
    <w:bookmarkEnd w:id="20"/>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 w:hAnsi="仿宋" w:eastAsia="仿宋" w:cs="仿宋"/>
          <w:b/>
          <w:sz w:val="28"/>
          <w:szCs w:val="28"/>
          <w:lang w:val="zh-CN"/>
        </w:rPr>
      </w:pPr>
      <w:bookmarkStart w:id="21" w:name="_Toc12670"/>
      <w:r>
        <w:rPr>
          <w:rStyle w:val="45"/>
          <w:rFonts w:ascii="仿宋" w:hAnsi="仿宋" w:eastAsia="仿宋" w:cs="仿宋"/>
          <w:sz w:val="28"/>
          <w:szCs w:val="28"/>
        </w:rPr>
        <w:t>9</w:t>
      </w:r>
      <w:r>
        <w:rPr>
          <w:rStyle w:val="45"/>
          <w:rFonts w:hint="eastAsia" w:ascii="仿宋" w:hAnsi="仿宋" w:eastAsia="仿宋" w:cs="仿宋"/>
          <w:sz w:val="28"/>
          <w:szCs w:val="28"/>
        </w:rPr>
        <w:t>、估价方法选用</w:t>
      </w:r>
      <w:r>
        <w:rPr>
          <w:rFonts w:hint="eastAsia" w:ascii="仿宋" w:hAnsi="仿宋" w:eastAsia="仿宋" w:cs="仿宋"/>
          <w:b/>
          <w:sz w:val="28"/>
          <w:szCs w:val="28"/>
          <w:lang w:val="zh-CN"/>
        </w:rPr>
        <w:t>：</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在房地产估价中，通常涉及到的方法有比较法、收益法、成本法、假设开发法。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比较法是选取一定数量的可比实例，将它们与估价对象进行比较，根据其间的差异对可比实例成交价格进行处理后得到估价对象价格或价值的方法。该方法适用于同类房地产数量较多、经常发生交易且具有一定可比性的房地产。</w:t>
      </w:r>
      <w:r>
        <w:rPr>
          <w:rFonts w:hint="eastAsia" w:ascii="仿宋_GB2312" w:hAnsi="仿宋_GB2312" w:eastAsia="仿宋_GB2312" w:cs="仿宋_GB2312"/>
          <w:color w:val="000000"/>
          <w:sz w:val="28"/>
          <w:szCs w:val="28"/>
          <w:lang w:eastAsia="zh-CN"/>
        </w:rPr>
        <w:t>根据估价对象房地产的特点及估价目的，综合考虑估价对象所处区域、用途、物业性质、特点及影响其市场价值的各类因素等，其周边环境和功能相同或相近、产权性质、结构等类似估价对象</w:t>
      </w:r>
      <w:r>
        <w:rPr>
          <w:rFonts w:hint="eastAsia" w:ascii="仿宋_GB2312" w:hAnsi="仿宋_GB2312" w:eastAsia="仿宋_GB2312" w:cs="仿宋_GB2312"/>
          <w:color w:val="000000"/>
          <w:sz w:val="28"/>
          <w:szCs w:val="28"/>
          <w:lang w:val="en-US" w:eastAsia="zh-CN"/>
        </w:rPr>
        <w:t>住宅用房</w:t>
      </w:r>
      <w:r>
        <w:rPr>
          <w:rFonts w:hint="eastAsia" w:ascii="仿宋_GB2312" w:hAnsi="仿宋_GB2312" w:eastAsia="仿宋_GB2312" w:cs="仿宋_GB2312"/>
          <w:color w:val="000000"/>
          <w:sz w:val="28"/>
          <w:szCs w:val="28"/>
          <w:lang w:eastAsia="zh-CN"/>
        </w:rPr>
        <w:t>出售的交易实例较</w:t>
      </w:r>
      <w:r>
        <w:rPr>
          <w:rFonts w:hint="eastAsia" w:ascii="仿宋_GB2312" w:hAnsi="仿宋_GB2312" w:eastAsia="仿宋_GB2312" w:cs="仿宋_GB2312"/>
          <w:color w:val="000000"/>
          <w:sz w:val="28"/>
          <w:szCs w:val="28"/>
          <w:lang w:val="en-US" w:eastAsia="zh-CN"/>
        </w:rPr>
        <w:t>多</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故适合</w:t>
      </w:r>
      <w:r>
        <w:rPr>
          <w:rFonts w:hint="eastAsia" w:ascii="仿宋_GB2312" w:hAnsi="仿宋_GB2312" w:eastAsia="仿宋_GB2312" w:cs="仿宋_GB2312"/>
          <w:color w:val="000000"/>
          <w:sz w:val="28"/>
          <w:szCs w:val="28"/>
          <w:lang w:eastAsia="zh-CN"/>
        </w:rPr>
        <w:t>选用比较法进行估价。</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sz w:val="28"/>
          <w:szCs w:val="28"/>
          <w:lang w:val="en-US" w:eastAsia="zh-CN"/>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w:t>
      </w:r>
      <w:r>
        <w:rPr>
          <w:rFonts w:hint="eastAsia" w:ascii="仿宋_GB2312" w:hAnsi="仿宋_GB2312" w:eastAsia="仿宋_GB2312" w:cs="仿宋_GB2312"/>
          <w:color w:val="000000"/>
          <w:sz w:val="28"/>
          <w:szCs w:val="28"/>
          <w:lang w:eastAsia="zh-CN"/>
        </w:rPr>
        <w:t>考虑</w:t>
      </w:r>
      <w:r>
        <w:rPr>
          <w:rFonts w:hint="eastAsia" w:ascii="仿宋_GB2312" w:eastAsia="仿宋_GB2312"/>
          <w:color w:val="000000" w:themeColor="text1"/>
          <w:sz w:val="28"/>
          <w:szCs w:val="28"/>
          <w:lang w:eastAsia="zh-CN"/>
          <w14:textFill>
            <w14:solidFill>
              <w14:schemeClr w14:val="tx1"/>
            </w14:solidFill>
          </w14:textFill>
        </w:rPr>
        <w:t>估价对象</w:t>
      </w:r>
      <w:r>
        <w:rPr>
          <w:rFonts w:hint="eastAsia" w:ascii="仿宋_GB2312" w:eastAsia="仿宋_GB2312"/>
          <w:color w:val="000000" w:themeColor="text1"/>
          <w:sz w:val="28"/>
          <w:szCs w:val="28"/>
          <w:lang w:val="en-US" w:eastAsia="zh-CN"/>
          <w14:textFill>
            <w14:solidFill>
              <w14:schemeClr w14:val="tx1"/>
            </w14:solidFill>
          </w14:textFill>
        </w:rPr>
        <w:t>附近的住宅</w:t>
      </w:r>
      <w:r>
        <w:rPr>
          <w:rFonts w:hint="eastAsia" w:ascii="仿宋_GB2312" w:eastAsia="仿宋_GB2312"/>
          <w:color w:val="000000" w:themeColor="text1"/>
          <w:sz w:val="28"/>
          <w:szCs w:val="28"/>
          <w:lang w:eastAsia="zh-CN"/>
          <w14:textFill>
            <w14:solidFill>
              <w14:schemeClr w14:val="tx1"/>
            </w14:solidFill>
          </w14:textFill>
        </w:rPr>
        <w:t>用房用于出租型较多，</w:t>
      </w:r>
      <w:r>
        <w:rPr>
          <w:rFonts w:hint="eastAsia" w:ascii="仿宋_GB2312" w:eastAsia="仿宋_GB2312"/>
          <w:color w:val="000000" w:themeColor="text1"/>
          <w:sz w:val="28"/>
          <w:szCs w:val="28"/>
          <w:lang w:val="en-US" w:eastAsia="zh-CN"/>
          <w14:textFill>
            <w14:solidFill>
              <w14:schemeClr w14:val="tx1"/>
            </w14:solidFill>
          </w14:textFill>
        </w:rPr>
        <w:t>但是所获取的租金收益较少</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故此</w:t>
      </w:r>
      <w:r>
        <w:rPr>
          <w:rFonts w:hint="eastAsia" w:ascii="仿宋_GB2312" w:eastAsia="仿宋_GB2312"/>
          <w:color w:val="000000" w:themeColor="text1"/>
          <w:sz w:val="28"/>
          <w:szCs w:val="28"/>
          <w:lang w:val="en-US" w:eastAsia="zh-CN"/>
          <w14:textFill>
            <w14:solidFill>
              <w14:schemeClr w14:val="tx1"/>
            </w14:solidFill>
          </w14:textFill>
        </w:rPr>
        <w:t>住宅</w:t>
      </w:r>
      <w:r>
        <w:rPr>
          <w:rFonts w:hint="eastAsia" w:ascii="仿宋_GB2312" w:eastAsia="仿宋_GB2312"/>
          <w:color w:val="000000" w:themeColor="text1"/>
          <w:sz w:val="28"/>
          <w:szCs w:val="28"/>
          <w:lang w:eastAsia="zh-CN"/>
          <w14:textFill>
            <w14:solidFill>
              <w14:schemeClr w14:val="tx1"/>
            </w14:solidFill>
          </w14:textFill>
        </w:rPr>
        <w:t>用房</w:t>
      </w:r>
      <w:r>
        <w:rPr>
          <w:rFonts w:hint="eastAsia" w:ascii="仿宋_GB2312" w:eastAsia="仿宋_GB2312"/>
          <w:color w:val="000000" w:themeColor="text1"/>
          <w:sz w:val="28"/>
          <w:szCs w:val="28"/>
          <w:lang w:val="en-US" w:eastAsia="zh-CN"/>
          <w14:textFill>
            <w14:solidFill>
              <w14:schemeClr w14:val="tx1"/>
            </w14:solidFill>
          </w14:textFill>
        </w:rPr>
        <w:t>不</w:t>
      </w:r>
      <w:r>
        <w:rPr>
          <w:rFonts w:hint="eastAsia" w:ascii="仿宋_GB2312" w:eastAsia="仿宋_GB2312"/>
          <w:color w:val="000000" w:themeColor="text1"/>
          <w:sz w:val="28"/>
          <w:szCs w:val="28"/>
          <w:lang w:eastAsia="zh-CN"/>
          <w14:textFill>
            <w14:solidFill>
              <w14:schemeClr w14:val="tx1"/>
            </w14:solidFill>
          </w14:textFill>
        </w:rPr>
        <w:t>适合选用收益法进行评估</w:t>
      </w:r>
      <w:r>
        <w:rPr>
          <w:rFonts w:hint="eastAsia" w:ascii="仿宋_GB2312"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成本法是测算估价对象在价值时点的重置成本或重建成本和折旧，将重置成本或重建成本减去折旧得到的估价对象价值或价格的方法。成本法一般适用于测算可独立开发建设的整体房地产的价值或价格。</w:t>
      </w:r>
      <w:r>
        <w:rPr>
          <w:rFonts w:hint="eastAsia" w:ascii="仿宋_GB2312" w:hAnsi="仿宋_GB2312" w:eastAsia="仿宋_GB2312" w:cs="仿宋_GB2312"/>
          <w:color w:val="000000"/>
          <w:sz w:val="28"/>
          <w:szCs w:val="28"/>
          <w:lang w:eastAsia="zh-CN"/>
        </w:rPr>
        <w:t>考虑该估价对象房地产开发成本扣除建筑折旧后的价值不能准确反映房地产的客观市场价值，故</w:t>
      </w:r>
      <w:r>
        <w:rPr>
          <w:rFonts w:hint="eastAsia" w:ascii="仿宋_GB2312" w:eastAsia="仿宋_GB2312"/>
          <w:color w:val="000000" w:themeColor="text1"/>
          <w:sz w:val="28"/>
          <w:szCs w:val="28"/>
          <w14:textFill>
            <w14:solidFill>
              <w14:schemeClr w14:val="tx1"/>
            </w14:solidFill>
          </w14:textFill>
        </w:rPr>
        <w:t>此</w:t>
      </w:r>
      <w:r>
        <w:rPr>
          <w:rFonts w:hint="eastAsia" w:ascii="仿宋_GB2312" w:eastAsia="仿宋_GB2312"/>
          <w:color w:val="000000" w:themeColor="text1"/>
          <w:sz w:val="28"/>
          <w:szCs w:val="28"/>
          <w:lang w:eastAsia="zh-CN"/>
          <w14:textFill>
            <w14:solidFill>
              <w14:schemeClr w14:val="tx1"/>
            </w14:solidFill>
          </w14:textFill>
        </w:rPr>
        <w:t>住宅用房</w:t>
      </w:r>
      <w:r>
        <w:rPr>
          <w:rFonts w:hint="eastAsia" w:ascii="仿宋_GB2312" w:hAnsi="仿宋_GB2312" w:eastAsia="仿宋_GB2312" w:cs="仿宋_GB2312"/>
          <w:color w:val="000000"/>
          <w:sz w:val="28"/>
          <w:szCs w:val="28"/>
          <w:lang w:val="en-US" w:eastAsia="zh-CN"/>
        </w:rPr>
        <w:t>不</w:t>
      </w:r>
      <w:r>
        <w:rPr>
          <w:rFonts w:hint="eastAsia" w:ascii="仿宋_GB2312" w:eastAsia="仿宋_GB2312"/>
          <w:color w:val="000000" w:themeColor="text1"/>
          <w:sz w:val="28"/>
          <w:szCs w:val="28"/>
          <w14:textFill>
            <w14:solidFill>
              <w14:schemeClr w14:val="tx1"/>
            </w14:solidFill>
          </w14:textFill>
        </w:rPr>
        <w:t>适</w:t>
      </w:r>
      <w:r>
        <w:rPr>
          <w:rFonts w:hint="eastAsia" w:ascii="仿宋_GB2312" w:hAnsi="仿宋_GB2312" w:eastAsia="仿宋_GB2312" w:cs="仿宋_GB2312"/>
          <w:color w:val="000000"/>
          <w:sz w:val="28"/>
          <w:szCs w:val="28"/>
          <w:lang w:val="en-US" w:eastAsia="zh-CN"/>
        </w:rPr>
        <w:t>宜选用成本法</w:t>
      </w:r>
      <w:r>
        <w:rPr>
          <w:rFonts w:hint="eastAsia" w:ascii="仿宋_GB2312" w:hAnsi="仿宋_GB2312" w:eastAsia="仿宋_GB2312" w:cs="仿宋_GB2312"/>
          <w:color w:val="000000"/>
          <w:sz w:val="28"/>
          <w:szCs w:val="28"/>
          <w:lang w:eastAsia="zh-CN"/>
        </w:rPr>
        <w:t>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格或价值的方法。</w:t>
      </w:r>
      <w:r>
        <w:rPr>
          <w:rFonts w:hint="eastAsia" w:ascii="仿宋_GB2312" w:hAnsi="仿宋_GB2312" w:eastAsia="仿宋_GB2312" w:cs="仿宋_GB2312"/>
          <w:color w:val="000000"/>
          <w:sz w:val="28"/>
          <w:szCs w:val="28"/>
          <w:lang w:eastAsia="zh-CN"/>
        </w:rPr>
        <w:t>估价对象属于建成并可以投入使用的物</w:t>
      </w:r>
      <w:r>
        <w:rPr>
          <w:rFonts w:hint="eastAsia" w:ascii="仿宋_GB2312" w:hAnsi="仿宋_GB2312" w:eastAsia="仿宋_GB2312" w:cs="仿宋_GB2312"/>
          <w:color w:val="000000"/>
          <w:sz w:val="28"/>
          <w:szCs w:val="28"/>
          <w:lang w:val="en-US" w:eastAsia="zh-CN"/>
        </w:rPr>
        <w:t>业，非待开发建设物业，不产生后续开发成本，故不</w:t>
      </w:r>
      <w:r>
        <w:rPr>
          <w:rFonts w:hint="eastAsia" w:ascii="仿宋_GB2312" w:eastAsia="仿宋_GB2312"/>
          <w:color w:val="000000" w:themeColor="text1"/>
          <w:sz w:val="28"/>
          <w:szCs w:val="28"/>
          <w14:textFill>
            <w14:solidFill>
              <w14:schemeClr w14:val="tx1"/>
            </w14:solidFill>
          </w14:textFill>
        </w:rPr>
        <w:t>适</w:t>
      </w:r>
      <w:r>
        <w:rPr>
          <w:rFonts w:hint="eastAsia" w:ascii="仿宋_GB2312" w:hAnsi="仿宋_GB2312" w:eastAsia="仿宋_GB2312" w:cs="仿宋_GB2312"/>
          <w:color w:val="000000"/>
          <w:sz w:val="28"/>
          <w:szCs w:val="28"/>
          <w:lang w:val="en-US" w:eastAsia="zh-CN"/>
        </w:rPr>
        <w:t>宜选用假设开发法进行评估。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lang w:val="en-US" w:eastAsia="zh-CN"/>
          <w14:textFill>
            <w14:solidFill>
              <w14:schemeClr w14:val="tx1"/>
            </w14:solidFill>
          </w14:textFill>
        </w:rPr>
        <w:t>10、</w:t>
      </w:r>
      <w:r>
        <w:rPr>
          <w:rFonts w:hint="eastAsia" w:ascii="仿宋_GB2312" w:eastAsia="仿宋_GB2312"/>
          <w:b/>
          <w:bCs/>
          <w:color w:val="000000" w:themeColor="text1"/>
          <w:sz w:val="28"/>
          <w:szCs w:val="28"/>
          <w14:textFill>
            <w14:solidFill>
              <w14:schemeClr w14:val="tx1"/>
            </w14:solidFill>
          </w14:textFill>
        </w:rPr>
        <w:t>估价结果</w:t>
      </w:r>
      <w:r>
        <w:rPr>
          <w:rFonts w:hint="eastAsia" w:ascii="仿宋_GB2312" w:eastAsia="仿宋_GB2312"/>
          <w:b/>
          <w:bCs/>
          <w:color w:val="000000" w:themeColor="text1"/>
          <w:sz w:val="28"/>
          <w:szCs w:val="28"/>
          <w:lang w:eastAsia="zh-CN"/>
          <w14:textFill>
            <w14:solidFill>
              <w14:schemeClr w14:val="tx1"/>
            </w14:solidFill>
          </w14:textFill>
        </w:rPr>
        <w:t>：</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eastAsia="仿宋_GB2312"/>
          <w:color w:val="000000" w:themeColor="text1"/>
          <w:sz w:val="28"/>
          <w:szCs w:val="28"/>
          <w:lang w:val="zh-CN"/>
          <w14:textFill>
            <w14:solidFill>
              <w14:schemeClr w14:val="tx1"/>
            </w14:solidFill>
          </w14:textFill>
        </w:rPr>
        <w:t>估价人员根据估价目的，遵循估价原则，按照估价工作程序，利用科学的估价方法，在认真分析所掌握资料的基础上，经过周密详细的测算，并结合估价人员的经验，综合考虑房地产的各项影响因素，</w:t>
      </w:r>
      <w:r>
        <w:rPr>
          <w:rFonts w:hint="eastAsia" w:ascii="仿宋_GB2312" w:eastAsia="仿宋_GB2312"/>
          <w:color w:val="000000" w:themeColor="text1"/>
          <w:sz w:val="28"/>
          <w:szCs w:val="28"/>
          <w:lang w:val="en-US" w:eastAsia="zh-CN"/>
          <w14:textFill>
            <w14:solidFill>
              <w14:schemeClr w14:val="tx1"/>
            </w14:solidFill>
          </w14:textFill>
        </w:rPr>
        <w:t>经测算</w:t>
      </w:r>
      <w:r>
        <w:rPr>
          <w:rFonts w:hint="eastAsia" w:ascii="仿宋_GB2312" w:eastAsia="仿宋_GB2312"/>
          <w:color w:val="000000" w:themeColor="text1"/>
          <w:sz w:val="28"/>
          <w:szCs w:val="28"/>
          <w:lang w:val="zh-CN"/>
          <w14:textFill>
            <w14:solidFill>
              <w14:schemeClr w14:val="tx1"/>
            </w14:solidFill>
          </w14:textFill>
        </w:rPr>
        <w:t>确定</w:t>
      </w:r>
      <w:r>
        <w:rPr>
          <w:rFonts w:hint="eastAsia" w:ascii="仿宋_GB2312" w:eastAsia="仿宋_GB2312"/>
          <w:color w:val="000000" w:themeColor="text1"/>
          <w:sz w:val="28"/>
          <w:szCs w:val="28"/>
          <w14:textFill>
            <w14:solidFill>
              <w14:schemeClr w14:val="tx1"/>
            </w14:solidFill>
          </w14:textFill>
        </w:rPr>
        <w:t>坐落于</w:t>
      </w:r>
      <w:bookmarkEnd w:id="21"/>
      <w:bookmarkStart w:id="22" w:name="_Toc14588"/>
      <w:r>
        <w:rPr>
          <w:rFonts w:hint="eastAsia" w:ascii="仿宋_GB2312" w:eastAsia="仿宋_GB2312"/>
          <w:color w:val="000000" w:themeColor="text1"/>
          <w:sz w:val="28"/>
          <w:szCs w:val="28"/>
          <w:lang w:eastAsia="zh-CN"/>
          <w14:textFill>
            <w14:solidFill>
              <w14:schemeClr w14:val="tx1"/>
            </w14:solidFill>
          </w14:textFill>
        </w:rPr>
        <w:t>林口县收费所家属楼18.00-9.75-11/4-561室</w:t>
      </w:r>
      <w:r>
        <w:rPr>
          <w:rFonts w:hint="eastAsia" w:ascii="仿宋_GB2312" w:hAnsi="仿宋_GB2312" w:eastAsia="仿宋_GB2312" w:cs="仿宋_GB2312"/>
          <w:sz w:val="28"/>
          <w:szCs w:val="28"/>
          <w:highlight w:val="none"/>
          <w:lang w:val="en-US" w:eastAsia="zh-CN"/>
        </w:rPr>
        <w:t>住宅用房的</w:t>
      </w:r>
      <w:r>
        <w:rPr>
          <w:rFonts w:hint="eastAsia" w:ascii="仿宋_GB2312" w:hAnsi="仿宋_GB2312" w:eastAsia="仿宋_GB2312" w:cs="仿宋_GB2312"/>
          <w:sz w:val="28"/>
          <w:szCs w:val="28"/>
          <w:highlight w:val="none"/>
          <w:lang w:eastAsia="zh-CN"/>
        </w:rPr>
        <w:t>房地产</w:t>
      </w:r>
      <w:r>
        <w:rPr>
          <w:rFonts w:hint="eastAsia" w:ascii="仿宋_GB2312" w:hAnsi="仿宋_GB2312" w:eastAsia="仿宋_GB2312" w:cs="仿宋_GB2312"/>
          <w:sz w:val="28"/>
          <w:szCs w:val="28"/>
          <w:highlight w:val="none"/>
          <w:lang w:val="en-US" w:eastAsia="zh-CN"/>
        </w:rPr>
        <w:t>客观市场评估总价格或</w:t>
      </w:r>
      <w:r>
        <w:rPr>
          <w:rFonts w:hint="eastAsia" w:ascii="仿宋_GB2312" w:hAnsi="仿宋_GB2312" w:eastAsia="仿宋_GB2312" w:cs="仿宋_GB2312"/>
          <w:sz w:val="28"/>
          <w:szCs w:val="28"/>
          <w:highlight w:val="none"/>
          <w:lang w:eastAsia="zh-CN"/>
        </w:rPr>
        <w:t>价值为</w:t>
      </w:r>
      <w:r>
        <w:rPr>
          <w:rFonts w:hint="eastAsia" w:ascii="仿宋_GB2312" w:hAnsi="仿宋_GB2312" w:eastAsia="仿宋_GB2312" w:cs="仿宋_GB2312"/>
          <w:sz w:val="28"/>
          <w:szCs w:val="28"/>
          <w:highlight w:val="none"/>
          <w:lang w:val="en-US" w:eastAsia="zh-CN"/>
        </w:rPr>
        <w:t>RMB</w:t>
      </w:r>
      <w:r>
        <w:rPr>
          <w:rFonts w:hint="eastAsia" w:ascii="仿宋_GB2312" w:hAnsi="仿宋_GB2312" w:eastAsia="仿宋_GB2312" w:cs="仿宋_GB2312"/>
          <w:color w:val="000000"/>
          <w:sz w:val="28"/>
          <w:lang w:val="en-US" w:eastAsia="zh-CN"/>
        </w:rPr>
        <w:t>137</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lang w:val="en-US" w:eastAsia="zh-CN"/>
        </w:rPr>
        <w:t>535.00元（人民币大写：壹拾叁万柒仟伍佰叁拾伍元整）</w:t>
      </w:r>
      <w:r>
        <w:rPr>
          <w:rFonts w:hint="eastAsia" w:ascii="仿宋_GB2312" w:hAnsi="仿宋_GB2312" w:eastAsia="仿宋_GB2312" w:cs="仿宋_GB2312"/>
          <w:color w:val="000000"/>
          <w:sz w:val="28"/>
          <w:szCs w:val="28"/>
          <w:lang w:val="zh-CN"/>
        </w:rPr>
        <w:t>，折合建筑面积平均单位价格或价值为</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500</w:t>
      </w:r>
      <w:r>
        <w:rPr>
          <w:rFonts w:hint="eastAsia"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lang w:val="zh-CN"/>
        </w:rPr>
        <w:t>元</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szCs w:val="28"/>
          <w:lang w:val="zh-CN"/>
        </w:rPr>
        <w:t>。</w:t>
      </w:r>
      <w:r>
        <w:rPr>
          <w:rFonts w:hint="eastAsia" w:ascii="仿宋_GB2312" w:hAnsi="仿宋_GB2312" w:eastAsia="仿宋_GB2312" w:cs="仿宋_GB2312"/>
          <w:sz w:val="28"/>
          <w:szCs w:val="28"/>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before="72" w:beforeLines="30" w:after="72" w:afterLines="30" w:line="360" w:lineRule="auto"/>
        <w:ind w:firstLine="562" w:firstLineChars="200"/>
        <w:textAlignment w:val="auto"/>
        <w:rPr>
          <w:rStyle w:val="44"/>
          <w:rFonts w:hint="eastAsia" w:ascii="仿宋" w:hAnsi="仿宋" w:eastAsia="仿宋" w:cs="仿宋"/>
          <w:color w:val="auto"/>
          <w:sz w:val="28"/>
          <w:szCs w:val="28"/>
          <w:highlight w:val="none"/>
          <w:lang w:eastAsia="zh-CN"/>
        </w:rPr>
      </w:pPr>
      <w:r>
        <w:rPr>
          <w:rStyle w:val="44"/>
          <w:rFonts w:hint="eastAsia" w:ascii="仿宋" w:hAnsi="仿宋" w:eastAsia="仿宋" w:cs="仿宋"/>
          <w:color w:val="auto"/>
          <w:sz w:val="28"/>
          <w:szCs w:val="28"/>
          <w:highlight w:val="none"/>
          <w:lang w:val="en-US" w:eastAsia="zh-CN"/>
        </w:rPr>
        <w:t>11、</w:t>
      </w:r>
      <w:r>
        <w:rPr>
          <w:rStyle w:val="44"/>
          <w:rFonts w:hint="eastAsia" w:ascii="仿宋" w:hAnsi="仿宋" w:eastAsia="仿宋" w:cs="仿宋"/>
          <w:color w:val="auto"/>
          <w:sz w:val="28"/>
          <w:szCs w:val="28"/>
          <w:highlight w:val="none"/>
        </w:rPr>
        <w:t>实地查勘期：</w:t>
      </w:r>
      <w:r>
        <w:rPr>
          <w:rFonts w:hint="eastAsia" w:ascii="仿宋" w:hAnsi="仿宋" w:eastAsia="仿宋" w:cs="仿宋"/>
          <w:color w:val="auto"/>
          <w:sz w:val="28"/>
          <w:szCs w:val="28"/>
          <w:highlight w:val="none"/>
        </w:rPr>
        <w:t xml:space="preserve"> </w:t>
      </w:r>
      <w:r>
        <w:rPr>
          <w:rFonts w:hint="eastAsia" w:ascii="仿宋" w:hAnsi="仿宋" w:eastAsia="仿宋" w:cs="宋体"/>
          <w:sz w:val="28"/>
          <w:szCs w:val="28"/>
          <w:lang w:eastAsia="zh-CN"/>
        </w:rPr>
        <w:t>2022年7月6日</w:t>
      </w:r>
    </w:p>
    <w:bookmarkEnd w:id="22"/>
    <w:p>
      <w:pPr>
        <w:keepNext w:val="0"/>
        <w:keepLines w:val="0"/>
        <w:pageBreakBefore w:val="0"/>
        <w:kinsoku/>
        <w:wordWrap/>
        <w:overflowPunct/>
        <w:topLinePunct w:val="0"/>
        <w:autoSpaceDE/>
        <w:autoSpaceDN/>
        <w:bidi w:val="0"/>
        <w:adjustRightInd w:val="0"/>
        <w:snapToGrid w:val="0"/>
        <w:spacing w:before="72" w:beforeLines="30" w:after="72" w:afterLines="30" w:line="360" w:lineRule="auto"/>
        <w:ind w:firstLine="562" w:firstLineChars="200"/>
        <w:textAlignment w:val="auto"/>
        <w:rPr>
          <w:rStyle w:val="44"/>
          <w:rFonts w:ascii="仿宋" w:hAnsi="仿宋" w:eastAsia="仿宋" w:cs="仿宋"/>
          <w:color w:val="auto"/>
          <w:highlight w:val="none"/>
        </w:rPr>
      </w:pPr>
      <w:bookmarkStart w:id="23" w:name="_Toc19314"/>
      <w:r>
        <w:rPr>
          <w:rStyle w:val="44"/>
          <w:rFonts w:hint="eastAsia" w:ascii="仿宋" w:hAnsi="仿宋" w:eastAsia="仿宋" w:cs="仿宋"/>
          <w:color w:val="auto"/>
          <w:sz w:val="28"/>
          <w:szCs w:val="28"/>
          <w:highlight w:val="none"/>
        </w:rPr>
        <w:t>1</w:t>
      </w:r>
      <w:r>
        <w:rPr>
          <w:rStyle w:val="44"/>
          <w:rFonts w:hint="eastAsia" w:ascii="仿宋" w:hAnsi="仿宋" w:eastAsia="仿宋" w:cs="仿宋"/>
          <w:color w:val="auto"/>
          <w:sz w:val="28"/>
          <w:szCs w:val="28"/>
          <w:highlight w:val="none"/>
          <w:lang w:val="en-US" w:eastAsia="zh-CN"/>
        </w:rPr>
        <w:t>2</w:t>
      </w:r>
      <w:r>
        <w:rPr>
          <w:rStyle w:val="44"/>
          <w:rFonts w:hint="eastAsia" w:ascii="仿宋" w:hAnsi="仿宋" w:eastAsia="仿宋" w:cs="仿宋"/>
          <w:color w:val="auto"/>
          <w:sz w:val="28"/>
          <w:szCs w:val="28"/>
          <w:highlight w:val="none"/>
        </w:rPr>
        <w:t>、 估价作业期：</w:t>
      </w:r>
      <w:bookmarkEnd w:id="23"/>
      <w:r>
        <w:rPr>
          <w:rFonts w:hint="eastAsia" w:ascii="仿宋" w:hAnsi="仿宋" w:eastAsia="仿宋" w:cs="仿宋"/>
          <w:color w:val="auto"/>
          <w:sz w:val="28"/>
          <w:szCs w:val="28"/>
          <w:highlight w:val="none"/>
          <w:lang w:eastAsia="zh-CN"/>
        </w:rPr>
        <w:t>2022年7月6日</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2022年7月8日</w:t>
      </w:r>
      <w:r>
        <w:rPr>
          <w:rFonts w:hint="eastAsia" w:ascii="仿宋" w:hAnsi="仿宋" w:eastAsia="仿宋" w:cs="仿宋"/>
          <w:color w:val="auto"/>
          <w:sz w:val="28"/>
          <w:szCs w:val="28"/>
          <w:highlight w:val="none"/>
        </w:rPr>
        <w:t>。</w:t>
      </w:r>
    </w:p>
    <w:p>
      <w:pPr>
        <w:keepNext w:val="0"/>
        <w:keepLines w:val="0"/>
        <w:pageBreakBefore w:val="0"/>
        <w:kinsoku/>
        <w:wordWrap/>
        <w:overflowPunct/>
        <w:topLinePunct w:val="0"/>
        <w:autoSpaceDE/>
        <w:autoSpaceDN/>
        <w:bidi w:val="0"/>
        <w:snapToGrid w:val="0"/>
        <w:spacing w:line="360" w:lineRule="auto"/>
        <w:ind w:firstLine="562" w:firstLineChars="200"/>
        <w:textAlignment w:val="auto"/>
        <w:rPr>
          <w:rFonts w:hint="eastAsia" w:ascii="仿宋" w:hAnsi="仿宋" w:eastAsia="仿宋" w:cs="宋体"/>
          <w:sz w:val="32"/>
          <w:szCs w:val="32"/>
        </w:rPr>
      </w:pPr>
      <w:bookmarkStart w:id="24" w:name="_Toc6909"/>
      <w:r>
        <w:rPr>
          <w:rStyle w:val="44"/>
          <w:rFonts w:hint="eastAsia" w:ascii="仿宋" w:hAnsi="仿宋" w:eastAsia="仿宋" w:cs="仿宋"/>
          <w:color w:val="auto"/>
          <w:sz w:val="28"/>
          <w:szCs w:val="28"/>
          <w:highlight w:val="none"/>
        </w:rPr>
        <w:t>1</w:t>
      </w:r>
      <w:r>
        <w:rPr>
          <w:rStyle w:val="44"/>
          <w:rFonts w:hint="eastAsia" w:ascii="仿宋" w:hAnsi="仿宋" w:eastAsia="仿宋" w:cs="仿宋"/>
          <w:color w:val="auto"/>
          <w:sz w:val="28"/>
          <w:szCs w:val="28"/>
          <w:highlight w:val="none"/>
          <w:lang w:val="en-US" w:eastAsia="zh-CN"/>
        </w:rPr>
        <w:t>3</w:t>
      </w:r>
      <w:r>
        <w:rPr>
          <w:rStyle w:val="44"/>
          <w:rFonts w:hint="eastAsia" w:ascii="仿宋" w:hAnsi="仿宋" w:eastAsia="仿宋" w:cs="仿宋"/>
          <w:color w:val="auto"/>
          <w:sz w:val="28"/>
          <w:szCs w:val="28"/>
          <w:highlight w:val="none"/>
        </w:rPr>
        <w:t>、 估价报告有效期（一年）</w:t>
      </w:r>
      <w:bookmarkEnd w:id="24"/>
      <w:r>
        <w:rPr>
          <w:rStyle w:val="44"/>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即</w:t>
      </w:r>
      <w:r>
        <w:rPr>
          <w:rFonts w:hint="eastAsia" w:ascii="仿宋" w:hAnsi="仿宋" w:eastAsia="仿宋" w:cs="仿宋"/>
          <w:color w:val="auto"/>
          <w:sz w:val="28"/>
          <w:szCs w:val="28"/>
          <w:highlight w:val="none"/>
          <w:lang w:eastAsia="zh-CN"/>
        </w:rPr>
        <w:t>2022年7月8日</w:t>
      </w:r>
      <w:r>
        <w:rPr>
          <w:rFonts w:hint="eastAsia" w:ascii="仿宋" w:hAnsi="仿宋" w:eastAsia="仿宋" w:cs="仿宋"/>
          <w:color w:val="auto"/>
          <w:sz w:val="28"/>
          <w:szCs w:val="28"/>
          <w:highlight w:val="none"/>
        </w:rPr>
        <w:t>至</w:t>
      </w:r>
      <w:r>
        <w:rPr>
          <w:rFonts w:hint="eastAsia" w:ascii="仿宋" w:hAnsi="仿宋" w:eastAsia="仿宋" w:cs="仿宋"/>
          <w:color w:val="auto"/>
          <w:sz w:val="28"/>
          <w:szCs w:val="28"/>
          <w:highlight w:val="none"/>
          <w:lang w:eastAsia="zh-CN"/>
        </w:rPr>
        <w:t>2023年</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lang w:eastAsia="zh-CN"/>
        </w:rPr>
        <w:t>月</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lang w:eastAsia="zh-CN"/>
        </w:rPr>
        <w:t>日</w:t>
      </w:r>
      <w:r>
        <w:rPr>
          <w:rFonts w:hint="eastAsia" w:ascii="仿宋" w:hAnsi="仿宋" w:eastAsia="仿宋" w:cs="仿宋"/>
          <w:color w:val="auto"/>
          <w:sz w:val="28"/>
          <w:szCs w:val="28"/>
          <w:highlight w:val="none"/>
        </w:rPr>
        <w:t>止。</w:t>
      </w:r>
    </w:p>
    <w:p>
      <w:pPr>
        <w:keepNext w:val="0"/>
        <w:keepLines w:val="0"/>
        <w:pageBreakBefore w:val="0"/>
        <w:numPr>
          <w:ilvl w:val="0"/>
          <w:numId w:val="0"/>
        </w:numPr>
        <w:kinsoku/>
        <w:wordWrap/>
        <w:overflowPunct/>
        <w:topLinePunct w:val="0"/>
        <w:autoSpaceDE/>
        <w:autoSpaceDN/>
        <w:bidi w:val="0"/>
        <w:adjustRightInd w:val="0"/>
        <w:snapToGrid w:val="0"/>
        <w:spacing w:before="72" w:beforeLines="30" w:after="72" w:afterLines="30" w:line="360" w:lineRule="auto"/>
        <w:ind w:firstLine="562" w:firstLineChars="200"/>
        <w:textAlignment w:val="auto"/>
        <w:rPr>
          <w:rStyle w:val="44"/>
          <w:rFonts w:hint="eastAsia" w:ascii="仿宋" w:hAnsi="仿宋" w:eastAsia="仿宋" w:cs="仿宋"/>
          <w:color w:val="auto"/>
          <w:sz w:val="28"/>
          <w:szCs w:val="28"/>
          <w:highlight w:val="none"/>
        </w:rPr>
      </w:pPr>
      <w:r>
        <w:rPr>
          <w:rStyle w:val="44"/>
          <w:rFonts w:hint="eastAsia" w:ascii="仿宋" w:hAnsi="仿宋" w:eastAsia="仿宋" w:cs="仿宋"/>
          <w:color w:val="auto"/>
          <w:sz w:val="28"/>
          <w:szCs w:val="28"/>
          <w:highlight w:val="none"/>
          <w:lang w:val="en-US" w:eastAsia="zh-CN"/>
        </w:rPr>
        <w:t>14、</w:t>
      </w:r>
      <w:r>
        <w:rPr>
          <w:rStyle w:val="44"/>
          <w:rFonts w:hint="eastAsia" w:ascii="仿宋" w:hAnsi="仿宋" w:eastAsia="仿宋" w:cs="仿宋"/>
          <w:color w:val="auto"/>
          <w:sz w:val="28"/>
          <w:szCs w:val="28"/>
          <w:highlight w:val="none"/>
        </w:rPr>
        <w:t>注册房地产估价师</w:t>
      </w:r>
    </w:p>
    <w:tbl>
      <w:tblPr>
        <w:tblStyle w:val="21"/>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kern w:val="0"/>
                <w:sz w:val="24"/>
              </w:rPr>
            </w:pPr>
            <w:r>
              <w:rPr>
                <w:rFonts w:hint="eastAsia" w:ascii="宋体" w:hAnsi="宋体" w:cs="宋体"/>
                <w:color w:val="000000"/>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2022年7月8日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37"/>
              <w:ind w:firstLine="480" w:firstLineChars="200"/>
              <w:jc w:val="both"/>
              <w:rPr>
                <w:rFonts w:asci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2022年7月8日</w:t>
            </w:r>
          </w:p>
        </w:tc>
      </w:tr>
    </w:tbl>
    <w:p>
      <w:pPr>
        <w:tabs>
          <w:tab w:val="left" w:pos="8280"/>
        </w:tabs>
        <w:adjustRightInd w:val="0"/>
        <w:snapToGrid w:val="0"/>
        <w:spacing w:line="360" w:lineRule="exact"/>
        <w:ind w:right="34" w:firstLine="3239" w:firstLineChars="1157"/>
        <w:jc w:val="center"/>
        <w:rPr>
          <w:rFonts w:hint="eastAsia" w:ascii="仿宋" w:hAnsi="仿宋" w:eastAsia="仿宋" w:cs="宋体"/>
          <w:bCs/>
          <w:sz w:val="28"/>
        </w:rPr>
      </w:pPr>
    </w:p>
    <w:p>
      <w:pPr>
        <w:tabs>
          <w:tab w:val="left" w:pos="8280"/>
        </w:tabs>
        <w:adjustRightInd w:val="0"/>
        <w:snapToGrid w:val="0"/>
        <w:spacing w:line="360" w:lineRule="exact"/>
        <w:ind w:right="34" w:firstLine="3239" w:firstLineChars="1157"/>
        <w:jc w:val="center"/>
        <w:rPr>
          <w:rFonts w:hint="eastAsia" w:ascii="仿宋" w:hAnsi="仿宋" w:eastAsia="仿宋" w:cs="宋体"/>
          <w:bCs/>
          <w:sz w:val="28"/>
        </w:rPr>
      </w:pPr>
    </w:p>
    <w:p>
      <w:pPr>
        <w:tabs>
          <w:tab w:val="left" w:pos="8280"/>
        </w:tabs>
        <w:adjustRightInd w:val="0"/>
        <w:snapToGrid w:val="0"/>
        <w:spacing w:line="360" w:lineRule="exact"/>
        <w:ind w:right="34" w:firstLine="3239" w:firstLineChars="1157"/>
        <w:jc w:val="center"/>
        <w:rPr>
          <w:rFonts w:hint="eastAsia" w:ascii="仿宋" w:hAnsi="仿宋" w:eastAsia="仿宋" w:cs="宋体"/>
          <w:bCs/>
          <w:sz w:val="28"/>
        </w:rPr>
      </w:pPr>
      <w:r>
        <w:rPr>
          <w:rFonts w:hint="eastAsia" w:ascii="仿宋" w:hAnsi="仿宋" w:eastAsia="仿宋" w:cs="宋体"/>
          <w:bCs/>
          <w:sz w:val="28"/>
        </w:rPr>
        <w:t xml:space="preserve">黑龙江天之骄房地产资产评估有限公司 </w:t>
      </w:r>
    </w:p>
    <w:p>
      <w:pPr>
        <w:tabs>
          <w:tab w:val="left" w:pos="8280"/>
        </w:tabs>
        <w:adjustRightInd w:val="0"/>
        <w:snapToGrid w:val="0"/>
        <w:spacing w:line="360" w:lineRule="exact"/>
        <w:ind w:right="34" w:firstLine="3239" w:firstLineChars="1157"/>
        <w:jc w:val="center"/>
        <w:rPr>
          <w:rFonts w:hint="eastAsia" w:ascii="仿宋" w:hAnsi="仿宋" w:eastAsia="仿宋" w:cs="宋体"/>
          <w:bCs/>
          <w:sz w:val="28"/>
        </w:rPr>
      </w:pPr>
      <w:r>
        <w:rPr>
          <w:rFonts w:hint="eastAsia" w:ascii="仿宋" w:hAnsi="仿宋" w:eastAsia="仿宋" w:cs="宋体"/>
          <w:bCs/>
          <w:sz w:val="28"/>
        </w:rPr>
        <w:t xml:space="preserve"> </w:t>
      </w:r>
      <w:bookmarkStart w:id="25" w:name="_Toc3204"/>
    </w:p>
    <w:p>
      <w:pPr>
        <w:tabs>
          <w:tab w:val="left" w:pos="8280"/>
        </w:tabs>
        <w:adjustRightInd w:val="0"/>
        <w:snapToGrid w:val="0"/>
        <w:spacing w:line="360" w:lineRule="exact"/>
        <w:ind w:right="34" w:firstLine="3239" w:firstLineChars="1157"/>
        <w:jc w:val="center"/>
        <w:rPr>
          <w:rFonts w:hint="eastAsia" w:ascii="仿宋" w:hAnsi="仿宋" w:eastAsia="仿宋" w:cs="宋体"/>
          <w:bCs/>
          <w:sz w:val="28"/>
          <w:lang w:eastAsia="zh-CN"/>
        </w:rPr>
      </w:pPr>
      <w:r>
        <w:rPr>
          <w:rFonts w:hint="eastAsia" w:ascii="仿宋" w:hAnsi="仿宋" w:eastAsia="仿宋" w:cs="宋体"/>
          <w:bCs/>
          <w:sz w:val="28"/>
          <w:lang w:eastAsia="zh-CN"/>
        </w:rPr>
        <w:t>二〇二二年七月八日</w:t>
      </w:r>
    </w:p>
    <w:p>
      <w:pPr>
        <w:pStyle w:val="2"/>
        <w:spacing w:before="100" w:after="0" w:line="480" w:lineRule="exact"/>
        <w:ind w:firstLine="2409" w:firstLineChars="600"/>
        <w:jc w:val="both"/>
        <w:rPr>
          <w:rFonts w:hint="eastAsia" w:ascii="仿宋" w:hAnsi="仿宋" w:eastAsia="仿宋" w:cs="仿宋"/>
          <w:color w:val="auto"/>
          <w:sz w:val="40"/>
          <w:szCs w:val="40"/>
          <w:highlight w:val="none"/>
          <w:lang w:eastAsia="zh-CN"/>
        </w:rPr>
      </w:pPr>
    </w:p>
    <w:p>
      <w:pPr>
        <w:pStyle w:val="2"/>
        <w:spacing w:before="100" w:after="0" w:line="480" w:lineRule="exact"/>
        <w:jc w:val="both"/>
        <w:rPr>
          <w:rFonts w:hint="eastAsia" w:ascii="仿宋" w:hAnsi="仿宋" w:eastAsia="仿宋" w:cs="仿宋"/>
          <w:color w:val="auto"/>
          <w:sz w:val="40"/>
          <w:szCs w:val="40"/>
          <w:highlight w:val="none"/>
          <w:lang w:eastAsia="zh-CN"/>
        </w:rPr>
      </w:pPr>
    </w:p>
    <w:p>
      <w:pPr>
        <w:rPr>
          <w:rFonts w:hint="eastAsia" w:ascii="仿宋" w:hAnsi="仿宋" w:eastAsia="仿宋" w:cs="仿宋"/>
          <w:color w:val="auto"/>
          <w:sz w:val="40"/>
          <w:szCs w:val="40"/>
          <w:highlight w:val="none"/>
          <w:lang w:eastAsia="zh-CN"/>
        </w:rPr>
      </w:pPr>
    </w:p>
    <w:p>
      <w:pPr>
        <w:rPr>
          <w:rFonts w:hint="eastAsia" w:ascii="仿宋" w:hAnsi="仿宋" w:eastAsia="仿宋" w:cs="仿宋"/>
          <w:color w:val="auto"/>
          <w:sz w:val="40"/>
          <w:szCs w:val="40"/>
          <w:highlight w:val="none"/>
          <w:lang w:eastAsia="zh-CN"/>
        </w:rPr>
      </w:pPr>
    </w:p>
    <w:p>
      <w:pPr>
        <w:rPr>
          <w:rFonts w:hint="eastAsia" w:ascii="仿宋" w:hAnsi="仿宋" w:eastAsia="仿宋" w:cs="仿宋"/>
          <w:color w:val="auto"/>
          <w:sz w:val="40"/>
          <w:szCs w:val="40"/>
          <w:highlight w:val="none"/>
          <w:lang w:eastAsia="zh-CN"/>
        </w:rPr>
      </w:pPr>
    </w:p>
    <w:p>
      <w:pPr>
        <w:rPr>
          <w:rFonts w:hint="eastAsia" w:ascii="仿宋" w:hAnsi="仿宋" w:eastAsia="仿宋" w:cs="仿宋"/>
          <w:color w:val="auto"/>
          <w:sz w:val="40"/>
          <w:szCs w:val="40"/>
          <w:highlight w:val="none"/>
          <w:lang w:eastAsia="zh-CN"/>
        </w:rPr>
      </w:pPr>
    </w:p>
    <w:p>
      <w:pPr>
        <w:rPr>
          <w:rFonts w:hint="eastAsia" w:ascii="仿宋" w:hAnsi="仿宋" w:eastAsia="仿宋" w:cs="仿宋"/>
          <w:color w:val="auto"/>
          <w:sz w:val="40"/>
          <w:szCs w:val="40"/>
          <w:highlight w:val="none"/>
          <w:lang w:eastAsia="zh-CN"/>
        </w:rPr>
      </w:pPr>
    </w:p>
    <w:p>
      <w:pPr>
        <w:rPr>
          <w:rFonts w:hint="eastAsia" w:ascii="仿宋" w:hAnsi="仿宋" w:eastAsia="仿宋" w:cs="仿宋"/>
          <w:color w:val="auto"/>
          <w:sz w:val="40"/>
          <w:szCs w:val="40"/>
          <w:highlight w:val="none"/>
          <w:lang w:eastAsia="zh-CN"/>
        </w:rPr>
      </w:pPr>
    </w:p>
    <w:p>
      <w:pPr>
        <w:rPr>
          <w:rFonts w:hint="eastAsia"/>
          <w:lang w:eastAsia="zh-CN"/>
        </w:rPr>
      </w:pPr>
    </w:p>
    <w:bookmarkEnd w:id="25"/>
    <w:p>
      <w:pPr>
        <w:tabs>
          <w:tab w:val="left" w:pos="8280"/>
        </w:tabs>
        <w:adjustRightInd w:val="0"/>
        <w:snapToGrid w:val="0"/>
        <w:spacing w:line="360" w:lineRule="exact"/>
        <w:ind w:right="34" w:firstLine="3239" w:firstLineChars="1157"/>
        <w:jc w:val="center"/>
        <w:rPr>
          <w:rFonts w:ascii="仿宋" w:hAnsi="仿宋" w:eastAsia="仿宋" w:cs="宋体"/>
          <w:bCs/>
          <w:sz w:val="28"/>
        </w:rPr>
      </w:pPr>
    </w:p>
    <w:sectPr>
      <w:headerReference r:id="rId5" w:type="default"/>
      <w:footerReference r:id="rId6" w:type="default"/>
      <w:pgSz w:w="11906" w:h="16838"/>
      <w:pgMar w:top="1247" w:right="1219" w:bottom="1247" w:left="1559" w:header="851" w:footer="992" w:gutter="0"/>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w:t>
                          </w:r>
                          <w:r>
                            <w:rPr>
                              <w:rFonts w:hint="eastAsia"/>
                              <w:lang w:val="en-US" w:eastAsia="zh-CN"/>
                            </w:rPr>
                            <w:t>11</w:t>
                          </w:r>
                          <w:r>
                            <w:rPr>
                              <w:rFonts w:hint="eastAsia"/>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w:t>
                    </w:r>
                    <w:r>
                      <w:rPr>
                        <w:rFonts w:hint="eastAsia"/>
                        <w:lang w:val="en-US" w:eastAsia="zh-CN"/>
                      </w:rPr>
                      <w:t>11</w:t>
                    </w:r>
                    <w:r>
                      <w:rPr>
                        <w:rFonts w:hint="eastAsia"/>
                        <w:lang w:eastAsia="zh-CN"/>
                      </w:rPr>
                      <w:t>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92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pPr>
                        </w:p>
                      </w:txbxContent>
                    </wps:txbx>
                    <wps:bodyPr wrap="none" lIns="0" tIns="0" rIns="0" bIns="0" upright="1">
                      <a:spAutoFit/>
                    </wps:bodyPr>
                  </wps:wsp>
                </a:graphicData>
              </a:graphic>
            </wp:anchor>
          </w:drawing>
        </mc:Choice>
        <mc:Fallback>
          <w:pict>
            <v:shape id="文本框 924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oaYJL0wAAAAUBAAAPAAAAAAAAAAEA&#10;IAAAACIAAABkcnMvZG93bnJldi54bWxQSwECFAAUAAAACACHTuJAJZSxYNsBAAC0AwAADgAAAAAA&#10;AAABACAAAAAiAQAAZHJzL2Uyb0RvYy54bWxQSwUGAAAAAAYABgBZAQAAbwUAAAAA&#10;">
              <v:fill on="f" focussize="0,0"/>
              <v:stroke on="f" weight="1.25pt"/>
              <v:imagedata o:title=""/>
              <o:lock v:ext="edit" aspectratio="f"/>
              <v:textbox inset="0mm,0mm,0mm,0mm" style="mso-fit-shape-to-text:t;">
                <w:txbxContent>
                  <w:p>
                    <w:pPr>
                      <w:pStyle w:val="12"/>
                    </w:pPr>
                  </w:p>
                </w:txbxContent>
              </v:textbox>
            </v:shape>
          </w:pict>
        </mc:Fallback>
      </mc:AlternateContent>
    </w:r>
  </w:p>
  <w:p>
    <w:pPr>
      <w:pStyle w:val="12"/>
      <w:wordWrap w:val="0"/>
      <w:jc w:val="right"/>
    </w:pPr>
  </w:p>
  <w:p>
    <w:pPr>
      <w:pStyle w:val="1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i/>
      </w:rPr>
    </w:pPr>
    <w:r>
      <w:rPr>
        <w:rFonts w:hint="eastAsia"/>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0F0FE"/>
    <w:multiLevelType w:val="singleLevel"/>
    <w:tmpl w:val="FFE0F0F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ZmY0OTQ2NDA1OWEzYTU2ZTA3ZDNjMTIyNDBjNzMifQ=="/>
  </w:docVars>
  <w:rsids>
    <w:rsidRoot w:val="00172A27"/>
    <w:rsid w:val="0000078B"/>
    <w:rsid w:val="00001782"/>
    <w:rsid w:val="00002AA9"/>
    <w:rsid w:val="000036E7"/>
    <w:rsid w:val="00003AD3"/>
    <w:rsid w:val="00003D05"/>
    <w:rsid w:val="00003E23"/>
    <w:rsid w:val="00005358"/>
    <w:rsid w:val="0000733B"/>
    <w:rsid w:val="00007C75"/>
    <w:rsid w:val="00010693"/>
    <w:rsid w:val="000108CE"/>
    <w:rsid w:val="00010D69"/>
    <w:rsid w:val="00012100"/>
    <w:rsid w:val="00012DAA"/>
    <w:rsid w:val="0001313A"/>
    <w:rsid w:val="000133E9"/>
    <w:rsid w:val="00013BA6"/>
    <w:rsid w:val="00015D53"/>
    <w:rsid w:val="00016A22"/>
    <w:rsid w:val="0001765B"/>
    <w:rsid w:val="0001786D"/>
    <w:rsid w:val="00020006"/>
    <w:rsid w:val="00021625"/>
    <w:rsid w:val="00023EFA"/>
    <w:rsid w:val="00024144"/>
    <w:rsid w:val="0002567E"/>
    <w:rsid w:val="0002580A"/>
    <w:rsid w:val="00025D33"/>
    <w:rsid w:val="00026123"/>
    <w:rsid w:val="00032368"/>
    <w:rsid w:val="00032731"/>
    <w:rsid w:val="00032748"/>
    <w:rsid w:val="000350CB"/>
    <w:rsid w:val="00035A90"/>
    <w:rsid w:val="00035F27"/>
    <w:rsid w:val="000362BB"/>
    <w:rsid w:val="00036670"/>
    <w:rsid w:val="0003769D"/>
    <w:rsid w:val="000400FE"/>
    <w:rsid w:val="000426F2"/>
    <w:rsid w:val="0004531E"/>
    <w:rsid w:val="00047005"/>
    <w:rsid w:val="00047ABF"/>
    <w:rsid w:val="00047E77"/>
    <w:rsid w:val="000506BD"/>
    <w:rsid w:val="000509E4"/>
    <w:rsid w:val="00051A11"/>
    <w:rsid w:val="0005339E"/>
    <w:rsid w:val="000534B2"/>
    <w:rsid w:val="000546AC"/>
    <w:rsid w:val="00054807"/>
    <w:rsid w:val="00055160"/>
    <w:rsid w:val="00055B23"/>
    <w:rsid w:val="00060CCB"/>
    <w:rsid w:val="00060EE9"/>
    <w:rsid w:val="000629C1"/>
    <w:rsid w:val="00062AED"/>
    <w:rsid w:val="00063C18"/>
    <w:rsid w:val="0006496E"/>
    <w:rsid w:val="00064A3D"/>
    <w:rsid w:val="00065899"/>
    <w:rsid w:val="0006744D"/>
    <w:rsid w:val="00067BB2"/>
    <w:rsid w:val="000704D9"/>
    <w:rsid w:val="00070AB5"/>
    <w:rsid w:val="00071D5B"/>
    <w:rsid w:val="000720A4"/>
    <w:rsid w:val="0007282F"/>
    <w:rsid w:val="00072C97"/>
    <w:rsid w:val="000737F3"/>
    <w:rsid w:val="00074B16"/>
    <w:rsid w:val="00074E55"/>
    <w:rsid w:val="00076055"/>
    <w:rsid w:val="00076246"/>
    <w:rsid w:val="0008003C"/>
    <w:rsid w:val="00082CD3"/>
    <w:rsid w:val="00082ED2"/>
    <w:rsid w:val="00082FC1"/>
    <w:rsid w:val="00083146"/>
    <w:rsid w:val="00085ADA"/>
    <w:rsid w:val="00085C91"/>
    <w:rsid w:val="00090258"/>
    <w:rsid w:val="00090292"/>
    <w:rsid w:val="000913B0"/>
    <w:rsid w:val="00095232"/>
    <w:rsid w:val="0009571F"/>
    <w:rsid w:val="00095D34"/>
    <w:rsid w:val="0009622E"/>
    <w:rsid w:val="000A0172"/>
    <w:rsid w:val="000A0AAE"/>
    <w:rsid w:val="000A0D28"/>
    <w:rsid w:val="000A1205"/>
    <w:rsid w:val="000A1C83"/>
    <w:rsid w:val="000A3AE9"/>
    <w:rsid w:val="000A3DB7"/>
    <w:rsid w:val="000A482E"/>
    <w:rsid w:val="000A6E78"/>
    <w:rsid w:val="000A713A"/>
    <w:rsid w:val="000A79EB"/>
    <w:rsid w:val="000A7B73"/>
    <w:rsid w:val="000B05C2"/>
    <w:rsid w:val="000B0C65"/>
    <w:rsid w:val="000B1489"/>
    <w:rsid w:val="000B1C4D"/>
    <w:rsid w:val="000B2606"/>
    <w:rsid w:val="000B27B2"/>
    <w:rsid w:val="000B2EAB"/>
    <w:rsid w:val="000B3328"/>
    <w:rsid w:val="000B3DBF"/>
    <w:rsid w:val="000B42BD"/>
    <w:rsid w:val="000B6269"/>
    <w:rsid w:val="000B6F72"/>
    <w:rsid w:val="000B79D7"/>
    <w:rsid w:val="000C000C"/>
    <w:rsid w:val="000C0939"/>
    <w:rsid w:val="000C0E6A"/>
    <w:rsid w:val="000C50C4"/>
    <w:rsid w:val="000C6FF6"/>
    <w:rsid w:val="000C7E84"/>
    <w:rsid w:val="000D0A76"/>
    <w:rsid w:val="000D2825"/>
    <w:rsid w:val="000D45E6"/>
    <w:rsid w:val="000D4980"/>
    <w:rsid w:val="000D5298"/>
    <w:rsid w:val="000D6F9E"/>
    <w:rsid w:val="000E065F"/>
    <w:rsid w:val="000E0C04"/>
    <w:rsid w:val="000E1D6F"/>
    <w:rsid w:val="000E4115"/>
    <w:rsid w:val="000E4DC0"/>
    <w:rsid w:val="000E6B23"/>
    <w:rsid w:val="000E6D76"/>
    <w:rsid w:val="000E761F"/>
    <w:rsid w:val="000F1003"/>
    <w:rsid w:val="000F4303"/>
    <w:rsid w:val="000F4B39"/>
    <w:rsid w:val="000F6FDB"/>
    <w:rsid w:val="000F79FB"/>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6F2E"/>
    <w:rsid w:val="001173D5"/>
    <w:rsid w:val="00117CE1"/>
    <w:rsid w:val="001203C6"/>
    <w:rsid w:val="00120442"/>
    <w:rsid w:val="00121864"/>
    <w:rsid w:val="00121D51"/>
    <w:rsid w:val="00125007"/>
    <w:rsid w:val="001255A4"/>
    <w:rsid w:val="0013022E"/>
    <w:rsid w:val="00130425"/>
    <w:rsid w:val="001305A6"/>
    <w:rsid w:val="00133E05"/>
    <w:rsid w:val="00134A93"/>
    <w:rsid w:val="00137606"/>
    <w:rsid w:val="001377E8"/>
    <w:rsid w:val="00140026"/>
    <w:rsid w:val="00141622"/>
    <w:rsid w:val="00141723"/>
    <w:rsid w:val="00142E18"/>
    <w:rsid w:val="001453CE"/>
    <w:rsid w:val="00146ABE"/>
    <w:rsid w:val="00147B64"/>
    <w:rsid w:val="00151F1E"/>
    <w:rsid w:val="001541BD"/>
    <w:rsid w:val="00160F48"/>
    <w:rsid w:val="00161157"/>
    <w:rsid w:val="00162413"/>
    <w:rsid w:val="00162426"/>
    <w:rsid w:val="00163E20"/>
    <w:rsid w:val="00163FB5"/>
    <w:rsid w:val="00165233"/>
    <w:rsid w:val="00165629"/>
    <w:rsid w:val="00165AE9"/>
    <w:rsid w:val="00166795"/>
    <w:rsid w:val="001723AB"/>
    <w:rsid w:val="00172A27"/>
    <w:rsid w:val="0017392F"/>
    <w:rsid w:val="00174DFF"/>
    <w:rsid w:val="0017566F"/>
    <w:rsid w:val="00175C64"/>
    <w:rsid w:val="00176C3D"/>
    <w:rsid w:val="001770FB"/>
    <w:rsid w:val="001779AC"/>
    <w:rsid w:val="00177FB6"/>
    <w:rsid w:val="001818FE"/>
    <w:rsid w:val="00183145"/>
    <w:rsid w:val="0018399C"/>
    <w:rsid w:val="00183A44"/>
    <w:rsid w:val="001863B5"/>
    <w:rsid w:val="00186743"/>
    <w:rsid w:val="00186A17"/>
    <w:rsid w:val="00186BF2"/>
    <w:rsid w:val="00190357"/>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DE3"/>
    <w:rsid w:val="001B0709"/>
    <w:rsid w:val="001B084E"/>
    <w:rsid w:val="001B3FA4"/>
    <w:rsid w:val="001B584A"/>
    <w:rsid w:val="001B5B45"/>
    <w:rsid w:val="001B6244"/>
    <w:rsid w:val="001B6A02"/>
    <w:rsid w:val="001B7582"/>
    <w:rsid w:val="001C29D6"/>
    <w:rsid w:val="001C31CE"/>
    <w:rsid w:val="001C3943"/>
    <w:rsid w:val="001D072E"/>
    <w:rsid w:val="001D0C1D"/>
    <w:rsid w:val="001D1023"/>
    <w:rsid w:val="001D237B"/>
    <w:rsid w:val="001D376C"/>
    <w:rsid w:val="001D57D4"/>
    <w:rsid w:val="001D69DF"/>
    <w:rsid w:val="001E1BD6"/>
    <w:rsid w:val="001E376D"/>
    <w:rsid w:val="001E4F32"/>
    <w:rsid w:val="001E4FB0"/>
    <w:rsid w:val="001E6004"/>
    <w:rsid w:val="001E6899"/>
    <w:rsid w:val="001E6964"/>
    <w:rsid w:val="001E6AC3"/>
    <w:rsid w:val="001E76A5"/>
    <w:rsid w:val="001E7819"/>
    <w:rsid w:val="001E7A92"/>
    <w:rsid w:val="001F091C"/>
    <w:rsid w:val="001F0920"/>
    <w:rsid w:val="001F1108"/>
    <w:rsid w:val="001F18DD"/>
    <w:rsid w:val="001F1C52"/>
    <w:rsid w:val="001F1F71"/>
    <w:rsid w:val="001F2275"/>
    <w:rsid w:val="001F2B51"/>
    <w:rsid w:val="001F404C"/>
    <w:rsid w:val="001F57B2"/>
    <w:rsid w:val="001F6DDE"/>
    <w:rsid w:val="002021E0"/>
    <w:rsid w:val="00202E58"/>
    <w:rsid w:val="0020435A"/>
    <w:rsid w:val="00204812"/>
    <w:rsid w:val="002050D9"/>
    <w:rsid w:val="00207029"/>
    <w:rsid w:val="0020758A"/>
    <w:rsid w:val="00207778"/>
    <w:rsid w:val="00210266"/>
    <w:rsid w:val="00210E10"/>
    <w:rsid w:val="00210FFB"/>
    <w:rsid w:val="002128FF"/>
    <w:rsid w:val="002138FE"/>
    <w:rsid w:val="00214F66"/>
    <w:rsid w:val="002162B8"/>
    <w:rsid w:val="00217131"/>
    <w:rsid w:val="00217727"/>
    <w:rsid w:val="002178DC"/>
    <w:rsid w:val="00217F10"/>
    <w:rsid w:val="002201E7"/>
    <w:rsid w:val="00220BCB"/>
    <w:rsid w:val="002210E9"/>
    <w:rsid w:val="00222A4F"/>
    <w:rsid w:val="00223F0B"/>
    <w:rsid w:val="00224B45"/>
    <w:rsid w:val="00226F2E"/>
    <w:rsid w:val="00227328"/>
    <w:rsid w:val="00227FA7"/>
    <w:rsid w:val="00230160"/>
    <w:rsid w:val="0023061A"/>
    <w:rsid w:val="00231A09"/>
    <w:rsid w:val="00232135"/>
    <w:rsid w:val="00232B8D"/>
    <w:rsid w:val="0023380F"/>
    <w:rsid w:val="0023385B"/>
    <w:rsid w:val="00233D35"/>
    <w:rsid w:val="002349B6"/>
    <w:rsid w:val="00236AA3"/>
    <w:rsid w:val="00237BC5"/>
    <w:rsid w:val="0024073E"/>
    <w:rsid w:val="00240A4B"/>
    <w:rsid w:val="0024243E"/>
    <w:rsid w:val="00242738"/>
    <w:rsid w:val="00242A82"/>
    <w:rsid w:val="00242CC3"/>
    <w:rsid w:val="00244052"/>
    <w:rsid w:val="0024533A"/>
    <w:rsid w:val="00250613"/>
    <w:rsid w:val="002534C1"/>
    <w:rsid w:val="00253EA2"/>
    <w:rsid w:val="00254681"/>
    <w:rsid w:val="0025493C"/>
    <w:rsid w:val="00254B5A"/>
    <w:rsid w:val="00255678"/>
    <w:rsid w:val="00256B96"/>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9BD"/>
    <w:rsid w:val="00272BA7"/>
    <w:rsid w:val="002730A8"/>
    <w:rsid w:val="00273D64"/>
    <w:rsid w:val="00274A98"/>
    <w:rsid w:val="00274E2F"/>
    <w:rsid w:val="00276213"/>
    <w:rsid w:val="0027675A"/>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E08"/>
    <w:rsid w:val="00296857"/>
    <w:rsid w:val="00296F1F"/>
    <w:rsid w:val="00297534"/>
    <w:rsid w:val="002A0B81"/>
    <w:rsid w:val="002A1291"/>
    <w:rsid w:val="002A1C1C"/>
    <w:rsid w:val="002A2771"/>
    <w:rsid w:val="002A3B1B"/>
    <w:rsid w:val="002A4A57"/>
    <w:rsid w:val="002A4E9E"/>
    <w:rsid w:val="002A7157"/>
    <w:rsid w:val="002B0A42"/>
    <w:rsid w:val="002B0CDC"/>
    <w:rsid w:val="002B361F"/>
    <w:rsid w:val="002B3AAD"/>
    <w:rsid w:val="002B43D0"/>
    <w:rsid w:val="002B459D"/>
    <w:rsid w:val="002B46F8"/>
    <w:rsid w:val="002B5159"/>
    <w:rsid w:val="002C064E"/>
    <w:rsid w:val="002C0EBC"/>
    <w:rsid w:val="002C0F65"/>
    <w:rsid w:val="002C3204"/>
    <w:rsid w:val="002C540B"/>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2C60"/>
    <w:rsid w:val="003038A9"/>
    <w:rsid w:val="0030429F"/>
    <w:rsid w:val="0030431A"/>
    <w:rsid w:val="00305510"/>
    <w:rsid w:val="00307295"/>
    <w:rsid w:val="00310952"/>
    <w:rsid w:val="003128E5"/>
    <w:rsid w:val="003131FA"/>
    <w:rsid w:val="00313CD5"/>
    <w:rsid w:val="00314E7A"/>
    <w:rsid w:val="00315416"/>
    <w:rsid w:val="003164EB"/>
    <w:rsid w:val="0031739E"/>
    <w:rsid w:val="00320B33"/>
    <w:rsid w:val="00320D1A"/>
    <w:rsid w:val="00320DA9"/>
    <w:rsid w:val="00321EAD"/>
    <w:rsid w:val="0032223A"/>
    <w:rsid w:val="00323558"/>
    <w:rsid w:val="00323CC3"/>
    <w:rsid w:val="003246AF"/>
    <w:rsid w:val="00324709"/>
    <w:rsid w:val="00324B5A"/>
    <w:rsid w:val="00325CB8"/>
    <w:rsid w:val="003274FE"/>
    <w:rsid w:val="00333117"/>
    <w:rsid w:val="00333B26"/>
    <w:rsid w:val="00334589"/>
    <w:rsid w:val="00334613"/>
    <w:rsid w:val="00335761"/>
    <w:rsid w:val="0033774F"/>
    <w:rsid w:val="0034034B"/>
    <w:rsid w:val="00340419"/>
    <w:rsid w:val="00341206"/>
    <w:rsid w:val="00341248"/>
    <w:rsid w:val="00342018"/>
    <w:rsid w:val="00342AD1"/>
    <w:rsid w:val="003444DB"/>
    <w:rsid w:val="00345D7E"/>
    <w:rsid w:val="00346475"/>
    <w:rsid w:val="00353052"/>
    <w:rsid w:val="00353420"/>
    <w:rsid w:val="00353A81"/>
    <w:rsid w:val="00355816"/>
    <w:rsid w:val="003559BE"/>
    <w:rsid w:val="00356775"/>
    <w:rsid w:val="00357314"/>
    <w:rsid w:val="003575F3"/>
    <w:rsid w:val="00360BD4"/>
    <w:rsid w:val="0036355E"/>
    <w:rsid w:val="00366D2F"/>
    <w:rsid w:val="003714CA"/>
    <w:rsid w:val="00373213"/>
    <w:rsid w:val="00373BCD"/>
    <w:rsid w:val="0037510C"/>
    <w:rsid w:val="00375E74"/>
    <w:rsid w:val="003777D4"/>
    <w:rsid w:val="003800E6"/>
    <w:rsid w:val="003809B4"/>
    <w:rsid w:val="00381C51"/>
    <w:rsid w:val="00381FE4"/>
    <w:rsid w:val="00384551"/>
    <w:rsid w:val="00384F03"/>
    <w:rsid w:val="0038637F"/>
    <w:rsid w:val="003863C2"/>
    <w:rsid w:val="00391E31"/>
    <w:rsid w:val="003930EB"/>
    <w:rsid w:val="00395173"/>
    <w:rsid w:val="0039733D"/>
    <w:rsid w:val="00397BF1"/>
    <w:rsid w:val="003A0BE1"/>
    <w:rsid w:val="003A151C"/>
    <w:rsid w:val="003A3A23"/>
    <w:rsid w:val="003A4B7B"/>
    <w:rsid w:val="003A6718"/>
    <w:rsid w:val="003A68F6"/>
    <w:rsid w:val="003A6BE7"/>
    <w:rsid w:val="003A7058"/>
    <w:rsid w:val="003B3048"/>
    <w:rsid w:val="003B3DFA"/>
    <w:rsid w:val="003B6DC3"/>
    <w:rsid w:val="003C08EE"/>
    <w:rsid w:val="003C1240"/>
    <w:rsid w:val="003C2F13"/>
    <w:rsid w:val="003C38F6"/>
    <w:rsid w:val="003C4A20"/>
    <w:rsid w:val="003C4F62"/>
    <w:rsid w:val="003C69E5"/>
    <w:rsid w:val="003C7605"/>
    <w:rsid w:val="003D2D6A"/>
    <w:rsid w:val="003D316B"/>
    <w:rsid w:val="003D3B40"/>
    <w:rsid w:val="003D5766"/>
    <w:rsid w:val="003D5B11"/>
    <w:rsid w:val="003D6E0A"/>
    <w:rsid w:val="003D7DAF"/>
    <w:rsid w:val="003E0B88"/>
    <w:rsid w:val="003E13BD"/>
    <w:rsid w:val="003E43DB"/>
    <w:rsid w:val="003E52B0"/>
    <w:rsid w:val="003F0BF6"/>
    <w:rsid w:val="003F3F17"/>
    <w:rsid w:val="003F3FE1"/>
    <w:rsid w:val="003F4C57"/>
    <w:rsid w:val="003F5870"/>
    <w:rsid w:val="003F5E89"/>
    <w:rsid w:val="00400260"/>
    <w:rsid w:val="00400E91"/>
    <w:rsid w:val="00402186"/>
    <w:rsid w:val="004044C9"/>
    <w:rsid w:val="00404B1D"/>
    <w:rsid w:val="00405A48"/>
    <w:rsid w:val="00406BCE"/>
    <w:rsid w:val="004072E9"/>
    <w:rsid w:val="00407AD0"/>
    <w:rsid w:val="004101E3"/>
    <w:rsid w:val="00410E0C"/>
    <w:rsid w:val="00410F5E"/>
    <w:rsid w:val="004117FC"/>
    <w:rsid w:val="0041201D"/>
    <w:rsid w:val="004130F2"/>
    <w:rsid w:val="00414231"/>
    <w:rsid w:val="00414760"/>
    <w:rsid w:val="00421273"/>
    <w:rsid w:val="004223D0"/>
    <w:rsid w:val="00424CBB"/>
    <w:rsid w:val="0042515E"/>
    <w:rsid w:val="004266F6"/>
    <w:rsid w:val="00426BD3"/>
    <w:rsid w:val="00427238"/>
    <w:rsid w:val="00430E3F"/>
    <w:rsid w:val="0043133B"/>
    <w:rsid w:val="00431502"/>
    <w:rsid w:val="00431613"/>
    <w:rsid w:val="00433422"/>
    <w:rsid w:val="00433FB0"/>
    <w:rsid w:val="004340AF"/>
    <w:rsid w:val="00436B04"/>
    <w:rsid w:val="0043723A"/>
    <w:rsid w:val="00440174"/>
    <w:rsid w:val="004410AA"/>
    <w:rsid w:val="00441819"/>
    <w:rsid w:val="0044248C"/>
    <w:rsid w:val="00443264"/>
    <w:rsid w:val="0044381B"/>
    <w:rsid w:val="004450CA"/>
    <w:rsid w:val="004452B5"/>
    <w:rsid w:val="004453B4"/>
    <w:rsid w:val="0044734B"/>
    <w:rsid w:val="00450CD4"/>
    <w:rsid w:val="004511BE"/>
    <w:rsid w:val="00452E0C"/>
    <w:rsid w:val="00452F67"/>
    <w:rsid w:val="00454A76"/>
    <w:rsid w:val="00454B46"/>
    <w:rsid w:val="00454EBA"/>
    <w:rsid w:val="004555C4"/>
    <w:rsid w:val="00455898"/>
    <w:rsid w:val="0046201C"/>
    <w:rsid w:val="00464185"/>
    <w:rsid w:val="00464C01"/>
    <w:rsid w:val="00464E55"/>
    <w:rsid w:val="00466C22"/>
    <w:rsid w:val="0046737A"/>
    <w:rsid w:val="00467552"/>
    <w:rsid w:val="004715EC"/>
    <w:rsid w:val="004723E1"/>
    <w:rsid w:val="00472614"/>
    <w:rsid w:val="004752F5"/>
    <w:rsid w:val="004765E6"/>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A1786"/>
    <w:rsid w:val="004A1988"/>
    <w:rsid w:val="004A203F"/>
    <w:rsid w:val="004A29F0"/>
    <w:rsid w:val="004A3A06"/>
    <w:rsid w:val="004A4777"/>
    <w:rsid w:val="004A4B82"/>
    <w:rsid w:val="004A5A8F"/>
    <w:rsid w:val="004B0BD9"/>
    <w:rsid w:val="004B35B5"/>
    <w:rsid w:val="004B4377"/>
    <w:rsid w:val="004B4B26"/>
    <w:rsid w:val="004B4CE6"/>
    <w:rsid w:val="004B6A13"/>
    <w:rsid w:val="004B6F19"/>
    <w:rsid w:val="004B770E"/>
    <w:rsid w:val="004B79C5"/>
    <w:rsid w:val="004C03BB"/>
    <w:rsid w:val="004C0FCB"/>
    <w:rsid w:val="004C1D16"/>
    <w:rsid w:val="004C1FA4"/>
    <w:rsid w:val="004C2264"/>
    <w:rsid w:val="004C2373"/>
    <w:rsid w:val="004C2895"/>
    <w:rsid w:val="004C32E8"/>
    <w:rsid w:val="004C4392"/>
    <w:rsid w:val="004C4792"/>
    <w:rsid w:val="004C4C3F"/>
    <w:rsid w:val="004C4CC8"/>
    <w:rsid w:val="004C4EC9"/>
    <w:rsid w:val="004C5D8F"/>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AF"/>
    <w:rsid w:val="004E0374"/>
    <w:rsid w:val="004E0912"/>
    <w:rsid w:val="004E148D"/>
    <w:rsid w:val="004E168D"/>
    <w:rsid w:val="004E2182"/>
    <w:rsid w:val="004E3EAF"/>
    <w:rsid w:val="004E467B"/>
    <w:rsid w:val="004E573E"/>
    <w:rsid w:val="004E59F9"/>
    <w:rsid w:val="004E6967"/>
    <w:rsid w:val="004F0380"/>
    <w:rsid w:val="004F0BDB"/>
    <w:rsid w:val="004F1670"/>
    <w:rsid w:val="004F2939"/>
    <w:rsid w:val="004F56DF"/>
    <w:rsid w:val="004F5C0A"/>
    <w:rsid w:val="004F5EFC"/>
    <w:rsid w:val="004F6336"/>
    <w:rsid w:val="004F717A"/>
    <w:rsid w:val="004F7D2D"/>
    <w:rsid w:val="005013F0"/>
    <w:rsid w:val="00502866"/>
    <w:rsid w:val="00503640"/>
    <w:rsid w:val="00504166"/>
    <w:rsid w:val="005055C9"/>
    <w:rsid w:val="005056E3"/>
    <w:rsid w:val="005059A1"/>
    <w:rsid w:val="005074D6"/>
    <w:rsid w:val="005100BC"/>
    <w:rsid w:val="005129F0"/>
    <w:rsid w:val="005131AE"/>
    <w:rsid w:val="00514BCD"/>
    <w:rsid w:val="00515F46"/>
    <w:rsid w:val="005203DE"/>
    <w:rsid w:val="00520D35"/>
    <w:rsid w:val="0052141D"/>
    <w:rsid w:val="00521DF9"/>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5A98"/>
    <w:rsid w:val="00536851"/>
    <w:rsid w:val="00541A0C"/>
    <w:rsid w:val="005427DF"/>
    <w:rsid w:val="00543B84"/>
    <w:rsid w:val="005457A6"/>
    <w:rsid w:val="005549B1"/>
    <w:rsid w:val="005556FA"/>
    <w:rsid w:val="00557ECD"/>
    <w:rsid w:val="00560703"/>
    <w:rsid w:val="0056188D"/>
    <w:rsid w:val="00562201"/>
    <w:rsid w:val="00563F10"/>
    <w:rsid w:val="005660C7"/>
    <w:rsid w:val="00566834"/>
    <w:rsid w:val="00570234"/>
    <w:rsid w:val="00571213"/>
    <w:rsid w:val="00571768"/>
    <w:rsid w:val="00572390"/>
    <w:rsid w:val="00572ADF"/>
    <w:rsid w:val="005731ED"/>
    <w:rsid w:val="00575812"/>
    <w:rsid w:val="00576102"/>
    <w:rsid w:val="00576C93"/>
    <w:rsid w:val="005823BB"/>
    <w:rsid w:val="00583C5C"/>
    <w:rsid w:val="00585D12"/>
    <w:rsid w:val="005867AF"/>
    <w:rsid w:val="00586BC9"/>
    <w:rsid w:val="0059110C"/>
    <w:rsid w:val="00591127"/>
    <w:rsid w:val="005924E0"/>
    <w:rsid w:val="00593150"/>
    <w:rsid w:val="0059430B"/>
    <w:rsid w:val="005945CF"/>
    <w:rsid w:val="0059615F"/>
    <w:rsid w:val="005976E0"/>
    <w:rsid w:val="005A1490"/>
    <w:rsid w:val="005A333B"/>
    <w:rsid w:val="005A5112"/>
    <w:rsid w:val="005A511A"/>
    <w:rsid w:val="005A67BF"/>
    <w:rsid w:val="005B11A7"/>
    <w:rsid w:val="005B1A24"/>
    <w:rsid w:val="005B1B16"/>
    <w:rsid w:val="005B218D"/>
    <w:rsid w:val="005B23BE"/>
    <w:rsid w:val="005B289D"/>
    <w:rsid w:val="005B36F8"/>
    <w:rsid w:val="005B4622"/>
    <w:rsid w:val="005B5449"/>
    <w:rsid w:val="005B5FCE"/>
    <w:rsid w:val="005B723F"/>
    <w:rsid w:val="005B7DD8"/>
    <w:rsid w:val="005C07DD"/>
    <w:rsid w:val="005C0935"/>
    <w:rsid w:val="005C0EBA"/>
    <w:rsid w:val="005C2B94"/>
    <w:rsid w:val="005C38D1"/>
    <w:rsid w:val="005C3A0A"/>
    <w:rsid w:val="005C4929"/>
    <w:rsid w:val="005C636A"/>
    <w:rsid w:val="005C6EE9"/>
    <w:rsid w:val="005C7890"/>
    <w:rsid w:val="005C7F3D"/>
    <w:rsid w:val="005D08C0"/>
    <w:rsid w:val="005D0E1E"/>
    <w:rsid w:val="005D133A"/>
    <w:rsid w:val="005D2C6E"/>
    <w:rsid w:val="005D4783"/>
    <w:rsid w:val="005D59A6"/>
    <w:rsid w:val="005D7240"/>
    <w:rsid w:val="005E04A0"/>
    <w:rsid w:val="005E2CA1"/>
    <w:rsid w:val="005E4E41"/>
    <w:rsid w:val="005E6BB6"/>
    <w:rsid w:val="005E72C4"/>
    <w:rsid w:val="005F0CC3"/>
    <w:rsid w:val="005F212B"/>
    <w:rsid w:val="005F381E"/>
    <w:rsid w:val="005F3FE7"/>
    <w:rsid w:val="005F47C8"/>
    <w:rsid w:val="005F5346"/>
    <w:rsid w:val="005F627B"/>
    <w:rsid w:val="005F68DB"/>
    <w:rsid w:val="006000F5"/>
    <w:rsid w:val="00600129"/>
    <w:rsid w:val="00600436"/>
    <w:rsid w:val="00600A56"/>
    <w:rsid w:val="00601406"/>
    <w:rsid w:val="0060164A"/>
    <w:rsid w:val="006028E4"/>
    <w:rsid w:val="006029AB"/>
    <w:rsid w:val="00602BD9"/>
    <w:rsid w:val="00602CA6"/>
    <w:rsid w:val="00602F45"/>
    <w:rsid w:val="006032F9"/>
    <w:rsid w:val="00604BDE"/>
    <w:rsid w:val="00605A63"/>
    <w:rsid w:val="00605D12"/>
    <w:rsid w:val="00605D78"/>
    <w:rsid w:val="006075C8"/>
    <w:rsid w:val="00607B0C"/>
    <w:rsid w:val="0061006F"/>
    <w:rsid w:val="006118D0"/>
    <w:rsid w:val="00611EB6"/>
    <w:rsid w:val="0061209C"/>
    <w:rsid w:val="006121C8"/>
    <w:rsid w:val="00612786"/>
    <w:rsid w:val="00614F27"/>
    <w:rsid w:val="00615A36"/>
    <w:rsid w:val="00615FC0"/>
    <w:rsid w:val="00617BC1"/>
    <w:rsid w:val="00620353"/>
    <w:rsid w:val="00621358"/>
    <w:rsid w:val="00621E8D"/>
    <w:rsid w:val="0062224D"/>
    <w:rsid w:val="00622E10"/>
    <w:rsid w:val="00623381"/>
    <w:rsid w:val="00624092"/>
    <w:rsid w:val="006243FF"/>
    <w:rsid w:val="00625BF7"/>
    <w:rsid w:val="0062659D"/>
    <w:rsid w:val="0062786D"/>
    <w:rsid w:val="00630107"/>
    <w:rsid w:val="00630C86"/>
    <w:rsid w:val="0063131D"/>
    <w:rsid w:val="0063351A"/>
    <w:rsid w:val="00633859"/>
    <w:rsid w:val="00633EE4"/>
    <w:rsid w:val="00635422"/>
    <w:rsid w:val="00636265"/>
    <w:rsid w:val="00637823"/>
    <w:rsid w:val="0064059B"/>
    <w:rsid w:val="006418BB"/>
    <w:rsid w:val="00641E76"/>
    <w:rsid w:val="006431D6"/>
    <w:rsid w:val="006454E3"/>
    <w:rsid w:val="00645AEF"/>
    <w:rsid w:val="00645AF1"/>
    <w:rsid w:val="006505D4"/>
    <w:rsid w:val="00652403"/>
    <w:rsid w:val="006526CD"/>
    <w:rsid w:val="00652A5E"/>
    <w:rsid w:val="00654C10"/>
    <w:rsid w:val="00654E16"/>
    <w:rsid w:val="006552C4"/>
    <w:rsid w:val="00655630"/>
    <w:rsid w:val="0065669D"/>
    <w:rsid w:val="00664745"/>
    <w:rsid w:val="00664BB9"/>
    <w:rsid w:val="00665746"/>
    <w:rsid w:val="006666FC"/>
    <w:rsid w:val="00667A26"/>
    <w:rsid w:val="00671CB0"/>
    <w:rsid w:val="006725DB"/>
    <w:rsid w:val="00672806"/>
    <w:rsid w:val="006732E3"/>
    <w:rsid w:val="00673F72"/>
    <w:rsid w:val="0067423E"/>
    <w:rsid w:val="0067520B"/>
    <w:rsid w:val="00677A39"/>
    <w:rsid w:val="0068143A"/>
    <w:rsid w:val="00685BEC"/>
    <w:rsid w:val="00686E74"/>
    <w:rsid w:val="0068711F"/>
    <w:rsid w:val="00687664"/>
    <w:rsid w:val="00687F53"/>
    <w:rsid w:val="00690A4B"/>
    <w:rsid w:val="0069160D"/>
    <w:rsid w:val="00691B26"/>
    <w:rsid w:val="00692624"/>
    <w:rsid w:val="00696648"/>
    <w:rsid w:val="006A3CA3"/>
    <w:rsid w:val="006A40CC"/>
    <w:rsid w:val="006A7902"/>
    <w:rsid w:val="006B003C"/>
    <w:rsid w:val="006B0A9D"/>
    <w:rsid w:val="006B0CD9"/>
    <w:rsid w:val="006B1BFA"/>
    <w:rsid w:val="006B2D90"/>
    <w:rsid w:val="006B49EE"/>
    <w:rsid w:val="006B4BD0"/>
    <w:rsid w:val="006B4E2E"/>
    <w:rsid w:val="006B6AE8"/>
    <w:rsid w:val="006C0E24"/>
    <w:rsid w:val="006C24EE"/>
    <w:rsid w:val="006C3085"/>
    <w:rsid w:val="006C34B3"/>
    <w:rsid w:val="006C3D71"/>
    <w:rsid w:val="006C449C"/>
    <w:rsid w:val="006C6052"/>
    <w:rsid w:val="006C6E4C"/>
    <w:rsid w:val="006C7905"/>
    <w:rsid w:val="006D1982"/>
    <w:rsid w:val="006D1A70"/>
    <w:rsid w:val="006D2274"/>
    <w:rsid w:val="006D60D9"/>
    <w:rsid w:val="006D6AF6"/>
    <w:rsid w:val="006D798D"/>
    <w:rsid w:val="006D7BC4"/>
    <w:rsid w:val="006E052B"/>
    <w:rsid w:val="006E1876"/>
    <w:rsid w:val="006E4C29"/>
    <w:rsid w:val="006E6158"/>
    <w:rsid w:val="006E61C5"/>
    <w:rsid w:val="006F0823"/>
    <w:rsid w:val="006F0968"/>
    <w:rsid w:val="006F0E3F"/>
    <w:rsid w:val="006F1795"/>
    <w:rsid w:val="006F26E0"/>
    <w:rsid w:val="006F2EFD"/>
    <w:rsid w:val="006F462E"/>
    <w:rsid w:val="006F4F7B"/>
    <w:rsid w:val="006F5700"/>
    <w:rsid w:val="007007C0"/>
    <w:rsid w:val="00700897"/>
    <w:rsid w:val="00701518"/>
    <w:rsid w:val="00702538"/>
    <w:rsid w:val="00704A98"/>
    <w:rsid w:val="00705247"/>
    <w:rsid w:val="00706494"/>
    <w:rsid w:val="00714217"/>
    <w:rsid w:val="00714E39"/>
    <w:rsid w:val="007153A9"/>
    <w:rsid w:val="007153D8"/>
    <w:rsid w:val="00716426"/>
    <w:rsid w:val="0071667D"/>
    <w:rsid w:val="00716DDA"/>
    <w:rsid w:val="00716E4D"/>
    <w:rsid w:val="0071706B"/>
    <w:rsid w:val="00720722"/>
    <w:rsid w:val="00721457"/>
    <w:rsid w:val="00721A36"/>
    <w:rsid w:val="00723FF4"/>
    <w:rsid w:val="00724E51"/>
    <w:rsid w:val="0072513E"/>
    <w:rsid w:val="0072705D"/>
    <w:rsid w:val="0073015D"/>
    <w:rsid w:val="00731DD0"/>
    <w:rsid w:val="007328FF"/>
    <w:rsid w:val="0073394F"/>
    <w:rsid w:val="007340BA"/>
    <w:rsid w:val="0073425E"/>
    <w:rsid w:val="00734913"/>
    <w:rsid w:val="00735A19"/>
    <w:rsid w:val="00736EE4"/>
    <w:rsid w:val="00737245"/>
    <w:rsid w:val="00737688"/>
    <w:rsid w:val="00737B55"/>
    <w:rsid w:val="007404B2"/>
    <w:rsid w:val="007405CB"/>
    <w:rsid w:val="00740D65"/>
    <w:rsid w:val="00741008"/>
    <w:rsid w:val="0074221B"/>
    <w:rsid w:val="00743B8B"/>
    <w:rsid w:val="00743D43"/>
    <w:rsid w:val="007453CE"/>
    <w:rsid w:val="00746E59"/>
    <w:rsid w:val="007527AA"/>
    <w:rsid w:val="00753436"/>
    <w:rsid w:val="00754CA3"/>
    <w:rsid w:val="00756687"/>
    <w:rsid w:val="00756D4F"/>
    <w:rsid w:val="00760DF8"/>
    <w:rsid w:val="007634CE"/>
    <w:rsid w:val="007649BB"/>
    <w:rsid w:val="00764C5A"/>
    <w:rsid w:val="00765777"/>
    <w:rsid w:val="00765968"/>
    <w:rsid w:val="00765E7D"/>
    <w:rsid w:val="00765F43"/>
    <w:rsid w:val="00766C72"/>
    <w:rsid w:val="00771414"/>
    <w:rsid w:val="007717E5"/>
    <w:rsid w:val="0077529F"/>
    <w:rsid w:val="00776DF1"/>
    <w:rsid w:val="00776FC4"/>
    <w:rsid w:val="00777571"/>
    <w:rsid w:val="00781327"/>
    <w:rsid w:val="007825DE"/>
    <w:rsid w:val="007828BF"/>
    <w:rsid w:val="00784566"/>
    <w:rsid w:val="00785B15"/>
    <w:rsid w:val="00786677"/>
    <w:rsid w:val="0079081A"/>
    <w:rsid w:val="00791BD5"/>
    <w:rsid w:val="007929EB"/>
    <w:rsid w:val="00795C6D"/>
    <w:rsid w:val="007963E5"/>
    <w:rsid w:val="007A23CB"/>
    <w:rsid w:val="007A2475"/>
    <w:rsid w:val="007A2A11"/>
    <w:rsid w:val="007A2FB5"/>
    <w:rsid w:val="007A36C1"/>
    <w:rsid w:val="007A4848"/>
    <w:rsid w:val="007A7333"/>
    <w:rsid w:val="007B10F9"/>
    <w:rsid w:val="007B327F"/>
    <w:rsid w:val="007B4E23"/>
    <w:rsid w:val="007B4EE0"/>
    <w:rsid w:val="007B5570"/>
    <w:rsid w:val="007B5A58"/>
    <w:rsid w:val="007B5EED"/>
    <w:rsid w:val="007B6C45"/>
    <w:rsid w:val="007B75C3"/>
    <w:rsid w:val="007C074D"/>
    <w:rsid w:val="007C135D"/>
    <w:rsid w:val="007C2CD9"/>
    <w:rsid w:val="007C75BF"/>
    <w:rsid w:val="007D00C8"/>
    <w:rsid w:val="007D0BF2"/>
    <w:rsid w:val="007D0F3E"/>
    <w:rsid w:val="007D0FF7"/>
    <w:rsid w:val="007D1749"/>
    <w:rsid w:val="007D1923"/>
    <w:rsid w:val="007D1E2D"/>
    <w:rsid w:val="007D2E97"/>
    <w:rsid w:val="007D38CD"/>
    <w:rsid w:val="007D6816"/>
    <w:rsid w:val="007D70D2"/>
    <w:rsid w:val="007D7872"/>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DC0"/>
    <w:rsid w:val="00802619"/>
    <w:rsid w:val="00802625"/>
    <w:rsid w:val="00802905"/>
    <w:rsid w:val="00803CA7"/>
    <w:rsid w:val="00806734"/>
    <w:rsid w:val="00810FC7"/>
    <w:rsid w:val="00812161"/>
    <w:rsid w:val="008129ED"/>
    <w:rsid w:val="00814FEC"/>
    <w:rsid w:val="00815006"/>
    <w:rsid w:val="008150D6"/>
    <w:rsid w:val="00815DD2"/>
    <w:rsid w:val="008165A2"/>
    <w:rsid w:val="00816EEF"/>
    <w:rsid w:val="00817606"/>
    <w:rsid w:val="0082113C"/>
    <w:rsid w:val="008219B1"/>
    <w:rsid w:val="00822843"/>
    <w:rsid w:val="0082345F"/>
    <w:rsid w:val="00824AAD"/>
    <w:rsid w:val="00824F75"/>
    <w:rsid w:val="00825A94"/>
    <w:rsid w:val="00825E4F"/>
    <w:rsid w:val="00826A43"/>
    <w:rsid w:val="008270E3"/>
    <w:rsid w:val="008312FA"/>
    <w:rsid w:val="0083151B"/>
    <w:rsid w:val="00831576"/>
    <w:rsid w:val="00833468"/>
    <w:rsid w:val="0083503E"/>
    <w:rsid w:val="00835719"/>
    <w:rsid w:val="00835DFB"/>
    <w:rsid w:val="0083738A"/>
    <w:rsid w:val="0084119B"/>
    <w:rsid w:val="00841F84"/>
    <w:rsid w:val="00842069"/>
    <w:rsid w:val="00842109"/>
    <w:rsid w:val="00842E81"/>
    <w:rsid w:val="0084318F"/>
    <w:rsid w:val="00843F31"/>
    <w:rsid w:val="00844B19"/>
    <w:rsid w:val="00845906"/>
    <w:rsid w:val="008466CF"/>
    <w:rsid w:val="008467F4"/>
    <w:rsid w:val="00847377"/>
    <w:rsid w:val="00847829"/>
    <w:rsid w:val="00847C0A"/>
    <w:rsid w:val="0085198C"/>
    <w:rsid w:val="00851A73"/>
    <w:rsid w:val="008532DA"/>
    <w:rsid w:val="008533B5"/>
    <w:rsid w:val="00853C3E"/>
    <w:rsid w:val="00854E9B"/>
    <w:rsid w:val="00856732"/>
    <w:rsid w:val="00856A15"/>
    <w:rsid w:val="0085707E"/>
    <w:rsid w:val="00857FC8"/>
    <w:rsid w:val="008614A0"/>
    <w:rsid w:val="0086348F"/>
    <w:rsid w:val="00863499"/>
    <w:rsid w:val="00863D54"/>
    <w:rsid w:val="0086495C"/>
    <w:rsid w:val="00864F7F"/>
    <w:rsid w:val="008660DA"/>
    <w:rsid w:val="00874D10"/>
    <w:rsid w:val="008761FD"/>
    <w:rsid w:val="00876C39"/>
    <w:rsid w:val="0088007F"/>
    <w:rsid w:val="00880811"/>
    <w:rsid w:val="00880ECA"/>
    <w:rsid w:val="00881E66"/>
    <w:rsid w:val="00882317"/>
    <w:rsid w:val="00883EAE"/>
    <w:rsid w:val="00884169"/>
    <w:rsid w:val="008843C3"/>
    <w:rsid w:val="00884C90"/>
    <w:rsid w:val="0088658E"/>
    <w:rsid w:val="00886A0F"/>
    <w:rsid w:val="00887C3C"/>
    <w:rsid w:val="00890E93"/>
    <w:rsid w:val="0089138A"/>
    <w:rsid w:val="008913F4"/>
    <w:rsid w:val="008925D1"/>
    <w:rsid w:val="0089366C"/>
    <w:rsid w:val="00893D77"/>
    <w:rsid w:val="00896283"/>
    <w:rsid w:val="0089677B"/>
    <w:rsid w:val="00896B65"/>
    <w:rsid w:val="00897E7B"/>
    <w:rsid w:val="008A0E34"/>
    <w:rsid w:val="008A1405"/>
    <w:rsid w:val="008A1524"/>
    <w:rsid w:val="008A4649"/>
    <w:rsid w:val="008A4DB2"/>
    <w:rsid w:val="008A626F"/>
    <w:rsid w:val="008A6D97"/>
    <w:rsid w:val="008A7451"/>
    <w:rsid w:val="008B02F5"/>
    <w:rsid w:val="008B049F"/>
    <w:rsid w:val="008B1078"/>
    <w:rsid w:val="008B26AC"/>
    <w:rsid w:val="008B276C"/>
    <w:rsid w:val="008B2ABE"/>
    <w:rsid w:val="008B2D5C"/>
    <w:rsid w:val="008B38CB"/>
    <w:rsid w:val="008B3FCA"/>
    <w:rsid w:val="008B4620"/>
    <w:rsid w:val="008B53F5"/>
    <w:rsid w:val="008B55D3"/>
    <w:rsid w:val="008B60AE"/>
    <w:rsid w:val="008B637F"/>
    <w:rsid w:val="008C11D8"/>
    <w:rsid w:val="008C1899"/>
    <w:rsid w:val="008C44B0"/>
    <w:rsid w:val="008C5AA8"/>
    <w:rsid w:val="008D008C"/>
    <w:rsid w:val="008D03BE"/>
    <w:rsid w:val="008D0F14"/>
    <w:rsid w:val="008D10AA"/>
    <w:rsid w:val="008D1B00"/>
    <w:rsid w:val="008D4D57"/>
    <w:rsid w:val="008D50DF"/>
    <w:rsid w:val="008D581B"/>
    <w:rsid w:val="008D662D"/>
    <w:rsid w:val="008D6B0A"/>
    <w:rsid w:val="008D7B9A"/>
    <w:rsid w:val="008E09FF"/>
    <w:rsid w:val="008E1437"/>
    <w:rsid w:val="008E252F"/>
    <w:rsid w:val="008E2B7B"/>
    <w:rsid w:val="008E5ED7"/>
    <w:rsid w:val="008F01A1"/>
    <w:rsid w:val="008F4F1E"/>
    <w:rsid w:val="008F5A62"/>
    <w:rsid w:val="008F6009"/>
    <w:rsid w:val="008F66DA"/>
    <w:rsid w:val="00900005"/>
    <w:rsid w:val="00900E9E"/>
    <w:rsid w:val="009010B8"/>
    <w:rsid w:val="009013AA"/>
    <w:rsid w:val="009059DA"/>
    <w:rsid w:val="009059F0"/>
    <w:rsid w:val="00906360"/>
    <w:rsid w:val="00906A65"/>
    <w:rsid w:val="00906C84"/>
    <w:rsid w:val="00907698"/>
    <w:rsid w:val="00907F69"/>
    <w:rsid w:val="00912426"/>
    <w:rsid w:val="00912614"/>
    <w:rsid w:val="009132BC"/>
    <w:rsid w:val="00913FE6"/>
    <w:rsid w:val="00915326"/>
    <w:rsid w:val="00915ACA"/>
    <w:rsid w:val="00915F84"/>
    <w:rsid w:val="00916D86"/>
    <w:rsid w:val="009170A5"/>
    <w:rsid w:val="00920834"/>
    <w:rsid w:val="00920A0F"/>
    <w:rsid w:val="00921278"/>
    <w:rsid w:val="009213EC"/>
    <w:rsid w:val="009214A3"/>
    <w:rsid w:val="0092153D"/>
    <w:rsid w:val="00925386"/>
    <w:rsid w:val="00927048"/>
    <w:rsid w:val="00930B22"/>
    <w:rsid w:val="009315C4"/>
    <w:rsid w:val="009321E3"/>
    <w:rsid w:val="00932712"/>
    <w:rsid w:val="009339AD"/>
    <w:rsid w:val="00934716"/>
    <w:rsid w:val="00936461"/>
    <w:rsid w:val="00936BF4"/>
    <w:rsid w:val="009403B9"/>
    <w:rsid w:val="00941366"/>
    <w:rsid w:val="00942287"/>
    <w:rsid w:val="009424C4"/>
    <w:rsid w:val="009429A7"/>
    <w:rsid w:val="00942B73"/>
    <w:rsid w:val="0094389A"/>
    <w:rsid w:val="00943A02"/>
    <w:rsid w:val="009440B5"/>
    <w:rsid w:val="00945568"/>
    <w:rsid w:val="009459BC"/>
    <w:rsid w:val="00946675"/>
    <w:rsid w:val="00946BA9"/>
    <w:rsid w:val="00947A13"/>
    <w:rsid w:val="009506F5"/>
    <w:rsid w:val="009508A1"/>
    <w:rsid w:val="00951979"/>
    <w:rsid w:val="00952595"/>
    <w:rsid w:val="009532CD"/>
    <w:rsid w:val="00953817"/>
    <w:rsid w:val="00953A58"/>
    <w:rsid w:val="00955BC3"/>
    <w:rsid w:val="00963B38"/>
    <w:rsid w:val="00963E55"/>
    <w:rsid w:val="009647EB"/>
    <w:rsid w:val="009702AF"/>
    <w:rsid w:val="00970459"/>
    <w:rsid w:val="00970AAF"/>
    <w:rsid w:val="00970C5F"/>
    <w:rsid w:val="00971DA9"/>
    <w:rsid w:val="0097271C"/>
    <w:rsid w:val="00972929"/>
    <w:rsid w:val="00972BB9"/>
    <w:rsid w:val="00972D9B"/>
    <w:rsid w:val="00973203"/>
    <w:rsid w:val="0097513E"/>
    <w:rsid w:val="0097550A"/>
    <w:rsid w:val="0097594F"/>
    <w:rsid w:val="00975C86"/>
    <w:rsid w:val="00976C8B"/>
    <w:rsid w:val="00977208"/>
    <w:rsid w:val="009801F9"/>
    <w:rsid w:val="00980E5F"/>
    <w:rsid w:val="00982149"/>
    <w:rsid w:val="00982883"/>
    <w:rsid w:val="009857B8"/>
    <w:rsid w:val="00987494"/>
    <w:rsid w:val="00990477"/>
    <w:rsid w:val="00991257"/>
    <w:rsid w:val="0099330F"/>
    <w:rsid w:val="009934F5"/>
    <w:rsid w:val="00993ABD"/>
    <w:rsid w:val="00994DCD"/>
    <w:rsid w:val="00995808"/>
    <w:rsid w:val="00995BC7"/>
    <w:rsid w:val="009974A0"/>
    <w:rsid w:val="009A266B"/>
    <w:rsid w:val="009A27EE"/>
    <w:rsid w:val="009A3243"/>
    <w:rsid w:val="009A36AD"/>
    <w:rsid w:val="009A408B"/>
    <w:rsid w:val="009A40FD"/>
    <w:rsid w:val="009A4600"/>
    <w:rsid w:val="009A626F"/>
    <w:rsid w:val="009A7459"/>
    <w:rsid w:val="009A7658"/>
    <w:rsid w:val="009B3957"/>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3504"/>
    <w:rsid w:val="009D39CD"/>
    <w:rsid w:val="009D4093"/>
    <w:rsid w:val="009D61E3"/>
    <w:rsid w:val="009D76AC"/>
    <w:rsid w:val="009D79E8"/>
    <w:rsid w:val="009E0CF9"/>
    <w:rsid w:val="009E28C6"/>
    <w:rsid w:val="009E2B32"/>
    <w:rsid w:val="009E3D7D"/>
    <w:rsid w:val="009E3F96"/>
    <w:rsid w:val="009E48CB"/>
    <w:rsid w:val="009E4B36"/>
    <w:rsid w:val="009E656E"/>
    <w:rsid w:val="009E710E"/>
    <w:rsid w:val="009E7F7C"/>
    <w:rsid w:val="009F161D"/>
    <w:rsid w:val="009F3EB5"/>
    <w:rsid w:val="009F4299"/>
    <w:rsid w:val="009F51E3"/>
    <w:rsid w:val="009F6854"/>
    <w:rsid w:val="009F6DB2"/>
    <w:rsid w:val="009F73D1"/>
    <w:rsid w:val="009F7F4F"/>
    <w:rsid w:val="00A0116B"/>
    <w:rsid w:val="00A018B9"/>
    <w:rsid w:val="00A0409D"/>
    <w:rsid w:val="00A05862"/>
    <w:rsid w:val="00A05FB2"/>
    <w:rsid w:val="00A0624A"/>
    <w:rsid w:val="00A0669F"/>
    <w:rsid w:val="00A070C3"/>
    <w:rsid w:val="00A074A6"/>
    <w:rsid w:val="00A105A2"/>
    <w:rsid w:val="00A10909"/>
    <w:rsid w:val="00A11D50"/>
    <w:rsid w:val="00A1231D"/>
    <w:rsid w:val="00A12ECB"/>
    <w:rsid w:val="00A1544C"/>
    <w:rsid w:val="00A16752"/>
    <w:rsid w:val="00A20733"/>
    <w:rsid w:val="00A2206B"/>
    <w:rsid w:val="00A22491"/>
    <w:rsid w:val="00A226B9"/>
    <w:rsid w:val="00A23C77"/>
    <w:rsid w:val="00A23D25"/>
    <w:rsid w:val="00A24FEB"/>
    <w:rsid w:val="00A257FE"/>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55D"/>
    <w:rsid w:val="00A436B4"/>
    <w:rsid w:val="00A44166"/>
    <w:rsid w:val="00A45383"/>
    <w:rsid w:val="00A459EC"/>
    <w:rsid w:val="00A45F6C"/>
    <w:rsid w:val="00A4676E"/>
    <w:rsid w:val="00A4705E"/>
    <w:rsid w:val="00A50688"/>
    <w:rsid w:val="00A51457"/>
    <w:rsid w:val="00A53753"/>
    <w:rsid w:val="00A56239"/>
    <w:rsid w:val="00A56DF9"/>
    <w:rsid w:val="00A60D79"/>
    <w:rsid w:val="00A61856"/>
    <w:rsid w:val="00A62752"/>
    <w:rsid w:val="00A64F47"/>
    <w:rsid w:val="00A666D5"/>
    <w:rsid w:val="00A70794"/>
    <w:rsid w:val="00A71117"/>
    <w:rsid w:val="00A7219F"/>
    <w:rsid w:val="00A736FA"/>
    <w:rsid w:val="00A738A0"/>
    <w:rsid w:val="00A7545A"/>
    <w:rsid w:val="00A75C69"/>
    <w:rsid w:val="00A770D7"/>
    <w:rsid w:val="00A77FA6"/>
    <w:rsid w:val="00A80F6A"/>
    <w:rsid w:val="00A81EBF"/>
    <w:rsid w:val="00A827DF"/>
    <w:rsid w:val="00A8293C"/>
    <w:rsid w:val="00A83B36"/>
    <w:rsid w:val="00A85A08"/>
    <w:rsid w:val="00A94434"/>
    <w:rsid w:val="00A95F46"/>
    <w:rsid w:val="00A974EA"/>
    <w:rsid w:val="00A97848"/>
    <w:rsid w:val="00A97B19"/>
    <w:rsid w:val="00AA076D"/>
    <w:rsid w:val="00AA2EAB"/>
    <w:rsid w:val="00AA547D"/>
    <w:rsid w:val="00AA6C7F"/>
    <w:rsid w:val="00AA6EC6"/>
    <w:rsid w:val="00AA7D32"/>
    <w:rsid w:val="00AB1010"/>
    <w:rsid w:val="00AB23D8"/>
    <w:rsid w:val="00AB3395"/>
    <w:rsid w:val="00AB4121"/>
    <w:rsid w:val="00AB4998"/>
    <w:rsid w:val="00AB618E"/>
    <w:rsid w:val="00AB68FC"/>
    <w:rsid w:val="00AC061D"/>
    <w:rsid w:val="00AC173F"/>
    <w:rsid w:val="00AC41FA"/>
    <w:rsid w:val="00AC4C05"/>
    <w:rsid w:val="00AC6F76"/>
    <w:rsid w:val="00AC75BC"/>
    <w:rsid w:val="00AD2EA6"/>
    <w:rsid w:val="00AD3B74"/>
    <w:rsid w:val="00AD5183"/>
    <w:rsid w:val="00AE2AE4"/>
    <w:rsid w:val="00AE2C9E"/>
    <w:rsid w:val="00AE3480"/>
    <w:rsid w:val="00AE52C2"/>
    <w:rsid w:val="00AE5FDB"/>
    <w:rsid w:val="00AE745A"/>
    <w:rsid w:val="00AE7F1E"/>
    <w:rsid w:val="00AF0BAB"/>
    <w:rsid w:val="00AF1395"/>
    <w:rsid w:val="00AF19E9"/>
    <w:rsid w:val="00AF3594"/>
    <w:rsid w:val="00AF4133"/>
    <w:rsid w:val="00AF4716"/>
    <w:rsid w:val="00AF538F"/>
    <w:rsid w:val="00AF7B03"/>
    <w:rsid w:val="00B015D5"/>
    <w:rsid w:val="00B01A33"/>
    <w:rsid w:val="00B03C85"/>
    <w:rsid w:val="00B04BBA"/>
    <w:rsid w:val="00B10993"/>
    <w:rsid w:val="00B12D88"/>
    <w:rsid w:val="00B13372"/>
    <w:rsid w:val="00B140F9"/>
    <w:rsid w:val="00B14243"/>
    <w:rsid w:val="00B153BC"/>
    <w:rsid w:val="00B16E80"/>
    <w:rsid w:val="00B22145"/>
    <w:rsid w:val="00B22FE3"/>
    <w:rsid w:val="00B23C50"/>
    <w:rsid w:val="00B23DA2"/>
    <w:rsid w:val="00B25BE8"/>
    <w:rsid w:val="00B27A68"/>
    <w:rsid w:val="00B30DC1"/>
    <w:rsid w:val="00B30DD9"/>
    <w:rsid w:val="00B31607"/>
    <w:rsid w:val="00B318C9"/>
    <w:rsid w:val="00B31D58"/>
    <w:rsid w:val="00B320E1"/>
    <w:rsid w:val="00B33487"/>
    <w:rsid w:val="00B33879"/>
    <w:rsid w:val="00B3431D"/>
    <w:rsid w:val="00B34F8F"/>
    <w:rsid w:val="00B372DE"/>
    <w:rsid w:val="00B401AA"/>
    <w:rsid w:val="00B407BB"/>
    <w:rsid w:val="00B4118D"/>
    <w:rsid w:val="00B41559"/>
    <w:rsid w:val="00B42F65"/>
    <w:rsid w:val="00B43A68"/>
    <w:rsid w:val="00B44644"/>
    <w:rsid w:val="00B4596F"/>
    <w:rsid w:val="00B46EAE"/>
    <w:rsid w:val="00B47797"/>
    <w:rsid w:val="00B47B7F"/>
    <w:rsid w:val="00B47D7D"/>
    <w:rsid w:val="00B50227"/>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4997"/>
    <w:rsid w:val="00B75183"/>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840"/>
    <w:rsid w:val="00BB45AF"/>
    <w:rsid w:val="00BB4E88"/>
    <w:rsid w:val="00BB5DFE"/>
    <w:rsid w:val="00BB6621"/>
    <w:rsid w:val="00BB7F7A"/>
    <w:rsid w:val="00BC02AC"/>
    <w:rsid w:val="00BC21C5"/>
    <w:rsid w:val="00BD2F49"/>
    <w:rsid w:val="00BD36D7"/>
    <w:rsid w:val="00BD44FB"/>
    <w:rsid w:val="00BD4BC4"/>
    <w:rsid w:val="00BD580D"/>
    <w:rsid w:val="00BD799E"/>
    <w:rsid w:val="00BD7C17"/>
    <w:rsid w:val="00BE00E6"/>
    <w:rsid w:val="00BE0505"/>
    <w:rsid w:val="00BE0875"/>
    <w:rsid w:val="00BE0955"/>
    <w:rsid w:val="00BE1D4F"/>
    <w:rsid w:val="00BE218A"/>
    <w:rsid w:val="00BE2282"/>
    <w:rsid w:val="00BE2A0A"/>
    <w:rsid w:val="00BE2BEF"/>
    <w:rsid w:val="00BE331D"/>
    <w:rsid w:val="00BE3984"/>
    <w:rsid w:val="00BE49FE"/>
    <w:rsid w:val="00BE51A6"/>
    <w:rsid w:val="00BE62A0"/>
    <w:rsid w:val="00BE6A5C"/>
    <w:rsid w:val="00BE6BAB"/>
    <w:rsid w:val="00BE6EB4"/>
    <w:rsid w:val="00BF3B02"/>
    <w:rsid w:val="00BF433C"/>
    <w:rsid w:val="00BF516B"/>
    <w:rsid w:val="00BF5BAC"/>
    <w:rsid w:val="00BF626A"/>
    <w:rsid w:val="00BF71F1"/>
    <w:rsid w:val="00BF72A5"/>
    <w:rsid w:val="00C00173"/>
    <w:rsid w:val="00C002C1"/>
    <w:rsid w:val="00C00CD9"/>
    <w:rsid w:val="00C019F9"/>
    <w:rsid w:val="00C02605"/>
    <w:rsid w:val="00C027D9"/>
    <w:rsid w:val="00C0455F"/>
    <w:rsid w:val="00C07A7D"/>
    <w:rsid w:val="00C10DB7"/>
    <w:rsid w:val="00C113BF"/>
    <w:rsid w:val="00C12743"/>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6D5"/>
    <w:rsid w:val="00C37812"/>
    <w:rsid w:val="00C40286"/>
    <w:rsid w:val="00C40385"/>
    <w:rsid w:val="00C4295E"/>
    <w:rsid w:val="00C43307"/>
    <w:rsid w:val="00C438B4"/>
    <w:rsid w:val="00C47E60"/>
    <w:rsid w:val="00C50019"/>
    <w:rsid w:val="00C513E4"/>
    <w:rsid w:val="00C52E3F"/>
    <w:rsid w:val="00C549F2"/>
    <w:rsid w:val="00C552D5"/>
    <w:rsid w:val="00C56D8C"/>
    <w:rsid w:val="00C57A0F"/>
    <w:rsid w:val="00C57FD0"/>
    <w:rsid w:val="00C62AD2"/>
    <w:rsid w:val="00C65092"/>
    <w:rsid w:val="00C66599"/>
    <w:rsid w:val="00C71AE0"/>
    <w:rsid w:val="00C73EC0"/>
    <w:rsid w:val="00C73F05"/>
    <w:rsid w:val="00C73F6E"/>
    <w:rsid w:val="00C74681"/>
    <w:rsid w:val="00C75459"/>
    <w:rsid w:val="00C7605D"/>
    <w:rsid w:val="00C76357"/>
    <w:rsid w:val="00C76E27"/>
    <w:rsid w:val="00C77058"/>
    <w:rsid w:val="00C80457"/>
    <w:rsid w:val="00C80CC4"/>
    <w:rsid w:val="00C8187F"/>
    <w:rsid w:val="00C821BE"/>
    <w:rsid w:val="00C82E85"/>
    <w:rsid w:val="00C83D65"/>
    <w:rsid w:val="00C8455C"/>
    <w:rsid w:val="00C85A3F"/>
    <w:rsid w:val="00C866E5"/>
    <w:rsid w:val="00C8687E"/>
    <w:rsid w:val="00C86980"/>
    <w:rsid w:val="00C86CB6"/>
    <w:rsid w:val="00C87A38"/>
    <w:rsid w:val="00C933C4"/>
    <w:rsid w:val="00C93947"/>
    <w:rsid w:val="00C957A4"/>
    <w:rsid w:val="00C973A7"/>
    <w:rsid w:val="00C97729"/>
    <w:rsid w:val="00CA28B1"/>
    <w:rsid w:val="00CA3E96"/>
    <w:rsid w:val="00CA40B5"/>
    <w:rsid w:val="00CA40EA"/>
    <w:rsid w:val="00CA4757"/>
    <w:rsid w:val="00CA5683"/>
    <w:rsid w:val="00CA5C32"/>
    <w:rsid w:val="00CA5C43"/>
    <w:rsid w:val="00CA613C"/>
    <w:rsid w:val="00CA6C2E"/>
    <w:rsid w:val="00CA6F70"/>
    <w:rsid w:val="00CA75D8"/>
    <w:rsid w:val="00CA7E74"/>
    <w:rsid w:val="00CB0B10"/>
    <w:rsid w:val="00CB10BE"/>
    <w:rsid w:val="00CB18A5"/>
    <w:rsid w:val="00CB1CBC"/>
    <w:rsid w:val="00CB23B5"/>
    <w:rsid w:val="00CB23FD"/>
    <w:rsid w:val="00CB32CB"/>
    <w:rsid w:val="00CB7C08"/>
    <w:rsid w:val="00CB7EF2"/>
    <w:rsid w:val="00CC1546"/>
    <w:rsid w:val="00CC2C92"/>
    <w:rsid w:val="00CC3DEA"/>
    <w:rsid w:val="00CC5C87"/>
    <w:rsid w:val="00CC6CBC"/>
    <w:rsid w:val="00CD0279"/>
    <w:rsid w:val="00CD03D0"/>
    <w:rsid w:val="00CD18B6"/>
    <w:rsid w:val="00CD69A3"/>
    <w:rsid w:val="00CD7C60"/>
    <w:rsid w:val="00CD7D82"/>
    <w:rsid w:val="00CE2BF5"/>
    <w:rsid w:val="00CE31F4"/>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570"/>
    <w:rsid w:val="00D06D9E"/>
    <w:rsid w:val="00D10BE5"/>
    <w:rsid w:val="00D14C63"/>
    <w:rsid w:val="00D14CAA"/>
    <w:rsid w:val="00D17A9A"/>
    <w:rsid w:val="00D17F96"/>
    <w:rsid w:val="00D20624"/>
    <w:rsid w:val="00D20A38"/>
    <w:rsid w:val="00D21A01"/>
    <w:rsid w:val="00D2383F"/>
    <w:rsid w:val="00D24DCC"/>
    <w:rsid w:val="00D26E85"/>
    <w:rsid w:val="00D27E7E"/>
    <w:rsid w:val="00D31149"/>
    <w:rsid w:val="00D314C2"/>
    <w:rsid w:val="00D31940"/>
    <w:rsid w:val="00D32A06"/>
    <w:rsid w:val="00D33004"/>
    <w:rsid w:val="00D349C1"/>
    <w:rsid w:val="00D36FA4"/>
    <w:rsid w:val="00D37519"/>
    <w:rsid w:val="00D37D6A"/>
    <w:rsid w:val="00D40D8F"/>
    <w:rsid w:val="00D4170D"/>
    <w:rsid w:val="00D42311"/>
    <w:rsid w:val="00D43A0B"/>
    <w:rsid w:val="00D440B7"/>
    <w:rsid w:val="00D45BD6"/>
    <w:rsid w:val="00D474A6"/>
    <w:rsid w:val="00D52E03"/>
    <w:rsid w:val="00D53A56"/>
    <w:rsid w:val="00D540CC"/>
    <w:rsid w:val="00D54956"/>
    <w:rsid w:val="00D556A2"/>
    <w:rsid w:val="00D55A71"/>
    <w:rsid w:val="00D573EA"/>
    <w:rsid w:val="00D57FB1"/>
    <w:rsid w:val="00D612AE"/>
    <w:rsid w:val="00D62B52"/>
    <w:rsid w:val="00D6417A"/>
    <w:rsid w:val="00D65730"/>
    <w:rsid w:val="00D65841"/>
    <w:rsid w:val="00D65984"/>
    <w:rsid w:val="00D67FD9"/>
    <w:rsid w:val="00D7058D"/>
    <w:rsid w:val="00D729F6"/>
    <w:rsid w:val="00D74172"/>
    <w:rsid w:val="00D76A82"/>
    <w:rsid w:val="00D76CB5"/>
    <w:rsid w:val="00D773AC"/>
    <w:rsid w:val="00D80179"/>
    <w:rsid w:val="00D80D74"/>
    <w:rsid w:val="00D81D79"/>
    <w:rsid w:val="00D85F5D"/>
    <w:rsid w:val="00D87ACB"/>
    <w:rsid w:val="00D91B28"/>
    <w:rsid w:val="00D96041"/>
    <w:rsid w:val="00D970AA"/>
    <w:rsid w:val="00DA2260"/>
    <w:rsid w:val="00DA3A97"/>
    <w:rsid w:val="00DA71EC"/>
    <w:rsid w:val="00DA7CFC"/>
    <w:rsid w:val="00DB0C0E"/>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E1C"/>
    <w:rsid w:val="00DD7AEB"/>
    <w:rsid w:val="00DE1AA3"/>
    <w:rsid w:val="00DE2211"/>
    <w:rsid w:val="00DE2E00"/>
    <w:rsid w:val="00DE2E6F"/>
    <w:rsid w:val="00DE4797"/>
    <w:rsid w:val="00DE4EEF"/>
    <w:rsid w:val="00DE54DB"/>
    <w:rsid w:val="00DE7DE5"/>
    <w:rsid w:val="00DF1D8D"/>
    <w:rsid w:val="00DF2828"/>
    <w:rsid w:val="00DF3548"/>
    <w:rsid w:val="00DF56D3"/>
    <w:rsid w:val="00DF65BF"/>
    <w:rsid w:val="00DF7F02"/>
    <w:rsid w:val="00E00BCC"/>
    <w:rsid w:val="00E021ED"/>
    <w:rsid w:val="00E0267B"/>
    <w:rsid w:val="00E051C0"/>
    <w:rsid w:val="00E06545"/>
    <w:rsid w:val="00E06A8B"/>
    <w:rsid w:val="00E10068"/>
    <w:rsid w:val="00E1211A"/>
    <w:rsid w:val="00E1270B"/>
    <w:rsid w:val="00E12DA2"/>
    <w:rsid w:val="00E14347"/>
    <w:rsid w:val="00E14A07"/>
    <w:rsid w:val="00E16616"/>
    <w:rsid w:val="00E16CFA"/>
    <w:rsid w:val="00E17E08"/>
    <w:rsid w:val="00E17E91"/>
    <w:rsid w:val="00E211B9"/>
    <w:rsid w:val="00E21AF8"/>
    <w:rsid w:val="00E22ABE"/>
    <w:rsid w:val="00E22DB2"/>
    <w:rsid w:val="00E23081"/>
    <w:rsid w:val="00E25969"/>
    <w:rsid w:val="00E261E3"/>
    <w:rsid w:val="00E26C89"/>
    <w:rsid w:val="00E27FAF"/>
    <w:rsid w:val="00E31BBD"/>
    <w:rsid w:val="00E33C0E"/>
    <w:rsid w:val="00E34223"/>
    <w:rsid w:val="00E3544C"/>
    <w:rsid w:val="00E365C6"/>
    <w:rsid w:val="00E37793"/>
    <w:rsid w:val="00E377B0"/>
    <w:rsid w:val="00E41EAA"/>
    <w:rsid w:val="00E43B15"/>
    <w:rsid w:val="00E440F8"/>
    <w:rsid w:val="00E443DD"/>
    <w:rsid w:val="00E44AA2"/>
    <w:rsid w:val="00E46173"/>
    <w:rsid w:val="00E46584"/>
    <w:rsid w:val="00E46844"/>
    <w:rsid w:val="00E47569"/>
    <w:rsid w:val="00E500E9"/>
    <w:rsid w:val="00E518D8"/>
    <w:rsid w:val="00E52B72"/>
    <w:rsid w:val="00E541C6"/>
    <w:rsid w:val="00E54302"/>
    <w:rsid w:val="00E60739"/>
    <w:rsid w:val="00E60E77"/>
    <w:rsid w:val="00E61DE6"/>
    <w:rsid w:val="00E626D8"/>
    <w:rsid w:val="00E66098"/>
    <w:rsid w:val="00E716EF"/>
    <w:rsid w:val="00E72150"/>
    <w:rsid w:val="00E73E13"/>
    <w:rsid w:val="00E74593"/>
    <w:rsid w:val="00E753C0"/>
    <w:rsid w:val="00E75D69"/>
    <w:rsid w:val="00E76374"/>
    <w:rsid w:val="00E801CF"/>
    <w:rsid w:val="00E8023D"/>
    <w:rsid w:val="00E808E4"/>
    <w:rsid w:val="00E824B8"/>
    <w:rsid w:val="00E82A98"/>
    <w:rsid w:val="00E83237"/>
    <w:rsid w:val="00E83258"/>
    <w:rsid w:val="00E8337F"/>
    <w:rsid w:val="00E843C0"/>
    <w:rsid w:val="00E85439"/>
    <w:rsid w:val="00E85809"/>
    <w:rsid w:val="00E86EA2"/>
    <w:rsid w:val="00E87574"/>
    <w:rsid w:val="00E87AB3"/>
    <w:rsid w:val="00E91515"/>
    <w:rsid w:val="00E91837"/>
    <w:rsid w:val="00E91C76"/>
    <w:rsid w:val="00E92E42"/>
    <w:rsid w:val="00E94AB9"/>
    <w:rsid w:val="00E94C34"/>
    <w:rsid w:val="00E94D52"/>
    <w:rsid w:val="00EA215D"/>
    <w:rsid w:val="00EA2C4E"/>
    <w:rsid w:val="00EA4280"/>
    <w:rsid w:val="00EA4E85"/>
    <w:rsid w:val="00EA568B"/>
    <w:rsid w:val="00EA5DD5"/>
    <w:rsid w:val="00EA7AD1"/>
    <w:rsid w:val="00EA7ECF"/>
    <w:rsid w:val="00EB0AE7"/>
    <w:rsid w:val="00EB6F7E"/>
    <w:rsid w:val="00EB71E8"/>
    <w:rsid w:val="00EC0738"/>
    <w:rsid w:val="00EC105F"/>
    <w:rsid w:val="00EC341C"/>
    <w:rsid w:val="00EC3CDB"/>
    <w:rsid w:val="00EC431A"/>
    <w:rsid w:val="00EC4FFC"/>
    <w:rsid w:val="00EC5EEE"/>
    <w:rsid w:val="00EC6738"/>
    <w:rsid w:val="00EC7BBE"/>
    <w:rsid w:val="00ED0055"/>
    <w:rsid w:val="00ED02D3"/>
    <w:rsid w:val="00ED1AFE"/>
    <w:rsid w:val="00ED2186"/>
    <w:rsid w:val="00ED5664"/>
    <w:rsid w:val="00ED58C3"/>
    <w:rsid w:val="00EE0549"/>
    <w:rsid w:val="00EE0DF0"/>
    <w:rsid w:val="00EE0F24"/>
    <w:rsid w:val="00EE13AB"/>
    <w:rsid w:val="00EE1880"/>
    <w:rsid w:val="00EE1EE6"/>
    <w:rsid w:val="00EE219C"/>
    <w:rsid w:val="00EE2DFB"/>
    <w:rsid w:val="00EE4192"/>
    <w:rsid w:val="00EE45F7"/>
    <w:rsid w:val="00EE46AF"/>
    <w:rsid w:val="00EE488E"/>
    <w:rsid w:val="00EE4F35"/>
    <w:rsid w:val="00EE5E47"/>
    <w:rsid w:val="00EE68DD"/>
    <w:rsid w:val="00EE6C37"/>
    <w:rsid w:val="00EE7928"/>
    <w:rsid w:val="00EF0CA6"/>
    <w:rsid w:val="00EF12F2"/>
    <w:rsid w:val="00EF2DD4"/>
    <w:rsid w:val="00EF37EE"/>
    <w:rsid w:val="00EF44A1"/>
    <w:rsid w:val="00EF5F1F"/>
    <w:rsid w:val="00F003DA"/>
    <w:rsid w:val="00F02113"/>
    <w:rsid w:val="00F04288"/>
    <w:rsid w:val="00F04DF7"/>
    <w:rsid w:val="00F05EDA"/>
    <w:rsid w:val="00F069E6"/>
    <w:rsid w:val="00F06FBB"/>
    <w:rsid w:val="00F07336"/>
    <w:rsid w:val="00F075D5"/>
    <w:rsid w:val="00F113D9"/>
    <w:rsid w:val="00F116C7"/>
    <w:rsid w:val="00F117A8"/>
    <w:rsid w:val="00F125CB"/>
    <w:rsid w:val="00F125F3"/>
    <w:rsid w:val="00F1291B"/>
    <w:rsid w:val="00F132B6"/>
    <w:rsid w:val="00F17266"/>
    <w:rsid w:val="00F17A09"/>
    <w:rsid w:val="00F207CE"/>
    <w:rsid w:val="00F21CA4"/>
    <w:rsid w:val="00F21DB9"/>
    <w:rsid w:val="00F22E5C"/>
    <w:rsid w:val="00F2454A"/>
    <w:rsid w:val="00F25402"/>
    <w:rsid w:val="00F27CF8"/>
    <w:rsid w:val="00F339B9"/>
    <w:rsid w:val="00F369C8"/>
    <w:rsid w:val="00F370DB"/>
    <w:rsid w:val="00F3725E"/>
    <w:rsid w:val="00F376E3"/>
    <w:rsid w:val="00F379B5"/>
    <w:rsid w:val="00F379FF"/>
    <w:rsid w:val="00F4074C"/>
    <w:rsid w:val="00F41557"/>
    <w:rsid w:val="00F415B5"/>
    <w:rsid w:val="00F41738"/>
    <w:rsid w:val="00F41E2A"/>
    <w:rsid w:val="00F41E39"/>
    <w:rsid w:val="00F42959"/>
    <w:rsid w:val="00F433D5"/>
    <w:rsid w:val="00F43758"/>
    <w:rsid w:val="00F4712E"/>
    <w:rsid w:val="00F51201"/>
    <w:rsid w:val="00F512EB"/>
    <w:rsid w:val="00F5161F"/>
    <w:rsid w:val="00F54010"/>
    <w:rsid w:val="00F54A61"/>
    <w:rsid w:val="00F55BC1"/>
    <w:rsid w:val="00F602E3"/>
    <w:rsid w:val="00F606D9"/>
    <w:rsid w:val="00F60DFB"/>
    <w:rsid w:val="00F62A0C"/>
    <w:rsid w:val="00F63359"/>
    <w:rsid w:val="00F63C32"/>
    <w:rsid w:val="00F64A0E"/>
    <w:rsid w:val="00F64D2A"/>
    <w:rsid w:val="00F657BC"/>
    <w:rsid w:val="00F65B93"/>
    <w:rsid w:val="00F65E30"/>
    <w:rsid w:val="00F66078"/>
    <w:rsid w:val="00F66908"/>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AF5"/>
    <w:rsid w:val="00F9242A"/>
    <w:rsid w:val="00F94300"/>
    <w:rsid w:val="00F94A36"/>
    <w:rsid w:val="00F95A57"/>
    <w:rsid w:val="00F95AA7"/>
    <w:rsid w:val="00F9736B"/>
    <w:rsid w:val="00FA25C4"/>
    <w:rsid w:val="00FA369B"/>
    <w:rsid w:val="00FA459D"/>
    <w:rsid w:val="00FA5700"/>
    <w:rsid w:val="00FA6BFF"/>
    <w:rsid w:val="00FA791C"/>
    <w:rsid w:val="00FB2825"/>
    <w:rsid w:val="00FB2F82"/>
    <w:rsid w:val="00FB4085"/>
    <w:rsid w:val="00FB4E40"/>
    <w:rsid w:val="00FB71E9"/>
    <w:rsid w:val="00FC2570"/>
    <w:rsid w:val="00FC296E"/>
    <w:rsid w:val="00FC2A6C"/>
    <w:rsid w:val="00FC3F31"/>
    <w:rsid w:val="00FC4CFC"/>
    <w:rsid w:val="00FC4F53"/>
    <w:rsid w:val="00FC66D2"/>
    <w:rsid w:val="00FC736B"/>
    <w:rsid w:val="00FD0E90"/>
    <w:rsid w:val="00FD55AE"/>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3992"/>
    <w:rsid w:val="00FF3AAE"/>
    <w:rsid w:val="00FF3B28"/>
    <w:rsid w:val="00FF3E16"/>
    <w:rsid w:val="00FF4EA2"/>
    <w:rsid w:val="00FF5156"/>
    <w:rsid w:val="00FF5912"/>
    <w:rsid w:val="00FF7F9F"/>
    <w:rsid w:val="010C7F9A"/>
    <w:rsid w:val="011A2F41"/>
    <w:rsid w:val="011F289D"/>
    <w:rsid w:val="014C7A8D"/>
    <w:rsid w:val="01787946"/>
    <w:rsid w:val="018A5A49"/>
    <w:rsid w:val="018C5E35"/>
    <w:rsid w:val="01930321"/>
    <w:rsid w:val="01B479F0"/>
    <w:rsid w:val="01C64510"/>
    <w:rsid w:val="01D715B5"/>
    <w:rsid w:val="01FF6497"/>
    <w:rsid w:val="02054F52"/>
    <w:rsid w:val="020D54FC"/>
    <w:rsid w:val="02136A35"/>
    <w:rsid w:val="021D0BB6"/>
    <w:rsid w:val="021F4155"/>
    <w:rsid w:val="024D6BE7"/>
    <w:rsid w:val="02505BBE"/>
    <w:rsid w:val="02532F46"/>
    <w:rsid w:val="02571C51"/>
    <w:rsid w:val="02673529"/>
    <w:rsid w:val="026A1ACC"/>
    <w:rsid w:val="026F1E1C"/>
    <w:rsid w:val="027051C7"/>
    <w:rsid w:val="02895CB5"/>
    <w:rsid w:val="02CA0C12"/>
    <w:rsid w:val="03014C0A"/>
    <w:rsid w:val="03081E69"/>
    <w:rsid w:val="033459B2"/>
    <w:rsid w:val="03545D1A"/>
    <w:rsid w:val="035E34D3"/>
    <w:rsid w:val="0383272B"/>
    <w:rsid w:val="03903CDE"/>
    <w:rsid w:val="03A26208"/>
    <w:rsid w:val="03A75C19"/>
    <w:rsid w:val="03B40CD6"/>
    <w:rsid w:val="03C716D8"/>
    <w:rsid w:val="03E2399A"/>
    <w:rsid w:val="03E46B2E"/>
    <w:rsid w:val="03E551DD"/>
    <w:rsid w:val="03EB54C3"/>
    <w:rsid w:val="03EC5754"/>
    <w:rsid w:val="03F37F64"/>
    <w:rsid w:val="03F761C4"/>
    <w:rsid w:val="03F9074F"/>
    <w:rsid w:val="0402759E"/>
    <w:rsid w:val="04054A9E"/>
    <w:rsid w:val="041965F1"/>
    <w:rsid w:val="0422628D"/>
    <w:rsid w:val="042C14E2"/>
    <w:rsid w:val="04412473"/>
    <w:rsid w:val="045A075C"/>
    <w:rsid w:val="04603E40"/>
    <w:rsid w:val="046C0A67"/>
    <w:rsid w:val="0475134F"/>
    <w:rsid w:val="048444AF"/>
    <w:rsid w:val="04890966"/>
    <w:rsid w:val="04C10142"/>
    <w:rsid w:val="04C837E3"/>
    <w:rsid w:val="04F449D1"/>
    <w:rsid w:val="05063788"/>
    <w:rsid w:val="052A7391"/>
    <w:rsid w:val="0533154A"/>
    <w:rsid w:val="053834D8"/>
    <w:rsid w:val="05900A20"/>
    <w:rsid w:val="059E5D45"/>
    <w:rsid w:val="05A03F75"/>
    <w:rsid w:val="05B35FA5"/>
    <w:rsid w:val="05B424AA"/>
    <w:rsid w:val="05C0474F"/>
    <w:rsid w:val="05C61474"/>
    <w:rsid w:val="05EC4147"/>
    <w:rsid w:val="06026D19"/>
    <w:rsid w:val="06336388"/>
    <w:rsid w:val="06385FC4"/>
    <w:rsid w:val="065546FA"/>
    <w:rsid w:val="065719D5"/>
    <w:rsid w:val="066C1A3F"/>
    <w:rsid w:val="066E7A1F"/>
    <w:rsid w:val="067956A7"/>
    <w:rsid w:val="06972B74"/>
    <w:rsid w:val="069D639C"/>
    <w:rsid w:val="069F7577"/>
    <w:rsid w:val="06A2191D"/>
    <w:rsid w:val="06C54CB0"/>
    <w:rsid w:val="06F96CC3"/>
    <w:rsid w:val="0705662C"/>
    <w:rsid w:val="070A2741"/>
    <w:rsid w:val="07160901"/>
    <w:rsid w:val="0718535F"/>
    <w:rsid w:val="07513F49"/>
    <w:rsid w:val="078D2100"/>
    <w:rsid w:val="079D69DD"/>
    <w:rsid w:val="07A25249"/>
    <w:rsid w:val="07B87061"/>
    <w:rsid w:val="07BC515E"/>
    <w:rsid w:val="07DF20B6"/>
    <w:rsid w:val="07FA21EC"/>
    <w:rsid w:val="080D6130"/>
    <w:rsid w:val="082779D0"/>
    <w:rsid w:val="08367825"/>
    <w:rsid w:val="08710706"/>
    <w:rsid w:val="08A50D6A"/>
    <w:rsid w:val="08AA58DB"/>
    <w:rsid w:val="08B369CE"/>
    <w:rsid w:val="08B93B96"/>
    <w:rsid w:val="08CA01ED"/>
    <w:rsid w:val="08E24F5E"/>
    <w:rsid w:val="08FC2B86"/>
    <w:rsid w:val="09012917"/>
    <w:rsid w:val="0902679D"/>
    <w:rsid w:val="090A6840"/>
    <w:rsid w:val="090F3AE1"/>
    <w:rsid w:val="09193867"/>
    <w:rsid w:val="0928227E"/>
    <w:rsid w:val="092A0376"/>
    <w:rsid w:val="092A51AA"/>
    <w:rsid w:val="092B41FB"/>
    <w:rsid w:val="094E2B2D"/>
    <w:rsid w:val="096A04BC"/>
    <w:rsid w:val="0983157E"/>
    <w:rsid w:val="0991782D"/>
    <w:rsid w:val="09B56B8F"/>
    <w:rsid w:val="09BF5903"/>
    <w:rsid w:val="09C1452B"/>
    <w:rsid w:val="09CA5894"/>
    <w:rsid w:val="09D15D2D"/>
    <w:rsid w:val="0A0D7A5E"/>
    <w:rsid w:val="0A202447"/>
    <w:rsid w:val="0A25714E"/>
    <w:rsid w:val="0A317416"/>
    <w:rsid w:val="0A6B210F"/>
    <w:rsid w:val="0A72605A"/>
    <w:rsid w:val="0AA7304A"/>
    <w:rsid w:val="0AB07A61"/>
    <w:rsid w:val="0AB302FD"/>
    <w:rsid w:val="0ABA3902"/>
    <w:rsid w:val="0ABC00DA"/>
    <w:rsid w:val="0AC929D3"/>
    <w:rsid w:val="0ADA5210"/>
    <w:rsid w:val="0AE9001D"/>
    <w:rsid w:val="0B011385"/>
    <w:rsid w:val="0B081B65"/>
    <w:rsid w:val="0B116FD4"/>
    <w:rsid w:val="0B167657"/>
    <w:rsid w:val="0B3975F1"/>
    <w:rsid w:val="0B415478"/>
    <w:rsid w:val="0B505360"/>
    <w:rsid w:val="0B5216B2"/>
    <w:rsid w:val="0B8727E3"/>
    <w:rsid w:val="0B957465"/>
    <w:rsid w:val="0B9D61FB"/>
    <w:rsid w:val="0BAE09E4"/>
    <w:rsid w:val="0BB05A5C"/>
    <w:rsid w:val="0BB93DBD"/>
    <w:rsid w:val="0BBC3795"/>
    <w:rsid w:val="0BD47981"/>
    <w:rsid w:val="0BEF7EA9"/>
    <w:rsid w:val="0C0C5DC2"/>
    <w:rsid w:val="0C3910D0"/>
    <w:rsid w:val="0C3B52FE"/>
    <w:rsid w:val="0C467BA9"/>
    <w:rsid w:val="0C5441D9"/>
    <w:rsid w:val="0C730314"/>
    <w:rsid w:val="0C75456E"/>
    <w:rsid w:val="0C7D2179"/>
    <w:rsid w:val="0C87035A"/>
    <w:rsid w:val="0C8A7DD9"/>
    <w:rsid w:val="0C955E4F"/>
    <w:rsid w:val="0C9B4A26"/>
    <w:rsid w:val="0C9E30F1"/>
    <w:rsid w:val="0CD75039"/>
    <w:rsid w:val="0CE05755"/>
    <w:rsid w:val="0D057586"/>
    <w:rsid w:val="0D2D569A"/>
    <w:rsid w:val="0D3F27B9"/>
    <w:rsid w:val="0D442E94"/>
    <w:rsid w:val="0D553231"/>
    <w:rsid w:val="0D775FC4"/>
    <w:rsid w:val="0DA7205B"/>
    <w:rsid w:val="0DAD04E0"/>
    <w:rsid w:val="0DD02F94"/>
    <w:rsid w:val="0DD33878"/>
    <w:rsid w:val="0DDE4E3E"/>
    <w:rsid w:val="0DF82969"/>
    <w:rsid w:val="0DFD1710"/>
    <w:rsid w:val="0E115BCE"/>
    <w:rsid w:val="0E1F651D"/>
    <w:rsid w:val="0E8459A5"/>
    <w:rsid w:val="0E850F44"/>
    <w:rsid w:val="0E9C429F"/>
    <w:rsid w:val="0EB9366B"/>
    <w:rsid w:val="0EC9296B"/>
    <w:rsid w:val="0ED73C8C"/>
    <w:rsid w:val="0F005BA7"/>
    <w:rsid w:val="0F070002"/>
    <w:rsid w:val="0F092ADE"/>
    <w:rsid w:val="0F174567"/>
    <w:rsid w:val="0F281AE5"/>
    <w:rsid w:val="0F451083"/>
    <w:rsid w:val="0F5F5CA1"/>
    <w:rsid w:val="0F604FA1"/>
    <w:rsid w:val="0F7F00F1"/>
    <w:rsid w:val="0F9B7C7A"/>
    <w:rsid w:val="0F9E33E9"/>
    <w:rsid w:val="0FA43FFC"/>
    <w:rsid w:val="0FAB468E"/>
    <w:rsid w:val="0FC52EC0"/>
    <w:rsid w:val="0FC6247A"/>
    <w:rsid w:val="0FCA7FE4"/>
    <w:rsid w:val="0FE33065"/>
    <w:rsid w:val="0FFC2348"/>
    <w:rsid w:val="0FFD0267"/>
    <w:rsid w:val="100A4148"/>
    <w:rsid w:val="100E0639"/>
    <w:rsid w:val="100F5919"/>
    <w:rsid w:val="101707D3"/>
    <w:rsid w:val="104327DD"/>
    <w:rsid w:val="104C3EAF"/>
    <w:rsid w:val="1064555B"/>
    <w:rsid w:val="109A4EEF"/>
    <w:rsid w:val="10B66959"/>
    <w:rsid w:val="10B7735E"/>
    <w:rsid w:val="10FE4805"/>
    <w:rsid w:val="11053AC8"/>
    <w:rsid w:val="110E60EF"/>
    <w:rsid w:val="1133585B"/>
    <w:rsid w:val="115B4F66"/>
    <w:rsid w:val="11742BB2"/>
    <w:rsid w:val="11743ACC"/>
    <w:rsid w:val="117B75A3"/>
    <w:rsid w:val="11996735"/>
    <w:rsid w:val="11D24E50"/>
    <w:rsid w:val="11D31EF9"/>
    <w:rsid w:val="11DA1F57"/>
    <w:rsid w:val="11F33019"/>
    <w:rsid w:val="122B75D6"/>
    <w:rsid w:val="1237189E"/>
    <w:rsid w:val="125329C8"/>
    <w:rsid w:val="12656B15"/>
    <w:rsid w:val="126C4EB4"/>
    <w:rsid w:val="12764837"/>
    <w:rsid w:val="128E689D"/>
    <w:rsid w:val="129A49CF"/>
    <w:rsid w:val="12A855A2"/>
    <w:rsid w:val="12D46990"/>
    <w:rsid w:val="12D53ECD"/>
    <w:rsid w:val="13286A6D"/>
    <w:rsid w:val="133E3ECE"/>
    <w:rsid w:val="1341512F"/>
    <w:rsid w:val="135B029B"/>
    <w:rsid w:val="135C6925"/>
    <w:rsid w:val="1362270A"/>
    <w:rsid w:val="13634471"/>
    <w:rsid w:val="13726F78"/>
    <w:rsid w:val="137E7B48"/>
    <w:rsid w:val="13AD2BE7"/>
    <w:rsid w:val="13B642FE"/>
    <w:rsid w:val="13BE17E9"/>
    <w:rsid w:val="13CE5FD7"/>
    <w:rsid w:val="13F24508"/>
    <w:rsid w:val="14111FC2"/>
    <w:rsid w:val="14123C2A"/>
    <w:rsid w:val="14231111"/>
    <w:rsid w:val="142C2F38"/>
    <w:rsid w:val="14406089"/>
    <w:rsid w:val="144D24AE"/>
    <w:rsid w:val="144E2788"/>
    <w:rsid w:val="146907E4"/>
    <w:rsid w:val="146D6F1F"/>
    <w:rsid w:val="1473142C"/>
    <w:rsid w:val="14B051F1"/>
    <w:rsid w:val="14B4083D"/>
    <w:rsid w:val="14DC60B9"/>
    <w:rsid w:val="14F05E52"/>
    <w:rsid w:val="14F16EDC"/>
    <w:rsid w:val="150D1667"/>
    <w:rsid w:val="1512409E"/>
    <w:rsid w:val="1514212D"/>
    <w:rsid w:val="153E5A1C"/>
    <w:rsid w:val="15755812"/>
    <w:rsid w:val="15783F61"/>
    <w:rsid w:val="15790A54"/>
    <w:rsid w:val="15B0507E"/>
    <w:rsid w:val="15C23C39"/>
    <w:rsid w:val="1600135A"/>
    <w:rsid w:val="160D0F03"/>
    <w:rsid w:val="162D0E6A"/>
    <w:rsid w:val="163B7496"/>
    <w:rsid w:val="16557426"/>
    <w:rsid w:val="16614556"/>
    <w:rsid w:val="166C6A08"/>
    <w:rsid w:val="167F44DD"/>
    <w:rsid w:val="169132A5"/>
    <w:rsid w:val="16A76A05"/>
    <w:rsid w:val="16B35639"/>
    <w:rsid w:val="16B71CED"/>
    <w:rsid w:val="16D932AB"/>
    <w:rsid w:val="16E144AB"/>
    <w:rsid w:val="16F215F0"/>
    <w:rsid w:val="1712286F"/>
    <w:rsid w:val="172014BB"/>
    <w:rsid w:val="17331594"/>
    <w:rsid w:val="174165D4"/>
    <w:rsid w:val="17483B3F"/>
    <w:rsid w:val="17513E2A"/>
    <w:rsid w:val="178C3ADD"/>
    <w:rsid w:val="178D52B4"/>
    <w:rsid w:val="17AC52F8"/>
    <w:rsid w:val="17B65C2C"/>
    <w:rsid w:val="17CE3A22"/>
    <w:rsid w:val="17E60340"/>
    <w:rsid w:val="17E86446"/>
    <w:rsid w:val="17E947A5"/>
    <w:rsid w:val="17F84EE5"/>
    <w:rsid w:val="18471AA1"/>
    <w:rsid w:val="187B0ADC"/>
    <w:rsid w:val="18970833"/>
    <w:rsid w:val="18A10F9C"/>
    <w:rsid w:val="18A37048"/>
    <w:rsid w:val="18A647FD"/>
    <w:rsid w:val="18B52E6A"/>
    <w:rsid w:val="18C8188B"/>
    <w:rsid w:val="18D53478"/>
    <w:rsid w:val="18E229E5"/>
    <w:rsid w:val="18EB608A"/>
    <w:rsid w:val="18F1753C"/>
    <w:rsid w:val="191609EB"/>
    <w:rsid w:val="191E7F8E"/>
    <w:rsid w:val="19793E03"/>
    <w:rsid w:val="197D587D"/>
    <w:rsid w:val="1980484A"/>
    <w:rsid w:val="19A17CD9"/>
    <w:rsid w:val="19D92203"/>
    <w:rsid w:val="19DF4F3D"/>
    <w:rsid w:val="19E0023E"/>
    <w:rsid w:val="19E15655"/>
    <w:rsid w:val="1A022711"/>
    <w:rsid w:val="1A197CD5"/>
    <w:rsid w:val="1A1B7038"/>
    <w:rsid w:val="1A1C7E5C"/>
    <w:rsid w:val="1A250ADC"/>
    <w:rsid w:val="1A7B5306"/>
    <w:rsid w:val="1A83768B"/>
    <w:rsid w:val="1A944C16"/>
    <w:rsid w:val="1AD5775F"/>
    <w:rsid w:val="1AF822BB"/>
    <w:rsid w:val="1B026D38"/>
    <w:rsid w:val="1B1F21C0"/>
    <w:rsid w:val="1B285AE1"/>
    <w:rsid w:val="1B2A7AAB"/>
    <w:rsid w:val="1B325E82"/>
    <w:rsid w:val="1B3834F2"/>
    <w:rsid w:val="1B570F89"/>
    <w:rsid w:val="1B746F78"/>
    <w:rsid w:val="1B845173"/>
    <w:rsid w:val="1B86590E"/>
    <w:rsid w:val="1BA50E2E"/>
    <w:rsid w:val="1BB12767"/>
    <w:rsid w:val="1BBD1D86"/>
    <w:rsid w:val="1BCD6688"/>
    <w:rsid w:val="1BD94AC8"/>
    <w:rsid w:val="1BEC6B0F"/>
    <w:rsid w:val="1C0B510C"/>
    <w:rsid w:val="1C262BD3"/>
    <w:rsid w:val="1C315EFE"/>
    <w:rsid w:val="1C4C7B73"/>
    <w:rsid w:val="1C4E5090"/>
    <w:rsid w:val="1C572EF0"/>
    <w:rsid w:val="1C6606CD"/>
    <w:rsid w:val="1C6A6689"/>
    <w:rsid w:val="1C87249A"/>
    <w:rsid w:val="1C9B0D58"/>
    <w:rsid w:val="1CA24200"/>
    <w:rsid w:val="1CA95133"/>
    <w:rsid w:val="1CAB402F"/>
    <w:rsid w:val="1CC826B2"/>
    <w:rsid w:val="1D020B6B"/>
    <w:rsid w:val="1D06559F"/>
    <w:rsid w:val="1D2C755F"/>
    <w:rsid w:val="1D657FA1"/>
    <w:rsid w:val="1D707149"/>
    <w:rsid w:val="1D7424EC"/>
    <w:rsid w:val="1D916568"/>
    <w:rsid w:val="1DCC2EE2"/>
    <w:rsid w:val="1DD060CA"/>
    <w:rsid w:val="1DD628AE"/>
    <w:rsid w:val="1DD70F79"/>
    <w:rsid w:val="1DF70D9C"/>
    <w:rsid w:val="1E053674"/>
    <w:rsid w:val="1E195594"/>
    <w:rsid w:val="1E1D036D"/>
    <w:rsid w:val="1E270D18"/>
    <w:rsid w:val="1E293EE9"/>
    <w:rsid w:val="1E2D40AE"/>
    <w:rsid w:val="1E300E3C"/>
    <w:rsid w:val="1E3F2A0C"/>
    <w:rsid w:val="1E510303"/>
    <w:rsid w:val="1E6850A0"/>
    <w:rsid w:val="1E6C1B47"/>
    <w:rsid w:val="1EA210B3"/>
    <w:rsid w:val="1F002B0E"/>
    <w:rsid w:val="1F2D2FB7"/>
    <w:rsid w:val="1F3F789D"/>
    <w:rsid w:val="1F433BBA"/>
    <w:rsid w:val="1F4D5BFB"/>
    <w:rsid w:val="1F6A1533"/>
    <w:rsid w:val="1F6B2DA0"/>
    <w:rsid w:val="1F6B5269"/>
    <w:rsid w:val="1F904CE1"/>
    <w:rsid w:val="1F9A35A3"/>
    <w:rsid w:val="1FC17D84"/>
    <w:rsid w:val="1FDE5AD4"/>
    <w:rsid w:val="1FE47CA0"/>
    <w:rsid w:val="1FF23BBE"/>
    <w:rsid w:val="201F7C86"/>
    <w:rsid w:val="2023792B"/>
    <w:rsid w:val="2029660E"/>
    <w:rsid w:val="203213A2"/>
    <w:rsid w:val="20560701"/>
    <w:rsid w:val="207166F4"/>
    <w:rsid w:val="207D043A"/>
    <w:rsid w:val="20844267"/>
    <w:rsid w:val="208565B5"/>
    <w:rsid w:val="20880DD0"/>
    <w:rsid w:val="20936C39"/>
    <w:rsid w:val="20BC48ED"/>
    <w:rsid w:val="20CF4E7C"/>
    <w:rsid w:val="20EF44AB"/>
    <w:rsid w:val="20F042FF"/>
    <w:rsid w:val="20FC30FE"/>
    <w:rsid w:val="21162D36"/>
    <w:rsid w:val="213301F1"/>
    <w:rsid w:val="21541294"/>
    <w:rsid w:val="21562E90"/>
    <w:rsid w:val="2159661D"/>
    <w:rsid w:val="21AA0846"/>
    <w:rsid w:val="21BD5896"/>
    <w:rsid w:val="21CC65DF"/>
    <w:rsid w:val="21D54C45"/>
    <w:rsid w:val="21D65F9B"/>
    <w:rsid w:val="21DC0F1D"/>
    <w:rsid w:val="21EC3DA8"/>
    <w:rsid w:val="21F1792F"/>
    <w:rsid w:val="22162FED"/>
    <w:rsid w:val="222A64D9"/>
    <w:rsid w:val="22376163"/>
    <w:rsid w:val="223E395A"/>
    <w:rsid w:val="22654754"/>
    <w:rsid w:val="22807B43"/>
    <w:rsid w:val="22893286"/>
    <w:rsid w:val="229A1006"/>
    <w:rsid w:val="22A42D16"/>
    <w:rsid w:val="22AE20B1"/>
    <w:rsid w:val="22B01211"/>
    <w:rsid w:val="22B27B29"/>
    <w:rsid w:val="22BE3A97"/>
    <w:rsid w:val="22CE1013"/>
    <w:rsid w:val="22EF707C"/>
    <w:rsid w:val="22FC2C45"/>
    <w:rsid w:val="23437BA6"/>
    <w:rsid w:val="23442082"/>
    <w:rsid w:val="234D7AB0"/>
    <w:rsid w:val="23646C78"/>
    <w:rsid w:val="23730295"/>
    <w:rsid w:val="237D6B19"/>
    <w:rsid w:val="238106F9"/>
    <w:rsid w:val="23834E1B"/>
    <w:rsid w:val="23A33DDF"/>
    <w:rsid w:val="23C93BD9"/>
    <w:rsid w:val="23E117B6"/>
    <w:rsid w:val="23E25B5A"/>
    <w:rsid w:val="23E53276"/>
    <w:rsid w:val="23E61AD4"/>
    <w:rsid w:val="23F14D0F"/>
    <w:rsid w:val="24106032"/>
    <w:rsid w:val="24156EA1"/>
    <w:rsid w:val="242A3029"/>
    <w:rsid w:val="242D5FA2"/>
    <w:rsid w:val="24377B7C"/>
    <w:rsid w:val="243974FA"/>
    <w:rsid w:val="243C1CC3"/>
    <w:rsid w:val="24680CF8"/>
    <w:rsid w:val="24750B97"/>
    <w:rsid w:val="24A02228"/>
    <w:rsid w:val="24A16B54"/>
    <w:rsid w:val="24CF44DD"/>
    <w:rsid w:val="24F53DF4"/>
    <w:rsid w:val="250065B7"/>
    <w:rsid w:val="25131C1E"/>
    <w:rsid w:val="25271745"/>
    <w:rsid w:val="252C08C4"/>
    <w:rsid w:val="25370DBB"/>
    <w:rsid w:val="254E0BA8"/>
    <w:rsid w:val="2560257F"/>
    <w:rsid w:val="2563772F"/>
    <w:rsid w:val="25686213"/>
    <w:rsid w:val="2587240E"/>
    <w:rsid w:val="259E13D7"/>
    <w:rsid w:val="259F379D"/>
    <w:rsid w:val="25A14E0E"/>
    <w:rsid w:val="25DE3780"/>
    <w:rsid w:val="25EB42DB"/>
    <w:rsid w:val="25EC1EF2"/>
    <w:rsid w:val="26035E72"/>
    <w:rsid w:val="26142DCB"/>
    <w:rsid w:val="263759AB"/>
    <w:rsid w:val="263844AF"/>
    <w:rsid w:val="263A0178"/>
    <w:rsid w:val="263D2D31"/>
    <w:rsid w:val="264004AF"/>
    <w:rsid w:val="26447E5C"/>
    <w:rsid w:val="26452B90"/>
    <w:rsid w:val="26456127"/>
    <w:rsid w:val="264E03C6"/>
    <w:rsid w:val="26897368"/>
    <w:rsid w:val="26B46354"/>
    <w:rsid w:val="26B93FC5"/>
    <w:rsid w:val="26BE4BC6"/>
    <w:rsid w:val="26BE7C25"/>
    <w:rsid w:val="27007054"/>
    <w:rsid w:val="27043CA5"/>
    <w:rsid w:val="271B3D5E"/>
    <w:rsid w:val="27217EAF"/>
    <w:rsid w:val="27421CD9"/>
    <w:rsid w:val="274C7619"/>
    <w:rsid w:val="27547C5E"/>
    <w:rsid w:val="276C4529"/>
    <w:rsid w:val="27940459"/>
    <w:rsid w:val="279F3FCC"/>
    <w:rsid w:val="27B22CCE"/>
    <w:rsid w:val="27C43035"/>
    <w:rsid w:val="27CE333F"/>
    <w:rsid w:val="27CE787C"/>
    <w:rsid w:val="27D05042"/>
    <w:rsid w:val="27FE1605"/>
    <w:rsid w:val="280035B1"/>
    <w:rsid w:val="28064D0B"/>
    <w:rsid w:val="28181C1F"/>
    <w:rsid w:val="28191ED3"/>
    <w:rsid w:val="28241454"/>
    <w:rsid w:val="28747F7C"/>
    <w:rsid w:val="2897628A"/>
    <w:rsid w:val="28A84FE2"/>
    <w:rsid w:val="28A864B3"/>
    <w:rsid w:val="28AE1F2D"/>
    <w:rsid w:val="28B07817"/>
    <w:rsid w:val="28BD1DD9"/>
    <w:rsid w:val="28C922FA"/>
    <w:rsid w:val="28DF17A9"/>
    <w:rsid w:val="28EB0AFA"/>
    <w:rsid w:val="28EC58F5"/>
    <w:rsid w:val="28F16A26"/>
    <w:rsid w:val="291C1783"/>
    <w:rsid w:val="292002E8"/>
    <w:rsid w:val="294137F9"/>
    <w:rsid w:val="29557225"/>
    <w:rsid w:val="295B6569"/>
    <w:rsid w:val="296774F8"/>
    <w:rsid w:val="2987211E"/>
    <w:rsid w:val="298A0838"/>
    <w:rsid w:val="29925E42"/>
    <w:rsid w:val="29AC0A10"/>
    <w:rsid w:val="29BF5862"/>
    <w:rsid w:val="29D10A81"/>
    <w:rsid w:val="29D63F11"/>
    <w:rsid w:val="29E27602"/>
    <w:rsid w:val="29E8235E"/>
    <w:rsid w:val="29E9140D"/>
    <w:rsid w:val="2A280B02"/>
    <w:rsid w:val="2A6322DF"/>
    <w:rsid w:val="2A741979"/>
    <w:rsid w:val="2A7631F9"/>
    <w:rsid w:val="2A7B29EB"/>
    <w:rsid w:val="2A855222"/>
    <w:rsid w:val="2A8B7ECF"/>
    <w:rsid w:val="2A8C56AE"/>
    <w:rsid w:val="2A9A6DD6"/>
    <w:rsid w:val="2ACF6258"/>
    <w:rsid w:val="2AF17A89"/>
    <w:rsid w:val="2B026FB4"/>
    <w:rsid w:val="2B09571F"/>
    <w:rsid w:val="2B1920DF"/>
    <w:rsid w:val="2B256C6A"/>
    <w:rsid w:val="2B335E35"/>
    <w:rsid w:val="2B4F10C6"/>
    <w:rsid w:val="2B6C2BE9"/>
    <w:rsid w:val="2B8925C0"/>
    <w:rsid w:val="2BA03D1E"/>
    <w:rsid w:val="2BA05766"/>
    <w:rsid w:val="2BA52731"/>
    <w:rsid w:val="2BDF4663"/>
    <w:rsid w:val="2BE51A5D"/>
    <w:rsid w:val="2BE704E2"/>
    <w:rsid w:val="2C031632"/>
    <w:rsid w:val="2C2422F5"/>
    <w:rsid w:val="2C5B69F9"/>
    <w:rsid w:val="2C82521C"/>
    <w:rsid w:val="2C9842E1"/>
    <w:rsid w:val="2CA27D49"/>
    <w:rsid w:val="2CC81818"/>
    <w:rsid w:val="2CC91B40"/>
    <w:rsid w:val="2CD2171B"/>
    <w:rsid w:val="2CDB7F4F"/>
    <w:rsid w:val="2CDF621C"/>
    <w:rsid w:val="2D0A773C"/>
    <w:rsid w:val="2D1B4751"/>
    <w:rsid w:val="2D311250"/>
    <w:rsid w:val="2D354391"/>
    <w:rsid w:val="2D4A1960"/>
    <w:rsid w:val="2D5F6A87"/>
    <w:rsid w:val="2D8747FA"/>
    <w:rsid w:val="2DAB5132"/>
    <w:rsid w:val="2DB03BD5"/>
    <w:rsid w:val="2DB7476B"/>
    <w:rsid w:val="2DB807C3"/>
    <w:rsid w:val="2DC513BA"/>
    <w:rsid w:val="2DDA48A8"/>
    <w:rsid w:val="2DE940B2"/>
    <w:rsid w:val="2DF52125"/>
    <w:rsid w:val="2E0B23B6"/>
    <w:rsid w:val="2E0D48FA"/>
    <w:rsid w:val="2E336BBB"/>
    <w:rsid w:val="2E352755"/>
    <w:rsid w:val="2E4722CA"/>
    <w:rsid w:val="2E4D3ACC"/>
    <w:rsid w:val="2E69314F"/>
    <w:rsid w:val="2EBE1669"/>
    <w:rsid w:val="2EDB7595"/>
    <w:rsid w:val="2EE01A39"/>
    <w:rsid w:val="2F002694"/>
    <w:rsid w:val="2F3A5AC8"/>
    <w:rsid w:val="2F3B5185"/>
    <w:rsid w:val="2F3E3C0D"/>
    <w:rsid w:val="2F4C48CB"/>
    <w:rsid w:val="2F4D612B"/>
    <w:rsid w:val="2F5B6663"/>
    <w:rsid w:val="2F6A5588"/>
    <w:rsid w:val="2F88799A"/>
    <w:rsid w:val="2FA47CE5"/>
    <w:rsid w:val="2FA8579F"/>
    <w:rsid w:val="2FBE190F"/>
    <w:rsid w:val="2FC832B9"/>
    <w:rsid w:val="2FD45E8F"/>
    <w:rsid w:val="2FD73FE9"/>
    <w:rsid w:val="2FDC25BE"/>
    <w:rsid w:val="2FE029D7"/>
    <w:rsid w:val="30017DB6"/>
    <w:rsid w:val="301B79AE"/>
    <w:rsid w:val="301D0ADF"/>
    <w:rsid w:val="302D7003"/>
    <w:rsid w:val="30675107"/>
    <w:rsid w:val="30685B23"/>
    <w:rsid w:val="306D10A3"/>
    <w:rsid w:val="306F25CD"/>
    <w:rsid w:val="30740C05"/>
    <w:rsid w:val="307635BA"/>
    <w:rsid w:val="30872455"/>
    <w:rsid w:val="308809CB"/>
    <w:rsid w:val="30C161CC"/>
    <w:rsid w:val="30C40945"/>
    <w:rsid w:val="30FB138A"/>
    <w:rsid w:val="311837B0"/>
    <w:rsid w:val="311A1019"/>
    <w:rsid w:val="31236622"/>
    <w:rsid w:val="31297858"/>
    <w:rsid w:val="317C3DED"/>
    <w:rsid w:val="3196774C"/>
    <w:rsid w:val="31BB01AE"/>
    <w:rsid w:val="31BB4EC0"/>
    <w:rsid w:val="31ED0DC6"/>
    <w:rsid w:val="31F77B64"/>
    <w:rsid w:val="31FE69C3"/>
    <w:rsid w:val="3201739B"/>
    <w:rsid w:val="32032D47"/>
    <w:rsid w:val="32185672"/>
    <w:rsid w:val="322B0427"/>
    <w:rsid w:val="32500E43"/>
    <w:rsid w:val="32635CE6"/>
    <w:rsid w:val="327862CE"/>
    <w:rsid w:val="327F265B"/>
    <w:rsid w:val="32917FB8"/>
    <w:rsid w:val="32FC0134"/>
    <w:rsid w:val="33092244"/>
    <w:rsid w:val="334E3BC7"/>
    <w:rsid w:val="335C3BF6"/>
    <w:rsid w:val="33605037"/>
    <w:rsid w:val="33655D88"/>
    <w:rsid w:val="336A4E6E"/>
    <w:rsid w:val="3370128D"/>
    <w:rsid w:val="3387629C"/>
    <w:rsid w:val="33917786"/>
    <w:rsid w:val="33A3071F"/>
    <w:rsid w:val="33A42372"/>
    <w:rsid w:val="33AB16F8"/>
    <w:rsid w:val="33B01C14"/>
    <w:rsid w:val="33C0069C"/>
    <w:rsid w:val="33C46754"/>
    <w:rsid w:val="33C95870"/>
    <w:rsid w:val="33DD2D38"/>
    <w:rsid w:val="33E208DF"/>
    <w:rsid w:val="33F16F60"/>
    <w:rsid w:val="33F50020"/>
    <w:rsid w:val="33FE1E0E"/>
    <w:rsid w:val="34163887"/>
    <w:rsid w:val="341B48A9"/>
    <w:rsid w:val="341D3E5A"/>
    <w:rsid w:val="342C17D7"/>
    <w:rsid w:val="3452333E"/>
    <w:rsid w:val="34713D59"/>
    <w:rsid w:val="34766856"/>
    <w:rsid w:val="34A456E7"/>
    <w:rsid w:val="34D100C7"/>
    <w:rsid w:val="34E34957"/>
    <w:rsid w:val="34F9448B"/>
    <w:rsid w:val="35095F3D"/>
    <w:rsid w:val="352626C5"/>
    <w:rsid w:val="352E3FA9"/>
    <w:rsid w:val="35374E47"/>
    <w:rsid w:val="354A105A"/>
    <w:rsid w:val="35642228"/>
    <w:rsid w:val="3565776A"/>
    <w:rsid w:val="359733AD"/>
    <w:rsid w:val="35997347"/>
    <w:rsid w:val="35A070B3"/>
    <w:rsid w:val="35AD07C7"/>
    <w:rsid w:val="35B80204"/>
    <w:rsid w:val="35CB65F1"/>
    <w:rsid w:val="35D73F34"/>
    <w:rsid w:val="35E43629"/>
    <w:rsid w:val="35F77952"/>
    <w:rsid w:val="35FA46E5"/>
    <w:rsid w:val="360527E0"/>
    <w:rsid w:val="360E2871"/>
    <w:rsid w:val="360F1222"/>
    <w:rsid w:val="361A53CB"/>
    <w:rsid w:val="3650466C"/>
    <w:rsid w:val="365203EC"/>
    <w:rsid w:val="365437D6"/>
    <w:rsid w:val="36583FFC"/>
    <w:rsid w:val="365D4AB4"/>
    <w:rsid w:val="366A2313"/>
    <w:rsid w:val="368A35B6"/>
    <w:rsid w:val="368C25D3"/>
    <w:rsid w:val="36997A82"/>
    <w:rsid w:val="36A848F2"/>
    <w:rsid w:val="36A84D6B"/>
    <w:rsid w:val="36E21C1B"/>
    <w:rsid w:val="371F37B1"/>
    <w:rsid w:val="372C50E8"/>
    <w:rsid w:val="37305FF2"/>
    <w:rsid w:val="373368D2"/>
    <w:rsid w:val="37656325"/>
    <w:rsid w:val="377C7616"/>
    <w:rsid w:val="37826196"/>
    <w:rsid w:val="37A622B6"/>
    <w:rsid w:val="37D54679"/>
    <w:rsid w:val="37F039D3"/>
    <w:rsid w:val="38167FDD"/>
    <w:rsid w:val="384239D9"/>
    <w:rsid w:val="3865094E"/>
    <w:rsid w:val="3867630C"/>
    <w:rsid w:val="38993D13"/>
    <w:rsid w:val="389E205D"/>
    <w:rsid w:val="38A045C7"/>
    <w:rsid w:val="38C17453"/>
    <w:rsid w:val="38D37AF8"/>
    <w:rsid w:val="38E673C6"/>
    <w:rsid w:val="38EB08E5"/>
    <w:rsid w:val="38ED3A6E"/>
    <w:rsid w:val="39106105"/>
    <w:rsid w:val="39130E10"/>
    <w:rsid w:val="39342A69"/>
    <w:rsid w:val="395140E2"/>
    <w:rsid w:val="3957002A"/>
    <w:rsid w:val="395F1516"/>
    <w:rsid w:val="39867110"/>
    <w:rsid w:val="39997159"/>
    <w:rsid w:val="399A535D"/>
    <w:rsid w:val="39A2165D"/>
    <w:rsid w:val="39B57BCE"/>
    <w:rsid w:val="39D33100"/>
    <w:rsid w:val="39D54C2E"/>
    <w:rsid w:val="3A0F731F"/>
    <w:rsid w:val="3A5B5106"/>
    <w:rsid w:val="3A5C0875"/>
    <w:rsid w:val="3A5C5B37"/>
    <w:rsid w:val="3A6816B7"/>
    <w:rsid w:val="3A687EC1"/>
    <w:rsid w:val="3A6A181A"/>
    <w:rsid w:val="3A6E0964"/>
    <w:rsid w:val="3A78560D"/>
    <w:rsid w:val="3A797CAF"/>
    <w:rsid w:val="3A8A135F"/>
    <w:rsid w:val="3AA6276F"/>
    <w:rsid w:val="3AA7112C"/>
    <w:rsid w:val="3AB671A7"/>
    <w:rsid w:val="3AD703A0"/>
    <w:rsid w:val="3ADA766B"/>
    <w:rsid w:val="3AE23E7D"/>
    <w:rsid w:val="3AE4135F"/>
    <w:rsid w:val="3AF879CD"/>
    <w:rsid w:val="3B2F4816"/>
    <w:rsid w:val="3B425E84"/>
    <w:rsid w:val="3B45214C"/>
    <w:rsid w:val="3B4805E7"/>
    <w:rsid w:val="3B4D5386"/>
    <w:rsid w:val="3B584925"/>
    <w:rsid w:val="3B595557"/>
    <w:rsid w:val="3B5B077B"/>
    <w:rsid w:val="3B7E42AD"/>
    <w:rsid w:val="3B844B56"/>
    <w:rsid w:val="3B9072F6"/>
    <w:rsid w:val="3B9B626C"/>
    <w:rsid w:val="3BA174BE"/>
    <w:rsid w:val="3BF336BE"/>
    <w:rsid w:val="3C4143F3"/>
    <w:rsid w:val="3C4662DE"/>
    <w:rsid w:val="3C55346F"/>
    <w:rsid w:val="3CAC3AAC"/>
    <w:rsid w:val="3CB6227E"/>
    <w:rsid w:val="3CB7025F"/>
    <w:rsid w:val="3CF00F09"/>
    <w:rsid w:val="3CF04CB8"/>
    <w:rsid w:val="3D11675F"/>
    <w:rsid w:val="3D192BA3"/>
    <w:rsid w:val="3D1A6029"/>
    <w:rsid w:val="3D225F25"/>
    <w:rsid w:val="3D2B17AF"/>
    <w:rsid w:val="3D66071B"/>
    <w:rsid w:val="3D7216B1"/>
    <w:rsid w:val="3D7506DC"/>
    <w:rsid w:val="3D87697B"/>
    <w:rsid w:val="3D92111F"/>
    <w:rsid w:val="3D991477"/>
    <w:rsid w:val="3D9963C7"/>
    <w:rsid w:val="3DA41362"/>
    <w:rsid w:val="3DAE3CFA"/>
    <w:rsid w:val="3DE52C10"/>
    <w:rsid w:val="3DF334A4"/>
    <w:rsid w:val="3DF633C5"/>
    <w:rsid w:val="3E0E0A75"/>
    <w:rsid w:val="3E102AF6"/>
    <w:rsid w:val="3E4A3AC9"/>
    <w:rsid w:val="3E535102"/>
    <w:rsid w:val="3E755730"/>
    <w:rsid w:val="3E8D3B49"/>
    <w:rsid w:val="3EAE0F73"/>
    <w:rsid w:val="3ED64403"/>
    <w:rsid w:val="3ED82911"/>
    <w:rsid w:val="3EEF0015"/>
    <w:rsid w:val="3EF70DAA"/>
    <w:rsid w:val="3F076E3E"/>
    <w:rsid w:val="3F117406"/>
    <w:rsid w:val="3F214472"/>
    <w:rsid w:val="3F3A7BD5"/>
    <w:rsid w:val="3F4242EA"/>
    <w:rsid w:val="3F4455C3"/>
    <w:rsid w:val="3F6052C0"/>
    <w:rsid w:val="3F633BFB"/>
    <w:rsid w:val="3FA374E8"/>
    <w:rsid w:val="3FB157F6"/>
    <w:rsid w:val="3FC506EB"/>
    <w:rsid w:val="3FDA363D"/>
    <w:rsid w:val="3FF343D1"/>
    <w:rsid w:val="40004109"/>
    <w:rsid w:val="403529CA"/>
    <w:rsid w:val="40711864"/>
    <w:rsid w:val="407A652F"/>
    <w:rsid w:val="40C70647"/>
    <w:rsid w:val="40EF5D73"/>
    <w:rsid w:val="410B1C97"/>
    <w:rsid w:val="410C45DA"/>
    <w:rsid w:val="412B337F"/>
    <w:rsid w:val="41307218"/>
    <w:rsid w:val="41434876"/>
    <w:rsid w:val="41451D00"/>
    <w:rsid w:val="41582223"/>
    <w:rsid w:val="415864C7"/>
    <w:rsid w:val="415C2980"/>
    <w:rsid w:val="41856D85"/>
    <w:rsid w:val="41981AB2"/>
    <w:rsid w:val="41AE5E31"/>
    <w:rsid w:val="41BA18C8"/>
    <w:rsid w:val="41C47701"/>
    <w:rsid w:val="41DE254A"/>
    <w:rsid w:val="41E66021"/>
    <w:rsid w:val="420E5181"/>
    <w:rsid w:val="42117160"/>
    <w:rsid w:val="42120364"/>
    <w:rsid w:val="42185D89"/>
    <w:rsid w:val="421D1242"/>
    <w:rsid w:val="422C2514"/>
    <w:rsid w:val="42400853"/>
    <w:rsid w:val="42544B8F"/>
    <w:rsid w:val="42644F80"/>
    <w:rsid w:val="42763AFF"/>
    <w:rsid w:val="42994FC6"/>
    <w:rsid w:val="42D330E2"/>
    <w:rsid w:val="42D5732B"/>
    <w:rsid w:val="42E75DA7"/>
    <w:rsid w:val="430D4B8E"/>
    <w:rsid w:val="43195B8C"/>
    <w:rsid w:val="431A38C5"/>
    <w:rsid w:val="431E5F0E"/>
    <w:rsid w:val="4332798A"/>
    <w:rsid w:val="43461842"/>
    <w:rsid w:val="434C7B5E"/>
    <w:rsid w:val="436A5CC2"/>
    <w:rsid w:val="436E0702"/>
    <w:rsid w:val="43746E67"/>
    <w:rsid w:val="437A4B46"/>
    <w:rsid w:val="4399234E"/>
    <w:rsid w:val="439E5537"/>
    <w:rsid w:val="43A77A55"/>
    <w:rsid w:val="43B4483D"/>
    <w:rsid w:val="43B652D7"/>
    <w:rsid w:val="43C35185"/>
    <w:rsid w:val="43C73742"/>
    <w:rsid w:val="43D16C0A"/>
    <w:rsid w:val="43E06266"/>
    <w:rsid w:val="43E443EC"/>
    <w:rsid w:val="43F4461D"/>
    <w:rsid w:val="441045CD"/>
    <w:rsid w:val="44162686"/>
    <w:rsid w:val="441B6C20"/>
    <w:rsid w:val="4423575E"/>
    <w:rsid w:val="44237EA2"/>
    <w:rsid w:val="44330ECF"/>
    <w:rsid w:val="44796512"/>
    <w:rsid w:val="4482730D"/>
    <w:rsid w:val="44872C97"/>
    <w:rsid w:val="448C02B4"/>
    <w:rsid w:val="448E52C7"/>
    <w:rsid w:val="44AE5BE9"/>
    <w:rsid w:val="44B30262"/>
    <w:rsid w:val="44E42A91"/>
    <w:rsid w:val="44EF7AF0"/>
    <w:rsid w:val="44F027B6"/>
    <w:rsid w:val="4511236A"/>
    <w:rsid w:val="45132DC1"/>
    <w:rsid w:val="451F7C55"/>
    <w:rsid w:val="452D0437"/>
    <w:rsid w:val="452E2FBF"/>
    <w:rsid w:val="45576913"/>
    <w:rsid w:val="455C13D7"/>
    <w:rsid w:val="457B12C1"/>
    <w:rsid w:val="45941E4D"/>
    <w:rsid w:val="45C3630E"/>
    <w:rsid w:val="45D631DD"/>
    <w:rsid w:val="45E43927"/>
    <w:rsid w:val="45E72F1C"/>
    <w:rsid w:val="45E816AF"/>
    <w:rsid w:val="45FC2CE1"/>
    <w:rsid w:val="45FD5461"/>
    <w:rsid w:val="460A5C60"/>
    <w:rsid w:val="460D02E0"/>
    <w:rsid w:val="460E39A2"/>
    <w:rsid w:val="462307EF"/>
    <w:rsid w:val="462D6B88"/>
    <w:rsid w:val="466C7713"/>
    <w:rsid w:val="467732D3"/>
    <w:rsid w:val="46AE7B45"/>
    <w:rsid w:val="47035E05"/>
    <w:rsid w:val="470A7839"/>
    <w:rsid w:val="470F0F03"/>
    <w:rsid w:val="475A40A5"/>
    <w:rsid w:val="476335F1"/>
    <w:rsid w:val="478D08F6"/>
    <w:rsid w:val="478D2681"/>
    <w:rsid w:val="479C322F"/>
    <w:rsid w:val="479C3234"/>
    <w:rsid w:val="47A86EF0"/>
    <w:rsid w:val="47DA1B6A"/>
    <w:rsid w:val="47EE7AD4"/>
    <w:rsid w:val="47F95A3F"/>
    <w:rsid w:val="48244D31"/>
    <w:rsid w:val="48352AB5"/>
    <w:rsid w:val="48453C1D"/>
    <w:rsid w:val="48525822"/>
    <w:rsid w:val="48664AF6"/>
    <w:rsid w:val="48683357"/>
    <w:rsid w:val="48795844"/>
    <w:rsid w:val="487B291F"/>
    <w:rsid w:val="487D26CA"/>
    <w:rsid w:val="4883039F"/>
    <w:rsid w:val="48A1536E"/>
    <w:rsid w:val="48B42147"/>
    <w:rsid w:val="48B60CA2"/>
    <w:rsid w:val="48BF3D66"/>
    <w:rsid w:val="48C56271"/>
    <w:rsid w:val="48D07E8D"/>
    <w:rsid w:val="48E72C8F"/>
    <w:rsid w:val="48EB473F"/>
    <w:rsid w:val="48F25BF0"/>
    <w:rsid w:val="490D384F"/>
    <w:rsid w:val="491452C1"/>
    <w:rsid w:val="4941408E"/>
    <w:rsid w:val="498F3AE1"/>
    <w:rsid w:val="49982CE9"/>
    <w:rsid w:val="499C00B7"/>
    <w:rsid w:val="499F7B39"/>
    <w:rsid w:val="49C86BF3"/>
    <w:rsid w:val="49CF2593"/>
    <w:rsid w:val="49DB3FC5"/>
    <w:rsid w:val="49F37012"/>
    <w:rsid w:val="4A053649"/>
    <w:rsid w:val="4A096646"/>
    <w:rsid w:val="4A1E513E"/>
    <w:rsid w:val="4A281FB4"/>
    <w:rsid w:val="4A4F4589"/>
    <w:rsid w:val="4A552C0C"/>
    <w:rsid w:val="4A5773B9"/>
    <w:rsid w:val="4A6601E6"/>
    <w:rsid w:val="4A6B52BE"/>
    <w:rsid w:val="4A9D7C47"/>
    <w:rsid w:val="4AA326C5"/>
    <w:rsid w:val="4ACC1EF9"/>
    <w:rsid w:val="4AD91193"/>
    <w:rsid w:val="4AD93458"/>
    <w:rsid w:val="4AE562A7"/>
    <w:rsid w:val="4AF07B1A"/>
    <w:rsid w:val="4B0F1E82"/>
    <w:rsid w:val="4B16443D"/>
    <w:rsid w:val="4B2E23F0"/>
    <w:rsid w:val="4B425E9C"/>
    <w:rsid w:val="4B473171"/>
    <w:rsid w:val="4B745559"/>
    <w:rsid w:val="4B8A00D1"/>
    <w:rsid w:val="4C0C7DCE"/>
    <w:rsid w:val="4C155C11"/>
    <w:rsid w:val="4C285B39"/>
    <w:rsid w:val="4C3103EA"/>
    <w:rsid w:val="4C426859"/>
    <w:rsid w:val="4C5F5E78"/>
    <w:rsid w:val="4C7340A1"/>
    <w:rsid w:val="4C7A7894"/>
    <w:rsid w:val="4C826403"/>
    <w:rsid w:val="4C8267A3"/>
    <w:rsid w:val="4C8B6DA5"/>
    <w:rsid w:val="4C8F6F67"/>
    <w:rsid w:val="4C953BEB"/>
    <w:rsid w:val="4CA03EB3"/>
    <w:rsid w:val="4CB24946"/>
    <w:rsid w:val="4CB85F33"/>
    <w:rsid w:val="4CDA72F0"/>
    <w:rsid w:val="4CE0771A"/>
    <w:rsid w:val="4CED4E3E"/>
    <w:rsid w:val="4CF2641D"/>
    <w:rsid w:val="4CF75D95"/>
    <w:rsid w:val="4CFA1493"/>
    <w:rsid w:val="4CFF4AD5"/>
    <w:rsid w:val="4D155616"/>
    <w:rsid w:val="4D5F086B"/>
    <w:rsid w:val="4D784697"/>
    <w:rsid w:val="4D8B7F33"/>
    <w:rsid w:val="4D927051"/>
    <w:rsid w:val="4D9D385D"/>
    <w:rsid w:val="4DAE3DCE"/>
    <w:rsid w:val="4DB82C8B"/>
    <w:rsid w:val="4DC8212E"/>
    <w:rsid w:val="4DF328E5"/>
    <w:rsid w:val="4DF604B4"/>
    <w:rsid w:val="4E14224F"/>
    <w:rsid w:val="4E15458E"/>
    <w:rsid w:val="4E201B8E"/>
    <w:rsid w:val="4E2F6A8F"/>
    <w:rsid w:val="4E434405"/>
    <w:rsid w:val="4E562F65"/>
    <w:rsid w:val="4E600B13"/>
    <w:rsid w:val="4E6F38BF"/>
    <w:rsid w:val="4E7642F7"/>
    <w:rsid w:val="4E861A12"/>
    <w:rsid w:val="4E9F1753"/>
    <w:rsid w:val="4EAC7CDF"/>
    <w:rsid w:val="4EB322C5"/>
    <w:rsid w:val="4EB946C7"/>
    <w:rsid w:val="4ECD5018"/>
    <w:rsid w:val="4ED651D4"/>
    <w:rsid w:val="4EFD0E6C"/>
    <w:rsid w:val="4F1928F5"/>
    <w:rsid w:val="4F1C67F8"/>
    <w:rsid w:val="4F202FED"/>
    <w:rsid w:val="4F584F66"/>
    <w:rsid w:val="4F7E67A9"/>
    <w:rsid w:val="4F84137E"/>
    <w:rsid w:val="4F964E42"/>
    <w:rsid w:val="4FA84009"/>
    <w:rsid w:val="4FB47186"/>
    <w:rsid w:val="4FC1363A"/>
    <w:rsid w:val="4FE940C1"/>
    <w:rsid w:val="500A342C"/>
    <w:rsid w:val="50104A8A"/>
    <w:rsid w:val="501169E7"/>
    <w:rsid w:val="50210045"/>
    <w:rsid w:val="5025421D"/>
    <w:rsid w:val="503D14F9"/>
    <w:rsid w:val="50597F0F"/>
    <w:rsid w:val="50813390"/>
    <w:rsid w:val="50886592"/>
    <w:rsid w:val="509A3FE7"/>
    <w:rsid w:val="509B4372"/>
    <w:rsid w:val="50BE1B64"/>
    <w:rsid w:val="50CA014F"/>
    <w:rsid w:val="50DB5DBF"/>
    <w:rsid w:val="50F54017"/>
    <w:rsid w:val="510253A9"/>
    <w:rsid w:val="512E4EF8"/>
    <w:rsid w:val="51327CDA"/>
    <w:rsid w:val="51570EF6"/>
    <w:rsid w:val="515E2B8F"/>
    <w:rsid w:val="51874608"/>
    <w:rsid w:val="51AC4C6D"/>
    <w:rsid w:val="51D61641"/>
    <w:rsid w:val="51E82835"/>
    <w:rsid w:val="52045C59"/>
    <w:rsid w:val="52256BC5"/>
    <w:rsid w:val="523E560F"/>
    <w:rsid w:val="52625E4C"/>
    <w:rsid w:val="52911BE2"/>
    <w:rsid w:val="529152B7"/>
    <w:rsid w:val="529530D4"/>
    <w:rsid w:val="5296798A"/>
    <w:rsid w:val="52CD36EC"/>
    <w:rsid w:val="52DB5EA3"/>
    <w:rsid w:val="52F855D7"/>
    <w:rsid w:val="53026D37"/>
    <w:rsid w:val="533C5F0A"/>
    <w:rsid w:val="53410631"/>
    <w:rsid w:val="53481103"/>
    <w:rsid w:val="534B5826"/>
    <w:rsid w:val="535260BC"/>
    <w:rsid w:val="535A1227"/>
    <w:rsid w:val="53635000"/>
    <w:rsid w:val="537635C9"/>
    <w:rsid w:val="539C5E1D"/>
    <w:rsid w:val="53C9685F"/>
    <w:rsid w:val="53CD7687"/>
    <w:rsid w:val="53E1454D"/>
    <w:rsid w:val="53E4409E"/>
    <w:rsid w:val="53FA6ABD"/>
    <w:rsid w:val="53FD4F4E"/>
    <w:rsid w:val="54027D1D"/>
    <w:rsid w:val="540E23B6"/>
    <w:rsid w:val="54104AFD"/>
    <w:rsid w:val="541A3397"/>
    <w:rsid w:val="541F7034"/>
    <w:rsid w:val="54414BA6"/>
    <w:rsid w:val="544F504E"/>
    <w:rsid w:val="54710AB2"/>
    <w:rsid w:val="54793936"/>
    <w:rsid w:val="547A6CA8"/>
    <w:rsid w:val="54933372"/>
    <w:rsid w:val="54A13AA7"/>
    <w:rsid w:val="54AA441F"/>
    <w:rsid w:val="54B651F8"/>
    <w:rsid w:val="54E310EF"/>
    <w:rsid w:val="54EC289B"/>
    <w:rsid w:val="551B50EF"/>
    <w:rsid w:val="551B6EC2"/>
    <w:rsid w:val="552065C9"/>
    <w:rsid w:val="55B31433"/>
    <w:rsid w:val="55D4048B"/>
    <w:rsid w:val="55DC6579"/>
    <w:rsid w:val="55E61AD7"/>
    <w:rsid w:val="55E64BF4"/>
    <w:rsid w:val="56341862"/>
    <w:rsid w:val="56392144"/>
    <w:rsid w:val="563F6EFA"/>
    <w:rsid w:val="5646360B"/>
    <w:rsid w:val="56613DFF"/>
    <w:rsid w:val="56730EA8"/>
    <w:rsid w:val="567D723C"/>
    <w:rsid w:val="56841D4B"/>
    <w:rsid w:val="5691395D"/>
    <w:rsid w:val="56924121"/>
    <w:rsid w:val="56AB0B90"/>
    <w:rsid w:val="56C1680E"/>
    <w:rsid w:val="56CB0509"/>
    <w:rsid w:val="56E17D43"/>
    <w:rsid w:val="56E248F4"/>
    <w:rsid w:val="56EB0598"/>
    <w:rsid w:val="57007836"/>
    <w:rsid w:val="570C4194"/>
    <w:rsid w:val="571E4777"/>
    <w:rsid w:val="57232A15"/>
    <w:rsid w:val="57431C73"/>
    <w:rsid w:val="57485924"/>
    <w:rsid w:val="57540CE9"/>
    <w:rsid w:val="57601682"/>
    <w:rsid w:val="57697B5A"/>
    <w:rsid w:val="57700EC4"/>
    <w:rsid w:val="577C530C"/>
    <w:rsid w:val="57800376"/>
    <w:rsid w:val="578B0D08"/>
    <w:rsid w:val="57937F5B"/>
    <w:rsid w:val="579A64E9"/>
    <w:rsid w:val="57A60659"/>
    <w:rsid w:val="57D76201"/>
    <w:rsid w:val="57E62947"/>
    <w:rsid w:val="57F25E86"/>
    <w:rsid w:val="58303E5E"/>
    <w:rsid w:val="583F5E09"/>
    <w:rsid w:val="5852415B"/>
    <w:rsid w:val="5893148F"/>
    <w:rsid w:val="58962B2F"/>
    <w:rsid w:val="589E6FBD"/>
    <w:rsid w:val="58AD0DF8"/>
    <w:rsid w:val="58AF1188"/>
    <w:rsid w:val="58C954DF"/>
    <w:rsid w:val="58D24712"/>
    <w:rsid w:val="58D772FB"/>
    <w:rsid w:val="58DD023B"/>
    <w:rsid w:val="59030A1C"/>
    <w:rsid w:val="59244320"/>
    <w:rsid w:val="592E1BEB"/>
    <w:rsid w:val="592E237C"/>
    <w:rsid w:val="592E760F"/>
    <w:rsid w:val="594746A3"/>
    <w:rsid w:val="594A7951"/>
    <w:rsid w:val="59571551"/>
    <w:rsid w:val="598F6750"/>
    <w:rsid w:val="59EF0DED"/>
    <w:rsid w:val="59FF41DB"/>
    <w:rsid w:val="5A0B34D1"/>
    <w:rsid w:val="5A184997"/>
    <w:rsid w:val="5A4D509E"/>
    <w:rsid w:val="5A616A73"/>
    <w:rsid w:val="5A6337D4"/>
    <w:rsid w:val="5A660D2A"/>
    <w:rsid w:val="5A736072"/>
    <w:rsid w:val="5A83318B"/>
    <w:rsid w:val="5AB410D7"/>
    <w:rsid w:val="5ACD3B16"/>
    <w:rsid w:val="5ACF21D7"/>
    <w:rsid w:val="5AD35148"/>
    <w:rsid w:val="5AD723ED"/>
    <w:rsid w:val="5AE34FA5"/>
    <w:rsid w:val="5AF01909"/>
    <w:rsid w:val="5AFB330C"/>
    <w:rsid w:val="5B180DAA"/>
    <w:rsid w:val="5B1A33D6"/>
    <w:rsid w:val="5B260221"/>
    <w:rsid w:val="5B551CA3"/>
    <w:rsid w:val="5BA47B87"/>
    <w:rsid w:val="5BA830E4"/>
    <w:rsid w:val="5BBC5C84"/>
    <w:rsid w:val="5BE75355"/>
    <w:rsid w:val="5BEF1C73"/>
    <w:rsid w:val="5C053A57"/>
    <w:rsid w:val="5C2E6363"/>
    <w:rsid w:val="5C315571"/>
    <w:rsid w:val="5C4323A0"/>
    <w:rsid w:val="5C465BF0"/>
    <w:rsid w:val="5C604E00"/>
    <w:rsid w:val="5C6921EB"/>
    <w:rsid w:val="5C793C7F"/>
    <w:rsid w:val="5C7E2026"/>
    <w:rsid w:val="5C8F4FA6"/>
    <w:rsid w:val="5CA43950"/>
    <w:rsid w:val="5CC25F6C"/>
    <w:rsid w:val="5CC61BC9"/>
    <w:rsid w:val="5CE3364A"/>
    <w:rsid w:val="5CE870B5"/>
    <w:rsid w:val="5CF81B3A"/>
    <w:rsid w:val="5D0F6503"/>
    <w:rsid w:val="5D176DC3"/>
    <w:rsid w:val="5D273925"/>
    <w:rsid w:val="5D2F3CB0"/>
    <w:rsid w:val="5D3429FB"/>
    <w:rsid w:val="5D3A2E77"/>
    <w:rsid w:val="5D3E11EF"/>
    <w:rsid w:val="5D654CEF"/>
    <w:rsid w:val="5D9B239B"/>
    <w:rsid w:val="5DA00A57"/>
    <w:rsid w:val="5DB7457F"/>
    <w:rsid w:val="5DC22783"/>
    <w:rsid w:val="5DF72A65"/>
    <w:rsid w:val="5E024D73"/>
    <w:rsid w:val="5E0C54F6"/>
    <w:rsid w:val="5E234AF3"/>
    <w:rsid w:val="5E297381"/>
    <w:rsid w:val="5E48511F"/>
    <w:rsid w:val="5E5F5D6D"/>
    <w:rsid w:val="5E872EE8"/>
    <w:rsid w:val="5E9734F2"/>
    <w:rsid w:val="5EAC6329"/>
    <w:rsid w:val="5EC2796C"/>
    <w:rsid w:val="5F282894"/>
    <w:rsid w:val="5F390541"/>
    <w:rsid w:val="5F390C26"/>
    <w:rsid w:val="5F4115CB"/>
    <w:rsid w:val="5F475AD8"/>
    <w:rsid w:val="5F566462"/>
    <w:rsid w:val="5F593FBE"/>
    <w:rsid w:val="5F682E6A"/>
    <w:rsid w:val="5F786AA5"/>
    <w:rsid w:val="5F8D54E0"/>
    <w:rsid w:val="5F9611F4"/>
    <w:rsid w:val="5F9967CE"/>
    <w:rsid w:val="5F9C5D32"/>
    <w:rsid w:val="5FA15A40"/>
    <w:rsid w:val="5FBC7B73"/>
    <w:rsid w:val="5FBE1B3D"/>
    <w:rsid w:val="5FC0131E"/>
    <w:rsid w:val="5FCF34A5"/>
    <w:rsid w:val="5FD4310E"/>
    <w:rsid w:val="60471AEA"/>
    <w:rsid w:val="60495205"/>
    <w:rsid w:val="60673F48"/>
    <w:rsid w:val="606D5311"/>
    <w:rsid w:val="60762C7B"/>
    <w:rsid w:val="60825F1D"/>
    <w:rsid w:val="60A0053E"/>
    <w:rsid w:val="60A16FC2"/>
    <w:rsid w:val="60B109EB"/>
    <w:rsid w:val="60C211B9"/>
    <w:rsid w:val="60D05EF3"/>
    <w:rsid w:val="60E9598D"/>
    <w:rsid w:val="60F10056"/>
    <w:rsid w:val="60F51D20"/>
    <w:rsid w:val="610E3C58"/>
    <w:rsid w:val="611529A3"/>
    <w:rsid w:val="611D6D37"/>
    <w:rsid w:val="61307DBB"/>
    <w:rsid w:val="61315539"/>
    <w:rsid w:val="61366707"/>
    <w:rsid w:val="61454851"/>
    <w:rsid w:val="61571E43"/>
    <w:rsid w:val="616157FF"/>
    <w:rsid w:val="617C2765"/>
    <w:rsid w:val="618D6982"/>
    <w:rsid w:val="618E38D8"/>
    <w:rsid w:val="618F0D2C"/>
    <w:rsid w:val="619A5274"/>
    <w:rsid w:val="61A549DC"/>
    <w:rsid w:val="61AA41D2"/>
    <w:rsid w:val="61B56E55"/>
    <w:rsid w:val="61C01CEA"/>
    <w:rsid w:val="61CB20D0"/>
    <w:rsid w:val="61CF0281"/>
    <w:rsid w:val="61D3181C"/>
    <w:rsid w:val="61D61A75"/>
    <w:rsid w:val="61FA7348"/>
    <w:rsid w:val="62077F35"/>
    <w:rsid w:val="62126170"/>
    <w:rsid w:val="6225378C"/>
    <w:rsid w:val="62276771"/>
    <w:rsid w:val="623B57C4"/>
    <w:rsid w:val="62483BA5"/>
    <w:rsid w:val="6283268E"/>
    <w:rsid w:val="628C129B"/>
    <w:rsid w:val="628E68F6"/>
    <w:rsid w:val="62AF7E63"/>
    <w:rsid w:val="62BD5310"/>
    <w:rsid w:val="62C87FA7"/>
    <w:rsid w:val="62C94400"/>
    <w:rsid w:val="62CF6BDC"/>
    <w:rsid w:val="62D447B0"/>
    <w:rsid w:val="62DC5616"/>
    <w:rsid w:val="62F90833"/>
    <w:rsid w:val="63025794"/>
    <w:rsid w:val="63043D0B"/>
    <w:rsid w:val="630F2DFE"/>
    <w:rsid w:val="633C5EAE"/>
    <w:rsid w:val="633D77DE"/>
    <w:rsid w:val="6340733A"/>
    <w:rsid w:val="635763D7"/>
    <w:rsid w:val="635E17BF"/>
    <w:rsid w:val="63635967"/>
    <w:rsid w:val="63945942"/>
    <w:rsid w:val="63AC441B"/>
    <w:rsid w:val="63B70D7D"/>
    <w:rsid w:val="63BB086B"/>
    <w:rsid w:val="63BF23E1"/>
    <w:rsid w:val="63C13209"/>
    <w:rsid w:val="63CC3428"/>
    <w:rsid w:val="63CE60C7"/>
    <w:rsid w:val="63F57C34"/>
    <w:rsid w:val="63F660ED"/>
    <w:rsid w:val="641471BC"/>
    <w:rsid w:val="642817D2"/>
    <w:rsid w:val="64357312"/>
    <w:rsid w:val="64387BB5"/>
    <w:rsid w:val="644F6CF2"/>
    <w:rsid w:val="6469071A"/>
    <w:rsid w:val="648A7505"/>
    <w:rsid w:val="64936AA6"/>
    <w:rsid w:val="649742EE"/>
    <w:rsid w:val="64B17EC2"/>
    <w:rsid w:val="64BE7F43"/>
    <w:rsid w:val="64DA7F84"/>
    <w:rsid w:val="64E60340"/>
    <w:rsid w:val="65004441"/>
    <w:rsid w:val="65131768"/>
    <w:rsid w:val="65180E48"/>
    <w:rsid w:val="65181CEF"/>
    <w:rsid w:val="6521304E"/>
    <w:rsid w:val="654B3E73"/>
    <w:rsid w:val="654D1364"/>
    <w:rsid w:val="65562818"/>
    <w:rsid w:val="65722708"/>
    <w:rsid w:val="65727259"/>
    <w:rsid w:val="657A3F96"/>
    <w:rsid w:val="657C2411"/>
    <w:rsid w:val="657D61BB"/>
    <w:rsid w:val="65800D13"/>
    <w:rsid w:val="65A70D82"/>
    <w:rsid w:val="65C0179C"/>
    <w:rsid w:val="65D774B5"/>
    <w:rsid w:val="65EF6282"/>
    <w:rsid w:val="6621660D"/>
    <w:rsid w:val="662B5990"/>
    <w:rsid w:val="66381443"/>
    <w:rsid w:val="664F2279"/>
    <w:rsid w:val="66556BD7"/>
    <w:rsid w:val="66666E12"/>
    <w:rsid w:val="666F63CE"/>
    <w:rsid w:val="66846F11"/>
    <w:rsid w:val="668624D5"/>
    <w:rsid w:val="66900A5D"/>
    <w:rsid w:val="66A5276B"/>
    <w:rsid w:val="66BE6753"/>
    <w:rsid w:val="66C831B1"/>
    <w:rsid w:val="66E1788A"/>
    <w:rsid w:val="66EE6340"/>
    <w:rsid w:val="66F92544"/>
    <w:rsid w:val="671B7875"/>
    <w:rsid w:val="672C3885"/>
    <w:rsid w:val="674003AC"/>
    <w:rsid w:val="676665A2"/>
    <w:rsid w:val="676C4108"/>
    <w:rsid w:val="678F34DB"/>
    <w:rsid w:val="67963445"/>
    <w:rsid w:val="67A05AA5"/>
    <w:rsid w:val="67CA18B4"/>
    <w:rsid w:val="67D5211A"/>
    <w:rsid w:val="67E22F21"/>
    <w:rsid w:val="67E82036"/>
    <w:rsid w:val="67EE5AE6"/>
    <w:rsid w:val="682E6ADC"/>
    <w:rsid w:val="685254E7"/>
    <w:rsid w:val="686B1286"/>
    <w:rsid w:val="686E07C3"/>
    <w:rsid w:val="6897240C"/>
    <w:rsid w:val="68973053"/>
    <w:rsid w:val="68A80C0B"/>
    <w:rsid w:val="68AF1317"/>
    <w:rsid w:val="68B735CD"/>
    <w:rsid w:val="68C12C4A"/>
    <w:rsid w:val="68C55FCD"/>
    <w:rsid w:val="68CA45F1"/>
    <w:rsid w:val="68F4158D"/>
    <w:rsid w:val="69075F4F"/>
    <w:rsid w:val="69214D87"/>
    <w:rsid w:val="69286921"/>
    <w:rsid w:val="69292B7B"/>
    <w:rsid w:val="693E0CEB"/>
    <w:rsid w:val="69434640"/>
    <w:rsid w:val="696A2AB4"/>
    <w:rsid w:val="69745CBB"/>
    <w:rsid w:val="698B6555"/>
    <w:rsid w:val="698E2F59"/>
    <w:rsid w:val="6998480A"/>
    <w:rsid w:val="699E44AC"/>
    <w:rsid w:val="69A87A70"/>
    <w:rsid w:val="69B94482"/>
    <w:rsid w:val="69B97845"/>
    <w:rsid w:val="69C86985"/>
    <w:rsid w:val="69E3672B"/>
    <w:rsid w:val="69EF08A0"/>
    <w:rsid w:val="69F074F8"/>
    <w:rsid w:val="6A071B3E"/>
    <w:rsid w:val="6A20664D"/>
    <w:rsid w:val="6A222CC8"/>
    <w:rsid w:val="6A244F7C"/>
    <w:rsid w:val="6A2A1185"/>
    <w:rsid w:val="6A3E7AA4"/>
    <w:rsid w:val="6A8109BD"/>
    <w:rsid w:val="6A841B36"/>
    <w:rsid w:val="6A9D6D58"/>
    <w:rsid w:val="6AA14535"/>
    <w:rsid w:val="6AAD49FF"/>
    <w:rsid w:val="6AAF76AE"/>
    <w:rsid w:val="6AB4293A"/>
    <w:rsid w:val="6AD10581"/>
    <w:rsid w:val="6AE75DAF"/>
    <w:rsid w:val="6AEC6A65"/>
    <w:rsid w:val="6B134A49"/>
    <w:rsid w:val="6B3929BF"/>
    <w:rsid w:val="6B3D6100"/>
    <w:rsid w:val="6B55604F"/>
    <w:rsid w:val="6B6B00A7"/>
    <w:rsid w:val="6B712159"/>
    <w:rsid w:val="6B7B3624"/>
    <w:rsid w:val="6B8745B8"/>
    <w:rsid w:val="6B8B57A5"/>
    <w:rsid w:val="6B9D11F1"/>
    <w:rsid w:val="6BFF0745"/>
    <w:rsid w:val="6C033AC9"/>
    <w:rsid w:val="6C08473F"/>
    <w:rsid w:val="6C280CE3"/>
    <w:rsid w:val="6C40043C"/>
    <w:rsid w:val="6C526844"/>
    <w:rsid w:val="6C57078E"/>
    <w:rsid w:val="6C594EF7"/>
    <w:rsid w:val="6C7475D1"/>
    <w:rsid w:val="6C7D6A96"/>
    <w:rsid w:val="6C96131E"/>
    <w:rsid w:val="6C996A80"/>
    <w:rsid w:val="6CA61396"/>
    <w:rsid w:val="6CAF78AD"/>
    <w:rsid w:val="6CBF6FBD"/>
    <w:rsid w:val="6CC969FF"/>
    <w:rsid w:val="6CCA00FF"/>
    <w:rsid w:val="6CCF239C"/>
    <w:rsid w:val="6CD140BB"/>
    <w:rsid w:val="6CD836BD"/>
    <w:rsid w:val="6CDB125F"/>
    <w:rsid w:val="6CF31255"/>
    <w:rsid w:val="6CFD39B6"/>
    <w:rsid w:val="6D3F5A25"/>
    <w:rsid w:val="6D415A28"/>
    <w:rsid w:val="6D5F18A7"/>
    <w:rsid w:val="6D6F4B44"/>
    <w:rsid w:val="6D73311A"/>
    <w:rsid w:val="6D79562F"/>
    <w:rsid w:val="6D8200F2"/>
    <w:rsid w:val="6D834BD1"/>
    <w:rsid w:val="6D8769F6"/>
    <w:rsid w:val="6D877FD2"/>
    <w:rsid w:val="6DB63E53"/>
    <w:rsid w:val="6DB8406F"/>
    <w:rsid w:val="6DBA6E06"/>
    <w:rsid w:val="6DC04875"/>
    <w:rsid w:val="6DEF3809"/>
    <w:rsid w:val="6DF32963"/>
    <w:rsid w:val="6DF70E31"/>
    <w:rsid w:val="6DFF42D6"/>
    <w:rsid w:val="6E0C71D3"/>
    <w:rsid w:val="6E3A18FC"/>
    <w:rsid w:val="6E4E782B"/>
    <w:rsid w:val="6E9248C1"/>
    <w:rsid w:val="6E9A22DC"/>
    <w:rsid w:val="6E9A2535"/>
    <w:rsid w:val="6EAC7D87"/>
    <w:rsid w:val="6EC07D21"/>
    <w:rsid w:val="6ECA29B6"/>
    <w:rsid w:val="6ED21161"/>
    <w:rsid w:val="6EEA496C"/>
    <w:rsid w:val="6EF215BE"/>
    <w:rsid w:val="6F031E08"/>
    <w:rsid w:val="6F066E71"/>
    <w:rsid w:val="6F1B47FB"/>
    <w:rsid w:val="6F342F8F"/>
    <w:rsid w:val="6F364B92"/>
    <w:rsid w:val="6F3E0A9D"/>
    <w:rsid w:val="6F780CC0"/>
    <w:rsid w:val="6F7C5FB3"/>
    <w:rsid w:val="6F850F57"/>
    <w:rsid w:val="6F9B497F"/>
    <w:rsid w:val="6FB51799"/>
    <w:rsid w:val="6FC0060D"/>
    <w:rsid w:val="6FDF6A27"/>
    <w:rsid w:val="70332A0E"/>
    <w:rsid w:val="705A4AB9"/>
    <w:rsid w:val="707F09CE"/>
    <w:rsid w:val="70892425"/>
    <w:rsid w:val="70893CDB"/>
    <w:rsid w:val="70D06C34"/>
    <w:rsid w:val="70D955BC"/>
    <w:rsid w:val="70EB2356"/>
    <w:rsid w:val="70FC4273"/>
    <w:rsid w:val="71071DB5"/>
    <w:rsid w:val="711067DD"/>
    <w:rsid w:val="71311E54"/>
    <w:rsid w:val="71337961"/>
    <w:rsid w:val="713D3B24"/>
    <w:rsid w:val="714F1755"/>
    <w:rsid w:val="715A2D12"/>
    <w:rsid w:val="716A3D5A"/>
    <w:rsid w:val="71B4219A"/>
    <w:rsid w:val="71D95376"/>
    <w:rsid w:val="71D9745D"/>
    <w:rsid w:val="71DE6BCA"/>
    <w:rsid w:val="71F0059B"/>
    <w:rsid w:val="71F271C3"/>
    <w:rsid w:val="71F31B1A"/>
    <w:rsid w:val="72303BB4"/>
    <w:rsid w:val="72407638"/>
    <w:rsid w:val="7263315D"/>
    <w:rsid w:val="72772A22"/>
    <w:rsid w:val="728B02DD"/>
    <w:rsid w:val="729146B0"/>
    <w:rsid w:val="72AE419A"/>
    <w:rsid w:val="72D75341"/>
    <w:rsid w:val="72E33BC2"/>
    <w:rsid w:val="72E7537F"/>
    <w:rsid w:val="730E66A8"/>
    <w:rsid w:val="734327B4"/>
    <w:rsid w:val="73465FB1"/>
    <w:rsid w:val="734E19E4"/>
    <w:rsid w:val="7361619B"/>
    <w:rsid w:val="736A6EC9"/>
    <w:rsid w:val="73783004"/>
    <w:rsid w:val="737D6629"/>
    <w:rsid w:val="73865EE2"/>
    <w:rsid w:val="739C403B"/>
    <w:rsid w:val="73B624A6"/>
    <w:rsid w:val="73B810FD"/>
    <w:rsid w:val="73C300B6"/>
    <w:rsid w:val="73C34F7F"/>
    <w:rsid w:val="73C9192C"/>
    <w:rsid w:val="73D04B66"/>
    <w:rsid w:val="73D72D76"/>
    <w:rsid w:val="73DD310D"/>
    <w:rsid w:val="73F71E4C"/>
    <w:rsid w:val="74022CDF"/>
    <w:rsid w:val="742E4648"/>
    <w:rsid w:val="744F7E45"/>
    <w:rsid w:val="74540290"/>
    <w:rsid w:val="7454748A"/>
    <w:rsid w:val="74554334"/>
    <w:rsid w:val="74747C4D"/>
    <w:rsid w:val="74831D7C"/>
    <w:rsid w:val="748B1724"/>
    <w:rsid w:val="74911176"/>
    <w:rsid w:val="74982D5C"/>
    <w:rsid w:val="74A52122"/>
    <w:rsid w:val="74A8717C"/>
    <w:rsid w:val="74CD66DA"/>
    <w:rsid w:val="74D54275"/>
    <w:rsid w:val="74DB4066"/>
    <w:rsid w:val="74EC6829"/>
    <w:rsid w:val="74FA6A2D"/>
    <w:rsid w:val="750F1D56"/>
    <w:rsid w:val="751723B2"/>
    <w:rsid w:val="75315D64"/>
    <w:rsid w:val="753334F0"/>
    <w:rsid w:val="753A32A4"/>
    <w:rsid w:val="755A3B76"/>
    <w:rsid w:val="757E3092"/>
    <w:rsid w:val="75816C6B"/>
    <w:rsid w:val="758455D8"/>
    <w:rsid w:val="75846F2D"/>
    <w:rsid w:val="759D44B9"/>
    <w:rsid w:val="75A12DC3"/>
    <w:rsid w:val="75EB01CC"/>
    <w:rsid w:val="75ED24F3"/>
    <w:rsid w:val="75EE730D"/>
    <w:rsid w:val="76427E94"/>
    <w:rsid w:val="76576545"/>
    <w:rsid w:val="76583239"/>
    <w:rsid w:val="766414E0"/>
    <w:rsid w:val="76694BEC"/>
    <w:rsid w:val="768F01D0"/>
    <w:rsid w:val="76903A3A"/>
    <w:rsid w:val="76AF1CE3"/>
    <w:rsid w:val="76DF0DE6"/>
    <w:rsid w:val="76FC4623"/>
    <w:rsid w:val="77162E0A"/>
    <w:rsid w:val="772F12E8"/>
    <w:rsid w:val="773540FC"/>
    <w:rsid w:val="773D5787"/>
    <w:rsid w:val="775774A3"/>
    <w:rsid w:val="775C3CBE"/>
    <w:rsid w:val="775E54D7"/>
    <w:rsid w:val="77645FD0"/>
    <w:rsid w:val="778812A1"/>
    <w:rsid w:val="77986863"/>
    <w:rsid w:val="779A32B9"/>
    <w:rsid w:val="779A525D"/>
    <w:rsid w:val="779B11FF"/>
    <w:rsid w:val="779D7E32"/>
    <w:rsid w:val="77A35233"/>
    <w:rsid w:val="77AF697A"/>
    <w:rsid w:val="77BC6BF0"/>
    <w:rsid w:val="77F86D88"/>
    <w:rsid w:val="780F6F82"/>
    <w:rsid w:val="7816722E"/>
    <w:rsid w:val="78230F6D"/>
    <w:rsid w:val="78271C6C"/>
    <w:rsid w:val="78397B5B"/>
    <w:rsid w:val="784F3822"/>
    <w:rsid w:val="785038A4"/>
    <w:rsid w:val="786332DB"/>
    <w:rsid w:val="78673C28"/>
    <w:rsid w:val="786B7CDB"/>
    <w:rsid w:val="786C3EF8"/>
    <w:rsid w:val="788D220A"/>
    <w:rsid w:val="78971491"/>
    <w:rsid w:val="78983F9A"/>
    <w:rsid w:val="78AC4F9F"/>
    <w:rsid w:val="78B454EE"/>
    <w:rsid w:val="78BB2CCC"/>
    <w:rsid w:val="790542CC"/>
    <w:rsid w:val="790E700F"/>
    <w:rsid w:val="791217C3"/>
    <w:rsid w:val="79140292"/>
    <w:rsid w:val="791B71F3"/>
    <w:rsid w:val="79345B1F"/>
    <w:rsid w:val="7936556A"/>
    <w:rsid w:val="793A225F"/>
    <w:rsid w:val="79813307"/>
    <w:rsid w:val="799D3A06"/>
    <w:rsid w:val="79A135E2"/>
    <w:rsid w:val="79AD081F"/>
    <w:rsid w:val="79AF0529"/>
    <w:rsid w:val="79B134E0"/>
    <w:rsid w:val="79B55330"/>
    <w:rsid w:val="79C776C3"/>
    <w:rsid w:val="79D11563"/>
    <w:rsid w:val="79D76C5A"/>
    <w:rsid w:val="79F20CF7"/>
    <w:rsid w:val="7A057CDD"/>
    <w:rsid w:val="7A076FC8"/>
    <w:rsid w:val="7A11541D"/>
    <w:rsid w:val="7A2D2F8F"/>
    <w:rsid w:val="7A50553D"/>
    <w:rsid w:val="7A5946C2"/>
    <w:rsid w:val="7A5C5D83"/>
    <w:rsid w:val="7A7E2DD2"/>
    <w:rsid w:val="7A8C38B5"/>
    <w:rsid w:val="7A8C4C4A"/>
    <w:rsid w:val="7A9D1510"/>
    <w:rsid w:val="7AA45EA9"/>
    <w:rsid w:val="7AC8367A"/>
    <w:rsid w:val="7AD10C46"/>
    <w:rsid w:val="7B074467"/>
    <w:rsid w:val="7B330D1E"/>
    <w:rsid w:val="7B570B03"/>
    <w:rsid w:val="7B605BCD"/>
    <w:rsid w:val="7B612779"/>
    <w:rsid w:val="7B8E4662"/>
    <w:rsid w:val="7B936E8B"/>
    <w:rsid w:val="7B9C4976"/>
    <w:rsid w:val="7B9F791F"/>
    <w:rsid w:val="7B9F7A32"/>
    <w:rsid w:val="7BA3094A"/>
    <w:rsid w:val="7BB35E76"/>
    <w:rsid w:val="7BD7422A"/>
    <w:rsid w:val="7BE20509"/>
    <w:rsid w:val="7BF90A9A"/>
    <w:rsid w:val="7BFE72E4"/>
    <w:rsid w:val="7C155842"/>
    <w:rsid w:val="7C161A73"/>
    <w:rsid w:val="7C280982"/>
    <w:rsid w:val="7C725C0E"/>
    <w:rsid w:val="7C791157"/>
    <w:rsid w:val="7C977546"/>
    <w:rsid w:val="7CB3135A"/>
    <w:rsid w:val="7CB83C04"/>
    <w:rsid w:val="7CC12815"/>
    <w:rsid w:val="7CC560F2"/>
    <w:rsid w:val="7CF33A85"/>
    <w:rsid w:val="7D0C7F34"/>
    <w:rsid w:val="7D0E718A"/>
    <w:rsid w:val="7D451B73"/>
    <w:rsid w:val="7D4A0A5C"/>
    <w:rsid w:val="7D4E1DFC"/>
    <w:rsid w:val="7D6D1526"/>
    <w:rsid w:val="7D7B509E"/>
    <w:rsid w:val="7D7B6E92"/>
    <w:rsid w:val="7D7C6BC7"/>
    <w:rsid w:val="7D7D74BF"/>
    <w:rsid w:val="7D7E22C3"/>
    <w:rsid w:val="7DA261EB"/>
    <w:rsid w:val="7DA30C24"/>
    <w:rsid w:val="7DA44F44"/>
    <w:rsid w:val="7DAF32A7"/>
    <w:rsid w:val="7DB46964"/>
    <w:rsid w:val="7DBA0086"/>
    <w:rsid w:val="7DD07A3C"/>
    <w:rsid w:val="7DDC313C"/>
    <w:rsid w:val="7DEC7DC1"/>
    <w:rsid w:val="7DF764EE"/>
    <w:rsid w:val="7E0E24F7"/>
    <w:rsid w:val="7E266FD9"/>
    <w:rsid w:val="7E463BAB"/>
    <w:rsid w:val="7E497391"/>
    <w:rsid w:val="7E5E4D2C"/>
    <w:rsid w:val="7E631DD5"/>
    <w:rsid w:val="7E660615"/>
    <w:rsid w:val="7E662A6F"/>
    <w:rsid w:val="7E7A6412"/>
    <w:rsid w:val="7E8637BC"/>
    <w:rsid w:val="7E95016C"/>
    <w:rsid w:val="7EA37ED4"/>
    <w:rsid w:val="7EC93215"/>
    <w:rsid w:val="7ECF1219"/>
    <w:rsid w:val="7ED842ED"/>
    <w:rsid w:val="7EE9358F"/>
    <w:rsid w:val="7EF004DC"/>
    <w:rsid w:val="7EFC6E1B"/>
    <w:rsid w:val="7EFE5869"/>
    <w:rsid w:val="7F2262FC"/>
    <w:rsid w:val="7F327FB4"/>
    <w:rsid w:val="7F64578F"/>
    <w:rsid w:val="7F6C2F0C"/>
    <w:rsid w:val="7F9E68B9"/>
    <w:rsid w:val="7FB21591"/>
    <w:rsid w:val="7FC41F90"/>
    <w:rsid w:val="7FCA6E04"/>
    <w:rsid w:val="7FE27A53"/>
    <w:rsid w:val="7FEA3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link w:val="45"/>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Salutation"/>
    <w:basedOn w:val="1"/>
    <w:next w:val="1"/>
    <w:qFormat/>
    <w:uiPriority w:val="0"/>
    <w:rPr>
      <w:sz w:val="30"/>
      <w:szCs w:val="30"/>
    </w:rPr>
  </w:style>
  <w:style w:type="paragraph" w:styleId="6">
    <w:name w:val="Body Text"/>
    <w:basedOn w:val="1"/>
    <w:link w:val="28"/>
    <w:qFormat/>
    <w:uiPriority w:val="0"/>
    <w:rPr>
      <w:rFonts w:ascii="仿宋_GB2312" w:eastAsia="仿宋_GB2312"/>
      <w:sz w:val="28"/>
    </w:rPr>
  </w:style>
  <w:style w:type="paragraph" w:styleId="7">
    <w:name w:val="Body Text Indent"/>
    <w:basedOn w:val="1"/>
    <w:qFormat/>
    <w:uiPriority w:val="0"/>
    <w:pPr>
      <w:spacing w:after="120"/>
      <w:ind w:left="420" w:leftChars="200"/>
    </w:pPr>
  </w:style>
  <w:style w:type="paragraph" w:styleId="8">
    <w:name w:val="Plain Text"/>
    <w:basedOn w:val="1"/>
    <w:link w:val="27"/>
    <w:qFormat/>
    <w:uiPriority w:val="0"/>
    <w:rPr>
      <w:rFonts w:ascii="宋体" w:hAnsi="Courier New"/>
    </w:rPr>
  </w:style>
  <w:style w:type="paragraph" w:styleId="9">
    <w:name w:val="Date"/>
    <w:basedOn w:val="1"/>
    <w:next w:val="1"/>
    <w:qFormat/>
    <w:uiPriority w:val="0"/>
    <w:pPr>
      <w:ind w:left="100" w:leftChars="2500"/>
    </w:pPr>
  </w:style>
  <w:style w:type="paragraph" w:styleId="10">
    <w:name w:val="Body Text Indent 2"/>
    <w:basedOn w:val="1"/>
    <w:link w:val="30"/>
    <w:qFormat/>
    <w:uiPriority w:val="0"/>
    <w:pPr>
      <w:spacing w:after="120" w:line="480" w:lineRule="auto"/>
      <w:ind w:left="420" w:leftChars="200"/>
    </w:pPr>
  </w:style>
  <w:style w:type="paragraph" w:styleId="11">
    <w:name w:val="Balloon Text"/>
    <w:basedOn w:val="1"/>
    <w:qFormat/>
    <w:uiPriority w:val="0"/>
    <w:rPr>
      <w:sz w:val="18"/>
    </w:rPr>
  </w:style>
  <w:style w:type="paragraph" w:styleId="12">
    <w:name w:val="footer"/>
    <w:basedOn w:val="1"/>
    <w:link w:val="35"/>
    <w:qFormat/>
    <w:uiPriority w:val="99"/>
    <w:pPr>
      <w:tabs>
        <w:tab w:val="center" w:pos="4153"/>
        <w:tab w:val="right" w:pos="8306"/>
      </w:tabs>
      <w:snapToGrid w:val="0"/>
      <w:jc w:val="left"/>
    </w:pPr>
    <w:rPr>
      <w:sz w:val="18"/>
    </w:rPr>
  </w:style>
  <w:style w:type="paragraph" w:styleId="13">
    <w:name w:val="header"/>
    <w:basedOn w:val="1"/>
    <w:link w:val="33"/>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Body Text Indent 3"/>
    <w:basedOn w:val="1"/>
    <w:qFormat/>
    <w:uiPriority w:val="0"/>
    <w:pPr>
      <w:snapToGrid w:val="0"/>
      <w:spacing w:line="288" w:lineRule="auto"/>
      <w:ind w:firstLine="560" w:firstLineChars="200"/>
    </w:pPr>
    <w:rPr>
      <w:rFonts w:ascii="宋体" w:hAnsi="宋体"/>
      <w:sz w:val="28"/>
    </w:rPr>
  </w:style>
  <w:style w:type="paragraph" w:styleId="16">
    <w:name w:val="toc 2"/>
    <w:basedOn w:val="1"/>
    <w:next w:val="1"/>
    <w:qFormat/>
    <w:uiPriority w:val="0"/>
    <w:pPr>
      <w:ind w:left="420" w:leftChars="200"/>
    </w:pPr>
  </w:style>
  <w:style w:type="paragraph" w:styleId="17">
    <w:name w:val="Body Text 2"/>
    <w:basedOn w:val="1"/>
    <w:link w:val="34"/>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annotation subject"/>
    <w:basedOn w:val="4"/>
    <w:next w:val="4"/>
    <w:qFormat/>
    <w:uiPriority w:val="0"/>
    <w:rPr>
      <w:b/>
    </w:rPr>
  </w:style>
  <w:style w:type="table" w:styleId="22">
    <w:name w:val="Table Grid"/>
    <w:basedOn w:val="21"/>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page number"/>
    <w:basedOn w:val="23"/>
    <w:qFormat/>
    <w:uiPriority w:val="0"/>
  </w:style>
  <w:style w:type="character" w:styleId="25">
    <w:name w:val="Hyperlink"/>
    <w:basedOn w:val="23"/>
    <w:qFormat/>
    <w:uiPriority w:val="0"/>
    <w:rPr>
      <w:color w:val="0000FF"/>
      <w:u w:val="none"/>
    </w:rPr>
  </w:style>
  <w:style w:type="character" w:styleId="26">
    <w:name w:val="annotation reference"/>
    <w:basedOn w:val="23"/>
    <w:qFormat/>
    <w:uiPriority w:val="0"/>
    <w:rPr>
      <w:sz w:val="21"/>
    </w:rPr>
  </w:style>
  <w:style w:type="character" w:customStyle="1" w:styleId="27">
    <w:name w:val="纯文本 Char"/>
    <w:basedOn w:val="23"/>
    <w:link w:val="8"/>
    <w:qFormat/>
    <w:uiPriority w:val="0"/>
    <w:rPr>
      <w:rFonts w:hAnsi="Courier New"/>
      <w:kern w:val="2"/>
      <w:sz w:val="21"/>
      <w:szCs w:val="24"/>
    </w:rPr>
  </w:style>
  <w:style w:type="character" w:customStyle="1" w:styleId="28">
    <w:name w:val="正文文本 Char"/>
    <w:basedOn w:val="23"/>
    <w:link w:val="6"/>
    <w:qFormat/>
    <w:uiPriority w:val="0"/>
    <w:rPr>
      <w:rFonts w:ascii="仿宋_GB2312" w:eastAsia="仿宋_GB2312"/>
      <w:kern w:val="2"/>
      <w:sz w:val="28"/>
      <w:szCs w:val="24"/>
    </w:rPr>
  </w:style>
  <w:style w:type="character" w:customStyle="1" w:styleId="29">
    <w:name w:val="font41"/>
    <w:basedOn w:val="23"/>
    <w:qFormat/>
    <w:uiPriority w:val="0"/>
    <w:rPr>
      <w:rFonts w:hint="eastAsia" w:ascii="宋体" w:hAnsi="宋体" w:eastAsia="宋体"/>
      <w:color w:val="000000"/>
      <w:sz w:val="20"/>
      <w:szCs w:val="20"/>
      <w:u w:val="none"/>
    </w:rPr>
  </w:style>
  <w:style w:type="character" w:customStyle="1" w:styleId="30">
    <w:name w:val="正文文本缩进 2 Char"/>
    <w:basedOn w:val="23"/>
    <w:link w:val="10"/>
    <w:qFormat/>
    <w:uiPriority w:val="0"/>
    <w:rPr>
      <w:kern w:val="2"/>
      <w:sz w:val="21"/>
      <w:szCs w:val="24"/>
    </w:rPr>
  </w:style>
  <w:style w:type="character" w:customStyle="1" w:styleId="31">
    <w:name w:val="font71"/>
    <w:basedOn w:val="23"/>
    <w:qFormat/>
    <w:uiPriority w:val="0"/>
    <w:rPr>
      <w:rFonts w:hint="default" w:ascii="Times New Roman" w:hAnsi="Times New Roman" w:cs="Times New Roman"/>
      <w:color w:val="000000"/>
      <w:sz w:val="20"/>
      <w:szCs w:val="20"/>
      <w:u w:val="none"/>
    </w:rPr>
  </w:style>
  <w:style w:type="character" w:customStyle="1" w:styleId="32">
    <w:name w:val="font01"/>
    <w:basedOn w:val="23"/>
    <w:qFormat/>
    <w:uiPriority w:val="0"/>
    <w:rPr>
      <w:rFonts w:hint="default" w:ascii="Times New Roman" w:hAnsi="Times New Roman" w:cs="Times New Roman"/>
      <w:color w:val="000000"/>
      <w:sz w:val="24"/>
      <w:szCs w:val="24"/>
      <w:u w:val="none"/>
    </w:rPr>
  </w:style>
  <w:style w:type="character" w:customStyle="1" w:styleId="33">
    <w:name w:val="页眉 Char"/>
    <w:basedOn w:val="23"/>
    <w:link w:val="13"/>
    <w:qFormat/>
    <w:uiPriority w:val="99"/>
    <w:rPr>
      <w:kern w:val="2"/>
      <w:sz w:val="18"/>
      <w:szCs w:val="24"/>
    </w:rPr>
  </w:style>
  <w:style w:type="character" w:customStyle="1" w:styleId="34">
    <w:name w:val="正文文本 2 Char"/>
    <w:basedOn w:val="23"/>
    <w:link w:val="17"/>
    <w:qFormat/>
    <w:uiPriority w:val="0"/>
    <w:rPr>
      <w:kern w:val="2"/>
      <w:sz w:val="21"/>
      <w:szCs w:val="24"/>
    </w:rPr>
  </w:style>
  <w:style w:type="character" w:customStyle="1" w:styleId="35">
    <w:name w:val="页脚 Char"/>
    <w:basedOn w:val="23"/>
    <w:link w:val="12"/>
    <w:qFormat/>
    <w:uiPriority w:val="99"/>
    <w:rPr>
      <w:kern w:val="2"/>
      <w:sz w:val="18"/>
      <w:szCs w:val="24"/>
    </w:rPr>
  </w:style>
  <w:style w:type="character" w:customStyle="1" w:styleId="36">
    <w:name w:val="font21"/>
    <w:basedOn w:val="23"/>
    <w:qFormat/>
    <w:uiPriority w:val="0"/>
    <w:rPr>
      <w:rFonts w:hint="default" w:ascii="仿宋" w:hAnsi="仿宋" w:eastAsia="仿宋" w:cs="仿宋"/>
      <w:color w:val="000000"/>
      <w:sz w:val="24"/>
      <w:szCs w:val="24"/>
      <w:u w:val="none"/>
    </w:rPr>
  </w:style>
  <w:style w:type="paragraph" w:customStyle="1" w:styleId="37">
    <w:name w:val="p0"/>
    <w:basedOn w:val="1"/>
    <w:qFormat/>
    <w:uiPriority w:val="0"/>
    <w:pPr>
      <w:widowControl/>
      <w:jc w:val="left"/>
    </w:pPr>
    <w:rPr>
      <w:kern w:val="0"/>
      <w:sz w:val="20"/>
    </w:rPr>
  </w:style>
  <w:style w:type="paragraph" w:customStyle="1" w:styleId="38">
    <w:name w:val="Char Char Char1 Char Char Char Char"/>
    <w:basedOn w:val="1"/>
    <w:qFormat/>
    <w:uiPriority w:val="0"/>
    <w:rPr>
      <w:rFonts w:ascii="宋体" w:hAnsi="宋体" w:cs="Courier New"/>
      <w:sz w:val="32"/>
      <w:szCs w:val="32"/>
    </w:rPr>
  </w:style>
  <w:style w:type="paragraph" w:customStyle="1" w:styleId="39">
    <w:name w:val="样式3"/>
    <w:basedOn w:val="1"/>
    <w:qFormat/>
    <w:uiPriority w:val="0"/>
    <w:pPr>
      <w:jc w:val="center"/>
    </w:pPr>
    <w:rPr>
      <w:rFonts w:ascii="宋体"/>
      <w:spacing w:val="6"/>
      <w:szCs w:val="20"/>
    </w:rPr>
  </w:style>
  <w:style w:type="table" w:customStyle="1" w:styleId="40">
    <w:name w:val="网格型1"/>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1">
    <w:name w:val="font31"/>
    <w:basedOn w:val="23"/>
    <w:qFormat/>
    <w:uiPriority w:val="0"/>
    <w:rPr>
      <w:rFonts w:hint="eastAsia" w:ascii="宋体" w:hAnsi="宋体" w:eastAsia="宋体" w:cs="宋体"/>
      <w:color w:val="000000"/>
      <w:sz w:val="20"/>
      <w:szCs w:val="20"/>
      <w:u w:val="none"/>
    </w:rPr>
  </w:style>
  <w:style w:type="character" w:customStyle="1" w:styleId="42">
    <w:name w:val="font11"/>
    <w:qFormat/>
    <w:uiPriority w:val="0"/>
    <w:rPr>
      <w:rFonts w:ascii="宋体" w:hAnsi="宋体" w:eastAsia="宋体" w:cs="宋体"/>
      <w:color w:val="000000"/>
      <w:sz w:val="20"/>
      <w:szCs w:val="20"/>
      <w:u w:val="none"/>
    </w:rPr>
  </w:style>
  <w:style w:type="paragraph" w:styleId="43">
    <w:name w:val="List Paragraph"/>
    <w:basedOn w:val="1"/>
    <w:qFormat/>
    <w:uiPriority w:val="99"/>
    <w:pPr>
      <w:ind w:firstLine="420" w:firstLineChars="200"/>
    </w:pPr>
  </w:style>
  <w:style w:type="character" w:customStyle="1" w:styleId="44">
    <w:name w:val="标题 3 Char"/>
    <w:basedOn w:val="23"/>
    <w:link w:val="3"/>
    <w:qFormat/>
    <w:uiPriority w:val="0"/>
    <w:rPr>
      <w:b/>
      <w:bCs/>
      <w:sz w:val="32"/>
      <w:szCs w:val="32"/>
    </w:rPr>
  </w:style>
  <w:style w:type="character" w:customStyle="1" w:styleId="45">
    <w:name w:val="Heading 3 Char"/>
    <w:basedOn w:val="23"/>
    <w:link w:val="3"/>
    <w:qFormat/>
    <w:locked/>
    <w:uiPriority w:val="99"/>
    <w:rPr>
      <w:rFonts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Pages>
  <Words>7522</Words>
  <Characters>8164</Characters>
  <Lines>61</Lines>
  <Paragraphs>17</Paragraphs>
  <TotalTime>1</TotalTime>
  <ScaleCrop>false</ScaleCrop>
  <LinksUpToDate>false</LinksUpToDate>
  <CharactersWithSpaces>8255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Administrator</cp:lastModifiedBy>
  <cp:lastPrinted>2020-10-30T07:29:00Z</cp:lastPrinted>
  <dcterms:modified xsi:type="dcterms:W3CDTF">2022-08-04T00:36:29Z</dcterms:modified>
  <dc:title>××司法鉴定中心司法鉴定意见书</dc:title>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955F3B84031D44D2ABA9335B2F58DB8A</vt:lpwstr>
  </property>
</Properties>
</file>