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6" w:rsidRDefault="00063870">
      <w:pPr>
        <w:rPr>
          <w:rFonts w:ascii="Tahoma" w:hAnsi="Tahoma"/>
          <w:sz w:val="24"/>
        </w:rPr>
      </w:pPr>
      <w:r>
        <w:rPr>
          <w:rFonts w:ascii="Tahoma" w:hAnsi="Tahoma"/>
          <w:sz w:val="24"/>
        </w:rPr>
        <w:pict>
          <v:shapetype id="_x0000_t202" coordsize="21600,21600" o:spt="202" path="m,l,21600r21600,l21600,xe">
            <v:stroke joinstyle="miter"/>
            <v:path gradientshapeok="t" o:connecttype="rect"/>
          </v:shapetype>
          <v:shape id="文本框 2" o:spid="_x0000_s1030" type="#_x0000_t202" style="position:absolute;left:0;text-align:left;margin-left:-2.5pt;margin-top:6.7pt;width:112.7pt;height:94.85pt;z-index:251659264;mso-width-relative:margin;mso-height-relative:margin" strokecolor="white">
            <v:textbox>
              <w:txbxContent>
                <w:p w:rsidR="002A38E6" w:rsidRDefault="002A38E6"/>
              </w:txbxContent>
            </v:textbox>
          </v:shape>
        </w:pict>
      </w:r>
    </w:p>
    <w:p w:rsidR="005C10E6" w:rsidRDefault="005C10E6">
      <w:pPr>
        <w:rPr>
          <w:rFonts w:ascii="Tahoma" w:hAnsi="Tahoma"/>
          <w:sz w:val="24"/>
        </w:rPr>
      </w:pPr>
    </w:p>
    <w:p w:rsidR="005C10E6" w:rsidRDefault="005C10E6">
      <w:pPr>
        <w:rPr>
          <w:rFonts w:ascii="Tahoma" w:hAnsi="Tahoma"/>
          <w:sz w:val="24"/>
        </w:rPr>
      </w:pPr>
    </w:p>
    <w:p w:rsidR="005C10E6" w:rsidRDefault="005C10E6">
      <w:pPr>
        <w:rPr>
          <w:rFonts w:ascii="Tahoma" w:hAnsi="Tahoma"/>
          <w:sz w:val="24"/>
        </w:rPr>
      </w:pPr>
    </w:p>
    <w:p w:rsidR="005C10E6" w:rsidRDefault="005C10E6">
      <w:pPr>
        <w:rPr>
          <w:rFonts w:ascii="Tahoma" w:hAnsi="Tahoma"/>
          <w:sz w:val="24"/>
        </w:rPr>
      </w:pPr>
    </w:p>
    <w:p w:rsidR="005C10E6" w:rsidRDefault="005C10E6">
      <w:pPr>
        <w:rPr>
          <w:rFonts w:ascii="Tahoma" w:hAnsi="Tahoma"/>
          <w:sz w:val="24"/>
        </w:rPr>
      </w:pPr>
    </w:p>
    <w:p w:rsidR="005C10E6" w:rsidRDefault="005C10E6">
      <w:pPr>
        <w:jc w:val="center"/>
        <w:rPr>
          <w:rFonts w:ascii="黑体" w:eastAsia="黑体" w:hAnsi="宋体"/>
          <w:b/>
          <w:bCs/>
          <w:sz w:val="44"/>
          <w:szCs w:val="44"/>
        </w:rPr>
      </w:pPr>
    </w:p>
    <w:p w:rsidR="002F0BF5" w:rsidRDefault="002F0BF5">
      <w:pPr>
        <w:jc w:val="center"/>
        <w:rPr>
          <w:rFonts w:ascii="黑体" w:eastAsia="黑体" w:hAnsi="宋体"/>
          <w:b/>
          <w:bCs/>
          <w:sz w:val="44"/>
          <w:szCs w:val="44"/>
        </w:rPr>
      </w:pPr>
    </w:p>
    <w:p w:rsidR="005C10E6" w:rsidRDefault="005C10E6">
      <w:pPr>
        <w:jc w:val="center"/>
        <w:rPr>
          <w:rFonts w:ascii="黑体" w:eastAsia="黑体" w:hAnsi="宋体"/>
          <w:b/>
          <w:bCs/>
          <w:sz w:val="44"/>
          <w:szCs w:val="44"/>
        </w:rPr>
      </w:pPr>
    </w:p>
    <w:p w:rsidR="00534E84" w:rsidRPr="002F0BF5" w:rsidRDefault="00534E84" w:rsidP="00534E84">
      <w:pPr>
        <w:jc w:val="center"/>
        <w:rPr>
          <w:rFonts w:ascii="黑体" w:eastAsia="黑体" w:hAnsi="黑体"/>
          <w:b/>
          <w:bCs/>
          <w:sz w:val="44"/>
          <w:szCs w:val="44"/>
        </w:rPr>
      </w:pPr>
      <w:r w:rsidRPr="002F0BF5">
        <w:rPr>
          <w:rFonts w:ascii="黑体" w:eastAsia="黑体" w:hAnsi="黑体" w:hint="eastAsia"/>
          <w:b/>
          <w:bCs/>
          <w:sz w:val="40"/>
          <w:szCs w:val="44"/>
        </w:rPr>
        <w:t>涉执房地产处置司法评估报告</w:t>
      </w:r>
    </w:p>
    <w:p w:rsidR="005C10E6" w:rsidRPr="002F0BF5" w:rsidRDefault="005C10E6">
      <w:pPr>
        <w:pStyle w:val="11"/>
        <w:spacing w:after="0" w:line="720" w:lineRule="auto"/>
        <w:ind w:rightChars="552" w:right="1159" w:firstLineChars="0" w:firstLine="0"/>
        <w:rPr>
          <w:rFonts w:ascii="宋体" w:hAnsi="宋体"/>
          <w:b/>
          <w:sz w:val="24"/>
        </w:rPr>
      </w:pPr>
    </w:p>
    <w:p w:rsidR="005C10E6" w:rsidRPr="002F0BF5" w:rsidRDefault="00625BC2">
      <w:pPr>
        <w:pStyle w:val="11"/>
        <w:spacing w:after="0" w:line="720" w:lineRule="auto"/>
        <w:ind w:leftChars="338" w:left="4673" w:rightChars="552" w:right="1159" w:hangingChars="1645" w:hanging="3963"/>
        <w:rPr>
          <w:rFonts w:ascii="宋体" w:hAnsi="宋体"/>
          <w:b/>
          <w:sz w:val="24"/>
        </w:rPr>
      </w:pPr>
      <w:r w:rsidRPr="002F0BF5">
        <w:rPr>
          <w:rFonts w:ascii="宋体" w:hAnsi="宋体" w:hint="eastAsia"/>
          <w:b/>
          <w:sz w:val="24"/>
        </w:rPr>
        <w:t>估价报告编号：晋弘房估字第(2022)-112</w:t>
      </w:r>
      <w:r w:rsidRPr="002F0BF5">
        <w:rPr>
          <w:rFonts w:ascii="宋体" w:hAnsi="宋体"/>
          <w:b/>
          <w:sz w:val="24"/>
        </w:rPr>
        <w:t>1</w:t>
      </w:r>
      <w:r w:rsidRPr="002F0BF5">
        <w:rPr>
          <w:rFonts w:ascii="宋体" w:hAnsi="宋体" w:hint="eastAsia"/>
          <w:b/>
          <w:sz w:val="24"/>
        </w:rPr>
        <w:t>号</w:t>
      </w:r>
    </w:p>
    <w:p w:rsidR="00A02F10" w:rsidRPr="002F0BF5" w:rsidRDefault="00625BC2">
      <w:pPr>
        <w:pStyle w:val="11"/>
        <w:spacing w:after="0" w:line="480" w:lineRule="auto"/>
        <w:ind w:leftChars="337" w:left="2407" w:rightChars="148" w:right="311" w:hangingChars="705" w:hanging="1699"/>
        <w:rPr>
          <w:rFonts w:ascii="Arial" w:hAnsi="Arial" w:cs="Arial"/>
          <w:b/>
          <w:sz w:val="24"/>
        </w:rPr>
      </w:pPr>
      <w:r w:rsidRPr="002F0BF5">
        <w:rPr>
          <w:rFonts w:ascii="宋体" w:hAnsi="宋体" w:hint="eastAsia"/>
          <w:b/>
          <w:sz w:val="24"/>
        </w:rPr>
        <w:t>估价项目名称：</w:t>
      </w:r>
      <w:r w:rsidRPr="002F0BF5">
        <w:rPr>
          <w:rFonts w:ascii="Arial" w:hAnsi="Arial" w:cs="Arial" w:hint="eastAsia"/>
          <w:b/>
          <w:sz w:val="24"/>
        </w:rPr>
        <w:t>山西省长治市中级人民法院拟司法处置的</w:t>
      </w:r>
      <w:r w:rsidRPr="002F0BF5">
        <w:rPr>
          <w:rFonts w:ascii="Arial" w:hAnsi="Arial" w:cs="Arial"/>
          <w:b/>
          <w:sz w:val="24"/>
        </w:rPr>
        <w:t>长治市</w:t>
      </w:r>
      <w:r w:rsidRPr="002F0BF5">
        <w:rPr>
          <w:rFonts w:ascii="Arial" w:hAnsi="Arial" w:cs="Arial" w:hint="eastAsia"/>
          <w:b/>
          <w:sz w:val="24"/>
        </w:rPr>
        <w:t>潞州区金色嘉园别墅</w:t>
      </w:r>
      <w:r w:rsidRPr="002F0BF5">
        <w:rPr>
          <w:rFonts w:ascii="Arial" w:hAnsi="Arial" w:cs="Arial" w:hint="eastAsia"/>
          <w:b/>
          <w:sz w:val="24"/>
        </w:rPr>
        <w:t>B</w:t>
      </w:r>
      <w:r w:rsidRPr="002F0BF5">
        <w:rPr>
          <w:rFonts w:ascii="Arial" w:hAnsi="Arial" w:cs="Arial" w:hint="eastAsia"/>
          <w:b/>
          <w:sz w:val="24"/>
        </w:rPr>
        <w:t>座</w:t>
      </w:r>
      <w:r w:rsidRPr="002F0BF5">
        <w:rPr>
          <w:rFonts w:ascii="Arial" w:hAnsi="Arial" w:cs="Arial" w:hint="eastAsia"/>
          <w:b/>
          <w:sz w:val="24"/>
        </w:rPr>
        <w:t>1-3</w:t>
      </w:r>
      <w:r w:rsidRPr="002F0BF5">
        <w:rPr>
          <w:rFonts w:ascii="Arial" w:hAnsi="Arial" w:cs="Arial" w:hint="eastAsia"/>
          <w:b/>
          <w:sz w:val="24"/>
        </w:rPr>
        <w:t>层住宅</w:t>
      </w:r>
      <w:r w:rsidRPr="002F0BF5">
        <w:rPr>
          <w:rFonts w:ascii="Arial" w:hAnsi="Arial" w:cs="Arial" w:hint="eastAsia"/>
          <w:b/>
          <w:kern w:val="0"/>
          <w:sz w:val="24"/>
        </w:rPr>
        <w:t>房地产市场</w:t>
      </w:r>
      <w:bookmarkStart w:id="0" w:name="_Hlk102842540"/>
      <w:r w:rsidRPr="002F0BF5">
        <w:rPr>
          <w:rFonts w:ascii="Arial" w:hAnsi="Arial" w:cs="Arial" w:hint="eastAsia"/>
          <w:b/>
          <w:kern w:val="0"/>
          <w:sz w:val="24"/>
        </w:rPr>
        <w:t>价格</w:t>
      </w:r>
      <w:bookmarkEnd w:id="0"/>
      <w:r w:rsidRPr="002F0BF5">
        <w:rPr>
          <w:rFonts w:ascii="Arial" w:hAnsi="Arial" w:cs="Arial" w:hint="eastAsia"/>
          <w:b/>
          <w:kern w:val="0"/>
          <w:sz w:val="24"/>
        </w:rPr>
        <w:t>评估</w:t>
      </w:r>
    </w:p>
    <w:p w:rsidR="005C10E6" w:rsidRPr="002F0BF5" w:rsidRDefault="00625BC2">
      <w:pPr>
        <w:pStyle w:val="11"/>
        <w:spacing w:after="0" w:line="720" w:lineRule="auto"/>
        <w:ind w:leftChars="338" w:left="4673" w:rightChars="552" w:right="1159" w:hangingChars="1645" w:hanging="3963"/>
        <w:rPr>
          <w:rFonts w:ascii="Arial" w:hAnsi="Arial" w:cs="Arial"/>
          <w:b/>
          <w:sz w:val="24"/>
        </w:rPr>
      </w:pPr>
      <w:r w:rsidRPr="002F0BF5">
        <w:rPr>
          <w:rFonts w:ascii="Arial" w:hAnsi="Arial" w:cs="Arial" w:hint="eastAsia"/>
          <w:b/>
          <w:sz w:val="24"/>
        </w:rPr>
        <w:t>估价委托人：山西省长治市中级人民法院</w:t>
      </w:r>
    </w:p>
    <w:p w:rsidR="005C10E6" w:rsidRPr="002F0BF5" w:rsidRDefault="00625BC2">
      <w:pPr>
        <w:pStyle w:val="11"/>
        <w:spacing w:after="0" w:line="720" w:lineRule="auto"/>
        <w:ind w:leftChars="338" w:left="4673" w:rightChars="552" w:right="1159" w:hangingChars="1645" w:hanging="3963"/>
        <w:rPr>
          <w:rFonts w:ascii="宋体" w:hAnsi="宋体"/>
          <w:b/>
          <w:sz w:val="24"/>
        </w:rPr>
      </w:pPr>
      <w:r w:rsidRPr="002F0BF5">
        <w:rPr>
          <w:rFonts w:ascii="宋体" w:hAnsi="宋体" w:hint="eastAsia"/>
          <w:b/>
          <w:sz w:val="24"/>
        </w:rPr>
        <w:t>房地产估价机构：山西弘信房地产土地资产评估有限公司</w:t>
      </w:r>
    </w:p>
    <w:p w:rsidR="005C10E6" w:rsidRPr="002F0BF5" w:rsidRDefault="00625BC2" w:rsidP="00B35338">
      <w:pPr>
        <w:pStyle w:val="11"/>
        <w:spacing w:after="0" w:line="600" w:lineRule="auto"/>
        <w:ind w:leftChars="338" w:left="4673" w:rightChars="148" w:right="311" w:hangingChars="1645" w:hanging="3963"/>
        <w:rPr>
          <w:rFonts w:ascii="宋体" w:hAnsi="宋体"/>
          <w:sz w:val="24"/>
        </w:rPr>
      </w:pPr>
      <w:r w:rsidRPr="002F0BF5">
        <w:rPr>
          <w:rFonts w:ascii="宋体" w:hAnsi="宋体" w:hint="eastAsia"/>
          <w:b/>
          <w:sz w:val="24"/>
        </w:rPr>
        <w:t>估价报告出具日期：</w:t>
      </w:r>
      <w:r w:rsidR="005B2E3D">
        <w:rPr>
          <w:rFonts w:ascii="宋体" w:hAnsi="宋体" w:hint="eastAsia"/>
          <w:b/>
          <w:sz w:val="24"/>
        </w:rPr>
        <w:t>二〇二二年八月二十二日</w:t>
      </w:r>
    </w:p>
    <w:p w:rsidR="005C10E6" w:rsidRPr="002F0BF5" w:rsidRDefault="00625BC2">
      <w:pPr>
        <w:widowControl/>
        <w:jc w:val="left"/>
        <w:rPr>
          <w:rFonts w:ascii="宋体" w:hAnsi="宋体"/>
          <w:b/>
          <w:sz w:val="24"/>
        </w:rPr>
      </w:pPr>
      <w:r w:rsidRPr="002F0BF5">
        <w:rPr>
          <w:rFonts w:ascii="宋体" w:hAnsi="宋体"/>
          <w:b/>
          <w:sz w:val="24"/>
        </w:rPr>
        <w:br w:type="page"/>
      </w:r>
    </w:p>
    <w:p w:rsidR="005C10E6" w:rsidRPr="002F0BF5" w:rsidRDefault="00625BC2">
      <w:pPr>
        <w:pStyle w:val="11"/>
        <w:spacing w:after="0" w:line="720" w:lineRule="auto"/>
        <w:ind w:firstLineChars="0" w:firstLine="0"/>
        <w:jc w:val="center"/>
        <w:rPr>
          <w:rFonts w:ascii="宋体" w:hAnsi="宋体"/>
          <w:b/>
          <w:bCs/>
          <w:sz w:val="18"/>
        </w:rPr>
      </w:pPr>
      <w:r w:rsidRPr="002F0BF5">
        <w:rPr>
          <w:rFonts w:ascii="黑体" w:eastAsia="黑体" w:hAnsi="宋体" w:hint="eastAsia"/>
          <w:b/>
          <w:bCs/>
          <w:sz w:val="30"/>
          <w:szCs w:val="30"/>
        </w:rPr>
        <w:lastRenderedPageBreak/>
        <w:t>致估价委托人函</w:t>
      </w:r>
    </w:p>
    <w:p w:rsidR="005C10E6" w:rsidRPr="002F0BF5" w:rsidRDefault="00625BC2">
      <w:pPr>
        <w:pStyle w:val="11"/>
        <w:tabs>
          <w:tab w:val="left" w:pos="8820"/>
        </w:tabs>
        <w:spacing w:after="0" w:line="360" w:lineRule="auto"/>
        <w:ind w:rightChars="30" w:right="63" w:firstLineChars="0" w:firstLine="0"/>
        <w:rPr>
          <w:rFonts w:ascii="宋体" w:hAnsi="宋体"/>
          <w:spacing w:val="4"/>
          <w:sz w:val="24"/>
        </w:rPr>
      </w:pPr>
      <w:r w:rsidRPr="002F0BF5">
        <w:rPr>
          <w:rFonts w:ascii="宋体" w:hAnsi="宋体" w:hint="eastAsia"/>
          <w:sz w:val="24"/>
        </w:rPr>
        <w:t>山西省长治市中级人民法院</w:t>
      </w:r>
      <w:r w:rsidRPr="002F0BF5">
        <w:rPr>
          <w:rFonts w:ascii="宋体" w:hAnsi="宋体" w:hint="eastAsia"/>
          <w:spacing w:val="4"/>
          <w:sz w:val="24"/>
        </w:rPr>
        <w:t>：</w:t>
      </w:r>
    </w:p>
    <w:p w:rsidR="00A02F10" w:rsidRPr="002F0BF5" w:rsidRDefault="00625BC2" w:rsidP="004A4DF2">
      <w:pPr>
        <w:pStyle w:val="11"/>
        <w:tabs>
          <w:tab w:val="left" w:pos="8820"/>
        </w:tabs>
        <w:spacing w:beforeLines="50" w:afterLines="50" w:line="360" w:lineRule="auto"/>
        <w:ind w:rightChars="30" w:right="63" w:firstLineChars="200" w:firstLine="496"/>
        <w:rPr>
          <w:rFonts w:ascii="宋体" w:hAnsi="宋体"/>
          <w:spacing w:val="4"/>
          <w:sz w:val="24"/>
        </w:rPr>
      </w:pPr>
      <w:r w:rsidRPr="002F0BF5">
        <w:rPr>
          <w:rFonts w:ascii="宋体" w:hAnsi="宋体" w:hint="eastAsia"/>
          <w:spacing w:val="4"/>
          <w:sz w:val="24"/>
        </w:rPr>
        <w:t>受贵法院委托，本公司秉着独立、客观、公正、合法的原则对山西潞城农村商业银行股份有限公司与长治市越新汽车维修有限公司、长治市前越物资贸易有限公司、常飞、张国光</w:t>
      </w:r>
      <w:bookmarkStart w:id="1" w:name="_Hlk102842903"/>
      <w:r w:rsidRPr="002F0BF5">
        <w:rPr>
          <w:rFonts w:ascii="宋体" w:hAnsi="宋体" w:hint="eastAsia"/>
          <w:spacing w:val="4"/>
          <w:sz w:val="24"/>
        </w:rPr>
        <w:t>、张国冀</w:t>
      </w:r>
      <w:bookmarkEnd w:id="1"/>
      <w:r w:rsidRPr="002F0BF5">
        <w:rPr>
          <w:rFonts w:ascii="宋体" w:hAnsi="宋体" w:hint="eastAsia"/>
          <w:spacing w:val="4"/>
          <w:sz w:val="24"/>
        </w:rPr>
        <w:t>借款合同纠纷一案中所涉及的房地产进行估价。估价对象为</w:t>
      </w:r>
      <w:r w:rsidRPr="002F0BF5">
        <w:rPr>
          <w:rFonts w:ascii="宋体" w:hAnsi="宋体" w:hint="eastAsia"/>
          <w:bCs/>
          <w:spacing w:val="4"/>
          <w:sz w:val="24"/>
        </w:rPr>
        <w:t>常飞、张国冀</w:t>
      </w:r>
      <w:r w:rsidRPr="002F0BF5">
        <w:rPr>
          <w:rFonts w:ascii="宋体" w:hAnsi="宋体" w:hint="eastAsia"/>
          <w:spacing w:val="4"/>
          <w:sz w:val="24"/>
        </w:rPr>
        <w:t>名下位于</w:t>
      </w:r>
      <w:r w:rsidRPr="002F0BF5">
        <w:rPr>
          <w:rFonts w:ascii="宋体" w:hAnsi="宋体" w:hint="eastAsia"/>
          <w:bCs/>
          <w:spacing w:val="4"/>
          <w:sz w:val="24"/>
        </w:rPr>
        <w:t>长治市潞州区金色嘉园别墅B座1-3层</w:t>
      </w:r>
      <w:r w:rsidRPr="002F0BF5">
        <w:rPr>
          <w:rFonts w:ascii="宋体" w:hAnsi="宋体" w:hint="eastAsia"/>
          <w:spacing w:val="4"/>
          <w:sz w:val="24"/>
        </w:rPr>
        <w:t>的房地产，用途为住宅，建筑面积332.58平方米，《房屋所有权证》编号为长治市房权证城私字第</w:t>
      </w:r>
      <w:r w:rsidR="007306C4" w:rsidRPr="002F0BF5">
        <w:rPr>
          <w:rFonts w:ascii="宋体" w:hAnsi="宋体" w:hint="eastAsia"/>
          <w:spacing w:val="4"/>
          <w:sz w:val="24"/>
        </w:rPr>
        <w:t>015-1111180008-1、015-1111180008-2</w:t>
      </w:r>
      <w:r w:rsidRPr="002F0BF5">
        <w:rPr>
          <w:rFonts w:ascii="宋体" w:hAnsi="宋体" w:hint="eastAsia"/>
          <w:spacing w:val="4"/>
          <w:sz w:val="24"/>
        </w:rPr>
        <w:t>号。</w:t>
      </w:r>
      <w:r w:rsidRPr="002F0BF5">
        <w:rPr>
          <w:rFonts w:ascii="宋体" w:hAnsi="宋体" w:hint="eastAsia"/>
          <w:kern w:val="28"/>
          <w:sz w:val="24"/>
        </w:rPr>
        <w:t>估价目的：</w:t>
      </w:r>
      <w:r w:rsidRPr="002F0BF5">
        <w:rPr>
          <w:rFonts w:ascii="宋体" w:hAnsi="宋体" w:hint="eastAsia"/>
          <w:kern w:val="0"/>
          <w:sz w:val="24"/>
        </w:rPr>
        <w:t>为人民法院确定财产处置参考价提供参考依据</w:t>
      </w:r>
      <w:r w:rsidRPr="002F0BF5">
        <w:rPr>
          <w:rFonts w:ascii="宋体" w:hAnsi="宋体" w:hint="eastAsia"/>
          <w:kern w:val="28"/>
          <w:sz w:val="24"/>
        </w:rPr>
        <w:t>。</w:t>
      </w:r>
    </w:p>
    <w:p w:rsidR="00A02F10" w:rsidRPr="002F0BF5" w:rsidRDefault="00625BC2" w:rsidP="00B35338">
      <w:pPr>
        <w:pStyle w:val="11"/>
        <w:tabs>
          <w:tab w:val="left" w:pos="8820"/>
        </w:tabs>
        <w:spacing w:after="0" w:line="360" w:lineRule="auto"/>
        <w:ind w:rightChars="30" w:right="63" w:firstLineChars="200" w:firstLine="496"/>
        <w:rPr>
          <w:rFonts w:ascii="宋体" w:hAnsi="宋体"/>
          <w:sz w:val="24"/>
        </w:rPr>
      </w:pPr>
      <w:r w:rsidRPr="002F0BF5">
        <w:rPr>
          <w:rFonts w:ascii="宋体" w:hAnsi="宋体" w:hint="eastAsia"/>
          <w:spacing w:val="4"/>
          <w:sz w:val="24"/>
        </w:rPr>
        <w:t>注册房地产估价师经过实地查勘和市场调查，按照严谨的估价程序，遵守公认的估价原则，依据有关法规、政策和标准，在合理的假设下，运用了比较法进行了专业分析、测算和判断，确定估价对象在价值时点</w:t>
      </w:r>
      <w:r w:rsidRPr="002F0BF5">
        <w:rPr>
          <w:rFonts w:ascii="宋体" w:hAnsi="宋体" w:hint="eastAsia"/>
          <w:b/>
          <w:spacing w:val="4"/>
          <w:sz w:val="24"/>
        </w:rPr>
        <w:t>二〇二二年四月二十二日</w:t>
      </w:r>
      <w:r w:rsidRPr="002F0BF5">
        <w:rPr>
          <w:rFonts w:ascii="宋体" w:hAnsi="宋体" w:hint="eastAsia"/>
          <w:spacing w:val="4"/>
          <w:sz w:val="24"/>
        </w:rPr>
        <w:t>市场</w:t>
      </w:r>
      <w:r w:rsidRPr="002F0BF5">
        <w:rPr>
          <w:rFonts w:ascii="Arial" w:hAnsi="Arial" w:cs="Arial" w:hint="eastAsia"/>
          <w:b/>
          <w:kern w:val="0"/>
          <w:sz w:val="24"/>
        </w:rPr>
        <w:t>价格</w:t>
      </w:r>
      <w:r w:rsidRPr="002F0BF5">
        <w:rPr>
          <w:rFonts w:ascii="宋体" w:hAnsi="宋体" w:hint="eastAsia"/>
          <w:spacing w:val="4"/>
          <w:sz w:val="24"/>
        </w:rPr>
        <w:t>为</w:t>
      </w:r>
      <w:r w:rsidRPr="002F0BF5">
        <w:rPr>
          <w:rFonts w:ascii="宋体" w:hAnsi="宋体" w:hint="eastAsia"/>
          <w:b/>
          <w:spacing w:val="4"/>
          <w:sz w:val="24"/>
        </w:rPr>
        <w:t>人民币347.1万元（单价10437元/平方米），大写：人民币叁佰肆拾柒万壹仟元整</w:t>
      </w:r>
      <w:r w:rsidRPr="002F0BF5">
        <w:rPr>
          <w:rFonts w:ascii="宋体" w:hAnsi="宋体" w:hint="eastAsia"/>
          <w:spacing w:val="4"/>
          <w:sz w:val="24"/>
        </w:rPr>
        <w:t>。</w:t>
      </w:r>
    </w:p>
    <w:p w:rsidR="005C10E6" w:rsidRPr="002F0BF5" w:rsidRDefault="00625BC2" w:rsidP="004A4DF2">
      <w:pPr>
        <w:pStyle w:val="11"/>
        <w:spacing w:beforeLines="50" w:after="0" w:line="360" w:lineRule="auto"/>
        <w:ind w:left="19" w:rightChars="12" w:right="25" w:firstLineChars="200" w:firstLine="496"/>
        <w:rPr>
          <w:rFonts w:ascii="宋体" w:hAnsi="宋体"/>
          <w:spacing w:val="4"/>
          <w:sz w:val="24"/>
        </w:rPr>
      </w:pPr>
      <w:r w:rsidRPr="002F0BF5">
        <w:rPr>
          <w:rFonts w:ascii="宋体" w:hAnsi="宋体" w:hint="eastAsia"/>
          <w:spacing w:val="4"/>
          <w:sz w:val="24"/>
        </w:rPr>
        <w:t>估价的详细结果、过程和有关说明，见后附的《估价结果报告》。</w:t>
      </w:r>
    </w:p>
    <w:p w:rsidR="00865267" w:rsidRPr="002F0BF5" w:rsidRDefault="00625BC2" w:rsidP="004A1B95">
      <w:pPr>
        <w:pStyle w:val="11"/>
        <w:tabs>
          <w:tab w:val="left" w:pos="8820"/>
        </w:tabs>
        <w:spacing w:beforeLines="50" w:after="0" w:line="360" w:lineRule="auto"/>
        <w:ind w:firstLineChars="200" w:firstLine="496"/>
        <w:rPr>
          <w:rFonts w:ascii="宋体" w:hAnsi="宋体"/>
          <w:spacing w:val="4"/>
          <w:sz w:val="24"/>
        </w:rPr>
      </w:pPr>
      <w:r w:rsidRPr="002F0BF5">
        <w:rPr>
          <w:rFonts w:ascii="宋体" w:hAnsi="宋体" w:hint="eastAsia"/>
          <w:spacing w:val="4"/>
          <w:sz w:val="24"/>
        </w:rPr>
        <w:t>特别提示：</w:t>
      </w:r>
    </w:p>
    <w:p w:rsidR="00865267" w:rsidRPr="002F0BF5" w:rsidRDefault="00625BC2" w:rsidP="004A1B95">
      <w:pPr>
        <w:pStyle w:val="11"/>
        <w:tabs>
          <w:tab w:val="left" w:pos="8820"/>
        </w:tabs>
        <w:spacing w:beforeLines="50" w:after="0" w:line="360" w:lineRule="auto"/>
        <w:ind w:firstLineChars="200" w:firstLine="496"/>
        <w:rPr>
          <w:rFonts w:ascii="宋体" w:hAnsi="宋体"/>
          <w:spacing w:val="4"/>
          <w:sz w:val="24"/>
        </w:rPr>
      </w:pPr>
      <w:r w:rsidRPr="002F0BF5">
        <w:rPr>
          <w:rFonts w:ascii="宋体" w:hAnsi="宋体" w:hint="eastAsia"/>
          <w:spacing w:val="4"/>
          <w:sz w:val="24"/>
        </w:rPr>
        <w:t>本报告各部分为一有机整体，估价结果受估价的假设和限制条件制约，请报告使用人谨慎阅读，参考使用。</w:t>
      </w:r>
    </w:p>
    <w:p w:rsidR="00A02F10" w:rsidRPr="002F0BF5" w:rsidRDefault="00625BC2" w:rsidP="004A1B95">
      <w:pPr>
        <w:pStyle w:val="11"/>
        <w:tabs>
          <w:tab w:val="left" w:pos="8820"/>
        </w:tabs>
        <w:spacing w:beforeLines="50" w:after="0" w:line="360" w:lineRule="auto"/>
        <w:ind w:firstLineChars="200" w:firstLine="496"/>
        <w:rPr>
          <w:rFonts w:ascii="宋体" w:hAnsi="宋体"/>
          <w:spacing w:val="4"/>
          <w:sz w:val="24"/>
        </w:rPr>
      </w:pPr>
      <w:r w:rsidRPr="002F0BF5">
        <w:rPr>
          <w:rFonts w:ascii="宋体" w:hAnsi="宋体" w:hint="eastAsia"/>
          <w:spacing w:val="4"/>
          <w:sz w:val="24"/>
        </w:rPr>
        <w:t>此致！</w:t>
      </w:r>
    </w:p>
    <w:p w:rsidR="005C10E6" w:rsidRPr="002F0BF5" w:rsidRDefault="005C10E6">
      <w:pPr>
        <w:tabs>
          <w:tab w:val="left" w:pos="5880"/>
        </w:tabs>
        <w:spacing w:line="360" w:lineRule="auto"/>
        <w:rPr>
          <w:rFonts w:ascii="宋体" w:hAnsi="宋体"/>
          <w:spacing w:val="6"/>
          <w:sz w:val="24"/>
        </w:rPr>
      </w:pPr>
    </w:p>
    <w:p w:rsidR="005C10E6" w:rsidRPr="002F0BF5" w:rsidRDefault="00625BC2">
      <w:pPr>
        <w:tabs>
          <w:tab w:val="left" w:pos="5880"/>
        </w:tabs>
        <w:spacing w:line="480" w:lineRule="auto"/>
        <w:ind w:firstLineChars="1300" w:firstLine="3276"/>
        <w:jc w:val="right"/>
        <w:rPr>
          <w:rFonts w:ascii="宋体" w:hAnsi="宋体"/>
          <w:spacing w:val="6"/>
          <w:sz w:val="24"/>
        </w:rPr>
      </w:pPr>
      <w:r w:rsidRPr="002F0BF5">
        <w:rPr>
          <w:rFonts w:ascii="宋体" w:hAnsi="宋体" w:hint="eastAsia"/>
          <w:spacing w:val="6"/>
          <w:sz w:val="24"/>
        </w:rPr>
        <w:t xml:space="preserve">      山西弘信房地产土地资产评估有限公司</w:t>
      </w:r>
    </w:p>
    <w:p w:rsidR="005C10E6" w:rsidRPr="002F0BF5" w:rsidRDefault="00625BC2" w:rsidP="005B2E3D">
      <w:pPr>
        <w:tabs>
          <w:tab w:val="left" w:pos="5880"/>
        </w:tabs>
        <w:spacing w:line="480" w:lineRule="auto"/>
        <w:ind w:firstLineChars="1300" w:firstLine="3276"/>
        <w:jc w:val="center"/>
        <w:rPr>
          <w:rFonts w:ascii="宋体" w:hAnsi="宋体"/>
          <w:spacing w:val="6"/>
          <w:sz w:val="24"/>
        </w:rPr>
      </w:pPr>
      <w:r w:rsidRPr="002F0BF5">
        <w:rPr>
          <w:rFonts w:ascii="宋体" w:hAnsi="宋体" w:hint="eastAsia"/>
          <w:spacing w:val="6"/>
          <w:sz w:val="24"/>
        </w:rPr>
        <w:t>法定代表人：</w:t>
      </w:r>
    </w:p>
    <w:p w:rsidR="005C10E6" w:rsidRPr="002F0BF5" w:rsidRDefault="005B2E3D" w:rsidP="005B2E3D">
      <w:pPr>
        <w:tabs>
          <w:tab w:val="left" w:pos="5880"/>
        </w:tabs>
        <w:spacing w:line="480" w:lineRule="auto"/>
        <w:ind w:firstLineChars="1300" w:firstLine="3276"/>
        <w:jc w:val="right"/>
        <w:rPr>
          <w:rFonts w:ascii="宋体" w:hAnsi="宋体"/>
          <w:spacing w:val="6"/>
          <w:sz w:val="24"/>
        </w:rPr>
      </w:pPr>
      <w:r>
        <w:rPr>
          <w:rFonts w:ascii="宋体" w:hAnsi="宋体" w:hint="eastAsia"/>
          <w:spacing w:val="6"/>
          <w:sz w:val="24"/>
        </w:rPr>
        <w:t>二〇二二年八月二十二日</w:t>
      </w:r>
    </w:p>
    <w:p w:rsidR="005C10E6" w:rsidRPr="002F0BF5" w:rsidRDefault="00625BC2">
      <w:pPr>
        <w:widowControl/>
        <w:jc w:val="left"/>
        <w:rPr>
          <w:rFonts w:ascii="宋体" w:hAnsi="宋体"/>
          <w:spacing w:val="6"/>
          <w:sz w:val="24"/>
        </w:rPr>
      </w:pPr>
      <w:r w:rsidRPr="002F0BF5">
        <w:rPr>
          <w:rFonts w:ascii="宋体" w:hAnsi="宋体"/>
          <w:spacing w:val="6"/>
          <w:sz w:val="24"/>
        </w:rPr>
        <w:br w:type="page"/>
      </w:r>
    </w:p>
    <w:p w:rsidR="005C10E6" w:rsidRPr="002F0BF5" w:rsidRDefault="005C10E6" w:rsidP="004A1B95">
      <w:pPr>
        <w:pStyle w:val="11"/>
        <w:spacing w:after="0" w:line="360" w:lineRule="exact"/>
        <w:ind w:firstLineChars="1196" w:firstLine="2512"/>
      </w:pPr>
      <w:bookmarkStart w:id="2" w:name="_Toc513482435"/>
    </w:p>
    <w:p w:rsidR="005C10E6" w:rsidRPr="002F0BF5" w:rsidRDefault="00625BC2">
      <w:pPr>
        <w:pStyle w:val="11"/>
        <w:spacing w:after="0" w:line="276" w:lineRule="auto"/>
        <w:ind w:firstLineChars="0" w:firstLine="0"/>
        <w:jc w:val="center"/>
        <w:outlineLvl w:val="0"/>
        <w:rPr>
          <w:rFonts w:ascii="黑体" w:eastAsia="黑体" w:hAnsi="黑体"/>
        </w:rPr>
      </w:pPr>
      <w:bookmarkStart w:id="3" w:name="_Toc102846902"/>
      <w:r w:rsidRPr="002F0BF5">
        <w:rPr>
          <w:rFonts w:ascii="黑体" w:eastAsia="黑体" w:hAnsi="黑体" w:hint="eastAsia"/>
          <w:b/>
          <w:sz w:val="32"/>
          <w:szCs w:val="32"/>
        </w:rPr>
        <w:t>注册房地产估价师声明</w:t>
      </w:r>
      <w:bookmarkEnd w:id="2"/>
      <w:bookmarkEnd w:id="3"/>
    </w:p>
    <w:p w:rsidR="005C10E6" w:rsidRPr="002F0BF5" w:rsidRDefault="00625BC2">
      <w:pPr>
        <w:tabs>
          <w:tab w:val="left" w:pos="4755"/>
        </w:tabs>
        <w:spacing w:line="360" w:lineRule="auto"/>
        <w:rPr>
          <w:rFonts w:ascii="宋体" w:hAnsi="宋体"/>
          <w:b/>
          <w:bCs/>
          <w:sz w:val="24"/>
        </w:rPr>
      </w:pPr>
      <w:r w:rsidRPr="002F0BF5">
        <w:rPr>
          <w:rFonts w:ascii="宋体" w:hAnsi="宋体" w:hint="eastAsia"/>
          <w:b/>
          <w:bCs/>
          <w:sz w:val="24"/>
        </w:rPr>
        <w:t>我们根据自己的专业知识和职业道德，在此郑重声明：</w:t>
      </w:r>
    </w:p>
    <w:p w:rsidR="005C10E6" w:rsidRPr="002F0BF5" w:rsidRDefault="00625BC2">
      <w:pPr>
        <w:tabs>
          <w:tab w:val="left" w:pos="4755"/>
        </w:tabs>
        <w:spacing w:line="360" w:lineRule="auto"/>
        <w:ind w:firstLineChars="200" w:firstLine="504"/>
        <w:rPr>
          <w:rFonts w:ascii="宋体" w:hAnsi="宋体"/>
          <w:spacing w:val="6"/>
          <w:kern w:val="0"/>
          <w:sz w:val="24"/>
        </w:rPr>
      </w:pPr>
      <w:r w:rsidRPr="002F0BF5">
        <w:rPr>
          <w:rFonts w:ascii="宋体" w:hAnsi="宋体" w:hint="eastAsia"/>
          <w:spacing w:val="6"/>
          <w:kern w:val="0"/>
          <w:sz w:val="24"/>
        </w:rPr>
        <w:t>（一）我们在本估价报告中所陈述的事实是真实和准确的，没有虚假记载、误导性陈述和重大遗漏。</w:t>
      </w:r>
    </w:p>
    <w:p w:rsidR="005C10E6" w:rsidRPr="002F0BF5" w:rsidRDefault="00625BC2">
      <w:pPr>
        <w:tabs>
          <w:tab w:val="left" w:pos="4755"/>
        </w:tabs>
        <w:spacing w:line="360" w:lineRule="auto"/>
        <w:ind w:firstLineChars="200" w:firstLine="504"/>
        <w:rPr>
          <w:rFonts w:ascii="宋体" w:hAnsi="宋体"/>
          <w:spacing w:val="6"/>
          <w:kern w:val="0"/>
          <w:sz w:val="24"/>
        </w:rPr>
      </w:pPr>
      <w:r w:rsidRPr="002F0BF5">
        <w:rPr>
          <w:rFonts w:ascii="宋体" w:hAnsi="宋体" w:hint="eastAsia"/>
          <w:spacing w:val="6"/>
          <w:kern w:val="0"/>
          <w:sz w:val="24"/>
        </w:rPr>
        <w:t xml:space="preserve">（二）本估价报告中的分析、意见和结论是我们独立、客观、公正的专业分析、意见和结论，但受到本估价报告中已经说明的估价假设和限制条件的限制。 </w:t>
      </w:r>
    </w:p>
    <w:p w:rsidR="005C10E6" w:rsidRPr="002F0BF5" w:rsidRDefault="00625BC2">
      <w:pPr>
        <w:tabs>
          <w:tab w:val="left" w:pos="4755"/>
        </w:tabs>
        <w:spacing w:line="360" w:lineRule="auto"/>
        <w:ind w:firstLineChars="200" w:firstLine="504"/>
        <w:rPr>
          <w:rFonts w:ascii="宋体" w:hAnsi="宋体"/>
          <w:spacing w:val="6"/>
          <w:kern w:val="0"/>
          <w:sz w:val="24"/>
        </w:rPr>
      </w:pPr>
      <w:r w:rsidRPr="002F0BF5">
        <w:rPr>
          <w:rFonts w:ascii="宋体" w:hAnsi="宋体" w:hint="eastAsia"/>
          <w:spacing w:val="6"/>
          <w:kern w:val="0"/>
          <w:sz w:val="24"/>
        </w:rPr>
        <w:t>（三）我们与本估价报告中的估价对象没有现实或潜在的利益，与估价委托人及估价利害关系人没有利害关系。</w:t>
      </w:r>
    </w:p>
    <w:p w:rsidR="005C10E6" w:rsidRPr="002F0BF5" w:rsidRDefault="00625BC2">
      <w:pPr>
        <w:tabs>
          <w:tab w:val="left" w:pos="4755"/>
        </w:tabs>
        <w:spacing w:line="360" w:lineRule="auto"/>
        <w:ind w:firstLineChars="200" w:firstLine="504"/>
        <w:rPr>
          <w:rFonts w:ascii="宋体" w:hAnsi="宋体"/>
          <w:spacing w:val="6"/>
          <w:kern w:val="0"/>
          <w:sz w:val="24"/>
        </w:rPr>
      </w:pPr>
      <w:r w:rsidRPr="002F0BF5">
        <w:rPr>
          <w:rFonts w:ascii="宋体" w:hAnsi="宋体" w:hint="eastAsia"/>
          <w:spacing w:val="6"/>
          <w:kern w:val="0"/>
          <w:sz w:val="24"/>
        </w:rPr>
        <w:t>（四）我们对本估价报告中的估价对象、估价委托人及估价利害关系人没有偏见。</w:t>
      </w:r>
    </w:p>
    <w:p w:rsidR="005C10E6" w:rsidRPr="002F0BF5" w:rsidRDefault="00625BC2">
      <w:pPr>
        <w:tabs>
          <w:tab w:val="left" w:pos="4755"/>
        </w:tabs>
        <w:spacing w:line="360" w:lineRule="auto"/>
        <w:ind w:firstLineChars="200" w:firstLine="504"/>
        <w:rPr>
          <w:rFonts w:ascii="宋体" w:hAnsi="宋体"/>
          <w:spacing w:val="6"/>
          <w:kern w:val="0"/>
          <w:sz w:val="24"/>
        </w:rPr>
      </w:pPr>
      <w:r w:rsidRPr="002F0BF5">
        <w:rPr>
          <w:rFonts w:ascii="宋体" w:hAnsi="宋体" w:hint="eastAsia"/>
          <w:spacing w:val="6"/>
          <w:kern w:val="0"/>
          <w:sz w:val="24"/>
        </w:rPr>
        <w:t>（五）我们依照中华人民共和国国家标准《房地产估价规范》（GB/T50291-2015）、《房地产估价基本术语标准》（GB/T50899-2013）、《涉执房地产处置司法评估指导意见（试行）》（中房学〔2021〕37号）及相关房地产估价专项标准进行分析，形成意见和结论，撰写本估价报告。</w:t>
      </w:r>
    </w:p>
    <w:p w:rsidR="005C10E6" w:rsidRPr="002F0BF5" w:rsidRDefault="00625BC2">
      <w:pPr>
        <w:tabs>
          <w:tab w:val="left" w:pos="4755"/>
        </w:tabs>
        <w:spacing w:line="360" w:lineRule="auto"/>
        <w:ind w:firstLineChars="200" w:firstLine="504"/>
        <w:rPr>
          <w:rFonts w:ascii="宋体" w:hAnsi="宋体"/>
          <w:spacing w:val="6"/>
          <w:kern w:val="0"/>
          <w:sz w:val="24"/>
        </w:rPr>
      </w:pPr>
      <w:r w:rsidRPr="002F0BF5">
        <w:rPr>
          <w:rFonts w:ascii="宋体" w:hAnsi="宋体" w:hint="eastAsia"/>
          <w:spacing w:val="6"/>
          <w:kern w:val="0"/>
          <w:sz w:val="24"/>
        </w:rPr>
        <w:t>（六）本公司房地产估价专业人员已于2022年4月22日对本估价报告中的估价对象的建筑结构、室内外状况进行了实地查看并进行记录。</w:t>
      </w:r>
    </w:p>
    <w:p w:rsidR="005C10E6" w:rsidRPr="002F0BF5" w:rsidRDefault="00625BC2">
      <w:pPr>
        <w:tabs>
          <w:tab w:val="left" w:pos="4755"/>
        </w:tabs>
        <w:spacing w:line="360" w:lineRule="auto"/>
        <w:ind w:firstLineChars="200" w:firstLine="504"/>
        <w:rPr>
          <w:rFonts w:ascii="宋体" w:hAnsi="宋体"/>
          <w:spacing w:val="6"/>
          <w:kern w:val="0"/>
          <w:sz w:val="24"/>
        </w:rPr>
      </w:pPr>
      <w:r w:rsidRPr="002F0BF5">
        <w:rPr>
          <w:rFonts w:ascii="宋体" w:hAnsi="宋体" w:hint="eastAsia"/>
          <w:spacing w:val="6"/>
          <w:kern w:val="0"/>
          <w:sz w:val="24"/>
        </w:rPr>
        <w:t>（七）没有人对本估价报告提供重要专业帮助。</w:t>
      </w:r>
    </w:p>
    <w:p w:rsidR="005C10E6" w:rsidRPr="002F0BF5" w:rsidRDefault="00625BC2">
      <w:pPr>
        <w:widowControl/>
        <w:jc w:val="center"/>
        <w:outlineLvl w:val="0"/>
        <w:rPr>
          <w:rFonts w:ascii="黑体" w:eastAsia="黑体" w:hAnsi="黑体"/>
          <w:b/>
          <w:kern w:val="44"/>
          <w:sz w:val="32"/>
          <w:szCs w:val="32"/>
        </w:rPr>
      </w:pPr>
      <w:bookmarkStart w:id="4" w:name="_Toc513482436"/>
      <w:r w:rsidRPr="002F0BF5">
        <w:rPr>
          <w:rFonts w:asciiTheme="minorEastAsia" w:eastAsiaTheme="minorEastAsia" w:hAnsiTheme="minorEastAsia"/>
          <w:b/>
          <w:sz w:val="32"/>
          <w:szCs w:val="32"/>
        </w:rPr>
        <w:br w:type="page"/>
      </w:r>
      <w:bookmarkStart w:id="5" w:name="_Toc102846903"/>
      <w:r w:rsidRPr="002F0BF5">
        <w:rPr>
          <w:rFonts w:ascii="黑体" w:eastAsia="黑体" w:hAnsi="黑体" w:hint="eastAsia"/>
          <w:b/>
          <w:sz w:val="32"/>
          <w:szCs w:val="32"/>
        </w:rPr>
        <w:lastRenderedPageBreak/>
        <w:t>估价的假设和限制条件</w:t>
      </w:r>
      <w:bookmarkEnd w:id="4"/>
      <w:bookmarkEnd w:id="5"/>
    </w:p>
    <w:p w:rsidR="005C10E6" w:rsidRPr="002F0BF5" w:rsidRDefault="00625BC2">
      <w:pPr>
        <w:tabs>
          <w:tab w:val="left" w:pos="4755"/>
        </w:tabs>
        <w:spacing w:line="360" w:lineRule="auto"/>
        <w:ind w:left="2" w:firstLineChars="176" w:firstLine="424"/>
        <w:rPr>
          <w:rFonts w:ascii="宋体" w:hAnsi="宋体"/>
          <w:b/>
          <w:kern w:val="0"/>
          <w:sz w:val="24"/>
        </w:rPr>
      </w:pPr>
      <w:r w:rsidRPr="002F0BF5">
        <w:rPr>
          <w:rFonts w:ascii="宋体" w:hAnsi="宋体" w:hint="eastAsia"/>
          <w:b/>
          <w:kern w:val="0"/>
          <w:sz w:val="24"/>
        </w:rPr>
        <w:t>一、一般假设</w:t>
      </w:r>
    </w:p>
    <w:p w:rsidR="005C10E6" w:rsidRPr="002F0BF5" w:rsidRDefault="00625BC2">
      <w:pPr>
        <w:tabs>
          <w:tab w:val="left" w:pos="4755"/>
        </w:tabs>
        <w:spacing w:line="360" w:lineRule="auto"/>
        <w:ind w:left="2" w:firstLineChars="176" w:firstLine="422"/>
        <w:rPr>
          <w:rFonts w:ascii="宋体" w:hAnsi="宋体"/>
          <w:kern w:val="28"/>
          <w:sz w:val="24"/>
        </w:rPr>
      </w:pPr>
      <w:r w:rsidRPr="002F0BF5">
        <w:rPr>
          <w:rFonts w:ascii="宋体" w:hAnsi="宋体" w:hint="eastAsia"/>
          <w:kern w:val="28"/>
          <w:sz w:val="24"/>
        </w:rPr>
        <w:t>1.估价对象产权明晰，手续齐全，可在公开市场上自由转让。</w:t>
      </w:r>
    </w:p>
    <w:p w:rsidR="005C10E6" w:rsidRPr="002F0BF5" w:rsidRDefault="00625BC2">
      <w:pPr>
        <w:tabs>
          <w:tab w:val="left" w:pos="4755"/>
        </w:tabs>
        <w:spacing w:line="360" w:lineRule="auto"/>
        <w:ind w:left="2" w:firstLineChars="176" w:firstLine="422"/>
        <w:rPr>
          <w:rFonts w:ascii="宋体" w:hAnsi="宋体"/>
          <w:kern w:val="28"/>
          <w:sz w:val="24"/>
        </w:rPr>
      </w:pPr>
      <w:r w:rsidRPr="002F0BF5">
        <w:rPr>
          <w:rFonts w:ascii="宋体" w:hAnsi="宋体" w:hint="eastAsia"/>
          <w:kern w:val="28"/>
          <w:sz w:val="24"/>
        </w:rPr>
        <w:t>2.买卖双方的交易目的都是追逐自身最大经济利益，在适当的期间完成谈判和交易，洽谈交易期间物业价值将保持稳定。</w:t>
      </w:r>
    </w:p>
    <w:p w:rsidR="005C10E6" w:rsidRPr="002F0BF5" w:rsidRDefault="00625BC2">
      <w:pPr>
        <w:tabs>
          <w:tab w:val="left" w:pos="4755"/>
        </w:tabs>
        <w:spacing w:line="360" w:lineRule="auto"/>
        <w:ind w:left="2" w:firstLineChars="176" w:firstLine="422"/>
        <w:rPr>
          <w:rFonts w:ascii="宋体" w:hAnsi="宋体"/>
          <w:kern w:val="28"/>
          <w:sz w:val="24"/>
        </w:rPr>
      </w:pPr>
      <w:r w:rsidRPr="002F0BF5">
        <w:rPr>
          <w:rFonts w:ascii="宋体" w:hAnsi="宋体" w:hint="eastAsia"/>
          <w:kern w:val="28"/>
          <w:sz w:val="24"/>
        </w:rPr>
        <w:t>3.交易双方都具有完全市场信息，对交易对象具有必要的专业知识，不考虑特殊买家的附加出价。</w:t>
      </w:r>
    </w:p>
    <w:p w:rsidR="005C10E6" w:rsidRPr="002F0BF5" w:rsidRDefault="00625BC2">
      <w:pPr>
        <w:tabs>
          <w:tab w:val="left" w:pos="4755"/>
        </w:tabs>
        <w:spacing w:line="360" w:lineRule="auto"/>
        <w:ind w:left="2" w:firstLineChars="176" w:firstLine="422"/>
        <w:rPr>
          <w:rFonts w:ascii="宋体" w:hAnsi="宋体"/>
          <w:kern w:val="28"/>
          <w:sz w:val="24"/>
        </w:rPr>
      </w:pPr>
      <w:r w:rsidRPr="002F0BF5">
        <w:rPr>
          <w:rFonts w:ascii="宋体" w:hAnsi="宋体" w:hint="eastAsia"/>
          <w:kern w:val="28"/>
          <w:sz w:val="24"/>
        </w:rPr>
        <w:t>4.假定有效期之内估价对象或国家经济形式、城市规划、房地产税费政策、市场供应关系、市场结构等未发生变化。</w:t>
      </w:r>
    </w:p>
    <w:p w:rsidR="005C10E6" w:rsidRPr="002F0BF5" w:rsidRDefault="00625BC2">
      <w:pPr>
        <w:tabs>
          <w:tab w:val="left" w:pos="4755"/>
        </w:tabs>
        <w:spacing w:line="360" w:lineRule="auto"/>
        <w:ind w:left="2" w:firstLineChars="176" w:firstLine="422"/>
        <w:rPr>
          <w:rFonts w:ascii="宋体" w:hAnsi="宋体"/>
          <w:kern w:val="28"/>
          <w:sz w:val="24"/>
        </w:rPr>
      </w:pPr>
      <w:r w:rsidRPr="002F0BF5">
        <w:rPr>
          <w:rFonts w:ascii="宋体" w:hAnsi="宋体" w:hint="eastAsia"/>
          <w:kern w:val="28"/>
          <w:sz w:val="24"/>
        </w:rPr>
        <w:t>5.估价对象应享有公共部位的通行权及水电等共用设施的使用权。</w:t>
      </w:r>
    </w:p>
    <w:p w:rsidR="005C10E6" w:rsidRPr="002F0BF5" w:rsidRDefault="00625BC2">
      <w:pPr>
        <w:tabs>
          <w:tab w:val="left" w:pos="4755"/>
        </w:tabs>
        <w:spacing w:line="360" w:lineRule="auto"/>
        <w:ind w:left="2" w:firstLineChars="176" w:firstLine="422"/>
        <w:rPr>
          <w:rFonts w:ascii="宋体" w:hAnsi="宋体"/>
          <w:kern w:val="28"/>
          <w:sz w:val="24"/>
        </w:rPr>
      </w:pPr>
      <w:r w:rsidRPr="002F0BF5">
        <w:rPr>
          <w:rFonts w:ascii="宋体" w:hAnsi="宋体" w:hint="eastAsia"/>
          <w:kern w:val="28"/>
          <w:sz w:val="24"/>
        </w:rPr>
        <w:t>6.估价委托人提拱了《房屋所有权证》、《分户图》等资料，注册房地产估价师对上述资料记载的估价对象的权属、建筑面积、用途等信息进行了审慎检查，在无理由怀疑其合法性、真实性、准确性和完整性且未予以核实的情况下,假定估价委托人提供的资料合法、真实、准确、完整。</w:t>
      </w:r>
    </w:p>
    <w:p w:rsidR="005C10E6" w:rsidRPr="002F0BF5" w:rsidRDefault="00625BC2">
      <w:pPr>
        <w:tabs>
          <w:tab w:val="left" w:pos="4755"/>
        </w:tabs>
        <w:spacing w:line="360" w:lineRule="auto"/>
        <w:ind w:left="2" w:firstLineChars="176" w:firstLine="422"/>
        <w:rPr>
          <w:rFonts w:ascii="宋体" w:hAnsi="宋体"/>
          <w:kern w:val="28"/>
          <w:sz w:val="24"/>
        </w:rPr>
      </w:pPr>
      <w:r w:rsidRPr="002F0BF5">
        <w:rPr>
          <w:rFonts w:ascii="宋体" w:hAnsi="宋体" w:hint="eastAsia"/>
          <w:kern w:val="28"/>
          <w:sz w:val="24"/>
        </w:rPr>
        <w:t>7.估价对象不存在未查明的用益物权、租赁权、占用使用情况，不存在欠缴税金。</w:t>
      </w:r>
    </w:p>
    <w:p w:rsidR="005C10E6" w:rsidRPr="002F0BF5" w:rsidRDefault="00625BC2">
      <w:pPr>
        <w:tabs>
          <w:tab w:val="left" w:pos="4755"/>
        </w:tabs>
        <w:spacing w:line="360" w:lineRule="auto"/>
        <w:ind w:firstLineChars="200" w:firstLine="480"/>
        <w:rPr>
          <w:rFonts w:ascii="宋体" w:hAnsi="宋体"/>
          <w:kern w:val="28"/>
          <w:sz w:val="24"/>
        </w:rPr>
      </w:pPr>
      <w:r w:rsidRPr="002F0BF5">
        <w:rPr>
          <w:rFonts w:ascii="宋体" w:hAnsi="宋体" w:hint="eastAsia"/>
          <w:kern w:val="28"/>
          <w:sz w:val="24"/>
        </w:rPr>
        <w:t>8</w:t>
      </w:r>
      <w:r w:rsidRPr="002F0BF5">
        <w:rPr>
          <w:rFonts w:ascii="宋体" w:hAnsi="宋体"/>
          <w:kern w:val="28"/>
          <w:sz w:val="24"/>
        </w:rPr>
        <w:t>.</w:t>
      </w:r>
      <w:r w:rsidRPr="002F0BF5">
        <w:rPr>
          <w:rFonts w:ascii="宋体" w:hAnsi="宋体" w:hint="eastAsia"/>
          <w:kern w:val="28"/>
          <w:sz w:val="24"/>
        </w:rPr>
        <w:t>估价对象交易税费根据相关法律法规的规定进行办理，评估费、拍卖费、诉讼费、律师费等财产处置费用将从财产处置价款中扣除。</w:t>
      </w:r>
    </w:p>
    <w:p w:rsidR="005C10E6" w:rsidRPr="002F0BF5" w:rsidRDefault="00625BC2">
      <w:pPr>
        <w:tabs>
          <w:tab w:val="left" w:pos="4755"/>
        </w:tabs>
        <w:spacing w:line="360" w:lineRule="auto"/>
        <w:ind w:firstLineChars="200" w:firstLine="480"/>
        <w:rPr>
          <w:rFonts w:ascii="宋体" w:hAnsi="宋体"/>
          <w:kern w:val="28"/>
          <w:sz w:val="24"/>
        </w:rPr>
      </w:pPr>
      <w:r w:rsidRPr="002F0BF5">
        <w:rPr>
          <w:rFonts w:ascii="宋体" w:hAnsi="宋体" w:hint="eastAsia"/>
          <w:kern w:val="28"/>
          <w:sz w:val="24"/>
        </w:rPr>
        <w:t>9.本估价报告中的估价结果基于估价对象完整的物质实体状况和权益状况，且其法定用途使用能够在未来合法使用年限内得以持续。</w:t>
      </w:r>
    </w:p>
    <w:p w:rsidR="005C10E6" w:rsidRPr="002F0BF5" w:rsidRDefault="00625BC2">
      <w:pPr>
        <w:tabs>
          <w:tab w:val="left" w:pos="4755"/>
        </w:tabs>
        <w:spacing w:line="360" w:lineRule="auto"/>
        <w:ind w:firstLineChars="200" w:firstLine="480"/>
        <w:rPr>
          <w:rFonts w:asciiTheme="minorEastAsia" w:eastAsiaTheme="minorEastAsia" w:hAnsiTheme="minorEastAsia"/>
          <w:kern w:val="28"/>
          <w:sz w:val="24"/>
        </w:rPr>
      </w:pPr>
      <w:r w:rsidRPr="002F0BF5">
        <w:rPr>
          <w:rFonts w:ascii="宋体" w:hAnsi="宋体" w:hint="eastAsia"/>
          <w:kern w:val="28"/>
          <w:sz w:val="24"/>
        </w:rPr>
        <w:t>10</w:t>
      </w:r>
      <w:r w:rsidRPr="002F0BF5">
        <w:rPr>
          <w:rFonts w:asciiTheme="minorEastAsia" w:eastAsiaTheme="minorEastAsia" w:hAnsiTheme="minorEastAsia" w:hint="eastAsia"/>
          <w:kern w:val="28"/>
          <w:sz w:val="24"/>
        </w:rPr>
        <w:t>.注册房地产估价师于2022年4月22日对估价对象进行了实地查勘，实地查勘仅限于估价对象的外观和使用状况、内部布局、装修及设备情况，并未对估价对象做建筑物基础、房屋结构的鉴定和检测，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rsidR="005C10E6" w:rsidRPr="002F0BF5" w:rsidRDefault="00625BC2">
      <w:pPr>
        <w:tabs>
          <w:tab w:val="left" w:pos="4755"/>
        </w:tabs>
        <w:spacing w:line="360" w:lineRule="auto"/>
        <w:ind w:left="2" w:firstLineChars="176" w:firstLine="424"/>
        <w:rPr>
          <w:rFonts w:ascii="宋体" w:hAnsi="宋体"/>
          <w:b/>
          <w:kern w:val="28"/>
          <w:sz w:val="24"/>
        </w:rPr>
      </w:pPr>
      <w:r w:rsidRPr="002F0BF5">
        <w:rPr>
          <w:rFonts w:ascii="宋体" w:hAnsi="宋体" w:hint="eastAsia"/>
          <w:b/>
          <w:kern w:val="28"/>
          <w:sz w:val="24"/>
        </w:rPr>
        <w:t>二、未定事项假设</w:t>
      </w:r>
    </w:p>
    <w:p w:rsidR="005C10E6" w:rsidRPr="002F0BF5" w:rsidRDefault="00625BC2">
      <w:pPr>
        <w:tabs>
          <w:tab w:val="left" w:pos="4755"/>
        </w:tabs>
        <w:spacing w:line="360" w:lineRule="auto"/>
        <w:ind w:firstLineChars="200" w:firstLine="480"/>
        <w:rPr>
          <w:rFonts w:ascii="宋体" w:hAnsi="宋体"/>
          <w:kern w:val="28"/>
          <w:sz w:val="24"/>
        </w:rPr>
      </w:pPr>
      <w:r w:rsidRPr="002F0BF5">
        <w:rPr>
          <w:rFonts w:ascii="宋体" w:hAnsi="宋体" w:hint="eastAsia"/>
          <w:kern w:val="28"/>
          <w:sz w:val="24"/>
        </w:rPr>
        <w:t>本次估价不存在未定事项假设。</w:t>
      </w:r>
    </w:p>
    <w:p w:rsidR="005C10E6" w:rsidRPr="002F0BF5" w:rsidRDefault="00625BC2">
      <w:pPr>
        <w:tabs>
          <w:tab w:val="center" w:pos="4720"/>
        </w:tabs>
        <w:spacing w:line="360" w:lineRule="auto"/>
        <w:ind w:firstLineChars="200" w:firstLine="482"/>
        <w:rPr>
          <w:rFonts w:ascii="宋体" w:hAnsi="宋体"/>
          <w:b/>
          <w:kern w:val="28"/>
          <w:sz w:val="24"/>
        </w:rPr>
      </w:pPr>
      <w:r w:rsidRPr="002F0BF5">
        <w:rPr>
          <w:rFonts w:ascii="宋体" w:hAnsi="宋体" w:hint="eastAsia"/>
          <w:b/>
          <w:kern w:val="28"/>
          <w:sz w:val="24"/>
        </w:rPr>
        <w:t>三、背离事实假设</w:t>
      </w:r>
      <w:r w:rsidRPr="002F0BF5">
        <w:rPr>
          <w:rFonts w:ascii="宋体" w:hAnsi="宋体"/>
          <w:b/>
          <w:kern w:val="28"/>
          <w:sz w:val="24"/>
        </w:rPr>
        <w:tab/>
      </w:r>
    </w:p>
    <w:p w:rsidR="005C10E6" w:rsidRPr="002F0BF5" w:rsidRDefault="00625BC2">
      <w:pPr>
        <w:tabs>
          <w:tab w:val="left" w:pos="4755"/>
        </w:tabs>
        <w:spacing w:line="360" w:lineRule="auto"/>
        <w:ind w:firstLineChars="200" w:firstLine="480"/>
        <w:rPr>
          <w:rFonts w:ascii="宋体" w:hAnsi="宋体"/>
          <w:kern w:val="28"/>
          <w:sz w:val="24"/>
        </w:rPr>
      </w:pPr>
      <w:r w:rsidRPr="002F0BF5">
        <w:rPr>
          <w:rFonts w:ascii="宋体" w:hAnsi="宋体" w:hint="eastAsia"/>
          <w:kern w:val="28"/>
          <w:sz w:val="24"/>
        </w:rPr>
        <w:t>1.</w:t>
      </w:r>
      <w:r w:rsidRPr="002F0BF5">
        <w:rPr>
          <w:rFonts w:ascii="宋体" w:hAnsi="宋体"/>
          <w:kern w:val="28"/>
          <w:sz w:val="24"/>
        </w:rPr>
        <w:t>估价对象已被</w:t>
      </w:r>
      <w:r w:rsidRPr="002F0BF5">
        <w:rPr>
          <w:rFonts w:asciiTheme="minorEastAsia" w:eastAsiaTheme="minorEastAsia" w:hAnsiTheme="minorEastAsia" w:cs="宋体" w:hint="eastAsia"/>
          <w:sz w:val="24"/>
        </w:rPr>
        <w:t>太原市杏花岭区人民法院</w:t>
      </w:r>
      <w:r w:rsidRPr="002F0BF5">
        <w:rPr>
          <w:rFonts w:ascii="宋体" w:hAnsi="宋体" w:hint="eastAsia"/>
          <w:kern w:val="28"/>
          <w:sz w:val="24"/>
        </w:rPr>
        <w:t>查封，根据估价目的，本估价报告的结</w:t>
      </w:r>
      <w:r w:rsidRPr="002F0BF5">
        <w:rPr>
          <w:rFonts w:ascii="宋体" w:hAnsi="宋体" w:hint="eastAsia"/>
          <w:kern w:val="28"/>
          <w:sz w:val="24"/>
        </w:rPr>
        <w:lastRenderedPageBreak/>
        <w:t>果是估价对象在价值时点</w:t>
      </w:r>
      <w:r w:rsidRPr="002F0BF5">
        <w:rPr>
          <w:rFonts w:ascii="宋体" w:hAnsi="宋体" w:hint="eastAsia"/>
          <w:spacing w:val="6"/>
          <w:kern w:val="0"/>
          <w:sz w:val="24"/>
        </w:rPr>
        <w:t>2022年4月22日的房地产市场价格。未考虑</w:t>
      </w:r>
      <w:r w:rsidRPr="002F0BF5">
        <w:rPr>
          <w:rFonts w:ascii="宋体" w:hAnsi="宋体" w:hint="eastAsia"/>
          <w:kern w:val="28"/>
          <w:sz w:val="24"/>
        </w:rPr>
        <w:t>查封对房地产价格的影响。</w:t>
      </w:r>
    </w:p>
    <w:p w:rsidR="005C10E6" w:rsidRPr="002F0BF5" w:rsidRDefault="00625BC2">
      <w:pPr>
        <w:tabs>
          <w:tab w:val="left" w:pos="4755"/>
        </w:tabs>
        <w:spacing w:line="360" w:lineRule="auto"/>
        <w:ind w:firstLineChars="200" w:firstLine="480"/>
        <w:rPr>
          <w:rFonts w:ascii="宋体" w:hAnsi="宋体"/>
          <w:kern w:val="28"/>
          <w:sz w:val="24"/>
        </w:rPr>
      </w:pPr>
      <w:r w:rsidRPr="002F0BF5">
        <w:rPr>
          <w:rFonts w:ascii="宋体" w:hAnsi="宋体" w:hint="eastAsia"/>
          <w:kern w:val="28"/>
          <w:sz w:val="24"/>
        </w:rPr>
        <w:t>2.由于欠缴费用单登记的姓名为“尹崇伟”，和产权人常飞、张国冀不一致，本次估价结果未考虑拖欠的水费、物业费。</w:t>
      </w:r>
    </w:p>
    <w:p w:rsidR="005C10E6" w:rsidRPr="002F0BF5" w:rsidRDefault="00625BC2">
      <w:pPr>
        <w:tabs>
          <w:tab w:val="left" w:pos="4755"/>
        </w:tabs>
        <w:spacing w:line="360" w:lineRule="auto"/>
        <w:ind w:left="2" w:firstLineChars="176" w:firstLine="424"/>
        <w:rPr>
          <w:rFonts w:ascii="宋体" w:hAnsi="宋体"/>
          <w:b/>
          <w:kern w:val="28"/>
          <w:sz w:val="24"/>
        </w:rPr>
      </w:pPr>
      <w:r w:rsidRPr="002F0BF5">
        <w:rPr>
          <w:rFonts w:ascii="宋体" w:hAnsi="宋体" w:hint="eastAsia"/>
          <w:b/>
          <w:kern w:val="28"/>
          <w:sz w:val="24"/>
        </w:rPr>
        <w:t>四、不相一致假设</w:t>
      </w:r>
    </w:p>
    <w:p w:rsidR="005C10E6" w:rsidRPr="002F0BF5" w:rsidRDefault="00625BC2">
      <w:pPr>
        <w:tabs>
          <w:tab w:val="left" w:pos="4755"/>
        </w:tabs>
        <w:spacing w:line="360" w:lineRule="auto"/>
        <w:ind w:firstLineChars="200" w:firstLine="480"/>
        <w:rPr>
          <w:rFonts w:ascii="宋体" w:hAnsi="宋体"/>
          <w:kern w:val="28"/>
          <w:sz w:val="24"/>
        </w:rPr>
      </w:pPr>
      <w:bookmarkStart w:id="6" w:name="_Hlk102843272"/>
      <w:r w:rsidRPr="002F0BF5">
        <w:rPr>
          <w:rFonts w:ascii="宋体" w:hAnsi="宋体" w:hint="eastAsia"/>
          <w:kern w:val="28"/>
          <w:sz w:val="24"/>
        </w:rPr>
        <w:t>本次估价不存在不相一致假设。</w:t>
      </w:r>
    </w:p>
    <w:bookmarkEnd w:id="6"/>
    <w:p w:rsidR="005C10E6" w:rsidRPr="002F0BF5" w:rsidRDefault="00625BC2">
      <w:pPr>
        <w:tabs>
          <w:tab w:val="left" w:pos="4755"/>
        </w:tabs>
        <w:spacing w:line="360" w:lineRule="auto"/>
        <w:ind w:left="2" w:firstLineChars="176" w:firstLine="424"/>
        <w:rPr>
          <w:rFonts w:ascii="宋体" w:hAnsi="宋体"/>
          <w:b/>
          <w:kern w:val="28"/>
          <w:sz w:val="24"/>
        </w:rPr>
      </w:pPr>
      <w:r w:rsidRPr="002F0BF5">
        <w:rPr>
          <w:rFonts w:ascii="宋体" w:hAnsi="宋体" w:hint="eastAsia"/>
          <w:b/>
          <w:kern w:val="28"/>
          <w:sz w:val="24"/>
        </w:rPr>
        <w:t>五、依据不足假设</w:t>
      </w:r>
    </w:p>
    <w:p w:rsidR="005C10E6" w:rsidRPr="002F0BF5" w:rsidRDefault="00625BC2">
      <w:pPr>
        <w:tabs>
          <w:tab w:val="left" w:pos="4755"/>
        </w:tabs>
        <w:spacing w:line="360" w:lineRule="auto"/>
        <w:ind w:firstLineChars="200" w:firstLine="480"/>
        <w:rPr>
          <w:rFonts w:ascii="宋体" w:hAnsi="宋体"/>
          <w:kern w:val="28"/>
          <w:sz w:val="24"/>
        </w:rPr>
      </w:pPr>
      <w:r w:rsidRPr="002F0BF5">
        <w:rPr>
          <w:rFonts w:ascii="宋体" w:hAnsi="宋体" w:hint="eastAsia"/>
          <w:kern w:val="28"/>
          <w:sz w:val="24"/>
        </w:rPr>
        <w:t>本次估价不存在依据不足假设。</w:t>
      </w:r>
    </w:p>
    <w:p w:rsidR="005C10E6" w:rsidRPr="002F0BF5" w:rsidRDefault="00625BC2">
      <w:pPr>
        <w:tabs>
          <w:tab w:val="left" w:pos="4755"/>
        </w:tabs>
        <w:spacing w:line="360" w:lineRule="auto"/>
        <w:ind w:left="2" w:firstLineChars="176" w:firstLine="424"/>
        <w:rPr>
          <w:rFonts w:ascii="宋体" w:hAnsi="宋体"/>
          <w:b/>
          <w:kern w:val="28"/>
          <w:sz w:val="24"/>
        </w:rPr>
      </w:pPr>
      <w:r w:rsidRPr="002F0BF5">
        <w:rPr>
          <w:rFonts w:ascii="宋体" w:hAnsi="宋体" w:hint="eastAsia"/>
          <w:b/>
          <w:kern w:val="28"/>
          <w:sz w:val="24"/>
        </w:rPr>
        <w:t>六、估价报告使用限制</w:t>
      </w:r>
    </w:p>
    <w:p w:rsidR="005C10E6" w:rsidRPr="002F0BF5" w:rsidRDefault="00625BC2">
      <w:pPr>
        <w:spacing w:line="360" w:lineRule="auto"/>
        <w:ind w:firstLineChars="200" w:firstLine="480"/>
        <w:rPr>
          <w:rFonts w:ascii="宋体" w:hAnsi="宋体"/>
          <w:kern w:val="28"/>
          <w:sz w:val="24"/>
        </w:rPr>
      </w:pPr>
      <w:r w:rsidRPr="002F0BF5">
        <w:rPr>
          <w:rFonts w:ascii="宋体" w:eastAsiaTheme="minorEastAsia" w:hAnsi="宋体" w:hint="eastAsia"/>
          <w:kern w:val="28"/>
          <w:sz w:val="24"/>
        </w:rPr>
        <w:t>1</w:t>
      </w:r>
      <w:r w:rsidRPr="002F0BF5">
        <w:rPr>
          <w:rFonts w:ascii="宋体" w:hAnsi="宋体" w:hint="eastAsia"/>
          <w:kern w:val="28"/>
          <w:sz w:val="24"/>
        </w:rPr>
        <w:t>.估价结论仅为人民法院确定财产处置参考价服务，不得用于其他估价目的</w:t>
      </w:r>
      <w:r w:rsidRPr="002F0BF5">
        <w:rPr>
          <w:rFonts w:ascii="宋体" w:eastAsiaTheme="minorEastAsia" w:hAnsi="宋体" w:hint="eastAsia"/>
          <w:kern w:val="28"/>
          <w:sz w:val="24"/>
        </w:rPr>
        <w:t>。估价结论</w:t>
      </w:r>
      <w:r w:rsidRPr="002F0BF5">
        <w:rPr>
          <w:rFonts w:ascii="宋体" w:hAnsi="宋体" w:hint="eastAsia"/>
          <w:kern w:val="28"/>
          <w:sz w:val="24"/>
        </w:rPr>
        <w:t>不是估价对象处置可实现的成交价格，也不应当被视为对估价对象处置成交价格的保证</w:t>
      </w:r>
      <w:r w:rsidRPr="002F0BF5">
        <w:rPr>
          <w:rFonts w:ascii="宋体" w:hAnsi="宋体"/>
          <w:kern w:val="28"/>
          <w:sz w:val="24"/>
        </w:rPr>
        <w:t>。</w:t>
      </w:r>
    </w:p>
    <w:p w:rsidR="005C10E6" w:rsidRPr="002F0BF5" w:rsidRDefault="00625BC2">
      <w:pPr>
        <w:spacing w:line="360" w:lineRule="auto"/>
        <w:ind w:firstLineChars="200" w:firstLine="480"/>
        <w:rPr>
          <w:rFonts w:ascii="宋体" w:eastAsiaTheme="minorEastAsia" w:hAnsi="宋体"/>
          <w:kern w:val="28"/>
          <w:sz w:val="24"/>
        </w:rPr>
      </w:pPr>
      <w:r w:rsidRPr="002F0BF5">
        <w:rPr>
          <w:rFonts w:ascii="宋体" w:hAnsi="宋体" w:hint="eastAsia"/>
          <w:kern w:val="28"/>
          <w:sz w:val="24"/>
        </w:rPr>
        <w:t>2.财产拍卖或者变卖之日与价值时点不一致，可能导致估价结果对应的估价对象状况、房地产市场状况、欠缴税费状况等与财产拍卖或者变卖时的相应状况不一致，发生明显变化的，估价结论应当进行相应调整后才可使用。</w:t>
      </w:r>
    </w:p>
    <w:p w:rsidR="005C10E6" w:rsidRPr="002F0BF5" w:rsidRDefault="00625BC2">
      <w:pPr>
        <w:spacing w:line="360" w:lineRule="auto"/>
        <w:ind w:firstLineChars="200" w:firstLine="480"/>
        <w:rPr>
          <w:rFonts w:ascii="宋体" w:eastAsiaTheme="minorEastAsia" w:hAnsi="宋体"/>
          <w:kern w:val="28"/>
          <w:sz w:val="24"/>
        </w:rPr>
      </w:pPr>
      <w:r w:rsidRPr="002F0BF5">
        <w:rPr>
          <w:rFonts w:ascii="宋体" w:eastAsiaTheme="minorEastAsia" w:hAnsi="宋体" w:hint="eastAsia"/>
          <w:kern w:val="28"/>
          <w:sz w:val="24"/>
        </w:rPr>
        <w:t>3</w:t>
      </w:r>
      <w:r w:rsidRPr="002F0BF5">
        <w:rPr>
          <w:rFonts w:ascii="宋体" w:hAnsi="宋体" w:hint="eastAsia"/>
          <w:kern w:val="28"/>
          <w:sz w:val="24"/>
        </w:rPr>
        <w:t>.应当按照法律规定和评估报告载明的用途、使用人、使用期限等使用范围使用评估报告</w:t>
      </w:r>
      <w:r w:rsidRPr="002F0BF5">
        <w:rPr>
          <w:rFonts w:ascii="宋体" w:eastAsiaTheme="minorEastAsia" w:hAnsi="宋体" w:hint="eastAsia"/>
          <w:kern w:val="28"/>
          <w:sz w:val="24"/>
        </w:rPr>
        <w:t>。</w:t>
      </w:r>
      <w:r w:rsidRPr="002F0BF5">
        <w:rPr>
          <w:rFonts w:ascii="宋体" w:hAnsi="宋体" w:hint="eastAsia"/>
          <w:kern w:val="28"/>
          <w:sz w:val="24"/>
        </w:rPr>
        <w:t>未经本公司书面同意，本报告的全部和任何一部分内容均不得向估价委托人、报告使用者、报告审查部门之外的单位和个人提供，不允许在任何公开发表的文件、通告或声明中引用，亦不得以任何公开形式发表。否则，房地产估价机构和注册房地产估价师依法不承担责任。</w:t>
      </w:r>
    </w:p>
    <w:p w:rsidR="005C10E6" w:rsidRPr="002F0BF5" w:rsidRDefault="00625BC2">
      <w:pPr>
        <w:spacing w:line="360" w:lineRule="auto"/>
        <w:ind w:firstLineChars="200" w:firstLine="480"/>
        <w:rPr>
          <w:rFonts w:ascii="宋体" w:hAnsi="宋体"/>
          <w:kern w:val="28"/>
          <w:sz w:val="24"/>
        </w:rPr>
      </w:pPr>
      <w:r w:rsidRPr="002F0BF5">
        <w:rPr>
          <w:rFonts w:ascii="宋体" w:eastAsiaTheme="minorEastAsia" w:hAnsi="宋体" w:hint="eastAsia"/>
          <w:kern w:val="28"/>
          <w:sz w:val="24"/>
        </w:rPr>
        <w:t>4.</w:t>
      </w:r>
      <w:r w:rsidRPr="002F0BF5">
        <w:rPr>
          <w:rFonts w:ascii="宋体" w:hAnsi="宋体" w:hint="eastAsia"/>
          <w:kern w:val="28"/>
          <w:sz w:val="24"/>
        </w:rPr>
        <w:t>本次估价对象由委托方有关人员现场指认，若与实际不符，应重新估价。</w:t>
      </w:r>
    </w:p>
    <w:p w:rsidR="005C10E6" w:rsidRPr="002F0BF5" w:rsidRDefault="00625BC2">
      <w:pPr>
        <w:spacing w:line="360" w:lineRule="auto"/>
        <w:ind w:firstLineChars="200" w:firstLine="480"/>
        <w:rPr>
          <w:rFonts w:ascii="宋体" w:hAnsi="宋体"/>
          <w:kern w:val="28"/>
          <w:sz w:val="24"/>
        </w:rPr>
      </w:pPr>
      <w:r w:rsidRPr="002F0BF5">
        <w:rPr>
          <w:rFonts w:ascii="宋体" w:eastAsiaTheme="minorEastAsia" w:hAnsi="宋体" w:hint="eastAsia"/>
          <w:kern w:val="28"/>
          <w:sz w:val="24"/>
        </w:rPr>
        <w:t>5</w:t>
      </w:r>
      <w:r w:rsidRPr="002F0BF5">
        <w:rPr>
          <w:rFonts w:ascii="宋体" w:hAnsi="宋体" w:hint="eastAsia"/>
          <w:kern w:val="28"/>
          <w:sz w:val="24"/>
        </w:rPr>
        <w:t>.本报告必须经我公司加盖公章及注册房地产估价师签字后方可使用，我公司仅对本报告的原件承担责任，对任何形式的复印件概不认可且不承担责任。</w:t>
      </w:r>
    </w:p>
    <w:p w:rsidR="005C10E6" w:rsidRPr="002F0BF5" w:rsidRDefault="00625BC2">
      <w:pPr>
        <w:spacing w:line="360" w:lineRule="auto"/>
        <w:ind w:firstLineChars="200" w:firstLine="480"/>
        <w:rPr>
          <w:rFonts w:ascii="宋体" w:eastAsiaTheme="minorEastAsia" w:hAnsi="宋体"/>
          <w:kern w:val="28"/>
          <w:sz w:val="24"/>
        </w:rPr>
      </w:pPr>
      <w:r w:rsidRPr="002F0BF5">
        <w:rPr>
          <w:rFonts w:ascii="宋体" w:eastAsiaTheme="minorEastAsia" w:hAnsi="宋体" w:hint="eastAsia"/>
          <w:kern w:val="28"/>
          <w:sz w:val="24"/>
        </w:rPr>
        <w:t>6</w:t>
      </w:r>
      <w:r w:rsidRPr="002F0BF5">
        <w:rPr>
          <w:rFonts w:ascii="宋体" w:hAnsi="宋体" w:hint="eastAsia"/>
          <w:kern w:val="28"/>
          <w:sz w:val="24"/>
        </w:rPr>
        <w:t>.本报告必须完整使用方为有效，对仅使用本报告中部分内容而导致可能的损失，本估价机构不承担责任。</w:t>
      </w:r>
    </w:p>
    <w:p w:rsidR="005C10E6" w:rsidRPr="002F0BF5" w:rsidRDefault="00625BC2">
      <w:pPr>
        <w:spacing w:line="360" w:lineRule="auto"/>
        <w:ind w:firstLineChars="200" w:firstLine="480"/>
        <w:rPr>
          <w:rFonts w:ascii="宋体" w:eastAsiaTheme="minorEastAsia" w:hAnsi="宋体"/>
          <w:kern w:val="28"/>
          <w:sz w:val="24"/>
        </w:rPr>
      </w:pPr>
      <w:r w:rsidRPr="002F0BF5">
        <w:rPr>
          <w:rFonts w:ascii="宋体" w:eastAsiaTheme="minorEastAsia" w:hAnsi="宋体" w:hint="eastAsia"/>
          <w:kern w:val="28"/>
          <w:sz w:val="24"/>
        </w:rPr>
        <w:t>7</w:t>
      </w:r>
      <w:r w:rsidRPr="002F0BF5">
        <w:rPr>
          <w:rFonts w:ascii="宋体" w:hAnsi="宋体" w:hint="eastAsia"/>
          <w:kern w:val="28"/>
          <w:sz w:val="24"/>
        </w:rPr>
        <w:t>.本估价报告使用的有效期自评估报告出具之日起一年内有效。即估价目的在报告完成后的一年内实现，估价结论可作估价对象的市场价格参考，但在价值时点后，在报告有效期内估价对象的质量及价格标准发生变化，并对估价对象的价值产生明显影响时，不能直接使用估价结果，超过一年，需重新进行估价。</w:t>
      </w:r>
    </w:p>
    <w:p w:rsidR="005C10E6" w:rsidRPr="002F0BF5" w:rsidRDefault="00625BC2">
      <w:pPr>
        <w:tabs>
          <w:tab w:val="left" w:pos="4755"/>
        </w:tabs>
        <w:spacing w:line="360" w:lineRule="auto"/>
        <w:ind w:firstLineChars="200" w:firstLine="480"/>
        <w:rPr>
          <w:rFonts w:ascii="宋体" w:hAnsi="宋体"/>
          <w:kern w:val="28"/>
          <w:sz w:val="24"/>
        </w:rPr>
      </w:pPr>
      <w:r w:rsidRPr="002F0BF5">
        <w:rPr>
          <w:rFonts w:ascii="宋体" w:eastAsiaTheme="minorEastAsia" w:hAnsi="宋体" w:hint="eastAsia"/>
          <w:kern w:val="28"/>
          <w:sz w:val="24"/>
        </w:rPr>
        <w:lastRenderedPageBreak/>
        <w:t>8</w:t>
      </w:r>
      <w:r w:rsidRPr="002F0BF5">
        <w:rPr>
          <w:rFonts w:ascii="宋体" w:hAnsi="宋体" w:hint="eastAsia"/>
          <w:kern w:val="28"/>
          <w:sz w:val="24"/>
        </w:rPr>
        <w:t>.本报告估价结论依据委托方提供的现有资料以及上述假设得出，如与后续提供的资料不一致，应重新估价。</w:t>
      </w:r>
    </w:p>
    <w:p w:rsidR="005C10E6" w:rsidRPr="002F0BF5" w:rsidRDefault="00625BC2">
      <w:pPr>
        <w:tabs>
          <w:tab w:val="left" w:pos="4755"/>
        </w:tabs>
        <w:spacing w:line="360" w:lineRule="auto"/>
        <w:jc w:val="center"/>
        <w:outlineLvl w:val="0"/>
        <w:rPr>
          <w:rStyle w:val="1Char"/>
          <w:rFonts w:ascii="黑体" w:hAnsi="黑体"/>
        </w:rPr>
      </w:pPr>
      <w:r w:rsidRPr="002F0BF5">
        <w:rPr>
          <w:rFonts w:ascii="宋体" w:hAnsi="宋体"/>
          <w:kern w:val="28"/>
          <w:sz w:val="24"/>
        </w:rPr>
        <w:br w:type="page"/>
      </w:r>
      <w:bookmarkStart w:id="7" w:name="_Toc102846904"/>
      <w:bookmarkStart w:id="8" w:name="_Toc513482437"/>
      <w:r w:rsidRPr="002F0BF5">
        <w:rPr>
          <w:rStyle w:val="1Char"/>
          <w:rFonts w:ascii="黑体" w:hAnsi="黑体" w:hint="eastAsia"/>
        </w:rPr>
        <w:lastRenderedPageBreak/>
        <w:t>估价结果报告</w:t>
      </w:r>
      <w:bookmarkEnd w:id="7"/>
      <w:bookmarkEnd w:id="8"/>
    </w:p>
    <w:p w:rsidR="005C10E6" w:rsidRPr="002F0BF5" w:rsidRDefault="00625BC2">
      <w:pPr>
        <w:tabs>
          <w:tab w:val="left" w:pos="4755"/>
        </w:tabs>
        <w:spacing w:line="360" w:lineRule="auto"/>
        <w:ind w:firstLineChars="200" w:firstLine="482"/>
        <w:outlineLvl w:val="1"/>
        <w:rPr>
          <w:rFonts w:ascii="宋体" w:hAnsi="宋体"/>
          <w:b/>
          <w:kern w:val="0"/>
          <w:sz w:val="24"/>
        </w:rPr>
      </w:pPr>
      <w:bookmarkStart w:id="9" w:name="_Toc513482438"/>
      <w:bookmarkStart w:id="10" w:name="_Toc102846905"/>
      <w:r w:rsidRPr="002F0BF5">
        <w:rPr>
          <w:rFonts w:ascii="宋体" w:hAnsi="宋体" w:hint="eastAsia"/>
          <w:b/>
          <w:kern w:val="0"/>
          <w:sz w:val="24"/>
        </w:rPr>
        <w:t>（一）估价委托人</w:t>
      </w:r>
      <w:bookmarkEnd w:id="9"/>
      <w:bookmarkEnd w:id="10"/>
    </w:p>
    <w:p w:rsidR="005C10E6" w:rsidRPr="002F0BF5" w:rsidRDefault="00625BC2">
      <w:pPr>
        <w:tabs>
          <w:tab w:val="left" w:pos="4755"/>
        </w:tabs>
        <w:spacing w:line="360" w:lineRule="auto"/>
        <w:ind w:firstLineChars="200" w:firstLine="480"/>
        <w:rPr>
          <w:rFonts w:ascii="宋体" w:hAnsi="宋体"/>
          <w:sz w:val="24"/>
        </w:rPr>
      </w:pPr>
      <w:r w:rsidRPr="002F0BF5">
        <w:rPr>
          <w:rFonts w:ascii="宋体" w:hAnsi="宋体" w:hint="eastAsia"/>
          <w:sz w:val="24"/>
        </w:rPr>
        <w:t>名称：山西省长治市中级人民法院</w:t>
      </w:r>
    </w:p>
    <w:p w:rsidR="005C10E6" w:rsidRPr="002F0BF5" w:rsidRDefault="00625BC2">
      <w:pPr>
        <w:tabs>
          <w:tab w:val="left" w:pos="4755"/>
        </w:tabs>
        <w:spacing w:line="360" w:lineRule="auto"/>
        <w:ind w:firstLineChars="200" w:firstLine="482"/>
        <w:outlineLvl w:val="1"/>
        <w:rPr>
          <w:rFonts w:ascii="宋体" w:hAnsi="宋体"/>
          <w:b/>
          <w:kern w:val="0"/>
          <w:sz w:val="24"/>
        </w:rPr>
      </w:pPr>
      <w:bookmarkStart w:id="11" w:name="_Toc513482439"/>
      <w:bookmarkStart w:id="12" w:name="_Toc102846906"/>
      <w:r w:rsidRPr="002F0BF5">
        <w:rPr>
          <w:rFonts w:ascii="宋体" w:hAnsi="宋体" w:hint="eastAsia"/>
          <w:b/>
          <w:kern w:val="0"/>
          <w:sz w:val="24"/>
        </w:rPr>
        <w:t>（二）房地产估价机构</w:t>
      </w:r>
      <w:bookmarkEnd w:id="11"/>
      <w:bookmarkEnd w:id="12"/>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名称：山西弘信房地产土地资产评估有限公司</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住所：太原市小店区学府街130号（华宇绿洲）33幢1单元7-8层0702号</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统一社会信用代码：91140105757250079C</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估价机构资质级别：壹级</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资质证书编号：[晋]房估01119019号</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法定代表人：段剑宇</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联系电话：</w:t>
      </w:r>
      <w:r w:rsidRPr="002F0BF5">
        <w:rPr>
          <w:rFonts w:ascii="宋体" w:hAnsi="宋体"/>
          <w:kern w:val="0"/>
          <w:sz w:val="24"/>
        </w:rPr>
        <w:t>03</w:t>
      </w:r>
      <w:r w:rsidRPr="002F0BF5">
        <w:rPr>
          <w:rFonts w:ascii="宋体" w:hAnsi="宋体" w:hint="eastAsia"/>
          <w:kern w:val="0"/>
          <w:sz w:val="24"/>
        </w:rPr>
        <w:t>51-7227000</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公司邮箱：</w:t>
      </w:r>
      <w:hyperlink r:id="rId9" w:history="1">
        <w:r w:rsidRPr="002F0BF5">
          <w:rPr>
            <w:rStyle w:val="af2"/>
            <w:rFonts w:ascii="宋体" w:hAnsi="宋体" w:hint="eastAsia"/>
            <w:color w:val="auto"/>
            <w:kern w:val="0"/>
            <w:u w:val="none"/>
          </w:rPr>
          <w:t>sxhxpg@126.com</w:t>
        </w:r>
      </w:hyperlink>
    </w:p>
    <w:p w:rsidR="005C10E6" w:rsidRPr="002F0BF5" w:rsidRDefault="00625BC2">
      <w:pPr>
        <w:tabs>
          <w:tab w:val="left" w:pos="4755"/>
        </w:tabs>
        <w:spacing w:line="360" w:lineRule="auto"/>
        <w:ind w:firstLineChars="200" w:firstLine="482"/>
        <w:outlineLvl w:val="1"/>
        <w:rPr>
          <w:rFonts w:ascii="宋体" w:hAnsi="宋体"/>
          <w:b/>
          <w:kern w:val="0"/>
          <w:sz w:val="24"/>
        </w:rPr>
      </w:pPr>
      <w:bookmarkStart w:id="13" w:name="_Toc102846907"/>
      <w:bookmarkStart w:id="14" w:name="_Toc513482440"/>
      <w:r w:rsidRPr="002F0BF5">
        <w:rPr>
          <w:rFonts w:ascii="宋体" w:hAnsi="宋体" w:hint="eastAsia"/>
          <w:b/>
          <w:kern w:val="0"/>
          <w:sz w:val="24"/>
        </w:rPr>
        <w:t>（三）估价目的</w:t>
      </w:r>
      <w:bookmarkEnd w:id="13"/>
      <w:bookmarkEnd w:id="14"/>
    </w:p>
    <w:p w:rsidR="005C10E6" w:rsidRPr="002F0BF5" w:rsidRDefault="00625BC2">
      <w:pPr>
        <w:spacing w:line="360" w:lineRule="auto"/>
        <w:ind w:firstLineChars="200" w:firstLine="480"/>
        <w:rPr>
          <w:rFonts w:ascii="宋体" w:hAnsi="宋体"/>
          <w:kern w:val="0"/>
          <w:sz w:val="24"/>
        </w:rPr>
      </w:pPr>
      <w:bookmarkStart w:id="15" w:name="_Toc513482441"/>
      <w:r w:rsidRPr="002F0BF5">
        <w:rPr>
          <w:rFonts w:ascii="宋体" w:hAnsi="宋体" w:hint="eastAsia"/>
          <w:kern w:val="0"/>
          <w:sz w:val="24"/>
        </w:rPr>
        <w:t>为人民法院确定财产处置参考价提供参考依据</w:t>
      </w:r>
    </w:p>
    <w:p w:rsidR="005C10E6" w:rsidRPr="002F0BF5" w:rsidRDefault="00625BC2">
      <w:pPr>
        <w:tabs>
          <w:tab w:val="left" w:pos="4755"/>
        </w:tabs>
        <w:spacing w:line="360" w:lineRule="auto"/>
        <w:ind w:firstLineChars="200" w:firstLine="482"/>
        <w:outlineLvl w:val="1"/>
        <w:rPr>
          <w:rFonts w:ascii="宋体" w:hAnsi="宋体"/>
          <w:b/>
          <w:kern w:val="0"/>
          <w:sz w:val="24"/>
        </w:rPr>
      </w:pPr>
      <w:bookmarkStart w:id="16" w:name="_Toc102846908"/>
      <w:r w:rsidRPr="002F0BF5">
        <w:rPr>
          <w:rFonts w:ascii="宋体" w:hAnsi="宋体" w:hint="eastAsia"/>
          <w:b/>
          <w:kern w:val="0"/>
          <w:sz w:val="24"/>
        </w:rPr>
        <w:t>（四）估价对象</w:t>
      </w:r>
      <w:bookmarkEnd w:id="15"/>
      <w:bookmarkEnd w:id="16"/>
    </w:p>
    <w:p w:rsidR="005C10E6" w:rsidRPr="002F0BF5" w:rsidRDefault="00625BC2">
      <w:pPr>
        <w:spacing w:line="360" w:lineRule="auto"/>
        <w:ind w:firstLineChars="200" w:firstLine="480"/>
        <w:rPr>
          <w:rFonts w:ascii="宋体" w:hAnsi="宋体"/>
          <w:kern w:val="0"/>
          <w:sz w:val="24"/>
        </w:rPr>
      </w:pPr>
      <w:r w:rsidRPr="002F0BF5">
        <w:rPr>
          <w:rFonts w:ascii="宋体" w:hAnsi="宋体" w:hint="eastAsia"/>
          <w:kern w:val="0"/>
          <w:sz w:val="24"/>
        </w:rPr>
        <w:t>1、估价对象基本状况</w:t>
      </w:r>
    </w:p>
    <w:p w:rsidR="005C10E6" w:rsidRPr="002F0BF5" w:rsidRDefault="00625BC2">
      <w:pPr>
        <w:tabs>
          <w:tab w:val="left" w:pos="4755"/>
        </w:tabs>
        <w:spacing w:line="360" w:lineRule="auto"/>
        <w:ind w:firstLineChars="200" w:firstLine="480"/>
        <w:rPr>
          <w:rFonts w:ascii="宋体" w:hAnsi="宋体"/>
          <w:sz w:val="24"/>
        </w:rPr>
      </w:pPr>
      <w:r w:rsidRPr="002F0BF5">
        <w:rPr>
          <w:rFonts w:ascii="宋体" w:hAnsi="宋体" w:hint="eastAsia"/>
          <w:sz w:val="24"/>
        </w:rPr>
        <w:t>（1）估价对象财产范围、用途等基本状况</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sz w:val="24"/>
        </w:rPr>
        <w:t>估价对象为位于</w:t>
      </w:r>
      <w:r w:rsidRPr="002F0BF5">
        <w:rPr>
          <w:rFonts w:ascii="宋体" w:hAnsi="宋体" w:hint="eastAsia"/>
          <w:kern w:val="0"/>
          <w:sz w:val="24"/>
        </w:rPr>
        <w:t>长治市潞州区金色嘉园别墅B座1-3层的房地产，估价对象建筑面积为332.58平方米，</w:t>
      </w:r>
      <w:r w:rsidRPr="002F0BF5">
        <w:rPr>
          <w:rFonts w:asciiTheme="minorEastAsia" w:eastAsiaTheme="minorEastAsia" w:hAnsiTheme="minorEastAsia" w:hint="eastAsia"/>
          <w:kern w:val="0"/>
          <w:sz w:val="24"/>
        </w:rPr>
        <w:t>财产范围包括房屋建筑物（包含室内固</w:t>
      </w:r>
      <w:r w:rsidRPr="002F0BF5">
        <w:rPr>
          <w:rFonts w:asciiTheme="minorEastAsia" w:eastAsiaTheme="minorEastAsia" w:hAnsiTheme="minorEastAsia" w:hint="eastAsia"/>
          <w:sz w:val="24"/>
        </w:rPr>
        <w:t>定装修及设施）</w:t>
      </w:r>
      <w:r w:rsidRPr="002F0BF5">
        <w:rPr>
          <w:rFonts w:asciiTheme="minorEastAsia" w:eastAsiaTheme="minorEastAsia" w:hAnsiTheme="minorEastAsia" w:hint="eastAsia"/>
          <w:kern w:val="0"/>
          <w:sz w:val="24"/>
        </w:rPr>
        <w:t>、分摊土地使用权</w:t>
      </w:r>
      <w:r w:rsidRPr="002F0BF5">
        <w:rPr>
          <w:rFonts w:asciiTheme="minorEastAsia" w:eastAsiaTheme="minorEastAsia" w:hAnsiTheme="minorEastAsia" w:hint="eastAsia"/>
          <w:sz w:val="24"/>
        </w:rPr>
        <w:t>，不包含家具、家电等动产、债权债务、特许经营权等其他财产权利。</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根据估价委托人提供的《房屋所有权证》，估价对象房屋证载规划用途为住宅；据估价人员现场查勘，其现状用途为住宅。</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（2）估价对象权属状况</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Calibri" w:hAnsi="Calibri" w:cs="Calibri" w:hint="eastAsia"/>
          <w:kern w:val="0"/>
          <w:sz w:val="24"/>
        </w:rPr>
        <w:t>①</w:t>
      </w:r>
      <w:r w:rsidRPr="002F0BF5">
        <w:rPr>
          <w:rFonts w:ascii="宋体" w:hAnsi="宋体" w:cs="宋体" w:hint="eastAsia"/>
          <w:kern w:val="0"/>
          <w:sz w:val="24"/>
        </w:rPr>
        <w:t>产权登记状况</w:t>
      </w:r>
    </w:p>
    <w:p w:rsidR="005C10E6" w:rsidRPr="002F0BF5" w:rsidRDefault="00625BC2">
      <w:pPr>
        <w:tabs>
          <w:tab w:val="left" w:pos="4755"/>
        </w:tabs>
        <w:spacing w:line="360" w:lineRule="auto"/>
        <w:ind w:firstLineChars="200" w:firstLine="480"/>
        <w:rPr>
          <w:rFonts w:ascii="宋体" w:hAnsi="宋体"/>
          <w:sz w:val="24"/>
        </w:rPr>
      </w:pPr>
      <w:r w:rsidRPr="002F0BF5">
        <w:rPr>
          <w:rFonts w:ascii="宋体" w:hAnsi="宋体" w:hint="eastAsia"/>
          <w:sz w:val="24"/>
        </w:rPr>
        <w:t>估价对象已办理产权登记，根据委托方提供的《房屋所有权证》</w:t>
      </w:r>
      <w:r w:rsidRPr="002F0BF5">
        <w:rPr>
          <w:rFonts w:hint="eastAsia"/>
          <w:spacing w:val="4"/>
          <w:sz w:val="24"/>
        </w:rPr>
        <w:t>，产权清晰、合法</w:t>
      </w:r>
      <w:r w:rsidRPr="002F0BF5">
        <w:rPr>
          <w:rFonts w:ascii="宋体" w:hAnsi="宋体" w:hint="eastAsia"/>
          <w:sz w:val="24"/>
        </w:rPr>
        <w:t>，具体登记状况如下：</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房屋所有权人：常飞、张国冀；坐落：长治市金色嘉园别墅</w:t>
      </w:r>
      <w:r w:rsidRPr="002F0BF5">
        <w:rPr>
          <w:rFonts w:ascii="宋体" w:hAnsi="宋体"/>
          <w:kern w:val="0"/>
          <w:sz w:val="24"/>
        </w:rPr>
        <w:t>B</w:t>
      </w:r>
      <w:r w:rsidRPr="002F0BF5">
        <w:rPr>
          <w:rFonts w:ascii="宋体" w:hAnsi="宋体" w:hint="eastAsia"/>
          <w:kern w:val="0"/>
          <w:sz w:val="24"/>
        </w:rPr>
        <w:t>座；共有情况：共同共有；登记时间：2</w:t>
      </w:r>
      <w:r w:rsidRPr="002F0BF5">
        <w:rPr>
          <w:rFonts w:ascii="宋体" w:hAnsi="宋体"/>
          <w:kern w:val="0"/>
          <w:sz w:val="24"/>
        </w:rPr>
        <w:t>011</w:t>
      </w:r>
      <w:r w:rsidRPr="002F0BF5">
        <w:rPr>
          <w:rFonts w:ascii="宋体" w:hAnsi="宋体" w:hint="eastAsia"/>
          <w:kern w:val="0"/>
          <w:sz w:val="24"/>
        </w:rPr>
        <w:t>年1</w:t>
      </w:r>
      <w:r w:rsidRPr="002F0BF5">
        <w:rPr>
          <w:rFonts w:ascii="宋体" w:hAnsi="宋体"/>
          <w:kern w:val="0"/>
          <w:sz w:val="24"/>
        </w:rPr>
        <w:t>1</w:t>
      </w:r>
      <w:r w:rsidRPr="002F0BF5">
        <w:rPr>
          <w:rFonts w:ascii="宋体" w:hAnsi="宋体" w:hint="eastAsia"/>
          <w:kern w:val="0"/>
          <w:sz w:val="24"/>
        </w:rPr>
        <w:t>月1</w:t>
      </w:r>
      <w:r w:rsidRPr="002F0BF5">
        <w:rPr>
          <w:rFonts w:ascii="宋体" w:hAnsi="宋体"/>
          <w:kern w:val="0"/>
          <w:sz w:val="24"/>
        </w:rPr>
        <w:t>8</w:t>
      </w:r>
      <w:r w:rsidRPr="002F0BF5">
        <w:rPr>
          <w:rFonts w:ascii="宋体" w:hAnsi="宋体" w:hint="eastAsia"/>
          <w:kern w:val="0"/>
          <w:sz w:val="24"/>
        </w:rPr>
        <w:t>日；规划用途：住宅；所在层数/房屋总层数：</w:t>
      </w:r>
      <w:r w:rsidRPr="002F0BF5">
        <w:rPr>
          <w:rFonts w:ascii="宋体" w:hAnsi="宋体"/>
          <w:kern w:val="0"/>
          <w:sz w:val="24"/>
        </w:rPr>
        <w:t>1</w:t>
      </w:r>
      <w:r w:rsidRPr="002F0BF5">
        <w:rPr>
          <w:rFonts w:ascii="宋体" w:hAnsi="宋体" w:hint="eastAsia"/>
          <w:kern w:val="0"/>
          <w:sz w:val="24"/>
        </w:rPr>
        <w:t>-</w:t>
      </w:r>
      <w:r w:rsidRPr="002F0BF5">
        <w:rPr>
          <w:rFonts w:ascii="宋体" w:hAnsi="宋体"/>
          <w:kern w:val="0"/>
          <w:sz w:val="24"/>
        </w:rPr>
        <w:t>3</w:t>
      </w:r>
      <w:r w:rsidRPr="002F0BF5">
        <w:rPr>
          <w:rFonts w:ascii="宋体" w:hAnsi="宋体" w:hint="eastAsia"/>
          <w:kern w:val="0"/>
          <w:sz w:val="24"/>
        </w:rPr>
        <w:t>/</w:t>
      </w:r>
      <w:r w:rsidRPr="002F0BF5">
        <w:rPr>
          <w:rFonts w:ascii="宋体" w:hAnsi="宋体"/>
          <w:kern w:val="0"/>
          <w:sz w:val="24"/>
        </w:rPr>
        <w:t>3</w:t>
      </w:r>
      <w:r w:rsidRPr="002F0BF5">
        <w:rPr>
          <w:rFonts w:ascii="宋体" w:hAnsi="宋体" w:hint="eastAsia"/>
          <w:kern w:val="0"/>
          <w:sz w:val="24"/>
        </w:rPr>
        <w:t>；房屋建筑面积：332.58平方米；土地使用权取得方式：出让；房屋结构：混合结构；</w:t>
      </w:r>
      <w:r w:rsidRPr="002F0BF5">
        <w:rPr>
          <w:rFonts w:ascii="宋体" w:hAnsi="宋体" w:hint="eastAsia"/>
          <w:kern w:val="0"/>
          <w:sz w:val="24"/>
        </w:rPr>
        <w:lastRenderedPageBreak/>
        <w:t>《房屋所有权证》编号：长治市房权证城私字第015-1111180008-1、015-1111180008-2号。</w:t>
      </w:r>
    </w:p>
    <w:p w:rsidR="005C10E6" w:rsidRPr="002F0BF5" w:rsidRDefault="00625BC2">
      <w:pPr>
        <w:tabs>
          <w:tab w:val="left" w:pos="4755"/>
        </w:tabs>
        <w:spacing w:line="360" w:lineRule="auto"/>
        <w:ind w:firstLineChars="200" w:firstLine="496"/>
        <w:rPr>
          <w:rFonts w:asciiTheme="minorEastAsia" w:eastAsiaTheme="minorEastAsia" w:hAnsiTheme="minorEastAsia"/>
          <w:spacing w:val="4"/>
          <w:sz w:val="24"/>
        </w:rPr>
      </w:pPr>
      <w:r w:rsidRPr="002F0BF5">
        <w:rPr>
          <w:rFonts w:asciiTheme="minorEastAsia" w:eastAsiaTheme="minorEastAsia" w:hAnsiTheme="minorEastAsia" w:hint="eastAsia"/>
          <w:spacing w:val="4"/>
          <w:sz w:val="24"/>
        </w:rPr>
        <w:t>②房屋限制状况</w:t>
      </w:r>
    </w:p>
    <w:p w:rsidR="005C10E6" w:rsidRPr="002F0BF5" w:rsidRDefault="00625BC2">
      <w:pPr>
        <w:tabs>
          <w:tab w:val="left" w:pos="4755"/>
        </w:tabs>
        <w:spacing w:line="360" w:lineRule="auto"/>
        <w:ind w:firstLineChars="200" w:firstLine="496"/>
        <w:rPr>
          <w:rFonts w:ascii="宋体" w:hAnsi="宋体"/>
          <w:kern w:val="0"/>
          <w:sz w:val="24"/>
        </w:rPr>
      </w:pPr>
      <w:r w:rsidRPr="002F0BF5">
        <w:rPr>
          <w:rFonts w:asciiTheme="minorEastAsia" w:eastAsiaTheme="minorEastAsia" w:hAnsiTheme="minorEastAsia" w:hint="eastAsia"/>
          <w:spacing w:val="4"/>
          <w:sz w:val="24"/>
        </w:rPr>
        <w:t>至估价时点，估价对象已被长治市中级人民法院查封</w:t>
      </w:r>
      <w:r w:rsidRPr="002F0BF5">
        <w:rPr>
          <w:rFonts w:ascii="宋体" w:hAnsi="宋体" w:hint="eastAsia"/>
          <w:kern w:val="0"/>
          <w:sz w:val="24"/>
        </w:rPr>
        <w:t>。</w:t>
      </w:r>
    </w:p>
    <w:p w:rsidR="005C10E6" w:rsidRPr="002F0BF5" w:rsidRDefault="00625BC2">
      <w:pPr>
        <w:tabs>
          <w:tab w:val="left" w:pos="4755"/>
        </w:tabs>
        <w:spacing w:line="360" w:lineRule="auto"/>
        <w:ind w:firstLineChars="200" w:firstLine="480"/>
        <w:rPr>
          <w:rFonts w:ascii="宋体" w:hAnsi="宋体" w:cs="宋体"/>
          <w:sz w:val="24"/>
        </w:rPr>
      </w:pPr>
      <w:r w:rsidRPr="002F0BF5">
        <w:rPr>
          <w:rFonts w:ascii="宋体" w:hAnsi="宋体" w:cs="宋体" w:hint="eastAsia"/>
          <w:sz w:val="24"/>
        </w:rPr>
        <w:t>③他项权利状况</w:t>
      </w:r>
    </w:p>
    <w:p w:rsidR="009304F4" w:rsidRPr="002F0BF5" w:rsidRDefault="00625BC2" w:rsidP="00B35338">
      <w:pPr>
        <w:tabs>
          <w:tab w:val="left" w:pos="4755"/>
        </w:tabs>
        <w:spacing w:line="360" w:lineRule="auto"/>
        <w:ind w:firstLineChars="200" w:firstLine="496"/>
        <w:rPr>
          <w:rFonts w:asciiTheme="minorEastAsia" w:eastAsiaTheme="minorEastAsia" w:hAnsiTheme="minorEastAsia"/>
          <w:sz w:val="24"/>
        </w:rPr>
      </w:pPr>
      <w:r w:rsidRPr="002F0BF5">
        <w:rPr>
          <w:rFonts w:asciiTheme="minorEastAsia" w:eastAsiaTheme="minorEastAsia" w:hAnsiTheme="minorEastAsia" w:hint="eastAsia"/>
          <w:spacing w:val="4"/>
          <w:sz w:val="24"/>
        </w:rPr>
        <w:t>根据委托方提供资料，估价师通过尽职调查，未发现估价对象的有他项权利状况，根据本次估价目的，不考虑估价对象的</w:t>
      </w:r>
      <w:r w:rsidRPr="002F0BF5">
        <w:rPr>
          <w:rFonts w:ascii="宋体" w:hAnsi="宋体" w:hint="eastAsia"/>
          <w:kern w:val="28"/>
          <w:sz w:val="24"/>
        </w:rPr>
        <w:t>抵押权、典权等他项权利</w:t>
      </w:r>
      <w:r w:rsidRPr="002F0BF5">
        <w:rPr>
          <w:rFonts w:asciiTheme="minorEastAsia" w:eastAsiaTheme="minorEastAsia" w:hAnsiTheme="minorEastAsia" w:hint="eastAsia"/>
          <w:sz w:val="24"/>
        </w:rPr>
        <w:t>。</w:t>
      </w:r>
      <w:bookmarkStart w:id="17" w:name="_GoBack"/>
      <w:bookmarkEnd w:id="17"/>
    </w:p>
    <w:p w:rsidR="009304F4" w:rsidRPr="002F0BF5" w:rsidRDefault="00625BC2" w:rsidP="00B35338">
      <w:pPr>
        <w:tabs>
          <w:tab w:val="left" w:pos="4755"/>
        </w:tabs>
        <w:spacing w:line="360" w:lineRule="auto"/>
        <w:ind w:firstLineChars="200" w:firstLine="496"/>
        <w:rPr>
          <w:rFonts w:ascii="宋体" w:hAnsi="宋体"/>
          <w:spacing w:val="4"/>
          <w:sz w:val="24"/>
        </w:rPr>
      </w:pPr>
      <w:r w:rsidRPr="002F0BF5">
        <w:rPr>
          <w:rFonts w:ascii="宋体" w:hAnsi="宋体" w:hint="eastAsia"/>
          <w:spacing w:val="4"/>
          <w:sz w:val="24"/>
        </w:rPr>
        <w:t xml:space="preserve"> 2、土地基本状况</w:t>
      </w:r>
    </w:p>
    <w:p w:rsidR="005C10E6" w:rsidRPr="002F0BF5" w:rsidRDefault="00625BC2">
      <w:pPr>
        <w:tabs>
          <w:tab w:val="left" w:pos="4755"/>
        </w:tabs>
        <w:spacing w:line="360" w:lineRule="auto"/>
        <w:ind w:firstLineChars="200" w:firstLine="496"/>
        <w:rPr>
          <w:rFonts w:ascii="宋体" w:hAnsi="宋体"/>
          <w:kern w:val="0"/>
          <w:sz w:val="24"/>
        </w:rPr>
      </w:pPr>
      <w:r w:rsidRPr="002F0BF5">
        <w:rPr>
          <w:rFonts w:ascii="宋体" w:hAnsi="宋体" w:hint="eastAsia"/>
          <w:spacing w:val="4"/>
          <w:sz w:val="24"/>
        </w:rPr>
        <w:t>估价对象位于</w:t>
      </w:r>
      <w:r w:rsidRPr="002F0BF5">
        <w:rPr>
          <w:rFonts w:ascii="宋体" w:hAnsi="宋体" w:hint="eastAsia"/>
          <w:kern w:val="0"/>
          <w:sz w:val="24"/>
        </w:rPr>
        <w:t>金色嘉园</w:t>
      </w:r>
      <w:r w:rsidRPr="002F0BF5">
        <w:rPr>
          <w:rFonts w:ascii="Arial" w:hAnsi="Arial" w:cs="Arial" w:hint="eastAsia"/>
          <w:bCs/>
          <w:sz w:val="24"/>
        </w:rPr>
        <w:t>，属潞州区管辖范围，所在宗地</w:t>
      </w:r>
      <w:r w:rsidRPr="002F0BF5">
        <w:rPr>
          <w:rFonts w:hint="eastAsia"/>
          <w:sz w:val="24"/>
        </w:rPr>
        <w:t>东临延安中路，西邻县前巷小区，南邻长治职业技术学院</w:t>
      </w:r>
      <w:r w:rsidRPr="002F0BF5">
        <w:rPr>
          <w:rFonts w:hint="eastAsia"/>
          <w:sz w:val="24"/>
        </w:rPr>
        <w:t>(</w:t>
      </w:r>
      <w:r w:rsidRPr="002F0BF5">
        <w:rPr>
          <w:rFonts w:hint="eastAsia"/>
          <w:sz w:val="24"/>
        </w:rPr>
        <w:t>东校区</w:t>
      </w:r>
      <w:r w:rsidRPr="002F0BF5">
        <w:rPr>
          <w:rFonts w:hint="eastAsia"/>
          <w:sz w:val="24"/>
        </w:rPr>
        <w:t>)</w:t>
      </w:r>
      <w:r w:rsidRPr="002F0BF5">
        <w:rPr>
          <w:rFonts w:hint="eastAsia"/>
          <w:sz w:val="24"/>
        </w:rPr>
        <w:t>，北临县前巷，</w:t>
      </w:r>
      <w:r w:rsidRPr="002F0BF5">
        <w:rPr>
          <w:rFonts w:ascii="Arial" w:hAnsi="Arial" w:cs="Arial" w:hint="eastAsia"/>
          <w:bCs/>
          <w:sz w:val="24"/>
        </w:rPr>
        <w:t>宗地形状为不规则，</w:t>
      </w:r>
      <w:r w:rsidRPr="002F0BF5">
        <w:rPr>
          <w:rFonts w:ascii="宋体" w:hAnsi="宋体" w:hint="eastAsia"/>
          <w:kern w:val="0"/>
          <w:sz w:val="24"/>
        </w:rPr>
        <w:t>估价对象所在宗地基础设施状况达到“七通一平”。</w:t>
      </w:r>
      <w:r w:rsidRPr="002F0BF5">
        <w:rPr>
          <w:rFonts w:ascii="宋体" w:hAnsi="宋体" w:hint="eastAsia"/>
          <w:sz w:val="24"/>
        </w:rPr>
        <w:t>即：</w:t>
      </w:r>
      <w:r w:rsidRPr="002F0BF5">
        <w:rPr>
          <w:rFonts w:ascii="宋体" w:hAnsi="宋体"/>
          <w:sz w:val="24"/>
        </w:rPr>
        <w:t>通给水、通</w:t>
      </w:r>
      <w:hyperlink r:id="rId10" w:tgtFrame="_blank" w:history="1">
        <w:r w:rsidRPr="002F0BF5">
          <w:rPr>
            <w:rFonts w:ascii="宋体" w:hAnsi="宋体"/>
            <w:sz w:val="24"/>
          </w:rPr>
          <w:t>排水</w:t>
        </w:r>
      </w:hyperlink>
      <w:r w:rsidRPr="002F0BF5">
        <w:rPr>
          <w:rFonts w:ascii="宋体" w:hAnsi="宋体"/>
          <w:sz w:val="24"/>
        </w:rPr>
        <w:t>、通电、通讯、通路、通燃气、通热力以及场地平整。</w:t>
      </w:r>
    </w:p>
    <w:p w:rsidR="005C10E6" w:rsidRPr="002F0BF5" w:rsidRDefault="00625BC2">
      <w:pPr>
        <w:tabs>
          <w:tab w:val="left" w:pos="4755"/>
        </w:tabs>
        <w:spacing w:line="360" w:lineRule="auto"/>
        <w:ind w:firstLineChars="200" w:firstLine="480"/>
        <w:rPr>
          <w:rFonts w:ascii="宋体" w:hAnsi="宋体"/>
          <w:kern w:val="0"/>
          <w:sz w:val="24"/>
        </w:rPr>
      </w:pPr>
      <w:r w:rsidRPr="002F0BF5">
        <w:rPr>
          <w:rFonts w:ascii="宋体" w:hAnsi="宋体" w:hint="eastAsia"/>
          <w:kern w:val="0"/>
          <w:sz w:val="24"/>
        </w:rPr>
        <w:t>3、建筑物基本状况</w:t>
      </w:r>
    </w:p>
    <w:p w:rsidR="005C10E6" w:rsidRPr="002F0BF5" w:rsidRDefault="00625BC2">
      <w:pPr>
        <w:tabs>
          <w:tab w:val="left" w:pos="4755"/>
        </w:tabs>
        <w:spacing w:line="360" w:lineRule="auto"/>
        <w:ind w:firstLineChars="200" w:firstLine="480"/>
        <w:rPr>
          <w:rFonts w:ascii="宋体" w:hAnsi="宋体"/>
          <w:sz w:val="24"/>
        </w:rPr>
      </w:pPr>
      <w:r w:rsidRPr="002F0BF5">
        <w:rPr>
          <w:rFonts w:ascii="宋体" w:hAnsi="宋体" w:hint="eastAsia"/>
          <w:kern w:val="0"/>
          <w:sz w:val="24"/>
        </w:rPr>
        <w:t>估价对象位于长治市潞州区金色嘉园别墅B座1-3层，</w:t>
      </w:r>
      <w:r w:rsidRPr="002F0BF5">
        <w:rPr>
          <w:rFonts w:hint="eastAsia"/>
          <w:spacing w:val="4"/>
          <w:sz w:val="24"/>
        </w:rPr>
        <w:t>平面布局：</w:t>
      </w:r>
      <w:r w:rsidRPr="002F0BF5">
        <w:rPr>
          <w:rFonts w:ascii="宋体" w:hAnsi="宋体"/>
          <w:sz w:val="24"/>
        </w:rPr>
        <w:t>6</w:t>
      </w:r>
      <w:r w:rsidRPr="002F0BF5">
        <w:rPr>
          <w:rFonts w:ascii="宋体" w:hAnsi="宋体" w:hint="eastAsia"/>
          <w:sz w:val="24"/>
        </w:rPr>
        <w:t>室</w:t>
      </w:r>
      <w:r w:rsidRPr="002F0BF5">
        <w:rPr>
          <w:rFonts w:ascii="宋体" w:hAnsi="宋体"/>
          <w:sz w:val="24"/>
        </w:rPr>
        <w:t>2</w:t>
      </w:r>
      <w:r w:rsidRPr="002F0BF5">
        <w:rPr>
          <w:rFonts w:ascii="宋体" w:hAnsi="宋体" w:hint="eastAsia"/>
          <w:sz w:val="24"/>
        </w:rPr>
        <w:t>厅1厨</w:t>
      </w:r>
      <w:r w:rsidRPr="002F0BF5">
        <w:rPr>
          <w:rFonts w:ascii="宋体" w:hAnsi="宋体"/>
          <w:sz w:val="24"/>
        </w:rPr>
        <w:t>2</w:t>
      </w:r>
      <w:r w:rsidRPr="002F0BF5">
        <w:rPr>
          <w:rFonts w:ascii="宋体" w:hAnsi="宋体" w:hint="eastAsia"/>
          <w:sz w:val="24"/>
        </w:rPr>
        <w:t>卫，联排别墅，房屋朝向：南北。</w:t>
      </w:r>
    </w:p>
    <w:p w:rsidR="005C10E6" w:rsidRPr="002F0BF5" w:rsidRDefault="00625BC2">
      <w:pPr>
        <w:tabs>
          <w:tab w:val="left" w:pos="4755"/>
        </w:tabs>
        <w:spacing w:line="360" w:lineRule="auto"/>
        <w:ind w:firstLineChars="200" w:firstLine="480"/>
        <w:rPr>
          <w:rFonts w:ascii="宋体" w:hAnsi="宋体"/>
          <w:sz w:val="24"/>
        </w:rPr>
      </w:pPr>
      <w:r w:rsidRPr="002F0BF5">
        <w:rPr>
          <w:rFonts w:ascii="宋体" w:hAnsi="宋体" w:hint="eastAsia"/>
          <w:sz w:val="24"/>
        </w:rPr>
        <w:t>（1）装饰装修、设施设备等状况</w:t>
      </w:r>
    </w:p>
    <w:p w:rsidR="005C10E6" w:rsidRPr="002F0BF5" w:rsidRDefault="00625BC2">
      <w:pPr>
        <w:tabs>
          <w:tab w:val="left" w:pos="4755"/>
        </w:tabs>
        <w:spacing w:line="360" w:lineRule="auto"/>
        <w:ind w:firstLineChars="200" w:firstLine="480"/>
        <w:rPr>
          <w:rFonts w:ascii="宋体" w:hAnsi="宋体"/>
          <w:sz w:val="24"/>
        </w:rPr>
      </w:pPr>
      <w:r w:rsidRPr="002F0BF5">
        <w:rPr>
          <w:rFonts w:ascii="宋体" w:hAnsi="宋体" w:hint="eastAsia"/>
          <w:sz w:val="24"/>
        </w:rPr>
        <w:t>外墙刷涂料，入户门为防盗门，带有被铁栅栏围起来的小院，有车位，塑钢窗户；</w:t>
      </w:r>
    </w:p>
    <w:p w:rsidR="005C10E6" w:rsidRPr="002F0BF5" w:rsidRDefault="00625BC2">
      <w:pPr>
        <w:tabs>
          <w:tab w:val="left" w:pos="4755"/>
        </w:tabs>
        <w:spacing w:line="360" w:lineRule="auto"/>
        <w:ind w:firstLineChars="200" w:firstLine="480"/>
        <w:rPr>
          <w:rFonts w:ascii="宋体" w:hAnsi="宋体"/>
          <w:sz w:val="24"/>
        </w:rPr>
      </w:pPr>
      <w:r w:rsidRPr="002F0BF5">
        <w:rPr>
          <w:rFonts w:ascii="宋体" w:hAnsi="宋体" w:hint="eastAsia"/>
          <w:sz w:val="24"/>
        </w:rPr>
        <w:t>客厅：木地板铺地，墙面刷乳胶漆，屋顶为石膏造型吊顶，有挑高2层；餐厅：地板砖铺地，墙面刷乳胶漆，屋顶为石膏造型吊顶；厨房：地板砖铺地，墙面瓷片到顶，屋顶PVC；卧室：木地板铺地，墙面刷乳胶漆，屋顶为石膏造型吊顶；衣帽间：地板砖铺地，墙面顶部为乳胶漆；卫生间：防滑地板砖铺地，墙面瓷片到顶，屋顶PVC，装有坐便、洗手台、热水器等，顶层有大露台，防滑地砖铺地。水、电、暖、气等生活配套设施齐备。</w:t>
      </w:r>
    </w:p>
    <w:p w:rsidR="005C10E6" w:rsidRPr="002F0BF5" w:rsidRDefault="00625BC2">
      <w:pPr>
        <w:tabs>
          <w:tab w:val="left" w:pos="4755"/>
        </w:tabs>
        <w:spacing w:line="360" w:lineRule="auto"/>
        <w:ind w:left="480"/>
        <w:rPr>
          <w:rFonts w:ascii="宋体" w:hAnsi="宋体"/>
          <w:sz w:val="24"/>
        </w:rPr>
      </w:pPr>
      <w:r w:rsidRPr="002F0BF5">
        <w:rPr>
          <w:rFonts w:ascii="宋体" w:hAnsi="宋体" w:hint="eastAsia"/>
          <w:sz w:val="24"/>
        </w:rPr>
        <w:t>（2）建筑物维护保养及使用状况</w:t>
      </w:r>
    </w:p>
    <w:p w:rsidR="005C10E6" w:rsidRPr="002F0BF5" w:rsidRDefault="00625BC2">
      <w:pPr>
        <w:tabs>
          <w:tab w:val="left" w:pos="4755"/>
        </w:tabs>
        <w:spacing w:line="360" w:lineRule="auto"/>
        <w:ind w:firstLineChars="200" w:firstLine="480"/>
        <w:rPr>
          <w:rFonts w:ascii="宋体" w:hAnsi="宋体"/>
          <w:sz w:val="24"/>
        </w:rPr>
      </w:pPr>
      <w:r w:rsidRPr="002F0BF5">
        <w:rPr>
          <w:rFonts w:hint="eastAsia"/>
          <w:sz w:val="24"/>
        </w:rPr>
        <w:t>据了解，估价对象建成于</w:t>
      </w:r>
      <w:r w:rsidRPr="002F0BF5">
        <w:rPr>
          <w:rFonts w:hint="eastAsia"/>
          <w:sz w:val="24"/>
        </w:rPr>
        <w:t>2003</w:t>
      </w:r>
      <w:r w:rsidRPr="002F0BF5">
        <w:rPr>
          <w:rFonts w:hint="eastAsia"/>
          <w:sz w:val="24"/>
        </w:rPr>
        <w:t>年，混合结构，经估价人员现场查勘，于估价时点，建筑物维护状况一般，部分墙面墙皮脱落、发霉，现空置。</w:t>
      </w:r>
    </w:p>
    <w:p w:rsidR="005C10E6" w:rsidRPr="002F0BF5" w:rsidRDefault="00625BC2">
      <w:pPr>
        <w:pStyle w:val="30"/>
        <w:spacing w:line="360" w:lineRule="auto"/>
        <w:ind w:left="0" w:firstLineChars="200" w:firstLine="480"/>
        <w:rPr>
          <w:kern w:val="0"/>
          <w:sz w:val="24"/>
        </w:rPr>
      </w:pPr>
      <w:r w:rsidRPr="002F0BF5">
        <w:rPr>
          <w:rFonts w:hint="eastAsia"/>
          <w:kern w:val="0"/>
          <w:sz w:val="24"/>
        </w:rPr>
        <w:t>4、区位描述</w:t>
      </w:r>
    </w:p>
    <w:p w:rsidR="005C10E6" w:rsidRPr="002F0BF5" w:rsidRDefault="00625BC2">
      <w:pPr>
        <w:pStyle w:val="30"/>
        <w:spacing w:line="360" w:lineRule="auto"/>
        <w:ind w:left="0" w:firstLineChars="200" w:firstLine="480"/>
        <w:rPr>
          <w:kern w:val="0"/>
          <w:sz w:val="24"/>
        </w:rPr>
      </w:pPr>
      <w:r w:rsidRPr="002F0BF5">
        <w:rPr>
          <w:rFonts w:hint="eastAsia"/>
          <w:kern w:val="0"/>
          <w:sz w:val="24"/>
        </w:rPr>
        <w:t>（1）位置状况描述</w:t>
      </w:r>
    </w:p>
    <w:p w:rsidR="005C10E6" w:rsidRPr="002F0BF5" w:rsidRDefault="00625BC2">
      <w:pPr>
        <w:pStyle w:val="30"/>
        <w:spacing w:line="360" w:lineRule="auto"/>
        <w:ind w:left="0" w:firstLineChars="0" w:firstLine="480"/>
        <w:rPr>
          <w:sz w:val="24"/>
        </w:rPr>
      </w:pPr>
      <w:r w:rsidRPr="002F0BF5">
        <w:rPr>
          <w:rFonts w:hint="eastAsia"/>
          <w:sz w:val="24"/>
        </w:rPr>
        <w:t>估价对象</w:t>
      </w:r>
      <w:r w:rsidRPr="002F0BF5">
        <w:rPr>
          <w:rFonts w:hint="eastAsia"/>
          <w:kern w:val="0"/>
          <w:sz w:val="24"/>
        </w:rPr>
        <w:t>位于</w:t>
      </w:r>
      <w:r w:rsidRPr="002F0BF5">
        <w:rPr>
          <w:rFonts w:hint="eastAsia"/>
          <w:spacing w:val="4"/>
          <w:sz w:val="24"/>
        </w:rPr>
        <w:t>长治市潞州区金色嘉园别墅B座1-3层</w:t>
      </w:r>
      <w:r w:rsidRPr="002F0BF5">
        <w:rPr>
          <w:rFonts w:hint="eastAsia"/>
          <w:kern w:val="0"/>
          <w:sz w:val="24"/>
        </w:rPr>
        <w:t>，</w:t>
      </w:r>
      <w:r w:rsidRPr="002F0BF5">
        <w:rPr>
          <w:rFonts w:hint="eastAsia"/>
          <w:sz w:val="24"/>
        </w:rPr>
        <w:t>东临延安中路，西邻县前</w:t>
      </w:r>
      <w:r w:rsidRPr="002F0BF5">
        <w:rPr>
          <w:rFonts w:hint="eastAsia"/>
          <w:sz w:val="24"/>
        </w:rPr>
        <w:lastRenderedPageBreak/>
        <w:t>巷小区，南邻长治职业技术学院(东校区)，北临县前巷，区域特征良好</w:t>
      </w:r>
      <w:r w:rsidRPr="002F0BF5">
        <w:rPr>
          <w:rFonts w:cs="宋体" w:hint="eastAsia"/>
          <w:sz w:val="24"/>
        </w:rPr>
        <w:t>。</w:t>
      </w:r>
      <w:r w:rsidRPr="002F0BF5">
        <w:rPr>
          <w:rFonts w:hint="eastAsia"/>
          <w:kern w:val="0"/>
          <w:sz w:val="24"/>
        </w:rPr>
        <w:t>所在层次：</w:t>
      </w:r>
      <w:r w:rsidRPr="002F0BF5">
        <w:rPr>
          <w:kern w:val="0"/>
          <w:sz w:val="24"/>
        </w:rPr>
        <w:t>1</w:t>
      </w:r>
      <w:r w:rsidRPr="002F0BF5">
        <w:rPr>
          <w:rFonts w:hint="eastAsia"/>
          <w:kern w:val="0"/>
          <w:sz w:val="24"/>
        </w:rPr>
        <w:t>-</w:t>
      </w:r>
      <w:r w:rsidRPr="002F0BF5">
        <w:rPr>
          <w:kern w:val="0"/>
          <w:sz w:val="24"/>
        </w:rPr>
        <w:t>3</w:t>
      </w:r>
      <w:r w:rsidRPr="002F0BF5">
        <w:rPr>
          <w:rFonts w:hint="eastAsia"/>
          <w:kern w:val="0"/>
          <w:sz w:val="24"/>
        </w:rPr>
        <w:t>/</w:t>
      </w:r>
      <w:r w:rsidRPr="002F0BF5">
        <w:rPr>
          <w:kern w:val="0"/>
          <w:sz w:val="24"/>
        </w:rPr>
        <w:t>3</w:t>
      </w:r>
      <w:r w:rsidRPr="002F0BF5">
        <w:rPr>
          <w:rFonts w:hint="eastAsia"/>
          <w:kern w:val="0"/>
          <w:sz w:val="24"/>
        </w:rPr>
        <w:t>，房屋朝向：南北。</w:t>
      </w:r>
    </w:p>
    <w:p w:rsidR="005C10E6" w:rsidRPr="002F0BF5" w:rsidRDefault="00625BC2">
      <w:pPr>
        <w:pStyle w:val="30"/>
        <w:spacing w:line="360" w:lineRule="auto"/>
        <w:ind w:left="0" w:firstLineChars="200" w:firstLine="480"/>
        <w:rPr>
          <w:kern w:val="0"/>
          <w:sz w:val="24"/>
        </w:rPr>
      </w:pPr>
      <w:r w:rsidRPr="002F0BF5">
        <w:rPr>
          <w:rFonts w:hint="eastAsia"/>
          <w:kern w:val="0"/>
          <w:sz w:val="24"/>
        </w:rPr>
        <w:t>（2）交通状况描述</w:t>
      </w:r>
    </w:p>
    <w:p w:rsidR="005C10E6" w:rsidRPr="002F0BF5" w:rsidRDefault="00625BC2">
      <w:pPr>
        <w:pStyle w:val="30"/>
        <w:spacing w:line="360" w:lineRule="auto"/>
        <w:ind w:left="0" w:firstLineChars="0" w:firstLine="480"/>
        <w:rPr>
          <w:sz w:val="24"/>
        </w:rPr>
      </w:pPr>
      <w:bookmarkStart w:id="18" w:name="_Hlk102844844"/>
      <w:r w:rsidRPr="002F0BF5">
        <w:rPr>
          <w:rFonts w:hint="eastAsia"/>
          <w:sz w:val="24"/>
        </w:rPr>
        <w:t>估价对象区域内有18路、27路、35路、56路、100路内环、100路外环、313路等多条公交线路，交通较便利。</w:t>
      </w:r>
    </w:p>
    <w:bookmarkEnd w:id="18"/>
    <w:p w:rsidR="005C10E6" w:rsidRPr="002F0BF5" w:rsidRDefault="00625BC2">
      <w:pPr>
        <w:pStyle w:val="30"/>
        <w:spacing w:line="360" w:lineRule="auto"/>
        <w:ind w:left="0" w:firstLineChars="200" w:firstLine="480"/>
        <w:rPr>
          <w:kern w:val="0"/>
          <w:sz w:val="24"/>
        </w:rPr>
      </w:pPr>
      <w:r w:rsidRPr="002F0BF5">
        <w:rPr>
          <w:rFonts w:hint="eastAsia"/>
          <w:kern w:val="0"/>
          <w:sz w:val="24"/>
        </w:rPr>
        <w:t>（3）外部配套设施描述</w:t>
      </w:r>
    </w:p>
    <w:p w:rsidR="005C10E6" w:rsidRPr="002F0BF5" w:rsidRDefault="00625BC2">
      <w:pPr>
        <w:pStyle w:val="30"/>
        <w:spacing w:line="360" w:lineRule="auto"/>
        <w:ind w:left="0" w:firstLineChars="0" w:firstLine="480"/>
        <w:rPr>
          <w:kern w:val="0"/>
          <w:sz w:val="24"/>
        </w:rPr>
      </w:pPr>
      <w:r w:rsidRPr="002F0BF5">
        <w:rPr>
          <w:rFonts w:hint="eastAsia"/>
          <w:sz w:val="24"/>
        </w:rPr>
        <w:t>估价对象区域内有长治商厦、金威商城、亚太奥特莱斯广场等商业设施；潞州中学、长治职业技术学院(东校区)、华北机电学校等教育机构；长治市人民医院、长治城区妇产医院、长治太行医院等医疗场所；长治银行(长兴中路支行)、中国邮政储蓄银行(延安路支行)、中国银行(长治市城区支行)等金融机构；和谐花园、阳光假日城北区、永祥苑小区等住宅小区。区域配套设施齐全。</w:t>
      </w:r>
    </w:p>
    <w:p w:rsidR="005C10E6" w:rsidRPr="002F0BF5" w:rsidRDefault="00625BC2">
      <w:pPr>
        <w:pStyle w:val="30"/>
        <w:spacing w:line="360" w:lineRule="auto"/>
        <w:ind w:left="0" w:firstLineChars="200" w:firstLine="480"/>
        <w:rPr>
          <w:kern w:val="0"/>
          <w:sz w:val="24"/>
        </w:rPr>
      </w:pPr>
      <w:r w:rsidRPr="002F0BF5">
        <w:rPr>
          <w:rFonts w:hint="eastAsia"/>
          <w:kern w:val="0"/>
          <w:sz w:val="24"/>
        </w:rPr>
        <w:t>（4）周围环境状况描述</w:t>
      </w:r>
    </w:p>
    <w:p w:rsidR="005C10E6" w:rsidRPr="002F0BF5" w:rsidRDefault="00625BC2">
      <w:pPr>
        <w:pStyle w:val="30"/>
        <w:spacing w:line="360" w:lineRule="auto"/>
        <w:ind w:left="0" w:firstLineChars="200" w:firstLine="480"/>
        <w:rPr>
          <w:kern w:val="0"/>
          <w:sz w:val="24"/>
        </w:rPr>
      </w:pPr>
      <w:r w:rsidRPr="002F0BF5">
        <w:rPr>
          <w:rFonts w:hint="eastAsia"/>
          <w:kern w:val="0"/>
          <w:sz w:val="24"/>
        </w:rPr>
        <w:t>估价对象用途为住宅，周边环境较好，人文环境较好。</w:t>
      </w:r>
    </w:p>
    <w:p w:rsidR="005C10E6" w:rsidRDefault="005C10E6" w:rsidP="004A1B95">
      <w:pPr>
        <w:tabs>
          <w:tab w:val="left" w:pos="4755"/>
        </w:tabs>
        <w:spacing w:beforeLines="50" w:afterLines="50" w:line="440" w:lineRule="exact"/>
        <w:jc w:val="center"/>
      </w:pPr>
    </w:p>
    <w:sectPr w:rsidR="005C10E6" w:rsidSect="005C10E6">
      <w:headerReference w:type="default" r:id="rId11"/>
      <w:footerReference w:type="default" r:id="rId12"/>
      <w:pgSz w:w="11907" w:h="16839"/>
      <w:pgMar w:top="1440" w:right="1418" w:bottom="1440" w:left="1531" w:header="850" w:footer="1077"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6504D5" w15:done="0"/>
  <w15:commentEx w15:paraId="45C27099" w15:done="0"/>
  <w15:commentEx w15:paraId="73A329AE" w15:done="0"/>
  <w15:commentEx w15:paraId="53C614C7" w15:done="0"/>
  <w15:commentEx w15:paraId="04A01133" w15:done="0"/>
  <w15:commentEx w15:paraId="0F1D167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8E6" w:rsidRDefault="002A38E6" w:rsidP="005C10E6">
      <w:r>
        <w:separator/>
      </w:r>
    </w:p>
  </w:endnote>
  <w:endnote w:type="continuationSeparator" w:id="0">
    <w:p w:rsidR="002A38E6" w:rsidRDefault="002A38E6" w:rsidP="005C10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E6" w:rsidRDefault="002A38E6">
    <w:pPr>
      <w:pStyle w:val="a9"/>
      <w:pBdr>
        <w:bottom w:val="single" w:sz="4" w:space="1" w:color="auto"/>
      </w:pBdr>
      <w:wordWrap w:val="0"/>
      <w:rPr>
        <w:rStyle w:val="af1"/>
        <w:rFonts w:asciiTheme="majorEastAsia" w:eastAsiaTheme="majorEastAsia" w:hAnsiTheme="majorEastAsia" w:cs="Arial Unicode MS"/>
      </w:rPr>
    </w:pPr>
    <w:r>
      <w:rPr>
        <w:rFonts w:asciiTheme="majorEastAsia" w:eastAsiaTheme="majorEastAsia" w:hAnsiTheme="majorEastAsia" w:cs="Arial Unicode MS" w:hint="eastAsia"/>
      </w:rPr>
      <w:t>房地产估价报告                                                                              第</w:t>
    </w:r>
    <w:r w:rsidR="00063870">
      <w:rPr>
        <w:rStyle w:val="af1"/>
        <w:rFonts w:asciiTheme="majorEastAsia" w:eastAsiaTheme="majorEastAsia" w:hAnsiTheme="majorEastAsia" w:cs="Arial Unicode MS"/>
      </w:rPr>
      <w:fldChar w:fldCharType="begin"/>
    </w:r>
    <w:r>
      <w:rPr>
        <w:rStyle w:val="af1"/>
        <w:rFonts w:asciiTheme="majorEastAsia" w:eastAsiaTheme="majorEastAsia" w:hAnsiTheme="majorEastAsia" w:cs="Arial Unicode MS"/>
      </w:rPr>
      <w:instrText xml:space="preserve"> PAGE </w:instrText>
    </w:r>
    <w:r w:rsidR="00063870">
      <w:rPr>
        <w:rStyle w:val="af1"/>
        <w:rFonts w:asciiTheme="majorEastAsia" w:eastAsiaTheme="majorEastAsia" w:hAnsiTheme="majorEastAsia" w:cs="Arial Unicode MS"/>
      </w:rPr>
      <w:fldChar w:fldCharType="separate"/>
    </w:r>
    <w:r w:rsidR="004A1B95">
      <w:rPr>
        <w:rStyle w:val="af1"/>
        <w:rFonts w:asciiTheme="majorEastAsia" w:eastAsiaTheme="majorEastAsia" w:hAnsiTheme="majorEastAsia" w:cs="Arial Unicode MS"/>
        <w:noProof/>
      </w:rPr>
      <w:t>3</w:t>
    </w:r>
    <w:r w:rsidR="00063870">
      <w:rPr>
        <w:rStyle w:val="af1"/>
        <w:rFonts w:asciiTheme="majorEastAsia" w:eastAsiaTheme="majorEastAsia" w:hAnsiTheme="majorEastAsia" w:cs="Arial Unicode MS"/>
      </w:rPr>
      <w:fldChar w:fldCharType="end"/>
    </w:r>
    <w:r>
      <w:rPr>
        <w:rStyle w:val="af1"/>
        <w:rFonts w:asciiTheme="majorEastAsia" w:eastAsiaTheme="majorEastAsia" w:hAnsiTheme="majorEastAsia" w:cs="Arial Unicode MS" w:hint="eastAsia"/>
      </w:rPr>
      <w:t>页</w:t>
    </w:r>
  </w:p>
  <w:p w:rsidR="002A38E6" w:rsidRDefault="002A38E6">
    <w:pPr>
      <w:pStyle w:val="a9"/>
      <w:wordWrap w:val="0"/>
      <w:rPr>
        <w:rFonts w:asciiTheme="majorEastAsia" w:eastAsiaTheme="majorEastAsia" w:hAnsiTheme="majorEastAsia" w:cs="Arial Unicode MS"/>
        <w:sz w:val="21"/>
        <w:szCs w:val="21"/>
      </w:rPr>
    </w:pPr>
    <w:r>
      <w:rPr>
        <w:rStyle w:val="af1"/>
        <w:rFonts w:asciiTheme="majorEastAsia" w:eastAsiaTheme="majorEastAsia" w:hAnsiTheme="majorEastAsia" w:cs="Arial Unicode MS" w:hint="eastAsia"/>
        <w:sz w:val="21"/>
        <w:szCs w:val="21"/>
      </w:rPr>
      <w:t xml:space="preserve">地址：太原市小店区学府街130号华宇绿洲33号楼1单元702号           </w:t>
    </w:r>
    <w:r>
      <w:rPr>
        <w:rFonts w:asciiTheme="majorEastAsia" w:eastAsiaTheme="majorEastAsia" w:hAnsiTheme="majorEastAsia" w:cs="Arial Unicode MS" w:hint="eastAsia"/>
        <w:sz w:val="21"/>
        <w:szCs w:val="21"/>
      </w:rPr>
      <w:t>TEL：0351-7227000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8E6" w:rsidRDefault="002A38E6" w:rsidP="005C10E6">
      <w:r>
        <w:separator/>
      </w:r>
    </w:p>
  </w:footnote>
  <w:footnote w:type="continuationSeparator" w:id="0">
    <w:p w:rsidR="002A38E6" w:rsidRDefault="002A38E6" w:rsidP="005C1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E6" w:rsidRDefault="002A38E6">
    <w:pPr>
      <w:pStyle w:val="aa"/>
      <w:pBdr>
        <w:bottom w:val="single" w:sz="6" w:space="15" w:color="auto"/>
      </w:pBdr>
      <w:spacing w:line="240" w:lineRule="exact"/>
      <w:jc w:val="both"/>
      <w:rPr>
        <w:rFonts w:ascii="宋体" w:hAnsi="宋体"/>
      </w:rPr>
    </w:pPr>
    <w:r>
      <w:rPr>
        <w:noProof/>
      </w:rPr>
      <w:drawing>
        <wp:anchor distT="0" distB="0" distL="114300" distR="114300" simplePos="0" relativeHeight="251659264" behindDoc="0" locked="0" layoutInCell="1" allowOverlap="1">
          <wp:simplePos x="0" y="0"/>
          <wp:positionH relativeFrom="column">
            <wp:posOffset>4590415</wp:posOffset>
          </wp:positionH>
          <wp:positionV relativeFrom="paragraph">
            <wp:posOffset>-45085</wp:posOffset>
          </wp:positionV>
          <wp:extent cx="1003300" cy="342900"/>
          <wp:effectExtent l="19050" t="0" r="6350" b="0"/>
          <wp:wrapSquare wrapText="bothSides"/>
          <wp:docPr id="1" name="Picture 3" descr="C:\Users\lenovo\AppData\Local\Temp\ksohtml\wps66A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lenovo\AppData\Local\Temp\ksohtml\wps66A1.tmp.png"/>
                  <pic:cNvPicPr>
                    <a:picLocks noChangeAspect="1" noChangeArrowheads="1"/>
                  </pic:cNvPicPr>
                </pic:nvPicPr>
                <pic:blipFill>
                  <a:blip r:embed="rId1" r:link="rId2"/>
                  <a:stretch>
                    <a:fillRect/>
                  </a:stretch>
                </pic:blipFill>
                <pic:spPr>
                  <a:xfrm>
                    <a:off x="0" y="0"/>
                    <a:ext cx="1003300" cy="342900"/>
                  </a:xfrm>
                  <a:prstGeom prst="rect">
                    <a:avLst/>
                  </a:prstGeom>
                  <a:noFill/>
                  <a:ln w="9525">
                    <a:noFill/>
                    <a:miter lim="800000"/>
                    <a:headEnd/>
                    <a:tailEnd/>
                  </a:ln>
                </pic:spPr>
              </pic:pic>
            </a:graphicData>
          </a:graphic>
        </wp:anchor>
      </w:drawing>
    </w:r>
    <w:r>
      <w:rPr>
        <w:rFonts w:ascii="宋体" w:hAnsi="宋体" w:hint="eastAsia"/>
      </w:rPr>
      <w:t>山西弘信房地产土地资产评估有限公司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7289D"/>
    <w:multiLevelType w:val="singleLevel"/>
    <w:tmpl w:val="57A7289D"/>
    <w:lvl w:ilvl="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闫婷婷">
    <w15:presenceInfo w15:providerId="None" w15:userId="闫婷婷"/>
  </w15:person>
  <w15:person w15:author="李倩">
    <w15:presenceInfo w15:providerId="None" w15:userId="李倩"/>
  </w15:person>
  <w15:person w15:author="高宝">
    <w15:presenceInfo w15:providerId="None" w15:userId="高宝"/>
  </w15:person>
  <w15:person w15:author="小蛮腰">
    <w15:presenceInfo w15:providerId="WPS Office" w15:userId="9455035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163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EzNTc5NGI1YWUxNTdhMjI2ZjQwYTNhYTk0ZjMxNjgifQ=="/>
  </w:docVars>
  <w:rsids>
    <w:rsidRoot w:val="00C122FD"/>
    <w:rsid w:val="00027820"/>
    <w:rsid w:val="000374A8"/>
    <w:rsid w:val="00063870"/>
    <w:rsid w:val="00114298"/>
    <w:rsid w:val="001240A2"/>
    <w:rsid w:val="001303A5"/>
    <w:rsid w:val="00163BA8"/>
    <w:rsid w:val="001F0D93"/>
    <w:rsid w:val="001F653C"/>
    <w:rsid w:val="002237D6"/>
    <w:rsid w:val="00227FA5"/>
    <w:rsid w:val="00242BE2"/>
    <w:rsid w:val="00252EEF"/>
    <w:rsid w:val="002560D5"/>
    <w:rsid w:val="00290C56"/>
    <w:rsid w:val="0029498D"/>
    <w:rsid w:val="002A38E6"/>
    <w:rsid w:val="002F0BF5"/>
    <w:rsid w:val="002F2580"/>
    <w:rsid w:val="00326829"/>
    <w:rsid w:val="0034268C"/>
    <w:rsid w:val="00347417"/>
    <w:rsid w:val="0035685D"/>
    <w:rsid w:val="003C0FAA"/>
    <w:rsid w:val="003E4C52"/>
    <w:rsid w:val="004144E3"/>
    <w:rsid w:val="004A1B95"/>
    <w:rsid w:val="004A1EF6"/>
    <w:rsid w:val="004A4DF2"/>
    <w:rsid w:val="004D083C"/>
    <w:rsid w:val="004E0497"/>
    <w:rsid w:val="00534E84"/>
    <w:rsid w:val="005602BC"/>
    <w:rsid w:val="005635C1"/>
    <w:rsid w:val="005A5DAC"/>
    <w:rsid w:val="005B2E3D"/>
    <w:rsid w:val="005C10E6"/>
    <w:rsid w:val="005E148A"/>
    <w:rsid w:val="005E5247"/>
    <w:rsid w:val="00625BC2"/>
    <w:rsid w:val="00635FC5"/>
    <w:rsid w:val="00670F9C"/>
    <w:rsid w:val="00672125"/>
    <w:rsid w:val="00683FAD"/>
    <w:rsid w:val="006A681F"/>
    <w:rsid w:val="006F3C8B"/>
    <w:rsid w:val="00701CDD"/>
    <w:rsid w:val="0071372B"/>
    <w:rsid w:val="007306C4"/>
    <w:rsid w:val="007525EA"/>
    <w:rsid w:val="00752DA4"/>
    <w:rsid w:val="007B3C1F"/>
    <w:rsid w:val="007C380D"/>
    <w:rsid w:val="007D4F4D"/>
    <w:rsid w:val="007E50EC"/>
    <w:rsid w:val="00804A5E"/>
    <w:rsid w:val="0083155A"/>
    <w:rsid w:val="00865267"/>
    <w:rsid w:val="008B3AED"/>
    <w:rsid w:val="008C057F"/>
    <w:rsid w:val="009255DA"/>
    <w:rsid w:val="009304F4"/>
    <w:rsid w:val="0096257F"/>
    <w:rsid w:val="009A7952"/>
    <w:rsid w:val="009D43D9"/>
    <w:rsid w:val="00A02F10"/>
    <w:rsid w:val="00A03D2E"/>
    <w:rsid w:val="00A23C63"/>
    <w:rsid w:val="00AA12F1"/>
    <w:rsid w:val="00AB6F51"/>
    <w:rsid w:val="00B35338"/>
    <w:rsid w:val="00B47F34"/>
    <w:rsid w:val="00C122FD"/>
    <w:rsid w:val="00C142CD"/>
    <w:rsid w:val="00C243DC"/>
    <w:rsid w:val="00C37DE2"/>
    <w:rsid w:val="00CC1998"/>
    <w:rsid w:val="00CC50BE"/>
    <w:rsid w:val="00CF0489"/>
    <w:rsid w:val="00D604F1"/>
    <w:rsid w:val="00D92A79"/>
    <w:rsid w:val="00DA70D1"/>
    <w:rsid w:val="00E11395"/>
    <w:rsid w:val="00E24A12"/>
    <w:rsid w:val="00E510D7"/>
    <w:rsid w:val="00E65024"/>
    <w:rsid w:val="00E901FA"/>
    <w:rsid w:val="00E96324"/>
    <w:rsid w:val="00ED37B5"/>
    <w:rsid w:val="00F35510"/>
    <w:rsid w:val="00F5347F"/>
    <w:rsid w:val="00F62E9C"/>
    <w:rsid w:val="00FD6453"/>
    <w:rsid w:val="00FE194C"/>
    <w:rsid w:val="01F57D0E"/>
    <w:rsid w:val="284F5E6E"/>
    <w:rsid w:val="55960A81"/>
    <w:rsid w:val="738B6B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uiPriority="0" w:unhideWhenUsed="0" w:qFormat="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5C10E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5C10E6"/>
    <w:pPr>
      <w:keepNext/>
      <w:keepLines/>
      <w:spacing w:line="360" w:lineRule="auto"/>
      <w:ind w:left="2368" w:hangingChars="740" w:hanging="2368"/>
      <w:jc w:val="center"/>
      <w:outlineLvl w:val="0"/>
    </w:pPr>
    <w:rPr>
      <w:rFonts w:ascii="Tahoma" w:eastAsia="黑体" w:hAnsi="Tahoma"/>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5C10E6"/>
    <w:pPr>
      <w:ind w:left="1260"/>
      <w:jc w:val="left"/>
    </w:pPr>
    <w:rPr>
      <w:rFonts w:asciiTheme="minorHAnsi" w:hAnsiTheme="minorHAnsi"/>
      <w:sz w:val="18"/>
      <w:szCs w:val="18"/>
    </w:rPr>
  </w:style>
  <w:style w:type="paragraph" w:styleId="a3">
    <w:name w:val="annotation text"/>
    <w:basedOn w:val="a"/>
    <w:link w:val="Char"/>
    <w:uiPriority w:val="99"/>
    <w:unhideWhenUsed/>
    <w:qFormat/>
    <w:rsid w:val="005C10E6"/>
    <w:pPr>
      <w:jc w:val="left"/>
    </w:pPr>
  </w:style>
  <w:style w:type="paragraph" w:styleId="a4">
    <w:name w:val="Body Text"/>
    <w:basedOn w:val="a"/>
    <w:link w:val="Char0"/>
    <w:unhideWhenUsed/>
    <w:qFormat/>
    <w:rsid w:val="005C10E6"/>
    <w:pPr>
      <w:spacing w:after="120"/>
    </w:pPr>
  </w:style>
  <w:style w:type="paragraph" w:styleId="a5">
    <w:name w:val="Body Text Indent"/>
    <w:basedOn w:val="a"/>
    <w:link w:val="Char1"/>
    <w:qFormat/>
    <w:rsid w:val="005C10E6"/>
    <w:pPr>
      <w:tabs>
        <w:tab w:val="left" w:pos="4755"/>
      </w:tabs>
      <w:spacing w:line="360" w:lineRule="auto"/>
      <w:ind w:firstLine="500"/>
    </w:pPr>
    <w:rPr>
      <w:kern w:val="0"/>
      <w:sz w:val="28"/>
    </w:rPr>
  </w:style>
  <w:style w:type="paragraph" w:styleId="5">
    <w:name w:val="toc 5"/>
    <w:basedOn w:val="a"/>
    <w:next w:val="a"/>
    <w:uiPriority w:val="39"/>
    <w:unhideWhenUsed/>
    <w:qFormat/>
    <w:rsid w:val="005C10E6"/>
    <w:pPr>
      <w:ind w:left="840"/>
      <w:jc w:val="left"/>
    </w:pPr>
    <w:rPr>
      <w:rFonts w:asciiTheme="minorHAnsi" w:hAnsiTheme="minorHAnsi"/>
      <w:sz w:val="18"/>
      <w:szCs w:val="18"/>
    </w:rPr>
  </w:style>
  <w:style w:type="paragraph" w:styleId="3">
    <w:name w:val="toc 3"/>
    <w:basedOn w:val="a4"/>
    <w:next w:val="a4"/>
    <w:uiPriority w:val="39"/>
    <w:unhideWhenUsed/>
    <w:qFormat/>
    <w:rsid w:val="005C10E6"/>
    <w:pPr>
      <w:spacing w:after="0"/>
      <w:ind w:left="420"/>
      <w:jc w:val="left"/>
    </w:pPr>
    <w:rPr>
      <w:rFonts w:asciiTheme="minorHAnsi" w:hAnsiTheme="minorHAnsi"/>
      <w:i/>
      <w:iCs/>
      <w:sz w:val="20"/>
      <w:szCs w:val="20"/>
    </w:rPr>
  </w:style>
  <w:style w:type="paragraph" w:styleId="a6">
    <w:name w:val="Plain Text"/>
    <w:basedOn w:val="a"/>
    <w:link w:val="Char2"/>
    <w:qFormat/>
    <w:rsid w:val="005C10E6"/>
    <w:rPr>
      <w:rFonts w:ascii="宋体" w:hAnsi="Courier New"/>
      <w:szCs w:val="20"/>
    </w:rPr>
  </w:style>
  <w:style w:type="paragraph" w:styleId="8">
    <w:name w:val="toc 8"/>
    <w:basedOn w:val="a"/>
    <w:next w:val="a"/>
    <w:uiPriority w:val="39"/>
    <w:unhideWhenUsed/>
    <w:qFormat/>
    <w:rsid w:val="005C10E6"/>
    <w:pPr>
      <w:ind w:left="1470"/>
      <w:jc w:val="left"/>
    </w:pPr>
    <w:rPr>
      <w:rFonts w:asciiTheme="minorHAnsi" w:hAnsiTheme="minorHAnsi"/>
      <w:sz w:val="18"/>
      <w:szCs w:val="18"/>
    </w:rPr>
  </w:style>
  <w:style w:type="paragraph" w:styleId="a7">
    <w:name w:val="Date"/>
    <w:basedOn w:val="a"/>
    <w:next w:val="a"/>
    <w:link w:val="Char3"/>
    <w:qFormat/>
    <w:rsid w:val="005C10E6"/>
    <w:pPr>
      <w:ind w:leftChars="2500" w:left="100"/>
    </w:pPr>
    <w:rPr>
      <w:sz w:val="28"/>
    </w:rPr>
  </w:style>
  <w:style w:type="paragraph" w:styleId="2">
    <w:name w:val="Body Text Indent 2"/>
    <w:basedOn w:val="a"/>
    <w:link w:val="2Char"/>
    <w:qFormat/>
    <w:rsid w:val="005C10E6"/>
    <w:pPr>
      <w:tabs>
        <w:tab w:val="left" w:pos="4755"/>
      </w:tabs>
      <w:spacing w:line="360" w:lineRule="auto"/>
      <w:ind w:left="450"/>
    </w:pPr>
    <w:rPr>
      <w:kern w:val="0"/>
      <w:sz w:val="28"/>
    </w:rPr>
  </w:style>
  <w:style w:type="paragraph" w:styleId="a8">
    <w:name w:val="Balloon Text"/>
    <w:basedOn w:val="a"/>
    <w:link w:val="Char4"/>
    <w:qFormat/>
    <w:rsid w:val="005C10E6"/>
    <w:rPr>
      <w:rFonts w:ascii="Tahoma" w:hAnsi="Tahoma"/>
      <w:sz w:val="18"/>
      <w:szCs w:val="18"/>
    </w:rPr>
  </w:style>
  <w:style w:type="paragraph" w:styleId="a9">
    <w:name w:val="footer"/>
    <w:basedOn w:val="a"/>
    <w:link w:val="Char5"/>
    <w:qFormat/>
    <w:rsid w:val="005C10E6"/>
    <w:pPr>
      <w:tabs>
        <w:tab w:val="center" w:pos="4153"/>
        <w:tab w:val="right" w:pos="8306"/>
      </w:tabs>
      <w:snapToGrid w:val="0"/>
      <w:jc w:val="left"/>
    </w:pPr>
    <w:rPr>
      <w:sz w:val="18"/>
      <w:szCs w:val="18"/>
    </w:rPr>
  </w:style>
  <w:style w:type="paragraph" w:styleId="aa">
    <w:name w:val="header"/>
    <w:basedOn w:val="a"/>
    <w:link w:val="Char6"/>
    <w:qFormat/>
    <w:rsid w:val="005C10E6"/>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5C10E6"/>
    <w:pPr>
      <w:spacing w:before="120" w:after="120"/>
      <w:jc w:val="left"/>
    </w:pPr>
    <w:rPr>
      <w:rFonts w:asciiTheme="minorHAnsi" w:hAnsiTheme="minorHAnsi"/>
      <w:b/>
      <w:bCs/>
      <w:caps/>
      <w:sz w:val="20"/>
    </w:rPr>
  </w:style>
  <w:style w:type="paragraph" w:styleId="4">
    <w:name w:val="toc 4"/>
    <w:basedOn w:val="a"/>
    <w:next w:val="a"/>
    <w:uiPriority w:val="39"/>
    <w:unhideWhenUsed/>
    <w:qFormat/>
    <w:rsid w:val="005C10E6"/>
    <w:pPr>
      <w:ind w:left="630"/>
      <w:jc w:val="left"/>
    </w:pPr>
    <w:rPr>
      <w:rFonts w:asciiTheme="minorHAnsi" w:hAnsiTheme="minorHAnsi"/>
      <w:sz w:val="18"/>
      <w:szCs w:val="18"/>
    </w:rPr>
  </w:style>
  <w:style w:type="paragraph" w:styleId="6">
    <w:name w:val="toc 6"/>
    <w:basedOn w:val="a"/>
    <w:next w:val="a"/>
    <w:uiPriority w:val="39"/>
    <w:unhideWhenUsed/>
    <w:qFormat/>
    <w:rsid w:val="005C10E6"/>
    <w:pPr>
      <w:ind w:left="1050"/>
      <w:jc w:val="left"/>
    </w:pPr>
    <w:rPr>
      <w:rFonts w:asciiTheme="minorHAnsi" w:hAnsiTheme="minorHAnsi"/>
      <w:sz w:val="18"/>
      <w:szCs w:val="18"/>
    </w:rPr>
  </w:style>
  <w:style w:type="paragraph" w:styleId="30">
    <w:name w:val="Body Text Indent 3"/>
    <w:basedOn w:val="a"/>
    <w:link w:val="3Char"/>
    <w:qFormat/>
    <w:rsid w:val="005C10E6"/>
    <w:pPr>
      <w:ind w:left="450" w:firstLineChars="101" w:firstLine="283"/>
    </w:pPr>
    <w:rPr>
      <w:rFonts w:ascii="宋体" w:hAnsi="宋体"/>
      <w:sz w:val="28"/>
    </w:rPr>
  </w:style>
  <w:style w:type="paragraph" w:styleId="20">
    <w:name w:val="toc 2"/>
    <w:basedOn w:val="a6"/>
    <w:next w:val="a6"/>
    <w:link w:val="2Char0"/>
    <w:uiPriority w:val="39"/>
    <w:qFormat/>
    <w:rsid w:val="005C10E6"/>
    <w:pPr>
      <w:ind w:left="210"/>
      <w:jc w:val="left"/>
    </w:pPr>
    <w:rPr>
      <w:rFonts w:asciiTheme="minorHAnsi" w:hAnsiTheme="minorHAnsi"/>
      <w:smallCaps/>
      <w:sz w:val="20"/>
    </w:rPr>
  </w:style>
  <w:style w:type="paragraph" w:styleId="9">
    <w:name w:val="toc 9"/>
    <w:basedOn w:val="a"/>
    <w:next w:val="a"/>
    <w:uiPriority w:val="39"/>
    <w:unhideWhenUsed/>
    <w:qFormat/>
    <w:rsid w:val="005C10E6"/>
    <w:pPr>
      <w:ind w:left="1680"/>
      <w:jc w:val="left"/>
    </w:pPr>
    <w:rPr>
      <w:rFonts w:asciiTheme="minorHAnsi" w:hAnsiTheme="minorHAnsi"/>
      <w:sz w:val="18"/>
      <w:szCs w:val="18"/>
    </w:rPr>
  </w:style>
  <w:style w:type="paragraph" w:styleId="ab">
    <w:name w:val="Normal (Web)"/>
    <w:basedOn w:val="a"/>
    <w:uiPriority w:val="99"/>
    <w:qFormat/>
    <w:rsid w:val="005C10E6"/>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7"/>
    <w:qFormat/>
    <w:rsid w:val="005C10E6"/>
    <w:pPr>
      <w:spacing w:before="240" w:after="60"/>
      <w:jc w:val="center"/>
      <w:outlineLvl w:val="0"/>
    </w:pPr>
    <w:rPr>
      <w:rFonts w:ascii="Cambria" w:hAnsi="Cambria"/>
      <w:b/>
      <w:bCs/>
      <w:sz w:val="32"/>
      <w:szCs w:val="32"/>
    </w:rPr>
  </w:style>
  <w:style w:type="paragraph" w:styleId="ad">
    <w:name w:val="annotation subject"/>
    <w:basedOn w:val="a3"/>
    <w:next w:val="a3"/>
    <w:link w:val="Char8"/>
    <w:uiPriority w:val="99"/>
    <w:semiHidden/>
    <w:unhideWhenUsed/>
    <w:qFormat/>
    <w:rsid w:val="005C10E6"/>
    <w:rPr>
      <w:b/>
      <w:bCs/>
    </w:rPr>
  </w:style>
  <w:style w:type="paragraph" w:styleId="ae">
    <w:name w:val="Body Text First Indent"/>
    <w:basedOn w:val="a4"/>
    <w:link w:val="Char9"/>
    <w:qFormat/>
    <w:rsid w:val="005C10E6"/>
    <w:pPr>
      <w:ind w:firstLineChars="100" w:firstLine="420"/>
    </w:pPr>
  </w:style>
  <w:style w:type="table" w:styleId="af">
    <w:name w:val="Table Grid"/>
    <w:basedOn w:val="a1"/>
    <w:uiPriority w:val="99"/>
    <w:unhideWhenUsed/>
    <w:qFormat/>
    <w:rsid w:val="005C10E6"/>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C10E6"/>
    <w:rPr>
      <w:b/>
      <w:bCs/>
    </w:rPr>
  </w:style>
  <w:style w:type="character" w:styleId="af1">
    <w:name w:val="page number"/>
    <w:basedOn w:val="a0"/>
    <w:qFormat/>
    <w:rsid w:val="005C10E6"/>
  </w:style>
  <w:style w:type="character" w:styleId="af2">
    <w:name w:val="Hyperlink"/>
    <w:uiPriority w:val="99"/>
    <w:unhideWhenUsed/>
    <w:qFormat/>
    <w:rsid w:val="005C10E6"/>
    <w:rPr>
      <w:rFonts w:ascii="Tahoma" w:hAnsi="Tahoma"/>
      <w:color w:val="0000FF"/>
      <w:sz w:val="24"/>
      <w:u w:val="single"/>
    </w:rPr>
  </w:style>
  <w:style w:type="character" w:styleId="af3">
    <w:name w:val="annotation reference"/>
    <w:qFormat/>
    <w:rsid w:val="005C10E6"/>
    <w:rPr>
      <w:rFonts w:ascii="Tahoma" w:hAnsi="Tahoma"/>
      <w:color w:val="auto"/>
      <w:sz w:val="21"/>
      <w:szCs w:val="21"/>
    </w:rPr>
  </w:style>
  <w:style w:type="character" w:customStyle="1" w:styleId="1Char">
    <w:name w:val="标题 1 Char"/>
    <w:basedOn w:val="a0"/>
    <w:link w:val="1"/>
    <w:qFormat/>
    <w:rsid w:val="005C10E6"/>
    <w:rPr>
      <w:rFonts w:ascii="Tahoma" w:eastAsia="黑体" w:hAnsi="Tahoma" w:cs="Times New Roman"/>
      <w:b/>
      <w:bCs/>
      <w:kern w:val="44"/>
      <w:sz w:val="30"/>
      <w:szCs w:val="44"/>
    </w:rPr>
  </w:style>
  <w:style w:type="character" w:customStyle="1" w:styleId="Char0">
    <w:name w:val="正文文本 Char"/>
    <w:basedOn w:val="a0"/>
    <w:link w:val="a4"/>
    <w:uiPriority w:val="99"/>
    <w:semiHidden/>
    <w:qFormat/>
    <w:rsid w:val="005C10E6"/>
    <w:rPr>
      <w:rFonts w:ascii="Times New Roman" w:eastAsia="宋体" w:hAnsi="Times New Roman" w:cs="Times New Roman"/>
      <w:szCs w:val="24"/>
    </w:rPr>
  </w:style>
  <w:style w:type="character" w:customStyle="1" w:styleId="Char9">
    <w:name w:val="正文首行缩进 Char"/>
    <w:basedOn w:val="Char0"/>
    <w:link w:val="ae"/>
    <w:qFormat/>
    <w:rsid w:val="005C10E6"/>
    <w:rPr>
      <w:rFonts w:ascii="Times New Roman" w:eastAsia="宋体" w:hAnsi="Times New Roman" w:cs="Times New Roman"/>
      <w:szCs w:val="24"/>
    </w:rPr>
  </w:style>
  <w:style w:type="character" w:customStyle="1" w:styleId="Char1">
    <w:name w:val="正文文本缩进 Char"/>
    <w:basedOn w:val="a0"/>
    <w:link w:val="a5"/>
    <w:qFormat/>
    <w:rsid w:val="005C10E6"/>
    <w:rPr>
      <w:rFonts w:ascii="Times New Roman" w:eastAsia="宋体" w:hAnsi="Times New Roman" w:cs="Times New Roman"/>
      <w:kern w:val="0"/>
      <w:sz w:val="28"/>
      <w:szCs w:val="24"/>
    </w:rPr>
  </w:style>
  <w:style w:type="character" w:customStyle="1" w:styleId="Char2">
    <w:name w:val="纯文本 Char"/>
    <w:basedOn w:val="a0"/>
    <w:link w:val="a6"/>
    <w:qFormat/>
    <w:rsid w:val="005C10E6"/>
    <w:rPr>
      <w:rFonts w:ascii="宋体" w:eastAsia="宋体" w:hAnsi="Courier New" w:cs="Times New Roman"/>
      <w:szCs w:val="20"/>
    </w:rPr>
  </w:style>
  <w:style w:type="character" w:customStyle="1" w:styleId="Char3">
    <w:name w:val="日期 Char"/>
    <w:basedOn w:val="a0"/>
    <w:link w:val="a7"/>
    <w:qFormat/>
    <w:rsid w:val="005C10E6"/>
    <w:rPr>
      <w:rFonts w:ascii="Times New Roman" w:eastAsia="宋体" w:hAnsi="Times New Roman" w:cs="Times New Roman"/>
      <w:sz w:val="28"/>
      <w:szCs w:val="24"/>
    </w:rPr>
  </w:style>
  <w:style w:type="character" w:customStyle="1" w:styleId="2Char">
    <w:name w:val="正文文本缩进 2 Char"/>
    <w:basedOn w:val="a0"/>
    <w:link w:val="2"/>
    <w:qFormat/>
    <w:rsid w:val="005C10E6"/>
    <w:rPr>
      <w:rFonts w:ascii="Times New Roman" w:eastAsia="宋体" w:hAnsi="Times New Roman" w:cs="Times New Roman"/>
      <w:kern w:val="0"/>
      <w:sz w:val="28"/>
      <w:szCs w:val="24"/>
    </w:rPr>
  </w:style>
  <w:style w:type="character" w:customStyle="1" w:styleId="Char4">
    <w:name w:val="批注框文本 Char"/>
    <w:basedOn w:val="a0"/>
    <w:link w:val="a8"/>
    <w:qFormat/>
    <w:rsid w:val="005C10E6"/>
    <w:rPr>
      <w:rFonts w:ascii="Tahoma" w:eastAsia="宋体" w:hAnsi="Tahoma" w:cs="Times New Roman"/>
      <w:sz w:val="18"/>
      <w:szCs w:val="18"/>
    </w:rPr>
  </w:style>
  <w:style w:type="character" w:customStyle="1" w:styleId="Char5">
    <w:name w:val="页脚 Char"/>
    <w:basedOn w:val="a0"/>
    <w:link w:val="a9"/>
    <w:qFormat/>
    <w:rsid w:val="005C10E6"/>
    <w:rPr>
      <w:rFonts w:ascii="Times New Roman" w:eastAsia="宋体" w:hAnsi="Times New Roman" w:cs="Times New Roman"/>
      <w:sz w:val="18"/>
      <w:szCs w:val="18"/>
    </w:rPr>
  </w:style>
  <w:style w:type="character" w:customStyle="1" w:styleId="Char6">
    <w:name w:val="页眉 Char"/>
    <w:basedOn w:val="a0"/>
    <w:link w:val="aa"/>
    <w:qFormat/>
    <w:rsid w:val="005C10E6"/>
    <w:rPr>
      <w:rFonts w:ascii="Times New Roman" w:eastAsia="宋体" w:hAnsi="Times New Roman" w:cs="Times New Roman"/>
      <w:sz w:val="18"/>
      <w:szCs w:val="18"/>
    </w:rPr>
  </w:style>
  <w:style w:type="character" w:customStyle="1" w:styleId="3Char">
    <w:name w:val="正文文本缩进 3 Char"/>
    <w:basedOn w:val="a0"/>
    <w:link w:val="30"/>
    <w:qFormat/>
    <w:rsid w:val="005C10E6"/>
    <w:rPr>
      <w:rFonts w:ascii="宋体" w:eastAsia="宋体" w:hAnsi="宋体" w:cs="Times New Roman"/>
      <w:sz w:val="28"/>
      <w:szCs w:val="24"/>
    </w:rPr>
  </w:style>
  <w:style w:type="character" w:customStyle="1" w:styleId="Char7">
    <w:name w:val="标题 Char"/>
    <w:basedOn w:val="a0"/>
    <w:link w:val="ac"/>
    <w:qFormat/>
    <w:rsid w:val="005C10E6"/>
    <w:rPr>
      <w:rFonts w:ascii="Cambria" w:eastAsia="宋体" w:hAnsi="Cambria" w:cs="Times New Roman"/>
      <w:b/>
      <w:bCs/>
      <w:sz w:val="32"/>
      <w:szCs w:val="32"/>
    </w:rPr>
  </w:style>
  <w:style w:type="paragraph" w:customStyle="1" w:styleId="CharCharCharChar">
    <w:name w:val="Char Char Char Char"/>
    <w:basedOn w:val="a"/>
    <w:qFormat/>
    <w:rsid w:val="005C10E6"/>
    <w:rPr>
      <w:rFonts w:ascii="Tahoma" w:hAnsi="Tahoma"/>
      <w:sz w:val="24"/>
      <w:szCs w:val="20"/>
    </w:rPr>
  </w:style>
  <w:style w:type="paragraph" w:customStyle="1" w:styleId="Char10">
    <w:name w:val="Char1"/>
    <w:basedOn w:val="a"/>
    <w:qFormat/>
    <w:rsid w:val="005C10E6"/>
    <w:rPr>
      <w:rFonts w:ascii="Tahoma" w:hAnsi="Tahoma"/>
      <w:sz w:val="24"/>
    </w:rPr>
  </w:style>
  <w:style w:type="paragraph" w:customStyle="1" w:styleId="11">
    <w:name w:val="样式1"/>
    <w:basedOn w:val="ae"/>
    <w:qFormat/>
    <w:rsid w:val="005C10E6"/>
  </w:style>
  <w:style w:type="character" w:customStyle="1" w:styleId="Char">
    <w:name w:val="批注文字 Char"/>
    <w:basedOn w:val="a0"/>
    <w:link w:val="a3"/>
    <w:uiPriority w:val="99"/>
    <w:qFormat/>
    <w:rsid w:val="005C10E6"/>
    <w:rPr>
      <w:rFonts w:ascii="Times New Roman" w:eastAsia="宋体" w:hAnsi="Times New Roman" w:cs="Times New Roman"/>
      <w:szCs w:val="24"/>
    </w:rPr>
  </w:style>
  <w:style w:type="character" w:customStyle="1" w:styleId="2Char0">
    <w:name w:val="目录 2 Char"/>
    <w:basedOn w:val="Char0"/>
    <w:link w:val="20"/>
    <w:uiPriority w:val="39"/>
    <w:qFormat/>
    <w:rsid w:val="005C10E6"/>
    <w:rPr>
      <w:rFonts w:ascii="Times New Roman" w:eastAsia="宋体" w:hAnsi="Times New Roman" w:cs="Times New Roman"/>
      <w:smallCaps/>
      <w:sz w:val="20"/>
      <w:szCs w:val="20"/>
    </w:rPr>
  </w:style>
  <w:style w:type="paragraph" w:styleId="af4">
    <w:name w:val="List Paragraph"/>
    <w:basedOn w:val="a"/>
    <w:uiPriority w:val="34"/>
    <w:qFormat/>
    <w:rsid w:val="005C10E6"/>
    <w:pPr>
      <w:ind w:firstLineChars="200" w:firstLine="420"/>
    </w:pPr>
  </w:style>
  <w:style w:type="paragraph" w:customStyle="1" w:styleId="12">
    <w:name w:val="修订1"/>
    <w:hidden/>
    <w:uiPriority w:val="99"/>
    <w:semiHidden/>
    <w:qFormat/>
    <w:rsid w:val="005C10E6"/>
    <w:rPr>
      <w:rFonts w:ascii="Times New Roman" w:eastAsia="宋体" w:hAnsi="Times New Roman" w:cs="Times New Roman"/>
      <w:kern w:val="2"/>
      <w:sz w:val="21"/>
      <w:szCs w:val="24"/>
    </w:rPr>
  </w:style>
  <w:style w:type="character" w:customStyle="1" w:styleId="Char8">
    <w:name w:val="批注主题 Char"/>
    <w:basedOn w:val="Char"/>
    <w:link w:val="ad"/>
    <w:uiPriority w:val="99"/>
    <w:semiHidden/>
    <w:qFormat/>
    <w:rsid w:val="005C10E6"/>
    <w:rPr>
      <w:b/>
      <w:bCs/>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38"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https://baike.so.com/doc/7601161-7875256.html" TargetMode="External"/><Relationship Id="rId4" Type="http://schemas.openxmlformats.org/officeDocument/2006/relationships/styles" Target="styles.xml"/><Relationship Id="rId9" Type="http://schemas.openxmlformats.org/officeDocument/2006/relationships/hyperlink" Target="mailto:sxhxpg@126.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Users\lenovo\AppData\Local\Temp\ksohtml\wps66A1.tmp.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448BCF-9249-4812-AED9-B2A33F88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李倩</cp:lastModifiedBy>
  <cp:revision>3</cp:revision>
  <cp:lastPrinted>2022-08-25T10:47:00Z</cp:lastPrinted>
  <dcterms:created xsi:type="dcterms:W3CDTF">2022-08-29T02:55:00Z</dcterms:created>
  <dcterms:modified xsi:type="dcterms:W3CDTF">2022-08-29T02:55:00Z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DC6B21412B2E40EEA6C51F5C4A7531A9</vt:lpwstr>
  </property>
</Properties>
</file>